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sz w:val="20"/>
        </w:rPr>
        <w:id w:val="-1206409104"/>
        <w:docPartObj>
          <w:docPartGallery w:val="Cover Pages"/>
          <w:docPartUnique/>
        </w:docPartObj>
      </w:sdtPr>
      <w:sdtEndPr>
        <w:rPr>
          <w:sz w:val="22"/>
          <w:szCs w:val="22"/>
        </w:rPr>
      </w:sdtEndPr>
      <w:sdtContent>
        <w:p w14:paraId="568C97B5" w14:textId="77777777" w:rsidR="00A652B8" w:rsidRPr="0032590D" w:rsidRDefault="00A652B8" w:rsidP="008E6292">
          <w:r w:rsidRPr="0032590D">
            <w:rPr>
              <w:noProof/>
              <w:lang w:eastAsia="zh-CN"/>
            </w:rPr>
            <w:drawing>
              <wp:anchor distT="0" distB="0" distL="114300" distR="114300" simplePos="0" relativeHeight="251654656" behindDoc="1" locked="0" layoutInCell="1" allowOverlap="1" wp14:anchorId="7C72380C" wp14:editId="44DD2AB5">
                <wp:simplePos x="0" y="0"/>
                <wp:positionH relativeFrom="page">
                  <wp:align>center</wp:align>
                </wp:positionH>
                <wp:positionV relativeFrom="page">
                  <wp:align>center</wp:align>
                </wp:positionV>
                <wp:extent cx="7558767" cy="10691998"/>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6AA4E766" w14:textId="77777777" w:rsidR="00A652B8" w:rsidRPr="0032590D" w:rsidRDefault="00A652B8" w:rsidP="001D4EAA">
          <w:pPr>
            <w:pStyle w:val="Header"/>
            <w:spacing w:after="1320"/>
            <w:jc w:val="left"/>
          </w:pPr>
        </w:p>
        <w:p w14:paraId="534E1C6E" w14:textId="6092FC29" w:rsidR="00A652B8" w:rsidRPr="0032590D" w:rsidRDefault="004E7652" w:rsidP="001D4EAA">
          <w:pPr>
            <w:pStyle w:val="Title"/>
          </w:pPr>
          <w:bookmarkStart w:id="0" w:name="_Hlk180136383"/>
          <w:r w:rsidRPr="0032590D">
            <w:t xml:space="preserve">Mandating </w:t>
          </w:r>
          <w:r w:rsidR="00380ABE" w:rsidRPr="0032590D">
            <w:t>cash acceptance</w:t>
          </w:r>
        </w:p>
        <w:bookmarkEnd w:id="0"/>
        <w:p w14:paraId="76A582C5" w14:textId="77777777" w:rsidR="00A652B8" w:rsidRPr="0032590D" w:rsidRDefault="00A652B8" w:rsidP="00082FC2">
          <w:pPr>
            <w:pStyle w:val="Subtitle"/>
            <w:spacing w:after="240"/>
          </w:pPr>
          <w:r w:rsidRPr="0032590D">
            <w:t>Consultation paper</w:t>
          </w:r>
        </w:p>
        <w:p w14:paraId="4696C577" w14:textId="45291FB9" w:rsidR="00A652B8" w:rsidRPr="0032590D" w:rsidRDefault="00181256" w:rsidP="001D4EAA">
          <w:pPr>
            <w:pStyle w:val="ReportDate"/>
            <w:rPr>
              <w:rFonts w:ascii="Rockwell" w:hAnsi="Rockwell"/>
              <w:sz w:val="24"/>
            </w:rPr>
          </w:pPr>
          <w:r w:rsidRPr="0032590D">
            <w:rPr>
              <w:rStyle w:val="ReportDateChar"/>
            </w:rPr>
            <w:t xml:space="preserve">December </w:t>
          </w:r>
          <w:r w:rsidR="00425D86" w:rsidRPr="0032590D">
            <w:rPr>
              <w:rStyle w:val="ReportDateChar"/>
            </w:rPr>
            <w:t>2024</w:t>
          </w:r>
        </w:p>
        <w:p w14:paraId="5CB7C9E0" w14:textId="387F6FCC" w:rsidR="00A652B8" w:rsidRPr="0032590D" w:rsidRDefault="00A652B8" w:rsidP="00425D86">
          <w:r w:rsidRPr="0032590D">
            <w:br w:type="page"/>
          </w:r>
        </w:p>
      </w:sdtContent>
    </w:sdt>
    <w:p w14:paraId="11C87CF4" w14:textId="77777777" w:rsidR="000E0B74" w:rsidRPr="0032590D" w:rsidRDefault="000E0B74" w:rsidP="000E0B74">
      <w:pPr>
        <w:sectPr w:rsidR="000E0B74" w:rsidRPr="0032590D" w:rsidSect="00555D14">
          <w:pgSz w:w="11906" w:h="16838" w:code="9"/>
          <w:pgMar w:top="1843" w:right="1418" w:bottom="1418" w:left="1418" w:header="709" w:footer="709" w:gutter="0"/>
          <w:pgNumType w:fmt="lowerRoman" w:start="0"/>
          <w:cols w:space="720"/>
          <w:titlePg/>
          <w:docGrid w:linePitch="299"/>
        </w:sectPr>
      </w:pPr>
    </w:p>
    <w:p w14:paraId="6FDD5102" w14:textId="5E907C3E" w:rsidR="000E0B74" w:rsidRPr="0032590D" w:rsidRDefault="000E0B74" w:rsidP="000E0B74">
      <w:pPr>
        <w:spacing w:before="240"/>
      </w:pPr>
      <w:r w:rsidRPr="0032590D">
        <w:lastRenderedPageBreak/>
        <w:t>© Commonwealth of Australia 20</w:t>
      </w:r>
      <w:r w:rsidR="00EF2FBF" w:rsidRPr="0032590D">
        <w:t>2</w:t>
      </w:r>
      <w:r w:rsidR="00975E4D" w:rsidRPr="0032590D">
        <w:t>4</w:t>
      </w:r>
    </w:p>
    <w:p w14:paraId="1879BDD4" w14:textId="77777777" w:rsidR="000E0B74" w:rsidRPr="0032590D" w:rsidRDefault="00D65E0B" w:rsidP="000E0B74">
      <w:pPr>
        <w:tabs>
          <w:tab w:val="left" w:pos="1650"/>
        </w:tabs>
        <w:spacing w:before="240"/>
        <w:rPr>
          <w:rFonts w:cstheme="minorBidi"/>
          <w:szCs w:val="22"/>
        </w:rPr>
      </w:pPr>
      <w:r w:rsidRPr="0032590D">
        <w:rPr>
          <w:szCs w:val="22"/>
        </w:rPr>
        <w:t>This publication is available for your use under a</w:t>
      </w:r>
      <w:r w:rsidRPr="0032590D">
        <w:rPr>
          <w:rFonts w:cstheme="minorHAnsi"/>
          <w:szCs w:val="22"/>
        </w:rPr>
        <w:t xml:space="preserve"> </w:t>
      </w:r>
      <w:hyperlink r:id="rId8" w:history="1">
        <w:r w:rsidRPr="0032590D">
          <w:rPr>
            <w:rStyle w:val="Hyperlink"/>
            <w:szCs w:val="22"/>
          </w:rPr>
          <w:t>Creative Commons Attribution 4.0 International</w:t>
        </w:r>
      </w:hyperlink>
      <w:r w:rsidRPr="0032590D">
        <w:rPr>
          <w:rFonts w:cstheme="minorHAnsi"/>
          <w:szCs w:val="22"/>
        </w:rPr>
        <w:t xml:space="preserve"> </w:t>
      </w:r>
      <w:r w:rsidRPr="0032590D">
        <w:rPr>
          <w:szCs w:val="22"/>
        </w:rPr>
        <w:t>licence</w:t>
      </w:r>
      <w:r w:rsidR="000E0B74" w:rsidRPr="0032590D">
        <w:rPr>
          <w:szCs w:val="22"/>
        </w:rPr>
        <w:t xml:space="preserve">, with the exception of the Commonwealth Coat of Arms, the Treasury logo, photographs, images, </w:t>
      </w:r>
      <w:r w:rsidR="00283EEA" w:rsidRPr="0032590D">
        <w:t xml:space="preserve">third party materials, materials protected by a trademark, </w:t>
      </w:r>
      <w:r w:rsidR="000E0B74" w:rsidRPr="0032590D">
        <w:rPr>
          <w:szCs w:val="22"/>
        </w:rPr>
        <w:t xml:space="preserve">signatures and where otherwise stated. </w:t>
      </w:r>
      <w:r w:rsidRPr="0032590D">
        <w:rPr>
          <w:szCs w:val="22"/>
        </w:rPr>
        <w:t>The full licence terms are available from</w:t>
      </w:r>
      <w:r w:rsidRPr="0032590D">
        <w:rPr>
          <w:rFonts w:cstheme="minorHAnsi"/>
          <w:szCs w:val="22"/>
        </w:rPr>
        <w:t xml:space="preserve"> </w:t>
      </w:r>
      <w:hyperlink r:id="rId9" w:history="1">
        <w:r w:rsidR="00283EEA" w:rsidRPr="0032590D">
          <w:rPr>
            <w:rStyle w:val="Hyperlink"/>
            <w:rFonts w:cstheme="minorHAnsi"/>
            <w:szCs w:val="22"/>
          </w:rPr>
          <w:t>creativecommons.org/licenses/by/4.0/legalcode</w:t>
        </w:r>
      </w:hyperlink>
      <w:r w:rsidRPr="0032590D">
        <w:rPr>
          <w:rFonts w:cstheme="minorHAnsi"/>
          <w:szCs w:val="22"/>
        </w:rPr>
        <w:t>.</w:t>
      </w:r>
    </w:p>
    <w:p w14:paraId="11742A7C" w14:textId="77777777" w:rsidR="000E0B74" w:rsidRPr="0032590D" w:rsidRDefault="000E0B74" w:rsidP="000E0B74">
      <w:pPr>
        <w:pStyle w:val="ChartGraphic"/>
        <w:jc w:val="left"/>
      </w:pPr>
      <w:r w:rsidRPr="0032590D">
        <w:rPr>
          <w:noProof/>
          <w:lang w:eastAsia="zh-CN"/>
        </w:rPr>
        <w:drawing>
          <wp:inline distT="0" distB="0" distL="0" distR="0" wp14:anchorId="7474A2FC" wp14:editId="399DA671">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308EA0ED" w14:textId="77777777" w:rsidR="000E0B74" w:rsidRPr="0032590D" w:rsidRDefault="000E0B74" w:rsidP="000E0B74">
      <w:pPr>
        <w:tabs>
          <w:tab w:val="left" w:pos="1650"/>
        </w:tabs>
        <w:spacing w:before="240"/>
      </w:pPr>
      <w:r w:rsidRPr="0032590D">
        <w:t xml:space="preserve">Use of Treasury material </w:t>
      </w:r>
      <w:r w:rsidR="00D65E0B" w:rsidRPr="0032590D">
        <w:t>under a</w:t>
      </w:r>
      <w:r w:rsidR="00D65E0B" w:rsidRPr="0032590D">
        <w:rPr>
          <w:rFonts w:cstheme="minorHAnsi"/>
          <w:sz w:val="24"/>
          <w:szCs w:val="24"/>
        </w:rPr>
        <w:t xml:space="preserve"> </w:t>
      </w:r>
      <w:hyperlink r:id="rId11" w:history="1">
        <w:r w:rsidR="00D65E0B" w:rsidRPr="0032590D">
          <w:rPr>
            <w:rStyle w:val="Hyperlink"/>
          </w:rPr>
          <w:t>Creative Commons Attribution 4.0 International</w:t>
        </w:r>
      </w:hyperlink>
      <w:r w:rsidR="00D65E0B" w:rsidRPr="0032590D">
        <w:rPr>
          <w:rFonts w:ascii="Calibri" w:hAnsi="Calibri"/>
          <w:color w:val="000000"/>
        </w:rPr>
        <w:t xml:space="preserve"> </w:t>
      </w:r>
      <w:r w:rsidR="00D65E0B" w:rsidRPr="0032590D">
        <w:t xml:space="preserve">licence </w:t>
      </w:r>
      <w:r w:rsidRPr="0032590D">
        <w:t>requires you to attribute the work (but not in any way that suggests that the Treasury endorses you or your use of the work).</w:t>
      </w:r>
    </w:p>
    <w:p w14:paraId="6AC081AE" w14:textId="77777777" w:rsidR="000E0B74" w:rsidRPr="0032590D" w:rsidRDefault="000E0B74" w:rsidP="0031276E">
      <w:pPr>
        <w:spacing w:before="240"/>
        <w:rPr>
          <w:rStyle w:val="Strong"/>
        </w:rPr>
      </w:pPr>
      <w:r w:rsidRPr="0032590D">
        <w:rPr>
          <w:rStyle w:val="Strong"/>
        </w:rPr>
        <w:t>Treasury material used ‘as supplied’.</w:t>
      </w:r>
    </w:p>
    <w:p w14:paraId="763BEB64" w14:textId="77777777" w:rsidR="000E0B74" w:rsidRPr="0032590D" w:rsidRDefault="000E0B74" w:rsidP="00823A66">
      <w:r w:rsidRPr="0032590D">
        <w:t xml:space="preserve">Provided you have not modified or transformed Treasury material in any way including, for example, by changing the Treasury text; calculating percentage changes; graphing or charting data; or deriving new statistics from published Treasury statistics </w:t>
      </w:r>
      <w:r w:rsidR="00283EEA" w:rsidRPr="0032590D">
        <w:rPr>
          <w:rFonts w:cs="Calibri Light"/>
        </w:rPr>
        <w:t>–</w:t>
      </w:r>
      <w:r w:rsidRPr="0032590D">
        <w:t xml:space="preserve"> then Treasury prefers the following attribution: </w:t>
      </w:r>
    </w:p>
    <w:p w14:paraId="73C24CD7" w14:textId="77777777" w:rsidR="00283EEA" w:rsidRPr="0032590D" w:rsidRDefault="00283EEA" w:rsidP="00283EEA">
      <w:pPr>
        <w:ind w:firstLine="720"/>
      </w:pPr>
      <w:r w:rsidRPr="0032590D">
        <w:rPr>
          <w:iCs/>
        </w:rPr>
        <w:t>Source:</w:t>
      </w:r>
      <w:r w:rsidRPr="0032590D">
        <w:rPr>
          <w:i/>
        </w:rPr>
        <w:t xml:space="preserve"> </w:t>
      </w:r>
      <w:r w:rsidRPr="0032590D">
        <w:rPr>
          <w:rStyle w:val="Emphasis"/>
        </w:rPr>
        <w:t>The Commonwealth of Australia.</w:t>
      </w:r>
    </w:p>
    <w:p w14:paraId="000ADB81" w14:textId="77777777" w:rsidR="000E0B74" w:rsidRPr="0032590D" w:rsidRDefault="000E0B74" w:rsidP="000E0B74">
      <w:pPr>
        <w:spacing w:before="240"/>
        <w:rPr>
          <w:rStyle w:val="Strong"/>
        </w:rPr>
      </w:pPr>
      <w:r w:rsidRPr="0032590D">
        <w:rPr>
          <w:rStyle w:val="Strong"/>
        </w:rPr>
        <w:t>Derivative material</w:t>
      </w:r>
    </w:p>
    <w:p w14:paraId="3B93A008" w14:textId="77777777" w:rsidR="000E0B74" w:rsidRPr="0032590D" w:rsidRDefault="000E0B74" w:rsidP="000E0B74">
      <w:r w:rsidRPr="0032590D">
        <w:t xml:space="preserve">If you have modified or transformed Treasury material, or derived new material from those of the Treasury in any way, then Treasury prefers the following attribution: </w:t>
      </w:r>
    </w:p>
    <w:p w14:paraId="296F2747" w14:textId="77777777" w:rsidR="00283EEA" w:rsidRPr="0032590D" w:rsidRDefault="00283EEA" w:rsidP="00283EEA">
      <w:pPr>
        <w:ind w:firstLine="720"/>
        <w:rPr>
          <w:rStyle w:val="Emphasis"/>
        </w:rPr>
      </w:pPr>
      <w:r w:rsidRPr="0032590D">
        <w:rPr>
          <w:rStyle w:val="Emphasis"/>
        </w:rPr>
        <w:t>Based on Commonwealth of Australia</w:t>
      </w:r>
      <w:r w:rsidRPr="0032590D" w:rsidDel="002A3368">
        <w:rPr>
          <w:rStyle w:val="Emphasis"/>
        </w:rPr>
        <w:t xml:space="preserve"> </w:t>
      </w:r>
      <w:r w:rsidRPr="0032590D">
        <w:rPr>
          <w:rStyle w:val="Emphasis"/>
        </w:rPr>
        <w:t>data.</w:t>
      </w:r>
    </w:p>
    <w:p w14:paraId="2842A423" w14:textId="77777777" w:rsidR="000E0B74" w:rsidRPr="0032590D" w:rsidRDefault="000E0B74" w:rsidP="000E0B74">
      <w:pPr>
        <w:spacing w:before="240"/>
        <w:rPr>
          <w:rStyle w:val="Strong"/>
        </w:rPr>
      </w:pPr>
      <w:r w:rsidRPr="0032590D">
        <w:rPr>
          <w:rStyle w:val="Strong"/>
        </w:rPr>
        <w:t>Use of the Coat of Arms</w:t>
      </w:r>
    </w:p>
    <w:p w14:paraId="1F9FA849" w14:textId="77777777" w:rsidR="000E0B74" w:rsidRPr="0032590D" w:rsidRDefault="004A7BC2" w:rsidP="000E0B74">
      <w:r w:rsidRPr="0032590D">
        <w:t xml:space="preserve">The terms under which the Coat of Arms can be used are set out on the Department of the Prime Minister and Cabinet website (see </w:t>
      </w:r>
      <w:hyperlink r:id="rId12" w:history="1">
        <w:r w:rsidR="00283EEA" w:rsidRPr="0032590D">
          <w:rPr>
            <w:rStyle w:val="Hyperlink"/>
          </w:rPr>
          <w:t>www.pmc.gov.au/government/commonwealth-coat-arms</w:t>
        </w:r>
      </w:hyperlink>
      <w:r w:rsidRPr="0032590D">
        <w:t>).</w:t>
      </w:r>
    </w:p>
    <w:p w14:paraId="4B07BCA1" w14:textId="77777777" w:rsidR="000E0B74" w:rsidRPr="0032590D" w:rsidRDefault="000E0B74" w:rsidP="000E0B74">
      <w:pPr>
        <w:spacing w:before="240"/>
        <w:rPr>
          <w:rStyle w:val="Strong"/>
        </w:rPr>
      </w:pPr>
      <w:r w:rsidRPr="0032590D">
        <w:rPr>
          <w:rStyle w:val="Strong"/>
        </w:rPr>
        <w:t>Other uses</w:t>
      </w:r>
    </w:p>
    <w:p w14:paraId="02DC4A9A" w14:textId="77777777" w:rsidR="000E0B74" w:rsidRPr="0032590D" w:rsidRDefault="000E0B74" w:rsidP="000E0B74">
      <w:r w:rsidRPr="0032590D">
        <w:t>Enquiries regarding this licence and any other use of this document are welcome at:</w:t>
      </w:r>
    </w:p>
    <w:p w14:paraId="5826AED1" w14:textId="4962C6AA" w:rsidR="000E0B74" w:rsidRPr="0032590D" w:rsidRDefault="000E0B74" w:rsidP="000E0B74">
      <w:pPr>
        <w:ind w:left="720"/>
      </w:pPr>
      <w:r w:rsidRPr="0032590D">
        <w:t>Manager</w:t>
      </w:r>
      <w:r w:rsidR="009A668A" w:rsidRPr="0032590D">
        <w:br/>
      </w:r>
      <w:r w:rsidRPr="0032590D">
        <w:t>Media and Speeches Unit</w:t>
      </w:r>
      <w:r w:rsidRPr="0032590D">
        <w:br/>
        <w:t>The Treasury</w:t>
      </w:r>
      <w:r w:rsidRPr="0032590D">
        <w:br/>
        <w:t xml:space="preserve">Langton Crescent </w:t>
      </w:r>
      <w:r w:rsidRPr="0032590D">
        <w:br/>
        <w:t>Parkes  ACT 2600</w:t>
      </w:r>
      <w:r w:rsidRPr="0032590D">
        <w:br/>
        <w:t xml:space="preserve">Email: </w:t>
      </w:r>
      <w:hyperlink r:id="rId13" w:history="1">
        <w:r w:rsidR="004A077D" w:rsidRPr="0032590D">
          <w:rPr>
            <w:rStyle w:val="Hyperlink"/>
          </w:rPr>
          <w:t>media@treasury.gov.au</w:t>
        </w:r>
      </w:hyperlink>
      <w:r w:rsidR="004A077D" w:rsidRPr="0032590D">
        <w:t xml:space="preserve"> </w:t>
      </w:r>
    </w:p>
    <w:p w14:paraId="5F0D5C98" w14:textId="77777777" w:rsidR="00746881" w:rsidRPr="0032590D" w:rsidRDefault="00746881" w:rsidP="00746881">
      <w:pPr>
        <w:rPr>
          <w:rStyle w:val="Emphasis"/>
        </w:rPr>
      </w:pPr>
      <w:r w:rsidRPr="0032590D">
        <w:rPr>
          <w:rStyle w:val="Emphasi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r w:rsidR="00496994" w:rsidRPr="0032590D">
        <w:rPr>
          <w:rStyle w:val="Emphasis"/>
        </w:rPr>
        <w:t>.</w:t>
      </w:r>
    </w:p>
    <w:p w14:paraId="1EA62DCE" w14:textId="77777777" w:rsidR="00746881" w:rsidRPr="0032590D" w:rsidRDefault="00746881" w:rsidP="00746881"/>
    <w:p w14:paraId="453CA2DF" w14:textId="004B5EB4" w:rsidR="000E0B74" w:rsidRPr="0032590D" w:rsidRDefault="000E0B74" w:rsidP="00354FBB">
      <w:pPr>
        <w:pStyle w:val="Heading1"/>
      </w:pPr>
      <w:bookmarkStart w:id="1" w:name="_Toc181026628"/>
      <w:bookmarkStart w:id="2" w:name="_Toc181278087"/>
      <w:bookmarkStart w:id="3" w:name="_Toc183137370"/>
      <w:r w:rsidRPr="0032590D">
        <w:lastRenderedPageBreak/>
        <w:t>Contents</w:t>
      </w:r>
      <w:bookmarkEnd w:id="1"/>
      <w:bookmarkEnd w:id="2"/>
      <w:bookmarkEnd w:id="3"/>
    </w:p>
    <w:bookmarkStart w:id="4" w:name="_Toc181026629"/>
    <w:bookmarkStart w:id="5" w:name="_Toc432067103"/>
    <w:p w14:paraId="4397EAA2" w14:textId="0B92645B" w:rsidR="00A25794" w:rsidRPr="0032590D" w:rsidRDefault="004358FC">
      <w:pPr>
        <w:pStyle w:val="TOC1"/>
        <w:rPr>
          <w:rFonts w:asciiTheme="minorHAnsi" w:eastAsiaTheme="minorEastAsia" w:hAnsiTheme="minorHAnsi" w:cstheme="minorBidi"/>
          <w:b w:val="0"/>
          <w:color w:val="auto"/>
          <w:kern w:val="2"/>
          <w14:ligatures w14:val="standardContextual"/>
        </w:rPr>
      </w:pPr>
      <w:r w:rsidRPr="0032590D">
        <w:rPr>
          <w:b w:val="0"/>
          <w:color w:val="004A7F"/>
        </w:rPr>
        <w:fldChar w:fldCharType="begin"/>
      </w:r>
      <w:r w:rsidRPr="0032590D">
        <w:rPr>
          <w:b w:val="0"/>
          <w:color w:val="004A7F"/>
        </w:rPr>
        <w:instrText xml:space="preserve"> TOC \o "1-2" \h \z \u </w:instrText>
      </w:r>
      <w:r w:rsidRPr="0032590D">
        <w:rPr>
          <w:b w:val="0"/>
          <w:color w:val="004A7F"/>
        </w:rPr>
        <w:fldChar w:fldCharType="separate"/>
      </w:r>
      <w:hyperlink w:anchor="_Toc183137370" w:history="1">
        <w:r w:rsidR="00A25794" w:rsidRPr="0032590D">
          <w:rPr>
            <w:rStyle w:val="Hyperlink"/>
          </w:rPr>
          <w:t>Contents</w:t>
        </w:r>
        <w:r w:rsidR="00A25794" w:rsidRPr="0032590D">
          <w:rPr>
            <w:webHidden/>
          </w:rPr>
          <w:tab/>
        </w:r>
        <w:r w:rsidR="00A25794" w:rsidRPr="0032590D">
          <w:rPr>
            <w:webHidden/>
          </w:rPr>
          <w:fldChar w:fldCharType="begin"/>
        </w:r>
        <w:r w:rsidR="00A25794" w:rsidRPr="0032590D">
          <w:rPr>
            <w:webHidden/>
          </w:rPr>
          <w:instrText xml:space="preserve"> PAGEREF _Toc183137370 \h </w:instrText>
        </w:r>
        <w:r w:rsidR="00A25794" w:rsidRPr="0032590D">
          <w:rPr>
            <w:webHidden/>
          </w:rPr>
        </w:r>
        <w:r w:rsidR="00A25794" w:rsidRPr="0032590D">
          <w:rPr>
            <w:webHidden/>
          </w:rPr>
          <w:fldChar w:fldCharType="separate"/>
        </w:r>
        <w:r w:rsidR="00A621C3">
          <w:rPr>
            <w:webHidden/>
          </w:rPr>
          <w:t>2</w:t>
        </w:r>
        <w:r w:rsidR="00A25794" w:rsidRPr="0032590D">
          <w:rPr>
            <w:webHidden/>
          </w:rPr>
          <w:fldChar w:fldCharType="end"/>
        </w:r>
      </w:hyperlink>
    </w:p>
    <w:p w14:paraId="361129E2" w14:textId="73DA4159" w:rsidR="00A25794" w:rsidRPr="0032590D" w:rsidRDefault="004205F2">
      <w:pPr>
        <w:pStyle w:val="TOC1"/>
        <w:rPr>
          <w:rFonts w:asciiTheme="minorHAnsi" w:eastAsiaTheme="minorEastAsia" w:hAnsiTheme="minorHAnsi" w:cstheme="minorBidi"/>
          <w:b w:val="0"/>
          <w:color w:val="auto"/>
          <w:kern w:val="2"/>
          <w14:ligatures w14:val="standardContextual"/>
        </w:rPr>
      </w:pPr>
      <w:hyperlink w:anchor="_Toc183137371" w:history="1">
        <w:r w:rsidR="00A25794" w:rsidRPr="0032590D">
          <w:rPr>
            <w:rStyle w:val="Hyperlink"/>
          </w:rPr>
          <w:t>Consultation process</w:t>
        </w:r>
        <w:r w:rsidR="00A25794" w:rsidRPr="0032590D">
          <w:rPr>
            <w:webHidden/>
          </w:rPr>
          <w:tab/>
        </w:r>
        <w:r w:rsidR="00A25794" w:rsidRPr="0032590D">
          <w:rPr>
            <w:webHidden/>
          </w:rPr>
          <w:fldChar w:fldCharType="begin"/>
        </w:r>
        <w:r w:rsidR="00A25794" w:rsidRPr="0032590D">
          <w:rPr>
            <w:webHidden/>
          </w:rPr>
          <w:instrText xml:space="preserve"> PAGEREF _Toc183137371 \h </w:instrText>
        </w:r>
        <w:r w:rsidR="00A25794" w:rsidRPr="0032590D">
          <w:rPr>
            <w:webHidden/>
          </w:rPr>
        </w:r>
        <w:r w:rsidR="00A25794" w:rsidRPr="0032590D">
          <w:rPr>
            <w:webHidden/>
          </w:rPr>
          <w:fldChar w:fldCharType="separate"/>
        </w:r>
        <w:r w:rsidR="00A621C3">
          <w:rPr>
            <w:webHidden/>
          </w:rPr>
          <w:t>3</w:t>
        </w:r>
        <w:r w:rsidR="00A25794" w:rsidRPr="0032590D">
          <w:rPr>
            <w:webHidden/>
          </w:rPr>
          <w:fldChar w:fldCharType="end"/>
        </w:r>
      </w:hyperlink>
    </w:p>
    <w:p w14:paraId="4B80A58F" w14:textId="732FA7C1" w:rsidR="00A25794" w:rsidRPr="0032590D" w:rsidRDefault="004205F2">
      <w:pPr>
        <w:pStyle w:val="TOC2"/>
        <w:rPr>
          <w:rFonts w:asciiTheme="minorHAnsi" w:eastAsiaTheme="minorEastAsia" w:hAnsiTheme="minorHAnsi" w:cstheme="minorBidi"/>
          <w:color w:val="auto"/>
          <w:kern w:val="2"/>
          <w:szCs w:val="22"/>
          <w14:ligatures w14:val="standardContextual"/>
        </w:rPr>
      </w:pPr>
      <w:hyperlink w:anchor="_Toc183137372" w:history="1">
        <w:r w:rsidR="00A25794" w:rsidRPr="0032590D">
          <w:rPr>
            <w:rStyle w:val="Hyperlink"/>
          </w:rPr>
          <w:t>Request for feedback and comments</w:t>
        </w:r>
        <w:r w:rsidR="00A25794" w:rsidRPr="0032590D">
          <w:rPr>
            <w:webHidden/>
          </w:rPr>
          <w:tab/>
        </w:r>
        <w:r w:rsidR="00A25794" w:rsidRPr="0032590D">
          <w:rPr>
            <w:webHidden/>
          </w:rPr>
          <w:fldChar w:fldCharType="begin"/>
        </w:r>
        <w:r w:rsidR="00A25794" w:rsidRPr="0032590D">
          <w:rPr>
            <w:webHidden/>
          </w:rPr>
          <w:instrText xml:space="preserve"> PAGEREF _Toc183137372 \h </w:instrText>
        </w:r>
        <w:r w:rsidR="00A25794" w:rsidRPr="0032590D">
          <w:rPr>
            <w:webHidden/>
          </w:rPr>
        </w:r>
        <w:r w:rsidR="00A25794" w:rsidRPr="0032590D">
          <w:rPr>
            <w:webHidden/>
          </w:rPr>
          <w:fldChar w:fldCharType="separate"/>
        </w:r>
        <w:r w:rsidR="00A621C3">
          <w:rPr>
            <w:webHidden/>
          </w:rPr>
          <w:t>3</w:t>
        </w:r>
        <w:r w:rsidR="00A25794" w:rsidRPr="0032590D">
          <w:rPr>
            <w:webHidden/>
          </w:rPr>
          <w:fldChar w:fldCharType="end"/>
        </w:r>
      </w:hyperlink>
    </w:p>
    <w:p w14:paraId="215C2C5A" w14:textId="6B21E3F6" w:rsidR="00A25794" w:rsidRPr="0032590D" w:rsidRDefault="004205F2">
      <w:pPr>
        <w:pStyle w:val="TOC1"/>
        <w:rPr>
          <w:rFonts w:asciiTheme="minorHAnsi" w:eastAsiaTheme="minorEastAsia" w:hAnsiTheme="minorHAnsi" w:cstheme="minorBidi"/>
          <w:b w:val="0"/>
          <w:color w:val="auto"/>
          <w:kern w:val="2"/>
          <w14:ligatures w14:val="standardContextual"/>
        </w:rPr>
      </w:pPr>
      <w:hyperlink w:anchor="_Toc183137373" w:history="1">
        <w:r w:rsidR="00A25794" w:rsidRPr="0032590D">
          <w:rPr>
            <w:rStyle w:val="Hyperlink"/>
          </w:rPr>
          <w:t>Foreword</w:t>
        </w:r>
        <w:r w:rsidR="00A25794" w:rsidRPr="0032590D">
          <w:rPr>
            <w:webHidden/>
          </w:rPr>
          <w:tab/>
        </w:r>
        <w:r w:rsidR="00A25794" w:rsidRPr="0032590D">
          <w:rPr>
            <w:webHidden/>
          </w:rPr>
          <w:fldChar w:fldCharType="begin"/>
        </w:r>
        <w:r w:rsidR="00A25794" w:rsidRPr="0032590D">
          <w:rPr>
            <w:webHidden/>
          </w:rPr>
          <w:instrText xml:space="preserve"> PAGEREF _Toc183137373 \h </w:instrText>
        </w:r>
        <w:r w:rsidR="00A25794" w:rsidRPr="0032590D">
          <w:rPr>
            <w:webHidden/>
          </w:rPr>
        </w:r>
        <w:r w:rsidR="00A25794" w:rsidRPr="0032590D">
          <w:rPr>
            <w:webHidden/>
          </w:rPr>
          <w:fldChar w:fldCharType="separate"/>
        </w:r>
        <w:r w:rsidR="00A621C3">
          <w:rPr>
            <w:webHidden/>
          </w:rPr>
          <w:t>4</w:t>
        </w:r>
        <w:r w:rsidR="00A25794" w:rsidRPr="0032590D">
          <w:rPr>
            <w:webHidden/>
          </w:rPr>
          <w:fldChar w:fldCharType="end"/>
        </w:r>
      </w:hyperlink>
    </w:p>
    <w:p w14:paraId="681E4485" w14:textId="5D580F60" w:rsidR="00A25794" w:rsidRPr="0032590D" w:rsidRDefault="004205F2">
      <w:pPr>
        <w:pStyle w:val="TOC1"/>
        <w:rPr>
          <w:rFonts w:asciiTheme="minorHAnsi" w:eastAsiaTheme="minorEastAsia" w:hAnsiTheme="minorHAnsi" w:cstheme="minorBidi"/>
          <w:b w:val="0"/>
          <w:color w:val="auto"/>
          <w:kern w:val="2"/>
          <w14:ligatures w14:val="standardContextual"/>
        </w:rPr>
      </w:pPr>
      <w:hyperlink w:anchor="_Toc183137374" w:history="1">
        <w:r w:rsidR="00A25794" w:rsidRPr="0032590D">
          <w:rPr>
            <w:rStyle w:val="Hyperlink"/>
          </w:rPr>
          <w:t>Chapter 1: Introduction</w:t>
        </w:r>
        <w:r w:rsidR="00A25794" w:rsidRPr="0032590D">
          <w:rPr>
            <w:webHidden/>
          </w:rPr>
          <w:tab/>
        </w:r>
        <w:r w:rsidR="00A25794" w:rsidRPr="0032590D">
          <w:rPr>
            <w:webHidden/>
          </w:rPr>
          <w:fldChar w:fldCharType="begin"/>
        </w:r>
        <w:r w:rsidR="00A25794" w:rsidRPr="0032590D">
          <w:rPr>
            <w:webHidden/>
          </w:rPr>
          <w:instrText xml:space="preserve"> PAGEREF _Toc183137374 \h </w:instrText>
        </w:r>
        <w:r w:rsidR="00A25794" w:rsidRPr="0032590D">
          <w:rPr>
            <w:webHidden/>
          </w:rPr>
        </w:r>
        <w:r w:rsidR="00A25794" w:rsidRPr="0032590D">
          <w:rPr>
            <w:webHidden/>
          </w:rPr>
          <w:fldChar w:fldCharType="separate"/>
        </w:r>
        <w:r w:rsidR="00A621C3">
          <w:rPr>
            <w:webHidden/>
          </w:rPr>
          <w:t>5</w:t>
        </w:r>
        <w:r w:rsidR="00A25794" w:rsidRPr="0032590D">
          <w:rPr>
            <w:webHidden/>
          </w:rPr>
          <w:fldChar w:fldCharType="end"/>
        </w:r>
      </w:hyperlink>
    </w:p>
    <w:p w14:paraId="6C379B9F" w14:textId="7EDDDD9F" w:rsidR="00A25794" w:rsidRPr="0032590D" w:rsidRDefault="004205F2">
      <w:pPr>
        <w:pStyle w:val="TOC2"/>
        <w:rPr>
          <w:rFonts w:asciiTheme="minorHAnsi" w:eastAsiaTheme="minorEastAsia" w:hAnsiTheme="minorHAnsi" w:cstheme="minorBidi"/>
          <w:color w:val="auto"/>
          <w:kern w:val="2"/>
          <w:szCs w:val="22"/>
          <w14:ligatures w14:val="standardContextual"/>
        </w:rPr>
      </w:pPr>
      <w:hyperlink w:anchor="_Toc183137375" w:history="1">
        <w:r w:rsidR="00A25794" w:rsidRPr="0032590D">
          <w:rPr>
            <w:rStyle w:val="Hyperlink"/>
          </w:rPr>
          <w:t>Overview</w:t>
        </w:r>
        <w:r w:rsidR="00A25794" w:rsidRPr="0032590D">
          <w:rPr>
            <w:webHidden/>
          </w:rPr>
          <w:tab/>
        </w:r>
        <w:r w:rsidR="00A25794" w:rsidRPr="0032590D">
          <w:rPr>
            <w:webHidden/>
          </w:rPr>
          <w:fldChar w:fldCharType="begin"/>
        </w:r>
        <w:r w:rsidR="00A25794" w:rsidRPr="0032590D">
          <w:rPr>
            <w:webHidden/>
          </w:rPr>
          <w:instrText xml:space="preserve"> PAGEREF _Toc183137375 \h </w:instrText>
        </w:r>
        <w:r w:rsidR="00A25794" w:rsidRPr="0032590D">
          <w:rPr>
            <w:webHidden/>
          </w:rPr>
        </w:r>
        <w:r w:rsidR="00A25794" w:rsidRPr="0032590D">
          <w:rPr>
            <w:webHidden/>
          </w:rPr>
          <w:fldChar w:fldCharType="separate"/>
        </w:r>
        <w:r w:rsidR="00A621C3">
          <w:rPr>
            <w:webHidden/>
          </w:rPr>
          <w:t>5</w:t>
        </w:r>
        <w:r w:rsidR="00A25794" w:rsidRPr="0032590D">
          <w:rPr>
            <w:webHidden/>
          </w:rPr>
          <w:fldChar w:fldCharType="end"/>
        </w:r>
      </w:hyperlink>
    </w:p>
    <w:p w14:paraId="2C5A25E3" w14:textId="38E9F0CB" w:rsidR="00A25794" w:rsidRPr="0032590D" w:rsidRDefault="004205F2">
      <w:pPr>
        <w:pStyle w:val="TOC2"/>
        <w:rPr>
          <w:rFonts w:asciiTheme="minorHAnsi" w:eastAsiaTheme="minorEastAsia" w:hAnsiTheme="minorHAnsi" w:cstheme="minorBidi"/>
          <w:color w:val="auto"/>
          <w:kern w:val="2"/>
          <w:szCs w:val="22"/>
          <w14:ligatures w14:val="standardContextual"/>
        </w:rPr>
      </w:pPr>
      <w:hyperlink w:anchor="_Toc183137376" w:history="1">
        <w:r w:rsidR="00A25794" w:rsidRPr="0032590D">
          <w:rPr>
            <w:rStyle w:val="Hyperlink"/>
          </w:rPr>
          <w:t>Cash acceptance</w:t>
        </w:r>
        <w:r w:rsidR="00A25794" w:rsidRPr="0032590D">
          <w:rPr>
            <w:webHidden/>
          </w:rPr>
          <w:tab/>
        </w:r>
        <w:r w:rsidR="00A25794" w:rsidRPr="0032590D">
          <w:rPr>
            <w:webHidden/>
          </w:rPr>
          <w:fldChar w:fldCharType="begin"/>
        </w:r>
        <w:r w:rsidR="00A25794" w:rsidRPr="0032590D">
          <w:rPr>
            <w:webHidden/>
          </w:rPr>
          <w:instrText xml:space="preserve"> PAGEREF _Toc183137376 \h </w:instrText>
        </w:r>
        <w:r w:rsidR="00A25794" w:rsidRPr="0032590D">
          <w:rPr>
            <w:webHidden/>
          </w:rPr>
        </w:r>
        <w:r w:rsidR="00A25794" w:rsidRPr="0032590D">
          <w:rPr>
            <w:webHidden/>
          </w:rPr>
          <w:fldChar w:fldCharType="separate"/>
        </w:r>
        <w:r w:rsidR="00A621C3">
          <w:rPr>
            <w:webHidden/>
          </w:rPr>
          <w:t>5</w:t>
        </w:r>
        <w:r w:rsidR="00A25794" w:rsidRPr="0032590D">
          <w:rPr>
            <w:webHidden/>
          </w:rPr>
          <w:fldChar w:fldCharType="end"/>
        </w:r>
      </w:hyperlink>
    </w:p>
    <w:p w14:paraId="196C4A83" w14:textId="5AA67C4B" w:rsidR="00A25794" w:rsidRPr="0032590D" w:rsidRDefault="004205F2">
      <w:pPr>
        <w:pStyle w:val="TOC2"/>
        <w:rPr>
          <w:rFonts w:asciiTheme="minorHAnsi" w:eastAsiaTheme="minorEastAsia" w:hAnsiTheme="minorHAnsi" w:cstheme="minorBidi"/>
          <w:color w:val="auto"/>
          <w:kern w:val="2"/>
          <w:szCs w:val="22"/>
          <w14:ligatures w14:val="standardContextual"/>
        </w:rPr>
      </w:pPr>
      <w:hyperlink w:anchor="_Toc183137377" w:history="1">
        <w:r w:rsidR="00A25794" w:rsidRPr="0032590D">
          <w:rPr>
            <w:rStyle w:val="Hyperlink"/>
          </w:rPr>
          <w:t>Government decision to mandate cash acceptance</w:t>
        </w:r>
        <w:r w:rsidR="00A25794" w:rsidRPr="0032590D">
          <w:rPr>
            <w:webHidden/>
          </w:rPr>
          <w:tab/>
        </w:r>
        <w:r w:rsidR="00A25794" w:rsidRPr="0032590D">
          <w:rPr>
            <w:webHidden/>
          </w:rPr>
          <w:fldChar w:fldCharType="begin"/>
        </w:r>
        <w:r w:rsidR="00A25794" w:rsidRPr="0032590D">
          <w:rPr>
            <w:webHidden/>
          </w:rPr>
          <w:instrText xml:space="preserve"> PAGEREF _Toc183137377 \h </w:instrText>
        </w:r>
        <w:r w:rsidR="00A25794" w:rsidRPr="0032590D">
          <w:rPr>
            <w:webHidden/>
          </w:rPr>
        </w:r>
        <w:r w:rsidR="00A25794" w:rsidRPr="0032590D">
          <w:rPr>
            <w:webHidden/>
          </w:rPr>
          <w:fldChar w:fldCharType="separate"/>
        </w:r>
        <w:r w:rsidR="00A621C3">
          <w:rPr>
            <w:webHidden/>
          </w:rPr>
          <w:t>8</w:t>
        </w:r>
        <w:r w:rsidR="00A25794" w:rsidRPr="0032590D">
          <w:rPr>
            <w:webHidden/>
          </w:rPr>
          <w:fldChar w:fldCharType="end"/>
        </w:r>
      </w:hyperlink>
    </w:p>
    <w:p w14:paraId="6A733D48" w14:textId="23B126D0" w:rsidR="00A25794" w:rsidRPr="0032590D" w:rsidRDefault="004205F2">
      <w:pPr>
        <w:pStyle w:val="TOC1"/>
        <w:rPr>
          <w:rFonts w:asciiTheme="minorHAnsi" w:eastAsiaTheme="minorEastAsia" w:hAnsiTheme="minorHAnsi" w:cstheme="minorBidi"/>
          <w:b w:val="0"/>
          <w:color w:val="auto"/>
          <w:kern w:val="2"/>
          <w14:ligatures w14:val="standardContextual"/>
        </w:rPr>
      </w:pPr>
      <w:hyperlink w:anchor="_Toc183137378" w:history="1">
        <w:r w:rsidR="00A25794" w:rsidRPr="0032590D">
          <w:rPr>
            <w:rStyle w:val="Hyperlink"/>
          </w:rPr>
          <w:t>Chapter 2: Why paying in cash matters</w:t>
        </w:r>
        <w:r w:rsidR="00A25794" w:rsidRPr="0032590D">
          <w:rPr>
            <w:webHidden/>
          </w:rPr>
          <w:tab/>
        </w:r>
        <w:r w:rsidR="00A25794" w:rsidRPr="0032590D">
          <w:rPr>
            <w:webHidden/>
          </w:rPr>
          <w:fldChar w:fldCharType="begin"/>
        </w:r>
        <w:r w:rsidR="00A25794" w:rsidRPr="0032590D">
          <w:rPr>
            <w:webHidden/>
          </w:rPr>
          <w:instrText xml:space="preserve"> PAGEREF _Toc183137378 \h </w:instrText>
        </w:r>
        <w:r w:rsidR="00A25794" w:rsidRPr="0032590D">
          <w:rPr>
            <w:webHidden/>
          </w:rPr>
        </w:r>
        <w:r w:rsidR="00A25794" w:rsidRPr="0032590D">
          <w:rPr>
            <w:webHidden/>
          </w:rPr>
          <w:fldChar w:fldCharType="separate"/>
        </w:r>
        <w:r w:rsidR="00A621C3">
          <w:rPr>
            <w:webHidden/>
          </w:rPr>
          <w:t>10</w:t>
        </w:r>
        <w:r w:rsidR="00A25794" w:rsidRPr="0032590D">
          <w:rPr>
            <w:webHidden/>
          </w:rPr>
          <w:fldChar w:fldCharType="end"/>
        </w:r>
      </w:hyperlink>
    </w:p>
    <w:p w14:paraId="6202EE1D" w14:textId="27066141" w:rsidR="00A25794" w:rsidRPr="0032590D" w:rsidRDefault="004205F2">
      <w:pPr>
        <w:pStyle w:val="TOC2"/>
        <w:rPr>
          <w:rFonts w:asciiTheme="minorHAnsi" w:eastAsiaTheme="minorEastAsia" w:hAnsiTheme="minorHAnsi" w:cstheme="minorBidi"/>
          <w:color w:val="auto"/>
          <w:kern w:val="2"/>
          <w:szCs w:val="22"/>
          <w14:ligatures w14:val="standardContextual"/>
        </w:rPr>
      </w:pPr>
      <w:hyperlink w:anchor="_Toc183137379" w:history="1">
        <w:r w:rsidR="00A25794" w:rsidRPr="0032590D">
          <w:rPr>
            <w:rStyle w:val="Hyperlink"/>
          </w:rPr>
          <w:t>Overview</w:t>
        </w:r>
        <w:r w:rsidR="00A25794" w:rsidRPr="0032590D">
          <w:rPr>
            <w:webHidden/>
          </w:rPr>
          <w:tab/>
        </w:r>
        <w:r w:rsidR="00A25794" w:rsidRPr="0032590D">
          <w:rPr>
            <w:webHidden/>
          </w:rPr>
          <w:fldChar w:fldCharType="begin"/>
        </w:r>
        <w:r w:rsidR="00A25794" w:rsidRPr="0032590D">
          <w:rPr>
            <w:webHidden/>
          </w:rPr>
          <w:instrText xml:space="preserve"> PAGEREF _Toc183137379 \h </w:instrText>
        </w:r>
        <w:r w:rsidR="00A25794" w:rsidRPr="0032590D">
          <w:rPr>
            <w:webHidden/>
          </w:rPr>
        </w:r>
        <w:r w:rsidR="00A25794" w:rsidRPr="0032590D">
          <w:rPr>
            <w:webHidden/>
          </w:rPr>
          <w:fldChar w:fldCharType="separate"/>
        </w:r>
        <w:r w:rsidR="00A621C3">
          <w:rPr>
            <w:webHidden/>
          </w:rPr>
          <w:t>10</w:t>
        </w:r>
        <w:r w:rsidR="00A25794" w:rsidRPr="0032590D">
          <w:rPr>
            <w:webHidden/>
          </w:rPr>
          <w:fldChar w:fldCharType="end"/>
        </w:r>
      </w:hyperlink>
    </w:p>
    <w:p w14:paraId="2575AB26" w14:textId="024E5AFE" w:rsidR="00A25794" w:rsidRPr="0032590D" w:rsidRDefault="004205F2">
      <w:pPr>
        <w:pStyle w:val="TOC2"/>
        <w:rPr>
          <w:rFonts w:asciiTheme="minorHAnsi" w:eastAsiaTheme="minorEastAsia" w:hAnsiTheme="minorHAnsi" w:cstheme="minorBidi"/>
          <w:color w:val="auto"/>
          <w:kern w:val="2"/>
          <w:szCs w:val="22"/>
          <w14:ligatures w14:val="standardContextual"/>
        </w:rPr>
      </w:pPr>
      <w:hyperlink w:anchor="_Toc183137380" w:history="1">
        <w:r w:rsidR="00A25794" w:rsidRPr="0032590D">
          <w:rPr>
            <w:rStyle w:val="Hyperlink"/>
          </w:rPr>
          <w:t>Maintaining social inclusion</w:t>
        </w:r>
        <w:r w:rsidR="00A25794" w:rsidRPr="0032590D">
          <w:rPr>
            <w:webHidden/>
          </w:rPr>
          <w:tab/>
        </w:r>
        <w:r w:rsidR="00A25794" w:rsidRPr="0032590D">
          <w:rPr>
            <w:webHidden/>
          </w:rPr>
          <w:fldChar w:fldCharType="begin"/>
        </w:r>
        <w:r w:rsidR="00A25794" w:rsidRPr="0032590D">
          <w:rPr>
            <w:webHidden/>
          </w:rPr>
          <w:instrText xml:space="preserve"> PAGEREF _Toc183137380 \h </w:instrText>
        </w:r>
        <w:r w:rsidR="00A25794" w:rsidRPr="0032590D">
          <w:rPr>
            <w:webHidden/>
          </w:rPr>
        </w:r>
        <w:r w:rsidR="00A25794" w:rsidRPr="0032590D">
          <w:rPr>
            <w:webHidden/>
          </w:rPr>
          <w:fldChar w:fldCharType="separate"/>
        </w:r>
        <w:r w:rsidR="00A621C3">
          <w:rPr>
            <w:webHidden/>
          </w:rPr>
          <w:t>10</w:t>
        </w:r>
        <w:r w:rsidR="00A25794" w:rsidRPr="0032590D">
          <w:rPr>
            <w:webHidden/>
          </w:rPr>
          <w:fldChar w:fldCharType="end"/>
        </w:r>
      </w:hyperlink>
    </w:p>
    <w:p w14:paraId="2E3397C3" w14:textId="54B3CAB7" w:rsidR="00A25794" w:rsidRPr="0032590D" w:rsidRDefault="004205F2">
      <w:pPr>
        <w:pStyle w:val="TOC2"/>
        <w:rPr>
          <w:rFonts w:asciiTheme="minorHAnsi" w:eastAsiaTheme="minorEastAsia" w:hAnsiTheme="minorHAnsi" w:cstheme="minorBidi"/>
          <w:color w:val="auto"/>
          <w:kern w:val="2"/>
          <w:szCs w:val="22"/>
          <w14:ligatures w14:val="standardContextual"/>
        </w:rPr>
      </w:pPr>
      <w:hyperlink w:anchor="_Toc183137381" w:history="1">
        <w:r w:rsidR="00A25794" w:rsidRPr="0032590D">
          <w:rPr>
            <w:rStyle w:val="Hyperlink"/>
          </w:rPr>
          <w:t>Providing reliability during outages of digital payment systems</w:t>
        </w:r>
        <w:r w:rsidR="00A25794" w:rsidRPr="0032590D">
          <w:rPr>
            <w:webHidden/>
          </w:rPr>
          <w:tab/>
        </w:r>
        <w:r w:rsidR="00A25794" w:rsidRPr="0032590D">
          <w:rPr>
            <w:webHidden/>
          </w:rPr>
          <w:fldChar w:fldCharType="begin"/>
        </w:r>
        <w:r w:rsidR="00A25794" w:rsidRPr="0032590D">
          <w:rPr>
            <w:webHidden/>
          </w:rPr>
          <w:instrText xml:space="preserve"> PAGEREF _Toc183137381 \h </w:instrText>
        </w:r>
        <w:r w:rsidR="00A25794" w:rsidRPr="0032590D">
          <w:rPr>
            <w:webHidden/>
          </w:rPr>
        </w:r>
        <w:r w:rsidR="00A25794" w:rsidRPr="0032590D">
          <w:rPr>
            <w:webHidden/>
          </w:rPr>
          <w:fldChar w:fldCharType="separate"/>
        </w:r>
        <w:r w:rsidR="00A621C3">
          <w:rPr>
            <w:webHidden/>
          </w:rPr>
          <w:t>11</w:t>
        </w:r>
        <w:r w:rsidR="00A25794" w:rsidRPr="0032590D">
          <w:rPr>
            <w:webHidden/>
          </w:rPr>
          <w:fldChar w:fldCharType="end"/>
        </w:r>
      </w:hyperlink>
    </w:p>
    <w:p w14:paraId="0C51EE35" w14:textId="67923623" w:rsidR="00A25794" w:rsidRPr="0032590D" w:rsidRDefault="004205F2">
      <w:pPr>
        <w:pStyle w:val="TOC2"/>
        <w:rPr>
          <w:rFonts w:asciiTheme="minorHAnsi" w:eastAsiaTheme="minorEastAsia" w:hAnsiTheme="minorHAnsi" w:cstheme="minorBidi"/>
          <w:color w:val="auto"/>
          <w:kern w:val="2"/>
          <w:szCs w:val="22"/>
          <w14:ligatures w14:val="standardContextual"/>
        </w:rPr>
      </w:pPr>
      <w:hyperlink w:anchor="_Toc183137382" w:history="1">
        <w:r w:rsidR="00A25794" w:rsidRPr="0032590D">
          <w:rPr>
            <w:rStyle w:val="Hyperlink"/>
          </w:rPr>
          <w:t>Privacy, safety and trust</w:t>
        </w:r>
        <w:r w:rsidR="00A25794" w:rsidRPr="0032590D">
          <w:rPr>
            <w:webHidden/>
          </w:rPr>
          <w:tab/>
        </w:r>
        <w:r w:rsidR="00A25794" w:rsidRPr="0032590D">
          <w:rPr>
            <w:webHidden/>
          </w:rPr>
          <w:fldChar w:fldCharType="begin"/>
        </w:r>
        <w:r w:rsidR="00A25794" w:rsidRPr="0032590D">
          <w:rPr>
            <w:webHidden/>
          </w:rPr>
          <w:instrText xml:space="preserve"> PAGEREF _Toc183137382 \h </w:instrText>
        </w:r>
        <w:r w:rsidR="00A25794" w:rsidRPr="0032590D">
          <w:rPr>
            <w:webHidden/>
          </w:rPr>
        </w:r>
        <w:r w:rsidR="00A25794" w:rsidRPr="0032590D">
          <w:rPr>
            <w:webHidden/>
          </w:rPr>
          <w:fldChar w:fldCharType="separate"/>
        </w:r>
        <w:r w:rsidR="00A621C3">
          <w:rPr>
            <w:webHidden/>
          </w:rPr>
          <w:t>13</w:t>
        </w:r>
        <w:r w:rsidR="00A25794" w:rsidRPr="0032590D">
          <w:rPr>
            <w:webHidden/>
          </w:rPr>
          <w:fldChar w:fldCharType="end"/>
        </w:r>
      </w:hyperlink>
    </w:p>
    <w:p w14:paraId="3E2C1CFA" w14:textId="333EDA16" w:rsidR="00A25794" w:rsidRPr="0032590D" w:rsidRDefault="004205F2">
      <w:pPr>
        <w:pStyle w:val="TOC2"/>
        <w:rPr>
          <w:rFonts w:asciiTheme="minorHAnsi" w:eastAsiaTheme="minorEastAsia" w:hAnsiTheme="minorHAnsi" w:cstheme="minorBidi"/>
          <w:color w:val="auto"/>
          <w:kern w:val="2"/>
          <w:szCs w:val="22"/>
          <w14:ligatures w14:val="standardContextual"/>
        </w:rPr>
      </w:pPr>
      <w:hyperlink w:anchor="_Toc183137383" w:history="1">
        <w:r w:rsidR="00A25794" w:rsidRPr="0032590D">
          <w:rPr>
            <w:rStyle w:val="Hyperlink"/>
          </w:rPr>
          <w:t>Budgeting</w:t>
        </w:r>
        <w:r w:rsidR="00A25794" w:rsidRPr="0032590D">
          <w:rPr>
            <w:webHidden/>
          </w:rPr>
          <w:tab/>
        </w:r>
        <w:r w:rsidR="00A25794" w:rsidRPr="0032590D">
          <w:rPr>
            <w:webHidden/>
          </w:rPr>
          <w:fldChar w:fldCharType="begin"/>
        </w:r>
        <w:r w:rsidR="00A25794" w:rsidRPr="0032590D">
          <w:rPr>
            <w:webHidden/>
          </w:rPr>
          <w:instrText xml:space="preserve"> PAGEREF _Toc183137383 \h </w:instrText>
        </w:r>
        <w:r w:rsidR="00A25794" w:rsidRPr="0032590D">
          <w:rPr>
            <w:webHidden/>
          </w:rPr>
        </w:r>
        <w:r w:rsidR="00A25794" w:rsidRPr="0032590D">
          <w:rPr>
            <w:webHidden/>
          </w:rPr>
          <w:fldChar w:fldCharType="separate"/>
        </w:r>
        <w:r w:rsidR="00A621C3">
          <w:rPr>
            <w:webHidden/>
          </w:rPr>
          <w:t>14</w:t>
        </w:r>
        <w:r w:rsidR="00A25794" w:rsidRPr="0032590D">
          <w:rPr>
            <w:webHidden/>
          </w:rPr>
          <w:fldChar w:fldCharType="end"/>
        </w:r>
      </w:hyperlink>
    </w:p>
    <w:p w14:paraId="3D6085BA" w14:textId="1FDBCC28" w:rsidR="00A25794" w:rsidRPr="0032590D" w:rsidRDefault="004205F2">
      <w:pPr>
        <w:pStyle w:val="TOC1"/>
        <w:rPr>
          <w:rFonts w:asciiTheme="minorHAnsi" w:eastAsiaTheme="minorEastAsia" w:hAnsiTheme="minorHAnsi" w:cstheme="minorBidi"/>
          <w:b w:val="0"/>
          <w:color w:val="auto"/>
          <w:kern w:val="2"/>
          <w14:ligatures w14:val="standardContextual"/>
        </w:rPr>
      </w:pPr>
      <w:hyperlink w:anchor="_Toc183137384" w:history="1">
        <w:r w:rsidR="00A25794" w:rsidRPr="0032590D">
          <w:rPr>
            <w:rStyle w:val="Hyperlink"/>
          </w:rPr>
          <w:t>Chapter 3: Cash mandate scope and application</w:t>
        </w:r>
        <w:r w:rsidR="00A25794" w:rsidRPr="0032590D">
          <w:rPr>
            <w:webHidden/>
          </w:rPr>
          <w:tab/>
        </w:r>
        <w:r w:rsidR="00A25794" w:rsidRPr="0032590D">
          <w:rPr>
            <w:webHidden/>
          </w:rPr>
          <w:fldChar w:fldCharType="begin"/>
        </w:r>
        <w:r w:rsidR="00A25794" w:rsidRPr="0032590D">
          <w:rPr>
            <w:webHidden/>
          </w:rPr>
          <w:instrText xml:space="preserve"> PAGEREF _Toc183137384 \h </w:instrText>
        </w:r>
        <w:r w:rsidR="00A25794" w:rsidRPr="0032590D">
          <w:rPr>
            <w:webHidden/>
          </w:rPr>
        </w:r>
        <w:r w:rsidR="00A25794" w:rsidRPr="0032590D">
          <w:rPr>
            <w:webHidden/>
          </w:rPr>
          <w:fldChar w:fldCharType="separate"/>
        </w:r>
        <w:r w:rsidR="00A621C3">
          <w:rPr>
            <w:webHidden/>
          </w:rPr>
          <w:t>15</w:t>
        </w:r>
        <w:r w:rsidR="00A25794" w:rsidRPr="0032590D">
          <w:rPr>
            <w:webHidden/>
          </w:rPr>
          <w:fldChar w:fldCharType="end"/>
        </w:r>
      </w:hyperlink>
    </w:p>
    <w:p w14:paraId="3AF7016B" w14:textId="350E2D6A" w:rsidR="00A25794" w:rsidRPr="0032590D" w:rsidRDefault="004205F2">
      <w:pPr>
        <w:pStyle w:val="TOC2"/>
        <w:rPr>
          <w:rFonts w:asciiTheme="minorHAnsi" w:eastAsiaTheme="minorEastAsia" w:hAnsiTheme="minorHAnsi" w:cstheme="minorBidi"/>
          <w:color w:val="auto"/>
          <w:kern w:val="2"/>
          <w:szCs w:val="22"/>
          <w14:ligatures w14:val="standardContextual"/>
        </w:rPr>
      </w:pPr>
      <w:hyperlink w:anchor="_Toc183137385" w:history="1">
        <w:r w:rsidR="00A25794" w:rsidRPr="0032590D">
          <w:rPr>
            <w:rStyle w:val="Hyperlink"/>
          </w:rPr>
          <w:t>Overview</w:t>
        </w:r>
        <w:r w:rsidR="00A25794" w:rsidRPr="0032590D">
          <w:rPr>
            <w:webHidden/>
          </w:rPr>
          <w:tab/>
        </w:r>
        <w:r w:rsidR="00A25794" w:rsidRPr="0032590D">
          <w:rPr>
            <w:webHidden/>
          </w:rPr>
          <w:fldChar w:fldCharType="begin"/>
        </w:r>
        <w:r w:rsidR="00A25794" w:rsidRPr="0032590D">
          <w:rPr>
            <w:webHidden/>
          </w:rPr>
          <w:instrText xml:space="preserve"> PAGEREF _Toc183137385 \h </w:instrText>
        </w:r>
        <w:r w:rsidR="00A25794" w:rsidRPr="0032590D">
          <w:rPr>
            <w:webHidden/>
          </w:rPr>
        </w:r>
        <w:r w:rsidR="00A25794" w:rsidRPr="0032590D">
          <w:rPr>
            <w:webHidden/>
          </w:rPr>
          <w:fldChar w:fldCharType="separate"/>
        </w:r>
        <w:r w:rsidR="00A621C3">
          <w:rPr>
            <w:webHidden/>
          </w:rPr>
          <w:t>15</w:t>
        </w:r>
        <w:r w:rsidR="00A25794" w:rsidRPr="0032590D">
          <w:rPr>
            <w:webHidden/>
          </w:rPr>
          <w:fldChar w:fldCharType="end"/>
        </w:r>
      </w:hyperlink>
    </w:p>
    <w:p w14:paraId="30FE3F56" w14:textId="6BE0BC96" w:rsidR="00A25794" w:rsidRPr="0032590D" w:rsidRDefault="004205F2">
      <w:pPr>
        <w:pStyle w:val="TOC2"/>
        <w:rPr>
          <w:rFonts w:asciiTheme="minorHAnsi" w:eastAsiaTheme="minorEastAsia" w:hAnsiTheme="minorHAnsi" w:cstheme="minorBidi"/>
          <w:color w:val="auto"/>
          <w:kern w:val="2"/>
          <w:szCs w:val="22"/>
          <w14:ligatures w14:val="standardContextual"/>
        </w:rPr>
      </w:pPr>
      <w:hyperlink w:anchor="_Toc183137386" w:history="1">
        <w:r w:rsidR="00A25794" w:rsidRPr="0032590D">
          <w:rPr>
            <w:rStyle w:val="Hyperlink"/>
          </w:rPr>
          <w:t>A corporation in trade or commerce</w:t>
        </w:r>
        <w:r w:rsidR="00A25794" w:rsidRPr="0032590D">
          <w:rPr>
            <w:webHidden/>
          </w:rPr>
          <w:tab/>
        </w:r>
        <w:r w:rsidR="00A25794" w:rsidRPr="0032590D">
          <w:rPr>
            <w:webHidden/>
          </w:rPr>
          <w:fldChar w:fldCharType="begin"/>
        </w:r>
        <w:r w:rsidR="00A25794" w:rsidRPr="0032590D">
          <w:rPr>
            <w:webHidden/>
          </w:rPr>
          <w:instrText xml:space="preserve"> PAGEREF _Toc183137386 \h </w:instrText>
        </w:r>
        <w:r w:rsidR="00A25794" w:rsidRPr="0032590D">
          <w:rPr>
            <w:webHidden/>
          </w:rPr>
        </w:r>
        <w:r w:rsidR="00A25794" w:rsidRPr="0032590D">
          <w:rPr>
            <w:webHidden/>
          </w:rPr>
          <w:fldChar w:fldCharType="separate"/>
        </w:r>
        <w:r w:rsidR="00A621C3">
          <w:rPr>
            <w:webHidden/>
          </w:rPr>
          <w:t>15</w:t>
        </w:r>
        <w:r w:rsidR="00A25794" w:rsidRPr="0032590D">
          <w:rPr>
            <w:webHidden/>
          </w:rPr>
          <w:fldChar w:fldCharType="end"/>
        </w:r>
      </w:hyperlink>
    </w:p>
    <w:p w14:paraId="24D09B70" w14:textId="1B8F019F" w:rsidR="00A25794" w:rsidRPr="0032590D" w:rsidRDefault="004205F2">
      <w:pPr>
        <w:pStyle w:val="TOC2"/>
        <w:rPr>
          <w:rFonts w:asciiTheme="minorHAnsi" w:eastAsiaTheme="minorEastAsia" w:hAnsiTheme="minorHAnsi" w:cstheme="minorBidi"/>
          <w:color w:val="auto"/>
          <w:kern w:val="2"/>
          <w:szCs w:val="22"/>
          <w14:ligatures w14:val="standardContextual"/>
        </w:rPr>
      </w:pPr>
      <w:hyperlink w:anchor="_Toc183137387" w:history="1">
        <w:r w:rsidR="00A25794" w:rsidRPr="0032590D">
          <w:rPr>
            <w:rStyle w:val="Hyperlink"/>
          </w:rPr>
          <w:t>Supplies an essential good or service to a consumer</w:t>
        </w:r>
        <w:r w:rsidR="00A25794" w:rsidRPr="0032590D">
          <w:rPr>
            <w:webHidden/>
          </w:rPr>
          <w:tab/>
        </w:r>
        <w:r w:rsidR="00A25794" w:rsidRPr="0032590D">
          <w:rPr>
            <w:webHidden/>
          </w:rPr>
          <w:fldChar w:fldCharType="begin"/>
        </w:r>
        <w:r w:rsidR="00A25794" w:rsidRPr="0032590D">
          <w:rPr>
            <w:webHidden/>
          </w:rPr>
          <w:instrText xml:space="preserve"> PAGEREF _Toc183137387 \h </w:instrText>
        </w:r>
        <w:r w:rsidR="00A25794" w:rsidRPr="0032590D">
          <w:rPr>
            <w:webHidden/>
          </w:rPr>
        </w:r>
        <w:r w:rsidR="00A25794" w:rsidRPr="0032590D">
          <w:rPr>
            <w:webHidden/>
          </w:rPr>
          <w:fldChar w:fldCharType="separate"/>
        </w:r>
        <w:r w:rsidR="00A621C3">
          <w:rPr>
            <w:webHidden/>
          </w:rPr>
          <w:t>16</w:t>
        </w:r>
        <w:r w:rsidR="00A25794" w:rsidRPr="0032590D">
          <w:rPr>
            <w:webHidden/>
          </w:rPr>
          <w:fldChar w:fldCharType="end"/>
        </w:r>
      </w:hyperlink>
    </w:p>
    <w:p w14:paraId="71E7DF51" w14:textId="5DF035B6" w:rsidR="00A25794" w:rsidRPr="0032590D" w:rsidRDefault="004205F2">
      <w:pPr>
        <w:pStyle w:val="TOC2"/>
        <w:rPr>
          <w:rFonts w:asciiTheme="minorHAnsi" w:eastAsiaTheme="minorEastAsia" w:hAnsiTheme="minorHAnsi" w:cstheme="minorBidi"/>
          <w:color w:val="auto"/>
          <w:kern w:val="2"/>
          <w:szCs w:val="22"/>
          <w14:ligatures w14:val="standardContextual"/>
        </w:rPr>
      </w:pPr>
      <w:hyperlink w:anchor="_Toc183137388" w:history="1">
        <w:r w:rsidR="00A25794" w:rsidRPr="0032590D">
          <w:rPr>
            <w:rStyle w:val="Hyperlink"/>
          </w:rPr>
          <w:t>Offers in-person payment</w:t>
        </w:r>
        <w:r w:rsidR="00A25794" w:rsidRPr="0032590D">
          <w:rPr>
            <w:webHidden/>
          </w:rPr>
          <w:tab/>
        </w:r>
        <w:r w:rsidR="00A25794" w:rsidRPr="0032590D">
          <w:rPr>
            <w:webHidden/>
          </w:rPr>
          <w:fldChar w:fldCharType="begin"/>
        </w:r>
        <w:r w:rsidR="00A25794" w:rsidRPr="0032590D">
          <w:rPr>
            <w:webHidden/>
          </w:rPr>
          <w:instrText xml:space="preserve"> PAGEREF _Toc183137388 \h </w:instrText>
        </w:r>
        <w:r w:rsidR="00A25794" w:rsidRPr="0032590D">
          <w:rPr>
            <w:webHidden/>
          </w:rPr>
        </w:r>
        <w:r w:rsidR="00A25794" w:rsidRPr="0032590D">
          <w:rPr>
            <w:webHidden/>
          </w:rPr>
          <w:fldChar w:fldCharType="separate"/>
        </w:r>
        <w:r w:rsidR="00A621C3">
          <w:rPr>
            <w:webHidden/>
          </w:rPr>
          <w:t>19</w:t>
        </w:r>
        <w:r w:rsidR="00A25794" w:rsidRPr="0032590D">
          <w:rPr>
            <w:webHidden/>
          </w:rPr>
          <w:fldChar w:fldCharType="end"/>
        </w:r>
      </w:hyperlink>
    </w:p>
    <w:p w14:paraId="676F1924" w14:textId="151B9A82" w:rsidR="00A25794" w:rsidRPr="0032590D" w:rsidRDefault="004205F2">
      <w:pPr>
        <w:pStyle w:val="TOC2"/>
        <w:rPr>
          <w:rFonts w:asciiTheme="minorHAnsi" w:eastAsiaTheme="minorEastAsia" w:hAnsiTheme="minorHAnsi" w:cstheme="minorBidi"/>
          <w:color w:val="auto"/>
          <w:kern w:val="2"/>
          <w:szCs w:val="22"/>
          <w14:ligatures w14:val="standardContextual"/>
        </w:rPr>
      </w:pPr>
      <w:hyperlink w:anchor="_Toc183137389" w:history="1">
        <w:r w:rsidR="00A25794" w:rsidRPr="0032590D">
          <w:rPr>
            <w:rStyle w:val="Hyperlink"/>
          </w:rPr>
          <w:t>Is not an exempt small business</w:t>
        </w:r>
        <w:r w:rsidR="00A25794" w:rsidRPr="0032590D">
          <w:rPr>
            <w:webHidden/>
          </w:rPr>
          <w:tab/>
        </w:r>
        <w:r w:rsidR="00A25794" w:rsidRPr="0032590D">
          <w:rPr>
            <w:webHidden/>
          </w:rPr>
          <w:fldChar w:fldCharType="begin"/>
        </w:r>
        <w:r w:rsidR="00A25794" w:rsidRPr="0032590D">
          <w:rPr>
            <w:webHidden/>
          </w:rPr>
          <w:instrText xml:space="preserve"> PAGEREF _Toc183137389 \h </w:instrText>
        </w:r>
        <w:r w:rsidR="00A25794" w:rsidRPr="0032590D">
          <w:rPr>
            <w:webHidden/>
          </w:rPr>
        </w:r>
        <w:r w:rsidR="00A25794" w:rsidRPr="0032590D">
          <w:rPr>
            <w:webHidden/>
          </w:rPr>
          <w:fldChar w:fldCharType="separate"/>
        </w:r>
        <w:r w:rsidR="00A621C3">
          <w:rPr>
            <w:webHidden/>
          </w:rPr>
          <w:t>20</w:t>
        </w:r>
        <w:r w:rsidR="00A25794" w:rsidRPr="0032590D">
          <w:rPr>
            <w:webHidden/>
          </w:rPr>
          <w:fldChar w:fldCharType="end"/>
        </w:r>
      </w:hyperlink>
    </w:p>
    <w:p w14:paraId="2C245784" w14:textId="19B660C7" w:rsidR="00A25794" w:rsidRPr="0032590D" w:rsidRDefault="004205F2">
      <w:pPr>
        <w:pStyle w:val="TOC2"/>
        <w:rPr>
          <w:rFonts w:asciiTheme="minorHAnsi" w:eastAsiaTheme="minorEastAsia" w:hAnsiTheme="minorHAnsi" w:cstheme="minorBidi"/>
          <w:color w:val="auto"/>
          <w:kern w:val="2"/>
          <w:szCs w:val="22"/>
          <w14:ligatures w14:val="standardContextual"/>
        </w:rPr>
      </w:pPr>
      <w:hyperlink w:anchor="_Toc183137390" w:history="1">
        <w:r w:rsidR="00A25794" w:rsidRPr="0032590D">
          <w:rPr>
            <w:rStyle w:val="Hyperlink"/>
          </w:rPr>
          <w:t>Must accept cash payment</w:t>
        </w:r>
        <w:r w:rsidR="00A25794" w:rsidRPr="0032590D">
          <w:rPr>
            <w:webHidden/>
          </w:rPr>
          <w:tab/>
        </w:r>
        <w:r w:rsidR="00A25794" w:rsidRPr="0032590D">
          <w:rPr>
            <w:webHidden/>
          </w:rPr>
          <w:fldChar w:fldCharType="begin"/>
        </w:r>
        <w:r w:rsidR="00A25794" w:rsidRPr="0032590D">
          <w:rPr>
            <w:webHidden/>
          </w:rPr>
          <w:instrText xml:space="preserve"> PAGEREF _Toc183137390 \h </w:instrText>
        </w:r>
        <w:r w:rsidR="00A25794" w:rsidRPr="0032590D">
          <w:rPr>
            <w:webHidden/>
          </w:rPr>
        </w:r>
        <w:r w:rsidR="00A25794" w:rsidRPr="0032590D">
          <w:rPr>
            <w:webHidden/>
          </w:rPr>
          <w:fldChar w:fldCharType="separate"/>
        </w:r>
        <w:r w:rsidR="00A621C3">
          <w:rPr>
            <w:webHidden/>
          </w:rPr>
          <w:t>21</w:t>
        </w:r>
        <w:r w:rsidR="00A25794" w:rsidRPr="0032590D">
          <w:rPr>
            <w:webHidden/>
          </w:rPr>
          <w:fldChar w:fldCharType="end"/>
        </w:r>
      </w:hyperlink>
    </w:p>
    <w:p w14:paraId="093E29D7" w14:textId="3D9FF16C" w:rsidR="00A25794" w:rsidRPr="0032590D" w:rsidRDefault="004205F2">
      <w:pPr>
        <w:pStyle w:val="TOC2"/>
        <w:rPr>
          <w:rFonts w:asciiTheme="minorHAnsi" w:eastAsiaTheme="minorEastAsia" w:hAnsiTheme="minorHAnsi" w:cstheme="minorBidi"/>
          <w:color w:val="auto"/>
          <w:kern w:val="2"/>
          <w:szCs w:val="22"/>
          <w14:ligatures w14:val="standardContextual"/>
        </w:rPr>
      </w:pPr>
      <w:hyperlink w:anchor="_Toc183137391" w:history="1">
        <w:r w:rsidR="00A25794" w:rsidRPr="0032590D">
          <w:rPr>
            <w:rStyle w:val="Hyperlink"/>
          </w:rPr>
          <w:t>Impact examples</w:t>
        </w:r>
        <w:r w:rsidR="00A25794" w:rsidRPr="0032590D">
          <w:rPr>
            <w:webHidden/>
          </w:rPr>
          <w:tab/>
        </w:r>
        <w:r w:rsidR="00A25794" w:rsidRPr="0032590D">
          <w:rPr>
            <w:webHidden/>
          </w:rPr>
          <w:fldChar w:fldCharType="begin"/>
        </w:r>
        <w:r w:rsidR="00A25794" w:rsidRPr="0032590D">
          <w:rPr>
            <w:webHidden/>
          </w:rPr>
          <w:instrText xml:space="preserve"> PAGEREF _Toc183137391 \h </w:instrText>
        </w:r>
        <w:r w:rsidR="00A25794" w:rsidRPr="0032590D">
          <w:rPr>
            <w:webHidden/>
          </w:rPr>
        </w:r>
        <w:r w:rsidR="00A25794" w:rsidRPr="0032590D">
          <w:rPr>
            <w:webHidden/>
          </w:rPr>
          <w:fldChar w:fldCharType="separate"/>
        </w:r>
        <w:r w:rsidR="00A621C3">
          <w:rPr>
            <w:webHidden/>
          </w:rPr>
          <w:t>22</w:t>
        </w:r>
        <w:r w:rsidR="00A25794" w:rsidRPr="0032590D">
          <w:rPr>
            <w:webHidden/>
          </w:rPr>
          <w:fldChar w:fldCharType="end"/>
        </w:r>
      </w:hyperlink>
    </w:p>
    <w:p w14:paraId="30D7CA23" w14:textId="083CE20E" w:rsidR="00A25794" w:rsidRPr="0032590D" w:rsidRDefault="004205F2">
      <w:pPr>
        <w:pStyle w:val="TOC1"/>
        <w:rPr>
          <w:rFonts w:asciiTheme="minorHAnsi" w:eastAsiaTheme="minorEastAsia" w:hAnsiTheme="minorHAnsi" w:cstheme="minorBidi"/>
          <w:b w:val="0"/>
          <w:color w:val="auto"/>
          <w:kern w:val="2"/>
          <w14:ligatures w14:val="standardContextual"/>
        </w:rPr>
      </w:pPr>
      <w:hyperlink w:anchor="_Toc183137392" w:history="1">
        <w:r w:rsidR="00A25794" w:rsidRPr="0032590D">
          <w:rPr>
            <w:rStyle w:val="Hyperlink"/>
          </w:rPr>
          <w:t>Chapter 4: Measures to support the mandate</w:t>
        </w:r>
        <w:r w:rsidR="00A25794" w:rsidRPr="0032590D">
          <w:rPr>
            <w:webHidden/>
          </w:rPr>
          <w:tab/>
        </w:r>
        <w:r w:rsidR="00A25794" w:rsidRPr="0032590D">
          <w:rPr>
            <w:webHidden/>
          </w:rPr>
          <w:fldChar w:fldCharType="begin"/>
        </w:r>
        <w:r w:rsidR="00A25794" w:rsidRPr="0032590D">
          <w:rPr>
            <w:webHidden/>
          </w:rPr>
          <w:instrText xml:space="preserve"> PAGEREF _Toc183137392 \h </w:instrText>
        </w:r>
        <w:r w:rsidR="00A25794" w:rsidRPr="0032590D">
          <w:rPr>
            <w:webHidden/>
          </w:rPr>
        </w:r>
        <w:r w:rsidR="00A25794" w:rsidRPr="0032590D">
          <w:rPr>
            <w:webHidden/>
          </w:rPr>
          <w:fldChar w:fldCharType="separate"/>
        </w:r>
        <w:r w:rsidR="00A621C3">
          <w:rPr>
            <w:webHidden/>
          </w:rPr>
          <w:t>24</w:t>
        </w:r>
        <w:r w:rsidR="00A25794" w:rsidRPr="0032590D">
          <w:rPr>
            <w:webHidden/>
          </w:rPr>
          <w:fldChar w:fldCharType="end"/>
        </w:r>
      </w:hyperlink>
    </w:p>
    <w:p w14:paraId="617280EC" w14:textId="2B4F4A07" w:rsidR="00A25794" w:rsidRPr="0032590D" w:rsidRDefault="004205F2">
      <w:pPr>
        <w:pStyle w:val="TOC2"/>
        <w:rPr>
          <w:rFonts w:asciiTheme="minorHAnsi" w:eastAsiaTheme="minorEastAsia" w:hAnsiTheme="minorHAnsi" w:cstheme="minorBidi"/>
          <w:color w:val="auto"/>
          <w:kern w:val="2"/>
          <w:szCs w:val="22"/>
          <w14:ligatures w14:val="standardContextual"/>
        </w:rPr>
      </w:pPr>
      <w:hyperlink w:anchor="_Toc183137393" w:history="1">
        <w:r w:rsidR="00A25794" w:rsidRPr="0032590D">
          <w:rPr>
            <w:rStyle w:val="Hyperlink"/>
          </w:rPr>
          <w:t>Overview</w:t>
        </w:r>
        <w:r w:rsidR="00A25794" w:rsidRPr="0032590D">
          <w:rPr>
            <w:webHidden/>
          </w:rPr>
          <w:tab/>
        </w:r>
        <w:r w:rsidR="00A25794" w:rsidRPr="0032590D">
          <w:rPr>
            <w:webHidden/>
          </w:rPr>
          <w:fldChar w:fldCharType="begin"/>
        </w:r>
        <w:r w:rsidR="00A25794" w:rsidRPr="0032590D">
          <w:rPr>
            <w:webHidden/>
          </w:rPr>
          <w:instrText xml:space="preserve"> PAGEREF _Toc183137393 \h </w:instrText>
        </w:r>
        <w:r w:rsidR="00A25794" w:rsidRPr="0032590D">
          <w:rPr>
            <w:webHidden/>
          </w:rPr>
        </w:r>
        <w:r w:rsidR="00A25794" w:rsidRPr="0032590D">
          <w:rPr>
            <w:webHidden/>
          </w:rPr>
          <w:fldChar w:fldCharType="separate"/>
        </w:r>
        <w:r w:rsidR="00A621C3">
          <w:rPr>
            <w:webHidden/>
          </w:rPr>
          <w:t>24</w:t>
        </w:r>
        <w:r w:rsidR="00A25794" w:rsidRPr="0032590D">
          <w:rPr>
            <w:webHidden/>
          </w:rPr>
          <w:fldChar w:fldCharType="end"/>
        </w:r>
      </w:hyperlink>
    </w:p>
    <w:p w14:paraId="00C8C045" w14:textId="3E8E5C07" w:rsidR="00A25794" w:rsidRPr="0032590D" w:rsidRDefault="004205F2">
      <w:pPr>
        <w:pStyle w:val="TOC2"/>
        <w:rPr>
          <w:rFonts w:asciiTheme="minorHAnsi" w:eastAsiaTheme="minorEastAsia" w:hAnsiTheme="minorHAnsi" w:cstheme="minorBidi"/>
          <w:color w:val="auto"/>
          <w:kern w:val="2"/>
          <w:szCs w:val="22"/>
          <w14:ligatures w14:val="standardContextual"/>
        </w:rPr>
      </w:pPr>
      <w:hyperlink w:anchor="_Toc183137394" w:history="1">
        <w:r w:rsidR="00A25794" w:rsidRPr="0032590D">
          <w:rPr>
            <w:rStyle w:val="Hyperlink"/>
          </w:rPr>
          <w:t>Promoting compliance with the mandate</w:t>
        </w:r>
        <w:r w:rsidR="00A25794" w:rsidRPr="0032590D">
          <w:rPr>
            <w:webHidden/>
          </w:rPr>
          <w:tab/>
        </w:r>
        <w:r w:rsidR="00A25794" w:rsidRPr="0032590D">
          <w:rPr>
            <w:webHidden/>
          </w:rPr>
          <w:fldChar w:fldCharType="begin"/>
        </w:r>
        <w:r w:rsidR="00A25794" w:rsidRPr="0032590D">
          <w:rPr>
            <w:webHidden/>
          </w:rPr>
          <w:instrText xml:space="preserve"> PAGEREF _Toc183137394 \h </w:instrText>
        </w:r>
        <w:r w:rsidR="00A25794" w:rsidRPr="0032590D">
          <w:rPr>
            <w:webHidden/>
          </w:rPr>
        </w:r>
        <w:r w:rsidR="00A25794" w:rsidRPr="0032590D">
          <w:rPr>
            <w:webHidden/>
          </w:rPr>
          <w:fldChar w:fldCharType="separate"/>
        </w:r>
        <w:r w:rsidR="00A621C3">
          <w:rPr>
            <w:webHidden/>
          </w:rPr>
          <w:t>24</w:t>
        </w:r>
        <w:r w:rsidR="00A25794" w:rsidRPr="0032590D">
          <w:rPr>
            <w:webHidden/>
          </w:rPr>
          <w:fldChar w:fldCharType="end"/>
        </w:r>
      </w:hyperlink>
    </w:p>
    <w:p w14:paraId="3084C513" w14:textId="587D481D" w:rsidR="00A25794" w:rsidRPr="0032590D" w:rsidRDefault="004205F2">
      <w:pPr>
        <w:pStyle w:val="TOC2"/>
        <w:rPr>
          <w:rFonts w:asciiTheme="minorHAnsi" w:eastAsiaTheme="minorEastAsia" w:hAnsiTheme="minorHAnsi" w:cstheme="minorBidi"/>
          <w:color w:val="auto"/>
          <w:kern w:val="2"/>
          <w:szCs w:val="22"/>
          <w14:ligatures w14:val="standardContextual"/>
        </w:rPr>
      </w:pPr>
      <w:hyperlink w:anchor="_Toc183137395" w:history="1">
        <w:r w:rsidR="00A25794" w:rsidRPr="0032590D">
          <w:rPr>
            <w:rStyle w:val="Hyperlink"/>
          </w:rPr>
          <w:t>Maintaining cash distribution and access</w:t>
        </w:r>
        <w:r w:rsidR="00A25794" w:rsidRPr="0032590D">
          <w:rPr>
            <w:webHidden/>
          </w:rPr>
          <w:tab/>
        </w:r>
        <w:r w:rsidR="00A25794" w:rsidRPr="0032590D">
          <w:rPr>
            <w:webHidden/>
          </w:rPr>
          <w:fldChar w:fldCharType="begin"/>
        </w:r>
        <w:r w:rsidR="00A25794" w:rsidRPr="0032590D">
          <w:rPr>
            <w:webHidden/>
          </w:rPr>
          <w:instrText xml:space="preserve"> PAGEREF _Toc183137395 \h </w:instrText>
        </w:r>
        <w:r w:rsidR="00A25794" w:rsidRPr="0032590D">
          <w:rPr>
            <w:webHidden/>
          </w:rPr>
        </w:r>
        <w:r w:rsidR="00A25794" w:rsidRPr="0032590D">
          <w:rPr>
            <w:webHidden/>
          </w:rPr>
          <w:fldChar w:fldCharType="separate"/>
        </w:r>
        <w:r w:rsidR="00A621C3">
          <w:rPr>
            <w:webHidden/>
          </w:rPr>
          <w:t>25</w:t>
        </w:r>
        <w:r w:rsidR="00A25794" w:rsidRPr="0032590D">
          <w:rPr>
            <w:webHidden/>
          </w:rPr>
          <w:fldChar w:fldCharType="end"/>
        </w:r>
      </w:hyperlink>
    </w:p>
    <w:p w14:paraId="7089319B" w14:textId="2DFB6A2B" w:rsidR="00A25794" w:rsidRPr="0032590D" w:rsidRDefault="004205F2">
      <w:pPr>
        <w:pStyle w:val="TOC2"/>
        <w:rPr>
          <w:rFonts w:asciiTheme="minorHAnsi" w:eastAsiaTheme="minorEastAsia" w:hAnsiTheme="minorHAnsi" w:cstheme="minorBidi"/>
          <w:color w:val="auto"/>
          <w:kern w:val="2"/>
          <w:szCs w:val="22"/>
          <w14:ligatures w14:val="standardContextual"/>
        </w:rPr>
      </w:pPr>
      <w:hyperlink w:anchor="_Toc183137396" w:history="1">
        <w:r w:rsidR="00A25794" w:rsidRPr="0032590D">
          <w:rPr>
            <w:rStyle w:val="Hyperlink"/>
          </w:rPr>
          <w:t>Providing for ongoing monitoring of scope and application</w:t>
        </w:r>
        <w:r w:rsidR="00A25794" w:rsidRPr="0032590D">
          <w:rPr>
            <w:webHidden/>
          </w:rPr>
          <w:tab/>
        </w:r>
        <w:r w:rsidR="00A25794" w:rsidRPr="0032590D">
          <w:rPr>
            <w:webHidden/>
          </w:rPr>
          <w:fldChar w:fldCharType="begin"/>
        </w:r>
        <w:r w:rsidR="00A25794" w:rsidRPr="0032590D">
          <w:rPr>
            <w:webHidden/>
          </w:rPr>
          <w:instrText xml:space="preserve"> PAGEREF _Toc183137396 \h </w:instrText>
        </w:r>
        <w:r w:rsidR="00A25794" w:rsidRPr="0032590D">
          <w:rPr>
            <w:webHidden/>
          </w:rPr>
        </w:r>
        <w:r w:rsidR="00A25794" w:rsidRPr="0032590D">
          <w:rPr>
            <w:webHidden/>
          </w:rPr>
          <w:fldChar w:fldCharType="separate"/>
        </w:r>
        <w:r w:rsidR="00A621C3">
          <w:rPr>
            <w:webHidden/>
          </w:rPr>
          <w:t>26</w:t>
        </w:r>
        <w:r w:rsidR="00A25794" w:rsidRPr="0032590D">
          <w:rPr>
            <w:webHidden/>
          </w:rPr>
          <w:fldChar w:fldCharType="end"/>
        </w:r>
      </w:hyperlink>
    </w:p>
    <w:p w14:paraId="5A410C7E" w14:textId="1BE539CD" w:rsidR="00A25794" w:rsidRPr="0032590D" w:rsidRDefault="004205F2">
      <w:pPr>
        <w:pStyle w:val="TOC1"/>
        <w:rPr>
          <w:rFonts w:asciiTheme="minorHAnsi" w:eastAsiaTheme="minorEastAsia" w:hAnsiTheme="minorHAnsi" w:cstheme="minorBidi"/>
          <w:b w:val="0"/>
          <w:color w:val="auto"/>
          <w:kern w:val="2"/>
          <w14:ligatures w14:val="standardContextual"/>
        </w:rPr>
      </w:pPr>
      <w:hyperlink w:anchor="_Toc183137397" w:history="1">
        <w:r w:rsidR="00A25794" w:rsidRPr="0032590D">
          <w:rPr>
            <w:rStyle w:val="Hyperlink"/>
          </w:rPr>
          <w:t>Chapter 5: Impacts and implementation</w:t>
        </w:r>
        <w:r w:rsidR="00A25794" w:rsidRPr="0032590D">
          <w:rPr>
            <w:webHidden/>
          </w:rPr>
          <w:tab/>
        </w:r>
        <w:r w:rsidR="00A25794" w:rsidRPr="0032590D">
          <w:rPr>
            <w:webHidden/>
          </w:rPr>
          <w:fldChar w:fldCharType="begin"/>
        </w:r>
        <w:r w:rsidR="00A25794" w:rsidRPr="0032590D">
          <w:rPr>
            <w:webHidden/>
          </w:rPr>
          <w:instrText xml:space="preserve"> PAGEREF _Toc183137397 \h </w:instrText>
        </w:r>
        <w:r w:rsidR="00A25794" w:rsidRPr="0032590D">
          <w:rPr>
            <w:webHidden/>
          </w:rPr>
        </w:r>
        <w:r w:rsidR="00A25794" w:rsidRPr="0032590D">
          <w:rPr>
            <w:webHidden/>
          </w:rPr>
          <w:fldChar w:fldCharType="separate"/>
        </w:r>
        <w:r w:rsidR="00A621C3">
          <w:rPr>
            <w:webHidden/>
          </w:rPr>
          <w:t>27</w:t>
        </w:r>
        <w:r w:rsidR="00A25794" w:rsidRPr="0032590D">
          <w:rPr>
            <w:webHidden/>
          </w:rPr>
          <w:fldChar w:fldCharType="end"/>
        </w:r>
      </w:hyperlink>
    </w:p>
    <w:p w14:paraId="0C8925B4" w14:textId="1612CE81" w:rsidR="00A25794" w:rsidRPr="0032590D" w:rsidRDefault="004205F2">
      <w:pPr>
        <w:pStyle w:val="TOC2"/>
        <w:rPr>
          <w:rFonts w:asciiTheme="minorHAnsi" w:eastAsiaTheme="minorEastAsia" w:hAnsiTheme="minorHAnsi" w:cstheme="minorBidi"/>
          <w:color w:val="auto"/>
          <w:kern w:val="2"/>
          <w:szCs w:val="22"/>
          <w14:ligatures w14:val="standardContextual"/>
        </w:rPr>
      </w:pPr>
      <w:hyperlink w:anchor="_Toc183137398" w:history="1">
        <w:r w:rsidR="00A25794" w:rsidRPr="0032590D">
          <w:rPr>
            <w:rStyle w:val="Hyperlink"/>
          </w:rPr>
          <w:t>Overview</w:t>
        </w:r>
        <w:r w:rsidR="00A25794" w:rsidRPr="0032590D">
          <w:rPr>
            <w:webHidden/>
          </w:rPr>
          <w:tab/>
        </w:r>
        <w:r w:rsidR="00A25794" w:rsidRPr="0032590D">
          <w:rPr>
            <w:webHidden/>
          </w:rPr>
          <w:fldChar w:fldCharType="begin"/>
        </w:r>
        <w:r w:rsidR="00A25794" w:rsidRPr="0032590D">
          <w:rPr>
            <w:webHidden/>
          </w:rPr>
          <w:instrText xml:space="preserve"> PAGEREF _Toc183137398 \h </w:instrText>
        </w:r>
        <w:r w:rsidR="00A25794" w:rsidRPr="0032590D">
          <w:rPr>
            <w:webHidden/>
          </w:rPr>
        </w:r>
        <w:r w:rsidR="00A25794" w:rsidRPr="0032590D">
          <w:rPr>
            <w:webHidden/>
          </w:rPr>
          <w:fldChar w:fldCharType="separate"/>
        </w:r>
        <w:r w:rsidR="00A621C3">
          <w:rPr>
            <w:webHidden/>
          </w:rPr>
          <w:t>27</w:t>
        </w:r>
        <w:r w:rsidR="00A25794" w:rsidRPr="0032590D">
          <w:rPr>
            <w:webHidden/>
          </w:rPr>
          <w:fldChar w:fldCharType="end"/>
        </w:r>
      </w:hyperlink>
    </w:p>
    <w:p w14:paraId="04781B66" w14:textId="1EB84D70" w:rsidR="00A25794" w:rsidRPr="0032590D" w:rsidRDefault="004205F2">
      <w:pPr>
        <w:pStyle w:val="TOC2"/>
        <w:rPr>
          <w:rFonts w:asciiTheme="minorHAnsi" w:eastAsiaTheme="minorEastAsia" w:hAnsiTheme="minorHAnsi" w:cstheme="minorBidi"/>
          <w:color w:val="auto"/>
          <w:kern w:val="2"/>
          <w:szCs w:val="22"/>
          <w14:ligatures w14:val="standardContextual"/>
        </w:rPr>
      </w:pPr>
      <w:hyperlink w:anchor="_Toc183137399" w:history="1">
        <w:r w:rsidR="00A25794" w:rsidRPr="0032590D">
          <w:rPr>
            <w:rStyle w:val="Hyperlink"/>
          </w:rPr>
          <w:t>Impact assessment</w:t>
        </w:r>
        <w:r w:rsidR="00A25794" w:rsidRPr="0032590D">
          <w:rPr>
            <w:webHidden/>
          </w:rPr>
          <w:tab/>
        </w:r>
        <w:r w:rsidR="00A25794" w:rsidRPr="0032590D">
          <w:rPr>
            <w:webHidden/>
          </w:rPr>
          <w:fldChar w:fldCharType="begin"/>
        </w:r>
        <w:r w:rsidR="00A25794" w:rsidRPr="0032590D">
          <w:rPr>
            <w:webHidden/>
          </w:rPr>
          <w:instrText xml:space="preserve"> PAGEREF _Toc183137399 \h </w:instrText>
        </w:r>
        <w:r w:rsidR="00A25794" w:rsidRPr="0032590D">
          <w:rPr>
            <w:webHidden/>
          </w:rPr>
        </w:r>
        <w:r w:rsidR="00A25794" w:rsidRPr="0032590D">
          <w:rPr>
            <w:webHidden/>
          </w:rPr>
          <w:fldChar w:fldCharType="separate"/>
        </w:r>
        <w:r w:rsidR="00A621C3">
          <w:rPr>
            <w:webHidden/>
          </w:rPr>
          <w:t>27</w:t>
        </w:r>
        <w:r w:rsidR="00A25794" w:rsidRPr="0032590D">
          <w:rPr>
            <w:webHidden/>
          </w:rPr>
          <w:fldChar w:fldCharType="end"/>
        </w:r>
      </w:hyperlink>
    </w:p>
    <w:p w14:paraId="0EBFC397" w14:textId="783D183C" w:rsidR="00A25794" w:rsidRPr="0032590D" w:rsidRDefault="004205F2">
      <w:pPr>
        <w:pStyle w:val="TOC2"/>
        <w:rPr>
          <w:rFonts w:asciiTheme="minorHAnsi" w:eastAsiaTheme="minorEastAsia" w:hAnsiTheme="minorHAnsi" w:cstheme="minorBidi"/>
          <w:color w:val="auto"/>
          <w:kern w:val="2"/>
          <w:szCs w:val="22"/>
          <w14:ligatures w14:val="standardContextual"/>
        </w:rPr>
      </w:pPr>
      <w:hyperlink w:anchor="_Toc183137400" w:history="1">
        <w:r w:rsidR="00A25794" w:rsidRPr="0032590D">
          <w:rPr>
            <w:rStyle w:val="Hyperlink"/>
          </w:rPr>
          <w:t>Implementation process</w:t>
        </w:r>
        <w:r w:rsidR="00A25794" w:rsidRPr="0032590D">
          <w:rPr>
            <w:webHidden/>
          </w:rPr>
          <w:tab/>
        </w:r>
        <w:r w:rsidR="00A25794" w:rsidRPr="0032590D">
          <w:rPr>
            <w:webHidden/>
          </w:rPr>
          <w:fldChar w:fldCharType="begin"/>
        </w:r>
        <w:r w:rsidR="00A25794" w:rsidRPr="0032590D">
          <w:rPr>
            <w:webHidden/>
          </w:rPr>
          <w:instrText xml:space="preserve"> PAGEREF _Toc183137400 \h </w:instrText>
        </w:r>
        <w:r w:rsidR="00A25794" w:rsidRPr="0032590D">
          <w:rPr>
            <w:webHidden/>
          </w:rPr>
        </w:r>
        <w:r w:rsidR="00A25794" w:rsidRPr="0032590D">
          <w:rPr>
            <w:webHidden/>
          </w:rPr>
          <w:fldChar w:fldCharType="separate"/>
        </w:r>
        <w:r w:rsidR="00A621C3">
          <w:rPr>
            <w:webHidden/>
          </w:rPr>
          <w:t>27</w:t>
        </w:r>
        <w:r w:rsidR="00A25794" w:rsidRPr="0032590D">
          <w:rPr>
            <w:webHidden/>
          </w:rPr>
          <w:fldChar w:fldCharType="end"/>
        </w:r>
      </w:hyperlink>
    </w:p>
    <w:p w14:paraId="6DBF3FC9" w14:textId="21EF1E6B" w:rsidR="00A25794" w:rsidRPr="0032590D" w:rsidRDefault="004205F2">
      <w:pPr>
        <w:pStyle w:val="TOC1"/>
        <w:rPr>
          <w:rFonts w:asciiTheme="minorHAnsi" w:eastAsiaTheme="minorEastAsia" w:hAnsiTheme="minorHAnsi" w:cstheme="minorBidi"/>
          <w:b w:val="0"/>
          <w:color w:val="auto"/>
          <w:kern w:val="2"/>
          <w14:ligatures w14:val="standardContextual"/>
        </w:rPr>
      </w:pPr>
      <w:hyperlink w:anchor="_Toc183137401" w:history="1">
        <w:r w:rsidR="00A25794" w:rsidRPr="0032590D">
          <w:rPr>
            <w:rStyle w:val="Hyperlink"/>
          </w:rPr>
          <w:t>Appendix A: Consultation Questions</w:t>
        </w:r>
        <w:r w:rsidR="00A25794" w:rsidRPr="0032590D">
          <w:rPr>
            <w:webHidden/>
          </w:rPr>
          <w:tab/>
        </w:r>
        <w:r w:rsidR="00A25794" w:rsidRPr="0032590D">
          <w:rPr>
            <w:webHidden/>
          </w:rPr>
          <w:fldChar w:fldCharType="begin"/>
        </w:r>
        <w:r w:rsidR="00A25794" w:rsidRPr="0032590D">
          <w:rPr>
            <w:webHidden/>
          </w:rPr>
          <w:instrText xml:space="preserve"> PAGEREF _Toc183137401 \h </w:instrText>
        </w:r>
        <w:r w:rsidR="00A25794" w:rsidRPr="0032590D">
          <w:rPr>
            <w:webHidden/>
          </w:rPr>
        </w:r>
        <w:r w:rsidR="00A25794" w:rsidRPr="0032590D">
          <w:rPr>
            <w:webHidden/>
          </w:rPr>
          <w:fldChar w:fldCharType="separate"/>
        </w:r>
        <w:r w:rsidR="00A621C3">
          <w:rPr>
            <w:webHidden/>
          </w:rPr>
          <w:t>29</w:t>
        </w:r>
        <w:r w:rsidR="00A25794" w:rsidRPr="0032590D">
          <w:rPr>
            <w:webHidden/>
          </w:rPr>
          <w:fldChar w:fldCharType="end"/>
        </w:r>
      </w:hyperlink>
    </w:p>
    <w:p w14:paraId="5CFEEA3E" w14:textId="4CCC2EA9" w:rsidR="00A25794" w:rsidRPr="0032590D" w:rsidRDefault="004205F2">
      <w:pPr>
        <w:pStyle w:val="TOC1"/>
        <w:rPr>
          <w:rFonts w:asciiTheme="minorHAnsi" w:eastAsiaTheme="minorEastAsia" w:hAnsiTheme="minorHAnsi" w:cstheme="minorBidi"/>
          <w:b w:val="0"/>
          <w:color w:val="auto"/>
          <w:kern w:val="2"/>
          <w14:ligatures w14:val="standardContextual"/>
        </w:rPr>
      </w:pPr>
      <w:hyperlink w:anchor="_Toc183137402" w:history="1">
        <w:r w:rsidR="00A25794" w:rsidRPr="0032590D">
          <w:rPr>
            <w:rStyle w:val="Hyperlink"/>
          </w:rPr>
          <w:t>Appendix B: Digital inclusion initiatives</w:t>
        </w:r>
        <w:r w:rsidR="00A25794" w:rsidRPr="0032590D">
          <w:rPr>
            <w:webHidden/>
          </w:rPr>
          <w:tab/>
        </w:r>
        <w:r w:rsidR="00A25794" w:rsidRPr="0032590D">
          <w:rPr>
            <w:webHidden/>
          </w:rPr>
          <w:fldChar w:fldCharType="begin"/>
        </w:r>
        <w:r w:rsidR="00A25794" w:rsidRPr="0032590D">
          <w:rPr>
            <w:webHidden/>
          </w:rPr>
          <w:instrText xml:space="preserve"> PAGEREF _Toc183137402 \h </w:instrText>
        </w:r>
        <w:r w:rsidR="00A25794" w:rsidRPr="0032590D">
          <w:rPr>
            <w:webHidden/>
          </w:rPr>
        </w:r>
        <w:r w:rsidR="00A25794" w:rsidRPr="0032590D">
          <w:rPr>
            <w:webHidden/>
          </w:rPr>
          <w:fldChar w:fldCharType="separate"/>
        </w:r>
        <w:r w:rsidR="00A621C3">
          <w:rPr>
            <w:webHidden/>
          </w:rPr>
          <w:t>30</w:t>
        </w:r>
        <w:r w:rsidR="00A25794" w:rsidRPr="0032590D">
          <w:rPr>
            <w:webHidden/>
          </w:rPr>
          <w:fldChar w:fldCharType="end"/>
        </w:r>
      </w:hyperlink>
    </w:p>
    <w:p w14:paraId="3A6D3FD7" w14:textId="00E22FB6" w:rsidR="00A25794" w:rsidRPr="0032590D" w:rsidRDefault="004205F2">
      <w:pPr>
        <w:pStyle w:val="TOC1"/>
        <w:rPr>
          <w:rFonts w:asciiTheme="minorHAnsi" w:eastAsiaTheme="minorEastAsia" w:hAnsiTheme="minorHAnsi" w:cstheme="minorBidi"/>
          <w:b w:val="0"/>
          <w:color w:val="auto"/>
          <w:kern w:val="2"/>
          <w14:ligatures w14:val="standardContextual"/>
        </w:rPr>
      </w:pPr>
      <w:hyperlink w:anchor="_Toc183137403" w:history="1">
        <w:r w:rsidR="00A25794" w:rsidRPr="0032590D">
          <w:rPr>
            <w:rStyle w:val="Hyperlink"/>
          </w:rPr>
          <w:t>Appendix C: CPI groups and components</w:t>
        </w:r>
        <w:r w:rsidR="00A25794" w:rsidRPr="0032590D">
          <w:rPr>
            <w:webHidden/>
          </w:rPr>
          <w:tab/>
        </w:r>
        <w:r w:rsidR="00A25794" w:rsidRPr="0032590D">
          <w:rPr>
            <w:webHidden/>
          </w:rPr>
          <w:fldChar w:fldCharType="begin"/>
        </w:r>
        <w:r w:rsidR="00A25794" w:rsidRPr="0032590D">
          <w:rPr>
            <w:webHidden/>
          </w:rPr>
          <w:instrText xml:space="preserve"> PAGEREF _Toc183137403 \h </w:instrText>
        </w:r>
        <w:r w:rsidR="00A25794" w:rsidRPr="0032590D">
          <w:rPr>
            <w:webHidden/>
          </w:rPr>
        </w:r>
        <w:r w:rsidR="00A25794" w:rsidRPr="0032590D">
          <w:rPr>
            <w:webHidden/>
          </w:rPr>
          <w:fldChar w:fldCharType="separate"/>
        </w:r>
        <w:r w:rsidR="00A621C3">
          <w:rPr>
            <w:webHidden/>
          </w:rPr>
          <w:t>31</w:t>
        </w:r>
        <w:r w:rsidR="00A25794" w:rsidRPr="0032590D">
          <w:rPr>
            <w:webHidden/>
          </w:rPr>
          <w:fldChar w:fldCharType="end"/>
        </w:r>
      </w:hyperlink>
    </w:p>
    <w:p w14:paraId="5D42EA73" w14:textId="0C36E37D" w:rsidR="004E3182" w:rsidRPr="0032590D" w:rsidRDefault="004358FC" w:rsidP="004E3182">
      <w:pPr>
        <w:pStyle w:val="SingleParagraph"/>
        <w:tabs>
          <w:tab w:val="right" w:leader="dot" w:pos="9072"/>
        </w:tabs>
        <w:ind w:right="-2"/>
        <w:rPr>
          <w:noProof/>
          <w:color w:val="004A7F"/>
          <w:szCs w:val="22"/>
        </w:rPr>
      </w:pPr>
      <w:r w:rsidRPr="0032590D">
        <w:rPr>
          <w:b/>
          <w:noProof/>
          <w:color w:val="004A7F"/>
          <w:szCs w:val="22"/>
        </w:rPr>
        <w:fldChar w:fldCharType="end"/>
      </w:r>
    </w:p>
    <w:p w14:paraId="7B8549E1" w14:textId="77777777" w:rsidR="00B500D3" w:rsidRPr="0032590D" w:rsidRDefault="00B500D3">
      <w:pPr>
        <w:spacing w:before="0" w:after="160" w:line="259" w:lineRule="auto"/>
        <w:rPr>
          <w:noProof/>
          <w:color w:val="004A7F"/>
          <w:szCs w:val="22"/>
        </w:rPr>
      </w:pPr>
      <w:r w:rsidRPr="0032590D">
        <w:rPr>
          <w:noProof/>
          <w:color w:val="004A7F"/>
          <w:szCs w:val="22"/>
        </w:rPr>
        <w:br w:type="page"/>
      </w:r>
    </w:p>
    <w:p w14:paraId="25871D13" w14:textId="79ED04DC" w:rsidR="009F7BB5" w:rsidRPr="0032590D" w:rsidRDefault="009F7BB5" w:rsidP="009F7BB5">
      <w:pPr>
        <w:pStyle w:val="Heading1"/>
      </w:pPr>
      <w:bookmarkStart w:id="6" w:name="_Toc183137371"/>
      <w:bookmarkStart w:id="7" w:name="_Toc181026631"/>
      <w:bookmarkStart w:id="8" w:name="_Toc181278090"/>
      <w:bookmarkStart w:id="9" w:name="_Toc181278088"/>
      <w:r w:rsidRPr="0032590D">
        <w:lastRenderedPageBreak/>
        <w:t>Consultation process</w:t>
      </w:r>
      <w:bookmarkEnd w:id="6"/>
    </w:p>
    <w:p w14:paraId="4B732CC1" w14:textId="77777777" w:rsidR="009F7BB5" w:rsidRPr="0032590D" w:rsidRDefault="009F7BB5" w:rsidP="009F7BB5">
      <w:pPr>
        <w:pStyle w:val="Heading2"/>
      </w:pPr>
      <w:bookmarkStart w:id="10" w:name="_Toc181026630"/>
      <w:bookmarkStart w:id="11" w:name="_Toc181278089"/>
      <w:bookmarkStart w:id="12" w:name="_Toc183137372"/>
      <w:r w:rsidRPr="0032590D">
        <w:t>Request for feedback and comments</w:t>
      </w:r>
      <w:bookmarkEnd w:id="10"/>
      <w:bookmarkEnd w:id="11"/>
      <w:bookmarkEnd w:id="12"/>
    </w:p>
    <w:p w14:paraId="1C88D390" w14:textId="3529B252" w:rsidR="009F7BB5" w:rsidRPr="0032590D" w:rsidRDefault="009F7BB5" w:rsidP="009F7BB5">
      <w:r w:rsidRPr="0032590D">
        <w:t>The purpose of this consultation paper is to seek comments on the Government’s intention to mandate that businesses supplying essential goods and services must accept cash as payment method</w:t>
      </w:r>
      <w:r w:rsidR="00362D32" w:rsidRPr="0032590D">
        <w:t xml:space="preserve">, with </w:t>
      </w:r>
      <w:r w:rsidR="00904F1E" w:rsidRPr="0032590D">
        <w:t>appropriate</w:t>
      </w:r>
      <w:r w:rsidR="00362D32" w:rsidRPr="0032590D">
        <w:t xml:space="preserve"> exemptions for small businesses</w:t>
      </w:r>
      <w:r w:rsidRPr="0032590D">
        <w:t xml:space="preserve">. Interested parties are invited to provide responses to one or more of the consultation questions outlined in this paper and comment on implementation considerations more generally. </w:t>
      </w:r>
    </w:p>
    <w:p w14:paraId="482900EC" w14:textId="77777777" w:rsidR="009F7BB5" w:rsidRPr="0032590D" w:rsidRDefault="009F7BB5" w:rsidP="009F7BB5">
      <w:r w:rsidRPr="0032590D">
        <w:t>While submissions may be lodged electronically or by post, electronic lodgement is preferred. For accessibility reasons, please submit responses sent via email in a Word or RTF format. An additional PDF version may also be submitted. All information (including name and address details) contained in submissions may be made available to the public on the Treasury website unless you indicate that you would like all or part of your submission to remain in confidence. Automatically generated confidentiality statements in emails are not sufficient for this purpose. If you would like only part of your submission to remain confidential, please provide this information clearly marked as such in a separate attachment.</w:t>
      </w:r>
    </w:p>
    <w:p w14:paraId="68152DC1" w14:textId="2113A9E5" w:rsidR="009F7BB5" w:rsidRPr="0032590D" w:rsidRDefault="009F7BB5" w:rsidP="009F7BB5">
      <w:pPr>
        <w:rPr>
          <w:b/>
          <w:color w:val="4D7861" w:themeColor="accent2"/>
          <w:sz w:val="28"/>
          <w:szCs w:val="28"/>
        </w:rPr>
      </w:pPr>
      <w:r w:rsidRPr="0032590D">
        <w:rPr>
          <w:b/>
          <w:color w:val="4D7861" w:themeColor="accent2"/>
          <w:sz w:val="28"/>
          <w:szCs w:val="28"/>
        </w:rPr>
        <w:t xml:space="preserve">Closing date for submissions: </w:t>
      </w:r>
      <w:r w:rsidR="00536CCC" w:rsidRPr="0032590D">
        <w:rPr>
          <w:b/>
          <w:color w:val="4D7861" w:themeColor="accent2"/>
          <w:sz w:val="28"/>
          <w:szCs w:val="28"/>
        </w:rPr>
        <w:t>14</w:t>
      </w:r>
      <w:r w:rsidRPr="0032590D">
        <w:rPr>
          <w:b/>
          <w:color w:val="4D7861" w:themeColor="accent2"/>
          <w:sz w:val="28"/>
          <w:szCs w:val="28"/>
        </w:rPr>
        <w:t xml:space="preserve"> </w:t>
      </w:r>
      <w:r w:rsidR="00EC776E" w:rsidRPr="0032590D">
        <w:rPr>
          <w:b/>
          <w:color w:val="4D7861" w:themeColor="accent2"/>
          <w:sz w:val="28"/>
          <w:szCs w:val="28"/>
        </w:rPr>
        <w:t xml:space="preserve">February </w:t>
      </w:r>
      <w:r w:rsidRPr="0032590D">
        <w:rPr>
          <w:b/>
          <w:color w:val="4D7861" w:themeColor="accent2"/>
          <w:sz w:val="28"/>
          <w:szCs w:val="28"/>
        </w:rPr>
        <w:t>202</w:t>
      </w:r>
      <w:r w:rsidR="00EC776E" w:rsidRPr="0032590D">
        <w:rPr>
          <w:b/>
          <w:color w:val="4D7861" w:themeColor="accent2"/>
          <w:sz w:val="28"/>
          <w:szCs w:val="28"/>
        </w:rPr>
        <w:t>5</w:t>
      </w:r>
    </w:p>
    <w:tbl>
      <w:tblPr>
        <w:tblStyle w:val="TableGrid"/>
        <w:tblW w:w="0" w:type="auto"/>
        <w:tblLook w:val="04A0" w:firstRow="1" w:lastRow="0" w:firstColumn="1" w:lastColumn="0" w:noHBand="0" w:noVBand="1"/>
      </w:tblPr>
      <w:tblGrid>
        <w:gridCol w:w="1517"/>
        <w:gridCol w:w="7553"/>
      </w:tblGrid>
      <w:tr w:rsidR="009F7BB5" w:rsidRPr="0032590D" w14:paraId="741E1EE8" w14:textId="77777777">
        <w:trPr>
          <w:cnfStyle w:val="100000000000" w:firstRow="1" w:lastRow="0" w:firstColumn="0" w:lastColumn="0" w:oddVBand="0" w:evenVBand="0" w:oddHBand="0" w:evenHBand="0" w:firstRowFirstColumn="0" w:firstRowLastColumn="0" w:lastRowFirstColumn="0" w:lastRowLastColumn="0"/>
        </w:trPr>
        <w:tc>
          <w:tcPr>
            <w:tcW w:w="1517" w:type="dxa"/>
          </w:tcPr>
          <w:p w14:paraId="0F894505" w14:textId="77777777" w:rsidR="009F7BB5" w:rsidRPr="0032590D" w:rsidRDefault="009F7BB5">
            <w:pPr>
              <w:spacing w:before="96" w:after="96"/>
              <w:rPr>
                <w:sz w:val="22"/>
                <w:szCs w:val="22"/>
              </w:rPr>
            </w:pPr>
            <w:r w:rsidRPr="0032590D">
              <w:rPr>
                <w:sz w:val="22"/>
                <w:szCs w:val="22"/>
              </w:rPr>
              <w:t>Email</w:t>
            </w:r>
          </w:p>
        </w:tc>
        <w:tc>
          <w:tcPr>
            <w:tcW w:w="7553" w:type="dxa"/>
          </w:tcPr>
          <w:p w14:paraId="2029869E" w14:textId="559FD675" w:rsidR="009F7BB5" w:rsidRPr="0032590D" w:rsidRDefault="009F7BB5">
            <w:pPr>
              <w:spacing w:before="96" w:after="96"/>
              <w:rPr>
                <w:sz w:val="22"/>
                <w:szCs w:val="22"/>
              </w:rPr>
            </w:pPr>
            <w:r w:rsidRPr="0032590D">
              <w:rPr>
                <w:rFonts w:cs="Arial"/>
                <w:szCs w:val="22"/>
              </w:rPr>
              <w:t>CashAcceptance</w:t>
            </w:r>
            <w:r w:rsidR="00A15B3F">
              <w:rPr>
                <w:rFonts w:cs="Arial"/>
                <w:szCs w:val="22"/>
              </w:rPr>
              <w:t>Consultation</w:t>
            </w:r>
            <w:r w:rsidRPr="0032590D">
              <w:rPr>
                <w:rFonts w:cs="Arial"/>
                <w:szCs w:val="22"/>
              </w:rPr>
              <w:t>@treasury.gov.au</w:t>
            </w:r>
          </w:p>
        </w:tc>
      </w:tr>
      <w:tr w:rsidR="009F7BB5" w:rsidRPr="0032590D" w14:paraId="7B0A17E7" w14:textId="77777777">
        <w:tc>
          <w:tcPr>
            <w:tcW w:w="1517" w:type="dxa"/>
          </w:tcPr>
          <w:p w14:paraId="42949D5F" w14:textId="77777777" w:rsidR="009F7BB5" w:rsidRPr="0032590D" w:rsidRDefault="009F7BB5">
            <w:pPr>
              <w:rPr>
                <w:sz w:val="22"/>
                <w:szCs w:val="22"/>
              </w:rPr>
            </w:pPr>
            <w:r w:rsidRPr="0032590D">
              <w:rPr>
                <w:sz w:val="22"/>
                <w:szCs w:val="22"/>
              </w:rPr>
              <w:t>Mail</w:t>
            </w:r>
          </w:p>
        </w:tc>
        <w:tc>
          <w:tcPr>
            <w:tcW w:w="7553" w:type="dxa"/>
          </w:tcPr>
          <w:p w14:paraId="5A661F59" w14:textId="77777777" w:rsidR="009F7BB5" w:rsidRPr="0032590D" w:rsidRDefault="009F7BB5">
            <w:pPr>
              <w:pStyle w:val="SingleParagraph"/>
              <w:rPr>
                <w:rFonts w:cs="Arial"/>
                <w:szCs w:val="22"/>
              </w:rPr>
            </w:pPr>
            <w:r w:rsidRPr="0032590D">
              <w:rPr>
                <w:rFonts w:cs="Arial"/>
                <w:szCs w:val="22"/>
              </w:rPr>
              <w:t>Director</w:t>
            </w:r>
          </w:p>
          <w:p w14:paraId="1ACD915F" w14:textId="77777777" w:rsidR="009F7BB5" w:rsidRPr="0032590D" w:rsidRDefault="009F7BB5">
            <w:pPr>
              <w:pStyle w:val="SingleParagraph"/>
              <w:rPr>
                <w:rFonts w:cs="Arial"/>
                <w:sz w:val="22"/>
                <w:szCs w:val="22"/>
              </w:rPr>
            </w:pPr>
            <w:r w:rsidRPr="0032590D">
              <w:rPr>
                <w:rFonts w:cs="Arial"/>
                <w:szCs w:val="22"/>
              </w:rPr>
              <w:t>Retail Banking and Currency Unit</w:t>
            </w:r>
          </w:p>
          <w:p w14:paraId="5B4E9C89" w14:textId="77777777" w:rsidR="009F7BB5" w:rsidRPr="0032590D" w:rsidRDefault="009F7BB5">
            <w:pPr>
              <w:pStyle w:val="SingleParagraph"/>
              <w:rPr>
                <w:rFonts w:cs="Arial"/>
                <w:sz w:val="22"/>
                <w:szCs w:val="22"/>
              </w:rPr>
            </w:pPr>
            <w:r w:rsidRPr="0032590D">
              <w:rPr>
                <w:rFonts w:cs="Arial"/>
                <w:szCs w:val="22"/>
              </w:rPr>
              <w:t>Banking and Credit Branch</w:t>
            </w:r>
          </w:p>
          <w:p w14:paraId="71D8285B" w14:textId="77777777" w:rsidR="009F7BB5" w:rsidRPr="0032590D" w:rsidRDefault="009F7BB5">
            <w:pPr>
              <w:pStyle w:val="SingleParagraph"/>
              <w:rPr>
                <w:rFonts w:cs="Arial"/>
                <w:sz w:val="22"/>
                <w:szCs w:val="22"/>
              </w:rPr>
            </w:pPr>
            <w:r w:rsidRPr="0032590D">
              <w:rPr>
                <w:rFonts w:cs="Arial"/>
                <w:sz w:val="22"/>
                <w:szCs w:val="22"/>
              </w:rPr>
              <w:t>The Treasury</w:t>
            </w:r>
          </w:p>
          <w:p w14:paraId="0C911D2E" w14:textId="77777777" w:rsidR="009F7BB5" w:rsidRPr="0032590D" w:rsidRDefault="009F7BB5">
            <w:pPr>
              <w:pStyle w:val="SingleParagraph"/>
              <w:rPr>
                <w:rFonts w:cs="Arial"/>
                <w:sz w:val="22"/>
                <w:szCs w:val="22"/>
              </w:rPr>
            </w:pPr>
            <w:r w:rsidRPr="0032590D">
              <w:rPr>
                <w:rFonts w:cs="Arial"/>
                <w:sz w:val="22"/>
                <w:szCs w:val="22"/>
              </w:rPr>
              <w:t>Langton Crescent</w:t>
            </w:r>
          </w:p>
          <w:p w14:paraId="36191367" w14:textId="77777777" w:rsidR="009F7BB5" w:rsidRPr="0032590D" w:rsidRDefault="009F7BB5">
            <w:pPr>
              <w:pStyle w:val="SingleParagraph"/>
              <w:rPr>
                <w:sz w:val="22"/>
                <w:szCs w:val="22"/>
              </w:rPr>
            </w:pPr>
            <w:r w:rsidRPr="0032590D">
              <w:rPr>
                <w:sz w:val="22"/>
                <w:szCs w:val="22"/>
              </w:rPr>
              <w:t>PARKES ACT 2600</w:t>
            </w:r>
          </w:p>
        </w:tc>
      </w:tr>
      <w:tr w:rsidR="009F7BB5" w:rsidRPr="0032590D" w14:paraId="619ACADC" w14:textId="77777777">
        <w:tc>
          <w:tcPr>
            <w:tcW w:w="1517" w:type="dxa"/>
          </w:tcPr>
          <w:p w14:paraId="4D43EFAE" w14:textId="77777777" w:rsidR="009F7BB5" w:rsidRPr="0032590D" w:rsidRDefault="009F7BB5">
            <w:pPr>
              <w:rPr>
                <w:sz w:val="22"/>
                <w:szCs w:val="22"/>
              </w:rPr>
            </w:pPr>
            <w:r w:rsidRPr="0032590D">
              <w:rPr>
                <w:sz w:val="22"/>
                <w:szCs w:val="22"/>
              </w:rPr>
              <w:t>Enquiries</w:t>
            </w:r>
          </w:p>
        </w:tc>
        <w:tc>
          <w:tcPr>
            <w:tcW w:w="7553" w:type="dxa"/>
          </w:tcPr>
          <w:p w14:paraId="424EBC4E" w14:textId="77777777" w:rsidR="009F7BB5" w:rsidRPr="0032590D" w:rsidRDefault="009F7BB5">
            <w:pPr>
              <w:rPr>
                <w:sz w:val="22"/>
                <w:szCs w:val="22"/>
              </w:rPr>
            </w:pPr>
            <w:r w:rsidRPr="0032590D">
              <w:rPr>
                <w:rFonts w:cs="Arial"/>
                <w:sz w:val="22"/>
                <w:szCs w:val="22"/>
              </w:rPr>
              <w:t>Enquiries can be initially directed to the above email address.</w:t>
            </w:r>
          </w:p>
        </w:tc>
      </w:tr>
    </w:tbl>
    <w:p w14:paraId="0A65418D" w14:textId="77777777" w:rsidR="009F7BB5" w:rsidRPr="0032590D" w:rsidRDefault="009F7BB5" w:rsidP="009F7BB5">
      <w:pPr>
        <w:pStyle w:val="SingleParagraph"/>
      </w:pPr>
    </w:p>
    <w:p w14:paraId="699079B7" w14:textId="77777777" w:rsidR="009F7BB5" w:rsidRPr="0032590D" w:rsidRDefault="009F7BB5" w:rsidP="009F7BB5">
      <w:r w:rsidRPr="0032590D">
        <w:t xml:space="preserve">The concepts outlined in this paper have not received Government approval and are not yet law. </w:t>
      </w:r>
    </w:p>
    <w:p w14:paraId="669A43DC" w14:textId="77777777" w:rsidR="009F7BB5" w:rsidRPr="0032590D" w:rsidRDefault="009F7BB5" w:rsidP="009F7BB5">
      <w:r w:rsidRPr="0032590D">
        <w:br w:type="page"/>
      </w:r>
    </w:p>
    <w:p w14:paraId="487C5B5F" w14:textId="77777777" w:rsidR="00380826" w:rsidRPr="0032590D" w:rsidRDefault="00380826" w:rsidP="009558EB">
      <w:pPr>
        <w:pStyle w:val="Heading1"/>
        <w:spacing w:after="480"/>
      </w:pPr>
      <w:bookmarkStart w:id="13" w:name="_Toc183137373"/>
      <w:r w:rsidRPr="0032590D">
        <w:t>Foreword</w:t>
      </w:r>
      <w:bookmarkEnd w:id="7"/>
      <w:bookmarkEnd w:id="8"/>
      <w:bookmarkEnd w:id="13"/>
    </w:p>
    <w:p w14:paraId="327A78C1" w14:textId="3ABA3472" w:rsidR="00302FB8" w:rsidRPr="0032590D" w:rsidRDefault="00380826" w:rsidP="00380826">
      <w:pPr>
        <w:spacing w:line="276" w:lineRule="auto"/>
        <w:rPr>
          <w:rFonts w:cs="Calibri Light"/>
        </w:rPr>
      </w:pPr>
      <w:r w:rsidRPr="0032590D">
        <w:rPr>
          <w:rFonts w:cs="Calibri Light"/>
        </w:rPr>
        <w:t xml:space="preserve">The Albanese Government is </w:t>
      </w:r>
      <w:r w:rsidR="00302FB8" w:rsidRPr="0032590D">
        <w:rPr>
          <w:rFonts w:cs="Calibri Light"/>
        </w:rPr>
        <w:t>creating a modern, world</w:t>
      </w:r>
      <w:r w:rsidR="00302FB8" w:rsidRPr="0032590D">
        <w:rPr>
          <w:rFonts w:ascii="Cambria Math" w:hAnsi="Cambria Math" w:cs="Cambria Math"/>
        </w:rPr>
        <w:t>‑</w:t>
      </w:r>
      <w:r w:rsidR="00302FB8" w:rsidRPr="0032590D">
        <w:rPr>
          <w:rFonts w:cs="Calibri Light"/>
        </w:rPr>
        <w:t>class and efficient payments system that is safe, trusted and accessible, enabling greater competition, innovation and productivity.</w:t>
      </w:r>
    </w:p>
    <w:p w14:paraId="7C335534" w14:textId="390C1F01" w:rsidR="00B65D96" w:rsidRPr="0032590D" w:rsidRDefault="00746231" w:rsidP="00380826">
      <w:pPr>
        <w:spacing w:line="276" w:lineRule="auto"/>
        <w:rPr>
          <w:rFonts w:cs="Calibri Light"/>
        </w:rPr>
      </w:pPr>
      <w:r w:rsidRPr="0032590D">
        <w:rPr>
          <w:rFonts w:cs="Calibri Light"/>
        </w:rPr>
        <w:t>Part of</w:t>
      </w:r>
      <w:r w:rsidR="008B6D61" w:rsidRPr="0032590D">
        <w:rPr>
          <w:rFonts w:cs="Calibri Light"/>
        </w:rPr>
        <w:t xml:space="preserve"> the Government's </w:t>
      </w:r>
      <w:r w:rsidR="008B6D61" w:rsidRPr="0032590D">
        <w:rPr>
          <w:rFonts w:cs="Calibri Light"/>
          <w:i/>
          <w:iCs/>
        </w:rPr>
        <w:t>Strategic Plan for Australia's Payments System</w:t>
      </w:r>
      <w:r w:rsidRPr="0032590D">
        <w:rPr>
          <w:rFonts w:cs="Calibri Light"/>
        </w:rPr>
        <w:t xml:space="preserve"> </w:t>
      </w:r>
      <w:r w:rsidR="00607527" w:rsidRPr="0032590D">
        <w:rPr>
          <w:rFonts w:cs="Calibri Light"/>
        </w:rPr>
        <w:t>is about maintaining access to cash for essential items</w:t>
      </w:r>
      <w:r w:rsidR="000F063D" w:rsidRPr="0032590D">
        <w:rPr>
          <w:rFonts w:cs="Calibri Light"/>
        </w:rPr>
        <w:t>,</w:t>
      </w:r>
      <w:r w:rsidR="00607527" w:rsidRPr="0032590D">
        <w:rPr>
          <w:rFonts w:cs="Calibri Light"/>
        </w:rPr>
        <w:t xml:space="preserve"> so </w:t>
      </w:r>
      <w:r w:rsidR="000F063D" w:rsidRPr="0032590D">
        <w:rPr>
          <w:rFonts w:cs="Calibri Light"/>
        </w:rPr>
        <w:t>Australians</w:t>
      </w:r>
      <w:r w:rsidR="00607527" w:rsidRPr="0032590D">
        <w:rPr>
          <w:rFonts w:cs="Calibri Light"/>
        </w:rPr>
        <w:t xml:space="preserve"> can pay cash if they want to. </w:t>
      </w:r>
      <w:r w:rsidRPr="0032590D">
        <w:rPr>
          <w:rFonts w:cs="Calibri Light"/>
        </w:rPr>
        <w:t xml:space="preserve"> </w:t>
      </w:r>
    </w:p>
    <w:p w14:paraId="1AF3E9BF" w14:textId="2A711D38" w:rsidR="00F04253" w:rsidRPr="0032590D" w:rsidRDefault="00607527" w:rsidP="000A2685">
      <w:pPr>
        <w:spacing w:line="276" w:lineRule="auto"/>
        <w:rPr>
          <w:rFonts w:cs="Calibri Light"/>
        </w:rPr>
      </w:pPr>
      <w:r w:rsidRPr="0032590D">
        <w:rPr>
          <w:rFonts w:cs="Calibri Light"/>
        </w:rPr>
        <w:t>We know p</w:t>
      </w:r>
      <w:r w:rsidR="009C5B9A" w:rsidRPr="0032590D">
        <w:rPr>
          <w:rFonts w:cs="Calibri Light"/>
        </w:rPr>
        <w:t xml:space="preserve">eople are increasingly using </w:t>
      </w:r>
      <w:r w:rsidR="00380826" w:rsidRPr="0032590D">
        <w:rPr>
          <w:rFonts w:cs="Calibri Light"/>
        </w:rPr>
        <w:t>digital payments</w:t>
      </w:r>
      <w:r w:rsidR="009C5B9A" w:rsidRPr="0032590D">
        <w:rPr>
          <w:rFonts w:cs="Calibri Light"/>
        </w:rPr>
        <w:t xml:space="preserve">, but there is an ongoing </w:t>
      </w:r>
      <w:r w:rsidR="00B832EF" w:rsidRPr="0032590D">
        <w:rPr>
          <w:rFonts w:cs="Calibri Light"/>
        </w:rPr>
        <w:t>place for cash in our society</w:t>
      </w:r>
      <w:r w:rsidR="00380826" w:rsidRPr="0032590D">
        <w:rPr>
          <w:rFonts w:cs="Calibri Light"/>
        </w:rPr>
        <w:t xml:space="preserve">. </w:t>
      </w:r>
      <w:r w:rsidR="00F04253" w:rsidRPr="0032590D">
        <w:rPr>
          <w:rFonts w:cs="Calibri Light"/>
        </w:rPr>
        <w:t>About 1.5 million Australians use cash to make more than 80 per cent of their in</w:t>
      </w:r>
      <w:r w:rsidR="00F04253" w:rsidRPr="0032590D">
        <w:rPr>
          <w:rFonts w:ascii="Cambria Math" w:hAnsi="Cambria Math" w:cs="Cambria Math"/>
        </w:rPr>
        <w:t>‑</w:t>
      </w:r>
      <w:r w:rsidR="00F04253" w:rsidRPr="0032590D">
        <w:rPr>
          <w:rFonts w:cs="Calibri Light"/>
        </w:rPr>
        <w:t>person payments and cash also provides an easily accessible back</w:t>
      </w:r>
      <w:r w:rsidR="00F04253" w:rsidRPr="0032590D">
        <w:rPr>
          <w:rFonts w:ascii="Cambria Math" w:hAnsi="Cambria Math" w:cs="Cambria Math"/>
        </w:rPr>
        <w:t>‑</w:t>
      </w:r>
      <w:r w:rsidR="00F04253" w:rsidRPr="0032590D">
        <w:rPr>
          <w:rFonts w:cs="Calibri Light"/>
        </w:rPr>
        <w:t>up to digital payments in times of natural disaster or digital outage.</w:t>
      </w:r>
    </w:p>
    <w:p w14:paraId="48FC2CCA" w14:textId="76C17815" w:rsidR="00880186" w:rsidRPr="0032590D" w:rsidRDefault="00657EB4" w:rsidP="000A2685">
      <w:pPr>
        <w:spacing w:line="276" w:lineRule="auto"/>
        <w:rPr>
          <w:rFonts w:cs="Calibri Light"/>
        </w:rPr>
      </w:pPr>
      <w:r w:rsidRPr="0032590D">
        <w:rPr>
          <w:rFonts w:cs="Calibri Light"/>
        </w:rPr>
        <w:t xml:space="preserve">According to the most recent data, up to 94 per cent of businesses continue to accept cash, and we want to see cash acceptance continue. </w:t>
      </w:r>
      <w:r w:rsidR="00B832EF" w:rsidRPr="0032590D">
        <w:rPr>
          <w:rFonts w:cs="Calibri Light"/>
        </w:rPr>
        <w:t>Mandating cash for essential purchases, such as groceries and fuel, means those who rely on cash will not be left behind.</w:t>
      </w:r>
      <w:r w:rsidR="00CD4FBD" w:rsidRPr="0032590D">
        <w:rPr>
          <w:rFonts w:cs="Calibri Light"/>
        </w:rPr>
        <w:t xml:space="preserve"> </w:t>
      </w:r>
    </w:p>
    <w:p w14:paraId="6EE8EF79" w14:textId="35EA13F1" w:rsidR="00380826" w:rsidRPr="0032590D" w:rsidRDefault="00380826" w:rsidP="00380826">
      <w:pPr>
        <w:spacing w:line="276" w:lineRule="auto"/>
        <w:rPr>
          <w:rFonts w:cs="Calibri Light"/>
        </w:rPr>
      </w:pPr>
      <w:r w:rsidRPr="0032590D">
        <w:rPr>
          <w:rFonts w:cs="Calibri Light"/>
        </w:rPr>
        <w:t xml:space="preserve">The Government expects industry to play a crucial role in supporting this initiative, ensuring that the shift towards digital payments does not disadvantage </w:t>
      </w:r>
      <w:r w:rsidR="00AD5B65" w:rsidRPr="0032590D">
        <w:rPr>
          <w:rFonts w:cs="Calibri Light"/>
        </w:rPr>
        <w:t>those who must rely on cash payment</w:t>
      </w:r>
      <w:r w:rsidRPr="0032590D">
        <w:rPr>
          <w:rFonts w:cs="Calibri Light"/>
        </w:rPr>
        <w:t xml:space="preserve">. </w:t>
      </w:r>
      <w:r w:rsidR="009651C1" w:rsidRPr="0032590D">
        <w:rPr>
          <w:rFonts w:cs="Calibri Light"/>
        </w:rPr>
        <w:t xml:space="preserve">This </w:t>
      </w:r>
      <w:r w:rsidRPr="0032590D">
        <w:rPr>
          <w:rFonts w:cs="Calibri Light"/>
        </w:rPr>
        <w:t>is in everyone's best interest.</w:t>
      </w:r>
    </w:p>
    <w:p w14:paraId="7937EC8A" w14:textId="1F809EB4" w:rsidR="00380826" w:rsidRPr="0032590D" w:rsidRDefault="00380826" w:rsidP="00380826">
      <w:pPr>
        <w:spacing w:line="276" w:lineRule="auto"/>
        <w:rPr>
          <w:rFonts w:cs="Calibri Light"/>
        </w:rPr>
      </w:pPr>
      <w:r w:rsidRPr="0032590D">
        <w:rPr>
          <w:rFonts w:cs="Calibri Light"/>
        </w:rPr>
        <w:t xml:space="preserve">This consultation paper seeks to gather insights and feedback on the </w:t>
      </w:r>
      <w:r w:rsidR="00AB1E97" w:rsidRPr="0032590D">
        <w:rPr>
          <w:rFonts w:cs="Calibri Light"/>
        </w:rPr>
        <w:t xml:space="preserve">proposed </w:t>
      </w:r>
      <w:r w:rsidRPr="0032590D">
        <w:rPr>
          <w:rFonts w:cs="Calibri Light"/>
        </w:rPr>
        <w:t>cash acceptance mandate. Your input will help shape the path forward, ensuring that the mandate effectively balances the needs of all Australians and supports a more efficient and inclusive payments system.</w:t>
      </w:r>
    </w:p>
    <w:p w14:paraId="6B6E9077" w14:textId="1F18C919" w:rsidR="004867A7" w:rsidRPr="0032590D" w:rsidRDefault="000C7F78" w:rsidP="00380826">
      <w:pPr>
        <w:spacing w:line="276" w:lineRule="auto"/>
        <w:rPr>
          <w:rFonts w:cs="Calibri Light"/>
        </w:rPr>
      </w:pPr>
      <w:r w:rsidRPr="0032590D">
        <w:rPr>
          <w:rFonts w:cs="Calibri Light"/>
        </w:rPr>
        <w:t>We</w:t>
      </w:r>
      <w:r w:rsidR="005B7C02" w:rsidRPr="0032590D">
        <w:rPr>
          <w:rFonts w:cs="Calibri Light"/>
        </w:rPr>
        <w:t xml:space="preserve"> </w:t>
      </w:r>
      <w:r w:rsidR="004867A7" w:rsidRPr="0032590D">
        <w:rPr>
          <w:rFonts w:cs="Calibri Light"/>
        </w:rPr>
        <w:t>will consider the needs of those who rely on cash, including people in regional areas and those unable to use digital payments, as well as the impact on businesses, particularly small businesses.</w:t>
      </w:r>
    </w:p>
    <w:p w14:paraId="215D0480" w14:textId="1E5DD307" w:rsidR="00002D87" w:rsidRPr="0032590D" w:rsidRDefault="00002D87" w:rsidP="00380826">
      <w:pPr>
        <w:spacing w:line="276" w:lineRule="auto"/>
        <w:rPr>
          <w:rFonts w:cs="Calibri Light"/>
        </w:rPr>
      </w:pPr>
      <w:r w:rsidRPr="0032590D">
        <w:rPr>
          <w:rFonts w:cs="Calibri Light"/>
        </w:rPr>
        <w:t>We’re also seeking views on what further steps are required to ensure the long</w:t>
      </w:r>
      <w:r w:rsidRPr="0032590D">
        <w:rPr>
          <w:rFonts w:ascii="Cambria Math" w:hAnsi="Cambria Math" w:cs="Cambria Math"/>
        </w:rPr>
        <w:t>‑</w:t>
      </w:r>
      <w:r w:rsidRPr="0032590D">
        <w:rPr>
          <w:rFonts w:cs="Calibri Light"/>
        </w:rPr>
        <w:t>term and sustainable distribution of cash to enable adequate access.</w:t>
      </w:r>
    </w:p>
    <w:p w14:paraId="54BEEDE2" w14:textId="70605C46" w:rsidR="00002D87" w:rsidRPr="0032590D" w:rsidRDefault="00AD4FCB" w:rsidP="00AD4FCB">
      <w:pPr>
        <w:spacing w:line="276" w:lineRule="auto"/>
        <w:rPr>
          <w:rFonts w:cs="Calibri Light"/>
        </w:rPr>
      </w:pPr>
      <w:r w:rsidRPr="0032590D">
        <w:rPr>
          <w:rFonts w:cs="Calibri Light"/>
        </w:rPr>
        <w:t xml:space="preserve">Modernising Australia's payments infrastructure will </w:t>
      </w:r>
      <w:r w:rsidR="00FD4B70" w:rsidRPr="0032590D">
        <w:rPr>
          <w:rFonts w:cs="Calibri Light"/>
        </w:rPr>
        <w:t>ensure our financial sector is competitive, efficient and delivering for the economy and the Australian people.</w:t>
      </w:r>
    </w:p>
    <w:p w14:paraId="71A2D129" w14:textId="4953CE2C" w:rsidR="00FD4B70" w:rsidRPr="0032590D" w:rsidRDefault="00AD4FCB" w:rsidP="00AD4FCB">
      <w:pPr>
        <w:spacing w:line="276" w:lineRule="auto"/>
      </w:pPr>
      <w:r w:rsidRPr="0032590D">
        <w:rPr>
          <w:rFonts w:cs="Calibri Light"/>
        </w:rPr>
        <w:t>While the benefits of these reforms will be widespread, we recognise that the transition may pose challenges for some. The Government is dedicated to minimising any adverse impacts and ensuring that cash remains a trusted and accessible payment method.</w:t>
      </w:r>
    </w:p>
    <w:p w14:paraId="2033066E" w14:textId="0EA6D4B9" w:rsidR="00FD4B70" w:rsidRDefault="00C17CE9" w:rsidP="00AD4FCB">
      <w:pPr>
        <w:spacing w:line="276" w:lineRule="auto"/>
        <w:rPr>
          <w:rFonts w:cs="Calibri Light"/>
        </w:rPr>
      </w:pPr>
      <w:r>
        <w:rPr>
          <w:noProof/>
        </w:rPr>
        <w:drawing>
          <wp:anchor distT="0" distB="0" distL="114300" distR="114300" simplePos="0" relativeHeight="251661824" behindDoc="1" locked="0" layoutInCell="1" allowOverlap="1" wp14:anchorId="03615AA3" wp14:editId="5E52B989">
            <wp:simplePos x="0" y="0"/>
            <wp:positionH relativeFrom="column">
              <wp:posOffset>2981647</wp:posOffset>
            </wp:positionH>
            <wp:positionV relativeFrom="paragraph">
              <wp:posOffset>53975</wp:posOffset>
            </wp:positionV>
            <wp:extent cx="1905000" cy="1170305"/>
            <wp:effectExtent l="0" t="0" r="0" b="0"/>
            <wp:wrapNone/>
            <wp:docPr id="1550420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20384" name="Picture 1550420384"/>
                    <pic:cNvPicPr/>
                  </pic:nvPicPr>
                  <pic:blipFill>
                    <a:blip r:embed="rId14">
                      <a:extLst>
                        <a:ext uri="{28A0092B-C50C-407E-A947-70E740481C1C}">
                          <a14:useLocalDpi xmlns:a14="http://schemas.microsoft.com/office/drawing/2010/main" val="0"/>
                        </a:ext>
                      </a:extLst>
                    </a:blip>
                    <a:stretch>
                      <a:fillRect/>
                    </a:stretch>
                  </pic:blipFill>
                  <pic:spPr>
                    <a:xfrm>
                      <a:off x="0" y="0"/>
                      <a:ext cx="1905000" cy="1170305"/>
                    </a:xfrm>
                    <a:prstGeom prst="rect">
                      <a:avLst/>
                    </a:prstGeom>
                  </pic:spPr>
                </pic:pic>
              </a:graphicData>
            </a:graphic>
            <wp14:sizeRelH relativeFrom="margin">
              <wp14:pctWidth>0</wp14:pctWidth>
            </wp14:sizeRelH>
            <wp14:sizeRelV relativeFrom="margin">
              <wp14:pctHeight>0</wp14:pctHeight>
            </wp14:sizeRelV>
          </wp:anchor>
        </w:drawing>
      </w:r>
      <w:r>
        <w:rPr>
          <w:rFonts w:cs="Calibri Light"/>
          <w:noProof/>
        </w:rPr>
        <w:drawing>
          <wp:anchor distT="0" distB="0" distL="114300" distR="114300" simplePos="0" relativeHeight="251655680" behindDoc="1" locked="0" layoutInCell="1" allowOverlap="1" wp14:anchorId="5EB65AF7" wp14:editId="2F1A8BD0">
            <wp:simplePos x="0" y="0"/>
            <wp:positionH relativeFrom="column">
              <wp:posOffset>-60003</wp:posOffset>
            </wp:positionH>
            <wp:positionV relativeFrom="paragraph">
              <wp:posOffset>267970</wp:posOffset>
            </wp:positionV>
            <wp:extent cx="2695575" cy="847090"/>
            <wp:effectExtent l="0" t="0" r="0" b="0"/>
            <wp:wrapNone/>
            <wp:docPr id="1571440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440390" name="Picture 157144039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95575" cy="847090"/>
                    </a:xfrm>
                    <a:prstGeom prst="rect">
                      <a:avLst/>
                    </a:prstGeom>
                  </pic:spPr>
                </pic:pic>
              </a:graphicData>
            </a:graphic>
            <wp14:sizeRelH relativeFrom="margin">
              <wp14:pctWidth>0</wp14:pctWidth>
            </wp14:sizeRelH>
            <wp14:sizeRelV relativeFrom="margin">
              <wp14:pctHeight>0</wp14:pctHeight>
            </wp14:sizeRelV>
          </wp:anchor>
        </w:drawing>
      </w:r>
    </w:p>
    <w:p w14:paraId="766A3479" w14:textId="05390F3F" w:rsidR="00C7331F" w:rsidRPr="0032590D" w:rsidRDefault="00C7331F" w:rsidP="00AD4FCB">
      <w:pPr>
        <w:spacing w:line="276" w:lineRule="auto"/>
        <w:rPr>
          <w:rFonts w:cs="Calibri Light"/>
        </w:rPr>
      </w:pPr>
    </w:p>
    <w:p w14:paraId="6D52E607" w14:textId="77777777" w:rsidR="00380826" w:rsidRPr="0032590D" w:rsidRDefault="00380826" w:rsidP="00821D74">
      <w:pPr>
        <w:spacing w:line="276" w:lineRule="auto"/>
      </w:pPr>
    </w:p>
    <w:tbl>
      <w:tblPr>
        <w:tblStyle w:val="TableGrid"/>
        <w:tblW w:w="0" w:type="auto"/>
        <w:tblLook w:val="04A0" w:firstRow="1" w:lastRow="0" w:firstColumn="1" w:lastColumn="0" w:noHBand="0" w:noVBand="1"/>
      </w:tblPr>
      <w:tblGrid>
        <w:gridCol w:w="4536"/>
        <w:gridCol w:w="4534"/>
      </w:tblGrid>
      <w:tr w:rsidR="00380826" w:rsidRPr="0032590D" w14:paraId="6F047B17" w14:textId="77777777" w:rsidTr="004104AD">
        <w:trPr>
          <w:cnfStyle w:val="100000000000" w:firstRow="1" w:lastRow="0" w:firstColumn="0" w:lastColumn="0" w:oddVBand="0" w:evenVBand="0" w:oddHBand="0" w:evenHBand="0" w:firstRowFirstColumn="0" w:firstRowLastColumn="0" w:lastRowFirstColumn="0" w:lastRowLastColumn="0"/>
        </w:trPr>
        <w:tc>
          <w:tcPr>
            <w:tcW w:w="4536" w:type="dxa"/>
            <w:shd w:val="clear" w:color="auto" w:fill="auto"/>
          </w:tcPr>
          <w:p w14:paraId="204F7E93" w14:textId="288B2757" w:rsidR="00380826" w:rsidRPr="0032590D" w:rsidRDefault="00380826">
            <w:pPr>
              <w:spacing w:before="96" w:after="96" w:line="259" w:lineRule="auto"/>
              <w:rPr>
                <w:b w:val="0"/>
              </w:rPr>
            </w:pPr>
          </w:p>
          <w:p w14:paraId="24B793C3" w14:textId="77777777" w:rsidR="00380826" w:rsidRPr="0032590D" w:rsidRDefault="00380826">
            <w:pPr>
              <w:spacing w:before="96" w:after="96" w:line="259" w:lineRule="auto"/>
            </w:pPr>
          </w:p>
        </w:tc>
        <w:tc>
          <w:tcPr>
            <w:tcW w:w="4534" w:type="dxa"/>
            <w:shd w:val="clear" w:color="auto" w:fill="auto"/>
          </w:tcPr>
          <w:p w14:paraId="3E3E16FB" w14:textId="6A08EDBC" w:rsidR="00380826" w:rsidRPr="0032590D" w:rsidRDefault="00380826" w:rsidP="003B11D2">
            <w:pPr>
              <w:spacing w:before="96" w:after="96" w:line="259" w:lineRule="auto"/>
            </w:pPr>
          </w:p>
        </w:tc>
      </w:tr>
      <w:tr w:rsidR="00380826" w:rsidRPr="0032590D" w14:paraId="43CA7503" w14:textId="77777777" w:rsidTr="004104AD">
        <w:tc>
          <w:tcPr>
            <w:tcW w:w="4536" w:type="dxa"/>
          </w:tcPr>
          <w:p w14:paraId="19F30E61" w14:textId="77777777" w:rsidR="00380826" w:rsidRPr="0032590D" w:rsidRDefault="00380826">
            <w:pPr>
              <w:spacing w:before="0" w:after="160" w:line="259" w:lineRule="auto"/>
              <w:rPr>
                <w:rFonts w:asciiTheme="minorHAnsi" w:hAnsiTheme="minorHAnsi" w:cstheme="minorHAnsi"/>
                <w:b/>
                <w:bCs/>
                <w:sz w:val="22"/>
                <w:szCs w:val="22"/>
              </w:rPr>
            </w:pPr>
            <w:r w:rsidRPr="0032590D">
              <w:rPr>
                <w:rFonts w:asciiTheme="minorHAnsi" w:hAnsiTheme="minorHAnsi" w:cstheme="minorHAnsi"/>
                <w:b/>
                <w:bCs/>
                <w:sz w:val="22"/>
                <w:szCs w:val="22"/>
              </w:rPr>
              <w:t>The Hon Jim Chalmers MP</w:t>
            </w:r>
            <w:r w:rsidRPr="0032590D">
              <w:rPr>
                <w:rFonts w:asciiTheme="minorHAnsi" w:hAnsiTheme="minorHAnsi" w:cstheme="minorHAnsi"/>
                <w:b/>
                <w:bCs/>
                <w:sz w:val="22"/>
                <w:szCs w:val="22"/>
              </w:rPr>
              <w:br/>
              <w:t>Treasurer</w:t>
            </w:r>
          </w:p>
        </w:tc>
        <w:tc>
          <w:tcPr>
            <w:tcW w:w="4534" w:type="dxa"/>
          </w:tcPr>
          <w:p w14:paraId="1C7B5DCE" w14:textId="2B781E2E" w:rsidR="00380826" w:rsidRPr="0032590D" w:rsidRDefault="00380826">
            <w:pPr>
              <w:spacing w:before="0" w:after="160" w:line="259" w:lineRule="auto"/>
              <w:rPr>
                <w:rFonts w:asciiTheme="minorHAnsi" w:hAnsiTheme="minorHAnsi" w:cstheme="minorHAnsi"/>
                <w:b/>
                <w:bCs/>
                <w:sz w:val="22"/>
                <w:szCs w:val="22"/>
              </w:rPr>
            </w:pPr>
            <w:r w:rsidRPr="0032590D">
              <w:rPr>
                <w:rFonts w:asciiTheme="minorHAnsi" w:hAnsiTheme="minorHAnsi" w:cstheme="minorHAnsi"/>
                <w:b/>
                <w:bCs/>
                <w:sz w:val="22"/>
                <w:szCs w:val="22"/>
              </w:rPr>
              <w:t>The Hon Stephen Jones</w:t>
            </w:r>
            <w:r w:rsidR="00BC2B11" w:rsidRPr="0032590D">
              <w:rPr>
                <w:rFonts w:asciiTheme="minorHAnsi" w:hAnsiTheme="minorHAnsi" w:cstheme="minorHAnsi"/>
                <w:b/>
                <w:bCs/>
                <w:sz w:val="22"/>
                <w:szCs w:val="22"/>
              </w:rPr>
              <w:t xml:space="preserve"> MP</w:t>
            </w:r>
            <w:r w:rsidRPr="0032590D">
              <w:rPr>
                <w:rFonts w:asciiTheme="minorHAnsi" w:hAnsiTheme="minorHAnsi" w:cstheme="minorHAnsi"/>
                <w:b/>
                <w:bCs/>
                <w:sz w:val="22"/>
                <w:szCs w:val="22"/>
              </w:rPr>
              <w:br/>
              <w:t>Assistant Treasurer</w:t>
            </w:r>
            <w:r w:rsidRPr="0032590D">
              <w:rPr>
                <w:rFonts w:asciiTheme="minorHAnsi" w:hAnsiTheme="minorHAnsi" w:cstheme="minorHAnsi"/>
                <w:b/>
                <w:bCs/>
                <w:sz w:val="22"/>
                <w:szCs w:val="22"/>
              </w:rPr>
              <w:br/>
              <w:t>Minister for Financial Services</w:t>
            </w:r>
          </w:p>
        </w:tc>
      </w:tr>
    </w:tbl>
    <w:p w14:paraId="534F0AD3" w14:textId="519C9F46" w:rsidR="000E0B74" w:rsidRPr="0032590D" w:rsidRDefault="00317D7B" w:rsidP="004E7652">
      <w:pPr>
        <w:pStyle w:val="Heading1"/>
      </w:pPr>
      <w:bookmarkStart w:id="14" w:name="_Toc181026632"/>
      <w:bookmarkStart w:id="15" w:name="_Toc181278091"/>
      <w:bookmarkStart w:id="16" w:name="_Toc183137374"/>
      <w:bookmarkEnd w:id="4"/>
      <w:bookmarkEnd w:id="5"/>
      <w:bookmarkEnd w:id="9"/>
      <w:r w:rsidRPr="0032590D">
        <w:t>Chapter 1</w:t>
      </w:r>
      <w:r w:rsidR="0090607D" w:rsidRPr="0032590D">
        <w:t>:</w:t>
      </w:r>
      <w:r w:rsidRPr="0032590D">
        <w:t xml:space="preserve"> Introduction</w:t>
      </w:r>
      <w:bookmarkEnd w:id="14"/>
      <w:bookmarkEnd w:id="15"/>
      <w:bookmarkEnd w:id="16"/>
    </w:p>
    <w:p w14:paraId="6A40A794" w14:textId="443663D6" w:rsidR="004E7652" w:rsidRPr="0032590D" w:rsidRDefault="009365A8" w:rsidP="009F35D0">
      <w:pPr>
        <w:pStyle w:val="Heading2"/>
      </w:pPr>
      <w:bookmarkStart w:id="17" w:name="_Toc181026633"/>
      <w:bookmarkStart w:id="18" w:name="_Toc181278092"/>
      <w:bookmarkStart w:id="19" w:name="_Toc183137375"/>
      <w:r w:rsidRPr="0032590D">
        <w:t>Overview</w:t>
      </w:r>
      <w:bookmarkEnd w:id="17"/>
      <w:bookmarkEnd w:id="18"/>
      <w:bookmarkEnd w:id="19"/>
    </w:p>
    <w:p w14:paraId="1341EA60" w14:textId="0503FF03" w:rsidR="00700AA0" w:rsidRPr="0032590D" w:rsidRDefault="00C46122" w:rsidP="00D318CC">
      <w:pPr>
        <w:rPr>
          <w:rFonts w:cs="Calibri Light"/>
        </w:rPr>
      </w:pPr>
      <w:r w:rsidRPr="0032590D">
        <w:rPr>
          <w:rFonts w:cs="Calibri Light"/>
        </w:rPr>
        <w:t xml:space="preserve">While </w:t>
      </w:r>
      <w:r w:rsidR="00A828AC" w:rsidRPr="0032590D">
        <w:rPr>
          <w:rFonts w:cs="Calibri Light"/>
        </w:rPr>
        <w:t>Australia</w:t>
      </w:r>
      <w:r w:rsidR="000D4897" w:rsidRPr="0032590D">
        <w:rPr>
          <w:rFonts w:cs="Calibri Light"/>
        </w:rPr>
        <w:t xml:space="preserve">ns continue to </w:t>
      </w:r>
      <w:r w:rsidR="00700AA0" w:rsidRPr="0032590D">
        <w:rPr>
          <w:rFonts w:cs="Calibri Light"/>
        </w:rPr>
        <w:t xml:space="preserve">shift toward </w:t>
      </w:r>
      <w:r w:rsidR="00DB0CC8" w:rsidRPr="0032590D">
        <w:rPr>
          <w:rFonts w:cs="Calibri Light"/>
        </w:rPr>
        <w:t xml:space="preserve">digital </w:t>
      </w:r>
      <w:r w:rsidR="00590F7A" w:rsidRPr="0032590D">
        <w:rPr>
          <w:rFonts w:cs="Calibri Light"/>
        </w:rPr>
        <w:t>methods</w:t>
      </w:r>
      <w:r w:rsidR="003950D0" w:rsidRPr="0032590D">
        <w:rPr>
          <w:rFonts w:cs="Calibri Light"/>
        </w:rPr>
        <w:t xml:space="preserve"> to make </w:t>
      </w:r>
      <w:r w:rsidR="00123136" w:rsidRPr="0032590D">
        <w:rPr>
          <w:rFonts w:cs="Calibri Light"/>
        </w:rPr>
        <w:t>and receive payment</w:t>
      </w:r>
      <w:r w:rsidR="00F24A59" w:rsidRPr="0032590D">
        <w:rPr>
          <w:rFonts w:cs="Calibri Light"/>
        </w:rPr>
        <w:t xml:space="preserve">s there remains a strong role for cash </w:t>
      </w:r>
      <w:r w:rsidR="00C42ABB" w:rsidRPr="0032590D">
        <w:rPr>
          <w:rFonts w:cs="Calibri Light"/>
        </w:rPr>
        <w:t xml:space="preserve">as part of </w:t>
      </w:r>
      <w:r w:rsidR="009E1003" w:rsidRPr="0032590D">
        <w:rPr>
          <w:rFonts w:cs="Calibri Light"/>
        </w:rPr>
        <w:t>a</w:t>
      </w:r>
      <w:r w:rsidR="004A2249" w:rsidRPr="0032590D">
        <w:rPr>
          <w:rFonts w:cs="Calibri Light"/>
        </w:rPr>
        <w:t xml:space="preserve"> </w:t>
      </w:r>
      <w:r w:rsidR="00986936" w:rsidRPr="0032590D">
        <w:rPr>
          <w:rFonts w:cs="Calibri Light"/>
        </w:rPr>
        <w:t xml:space="preserve">modern and efficient </w:t>
      </w:r>
      <w:r w:rsidR="004A2249" w:rsidRPr="0032590D">
        <w:rPr>
          <w:rFonts w:cs="Calibri Light"/>
        </w:rPr>
        <w:t>payments system that is safe, trusted and accessible</w:t>
      </w:r>
      <w:r w:rsidR="002157F7" w:rsidRPr="0032590D">
        <w:rPr>
          <w:rFonts w:cs="Calibri Light"/>
        </w:rPr>
        <w:t>.</w:t>
      </w:r>
    </w:p>
    <w:p w14:paraId="29DA480C" w14:textId="4BFEFC50" w:rsidR="00DF3983" w:rsidRPr="0032590D" w:rsidRDefault="00F54E37" w:rsidP="00D318CC">
      <w:pPr>
        <w:rPr>
          <w:rFonts w:cs="Calibri Light"/>
        </w:rPr>
      </w:pPr>
      <w:r w:rsidRPr="0032590D">
        <w:rPr>
          <w:rFonts w:cs="Calibri Light"/>
        </w:rPr>
        <w:t xml:space="preserve">The Government’s </w:t>
      </w:r>
      <w:r w:rsidR="000B5FD5" w:rsidRPr="0032590D">
        <w:rPr>
          <w:rFonts w:cs="Calibri Light"/>
        </w:rPr>
        <w:t xml:space="preserve">2023 </w:t>
      </w:r>
      <w:r w:rsidRPr="0032590D">
        <w:rPr>
          <w:rFonts w:cs="Calibri Light"/>
        </w:rPr>
        <w:t xml:space="preserve">Strategic Plan for Australia’s Payments System (the Strategic Plan) </w:t>
      </w:r>
      <w:r w:rsidR="002431C3" w:rsidRPr="0032590D">
        <w:rPr>
          <w:rFonts w:cs="Calibri Light"/>
        </w:rPr>
        <w:t xml:space="preserve">set out </w:t>
      </w:r>
      <w:r w:rsidR="00AE296E" w:rsidRPr="0032590D">
        <w:rPr>
          <w:rFonts w:cs="Calibri Light"/>
        </w:rPr>
        <w:t>the Government’s vision for the payments system</w:t>
      </w:r>
      <w:r w:rsidR="00986936" w:rsidRPr="0032590D">
        <w:rPr>
          <w:rFonts w:cs="Calibri Light"/>
        </w:rPr>
        <w:t>.</w:t>
      </w:r>
      <w:r w:rsidR="00AE296E" w:rsidRPr="0032590D">
        <w:rPr>
          <w:rFonts w:cs="Calibri Light"/>
        </w:rPr>
        <w:t xml:space="preserve"> </w:t>
      </w:r>
      <w:r w:rsidR="00986936" w:rsidRPr="0032590D">
        <w:rPr>
          <w:rFonts w:cs="Calibri Light"/>
        </w:rPr>
        <w:t>M</w:t>
      </w:r>
      <w:r w:rsidR="002431C3" w:rsidRPr="0032590D">
        <w:rPr>
          <w:rFonts w:cs="Calibri Light"/>
        </w:rPr>
        <w:t xml:space="preserve">aintaining access to cash </w:t>
      </w:r>
      <w:r w:rsidR="00464FE6" w:rsidRPr="0032590D">
        <w:rPr>
          <w:rFonts w:cs="Calibri Light"/>
        </w:rPr>
        <w:t xml:space="preserve">remains a </w:t>
      </w:r>
      <w:r w:rsidR="00080162" w:rsidRPr="0032590D">
        <w:rPr>
          <w:rFonts w:cs="Calibri Light"/>
        </w:rPr>
        <w:t>key priority</w:t>
      </w:r>
      <w:r w:rsidR="008C4F7E" w:rsidRPr="0032590D">
        <w:rPr>
          <w:rFonts w:cs="Calibri Light"/>
        </w:rPr>
        <w:t xml:space="preserve"> as part of modernising payments infrastructure.</w:t>
      </w:r>
      <w:r w:rsidR="008C4F7E" w:rsidRPr="0032590D">
        <w:rPr>
          <w:rStyle w:val="FootnoteReference"/>
          <w:rFonts w:cs="Calibri Light"/>
        </w:rPr>
        <w:footnoteReference w:id="2"/>
      </w:r>
      <w:r w:rsidR="00DF3983" w:rsidRPr="0032590D">
        <w:rPr>
          <w:rFonts w:cs="Calibri Light"/>
        </w:rPr>
        <w:t xml:space="preserve"> </w:t>
      </w:r>
      <w:r w:rsidR="009C5F49" w:rsidRPr="0032590D">
        <w:rPr>
          <w:rFonts w:cs="Calibri Light"/>
        </w:rPr>
        <w:t xml:space="preserve">Despite the rise of digital payments, cash remains a vital option for many, particularly in </w:t>
      </w:r>
      <w:r w:rsidR="00BD58D0" w:rsidRPr="0032590D">
        <w:rPr>
          <w:rFonts w:cs="Calibri Light"/>
        </w:rPr>
        <w:t xml:space="preserve">regional and </w:t>
      </w:r>
      <w:r w:rsidR="009C5F49" w:rsidRPr="0032590D">
        <w:rPr>
          <w:rFonts w:cs="Calibri Light"/>
        </w:rPr>
        <w:t xml:space="preserve">rural communities. </w:t>
      </w:r>
    </w:p>
    <w:p w14:paraId="178798E6" w14:textId="703BEF1D" w:rsidR="1C75F4AB" w:rsidRPr="0032590D" w:rsidRDefault="448F93E5" w:rsidP="7DFE3574">
      <w:pPr>
        <w:rPr>
          <w:rFonts w:cs="Calibri Light"/>
        </w:rPr>
      </w:pPr>
      <w:r w:rsidRPr="0032590D">
        <w:t xml:space="preserve">Currently, </w:t>
      </w:r>
      <w:r w:rsidR="004A0EB7" w:rsidRPr="0032590D">
        <w:t>there</w:t>
      </w:r>
      <w:r w:rsidRPr="0032590D">
        <w:t xml:space="preserve"> is no regulation that mandates businesses must accept cash as a means of payment. </w:t>
      </w:r>
      <w:r w:rsidR="1C75F4AB" w:rsidRPr="0032590D">
        <w:rPr>
          <w:rFonts w:cs="Calibri Light"/>
        </w:rPr>
        <w:t>In the absence of legislative change, there is no guarantee that Australians will be able to continue to buy essential goods and services with cash</w:t>
      </w:r>
      <w:r w:rsidR="62321793" w:rsidRPr="0032590D">
        <w:rPr>
          <w:rFonts w:cs="Calibri Light"/>
        </w:rPr>
        <w:t xml:space="preserve"> in the future</w:t>
      </w:r>
      <w:r w:rsidR="1C75F4AB" w:rsidRPr="0032590D">
        <w:rPr>
          <w:rFonts w:cs="Calibri Light"/>
        </w:rPr>
        <w:t>.</w:t>
      </w:r>
    </w:p>
    <w:p w14:paraId="28D6BFD6" w14:textId="1200666A" w:rsidR="004B7026" w:rsidRPr="0032590D" w:rsidRDefault="004B7026" w:rsidP="00D318CC">
      <w:pPr>
        <w:rPr>
          <w:rFonts w:cs="Calibri Light"/>
        </w:rPr>
      </w:pPr>
      <w:r w:rsidRPr="0032590D">
        <w:rPr>
          <w:rFonts w:cs="Calibri Light"/>
        </w:rPr>
        <w:t xml:space="preserve">The Government </w:t>
      </w:r>
      <w:r w:rsidR="00E90384" w:rsidRPr="0032590D">
        <w:rPr>
          <w:rFonts w:cs="Calibri Light"/>
        </w:rPr>
        <w:t>has</w:t>
      </w:r>
      <w:r w:rsidRPr="0032590D">
        <w:rPr>
          <w:rFonts w:cs="Calibri Light"/>
        </w:rPr>
        <w:t xml:space="preserve"> announced </w:t>
      </w:r>
      <w:r w:rsidR="00E90384" w:rsidRPr="0032590D">
        <w:rPr>
          <w:rFonts w:cs="Calibri Light"/>
        </w:rPr>
        <w:t>an</w:t>
      </w:r>
      <w:r w:rsidRPr="0032590D">
        <w:rPr>
          <w:rFonts w:cs="Calibri Light"/>
        </w:rPr>
        <w:t xml:space="preserve"> intention to mandate that businesses supplying essential goods and services must accept payment in cash, with appropriate exemptions for small businesses.</w:t>
      </w:r>
      <w:r w:rsidR="00E03C16" w:rsidRPr="0032590D">
        <w:rPr>
          <w:rFonts w:cs="Calibri Light"/>
        </w:rPr>
        <w:t xml:space="preserve"> The</w:t>
      </w:r>
      <w:r w:rsidR="00E90384" w:rsidRPr="0032590D">
        <w:rPr>
          <w:rFonts w:cs="Calibri Light"/>
        </w:rPr>
        <w:t> </w:t>
      </w:r>
      <w:r w:rsidR="00E03C16" w:rsidRPr="0032590D">
        <w:rPr>
          <w:rFonts w:cs="Calibri Light"/>
        </w:rPr>
        <w:t xml:space="preserve">Government </w:t>
      </w:r>
      <w:r w:rsidRPr="0032590D">
        <w:rPr>
          <w:rFonts w:cs="Calibri Light"/>
        </w:rPr>
        <w:t>want</w:t>
      </w:r>
      <w:r w:rsidR="00E03C16" w:rsidRPr="0032590D">
        <w:rPr>
          <w:rFonts w:cs="Calibri Light"/>
        </w:rPr>
        <w:t>s</w:t>
      </w:r>
      <w:r w:rsidRPr="0032590D">
        <w:rPr>
          <w:rFonts w:cs="Calibri Light"/>
        </w:rPr>
        <w:t xml:space="preserve"> to ensure that Australians can continue to access cash and use it to buy essential items, such as groceries and fuel.</w:t>
      </w:r>
      <w:r w:rsidR="00063E49" w:rsidRPr="0032590D">
        <w:rPr>
          <w:rFonts w:cs="Calibri Light"/>
        </w:rPr>
        <w:t xml:space="preserve"> The Government also wants </w:t>
      </w:r>
      <w:r w:rsidR="009C1C50" w:rsidRPr="0032590D">
        <w:rPr>
          <w:rFonts w:cs="Calibri Light"/>
        </w:rPr>
        <w:t xml:space="preserve">the mandate to </w:t>
      </w:r>
      <w:r w:rsidR="00AB2D38" w:rsidRPr="0032590D">
        <w:rPr>
          <w:rFonts w:cs="Calibri Light"/>
        </w:rPr>
        <w:t xml:space="preserve">assist </w:t>
      </w:r>
      <w:r w:rsidR="00161032" w:rsidRPr="0032590D">
        <w:rPr>
          <w:rFonts w:cs="Calibri Light"/>
        </w:rPr>
        <w:t xml:space="preserve">with </w:t>
      </w:r>
      <w:r w:rsidR="00063E49" w:rsidRPr="0032590D">
        <w:rPr>
          <w:rFonts w:cs="Calibri Light"/>
        </w:rPr>
        <w:t xml:space="preserve">payment system </w:t>
      </w:r>
      <w:r w:rsidR="003C17D7" w:rsidRPr="0032590D">
        <w:rPr>
          <w:rFonts w:cs="Calibri Light"/>
        </w:rPr>
        <w:t>resilience</w:t>
      </w:r>
      <w:r w:rsidR="004272E0" w:rsidRPr="0032590D">
        <w:rPr>
          <w:rFonts w:cs="Calibri Light"/>
        </w:rPr>
        <w:t>, for example</w:t>
      </w:r>
      <w:r w:rsidR="00BA6042" w:rsidRPr="0032590D">
        <w:rPr>
          <w:rFonts w:cs="Calibri Light"/>
        </w:rPr>
        <w:t>,</w:t>
      </w:r>
      <w:r w:rsidR="004272E0" w:rsidRPr="0032590D">
        <w:rPr>
          <w:rFonts w:cs="Calibri Light"/>
        </w:rPr>
        <w:t xml:space="preserve"> during natural disasters or digital outages</w:t>
      </w:r>
      <w:r w:rsidR="003C17D7" w:rsidRPr="0032590D">
        <w:rPr>
          <w:rFonts w:cs="Calibri Light"/>
        </w:rPr>
        <w:t>.</w:t>
      </w:r>
    </w:p>
    <w:p w14:paraId="48B13253" w14:textId="07D0B0E5" w:rsidR="009C5F49" w:rsidRPr="0032590D" w:rsidRDefault="009C5F49" w:rsidP="00D318CC">
      <w:pPr>
        <w:rPr>
          <w:rFonts w:cs="Calibri Light"/>
        </w:rPr>
      </w:pPr>
      <w:r w:rsidRPr="0032590D">
        <w:rPr>
          <w:rFonts w:cs="Calibri Light"/>
        </w:rPr>
        <w:t>The Government</w:t>
      </w:r>
      <w:r w:rsidR="00DF3983" w:rsidRPr="0032590D">
        <w:rPr>
          <w:rFonts w:cs="Calibri Light"/>
        </w:rPr>
        <w:t xml:space="preserve"> is consulting </w:t>
      </w:r>
      <w:r w:rsidR="00650F18" w:rsidRPr="0032590D">
        <w:rPr>
          <w:rFonts w:cs="Calibri Light"/>
        </w:rPr>
        <w:t xml:space="preserve">to </w:t>
      </w:r>
      <w:r w:rsidR="000B181E" w:rsidRPr="0032590D">
        <w:rPr>
          <w:rFonts w:cs="Calibri Light"/>
        </w:rPr>
        <w:t xml:space="preserve">ensure </w:t>
      </w:r>
      <w:r w:rsidR="0085677F" w:rsidRPr="0032590D">
        <w:rPr>
          <w:rFonts w:cs="Calibri Light"/>
        </w:rPr>
        <w:t xml:space="preserve">it </w:t>
      </w:r>
      <w:r w:rsidR="001D49ED" w:rsidRPr="0032590D">
        <w:rPr>
          <w:rFonts w:cs="Calibri Light"/>
        </w:rPr>
        <w:t>understand</w:t>
      </w:r>
      <w:r w:rsidR="0085677F" w:rsidRPr="0032590D">
        <w:rPr>
          <w:rFonts w:cs="Calibri Light"/>
        </w:rPr>
        <w:t xml:space="preserve">s </w:t>
      </w:r>
      <w:r w:rsidR="00FE1B2E" w:rsidRPr="0032590D">
        <w:rPr>
          <w:rFonts w:cs="Calibri Light"/>
        </w:rPr>
        <w:t xml:space="preserve">the drivers of cash </w:t>
      </w:r>
      <w:r w:rsidR="0028159A" w:rsidRPr="0032590D">
        <w:rPr>
          <w:rFonts w:cs="Calibri Light"/>
        </w:rPr>
        <w:t>reliance</w:t>
      </w:r>
      <w:r w:rsidR="004B5D6D" w:rsidRPr="0032590D">
        <w:rPr>
          <w:rFonts w:cs="Calibri Light"/>
        </w:rPr>
        <w:t xml:space="preserve">, </w:t>
      </w:r>
      <w:r w:rsidR="000073B7" w:rsidRPr="0032590D">
        <w:rPr>
          <w:rFonts w:cs="Calibri Light"/>
        </w:rPr>
        <w:t>to s</w:t>
      </w:r>
      <w:r w:rsidR="00114EC9" w:rsidRPr="0032590D">
        <w:rPr>
          <w:rFonts w:cs="Calibri Light"/>
        </w:rPr>
        <w:t xml:space="preserve">eek feedback on </w:t>
      </w:r>
      <w:r w:rsidR="00CB7D4B" w:rsidRPr="0032590D">
        <w:rPr>
          <w:rFonts w:cs="Calibri Light"/>
        </w:rPr>
        <w:t xml:space="preserve">the </w:t>
      </w:r>
      <w:r w:rsidR="00C26D91" w:rsidRPr="0032590D">
        <w:rPr>
          <w:rFonts w:cs="Calibri Light"/>
        </w:rPr>
        <w:t>proposed mandate scope and application</w:t>
      </w:r>
      <w:r w:rsidR="00A370CD" w:rsidRPr="0032590D">
        <w:rPr>
          <w:rFonts w:cs="Calibri Light"/>
        </w:rPr>
        <w:t xml:space="preserve"> and</w:t>
      </w:r>
      <w:r w:rsidR="00072D45" w:rsidRPr="0032590D">
        <w:rPr>
          <w:rFonts w:cs="Calibri Light"/>
        </w:rPr>
        <w:t xml:space="preserve"> </w:t>
      </w:r>
      <w:r w:rsidR="00C90F32" w:rsidRPr="0032590D">
        <w:rPr>
          <w:rFonts w:cs="Calibri Light"/>
        </w:rPr>
        <w:t>measures needed to support the mandate</w:t>
      </w:r>
      <w:r w:rsidR="003A5076" w:rsidRPr="0032590D">
        <w:rPr>
          <w:rFonts w:cs="Calibri Light"/>
        </w:rPr>
        <w:t>,</w:t>
      </w:r>
      <w:r w:rsidR="00C90F32" w:rsidRPr="0032590D">
        <w:rPr>
          <w:rFonts w:cs="Calibri Light"/>
        </w:rPr>
        <w:t xml:space="preserve"> and </w:t>
      </w:r>
      <w:r w:rsidR="008D5236" w:rsidRPr="0032590D">
        <w:rPr>
          <w:rFonts w:cs="Calibri Light"/>
        </w:rPr>
        <w:t xml:space="preserve">to </w:t>
      </w:r>
      <w:r w:rsidR="00333A66" w:rsidRPr="0032590D">
        <w:rPr>
          <w:rFonts w:cs="Calibri Light"/>
        </w:rPr>
        <w:t xml:space="preserve">gain a better understanding of regulatory impacts and </w:t>
      </w:r>
      <w:r w:rsidR="0038150E" w:rsidRPr="0032590D">
        <w:rPr>
          <w:rFonts w:cs="Calibri Light"/>
        </w:rPr>
        <w:t>implementation timeframes.</w:t>
      </w:r>
    </w:p>
    <w:p w14:paraId="60B45A2D" w14:textId="7B245E6C" w:rsidR="00C16A38" w:rsidRPr="0032590D" w:rsidRDefault="0002213E" w:rsidP="009F35D0">
      <w:pPr>
        <w:pStyle w:val="Heading2"/>
      </w:pPr>
      <w:bookmarkStart w:id="20" w:name="_Toc181026634"/>
      <w:bookmarkStart w:id="21" w:name="_Toc181278093"/>
      <w:bookmarkStart w:id="22" w:name="_Toc183137376"/>
      <w:r w:rsidRPr="0032590D">
        <w:t>C</w:t>
      </w:r>
      <w:r w:rsidR="00C16A38" w:rsidRPr="0032590D">
        <w:t>ash acceptance</w:t>
      </w:r>
      <w:bookmarkEnd w:id="20"/>
      <w:bookmarkEnd w:id="21"/>
      <w:bookmarkEnd w:id="22"/>
    </w:p>
    <w:p w14:paraId="62AD20B9" w14:textId="36253749" w:rsidR="0002213E" w:rsidRPr="0032590D" w:rsidRDefault="005B2153" w:rsidP="00D318CC">
      <w:pPr>
        <w:pStyle w:val="Heading3"/>
        <w:spacing w:line="240" w:lineRule="auto"/>
      </w:pPr>
      <w:bookmarkStart w:id="23" w:name="_Toc181026635"/>
      <w:r w:rsidRPr="0032590D">
        <w:t>What is cash acceptance?</w:t>
      </w:r>
      <w:bookmarkEnd w:id="23"/>
    </w:p>
    <w:p w14:paraId="6E0124BC" w14:textId="1AA332C2" w:rsidR="00A05BCB" w:rsidRPr="0032590D" w:rsidRDefault="00C9470E" w:rsidP="00D318CC">
      <w:pPr>
        <w:rPr>
          <w:rFonts w:cs="Calibri Light"/>
        </w:rPr>
      </w:pPr>
      <w:r w:rsidRPr="0032590D">
        <w:rPr>
          <w:rFonts w:cs="Calibri Light"/>
        </w:rPr>
        <w:t xml:space="preserve">Cash acceptance refers to the practice of businesses accepting cash as a form of payment for goods and services. </w:t>
      </w:r>
      <w:r w:rsidR="00FD7790" w:rsidRPr="0032590D">
        <w:rPr>
          <w:rFonts w:cs="Calibri Light"/>
        </w:rPr>
        <w:t xml:space="preserve">Cash acceptance </w:t>
      </w:r>
      <w:r w:rsidR="00436DA6" w:rsidRPr="0032590D">
        <w:rPr>
          <w:rFonts w:cs="Calibri Light"/>
        </w:rPr>
        <w:t xml:space="preserve">levels must remain sufficient </w:t>
      </w:r>
      <w:r w:rsidR="007A654D" w:rsidRPr="0032590D">
        <w:rPr>
          <w:rFonts w:cs="Calibri Light"/>
        </w:rPr>
        <w:t>to enable</w:t>
      </w:r>
      <w:r w:rsidRPr="0032590D">
        <w:rPr>
          <w:rFonts w:cs="Calibri Light"/>
        </w:rPr>
        <w:t xml:space="preserve"> consumers, including those </w:t>
      </w:r>
      <w:r w:rsidR="002D1E71" w:rsidRPr="0032590D">
        <w:rPr>
          <w:rFonts w:cs="Calibri Light"/>
        </w:rPr>
        <w:t xml:space="preserve">unable </w:t>
      </w:r>
      <w:r w:rsidRPr="0032590D">
        <w:rPr>
          <w:rFonts w:cs="Calibri Light"/>
        </w:rPr>
        <w:t xml:space="preserve">to </w:t>
      </w:r>
      <w:r w:rsidR="008C321F" w:rsidRPr="0032590D">
        <w:rPr>
          <w:rFonts w:cs="Calibri Light"/>
        </w:rPr>
        <w:t>use</w:t>
      </w:r>
      <w:r w:rsidRPr="0032590D">
        <w:rPr>
          <w:rFonts w:cs="Calibri Light"/>
        </w:rPr>
        <w:t xml:space="preserve"> digital payment methods, </w:t>
      </w:r>
      <w:r w:rsidR="00F947D7" w:rsidRPr="0032590D">
        <w:rPr>
          <w:rFonts w:cs="Calibri Light"/>
        </w:rPr>
        <w:t xml:space="preserve">to </w:t>
      </w:r>
      <w:r w:rsidRPr="0032590D">
        <w:rPr>
          <w:rFonts w:cs="Calibri Light"/>
        </w:rPr>
        <w:t xml:space="preserve">participate in the </w:t>
      </w:r>
      <w:r w:rsidR="004C7B0B" w:rsidRPr="0032590D">
        <w:rPr>
          <w:rFonts w:cs="Calibri Light"/>
        </w:rPr>
        <w:t>economy.</w:t>
      </w:r>
    </w:p>
    <w:p w14:paraId="71ADAD47" w14:textId="3A230B82" w:rsidR="00DB7836" w:rsidRPr="0032590D" w:rsidRDefault="00A05BCB" w:rsidP="00D318CC">
      <w:pPr>
        <w:rPr>
          <w:rFonts w:cs="Calibri Light"/>
        </w:rPr>
      </w:pPr>
      <w:r w:rsidRPr="0032590D">
        <w:rPr>
          <w:rFonts w:cs="Calibri Light"/>
        </w:rPr>
        <w:t xml:space="preserve">A cash acceptance </w:t>
      </w:r>
      <w:r w:rsidR="00C9470E" w:rsidRPr="0032590D">
        <w:rPr>
          <w:rFonts w:cs="Calibri Light"/>
        </w:rPr>
        <w:t xml:space="preserve">mandate aims to guarantee cash remains a viable and accessible </w:t>
      </w:r>
      <w:r w:rsidR="0053433A" w:rsidRPr="0032590D">
        <w:rPr>
          <w:rFonts w:cs="Calibri Light"/>
        </w:rPr>
        <w:t xml:space="preserve">in-person </w:t>
      </w:r>
      <w:r w:rsidR="00C9470E" w:rsidRPr="0032590D">
        <w:rPr>
          <w:rFonts w:cs="Calibri Light"/>
        </w:rPr>
        <w:t>payment option</w:t>
      </w:r>
      <w:r w:rsidR="007F7F38" w:rsidRPr="0032590D">
        <w:rPr>
          <w:rFonts w:cs="Calibri Light"/>
        </w:rPr>
        <w:t xml:space="preserve"> for essential items</w:t>
      </w:r>
      <w:r w:rsidR="00C9470E" w:rsidRPr="0032590D">
        <w:rPr>
          <w:rFonts w:cs="Calibri Light"/>
        </w:rPr>
        <w:t xml:space="preserve">. </w:t>
      </w:r>
      <w:r w:rsidRPr="0032590D">
        <w:rPr>
          <w:rFonts w:cs="Calibri Light"/>
        </w:rPr>
        <w:t xml:space="preserve">Successful implementation of </w:t>
      </w:r>
      <w:r w:rsidR="0094782B" w:rsidRPr="0032590D">
        <w:rPr>
          <w:rFonts w:cs="Calibri Light"/>
        </w:rPr>
        <w:t xml:space="preserve">a mandate </w:t>
      </w:r>
      <w:r w:rsidRPr="0032590D">
        <w:rPr>
          <w:rFonts w:cs="Calibri Light"/>
        </w:rPr>
        <w:t xml:space="preserve">requires </w:t>
      </w:r>
      <w:r w:rsidR="00C9470E" w:rsidRPr="0032590D">
        <w:rPr>
          <w:rFonts w:cs="Calibri Light"/>
        </w:rPr>
        <w:t xml:space="preserve">collaboration </w:t>
      </w:r>
      <w:r w:rsidR="00414E29" w:rsidRPr="0032590D">
        <w:rPr>
          <w:rFonts w:cs="Calibri Light"/>
        </w:rPr>
        <w:t>and will</w:t>
      </w:r>
      <w:r w:rsidR="00C9470E" w:rsidRPr="0032590D">
        <w:rPr>
          <w:rFonts w:cs="Calibri Light"/>
        </w:rPr>
        <w:t xml:space="preserve"> ensure </w:t>
      </w:r>
      <w:r w:rsidR="0094782B" w:rsidRPr="0032590D">
        <w:rPr>
          <w:rFonts w:cs="Calibri Light"/>
        </w:rPr>
        <w:t xml:space="preserve">the benefits of </w:t>
      </w:r>
      <w:r w:rsidR="0097675B" w:rsidRPr="0032590D">
        <w:rPr>
          <w:rFonts w:cs="Calibri Light"/>
        </w:rPr>
        <w:t xml:space="preserve">continued </w:t>
      </w:r>
      <w:r w:rsidR="00C5024A" w:rsidRPr="0032590D">
        <w:rPr>
          <w:rFonts w:cs="Calibri Light"/>
        </w:rPr>
        <w:t xml:space="preserve">growth in the use of </w:t>
      </w:r>
      <w:r w:rsidR="00C9470E" w:rsidRPr="0032590D">
        <w:rPr>
          <w:rFonts w:cs="Calibri Light"/>
        </w:rPr>
        <w:t xml:space="preserve">digital payments do </w:t>
      </w:r>
      <w:r w:rsidR="00B52848" w:rsidRPr="0032590D">
        <w:rPr>
          <w:rFonts w:cs="Calibri Light"/>
        </w:rPr>
        <w:t xml:space="preserve">not </w:t>
      </w:r>
      <w:r w:rsidR="00C5024A" w:rsidRPr="0032590D">
        <w:rPr>
          <w:rFonts w:cs="Calibri Light"/>
        </w:rPr>
        <w:t>leave</w:t>
      </w:r>
      <w:r w:rsidR="00C9470E" w:rsidRPr="0032590D">
        <w:rPr>
          <w:rFonts w:cs="Calibri Light"/>
        </w:rPr>
        <w:t xml:space="preserve"> </w:t>
      </w:r>
      <w:r w:rsidR="00197F80" w:rsidRPr="0032590D">
        <w:rPr>
          <w:rFonts w:cs="Calibri Light"/>
        </w:rPr>
        <w:t xml:space="preserve">parts of the </w:t>
      </w:r>
      <w:r w:rsidR="00C9470E" w:rsidRPr="0032590D">
        <w:rPr>
          <w:rFonts w:cs="Calibri Light"/>
        </w:rPr>
        <w:t>community</w:t>
      </w:r>
      <w:r w:rsidR="000733EB" w:rsidRPr="0032590D">
        <w:rPr>
          <w:rFonts w:cs="Calibri Light"/>
        </w:rPr>
        <w:t xml:space="preserve"> </w:t>
      </w:r>
      <w:r w:rsidR="001A5CC3" w:rsidRPr="0032590D">
        <w:rPr>
          <w:rFonts w:cs="Calibri Light"/>
        </w:rPr>
        <w:t>behind</w:t>
      </w:r>
      <w:r w:rsidR="004C0AB7" w:rsidRPr="0032590D">
        <w:rPr>
          <w:rFonts w:cs="Calibri Light"/>
        </w:rPr>
        <w:t xml:space="preserve"> </w:t>
      </w:r>
      <w:r w:rsidR="00AB44BD" w:rsidRPr="0032590D">
        <w:rPr>
          <w:rFonts w:cs="Calibri Light"/>
        </w:rPr>
        <w:t xml:space="preserve">and </w:t>
      </w:r>
      <w:r w:rsidR="008A3B9B" w:rsidRPr="0032590D">
        <w:rPr>
          <w:rFonts w:cs="Calibri Light"/>
        </w:rPr>
        <w:t>weaken</w:t>
      </w:r>
      <w:r w:rsidR="000733EB" w:rsidRPr="0032590D">
        <w:rPr>
          <w:rFonts w:cs="Calibri Light"/>
        </w:rPr>
        <w:t xml:space="preserve"> payment system resilience</w:t>
      </w:r>
      <w:r w:rsidR="00C9470E" w:rsidRPr="0032590D">
        <w:rPr>
          <w:rFonts w:cs="Calibri Light"/>
        </w:rPr>
        <w:t>.</w:t>
      </w:r>
    </w:p>
    <w:p w14:paraId="6D7D5590" w14:textId="77777777" w:rsidR="00DB7836" w:rsidRPr="0032590D" w:rsidRDefault="00DB7836">
      <w:pPr>
        <w:spacing w:before="0" w:after="160" w:line="259" w:lineRule="auto"/>
        <w:rPr>
          <w:rFonts w:cs="Calibri Light"/>
        </w:rPr>
      </w:pPr>
      <w:r w:rsidRPr="0032590D">
        <w:rPr>
          <w:rFonts w:cs="Calibri Light"/>
        </w:rPr>
        <w:br w:type="page"/>
      </w:r>
    </w:p>
    <w:p w14:paraId="3EEFFDBA" w14:textId="5592C49E" w:rsidR="00835CF2" w:rsidRPr="0032590D" w:rsidRDefault="00835CF2" w:rsidP="009F35D0">
      <w:pPr>
        <w:pStyle w:val="Heading3"/>
      </w:pPr>
      <w:bookmarkStart w:id="24" w:name="_Toc181026636"/>
      <w:r w:rsidRPr="0032590D">
        <w:t>Changing levels of cash acceptance</w:t>
      </w:r>
      <w:bookmarkEnd w:id="24"/>
    </w:p>
    <w:p w14:paraId="212BCB5B" w14:textId="0CF8A335" w:rsidR="00744F5D" w:rsidRPr="0032590D" w:rsidRDefault="00744F5D" w:rsidP="00E017C8">
      <w:r w:rsidRPr="0032590D">
        <w:t xml:space="preserve">Cash as a method to pay for goods and services has declined substantially in recent years. Australians are increasingly preferring to use card or digital payments to pay for goods and services. </w:t>
      </w:r>
    </w:p>
    <w:p w14:paraId="5E0D743F" w14:textId="1FAD3EA2" w:rsidR="00546AAA" w:rsidRPr="0032590D" w:rsidRDefault="00DD393C" w:rsidP="3035BD42">
      <w:r w:rsidRPr="0032590D">
        <w:rPr>
          <w:noProof/>
        </w:rPr>
        <w:drawing>
          <wp:anchor distT="0" distB="0" distL="114300" distR="114300" simplePos="0" relativeHeight="251659776" behindDoc="1" locked="0" layoutInCell="1" allowOverlap="1" wp14:anchorId="32EE6C7A" wp14:editId="23DCC0C1">
            <wp:simplePos x="0" y="0"/>
            <wp:positionH relativeFrom="column">
              <wp:posOffset>-2540</wp:posOffset>
            </wp:positionH>
            <wp:positionV relativeFrom="paragraph">
              <wp:posOffset>83820</wp:posOffset>
            </wp:positionV>
            <wp:extent cx="2590800" cy="2263542"/>
            <wp:effectExtent l="0" t="0" r="0" b="3810"/>
            <wp:wrapTight wrapText="bothSides">
              <wp:wrapPolygon edited="0">
                <wp:start x="0" y="0"/>
                <wp:lineTo x="0" y="21455"/>
                <wp:lineTo x="21441" y="21455"/>
                <wp:lineTo x="21441" y="0"/>
                <wp:lineTo x="0" y="0"/>
              </wp:wrapPolygon>
            </wp:wrapTight>
            <wp:docPr id="1797392818" name="Picture 1" descr="A graph of a graph with numbers and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392818" name="Picture 1" descr="A graph of a graph with numbers and lines&#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2590800" cy="2263542"/>
                    </a:xfrm>
                    <a:prstGeom prst="rect">
                      <a:avLst/>
                    </a:prstGeom>
                  </pic:spPr>
                </pic:pic>
              </a:graphicData>
            </a:graphic>
          </wp:anchor>
        </w:drawing>
      </w:r>
      <w:r w:rsidR="00744F5D" w:rsidRPr="0032590D">
        <w:t>The RBA’s 2022 Consumer Payments Survey found that 13 per cent of transactions were conducted using cash, with electronic payment methods making up the other 87 per cent.</w:t>
      </w:r>
      <w:r w:rsidR="002516E0" w:rsidRPr="0032590D">
        <w:rPr>
          <w:rStyle w:val="FootnoteReference"/>
        </w:rPr>
        <w:footnoteReference w:id="3"/>
      </w:r>
      <w:r w:rsidR="00744F5D" w:rsidRPr="0032590D">
        <w:t xml:space="preserve"> </w:t>
      </w:r>
      <w:r w:rsidR="276ED740" w:rsidRPr="0032590D">
        <w:t>However</w:t>
      </w:r>
      <w:r w:rsidR="00887A01" w:rsidRPr="0032590D">
        <w:t>, h</w:t>
      </w:r>
      <w:r w:rsidR="00744F5D" w:rsidRPr="0032590D">
        <w:t xml:space="preserve">igh cash users, </w:t>
      </w:r>
      <w:r w:rsidR="00887A01" w:rsidRPr="0032590D">
        <w:t xml:space="preserve">that is, </w:t>
      </w:r>
      <w:r w:rsidR="00744F5D" w:rsidRPr="0032590D">
        <w:t xml:space="preserve">those that use cash for 80 per cent or more of their in-person transaction now </w:t>
      </w:r>
      <w:r w:rsidR="67BBEEA5" w:rsidRPr="0032590D">
        <w:t xml:space="preserve">include </w:t>
      </w:r>
      <w:r w:rsidR="0067126D" w:rsidRPr="0032590D">
        <w:t xml:space="preserve">around </w:t>
      </w:r>
      <w:r w:rsidR="67BBEEA5" w:rsidRPr="0032590D">
        <w:t>1.</w:t>
      </w:r>
      <w:r w:rsidR="000639E2" w:rsidRPr="0032590D">
        <w:t>5</w:t>
      </w:r>
      <w:r w:rsidR="67BBEEA5" w:rsidRPr="0032590D">
        <w:t xml:space="preserve"> million people </w:t>
      </w:r>
      <w:r w:rsidR="00F15467" w:rsidRPr="0032590D">
        <w:t xml:space="preserve">(as of 30 June 2024) </w:t>
      </w:r>
      <w:r w:rsidR="67BBEEA5" w:rsidRPr="0032590D">
        <w:t xml:space="preserve">or </w:t>
      </w:r>
      <w:r w:rsidR="3F20D8BA" w:rsidRPr="0032590D">
        <w:t xml:space="preserve">approximately </w:t>
      </w:r>
      <w:r w:rsidR="00744F5D" w:rsidRPr="0032590D">
        <w:t>7</w:t>
      </w:r>
      <w:r w:rsidR="0040170B" w:rsidRPr="0032590D">
        <w:t> </w:t>
      </w:r>
      <w:r w:rsidR="00744F5D" w:rsidRPr="0032590D">
        <w:t xml:space="preserve">per cent of </w:t>
      </w:r>
      <w:r w:rsidR="008005EE" w:rsidRPr="0032590D">
        <w:t xml:space="preserve">adult </w:t>
      </w:r>
      <w:r w:rsidR="00744F5D" w:rsidRPr="0032590D">
        <w:t>Australians.</w:t>
      </w:r>
      <w:r w:rsidR="00744F5D" w:rsidRPr="0032590D">
        <w:rPr>
          <w:vertAlign w:val="superscript"/>
        </w:rPr>
        <w:footnoteReference w:id="4"/>
      </w:r>
      <w:r w:rsidR="00744F5D" w:rsidRPr="0032590D">
        <w:t xml:space="preserve"> </w:t>
      </w:r>
      <w:r w:rsidR="002E7A10" w:rsidRPr="0032590D">
        <w:t>Accordingly</w:t>
      </w:r>
      <w:r w:rsidR="000519BA" w:rsidRPr="0032590D">
        <w:t>, w</w:t>
      </w:r>
      <w:r w:rsidR="00744F5D" w:rsidRPr="0032590D">
        <w:t>hile electronic payments are growing in popularity</w:t>
      </w:r>
      <w:r w:rsidR="00DB031C" w:rsidRPr="0032590D">
        <w:t>,</w:t>
      </w:r>
      <w:r w:rsidR="00744F5D" w:rsidRPr="0032590D">
        <w:t xml:space="preserve"> it is clear some Australians retain a strong preference</w:t>
      </w:r>
      <w:r w:rsidR="155DBE95" w:rsidRPr="0032590D">
        <w:t xml:space="preserve"> or need to</w:t>
      </w:r>
      <w:r w:rsidR="00744F5D" w:rsidRPr="0032590D">
        <w:t xml:space="preserve"> </w:t>
      </w:r>
      <w:r w:rsidR="1AA18C01" w:rsidRPr="0032590D">
        <w:t xml:space="preserve">use </w:t>
      </w:r>
      <w:r w:rsidR="00744F5D" w:rsidRPr="0032590D">
        <w:t xml:space="preserve">cash and that cash </w:t>
      </w:r>
      <w:r w:rsidR="00D06942" w:rsidRPr="0032590D">
        <w:t xml:space="preserve">serves </w:t>
      </w:r>
      <w:r w:rsidR="00744F5D" w:rsidRPr="0032590D">
        <w:t>a</w:t>
      </w:r>
      <w:r w:rsidR="00AF0F93" w:rsidRPr="0032590D">
        <w:t>n</w:t>
      </w:r>
      <w:r w:rsidR="00744F5D" w:rsidRPr="0032590D">
        <w:t xml:space="preserve"> </w:t>
      </w:r>
      <w:r w:rsidR="00AF0F93" w:rsidRPr="0032590D">
        <w:t>important</w:t>
      </w:r>
      <w:r w:rsidR="00744F5D" w:rsidRPr="0032590D">
        <w:t xml:space="preserve"> role </w:t>
      </w:r>
      <w:r w:rsidR="608DE58D" w:rsidRPr="0032590D">
        <w:t>for many Australians</w:t>
      </w:r>
      <w:r w:rsidR="00744F5D" w:rsidRPr="0032590D">
        <w:t>.</w:t>
      </w:r>
    </w:p>
    <w:p w14:paraId="28251DA1" w14:textId="64286615" w:rsidR="00744F5D" w:rsidRPr="0032590D" w:rsidRDefault="00744F5D" w:rsidP="00E017C8">
      <w:r w:rsidRPr="0032590D">
        <w:t xml:space="preserve">Transactions are continuing to shift from in-person to online forms of shopping and there is an increasing demand for near-instant and seamless payment experiences. There is less reliance on physical forms of payments such as cash and cheques and increasing reliance on contactless card payments. The trends observed in Australia’s payments system mirror those happening globally, and the growing complexity of payments presents challenges to regulatory frameworks worldwide. </w:t>
      </w:r>
    </w:p>
    <w:p w14:paraId="13863F8C" w14:textId="1B3325A7" w:rsidR="00C11B2E" w:rsidRPr="0032590D" w:rsidRDefault="00657A7F" w:rsidP="00E017C8">
      <w:pPr>
        <w:rPr>
          <w:rFonts w:ascii="Calibri" w:hAnsi="Calibri" w:cs="Calibri"/>
        </w:rPr>
      </w:pPr>
      <w:r w:rsidRPr="0032590D">
        <w:t>Although</w:t>
      </w:r>
      <w:r w:rsidR="00543362" w:rsidRPr="0032590D">
        <w:t xml:space="preserve"> t</w:t>
      </w:r>
      <w:r w:rsidR="00C67377" w:rsidRPr="0032590D">
        <w:t xml:space="preserve">he share of retail payments made in cash </w:t>
      </w:r>
      <w:r w:rsidR="00543362" w:rsidRPr="0032590D">
        <w:t xml:space="preserve">has </w:t>
      </w:r>
      <w:r w:rsidR="00C67377" w:rsidRPr="0032590D">
        <w:t>fall</w:t>
      </w:r>
      <w:r w:rsidR="00543362" w:rsidRPr="0032590D">
        <w:t>en</w:t>
      </w:r>
      <w:r w:rsidR="00C67377" w:rsidRPr="0032590D">
        <w:t xml:space="preserve"> from 27 per cent in 2019 to 17 per cent in 2022</w:t>
      </w:r>
      <w:r w:rsidR="0014209B" w:rsidRPr="0032590D">
        <w:t>,</w:t>
      </w:r>
      <w:r w:rsidR="00C67377" w:rsidRPr="0032590D">
        <w:rPr>
          <w:rStyle w:val="FootnoteReference"/>
          <w:rFonts w:asciiTheme="minorHAnsi" w:hAnsiTheme="minorHAnsi" w:cstheme="minorHAnsi"/>
        </w:rPr>
        <w:footnoteReference w:id="5"/>
      </w:r>
      <w:r w:rsidR="00C67377" w:rsidRPr="0032590D">
        <w:t xml:space="preserve"> </w:t>
      </w:r>
      <w:r w:rsidR="00C11B2E" w:rsidRPr="0032590D">
        <w:rPr>
          <w:szCs w:val="22"/>
        </w:rPr>
        <w:t xml:space="preserve">cash is still accepted as </w:t>
      </w:r>
      <w:r w:rsidR="00F85283" w:rsidRPr="0032590D">
        <w:rPr>
          <w:szCs w:val="22"/>
        </w:rPr>
        <w:t xml:space="preserve">a form of </w:t>
      </w:r>
      <w:r w:rsidR="00C11B2E" w:rsidRPr="0032590D">
        <w:rPr>
          <w:szCs w:val="22"/>
        </w:rPr>
        <w:t>payment by between 78 and 94 per cent of Australian businesses</w:t>
      </w:r>
      <w:r w:rsidR="00723660" w:rsidRPr="0032590D">
        <w:rPr>
          <w:szCs w:val="22"/>
        </w:rPr>
        <w:t>.</w:t>
      </w:r>
      <w:r w:rsidR="00663E21" w:rsidRPr="0032590D">
        <w:rPr>
          <w:rStyle w:val="FootnoteReference"/>
          <w:rFonts w:asciiTheme="minorHAnsi" w:hAnsiTheme="minorHAnsi" w:cstheme="minorHAnsi"/>
          <w:szCs w:val="22"/>
        </w:rPr>
        <w:footnoteReference w:id="6"/>
      </w:r>
      <w:r w:rsidR="00723660" w:rsidRPr="0032590D">
        <w:rPr>
          <w:szCs w:val="22"/>
        </w:rPr>
        <w:t xml:space="preserve"> However, </w:t>
      </w:r>
      <w:r w:rsidR="00C11B2E" w:rsidRPr="0032590D">
        <w:rPr>
          <w:szCs w:val="22"/>
        </w:rPr>
        <w:t>the Reserve Bank of Australia’s Consumer Payments Survey found around half of all businesses planned to discourage cash payments in the near future.</w:t>
      </w:r>
      <w:r w:rsidR="00C11B2E" w:rsidRPr="0032590D">
        <w:rPr>
          <w:rStyle w:val="FootnoteReference"/>
          <w:rFonts w:asciiTheme="minorHAnsi" w:hAnsiTheme="minorHAnsi" w:cstheme="minorHAnsi"/>
          <w:sz w:val="22"/>
          <w:szCs w:val="22"/>
        </w:rPr>
        <w:footnoteReference w:id="7"/>
      </w:r>
      <w:r w:rsidR="00C11B2E" w:rsidRPr="0032590D">
        <w:rPr>
          <w:szCs w:val="22"/>
        </w:rPr>
        <w:t xml:space="preserve"> </w:t>
      </w:r>
      <w:r w:rsidR="00C11B2E" w:rsidRPr="0032590D">
        <w:t xml:space="preserve">If </w:t>
      </w:r>
      <w:r w:rsidR="00474497" w:rsidRPr="0032590D">
        <w:t>many</w:t>
      </w:r>
      <w:r w:rsidR="00C11B2E" w:rsidRPr="0032590D">
        <w:t xml:space="preserve"> </w:t>
      </w:r>
      <w:r w:rsidR="00815886" w:rsidRPr="0032590D">
        <w:t xml:space="preserve">more </w:t>
      </w:r>
      <w:r w:rsidR="00C11B2E" w:rsidRPr="0032590D">
        <w:t xml:space="preserve">businesses refuse to accept cash, there </w:t>
      </w:r>
      <w:r w:rsidR="00815886" w:rsidRPr="0032590D">
        <w:t xml:space="preserve">will be </w:t>
      </w:r>
      <w:r w:rsidR="00C11B2E" w:rsidRPr="0032590D">
        <w:t xml:space="preserve">significant social inclusion implications for </w:t>
      </w:r>
      <w:r w:rsidR="002C641C" w:rsidRPr="0032590D">
        <w:t xml:space="preserve">those </w:t>
      </w:r>
      <w:r w:rsidR="00C11B2E" w:rsidRPr="0032590D">
        <w:t xml:space="preserve">Australians who depend on cash to pay for essential goods and services. </w:t>
      </w:r>
      <w:r w:rsidR="009D7908" w:rsidRPr="0032590D">
        <w:t xml:space="preserve">This includes </w:t>
      </w:r>
      <w:r w:rsidR="00C11B2E" w:rsidRPr="0032590D">
        <w:t>regional and remote communities</w:t>
      </w:r>
      <w:r w:rsidR="009D7908" w:rsidRPr="0032590D">
        <w:t xml:space="preserve">, </w:t>
      </w:r>
      <w:r w:rsidR="00C11B2E" w:rsidRPr="0032590D">
        <w:t>those living with a disability, the elderly</w:t>
      </w:r>
      <w:r w:rsidR="0081417B" w:rsidRPr="0032590D">
        <w:t xml:space="preserve">, </w:t>
      </w:r>
      <w:r w:rsidR="00C11B2E" w:rsidRPr="0032590D">
        <w:t>culturally diverse Australians</w:t>
      </w:r>
      <w:r w:rsidR="004F3F7C" w:rsidRPr="0032590D">
        <w:t>, and First Nations peoples</w:t>
      </w:r>
      <w:r w:rsidR="00C11B2E" w:rsidRPr="0032590D">
        <w:t xml:space="preserve">. </w:t>
      </w:r>
    </w:p>
    <w:p w14:paraId="350BE94D" w14:textId="77777777" w:rsidR="00AA2D51" w:rsidRPr="0032590D" w:rsidRDefault="00C11B2E" w:rsidP="00E017C8">
      <w:r w:rsidRPr="0032590D">
        <w:t xml:space="preserve">Mandating that businesses who provide essential goods and services accept cash will ensure these groups can continue to make cash payments and support their ongoing inclusion in the economy. </w:t>
      </w:r>
      <w:bookmarkStart w:id="25" w:name="_Toc181026637"/>
    </w:p>
    <w:p w14:paraId="71137A23" w14:textId="45A3B963" w:rsidR="00DA5228" w:rsidRPr="0032590D" w:rsidRDefault="00DA5228" w:rsidP="00DE607C">
      <w:pPr>
        <w:pStyle w:val="Heading3"/>
      </w:pPr>
      <w:r w:rsidRPr="0032590D">
        <w:t xml:space="preserve">Impacts of reduced </w:t>
      </w:r>
      <w:r w:rsidR="00104FB4" w:rsidRPr="0032590D">
        <w:t xml:space="preserve">levels of </w:t>
      </w:r>
      <w:r w:rsidRPr="0032590D">
        <w:t>cash acceptance</w:t>
      </w:r>
      <w:bookmarkEnd w:id="25"/>
    </w:p>
    <w:p w14:paraId="2FE70787" w14:textId="77777777" w:rsidR="00104FB4" w:rsidRPr="0032590D" w:rsidRDefault="00104FB4" w:rsidP="00D318CC">
      <w:r w:rsidRPr="0032590D">
        <w:t xml:space="preserve">Reduced levels of cash acceptance can have significant impacts on the community, particularly those who rely heavily on cash transactions. These impacts are not felt uniformly across society. </w:t>
      </w:r>
    </w:p>
    <w:p w14:paraId="3F0FB1C9" w14:textId="67A5DF2E" w:rsidR="00104FB4" w:rsidRPr="0032590D" w:rsidRDefault="00104FB4" w:rsidP="00D318CC">
      <w:r w:rsidRPr="0032590D">
        <w:t xml:space="preserve">Regional and remote areas can be more reliant on cash as a payment method. </w:t>
      </w:r>
      <w:r w:rsidR="00AF06A1" w:rsidRPr="0032590D">
        <w:t xml:space="preserve">This may be because </w:t>
      </w:r>
      <w:r w:rsidR="006859DB" w:rsidRPr="0032590D">
        <w:t xml:space="preserve">disruptions in </w:t>
      </w:r>
      <w:r w:rsidR="00E53090" w:rsidRPr="0032590D">
        <w:t xml:space="preserve">regional </w:t>
      </w:r>
      <w:r w:rsidR="006859DB" w:rsidRPr="0032590D">
        <w:t xml:space="preserve">areas </w:t>
      </w:r>
      <w:r w:rsidR="00845E37" w:rsidRPr="0032590D">
        <w:t xml:space="preserve">(such as through digital outages or natural disasters) </w:t>
      </w:r>
      <w:r w:rsidR="006859DB" w:rsidRPr="0032590D">
        <w:t xml:space="preserve">may have </w:t>
      </w:r>
      <w:r w:rsidR="00E53090" w:rsidRPr="0032590D">
        <w:t xml:space="preserve">a </w:t>
      </w:r>
      <w:r w:rsidR="006859DB" w:rsidRPr="0032590D">
        <w:t>more significant impact than in metropolitan areas.</w:t>
      </w:r>
    </w:p>
    <w:p w14:paraId="582444CF" w14:textId="0EEAFB6F" w:rsidR="00104FB4" w:rsidRPr="0032590D" w:rsidRDefault="00104FB4" w:rsidP="00D318CC">
      <w:r w:rsidRPr="0032590D">
        <w:t xml:space="preserve">Older Australians may be </w:t>
      </w:r>
      <w:r w:rsidR="00E430E1" w:rsidRPr="0032590D">
        <w:t xml:space="preserve">disproportionately </w:t>
      </w:r>
      <w:r w:rsidRPr="0032590D">
        <w:t xml:space="preserve">impacted </w:t>
      </w:r>
      <w:r w:rsidR="00E430E1" w:rsidRPr="0032590D">
        <w:t xml:space="preserve">by </w:t>
      </w:r>
      <w:r w:rsidRPr="0032590D">
        <w:t xml:space="preserve">reduced cash acceptance given </w:t>
      </w:r>
      <w:r w:rsidR="00022122" w:rsidRPr="0032590D">
        <w:t xml:space="preserve">their </w:t>
      </w:r>
      <w:r w:rsidRPr="0032590D">
        <w:t xml:space="preserve">longstanding familiarity and trust in the cash system. Many individuals prefer using cash due to its simplicity and the sense of control it provides over their finances. </w:t>
      </w:r>
      <w:r w:rsidR="00957A81" w:rsidRPr="0032590D">
        <w:t>T</w:t>
      </w:r>
      <w:r w:rsidRPr="0032590D">
        <w:t>ransition</w:t>
      </w:r>
      <w:r w:rsidR="00957A81" w:rsidRPr="0032590D">
        <w:t>ing</w:t>
      </w:r>
      <w:r w:rsidRPr="0032590D">
        <w:t xml:space="preserve"> to digital payments can be daunting, leading to a sense of exclusion and frustration. </w:t>
      </w:r>
    </w:p>
    <w:p w14:paraId="02709C69" w14:textId="65573067" w:rsidR="00104FB4" w:rsidRPr="0032590D" w:rsidRDefault="006C37DD" w:rsidP="00D318CC">
      <w:r w:rsidRPr="0032590D">
        <w:t>Low-income households</w:t>
      </w:r>
      <w:r w:rsidR="00205E06" w:rsidRPr="0032590D">
        <w:t xml:space="preserve">, younger Australians </w:t>
      </w:r>
      <w:r w:rsidRPr="0032590D">
        <w:t>and i</w:t>
      </w:r>
      <w:r w:rsidR="00104FB4" w:rsidRPr="0032590D">
        <w:t xml:space="preserve">ndividuals without access to credit cards can rely more on cash for daily transactions and as a means </w:t>
      </w:r>
      <w:r w:rsidR="00637E5C" w:rsidRPr="0032590D">
        <w:t xml:space="preserve">of </w:t>
      </w:r>
      <w:r w:rsidR="00104FB4" w:rsidRPr="0032590D">
        <w:t xml:space="preserve">household budgeting. For these groups, cash </w:t>
      </w:r>
      <w:r w:rsidR="00F83662" w:rsidRPr="0032590D">
        <w:t>can be</w:t>
      </w:r>
      <w:r w:rsidR="00104FB4" w:rsidRPr="0032590D">
        <w:t xml:space="preserve"> a tangible way to manage their finances, helping them to avoid overspending</w:t>
      </w:r>
      <w:r w:rsidR="002C3868" w:rsidRPr="0032590D">
        <w:t>.</w:t>
      </w:r>
    </w:p>
    <w:p w14:paraId="4283C04C" w14:textId="4DCCD535" w:rsidR="007524F0" w:rsidRPr="0032590D" w:rsidRDefault="007524F0" w:rsidP="007524F0">
      <w:r w:rsidRPr="0032590D">
        <w:t xml:space="preserve">Cash transactions can provide individuals with more confidence that they can maintain their privacy and safety, and avoid or reduce the risk of fraud, identity theft or digital abuse which can be associated with electronic payments. The anonymity of cash transactions means that personal information is not shared, reducing the risk of data breaches and financial fraud. </w:t>
      </w:r>
    </w:p>
    <w:p w14:paraId="5443FABB" w14:textId="4F8C7105" w:rsidR="00433C77" w:rsidRPr="0032590D" w:rsidRDefault="00433C77" w:rsidP="009F35D0">
      <w:pPr>
        <w:pStyle w:val="Heading3"/>
      </w:pPr>
      <w:bookmarkStart w:id="26" w:name="_Toc181026638"/>
      <w:r w:rsidRPr="0032590D">
        <w:t>Existing regulation of cash payment</w:t>
      </w:r>
      <w:bookmarkEnd w:id="26"/>
      <w:r w:rsidR="0063240B" w:rsidRPr="0032590D">
        <w:t>s</w:t>
      </w:r>
    </w:p>
    <w:p w14:paraId="299C58D9" w14:textId="56F68815" w:rsidR="0012433D" w:rsidRPr="0032590D" w:rsidRDefault="0039415B" w:rsidP="00D318CC">
      <w:r w:rsidRPr="0032590D">
        <w:t xml:space="preserve">Currently, businesses can choose what payment methods are best for them to accept. </w:t>
      </w:r>
      <w:r w:rsidR="0012433D" w:rsidRPr="0032590D">
        <w:t xml:space="preserve">The regulation of cash </w:t>
      </w:r>
      <w:r w:rsidR="00A776A2" w:rsidRPr="0032590D">
        <w:t>– coins and notes -</w:t>
      </w:r>
      <w:r w:rsidR="0012433D" w:rsidRPr="0032590D">
        <w:t xml:space="preserve"> in Australia is governed by </w:t>
      </w:r>
      <w:r w:rsidR="00D24124" w:rsidRPr="0032590D">
        <w:t>a</w:t>
      </w:r>
      <w:r w:rsidR="0012433D" w:rsidRPr="0032590D">
        <w:t xml:space="preserve"> legislative framework </w:t>
      </w:r>
      <w:r w:rsidR="00D852B9" w:rsidRPr="0032590D">
        <w:t xml:space="preserve">that </w:t>
      </w:r>
      <w:r w:rsidR="00864D47" w:rsidRPr="0032590D">
        <w:t>is</w:t>
      </w:r>
      <w:r w:rsidR="00D852B9" w:rsidRPr="0032590D">
        <w:t xml:space="preserve"> </w:t>
      </w:r>
      <w:r w:rsidR="0012433D" w:rsidRPr="0032590D">
        <w:t>designed to maintain the integrity of the currency.</w:t>
      </w:r>
      <w:r w:rsidR="009840F1" w:rsidRPr="0032590D">
        <w:t xml:space="preserve"> There is currently no regulation that mandates businesses must accept cash as a means of payment.</w:t>
      </w:r>
    </w:p>
    <w:p w14:paraId="0BFD698C" w14:textId="77777777" w:rsidR="00E9144D" w:rsidRPr="0032590D" w:rsidRDefault="00E9144D" w:rsidP="00E9144D">
      <w:pPr>
        <w:pStyle w:val="Heading4"/>
        <w:spacing w:line="240" w:lineRule="auto"/>
      </w:pPr>
      <w:r w:rsidRPr="0032590D">
        <w:t xml:space="preserve">Currency Act and Reserve Bank Act </w:t>
      </w:r>
    </w:p>
    <w:p w14:paraId="13C6E4B9" w14:textId="77777777" w:rsidR="00E9144D" w:rsidRPr="0032590D" w:rsidRDefault="00E9144D" w:rsidP="00E9144D">
      <w:r w:rsidRPr="0032590D">
        <w:t xml:space="preserve">The </w:t>
      </w:r>
      <w:r w:rsidRPr="0032590D">
        <w:rPr>
          <w:i/>
        </w:rPr>
        <w:t>Currency Act 1965</w:t>
      </w:r>
      <w:r w:rsidRPr="0032590D">
        <w:rPr>
          <w:iCs/>
        </w:rPr>
        <w:t xml:space="preserve"> and the </w:t>
      </w:r>
      <w:r w:rsidRPr="0032590D">
        <w:rPr>
          <w:i/>
          <w:iCs/>
        </w:rPr>
        <w:t>Reserve Bank Act 1959</w:t>
      </w:r>
      <w:r w:rsidRPr="0032590D">
        <w:t xml:space="preserve"> establish the legal framework for Australian currency</w:t>
      </w:r>
      <w:r w:rsidRPr="0032590D">
        <w:rPr>
          <w:i/>
          <w:iCs/>
        </w:rPr>
        <w:t xml:space="preserve">. </w:t>
      </w:r>
      <w:r w:rsidRPr="0032590D">
        <w:t xml:space="preserve">The </w:t>
      </w:r>
      <w:r w:rsidRPr="0032590D">
        <w:rPr>
          <w:i/>
          <w:iCs/>
        </w:rPr>
        <w:t>Currency Act 1965</w:t>
      </w:r>
      <w:r w:rsidRPr="0032590D">
        <w:t xml:space="preserve"> designates the dollar as the monetary unit and requires transactions to be in Australian currency (unless specified to be in a foreign currency). The </w:t>
      </w:r>
      <w:r w:rsidRPr="0032590D">
        <w:rPr>
          <w:i/>
          <w:iCs/>
        </w:rPr>
        <w:t>Currency Act 1965</w:t>
      </w:r>
      <w:r w:rsidRPr="0032590D">
        <w:t xml:space="preserve"> and the </w:t>
      </w:r>
      <w:r w:rsidRPr="0032590D">
        <w:rPr>
          <w:i/>
          <w:iCs/>
        </w:rPr>
        <w:t>Reserve Bank Act 1959</w:t>
      </w:r>
      <w:r w:rsidRPr="0032590D">
        <w:t xml:space="preserve"> designate authorised coins and notes, respectively, to be legal tender.</w:t>
      </w:r>
      <w:r w:rsidRPr="0032590D">
        <w:rPr>
          <w:rStyle w:val="FootnoteReference"/>
          <w:rFonts w:asciiTheme="minorHAnsi" w:hAnsiTheme="minorHAnsi" w:cstheme="minorHAnsi"/>
        </w:rPr>
        <w:footnoteReference w:id="8"/>
      </w:r>
      <w:r w:rsidRPr="0032590D">
        <w:t xml:space="preserve"> Both Acts also prohibit the unauthorised issue of coins and notes.</w:t>
      </w:r>
      <w:r w:rsidRPr="0032590D">
        <w:rPr>
          <w:rStyle w:val="FootnoteReference"/>
          <w:rFonts w:asciiTheme="minorHAnsi" w:hAnsiTheme="minorHAnsi" w:cstheme="minorHAnsi"/>
        </w:rPr>
        <w:footnoteReference w:id="9"/>
      </w:r>
    </w:p>
    <w:p w14:paraId="2E27B9A3" w14:textId="77777777" w:rsidR="007B2BEE" w:rsidRPr="0032590D" w:rsidRDefault="007B2BEE" w:rsidP="007B2BEE">
      <w:pPr>
        <w:rPr>
          <w:rFonts w:cs="Arial"/>
          <w:color w:val="4D7861" w:themeColor="accent2"/>
          <w:kern w:val="32"/>
          <w:sz w:val="24"/>
          <w:szCs w:val="26"/>
        </w:rPr>
      </w:pPr>
      <w:r w:rsidRPr="0032590D">
        <w:rPr>
          <w:rFonts w:cs="Arial"/>
          <w:color w:val="4D7861" w:themeColor="accent2"/>
          <w:kern w:val="32"/>
          <w:sz w:val="24"/>
          <w:szCs w:val="26"/>
        </w:rPr>
        <w:t>Criminal law</w:t>
      </w:r>
    </w:p>
    <w:p w14:paraId="550DC9AC" w14:textId="4B6F8D8E" w:rsidR="00660CD9" w:rsidRPr="0032590D" w:rsidRDefault="00660CD9" w:rsidP="00660CD9">
      <w:bookmarkStart w:id="27" w:name="_Toc181026639"/>
      <w:r w:rsidRPr="0032590D">
        <w:t xml:space="preserve">Criminal law in Australia addresses various offences related to cash payments, including the use of counterfeit currency. The </w:t>
      </w:r>
      <w:r w:rsidRPr="0032590D">
        <w:rPr>
          <w:i/>
        </w:rPr>
        <w:t>Crimes (Currency) Act 1981</w:t>
      </w:r>
      <w:r w:rsidRPr="0032590D">
        <w:t xml:space="preserve"> makes it an offence to make, utter or possess counterfeit money. These laws are designed to maintain the integrity of the currency and protect the economy from the adverse effects of counterfeit activities.</w:t>
      </w:r>
      <w:r w:rsidR="005F37C9" w:rsidRPr="0032590D">
        <w:rPr>
          <w:rStyle w:val="FootnoteReference"/>
        </w:rPr>
        <w:footnoteReference w:id="10"/>
      </w:r>
      <w:r w:rsidR="00511359" w:rsidRPr="0032590D">
        <w:t xml:space="preserve">  </w:t>
      </w:r>
    </w:p>
    <w:bookmarkEnd w:id="27"/>
    <w:p w14:paraId="1521566D" w14:textId="77777777" w:rsidR="00385705" w:rsidRPr="0032590D" w:rsidRDefault="00385705" w:rsidP="00385705">
      <w:pPr>
        <w:pStyle w:val="Heading3"/>
        <w:spacing w:line="240" w:lineRule="auto"/>
      </w:pPr>
      <w:r w:rsidRPr="0032590D">
        <w:t>International experience</w:t>
      </w:r>
    </w:p>
    <w:p w14:paraId="3AFD3F0F" w14:textId="20415412" w:rsidR="00385705" w:rsidRPr="0032590D" w:rsidRDefault="00F244E7" w:rsidP="00385705">
      <w:r w:rsidRPr="0032590D">
        <w:t>O</w:t>
      </w:r>
      <w:r w:rsidR="00385705" w:rsidRPr="0032590D">
        <w:t xml:space="preserve">verseas jurisdictions </w:t>
      </w:r>
      <w:r w:rsidRPr="0032590D">
        <w:t xml:space="preserve">are adopting </w:t>
      </w:r>
      <w:r w:rsidR="00385705" w:rsidRPr="0032590D">
        <w:t>cash acceptance mandates. In June 2023</w:t>
      </w:r>
      <w:r w:rsidR="00447259" w:rsidRPr="0032590D">
        <w:t>,</w:t>
      </w:r>
      <w:r w:rsidR="00385705" w:rsidRPr="0032590D">
        <w:t xml:space="preserve"> the European Commission put forward a proposal to ensure widespread acceptance of cash payments, as well as sufficient and effective access to cash.</w:t>
      </w:r>
      <w:r w:rsidR="00385705" w:rsidRPr="0032590D">
        <w:rPr>
          <w:rStyle w:val="FootnoteReference"/>
          <w:rFonts w:asciiTheme="minorHAnsi" w:hAnsiTheme="minorHAnsi" w:cstheme="minorHAnsi"/>
        </w:rPr>
        <w:footnoteReference w:id="11"/>
      </w:r>
      <w:r w:rsidR="00385705" w:rsidRPr="0032590D">
        <w:t xml:space="preserve"> If the proposals are adopted, EU Member States will need to ensure widespread acceptance of cash payments, as well as sufficient and effective access to cash. They will need to monitor and report on the situation and take measures to address any problems identified. The European Commission could step in to specify measures if needed. These mandates are driven by the recognition that cash plays a vital role in communities, particularly for vulnerable populations who may not have access to digital payment methods. The European Court of Justice has also supported the view that each member state can oblige its administrative bodies to accept payment in euro banknotes, although member states can also limit payment options on public interest grounds.</w:t>
      </w:r>
      <w:r w:rsidR="00385705" w:rsidRPr="0032590D">
        <w:rPr>
          <w:rStyle w:val="FootnoteReference"/>
          <w:rFonts w:asciiTheme="minorHAnsi" w:hAnsiTheme="minorHAnsi" w:cstheme="minorHAnsi"/>
        </w:rPr>
        <w:footnoteReference w:id="12"/>
      </w:r>
      <w:r w:rsidR="00385705" w:rsidRPr="0032590D">
        <w:t xml:space="preserve"> </w:t>
      </w:r>
    </w:p>
    <w:p w14:paraId="4998C93D" w14:textId="3EFE643C" w:rsidR="00B94340" w:rsidRPr="0032590D" w:rsidRDefault="00B94340" w:rsidP="00D318CC">
      <w:r w:rsidRPr="0032590D">
        <w:t>In the United States, the approach to cash acceptance mandates is more fragmented. While there is no federal mandate, several states, including Colorado, Illinois, Montana, Massachusetts, New Jersey, and New York, have introduced localised mandates requiring businesses to accept cash for payments below a certain value. These mandates vary in their protections but generally aim to ensure that consumers who prefer or rely on cash are not excluded from participating in the economy. The Payment Choice Bill, currently before a Senate Committee, proposes to require all retail businesses to accept cash for purchases under $500.</w:t>
      </w:r>
      <w:r w:rsidR="004E77F1" w:rsidRPr="0032590D">
        <w:rPr>
          <w:rStyle w:val="FootnoteReference"/>
          <w:rFonts w:asciiTheme="minorHAnsi" w:hAnsiTheme="minorHAnsi" w:cstheme="minorHAnsi"/>
        </w:rPr>
        <w:footnoteReference w:id="13"/>
      </w:r>
      <w:r w:rsidRPr="0032590D">
        <w:t xml:space="preserve"> </w:t>
      </w:r>
    </w:p>
    <w:p w14:paraId="142811D6" w14:textId="6A6C3D0A" w:rsidR="0030252A" w:rsidRPr="0032590D" w:rsidRDefault="00B94340" w:rsidP="00D318CC">
      <w:r w:rsidRPr="0032590D">
        <w:t>Other countries are also exploring</w:t>
      </w:r>
      <w:r w:rsidR="007334A5" w:rsidRPr="0032590D">
        <w:t>,</w:t>
      </w:r>
      <w:r w:rsidRPr="0032590D">
        <w:t xml:space="preserve"> implementing </w:t>
      </w:r>
      <w:r w:rsidR="007334A5" w:rsidRPr="0032590D">
        <w:t xml:space="preserve">or have introduced </w:t>
      </w:r>
      <w:r w:rsidRPr="0032590D">
        <w:t xml:space="preserve">cash acceptance mandates. For example, </w:t>
      </w:r>
      <w:r w:rsidR="000360C2" w:rsidRPr="0032590D">
        <w:t xml:space="preserve">Austria, </w:t>
      </w:r>
      <w:r w:rsidR="0010796D" w:rsidRPr="0032590D">
        <w:t>Denmark, Ireland</w:t>
      </w:r>
      <w:r w:rsidR="00A7662C" w:rsidRPr="0032590D">
        <w:t xml:space="preserve">, New Zealand, </w:t>
      </w:r>
      <w:r w:rsidR="00D73EF4" w:rsidRPr="0032590D">
        <w:t xml:space="preserve">Norway, </w:t>
      </w:r>
      <w:r w:rsidR="00A7662C" w:rsidRPr="0032590D">
        <w:t xml:space="preserve">and </w:t>
      </w:r>
      <w:r w:rsidRPr="0032590D">
        <w:t>Sweden</w:t>
      </w:r>
      <w:r w:rsidR="0092576A" w:rsidRPr="0032590D">
        <w:t>. The</w:t>
      </w:r>
      <w:r w:rsidR="00637D6D" w:rsidRPr="0032590D">
        <w:t xml:space="preserve">se initiatives </w:t>
      </w:r>
      <w:r w:rsidRPr="0032590D">
        <w:t xml:space="preserve">have generally received strong public support </w:t>
      </w:r>
      <w:r w:rsidR="004D0064" w:rsidRPr="0032590D">
        <w:t xml:space="preserve">and </w:t>
      </w:r>
      <w:r w:rsidRPr="0032590D">
        <w:t xml:space="preserve">draw on </w:t>
      </w:r>
      <w:r w:rsidR="008E31C5" w:rsidRPr="0032590D">
        <w:t>the</w:t>
      </w:r>
      <w:r w:rsidRPr="0032590D">
        <w:t xml:space="preserve"> lessons learned from other jurisdictions to develop flexible legislation that balances the need for cash acceptance with the growing trend towards digital payments. </w:t>
      </w:r>
    </w:p>
    <w:p w14:paraId="0C9A5619" w14:textId="5AAB6515" w:rsidR="001A5D33" w:rsidRPr="0032590D" w:rsidRDefault="0030252A" w:rsidP="00D318CC">
      <w:r w:rsidRPr="0032590D">
        <w:t xml:space="preserve">Internationally there is a common goal </w:t>
      </w:r>
      <w:r w:rsidR="00B94340" w:rsidRPr="0032590D">
        <w:t>to create a resilient payment system that ensur</w:t>
      </w:r>
      <w:r w:rsidR="00702AF7" w:rsidRPr="0032590D">
        <w:t>es</w:t>
      </w:r>
      <w:r w:rsidR="00B94340" w:rsidRPr="0032590D">
        <w:t xml:space="preserve"> no one is left behind in the transition to a digital economy. This international experience highlights the importance of cash acceptance mandates in promoting financial inclusion.</w:t>
      </w:r>
    </w:p>
    <w:p w14:paraId="19B2D462" w14:textId="358A180F" w:rsidR="00EA5AB7" w:rsidRPr="0032590D" w:rsidRDefault="00416D26" w:rsidP="002D4968">
      <w:pPr>
        <w:pStyle w:val="Heading2"/>
      </w:pPr>
      <w:bookmarkStart w:id="28" w:name="_Toc181026640"/>
      <w:bookmarkStart w:id="29" w:name="_Toc181278094"/>
      <w:bookmarkStart w:id="30" w:name="_Toc183137377"/>
      <w:r w:rsidRPr="0032590D">
        <w:t>Government decision to mandate cash acceptance</w:t>
      </w:r>
      <w:bookmarkEnd w:id="28"/>
      <w:bookmarkEnd w:id="29"/>
      <w:bookmarkEnd w:id="30"/>
    </w:p>
    <w:p w14:paraId="16C9BEF2" w14:textId="67B44920" w:rsidR="00E42B30" w:rsidRPr="0032590D" w:rsidRDefault="00FA04C4" w:rsidP="001A5D33">
      <w:pPr>
        <w:keepNext/>
      </w:pPr>
      <w:r w:rsidRPr="0032590D">
        <w:t xml:space="preserve">The objective of the cash acceptance mandate is to ensure that cash remains a viable and accessible </w:t>
      </w:r>
      <w:r w:rsidR="00B22B74" w:rsidRPr="0032590D">
        <w:t>in</w:t>
      </w:r>
      <w:r w:rsidR="00D43D57" w:rsidRPr="0032590D">
        <w:t>-</w:t>
      </w:r>
      <w:r w:rsidR="00B22B74" w:rsidRPr="0032590D">
        <w:t xml:space="preserve">person </w:t>
      </w:r>
      <w:r w:rsidRPr="0032590D">
        <w:t>payment option</w:t>
      </w:r>
      <w:r w:rsidR="000004A7" w:rsidRPr="0032590D">
        <w:t xml:space="preserve"> for essential items</w:t>
      </w:r>
      <w:r w:rsidRPr="0032590D">
        <w:t xml:space="preserve">, allowing consumers, including those </w:t>
      </w:r>
      <w:r w:rsidR="004F0634" w:rsidRPr="0032590D">
        <w:t>unable to</w:t>
      </w:r>
      <w:r w:rsidRPr="0032590D">
        <w:t xml:space="preserve"> </w:t>
      </w:r>
      <w:r w:rsidR="00DC538D" w:rsidRPr="0032590D">
        <w:t>use</w:t>
      </w:r>
      <w:r w:rsidRPr="0032590D">
        <w:t xml:space="preserve"> digital payment methods, to participate in the economy. </w:t>
      </w:r>
      <w:r w:rsidR="00A266AB" w:rsidRPr="0032590D">
        <w:t xml:space="preserve">Implementing a </w:t>
      </w:r>
      <w:r w:rsidR="00DB23BB" w:rsidRPr="0032590D">
        <w:t xml:space="preserve">cash acceptance </w:t>
      </w:r>
      <w:r w:rsidR="00A266AB" w:rsidRPr="0032590D">
        <w:t xml:space="preserve">mandate while cash is </w:t>
      </w:r>
      <w:r w:rsidR="00CF2E54" w:rsidRPr="0032590D">
        <w:t xml:space="preserve">still </w:t>
      </w:r>
      <w:r w:rsidR="00A0799E" w:rsidRPr="0032590D">
        <w:t xml:space="preserve">a </w:t>
      </w:r>
      <w:r w:rsidR="00CA720A" w:rsidRPr="0032590D">
        <w:t xml:space="preserve">widely </w:t>
      </w:r>
      <w:r w:rsidR="00A266AB" w:rsidRPr="0032590D">
        <w:t xml:space="preserve">accepted form of payment will </w:t>
      </w:r>
      <w:r w:rsidR="00CA720A" w:rsidRPr="0032590D">
        <w:t xml:space="preserve">help </w:t>
      </w:r>
      <w:r w:rsidR="00A266AB" w:rsidRPr="0032590D">
        <w:t>to avoid additional costs down the track</w:t>
      </w:r>
      <w:r w:rsidR="00C05C11" w:rsidRPr="0032590D">
        <w:t xml:space="preserve"> where infrastructure </w:t>
      </w:r>
      <w:r w:rsidR="00563BB6" w:rsidRPr="0032590D">
        <w:t xml:space="preserve">would otherwise </w:t>
      </w:r>
      <w:r w:rsidR="002A7488" w:rsidRPr="0032590D">
        <w:t>need</w:t>
      </w:r>
      <w:r w:rsidR="00563BB6" w:rsidRPr="0032590D">
        <w:t xml:space="preserve"> to be rebuilt</w:t>
      </w:r>
      <w:r w:rsidR="00A266AB" w:rsidRPr="0032590D">
        <w:t xml:space="preserve">. </w:t>
      </w:r>
      <w:r w:rsidR="00B63AC9" w:rsidRPr="0032590D">
        <w:t>A</w:t>
      </w:r>
      <w:r w:rsidR="002456F1" w:rsidRPr="0032590D">
        <w:t xml:space="preserve">ny </w:t>
      </w:r>
      <w:r w:rsidR="00A266AB" w:rsidRPr="0032590D">
        <w:t xml:space="preserve">businesses </w:t>
      </w:r>
      <w:r w:rsidR="00E42B30" w:rsidRPr="0032590D">
        <w:t xml:space="preserve">covered </w:t>
      </w:r>
      <w:r w:rsidR="00A32BB3" w:rsidRPr="0032590D">
        <w:t xml:space="preserve">by the mandate </w:t>
      </w:r>
      <w:r w:rsidR="00D11C63" w:rsidRPr="0032590D">
        <w:t xml:space="preserve">should be of </w:t>
      </w:r>
      <w:r w:rsidR="00A32BB3" w:rsidRPr="0032590D">
        <w:t xml:space="preserve">sufficient </w:t>
      </w:r>
      <w:r w:rsidR="00A266AB" w:rsidRPr="0032590D">
        <w:t xml:space="preserve">scale to </w:t>
      </w:r>
      <w:r w:rsidR="00A32BB3" w:rsidRPr="0032590D">
        <w:t xml:space="preserve">enable it to </w:t>
      </w:r>
      <w:r w:rsidR="00A266AB" w:rsidRPr="0032590D">
        <w:t xml:space="preserve">manage </w:t>
      </w:r>
      <w:r w:rsidR="0000042C" w:rsidRPr="0032590D">
        <w:t>the current and future costs of handling cash.</w:t>
      </w:r>
      <w:r w:rsidR="00E42B30" w:rsidRPr="0032590D">
        <w:t xml:space="preserve"> </w:t>
      </w:r>
    </w:p>
    <w:p w14:paraId="4C96F845" w14:textId="52D2CC98" w:rsidR="00FE6050" w:rsidRPr="0032590D" w:rsidRDefault="00FE6050" w:rsidP="00D318CC">
      <w:r w:rsidRPr="0032590D">
        <w:t xml:space="preserve">The mandate’s design will be guided by key </w:t>
      </w:r>
      <w:r w:rsidR="00037100" w:rsidRPr="0032590D">
        <w:t xml:space="preserve">design </w:t>
      </w:r>
      <w:r w:rsidRPr="0032590D">
        <w:t xml:space="preserve">principles to meet community expectations that cash can be relied on as a payment method when transacting </w:t>
      </w:r>
      <w:r w:rsidR="006445FD" w:rsidRPr="0032590D">
        <w:t>in-person with</w:t>
      </w:r>
      <w:r w:rsidRPr="0032590D">
        <w:t xml:space="preserve"> businesses supplying essential goods and services.</w:t>
      </w:r>
    </w:p>
    <w:p w14:paraId="467276EA" w14:textId="2BCDA5FD" w:rsidR="00A96A78" w:rsidRPr="0032590D" w:rsidRDefault="00A96A78" w:rsidP="00DF1EB0">
      <w:r w:rsidRPr="0032590D">
        <w:rPr>
          <w:b/>
        </w:rPr>
        <w:t>P</w:t>
      </w:r>
      <w:r w:rsidR="009F4355" w:rsidRPr="0032590D">
        <w:rPr>
          <w:b/>
        </w:rPr>
        <w:t xml:space="preserve">romote </w:t>
      </w:r>
      <w:r w:rsidR="004903BF" w:rsidRPr="0032590D">
        <w:rPr>
          <w:b/>
        </w:rPr>
        <w:t xml:space="preserve">social </w:t>
      </w:r>
      <w:r w:rsidR="009F4355" w:rsidRPr="0032590D">
        <w:rPr>
          <w:b/>
        </w:rPr>
        <w:t>inclusion</w:t>
      </w:r>
      <w:r w:rsidR="00D318CC" w:rsidRPr="0032590D">
        <w:t xml:space="preserve">. </w:t>
      </w:r>
      <w:r w:rsidR="003B2139" w:rsidRPr="0032590D">
        <w:t xml:space="preserve">The mandate </w:t>
      </w:r>
      <w:r w:rsidR="009F2AF3" w:rsidRPr="0032590D">
        <w:t>will assist in ensuring</w:t>
      </w:r>
      <w:r w:rsidR="009F4355" w:rsidRPr="0032590D">
        <w:t xml:space="preserve"> individuals, including those </w:t>
      </w:r>
      <w:r w:rsidR="001B2CC5" w:rsidRPr="0032590D">
        <w:t xml:space="preserve">unable to </w:t>
      </w:r>
      <w:r w:rsidR="0082092E" w:rsidRPr="0032590D">
        <w:t>use</w:t>
      </w:r>
      <w:r w:rsidR="009F4355" w:rsidRPr="0032590D">
        <w:t xml:space="preserve"> digital payment methods, can participate in the economy. This is particularly important for </w:t>
      </w:r>
      <w:r w:rsidR="005A7CB8" w:rsidRPr="0032590D">
        <w:t>groups</w:t>
      </w:r>
      <w:r w:rsidR="009F4355" w:rsidRPr="0032590D">
        <w:t xml:space="preserve"> such as </w:t>
      </w:r>
      <w:r w:rsidR="00605242" w:rsidRPr="0032590D">
        <w:t>older Australians</w:t>
      </w:r>
      <w:r w:rsidR="009F4355" w:rsidRPr="0032590D">
        <w:t xml:space="preserve">, low-income </w:t>
      </w:r>
      <w:r w:rsidR="00605242" w:rsidRPr="0032590D">
        <w:t>households</w:t>
      </w:r>
      <w:r w:rsidR="009F4355" w:rsidRPr="0032590D">
        <w:t xml:space="preserve">, and </w:t>
      </w:r>
      <w:r w:rsidR="00605242" w:rsidRPr="0032590D">
        <w:t>culturally and linguistically diverse Australians</w:t>
      </w:r>
      <w:r w:rsidR="004F3F7C" w:rsidRPr="0032590D">
        <w:t>, and First Nations peoples</w:t>
      </w:r>
      <w:r w:rsidR="009F4355" w:rsidRPr="0032590D">
        <w:t>.</w:t>
      </w:r>
    </w:p>
    <w:p w14:paraId="44290ECD" w14:textId="1644EF98" w:rsidR="00A96A78" w:rsidRPr="0032590D" w:rsidRDefault="00A96A78" w:rsidP="00DF1EB0">
      <w:r w:rsidRPr="0032590D">
        <w:rPr>
          <w:b/>
        </w:rPr>
        <w:t>E</w:t>
      </w:r>
      <w:r w:rsidR="009F4355" w:rsidRPr="0032590D">
        <w:rPr>
          <w:b/>
        </w:rPr>
        <w:t xml:space="preserve">nhance </w:t>
      </w:r>
      <w:r w:rsidR="004903BF" w:rsidRPr="0032590D">
        <w:rPr>
          <w:b/>
        </w:rPr>
        <w:t xml:space="preserve">payment systems </w:t>
      </w:r>
      <w:r w:rsidR="009F4355" w:rsidRPr="0032590D">
        <w:rPr>
          <w:b/>
        </w:rPr>
        <w:t>resilience</w:t>
      </w:r>
      <w:r w:rsidR="00605242" w:rsidRPr="0032590D">
        <w:rPr>
          <w:b/>
        </w:rPr>
        <w:t>.</w:t>
      </w:r>
      <w:r w:rsidR="002C675E" w:rsidRPr="0032590D">
        <w:rPr>
          <w:b/>
        </w:rPr>
        <w:t xml:space="preserve"> </w:t>
      </w:r>
      <w:r w:rsidR="00124B9D" w:rsidRPr="0032590D">
        <w:t xml:space="preserve">The mandate will </w:t>
      </w:r>
      <w:r w:rsidR="001C09B5" w:rsidRPr="0032590D">
        <w:t>assist in e</w:t>
      </w:r>
      <w:r w:rsidR="00605242" w:rsidRPr="0032590D">
        <w:t>nsur</w:t>
      </w:r>
      <w:r w:rsidR="00DA4245" w:rsidRPr="0032590D">
        <w:t>ing</w:t>
      </w:r>
      <w:r w:rsidR="00605242" w:rsidRPr="0032590D">
        <w:t xml:space="preserve"> that </w:t>
      </w:r>
      <w:r w:rsidR="00DA4245" w:rsidRPr="0032590D">
        <w:t xml:space="preserve">cash remains a reliable and accessible form of payment available </w:t>
      </w:r>
      <w:r w:rsidR="00605242" w:rsidRPr="0032590D">
        <w:t>during outages to digital payment systems</w:t>
      </w:r>
      <w:r w:rsidR="009F4355" w:rsidRPr="0032590D">
        <w:t xml:space="preserve">, such as </w:t>
      </w:r>
      <w:r w:rsidR="002241B5" w:rsidRPr="0032590D">
        <w:t xml:space="preserve">during </w:t>
      </w:r>
      <w:r w:rsidR="009F4355" w:rsidRPr="0032590D">
        <w:t xml:space="preserve">natural disasters or technological failures. </w:t>
      </w:r>
      <w:r w:rsidR="009E6D1E" w:rsidRPr="0032590D">
        <w:t xml:space="preserve">A </w:t>
      </w:r>
      <w:r w:rsidR="009F4355" w:rsidRPr="0032590D">
        <w:t>cash acceptance</w:t>
      </w:r>
      <w:r w:rsidR="009E6D1E" w:rsidRPr="0032590D">
        <w:t xml:space="preserve"> </w:t>
      </w:r>
      <w:r w:rsidR="002241B5" w:rsidRPr="0032590D">
        <w:t xml:space="preserve">mandate </w:t>
      </w:r>
      <w:r w:rsidR="009E6D1E" w:rsidRPr="0032590D">
        <w:t xml:space="preserve">should provide confidence that </w:t>
      </w:r>
      <w:r w:rsidR="009F4355" w:rsidRPr="0032590D">
        <w:t>businesses can continue to operate and serve their communities even when digital payment systems are disrupted.</w:t>
      </w:r>
      <w:r w:rsidR="00056105" w:rsidRPr="0032590D">
        <w:t xml:space="preserve"> The mandate must </w:t>
      </w:r>
      <w:r w:rsidR="00D34B26" w:rsidRPr="0032590D">
        <w:t>also be able</w:t>
      </w:r>
      <w:r w:rsidR="00056105" w:rsidRPr="0032590D">
        <w:t xml:space="preserve"> to operate effectively through disruptions and shocks to cash demand</w:t>
      </w:r>
      <w:r w:rsidR="003924B9" w:rsidRPr="0032590D">
        <w:t>.</w:t>
      </w:r>
    </w:p>
    <w:p w14:paraId="025D79C6" w14:textId="09A3B73A" w:rsidR="002675A7" w:rsidRPr="0032590D" w:rsidRDefault="00F31F7B" w:rsidP="00DF1EB0">
      <w:r w:rsidRPr="0032590D">
        <w:rPr>
          <w:b/>
        </w:rPr>
        <w:t xml:space="preserve">Be </w:t>
      </w:r>
      <w:r w:rsidR="009F4355" w:rsidRPr="0032590D">
        <w:rPr>
          <w:b/>
        </w:rPr>
        <w:t>proportionate</w:t>
      </w:r>
      <w:r w:rsidR="00D57ECB" w:rsidRPr="0032590D">
        <w:rPr>
          <w:b/>
        </w:rPr>
        <w:t xml:space="preserve"> and </w:t>
      </w:r>
      <w:r w:rsidRPr="0032590D">
        <w:rPr>
          <w:b/>
        </w:rPr>
        <w:t>achievable</w:t>
      </w:r>
      <w:r w:rsidR="009E6D1E" w:rsidRPr="0032590D">
        <w:rPr>
          <w:b/>
        </w:rPr>
        <w:t xml:space="preserve">. </w:t>
      </w:r>
      <w:r w:rsidR="00787240" w:rsidRPr="0032590D">
        <w:t xml:space="preserve">The </w:t>
      </w:r>
      <w:r w:rsidR="00835FFF" w:rsidRPr="0032590D">
        <w:t xml:space="preserve">mandate should have a proportionate </w:t>
      </w:r>
      <w:r w:rsidR="002675A7" w:rsidRPr="0032590D">
        <w:t xml:space="preserve">impact on business. </w:t>
      </w:r>
      <w:r w:rsidR="00C93871" w:rsidRPr="0032590D">
        <w:t>M</w:t>
      </w:r>
      <w:r w:rsidR="00800C69" w:rsidRPr="0032590D">
        <w:t xml:space="preserve">andate </w:t>
      </w:r>
      <w:r w:rsidR="00E52770" w:rsidRPr="0032590D">
        <w:t xml:space="preserve">compliance </w:t>
      </w:r>
      <w:r w:rsidR="00800C69" w:rsidRPr="0032590D">
        <w:t xml:space="preserve">must be achievable with </w:t>
      </w:r>
      <w:r w:rsidR="00C93871" w:rsidRPr="0032590D">
        <w:t xml:space="preserve">the </w:t>
      </w:r>
      <w:r w:rsidR="00800C69" w:rsidRPr="0032590D">
        <w:t>s</w:t>
      </w:r>
      <w:r w:rsidR="00F27C65" w:rsidRPr="0032590D">
        <w:t xml:space="preserve">upport </w:t>
      </w:r>
      <w:r w:rsidR="00C93871" w:rsidRPr="0032590D">
        <w:t xml:space="preserve">of </w:t>
      </w:r>
      <w:r w:rsidR="00F27C65" w:rsidRPr="0032590D">
        <w:t>cash</w:t>
      </w:r>
      <w:r w:rsidR="0056177C" w:rsidRPr="0032590D">
        <w:t>-in-transit</w:t>
      </w:r>
      <w:r w:rsidR="00F27C65" w:rsidRPr="0032590D">
        <w:t xml:space="preserve"> </w:t>
      </w:r>
      <w:r w:rsidR="004519E0" w:rsidRPr="0032590D">
        <w:t xml:space="preserve">services </w:t>
      </w:r>
      <w:r w:rsidR="00F27C65" w:rsidRPr="0032590D">
        <w:t xml:space="preserve">and access to cash on reasonable terms. </w:t>
      </w:r>
      <w:r w:rsidR="00647726" w:rsidRPr="0032590D">
        <w:t>A</w:t>
      </w:r>
      <w:r w:rsidR="007D0EE2" w:rsidRPr="0032590D">
        <w:t xml:space="preserve"> r</w:t>
      </w:r>
      <w:r w:rsidR="00523C55" w:rsidRPr="0032590D">
        <w:t xml:space="preserve">esilient and robust cash supply </w:t>
      </w:r>
      <w:r w:rsidR="00F27C65" w:rsidRPr="0032590D">
        <w:t>without excessive pric</w:t>
      </w:r>
      <w:r w:rsidR="00117C1D" w:rsidRPr="0032590D">
        <w:t>ing</w:t>
      </w:r>
      <w:r w:rsidR="00F27C65" w:rsidRPr="0032590D">
        <w:t xml:space="preserve"> </w:t>
      </w:r>
      <w:r w:rsidR="00DE4F28" w:rsidRPr="0032590D">
        <w:t xml:space="preserve">is needed </w:t>
      </w:r>
      <w:r w:rsidR="007D0EE2" w:rsidRPr="0032590D">
        <w:t xml:space="preserve">for </w:t>
      </w:r>
      <w:r w:rsidR="00F27C65" w:rsidRPr="0032590D">
        <w:t xml:space="preserve">Australians </w:t>
      </w:r>
      <w:r w:rsidR="007D0EE2" w:rsidRPr="0032590D">
        <w:t xml:space="preserve">to </w:t>
      </w:r>
      <w:r w:rsidR="00F27C65" w:rsidRPr="0032590D">
        <w:t xml:space="preserve">continue to </w:t>
      </w:r>
      <w:r w:rsidR="005C5C02" w:rsidRPr="0032590D">
        <w:t xml:space="preserve">rely on </w:t>
      </w:r>
      <w:r w:rsidR="00F27C65" w:rsidRPr="0032590D">
        <w:t xml:space="preserve">cash </w:t>
      </w:r>
      <w:r w:rsidR="005C5C02" w:rsidRPr="0032590D">
        <w:t>and for the acceptance mandate to meet its objectives</w:t>
      </w:r>
      <w:r w:rsidR="00F27C65" w:rsidRPr="0032590D">
        <w:t>.</w:t>
      </w:r>
    </w:p>
    <w:p w14:paraId="154F8179" w14:textId="50144230" w:rsidR="00631093" w:rsidRPr="0032590D" w:rsidRDefault="004903BF" w:rsidP="00DF1EB0">
      <w:r w:rsidRPr="0032590D">
        <w:rPr>
          <w:b/>
        </w:rPr>
        <w:t xml:space="preserve">Be </w:t>
      </w:r>
      <w:r w:rsidR="00F31F7B" w:rsidRPr="0032590D">
        <w:rPr>
          <w:b/>
        </w:rPr>
        <w:t>transparent and responsive</w:t>
      </w:r>
      <w:r w:rsidR="009F4355" w:rsidRPr="0032590D">
        <w:t xml:space="preserve">. </w:t>
      </w:r>
      <w:r w:rsidR="00DD12C9" w:rsidRPr="0032590D">
        <w:t>The Government is committed to ensuring that the mandate is implemented in a clear and open manner. Businesses and consumers will be provided with information about the requirements of cash acceptance, fostering trust and understanding. The</w:t>
      </w:r>
      <w:r w:rsidR="00C1260A" w:rsidRPr="0032590D">
        <w:t> </w:t>
      </w:r>
      <w:r w:rsidR="00DD12C9" w:rsidRPr="0032590D">
        <w:t xml:space="preserve">mandate must respond to changes in consumers expectations </w:t>
      </w:r>
      <w:r w:rsidR="0026235B" w:rsidRPr="0032590D">
        <w:t xml:space="preserve">and behaviour </w:t>
      </w:r>
      <w:r w:rsidR="00DD12C9" w:rsidRPr="0032590D">
        <w:t>over time.</w:t>
      </w:r>
      <w:r w:rsidR="009F4355" w:rsidRPr="0032590D">
        <w:t xml:space="preserve"> </w:t>
      </w:r>
    </w:p>
    <w:p w14:paraId="457520F5" w14:textId="77777777" w:rsidR="00461C41" w:rsidRPr="0032590D" w:rsidRDefault="00461C41" w:rsidP="00461C41">
      <w:pPr>
        <w:pStyle w:val="Heading3"/>
      </w:pPr>
      <w:r w:rsidRPr="0032590D">
        <w:t>Consultation scope</w:t>
      </w:r>
    </w:p>
    <w:p w14:paraId="63996FC7" w14:textId="50C99A46" w:rsidR="00302356" w:rsidRPr="0032590D" w:rsidRDefault="00302356" w:rsidP="00461C41">
      <w:pPr>
        <w:pStyle w:val="Heading4"/>
      </w:pPr>
      <w:r w:rsidRPr="0032590D">
        <w:t xml:space="preserve">What </w:t>
      </w:r>
      <w:r w:rsidR="00461C41" w:rsidRPr="0032590D">
        <w:t xml:space="preserve">this </w:t>
      </w:r>
      <w:r w:rsidRPr="0032590D">
        <w:t>consultation will cover</w:t>
      </w:r>
    </w:p>
    <w:p w14:paraId="70366D56" w14:textId="2621D4E7" w:rsidR="0063535E" w:rsidRPr="0032590D" w:rsidRDefault="00140ADD" w:rsidP="009419C5">
      <w:r w:rsidRPr="0032590D">
        <w:t xml:space="preserve">Chapter 2 </w:t>
      </w:r>
      <w:r w:rsidR="00B95810" w:rsidRPr="0032590D">
        <w:t xml:space="preserve">will </w:t>
      </w:r>
      <w:r w:rsidR="00775B2A" w:rsidRPr="0032590D">
        <w:t xml:space="preserve">seek to ensure </w:t>
      </w:r>
      <w:r w:rsidR="0040634E" w:rsidRPr="0032590D">
        <w:t xml:space="preserve">the Government </w:t>
      </w:r>
      <w:r w:rsidR="00775B2A" w:rsidRPr="0032590D">
        <w:t>understands the drivers of cash reliance</w:t>
      </w:r>
      <w:r w:rsidR="0040634E" w:rsidRPr="0032590D">
        <w:t xml:space="preserve">. </w:t>
      </w:r>
      <w:r w:rsidR="0091563D" w:rsidRPr="0032590D">
        <w:t xml:space="preserve">The </w:t>
      </w:r>
      <w:r w:rsidR="00940678" w:rsidRPr="0032590D">
        <w:t xml:space="preserve">chapter will explore </w:t>
      </w:r>
      <w:r w:rsidR="0079572C" w:rsidRPr="0032590D">
        <w:t>maintain</w:t>
      </w:r>
      <w:r w:rsidR="00B25A00" w:rsidRPr="0032590D">
        <w:t>ing</w:t>
      </w:r>
      <w:r w:rsidR="00947FF0" w:rsidRPr="0032590D">
        <w:t xml:space="preserve"> </w:t>
      </w:r>
      <w:r w:rsidR="00B25A00" w:rsidRPr="0032590D">
        <w:t xml:space="preserve">social </w:t>
      </w:r>
      <w:r w:rsidR="00947FF0" w:rsidRPr="0032590D">
        <w:t xml:space="preserve">inclusion, the </w:t>
      </w:r>
      <w:r w:rsidR="004D0A08" w:rsidRPr="0032590D">
        <w:t xml:space="preserve">maintenance of </w:t>
      </w:r>
      <w:r w:rsidR="00395ED5" w:rsidRPr="0032590D">
        <w:t>payment system resilience, and the need for privacy, safety and trust.</w:t>
      </w:r>
      <w:r w:rsidR="00AA517E" w:rsidRPr="0032590D">
        <w:t xml:space="preserve"> </w:t>
      </w:r>
    </w:p>
    <w:p w14:paraId="6BE80AFB" w14:textId="120EE597" w:rsidR="00DD1FB5" w:rsidRPr="0032590D" w:rsidRDefault="00395ED5" w:rsidP="009419C5">
      <w:r w:rsidRPr="0032590D">
        <w:t xml:space="preserve">Chapter 3 </w:t>
      </w:r>
      <w:r w:rsidR="00D916C4" w:rsidRPr="0032590D">
        <w:t xml:space="preserve">will </w:t>
      </w:r>
      <w:r w:rsidR="00DD1FB5" w:rsidRPr="0032590D">
        <w:t xml:space="preserve">seek feedback </w:t>
      </w:r>
      <w:r w:rsidR="00775B2A" w:rsidRPr="0032590D">
        <w:t>on the proposed mandate scope and application</w:t>
      </w:r>
      <w:r w:rsidR="00D21262" w:rsidRPr="0032590D">
        <w:t>. Th</w:t>
      </w:r>
      <w:r w:rsidR="00B925C1" w:rsidRPr="0032590D">
        <w:t xml:space="preserve">e </w:t>
      </w:r>
      <w:r w:rsidR="00D21262" w:rsidRPr="0032590D">
        <w:t xml:space="preserve">chapter will </w:t>
      </w:r>
      <w:r w:rsidR="00B925C1" w:rsidRPr="0032590D">
        <w:t xml:space="preserve">explore </w:t>
      </w:r>
      <w:r w:rsidR="00396984" w:rsidRPr="0032590D">
        <w:t>proposed definition</w:t>
      </w:r>
      <w:r w:rsidR="00666DFB" w:rsidRPr="0032590D">
        <w:t>s</w:t>
      </w:r>
      <w:r w:rsidR="00396984" w:rsidRPr="0032590D">
        <w:t xml:space="preserve"> of </w:t>
      </w:r>
      <w:r w:rsidR="00525666" w:rsidRPr="0032590D">
        <w:t>“</w:t>
      </w:r>
      <w:r w:rsidR="00396984" w:rsidRPr="0032590D">
        <w:t xml:space="preserve">essential good or </w:t>
      </w:r>
      <w:r w:rsidR="00525666" w:rsidRPr="0032590D">
        <w:t>service”,</w:t>
      </w:r>
      <w:r w:rsidR="00396984" w:rsidRPr="0032590D">
        <w:t xml:space="preserve"> </w:t>
      </w:r>
      <w:r w:rsidR="00525666" w:rsidRPr="0032590D">
        <w:t xml:space="preserve">“in-person payment”, and </w:t>
      </w:r>
      <w:r w:rsidR="00666DFB" w:rsidRPr="0032590D">
        <w:t xml:space="preserve">“exempt small business”. The chapter will also consider </w:t>
      </w:r>
      <w:r w:rsidR="006C6731" w:rsidRPr="0032590D">
        <w:t xml:space="preserve">options for limiting the mandate, including that a dollar limit apply, a </w:t>
      </w:r>
      <w:r w:rsidR="00491780" w:rsidRPr="0032590D">
        <w:t>time limit apply</w:t>
      </w:r>
      <w:r w:rsidR="00392686" w:rsidRPr="0032590D">
        <w:t>,</w:t>
      </w:r>
      <w:r w:rsidR="00491780" w:rsidRPr="0032590D">
        <w:t xml:space="preserve"> or a combination of limits apply.</w:t>
      </w:r>
    </w:p>
    <w:p w14:paraId="1279A66D" w14:textId="6CA87448" w:rsidR="002E1009" w:rsidRPr="0032590D" w:rsidRDefault="00AF332C" w:rsidP="009419C5">
      <w:r w:rsidRPr="0032590D">
        <w:t xml:space="preserve">Chapter 4 will seek feedback on </w:t>
      </w:r>
      <w:r w:rsidR="00775B2A" w:rsidRPr="0032590D">
        <w:t>measures needed to support the mandate</w:t>
      </w:r>
      <w:r w:rsidR="002E1009" w:rsidRPr="0032590D">
        <w:t xml:space="preserve">. The chapter will explore </w:t>
      </w:r>
      <w:r w:rsidR="00196400" w:rsidRPr="0032590D">
        <w:t xml:space="preserve">how </w:t>
      </w:r>
      <w:r w:rsidR="000971D4" w:rsidRPr="0032590D">
        <w:t xml:space="preserve">to promote </w:t>
      </w:r>
      <w:r w:rsidR="00196400" w:rsidRPr="0032590D">
        <w:t>compliance</w:t>
      </w:r>
      <w:r w:rsidR="000971D4" w:rsidRPr="0032590D">
        <w:t xml:space="preserve"> (</w:t>
      </w:r>
      <w:r w:rsidR="00196400" w:rsidRPr="0032590D">
        <w:t>including through education and enforcement</w:t>
      </w:r>
      <w:r w:rsidR="000971D4" w:rsidRPr="0032590D">
        <w:t>)</w:t>
      </w:r>
      <w:r w:rsidR="00196400" w:rsidRPr="0032590D">
        <w:t xml:space="preserve">, </w:t>
      </w:r>
      <w:r w:rsidR="000971D4" w:rsidRPr="0032590D">
        <w:t xml:space="preserve">the need for anti-avoidance measures, the </w:t>
      </w:r>
      <w:r w:rsidR="0089111F" w:rsidRPr="0032590D">
        <w:t>need to maintain cost-effective cash distribution and cash access</w:t>
      </w:r>
      <w:r w:rsidR="002A7318" w:rsidRPr="0032590D">
        <w:t>, a</w:t>
      </w:r>
      <w:r w:rsidR="00577D6B" w:rsidRPr="0032590D">
        <w:t>nd the need for monitoring mechanisms so the mandate remains fit</w:t>
      </w:r>
      <w:r w:rsidR="006D0BD7" w:rsidRPr="0032590D">
        <w:t>-</w:t>
      </w:r>
      <w:r w:rsidR="00577D6B" w:rsidRPr="0032590D">
        <w:t>for-purpose over time</w:t>
      </w:r>
      <w:r w:rsidR="0089111F" w:rsidRPr="0032590D">
        <w:t>.</w:t>
      </w:r>
      <w:r w:rsidR="002A7318" w:rsidRPr="0032590D">
        <w:t xml:space="preserve"> </w:t>
      </w:r>
    </w:p>
    <w:p w14:paraId="2B5EA545" w14:textId="77777777" w:rsidR="00E80359" w:rsidRPr="0032590D" w:rsidRDefault="003A2B30" w:rsidP="009419C5">
      <w:r w:rsidRPr="0032590D">
        <w:t xml:space="preserve">Chapter 5 will seek </w:t>
      </w:r>
      <w:r w:rsidR="00775B2A" w:rsidRPr="0032590D">
        <w:t>to gain a better understanding of regulatory impacts and to explain implementation timeframes.</w:t>
      </w:r>
    </w:p>
    <w:p w14:paraId="1CF2AEA4" w14:textId="4F919561" w:rsidR="00302356" w:rsidRPr="0032590D" w:rsidRDefault="00302356" w:rsidP="00461C41">
      <w:pPr>
        <w:pStyle w:val="Heading4"/>
      </w:pPr>
      <w:bookmarkStart w:id="31" w:name="_Toc181026641"/>
      <w:bookmarkStart w:id="32" w:name="_Toc181278095"/>
      <w:r w:rsidRPr="0032590D">
        <w:t>What consultation will not cover</w:t>
      </w:r>
      <w:bookmarkEnd w:id="31"/>
      <w:bookmarkEnd w:id="32"/>
    </w:p>
    <w:p w14:paraId="1DAB4B23" w14:textId="523B4494" w:rsidR="005C582D" w:rsidRPr="0032590D" w:rsidRDefault="005C582D" w:rsidP="009419C5">
      <w:r w:rsidRPr="0032590D">
        <w:t xml:space="preserve">The consultation will not </w:t>
      </w:r>
      <w:r w:rsidR="00220563" w:rsidRPr="0032590D">
        <w:t>consider</w:t>
      </w:r>
      <w:r w:rsidR="00574381" w:rsidRPr="0032590D">
        <w:t xml:space="preserve"> </w:t>
      </w:r>
      <w:r w:rsidRPr="0032590D">
        <w:t>issues related to</w:t>
      </w:r>
      <w:r w:rsidR="006D0BD7" w:rsidRPr="0032590D">
        <w:t>:</w:t>
      </w:r>
      <w:r w:rsidRPr="0032590D">
        <w:t xml:space="preserve"> foreign exchange</w:t>
      </w:r>
      <w:r w:rsidR="00E23597" w:rsidRPr="0032590D">
        <w:t xml:space="preserve">; </w:t>
      </w:r>
      <w:r w:rsidRPr="0032590D">
        <w:t>the phasing out of cheques</w:t>
      </w:r>
      <w:r w:rsidR="00B71DC4" w:rsidRPr="0032590D">
        <w:t xml:space="preserve">; </w:t>
      </w:r>
      <w:r w:rsidR="00927001" w:rsidRPr="0032590D">
        <w:t xml:space="preserve">credit or debit </w:t>
      </w:r>
      <w:r w:rsidR="0054100E" w:rsidRPr="0032590D">
        <w:t>c</w:t>
      </w:r>
      <w:r w:rsidRPr="0032590D">
        <w:t>ard surcharging</w:t>
      </w:r>
      <w:r w:rsidR="00927001" w:rsidRPr="0032590D">
        <w:t>;</w:t>
      </w:r>
      <w:r w:rsidR="0054100E" w:rsidRPr="0032590D">
        <w:t xml:space="preserve"> </w:t>
      </w:r>
      <w:r w:rsidR="003E45A7" w:rsidRPr="0032590D">
        <w:t xml:space="preserve">or </w:t>
      </w:r>
      <w:r w:rsidR="006831B1" w:rsidRPr="0032590D">
        <w:t xml:space="preserve">issues </w:t>
      </w:r>
      <w:r w:rsidR="00D65821" w:rsidRPr="0032590D">
        <w:t xml:space="preserve">related to </w:t>
      </w:r>
      <w:r w:rsidRPr="0032590D">
        <w:t xml:space="preserve">the </w:t>
      </w:r>
      <w:r w:rsidR="00F924B7" w:rsidRPr="0032590D">
        <w:t xml:space="preserve">shadow </w:t>
      </w:r>
      <w:r w:rsidRPr="0032590D">
        <w:t>economy</w:t>
      </w:r>
      <w:r w:rsidR="00AE1249" w:rsidRPr="0032590D">
        <w:t>.</w:t>
      </w:r>
      <w:r w:rsidRPr="0032590D">
        <w:t xml:space="preserve"> </w:t>
      </w:r>
    </w:p>
    <w:p w14:paraId="53E88482" w14:textId="21597D8B" w:rsidR="00DA5228" w:rsidRPr="0032590D" w:rsidRDefault="00DA5228">
      <w:pPr>
        <w:spacing w:before="0" w:after="160" w:line="259" w:lineRule="auto"/>
      </w:pPr>
      <w:r w:rsidRPr="0032590D">
        <w:br w:type="page"/>
      </w:r>
    </w:p>
    <w:p w14:paraId="0A02A6EB" w14:textId="17B65609" w:rsidR="002500D0" w:rsidRPr="0032590D" w:rsidRDefault="00185D95" w:rsidP="00B27675">
      <w:pPr>
        <w:pStyle w:val="Heading1"/>
      </w:pPr>
      <w:bookmarkStart w:id="33" w:name="_Toc181026642"/>
      <w:bookmarkStart w:id="34" w:name="_Toc181278096"/>
      <w:bookmarkStart w:id="35" w:name="_Toc183137378"/>
      <w:r w:rsidRPr="0032590D">
        <w:t>Chapter 2</w:t>
      </w:r>
      <w:r w:rsidR="00A31C4C" w:rsidRPr="0032590D">
        <w:t>:</w:t>
      </w:r>
      <w:r w:rsidRPr="0032590D">
        <w:t xml:space="preserve"> </w:t>
      </w:r>
      <w:r w:rsidR="008238C1" w:rsidRPr="0032590D">
        <w:t>W</w:t>
      </w:r>
      <w:r w:rsidR="00D37B3E" w:rsidRPr="0032590D">
        <w:t>hy p</w:t>
      </w:r>
      <w:r w:rsidR="00313CC5" w:rsidRPr="0032590D">
        <w:t>a</w:t>
      </w:r>
      <w:r w:rsidR="00D37B3E" w:rsidRPr="0032590D">
        <w:t>ying in cash matter</w:t>
      </w:r>
      <w:r w:rsidR="00556C57" w:rsidRPr="0032590D">
        <w:t>s</w:t>
      </w:r>
      <w:bookmarkEnd w:id="33"/>
      <w:bookmarkEnd w:id="34"/>
      <w:bookmarkEnd w:id="35"/>
    </w:p>
    <w:p w14:paraId="33E432FD" w14:textId="1F88DA25" w:rsidR="00E909DD" w:rsidRPr="0032590D" w:rsidRDefault="00E909DD" w:rsidP="002806B1">
      <w:pPr>
        <w:pStyle w:val="Heading2"/>
      </w:pPr>
      <w:bookmarkStart w:id="36" w:name="_Toc183137379"/>
      <w:r w:rsidRPr="0032590D">
        <w:t>Overview</w:t>
      </w:r>
      <w:bookmarkEnd w:id="36"/>
    </w:p>
    <w:p w14:paraId="7E18FB33" w14:textId="6206E63B" w:rsidR="0061690C" w:rsidRPr="0032590D" w:rsidRDefault="00AF6FDA" w:rsidP="0049048A">
      <w:pPr>
        <w:pStyle w:val="Bullet"/>
        <w:numPr>
          <w:ilvl w:val="0"/>
          <w:numId w:val="0"/>
        </w:numPr>
        <w:tabs>
          <w:tab w:val="left" w:pos="926"/>
        </w:tabs>
        <w:spacing w:before="0" w:after="120" w:line="240" w:lineRule="auto"/>
        <w:rPr>
          <w:rFonts w:cs="Calibri Light"/>
        </w:rPr>
      </w:pPr>
      <w:r w:rsidRPr="0032590D">
        <w:rPr>
          <w:rFonts w:cs="Calibri Light"/>
          <w:bCs/>
        </w:rPr>
        <w:t xml:space="preserve">The Government </w:t>
      </w:r>
      <w:r w:rsidR="00C94A86" w:rsidRPr="0032590D">
        <w:rPr>
          <w:rFonts w:cs="Calibri Light"/>
          <w:bCs/>
        </w:rPr>
        <w:t xml:space="preserve">recognises that </w:t>
      </w:r>
      <w:r w:rsidR="000110F4" w:rsidRPr="0032590D">
        <w:rPr>
          <w:rFonts w:cs="Calibri Light"/>
          <w:bCs/>
        </w:rPr>
        <w:t xml:space="preserve">cash </w:t>
      </w:r>
      <w:r w:rsidR="007A15B5" w:rsidRPr="0032590D">
        <w:rPr>
          <w:rFonts w:cs="Calibri Light"/>
          <w:bCs/>
        </w:rPr>
        <w:t xml:space="preserve">remains </w:t>
      </w:r>
      <w:r w:rsidR="000110F4" w:rsidRPr="0032590D">
        <w:rPr>
          <w:rFonts w:cs="Calibri Light"/>
          <w:bCs/>
        </w:rPr>
        <w:t>an important for</w:t>
      </w:r>
      <w:r w:rsidR="00E76BE8" w:rsidRPr="0032590D">
        <w:rPr>
          <w:rFonts w:cs="Calibri Light"/>
          <w:bCs/>
        </w:rPr>
        <w:t>m</w:t>
      </w:r>
      <w:r w:rsidR="000110F4" w:rsidRPr="0032590D">
        <w:rPr>
          <w:rFonts w:cs="Calibri Light"/>
          <w:bCs/>
        </w:rPr>
        <w:t xml:space="preserve"> of payment </w:t>
      </w:r>
      <w:r w:rsidR="00E76BE8" w:rsidRPr="0032590D">
        <w:rPr>
          <w:rFonts w:cs="Calibri Light"/>
          <w:bCs/>
        </w:rPr>
        <w:t>for many individuals and comm</w:t>
      </w:r>
      <w:r w:rsidR="00F97C2D" w:rsidRPr="0032590D">
        <w:rPr>
          <w:rFonts w:cs="Calibri Light"/>
          <w:bCs/>
        </w:rPr>
        <w:t xml:space="preserve">unities. </w:t>
      </w:r>
      <w:r w:rsidR="00D35BC0" w:rsidRPr="0032590D">
        <w:rPr>
          <w:rFonts w:cs="Calibri Light"/>
          <w:bCs/>
        </w:rPr>
        <w:t xml:space="preserve">There are </w:t>
      </w:r>
      <w:r w:rsidR="00134E08" w:rsidRPr="0032590D">
        <w:rPr>
          <w:rFonts w:cs="Calibri Light"/>
          <w:bCs/>
        </w:rPr>
        <w:t>a range of circumstances</w:t>
      </w:r>
      <w:r w:rsidR="00DC3E8B" w:rsidRPr="0032590D">
        <w:rPr>
          <w:rFonts w:cs="Calibri Light"/>
          <w:bCs/>
        </w:rPr>
        <w:t xml:space="preserve"> where cash continues to play an </w:t>
      </w:r>
      <w:r w:rsidR="00D35BC0" w:rsidRPr="0032590D">
        <w:rPr>
          <w:rFonts w:cs="Calibri Light"/>
          <w:bCs/>
        </w:rPr>
        <w:t xml:space="preserve">important </w:t>
      </w:r>
      <w:r w:rsidR="00DC3E8B" w:rsidRPr="0032590D">
        <w:rPr>
          <w:rFonts w:cs="Calibri Light"/>
          <w:bCs/>
        </w:rPr>
        <w:t xml:space="preserve">role. </w:t>
      </w:r>
      <w:r w:rsidR="0061690C" w:rsidRPr="0032590D">
        <w:rPr>
          <w:rFonts w:cs="Calibri Light"/>
        </w:rPr>
        <w:t xml:space="preserve">This chapter </w:t>
      </w:r>
      <w:r w:rsidR="00134E08" w:rsidRPr="0032590D">
        <w:rPr>
          <w:rFonts w:cs="Calibri Light"/>
        </w:rPr>
        <w:t>explores</w:t>
      </w:r>
      <w:r w:rsidR="0061690C" w:rsidRPr="0032590D">
        <w:rPr>
          <w:rFonts w:cs="Calibri Light"/>
        </w:rPr>
        <w:t xml:space="preserve"> </w:t>
      </w:r>
      <w:r w:rsidR="00E60C85" w:rsidRPr="0032590D">
        <w:rPr>
          <w:rFonts w:cs="Calibri Light"/>
        </w:rPr>
        <w:t xml:space="preserve">some of </w:t>
      </w:r>
      <w:r w:rsidR="0061690C" w:rsidRPr="0032590D">
        <w:rPr>
          <w:rFonts w:cs="Calibri Light"/>
        </w:rPr>
        <w:t xml:space="preserve">these </w:t>
      </w:r>
      <w:r w:rsidR="00134E08" w:rsidRPr="0032590D">
        <w:rPr>
          <w:rFonts w:cs="Calibri Light"/>
        </w:rPr>
        <w:t>circumstances</w:t>
      </w:r>
      <w:r w:rsidR="00E60C85" w:rsidRPr="0032590D">
        <w:rPr>
          <w:rFonts w:cs="Calibri Light"/>
        </w:rPr>
        <w:t xml:space="preserve"> including</w:t>
      </w:r>
      <w:r w:rsidR="0061690C" w:rsidRPr="0032590D">
        <w:rPr>
          <w:rFonts w:cs="Calibri Light"/>
        </w:rPr>
        <w:t xml:space="preserve">: </w:t>
      </w:r>
    </w:p>
    <w:p w14:paraId="3BF329E1" w14:textId="58EFFB3F" w:rsidR="00C32EC2" w:rsidRPr="0032590D" w:rsidRDefault="00E60C85" w:rsidP="0049048A">
      <w:pPr>
        <w:pStyle w:val="Bullet"/>
        <w:spacing w:before="0" w:after="120" w:line="240" w:lineRule="auto"/>
        <w:ind w:left="522" w:hanging="522"/>
        <w:rPr>
          <w:rFonts w:cs="Calibri Light"/>
          <w:bCs/>
        </w:rPr>
      </w:pPr>
      <w:r w:rsidRPr="0032590D">
        <w:rPr>
          <w:rFonts w:cs="Calibri Light"/>
        </w:rPr>
        <w:t>Maintaining</w:t>
      </w:r>
      <w:r w:rsidR="001A1E33" w:rsidRPr="0032590D">
        <w:rPr>
          <w:rFonts w:cs="Calibri Light"/>
        </w:rPr>
        <w:t xml:space="preserve"> </w:t>
      </w:r>
      <w:r w:rsidR="0061690C" w:rsidRPr="0032590D">
        <w:rPr>
          <w:rFonts w:cs="Calibri Light"/>
        </w:rPr>
        <w:t xml:space="preserve">social inclusion </w:t>
      </w:r>
      <w:r w:rsidRPr="0032590D">
        <w:rPr>
          <w:rFonts w:cs="Calibri Light"/>
        </w:rPr>
        <w:t xml:space="preserve">– cash </w:t>
      </w:r>
      <w:r w:rsidR="002E5FC1" w:rsidRPr="0032590D">
        <w:rPr>
          <w:rFonts w:cs="Calibri Light"/>
        </w:rPr>
        <w:t>payment</w:t>
      </w:r>
      <w:r w:rsidRPr="0032590D">
        <w:rPr>
          <w:rFonts w:cs="Calibri Light"/>
        </w:rPr>
        <w:t xml:space="preserve"> helps </w:t>
      </w:r>
      <w:r w:rsidR="00DC3E8B" w:rsidRPr="0032590D">
        <w:rPr>
          <w:rFonts w:cs="Calibri Light"/>
        </w:rPr>
        <w:t>ensur</w:t>
      </w:r>
      <w:r w:rsidRPr="0032590D">
        <w:rPr>
          <w:rFonts w:cs="Calibri Light"/>
        </w:rPr>
        <w:t>e</w:t>
      </w:r>
      <w:r w:rsidR="00DC3E8B" w:rsidRPr="0032590D">
        <w:rPr>
          <w:rFonts w:cs="Calibri Light"/>
          <w:bCs/>
        </w:rPr>
        <w:t xml:space="preserve"> that </w:t>
      </w:r>
      <w:r w:rsidR="0061690C" w:rsidRPr="0032590D">
        <w:rPr>
          <w:rFonts w:cs="Calibri Light"/>
        </w:rPr>
        <w:t>community members</w:t>
      </w:r>
      <w:r w:rsidR="00DC3E8B" w:rsidRPr="0032590D">
        <w:rPr>
          <w:rFonts w:cs="Calibri Light"/>
          <w:bCs/>
        </w:rPr>
        <w:t xml:space="preserve"> without </w:t>
      </w:r>
      <w:r w:rsidR="0061690C" w:rsidRPr="0032590D">
        <w:rPr>
          <w:rFonts w:cs="Calibri Light"/>
        </w:rPr>
        <w:t xml:space="preserve">the </w:t>
      </w:r>
      <w:r w:rsidR="00396EF6" w:rsidRPr="0032590D">
        <w:rPr>
          <w:rFonts w:cs="Calibri Light"/>
        </w:rPr>
        <w:t xml:space="preserve">ability </w:t>
      </w:r>
      <w:r w:rsidR="0061690C" w:rsidRPr="0032590D">
        <w:rPr>
          <w:rFonts w:cs="Calibri Light"/>
        </w:rPr>
        <w:t xml:space="preserve">to </w:t>
      </w:r>
      <w:r w:rsidR="00134882" w:rsidRPr="0032590D">
        <w:rPr>
          <w:rFonts w:cs="Calibri Light"/>
        </w:rPr>
        <w:t>use</w:t>
      </w:r>
      <w:r w:rsidR="00DC3E8B" w:rsidRPr="0032590D">
        <w:rPr>
          <w:rFonts w:cs="Calibri Light"/>
          <w:bCs/>
        </w:rPr>
        <w:t xml:space="preserve"> digital </w:t>
      </w:r>
      <w:r w:rsidR="007A2734" w:rsidRPr="0032590D">
        <w:rPr>
          <w:rFonts w:cs="Calibri Light"/>
          <w:bCs/>
        </w:rPr>
        <w:t>payment</w:t>
      </w:r>
      <w:r w:rsidR="00DC3E8B" w:rsidRPr="0032590D">
        <w:rPr>
          <w:rFonts w:cs="Calibri Light"/>
          <w:bCs/>
        </w:rPr>
        <w:t xml:space="preserve"> </w:t>
      </w:r>
      <w:r w:rsidR="007A2734" w:rsidRPr="0032590D">
        <w:rPr>
          <w:rFonts w:cs="Calibri Light"/>
          <w:bCs/>
        </w:rPr>
        <w:t xml:space="preserve">methods </w:t>
      </w:r>
      <w:r w:rsidR="00DC3E8B" w:rsidRPr="0032590D">
        <w:rPr>
          <w:rFonts w:cs="Calibri Light"/>
          <w:bCs/>
        </w:rPr>
        <w:t xml:space="preserve">can still participate in the economy. </w:t>
      </w:r>
    </w:p>
    <w:p w14:paraId="46F662DC" w14:textId="5FB0B8DD" w:rsidR="00C32EC2" w:rsidRPr="0032590D" w:rsidRDefault="008628F1" w:rsidP="0049048A">
      <w:pPr>
        <w:pStyle w:val="Bullet"/>
        <w:spacing w:before="0" w:after="120" w:line="240" w:lineRule="auto"/>
        <w:ind w:left="522" w:hanging="522"/>
        <w:rPr>
          <w:rFonts w:cs="Calibri Light"/>
          <w:bCs/>
        </w:rPr>
      </w:pPr>
      <w:r w:rsidRPr="0032590D">
        <w:rPr>
          <w:rFonts w:cs="Calibri Light"/>
        </w:rPr>
        <w:t>Providing</w:t>
      </w:r>
      <w:r w:rsidR="00DC3E8B" w:rsidRPr="0032590D">
        <w:rPr>
          <w:rFonts w:cs="Calibri Light"/>
          <w:bCs/>
        </w:rPr>
        <w:t xml:space="preserve"> reliability during outages of digital payment systems </w:t>
      </w:r>
      <w:r w:rsidRPr="0032590D">
        <w:rPr>
          <w:rFonts w:cs="Calibri Light"/>
        </w:rPr>
        <w:t xml:space="preserve">– cash </w:t>
      </w:r>
      <w:r w:rsidR="00932307" w:rsidRPr="0032590D">
        <w:rPr>
          <w:rFonts w:cs="Calibri Light"/>
        </w:rPr>
        <w:t>payment</w:t>
      </w:r>
      <w:r w:rsidR="001545DD" w:rsidRPr="0032590D">
        <w:rPr>
          <w:rFonts w:cs="Calibri Light"/>
        </w:rPr>
        <w:t xml:space="preserve"> </w:t>
      </w:r>
      <w:r w:rsidR="00DC3E8B" w:rsidRPr="0032590D">
        <w:rPr>
          <w:rFonts w:cs="Calibri Light"/>
        </w:rPr>
        <w:t>provi</w:t>
      </w:r>
      <w:r w:rsidRPr="0032590D">
        <w:rPr>
          <w:rFonts w:cs="Calibri Light"/>
        </w:rPr>
        <w:t>des</w:t>
      </w:r>
      <w:r w:rsidR="00DC3E8B" w:rsidRPr="0032590D">
        <w:rPr>
          <w:rFonts w:cs="Calibri Light"/>
          <w:bCs/>
        </w:rPr>
        <w:t xml:space="preserve"> a </w:t>
      </w:r>
      <w:r w:rsidR="00705494" w:rsidRPr="0032590D">
        <w:rPr>
          <w:rFonts w:cs="Calibri Light"/>
          <w:bCs/>
        </w:rPr>
        <w:t xml:space="preserve">default </w:t>
      </w:r>
      <w:r w:rsidR="00DC3E8B" w:rsidRPr="0032590D">
        <w:rPr>
          <w:rFonts w:cs="Calibri Light"/>
          <w:bCs/>
        </w:rPr>
        <w:t xml:space="preserve">option when technology </w:t>
      </w:r>
      <w:r w:rsidR="00834E85" w:rsidRPr="0032590D">
        <w:rPr>
          <w:rFonts w:cs="Calibri Light"/>
          <w:bCs/>
        </w:rPr>
        <w:t>is disrupted</w:t>
      </w:r>
      <w:r w:rsidR="00DC3E8B" w:rsidRPr="0032590D">
        <w:rPr>
          <w:rFonts w:cs="Calibri Light"/>
          <w:bCs/>
        </w:rPr>
        <w:t xml:space="preserve">. </w:t>
      </w:r>
    </w:p>
    <w:p w14:paraId="341F0882" w14:textId="6991A8B9" w:rsidR="00C32EC2" w:rsidRPr="0032590D" w:rsidRDefault="00834E85" w:rsidP="0049048A">
      <w:pPr>
        <w:pStyle w:val="Bullet"/>
        <w:spacing w:before="0" w:after="120" w:line="240" w:lineRule="auto"/>
        <w:ind w:left="522" w:hanging="522"/>
        <w:rPr>
          <w:rFonts w:cs="Calibri Light"/>
        </w:rPr>
      </w:pPr>
      <w:r w:rsidRPr="0032590D">
        <w:rPr>
          <w:rFonts w:cs="Calibri Light"/>
        </w:rPr>
        <w:t>Privacy, s</w:t>
      </w:r>
      <w:r w:rsidR="00DC3E8B" w:rsidRPr="0032590D">
        <w:rPr>
          <w:rFonts w:cs="Calibri Light"/>
        </w:rPr>
        <w:t>afety and trust</w:t>
      </w:r>
      <w:r w:rsidR="4D526E77" w:rsidRPr="0032590D">
        <w:rPr>
          <w:rFonts w:cs="Calibri Light"/>
        </w:rPr>
        <w:t xml:space="preserve"> </w:t>
      </w:r>
      <w:r w:rsidR="008628F1" w:rsidRPr="0032590D">
        <w:rPr>
          <w:rFonts w:cs="Calibri Light"/>
        </w:rPr>
        <w:t>–</w:t>
      </w:r>
      <w:r w:rsidR="00DC3E8B" w:rsidRPr="0032590D">
        <w:rPr>
          <w:rFonts w:cs="Calibri Light"/>
        </w:rPr>
        <w:t xml:space="preserve"> cash </w:t>
      </w:r>
      <w:r w:rsidR="00A46220" w:rsidRPr="0032590D">
        <w:rPr>
          <w:rFonts w:cs="Calibri Light"/>
        </w:rPr>
        <w:t xml:space="preserve">payment </w:t>
      </w:r>
      <w:r w:rsidR="00DC3E8B" w:rsidRPr="0032590D">
        <w:rPr>
          <w:rFonts w:cs="Calibri Light"/>
        </w:rPr>
        <w:t>offer</w:t>
      </w:r>
      <w:r w:rsidR="001545DD" w:rsidRPr="0032590D">
        <w:rPr>
          <w:rFonts w:cs="Calibri Light"/>
        </w:rPr>
        <w:t>s</w:t>
      </w:r>
      <w:r w:rsidR="00DC3E8B" w:rsidRPr="0032590D">
        <w:rPr>
          <w:rFonts w:cs="Calibri Light"/>
        </w:rPr>
        <w:t xml:space="preserve"> a</w:t>
      </w:r>
      <w:r w:rsidR="001545DD" w:rsidRPr="0032590D">
        <w:rPr>
          <w:rFonts w:cs="Calibri Light"/>
        </w:rPr>
        <w:t>n</w:t>
      </w:r>
      <w:r w:rsidR="00DC3E8B" w:rsidRPr="0032590D">
        <w:rPr>
          <w:rFonts w:cs="Calibri Light"/>
        </w:rPr>
        <w:t xml:space="preserve"> </w:t>
      </w:r>
      <w:r w:rsidR="001545DD" w:rsidRPr="0032590D">
        <w:rPr>
          <w:rFonts w:cs="Calibri Light"/>
        </w:rPr>
        <w:t xml:space="preserve">immediate </w:t>
      </w:r>
      <w:r w:rsidR="00DC3E8B" w:rsidRPr="0032590D">
        <w:rPr>
          <w:rFonts w:cs="Calibri Light"/>
        </w:rPr>
        <w:t>exchange of value</w:t>
      </w:r>
      <w:r w:rsidR="008628F1" w:rsidRPr="0032590D">
        <w:rPr>
          <w:rFonts w:cs="Calibri Light"/>
        </w:rPr>
        <w:t xml:space="preserve"> that </w:t>
      </w:r>
      <w:r w:rsidR="00DA4631" w:rsidRPr="0032590D">
        <w:rPr>
          <w:rFonts w:cs="Calibri Light"/>
        </w:rPr>
        <w:t xml:space="preserve">maintains </w:t>
      </w:r>
      <w:r w:rsidR="00B74E05" w:rsidRPr="0032590D">
        <w:rPr>
          <w:rFonts w:cs="Calibri Light"/>
        </w:rPr>
        <w:t xml:space="preserve">privacy, </w:t>
      </w:r>
      <w:r w:rsidR="00287F15" w:rsidRPr="0032590D">
        <w:rPr>
          <w:rFonts w:cs="Calibri Light"/>
        </w:rPr>
        <w:t xml:space="preserve">may assist </w:t>
      </w:r>
      <w:r w:rsidR="00B66186" w:rsidRPr="0032590D">
        <w:rPr>
          <w:rFonts w:cs="Calibri Light"/>
        </w:rPr>
        <w:t>with safety</w:t>
      </w:r>
      <w:r w:rsidR="00BD5CF9" w:rsidRPr="0032590D">
        <w:rPr>
          <w:rFonts w:cs="Calibri Light"/>
        </w:rPr>
        <w:t>,</w:t>
      </w:r>
      <w:r w:rsidR="00B66186" w:rsidRPr="0032590D">
        <w:rPr>
          <w:rFonts w:cs="Calibri Light"/>
        </w:rPr>
        <w:t xml:space="preserve"> and </w:t>
      </w:r>
      <w:r w:rsidR="00A52A4B" w:rsidRPr="0032590D">
        <w:rPr>
          <w:rFonts w:cs="Calibri Light"/>
        </w:rPr>
        <w:t xml:space="preserve">may </w:t>
      </w:r>
      <w:r w:rsidR="008628F1" w:rsidRPr="0032590D">
        <w:rPr>
          <w:rFonts w:cs="Calibri Light"/>
        </w:rPr>
        <w:t>increase</w:t>
      </w:r>
      <w:r w:rsidR="00DC3E8B" w:rsidRPr="0032590D">
        <w:rPr>
          <w:rFonts w:cs="Calibri Light"/>
        </w:rPr>
        <w:t xml:space="preserve"> confidence among users. </w:t>
      </w:r>
    </w:p>
    <w:p w14:paraId="4895EA0C" w14:textId="03D4A1A7" w:rsidR="00DC3E8B" w:rsidRPr="0032590D" w:rsidRDefault="008628F1" w:rsidP="0049048A">
      <w:pPr>
        <w:pStyle w:val="Bullet"/>
        <w:spacing w:before="0" w:after="120" w:line="240" w:lineRule="auto"/>
        <w:ind w:left="522" w:hanging="522"/>
        <w:rPr>
          <w:rFonts w:cs="Calibri Light"/>
          <w:bCs/>
        </w:rPr>
      </w:pPr>
      <w:r w:rsidRPr="0032590D">
        <w:rPr>
          <w:rFonts w:cs="Calibri Light"/>
        </w:rPr>
        <w:t>B</w:t>
      </w:r>
      <w:r w:rsidR="00DC3E8B" w:rsidRPr="0032590D">
        <w:rPr>
          <w:rFonts w:cs="Calibri Light"/>
        </w:rPr>
        <w:t>udgeting</w:t>
      </w:r>
      <w:r w:rsidRPr="0032590D">
        <w:rPr>
          <w:rFonts w:cs="Calibri Light"/>
        </w:rPr>
        <w:t xml:space="preserve"> – </w:t>
      </w:r>
      <w:r w:rsidR="00D478B1" w:rsidRPr="0032590D">
        <w:rPr>
          <w:rFonts w:cs="Calibri Light"/>
        </w:rPr>
        <w:t xml:space="preserve">the </w:t>
      </w:r>
      <w:r w:rsidR="00BD5CF9" w:rsidRPr="0032590D">
        <w:rPr>
          <w:rFonts w:cs="Calibri Light"/>
        </w:rPr>
        <w:t>tangible nature</w:t>
      </w:r>
      <w:r w:rsidR="00D478B1" w:rsidRPr="0032590D">
        <w:rPr>
          <w:rFonts w:cs="Calibri Light"/>
        </w:rPr>
        <w:t xml:space="preserve"> of cash</w:t>
      </w:r>
      <w:r w:rsidR="002A05B5" w:rsidRPr="0032590D">
        <w:rPr>
          <w:rFonts w:cs="Calibri Light"/>
        </w:rPr>
        <w:t xml:space="preserve"> can </w:t>
      </w:r>
      <w:r w:rsidR="00DC3E8B" w:rsidRPr="0032590D">
        <w:rPr>
          <w:rFonts w:cs="Calibri Light"/>
        </w:rPr>
        <w:t>allow</w:t>
      </w:r>
      <w:r w:rsidR="00DC3E8B" w:rsidRPr="0032590D">
        <w:rPr>
          <w:rFonts w:cs="Calibri Light"/>
          <w:bCs/>
        </w:rPr>
        <w:t xml:space="preserve"> individuals to </w:t>
      </w:r>
      <w:r w:rsidR="002A05B5" w:rsidRPr="0032590D">
        <w:rPr>
          <w:rFonts w:cs="Calibri Light"/>
        </w:rPr>
        <w:t xml:space="preserve">more easily </w:t>
      </w:r>
      <w:r w:rsidR="00DC3E8B" w:rsidRPr="0032590D">
        <w:rPr>
          <w:rFonts w:cs="Calibri Light"/>
          <w:bCs/>
        </w:rPr>
        <w:t xml:space="preserve">manage their finances by </w:t>
      </w:r>
      <w:r w:rsidR="002A05B5" w:rsidRPr="0032590D">
        <w:rPr>
          <w:rFonts w:cs="Calibri Light"/>
        </w:rPr>
        <w:t>giving</w:t>
      </w:r>
      <w:r w:rsidR="00DC3E8B" w:rsidRPr="0032590D">
        <w:rPr>
          <w:rFonts w:cs="Calibri Light"/>
          <w:bCs/>
        </w:rPr>
        <w:t xml:space="preserve"> a clear and physical representation of spending. </w:t>
      </w:r>
    </w:p>
    <w:p w14:paraId="6A0B28EA" w14:textId="7DE37E07" w:rsidR="004A14EE" w:rsidRPr="0032590D" w:rsidRDefault="004A14EE" w:rsidP="004A14EE">
      <w:pPr>
        <w:pStyle w:val="Bullet"/>
        <w:numPr>
          <w:ilvl w:val="0"/>
          <w:numId w:val="0"/>
        </w:numPr>
        <w:tabs>
          <w:tab w:val="left" w:pos="926"/>
        </w:tabs>
        <w:spacing w:before="0" w:after="160" w:line="240" w:lineRule="auto"/>
        <w:rPr>
          <w:rFonts w:cs="Calibri Light"/>
        </w:rPr>
      </w:pPr>
      <w:r w:rsidRPr="0032590D">
        <w:rPr>
          <w:rFonts w:cs="Calibri Light"/>
        </w:rPr>
        <w:t xml:space="preserve">The RBA’s </w:t>
      </w:r>
      <w:r w:rsidR="00E07DE8" w:rsidRPr="0032590D">
        <w:rPr>
          <w:rFonts w:cs="Calibri Light"/>
        </w:rPr>
        <w:t xml:space="preserve">2022 </w:t>
      </w:r>
      <w:r w:rsidRPr="0032590D">
        <w:rPr>
          <w:rFonts w:cs="Calibri Light"/>
        </w:rPr>
        <w:t xml:space="preserve">Consumer Payments Survey has shown </w:t>
      </w:r>
      <w:r w:rsidRPr="0032590D" w:rsidDel="004C1748">
        <w:rPr>
          <w:rFonts w:cs="Calibri Light"/>
        </w:rPr>
        <w:t xml:space="preserve">a </w:t>
      </w:r>
      <w:r w:rsidR="00DE4FF6" w:rsidRPr="0032590D">
        <w:rPr>
          <w:rFonts w:cs="Calibri Light"/>
        </w:rPr>
        <w:t>trend,</w:t>
      </w:r>
      <w:r w:rsidRPr="0032590D" w:rsidDel="004C1748">
        <w:rPr>
          <w:rFonts w:cs="Calibri Light"/>
        </w:rPr>
        <w:t xml:space="preserve"> </w:t>
      </w:r>
      <w:r w:rsidR="004C1748" w:rsidRPr="0032590D">
        <w:rPr>
          <w:rFonts w:cs="Calibri Light"/>
        </w:rPr>
        <w:t>over time</w:t>
      </w:r>
      <w:r w:rsidR="005626BA" w:rsidRPr="0032590D">
        <w:rPr>
          <w:rFonts w:cs="Calibri Light"/>
        </w:rPr>
        <w:t>,</w:t>
      </w:r>
      <w:r w:rsidRPr="0032590D">
        <w:rPr>
          <w:rFonts w:cs="Calibri Light"/>
        </w:rPr>
        <w:t xml:space="preserve"> of consumers shifting from cash to electronic payment methods and shows that cards are now used for most in-person payments.</w:t>
      </w:r>
      <w:r w:rsidRPr="0032590D">
        <w:rPr>
          <w:rStyle w:val="FootnoteReference"/>
          <w:rFonts w:cs="Calibri Light"/>
        </w:rPr>
        <w:footnoteReference w:id="14"/>
      </w:r>
      <w:r w:rsidRPr="0032590D">
        <w:rPr>
          <w:rFonts w:cs="Calibri Light"/>
        </w:rPr>
        <w:t xml:space="preserve"> The survey found that</w:t>
      </w:r>
      <w:r w:rsidR="00A100C5" w:rsidRPr="0032590D">
        <w:rPr>
          <w:rFonts w:cs="Calibri Light"/>
        </w:rPr>
        <w:t xml:space="preserve"> people over the age of 65</w:t>
      </w:r>
      <w:r w:rsidR="00872D3B" w:rsidRPr="0032590D">
        <w:rPr>
          <w:rFonts w:cs="Calibri Light"/>
        </w:rPr>
        <w:t>, in regional areas,</w:t>
      </w:r>
      <w:r w:rsidR="00EB5FE1" w:rsidRPr="0032590D">
        <w:rPr>
          <w:rFonts w:cs="Calibri Light"/>
        </w:rPr>
        <w:t xml:space="preserve"> or </w:t>
      </w:r>
      <w:r w:rsidR="00770CDA" w:rsidRPr="0032590D">
        <w:rPr>
          <w:rFonts w:cs="Calibri Light"/>
        </w:rPr>
        <w:t>in lower in</w:t>
      </w:r>
      <w:r w:rsidR="00BC1DEC" w:rsidRPr="0032590D">
        <w:rPr>
          <w:rFonts w:cs="Calibri Light"/>
        </w:rPr>
        <w:t xml:space="preserve">come households </w:t>
      </w:r>
      <w:r w:rsidR="00A100C5" w:rsidRPr="0032590D">
        <w:rPr>
          <w:rFonts w:cs="Calibri Light"/>
        </w:rPr>
        <w:t>were more likely to be</w:t>
      </w:r>
      <w:r w:rsidRPr="0032590D">
        <w:rPr>
          <w:rFonts w:cs="Calibri Light"/>
        </w:rPr>
        <w:t xml:space="preserve"> </w:t>
      </w:r>
      <w:r w:rsidR="00BC1DEC" w:rsidRPr="0032590D">
        <w:rPr>
          <w:rFonts w:cs="Calibri Light"/>
        </w:rPr>
        <w:t xml:space="preserve">high </w:t>
      </w:r>
      <w:r w:rsidRPr="0032590D">
        <w:rPr>
          <w:rFonts w:cs="Calibri Light"/>
        </w:rPr>
        <w:t>cash user</w:t>
      </w:r>
      <w:r w:rsidR="00BC1DEC" w:rsidRPr="0032590D">
        <w:rPr>
          <w:rFonts w:cs="Calibri Light"/>
        </w:rPr>
        <w:t>s</w:t>
      </w:r>
      <w:r w:rsidR="003804B3" w:rsidRPr="0032590D">
        <w:rPr>
          <w:rFonts w:cs="Calibri Light"/>
        </w:rPr>
        <w:t>.</w:t>
      </w:r>
      <w:r w:rsidR="0003099B" w:rsidRPr="0032590D">
        <w:rPr>
          <w:rStyle w:val="FootnoteReference"/>
          <w:rFonts w:cs="Calibri Light"/>
        </w:rPr>
        <w:footnoteReference w:id="15"/>
      </w:r>
    </w:p>
    <w:p w14:paraId="3FE5A55E" w14:textId="3DC254D1" w:rsidR="003D3701" w:rsidRPr="0032590D" w:rsidRDefault="00E76294" w:rsidP="00163468">
      <w:pPr>
        <w:pStyle w:val="Bullet"/>
        <w:numPr>
          <w:ilvl w:val="0"/>
          <w:numId w:val="0"/>
        </w:numPr>
        <w:tabs>
          <w:tab w:val="left" w:pos="926"/>
        </w:tabs>
        <w:spacing w:before="0" w:after="160" w:line="240" w:lineRule="auto"/>
        <w:rPr>
          <w:rFonts w:cs="Calibri Light"/>
        </w:rPr>
      </w:pPr>
      <w:r w:rsidRPr="0032590D">
        <w:rPr>
          <w:rFonts w:cs="Calibri Light"/>
        </w:rPr>
        <w:t>Even though the preference for cash is declining, the survey found that just over a quarter of respondents</w:t>
      </w:r>
      <w:r w:rsidR="001F1DFF" w:rsidRPr="0032590D">
        <w:rPr>
          <w:rFonts w:cs="Calibri Light"/>
        </w:rPr>
        <w:t>, regardless of how often they use cash,</w:t>
      </w:r>
      <w:r w:rsidRPr="0032590D">
        <w:rPr>
          <w:rFonts w:cs="Calibri Light"/>
        </w:rPr>
        <w:t xml:space="preserve"> said that they would </w:t>
      </w:r>
      <w:r w:rsidR="008418E8" w:rsidRPr="0032590D">
        <w:rPr>
          <w:rFonts w:cs="Calibri Light"/>
        </w:rPr>
        <w:t>be</w:t>
      </w:r>
      <w:r w:rsidRPr="0032590D">
        <w:rPr>
          <w:rFonts w:cs="Calibri Light"/>
        </w:rPr>
        <w:t xml:space="preserve"> negatively </w:t>
      </w:r>
      <w:r w:rsidR="001F1DFF" w:rsidRPr="0032590D">
        <w:rPr>
          <w:rFonts w:cs="Calibri Light"/>
        </w:rPr>
        <w:t>impacted if cash was difficult to access or to utilise as a payment method. The</w:t>
      </w:r>
      <w:r w:rsidR="00ED6B8D" w:rsidRPr="0032590D">
        <w:rPr>
          <w:rFonts w:cs="Calibri Light"/>
        </w:rPr>
        <w:t xml:space="preserve"> survey shows that there is </w:t>
      </w:r>
      <w:r w:rsidR="001F1DFF" w:rsidRPr="0032590D">
        <w:rPr>
          <w:rFonts w:cs="Calibri Light"/>
        </w:rPr>
        <w:t xml:space="preserve">still a preference and </w:t>
      </w:r>
      <w:r w:rsidR="00ED6B8D" w:rsidRPr="0032590D">
        <w:rPr>
          <w:rFonts w:cs="Calibri Light"/>
        </w:rPr>
        <w:t xml:space="preserve">reliance on cash in the economy. </w:t>
      </w:r>
      <w:r w:rsidR="00D431D0" w:rsidRPr="0032590D">
        <w:rPr>
          <w:rFonts w:cs="Calibri Light"/>
        </w:rPr>
        <w:t>Th</w:t>
      </w:r>
      <w:r w:rsidR="008A677E" w:rsidRPr="0032590D">
        <w:rPr>
          <w:rFonts w:cs="Calibri Light"/>
        </w:rPr>
        <w:t xml:space="preserve">is chapter </w:t>
      </w:r>
      <w:r w:rsidR="00435BA4" w:rsidRPr="0032590D">
        <w:rPr>
          <w:rFonts w:cs="Calibri Light"/>
        </w:rPr>
        <w:t>discusses</w:t>
      </w:r>
      <w:r w:rsidR="008A677E" w:rsidRPr="0032590D">
        <w:rPr>
          <w:rFonts w:cs="Calibri Light"/>
        </w:rPr>
        <w:t xml:space="preserve"> some of the </w:t>
      </w:r>
      <w:r w:rsidR="002C42EE" w:rsidRPr="0032590D">
        <w:rPr>
          <w:rFonts w:cs="Calibri Light"/>
        </w:rPr>
        <w:t xml:space="preserve">reasons that consumers may still prefer </w:t>
      </w:r>
      <w:r w:rsidR="001C5555" w:rsidRPr="0032590D">
        <w:rPr>
          <w:rFonts w:cs="Calibri Light"/>
        </w:rPr>
        <w:t>the use of cash for goods and services.</w:t>
      </w:r>
      <w:r w:rsidR="003D69EE" w:rsidRPr="0032590D">
        <w:rPr>
          <w:rFonts w:cs="Calibri Light"/>
        </w:rPr>
        <w:t xml:space="preserve"> The Government welcomes </w:t>
      </w:r>
      <w:r w:rsidR="00DF59EA" w:rsidRPr="0032590D">
        <w:rPr>
          <w:rFonts w:cs="Calibri Light"/>
        </w:rPr>
        <w:t>feedback</w:t>
      </w:r>
      <w:r w:rsidR="003D69EE" w:rsidRPr="0032590D">
        <w:rPr>
          <w:rFonts w:cs="Calibri Light"/>
        </w:rPr>
        <w:t xml:space="preserve"> on </w:t>
      </w:r>
      <w:r w:rsidR="00DF59EA" w:rsidRPr="0032590D">
        <w:rPr>
          <w:rFonts w:cs="Calibri Light"/>
        </w:rPr>
        <w:t>whether it</w:t>
      </w:r>
      <w:r w:rsidR="007D5F07" w:rsidRPr="0032590D">
        <w:rPr>
          <w:rFonts w:cs="Calibri Light"/>
        </w:rPr>
        <w:t xml:space="preserve"> has a sound </w:t>
      </w:r>
      <w:r w:rsidR="00866EB5" w:rsidRPr="0032590D">
        <w:rPr>
          <w:rFonts w:cs="Calibri Light"/>
        </w:rPr>
        <w:t xml:space="preserve">understanding of </w:t>
      </w:r>
      <w:r w:rsidR="003D69EE" w:rsidRPr="0032590D">
        <w:rPr>
          <w:rFonts w:cs="Calibri Light"/>
        </w:rPr>
        <w:t xml:space="preserve">these </w:t>
      </w:r>
      <w:r w:rsidR="00866EB5" w:rsidRPr="0032590D">
        <w:rPr>
          <w:rFonts w:cs="Calibri Light"/>
        </w:rPr>
        <w:t>circumstances</w:t>
      </w:r>
      <w:r w:rsidR="004B053F" w:rsidRPr="0032590D">
        <w:rPr>
          <w:rFonts w:cs="Calibri Light"/>
        </w:rPr>
        <w:t>,</w:t>
      </w:r>
      <w:r w:rsidR="003D69EE" w:rsidRPr="0032590D">
        <w:rPr>
          <w:rFonts w:cs="Calibri Light"/>
        </w:rPr>
        <w:t xml:space="preserve"> and </w:t>
      </w:r>
      <w:r w:rsidR="004B053F" w:rsidRPr="0032590D">
        <w:rPr>
          <w:rFonts w:cs="Calibri Light"/>
        </w:rPr>
        <w:t>whether there are</w:t>
      </w:r>
      <w:r w:rsidR="00D733E0" w:rsidRPr="0032590D">
        <w:rPr>
          <w:rFonts w:cs="Calibri Light"/>
        </w:rPr>
        <w:t xml:space="preserve"> other </w:t>
      </w:r>
      <w:r w:rsidR="004B053F" w:rsidRPr="0032590D">
        <w:rPr>
          <w:rFonts w:cs="Calibri Light"/>
        </w:rPr>
        <w:t xml:space="preserve">circumstances </w:t>
      </w:r>
      <w:r w:rsidR="00D83545" w:rsidRPr="0032590D">
        <w:rPr>
          <w:rFonts w:cs="Calibri Light"/>
        </w:rPr>
        <w:t>where</w:t>
      </w:r>
      <w:r w:rsidR="00D733E0" w:rsidRPr="0032590D">
        <w:rPr>
          <w:rFonts w:cs="Calibri Light"/>
        </w:rPr>
        <w:t xml:space="preserve"> cash remains important to the community.</w:t>
      </w:r>
    </w:p>
    <w:p w14:paraId="24875349" w14:textId="77777777" w:rsidR="00B54CDB" w:rsidRPr="0032590D" w:rsidRDefault="00B54CDB" w:rsidP="00B54CDB">
      <w:pPr>
        <w:pStyle w:val="Heading2"/>
      </w:pPr>
      <w:bookmarkStart w:id="37" w:name="_Toc181278097"/>
      <w:bookmarkStart w:id="38" w:name="_Toc183137380"/>
      <w:r w:rsidRPr="0032590D">
        <w:t>Maintaining social inclusion</w:t>
      </w:r>
      <w:bookmarkEnd w:id="37"/>
      <w:bookmarkEnd w:id="38"/>
    </w:p>
    <w:p w14:paraId="7692DA94" w14:textId="3BA482F3" w:rsidR="00B54CDB" w:rsidRPr="0032590D" w:rsidRDefault="00B54CDB" w:rsidP="00B54CDB">
      <w:pPr>
        <w:pStyle w:val="Bullet"/>
        <w:numPr>
          <w:ilvl w:val="0"/>
          <w:numId w:val="0"/>
        </w:numPr>
        <w:tabs>
          <w:tab w:val="left" w:pos="926"/>
        </w:tabs>
        <w:spacing w:before="0" w:after="160" w:line="240" w:lineRule="auto"/>
        <w:rPr>
          <w:rFonts w:cs="Calibri Light"/>
        </w:rPr>
      </w:pPr>
      <w:r w:rsidRPr="0032590D">
        <w:rPr>
          <w:rFonts w:cs="Calibri Light"/>
        </w:rPr>
        <w:t xml:space="preserve">Digital inclusion </w:t>
      </w:r>
      <w:r w:rsidR="00007BD6" w:rsidRPr="0032590D">
        <w:rPr>
          <w:rFonts w:cs="Calibri Light"/>
        </w:rPr>
        <w:t>requires</w:t>
      </w:r>
      <w:r w:rsidRPr="0032590D">
        <w:rPr>
          <w:rFonts w:cs="Calibri Light"/>
        </w:rPr>
        <w:t xml:space="preserve"> the </w:t>
      </w:r>
      <w:r w:rsidRPr="0032590D">
        <w:rPr>
          <w:rFonts w:cs="Calibri Light"/>
          <w:u w:val="single"/>
        </w:rPr>
        <w:t>affordability</w:t>
      </w:r>
      <w:r w:rsidRPr="0032590D">
        <w:rPr>
          <w:rFonts w:cs="Calibri Light"/>
        </w:rPr>
        <w:t xml:space="preserve"> of </w:t>
      </w:r>
      <w:r w:rsidR="00A1326B" w:rsidRPr="0032590D">
        <w:rPr>
          <w:rFonts w:cs="Calibri Light"/>
        </w:rPr>
        <w:t>an</w:t>
      </w:r>
      <w:r w:rsidRPr="0032590D">
        <w:rPr>
          <w:rFonts w:cs="Calibri Light"/>
        </w:rPr>
        <w:t xml:space="preserve"> internet</w:t>
      </w:r>
      <w:r w:rsidR="00A1326B" w:rsidRPr="0032590D">
        <w:rPr>
          <w:rFonts w:cs="Calibri Light"/>
        </w:rPr>
        <w:t xml:space="preserve"> connection</w:t>
      </w:r>
      <w:r w:rsidRPr="0032590D">
        <w:rPr>
          <w:rFonts w:cs="Calibri Light"/>
        </w:rPr>
        <w:t xml:space="preserve">, </w:t>
      </w:r>
      <w:r w:rsidRPr="0032590D">
        <w:rPr>
          <w:rFonts w:cs="Calibri Light"/>
          <w:u w:val="single"/>
        </w:rPr>
        <w:t>access</w:t>
      </w:r>
      <w:r w:rsidRPr="0032590D">
        <w:rPr>
          <w:rFonts w:cs="Calibri Light"/>
        </w:rPr>
        <w:t xml:space="preserve"> to an appropriate device and good internet connecti</w:t>
      </w:r>
      <w:r w:rsidR="00801706" w:rsidRPr="0032590D">
        <w:rPr>
          <w:rFonts w:cs="Calibri Light"/>
        </w:rPr>
        <w:t>vity</w:t>
      </w:r>
      <w:r w:rsidR="00E56D91" w:rsidRPr="0032590D">
        <w:rPr>
          <w:rFonts w:cs="Calibri Light"/>
        </w:rPr>
        <w:t>,</w:t>
      </w:r>
      <w:r w:rsidRPr="0032590D">
        <w:rPr>
          <w:rFonts w:cs="Calibri Light"/>
        </w:rPr>
        <w:t xml:space="preserve"> and </w:t>
      </w:r>
      <w:r w:rsidR="00E56D91" w:rsidRPr="0032590D">
        <w:rPr>
          <w:rFonts w:cs="Calibri Light"/>
        </w:rPr>
        <w:t>the</w:t>
      </w:r>
      <w:r w:rsidRPr="0032590D">
        <w:rPr>
          <w:rFonts w:cs="Calibri Light"/>
        </w:rPr>
        <w:t xml:space="preserve"> </w:t>
      </w:r>
      <w:r w:rsidRPr="0032590D">
        <w:rPr>
          <w:rFonts w:cs="Calibri Light"/>
          <w:u w:val="single"/>
        </w:rPr>
        <w:t>ability</w:t>
      </w:r>
      <w:r w:rsidRPr="0032590D">
        <w:rPr>
          <w:rFonts w:cs="Calibri Light"/>
        </w:rPr>
        <w:t xml:space="preserve"> to use </w:t>
      </w:r>
      <w:r w:rsidR="0060409F" w:rsidRPr="0032590D">
        <w:rPr>
          <w:rFonts w:cs="Calibri Light"/>
        </w:rPr>
        <w:t>a range of</w:t>
      </w:r>
      <w:r w:rsidRPr="0032590D">
        <w:rPr>
          <w:rFonts w:cs="Calibri Light"/>
        </w:rPr>
        <w:t xml:space="preserve"> devices to engage with online systems. The COVID-19 pandemic marked a significant shift to digital technologies</w:t>
      </w:r>
      <w:r w:rsidR="00CD45BA" w:rsidRPr="0032590D">
        <w:rPr>
          <w:rFonts w:cs="Calibri Light"/>
        </w:rPr>
        <w:t>;</w:t>
      </w:r>
      <w:r w:rsidRPr="0032590D">
        <w:rPr>
          <w:rFonts w:cs="Calibri Light"/>
        </w:rPr>
        <w:t xml:space="preserve"> this can be seen in how consumers shifted at a more rapid pace to digital payment methods but also in how businesses and governments shifted to a greater digital focus. At the same time, there are cohorts of people that have struggled with some of these digital shifts. </w:t>
      </w:r>
    </w:p>
    <w:p w14:paraId="7AD84F68" w14:textId="107D0EA9" w:rsidR="00B54CDB" w:rsidRPr="0032590D" w:rsidRDefault="00B54CDB" w:rsidP="00B54CDB">
      <w:pPr>
        <w:pStyle w:val="Bullet"/>
        <w:numPr>
          <w:ilvl w:val="0"/>
          <w:numId w:val="0"/>
        </w:numPr>
        <w:tabs>
          <w:tab w:val="left" w:pos="926"/>
        </w:tabs>
        <w:spacing w:before="0" w:after="160" w:line="240" w:lineRule="auto"/>
        <w:rPr>
          <w:rFonts w:cs="Calibri Light"/>
        </w:rPr>
      </w:pPr>
      <w:r w:rsidRPr="0032590D">
        <w:rPr>
          <w:rFonts w:cs="Calibri Light"/>
        </w:rPr>
        <w:t>The Australian Digital Inclusion Index (ADII) is a measure of affordability, access and digital ability. The 2023 report found that while the digital gap between capital cities and regions continues to narrow, the gap in access and digital ability remains significant. The same report also found that despite some gains, Australians aged over 65 maintain lower scores in digital ability, and those over the age of 75 also face higher disparities in access and ability compared to younger cohorts.</w:t>
      </w:r>
      <w:r w:rsidRPr="0032590D">
        <w:rPr>
          <w:rStyle w:val="FootnoteReference"/>
          <w:rFonts w:cs="Calibri Light"/>
        </w:rPr>
        <w:footnoteReference w:id="16"/>
      </w:r>
      <w:r w:rsidRPr="0032590D">
        <w:rPr>
          <w:rFonts w:cs="Calibri Light"/>
        </w:rPr>
        <w:t xml:space="preserve"> </w:t>
      </w:r>
      <w:r w:rsidR="009C126A" w:rsidRPr="0032590D">
        <w:rPr>
          <w:rFonts w:cs="Calibri Light"/>
        </w:rPr>
        <w:t xml:space="preserve">The ADII defines </w:t>
      </w:r>
      <w:r w:rsidR="00A017D7" w:rsidRPr="0032590D">
        <w:rPr>
          <w:rFonts w:cs="Calibri Light"/>
        </w:rPr>
        <w:t xml:space="preserve">a person receiving an index score of 45 or below as being highly digitally excluded. </w:t>
      </w:r>
      <w:r w:rsidR="007C574E" w:rsidRPr="0032590D">
        <w:rPr>
          <w:rFonts w:cs="Calibri Light"/>
        </w:rPr>
        <w:t xml:space="preserve">The latest ADII data </w:t>
      </w:r>
      <w:r w:rsidR="00EC46CB" w:rsidRPr="0032590D">
        <w:rPr>
          <w:rFonts w:cs="Calibri Light"/>
        </w:rPr>
        <w:t xml:space="preserve">shows </w:t>
      </w:r>
      <w:r w:rsidR="007C574E" w:rsidRPr="0032590D">
        <w:rPr>
          <w:rFonts w:cs="Calibri Light"/>
        </w:rPr>
        <w:t>that 19 per cent of p</w:t>
      </w:r>
      <w:r w:rsidRPr="0032590D">
        <w:rPr>
          <w:rFonts w:cs="Calibri Light"/>
        </w:rPr>
        <w:t>eople aged 65</w:t>
      </w:r>
      <w:r w:rsidR="00971D9C" w:rsidRPr="0032590D">
        <w:rPr>
          <w:rFonts w:cs="Calibri Light"/>
        </w:rPr>
        <w:t xml:space="preserve"> to </w:t>
      </w:r>
      <w:r w:rsidRPr="0032590D">
        <w:rPr>
          <w:rFonts w:cs="Calibri Light"/>
        </w:rPr>
        <w:t xml:space="preserve">74 </w:t>
      </w:r>
      <w:r w:rsidR="007C574E" w:rsidRPr="0032590D">
        <w:rPr>
          <w:rFonts w:cs="Calibri Light"/>
        </w:rPr>
        <w:t xml:space="preserve">are highly digitally </w:t>
      </w:r>
      <w:r w:rsidR="000B1953" w:rsidRPr="0032590D">
        <w:rPr>
          <w:rFonts w:cs="Calibri Light"/>
        </w:rPr>
        <w:t>excluded</w:t>
      </w:r>
      <w:r w:rsidR="00921975" w:rsidRPr="0032590D">
        <w:rPr>
          <w:rFonts w:cs="Calibri Light"/>
        </w:rPr>
        <w:t>; it also shows that</w:t>
      </w:r>
      <w:r w:rsidR="000B1953" w:rsidRPr="0032590D">
        <w:rPr>
          <w:rFonts w:cs="Calibri Light"/>
        </w:rPr>
        <w:t xml:space="preserve"> 42 per cent of </w:t>
      </w:r>
      <w:r w:rsidR="004417E2" w:rsidRPr="0032590D">
        <w:rPr>
          <w:rFonts w:cs="Calibri Light"/>
        </w:rPr>
        <w:t xml:space="preserve">people aged over 75 </w:t>
      </w:r>
      <w:r w:rsidR="00EC46CB" w:rsidRPr="0032590D">
        <w:rPr>
          <w:rFonts w:cs="Calibri Light"/>
        </w:rPr>
        <w:t>are highly digitally excluded.</w:t>
      </w:r>
      <w:r w:rsidR="000A21A9" w:rsidRPr="0032590D">
        <w:rPr>
          <w:rStyle w:val="FootnoteReference"/>
          <w:rFonts w:cs="Calibri Light"/>
        </w:rPr>
        <w:footnoteReference w:id="17"/>
      </w:r>
      <w:r w:rsidR="00EC46CB" w:rsidRPr="0032590D">
        <w:rPr>
          <w:rFonts w:cs="Calibri Light"/>
        </w:rPr>
        <w:t xml:space="preserve"> </w:t>
      </w:r>
      <w:r w:rsidRPr="0032590D">
        <w:rPr>
          <w:rFonts w:cs="Calibri Light"/>
        </w:rPr>
        <w:t>Applying these proportions to population estimates</w:t>
      </w:r>
      <w:r w:rsidR="00543059" w:rsidRPr="0032590D">
        <w:rPr>
          <w:rFonts w:cs="Calibri Light"/>
        </w:rPr>
        <w:t>,</w:t>
      </w:r>
      <w:r w:rsidRPr="0032590D">
        <w:rPr>
          <w:rFonts w:cs="Calibri Light"/>
        </w:rPr>
        <w:t xml:space="preserve"> as of 30 June 2023</w:t>
      </w:r>
      <w:r w:rsidR="00543059" w:rsidRPr="0032590D">
        <w:rPr>
          <w:rFonts w:cs="Calibri Light"/>
        </w:rPr>
        <w:t>,</w:t>
      </w:r>
      <w:r w:rsidRPr="0032590D">
        <w:rPr>
          <w:rFonts w:cs="Calibri Light"/>
        </w:rPr>
        <w:t xml:space="preserve"> provides an estimate of </w:t>
      </w:r>
      <w:r w:rsidR="003A0DFE" w:rsidRPr="0032590D">
        <w:rPr>
          <w:rFonts w:cs="Calibri Light"/>
        </w:rPr>
        <w:t xml:space="preserve">over 1.3 </w:t>
      </w:r>
      <w:r w:rsidRPr="0032590D">
        <w:rPr>
          <w:rFonts w:cs="Calibri Light"/>
        </w:rPr>
        <w:t>million people age</w:t>
      </w:r>
      <w:r w:rsidR="008B0D54" w:rsidRPr="0032590D">
        <w:rPr>
          <w:rFonts w:cs="Calibri Light"/>
        </w:rPr>
        <w:t>d</w:t>
      </w:r>
      <w:r w:rsidRPr="0032590D">
        <w:rPr>
          <w:rFonts w:cs="Calibri Light"/>
        </w:rPr>
        <w:t xml:space="preserve"> </w:t>
      </w:r>
      <w:r w:rsidR="008B0D54" w:rsidRPr="0032590D">
        <w:rPr>
          <w:rFonts w:cs="Calibri Light"/>
        </w:rPr>
        <w:t>over</w:t>
      </w:r>
      <w:r w:rsidRPr="0032590D">
        <w:rPr>
          <w:rFonts w:cs="Calibri Light"/>
        </w:rPr>
        <w:t xml:space="preserve"> 65 </w:t>
      </w:r>
      <w:r w:rsidR="008B0D54" w:rsidRPr="0032590D">
        <w:rPr>
          <w:rFonts w:cs="Calibri Light"/>
        </w:rPr>
        <w:t xml:space="preserve">being </w:t>
      </w:r>
      <w:r w:rsidRPr="0032590D">
        <w:rPr>
          <w:rFonts w:cs="Calibri Light"/>
        </w:rPr>
        <w:t>high</w:t>
      </w:r>
      <w:r w:rsidR="008B0D54" w:rsidRPr="0032590D">
        <w:rPr>
          <w:rFonts w:cs="Calibri Light"/>
        </w:rPr>
        <w:t>ly</w:t>
      </w:r>
      <w:r w:rsidRPr="0032590D">
        <w:rPr>
          <w:rFonts w:cs="Calibri Light"/>
        </w:rPr>
        <w:t xml:space="preserve"> digital</w:t>
      </w:r>
      <w:r w:rsidR="008B0D54" w:rsidRPr="0032590D">
        <w:rPr>
          <w:rFonts w:cs="Calibri Light"/>
        </w:rPr>
        <w:t>ly</w:t>
      </w:r>
      <w:r w:rsidRPr="0032590D">
        <w:rPr>
          <w:rFonts w:cs="Calibri Light"/>
        </w:rPr>
        <w:t xml:space="preserve"> exclu</w:t>
      </w:r>
      <w:r w:rsidR="008B0D54" w:rsidRPr="0032590D">
        <w:rPr>
          <w:rFonts w:cs="Calibri Light"/>
        </w:rPr>
        <w:t>ded</w:t>
      </w:r>
      <w:r w:rsidRPr="0032590D">
        <w:rPr>
          <w:rFonts w:cs="Calibri Light"/>
        </w:rPr>
        <w:t>.</w:t>
      </w:r>
      <w:r w:rsidRPr="0032590D">
        <w:rPr>
          <w:rStyle w:val="FootnoteReference"/>
          <w:rFonts w:cs="Calibri Light"/>
        </w:rPr>
        <w:footnoteReference w:id="18"/>
      </w:r>
      <w:r w:rsidRPr="0032590D">
        <w:rPr>
          <w:rFonts w:cs="Calibri Light"/>
        </w:rPr>
        <w:t xml:space="preserve"> For th</w:t>
      </w:r>
      <w:r w:rsidR="00F64B56" w:rsidRPr="0032590D">
        <w:rPr>
          <w:rFonts w:cs="Calibri Light"/>
        </w:rPr>
        <w:t>e</w:t>
      </w:r>
      <w:r w:rsidRPr="0032590D">
        <w:rPr>
          <w:rFonts w:cs="Calibri Light"/>
        </w:rPr>
        <w:t xml:space="preserve">se Australians, particularly older Australians outside of capital cities, cash is likely to remain a preferred payment method. </w:t>
      </w:r>
    </w:p>
    <w:p w14:paraId="576B3B7F" w14:textId="3CA3F98F" w:rsidR="00B54CDB" w:rsidRPr="0032590D" w:rsidRDefault="00B54CDB" w:rsidP="00B54CDB">
      <w:pPr>
        <w:pStyle w:val="Bullet"/>
        <w:numPr>
          <w:ilvl w:val="0"/>
          <w:numId w:val="0"/>
        </w:numPr>
        <w:tabs>
          <w:tab w:val="left" w:pos="926"/>
        </w:tabs>
        <w:spacing w:before="0" w:after="160" w:line="240" w:lineRule="auto"/>
        <w:rPr>
          <w:rFonts w:cs="Calibri Light"/>
        </w:rPr>
      </w:pPr>
      <w:r w:rsidRPr="0032590D">
        <w:rPr>
          <w:rFonts w:cs="Calibri Light"/>
        </w:rPr>
        <w:t xml:space="preserve">First Nations peoples are particularly affected by digital exclusion, with the 2024 </w:t>
      </w:r>
      <w:r w:rsidR="001D11DF" w:rsidRPr="0032590D">
        <w:rPr>
          <w:rFonts w:cs="Calibri Light"/>
        </w:rPr>
        <w:t xml:space="preserve">Regional Telecommunications review </w:t>
      </w:r>
      <w:r w:rsidRPr="0032590D">
        <w:rPr>
          <w:rFonts w:cs="Calibri Light"/>
        </w:rPr>
        <w:t xml:space="preserve">identifying that there </w:t>
      </w:r>
      <w:r w:rsidR="000A0429" w:rsidRPr="0032590D">
        <w:rPr>
          <w:rFonts w:cs="Calibri Light"/>
        </w:rPr>
        <w:t>are</w:t>
      </w:r>
      <w:r w:rsidRPr="0032590D">
        <w:rPr>
          <w:rFonts w:cs="Calibri Light"/>
        </w:rPr>
        <w:t xml:space="preserve"> currently 670 First Nations communities and homelands that do not have mobile coverage.</w:t>
      </w:r>
      <w:r w:rsidRPr="0032590D">
        <w:rPr>
          <w:rStyle w:val="FootnoteReference"/>
          <w:rFonts w:cs="Calibri Light"/>
        </w:rPr>
        <w:t xml:space="preserve"> </w:t>
      </w:r>
      <w:r w:rsidRPr="0032590D">
        <w:rPr>
          <w:rStyle w:val="FootnoteReference"/>
          <w:rFonts w:cs="Calibri Light"/>
        </w:rPr>
        <w:footnoteReference w:id="19"/>
      </w:r>
      <w:r w:rsidRPr="0032590D">
        <w:rPr>
          <w:rFonts w:cs="Calibri Light"/>
        </w:rPr>
        <w:t xml:space="preserve"> </w:t>
      </w:r>
    </w:p>
    <w:p w14:paraId="47D65492" w14:textId="390A5BFE" w:rsidR="00B54CDB" w:rsidRPr="0032590D" w:rsidRDefault="00873E08" w:rsidP="00B54CDB">
      <w:pPr>
        <w:pStyle w:val="Bullet"/>
        <w:numPr>
          <w:ilvl w:val="0"/>
          <w:numId w:val="0"/>
        </w:numPr>
        <w:tabs>
          <w:tab w:val="left" w:pos="926"/>
        </w:tabs>
        <w:spacing w:before="0" w:after="160" w:line="240" w:lineRule="auto"/>
        <w:rPr>
          <w:rFonts w:cs="Calibri Light"/>
        </w:rPr>
      </w:pPr>
      <w:r w:rsidRPr="0032590D">
        <w:rPr>
          <w:rFonts w:cs="Calibri Light"/>
        </w:rPr>
        <w:t>P</w:t>
      </w:r>
      <w:r w:rsidR="00B54CDB" w:rsidRPr="0032590D">
        <w:rPr>
          <w:rFonts w:cs="Calibri Light"/>
        </w:rPr>
        <w:t xml:space="preserve">eople with disability also face significant digital exclusion. </w:t>
      </w:r>
      <w:r w:rsidR="00202EAC" w:rsidRPr="0032590D">
        <w:rPr>
          <w:rFonts w:cs="Calibri Light"/>
        </w:rPr>
        <w:t xml:space="preserve">The latest ADII data shows that </w:t>
      </w:r>
      <w:r w:rsidR="008E7845" w:rsidRPr="0032590D">
        <w:rPr>
          <w:rFonts w:cs="Calibri Light"/>
        </w:rPr>
        <w:t>24 per cent of p</w:t>
      </w:r>
      <w:r w:rsidR="00B54CDB" w:rsidRPr="0032590D">
        <w:rPr>
          <w:rFonts w:cs="Calibri Light"/>
        </w:rPr>
        <w:t xml:space="preserve">eople with </w:t>
      </w:r>
      <w:r w:rsidRPr="0032590D">
        <w:rPr>
          <w:rFonts w:cs="Calibri Light"/>
        </w:rPr>
        <w:t xml:space="preserve">a </w:t>
      </w:r>
      <w:r w:rsidR="00B54CDB" w:rsidRPr="0032590D">
        <w:rPr>
          <w:rFonts w:cs="Calibri Light"/>
        </w:rPr>
        <w:t xml:space="preserve">disability </w:t>
      </w:r>
      <w:r w:rsidR="008E7845" w:rsidRPr="0032590D">
        <w:rPr>
          <w:rFonts w:cs="Calibri Light"/>
        </w:rPr>
        <w:t>are highly digitally excluded</w:t>
      </w:r>
      <w:r w:rsidR="00B54CDB" w:rsidRPr="0032590D">
        <w:rPr>
          <w:rFonts w:cs="Calibri Light"/>
        </w:rPr>
        <w:t>.</w:t>
      </w:r>
      <w:r w:rsidR="00A229C6" w:rsidRPr="0032590D">
        <w:rPr>
          <w:rStyle w:val="FootnoteReference"/>
          <w:rFonts w:cs="Calibri Light"/>
        </w:rPr>
        <w:footnoteReference w:id="20"/>
      </w:r>
      <w:r w:rsidR="00B54CDB" w:rsidRPr="0032590D">
        <w:rPr>
          <w:rFonts w:cs="Calibri Light"/>
        </w:rPr>
        <w:t xml:space="preserve"> Applying th</w:t>
      </w:r>
      <w:r w:rsidR="00E9192B" w:rsidRPr="0032590D">
        <w:rPr>
          <w:rFonts w:cs="Calibri Light"/>
        </w:rPr>
        <w:t>is</w:t>
      </w:r>
      <w:r w:rsidR="00B54CDB" w:rsidRPr="0032590D">
        <w:rPr>
          <w:rFonts w:cs="Calibri Light"/>
        </w:rPr>
        <w:t xml:space="preserve"> proportion to </w:t>
      </w:r>
      <w:r w:rsidR="00E9192B" w:rsidRPr="0032590D">
        <w:rPr>
          <w:rFonts w:cs="Calibri Light"/>
        </w:rPr>
        <w:t xml:space="preserve">2018 </w:t>
      </w:r>
      <w:r w:rsidR="00B54CDB" w:rsidRPr="0032590D">
        <w:rPr>
          <w:rFonts w:cs="Calibri Light"/>
        </w:rPr>
        <w:t>population estimates provides an estimate of around 1.</w:t>
      </w:r>
      <w:r w:rsidR="00543059" w:rsidRPr="0032590D">
        <w:rPr>
          <w:rFonts w:cs="Calibri Light"/>
        </w:rPr>
        <w:t>1</w:t>
      </w:r>
      <w:r w:rsidR="00B54CDB" w:rsidRPr="0032590D">
        <w:rPr>
          <w:rFonts w:cs="Calibri Light"/>
        </w:rPr>
        <w:t xml:space="preserve"> million people </w:t>
      </w:r>
      <w:r w:rsidR="000D4249" w:rsidRPr="0032590D">
        <w:rPr>
          <w:rFonts w:cs="Calibri Light"/>
        </w:rPr>
        <w:t xml:space="preserve">with </w:t>
      </w:r>
      <w:r w:rsidR="002952C0" w:rsidRPr="0032590D">
        <w:rPr>
          <w:rFonts w:cs="Calibri Light"/>
        </w:rPr>
        <w:t xml:space="preserve">a disability being highly digitally </w:t>
      </w:r>
      <w:r w:rsidR="00B54CDB" w:rsidRPr="0032590D">
        <w:rPr>
          <w:rFonts w:cs="Calibri Light"/>
        </w:rPr>
        <w:t>exclu</w:t>
      </w:r>
      <w:r w:rsidR="002952C0" w:rsidRPr="0032590D">
        <w:rPr>
          <w:rFonts w:cs="Calibri Light"/>
        </w:rPr>
        <w:t>ded</w:t>
      </w:r>
      <w:r w:rsidR="00B54CDB" w:rsidRPr="0032590D">
        <w:rPr>
          <w:rFonts w:cs="Calibri Light"/>
        </w:rPr>
        <w:t>.</w:t>
      </w:r>
      <w:r w:rsidR="00B54CDB" w:rsidRPr="0032590D">
        <w:rPr>
          <w:rStyle w:val="FootnoteReference"/>
          <w:rFonts w:cs="Calibri Light"/>
        </w:rPr>
        <w:footnoteReference w:id="21"/>
      </w:r>
    </w:p>
    <w:p w14:paraId="709C8DE9" w14:textId="24DA4756" w:rsidR="00B54CDB" w:rsidRPr="0032590D" w:rsidRDefault="002C7BBA" w:rsidP="00B54CDB">
      <w:pPr>
        <w:pStyle w:val="Bullet"/>
        <w:numPr>
          <w:ilvl w:val="0"/>
          <w:numId w:val="0"/>
        </w:numPr>
        <w:tabs>
          <w:tab w:val="left" w:pos="926"/>
        </w:tabs>
        <w:spacing w:before="0" w:after="160" w:line="240" w:lineRule="auto"/>
        <w:rPr>
          <w:rFonts w:cs="Calibri Light"/>
        </w:rPr>
      </w:pPr>
      <w:r w:rsidRPr="0032590D">
        <w:rPr>
          <w:rFonts w:cs="Calibri Light"/>
          <w:noProof/>
        </w:rPr>
        <mc:AlternateContent>
          <mc:Choice Requires="wps">
            <w:drawing>
              <wp:anchor distT="0" distB="0" distL="114300" distR="114300" simplePos="0" relativeHeight="251660800" behindDoc="0" locked="0" layoutInCell="1" allowOverlap="1" wp14:anchorId="40FD2A37" wp14:editId="799D32BC">
                <wp:simplePos x="0" y="0"/>
                <wp:positionH relativeFrom="margin">
                  <wp:align>center</wp:align>
                </wp:positionH>
                <wp:positionV relativeFrom="paragraph">
                  <wp:posOffset>825923</wp:posOffset>
                </wp:positionV>
                <wp:extent cx="5610225" cy="1434465"/>
                <wp:effectExtent l="0" t="0" r="9525" b="0"/>
                <wp:wrapTopAndBottom/>
                <wp:docPr id="1063487713" name="Text Box 1"/>
                <wp:cNvGraphicFramePr/>
                <a:graphic xmlns:a="http://schemas.openxmlformats.org/drawingml/2006/main">
                  <a:graphicData uri="http://schemas.microsoft.com/office/word/2010/wordprocessingShape">
                    <wps:wsp>
                      <wps:cNvSpPr txBox="1"/>
                      <wps:spPr>
                        <a:xfrm>
                          <a:off x="0" y="0"/>
                          <a:ext cx="5610225" cy="1434465"/>
                        </a:xfrm>
                        <a:prstGeom prst="rect">
                          <a:avLst/>
                        </a:prstGeom>
                        <a:solidFill>
                          <a:schemeClr val="accent5">
                            <a:lumMod val="20000"/>
                            <a:lumOff val="80000"/>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70C8D9D8" w14:textId="77777777" w:rsidR="00B54CDB" w:rsidRDefault="00B54CDB" w:rsidP="00B54CDB">
                            <w:pPr>
                              <w:pStyle w:val="BoxHeading"/>
                            </w:pPr>
                            <w:r>
                              <w:t>Box 2.1: Margaret</w:t>
                            </w:r>
                          </w:p>
                          <w:p w14:paraId="645A22E3" w14:textId="01927E45" w:rsidR="00B54CDB" w:rsidRPr="00060534" w:rsidRDefault="00B54CDB" w:rsidP="00B54CDB">
                            <w:pPr>
                              <w:spacing w:after="0"/>
                              <w:rPr>
                                <w:rFonts w:cs="Calibri Light"/>
                                <w:color w:val="000000" w:themeColor="text1"/>
                              </w:rPr>
                            </w:pPr>
                            <w:r w:rsidRPr="00060534">
                              <w:rPr>
                                <w:rFonts w:cs="Calibri Light"/>
                                <w:color w:val="000000" w:themeColor="text1"/>
                              </w:rPr>
                              <w:t>Margaret is 76 years old and lives in regional New South Wales. While internet services are available in her area, Margaret does not have the ability to confidently operate online. Margaret uses the local bank branch to withdraw cash and the local post office to pay bills. Margaret uses cash to purchase most goods and services. A cash acceptance mandate would provide Mar</w:t>
                            </w:r>
                            <w:r w:rsidR="000F6611" w:rsidRPr="00060534">
                              <w:rPr>
                                <w:rFonts w:cs="Calibri Light"/>
                                <w:color w:val="000000" w:themeColor="text1"/>
                              </w:rPr>
                              <w:t>a</w:t>
                            </w:r>
                            <w:r w:rsidRPr="00060534">
                              <w:rPr>
                                <w:rFonts w:cs="Calibri Light"/>
                                <w:color w:val="000000" w:themeColor="text1"/>
                              </w:rPr>
                              <w:t>gret assurance that she can continue to access the things she needs with cash.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FD2A37" id="_x0000_t202" coordsize="21600,21600" o:spt="202" path="m,l,21600r21600,l21600,xe">
                <v:stroke joinstyle="miter"/>
                <v:path gradientshapeok="t" o:connecttype="rect"/>
              </v:shapetype>
              <v:shape id="Text Box 1" o:spid="_x0000_s1026" type="#_x0000_t202" style="position:absolute;margin-left:0;margin-top:65.05pt;width:441.75pt;height:112.95pt;z-index:2516608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" fillcolor="#e8f0fc [664]" stroked="f">
                <v:fill opacity="32896f"/>
                <v:textbox>
                  <w:txbxContent>
                    <w:p w14:paraId="70C8D9D8" w14:textId="77777777" w:rsidR="00B54CDB" w:rsidRDefault="00B54CDB" w:rsidP="00B54CDB">
                      <w:pPr>
                        <w:pStyle w:val="BoxHeading"/>
                      </w:pPr>
                      <w:r>
                        <w:t>Box 2.1: Margaret</w:t>
                      </w:r>
                    </w:p>
                    <w:p w14:paraId="645A22E3" w14:textId="01927E45" w:rsidR="00B54CDB" w:rsidRPr="00060534" w:rsidRDefault="00B54CDB" w:rsidP="00B54CDB">
                      <w:pPr>
                        <w:spacing w:after="0"/>
                        <w:rPr>
                          <w:rFonts w:cs="Calibri Light"/>
                          <w:color w:val="000000" w:themeColor="text1"/>
                        </w:rPr>
                      </w:pPr>
                      <w:r w:rsidRPr="00060534">
                        <w:rPr>
                          <w:rFonts w:cs="Calibri Light"/>
                          <w:color w:val="000000" w:themeColor="text1"/>
                        </w:rPr>
                        <w:t>Margaret is 76 years old and lives in regional New South Wales. While internet services are available in her area, Margaret does not have the ability to confidently operate online. Margaret uses the local bank branch to withdraw cash and the local post office to pay bills. Margaret uses cash to purchase most goods and services. A cash acceptance mandate would provide Mar</w:t>
                      </w:r>
                      <w:r w:rsidR="000F6611" w:rsidRPr="00060534">
                        <w:rPr>
                          <w:rFonts w:cs="Calibri Light"/>
                          <w:color w:val="000000" w:themeColor="text1"/>
                        </w:rPr>
                        <w:t>a</w:t>
                      </w:r>
                      <w:r w:rsidRPr="00060534">
                        <w:rPr>
                          <w:rFonts w:cs="Calibri Light"/>
                          <w:color w:val="000000" w:themeColor="text1"/>
                        </w:rPr>
                        <w:t>gret assurance that she can continue to access the things she needs with cash.</w:t>
                      </w:r>
                    </w:p>
                  </w:txbxContent>
                </v:textbox>
                <w10:wrap type="topAndBottom" anchorx="margin"/>
              </v:shape>
            </w:pict>
          </mc:Fallback>
        </mc:AlternateContent>
      </w:r>
      <w:r w:rsidR="00B54CDB" w:rsidRPr="0032590D">
        <w:rPr>
          <w:rFonts w:cs="Calibri Light"/>
        </w:rPr>
        <w:t xml:space="preserve">The Government recognise the challenge of digital inclusion. </w:t>
      </w:r>
      <w:r w:rsidR="00B54CDB" w:rsidRPr="0032590D">
        <w:rPr>
          <w:rFonts w:cs="Calibri Light"/>
          <w:u w:val="single"/>
        </w:rPr>
        <w:t>Appendix B</w:t>
      </w:r>
      <w:r w:rsidR="00B54CDB" w:rsidRPr="0032590D">
        <w:rPr>
          <w:rFonts w:cs="Calibri Light"/>
        </w:rPr>
        <w:t xml:space="preserve"> describes Government initiatives to promote digital inclusion for older Australians, people with disability and First Nations peoples.</w:t>
      </w:r>
      <w:r w:rsidR="00060534" w:rsidRPr="0032590D">
        <w:rPr>
          <w:rFonts w:cs="Calibri Light"/>
        </w:rPr>
        <w:t xml:space="preserve"> </w:t>
      </w:r>
      <w:r w:rsidR="00B54CDB" w:rsidRPr="0032590D">
        <w:rPr>
          <w:rFonts w:cs="Calibri Light"/>
        </w:rPr>
        <w:t xml:space="preserve">A cash </w:t>
      </w:r>
      <w:r w:rsidR="009B51B9" w:rsidRPr="0032590D">
        <w:rPr>
          <w:rFonts w:cs="Calibri Light"/>
        </w:rPr>
        <w:t xml:space="preserve">acceptance </w:t>
      </w:r>
      <w:r w:rsidR="00B54CDB" w:rsidRPr="0032590D">
        <w:rPr>
          <w:rFonts w:cs="Calibri Light"/>
        </w:rPr>
        <w:t xml:space="preserve">mandate could help to ensure that these people are not left behind and able to engage in the economy. </w:t>
      </w:r>
    </w:p>
    <w:p w14:paraId="5798970D" w14:textId="74997A81" w:rsidR="00503553" w:rsidRPr="0032590D" w:rsidRDefault="00D733E0" w:rsidP="002806B1">
      <w:pPr>
        <w:pStyle w:val="Heading2"/>
      </w:pPr>
      <w:bookmarkStart w:id="39" w:name="_Toc181278098"/>
      <w:bookmarkStart w:id="40" w:name="_Toc183137381"/>
      <w:r w:rsidRPr="0032590D">
        <w:t>Providing reliability during outages of digital payment systems</w:t>
      </w:r>
      <w:bookmarkEnd w:id="39"/>
      <w:bookmarkEnd w:id="40"/>
    </w:p>
    <w:p w14:paraId="11FD52FF" w14:textId="6E4FF577" w:rsidR="002C7BBA" w:rsidRPr="0032590D" w:rsidRDefault="00520BBD" w:rsidP="00163468">
      <w:pPr>
        <w:pStyle w:val="Bullet"/>
        <w:numPr>
          <w:ilvl w:val="0"/>
          <w:numId w:val="0"/>
        </w:numPr>
        <w:tabs>
          <w:tab w:val="left" w:pos="926"/>
        </w:tabs>
        <w:spacing w:before="0" w:after="160" w:line="240" w:lineRule="auto"/>
        <w:rPr>
          <w:rFonts w:cs="Calibri Light"/>
        </w:rPr>
      </w:pPr>
      <w:r w:rsidRPr="0032590D">
        <w:rPr>
          <w:rFonts w:cs="Calibri Light"/>
        </w:rPr>
        <w:t xml:space="preserve">RBA data shows that </w:t>
      </w:r>
      <w:r w:rsidR="00880D77" w:rsidRPr="0032590D">
        <w:rPr>
          <w:rFonts w:cs="Calibri Light"/>
        </w:rPr>
        <w:t xml:space="preserve">Australia’s </w:t>
      </w:r>
      <w:r w:rsidRPr="0032590D">
        <w:rPr>
          <w:rFonts w:cs="Calibri Light"/>
        </w:rPr>
        <w:t>retail payment services have an average availability of at least 99.8 per cent each quarter</w:t>
      </w:r>
      <w:r w:rsidR="002506E4" w:rsidRPr="0032590D">
        <w:rPr>
          <w:rFonts w:cs="Calibri Light"/>
        </w:rPr>
        <w:t>.</w:t>
      </w:r>
      <w:r w:rsidR="002506E4" w:rsidRPr="0032590D">
        <w:rPr>
          <w:rStyle w:val="FootnoteReference"/>
          <w:rFonts w:cs="Calibri Light"/>
        </w:rPr>
        <w:footnoteReference w:id="22"/>
      </w:r>
      <w:r w:rsidR="002367B9" w:rsidRPr="0032590D">
        <w:rPr>
          <w:rFonts w:cs="Calibri Light"/>
        </w:rPr>
        <w:t xml:space="preserve"> </w:t>
      </w:r>
      <w:r w:rsidR="003F47BC" w:rsidRPr="0032590D">
        <w:rPr>
          <w:rFonts w:cs="Calibri Light"/>
        </w:rPr>
        <w:t>D</w:t>
      </w:r>
      <w:r w:rsidR="00AA2426" w:rsidRPr="0032590D">
        <w:rPr>
          <w:rFonts w:cs="Calibri Light"/>
        </w:rPr>
        <w:t>ata</w:t>
      </w:r>
      <w:r w:rsidR="00C57C99" w:rsidRPr="0032590D">
        <w:rPr>
          <w:rFonts w:cs="Calibri Light"/>
        </w:rPr>
        <w:t xml:space="preserve"> show</w:t>
      </w:r>
      <w:r w:rsidR="00EA318D" w:rsidRPr="0032590D">
        <w:rPr>
          <w:rFonts w:cs="Calibri Light"/>
        </w:rPr>
        <w:t>ing</w:t>
      </w:r>
      <w:r w:rsidR="00C57C99" w:rsidRPr="0032590D">
        <w:rPr>
          <w:rFonts w:cs="Calibri Light"/>
        </w:rPr>
        <w:t xml:space="preserve"> a</w:t>
      </w:r>
      <w:r w:rsidR="009428E3" w:rsidRPr="0032590D">
        <w:rPr>
          <w:rFonts w:cs="Calibri Light"/>
        </w:rPr>
        <w:t>verage s</w:t>
      </w:r>
      <w:r w:rsidR="002367B9" w:rsidRPr="0032590D">
        <w:rPr>
          <w:rFonts w:cs="Calibri Light"/>
        </w:rPr>
        <w:t>ervice availabilities</w:t>
      </w:r>
      <w:r w:rsidR="00953919" w:rsidRPr="0032590D">
        <w:rPr>
          <w:rFonts w:cs="Calibri Light"/>
        </w:rPr>
        <w:t xml:space="preserve">, </w:t>
      </w:r>
      <w:r w:rsidR="009428E3" w:rsidRPr="0032590D">
        <w:rPr>
          <w:rFonts w:cs="Calibri Light"/>
        </w:rPr>
        <w:t xml:space="preserve">total </w:t>
      </w:r>
      <w:r w:rsidR="00953919" w:rsidRPr="0032590D">
        <w:rPr>
          <w:rFonts w:cs="Calibri Light"/>
        </w:rPr>
        <w:t xml:space="preserve">significant outages and total </w:t>
      </w:r>
      <w:r w:rsidR="002367B9" w:rsidRPr="0032590D">
        <w:rPr>
          <w:rFonts w:cs="Calibri Light"/>
        </w:rPr>
        <w:t xml:space="preserve">duration </w:t>
      </w:r>
      <w:r w:rsidR="00FF7648" w:rsidRPr="0032590D">
        <w:rPr>
          <w:rFonts w:cs="Calibri Light"/>
        </w:rPr>
        <w:t>between</w:t>
      </w:r>
      <w:r w:rsidR="0078230B" w:rsidRPr="0032590D">
        <w:rPr>
          <w:rFonts w:cs="Calibri Light"/>
        </w:rPr>
        <w:t xml:space="preserve"> the</w:t>
      </w:r>
      <w:r w:rsidR="00FF7648" w:rsidRPr="0032590D">
        <w:rPr>
          <w:rFonts w:cs="Calibri Light"/>
        </w:rPr>
        <w:t xml:space="preserve"> September quarter 2021 to March quarter 2024 </w:t>
      </w:r>
      <w:r w:rsidR="00C57C99" w:rsidRPr="0032590D">
        <w:rPr>
          <w:rFonts w:cs="Calibri Light"/>
        </w:rPr>
        <w:t xml:space="preserve">and </w:t>
      </w:r>
      <w:r w:rsidR="00FC4B21" w:rsidRPr="0032590D">
        <w:rPr>
          <w:rFonts w:cs="Calibri Light"/>
        </w:rPr>
        <w:t xml:space="preserve">is </w:t>
      </w:r>
      <w:r w:rsidR="00EA318D" w:rsidRPr="0032590D">
        <w:rPr>
          <w:rFonts w:cs="Calibri Light"/>
        </w:rPr>
        <w:t>in Table 2.1</w:t>
      </w:r>
      <w:r w:rsidR="00E7106A" w:rsidRPr="0032590D">
        <w:rPr>
          <w:rFonts w:cs="Calibri Light"/>
        </w:rPr>
        <w:t>.</w:t>
      </w:r>
    </w:p>
    <w:p w14:paraId="0C88CF8B" w14:textId="77777777" w:rsidR="002C7BBA" w:rsidRPr="0032590D" w:rsidRDefault="002C7BBA">
      <w:pPr>
        <w:spacing w:before="0" w:after="160" w:line="259" w:lineRule="auto"/>
        <w:rPr>
          <w:rFonts w:cs="Calibri Light"/>
        </w:rPr>
      </w:pPr>
      <w:r w:rsidRPr="0032590D">
        <w:rPr>
          <w:rFonts w:cs="Calibri Light"/>
        </w:rPr>
        <w:br w:type="page"/>
      </w:r>
    </w:p>
    <w:p w14:paraId="0AD9D104" w14:textId="654334EB" w:rsidR="00EA318D" w:rsidRPr="0032590D" w:rsidRDefault="00EA318D" w:rsidP="009951FF">
      <w:pPr>
        <w:pStyle w:val="TableMainHeading"/>
      </w:pPr>
      <w:r w:rsidRPr="0032590D">
        <w:t xml:space="preserve">Table 2.1: </w:t>
      </w:r>
      <w:r w:rsidR="00BA7696" w:rsidRPr="0032590D">
        <w:t xml:space="preserve">Availability of </w:t>
      </w:r>
      <w:r w:rsidR="00B635B9" w:rsidRPr="0032590D">
        <w:t>retail payment services</w:t>
      </w:r>
    </w:p>
    <w:tbl>
      <w:tblPr>
        <w:tblStyle w:val="GridTable4"/>
        <w:tblW w:w="5000" w:type="pct"/>
        <w:tblLook w:val="04A0" w:firstRow="1" w:lastRow="0" w:firstColumn="1" w:lastColumn="0" w:noHBand="0" w:noVBand="1"/>
      </w:tblPr>
      <w:tblGrid>
        <w:gridCol w:w="2105"/>
        <w:gridCol w:w="2318"/>
        <w:gridCol w:w="2318"/>
        <w:gridCol w:w="2319"/>
      </w:tblGrid>
      <w:tr w:rsidR="00FD5DFC" w:rsidRPr="0032590D" w14:paraId="6FB17F6A" w14:textId="77777777" w:rsidTr="00FD5D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2" w:type="pct"/>
            <w:hideMark/>
          </w:tcPr>
          <w:p w14:paraId="16D4EAE9" w14:textId="0F7EDB67" w:rsidR="00FD5DFC" w:rsidRPr="0032590D" w:rsidRDefault="00FD5DFC" w:rsidP="00117046">
            <w:pPr>
              <w:spacing w:before="0" w:after="0"/>
              <w:rPr>
                <w:rFonts w:asciiTheme="minorHAnsi" w:hAnsiTheme="minorHAnsi" w:cstheme="minorHAnsi"/>
                <w:sz w:val="20"/>
              </w:rPr>
            </w:pPr>
            <w:r w:rsidRPr="0032590D">
              <w:rPr>
                <w:rFonts w:asciiTheme="minorHAnsi" w:hAnsiTheme="minorHAnsi" w:cstheme="minorHAnsi"/>
                <w:sz w:val="20"/>
              </w:rPr>
              <w:t>Service</w:t>
            </w:r>
          </w:p>
        </w:tc>
        <w:tc>
          <w:tcPr>
            <w:tcW w:w="1279" w:type="pct"/>
            <w:hideMark/>
          </w:tcPr>
          <w:p w14:paraId="014497E2" w14:textId="4F1ED2CF" w:rsidR="00FD5DFC" w:rsidRPr="0032590D" w:rsidRDefault="00FD5DFC" w:rsidP="00117046">
            <w:pPr>
              <w:spacing w:before="0"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rPr>
            </w:pPr>
            <w:r w:rsidRPr="0032590D">
              <w:rPr>
                <w:rFonts w:asciiTheme="minorHAnsi" w:hAnsiTheme="minorHAnsi" w:cstheme="minorHAnsi"/>
                <w:sz w:val="20"/>
              </w:rPr>
              <w:t xml:space="preserve">Total </w:t>
            </w:r>
            <w:r w:rsidR="000A789D" w:rsidRPr="0032590D">
              <w:rPr>
                <w:rFonts w:asciiTheme="minorHAnsi" w:hAnsiTheme="minorHAnsi" w:cstheme="minorHAnsi"/>
                <w:sz w:val="20"/>
              </w:rPr>
              <w:t xml:space="preserve">number of </w:t>
            </w:r>
            <w:r w:rsidRPr="0032590D">
              <w:rPr>
                <w:rFonts w:asciiTheme="minorHAnsi" w:hAnsiTheme="minorHAnsi" w:cstheme="minorHAnsi"/>
                <w:sz w:val="20"/>
              </w:rPr>
              <w:t>significant outages</w:t>
            </w:r>
          </w:p>
        </w:tc>
        <w:tc>
          <w:tcPr>
            <w:tcW w:w="1279" w:type="pct"/>
            <w:hideMark/>
          </w:tcPr>
          <w:p w14:paraId="3F836529" w14:textId="7B4EE31F" w:rsidR="00FD5DFC" w:rsidRPr="0032590D" w:rsidRDefault="007E4EA7" w:rsidP="00117046">
            <w:pPr>
              <w:spacing w:before="0"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rPr>
            </w:pPr>
            <w:r w:rsidRPr="0032590D">
              <w:rPr>
                <w:rFonts w:asciiTheme="minorHAnsi" w:hAnsiTheme="minorHAnsi" w:cstheme="minorHAnsi"/>
                <w:sz w:val="20"/>
              </w:rPr>
              <w:t xml:space="preserve">Total </w:t>
            </w:r>
            <w:r w:rsidR="005033A0" w:rsidRPr="0032590D">
              <w:rPr>
                <w:rFonts w:asciiTheme="minorHAnsi" w:hAnsiTheme="minorHAnsi" w:cstheme="minorHAnsi"/>
                <w:sz w:val="20"/>
              </w:rPr>
              <w:t>length of significant outages</w:t>
            </w:r>
            <w:r w:rsidR="00FD5DFC" w:rsidRPr="0032590D">
              <w:rPr>
                <w:rFonts w:asciiTheme="minorHAnsi" w:hAnsiTheme="minorHAnsi" w:cstheme="minorHAnsi"/>
                <w:sz w:val="20"/>
              </w:rPr>
              <w:t xml:space="preserve"> (hrs)</w:t>
            </w:r>
          </w:p>
        </w:tc>
        <w:tc>
          <w:tcPr>
            <w:tcW w:w="1280" w:type="pct"/>
            <w:hideMark/>
          </w:tcPr>
          <w:p w14:paraId="69C2C2A1" w14:textId="60B76D87" w:rsidR="00FD5DFC" w:rsidRPr="0032590D" w:rsidRDefault="00FD5DFC" w:rsidP="00117046">
            <w:pPr>
              <w:spacing w:before="0"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rPr>
            </w:pPr>
            <w:r w:rsidRPr="0032590D">
              <w:rPr>
                <w:rFonts w:asciiTheme="minorHAnsi" w:hAnsiTheme="minorHAnsi" w:cstheme="minorHAnsi"/>
                <w:sz w:val="20"/>
              </w:rPr>
              <w:t>Average availability (%)</w:t>
            </w:r>
          </w:p>
        </w:tc>
      </w:tr>
      <w:tr w:rsidR="00FD5DFC" w:rsidRPr="0032590D" w14:paraId="5A4122BA" w14:textId="77777777" w:rsidTr="00FD5DF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2" w:type="pct"/>
            <w:hideMark/>
          </w:tcPr>
          <w:p w14:paraId="0771F90D" w14:textId="77777777" w:rsidR="00FD5DFC" w:rsidRPr="0032590D" w:rsidRDefault="00FD5DFC" w:rsidP="00117046">
            <w:pPr>
              <w:spacing w:before="0" w:after="0"/>
              <w:rPr>
                <w:rFonts w:asciiTheme="minorHAnsi" w:hAnsiTheme="minorHAnsi" w:cstheme="minorHAnsi"/>
                <w:b w:val="0"/>
                <w:bCs w:val="0"/>
                <w:sz w:val="20"/>
              </w:rPr>
            </w:pPr>
            <w:r w:rsidRPr="0032590D">
              <w:rPr>
                <w:rFonts w:asciiTheme="minorHAnsi" w:hAnsiTheme="minorHAnsi" w:cstheme="minorHAnsi"/>
                <w:b w:val="0"/>
                <w:bCs w:val="0"/>
                <w:sz w:val="20"/>
              </w:rPr>
              <w:t>ATMs</w:t>
            </w:r>
          </w:p>
        </w:tc>
        <w:tc>
          <w:tcPr>
            <w:tcW w:w="1279" w:type="pct"/>
            <w:hideMark/>
          </w:tcPr>
          <w:p w14:paraId="3A6C1ECC" w14:textId="77777777" w:rsidR="00FD5DFC" w:rsidRPr="0032590D" w:rsidRDefault="00FD5DFC" w:rsidP="00117046">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32590D">
              <w:rPr>
                <w:rFonts w:asciiTheme="minorHAnsi" w:hAnsiTheme="minorHAnsi" w:cstheme="minorHAnsi"/>
                <w:sz w:val="20"/>
              </w:rPr>
              <w:t>39</w:t>
            </w:r>
          </w:p>
        </w:tc>
        <w:tc>
          <w:tcPr>
            <w:tcW w:w="1279" w:type="pct"/>
            <w:hideMark/>
          </w:tcPr>
          <w:p w14:paraId="60E63EFD" w14:textId="77777777" w:rsidR="00FD5DFC" w:rsidRPr="0032590D" w:rsidRDefault="00FD5DFC" w:rsidP="00117046">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32590D">
              <w:rPr>
                <w:rFonts w:asciiTheme="minorHAnsi" w:hAnsiTheme="minorHAnsi" w:cstheme="minorHAnsi"/>
                <w:sz w:val="20"/>
              </w:rPr>
              <w:t>379</w:t>
            </w:r>
          </w:p>
        </w:tc>
        <w:tc>
          <w:tcPr>
            <w:tcW w:w="1280" w:type="pct"/>
            <w:hideMark/>
          </w:tcPr>
          <w:p w14:paraId="57906A0C" w14:textId="77777777" w:rsidR="00FD5DFC" w:rsidRPr="0032590D" w:rsidRDefault="00FD5DFC" w:rsidP="00117046">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32590D">
              <w:rPr>
                <w:rFonts w:asciiTheme="minorHAnsi" w:hAnsiTheme="minorHAnsi" w:cstheme="minorHAnsi"/>
                <w:sz w:val="20"/>
              </w:rPr>
              <w:t>99.91</w:t>
            </w:r>
          </w:p>
        </w:tc>
      </w:tr>
      <w:tr w:rsidR="00FD5DFC" w:rsidRPr="0032590D" w14:paraId="39B7E734" w14:textId="77777777" w:rsidTr="00FD5DFC">
        <w:trPr>
          <w:trHeight w:val="20"/>
        </w:trPr>
        <w:tc>
          <w:tcPr>
            <w:cnfStyle w:val="001000000000" w:firstRow="0" w:lastRow="0" w:firstColumn="1" w:lastColumn="0" w:oddVBand="0" w:evenVBand="0" w:oddHBand="0" w:evenHBand="0" w:firstRowFirstColumn="0" w:firstRowLastColumn="0" w:lastRowFirstColumn="0" w:lastRowLastColumn="0"/>
            <w:tcW w:w="1162" w:type="pct"/>
            <w:hideMark/>
          </w:tcPr>
          <w:p w14:paraId="0FDE27A5" w14:textId="77777777" w:rsidR="00FD5DFC" w:rsidRPr="0032590D" w:rsidRDefault="00FD5DFC" w:rsidP="00117046">
            <w:pPr>
              <w:spacing w:before="0" w:after="0"/>
              <w:rPr>
                <w:rFonts w:asciiTheme="minorHAnsi" w:hAnsiTheme="minorHAnsi" w:cstheme="minorHAnsi"/>
                <w:b w:val="0"/>
                <w:bCs w:val="0"/>
                <w:sz w:val="20"/>
              </w:rPr>
            </w:pPr>
            <w:r w:rsidRPr="0032590D">
              <w:rPr>
                <w:rFonts w:asciiTheme="minorHAnsi" w:hAnsiTheme="minorHAnsi" w:cstheme="minorHAnsi"/>
                <w:b w:val="0"/>
                <w:bCs w:val="0"/>
                <w:sz w:val="20"/>
              </w:rPr>
              <w:t>Branches</w:t>
            </w:r>
          </w:p>
        </w:tc>
        <w:tc>
          <w:tcPr>
            <w:tcW w:w="1279" w:type="pct"/>
            <w:hideMark/>
          </w:tcPr>
          <w:p w14:paraId="58A391E6" w14:textId="77777777" w:rsidR="00FD5DFC" w:rsidRPr="0032590D" w:rsidRDefault="00FD5DFC" w:rsidP="00117046">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32590D">
              <w:rPr>
                <w:rFonts w:asciiTheme="minorHAnsi" w:hAnsiTheme="minorHAnsi" w:cstheme="minorHAnsi"/>
                <w:sz w:val="20"/>
              </w:rPr>
              <w:t>42</w:t>
            </w:r>
          </w:p>
        </w:tc>
        <w:tc>
          <w:tcPr>
            <w:tcW w:w="1279" w:type="pct"/>
            <w:hideMark/>
          </w:tcPr>
          <w:p w14:paraId="1620FDCC" w14:textId="77777777" w:rsidR="00FD5DFC" w:rsidRPr="0032590D" w:rsidRDefault="00FD5DFC" w:rsidP="00117046">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32590D">
              <w:rPr>
                <w:rFonts w:asciiTheme="minorHAnsi" w:hAnsiTheme="minorHAnsi" w:cstheme="minorHAnsi"/>
                <w:sz w:val="20"/>
              </w:rPr>
              <w:t>101</w:t>
            </w:r>
          </w:p>
        </w:tc>
        <w:tc>
          <w:tcPr>
            <w:tcW w:w="1280" w:type="pct"/>
            <w:hideMark/>
          </w:tcPr>
          <w:p w14:paraId="5A6D99F3" w14:textId="77777777" w:rsidR="00FD5DFC" w:rsidRPr="0032590D" w:rsidRDefault="00FD5DFC" w:rsidP="00117046">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32590D">
              <w:rPr>
                <w:rFonts w:asciiTheme="minorHAnsi" w:hAnsiTheme="minorHAnsi" w:cstheme="minorHAnsi"/>
                <w:sz w:val="20"/>
              </w:rPr>
              <w:t>99.90</w:t>
            </w:r>
          </w:p>
        </w:tc>
      </w:tr>
      <w:tr w:rsidR="00FD5DFC" w:rsidRPr="0032590D" w14:paraId="4E883C69" w14:textId="77777777" w:rsidTr="00FD5DF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2" w:type="pct"/>
            <w:hideMark/>
          </w:tcPr>
          <w:p w14:paraId="5F2D8D41" w14:textId="77777777" w:rsidR="00FD5DFC" w:rsidRPr="0032590D" w:rsidRDefault="00FD5DFC" w:rsidP="00117046">
            <w:pPr>
              <w:spacing w:before="0" w:after="0"/>
              <w:rPr>
                <w:rFonts w:asciiTheme="minorHAnsi" w:hAnsiTheme="minorHAnsi" w:cstheme="minorHAnsi"/>
                <w:b w:val="0"/>
                <w:bCs w:val="0"/>
                <w:sz w:val="20"/>
              </w:rPr>
            </w:pPr>
            <w:r w:rsidRPr="0032590D">
              <w:rPr>
                <w:rFonts w:asciiTheme="minorHAnsi" w:hAnsiTheme="minorHAnsi" w:cstheme="minorHAnsi"/>
                <w:b w:val="0"/>
                <w:bCs w:val="0"/>
                <w:sz w:val="20"/>
              </w:rPr>
              <w:t>Make card payments</w:t>
            </w:r>
          </w:p>
        </w:tc>
        <w:tc>
          <w:tcPr>
            <w:tcW w:w="1279" w:type="pct"/>
            <w:hideMark/>
          </w:tcPr>
          <w:p w14:paraId="7190EEDF" w14:textId="77777777" w:rsidR="00FD5DFC" w:rsidRPr="0032590D" w:rsidRDefault="00FD5DFC" w:rsidP="00117046">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32590D">
              <w:rPr>
                <w:rFonts w:asciiTheme="minorHAnsi" w:hAnsiTheme="minorHAnsi" w:cstheme="minorHAnsi"/>
                <w:sz w:val="20"/>
              </w:rPr>
              <w:t>79</w:t>
            </w:r>
          </w:p>
        </w:tc>
        <w:tc>
          <w:tcPr>
            <w:tcW w:w="1279" w:type="pct"/>
            <w:hideMark/>
          </w:tcPr>
          <w:p w14:paraId="6028CF4E" w14:textId="77777777" w:rsidR="00FD5DFC" w:rsidRPr="0032590D" w:rsidRDefault="00FD5DFC" w:rsidP="00117046">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32590D">
              <w:rPr>
                <w:rFonts w:asciiTheme="minorHAnsi" w:hAnsiTheme="minorHAnsi" w:cstheme="minorHAnsi"/>
                <w:sz w:val="20"/>
              </w:rPr>
              <w:t>249</w:t>
            </w:r>
          </w:p>
        </w:tc>
        <w:tc>
          <w:tcPr>
            <w:tcW w:w="1280" w:type="pct"/>
            <w:hideMark/>
          </w:tcPr>
          <w:p w14:paraId="4702B937" w14:textId="77777777" w:rsidR="00FD5DFC" w:rsidRPr="0032590D" w:rsidRDefault="00FD5DFC" w:rsidP="00117046">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32590D">
              <w:rPr>
                <w:rFonts w:asciiTheme="minorHAnsi" w:hAnsiTheme="minorHAnsi" w:cstheme="minorHAnsi"/>
                <w:sz w:val="20"/>
              </w:rPr>
              <w:t>99.97</w:t>
            </w:r>
          </w:p>
        </w:tc>
      </w:tr>
      <w:tr w:rsidR="00FD5DFC" w:rsidRPr="0032590D" w14:paraId="2F6A5A79" w14:textId="77777777" w:rsidTr="00FD5DFC">
        <w:trPr>
          <w:trHeight w:val="20"/>
        </w:trPr>
        <w:tc>
          <w:tcPr>
            <w:cnfStyle w:val="001000000000" w:firstRow="0" w:lastRow="0" w:firstColumn="1" w:lastColumn="0" w:oddVBand="0" w:evenVBand="0" w:oddHBand="0" w:evenHBand="0" w:firstRowFirstColumn="0" w:firstRowLastColumn="0" w:lastRowFirstColumn="0" w:lastRowLastColumn="0"/>
            <w:tcW w:w="1162" w:type="pct"/>
            <w:hideMark/>
          </w:tcPr>
          <w:p w14:paraId="5B826248" w14:textId="77777777" w:rsidR="00FD5DFC" w:rsidRPr="0032590D" w:rsidRDefault="00FD5DFC" w:rsidP="00117046">
            <w:pPr>
              <w:spacing w:before="0" w:after="0"/>
              <w:rPr>
                <w:rFonts w:asciiTheme="minorHAnsi" w:hAnsiTheme="minorHAnsi" w:cstheme="minorHAnsi"/>
                <w:b w:val="0"/>
                <w:bCs w:val="0"/>
                <w:sz w:val="20"/>
              </w:rPr>
            </w:pPr>
            <w:r w:rsidRPr="0032590D">
              <w:rPr>
                <w:rFonts w:asciiTheme="minorHAnsi" w:hAnsiTheme="minorHAnsi" w:cstheme="minorHAnsi"/>
                <w:b w:val="0"/>
                <w:bCs w:val="0"/>
                <w:sz w:val="20"/>
              </w:rPr>
              <w:t>Accept card payments</w:t>
            </w:r>
          </w:p>
        </w:tc>
        <w:tc>
          <w:tcPr>
            <w:tcW w:w="1279" w:type="pct"/>
            <w:hideMark/>
          </w:tcPr>
          <w:p w14:paraId="340151B4" w14:textId="77777777" w:rsidR="00FD5DFC" w:rsidRPr="0032590D" w:rsidRDefault="00FD5DFC" w:rsidP="00117046">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32590D">
              <w:rPr>
                <w:rFonts w:asciiTheme="minorHAnsi" w:hAnsiTheme="minorHAnsi" w:cstheme="minorHAnsi"/>
                <w:sz w:val="20"/>
              </w:rPr>
              <w:t>23</w:t>
            </w:r>
          </w:p>
        </w:tc>
        <w:tc>
          <w:tcPr>
            <w:tcW w:w="1279" w:type="pct"/>
            <w:hideMark/>
          </w:tcPr>
          <w:p w14:paraId="31A82F4C" w14:textId="77777777" w:rsidR="00FD5DFC" w:rsidRPr="0032590D" w:rsidRDefault="00FD5DFC" w:rsidP="00117046">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32590D">
              <w:rPr>
                <w:rFonts w:asciiTheme="minorHAnsi" w:hAnsiTheme="minorHAnsi" w:cstheme="minorHAnsi"/>
                <w:sz w:val="20"/>
              </w:rPr>
              <w:t>72</w:t>
            </w:r>
          </w:p>
        </w:tc>
        <w:tc>
          <w:tcPr>
            <w:tcW w:w="1280" w:type="pct"/>
            <w:hideMark/>
          </w:tcPr>
          <w:p w14:paraId="0BE6C6EE" w14:textId="77777777" w:rsidR="00FD5DFC" w:rsidRPr="0032590D" w:rsidRDefault="00FD5DFC" w:rsidP="00117046">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32590D">
              <w:rPr>
                <w:rFonts w:asciiTheme="minorHAnsi" w:hAnsiTheme="minorHAnsi" w:cstheme="minorHAnsi"/>
                <w:sz w:val="20"/>
              </w:rPr>
              <w:t>99.98</w:t>
            </w:r>
          </w:p>
        </w:tc>
      </w:tr>
      <w:tr w:rsidR="00FD5DFC" w:rsidRPr="0032590D" w14:paraId="5B912394" w14:textId="77777777" w:rsidTr="00FD5DF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2" w:type="pct"/>
            <w:hideMark/>
          </w:tcPr>
          <w:p w14:paraId="1E1DAEC6" w14:textId="77777777" w:rsidR="00FD5DFC" w:rsidRPr="0032590D" w:rsidRDefault="00FD5DFC" w:rsidP="00117046">
            <w:pPr>
              <w:spacing w:before="0" w:after="0"/>
              <w:rPr>
                <w:rFonts w:asciiTheme="minorHAnsi" w:hAnsiTheme="minorHAnsi" w:cstheme="minorHAnsi"/>
                <w:b w:val="0"/>
                <w:bCs w:val="0"/>
                <w:sz w:val="20"/>
              </w:rPr>
            </w:pPr>
            <w:r w:rsidRPr="0032590D">
              <w:rPr>
                <w:rFonts w:asciiTheme="minorHAnsi" w:hAnsiTheme="minorHAnsi" w:cstheme="minorHAnsi"/>
                <w:b w:val="0"/>
                <w:bCs w:val="0"/>
                <w:sz w:val="20"/>
              </w:rPr>
              <w:t>Fast transfers</w:t>
            </w:r>
          </w:p>
        </w:tc>
        <w:tc>
          <w:tcPr>
            <w:tcW w:w="1279" w:type="pct"/>
            <w:hideMark/>
          </w:tcPr>
          <w:p w14:paraId="73C69B19" w14:textId="77777777" w:rsidR="00FD5DFC" w:rsidRPr="0032590D" w:rsidRDefault="00FD5DFC" w:rsidP="00117046">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32590D">
              <w:rPr>
                <w:rFonts w:asciiTheme="minorHAnsi" w:hAnsiTheme="minorHAnsi" w:cstheme="minorHAnsi"/>
                <w:sz w:val="20"/>
              </w:rPr>
              <w:t>415</w:t>
            </w:r>
          </w:p>
        </w:tc>
        <w:tc>
          <w:tcPr>
            <w:tcW w:w="1279" w:type="pct"/>
            <w:hideMark/>
          </w:tcPr>
          <w:p w14:paraId="2538FEA0" w14:textId="77777777" w:rsidR="00FD5DFC" w:rsidRPr="0032590D" w:rsidRDefault="00FD5DFC" w:rsidP="00117046">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32590D">
              <w:rPr>
                <w:rFonts w:asciiTheme="minorHAnsi" w:hAnsiTheme="minorHAnsi" w:cstheme="minorHAnsi"/>
                <w:sz w:val="20"/>
              </w:rPr>
              <w:t>1316</w:t>
            </w:r>
          </w:p>
        </w:tc>
        <w:tc>
          <w:tcPr>
            <w:tcW w:w="1280" w:type="pct"/>
            <w:hideMark/>
          </w:tcPr>
          <w:p w14:paraId="00DDE46F" w14:textId="77777777" w:rsidR="00FD5DFC" w:rsidRPr="0032590D" w:rsidRDefault="00FD5DFC" w:rsidP="00117046">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32590D">
              <w:rPr>
                <w:rFonts w:asciiTheme="minorHAnsi" w:hAnsiTheme="minorHAnsi" w:cstheme="minorHAnsi"/>
                <w:sz w:val="20"/>
              </w:rPr>
              <w:t>99.81</w:t>
            </w:r>
          </w:p>
        </w:tc>
      </w:tr>
      <w:tr w:rsidR="00FD5DFC" w:rsidRPr="0032590D" w14:paraId="5347CA4A" w14:textId="77777777" w:rsidTr="00FD5DFC">
        <w:trPr>
          <w:trHeight w:val="20"/>
        </w:trPr>
        <w:tc>
          <w:tcPr>
            <w:cnfStyle w:val="001000000000" w:firstRow="0" w:lastRow="0" w:firstColumn="1" w:lastColumn="0" w:oddVBand="0" w:evenVBand="0" w:oddHBand="0" w:evenHBand="0" w:firstRowFirstColumn="0" w:firstRowLastColumn="0" w:lastRowFirstColumn="0" w:lastRowLastColumn="0"/>
            <w:tcW w:w="1162" w:type="pct"/>
            <w:hideMark/>
          </w:tcPr>
          <w:p w14:paraId="6A0ED9E1" w14:textId="77777777" w:rsidR="00FD5DFC" w:rsidRPr="0032590D" w:rsidRDefault="00FD5DFC" w:rsidP="00117046">
            <w:pPr>
              <w:spacing w:before="0" w:after="0"/>
              <w:rPr>
                <w:rFonts w:asciiTheme="minorHAnsi" w:hAnsiTheme="minorHAnsi" w:cstheme="minorHAnsi"/>
                <w:b w:val="0"/>
                <w:bCs w:val="0"/>
                <w:sz w:val="20"/>
              </w:rPr>
            </w:pPr>
            <w:r w:rsidRPr="0032590D">
              <w:rPr>
                <w:rFonts w:asciiTheme="minorHAnsi" w:hAnsiTheme="minorHAnsi" w:cstheme="minorHAnsi"/>
                <w:b w:val="0"/>
                <w:bCs w:val="0"/>
                <w:sz w:val="20"/>
              </w:rPr>
              <w:t>Online banking</w:t>
            </w:r>
          </w:p>
        </w:tc>
        <w:tc>
          <w:tcPr>
            <w:tcW w:w="1279" w:type="pct"/>
            <w:hideMark/>
          </w:tcPr>
          <w:p w14:paraId="56C96E5E" w14:textId="77777777" w:rsidR="00FD5DFC" w:rsidRPr="0032590D" w:rsidRDefault="00FD5DFC" w:rsidP="00117046">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32590D">
              <w:rPr>
                <w:rFonts w:asciiTheme="minorHAnsi" w:hAnsiTheme="minorHAnsi" w:cstheme="minorHAnsi"/>
                <w:sz w:val="20"/>
              </w:rPr>
              <w:t>532</w:t>
            </w:r>
          </w:p>
        </w:tc>
        <w:tc>
          <w:tcPr>
            <w:tcW w:w="1279" w:type="pct"/>
            <w:hideMark/>
          </w:tcPr>
          <w:p w14:paraId="089BFFFE" w14:textId="77777777" w:rsidR="00FD5DFC" w:rsidRPr="0032590D" w:rsidRDefault="00FD5DFC" w:rsidP="00117046">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32590D">
              <w:rPr>
                <w:rFonts w:asciiTheme="minorHAnsi" w:hAnsiTheme="minorHAnsi" w:cstheme="minorHAnsi"/>
                <w:sz w:val="20"/>
              </w:rPr>
              <w:t>1478</w:t>
            </w:r>
          </w:p>
        </w:tc>
        <w:tc>
          <w:tcPr>
            <w:tcW w:w="1280" w:type="pct"/>
            <w:hideMark/>
          </w:tcPr>
          <w:p w14:paraId="30DE17E7" w14:textId="77777777" w:rsidR="00FD5DFC" w:rsidRPr="0032590D" w:rsidRDefault="00FD5DFC" w:rsidP="00117046">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32590D">
              <w:rPr>
                <w:rFonts w:asciiTheme="minorHAnsi" w:hAnsiTheme="minorHAnsi" w:cstheme="minorHAnsi"/>
                <w:sz w:val="20"/>
              </w:rPr>
              <w:t>99.82</w:t>
            </w:r>
          </w:p>
        </w:tc>
      </w:tr>
      <w:tr w:rsidR="00FD5DFC" w:rsidRPr="0032590D" w14:paraId="067FE2A8" w14:textId="77777777" w:rsidTr="00FD5DF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2" w:type="pct"/>
            <w:hideMark/>
          </w:tcPr>
          <w:p w14:paraId="04285CC4" w14:textId="77777777" w:rsidR="00FD5DFC" w:rsidRPr="0032590D" w:rsidRDefault="00FD5DFC" w:rsidP="00117046">
            <w:pPr>
              <w:spacing w:before="0" w:after="0"/>
              <w:rPr>
                <w:rFonts w:asciiTheme="minorHAnsi" w:hAnsiTheme="minorHAnsi" w:cstheme="minorHAnsi"/>
                <w:b w:val="0"/>
                <w:bCs w:val="0"/>
                <w:sz w:val="20"/>
              </w:rPr>
            </w:pPr>
            <w:r w:rsidRPr="0032590D">
              <w:rPr>
                <w:rFonts w:asciiTheme="minorHAnsi" w:hAnsiTheme="minorHAnsi" w:cstheme="minorHAnsi"/>
                <w:b w:val="0"/>
                <w:bCs w:val="0"/>
                <w:sz w:val="20"/>
              </w:rPr>
              <w:t>Next-day transfers</w:t>
            </w:r>
          </w:p>
        </w:tc>
        <w:tc>
          <w:tcPr>
            <w:tcW w:w="1279" w:type="pct"/>
            <w:hideMark/>
          </w:tcPr>
          <w:p w14:paraId="1B7B838D" w14:textId="77777777" w:rsidR="00FD5DFC" w:rsidRPr="0032590D" w:rsidRDefault="00FD5DFC" w:rsidP="00117046">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32590D">
              <w:rPr>
                <w:rFonts w:asciiTheme="minorHAnsi" w:hAnsiTheme="minorHAnsi" w:cstheme="minorHAnsi"/>
                <w:sz w:val="20"/>
              </w:rPr>
              <w:t>36</w:t>
            </w:r>
          </w:p>
        </w:tc>
        <w:tc>
          <w:tcPr>
            <w:tcW w:w="1279" w:type="pct"/>
            <w:hideMark/>
          </w:tcPr>
          <w:p w14:paraId="6C728279" w14:textId="77777777" w:rsidR="00FD5DFC" w:rsidRPr="0032590D" w:rsidRDefault="00FD5DFC" w:rsidP="00117046">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32590D">
              <w:rPr>
                <w:rFonts w:asciiTheme="minorHAnsi" w:hAnsiTheme="minorHAnsi" w:cstheme="minorHAnsi"/>
                <w:sz w:val="20"/>
              </w:rPr>
              <w:t>477</w:t>
            </w:r>
          </w:p>
        </w:tc>
        <w:tc>
          <w:tcPr>
            <w:tcW w:w="1280" w:type="pct"/>
            <w:hideMark/>
          </w:tcPr>
          <w:p w14:paraId="6BBB2B7A" w14:textId="77777777" w:rsidR="00FD5DFC" w:rsidRPr="0032590D" w:rsidRDefault="00FD5DFC" w:rsidP="00117046">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32590D">
              <w:rPr>
                <w:rFonts w:asciiTheme="minorHAnsi" w:hAnsiTheme="minorHAnsi" w:cstheme="minorHAnsi"/>
                <w:sz w:val="20"/>
              </w:rPr>
              <w:t>99.85</w:t>
            </w:r>
          </w:p>
        </w:tc>
      </w:tr>
    </w:tbl>
    <w:p w14:paraId="5D7F796C" w14:textId="45227AD3" w:rsidR="00AE5638" w:rsidRPr="0032590D" w:rsidRDefault="00AE5638" w:rsidP="00AE5638">
      <w:pPr>
        <w:pStyle w:val="Bullet"/>
        <w:numPr>
          <w:ilvl w:val="0"/>
          <w:numId w:val="0"/>
        </w:numPr>
        <w:tabs>
          <w:tab w:val="left" w:pos="926"/>
        </w:tabs>
        <w:spacing w:before="0" w:after="160" w:line="240" w:lineRule="auto"/>
        <w:rPr>
          <w:rFonts w:asciiTheme="minorHAnsi" w:hAnsiTheme="minorHAnsi" w:cstheme="minorHAnsi"/>
          <w:sz w:val="16"/>
          <w:szCs w:val="16"/>
        </w:rPr>
      </w:pPr>
      <w:r w:rsidRPr="0032590D">
        <w:rPr>
          <w:rFonts w:asciiTheme="minorHAnsi" w:hAnsiTheme="minorHAnsi" w:cstheme="minorHAnsi"/>
          <w:sz w:val="16"/>
          <w:szCs w:val="16"/>
        </w:rPr>
        <w:t xml:space="preserve">Source: </w:t>
      </w:r>
      <w:r w:rsidR="006B4B79" w:rsidRPr="0032590D">
        <w:rPr>
          <w:rFonts w:asciiTheme="minorHAnsi" w:hAnsiTheme="minorHAnsi" w:cstheme="minorHAnsi"/>
          <w:sz w:val="16"/>
          <w:szCs w:val="16"/>
        </w:rPr>
        <w:t>Griffiths J and Joyce M (2024), ‘</w:t>
      </w:r>
      <w:r w:rsidRPr="0032590D">
        <w:rPr>
          <w:rFonts w:asciiTheme="minorHAnsi" w:hAnsiTheme="minorHAnsi" w:cstheme="minorHAnsi"/>
          <w:sz w:val="16"/>
          <w:szCs w:val="16"/>
        </w:rPr>
        <w:t xml:space="preserve">The Reliability of Retail Payment </w:t>
      </w:r>
      <w:r w:rsidR="006B4B79" w:rsidRPr="0032590D">
        <w:rPr>
          <w:rFonts w:asciiTheme="minorHAnsi" w:hAnsiTheme="minorHAnsi" w:cstheme="minorHAnsi"/>
          <w:sz w:val="16"/>
          <w:szCs w:val="16"/>
        </w:rPr>
        <w:t>Services’, RBA</w:t>
      </w:r>
      <w:r w:rsidRPr="0032590D">
        <w:rPr>
          <w:rFonts w:asciiTheme="minorHAnsi" w:hAnsiTheme="minorHAnsi" w:cstheme="minorHAnsi"/>
          <w:sz w:val="16"/>
          <w:szCs w:val="16"/>
        </w:rPr>
        <w:t xml:space="preserve"> Bulletin, October</w:t>
      </w:r>
      <w:r w:rsidR="006B4B79" w:rsidRPr="0032590D">
        <w:rPr>
          <w:rFonts w:asciiTheme="minorHAnsi" w:hAnsiTheme="minorHAnsi" w:cstheme="minorHAnsi"/>
          <w:sz w:val="16"/>
          <w:szCs w:val="16"/>
        </w:rPr>
        <w:t>.</w:t>
      </w:r>
    </w:p>
    <w:p w14:paraId="56E5622E" w14:textId="77777777" w:rsidR="00595458" w:rsidRPr="0032590D" w:rsidRDefault="009428E3" w:rsidP="00163468">
      <w:pPr>
        <w:pStyle w:val="Bullet"/>
        <w:numPr>
          <w:ilvl w:val="0"/>
          <w:numId w:val="0"/>
        </w:numPr>
        <w:tabs>
          <w:tab w:val="left" w:pos="926"/>
        </w:tabs>
        <w:spacing w:before="0" w:after="160" w:line="240" w:lineRule="auto"/>
        <w:rPr>
          <w:rFonts w:cs="Calibri Light"/>
        </w:rPr>
      </w:pPr>
      <w:r w:rsidRPr="0032590D">
        <w:rPr>
          <w:rFonts w:cs="Calibri Light"/>
        </w:rPr>
        <w:t xml:space="preserve">While these figures show a high level of overall availability, </w:t>
      </w:r>
      <w:r w:rsidR="002A1179" w:rsidRPr="0032590D">
        <w:rPr>
          <w:rFonts w:cs="Calibri Light"/>
        </w:rPr>
        <w:t xml:space="preserve">when outages do occur they </w:t>
      </w:r>
      <w:r w:rsidR="004D1AA0" w:rsidRPr="0032590D">
        <w:rPr>
          <w:rFonts w:cs="Calibri Light"/>
        </w:rPr>
        <w:t xml:space="preserve">can be </w:t>
      </w:r>
      <w:r w:rsidR="002A1179" w:rsidRPr="0032590D">
        <w:rPr>
          <w:rFonts w:cs="Calibri Light"/>
        </w:rPr>
        <w:t>highly consequential</w:t>
      </w:r>
      <w:r w:rsidR="00BB2C6C" w:rsidRPr="0032590D">
        <w:rPr>
          <w:rFonts w:cs="Calibri Light"/>
        </w:rPr>
        <w:t xml:space="preserve"> for people</w:t>
      </w:r>
      <w:r w:rsidR="002A1179" w:rsidRPr="0032590D">
        <w:rPr>
          <w:rFonts w:cs="Calibri Light"/>
        </w:rPr>
        <w:t xml:space="preserve">. </w:t>
      </w:r>
    </w:p>
    <w:p w14:paraId="5440CBE5" w14:textId="0C3608F8" w:rsidR="00503553" w:rsidRPr="0032590D" w:rsidRDefault="00FB7672" w:rsidP="00163468">
      <w:pPr>
        <w:pStyle w:val="Bullet"/>
        <w:numPr>
          <w:ilvl w:val="0"/>
          <w:numId w:val="0"/>
        </w:numPr>
        <w:tabs>
          <w:tab w:val="left" w:pos="926"/>
        </w:tabs>
        <w:spacing w:before="0" w:after="160" w:line="240" w:lineRule="auto"/>
        <w:rPr>
          <w:rFonts w:cs="Calibri Light"/>
        </w:rPr>
      </w:pPr>
      <w:r w:rsidRPr="0032590D">
        <w:rPr>
          <w:rFonts w:cs="Calibri Light"/>
        </w:rPr>
        <w:t>N</w:t>
      </w:r>
      <w:r w:rsidR="00805023" w:rsidRPr="0032590D">
        <w:rPr>
          <w:rFonts w:cs="Calibri Light"/>
        </w:rPr>
        <w:t>atural disaster</w:t>
      </w:r>
      <w:r w:rsidR="004018B8" w:rsidRPr="0032590D">
        <w:rPr>
          <w:rFonts w:cs="Calibri Light"/>
        </w:rPr>
        <w:t xml:space="preserve">s </w:t>
      </w:r>
      <w:r w:rsidR="00F7674C" w:rsidRPr="0032590D">
        <w:rPr>
          <w:rFonts w:cs="Calibri Light"/>
        </w:rPr>
        <w:t xml:space="preserve">can cause disruptions to </w:t>
      </w:r>
      <w:r w:rsidR="00BB2C6C" w:rsidRPr="0032590D">
        <w:rPr>
          <w:rFonts w:cs="Calibri Light"/>
        </w:rPr>
        <w:t xml:space="preserve">electricity and telecommunication infrastructure </w:t>
      </w:r>
      <w:r w:rsidR="00492C13" w:rsidRPr="0032590D">
        <w:rPr>
          <w:rFonts w:cs="Calibri Light"/>
        </w:rPr>
        <w:t xml:space="preserve">and </w:t>
      </w:r>
      <w:r w:rsidR="002D2CBF" w:rsidRPr="0032590D">
        <w:rPr>
          <w:rFonts w:cs="Calibri Light"/>
        </w:rPr>
        <w:t xml:space="preserve">payment system </w:t>
      </w:r>
      <w:r w:rsidR="002B3DF5" w:rsidRPr="0032590D">
        <w:rPr>
          <w:rFonts w:cs="Calibri Light"/>
        </w:rPr>
        <w:t>c</w:t>
      </w:r>
      <w:r w:rsidR="00237EC0" w:rsidRPr="0032590D">
        <w:rPr>
          <w:rFonts w:cs="Calibri Light"/>
        </w:rPr>
        <w:t xml:space="preserve">ontingencies </w:t>
      </w:r>
      <w:r w:rsidR="00492C13" w:rsidRPr="0032590D">
        <w:rPr>
          <w:rFonts w:cs="Calibri Light"/>
        </w:rPr>
        <w:t xml:space="preserve">for these events </w:t>
      </w:r>
      <w:r w:rsidR="00237EC0" w:rsidRPr="0032590D">
        <w:rPr>
          <w:rFonts w:cs="Calibri Light"/>
        </w:rPr>
        <w:t xml:space="preserve">are </w:t>
      </w:r>
      <w:r w:rsidR="00174673" w:rsidRPr="0032590D">
        <w:rPr>
          <w:rFonts w:cs="Calibri Light"/>
        </w:rPr>
        <w:t>critical</w:t>
      </w:r>
      <w:r w:rsidR="002D2CBF" w:rsidRPr="0032590D">
        <w:rPr>
          <w:rFonts w:cs="Calibri Light"/>
        </w:rPr>
        <w:t xml:space="preserve">. This will continue to be important as </w:t>
      </w:r>
      <w:r w:rsidR="003168CC" w:rsidRPr="0032590D">
        <w:rPr>
          <w:rFonts w:cs="Calibri Light"/>
        </w:rPr>
        <w:t xml:space="preserve">Australia is </w:t>
      </w:r>
      <w:r w:rsidR="005F78E9" w:rsidRPr="0032590D">
        <w:rPr>
          <w:rFonts w:cs="Calibri Light"/>
        </w:rPr>
        <w:t>subject</w:t>
      </w:r>
      <w:r w:rsidR="003168CC" w:rsidRPr="0032590D">
        <w:rPr>
          <w:rFonts w:cs="Calibri Light"/>
        </w:rPr>
        <w:t xml:space="preserve"> to </w:t>
      </w:r>
      <w:r w:rsidR="007C6450" w:rsidRPr="0032590D">
        <w:rPr>
          <w:rFonts w:cs="Calibri Light"/>
        </w:rPr>
        <w:t xml:space="preserve">recurring </w:t>
      </w:r>
      <w:r w:rsidR="003168CC" w:rsidRPr="0032590D">
        <w:rPr>
          <w:rFonts w:cs="Calibri Light"/>
        </w:rPr>
        <w:t xml:space="preserve">natural </w:t>
      </w:r>
      <w:r w:rsidR="007C6450" w:rsidRPr="0032590D">
        <w:rPr>
          <w:rFonts w:cs="Calibri Light"/>
        </w:rPr>
        <w:t>disasters</w:t>
      </w:r>
      <w:r w:rsidR="003168CC" w:rsidRPr="0032590D">
        <w:rPr>
          <w:rFonts w:cs="Calibri Light"/>
        </w:rPr>
        <w:t xml:space="preserve"> such as bushfires, floods and cyclones. </w:t>
      </w:r>
      <w:r w:rsidR="007C6450" w:rsidRPr="0032590D">
        <w:rPr>
          <w:rFonts w:cs="Calibri Light"/>
        </w:rPr>
        <w:t>During t</w:t>
      </w:r>
      <w:r w:rsidR="003168CC" w:rsidRPr="0032590D">
        <w:rPr>
          <w:rFonts w:cs="Calibri Light"/>
        </w:rPr>
        <w:t xml:space="preserve">hese </w:t>
      </w:r>
      <w:r w:rsidR="007C6450" w:rsidRPr="0032590D">
        <w:rPr>
          <w:rFonts w:cs="Calibri Light"/>
        </w:rPr>
        <w:t>events</w:t>
      </w:r>
      <w:r w:rsidR="003168CC" w:rsidRPr="0032590D">
        <w:rPr>
          <w:rFonts w:cs="Calibri Light"/>
        </w:rPr>
        <w:t xml:space="preserve"> communities </w:t>
      </w:r>
      <w:r w:rsidR="007C6450" w:rsidRPr="0032590D">
        <w:rPr>
          <w:rFonts w:cs="Calibri Light"/>
        </w:rPr>
        <w:t>can be left</w:t>
      </w:r>
      <w:r w:rsidR="003168CC" w:rsidRPr="0032590D">
        <w:rPr>
          <w:rFonts w:cs="Calibri Light"/>
        </w:rPr>
        <w:t xml:space="preserve"> without telecommunication </w:t>
      </w:r>
      <w:r w:rsidR="0007133C" w:rsidRPr="0032590D">
        <w:rPr>
          <w:rFonts w:cs="Calibri Light"/>
        </w:rPr>
        <w:t>or electricity</w:t>
      </w:r>
      <w:r w:rsidR="003168CC" w:rsidRPr="0032590D">
        <w:rPr>
          <w:rFonts w:cs="Calibri Light"/>
        </w:rPr>
        <w:t xml:space="preserve">. </w:t>
      </w:r>
      <w:r w:rsidR="00830DF9" w:rsidRPr="0032590D">
        <w:rPr>
          <w:rFonts w:cs="Calibri Light"/>
        </w:rPr>
        <w:t xml:space="preserve">Cash in the immediate aftermath of </w:t>
      </w:r>
      <w:r w:rsidR="007C6450" w:rsidRPr="0032590D">
        <w:rPr>
          <w:rFonts w:cs="Calibri Light"/>
        </w:rPr>
        <w:t>events</w:t>
      </w:r>
      <w:r w:rsidR="00830DF9" w:rsidRPr="0032590D">
        <w:rPr>
          <w:rFonts w:cs="Calibri Light"/>
        </w:rPr>
        <w:t xml:space="preserve"> allows communities to keep functioning while the telecommunications </w:t>
      </w:r>
      <w:r w:rsidR="0007133C" w:rsidRPr="0032590D">
        <w:rPr>
          <w:rFonts w:cs="Calibri Light"/>
        </w:rPr>
        <w:t>or electricity</w:t>
      </w:r>
      <w:r w:rsidR="00830DF9" w:rsidRPr="0032590D">
        <w:rPr>
          <w:rFonts w:cs="Calibri Light"/>
        </w:rPr>
        <w:t xml:space="preserve"> infrastructure is being repaired. </w:t>
      </w:r>
      <w:r w:rsidR="007C6450" w:rsidRPr="0032590D">
        <w:rPr>
          <w:rFonts w:cs="Calibri Light"/>
        </w:rPr>
        <w:t xml:space="preserve">Cash provides a lifeline in these situations to </w:t>
      </w:r>
      <w:r w:rsidR="00830DF9" w:rsidRPr="0032590D">
        <w:rPr>
          <w:rFonts w:cs="Calibri Light"/>
        </w:rPr>
        <w:t>allow people to buy the essential goods they need</w:t>
      </w:r>
      <w:r w:rsidR="00211627" w:rsidRPr="0032590D">
        <w:rPr>
          <w:rFonts w:cs="Calibri Light"/>
        </w:rPr>
        <w:t xml:space="preserve"> and serves to </w:t>
      </w:r>
      <w:r w:rsidR="00D01CED" w:rsidRPr="0032590D">
        <w:rPr>
          <w:rFonts w:cs="Calibri Light"/>
        </w:rPr>
        <w:t xml:space="preserve">provide stability </w:t>
      </w:r>
      <w:r w:rsidR="00211627" w:rsidRPr="0032590D">
        <w:rPr>
          <w:rFonts w:cs="Calibri Light"/>
        </w:rPr>
        <w:t>and confidence</w:t>
      </w:r>
      <w:r w:rsidR="00D01CED" w:rsidRPr="0032590D">
        <w:rPr>
          <w:rFonts w:cs="Calibri Light"/>
        </w:rPr>
        <w:t xml:space="preserve"> to consumers and the broader economy. The recent CrowdStrike outage, while temporary, showed that </w:t>
      </w:r>
      <w:r w:rsidR="00BC7239" w:rsidRPr="0032590D">
        <w:rPr>
          <w:rFonts w:cs="Calibri Light"/>
        </w:rPr>
        <w:t>electronic systems can be prone to disruption</w:t>
      </w:r>
      <w:r w:rsidR="00400347" w:rsidRPr="0032590D">
        <w:rPr>
          <w:rFonts w:cs="Calibri Light"/>
        </w:rPr>
        <w:t xml:space="preserve"> and consumers can be unable to make payments. </w:t>
      </w:r>
      <w:r w:rsidR="00044561" w:rsidRPr="0032590D">
        <w:rPr>
          <w:rFonts w:cs="Calibri Light"/>
        </w:rPr>
        <w:t xml:space="preserve">Cash is a durable form of exchange and provides an important resilience measure in the payment system. </w:t>
      </w:r>
    </w:p>
    <w:p w14:paraId="740E215E" w14:textId="3BE454AA" w:rsidR="00627879" w:rsidRPr="0032590D" w:rsidRDefault="00627879" w:rsidP="00627879">
      <w:pPr>
        <w:spacing w:before="240"/>
        <w:rPr>
          <w:rFonts w:cs="Calibri Light"/>
          <w:color w:val="000000" w:themeColor="text1"/>
        </w:rPr>
      </w:pPr>
      <w:bookmarkStart w:id="41" w:name="_Toc181026645"/>
      <w:r w:rsidRPr="0032590D">
        <w:rPr>
          <w:rFonts w:cs="Calibri Light"/>
          <w:color w:val="000000" w:themeColor="text1"/>
        </w:rPr>
        <w:t xml:space="preserve">During the </w:t>
      </w:r>
      <w:r w:rsidR="002451F4" w:rsidRPr="0032590D">
        <w:rPr>
          <w:rFonts w:cs="Calibri Light"/>
          <w:color w:val="000000" w:themeColor="text1"/>
        </w:rPr>
        <w:t xml:space="preserve">2022 floods that impacted </w:t>
      </w:r>
      <w:r w:rsidR="00C53F78" w:rsidRPr="0032590D">
        <w:rPr>
          <w:rFonts w:cs="Calibri Light"/>
          <w:color w:val="000000" w:themeColor="text1"/>
        </w:rPr>
        <w:t>Northern New South Wales</w:t>
      </w:r>
      <w:r w:rsidRPr="0032590D">
        <w:rPr>
          <w:rFonts w:cs="Calibri Light"/>
          <w:color w:val="000000" w:themeColor="text1"/>
        </w:rPr>
        <w:t xml:space="preserve"> nearly 70,000 Essential Energy customers were affected by power outages and during the peak of the floods, 18 communities across northern NSW had no telecommunications access through mobile, internet or landline.</w:t>
      </w:r>
      <w:r w:rsidR="00A94F24" w:rsidRPr="0032590D">
        <w:rPr>
          <w:rFonts w:cs="Calibri Light"/>
          <w:color w:val="000000" w:themeColor="text1"/>
        </w:rPr>
        <w:t xml:space="preserve"> Telecommunications companies said the scale of the outages was due to power loss, flood damage to land-based infrastructure like fibre-optic cables, and sites like mobile base stations being inaccessible</w:t>
      </w:r>
      <w:r w:rsidR="00F16A22" w:rsidRPr="0032590D">
        <w:rPr>
          <w:rFonts w:cs="Calibri Light"/>
          <w:color w:val="000000" w:themeColor="text1"/>
        </w:rPr>
        <w:t>.</w:t>
      </w:r>
      <w:r w:rsidR="0028078E" w:rsidRPr="0032590D">
        <w:rPr>
          <w:rStyle w:val="FootnoteReference"/>
          <w:rFonts w:cs="Calibri Light"/>
          <w:color w:val="000000" w:themeColor="text1"/>
        </w:rPr>
        <w:footnoteReference w:id="23"/>
      </w:r>
    </w:p>
    <w:p w14:paraId="65832D2B" w14:textId="4B0CBA08" w:rsidR="003D7CE2" w:rsidRPr="0032590D" w:rsidRDefault="00261222" w:rsidP="003D7CE2">
      <w:pPr>
        <w:spacing w:before="240"/>
        <w:rPr>
          <w:rFonts w:cs="Calibri Light"/>
        </w:rPr>
      </w:pPr>
      <w:r w:rsidRPr="0032590D">
        <w:rPr>
          <w:rFonts w:cs="Calibri Light"/>
          <w:color w:val="000000" w:themeColor="text1"/>
        </w:rPr>
        <w:t xml:space="preserve">Natural hazard events are becoming </w:t>
      </w:r>
      <w:r w:rsidR="00997A53" w:rsidRPr="0032590D">
        <w:rPr>
          <w:rFonts w:cs="Calibri Light"/>
          <w:color w:val="000000" w:themeColor="text1"/>
        </w:rPr>
        <w:t xml:space="preserve">more intense and more frequent </w:t>
      </w:r>
      <w:r w:rsidR="00497904" w:rsidRPr="0032590D">
        <w:rPr>
          <w:rFonts w:cs="Calibri Light"/>
          <w:color w:val="000000" w:themeColor="text1"/>
        </w:rPr>
        <w:t>i</w:t>
      </w:r>
      <w:r w:rsidR="00997A53" w:rsidRPr="0032590D">
        <w:rPr>
          <w:rFonts w:cs="Calibri Light"/>
          <w:color w:val="000000" w:themeColor="text1"/>
        </w:rPr>
        <w:t xml:space="preserve">n Australia and around the world. </w:t>
      </w:r>
      <w:r w:rsidR="00AD3F8C" w:rsidRPr="0032590D">
        <w:rPr>
          <w:rFonts w:cs="Calibri Light"/>
          <w:color w:val="000000" w:themeColor="text1"/>
        </w:rPr>
        <w:t>While</w:t>
      </w:r>
      <w:r w:rsidR="00762A73" w:rsidRPr="0032590D">
        <w:rPr>
          <w:rFonts w:cs="Calibri Light"/>
          <w:color w:val="000000" w:themeColor="text1"/>
        </w:rPr>
        <w:t xml:space="preserve"> the Government </w:t>
      </w:r>
      <w:r w:rsidR="003474AE" w:rsidRPr="0032590D">
        <w:rPr>
          <w:rFonts w:cs="Calibri Light"/>
          <w:color w:val="000000" w:themeColor="text1"/>
        </w:rPr>
        <w:t>has made commitments to address the underlying risks related to natural hazards</w:t>
      </w:r>
      <w:r w:rsidR="006A513F" w:rsidRPr="0032590D">
        <w:rPr>
          <w:rFonts w:cs="Calibri Light"/>
          <w:color w:val="000000" w:themeColor="text1"/>
        </w:rPr>
        <w:t xml:space="preserve"> and prepare</w:t>
      </w:r>
      <w:r w:rsidR="00270FB2" w:rsidRPr="0032590D">
        <w:rPr>
          <w:rFonts w:cs="Calibri Light"/>
          <w:color w:val="000000" w:themeColor="text1"/>
        </w:rPr>
        <w:t xml:space="preserve"> for these</w:t>
      </w:r>
      <w:r w:rsidR="00366124" w:rsidRPr="0032590D">
        <w:rPr>
          <w:rFonts w:cs="Calibri Light"/>
          <w:color w:val="000000" w:themeColor="text1"/>
        </w:rPr>
        <w:t xml:space="preserve"> events</w:t>
      </w:r>
      <w:r w:rsidR="0014552C" w:rsidRPr="0032590D">
        <w:rPr>
          <w:rFonts w:cs="Calibri Light"/>
          <w:color w:val="000000" w:themeColor="text1"/>
        </w:rPr>
        <w:t xml:space="preserve">, </w:t>
      </w:r>
      <w:r w:rsidR="00BC2A0C" w:rsidRPr="0032590D">
        <w:rPr>
          <w:rFonts w:cs="Calibri Light"/>
          <w:color w:val="000000" w:themeColor="text1"/>
        </w:rPr>
        <w:t>such as through the Disaster</w:t>
      </w:r>
      <w:r w:rsidR="0014552C" w:rsidRPr="0032590D">
        <w:rPr>
          <w:rFonts w:cs="Calibri Light"/>
          <w:color w:val="000000" w:themeColor="text1"/>
        </w:rPr>
        <w:t xml:space="preserve"> </w:t>
      </w:r>
      <w:r w:rsidR="00FF3621" w:rsidRPr="0032590D">
        <w:rPr>
          <w:rFonts w:cs="Calibri Light"/>
          <w:color w:val="000000" w:themeColor="text1"/>
        </w:rPr>
        <w:t>Ready Fund,</w:t>
      </w:r>
      <w:r w:rsidR="0014552C" w:rsidRPr="0032590D">
        <w:rPr>
          <w:rFonts w:cs="Calibri Light"/>
          <w:color w:val="000000" w:themeColor="text1"/>
        </w:rPr>
        <w:t xml:space="preserve"> </w:t>
      </w:r>
      <w:r w:rsidR="002E3A8C" w:rsidRPr="0032590D">
        <w:rPr>
          <w:rFonts w:cs="Calibri Light"/>
          <w:color w:val="000000" w:themeColor="text1"/>
        </w:rPr>
        <w:t xml:space="preserve">the exposure of Australians to </w:t>
      </w:r>
      <w:r w:rsidR="0075018B" w:rsidRPr="0032590D">
        <w:rPr>
          <w:rFonts w:cs="Calibri Light"/>
          <w:color w:val="000000" w:themeColor="text1"/>
        </w:rPr>
        <w:t>climate change and extreme weather e</w:t>
      </w:r>
      <w:r w:rsidR="00967DE4" w:rsidRPr="0032590D">
        <w:rPr>
          <w:rFonts w:cs="Calibri Light"/>
          <w:color w:val="000000" w:themeColor="text1"/>
        </w:rPr>
        <w:t xml:space="preserve">vents </w:t>
      </w:r>
      <w:r w:rsidR="00137C3E" w:rsidRPr="0032590D">
        <w:rPr>
          <w:rFonts w:cs="Calibri Light"/>
          <w:color w:val="000000" w:themeColor="text1"/>
        </w:rPr>
        <w:t>will continue to present challenges to communities.</w:t>
      </w:r>
    </w:p>
    <w:p w14:paraId="0AEE0C17" w14:textId="240E38F7" w:rsidR="003D7CE2" w:rsidRPr="0032590D" w:rsidRDefault="003D7CE2" w:rsidP="003D7CE2">
      <w:pPr>
        <w:spacing w:before="240"/>
        <w:rPr>
          <w:rFonts w:cs="Calibri Light"/>
          <w:color w:val="000000" w:themeColor="text1"/>
        </w:rPr>
      </w:pPr>
      <w:r w:rsidRPr="0032590D">
        <w:rPr>
          <w:rFonts w:cs="Calibri Light"/>
          <w:noProof/>
        </w:rPr>
        <mc:AlternateContent>
          <mc:Choice Requires="wps">
            <w:drawing>
              <wp:anchor distT="0" distB="0" distL="114300" distR="114300" simplePos="0" relativeHeight="251656704" behindDoc="0" locked="0" layoutInCell="1" allowOverlap="1" wp14:anchorId="50553E19" wp14:editId="50AC16C6">
                <wp:simplePos x="0" y="0"/>
                <wp:positionH relativeFrom="margin">
                  <wp:align>left</wp:align>
                </wp:positionH>
                <wp:positionV relativeFrom="paragraph">
                  <wp:posOffset>338455</wp:posOffset>
                </wp:positionV>
                <wp:extent cx="5610225" cy="2086610"/>
                <wp:effectExtent l="0" t="0" r="9525" b="8890"/>
                <wp:wrapTopAndBottom/>
                <wp:docPr id="1076805926" name="Text Box 1"/>
                <wp:cNvGraphicFramePr/>
                <a:graphic xmlns:a="http://schemas.openxmlformats.org/drawingml/2006/main">
                  <a:graphicData uri="http://schemas.microsoft.com/office/word/2010/wordprocessingShape">
                    <wps:wsp>
                      <wps:cNvSpPr txBox="1"/>
                      <wps:spPr>
                        <a:xfrm>
                          <a:off x="0" y="0"/>
                          <a:ext cx="5610225" cy="2086610"/>
                        </a:xfrm>
                        <a:prstGeom prst="rect">
                          <a:avLst/>
                        </a:prstGeom>
                        <a:solidFill>
                          <a:schemeClr val="accent5">
                            <a:lumMod val="20000"/>
                            <a:lumOff val="80000"/>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34D363A5" w14:textId="77777777" w:rsidR="00DB69D5" w:rsidRDefault="00DB69D5" w:rsidP="00DB69D5">
                            <w:pPr>
                              <w:pStyle w:val="BoxHeading"/>
                            </w:pPr>
                            <w:r>
                              <w:t>Box 2.2: John</w:t>
                            </w:r>
                          </w:p>
                          <w:p w14:paraId="22C59317" w14:textId="0E59CBA8" w:rsidR="004B6166" w:rsidRPr="00BA5A54" w:rsidRDefault="004B6166" w:rsidP="004B6166">
                            <w:pPr>
                              <w:rPr>
                                <w:color w:val="000000" w:themeColor="text1"/>
                              </w:rPr>
                            </w:pPr>
                            <w:r w:rsidRPr="00D26997">
                              <w:rPr>
                                <w:rFonts w:cs="Calibri Light"/>
                                <w:color w:val="000000" w:themeColor="text1"/>
                              </w:rPr>
                              <w:t xml:space="preserve">John </w:t>
                            </w:r>
                            <w:r w:rsidR="00990730" w:rsidRPr="00D26997">
                              <w:rPr>
                                <w:rFonts w:cs="Calibri Light"/>
                                <w:color w:val="000000" w:themeColor="text1"/>
                              </w:rPr>
                              <w:t xml:space="preserve">lives </w:t>
                            </w:r>
                            <w:r w:rsidR="005C43FC" w:rsidRPr="00D26997">
                              <w:rPr>
                                <w:rFonts w:cs="Calibri Light"/>
                                <w:color w:val="000000" w:themeColor="text1"/>
                              </w:rPr>
                              <w:t>in a regional town</w:t>
                            </w:r>
                            <w:r w:rsidR="00F6328F" w:rsidRPr="00D26997">
                              <w:rPr>
                                <w:rFonts w:cs="Calibri Light"/>
                                <w:color w:val="000000" w:themeColor="text1"/>
                              </w:rPr>
                              <w:t xml:space="preserve"> in Far North Queensland</w:t>
                            </w:r>
                            <w:r w:rsidR="005C43FC" w:rsidRPr="00D26997">
                              <w:rPr>
                                <w:rFonts w:cs="Calibri Light"/>
                                <w:color w:val="000000" w:themeColor="text1"/>
                              </w:rPr>
                              <w:t xml:space="preserve">. A cyclone has </w:t>
                            </w:r>
                            <w:r w:rsidR="0007133C" w:rsidRPr="00D26997">
                              <w:rPr>
                                <w:rFonts w:cs="Calibri Light"/>
                                <w:color w:val="000000" w:themeColor="text1"/>
                              </w:rPr>
                              <w:t xml:space="preserve">struck </w:t>
                            </w:r>
                            <w:r w:rsidR="008363F6" w:rsidRPr="00D26997">
                              <w:rPr>
                                <w:rFonts w:cs="Calibri Light"/>
                                <w:color w:val="000000" w:themeColor="text1"/>
                              </w:rPr>
                              <w:t xml:space="preserve">the region and while </w:t>
                            </w:r>
                            <w:r w:rsidR="00A63AC9" w:rsidRPr="00D26997">
                              <w:rPr>
                                <w:rFonts w:cs="Calibri Light"/>
                                <w:color w:val="000000" w:themeColor="text1"/>
                              </w:rPr>
                              <w:t xml:space="preserve">his town has not been directly </w:t>
                            </w:r>
                            <w:r w:rsidR="00635081" w:rsidRPr="00D26997">
                              <w:rPr>
                                <w:rFonts w:cs="Calibri Light"/>
                                <w:color w:val="000000" w:themeColor="text1"/>
                              </w:rPr>
                              <w:t>affected</w:t>
                            </w:r>
                            <w:r w:rsidR="00A63AC9" w:rsidRPr="00D26997">
                              <w:rPr>
                                <w:rFonts w:cs="Calibri Light"/>
                                <w:color w:val="000000" w:themeColor="text1"/>
                              </w:rPr>
                              <w:t xml:space="preserve">, there are downed powerlines </w:t>
                            </w:r>
                            <w:r w:rsidR="00A127A9" w:rsidRPr="00D26997">
                              <w:rPr>
                                <w:rFonts w:cs="Calibri Light"/>
                                <w:color w:val="000000" w:themeColor="text1"/>
                              </w:rPr>
                              <w:t>which ha</w:t>
                            </w:r>
                            <w:r w:rsidR="007E3380" w:rsidRPr="00D26997">
                              <w:rPr>
                                <w:rFonts w:cs="Calibri Light"/>
                                <w:color w:val="000000" w:themeColor="text1"/>
                              </w:rPr>
                              <w:t>ve</w:t>
                            </w:r>
                            <w:r w:rsidR="00A127A9" w:rsidRPr="00D26997">
                              <w:rPr>
                                <w:rFonts w:cs="Calibri Light"/>
                                <w:color w:val="000000" w:themeColor="text1"/>
                              </w:rPr>
                              <w:t xml:space="preserve"> disrupted the supply of power to his town</w:t>
                            </w:r>
                            <w:r w:rsidR="00187C8D" w:rsidRPr="00D26997">
                              <w:rPr>
                                <w:rFonts w:cs="Calibri Light"/>
                                <w:color w:val="000000" w:themeColor="text1"/>
                              </w:rPr>
                              <w:t xml:space="preserve"> </w:t>
                            </w:r>
                            <w:r w:rsidR="00AF17B5" w:rsidRPr="00D26997">
                              <w:rPr>
                                <w:rFonts w:cs="Calibri Light"/>
                                <w:color w:val="000000" w:themeColor="text1"/>
                              </w:rPr>
                              <w:t>causing</w:t>
                            </w:r>
                            <w:r w:rsidR="00187C8D" w:rsidRPr="00D26997">
                              <w:rPr>
                                <w:rFonts w:cs="Calibri Light"/>
                                <w:color w:val="000000" w:themeColor="text1"/>
                              </w:rPr>
                              <w:t xml:space="preserve"> </w:t>
                            </w:r>
                            <w:r w:rsidR="00931B1A" w:rsidRPr="00D26997">
                              <w:rPr>
                                <w:rFonts w:cs="Calibri Light"/>
                                <w:color w:val="000000" w:themeColor="text1"/>
                              </w:rPr>
                              <w:t xml:space="preserve">significant damage to </w:t>
                            </w:r>
                            <w:r w:rsidR="00187C8D" w:rsidRPr="00D26997">
                              <w:rPr>
                                <w:rFonts w:cs="Calibri Light"/>
                                <w:color w:val="000000" w:themeColor="text1"/>
                              </w:rPr>
                              <w:t>local telecommunications infrastructure</w:t>
                            </w:r>
                            <w:r w:rsidR="00A127A9" w:rsidRPr="00D26997">
                              <w:rPr>
                                <w:rFonts w:cs="Calibri Light"/>
                                <w:color w:val="000000" w:themeColor="text1"/>
                              </w:rPr>
                              <w:t xml:space="preserve">. </w:t>
                            </w:r>
                            <w:r w:rsidR="00836391" w:rsidRPr="00D26997">
                              <w:rPr>
                                <w:rFonts w:cs="Calibri Light"/>
                                <w:color w:val="000000" w:themeColor="text1"/>
                              </w:rPr>
                              <w:t>In preparation for the cyclone, John w</w:t>
                            </w:r>
                            <w:r w:rsidR="00C96B12" w:rsidRPr="00D26997">
                              <w:rPr>
                                <w:rFonts w:cs="Calibri Light"/>
                                <w:color w:val="000000" w:themeColor="text1"/>
                              </w:rPr>
                              <w:t>ithdrew</w:t>
                            </w:r>
                            <w:r w:rsidR="00836391" w:rsidRPr="00D26997">
                              <w:rPr>
                                <w:rFonts w:cs="Calibri Light"/>
                                <w:color w:val="000000" w:themeColor="text1"/>
                              </w:rPr>
                              <w:t xml:space="preserve"> some cash</w:t>
                            </w:r>
                            <w:r w:rsidR="00616693" w:rsidRPr="00D26997">
                              <w:rPr>
                                <w:rFonts w:cs="Calibri Light"/>
                                <w:color w:val="000000" w:themeColor="text1"/>
                              </w:rPr>
                              <w:t xml:space="preserve">. </w:t>
                            </w:r>
                            <w:r w:rsidR="004F5DB0" w:rsidRPr="00D26997">
                              <w:rPr>
                                <w:rFonts w:cs="Calibri Light"/>
                                <w:color w:val="000000" w:themeColor="text1"/>
                              </w:rPr>
                              <w:t>John is well prepared for</w:t>
                            </w:r>
                            <w:r w:rsidR="00836391" w:rsidRPr="00D26997">
                              <w:rPr>
                                <w:rFonts w:cs="Calibri Light"/>
                                <w:color w:val="000000" w:themeColor="text1"/>
                              </w:rPr>
                              <w:t xml:space="preserve"> the </w:t>
                            </w:r>
                            <w:r w:rsidR="004F5DB0" w:rsidRPr="00D26997">
                              <w:rPr>
                                <w:rFonts w:cs="Calibri Light"/>
                                <w:color w:val="000000" w:themeColor="text1"/>
                              </w:rPr>
                              <w:t>cyclone</w:t>
                            </w:r>
                            <w:r w:rsidR="00C96B12" w:rsidRPr="00D26997">
                              <w:rPr>
                                <w:rFonts w:cs="Calibri Light"/>
                                <w:color w:val="000000" w:themeColor="text1"/>
                              </w:rPr>
                              <w:t>,</w:t>
                            </w:r>
                            <w:r w:rsidR="00616693" w:rsidRPr="00D26997">
                              <w:rPr>
                                <w:rFonts w:cs="Calibri Light"/>
                                <w:color w:val="000000" w:themeColor="text1"/>
                              </w:rPr>
                              <w:t xml:space="preserve"> </w:t>
                            </w:r>
                            <w:r w:rsidR="00282FE4" w:rsidRPr="00D26997">
                              <w:rPr>
                                <w:rFonts w:cs="Calibri Light"/>
                                <w:color w:val="000000" w:themeColor="text1"/>
                              </w:rPr>
                              <w:t>however</w:t>
                            </w:r>
                            <w:r w:rsidR="00C96B12" w:rsidRPr="00D26997">
                              <w:rPr>
                                <w:rFonts w:cs="Calibri Light"/>
                                <w:color w:val="000000" w:themeColor="text1"/>
                              </w:rPr>
                              <w:t>,</w:t>
                            </w:r>
                            <w:r w:rsidR="00282FE4" w:rsidRPr="00D26997">
                              <w:rPr>
                                <w:rFonts w:cs="Calibri Light"/>
                                <w:color w:val="000000" w:themeColor="text1"/>
                              </w:rPr>
                              <w:t xml:space="preserve"> it has taken longer than expected for power to be restored. John runs a </w:t>
                            </w:r>
                            <w:r w:rsidR="00187C8D" w:rsidRPr="00D26997">
                              <w:rPr>
                                <w:rFonts w:cs="Calibri Light"/>
                                <w:color w:val="000000" w:themeColor="text1"/>
                              </w:rPr>
                              <w:t>generator</w:t>
                            </w:r>
                            <w:r w:rsidR="00282FE4" w:rsidRPr="00D26997">
                              <w:rPr>
                                <w:rFonts w:cs="Calibri Light"/>
                                <w:color w:val="000000" w:themeColor="text1"/>
                              </w:rPr>
                              <w:t xml:space="preserve"> to keep some of his </w:t>
                            </w:r>
                            <w:r w:rsidR="00C96B12" w:rsidRPr="00D26997">
                              <w:rPr>
                                <w:rFonts w:cs="Calibri Light"/>
                                <w:color w:val="000000" w:themeColor="text1"/>
                              </w:rPr>
                              <w:t>household appliances</w:t>
                            </w:r>
                            <w:r w:rsidR="00282FE4" w:rsidRPr="00D26997">
                              <w:rPr>
                                <w:rFonts w:cs="Calibri Light"/>
                                <w:color w:val="000000" w:themeColor="text1"/>
                              </w:rPr>
                              <w:t xml:space="preserve"> </w:t>
                            </w:r>
                            <w:r w:rsidR="00050231" w:rsidRPr="00D26997">
                              <w:rPr>
                                <w:rFonts w:cs="Calibri Light"/>
                                <w:color w:val="000000" w:themeColor="text1"/>
                              </w:rPr>
                              <w:t>(</w:t>
                            </w:r>
                            <w:r w:rsidR="00AF757B" w:rsidRPr="00D26997">
                              <w:rPr>
                                <w:rFonts w:cs="Calibri Light"/>
                                <w:color w:val="000000" w:themeColor="text1"/>
                              </w:rPr>
                              <w:t>like his fridge</w:t>
                            </w:r>
                            <w:r w:rsidR="00050231" w:rsidRPr="00D26997">
                              <w:rPr>
                                <w:rFonts w:cs="Calibri Light"/>
                                <w:color w:val="000000" w:themeColor="text1"/>
                              </w:rPr>
                              <w:t>)</w:t>
                            </w:r>
                            <w:r w:rsidR="00AF757B" w:rsidRPr="00D26997">
                              <w:rPr>
                                <w:rFonts w:cs="Calibri Light"/>
                                <w:color w:val="000000" w:themeColor="text1"/>
                              </w:rPr>
                              <w:t xml:space="preserve"> </w:t>
                            </w:r>
                            <w:r w:rsidR="00187C8D" w:rsidRPr="00D26997">
                              <w:rPr>
                                <w:rFonts w:cs="Calibri Light"/>
                                <w:color w:val="000000" w:themeColor="text1"/>
                              </w:rPr>
                              <w:t xml:space="preserve">going </w:t>
                            </w:r>
                            <w:r w:rsidR="00AF757B" w:rsidRPr="00D26997">
                              <w:rPr>
                                <w:rFonts w:cs="Calibri Light"/>
                                <w:color w:val="000000" w:themeColor="text1"/>
                              </w:rPr>
                              <w:t xml:space="preserve">but he is now running out of fuel. John drives to the local service station and </w:t>
                            </w:r>
                            <w:r w:rsidR="00A30109" w:rsidRPr="00D26997">
                              <w:rPr>
                                <w:rFonts w:cs="Calibri Light"/>
                                <w:color w:val="000000" w:themeColor="text1"/>
                              </w:rPr>
                              <w:t>can</w:t>
                            </w:r>
                            <w:r w:rsidR="00AF757B" w:rsidRPr="00D26997">
                              <w:rPr>
                                <w:rFonts w:cs="Calibri Light"/>
                                <w:color w:val="000000" w:themeColor="text1"/>
                              </w:rPr>
                              <w:t xml:space="preserve"> purchase fuel </w:t>
                            </w:r>
                            <w:r w:rsidR="00187C8D" w:rsidRPr="00D26997">
                              <w:rPr>
                                <w:rFonts w:cs="Calibri Light"/>
                                <w:color w:val="000000" w:themeColor="text1"/>
                              </w:rPr>
                              <w:t xml:space="preserve">with cash to </w:t>
                            </w:r>
                            <w:r w:rsidR="00016F87" w:rsidRPr="00D26997">
                              <w:rPr>
                                <w:rFonts w:cs="Calibri Light"/>
                                <w:color w:val="000000" w:themeColor="text1"/>
                              </w:rPr>
                              <w:t xml:space="preserve">refuel his generator. </w:t>
                            </w:r>
                            <w:r w:rsidR="00457F4D" w:rsidRPr="00D26997">
                              <w:rPr>
                                <w:rFonts w:cs="Calibri Light"/>
                                <w:color w:val="000000" w:themeColor="text1"/>
                              </w:rPr>
                              <w:t>In this situation</w:t>
                            </w:r>
                            <w:r w:rsidR="003F76BA" w:rsidRPr="00D26997">
                              <w:rPr>
                                <w:rFonts w:cs="Calibri Light"/>
                                <w:color w:val="000000" w:themeColor="text1"/>
                              </w:rPr>
                              <w:t xml:space="preserve">, a cash acceptance mandate </w:t>
                            </w:r>
                            <w:r w:rsidR="00696585">
                              <w:rPr>
                                <w:rFonts w:cs="Calibri Light"/>
                                <w:color w:val="000000" w:themeColor="text1"/>
                              </w:rPr>
                              <w:t xml:space="preserve">is a critical </w:t>
                            </w:r>
                            <w:r w:rsidR="004F5BF3">
                              <w:rPr>
                                <w:rFonts w:cs="Calibri Light"/>
                                <w:color w:val="000000" w:themeColor="text1"/>
                              </w:rPr>
                              <w:t xml:space="preserve">element of disaster resilience planning and </w:t>
                            </w:r>
                            <w:r w:rsidR="003F76BA" w:rsidRPr="00D26997">
                              <w:rPr>
                                <w:rFonts w:cs="Calibri Light"/>
                                <w:color w:val="000000" w:themeColor="text1"/>
                              </w:rPr>
                              <w:t xml:space="preserve">would provide John with confidence that </w:t>
                            </w:r>
                            <w:r w:rsidR="00DB55A8" w:rsidRPr="00D26997">
                              <w:rPr>
                                <w:rFonts w:cs="Calibri Light"/>
                                <w:color w:val="000000" w:themeColor="text1"/>
                              </w:rPr>
                              <w:t>he can manage the disruption.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53E19" id="_x0000_s1027" type="#_x0000_t202" style="position:absolute;margin-left:0;margin-top:26.65pt;width:441.75pt;height:164.3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" fillcolor="#e8f0fc [664]" stroked="f">
                <v:fill opacity="32896f"/>
                <v:textbox>
                  <w:txbxContent>
                    <w:p w14:paraId="34D363A5" w14:textId="77777777" w:rsidR="00DB69D5" w:rsidRDefault="00DB69D5" w:rsidP="00DB69D5">
                      <w:pPr>
                        <w:pStyle w:val="BoxHeading"/>
                      </w:pPr>
                      <w:r>
                        <w:t>Box 2.2: John</w:t>
                      </w:r>
                    </w:p>
                    <w:p w14:paraId="22C59317" w14:textId="0E59CBA8" w:rsidR="004B6166" w:rsidRPr="00BA5A54" w:rsidRDefault="004B6166" w:rsidP="004B6166">
                      <w:pPr>
                        <w:rPr>
                          <w:color w:val="000000" w:themeColor="text1"/>
                        </w:rPr>
                      </w:pPr>
                      <w:r w:rsidRPr="00D26997">
                        <w:rPr>
                          <w:rFonts w:cs="Calibri Light"/>
                          <w:color w:val="000000" w:themeColor="text1"/>
                        </w:rPr>
                        <w:t xml:space="preserve">John </w:t>
                      </w:r>
                      <w:r w:rsidR="00990730" w:rsidRPr="00D26997">
                        <w:rPr>
                          <w:rFonts w:cs="Calibri Light"/>
                          <w:color w:val="000000" w:themeColor="text1"/>
                        </w:rPr>
                        <w:t xml:space="preserve">lives </w:t>
                      </w:r>
                      <w:r w:rsidR="005C43FC" w:rsidRPr="00D26997">
                        <w:rPr>
                          <w:rFonts w:cs="Calibri Light"/>
                          <w:color w:val="000000" w:themeColor="text1"/>
                        </w:rPr>
                        <w:t>in a regional town</w:t>
                      </w:r>
                      <w:r w:rsidR="00F6328F" w:rsidRPr="00D26997">
                        <w:rPr>
                          <w:rFonts w:cs="Calibri Light"/>
                          <w:color w:val="000000" w:themeColor="text1"/>
                        </w:rPr>
                        <w:t xml:space="preserve"> in Far North Queensland</w:t>
                      </w:r>
                      <w:r w:rsidR="005C43FC" w:rsidRPr="00D26997">
                        <w:rPr>
                          <w:rFonts w:cs="Calibri Light"/>
                          <w:color w:val="000000" w:themeColor="text1"/>
                        </w:rPr>
                        <w:t xml:space="preserve">. A cyclone has </w:t>
                      </w:r>
                      <w:r w:rsidR="0007133C" w:rsidRPr="00D26997">
                        <w:rPr>
                          <w:rFonts w:cs="Calibri Light"/>
                          <w:color w:val="000000" w:themeColor="text1"/>
                        </w:rPr>
                        <w:t xml:space="preserve">struck </w:t>
                      </w:r>
                      <w:r w:rsidR="008363F6" w:rsidRPr="00D26997">
                        <w:rPr>
                          <w:rFonts w:cs="Calibri Light"/>
                          <w:color w:val="000000" w:themeColor="text1"/>
                        </w:rPr>
                        <w:t xml:space="preserve">the region and while </w:t>
                      </w:r>
                      <w:r w:rsidR="00A63AC9" w:rsidRPr="00D26997">
                        <w:rPr>
                          <w:rFonts w:cs="Calibri Light"/>
                          <w:color w:val="000000" w:themeColor="text1"/>
                        </w:rPr>
                        <w:t xml:space="preserve">his town has not been directly </w:t>
                      </w:r>
                      <w:r w:rsidR="00635081" w:rsidRPr="00D26997">
                        <w:rPr>
                          <w:rFonts w:cs="Calibri Light"/>
                          <w:color w:val="000000" w:themeColor="text1"/>
                        </w:rPr>
                        <w:t>affected</w:t>
                      </w:r>
                      <w:r w:rsidR="00A63AC9" w:rsidRPr="00D26997">
                        <w:rPr>
                          <w:rFonts w:cs="Calibri Light"/>
                          <w:color w:val="000000" w:themeColor="text1"/>
                        </w:rPr>
                        <w:t xml:space="preserve">, there are downed powerlines </w:t>
                      </w:r>
                      <w:r w:rsidR="00A127A9" w:rsidRPr="00D26997">
                        <w:rPr>
                          <w:rFonts w:cs="Calibri Light"/>
                          <w:color w:val="000000" w:themeColor="text1"/>
                        </w:rPr>
                        <w:t>which ha</w:t>
                      </w:r>
                      <w:r w:rsidR="007E3380" w:rsidRPr="00D26997">
                        <w:rPr>
                          <w:rFonts w:cs="Calibri Light"/>
                          <w:color w:val="000000" w:themeColor="text1"/>
                        </w:rPr>
                        <w:t>ve</w:t>
                      </w:r>
                      <w:r w:rsidR="00A127A9" w:rsidRPr="00D26997">
                        <w:rPr>
                          <w:rFonts w:cs="Calibri Light"/>
                          <w:color w:val="000000" w:themeColor="text1"/>
                        </w:rPr>
                        <w:t xml:space="preserve"> disrupted the supply of power to his town</w:t>
                      </w:r>
                      <w:r w:rsidR="00187C8D" w:rsidRPr="00D26997">
                        <w:rPr>
                          <w:rFonts w:cs="Calibri Light"/>
                          <w:color w:val="000000" w:themeColor="text1"/>
                        </w:rPr>
                        <w:t xml:space="preserve"> </w:t>
                      </w:r>
                      <w:r w:rsidR="00AF17B5" w:rsidRPr="00D26997">
                        <w:rPr>
                          <w:rFonts w:cs="Calibri Light"/>
                          <w:color w:val="000000" w:themeColor="text1"/>
                        </w:rPr>
                        <w:t>causing</w:t>
                      </w:r>
                      <w:r w:rsidR="00187C8D" w:rsidRPr="00D26997">
                        <w:rPr>
                          <w:rFonts w:cs="Calibri Light"/>
                          <w:color w:val="000000" w:themeColor="text1"/>
                        </w:rPr>
                        <w:t xml:space="preserve"> </w:t>
                      </w:r>
                      <w:r w:rsidR="00931B1A" w:rsidRPr="00D26997">
                        <w:rPr>
                          <w:rFonts w:cs="Calibri Light"/>
                          <w:color w:val="000000" w:themeColor="text1"/>
                        </w:rPr>
                        <w:t xml:space="preserve">significant damage to </w:t>
                      </w:r>
                      <w:r w:rsidR="00187C8D" w:rsidRPr="00D26997">
                        <w:rPr>
                          <w:rFonts w:cs="Calibri Light"/>
                          <w:color w:val="000000" w:themeColor="text1"/>
                        </w:rPr>
                        <w:t>local telecommunications infrastructure</w:t>
                      </w:r>
                      <w:r w:rsidR="00A127A9" w:rsidRPr="00D26997">
                        <w:rPr>
                          <w:rFonts w:cs="Calibri Light"/>
                          <w:color w:val="000000" w:themeColor="text1"/>
                        </w:rPr>
                        <w:t xml:space="preserve">. </w:t>
                      </w:r>
                      <w:r w:rsidR="00836391" w:rsidRPr="00D26997">
                        <w:rPr>
                          <w:rFonts w:cs="Calibri Light"/>
                          <w:color w:val="000000" w:themeColor="text1"/>
                        </w:rPr>
                        <w:t>In preparation for the cyclone, John w</w:t>
                      </w:r>
                      <w:r w:rsidR="00C96B12" w:rsidRPr="00D26997">
                        <w:rPr>
                          <w:rFonts w:cs="Calibri Light"/>
                          <w:color w:val="000000" w:themeColor="text1"/>
                        </w:rPr>
                        <w:t>ithdrew</w:t>
                      </w:r>
                      <w:r w:rsidR="00836391" w:rsidRPr="00D26997">
                        <w:rPr>
                          <w:rFonts w:cs="Calibri Light"/>
                          <w:color w:val="000000" w:themeColor="text1"/>
                        </w:rPr>
                        <w:t xml:space="preserve"> some cash</w:t>
                      </w:r>
                      <w:r w:rsidR="00616693" w:rsidRPr="00D26997">
                        <w:rPr>
                          <w:rFonts w:cs="Calibri Light"/>
                          <w:color w:val="000000" w:themeColor="text1"/>
                        </w:rPr>
                        <w:t xml:space="preserve">. </w:t>
                      </w:r>
                      <w:r w:rsidR="004F5DB0" w:rsidRPr="00D26997">
                        <w:rPr>
                          <w:rFonts w:cs="Calibri Light"/>
                          <w:color w:val="000000" w:themeColor="text1"/>
                        </w:rPr>
                        <w:t>John is well prepared for</w:t>
                      </w:r>
                      <w:r w:rsidR="00836391" w:rsidRPr="00D26997">
                        <w:rPr>
                          <w:rFonts w:cs="Calibri Light"/>
                          <w:color w:val="000000" w:themeColor="text1"/>
                        </w:rPr>
                        <w:t xml:space="preserve"> the </w:t>
                      </w:r>
                      <w:r w:rsidR="004F5DB0" w:rsidRPr="00D26997">
                        <w:rPr>
                          <w:rFonts w:cs="Calibri Light"/>
                          <w:color w:val="000000" w:themeColor="text1"/>
                        </w:rPr>
                        <w:t>cyclone</w:t>
                      </w:r>
                      <w:r w:rsidR="00C96B12" w:rsidRPr="00D26997">
                        <w:rPr>
                          <w:rFonts w:cs="Calibri Light"/>
                          <w:color w:val="000000" w:themeColor="text1"/>
                        </w:rPr>
                        <w:t>,</w:t>
                      </w:r>
                      <w:r w:rsidR="00616693" w:rsidRPr="00D26997">
                        <w:rPr>
                          <w:rFonts w:cs="Calibri Light"/>
                          <w:color w:val="000000" w:themeColor="text1"/>
                        </w:rPr>
                        <w:t xml:space="preserve"> </w:t>
                      </w:r>
                      <w:r w:rsidR="00282FE4" w:rsidRPr="00D26997">
                        <w:rPr>
                          <w:rFonts w:cs="Calibri Light"/>
                          <w:color w:val="000000" w:themeColor="text1"/>
                        </w:rPr>
                        <w:t>however</w:t>
                      </w:r>
                      <w:r w:rsidR="00C96B12" w:rsidRPr="00D26997">
                        <w:rPr>
                          <w:rFonts w:cs="Calibri Light"/>
                          <w:color w:val="000000" w:themeColor="text1"/>
                        </w:rPr>
                        <w:t>,</w:t>
                      </w:r>
                      <w:r w:rsidR="00282FE4" w:rsidRPr="00D26997">
                        <w:rPr>
                          <w:rFonts w:cs="Calibri Light"/>
                          <w:color w:val="000000" w:themeColor="text1"/>
                        </w:rPr>
                        <w:t xml:space="preserve"> it has taken longer than expected for power to be restored. John runs a </w:t>
                      </w:r>
                      <w:r w:rsidR="00187C8D" w:rsidRPr="00D26997">
                        <w:rPr>
                          <w:rFonts w:cs="Calibri Light"/>
                          <w:color w:val="000000" w:themeColor="text1"/>
                        </w:rPr>
                        <w:t>generator</w:t>
                      </w:r>
                      <w:r w:rsidR="00282FE4" w:rsidRPr="00D26997">
                        <w:rPr>
                          <w:rFonts w:cs="Calibri Light"/>
                          <w:color w:val="000000" w:themeColor="text1"/>
                        </w:rPr>
                        <w:t xml:space="preserve"> to keep some of his </w:t>
                      </w:r>
                      <w:r w:rsidR="00C96B12" w:rsidRPr="00D26997">
                        <w:rPr>
                          <w:rFonts w:cs="Calibri Light"/>
                          <w:color w:val="000000" w:themeColor="text1"/>
                        </w:rPr>
                        <w:t>household appliances</w:t>
                      </w:r>
                      <w:r w:rsidR="00282FE4" w:rsidRPr="00D26997">
                        <w:rPr>
                          <w:rFonts w:cs="Calibri Light"/>
                          <w:color w:val="000000" w:themeColor="text1"/>
                        </w:rPr>
                        <w:t xml:space="preserve"> </w:t>
                      </w:r>
                      <w:r w:rsidR="00050231" w:rsidRPr="00D26997">
                        <w:rPr>
                          <w:rFonts w:cs="Calibri Light"/>
                          <w:color w:val="000000" w:themeColor="text1"/>
                        </w:rPr>
                        <w:t>(</w:t>
                      </w:r>
                      <w:r w:rsidR="00AF757B" w:rsidRPr="00D26997">
                        <w:rPr>
                          <w:rFonts w:cs="Calibri Light"/>
                          <w:color w:val="000000" w:themeColor="text1"/>
                        </w:rPr>
                        <w:t>like his fridge</w:t>
                      </w:r>
                      <w:r w:rsidR="00050231" w:rsidRPr="00D26997">
                        <w:rPr>
                          <w:rFonts w:cs="Calibri Light"/>
                          <w:color w:val="000000" w:themeColor="text1"/>
                        </w:rPr>
                        <w:t>)</w:t>
                      </w:r>
                      <w:r w:rsidR="00AF757B" w:rsidRPr="00D26997">
                        <w:rPr>
                          <w:rFonts w:cs="Calibri Light"/>
                          <w:color w:val="000000" w:themeColor="text1"/>
                        </w:rPr>
                        <w:t xml:space="preserve"> </w:t>
                      </w:r>
                      <w:r w:rsidR="00187C8D" w:rsidRPr="00D26997">
                        <w:rPr>
                          <w:rFonts w:cs="Calibri Light"/>
                          <w:color w:val="000000" w:themeColor="text1"/>
                        </w:rPr>
                        <w:t xml:space="preserve">going </w:t>
                      </w:r>
                      <w:r w:rsidR="00AF757B" w:rsidRPr="00D26997">
                        <w:rPr>
                          <w:rFonts w:cs="Calibri Light"/>
                          <w:color w:val="000000" w:themeColor="text1"/>
                        </w:rPr>
                        <w:t xml:space="preserve">but he is now running out of fuel. John drives to the local service station and </w:t>
                      </w:r>
                      <w:r w:rsidR="00A30109" w:rsidRPr="00D26997">
                        <w:rPr>
                          <w:rFonts w:cs="Calibri Light"/>
                          <w:color w:val="000000" w:themeColor="text1"/>
                        </w:rPr>
                        <w:t>can</w:t>
                      </w:r>
                      <w:r w:rsidR="00AF757B" w:rsidRPr="00D26997">
                        <w:rPr>
                          <w:rFonts w:cs="Calibri Light"/>
                          <w:color w:val="000000" w:themeColor="text1"/>
                        </w:rPr>
                        <w:t xml:space="preserve"> purchase fuel </w:t>
                      </w:r>
                      <w:r w:rsidR="00187C8D" w:rsidRPr="00D26997">
                        <w:rPr>
                          <w:rFonts w:cs="Calibri Light"/>
                          <w:color w:val="000000" w:themeColor="text1"/>
                        </w:rPr>
                        <w:t xml:space="preserve">with cash to </w:t>
                      </w:r>
                      <w:r w:rsidR="00016F87" w:rsidRPr="00D26997">
                        <w:rPr>
                          <w:rFonts w:cs="Calibri Light"/>
                          <w:color w:val="000000" w:themeColor="text1"/>
                        </w:rPr>
                        <w:t xml:space="preserve">refuel his generator. </w:t>
                      </w:r>
                      <w:r w:rsidR="00457F4D" w:rsidRPr="00D26997">
                        <w:rPr>
                          <w:rFonts w:cs="Calibri Light"/>
                          <w:color w:val="000000" w:themeColor="text1"/>
                        </w:rPr>
                        <w:t>In this situation</w:t>
                      </w:r>
                      <w:r w:rsidR="003F76BA" w:rsidRPr="00D26997">
                        <w:rPr>
                          <w:rFonts w:cs="Calibri Light"/>
                          <w:color w:val="000000" w:themeColor="text1"/>
                        </w:rPr>
                        <w:t xml:space="preserve">, a cash acceptance mandate </w:t>
                      </w:r>
                      <w:r w:rsidR="00696585">
                        <w:rPr>
                          <w:rFonts w:cs="Calibri Light"/>
                          <w:color w:val="000000" w:themeColor="text1"/>
                        </w:rPr>
                        <w:t xml:space="preserve">is a critical </w:t>
                      </w:r>
                      <w:r w:rsidR="004F5BF3">
                        <w:rPr>
                          <w:rFonts w:cs="Calibri Light"/>
                          <w:color w:val="000000" w:themeColor="text1"/>
                        </w:rPr>
                        <w:t xml:space="preserve">element of disaster resilience planning and </w:t>
                      </w:r>
                      <w:r w:rsidR="003F76BA" w:rsidRPr="00D26997">
                        <w:rPr>
                          <w:rFonts w:cs="Calibri Light"/>
                          <w:color w:val="000000" w:themeColor="text1"/>
                        </w:rPr>
                        <w:t xml:space="preserve">would provide John with confidence that </w:t>
                      </w:r>
                      <w:r w:rsidR="00DB55A8" w:rsidRPr="00D26997">
                        <w:rPr>
                          <w:rFonts w:cs="Calibri Light"/>
                          <w:color w:val="000000" w:themeColor="text1"/>
                        </w:rPr>
                        <w:t>he can manage the disruption.</w:t>
                      </w:r>
                    </w:p>
                  </w:txbxContent>
                </v:textbox>
                <w10:wrap type="topAndBottom" anchorx="margin"/>
              </v:shape>
            </w:pict>
          </mc:Fallback>
        </mc:AlternateContent>
      </w:r>
      <w:r w:rsidRPr="0032590D">
        <w:rPr>
          <w:rFonts w:cs="Calibri Light"/>
          <w:color w:val="000000" w:themeColor="text1"/>
        </w:rPr>
        <w:t>A cash acceptance mandate can help minimise the impacts on communities in emergency situations.</w:t>
      </w:r>
    </w:p>
    <w:p w14:paraId="70A80547" w14:textId="281C8520" w:rsidR="00503553" w:rsidRPr="0032590D" w:rsidRDefault="00CE2ABC" w:rsidP="002806B1">
      <w:pPr>
        <w:pStyle w:val="Heading2"/>
      </w:pPr>
      <w:bookmarkStart w:id="42" w:name="_Toc181278099"/>
      <w:bookmarkStart w:id="43" w:name="_Toc183137382"/>
      <w:r w:rsidRPr="0032590D">
        <w:t>Privacy, s</w:t>
      </w:r>
      <w:r w:rsidR="00503553" w:rsidRPr="0032590D">
        <w:t>afety</w:t>
      </w:r>
      <w:bookmarkEnd w:id="41"/>
      <w:r w:rsidR="00EB7972" w:rsidRPr="0032590D">
        <w:t xml:space="preserve"> and </w:t>
      </w:r>
      <w:r w:rsidRPr="0032590D">
        <w:t>t</w:t>
      </w:r>
      <w:r w:rsidR="00EB7972" w:rsidRPr="0032590D">
        <w:t>rust</w:t>
      </w:r>
      <w:bookmarkEnd w:id="42"/>
      <w:bookmarkEnd w:id="43"/>
    </w:p>
    <w:p w14:paraId="4457185D" w14:textId="3519AB3B" w:rsidR="00E11E71" w:rsidRPr="0032590D" w:rsidRDefault="00257543" w:rsidP="00A215EE">
      <w:r w:rsidRPr="0032590D">
        <w:t>Privacy, safety and trust are often reasons cited by consumers as reasons to pay cash for goods or services.</w:t>
      </w:r>
      <w:r w:rsidR="00E54E80" w:rsidRPr="0032590D">
        <w:rPr>
          <w:rStyle w:val="FootnoteReference"/>
          <w:rFonts w:asciiTheme="minorHAnsi" w:hAnsiTheme="minorHAnsi" w:cstheme="minorHAnsi"/>
        </w:rPr>
        <w:footnoteReference w:id="24"/>
      </w:r>
      <w:r w:rsidR="00E11E71" w:rsidRPr="0032590D">
        <w:t xml:space="preserve"> Where consumers don’t feel safe or comfortable with a business or individual they are transacting with, they may prefer to use cash to protect their privacy and safety. Given digital payment systems rely on third-party access to personal information, cash payment provides a method of maintaining an individual’s privacy as it does not require additional data disclosure.</w:t>
      </w:r>
    </w:p>
    <w:p w14:paraId="5C4E71E3" w14:textId="2CB1E4A7" w:rsidR="00E11E71" w:rsidRPr="0032590D" w:rsidRDefault="00E11E71" w:rsidP="00A215EE">
      <w:r w:rsidRPr="0032590D">
        <w:t>The Government continues to progress reforms to Australia’s privacy framework and is committed to improving privacy protections while encouraging digital innovation and increasing consumer trust where people do choose to engage with the digital economy.</w:t>
      </w:r>
      <w:r w:rsidRPr="0032590D">
        <w:rPr>
          <w:rStyle w:val="FootnoteReference"/>
          <w:rFonts w:asciiTheme="minorHAnsi" w:hAnsiTheme="minorHAnsi" w:cstheme="minorBidi"/>
        </w:rPr>
        <w:footnoteReference w:id="25"/>
      </w:r>
      <w:r w:rsidRPr="0032590D">
        <w:t xml:space="preserve"> This includes the</w:t>
      </w:r>
      <w:r w:rsidR="000B552D" w:rsidRPr="0032590D">
        <w:t xml:space="preserve"> passage of the</w:t>
      </w:r>
      <w:r w:rsidRPr="0032590D">
        <w:t xml:space="preserve"> Privacy and Other Legislation Amendment Bill 2024</w:t>
      </w:r>
      <w:r w:rsidRPr="0032590D">
        <w:rPr>
          <w:i/>
        </w:rPr>
        <w:t xml:space="preserve"> </w:t>
      </w:r>
      <w:r w:rsidR="000B552D" w:rsidRPr="0032590D">
        <w:t xml:space="preserve">in November </w:t>
      </w:r>
      <w:r w:rsidRPr="0032590D">
        <w:t xml:space="preserve">2024, </w:t>
      </w:r>
      <w:r w:rsidR="000B552D" w:rsidRPr="0032590D">
        <w:t>which</w:t>
      </w:r>
      <w:r w:rsidRPr="0032590D">
        <w:t xml:space="preserve"> legislate</w:t>
      </w:r>
      <w:r w:rsidR="000B552D" w:rsidRPr="0032590D">
        <w:t>s</w:t>
      </w:r>
      <w:r w:rsidRPr="0032590D">
        <w:t xml:space="preserve"> a first tranche of reforms. The Government is also committed to undertaking targeted consultation on draft provisions to inform a second tranche of reforms. Among the Government’s focus areas for a second tranche is to improve control and transparency for individuals over their personal information. </w:t>
      </w:r>
    </w:p>
    <w:p w14:paraId="487403F5" w14:textId="598E87FF" w:rsidR="00E11E71" w:rsidRPr="0032590D" w:rsidRDefault="00E11E71" w:rsidP="00A215EE">
      <w:r w:rsidRPr="0032590D">
        <w:t xml:space="preserve">When buying goods and services online, consumers are often prompted to provide personal information such as their name, address and email. While some of this information serves a practical purpose such as a delivery address, some businesses require consumers to provide additional information that is not strictly necessary to facilitate the purchase. </w:t>
      </w:r>
      <w:r w:rsidR="00B96445" w:rsidRPr="0032590D">
        <w:t xml:space="preserve"> </w:t>
      </w:r>
      <w:r w:rsidRPr="0032590D">
        <w:t>For</w:t>
      </w:r>
      <w:r w:rsidRPr="0032590D" w:rsidDel="00CD524E">
        <w:t xml:space="preserve"> </w:t>
      </w:r>
      <w:r w:rsidRPr="0032590D">
        <w:t xml:space="preserve">consumers, this may be a source of concern as individuals may not wish to provide these details to a business. </w:t>
      </w:r>
      <w:r w:rsidR="0094204D" w:rsidRPr="0032590D">
        <w:t xml:space="preserve">The Government is </w:t>
      </w:r>
      <w:r w:rsidR="00B22D74" w:rsidRPr="0032590D">
        <w:t xml:space="preserve">currently </w:t>
      </w:r>
      <w:r w:rsidR="0094204D" w:rsidRPr="0032590D">
        <w:t xml:space="preserve">considering submissions on design elements of </w:t>
      </w:r>
      <w:r w:rsidR="007F4D21" w:rsidRPr="0032590D">
        <w:t xml:space="preserve">proposed </w:t>
      </w:r>
      <w:r w:rsidR="0094204D" w:rsidRPr="0032590D">
        <w:t>general and specific prohibitions on unfair trading practice</w:t>
      </w:r>
      <w:r w:rsidR="00652D4B" w:rsidRPr="0032590D">
        <w:t>s</w:t>
      </w:r>
      <w:r w:rsidR="0094204D" w:rsidRPr="0032590D">
        <w:t xml:space="preserve"> that follows </w:t>
      </w:r>
      <w:r w:rsidR="0075333C" w:rsidRPr="0032590D">
        <w:t xml:space="preserve">an </w:t>
      </w:r>
      <w:r w:rsidR="0094204D" w:rsidRPr="0032590D">
        <w:t>earlier consultation on options to address unfair trading practices.</w:t>
      </w:r>
      <w:r w:rsidR="0019131D" w:rsidRPr="0032590D">
        <w:rPr>
          <w:rStyle w:val="FootnoteReference"/>
        </w:rPr>
        <w:footnoteReference w:id="26"/>
      </w:r>
      <w:r w:rsidR="0094204D" w:rsidRPr="0032590D">
        <w:t xml:space="preserve"> Furthermore</w:t>
      </w:r>
      <w:r w:rsidR="00B22D74" w:rsidRPr="0032590D">
        <w:t>,</w:t>
      </w:r>
      <w:r w:rsidR="0094204D" w:rsidRPr="0032590D">
        <w:t xml:space="preserve"> c</w:t>
      </w:r>
      <w:r w:rsidRPr="0032590D">
        <w:t xml:space="preserve">oncerns about the provision of such data can be heightened by the risk of scams. In response to this, the Government </w:t>
      </w:r>
      <w:r w:rsidR="006467C7" w:rsidRPr="0032590D">
        <w:t xml:space="preserve">has </w:t>
      </w:r>
      <w:r w:rsidRPr="0032590D">
        <w:t>established the National Anti</w:t>
      </w:r>
      <w:r w:rsidRPr="0032590D">
        <w:noBreakHyphen/>
        <w:t xml:space="preserve">Scams Centre as part of </w:t>
      </w:r>
      <w:r w:rsidR="006467C7" w:rsidRPr="0032590D">
        <w:t>a</w:t>
      </w:r>
      <w:r w:rsidRPr="0032590D">
        <w:t xml:space="preserve"> 2023–24 Budget</w:t>
      </w:r>
      <w:r w:rsidR="006467C7" w:rsidRPr="0032590D">
        <w:t xml:space="preserve"> measure</w:t>
      </w:r>
      <w:r w:rsidRPr="0032590D">
        <w:t>, to disrupt and deter scammers by taking a whole</w:t>
      </w:r>
      <w:r w:rsidRPr="0032590D">
        <w:noBreakHyphen/>
        <w:t>of</w:t>
      </w:r>
      <w:r w:rsidRPr="0032590D">
        <w:noBreakHyphen/>
        <w:t>economy, cross</w:t>
      </w:r>
      <w:r w:rsidRPr="0032590D">
        <w:noBreakHyphen/>
        <w:t>industry approach to scams and fraud.</w:t>
      </w:r>
      <w:r w:rsidRPr="0032590D">
        <w:rPr>
          <w:vertAlign w:val="superscript"/>
        </w:rPr>
        <w:footnoteReference w:id="27"/>
      </w:r>
      <w:r w:rsidRPr="0032590D">
        <w:t xml:space="preserve"> The Government has also recently introduced legislation to establish a Scams Prevention Framework, which will impose obligations of industry to take action to reduce the impact of scams on consumers.</w:t>
      </w:r>
    </w:p>
    <w:p w14:paraId="5AD6D7CB" w14:textId="64175D8B" w:rsidR="00503553" w:rsidRPr="0032590D" w:rsidRDefault="00B8784D" w:rsidP="00A215EE">
      <w:r w:rsidRPr="0032590D">
        <w:t xml:space="preserve">The RBA’s 2022 </w:t>
      </w:r>
      <w:r w:rsidR="00483E55" w:rsidRPr="0032590D">
        <w:t>C</w:t>
      </w:r>
      <w:r w:rsidRPr="0032590D">
        <w:t xml:space="preserve">onsumer </w:t>
      </w:r>
      <w:r w:rsidR="00483E55" w:rsidRPr="0032590D">
        <w:t>P</w:t>
      </w:r>
      <w:r w:rsidRPr="0032590D">
        <w:t xml:space="preserve">ayments </w:t>
      </w:r>
      <w:r w:rsidR="00483E55" w:rsidRPr="0032590D">
        <w:t>S</w:t>
      </w:r>
      <w:r w:rsidRPr="0032590D">
        <w:t xml:space="preserve">urvey found the most important reason for the </w:t>
      </w:r>
      <w:r w:rsidR="00B45200" w:rsidRPr="0032590D">
        <w:t>use of cash was privacy</w:t>
      </w:r>
      <w:r w:rsidR="00483E55" w:rsidRPr="0032590D">
        <w:t xml:space="preserve"> and </w:t>
      </w:r>
      <w:r w:rsidR="00B45200" w:rsidRPr="0032590D">
        <w:t>safety concerns.</w:t>
      </w:r>
      <w:r w:rsidR="00B45200" w:rsidRPr="0032590D">
        <w:rPr>
          <w:rStyle w:val="FootnoteReference"/>
          <w:rFonts w:asciiTheme="minorHAnsi" w:hAnsiTheme="minorHAnsi" w:cstheme="minorHAnsi"/>
        </w:rPr>
        <w:footnoteReference w:id="28"/>
      </w:r>
      <w:r w:rsidR="00E12697" w:rsidRPr="0032590D">
        <w:t xml:space="preserve"> </w:t>
      </w:r>
      <w:r w:rsidR="009852D0" w:rsidRPr="0032590D">
        <w:t xml:space="preserve">This is particularly </w:t>
      </w:r>
      <w:r w:rsidR="00F7437D" w:rsidRPr="0032590D">
        <w:t>apparent in</w:t>
      </w:r>
      <w:r w:rsidR="001E06B2" w:rsidRPr="0032590D">
        <w:t xml:space="preserve"> </w:t>
      </w:r>
      <w:r w:rsidR="000E3DCC" w:rsidRPr="0032590D">
        <w:t>cultural</w:t>
      </w:r>
      <w:r w:rsidR="00483E55" w:rsidRPr="0032590D">
        <w:t>ly</w:t>
      </w:r>
      <w:r w:rsidR="000E3DCC" w:rsidRPr="0032590D">
        <w:t xml:space="preserve"> and </w:t>
      </w:r>
      <w:r w:rsidR="00E60414" w:rsidRPr="0032590D">
        <w:t>linguistically</w:t>
      </w:r>
      <w:r w:rsidR="000E3DCC" w:rsidRPr="0032590D">
        <w:t xml:space="preserve"> diverse communities </w:t>
      </w:r>
      <w:r w:rsidR="00F7437D" w:rsidRPr="0032590D">
        <w:t xml:space="preserve">where </w:t>
      </w:r>
      <w:r w:rsidR="000E3DCC" w:rsidRPr="0032590D">
        <w:t>cash can serve as a</w:t>
      </w:r>
      <w:r w:rsidR="00A01769" w:rsidRPr="0032590D">
        <w:t xml:space="preserve"> more preferrable</w:t>
      </w:r>
      <w:r w:rsidR="00974ED2" w:rsidRPr="0032590D">
        <w:t xml:space="preserve"> option to</w:t>
      </w:r>
      <w:r w:rsidR="00C004E7" w:rsidRPr="0032590D">
        <w:t xml:space="preserve"> electronic methods. </w:t>
      </w:r>
      <w:r w:rsidR="00690783" w:rsidRPr="0032590D">
        <w:t>As of 30 June 2023</w:t>
      </w:r>
      <w:r w:rsidR="00C21CE3" w:rsidRPr="0032590D">
        <w:t>,</w:t>
      </w:r>
      <w:r w:rsidR="00690783" w:rsidRPr="0032590D">
        <w:t xml:space="preserve"> it was estimated </w:t>
      </w:r>
      <w:r w:rsidR="00D7787B" w:rsidRPr="0032590D">
        <w:t xml:space="preserve">that </w:t>
      </w:r>
      <w:r w:rsidR="00C04E19" w:rsidRPr="0032590D">
        <w:t>of th</w:t>
      </w:r>
      <w:r w:rsidR="002F6B4D" w:rsidRPr="0032590D">
        <w:t>e estimated resident population of 26.6 million</w:t>
      </w:r>
      <w:r w:rsidR="00D6574E" w:rsidRPr="0032590D">
        <w:t xml:space="preserve">, </w:t>
      </w:r>
      <w:r w:rsidR="00D7787B" w:rsidRPr="0032590D">
        <w:t>8.2 million people were born ov</w:t>
      </w:r>
      <w:r w:rsidR="008B0AB2" w:rsidRPr="0032590D">
        <w:t>erseas</w:t>
      </w:r>
      <w:r w:rsidR="003E083C" w:rsidRPr="0032590D">
        <w:t>.</w:t>
      </w:r>
      <w:r w:rsidR="00D6574E" w:rsidRPr="0032590D">
        <w:rPr>
          <w:rStyle w:val="FootnoteReference"/>
          <w:rFonts w:asciiTheme="minorHAnsi" w:hAnsiTheme="minorHAnsi" w:cstheme="minorHAnsi"/>
        </w:rPr>
        <w:footnoteReference w:id="29"/>
      </w:r>
      <w:r w:rsidR="003E083C" w:rsidRPr="0032590D">
        <w:t xml:space="preserve"> </w:t>
      </w:r>
      <w:r w:rsidR="00C004E7" w:rsidRPr="0032590D">
        <w:t xml:space="preserve">Some </w:t>
      </w:r>
      <w:r w:rsidR="00321EB5" w:rsidRPr="0032590D">
        <w:t xml:space="preserve">migrants have experienced war or </w:t>
      </w:r>
      <w:r w:rsidR="00FF21B8" w:rsidRPr="0032590D">
        <w:t xml:space="preserve">authoritarian regimes </w:t>
      </w:r>
      <w:r w:rsidR="007C3665" w:rsidRPr="0032590D">
        <w:t xml:space="preserve">in their countries of origin and this </w:t>
      </w:r>
      <w:r w:rsidR="00942C8A" w:rsidRPr="0032590D">
        <w:t xml:space="preserve">can impact levels of trust in </w:t>
      </w:r>
      <w:r w:rsidR="007D7B51" w:rsidRPr="0032590D">
        <w:t>electronic payment</w:t>
      </w:r>
      <w:r w:rsidR="00917E65" w:rsidRPr="0032590D">
        <w:t>s</w:t>
      </w:r>
      <w:r w:rsidR="00D90CBB" w:rsidRPr="0032590D">
        <w:t xml:space="preserve"> or financial institutions.</w:t>
      </w:r>
      <w:r w:rsidR="00C004E7" w:rsidRPr="0032590D">
        <w:t xml:space="preserve"> </w:t>
      </w:r>
      <w:r w:rsidR="00977B96" w:rsidRPr="0032590D">
        <w:t xml:space="preserve"> Furthermore, cash is also relied upon by survivors of domestic violence to save money in cases of financial abuse, which disproportionately affects women</w:t>
      </w:r>
      <w:r w:rsidR="00761581" w:rsidRPr="0032590D">
        <w:t xml:space="preserve"> and First Nations people</w:t>
      </w:r>
      <w:r w:rsidR="00977B96" w:rsidRPr="0032590D">
        <w:t xml:space="preserve">. A cash acceptance </w:t>
      </w:r>
      <w:r w:rsidR="00F2448C" w:rsidRPr="0032590D">
        <w:rPr>
          <w:noProof/>
        </w:rPr>
        <mc:AlternateContent>
          <mc:Choice Requires="wps">
            <w:drawing>
              <wp:anchor distT="0" distB="0" distL="114300" distR="114300" simplePos="0" relativeHeight="251657728" behindDoc="0" locked="0" layoutInCell="1" allowOverlap="1" wp14:anchorId="05CE3EBA" wp14:editId="6F6C856B">
                <wp:simplePos x="0" y="0"/>
                <wp:positionH relativeFrom="margin">
                  <wp:align>left</wp:align>
                </wp:positionH>
                <wp:positionV relativeFrom="paragraph">
                  <wp:posOffset>1025948</wp:posOffset>
                </wp:positionV>
                <wp:extent cx="5610225" cy="1457325"/>
                <wp:effectExtent l="0" t="0" r="9525" b="9525"/>
                <wp:wrapTopAndBottom/>
                <wp:docPr id="1422864125" name="Text Box 1"/>
                <wp:cNvGraphicFramePr/>
                <a:graphic xmlns:a="http://schemas.openxmlformats.org/drawingml/2006/main">
                  <a:graphicData uri="http://schemas.microsoft.com/office/word/2010/wordprocessingShape">
                    <wps:wsp>
                      <wps:cNvSpPr txBox="1"/>
                      <wps:spPr>
                        <a:xfrm>
                          <a:off x="0" y="0"/>
                          <a:ext cx="5610225" cy="1457325"/>
                        </a:xfrm>
                        <a:prstGeom prst="rect">
                          <a:avLst/>
                        </a:prstGeom>
                        <a:solidFill>
                          <a:schemeClr val="accent5">
                            <a:lumMod val="20000"/>
                            <a:lumOff val="80000"/>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5075A7EB" w14:textId="1EC695C6" w:rsidR="004E0DA2" w:rsidRDefault="004E0DA2" w:rsidP="004E0DA2">
                            <w:pPr>
                              <w:pStyle w:val="BoxHeading"/>
                            </w:pPr>
                            <w:r>
                              <w:t>Box 2.3: Lorna</w:t>
                            </w:r>
                          </w:p>
                          <w:p w14:paraId="18C1B663" w14:textId="70447B8B" w:rsidR="004E66E6" w:rsidRPr="00636D01" w:rsidRDefault="00173B8C" w:rsidP="00190311">
                            <w:pPr>
                              <w:rPr>
                                <w:rFonts w:cs="Calibri Light"/>
                                <w:color w:val="000000" w:themeColor="text1"/>
                              </w:rPr>
                            </w:pPr>
                            <w:r w:rsidRPr="00636D01">
                              <w:rPr>
                                <w:rFonts w:cs="Calibri Light"/>
                                <w:color w:val="000000" w:themeColor="text1"/>
                              </w:rPr>
                              <w:t xml:space="preserve">Lorna has a </w:t>
                            </w:r>
                            <w:r w:rsidR="00F73ABA" w:rsidRPr="00636D01">
                              <w:rPr>
                                <w:rFonts w:cs="Calibri Light"/>
                                <w:color w:val="000000" w:themeColor="text1"/>
                              </w:rPr>
                              <w:t>visual</w:t>
                            </w:r>
                            <w:r w:rsidR="00AD0367" w:rsidRPr="00636D01">
                              <w:rPr>
                                <w:rFonts w:cs="Calibri Light"/>
                                <w:color w:val="000000" w:themeColor="text1"/>
                              </w:rPr>
                              <w:t xml:space="preserve"> and mobility</w:t>
                            </w:r>
                            <w:r w:rsidR="00F73ABA" w:rsidRPr="00636D01">
                              <w:rPr>
                                <w:rFonts w:cs="Calibri Light"/>
                                <w:color w:val="000000" w:themeColor="text1"/>
                              </w:rPr>
                              <w:t xml:space="preserve"> impairment</w:t>
                            </w:r>
                            <w:r w:rsidR="00AD0367" w:rsidRPr="00636D01">
                              <w:rPr>
                                <w:rFonts w:cs="Calibri Light"/>
                                <w:color w:val="000000" w:themeColor="text1"/>
                              </w:rPr>
                              <w:t xml:space="preserve">. </w:t>
                            </w:r>
                            <w:r w:rsidR="00D32607" w:rsidRPr="00636D01">
                              <w:rPr>
                                <w:rFonts w:cs="Calibri Light"/>
                                <w:color w:val="000000" w:themeColor="text1"/>
                              </w:rPr>
                              <w:t xml:space="preserve">Lorna has a support worker that comes over a few times a week </w:t>
                            </w:r>
                            <w:r w:rsidR="00DD7912" w:rsidRPr="00636D01">
                              <w:rPr>
                                <w:rFonts w:cs="Calibri Light"/>
                                <w:color w:val="000000" w:themeColor="text1"/>
                              </w:rPr>
                              <w:t>to assist with household tasks. Lorna</w:t>
                            </w:r>
                            <w:r w:rsidR="00F41410" w:rsidRPr="00636D01">
                              <w:rPr>
                                <w:rFonts w:cs="Calibri Light"/>
                                <w:color w:val="000000" w:themeColor="text1"/>
                              </w:rPr>
                              <w:t xml:space="preserve"> takes out</w:t>
                            </w:r>
                            <w:r w:rsidR="007127A5" w:rsidRPr="00636D01">
                              <w:rPr>
                                <w:rFonts w:cs="Calibri Light"/>
                                <w:color w:val="000000" w:themeColor="text1"/>
                              </w:rPr>
                              <w:t xml:space="preserve"> </w:t>
                            </w:r>
                            <w:r w:rsidR="008C535B" w:rsidRPr="00636D01">
                              <w:rPr>
                                <w:rFonts w:cs="Calibri Light"/>
                                <w:color w:val="000000" w:themeColor="text1"/>
                              </w:rPr>
                              <w:t xml:space="preserve">cash in advance </w:t>
                            </w:r>
                            <w:r w:rsidR="008C74C3" w:rsidRPr="00636D01">
                              <w:rPr>
                                <w:rFonts w:cs="Calibri Light"/>
                                <w:color w:val="000000" w:themeColor="text1"/>
                              </w:rPr>
                              <w:t xml:space="preserve">to pay </w:t>
                            </w:r>
                            <w:r w:rsidR="00B4343E" w:rsidRPr="00636D01">
                              <w:rPr>
                                <w:rFonts w:cs="Calibri Light"/>
                                <w:color w:val="000000" w:themeColor="text1"/>
                              </w:rPr>
                              <w:t>for the support workers services</w:t>
                            </w:r>
                            <w:r w:rsidR="00EF1EF6" w:rsidRPr="00636D01">
                              <w:rPr>
                                <w:rFonts w:cs="Calibri Light"/>
                                <w:color w:val="000000" w:themeColor="text1"/>
                              </w:rPr>
                              <w:t xml:space="preserve"> </w:t>
                            </w:r>
                            <w:r w:rsidR="00F7437D" w:rsidRPr="00636D01">
                              <w:rPr>
                                <w:rFonts w:cs="Calibri Light"/>
                                <w:color w:val="000000" w:themeColor="text1"/>
                              </w:rPr>
                              <w:t xml:space="preserve">and </w:t>
                            </w:r>
                            <w:r w:rsidR="00EF1EF6" w:rsidRPr="00636D01">
                              <w:rPr>
                                <w:rFonts w:cs="Calibri Light"/>
                                <w:color w:val="000000" w:themeColor="text1"/>
                              </w:rPr>
                              <w:t>does not feel comfortable with online payments</w:t>
                            </w:r>
                            <w:r w:rsidR="006A77FD" w:rsidRPr="00636D01">
                              <w:rPr>
                                <w:rFonts w:cs="Calibri Light"/>
                                <w:color w:val="000000" w:themeColor="text1"/>
                              </w:rPr>
                              <w:t xml:space="preserve">. </w:t>
                            </w:r>
                            <w:r w:rsidR="005946A9" w:rsidRPr="00636D01">
                              <w:rPr>
                                <w:rFonts w:cs="Calibri Light"/>
                                <w:color w:val="000000" w:themeColor="text1"/>
                              </w:rPr>
                              <w:t xml:space="preserve">Some websites are not digitally accessible </w:t>
                            </w:r>
                            <w:r w:rsidR="000C5474" w:rsidRPr="00636D01">
                              <w:rPr>
                                <w:rFonts w:cs="Calibri Light"/>
                                <w:color w:val="000000" w:themeColor="text1"/>
                              </w:rPr>
                              <w:t>and</w:t>
                            </w:r>
                            <w:r w:rsidR="00CD08D9" w:rsidRPr="00636D01">
                              <w:rPr>
                                <w:rFonts w:cs="Calibri Light"/>
                                <w:color w:val="000000" w:themeColor="text1"/>
                              </w:rPr>
                              <w:t xml:space="preserve"> </w:t>
                            </w:r>
                            <w:r w:rsidR="00BA5A54" w:rsidRPr="00636D01">
                              <w:rPr>
                                <w:rFonts w:cs="Calibri Light"/>
                                <w:color w:val="000000" w:themeColor="text1"/>
                              </w:rPr>
                              <w:t>point</w:t>
                            </w:r>
                            <w:r w:rsidR="005946A9" w:rsidRPr="00636D01">
                              <w:rPr>
                                <w:rFonts w:cs="Calibri Light"/>
                                <w:color w:val="000000" w:themeColor="text1"/>
                              </w:rPr>
                              <w:t>-</w:t>
                            </w:r>
                            <w:r w:rsidR="00BA5A54" w:rsidRPr="00636D01">
                              <w:rPr>
                                <w:rFonts w:cs="Calibri Light"/>
                                <w:color w:val="000000" w:themeColor="text1"/>
                              </w:rPr>
                              <w:t>of</w:t>
                            </w:r>
                            <w:r w:rsidR="005946A9" w:rsidRPr="00636D01">
                              <w:rPr>
                                <w:rFonts w:cs="Calibri Light"/>
                                <w:color w:val="000000" w:themeColor="text1"/>
                              </w:rPr>
                              <w:t>-</w:t>
                            </w:r>
                            <w:r w:rsidR="00BA5A54" w:rsidRPr="00636D01">
                              <w:rPr>
                                <w:rFonts w:cs="Calibri Light"/>
                                <w:color w:val="000000" w:themeColor="text1"/>
                              </w:rPr>
                              <w:t xml:space="preserve">sale systems </w:t>
                            </w:r>
                            <w:r w:rsidR="000C5474" w:rsidRPr="00636D01">
                              <w:rPr>
                                <w:rFonts w:cs="Calibri Light"/>
                                <w:color w:val="000000" w:themeColor="text1"/>
                              </w:rPr>
                              <w:t xml:space="preserve">can be </w:t>
                            </w:r>
                            <w:r w:rsidR="00BA5A54" w:rsidRPr="00636D01">
                              <w:rPr>
                                <w:rFonts w:cs="Calibri Light"/>
                                <w:color w:val="000000" w:themeColor="text1"/>
                              </w:rPr>
                              <w:t xml:space="preserve">hard to see. A cash </w:t>
                            </w:r>
                            <w:r w:rsidR="005946A9" w:rsidRPr="00636D01">
                              <w:rPr>
                                <w:rFonts w:cs="Calibri Light"/>
                                <w:color w:val="000000" w:themeColor="text1"/>
                              </w:rPr>
                              <w:t>acceptance</w:t>
                            </w:r>
                            <w:r w:rsidR="00BA5A54" w:rsidRPr="00636D01">
                              <w:rPr>
                                <w:rFonts w:cs="Calibri Light"/>
                                <w:color w:val="000000" w:themeColor="text1"/>
                              </w:rPr>
                              <w:t xml:space="preserve"> mandate would ensure Lorna is able to continue to pay cash for </w:t>
                            </w:r>
                            <w:r w:rsidR="00AB281E" w:rsidRPr="00636D01">
                              <w:rPr>
                                <w:rFonts w:cs="Calibri Light"/>
                                <w:color w:val="000000" w:themeColor="text1"/>
                              </w:rPr>
                              <w:t>essential goods and ser</w:t>
                            </w:r>
                            <w:r w:rsidR="00BA5A54" w:rsidRPr="00636D01">
                              <w:rPr>
                                <w:rFonts w:cs="Calibri Light"/>
                                <w:color w:val="000000" w:themeColor="text1"/>
                              </w:rPr>
                              <w:t>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CE3EBA" id="_x0000_s1028" type="#_x0000_t202" style="position:absolute;margin-left:0;margin-top:80.8pt;width:441.75pt;height:114.75pt;z-index:2516577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" fillcolor="#e8f0fc [664]" stroked="f">
                <v:fill opacity="32896f"/>
                <v:textbox>
                  <w:txbxContent>
                    <w:p w14:paraId="5075A7EB" w14:textId="1EC695C6" w:rsidR="004E0DA2" w:rsidRDefault="004E0DA2" w:rsidP="004E0DA2">
                      <w:pPr>
                        <w:pStyle w:val="BoxHeading"/>
                      </w:pPr>
                      <w:r>
                        <w:t>Box 2.3: Lorna</w:t>
                      </w:r>
                    </w:p>
                    <w:p w14:paraId="18C1B663" w14:textId="70447B8B" w:rsidR="004E66E6" w:rsidRPr="00636D01" w:rsidRDefault="00173B8C" w:rsidP="00190311">
                      <w:pPr>
                        <w:rPr>
                          <w:rFonts w:cs="Calibri Light"/>
                          <w:color w:val="000000" w:themeColor="text1"/>
                        </w:rPr>
                      </w:pPr>
                      <w:r w:rsidRPr="00636D01">
                        <w:rPr>
                          <w:rFonts w:cs="Calibri Light"/>
                          <w:color w:val="000000" w:themeColor="text1"/>
                        </w:rPr>
                        <w:t xml:space="preserve">Lorna has a </w:t>
                      </w:r>
                      <w:r w:rsidR="00F73ABA" w:rsidRPr="00636D01">
                        <w:rPr>
                          <w:rFonts w:cs="Calibri Light"/>
                          <w:color w:val="000000" w:themeColor="text1"/>
                        </w:rPr>
                        <w:t>visual</w:t>
                      </w:r>
                      <w:r w:rsidR="00AD0367" w:rsidRPr="00636D01">
                        <w:rPr>
                          <w:rFonts w:cs="Calibri Light"/>
                          <w:color w:val="000000" w:themeColor="text1"/>
                        </w:rPr>
                        <w:t xml:space="preserve"> and mobility</w:t>
                      </w:r>
                      <w:r w:rsidR="00F73ABA" w:rsidRPr="00636D01">
                        <w:rPr>
                          <w:rFonts w:cs="Calibri Light"/>
                          <w:color w:val="000000" w:themeColor="text1"/>
                        </w:rPr>
                        <w:t xml:space="preserve"> impairment</w:t>
                      </w:r>
                      <w:r w:rsidR="00AD0367" w:rsidRPr="00636D01">
                        <w:rPr>
                          <w:rFonts w:cs="Calibri Light"/>
                          <w:color w:val="000000" w:themeColor="text1"/>
                        </w:rPr>
                        <w:t xml:space="preserve">. </w:t>
                      </w:r>
                      <w:r w:rsidR="00D32607" w:rsidRPr="00636D01">
                        <w:rPr>
                          <w:rFonts w:cs="Calibri Light"/>
                          <w:color w:val="000000" w:themeColor="text1"/>
                        </w:rPr>
                        <w:t xml:space="preserve">Lorna has a support worker that comes over a few times a week </w:t>
                      </w:r>
                      <w:r w:rsidR="00DD7912" w:rsidRPr="00636D01">
                        <w:rPr>
                          <w:rFonts w:cs="Calibri Light"/>
                          <w:color w:val="000000" w:themeColor="text1"/>
                        </w:rPr>
                        <w:t>to assist with household tasks. Lorna</w:t>
                      </w:r>
                      <w:r w:rsidR="00F41410" w:rsidRPr="00636D01">
                        <w:rPr>
                          <w:rFonts w:cs="Calibri Light"/>
                          <w:color w:val="000000" w:themeColor="text1"/>
                        </w:rPr>
                        <w:t xml:space="preserve"> takes out</w:t>
                      </w:r>
                      <w:r w:rsidR="007127A5" w:rsidRPr="00636D01">
                        <w:rPr>
                          <w:rFonts w:cs="Calibri Light"/>
                          <w:color w:val="000000" w:themeColor="text1"/>
                        </w:rPr>
                        <w:t xml:space="preserve"> </w:t>
                      </w:r>
                      <w:r w:rsidR="008C535B" w:rsidRPr="00636D01">
                        <w:rPr>
                          <w:rFonts w:cs="Calibri Light"/>
                          <w:color w:val="000000" w:themeColor="text1"/>
                        </w:rPr>
                        <w:t xml:space="preserve">cash in advance </w:t>
                      </w:r>
                      <w:r w:rsidR="008C74C3" w:rsidRPr="00636D01">
                        <w:rPr>
                          <w:rFonts w:cs="Calibri Light"/>
                          <w:color w:val="000000" w:themeColor="text1"/>
                        </w:rPr>
                        <w:t xml:space="preserve">to pay </w:t>
                      </w:r>
                      <w:r w:rsidR="00B4343E" w:rsidRPr="00636D01">
                        <w:rPr>
                          <w:rFonts w:cs="Calibri Light"/>
                          <w:color w:val="000000" w:themeColor="text1"/>
                        </w:rPr>
                        <w:t>for the support workers services</w:t>
                      </w:r>
                      <w:r w:rsidR="00EF1EF6" w:rsidRPr="00636D01">
                        <w:rPr>
                          <w:rFonts w:cs="Calibri Light"/>
                          <w:color w:val="000000" w:themeColor="text1"/>
                        </w:rPr>
                        <w:t xml:space="preserve"> </w:t>
                      </w:r>
                      <w:r w:rsidR="00F7437D" w:rsidRPr="00636D01">
                        <w:rPr>
                          <w:rFonts w:cs="Calibri Light"/>
                          <w:color w:val="000000" w:themeColor="text1"/>
                        </w:rPr>
                        <w:t xml:space="preserve">and </w:t>
                      </w:r>
                      <w:r w:rsidR="00EF1EF6" w:rsidRPr="00636D01">
                        <w:rPr>
                          <w:rFonts w:cs="Calibri Light"/>
                          <w:color w:val="000000" w:themeColor="text1"/>
                        </w:rPr>
                        <w:t>does not feel comfortable with online payments</w:t>
                      </w:r>
                      <w:r w:rsidR="006A77FD" w:rsidRPr="00636D01">
                        <w:rPr>
                          <w:rFonts w:cs="Calibri Light"/>
                          <w:color w:val="000000" w:themeColor="text1"/>
                        </w:rPr>
                        <w:t xml:space="preserve">. </w:t>
                      </w:r>
                      <w:r w:rsidR="005946A9" w:rsidRPr="00636D01">
                        <w:rPr>
                          <w:rFonts w:cs="Calibri Light"/>
                          <w:color w:val="000000" w:themeColor="text1"/>
                        </w:rPr>
                        <w:t xml:space="preserve">Some websites are not digitally accessible </w:t>
                      </w:r>
                      <w:r w:rsidR="000C5474" w:rsidRPr="00636D01">
                        <w:rPr>
                          <w:rFonts w:cs="Calibri Light"/>
                          <w:color w:val="000000" w:themeColor="text1"/>
                        </w:rPr>
                        <w:t>and</w:t>
                      </w:r>
                      <w:r w:rsidR="00CD08D9" w:rsidRPr="00636D01">
                        <w:rPr>
                          <w:rFonts w:cs="Calibri Light"/>
                          <w:color w:val="000000" w:themeColor="text1"/>
                        </w:rPr>
                        <w:t xml:space="preserve"> </w:t>
                      </w:r>
                      <w:r w:rsidR="00BA5A54" w:rsidRPr="00636D01">
                        <w:rPr>
                          <w:rFonts w:cs="Calibri Light"/>
                          <w:color w:val="000000" w:themeColor="text1"/>
                        </w:rPr>
                        <w:t>point</w:t>
                      </w:r>
                      <w:r w:rsidR="005946A9" w:rsidRPr="00636D01">
                        <w:rPr>
                          <w:rFonts w:cs="Calibri Light"/>
                          <w:color w:val="000000" w:themeColor="text1"/>
                        </w:rPr>
                        <w:t>-</w:t>
                      </w:r>
                      <w:r w:rsidR="00BA5A54" w:rsidRPr="00636D01">
                        <w:rPr>
                          <w:rFonts w:cs="Calibri Light"/>
                          <w:color w:val="000000" w:themeColor="text1"/>
                        </w:rPr>
                        <w:t>of</w:t>
                      </w:r>
                      <w:r w:rsidR="005946A9" w:rsidRPr="00636D01">
                        <w:rPr>
                          <w:rFonts w:cs="Calibri Light"/>
                          <w:color w:val="000000" w:themeColor="text1"/>
                        </w:rPr>
                        <w:t>-</w:t>
                      </w:r>
                      <w:r w:rsidR="00BA5A54" w:rsidRPr="00636D01">
                        <w:rPr>
                          <w:rFonts w:cs="Calibri Light"/>
                          <w:color w:val="000000" w:themeColor="text1"/>
                        </w:rPr>
                        <w:t xml:space="preserve">sale systems </w:t>
                      </w:r>
                      <w:r w:rsidR="000C5474" w:rsidRPr="00636D01">
                        <w:rPr>
                          <w:rFonts w:cs="Calibri Light"/>
                          <w:color w:val="000000" w:themeColor="text1"/>
                        </w:rPr>
                        <w:t xml:space="preserve">can be </w:t>
                      </w:r>
                      <w:r w:rsidR="00BA5A54" w:rsidRPr="00636D01">
                        <w:rPr>
                          <w:rFonts w:cs="Calibri Light"/>
                          <w:color w:val="000000" w:themeColor="text1"/>
                        </w:rPr>
                        <w:t xml:space="preserve">hard to see. A cash </w:t>
                      </w:r>
                      <w:r w:rsidR="005946A9" w:rsidRPr="00636D01">
                        <w:rPr>
                          <w:rFonts w:cs="Calibri Light"/>
                          <w:color w:val="000000" w:themeColor="text1"/>
                        </w:rPr>
                        <w:t>acceptance</w:t>
                      </w:r>
                      <w:r w:rsidR="00BA5A54" w:rsidRPr="00636D01">
                        <w:rPr>
                          <w:rFonts w:cs="Calibri Light"/>
                          <w:color w:val="000000" w:themeColor="text1"/>
                        </w:rPr>
                        <w:t xml:space="preserve"> mandate would ensure Lorna is able to continue to pay cash for </w:t>
                      </w:r>
                      <w:r w:rsidR="00AB281E" w:rsidRPr="00636D01">
                        <w:rPr>
                          <w:rFonts w:cs="Calibri Light"/>
                          <w:color w:val="000000" w:themeColor="text1"/>
                        </w:rPr>
                        <w:t>essential goods and ser</w:t>
                      </w:r>
                      <w:r w:rsidR="00BA5A54" w:rsidRPr="00636D01">
                        <w:rPr>
                          <w:rFonts w:cs="Calibri Light"/>
                          <w:color w:val="000000" w:themeColor="text1"/>
                        </w:rPr>
                        <w:t>vices.</w:t>
                      </w:r>
                    </w:p>
                  </w:txbxContent>
                </v:textbox>
                <w10:wrap type="topAndBottom" anchorx="margin"/>
              </v:shape>
            </w:pict>
          </mc:Fallback>
        </mc:AlternateContent>
      </w:r>
      <w:r w:rsidR="00977B96" w:rsidRPr="0032590D">
        <w:t xml:space="preserve">mandate would ensure cash can still be widely used to support </w:t>
      </w:r>
      <w:r w:rsidR="00761581" w:rsidRPr="0032590D">
        <w:t xml:space="preserve">people </w:t>
      </w:r>
      <w:r w:rsidR="00977B96" w:rsidRPr="0032590D">
        <w:t>escaping domestic abuse.</w:t>
      </w:r>
    </w:p>
    <w:p w14:paraId="3F92A9EB" w14:textId="06648F37" w:rsidR="00503553" w:rsidRPr="0032590D" w:rsidRDefault="00503553" w:rsidP="002806B1">
      <w:pPr>
        <w:pStyle w:val="Heading2"/>
      </w:pPr>
      <w:bookmarkStart w:id="44" w:name="_Toc181026647"/>
      <w:bookmarkStart w:id="45" w:name="_Toc181278100"/>
      <w:bookmarkStart w:id="46" w:name="_Toc183137383"/>
      <w:r w:rsidRPr="0032590D">
        <w:t>Budgeting</w:t>
      </w:r>
      <w:bookmarkEnd w:id="44"/>
      <w:bookmarkEnd w:id="45"/>
      <w:bookmarkEnd w:id="46"/>
    </w:p>
    <w:p w14:paraId="62630EF2" w14:textId="6C50278E" w:rsidR="007868E2" w:rsidRPr="0032590D" w:rsidRDefault="00783780" w:rsidP="00966FE3">
      <w:r w:rsidRPr="0032590D">
        <w:rPr>
          <w:noProof/>
        </w:rPr>
        <mc:AlternateContent>
          <mc:Choice Requires="wps">
            <w:drawing>
              <wp:anchor distT="0" distB="0" distL="114300" distR="114300" simplePos="0" relativeHeight="251658752" behindDoc="0" locked="0" layoutInCell="1" allowOverlap="1" wp14:anchorId="27783709" wp14:editId="64F57573">
                <wp:simplePos x="0" y="0"/>
                <wp:positionH relativeFrom="margin">
                  <wp:align>left</wp:align>
                </wp:positionH>
                <wp:positionV relativeFrom="paragraph">
                  <wp:posOffset>1480765</wp:posOffset>
                </wp:positionV>
                <wp:extent cx="5713730" cy="1606550"/>
                <wp:effectExtent l="0" t="0" r="1270" b="0"/>
                <wp:wrapTopAndBottom/>
                <wp:docPr id="1918927442" name="Text Box 1"/>
                <wp:cNvGraphicFramePr/>
                <a:graphic xmlns:a="http://schemas.openxmlformats.org/drawingml/2006/main">
                  <a:graphicData uri="http://schemas.microsoft.com/office/word/2010/wordprocessingShape">
                    <wps:wsp>
                      <wps:cNvSpPr txBox="1"/>
                      <wps:spPr>
                        <a:xfrm>
                          <a:off x="0" y="0"/>
                          <a:ext cx="5713730" cy="1606550"/>
                        </a:xfrm>
                        <a:prstGeom prst="rect">
                          <a:avLst/>
                        </a:prstGeom>
                        <a:solidFill>
                          <a:schemeClr val="accent5">
                            <a:lumMod val="20000"/>
                            <a:lumOff val="80000"/>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5397DF36" w14:textId="4683B64B" w:rsidR="00F83A73" w:rsidRDefault="00F83A73" w:rsidP="00D47EDD">
                            <w:pPr>
                              <w:pStyle w:val="BoxHeading"/>
                            </w:pPr>
                            <w:r>
                              <w:t xml:space="preserve">Box 2: </w:t>
                            </w:r>
                            <w:r w:rsidR="00D47EDD">
                              <w:t>Paul</w:t>
                            </w:r>
                          </w:p>
                          <w:p w14:paraId="2724DDA2" w14:textId="08AAC604" w:rsidR="009D0D6D" w:rsidRPr="00C05B8F" w:rsidRDefault="009D0D6D" w:rsidP="009D0D6D">
                            <w:pPr>
                              <w:rPr>
                                <w:rFonts w:cs="Calibri Light"/>
                                <w:color w:val="000000" w:themeColor="text1"/>
                              </w:rPr>
                            </w:pPr>
                            <w:r w:rsidRPr="00C05B8F">
                              <w:rPr>
                                <w:rFonts w:cs="Calibri Light"/>
                                <w:color w:val="000000" w:themeColor="text1"/>
                              </w:rPr>
                              <w:t xml:space="preserve">Paul </w:t>
                            </w:r>
                            <w:r w:rsidR="00EF2B84">
                              <w:rPr>
                                <w:rFonts w:cs="Calibri Light"/>
                                <w:color w:val="000000" w:themeColor="text1"/>
                              </w:rPr>
                              <w:t>is 24 and</w:t>
                            </w:r>
                            <w:r w:rsidRPr="00C05B8F">
                              <w:rPr>
                                <w:rFonts w:cs="Calibri Light"/>
                                <w:color w:val="000000" w:themeColor="text1"/>
                              </w:rPr>
                              <w:t xml:space="preserve"> takes out $300 a week in cash to assist as a </w:t>
                            </w:r>
                            <w:r w:rsidR="000A14D9" w:rsidRPr="00C05B8F">
                              <w:rPr>
                                <w:rFonts w:cs="Calibri Light"/>
                                <w:color w:val="000000" w:themeColor="text1"/>
                              </w:rPr>
                              <w:t>budgeting</w:t>
                            </w:r>
                            <w:r w:rsidRPr="00C05B8F">
                              <w:rPr>
                                <w:rFonts w:cs="Calibri Light"/>
                                <w:color w:val="000000" w:themeColor="text1"/>
                              </w:rPr>
                              <w:t xml:space="preserve"> tool</w:t>
                            </w:r>
                            <w:r w:rsidR="00E445E4" w:rsidRPr="00C05B8F">
                              <w:rPr>
                                <w:rFonts w:cs="Calibri Light"/>
                                <w:color w:val="000000" w:themeColor="text1"/>
                              </w:rPr>
                              <w:t xml:space="preserve">. The $300 a week is to cover </w:t>
                            </w:r>
                            <w:r w:rsidR="00742A76" w:rsidRPr="00C05B8F">
                              <w:rPr>
                                <w:rFonts w:cs="Calibri Light"/>
                                <w:color w:val="000000" w:themeColor="text1"/>
                              </w:rPr>
                              <w:t>his day</w:t>
                            </w:r>
                            <w:r w:rsidR="00642BB7" w:rsidRPr="00C05B8F">
                              <w:rPr>
                                <w:rFonts w:cs="Calibri Light"/>
                                <w:color w:val="000000" w:themeColor="text1"/>
                              </w:rPr>
                              <w:t>-</w:t>
                            </w:r>
                            <w:r w:rsidR="00742A76" w:rsidRPr="00C05B8F">
                              <w:rPr>
                                <w:rFonts w:cs="Calibri Light"/>
                                <w:color w:val="000000" w:themeColor="text1"/>
                              </w:rPr>
                              <w:t>to</w:t>
                            </w:r>
                            <w:r w:rsidR="00642BB7" w:rsidRPr="00C05B8F">
                              <w:rPr>
                                <w:rFonts w:cs="Calibri Light"/>
                                <w:color w:val="000000" w:themeColor="text1"/>
                              </w:rPr>
                              <w:t>-</w:t>
                            </w:r>
                            <w:r w:rsidR="00742A76" w:rsidRPr="00C05B8F">
                              <w:rPr>
                                <w:rFonts w:cs="Calibri Light"/>
                                <w:color w:val="000000" w:themeColor="text1"/>
                              </w:rPr>
                              <w:t xml:space="preserve">day </w:t>
                            </w:r>
                            <w:r w:rsidR="00830144" w:rsidRPr="00C05B8F">
                              <w:rPr>
                                <w:rFonts w:cs="Calibri Light"/>
                                <w:color w:val="000000" w:themeColor="text1"/>
                              </w:rPr>
                              <w:t xml:space="preserve">expenses such as food, transport, </w:t>
                            </w:r>
                            <w:r w:rsidR="00790D4C" w:rsidRPr="00C05B8F">
                              <w:rPr>
                                <w:rFonts w:cs="Calibri Light"/>
                                <w:color w:val="000000" w:themeColor="text1"/>
                              </w:rPr>
                              <w:t>social outings</w:t>
                            </w:r>
                            <w:r w:rsidR="00C4479B" w:rsidRPr="00C05B8F">
                              <w:rPr>
                                <w:rFonts w:cs="Calibri Light"/>
                                <w:color w:val="000000" w:themeColor="text1"/>
                              </w:rPr>
                              <w:t>,</w:t>
                            </w:r>
                            <w:r w:rsidR="00790D4C" w:rsidRPr="00C05B8F">
                              <w:rPr>
                                <w:rFonts w:cs="Calibri Light"/>
                                <w:color w:val="000000" w:themeColor="text1"/>
                              </w:rPr>
                              <w:t xml:space="preserve"> </w:t>
                            </w:r>
                            <w:r w:rsidR="00642BB7" w:rsidRPr="00C05B8F">
                              <w:rPr>
                                <w:rFonts w:cs="Calibri Light"/>
                                <w:color w:val="000000" w:themeColor="text1"/>
                              </w:rPr>
                              <w:t xml:space="preserve">among other expenses. </w:t>
                            </w:r>
                            <w:r w:rsidR="004A4F08" w:rsidRPr="00C05B8F">
                              <w:rPr>
                                <w:rFonts w:cs="Calibri Light"/>
                                <w:color w:val="000000" w:themeColor="text1"/>
                              </w:rPr>
                              <w:t>Paul</w:t>
                            </w:r>
                            <w:r w:rsidR="00B774C5" w:rsidRPr="00C05B8F">
                              <w:rPr>
                                <w:rFonts w:cs="Calibri Light"/>
                                <w:color w:val="000000" w:themeColor="text1"/>
                              </w:rPr>
                              <w:t xml:space="preserve">’s </w:t>
                            </w:r>
                            <w:r w:rsidR="00AB396C" w:rsidRPr="00C05B8F">
                              <w:rPr>
                                <w:rFonts w:cs="Calibri Light"/>
                                <w:color w:val="000000" w:themeColor="text1"/>
                              </w:rPr>
                              <w:t xml:space="preserve">ability to rely on </w:t>
                            </w:r>
                            <w:r w:rsidR="00B774C5" w:rsidRPr="00C05B8F">
                              <w:rPr>
                                <w:rFonts w:cs="Calibri Light"/>
                                <w:color w:val="000000" w:themeColor="text1"/>
                              </w:rPr>
                              <w:t xml:space="preserve">banknotes allows for him to </w:t>
                            </w:r>
                            <w:r w:rsidR="007F5E0E" w:rsidRPr="00C05B8F">
                              <w:rPr>
                                <w:rFonts w:cs="Calibri Light"/>
                                <w:color w:val="000000" w:themeColor="text1"/>
                              </w:rPr>
                              <w:t>see where his money is being spent and how much he has left.</w:t>
                            </w:r>
                            <w:r w:rsidR="00B774C5" w:rsidRPr="00C05B8F">
                              <w:rPr>
                                <w:rFonts w:cs="Calibri Light"/>
                                <w:color w:val="000000" w:themeColor="text1"/>
                              </w:rPr>
                              <w:t xml:space="preserve"> </w:t>
                            </w:r>
                            <w:r w:rsidR="00642BB7" w:rsidRPr="00C05B8F">
                              <w:rPr>
                                <w:rFonts w:cs="Calibri Light"/>
                                <w:color w:val="000000" w:themeColor="text1"/>
                              </w:rPr>
                              <w:t xml:space="preserve">While a cash mandate would likely not cover all </w:t>
                            </w:r>
                            <w:r w:rsidR="00C1484B" w:rsidRPr="00C05B8F">
                              <w:rPr>
                                <w:rFonts w:cs="Calibri Light"/>
                                <w:color w:val="000000" w:themeColor="text1"/>
                              </w:rPr>
                              <w:t xml:space="preserve">the businesses Paul buys goods or services from, it would cover the essential </w:t>
                            </w:r>
                            <w:r w:rsidR="005A0D00" w:rsidRPr="00C05B8F">
                              <w:rPr>
                                <w:rFonts w:cs="Calibri Light"/>
                                <w:color w:val="000000" w:themeColor="text1"/>
                              </w:rPr>
                              <w:t xml:space="preserve">goods and </w:t>
                            </w:r>
                            <w:r w:rsidR="00C1484B" w:rsidRPr="00C05B8F">
                              <w:rPr>
                                <w:rFonts w:cs="Calibri Light"/>
                                <w:color w:val="000000" w:themeColor="text1"/>
                              </w:rPr>
                              <w:t>services</w:t>
                            </w:r>
                            <w:r w:rsidR="008D2252" w:rsidRPr="00C05B8F">
                              <w:rPr>
                                <w:rFonts w:cs="Calibri Light"/>
                                <w:color w:val="000000" w:themeColor="text1"/>
                              </w:rPr>
                              <w:t>. The mandate therefore</w:t>
                            </w:r>
                            <w:r w:rsidR="007F5E0E" w:rsidRPr="00C05B8F">
                              <w:rPr>
                                <w:rFonts w:cs="Calibri Light"/>
                                <w:color w:val="000000" w:themeColor="text1"/>
                              </w:rPr>
                              <w:t xml:space="preserve"> mean</w:t>
                            </w:r>
                            <w:r w:rsidR="008D2252" w:rsidRPr="00C05B8F">
                              <w:rPr>
                                <w:rFonts w:cs="Calibri Light"/>
                                <w:color w:val="000000" w:themeColor="text1"/>
                              </w:rPr>
                              <w:t>s</w:t>
                            </w:r>
                            <w:r w:rsidR="007F5E0E" w:rsidRPr="00C05B8F">
                              <w:rPr>
                                <w:rFonts w:cs="Calibri Light"/>
                                <w:color w:val="000000" w:themeColor="text1"/>
                              </w:rPr>
                              <w:t xml:space="preserve"> Paul can continue to </w:t>
                            </w:r>
                            <w:r w:rsidR="000B00A0" w:rsidRPr="00C05B8F">
                              <w:rPr>
                                <w:rFonts w:cs="Calibri Light"/>
                                <w:color w:val="000000" w:themeColor="text1"/>
                              </w:rPr>
                              <w:t>rely on a form of budgeting he is comfortable with</w:t>
                            </w:r>
                            <w:r w:rsidR="00C1484B" w:rsidRPr="00C05B8F">
                              <w:rPr>
                                <w:rFonts w:cs="Calibri Light"/>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83709" id="_x0000_s1029" type="#_x0000_t202" style="position:absolute;margin-left:0;margin-top:116.6pt;width:449.9pt;height:126.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" fillcolor="#e8f0fc [664]" stroked="f">
                <v:fill opacity="32896f"/>
                <v:textbox>
                  <w:txbxContent>
                    <w:p w14:paraId="5397DF36" w14:textId="4683B64B" w:rsidR="00F83A73" w:rsidRDefault="00F83A73" w:rsidP="00D47EDD">
                      <w:pPr>
                        <w:pStyle w:val="BoxHeading"/>
                      </w:pPr>
                      <w:r>
                        <w:t xml:space="preserve">Box 2: </w:t>
                      </w:r>
                      <w:r w:rsidR="00D47EDD">
                        <w:t>Paul</w:t>
                      </w:r>
                    </w:p>
                    <w:p w14:paraId="2724DDA2" w14:textId="08AAC604" w:rsidR="009D0D6D" w:rsidRPr="00C05B8F" w:rsidRDefault="009D0D6D" w:rsidP="009D0D6D">
                      <w:pPr>
                        <w:rPr>
                          <w:rFonts w:cs="Calibri Light"/>
                          <w:color w:val="000000" w:themeColor="text1"/>
                        </w:rPr>
                      </w:pPr>
                      <w:r w:rsidRPr="00C05B8F">
                        <w:rPr>
                          <w:rFonts w:cs="Calibri Light"/>
                          <w:color w:val="000000" w:themeColor="text1"/>
                        </w:rPr>
                        <w:t xml:space="preserve">Paul </w:t>
                      </w:r>
                      <w:r w:rsidR="00EF2B84">
                        <w:rPr>
                          <w:rFonts w:cs="Calibri Light"/>
                          <w:color w:val="000000" w:themeColor="text1"/>
                        </w:rPr>
                        <w:t>is 24 and</w:t>
                      </w:r>
                      <w:r w:rsidRPr="00C05B8F">
                        <w:rPr>
                          <w:rFonts w:cs="Calibri Light"/>
                          <w:color w:val="000000" w:themeColor="text1"/>
                        </w:rPr>
                        <w:t xml:space="preserve"> takes out $300 a week in cash to assist as a </w:t>
                      </w:r>
                      <w:r w:rsidR="000A14D9" w:rsidRPr="00C05B8F">
                        <w:rPr>
                          <w:rFonts w:cs="Calibri Light"/>
                          <w:color w:val="000000" w:themeColor="text1"/>
                        </w:rPr>
                        <w:t>budgeting</w:t>
                      </w:r>
                      <w:r w:rsidRPr="00C05B8F">
                        <w:rPr>
                          <w:rFonts w:cs="Calibri Light"/>
                          <w:color w:val="000000" w:themeColor="text1"/>
                        </w:rPr>
                        <w:t xml:space="preserve"> tool</w:t>
                      </w:r>
                      <w:r w:rsidR="00E445E4" w:rsidRPr="00C05B8F">
                        <w:rPr>
                          <w:rFonts w:cs="Calibri Light"/>
                          <w:color w:val="000000" w:themeColor="text1"/>
                        </w:rPr>
                        <w:t xml:space="preserve">. The $300 a week is to cover </w:t>
                      </w:r>
                      <w:r w:rsidR="00742A76" w:rsidRPr="00C05B8F">
                        <w:rPr>
                          <w:rFonts w:cs="Calibri Light"/>
                          <w:color w:val="000000" w:themeColor="text1"/>
                        </w:rPr>
                        <w:t>his day</w:t>
                      </w:r>
                      <w:r w:rsidR="00642BB7" w:rsidRPr="00C05B8F">
                        <w:rPr>
                          <w:rFonts w:cs="Calibri Light"/>
                          <w:color w:val="000000" w:themeColor="text1"/>
                        </w:rPr>
                        <w:t>-</w:t>
                      </w:r>
                      <w:r w:rsidR="00742A76" w:rsidRPr="00C05B8F">
                        <w:rPr>
                          <w:rFonts w:cs="Calibri Light"/>
                          <w:color w:val="000000" w:themeColor="text1"/>
                        </w:rPr>
                        <w:t>to</w:t>
                      </w:r>
                      <w:r w:rsidR="00642BB7" w:rsidRPr="00C05B8F">
                        <w:rPr>
                          <w:rFonts w:cs="Calibri Light"/>
                          <w:color w:val="000000" w:themeColor="text1"/>
                        </w:rPr>
                        <w:t>-</w:t>
                      </w:r>
                      <w:r w:rsidR="00742A76" w:rsidRPr="00C05B8F">
                        <w:rPr>
                          <w:rFonts w:cs="Calibri Light"/>
                          <w:color w:val="000000" w:themeColor="text1"/>
                        </w:rPr>
                        <w:t xml:space="preserve">day </w:t>
                      </w:r>
                      <w:r w:rsidR="00830144" w:rsidRPr="00C05B8F">
                        <w:rPr>
                          <w:rFonts w:cs="Calibri Light"/>
                          <w:color w:val="000000" w:themeColor="text1"/>
                        </w:rPr>
                        <w:t xml:space="preserve">expenses such as food, transport, </w:t>
                      </w:r>
                      <w:r w:rsidR="00790D4C" w:rsidRPr="00C05B8F">
                        <w:rPr>
                          <w:rFonts w:cs="Calibri Light"/>
                          <w:color w:val="000000" w:themeColor="text1"/>
                        </w:rPr>
                        <w:t>social outings</w:t>
                      </w:r>
                      <w:r w:rsidR="00C4479B" w:rsidRPr="00C05B8F">
                        <w:rPr>
                          <w:rFonts w:cs="Calibri Light"/>
                          <w:color w:val="000000" w:themeColor="text1"/>
                        </w:rPr>
                        <w:t>,</w:t>
                      </w:r>
                      <w:r w:rsidR="00790D4C" w:rsidRPr="00C05B8F">
                        <w:rPr>
                          <w:rFonts w:cs="Calibri Light"/>
                          <w:color w:val="000000" w:themeColor="text1"/>
                        </w:rPr>
                        <w:t xml:space="preserve"> </w:t>
                      </w:r>
                      <w:r w:rsidR="00642BB7" w:rsidRPr="00C05B8F">
                        <w:rPr>
                          <w:rFonts w:cs="Calibri Light"/>
                          <w:color w:val="000000" w:themeColor="text1"/>
                        </w:rPr>
                        <w:t xml:space="preserve">among other expenses. </w:t>
                      </w:r>
                      <w:r w:rsidR="004A4F08" w:rsidRPr="00C05B8F">
                        <w:rPr>
                          <w:rFonts w:cs="Calibri Light"/>
                          <w:color w:val="000000" w:themeColor="text1"/>
                        </w:rPr>
                        <w:t>Paul</w:t>
                      </w:r>
                      <w:r w:rsidR="00B774C5" w:rsidRPr="00C05B8F">
                        <w:rPr>
                          <w:rFonts w:cs="Calibri Light"/>
                          <w:color w:val="000000" w:themeColor="text1"/>
                        </w:rPr>
                        <w:t xml:space="preserve">’s </w:t>
                      </w:r>
                      <w:r w:rsidR="00AB396C" w:rsidRPr="00C05B8F">
                        <w:rPr>
                          <w:rFonts w:cs="Calibri Light"/>
                          <w:color w:val="000000" w:themeColor="text1"/>
                        </w:rPr>
                        <w:t xml:space="preserve">ability to rely on </w:t>
                      </w:r>
                      <w:r w:rsidR="00B774C5" w:rsidRPr="00C05B8F">
                        <w:rPr>
                          <w:rFonts w:cs="Calibri Light"/>
                          <w:color w:val="000000" w:themeColor="text1"/>
                        </w:rPr>
                        <w:t xml:space="preserve">banknotes allows for him to </w:t>
                      </w:r>
                      <w:r w:rsidR="007F5E0E" w:rsidRPr="00C05B8F">
                        <w:rPr>
                          <w:rFonts w:cs="Calibri Light"/>
                          <w:color w:val="000000" w:themeColor="text1"/>
                        </w:rPr>
                        <w:t>see where his money is being spent and how much he has left.</w:t>
                      </w:r>
                      <w:r w:rsidR="00B774C5" w:rsidRPr="00C05B8F">
                        <w:rPr>
                          <w:rFonts w:cs="Calibri Light"/>
                          <w:color w:val="000000" w:themeColor="text1"/>
                        </w:rPr>
                        <w:t xml:space="preserve"> </w:t>
                      </w:r>
                      <w:r w:rsidR="00642BB7" w:rsidRPr="00C05B8F">
                        <w:rPr>
                          <w:rFonts w:cs="Calibri Light"/>
                          <w:color w:val="000000" w:themeColor="text1"/>
                        </w:rPr>
                        <w:t xml:space="preserve">While a cash mandate would likely not cover all </w:t>
                      </w:r>
                      <w:r w:rsidR="00C1484B" w:rsidRPr="00C05B8F">
                        <w:rPr>
                          <w:rFonts w:cs="Calibri Light"/>
                          <w:color w:val="000000" w:themeColor="text1"/>
                        </w:rPr>
                        <w:t xml:space="preserve">the businesses Paul buys goods or services from, it would cover the essential </w:t>
                      </w:r>
                      <w:r w:rsidR="005A0D00" w:rsidRPr="00C05B8F">
                        <w:rPr>
                          <w:rFonts w:cs="Calibri Light"/>
                          <w:color w:val="000000" w:themeColor="text1"/>
                        </w:rPr>
                        <w:t xml:space="preserve">goods and </w:t>
                      </w:r>
                      <w:r w:rsidR="00C1484B" w:rsidRPr="00C05B8F">
                        <w:rPr>
                          <w:rFonts w:cs="Calibri Light"/>
                          <w:color w:val="000000" w:themeColor="text1"/>
                        </w:rPr>
                        <w:t>services</w:t>
                      </w:r>
                      <w:r w:rsidR="008D2252" w:rsidRPr="00C05B8F">
                        <w:rPr>
                          <w:rFonts w:cs="Calibri Light"/>
                          <w:color w:val="000000" w:themeColor="text1"/>
                        </w:rPr>
                        <w:t>. The mandate therefore</w:t>
                      </w:r>
                      <w:r w:rsidR="007F5E0E" w:rsidRPr="00C05B8F">
                        <w:rPr>
                          <w:rFonts w:cs="Calibri Light"/>
                          <w:color w:val="000000" w:themeColor="text1"/>
                        </w:rPr>
                        <w:t xml:space="preserve"> mean</w:t>
                      </w:r>
                      <w:r w:rsidR="008D2252" w:rsidRPr="00C05B8F">
                        <w:rPr>
                          <w:rFonts w:cs="Calibri Light"/>
                          <w:color w:val="000000" w:themeColor="text1"/>
                        </w:rPr>
                        <w:t>s</w:t>
                      </w:r>
                      <w:r w:rsidR="007F5E0E" w:rsidRPr="00C05B8F">
                        <w:rPr>
                          <w:rFonts w:cs="Calibri Light"/>
                          <w:color w:val="000000" w:themeColor="text1"/>
                        </w:rPr>
                        <w:t xml:space="preserve"> Paul can continue to </w:t>
                      </w:r>
                      <w:r w:rsidR="000B00A0" w:rsidRPr="00C05B8F">
                        <w:rPr>
                          <w:rFonts w:cs="Calibri Light"/>
                          <w:color w:val="000000" w:themeColor="text1"/>
                        </w:rPr>
                        <w:t>rely on a form of budgeting he is comfortable with</w:t>
                      </w:r>
                      <w:r w:rsidR="00C1484B" w:rsidRPr="00C05B8F">
                        <w:rPr>
                          <w:rFonts w:cs="Calibri Light"/>
                          <w:color w:val="000000" w:themeColor="text1"/>
                        </w:rPr>
                        <w:t>.</w:t>
                      </w:r>
                    </w:p>
                  </w:txbxContent>
                </v:textbox>
                <w10:wrap type="topAndBottom" anchorx="margin"/>
              </v:shape>
            </w:pict>
          </mc:Fallback>
        </mc:AlternateContent>
      </w:r>
      <w:r w:rsidR="00A109DF" w:rsidRPr="0032590D">
        <w:t>Some</w:t>
      </w:r>
      <w:r w:rsidR="005946A9" w:rsidRPr="0032590D">
        <w:t xml:space="preserve"> households </w:t>
      </w:r>
      <w:r w:rsidR="00346630" w:rsidRPr="0032590D">
        <w:t>and younger Australians</w:t>
      </w:r>
      <w:r w:rsidR="005946A9" w:rsidRPr="0032590D">
        <w:t xml:space="preserve"> rely on</w:t>
      </w:r>
      <w:r w:rsidR="006F1323" w:rsidRPr="0032590D">
        <w:t xml:space="preserve"> budgeting strategies that involve the use of cash. </w:t>
      </w:r>
      <w:r w:rsidR="005946A9" w:rsidRPr="0032590D">
        <w:t>One</w:t>
      </w:r>
      <w:r w:rsidR="003173D5" w:rsidRPr="0032590D">
        <w:t xml:space="preserve"> commonplace budgeting strategy involving cash </w:t>
      </w:r>
      <w:r w:rsidR="00037120" w:rsidRPr="0032590D">
        <w:t xml:space="preserve">is for a household to take out in cash what can be spent for the week ahead. </w:t>
      </w:r>
      <w:r w:rsidR="00CD0598" w:rsidRPr="0032590D">
        <w:t>Cash in this sense is used as a physical limiter and to assist in keeping track of where the money goes</w:t>
      </w:r>
      <w:r w:rsidR="003B02BB" w:rsidRPr="0032590D">
        <w:t xml:space="preserve">. </w:t>
      </w:r>
      <w:r w:rsidR="005E46E0" w:rsidRPr="0032590D">
        <w:t xml:space="preserve">Cash budgeting in this way allows </w:t>
      </w:r>
      <w:r w:rsidR="009D7D67" w:rsidRPr="0032590D">
        <w:t xml:space="preserve">a </w:t>
      </w:r>
      <w:r w:rsidR="005E46E0" w:rsidRPr="0032590D">
        <w:t xml:space="preserve">more </w:t>
      </w:r>
      <w:r w:rsidR="009D7D67" w:rsidRPr="0032590D">
        <w:t>tangible</w:t>
      </w:r>
      <w:r w:rsidR="00EC1D85" w:rsidRPr="0032590D">
        <w:t xml:space="preserve"> t</w:t>
      </w:r>
      <w:r w:rsidR="005E46E0" w:rsidRPr="0032590D">
        <w:t>racking all cash inflows and outflows.</w:t>
      </w:r>
      <w:r w:rsidR="007B5F0F" w:rsidRPr="0032590D">
        <w:t xml:space="preserve"> </w:t>
      </w:r>
      <w:r w:rsidR="00D50AF0" w:rsidRPr="0032590D">
        <w:t xml:space="preserve">The RBA’s Consumer Payments </w:t>
      </w:r>
      <w:r w:rsidR="00BC3458" w:rsidRPr="0032590D">
        <w:t xml:space="preserve">Survey found that </w:t>
      </w:r>
      <w:r w:rsidR="002323E4" w:rsidRPr="0032590D">
        <w:t xml:space="preserve">lower household income </w:t>
      </w:r>
      <w:r w:rsidR="0090333E" w:rsidRPr="0032590D">
        <w:t>was associated with more intensive cash use.</w:t>
      </w:r>
      <w:r w:rsidR="0090333E" w:rsidRPr="0032590D">
        <w:rPr>
          <w:rStyle w:val="FootnoteReference"/>
          <w:rFonts w:asciiTheme="minorHAnsi" w:hAnsiTheme="minorHAnsi" w:cstheme="minorHAnsi"/>
        </w:rPr>
        <w:footnoteReference w:id="30"/>
      </w:r>
      <w:r w:rsidR="003517A4" w:rsidRPr="0032590D">
        <w:t xml:space="preserve"> For </w:t>
      </w:r>
      <w:r w:rsidR="00583251" w:rsidRPr="0032590D">
        <w:t>some</w:t>
      </w:r>
      <w:r w:rsidR="003517A4" w:rsidRPr="0032590D">
        <w:t xml:space="preserve"> </w:t>
      </w:r>
      <w:r w:rsidR="00C91BC7" w:rsidRPr="0032590D">
        <w:t>lower income</w:t>
      </w:r>
      <w:r w:rsidR="00570FAB" w:rsidRPr="0032590D">
        <w:t xml:space="preserve"> </w:t>
      </w:r>
      <w:r w:rsidR="00F003F7" w:rsidRPr="0032590D">
        <w:t>households</w:t>
      </w:r>
      <w:r w:rsidR="00D47EDD" w:rsidRPr="0032590D">
        <w:t>,</w:t>
      </w:r>
      <w:r w:rsidR="00583251" w:rsidRPr="0032590D">
        <w:t xml:space="preserve"> cash </w:t>
      </w:r>
      <w:r w:rsidR="002226D2" w:rsidRPr="0032590D">
        <w:t>remains</w:t>
      </w:r>
      <w:r w:rsidR="00583251" w:rsidRPr="0032590D">
        <w:t xml:space="preserve"> an important part of how they budget and purchase goods </w:t>
      </w:r>
      <w:r w:rsidR="00C26AD2" w:rsidRPr="0032590D">
        <w:t xml:space="preserve">and </w:t>
      </w:r>
      <w:r w:rsidR="00583251" w:rsidRPr="0032590D">
        <w:t xml:space="preserve">a cash </w:t>
      </w:r>
      <w:r w:rsidR="002226D2" w:rsidRPr="0032590D">
        <w:t xml:space="preserve">acceptance </w:t>
      </w:r>
      <w:r w:rsidR="00583251" w:rsidRPr="0032590D">
        <w:t xml:space="preserve">mandate </w:t>
      </w:r>
      <w:r w:rsidR="00C26AD2" w:rsidRPr="0032590D">
        <w:t xml:space="preserve">would assist in </w:t>
      </w:r>
      <w:r w:rsidR="00583251" w:rsidRPr="0032590D">
        <w:t>preserv</w:t>
      </w:r>
      <w:r w:rsidR="00D47EDD" w:rsidRPr="0032590D">
        <w:t>ing</w:t>
      </w:r>
      <w:r w:rsidR="00583251" w:rsidRPr="0032590D">
        <w:t xml:space="preserve"> this</w:t>
      </w:r>
      <w:r w:rsidR="00D47EDD" w:rsidRPr="0032590D">
        <w:t xml:space="preserve"> approach</w:t>
      </w:r>
      <w:r w:rsidR="00583251" w:rsidRPr="0032590D">
        <w:t>.</w:t>
      </w:r>
    </w:p>
    <w:p w14:paraId="6576A096" w14:textId="636A4818" w:rsidR="007519E9" w:rsidRPr="0032590D" w:rsidRDefault="007519E9">
      <w:pPr>
        <w:spacing w:before="0" w:after="160" w:line="259" w:lineRule="auto"/>
        <w:rPr>
          <w:rFonts w:asciiTheme="minorHAnsi" w:hAnsiTheme="minorHAnsi" w:cstheme="minorHAnsi"/>
        </w:rPr>
      </w:pPr>
    </w:p>
    <w:tbl>
      <w:tblPr>
        <w:tblStyle w:val="TableGrid"/>
        <w:tblW w:w="0" w:type="auto"/>
        <w:tblLook w:val="04A0" w:firstRow="1" w:lastRow="0" w:firstColumn="1" w:lastColumn="0" w:noHBand="0" w:noVBand="1"/>
      </w:tblPr>
      <w:tblGrid>
        <w:gridCol w:w="9070"/>
      </w:tblGrid>
      <w:tr w:rsidR="007868E2" w:rsidRPr="0032590D" w14:paraId="6AEB203C" w14:textId="77777777" w:rsidTr="00FF59CC">
        <w:trPr>
          <w:cnfStyle w:val="100000000000" w:firstRow="1" w:lastRow="0" w:firstColumn="0" w:lastColumn="0" w:oddVBand="0" w:evenVBand="0" w:oddHBand="0" w:evenHBand="0" w:firstRowFirstColumn="0" w:firstRowLastColumn="0" w:lastRowFirstColumn="0" w:lastRowLastColumn="0"/>
        </w:trPr>
        <w:tc>
          <w:tcPr>
            <w:tcW w:w="9070" w:type="dxa"/>
            <w:shd w:val="clear" w:color="auto" w:fill="E8F0FC" w:themeFill="accent5" w:themeFillTint="33"/>
          </w:tcPr>
          <w:p w14:paraId="79651B86" w14:textId="77777777" w:rsidR="007868E2" w:rsidRPr="0032590D" w:rsidRDefault="007868E2" w:rsidP="00FF59CC">
            <w:pPr>
              <w:spacing w:before="96" w:after="96"/>
              <w:rPr>
                <w:rFonts w:asciiTheme="minorHAnsi" w:hAnsiTheme="minorHAnsi" w:cstheme="minorHAnsi"/>
                <w:sz w:val="36"/>
                <w:szCs w:val="36"/>
              </w:rPr>
            </w:pPr>
            <w:r w:rsidRPr="0032590D">
              <w:rPr>
                <w:rFonts w:asciiTheme="minorHAnsi" w:hAnsiTheme="minorHAnsi" w:cstheme="minorHAnsi"/>
                <w:sz w:val="36"/>
                <w:szCs w:val="36"/>
              </w:rPr>
              <w:t xml:space="preserve">Consultation Questions </w:t>
            </w:r>
          </w:p>
          <w:p w14:paraId="3A91154E" w14:textId="64AB2D80" w:rsidR="00E11953" w:rsidRPr="0032590D" w:rsidRDefault="00C148E1" w:rsidP="00F95B01">
            <w:pPr>
              <w:pStyle w:val="ListParagraph"/>
              <w:numPr>
                <w:ilvl w:val="0"/>
                <w:numId w:val="36"/>
              </w:numPr>
              <w:spacing w:beforeLines="100" w:before="240" w:afterLines="100" w:after="240" w:line="259" w:lineRule="auto"/>
              <w:rPr>
                <w:rFonts w:asciiTheme="minorHAnsi" w:hAnsiTheme="minorHAnsi" w:cstheme="minorHAnsi"/>
                <w:b w:val="0"/>
                <w:sz w:val="22"/>
                <w:szCs w:val="22"/>
              </w:rPr>
            </w:pPr>
            <w:r w:rsidRPr="0032590D">
              <w:rPr>
                <w:rFonts w:cs="Calibri Light"/>
                <w:b w:val="0"/>
                <w:sz w:val="22"/>
                <w:szCs w:val="22"/>
              </w:rPr>
              <w:t>Are there other important reasons for people relying on cash payment?</w:t>
            </w:r>
          </w:p>
        </w:tc>
      </w:tr>
    </w:tbl>
    <w:p w14:paraId="4BB9883D" w14:textId="77777777" w:rsidR="008E2745" w:rsidRPr="0032590D" w:rsidRDefault="008E2745">
      <w:pPr>
        <w:spacing w:before="0" w:after="160" w:line="259" w:lineRule="auto"/>
      </w:pPr>
      <w:bookmarkStart w:id="47" w:name="_Toc181026648"/>
      <w:bookmarkStart w:id="48" w:name="_Toc181278101"/>
    </w:p>
    <w:p w14:paraId="6C6A3640" w14:textId="4E6AEC12" w:rsidR="008423DB" w:rsidRPr="0032590D" w:rsidRDefault="008423DB" w:rsidP="008423DB">
      <w:pPr>
        <w:pStyle w:val="Heading1"/>
      </w:pPr>
      <w:bookmarkStart w:id="49" w:name="_Toc183137384"/>
      <w:r w:rsidRPr="0032590D">
        <w:t xml:space="preserve">Chapter </w:t>
      </w:r>
      <w:r w:rsidR="00DD58D0" w:rsidRPr="0032590D">
        <w:t>3</w:t>
      </w:r>
      <w:r w:rsidR="00A31C4C" w:rsidRPr="0032590D">
        <w:t>:</w:t>
      </w:r>
      <w:r w:rsidRPr="0032590D">
        <w:t xml:space="preserve"> </w:t>
      </w:r>
      <w:bookmarkEnd w:id="47"/>
      <w:r w:rsidR="003F6FDD" w:rsidRPr="0032590D">
        <w:t>Cash m</w:t>
      </w:r>
      <w:r w:rsidR="0041285C" w:rsidRPr="0032590D">
        <w:t xml:space="preserve">andate </w:t>
      </w:r>
      <w:r w:rsidR="00510444" w:rsidRPr="0032590D">
        <w:t>scope and application</w:t>
      </w:r>
      <w:bookmarkEnd w:id="48"/>
      <w:bookmarkEnd w:id="49"/>
      <w:r w:rsidR="00510444" w:rsidRPr="0032590D">
        <w:t xml:space="preserve"> </w:t>
      </w:r>
    </w:p>
    <w:p w14:paraId="29627227" w14:textId="77777777" w:rsidR="00335FCE" w:rsidRPr="0032590D" w:rsidRDefault="00335FCE" w:rsidP="00335FCE">
      <w:pPr>
        <w:pStyle w:val="Heading2"/>
      </w:pPr>
      <w:bookmarkStart w:id="50" w:name="_Toc183137385"/>
      <w:r w:rsidRPr="0032590D">
        <w:t>Overview</w:t>
      </w:r>
      <w:bookmarkEnd w:id="50"/>
    </w:p>
    <w:p w14:paraId="7FC93FD9" w14:textId="746BEC97" w:rsidR="00B77514" w:rsidRPr="0032590D" w:rsidRDefault="000E7899" w:rsidP="006A4C94">
      <w:r w:rsidRPr="0032590D">
        <w:t xml:space="preserve">The Government </w:t>
      </w:r>
      <w:r w:rsidR="00C05CE3" w:rsidRPr="0032590D">
        <w:t xml:space="preserve">is seeking to ensure </w:t>
      </w:r>
      <w:r w:rsidRPr="0032590D">
        <w:t xml:space="preserve">the cash acceptance mandate </w:t>
      </w:r>
      <w:r w:rsidR="004F63DB" w:rsidRPr="0032590D">
        <w:t>balances</w:t>
      </w:r>
      <w:r w:rsidRPr="0032590D">
        <w:t xml:space="preserve"> the needs of</w:t>
      </w:r>
      <w:r w:rsidR="00A03907" w:rsidRPr="0032590D">
        <w:t xml:space="preserve"> those in the </w:t>
      </w:r>
      <w:r w:rsidRPr="0032590D">
        <w:t xml:space="preserve">community </w:t>
      </w:r>
      <w:r w:rsidR="00A03907" w:rsidRPr="0032590D">
        <w:t xml:space="preserve">that </w:t>
      </w:r>
      <w:r w:rsidRPr="0032590D">
        <w:t xml:space="preserve">rely on cash to purchase essential goods and services and </w:t>
      </w:r>
      <w:r w:rsidR="006B4D57" w:rsidRPr="0032590D">
        <w:t xml:space="preserve">the impact on </w:t>
      </w:r>
      <w:r w:rsidR="0099210C" w:rsidRPr="0032590D">
        <w:t>busines</w:t>
      </w:r>
      <w:r w:rsidR="002D69C4" w:rsidRPr="0032590D">
        <w:t>s</w:t>
      </w:r>
      <w:r w:rsidR="0099210C" w:rsidRPr="0032590D">
        <w:t xml:space="preserve">, </w:t>
      </w:r>
      <w:r w:rsidR="002D69C4" w:rsidRPr="0032590D">
        <w:t xml:space="preserve">especially </w:t>
      </w:r>
      <w:r w:rsidRPr="0032590D">
        <w:t>small business.</w:t>
      </w:r>
      <w:r w:rsidR="00E43782" w:rsidRPr="0032590D">
        <w:t xml:space="preserve"> </w:t>
      </w:r>
      <w:r w:rsidR="0018349E" w:rsidRPr="0032590D">
        <w:t xml:space="preserve">To be successful, </w:t>
      </w:r>
      <w:r w:rsidR="008E4989" w:rsidRPr="0032590D">
        <w:t xml:space="preserve">the scope of the mandate </w:t>
      </w:r>
      <w:r w:rsidR="00D96B1A" w:rsidRPr="0032590D">
        <w:t xml:space="preserve">and </w:t>
      </w:r>
      <w:r w:rsidR="00470C6E" w:rsidRPr="0032590D">
        <w:t>small business exemption needs to be clear to consumers and businesses.</w:t>
      </w:r>
    </w:p>
    <w:p w14:paraId="02C5E4D8" w14:textId="61B014CB" w:rsidR="00BA6B86" w:rsidRPr="0032590D" w:rsidRDefault="008615A3" w:rsidP="00E53970">
      <w:pPr>
        <w:rPr>
          <w:rFonts w:asciiTheme="minorHAnsi" w:hAnsiTheme="minorHAnsi" w:cstheme="minorHAnsi"/>
          <w:bCs/>
        </w:rPr>
      </w:pPr>
      <w:r w:rsidRPr="0032590D">
        <w:rPr>
          <w:rFonts w:asciiTheme="minorHAnsi" w:hAnsiTheme="minorHAnsi" w:cstheme="minorHAnsi"/>
          <w:bCs/>
          <w:noProof/>
        </w:rPr>
        <mc:AlternateContent>
          <mc:Choice Requires="wps">
            <w:drawing>
              <wp:inline distT="0" distB="0" distL="0" distR="0" wp14:anchorId="3B1A8EAE" wp14:editId="1C3ABEB6">
                <wp:extent cx="5703879" cy="1838685"/>
                <wp:effectExtent l="0" t="0" r="0" b="952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3879" cy="1838685"/>
                        </a:xfrm>
                        <a:prstGeom prst="rect">
                          <a:avLst/>
                        </a:prstGeom>
                        <a:solidFill>
                          <a:schemeClr val="accent2">
                            <a:lumMod val="20000"/>
                            <a:lumOff val="80000"/>
                          </a:schemeClr>
                        </a:solidFill>
                        <a:ln w="9525">
                          <a:noFill/>
                          <a:miter lim="800000"/>
                          <a:headEnd/>
                          <a:tailEnd/>
                        </a:ln>
                      </wps:spPr>
                      <wps:txbx>
                        <w:txbxContent>
                          <w:p w14:paraId="6D0129D9" w14:textId="0BC98E8B" w:rsidR="00DA56CC" w:rsidRPr="00DA56CC" w:rsidRDefault="006E7E9A" w:rsidP="006A57D8">
                            <w:pPr>
                              <w:pStyle w:val="BoxHeading"/>
                            </w:pPr>
                            <w:r>
                              <w:t xml:space="preserve">Box </w:t>
                            </w:r>
                            <w:r w:rsidR="00F511BA">
                              <w:t>3.1</w:t>
                            </w:r>
                            <w:r>
                              <w:t xml:space="preserve">: </w:t>
                            </w:r>
                            <w:r w:rsidR="0053636E">
                              <w:t>M</w:t>
                            </w:r>
                            <w:r w:rsidR="00DA56CC" w:rsidRPr="00DA56CC">
                              <w:t>andate scope and application</w:t>
                            </w:r>
                          </w:p>
                          <w:p w14:paraId="138A3AE8" w14:textId="0B91A204" w:rsidR="008615A3" w:rsidRDefault="008615A3" w:rsidP="00F50F45">
                            <w:r>
                              <w:t>It is proposed that a corporation, in trade or commerce, that:</w:t>
                            </w:r>
                          </w:p>
                          <w:p w14:paraId="39028915" w14:textId="0A4BA944" w:rsidR="008615A3" w:rsidRPr="00E977AA" w:rsidRDefault="008615A3" w:rsidP="006A57D8">
                            <w:pPr>
                              <w:pStyle w:val="Bullet"/>
                            </w:pPr>
                            <w:r w:rsidRPr="00E977AA">
                              <w:t>supplies an essential good or service to a consumer; and</w:t>
                            </w:r>
                          </w:p>
                          <w:p w14:paraId="3151CA50" w14:textId="77777777" w:rsidR="008615A3" w:rsidRPr="00E977AA" w:rsidRDefault="008615A3" w:rsidP="006A57D8">
                            <w:pPr>
                              <w:pStyle w:val="Bullet"/>
                            </w:pPr>
                            <w:r w:rsidRPr="00E977AA">
                              <w:t>offers in-person payment;</w:t>
                            </w:r>
                            <w:r>
                              <w:t xml:space="preserve"> and</w:t>
                            </w:r>
                          </w:p>
                          <w:p w14:paraId="29CB372E" w14:textId="77777777" w:rsidR="008615A3" w:rsidRDefault="008615A3" w:rsidP="006A57D8">
                            <w:pPr>
                              <w:pStyle w:val="Bullet"/>
                            </w:pPr>
                            <w:r w:rsidRPr="00E977AA">
                              <w:t>is not an exempt small business</w:t>
                            </w:r>
                            <w:r>
                              <w:t>;</w:t>
                            </w:r>
                          </w:p>
                          <w:p w14:paraId="7410AA90" w14:textId="77777777" w:rsidR="008615A3" w:rsidRPr="00E977AA" w:rsidRDefault="008615A3" w:rsidP="00F50F45">
                            <w:r>
                              <w:t>must accept cash payment for those goods and services.</w:t>
                            </w:r>
                          </w:p>
                          <w:p w14:paraId="35A61C12" w14:textId="7CA102CE" w:rsidR="008615A3" w:rsidRDefault="008615A3"/>
                        </w:txbxContent>
                      </wps:txbx>
                      <wps:bodyPr rot="0" vert="horz" wrap="square" lIns="91440" tIns="45720" rIns="91440" bIns="45720" anchor="t" anchorCtr="0">
                        <a:noAutofit/>
                      </wps:bodyPr>
                    </wps:wsp>
                  </a:graphicData>
                </a:graphic>
              </wp:inline>
            </w:drawing>
          </mc:Choice>
          <mc:Fallback>
            <w:pict>
              <v:shape w14:anchorId="3B1A8EAE" id="Text Box 2" o:spid="_x0000_s1030" type="#_x0000_t202" style="width:449.1pt;height:14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" fillcolor="#d8e6df [661]" stroked="f">
                <v:textbox>
                  <w:txbxContent>
                    <w:p w14:paraId="6D0129D9" w14:textId="0BC98E8B" w:rsidR="00DA56CC" w:rsidRPr="00DA56CC" w:rsidRDefault="006E7E9A" w:rsidP="006A57D8">
                      <w:pPr>
                        <w:pStyle w:val="BoxHeading"/>
                      </w:pPr>
                      <w:r>
                        <w:t xml:space="preserve">Box </w:t>
                      </w:r>
                      <w:r w:rsidR="00F511BA">
                        <w:t>3.1</w:t>
                      </w:r>
                      <w:r>
                        <w:t xml:space="preserve">: </w:t>
                      </w:r>
                      <w:r w:rsidR="0053636E">
                        <w:t>M</w:t>
                      </w:r>
                      <w:r w:rsidR="00DA56CC" w:rsidRPr="00DA56CC">
                        <w:t>andate scope and application</w:t>
                      </w:r>
                    </w:p>
                    <w:p w14:paraId="138A3AE8" w14:textId="0B91A204" w:rsidR="008615A3" w:rsidRDefault="008615A3" w:rsidP="00F50F45">
                      <w:r>
                        <w:t>It is proposed that a corporation, in trade or commerce, that:</w:t>
                      </w:r>
                    </w:p>
                    <w:p w14:paraId="39028915" w14:textId="0A4BA944" w:rsidR="008615A3" w:rsidRPr="00E977AA" w:rsidRDefault="008615A3" w:rsidP="006A57D8">
                      <w:pPr>
                        <w:pStyle w:val="Bullet"/>
                      </w:pPr>
                      <w:r w:rsidRPr="00E977AA">
                        <w:t>supplies an essential good or service to a consumer; and</w:t>
                      </w:r>
                    </w:p>
                    <w:p w14:paraId="3151CA50" w14:textId="77777777" w:rsidR="008615A3" w:rsidRPr="00E977AA" w:rsidRDefault="008615A3" w:rsidP="006A57D8">
                      <w:pPr>
                        <w:pStyle w:val="Bullet"/>
                      </w:pPr>
                      <w:r w:rsidRPr="00E977AA">
                        <w:t>offers in-person payment;</w:t>
                      </w:r>
                      <w:r>
                        <w:t xml:space="preserve"> and</w:t>
                      </w:r>
                    </w:p>
                    <w:p w14:paraId="29CB372E" w14:textId="77777777" w:rsidR="008615A3" w:rsidRDefault="008615A3" w:rsidP="006A57D8">
                      <w:pPr>
                        <w:pStyle w:val="Bullet"/>
                      </w:pPr>
                      <w:r w:rsidRPr="00E977AA">
                        <w:t>is not an exempt small business</w:t>
                      </w:r>
                      <w:r>
                        <w:t>;</w:t>
                      </w:r>
                    </w:p>
                    <w:p w14:paraId="7410AA90" w14:textId="77777777" w:rsidR="008615A3" w:rsidRPr="00E977AA" w:rsidRDefault="008615A3" w:rsidP="00F50F45">
                      <w:r>
                        <w:t>must accept cash payment for those goods and services.</w:t>
                      </w:r>
                    </w:p>
                    <w:p w14:paraId="35A61C12" w14:textId="7CA102CE" w:rsidR="008615A3" w:rsidRDefault="008615A3"/>
                  </w:txbxContent>
                </v:textbox>
                <w10:anchorlock/>
              </v:shape>
            </w:pict>
          </mc:Fallback>
        </mc:AlternateContent>
      </w:r>
    </w:p>
    <w:p w14:paraId="3809889A" w14:textId="0216BF38" w:rsidR="00EB6AA4" w:rsidRPr="0032590D" w:rsidRDefault="00172158" w:rsidP="00F50F45">
      <w:r w:rsidRPr="0032590D">
        <w:t xml:space="preserve">This chapter explores each element of the </w:t>
      </w:r>
      <w:r w:rsidR="001E6AA8" w:rsidRPr="0032590D">
        <w:t xml:space="preserve">proposed mandate. </w:t>
      </w:r>
      <w:r w:rsidR="000465F8" w:rsidRPr="0032590D">
        <w:t xml:space="preserve">As each element is </w:t>
      </w:r>
      <w:r w:rsidR="003D64B6" w:rsidRPr="0032590D">
        <w:t>discussed</w:t>
      </w:r>
      <w:r w:rsidR="000465F8" w:rsidRPr="0032590D">
        <w:t xml:space="preserve">, the chapter will </w:t>
      </w:r>
      <w:r w:rsidR="009F73CF" w:rsidRPr="0032590D">
        <w:t xml:space="preserve">explain </w:t>
      </w:r>
      <w:r w:rsidR="00E813EB" w:rsidRPr="0032590D">
        <w:t xml:space="preserve">what the mandate </w:t>
      </w:r>
      <w:r w:rsidR="00BE6DBC" w:rsidRPr="0032590D">
        <w:t>is proposed to</w:t>
      </w:r>
      <w:r w:rsidR="00E813EB" w:rsidRPr="0032590D">
        <w:t xml:space="preserve"> apply to, what </w:t>
      </w:r>
      <w:r w:rsidR="003D64B6" w:rsidRPr="0032590D">
        <w:t xml:space="preserve">the mandate </w:t>
      </w:r>
      <w:r w:rsidR="00597236" w:rsidRPr="0032590D">
        <w:t>would</w:t>
      </w:r>
      <w:r w:rsidR="00E813EB" w:rsidRPr="0032590D">
        <w:t xml:space="preserve"> not apply to, and </w:t>
      </w:r>
      <w:r w:rsidR="001D6E77" w:rsidRPr="0032590D">
        <w:t xml:space="preserve">any options </w:t>
      </w:r>
      <w:r w:rsidR="00EB6AA4" w:rsidRPr="0032590D">
        <w:t xml:space="preserve">or further matters </w:t>
      </w:r>
      <w:r w:rsidR="001D6E77" w:rsidRPr="0032590D">
        <w:t xml:space="preserve">that </w:t>
      </w:r>
      <w:r w:rsidR="00EB6AA4" w:rsidRPr="0032590D">
        <w:t xml:space="preserve">require </w:t>
      </w:r>
      <w:r w:rsidR="001D6E77" w:rsidRPr="0032590D">
        <w:t>con</w:t>
      </w:r>
      <w:r w:rsidR="00EB6AA4" w:rsidRPr="0032590D">
        <w:t>sideration.</w:t>
      </w:r>
    </w:p>
    <w:p w14:paraId="4A77F34D" w14:textId="5BD77DA8" w:rsidR="00B77514" w:rsidRPr="0032590D" w:rsidRDefault="00E105AC" w:rsidP="00985379">
      <w:pPr>
        <w:pStyle w:val="Heading2"/>
      </w:pPr>
      <w:bookmarkStart w:id="51" w:name="_Toc183137386"/>
      <w:r w:rsidRPr="0032590D">
        <w:t>A c</w:t>
      </w:r>
      <w:r w:rsidR="00DF35C0" w:rsidRPr="0032590D">
        <w:t>orporation in trade or commerce</w:t>
      </w:r>
      <w:bookmarkEnd w:id="51"/>
    </w:p>
    <w:p w14:paraId="0B2FA98D" w14:textId="5A2B11FD" w:rsidR="000D1D21" w:rsidRPr="0032590D" w:rsidRDefault="008D6E13" w:rsidP="00E57421">
      <w:pPr>
        <w:pStyle w:val="Heading3"/>
      </w:pPr>
      <w:r w:rsidRPr="0032590D">
        <w:t xml:space="preserve">Mandate </w:t>
      </w:r>
      <w:r w:rsidR="00EE7347" w:rsidRPr="0032590D">
        <w:t xml:space="preserve">would </w:t>
      </w:r>
      <w:r w:rsidRPr="0032590D">
        <w:t xml:space="preserve">apply to </w:t>
      </w:r>
      <w:r w:rsidR="000D1D21" w:rsidRPr="0032590D">
        <w:t>business</w:t>
      </w:r>
    </w:p>
    <w:p w14:paraId="39C02D98" w14:textId="33A99115" w:rsidR="000210D4" w:rsidRPr="0032590D" w:rsidRDefault="000210D4" w:rsidP="008D6E13">
      <w:pPr>
        <w:pStyle w:val="Heading4"/>
      </w:pPr>
      <w:r w:rsidRPr="0032590D">
        <w:t>Corporation</w:t>
      </w:r>
    </w:p>
    <w:p w14:paraId="4844964E" w14:textId="75C9DC96" w:rsidR="00C417C5" w:rsidRPr="0032590D" w:rsidRDefault="00056A4D" w:rsidP="00F50F45">
      <w:r w:rsidRPr="0032590D">
        <w:t>T</w:t>
      </w:r>
      <w:r w:rsidR="00780E12" w:rsidRPr="0032590D">
        <w:t xml:space="preserve">he </w:t>
      </w:r>
      <w:r w:rsidR="00BC4A74" w:rsidRPr="0032590D">
        <w:t>mandate is proposed to apply to corporations</w:t>
      </w:r>
      <w:r w:rsidR="006055E2" w:rsidRPr="0032590D">
        <w:t xml:space="preserve">, ensuring that </w:t>
      </w:r>
      <w:r w:rsidR="00781DD7" w:rsidRPr="0032590D">
        <w:t xml:space="preserve">the </w:t>
      </w:r>
      <w:r w:rsidR="001042AA" w:rsidRPr="0032590D">
        <w:t xml:space="preserve">mandate </w:t>
      </w:r>
      <w:r w:rsidR="003D44C5" w:rsidRPr="0032590D">
        <w:t xml:space="preserve">is </w:t>
      </w:r>
      <w:r w:rsidR="00F24732" w:rsidRPr="0032590D">
        <w:t xml:space="preserve">clearly </w:t>
      </w:r>
      <w:r w:rsidR="00C417C5" w:rsidRPr="0032590D">
        <w:t xml:space="preserve">within the </w:t>
      </w:r>
      <w:r w:rsidR="00C03322" w:rsidRPr="0032590D">
        <w:t>Commonwealth</w:t>
      </w:r>
      <w:r w:rsidR="00C417C5" w:rsidRPr="0032590D">
        <w:t>’s constitutional power.</w:t>
      </w:r>
    </w:p>
    <w:p w14:paraId="16AB701C" w14:textId="38C6F95E" w:rsidR="00DB0263" w:rsidRPr="0032590D" w:rsidRDefault="00D4630F" w:rsidP="00F50F45">
      <w:r w:rsidRPr="0032590D">
        <w:t xml:space="preserve">The proposed </w:t>
      </w:r>
      <w:r w:rsidR="00C913F3" w:rsidRPr="0032590D">
        <w:t xml:space="preserve">small business exemption </w:t>
      </w:r>
      <w:r w:rsidR="00E57810" w:rsidRPr="0032590D">
        <w:t xml:space="preserve">means that the mandate would not apply to the majority of businesses. </w:t>
      </w:r>
      <w:r w:rsidR="00736A00" w:rsidRPr="0032590D">
        <w:t xml:space="preserve">The </w:t>
      </w:r>
      <w:r w:rsidR="002C6728" w:rsidRPr="0032590D">
        <w:t xml:space="preserve">larger </w:t>
      </w:r>
      <w:r w:rsidR="003A3802" w:rsidRPr="0032590D">
        <w:t xml:space="preserve">businesses that the mandate is proposed to apply are likely to be corporations. </w:t>
      </w:r>
      <w:r w:rsidR="00E57810" w:rsidRPr="0032590D">
        <w:t>As a result, th</w:t>
      </w:r>
      <w:r w:rsidR="004809A4" w:rsidRPr="0032590D">
        <w:t>e</w:t>
      </w:r>
      <w:r w:rsidR="003C4562" w:rsidRPr="0032590D">
        <w:t xml:space="preserve">re is likely to be minimal benefit in </w:t>
      </w:r>
      <w:r w:rsidR="00A20C10" w:rsidRPr="0032590D">
        <w:t xml:space="preserve">extending the </w:t>
      </w:r>
      <w:r w:rsidR="009C1A16" w:rsidRPr="0032590D">
        <w:t xml:space="preserve">mandate to </w:t>
      </w:r>
      <w:r w:rsidR="00572668" w:rsidRPr="0032590D">
        <w:t xml:space="preserve">other </w:t>
      </w:r>
      <w:r w:rsidR="009C1A16" w:rsidRPr="0032590D">
        <w:t>business structures</w:t>
      </w:r>
      <w:r w:rsidR="003C4562" w:rsidRPr="0032590D">
        <w:t xml:space="preserve">, </w:t>
      </w:r>
      <w:r w:rsidR="009C1A16" w:rsidRPr="0032590D">
        <w:t xml:space="preserve">such as </w:t>
      </w:r>
      <w:r w:rsidR="004A5789" w:rsidRPr="0032590D">
        <w:t>sole traders, partnerships, trusts and unincorporated joint ventures</w:t>
      </w:r>
      <w:r w:rsidR="00D533F7" w:rsidRPr="0032590D">
        <w:t>.</w:t>
      </w:r>
    </w:p>
    <w:p w14:paraId="6579E8C2" w14:textId="74E17747" w:rsidR="00B77514" w:rsidRPr="0032590D" w:rsidRDefault="00F16B08" w:rsidP="008D6E13">
      <w:pPr>
        <w:pStyle w:val="Heading4"/>
      </w:pPr>
      <w:r w:rsidRPr="0032590D">
        <w:t>T</w:t>
      </w:r>
      <w:r w:rsidR="00BE026F" w:rsidRPr="0032590D">
        <w:t>rade or commerce</w:t>
      </w:r>
    </w:p>
    <w:p w14:paraId="4E9C2401" w14:textId="3E9CBD6F" w:rsidR="00FF30BA" w:rsidRPr="0032590D" w:rsidRDefault="00BC5C84" w:rsidP="000A1B72">
      <w:r w:rsidRPr="0032590D">
        <w:t>The mandate is proposed to apply to c</w:t>
      </w:r>
      <w:r w:rsidR="00FF30BA" w:rsidRPr="0032590D">
        <w:t>onduct in trade or commerce</w:t>
      </w:r>
      <w:r w:rsidR="007A3E0B" w:rsidRPr="0032590D">
        <w:t xml:space="preserve"> </w:t>
      </w:r>
      <w:r w:rsidR="00AF3924" w:rsidRPr="0032590D">
        <w:t>with</w:t>
      </w:r>
      <w:r w:rsidR="007A3E0B" w:rsidRPr="0032590D">
        <w:t>in Australia</w:t>
      </w:r>
      <w:r w:rsidRPr="0032590D">
        <w:t xml:space="preserve">. </w:t>
      </w:r>
      <w:r w:rsidR="00FF30BA" w:rsidRPr="0032590D">
        <w:t xml:space="preserve">Generally, if an </w:t>
      </w:r>
      <w:r w:rsidR="00851847" w:rsidRPr="0032590D">
        <w:t xml:space="preserve">entity </w:t>
      </w:r>
      <w:r w:rsidR="00FF30BA" w:rsidRPr="0032590D">
        <w:t xml:space="preserve">engages in repeated transactions where it provides goods or services in exchange for payment, it will be </w:t>
      </w:r>
      <w:r w:rsidR="00FF222F" w:rsidRPr="0032590D">
        <w:t xml:space="preserve">carrying on </w:t>
      </w:r>
      <w:r w:rsidR="00FF30BA" w:rsidRPr="0032590D">
        <w:t>a business and doing so in trade or commerce</w:t>
      </w:r>
      <w:r w:rsidR="00ED1038" w:rsidRPr="0032590D">
        <w:t>.</w:t>
      </w:r>
    </w:p>
    <w:p w14:paraId="2E10FF77" w14:textId="1CCC0993" w:rsidR="000C646E" w:rsidRPr="0032590D" w:rsidRDefault="009A19C6" w:rsidP="000A1B72">
      <w:r w:rsidRPr="0032590D">
        <w:t>The mandate w</w:t>
      </w:r>
      <w:r w:rsidR="009C6023" w:rsidRPr="0032590D">
        <w:t xml:space="preserve">ould therefore not apply </w:t>
      </w:r>
      <w:r w:rsidRPr="0032590D">
        <w:t xml:space="preserve">to </w:t>
      </w:r>
      <w:r w:rsidR="008A3107" w:rsidRPr="0032590D">
        <w:t xml:space="preserve">private </w:t>
      </w:r>
      <w:r w:rsidR="00A15DE9" w:rsidRPr="0032590D">
        <w:t xml:space="preserve">conduct, such as </w:t>
      </w:r>
      <w:r w:rsidR="002A29F9" w:rsidRPr="0032590D">
        <w:t>the private sale of second-hand furniture</w:t>
      </w:r>
      <w:r w:rsidR="005331AE" w:rsidRPr="0032590D">
        <w:t xml:space="preserve">, or to non-business conduct, such as </w:t>
      </w:r>
      <w:r w:rsidRPr="0032590D">
        <w:t>a local school or community fete.</w:t>
      </w:r>
    </w:p>
    <w:p w14:paraId="79273F95" w14:textId="2685EF38" w:rsidR="00F16B08" w:rsidRPr="0032590D" w:rsidRDefault="008D6E13" w:rsidP="00400F41">
      <w:pPr>
        <w:pStyle w:val="Heading3"/>
      </w:pPr>
      <w:r w:rsidRPr="0032590D">
        <w:t>Mandate w</w:t>
      </w:r>
      <w:r w:rsidR="00EE7347" w:rsidRPr="0032590D">
        <w:t xml:space="preserve">ould </w:t>
      </w:r>
      <w:r w:rsidRPr="0032590D">
        <w:t>apply to government</w:t>
      </w:r>
      <w:r w:rsidR="007952C2" w:rsidRPr="0032590D">
        <w:t xml:space="preserve"> to the extent it is carrying on a business</w:t>
      </w:r>
    </w:p>
    <w:p w14:paraId="241D65E8" w14:textId="6622E7F7" w:rsidR="00A935AC" w:rsidRPr="0032590D" w:rsidRDefault="007C01A2" w:rsidP="00CA52D4">
      <w:r w:rsidRPr="0032590D">
        <w:t xml:space="preserve">The mandate </w:t>
      </w:r>
      <w:r w:rsidR="00EE7347" w:rsidRPr="0032590D">
        <w:t xml:space="preserve">is proposed to apply to </w:t>
      </w:r>
      <w:r w:rsidRPr="0032590D">
        <w:t>goods and services supplied by the Commonwealth, state, territory and local government</w:t>
      </w:r>
      <w:r w:rsidR="004514A4" w:rsidRPr="0032590D">
        <w:t>s</w:t>
      </w:r>
      <w:r w:rsidR="009A17BC" w:rsidRPr="0032590D">
        <w:t xml:space="preserve"> </w:t>
      </w:r>
      <w:r w:rsidR="00E8263F" w:rsidRPr="0032590D">
        <w:t xml:space="preserve">to the extent that </w:t>
      </w:r>
      <w:r w:rsidR="00A02A1B" w:rsidRPr="0032590D">
        <w:t xml:space="preserve">the government </w:t>
      </w:r>
      <w:r w:rsidR="00253A15" w:rsidRPr="0032590D">
        <w:t>is carrying on a business</w:t>
      </w:r>
      <w:r w:rsidR="00F929C7" w:rsidRPr="0032590D">
        <w:t>.</w:t>
      </w:r>
      <w:r w:rsidR="00F653D4" w:rsidRPr="0032590D">
        <w:rPr>
          <w:rStyle w:val="FootnoteReference"/>
        </w:rPr>
        <w:footnoteReference w:id="31"/>
      </w:r>
      <w:r w:rsidR="00CA52D4" w:rsidRPr="0032590D">
        <w:t xml:space="preserve"> </w:t>
      </w:r>
    </w:p>
    <w:p w14:paraId="2372E170" w14:textId="1E13E554" w:rsidR="00A935AC" w:rsidRPr="0032590D" w:rsidRDefault="000364D8" w:rsidP="00CA52D4">
      <w:r w:rsidRPr="0032590D">
        <w:t>Many</w:t>
      </w:r>
      <w:r w:rsidR="006D4AA9" w:rsidRPr="0032590D">
        <w:t xml:space="preserve"> services supplied by governments to consumers, </w:t>
      </w:r>
      <w:r w:rsidR="007C01A2" w:rsidRPr="0032590D">
        <w:t xml:space="preserve">such as </w:t>
      </w:r>
      <w:r w:rsidR="00F609E9" w:rsidRPr="0032590D">
        <w:t xml:space="preserve">the issuing of </w:t>
      </w:r>
      <w:r w:rsidR="007C01A2" w:rsidRPr="0032590D">
        <w:t>passport</w:t>
      </w:r>
      <w:r w:rsidR="00B15C5B" w:rsidRPr="0032590D">
        <w:t>s</w:t>
      </w:r>
      <w:r w:rsidR="002D0357" w:rsidRPr="0032590D">
        <w:t xml:space="preserve"> by the Commonwealth</w:t>
      </w:r>
      <w:r w:rsidR="008D7288" w:rsidRPr="0032590D">
        <w:t xml:space="preserve"> government</w:t>
      </w:r>
      <w:r w:rsidR="007C01A2" w:rsidRPr="0032590D">
        <w:t>, vehicle registration</w:t>
      </w:r>
      <w:r w:rsidR="002D0357" w:rsidRPr="0032590D">
        <w:t xml:space="preserve"> by state and territory governments</w:t>
      </w:r>
      <w:r w:rsidR="007C01A2" w:rsidRPr="0032590D">
        <w:t xml:space="preserve"> and </w:t>
      </w:r>
      <w:r w:rsidR="00C41CC8" w:rsidRPr="0032590D">
        <w:t xml:space="preserve">domestic waste management services </w:t>
      </w:r>
      <w:r w:rsidR="008D7288" w:rsidRPr="0032590D">
        <w:t>provided by local government</w:t>
      </w:r>
      <w:r w:rsidR="007D407C" w:rsidRPr="0032590D">
        <w:t>,</w:t>
      </w:r>
      <w:r w:rsidR="008D7288" w:rsidRPr="0032590D">
        <w:t xml:space="preserve"> </w:t>
      </w:r>
      <w:r w:rsidR="00F34CCB" w:rsidRPr="0032590D">
        <w:t xml:space="preserve">do not involve </w:t>
      </w:r>
      <w:r w:rsidR="00A935AC" w:rsidRPr="0032590D">
        <w:t>carrying on a business</w:t>
      </w:r>
      <w:r w:rsidR="00F34CCB" w:rsidRPr="0032590D">
        <w:t>.</w:t>
      </w:r>
      <w:r w:rsidR="00A935AC" w:rsidRPr="0032590D">
        <w:t xml:space="preserve"> </w:t>
      </w:r>
      <w:r w:rsidR="0033291A" w:rsidRPr="0032590D">
        <w:t xml:space="preserve">As a result, the provision of such services </w:t>
      </w:r>
      <w:r w:rsidR="00A935AC" w:rsidRPr="0032590D">
        <w:t>would not be subject to the mandate.</w:t>
      </w:r>
      <w:r w:rsidR="00C92D06" w:rsidRPr="0032590D">
        <w:t xml:space="preserve"> Governments carefully consider the impact of </w:t>
      </w:r>
      <w:r w:rsidR="00B15C5B" w:rsidRPr="0032590D">
        <w:t xml:space="preserve">payment </w:t>
      </w:r>
      <w:r w:rsidR="00C92D06" w:rsidRPr="0032590D">
        <w:t xml:space="preserve">methods </w:t>
      </w:r>
      <w:r w:rsidR="0033291A" w:rsidRPr="0032590D">
        <w:t xml:space="preserve">for the provision of </w:t>
      </w:r>
      <w:r w:rsidR="008C7468" w:rsidRPr="0032590D">
        <w:t xml:space="preserve">these </w:t>
      </w:r>
      <w:r w:rsidR="001A477A" w:rsidRPr="0032590D">
        <w:t xml:space="preserve">non-business </w:t>
      </w:r>
      <w:r w:rsidR="008C7468" w:rsidRPr="0032590D">
        <w:t xml:space="preserve">services and </w:t>
      </w:r>
      <w:r w:rsidR="00C92D06" w:rsidRPr="0032590D">
        <w:t>are directly accountable to their electorates through regular elections</w:t>
      </w:r>
      <w:r w:rsidR="008C7468" w:rsidRPr="0032590D">
        <w:t xml:space="preserve"> for the decisions they make</w:t>
      </w:r>
      <w:r w:rsidR="00C92D06" w:rsidRPr="0032590D">
        <w:t>.</w:t>
      </w:r>
    </w:p>
    <w:p w14:paraId="2A62F663" w14:textId="076215BE" w:rsidR="00CB449A" w:rsidRPr="0032590D" w:rsidRDefault="006E7E9A" w:rsidP="007C01A2">
      <w:pPr>
        <w:rPr>
          <w:rFonts w:asciiTheme="minorHAnsi" w:hAnsiTheme="minorHAnsi" w:cstheme="minorHAnsi"/>
          <w:bCs/>
        </w:rPr>
      </w:pPr>
      <w:r w:rsidRPr="0032590D">
        <w:rPr>
          <w:rFonts w:asciiTheme="minorHAnsi" w:hAnsiTheme="minorHAnsi" w:cstheme="minorHAnsi"/>
          <w:bCs/>
          <w:noProof/>
        </w:rPr>
        <mc:AlternateContent>
          <mc:Choice Requires="wps">
            <w:drawing>
              <wp:inline distT="0" distB="0" distL="0" distR="0" wp14:anchorId="58E8C196" wp14:editId="57D28B34">
                <wp:extent cx="5807676" cy="1404620"/>
                <wp:effectExtent l="0" t="0" r="3175" b="0"/>
                <wp:docPr id="18019245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7676" cy="1404620"/>
                        </a:xfrm>
                        <a:prstGeom prst="rect">
                          <a:avLst/>
                        </a:prstGeom>
                        <a:solidFill>
                          <a:schemeClr val="accent2">
                            <a:lumMod val="20000"/>
                            <a:lumOff val="80000"/>
                          </a:schemeClr>
                        </a:solidFill>
                        <a:ln w="9525">
                          <a:noFill/>
                          <a:miter lim="800000"/>
                          <a:headEnd/>
                          <a:tailEnd/>
                        </a:ln>
                      </wps:spPr>
                      <wps:txbx>
                        <w:txbxContent>
                          <w:p w14:paraId="46BA43E8" w14:textId="22CD646C" w:rsidR="00491BA9" w:rsidRPr="006E7E9A" w:rsidRDefault="00491BA9" w:rsidP="00491BA9">
                            <w:pPr>
                              <w:pStyle w:val="BoxHeading"/>
                            </w:pPr>
                            <w:r w:rsidRPr="006E7E9A">
                              <w:t xml:space="preserve">Box </w:t>
                            </w:r>
                            <w:r w:rsidR="00F479A7">
                              <w:t>3.2</w:t>
                            </w:r>
                            <w:r w:rsidRPr="006E7E9A">
                              <w:t>: Post Billpay</w:t>
                            </w:r>
                          </w:p>
                          <w:p w14:paraId="35F5369C" w14:textId="3828BBDE" w:rsidR="006E7E9A" w:rsidRPr="006E7E9A" w:rsidRDefault="006E7E9A" w:rsidP="00D64998">
                            <w:pPr>
                              <w:rPr>
                                <w:bCs/>
                              </w:rPr>
                            </w:pPr>
                            <w:r>
                              <w:rPr>
                                <w:bCs/>
                              </w:rPr>
                              <w:t>Post Billpay is a service provided by Australia Post that enables consumers to pay more than 1,000 different types of bills including gas, electricity, phone, council rates, insurance and tax. Payment is secure and can be by cash, card, cheque or PayPal. Post Billpay can be used at one of 3,400 post offices Australia wide by paying a bill over the counter or at a self-service terminal</w:t>
                            </w:r>
                            <w:r w:rsidR="00297C12">
                              <w:rPr>
                                <w:bCs/>
                              </w:rPr>
                              <w:t xml:space="preserve">. Post Billpay can also be used </w:t>
                            </w:r>
                            <w:r>
                              <w:rPr>
                                <w:bCs/>
                              </w:rPr>
                              <w:t>over the phone</w:t>
                            </w:r>
                            <w:r w:rsidR="00297C12">
                              <w:rPr>
                                <w:bCs/>
                              </w:rPr>
                              <w:t xml:space="preserve">, </w:t>
                            </w:r>
                            <w:r>
                              <w:rPr>
                                <w:bCs/>
                              </w:rPr>
                              <w:t>online</w:t>
                            </w:r>
                            <w:r w:rsidR="00297C12">
                              <w:rPr>
                                <w:bCs/>
                              </w:rPr>
                              <w:t xml:space="preserve">, </w:t>
                            </w:r>
                            <w:r>
                              <w:rPr>
                                <w:bCs/>
                              </w:rPr>
                              <w:t>and via the AusPost mobile phone app. Post Billpay protects a consumer’s personal details and provides proof of payment.</w:t>
                            </w:r>
                          </w:p>
                        </w:txbxContent>
                      </wps:txbx>
                      <wps:bodyPr rot="0" vert="horz" wrap="square" lIns="91440" tIns="45720" rIns="91440" bIns="45720" anchor="t" anchorCtr="0">
                        <a:spAutoFit/>
                      </wps:bodyPr>
                    </wps:wsp>
                  </a:graphicData>
                </a:graphic>
              </wp:inline>
            </w:drawing>
          </mc:Choice>
          <mc:Fallback>
            <w:pict>
              <v:shape w14:anchorId="58E8C196" id="_x0000_s1031" type="#_x0000_t202" style="width:457.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" fillcolor="#d8e6df [661]" stroked="f">
                <v:textbox style="mso-fit-shape-to-text:t">
                  <w:txbxContent>
                    <w:p w14:paraId="46BA43E8" w14:textId="22CD646C" w:rsidR="00491BA9" w:rsidRPr="006E7E9A" w:rsidRDefault="00491BA9" w:rsidP="00491BA9">
                      <w:pPr>
                        <w:pStyle w:val="BoxHeading"/>
                      </w:pPr>
                      <w:r w:rsidRPr="006E7E9A">
                        <w:t xml:space="preserve">Box </w:t>
                      </w:r>
                      <w:r w:rsidR="00F479A7">
                        <w:t>3.2</w:t>
                      </w:r>
                      <w:r w:rsidRPr="006E7E9A">
                        <w:t>: Post Billpay</w:t>
                      </w:r>
                    </w:p>
                    <w:p w14:paraId="35F5369C" w14:textId="3828BBDE" w:rsidR="006E7E9A" w:rsidRPr="006E7E9A" w:rsidRDefault="006E7E9A" w:rsidP="00D64998">
                      <w:pPr>
                        <w:rPr>
                          <w:bCs/>
                        </w:rPr>
                      </w:pPr>
                      <w:r>
                        <w:rPr>
                          <w:bCs/>
                        </w:rPr>
                        <w:t>Post Billpay is a service provided by Australia Post that enables consumers to pay more than 1,000 different types of bills including gas, electricity, phone, council rates, insurance and tax. Payment is secure and can be by cash, card, cheque or PayPal. Post Billpay can be used at one of 3,400 post offices Australia wide by paying a bill over the counter or at a self-service terminal</w:t>
                      </w:r>
                      <w:r w:rsidR="00297C12">
                        <w:rPr>
                          <w:bCs/>
                        </w:rPr>
                        <w:t xml:space="preserve">. Post Billpay can also be used </w:t>
                      </w:r>
                      <w:r>
                        <w:rPr>
                          <w:bCs/>
                        </w:rPr>
                        <w:t>over the phone</w:t>
                      </w:r>
                      <w:r w:rsidR="00297C12">
                        <w:rPr>
                          <w:bCs/>
                        </w:rPr>
                        <w:t xml:space="preserve">, </w:t>
                      </w:r>
                      <w:r>
                        <w:rPr>
                          <w:bCs/>
                        </w:rPr>
                        <w:t>online</w:t>
                      </w:r>
                      <w:r w:rsidR="00297C12">
                        <w:rPr>
                          <w:bCs/>
                        </w:rPr>
                        <w:t xml:space="preserve">, </w:t>
                      </w:r>
                      <w:r>
                        <w:rPr>
                          <w:bCs/>
                        </w:rPr>
                        <w:t>and via the AusPost mobile phone app. Post Billpay protects a consumer’s personal details and provides proof of payment.</w:t>
                      </w:r>
                    </w:p>
                  </w:txbxContent>
                </v:textbox>
                <w10:anchorlock/>
              </v:shape>
            </w:pict>
          </mc:Fallback>
        </mc:AlternateContent>
      </w:r>
    </w:p>
    <w:p w14:paraId="47A071BE" w14:textId="123EBC0A" w:rsidR="00DF35C0" w:rsidRPr="0032590D" w:rsidRDefault="00252CFD" w:rsidP="00985379">
      <w:pPr>
        <w:pStyle w:val="Heading2"/>
      </w:pPr>
      <w:bookmarkStart w:id="52" w:name="_Toc183137387"/>
      <w:r w:rsidRPr="0032590D">
        <w:t>Suppl</w:t>
      </w:r>
      <w:r w:rsidR="00440F86" w:rsidRPr="0032590D">
        <w:t xml:space="preserve">ies an </w:t>
      </w:r>
      <w:r w:rsidRPr="0032590D">
        <w:t xml:space="preserve">essential good or service to </w:t>
      </w:r>
      <w:r w:rsidR="00440F86" w:rsidRPr="0032590D">
        <w:t xml:space="preserve">a </w:t>
      </w:r>
      <w:r w:rsidRPr="0032590D">
        <w:t>c</w:t>
      </w:r>
      <w:r w:rsidR="00C04496" w:rsidRPr="0032590D">
        <w:t>onsumer</w:t>
      </w:r>
      <w:bookmarkEnd w:id="52"/>
    </w:p>
    <w:p w14:paraId="238741D0" w14:textId="37C9C765" w:rsidR="00C04496" w:rsidRPr="0032590D" w:rsidRDefault="00144FE5" w:rsidP="001D1D8A">
      <w:pPr>
        <w:pStyle w:val="Heading3"/>
      </w:pPr>
      <w:r w:rsidRPr="0032590D">
        <w:t>Supply</w:t>
      </w:r>
    </w:p>
    <w:p w14:paraId="2A83E0AA" w14:textId="5BF15596" w:rsidR="00644914" w:rsidRPr="0032590D" w:rsidRDefault="00AB39C7" w:rsidP="00D64998">
      <w:r w:rsidRPr="0032590D">
        <w:t xml:space="preserve">For the purposes of the </w:t>
      </w:r>
      <w:r w:rsidR="00647A5B" w:rsidRPr="0032590D">
        <w:t>mandate</w:t>
      </w:r>
      <w:r w:rsidR="001C31DB" w:rsidRPr="0032590D">
        <w:t>,</w:t>
      </w:r>
      <w:r w:rsidR="00793901" w:rsidRPr="0032590D">
        <w:t xml:space="preserve"> </w:t>
      </w:r>
      <w:r w:rsidRPr="0032590D">
        <w:t>s</w:t>
      </w:r>
      <w:r w:rsidR="005B569E" w:rsidRPr="0032590D">
        <w:t>upply is proposed to include, in relation to goods, the s</w:t>
      </w:r>
      <w:r w:rsidR="00D50061" w:rsidRPr="0032590D">
        <w:t xml:space="preserve">upply (or re-supply) by way of sale, exchange, lease, hire or hire purchase and, in relation to services, </w:t>
      </w:r>
      <w:r w:rsidR="00644914" w:rsidRPr="0032590D">
        <w:t>the provision, granting or conferral of the service.</w:t>
      </w:r>
      <w:r w:rsidR="00414EC1" w:rsidRPr="0032590D">
        <w:rPr>
          <w:rStyle w:val="FootnoteReference"/>
          <w:rFonts w:asciiTheme="minorHAnsi" w:hAnsiTheme="minorHAnsi" w:cstheme="minorHAnsi"/>
          <w:bCs/>
        </w:rPr>
        <w:footnoteReference w:id="32"/>
      </w:r>
    </w:p>
    <w:p w14:paraId="473C4996" w14:textId="1A8DCB74" w:rsidR="00E35788" w:rsidRPr="0032590D" w:rsidRDefault="00052061" w:rsidP="00D64998">
      <w:r w:rsidRPr="0032590D">
        <w:t xml:space="preserve">Consideration is being given as to whether </w:t>
      </w:r>
      <w:r w:rsidR="00B074AC" w:rsidRPr="0032590D">
        <w:t xml:space="preserve">supply, for the purposes of the mandate, should disregard the supply of an essential good or service where </w:t>
      </w:r>
      <w:r w:rsidR="001D4B83" w:rsidRPr="0032590D">
        <w:t xml:space="preserve">that supply </w:t>
      </w:r>
      <w:r w:rsidR="00B074AC" w:rsidRPr="0032590D">
        <w:t xml:space="preserve">is </w:t>
      </w:r>
      <w:r w:rsidR="00737C3E" w:rsidRPr="0032590D">
        <w:t>inconsequential</w:t>
      </w:r>
      <w:r w:rsidR="00B074AC" w:rsidRPr="0032590D">
        <w:t xml:space="preserve"> to </w:t>
      </w:r>
      <w:r w:rsidR="00706A85" w:rsidRPr="0032590D">
        <w:t xml:space="preserve">the supply of non-essential goods or services by a corporation. </w:t>
      </w:r>
      <w:r w:rsidR="00214241" w:rsidRPr="0032590D">
        <w:t>The purpose of this limitation is to avoid a business being required to accept cash</w:t>
      </w:r>
      <w:r w:rsidR="00CD5319" w:rsidRPr="0032590D">
        <w:t xml:space="preserve"> for the sale of an essential good or service when </w:t>
      </w:r>
      <w:r w:rsidR="00AD7E8F" w:rsidRPr="0032590D">
        <w:t>they do not amount to a material part of the</w:t>
      </w:r>
      <w:r w:rsidR="00056977" w:rsidRPr="0032590D">
        <w:t>ir</w:t>
      </w:r>
      <w:r w:rsidR="00AD7E8F" w:rsidRPr="0032590D">
        <w:t xml:space="preserve"> business.</w:t>
      </w:r>
    </w:p>
    <w:p w14:paraId="101A2304" w14:textId="7EFFC566" w:rsidR="00144FE5" w:rsidRPr="0032590D" w:rsidRDefault="00144FE5" w:rsidP="001D1D8A">
      <w:pPr>
        <w:pStyle w:val="Heading3"/>
      </w:pPr>
      <w:r w:rsidRPr="0032590D">
        <w:t>Essential good or service</w:t>
      </w:r>
    </w:p>
    <w:p w14:paraId="5431B82D" w14:textId="6DB330A9" w:rsidR="00D2651B" w:rsidRPr="0032590D" w:rsidRDefault="00D2651B" w:rsidP="00D2651B">
      <w:pPr>
        <w:pStyle w:val="Heading4"/>
      </w:pPr>
      <w:r w:rsidRPr="0032590D">
        <w:t>Existing definitions</w:t>
      </w:r>
      <w:r w:rsidR="006324C3" w:rsidRPr="0032590D">
        <w:t xml:space="preserve"> of an essential good or service </w:t>
      </w:r>
    </w:p>
    <w:p w14:paraId="135B5304" w14:textId="4BFF0E74" w:rsidR="00A82133" w:rsidRPr="0032590D" w:rsidRDefault="00D2651B" w:rsidP="00D64998">
      <w:r w:rsidRPr="0032590D">
        <w:t>There is no universal</w:t>
      </w:r>
      <w:r w:rsidR="008A7EE8" w:rsidRPr="0032590D">
        <w:t>ly</w:t>
      </w:r>
      <w:r w:rsidRPr="0032590D">
        <w:t xml:space="preserve"> applied definition of an essential good and service</w:t>
      </w:r>
      <w:r w:rsidR="005F6B62" w:rsidRPr="0032590D">
        <w:t xml:space="preserve"> in Australian Commonwealth, state or territory law</w:t>
      </w:r>
      <w:r w:rsidR="00124D6A" w:rsidRPr="0032590D">
        <w:t xml:space="preserve">. </w:t>
      </w:r>
      <w:r w:rsidR="00A82133" w:rsidRPr="0032590D">
        <w:t>G</w:t>
      </w:r>
      <w:r w:rsidRPr="0032590D">
        <w:t xml:space="preserve">overnments have sought to identify essential services for </w:t>
      </w:r>
      <w:r w:rsidR="00FD65F3" w:rsidRPr="0032590D">
        <w:t>a range of</w:t>
      </w:r>
      <w:r w:rsidRPr="0032590D">
        <w:t xml:space="preserve"> specific purposes. </w:t>
      </w:r>
      <w:r w:rsidR="00C12936" w:rsidRPr="0032590D">
        <w:t>A related</w:t>
      </w:r>
      <w:r w:rsidRPr="0032590D">
        <w:t xml:space="preserve"> term of ‘essential </w:t>
      </w:r>
      <w:r w:rsidR="0013510D" w:rsidRPr="0032590D">
        <w:t>worker</w:t>
      </w:r>
      <w:r w:rsidRPr="0032590D">
        <w:t>’ was used by governments during the COVID-19 pandemic to implement public health measures.</w:t>
      </w:r>
      <w:r w:rsidR="0013510D" w:rsidRPr="0032590D">
        <w:rPr>
          <w:rStyle w:val="FootnoteReference"/>
          <w:rFonts w:asciiTheme="minorHAnsi" w:hAnsiTheme="minorHAnsi" w:cstheme="minorHAnsi"/>
        </w:rPr>
        <w:footnoteReference w:id="33"/>
      </w:r>
      <w:r w:rsidRPr="0032590D">
        <w:t xml:space="preserve"> </w:t>
      </w:r>
      <w:r w:rsidR="00392C97" w:rsidRPr="0032590D">
        <w:t>A</w:t>
      </w:r>
      <w:r w:rsidR="00DB7981" w:rsidRPr="0032590D">
        <w:t xml:space="preserve">lso, </w:t>
      </w:r>
      <w:r w:rsidR="00392C97" w:rsidRPr="0032590D">
        <w:t>t</w:t>
      </w:r>
      <w:r w:rsidRPr="0032590D">
        <w:t>he New South Wales and Victoria</w:t>
      </w:r>
      <w:r w:rsidR="00607680" w:rsidRPr="0032590D">
        <w:t>n</w:t>
      </w:r>
      <w:r w:rsidRPr="0032590D">
        <w:t xml:space="preserve"> government</w:t>
      </w:r>
      <w:r w:rsidR="00607680" w:rsidRPr="0032590D">
        <w:t>s</w:t>
      </w:r>
      <w:r w:rsidRPr="0032590D">
        <w:t xml:space="preserve"> have designated particular services (such as public health, firefighting and ambulance) or industries (such as fuel, power and water) as essential</w:t>
      </w:r>
      <w:r w:rsidR="00852111" w:rsidRPr="0032590D">
        <w:t xml:space="preserve"> and conferred </w:t>
      </w:r>
      <w:r w:rsidR="00092177" w:rsidRPr="0032590D">
        <w:t>up</w:t>
      </w:r>
      <w:r w:rsidR="00335FE5" w:rsidRPr="0032590D">
        <w:t xml:space="preserve">on themselves </w:t>
      </w:r>
      <w:r w:rsidR="00092177" w:rsidRPr="0032590D">
        <w:t xml:space="preserve">broad powers to intervene </w:t>
      </w:r>
      <w:r w:rsidR="00111347" w:rsidRPr="0032590D">
        <w:t xml:space="preserve">to maintain the orderly functioning of those services </w:t>
      </w:r>
      <w:r w:rsidR="000170A9" w:rsidRPr="0032590D">
        <w:t>where they are disrupted or there is an emergency.</w:t>
      </w:r>
      <w:r w:rsidRPr="0032590D">
        <w:rPr>
          <w:rStyle w:val="FootnoteReference"/>
          <w:rFonts w:asciiTheme="minorHAnsi" w:hAnsiTheme="minorHAnsi" w:cstheme="minorHAnsi"/>
        </w:rPr>
        <w:footnoteReference w:id="34"/>
      </w:r>
      <w:r w:rsidRPr="0032590D">
        <w:t xml:space="preserve"> </w:t>
      </w:r>
    </w:p>
    <w:p w14:paraId="6301D6BF" w14:textId="2331E9BA" w:rsidR="00D2651B" w:rsidRPr="0032590D" w:rsidRDefault="00D2651B" w:rsidP="00D64998">
      <w:r w:rsidRPr="0032590D">
        <w:t>The Australian Bureau of Statistics (ABS) measure</w:t>
      </w:r>
      <w:r w:rsidR="00427A63" w:rsidRPr="0032590D">
        <w:t xml:space="preserve">s the </w:t>
      </w:r>
      <w:r w:rsidRPr="0032590D">
        <w:t xml:space="preserve">Consumer Price Index (CPI) </w:t>
      </w:r>
      <w:r w:rsidR="008F6863" w:rsidRPr="0032590D">
        <w:t xml:space="preserve">by </w:t>
      </w:r>
      <w:r w:rsidRPr="0032590D">
        <w:t>classi</w:t>
      </w:r>
      <w:r w:rsidR="008F6863" w:rsidRPr="0032590D">
        <w:t xml:space="preserve">fying </w:t>
      </w:r>
      <w:r w:rsidR="006B10E0" w:rsidRPr="0032590D">
        <w:t xml:space="preserve">87 components of </w:t>
      </w:r>
      <w:r w:rsidRPr="0032590D">
        <w:t>spending into 11 groups, including: food and non-alcoholic beverages; alcohol and tobacco; clothing and footwear; housing</w:t>
      </w:r>
      <w:r w:rsidR="007A44AF" w:rsidRPr="0032590D">
        <w:t>;</w:t>
      </w:r>
      <w:r w:rsidRPr="0032590D">
        <w:t xml:space="preserve"> furnishings, household equipment and services; health; transport; communication; recreation and culture; education; and insurance and financial services. </w:t>
      </w:r>
      <w:r w:rsidR="00485F03" w:rsidRPr="0032590D">
        <w:t>The ABS has also analysed the 87 comp</w:t>
      </w:r>
      <w:r w:rsidR="006C3FCA" w:rsidRPr="0032590D">
        <w:t xml:space="preserve">onents by dividing them into “non-discretionary” and “discretionary” spending. </w:t>
      </w:r>
      <w:r w:rsidR="00607B78" w:rsidRPr="0032590D">
        <w:t xml:space="preserve">The ABS </w:t>
      </w:r>
      <w:r w:rsidR="00EC1D98" w:rsidRPr="0032590D">
        <w:t xml:space="preserve">notes that </w:t>
      </w:r>
      <w:r w:rsidR="00345001" w:rsidRPr="0032590D">
        <w:t xml:space="preserve">there is no international </w:t>
      </w:r>
      <w:r w:rsidR="007A2C4B" w:rsidRPr="0032590D">
        <w:t xml:space="preserve">standard or </w:t>
      </w:r>
      <w:r w:rsidR="00345001" w:rsidRPr="0032590D">
        <w:t>defi</w:t>
      </w:r>
      <w:r w:rsidR="00607B78" w:rsidRPr="0032590D">
        <w:t xml:space="preserve">nition </w:t>
      </w:r>
      <w:r w:rsidR="007A2C4B" w:rsidRPr="0032590D">
        <w:t xml:space="preserve">for </w:t>
      </w:r>
      <w:r w:rsidR="005B687B" w:rsidRPr="0032590D">
        <w:t>“</w:t>
      </w:r>
      <w:r w:rsidR="007A2C4B" w:rsidRPr="0032590D">
        <w:t>non-discretionary</w:t>
      </w:r>
      <w:r w:rsidR="005B687B" w:rsidRPr="0032590D">
        <w:t>”</w:t>
      </w:r>
      <w:r w:rsidR="007A2C4B" w:rsidRPr="0032590D">
        <w:t xml:space="preserve"> and </w:t>
      </w:r>
      <w:r w:rsidR="005B687B" w:rsidRPr="0032590D">
        <w:t>“</w:t>
      </w:r>
      <w:r w:rsidR="007A2C4B" w:rsidRPr="0032590D">
        <w:t>discretionary</w:t>
      </w:r>
      <w:r w:rsidR="00BC46CE" w:rsidRPr="0032590D">
        <w:t>” household</w:t>
      </w:r>
      <w:r w:rsidR="007A2C4B" w:rsidRPr="0032590D">
        <w:t xml:space="preserve"> spending</w:t>
      </w:r>
      <w:r w:rsidR="005B687B" w:rsidRPr="0032590D">
        <w:t xml:space="preserve"> and </w:t>
      </w:r>
      <w:r w:rsidR="00EC1D98" w:rsidRPr="0032590D">
        <w:t xml:space="preserve">acknowledges that any </w:t>
      </w:r>
      <w:r w:rsidR="006E4854" w:rsidRPr="0032590D">
        <w:t>such distinction is somewhat subject</w:t>
      </w:r>
      <w:r w:rsidR="00345001" w:rsidRPr="0032590D">
        <w:t>ive</w:t>
      </w:r>
      <w:r w:rsidR="00A220FC" w:rsidRPr="0032590D">
        <w:t>. For the purposes of analysis, t</w:t>
      </w:r>
      <w:r w:rsidRPr="0032590D">
        <w:t>he ABS define</w:t>
      </w:r>
      <w:r w:rsidR="00A220FC" w:rsidRPr="0032590D">
        <w:t>d</w:t>
      </w:r>
      <w:r w:rsidRPr="0032590D">
        <w:t xml:space="preserve"> “non-discretionary” </w:t>
      </w:r>
      <w:r w:rsidR="00D16370" w:rsidRPr="0032590D">
        <w:t>goods and services to be</w:t>
      </w:r>
      <w:r w:rsidRPr="0032590D">
        <w:t>:</w:t>
      </w:r>
      <w:r w:rsidR="00D47C0D" w:rsidRPr="0032590D">
        <w:rPr>
          <w:rStyle w:val="FootnoteReference"/>
          <w:rFonts w:asciiTheme="minorHAnsi" w:hAnsiTheme="minorHAnsi" w:cstheme="minorHAnsi"/>
        </w:rPr>
        <w:footnoteReference w:id="35"/>
      </w:r>
    </w:p>
    <w:p w14:paraId="5898592B" w14:textId="08097BFD" w:rsidR="00D2651B" w:rsidRPr="0032590D" w:rsidRDefault="00BC46CE" w:rsidP="00776EA8">
      <w:pPr>
        <w:ind w:left="720"/>
      </w:pPr>
      <w:r w:rsidRPr="0032590D">
        <w:t xml:space="preserve">Goods or services which are purchased </w:t>
      </w:r>
      <w:r w:rsidR="00412262" w:rsidRPr="0032590D">
        <w:t xml:space="preserve">to </w:t>
      </w:r>
      <w:r w:rsidR="00D2651B" w:rsidRPr="0032590D">
        <w:t>meet a basic need (food, shelter, healthcare), are required to maintain current living arrangements (car maintenance, school fees), or are a legal obligation (compulsory insurance, stamp duty).</w:t>
      </w:r>
    </w:p>
    <w:p w14:paraId="161B2931" w14:textId="06F26D16" w:rsidR="001C2F6E" w:rsidRPr="0032590D" w:rsidRDefault="00D2651B" w:rsidP="00D64998">
      <w:r w:rsidRPr="0032590D">
        <w:t xml:space="preserve">The ABS </w:t>
      </w:r>
      <w:r w:rsidR="00472B7F" w:rsidRPr="0032590D">
        <w:t xml:space="preserve">defined </w:t>
      </w:r>
      <w:r w:rsidRPr="0032590D">
        <w:t xml:space="preserve">“discretionary” </w:t>
      </w:r>
      <w:r w:rsidR="00A271C3" w:rsidRPr="0032590D">
        <w:t xml:space="preserve">goods and services to </w:t>
      </w:r>
      <w:r w:rsidRPr="0032590D">
        <w:t>be optional purchases</w:t>
      </w:r>
      <w:r w:rsidR="00DD1A81" w:rsidRPr="0032590D">
        <w:t xml:space="preserve"> which included </w:t>
      </w:r>
      <w:r w:rsidR="00215293" w:rsidRPr="0032590D">
        <w:t>take away meals, alcohol and holidays</w:t>
      </w:r>
      <w:r w:rsidRPr="0032590D">
        <w:t>.</w:t>
      </w:r>
      <w:r w:rsidR="00215293" w:rsidRPr="0032590D">
        <w:rPr>
          <w:rStyle w:val="FootnoteReference"/>
          <w:rFonts w:asciiTheme="minorHAnsi" w:hAnsiTheme="minorHAnsi" w:cstheme="minorHAnsi"/>
        </w:rPr>
        <w:footnoteReference w:id="36"/>
      </w:r>
    </w:p>
    <w:p w14:paraId="67A1A328" w14:textId="2A6DFF52" w:rsidR="00D2651B" w:rsidRPr="0032590D" w:rsidRDefault="00D2651B" w:rsidP="00D64998">
      <w:r w:rsidRPr="0032590D">
        <w:t>The Melbourne Institute’</w:t>
      </w:r>
      <w:r w:rsidR="005C2213" w:rsidRPr="0032590D">
        <w:t>s</w:t>
      </w:r>
      <w:r w:rsidRPr="0032590D">
        <w:t xml:space="preserve"> Household Expenditure Measure classifies the ABS </w:t>
      </w:r>
      <w:r w:rsidR="00F3655B" w:rsidRPr="0032590D">
        <w:t xml:space="preserve">87 components </w:t>
      </w:r>
      <w:r w:rsidRPr="0032590D">
        <w:t xml:space="preserve">into </w:t>
      </w:r>
      <w:r w:rsidR="00212B06" w:rsidRPr="0032590D">
        <w:t xml:space="preserve">three </w:t>
      </w:r>
      <w:r w:rsidR="00E736F7" w:rsidRPr="0032590D">
        <w:t xml:space="preserve">broad </w:t>
      </w:r>
      <w:r w:rsidR="00212B06" w:rsidRPr="0032590D">
        <w:t xml:space="preserve">categories of </w:t>
      </w:r>
      <w:r w:rsidRPr="0032590D">
        <w:t>“absolute basics”, “discretionary basics” and “non-basics”</w:t>
      </w:r>
      <w:r w:rsidR="00212B06" w:rsidRPr="0032590D">
        <w:t>.</w:t>
      </w:r>
      <w:r w:rsidRPr="0032590D">
        <w:rPr>
          <w:rStyle w:val="FootnoteReference"/>
          <w:rFonts w:asciiTheme="minorHAnsi" w:hAnsiTheme="minorHAnsi" w:cstheme="minorHAnsi"/>
        </w:rPr>
        <w:footnoteReference w:id="37"/>
      </w:r>
      <w:r w:rsidR="00212B06" w:rsidRPr="0032590D">
        <w:t xml:space="preserve"> </w:t>
      </w:r>
    </w:p>
    <w:p w14:paraId="3EFD1BE2" w14:textId="77777777" w:rsidR="00D2651B" w:rsidRPr="0032590D" w:rsidRDefault="00D2651B" w:rsidP="00776EA8">
      <w:pPr>
        <w:pStyle w:val="Bullet"/>
      </w:pPr>
      <w:r w:rsidRPr="0032590D">
        <w:t xml:space="preserve">Absolute basics are most foods items, children’s clothing, utilities, transport costs and communications. </w:t>
      </w:r>
    </w:p>
    <w:p w14:paraId="0F238B97" w14:textId="77777777" w:rsidR="00D2651B" w:rsidRPr="0032590D" w:rsidRDefault="00D2651B" w:rsidP="00776EA8">
      <w:pPr>
        <w:pStyle w:val="Bullet"/>
      </w:pPr>
      <w:r w:rsidRPr="0032590D">
        <w:t>Discretionary basics include take-away food, restaurants, confectionery, alcohol and tobacco, adult clothing, and entertainment.</w:t>
      </w:r>
    </w:p>
    <w:p w14:paraId="61AED534" w14:textId="28AF38CD" w:rsidR="00D2651B" w:rsidRPr="0032590D" w:rsidRDefault="00D2651B" w:rsidP="00776EA8">
      <w:pPr>
        <w:pStyle w:val="Bullet"/>
      </w:pPr>
      <w:r w:rsidRPr="0032590D">
        <w:t xml:space="preserve">Non-basics </w:t>
      </w:r>
      <w:r w:rsidR="002E49EC" w:rsidRPr="0032590D">
        <w:t>include luxury services such as gardeners and overseas holidays</w:t>
      </w:r>
      <w:r w:rsidRPr="0032590D">
        <w:t>.</w:t>
      </w:r>
    </w:p>
    <w:p w14:paraId="61BBDB59" w14:textId="51AFFAC7" w:rsidR="007C01A2" w:rsidRPr="0032590D" w:rsidRDefault="000A5FB0" w:rsidP="00D64998">
      <w:r w:rsidRPr="0032590D">
        <w:t>The Hous</w:t>
      </w:r>
      <w:r w:rsidR="00041480" w:rsidRPr="0032590D">
        <w:t>ehold</w:t>
      </w:r>
      <w:r w:rsidRPr="0032590D">
        <w:t xml:space="preserve"> Expenditure Measure </w:t>
      </w:r>
      <w:r w:rsidR="00C6285F" w:rsidRPr="0032590D">
        <w:t>does not include r</w:t>
      </w:r>
      <w:r w:rsidRPr="0032590D">
        <w:t>ents</w:t>
      </w:r>
      <w:r w:rsidR="00C6285F" w:rsidRPr="0032590D">
        <w:t xml:space="preserve"> </w:t>
      </w:r>
      <w:r w:rsidR="006C1C7B" w:rsidRPr="0032590D">
        <w:t>or</w:t>
      </w:r>
      <w:r w:rsidR="00C6285F" w:rsidRPr="0032590D">
        <w:t xml:space="preserve"> </w:t>
      </w:r>
      <w:r w:rsidRPr="0032590D">
        <w:t xml:space="preserve">mortgage payments </w:t>
      </w:r>
      <w:r w:rsidR="00BC78A8" w:rsidRPr="0032590D">
        <w:t>as it is a measure that excludes</w:t>
      </w:r>
      <w:r w:rsidRPr="0032590D">
        <w:t>-housing costs</w:t>
      </w:r>
      <w:r w:rsidR="00BC78A8" w:rsidRPr="0032590D">
        <w:t xml:space="preserve">. This has allowed the </w:t>
      </w:r>
      <w:r w:rsidR="00F570B1" w:rsidRPr="0032590D">
        <w:t xml:space="preserve">Household Expenditure Measure to be </w:t>
      </w:r>
      <w:r w:rsidR="00041480" w:rsidRPr="0032590D">
        <w:t xml:space="preserve">used to assess the ability of </w:t>
      </w:r>
      <w:r w:rsidR="00F570B1" w:rsidRPr="0032590D">
        <w:t>borrowers to service a housing loan.</w:t>
      </w:r>
    </w:p>
    <w:p w14:paraId="560EC2EE" w14:textId="50D87709" w:rsidR="004C7D0A" w:rsidRPr="0032590D" w:rsidRDefault="004C7D0A" w:rsidP="00D64998">
      <w:r w:rsidRPr="0032590D">
        <w:t xml:space="preserve">A table at </w:t>
      </w:r>
      <w:r w:rsidRPr="0032590D">
        <w:rPr>
          <w:u w:val="single"/>
        </w:rPr>
        <w:t xml:space="preserve">Appendix </w:t>
      </w:r>
      <w:r w:rsidR="005B560B" w:rsidRPr="0032590D">
        <w:rPr>
          <w:u w:val="single"/>
        </w:rPr>
        <w:t>C</w:t>
      </w:r>
      <w:r w:rsidRPr="0032590D">
        <w:t xml:space="preserve"> </w:t>
      </w:r>
      <w:r w:rsidR="0092129C" w:rsidRPr="0032590D">
        <w:t xml:space="preserve">provides a list of the 87 components </w:t>
      </w:r>
      <w:r w:rsidR="002B2623" w:rsidRPr="0032590D">
        <w:t xml:space="preserve">of the CPI </w:t>
      </w:r>
      <w:r w:rsidR="0092129C" w:rsidRPr="0032590D">
        <w:t xml:space="preserve">and shows their classification </w:t>
      </w:r>
      <w:r w:rsidR="00FD6597" w:rsidRPr="0032590D">
        <w:t xml:space="preserve">by the ABS into </w:t>
      </w:r>
      <w:r w:rsidR="0092129C" w:rsidRPr="0032590D">
        <w:t>non-discretionary</w:t>
      </w:r>
      <w:r w:rsidR="00FD6597" w:rsidRPr="0032590D">
        <w:t xml:space="preserve"> and</w:t>
      </w:r>
      <w:r w:rsidR="0092129C" w:rsidRPr="0032590D">
        <w:t xml:space="preserve"> discretionary</w:t>
      </w:r>
      <w:r w:rsidR="00FD6597" w:rsidRPr="0032590D">
        <w:t xml:space="preserve"> </w:t>
      </w:r>
      <w:r w:rsidR="002B2623" w:rsidRPr="0032590D">
        <w:t>items</w:t>
      </w:r>
      <w:r w:rsidR="009716DD" w:rsidRPr="0032590D">
        <w:t xml:space="preserve"> </w:t>
      </w:r>
      <w:r w:rsidR="00BF0462" w:rsidRPr="0032590D">
        <w:t>and shows the</w:t>
      </w:r>
      <w:r w:rsidR="00C4480B" w:rsidRPr="0032590D">
        <w:t>ir classification by the Melbourne Institute into absolute basic need, discretionary basics and non-basics.</w:t>
      </w:r>
    </w:p>
    <w:p w14:paraId="354F9799" w14:textId="260A132E" w:rsidR="003E0DC7" w:rsidRPr="0032590D" w:rsidRDefault="003E0DC7" w:rsidP="003E0DC7">
      <w:pPr>
        <w:pStyle w:val="Heading4"/>
      </w:pPr>
      <w:r w:rsidRPr="0032590D">
        <w:t>Proposed definition</w:t>
      </w:r>
      <w:r w:rsidR="00510622" w:rsidRPr="0032590D">
        <w:t xml:space="preserve"> of essential good</w:t>
      </w:r>
      <w:r w:rsidR="00F874D5" w:rsidRPr="0032590D">
        <w:t>s and services</w:t>
      </w:r>
    </w:p>
    <w:p w14:paraId="147C20E6" w14:textId="18335104" w:rsidR="0006737F" w:rsidRPr="0032590D" w:rsidRDefault="008F5989" w:rsidP="005A51FC">
      <w:r w:rsidRPr="0032590D">
        <w:t xml:space="preserve">Without a universal definition of essential goods and services available </w:t>
      </w:r>
      <w:r w:rsidR="00CF4816" w:rsidRPr="0032590D">
        <w:t xml:space="preserve">we have </w:t>
      </w:r>
      <w:r w:rsidRPr="0032590D">
        <w:t xml:space="preserve">drawn </w:t>
      </w:r>
      <w:r w:rsidR="00A00C69" w:rsidRPr="0032590D">
        <w:t xml:space="preserve">on the above examples from </w:t>
      </w:r>
      <w:r w:rsidR="009E3140" w:rsidRPr="0032590D">
        <w:t>the Commonwealth, state and territory governments, the ABS and the Melbourne Institute</w:t>
      </w:r>
      <w:r w:rsidR="00BE42D8" w:rsidRPr="0032590D">
        <w:t>.</w:t>
      </w:r>
      <w:r w:rsidR="00CA33C0" w:rsidRPr="0032590D">
        <w:t xml:space="preserve">  </w:t>
      </w:r>
      <w:r w:rsidR="00E92ED5" w:rsidRPr="0032590D">
        <w:t>The mandate is proposed to apply to</w:t>
      </w:r>
      <w:r w:rsidR="00EC54AD" w:rsidRPr="0032590D">
        <w:t xml:space="preserve"> </w:t>
      </w:r>
      <w:r w:rsidR="00A060A5" w:rsidRPr="0032590D">
        <w:t xml:space="preserve">corporations supplying </w:t>
      </w:r>
      <w:r w:rsidR="00EC54AD" w:rsidRPr="0032590D">
        <w:t xml:space="preserve">essential goods </w:t>
      </w:r>
      <w:r w:rsidR="001817A5" w:rsidRPr="0032590D">
        <w:t xml:space="preserve">or </w:t>
      </w:r>
      <w:r w:rsidR="00EC54AD" w:rsidRPr="0032590D">
        <w:t>services</w:t>
      </w:r>
      <w:r w:rsidR="00754BA7" w:rsidRPr="0032590D">
        <w:t xml:space="preserve">, that is </w:t>
      </w:r>
      <w:r w:rsidR="001817A5" w:rsidRPr="0032590D">
        <w:t xml:space="preserve">goods or services </w:t>
      </w:r>
      <w:r w:rsidR="00174C57" w:rsidRPr="0032590D">
        <w:t xml:space="preserve">that </w:t>
      </w:r>
      <w:r w:rsidR="00687FEA" w:rsidRPr="0032590D">
        <w:t xml:space="preserve">are purchased by </w:t>
      </w:r>
      <w:r w:rsidR="00A060A5" w:rsidRPr="0032590D">
        <w:t>consumer</w:t>
      </w:r>
      <w:r w:rsidR="00B70F81" w:rsidRPr="0032590D">
        <w:t>s</w:t>
      </w:r>
      <w:r w:rsidR="00687FEA" w:rsidRPr="0032590D">
        <w:t xml:space="preserve"> to meet absolute basic need</w:t>
      </w:r>
      <w:r w:rsidR="00DC2731" w:rsidRPr="0032590D">
        <w:t>s</w:t>
      </w:r>
      <w:r w:rsidR="00C504A5" w:rsidRPr="0032590D">
        <w:t xml:space="preserve">, </w:t>
      </w:r>
      <w:r w:rsidR="004125C7" w:rsidRPr="0032590D">
        <w:t xml:space="preserve">are </w:t>
      </w:r>
      <w:r w:rsidR="00CC7A3F" w:rsidRPr="0032590D">
        <w:t>c</w:t>
      </w:r>
      <w:r w:rsidR="00CC65E1" w:rsidRPr="0032590D">
        <w:t xml:space="preserve">ritical </w:t>
      </w:r>
      <w:r w:rsidR="00687FEA" w:rsidRPr="0032590D">
        <w:t>to maintain</w:t>
      </w:r>
      <w:r w:rsidR="00CC65E1" w:rsidRPr="0032590D">
        <w:t>ing</w:t>
      </w:r>
      <w:r w:rsidR="00687FEA" w:rsidRPr="0032590D">
        <w:t xml:space="preserve"> day to day living arrangements</w:t>
      </w:r>
      <w:r w:rsidR="00C504A5" w:rsidRPr="0032590D">
        <w:t>,</w:t>
      </w:r>
      <w:r w:rsidR="00CC65E1" w:rsidRPr="0032590D">
        <w:t xml:space="preserve"> or are compulsory</w:t>
      </w:r>
      <w:r w:rsidR="00687FEA" w:rsidRPr="0032590D">
        <w:t>.</w:t>
      </w:r>
      <w:r w:rsidR="00F0117E" w:rsidRPr="0032590D">
        <w:t xml:space="preserve"> </w:t>
      </w:r>
      <w:r w:rsidR="007E69FE" w:rsidRPr="0032590D">
        <w:t xml:space="preserve">In applying this definition, the focus </w:t>
      </w:r>
      <w:r w:rsidR="00D816F1" w:rsidRPr="0032590D">
        <w:t xml:space="preserve">is on </w:t>
      </w:r>
      <w:r w:rsidR="00DE7068" w:rsidRPr="0032590D">
        <w:t xml:space="preserve">typical circumstances for </w:t>
      </w:r>
      <w:r w:rsidR="007E69FE" w:rsidRPr="0032590D">
        <w:t>consumers</w:t>
      </w:r>
      <w:r w:rsidR="000C65DF" w:rsidRPr="0032590D">
        <w:t xml:space="preserve">. </w:t>
      </w:r>
      <w:r w:rsidR="00433A63" w:rsidRPr="0032590D">
        <w:t>While some goods or services may be essential for a minor</w:t>
      </w:r>
      <w:r w:rsidR="00DE6DA7" w:rsidRPr="0032590D">
        <w:t xml:space="preserve">ity, </w:t>
      </w:r>
      <w:r w:rsidR="00C14623" w:rsidRPr="0032590D">
        <w:t>t</w:t>
      </w:r>
      <w:r w:rsidR="00365405" w:rsidRPr="0032590D">
        <w:t xml:space="preserve">he mandate is focused on </w:t>
      </w:r>
      <w:r w:rsidR="00AA70FA" w:rsidRPr="0032590D">
        <w:t>cash acceptance for goods and services need</w:t>
      </w:r>
      <w:r w:rsidR="009D7AAF" w:rsidRPr="0032590D">
        <w:t>ed</w:t>
      </w:r>
      <w:r w:rsidR="00AA70FA" w:rsidRPr="0032590D">
        <w:t xml:space="preserve"> by most </w:t>
      </w:r>
      <w:r w:rsidR="00E93238" w:rsidRPr="0032590D">
        <w:t>consumers</w:t>
      </w:r>
      <w:r w:rsidR="00AA70FA" w:rsidRPr="0032590D">
        <w:t>.</w:t>
      </w:r>
    </w:p>
    <w:p w14:paraId="13CA6D8A" w14:textId="77777777" w:rsidR="0006737F" w:rsidRPr="0032590D" w:rsidRDefault="00340CF8" w:rsidP="00687FEA">
      <w:r w:rsidRPr="0032590D">
        <w:t xml:space="preserve">Goods or services are required to meet </w:t>
      </w:r>
      <w:r w:rsidR="00DC2731" w:rsidRPr="0032590D">
        <w:t>absolute basic need</w:t>
      </w:r>
      <w:r w:rsidRPr="0032590D">
        <w:t>s if there is no reasonable substitute that can meet that need.</w:t>
      </w:r>
      <w:r w:rsidR="00C87D1C" w:rsidRPr="0032590D">
        <w:t xml:space="preserve"> Where </w:t>
      </w:r>
      <w:r w:rsidR="00C13882" w:rsidRPr="0032590D">
        <w:t>good</w:t>
      </w:r>
      <w:r w:rsidR="00146977" w:rsidRPr="0032590D">
        <w:t>s</w:t>
      </w:r>
      <w:r w:rsidR="00C13882" w:rsidRPr="0032590D">
        <w:t xml:space="preserve"> or service</w:t>
      </w:r>
      <w:r w:rsidR="00146977" w:rsidRPr="0032590D">
        <w:t>s</w:t>
      </w:r>
      <w:r w:rsidR="00C13882" w:rsidRPr="0032590D">
        <w:t xml:space="preserve"> can be substituted to meet absolute basic need</w:t>
      </w:r>
      <w:r w:rsidR="00146977" w:rsidRPr="0032590D">
        <w:t>s</w:t>
      </w:r>
      <w:r w:rsidR="00C13882" w:rsidRPr="0032590D">
        <w:t xml:space="preserve">, </w:t>
      </w:r>
      <w:r w:rsidR="00146977" w:rsidRPr="0032590D">
        <w:t xml:space="preserve">they are not essential. </w:t>
      </w:r>
      <w:r w:rsidR="005F7496" w:rsidRPr="0032590D">
        <w:t xml:space="preserve">For example, restaurant meals are not essential as </w:t>
      </w:r>
      <w:r w:rsidR="00BF5BBE" w:rsidRPr="0032590D">
        <w:t xml:space="preserve">the need for food can be met through a home cooked meal prepared with </w:t>
      </w:r>
      <w:r w:rsidR="00A935C8" w:rsidRPr="0032590D">
        <w:t>food from a supermarket.</w:t>
      </w:r>
      <w:r w:rsidR="00C87ADD" w:rsidRPr="0032590D">
        <w:t xml:space="preserve"> </w:t>
      </w:r>
    </w:p>
    <w:p w14:paraId="0C91936E" w14:textId="77777777" w:rsidR="0006737F" w:rsidRPr="0032590D" w:rsidRDefault="00C87ADD" w:rsidP="00687FEA">
      <w:r w:rsidRPr="0032590D">
        <w:t xml:space="preserve">Goods </w:t>
      </w:r>
      <w:r w:rsidR="00546DC0" w:rsidRPr="0032590D">
        <w:t xml:space="preserve">or services </w:t>
      </w:r>
      <w:r w:rsidR="00CB7DCD" w:rsidRPr="0032590D">
        <w:t xml:space="preserve">that </w:t>
      </w:r>
      <w:r w:rsidR="00546DC0" w:rsidRPr="0032590D">
        <w:t xml:space="preserve">are critical to maintaining day to day living arrangements are those </w:t>
      </w:r>
      <w:r w:rsidR="00CB7DCD" w:rsidRPr="0032590D">
        <w:t xml:space="preserve">without which </w:t>
      </w:r>
      <w:r w:rsidR="00296B3F" w:rsidRPr="0032590D">
        <w:t xml:space="preserve">a person’s </w:t>
      </w:r>
      <w:r w:rsidR="00FD2C43" w:rsidRPr="0032590D">
        <w:t xml:space="preserve">circumstances may be </w:t>
      </w:r>
      <w:r w:rsidR="004D7568" w:rsidRPr="0032590D">
        <w:t xml:space="preserve">altered in a fundamental way, for example, their housing would become </w:t>
      </w:r>
      <w:r w:rsidR="00B7453E" w:rsidRPr="0032590D">
        <w:t>uninhabitable,</w:t>
      </w:r>
      <w:r w:rsidR="00DB7E35" w:rsidRPr="0032590D">
        <w:t xml:space="preserve"> or the</w:t>
      </w:r>
      <w:r w:rsidR="0006737F" w:rsidRPr="0032590D">
        <w:t xml:space="preserve"> person </w:t>
      </w:r>
      <w:r w:rsidR="00786EA5" w:rsidRPr="0032590D">
        <w:t>would be unable to maintain employment.</w:t>
      </w:r>
      <w:r w:rsidR="00546DC0" w:rsidRPr="0032590D">
        <w:t xml:space="preserve"> </w:t>
      </w:r>
    </w:p>
    <w:p w14:paraId="377DC2A4" w14:textId="6775A7C3" w:rsidR="00041034" w:rsidRPr="0032590D" w:rsidRDefault="00B7453E" w:rsidP="00687FEA">
      <w:r w:rsidRPr="0032590D">
        <w:t xml:space="preserve">Goods or services that are compulsory </w:t>
      </w:r>
      <w:r w:rsidR="00B26789" w:rsidRPr="0032590D">
        <w:t xml:space="preserve">are those </w:t>
      </w:r>
      <w:r w:rsidR="0092107C" w:rsidRPr="0032590D">
        <w:t xml:space="preserve">required by law, for example, </w:t>
      </w:r>
      <w:r w:rsidR="00E330C8" w:rsidRPr="0032590D">
        <w:t xml:space="preserve">compulsory </w:t>
      </w:r>
      <w:r w:rsidR="0092107C" w:rsidRPr="0032590D">
        <w:t xml:space="preserve">third party insurance </w:t>
      </w:r>
      <w:r w:rsidR="0094198C" w:rsidRPr="0032590D">
        <w:t xml:space="preserve">required when a </w:t>
      </w:r>
      <w:r w:rsidR="00435E60" w:rsidRPr="0032590D">
        <w:t>motor vehicle is registered.</w:t>
      </w:r>
      <w:r w:rsidR="00EB1C56" w:rsidRPr="0032590D">
        <w:rPr>
          <w:rStyle w:val="FootnoteReference"/>
        </w:rPr>
        <w:footnoteReference w:id="38"/>
      </w:r>
    </w:p>
    <w:p w14:paraId="24B3BB7E" w14:textId="6C499909" w:rsidR="00531BBE" w:rsidRPr="0032590D" w:rsidRDefault="00531BBE" w:rsidP="007C5D4D">
      <w:pPr>
        <w:pStyle w:val="Heading4"/>
      </w:pPr>
      <w:r w:rsidRPr="0032590D">
        <w:t xml:space="preserve">Essential goods and services by </w:t>
      </w:r>
      <w:r w:rsidR="007C5D4D" w:rsidRPr="0032590D">
        <w:t>CPI group</w:t>
      </w:r>
    </w:p>
    <w:p w14:paraId="2FC5BB4C" w14:textId="58C51C4A" w:rsidR="00531BBE" w:rsidRPr="0032590D" w:rsidRDefault="009423D0" w:rsidP="003E0DC7">
      <w:r w:rsidRPr="0032590D">
        <w:t xml:space="preserve">Drawing on the proposed definition, Table </w:t>
      </w:r>
      <w:r w:rsidR="001433C3" w:rsidRPr="0032590D">
        <w:t>3.1</w:t>
      </w:r>
      <w:r w:rsidRPr="0032590D">
        <w:t xml:space="preserve"> </w:t>
      </w:r>
      <w:r w:rsidR="006B19E7" w:rsidRPr="0032590D">
        <w:t xml:space="preserve">provides a proposed </w:t>
      </w:r>
      <w:r w:rsidRPr="0032590D">
        <w:t>classifi</w:t>
      </w:r>
      <w:r w:rsidR="006B19E7" w:rsidRPr="0032590D">
        <w:t xml:space="preserve">cation of goods and services into </w:t>
      </w:r>
      <w:r w:rsidR="003F7AD4" w:rsidRPr="0032590D">
        <w:t>“</w:t>
      </w:r>
      <w:r w:rsidR="006B19E7" w:rsidRPr="0032590D">
        <w:t>essential</w:t>
      </w:r>
      <w:r w:rsidR="00F25D7B" w:rsidRPr="0032590D">
        <w:t xml:space="preserve"> goods and services</w:t>
      </w:r>
      <w:r w:rsidR="003F7AD4" w:rsidRPr="0032590D">
        <w:t>”</w:t>
      </w:r>
      <w:r w:rsidR="00F25D7B" w:rsidRPr="0032590D">
        <w:t xml:space="preserve"> and</w:t>
      </w:r>
      <w:r w:rsidR="006B19E7" w:rsidRPr="0032590D">
        <w:t xml:space="preserve"> </w:t>
      </w:r>
      <w:r w:rsidR="003F7AD4" w:rsidRPr="0032590D">
        <w:t>“</w:t>
      </w:r>
      <w:r w:rsidR="006B19E7" w:rsidRPr="0032590D">
        <w:t>non-essential</w:t>
      </w:r>
      <w:r w:rsidR="00F25D7B" w:rsidRPr="0032590D">
        <w:t xml:space="preserve"> goods and services</w:t>
      </w:r>
      <w:r w:rsidR="003F7AD4" w:rsidRPr="0032590D">
        <w:t>”.</w:t>
      </w:r>
    </w:p>
    <w:p w14:paraId="0FE550C3" w14:textId="1A626403" w:rsidR="007C5D4D" w:rsidRPr="0032590D" w:rsidRDefault="007C5D4D" w:rsidP="0044385B">
      <w:pPr>
        <w:pStyle w:val="TableMainHeading"/>
      </w:pPr>
      <w:r w:rsidRPr="0032590D">
        <w:t xml:space="preserve">Table </w:t>
      </w:r>
      <w:r w:rsidR="00B97A6D" w:rsidRPr="0032590D">
        <w:t>3.1</w:t>
      </w:r>
      <w:r w:rsidRPr="0032590D">
        <w:t xml:space="preserve">: </w:t>
      </w:r>
      <w:r w:rsidR="007851A9" w:rsidRPr="0032590D">
        <w:t xml:space="preserve">Proposed cash acceptance mandate classification of goods and services </w:t>
      </w:r>
    </w:p>
    <w:tbl>
      <w:tblPr>
        <w:tblStyle w:val="TableGrid"/>
        <w:tblpPr w:leftFromText="180" w:rightFromText="180" w:vertAnchor="text" w:tblpY="1"/>
        <w:tblOverlap w:val="neve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3500"/>
        <w:gridCol w:w="3500"/>
      </w:tblGrid>
      <w:tr w:rsidR="00CB5226" w:rsidRPr="0032590D" w14:paraId="6E88759F" w14:textId="77777777" w:rsidTr="00F25D7B">
        <w:trPr>
          <w:cnfStyle w:val="100000000000" w:firstRow="1" w:lastRow="0" w:firstColumn="0" w:lastColumn="0" w:oddVBand="0" w:evenVBand="0" w:oddHBand="0" w:evenHBand="0" w:firstRowFirstColumn="0" w:firstRowLastColumn="0" w:lastRowFirstColumn="0" w:lastRowLastColumn="0"/>
          <w:tblHeader/>
        </w:trPr>
        <w:tc>
          <w:tcPr>
            <w:tcW w:w="2265" w:type="dxa"/>
          </w:tcPr>
          <w:p w14:paraId="0185BAAE" w14:textId="2AEE7422" w:rsidR="00CB5226" w:rsidRPr="0032590D" w:rsidRDefault="001141B4" w:rsidP="009B5CBC">
            <w:pPr>
              <w:spacing w:beforeLines="0" w:before="0" w:afterLines="0" w:after="0"/>
              <w:rPr>
                <w:rFonts w:cs="Calibri Light"/>
              </w:rPr>
            </w:pPr>
            <w:r w:rsidRPr="0032590D">
              <w:rPr>
                <w:rFonts w:cs="Calibri Light"/>
              </w:rPr>
              <w:t>CPI g</w:t>
            </w:r>
            <w:r w:rsidR="00CB5226" w:rsidRPr="0032590D">
              <w:rPr>
                <w:rFonts w:cs="Calibri Light"/>
              </w:rPr>
              <w:t>roup</w:t>
            </w:r>
          </w:p>
        </w:tc>
        <w:tc>
          <w:tcPr>
            <w:tcW w:w="3500" w:type="dxa"/>
          </w:tcPr>
          <w:p w14:paraId="3EBDE4C0" w14:textId="4D926256" w:rsidR="00CB5226" w:rsidRPr="0032590D" w:rsidRDefault="00CB5226" w:rsidP="009B5CBC">
            <w:pPr>
              <w:spacing w:beforeLines="0" w:before="0" w:afterLines="0" w:after="0"/>
            </w:pPr>
            <w:r w:rsidRPr="0032590D">
              <w:t>Essential good or service</w:t>
            </w:r>
          </w:p>
        </w:tc>
        <w:tc>
          <w:tcPr>
            <w:tcW w:w="3500" w:type="dxa"/>
          </w:tcPr>
          <w:p w14:paraId="387EAB90" w14:textId="249F417E" w:rsidR="00CB5226" w:rsidRPr="0032590D" w:rsidRDefault="00CB5226" w:rsidP="009B5CBC">
            <w:pPr>
              <w:spacing w:beforeLines="0" w:before="0" w:afterLines="0" w:after="0"/>
            </w:pPr>
            <w:r w:rsidRPr="0032590D">
              <w:t>Non-essential good or service</w:t>
            </w:r>
          </w:p>
        </w:tc>
      </w:tr>
      <w:tr w:rsidR="00CB5226" w:rsidRPr="0032590D" w14:paraId="0383357E" w14:textId="77777777" w:rsidTr="00F25D7B">
        <w:tc>
          <w:tcPr>
            <w:tcW w:w="2265" w:type="dxa"/>
          </w:tcPr>
          <w:p w14:paraId="20CE7EAC" w14:textId="417E96B4" w:rsidR="00CB5226" w:rsidRPr="0032590D" w:rsidRDefault="00CB5226" w:rsidP="009B5CBC">
            <w:pPr>
              <w:spacing w:before="0" w:after="0"/>
              <w:rPr>
                <w:rFonts w:cs="Calibri Light"/>
              </w:rPr>
            </w:pPr>
            <w:r w:rsidRPr="0032590D">
              <w:rPr>
                <w:rFonts w:cs="Calibri Light"/>
              </w:rPr>
              <w:t>Food and beverage</w:t>
            </w:r>
          </w:p>
        </w:tc>
        <w:tc>
          <w:tcPr>
            <w:tcW w:w="3500" w:type="dxa"/>
          </w:tcPr>
          <w:p w14:paraId="3FFC49D4" w14:textId="6B408121" w:rsidR="00CB5226" w:rsidRPr="0032590D" w:rsidRDefault="000C10A2" w:rsidP="009B5CBC">
            <w:pPr>
              <w:spacing w:before="0" w:after="0"/>
            </w:pPr>
            <w:r w:rsidRPr="0032590D">
              <w:t xml:space="preserve">Most </w:t>
            </w:r>
            <w:r w:rsidR="00AA18D0" w:rsidRPr="0032590D">
              <w:t>bread and cereal products</w:t>
            </w:r>
            <w:r w:rsidR="00B37671" w:rsidRPr="0032590D">
              <w:t>;</w:t>
            </w:r>
            <w:r w:rsidR="00AA18D0" w:rsidRPr="0032590D">
              <w:t xml:space="preserve"> all meat and seafood</w:t>
            </w:r>
            <w:r w:rsidR="00CC5889" w:rsidRPr="0032590D">
              <w:t>;</w:t>
            </w:r>
            <w:r w:rsidR="00AA18D0" w:rsidRPr="0032590D">
              <w:t xml:space="preserve"> </w:t>
            </w:r>
            <w:r w:rsidR="00336E8B" w:rsidRPr="0032590D">
              <w:t>milk and cheese</w:t>
            </w:r>
            <w:r w:rsidR="00CC5889" w:rsidRPr="0032590D">
              <w:t>;</w:t>
            </w:r>
            <w:r w:rsidR="00336E8B" w:rsidRPr="0032590D">
              <w:t xml:space="preserve"> </w:t>
            </w:r>
            <w:r w:rsidR="005664F1" w:rsidRPr="0032590D">
              <w:t>all fruit and vegetables</w:t>
            </w:r>
            <w:r w:rsidR="00CC5889" w:rsidRPr="0032590D">
              <w:t>;</w:t>
            </w:r>
            <w:r w:rsidR="00417EB0" w:rsidRPr="0032590D">
              <w:t xml:space="preserve"> most other food products</w:t>
            </w:r>
            <w:r w:rsidR="00CC5889" w:rsidRPr="0032590D">
              <w:t>;</w:t>
            </w:r>
            <w:r w:rsidR="00417EB0" w:rsidRPr="0032590D">
              <w:t xml:space="preserve"> and coffee</w:t>
            </w:r>
            <w:r w:rsidR="005F1432" w:rsidRPr="0032590D">
              <w:t>, tea and cocoa</w:t>
            </w:r>
          </w:p>
        </w:tc>
        <w:tc>
          <w:tcPr>
            <w:tcW w:w="3500" w:type="dxa"/>
          </w:tcPr>
          <w:p w14:paraId="0DB212AD" w14:textId="27F964A3" w:rsidR="00CB5226" w:rsidRPr="0032590D" w:rsidRDefault="00AA18D0" w:rsidP="009B5CBC">
            <w:pPr>
              <w:spacing w:before="0" w:after="0"/>
            </w:pPr>
            <w:r w:rsidRPr="0032590D">
              <w:t>Cakes and biscuits</w:t>
            </w:r>
            <w:r w:rsidR="00CC5889" w:rsidRPr="0032590D">
              <w:t>;</w:t>
            </w:r>
            <w:r w:rsidR="00336E8B" w:rsidRPr="0032590D">
              <w:t xml:space="preserve"> </w:t>
            </w:r>
            <w:r w:rsidR="00EC42BC" w:rsidRPr="0032590D">
              <w:t>snacks and confectionery</w:t>
            </w:r>
            <w:r w:rsidR="00CC5889" w:rsidRPr="0032590D">
              <w:t>;</w:t>
            </w:r>
            <w:r w:rsidR="003F39F2" w:rsidRPr="0032590D">
              <w:t xml:space="preserve"> </w:t>
            </w:r>
            <w:r w:rsidR="005664F1" w:rsidRPr="0032590D">
              <w:t>ice cream and other dairy products</w:t>
            </w:r>
            <w:r w:rsidR="00CC5889" w:rsidRPr="0032590D">
              <w:t>;</w:t>
            </w:r>
            <w:r w:rsidR="003F39F2" w:rsidRPr="0032590D">
              <w:t xml:space="preserve"> and soft drinks and juices</w:t>
            </w:r>
            <w:r w:rsidR="00B5277C" w:rsidRPr="0032590D">
              <w:t>;</w:t>
            </w:r>
            <w:r w:rsidR="00867DAE" w:rsidRPr="0032590D">
              <w:t xml:space="preserve"> </w:t>
            </w:r>
            <w:r w:rsidR="003D6441" w:rsidRPr="0032590D">
              <w:t>and meals out and take away foods</w:t>
            </w:r>
          </w:p>
        </w:tc>
      </w:tr>
      <w:tr w:rsidR="00276C52" w:rsidRPr="0032590D" w14:paraId="42B5DEA5" w14:textId="77777777" w:rsidTr="00F25D7B">
        <w:tc>
          <w:tcPr>
            <w:tcW w:w="2265" w:type="dxa"/>
          </w:tcPr>
          <w:p w14:paraId="7773021A" w14:textId="4DA33EF2" w:rsidR="00276C52" w:rsidRPr="0032590D" w:rsidRDefault="00276C52" w:rsidP="009B5CBC">
            <w:pPr>
              <w:spacing w:before="0" w:after="0"/>
              <w:rPr>
                <w:rFonts w:cs="Calibri Light"/>
              </w:rPr>
            </w:pPr>
            <w:r w:rsidRPr="0032590D">
              <w:rPr>
                <w:rFonts w:cs="Calibri Light"/>
              </w:rPr>
              <w:t>Alcohol and tobacco</w:t>
            </w:r>
          </w:p>
        </w:tc>
        <w:tc>
          <w:tcPr>
            <w:tcW w:w="3500" w:type="dxa"/>
          </w:tcPr>
          <w:p w14:paraId="122497DC" w14:textId="77777777" w:rsidR="00276C52" w:rsidRPr="0032590D" w:rsidRDefault="00276C52" w:rsidP="009B5CBC">
            <w:pPr>
              <w:spacing w:before="0" w:after="0"/>
            </w:pPr>
          </w:p>
        </w:tc>
        <w:tc>
          <w:tcPr>
            <w:tcW w:w="3500" w:type="dxa"/>
          </w:tcPr>
          <w:p w14:paraId="2CB54F74" w14:textId="02C3A7A7" w:rsidR="00276C52" w:rsidRPr="0032590D" w:rsidRDefault="00B75F14" w:rsidP="009B5CBC">
            <w:pPr>
              <w:spacing w:before="0" w:after="0"/>
            </w:pPr>
            <w:r w:rsidRPr="0032590D">
              <w:t>All alcoholic beverages and tobacco</w:t>
            </w:r>
          </w:p>
        </w:tc>
      </w:tr>
      <w:tr w:rsidR="00CB5226" w:rsidRPr="0032590D" w14:paraId="6BCE08E7" w14:textId="77777777" w:rsidTr="00F25D7B">
        <w:tc>
          <w:tcPr>
            <w:tcW w:w="2265" w:type="dxa"/>
          </w:tcPr>
          <w:p w14:paraId="1748022C" w14:textId="30684744" w:rsidR="00CB5226" w:rsidRPr="0032590D" w:rsidRDefault="00CB5226" w:rsidP="009B5CBC">
            <w:pPr>
              <w:spacing w:before="0" w:after="0"/>
              <w:rPr>
                <w:rFonts w:cs="Calibri Light"/>
              </w:rPr>
            </w:pPr>
            <w:r w:rsidRPr="0032590D">
              <w:rPr>
                <w:rFonts w:cs="Calibri Light"/>
              </w:rPr>
              <w:t>Clothing and footwear</w:t>
            </w:r>
          </w:p>
        </w:tc>
        <w:tc>
          <w:tcPr>
            <w:tcW w:w="3500" w:type="dxa"/>
          </w:tcPr>
          <w:p w14:paraId="4FF8B0C0" w14:textId="2361DFE7" w:rsidR="00CB5226" w:rsidRPr="0032590D" w:rsidRDefault="009923D7" w:rsidP="009B5CBC">
            <w:pPr>
              <w:spacing w:before="0" w:after="0"/>
            </w:pPr>
            <w:r w:rsidRPr="0032590D">
              <w:t xml:space="preserve">Garments </w:t>
            </w:r>
            <w:r w:rsidR="00FD41DB" w:rsidRPr="0032590D">
              <w:t>and footwear for infants and children</w:t>
            </w:r>
          </w:p>
        </w:tc>
        <w:tc>
          <w:tcPr>
            <w:tcW w:w="3500" w:type="dxa"/>
          </w:tcPr>
          <w:p w14:paraId="5BEE9B70" w14:textId="2A1F0E5E" w:rsidR="00CB5226" w:rsidRPr="0032590D" w:rsidRDefault="00DF1236" w:rsidP="009B5CBC">
            <w:pPr>
              <w:spacing w:before="0" w:after="0"/>
            </w:pPr>
            <w:r w:rsidRPr="0032590D">
              <w:t>Garments</w:t>
            </w:r>
            <w:r w:rsidR="0071563A" w:rsidRPr="0032590D">
              <w:t xml:space="preserve">, </w:t>
            </w:r>
            <w:r w:rsidRPr="0032590D">
              <w:t>footwear</w:t>
            </w:r>
            <w:r w:rsidR="0071563A" w:rsidRPr="0032590D">
              <w:t xml:space="preserve">, accessories and jewellery </w:t>
            </w:r>
            <w:r w:rsidRPr="0032590D">
              <w:t>for women and men</w:t>
            </w:r>
            <w:r w:rsidR="00B37671" w:rsidRPr="0032590D">
              <w:t>;</w:t>
            </w:r>
            <w:r w:rsidR="00FE4166" w:rsidRPr="0032590D">
              <w:t xml:space="preserve"> </w:t>
            </w:r>
            <w:r w:rsidR="00B60A5E" w:rsidRPr="0032590D">
              <w:t xml:space="preserve">and tailoring, </w:t>
            </w:r>
            <w:r w:rsidR="00443F33" w:rsidRPr="0032590D">
              <w:t>dry cleaning and shoe repairs</w:t>
            </w:r>
          </w:p>
        </w:tc>
      </w:tr>
      <w:tr w:rsidR="00CB5226" w:rsidRPr="0032590D" w14:paraId="1C5FDE34" w14:textId="77777777" w:rsidTr="00F25D7B">
        <w:tc>
          <w:tcPr>
            <w:tcW w:w="2265" w:type="dxa"/>
          </w:tcPr>
          <w:p w14:paraId="11B8112F" w14:textId="7E82DAA0" w:rsidR="00CB5226" w:rsidRPr="0032590D" w:rsidRDefault="00CB5226" w:rsidP="009B5CBC">
            <w:pPr>
              <w:spacing w:before="0" w:after="0"/>
              <w:rPr>
                <w:rFonts w:cs="Calibri Light"/>
              </w:rPr>
            </w:pPr>
            <w:r w:rsidRPr="0032590D">
              <w:rPr>
                <w:rFonts w:cs="Calibri Light"/>
              </w:rPr>
              <w:t>H</w:t>
            </w:r>
            <w:r w:rsidR="00472F6C" w:rsidRPr="0032590D">
              <w:rPr>
                <w:rFonts w:cs="Calibri Light"/>
              </w:rPr>
              <w:t>ousing</w:t>
            </w:r>
          </w:p>
        </w:tc>
        <w:tc>
          <w:tcPr>
            <w:tcW w:w="3500" w:type="dxa"/>
          </w:tcPr>
          <w:p w14:paraId="4261E8E8" w14:textId="4420BE16" w:rsidR="00CB5226" w:rsidRPr="0032590D" w:rsidRDefault="005015C7" w:rsidP="009B5CBC">
            <w:pPr>
              <w:spacing w:before="0" w:after="0"/>
            </w:pPr>
            <w:r w:rsidRPr="0032590D">
              <w:t>Utilities</w:t>
            </w:r>
            <w:r w:rsidR="001A3519" w:rsidRPr="0032590D">
              <w:t>:</w:t>
            </w:r>
            <w:r w:rsidR="00AB4CBE" w:rsidRPr="0032590D">
              <w:t xml:space="preserve"> including </w:t>
            </w:r>
            <w:r w:rsidR="00BA4917" w:rsidRPr="0032590D">
              <w:t>water and sewerage</w:t>
            </w:r>
            <w:r w:rsidR="00BD41C3" w:rsidRPr="0032590D">
              <w:t>, electricity, gas and other household fuels</w:t>
            </w:r>
            <w:r w:rsidR="00655EA6" w:rsidRPr="0032590D">
              <w:t>;</w:t>
            </w:r>
            <w:r w:rsidR="008D5367" w:rsidRPr="0032590D">
              <w:t xml:space="preserve"> </w:t>
            </w:r>
            <w:r w:rsidR="00EF0172" w:rsidRPr="0032590D">
              <w:t>and dwelling maintenance and repair services</w:t>
            </w:r>
          </w:p>
        </w:tc>
        <w:tc>
          <w:tcPr>
            <w:tcW w:w="3500" w:type="dxa"/>
          </w:tcPr>
          <w:p w14:paraId="0C971DD3" w14:textId="77777777" w:rsidR="00CB5226" w:rsidRPr="0032590D" w:rsidRDefault="00CB5226" w:rsidP="009B5CBC">
            <w:pPr>
              <w:spacing w:before="0" w:after="0"/>
            </w:pPr>
          </w:p>
        </w:tc>
      </w:tr>
      <w:tr w:rsidR="009C6408" w:rsidRPr="0032590D" w14:paraId="70D4C5B8" w14:textId="77777777" w:rsidTr="00F25D7B">
        <w:tc>
          <w:tcPr>
            <w:tcW w:w="2265" w:type="dxa"/>
          </w:tcPr>
          <w:p w14:paraId="47577F0D" w14:textId="36ADA782" w:rsidR="009C6408" w:rsidRPr="0032590D" w:rsidRDefault="00851710" w:rsidP="009B5CBC">
            <w:pPr>
              <w:spacing w:before="0" w:after="0"/>
              <w:rPr>
                <w:rFonts w:cs="Calibri Light"/>
              </w:rPr>
            </w:pPr>
            <w:r w:rsidRPr="0032590D">
              <w:rPr>
                <w:rFonts w:cs="Calibri Light"/>
              </w:rPr>
              <w:t>Furnishings, household equipment and services</w:t>
            </w:r>
          </w:p>
        </w:tc>
        <w:tc>
          <w:tcPr>
            <w:tcW w:w="3500" w:type="dxa"/>
          </w:tcPr>
          <w:p w14:paraId="2DC4EC4D" w14:textId="236BBEEB" w:rsidR="009C6408" w:rsidRPr="0032590D" w:rsidRDefault="00EF0172" w:rsidP="009B5CBC">
            <w:pPr>
              <w:spacing w:before="0" w:after="0"/>
            </w:pPr>
            <w:r w:rsidRPr="0032590D">
              <w:t>Childcare</w:t>
            </w:r>
            <w:r w:rsidR="00D34BE8" w:rsidRPr="0032590D">
              <w:t>;</w:t>
            </w:r>
            <w:r w:rsidRPr="0032590D">
              <w:t xml:space="preserve"> cleaning</w:t>
            </w:r>
            <w:r w:rsidR="00660BD2" w:rsidRPr="0032590D">
              <w:t xml:space="preserve"> and maintenance products</w:t>
            </w:r>
            <w:r w:rsidR="00D34BE8" w:rsidRPr="0032590D">
              <w:t>;</w:t>
            </w:r>
            <w:r w:rsidR="00660BD2" w:rsidRPr="0032590D">
              <w:t xml:space="preserve"> and personal care products</w:t>
            </w:r>
          </w:p>
        </w:tc>
        <w:tc>
          <w:tcPr>
            <w:tcW w:w="3500" w:type="dxa"/>
          </w:tcPr>
          <w:p w14:paraId="7822F9C4" w14:textId="4578E8DC" w:rsidR="009C6408" w:rsidRPr="0032590D" w:rsidRDefault="0024204C" w:rsidP="009B5CBC">
            <w:pPr>
              <w:spacing w:before="0" w:after="0"/>
            </w:pPr>
            <w:r w:rsidRPr="0032590D">
              <w:t>Furniture and furnishings</w:t>
            </w:r>
            <w:r w:rsidR="00D34BE8" w:rsidRPr="0032590D">
              <w:t>;</w:t>
            </w:r>
            <w:r w:rsidRPr="0032590D">
              <w:t xml:space="preserve"> household textiles</w:t>
            </w:r>
            <w:r w:rsidR="00D34BE8" w:rsidRPr="0032590D">
              <w:t>;</w:t>
            </w:r>
            <w:r w:rsidRPr="0032590D">
              <w:t xml:space="preserve"> </w:t>
            </w:r>
            <w:r w:rsidR="00BF0580" w:rsidRPr="0032590D">
              <w:t>household appliances</w:t>
            </w:r>
            <w:r w:rsidR="00D34BE8" w:rsidRPr="0032590D">
              <w:t>;</w:t>
            </w:r>
            <w:r w:rsidR="00BF0580" w:rsidRPr="0032590D">
              <w:t xml:space="preserve"> utensils and tools</w:t>
            </w:r>
            <w:r w:rsidR="00926040" w:rsidRPr="0032590D">
              <w:t>;</w:t>
            </w:r>
            <w:r w:rsidR="00E05AD2" w:rsidRPr="0032590D">
              <w:rPr>
                <w:u w:val="single"/>
              </w:rPr>
              <w:t xml:space="preserve"> </w:t>
            </w:r>
            <w:r w:rsidR="00E05AD2" w:rsidRPr="0032590D">
              <w:t xml:space="preserve">and </w:t>
            </w:r>
            <w:r w:rsidR="00086E91" w:rsidRPr="0032590D">
              <w:t xml:space="preserve">hairdressing services </w:t>
            </w:r>
          </w:p>
        </w:tc>
      </w:tr>
      <w:tr w:rsidR="009C6408" w:rsidRPr="0032590D" w14:paraId="00B2E733" w14:textId="77777777" w:rsidTr="00F25D7B">
        <w:tc>
          <w:tcPr>
            <w:tcW w:w="2265" w:type="dxa"/>
          </w:tcPr>
          <w:p w14:paraId="61CDF50F" w14:textId="0515F18F" w:rsidR="009C6408" w:rsidRPr="0032590D" w:rsidRDefault="00851710" w:rsidP="009B5CBC">
            <w:pPr>
              <w:spacing w:before="0" w:after="0"/>
              <w:rPr>
                <w:rFonts w:cs="Calibri Light"/>
              </w:rPr>
            </w:pPr>
            <w:r w:rsidRPr="0032590D">
              <w:rPr>
                <w:rFonts w:cs="Calibri Light"/>
              </w:rPr>
              <w:t>Health</w:t>
            </w:r>
          </w:p>
        </w:tc>
        <w:tc>
          <w:tcPr>
            <w:tcW w:w="3500" w:type="dxa"/>
          </w:tcPr>
          <w:p w14:paraId="2171E7E8" w14:textId="4DD70FD8" w:rsidR="009C6408" w:rsidRPr="0032590D" w:rsidRDefault="00617C44" w:rsidP="009B5CBC">
            <w:pPr>
              <w:spacing w:before="0" w:after="0"/>
            </w:pPr>
            <w:r w:rsidRPr="0032590D">
              <w:t xml:space="preserve">Medicines, </w:t>
            </w:r>
            <w:r w:rsidR="00E86275" w:rsidRPr="0032590D">
              <w:t>m</w:t>
            </w:r>
            <w:r w:rsidR="0016328C" w:rsidRPr="0032590D">
              <w:t>edical products, appliances and equipment</w:t>
            </w:r>
            <w:r w:rsidR="00EF0172" w:rsidRPr="0032590D">
              <w:t>;</w:t>
            </w:r>
            <w:r w:rsidR="00695DC6" w:rsidRPr="0032590D">
              <w:t xml:space="preserve"> and medical</w:t>
            </w:r>
            <w:r w:rsidR="00EF0172" w:rsidRPr="0032590D">
              <w:t xml:space="preserve">, </w:t>
            </w:r>
            <w:r w:rsidR="00695DC6" w:rsidRPr="0032590D">
              <w:t>dental</w:t>
            </w:r>
            <w:r w:rsidR="00EF0172" w:rsidRPr="0032590D">
              <w:t>, and allied health</w:t>
            </w:r>
            <w:r w:rsidR="00695DC6" w:rsidRPr="0032590D">
              <w:t xml:space="preserve"> services</w:t>
            </w:r>
          </w:p>
        </w:tc>
        <w:tc>
          <w:tcPr>
            <w:tcW w:w="3500" w:type="dxa"/>
          </w:tcPr>
          <w:p w14:paraId="3EF96560" w14:textId="779C08F9" w:rsidR="009C6408" w:rsidRPr="0032590D" w:rsidRDefault="00EF0172" w:rsidP="009B5CBC">
            <w:pPr>
              <w:spacing w:before="0" w:after="0"/>
            </w:pPr>
            <w:r w:rsidRPr="0032590D">
              <w:t>Private hospital services</w:t>
            </w:r>
          </w:p>
        </w:tc>
      </w:tr>
      <w:tr w:rsidR="009C6408" w:rsidRPr="0032590D" w14:paraId="4050B793" w14:textId="77777777" w:rsidTr="00F25D7B">
        <w:tc>
          <w:tcPr>
            <w:tcW w:w="2265" w:type="dxa"/>
          </w:tcPr>
          <w:p w14:paraId="5AEAB6CE" w14:textId="329833E7" w:rsidR="009C6408" w:rsidRPr="0032590D" w:rsidRDefault="009C6408" w:rsidP="009B5CBC">
            <w:pPr>
              <w:spacing w:before="0" w:after="0"/>
              <w:rPr>
                <w:rFonts w:cs="Calibri Light"/>
              </w:rPr>
            </w:pPr>
            <w:r w:rsidRPr="0032590D">
              <w:rPr>
                <w:rFonts w:cs="Calibri Light"/>
              </w:rPr>
              <w:t>Transport</w:t>
            </w:r>
          </w:p>
        </w:tc>
        <w:tc>
          <w:tcPr>
            <w:tcW w:w="3500" w:type="dxa"/>
          </w:tcPr>
          <w:p w14:paraId="706C5011" w14:textId="56AEB574" w:rsidR="009C6408" w:rsidRPr="0032590D" w:rsidRDefault="00EF0172" w:rsidP="009B5CBC">
            <w:pPr>
              <w:spacing w:before="0" w:after="0"/>
            </w:pPr>
            <w:r w:rsidRPr="0032590D">
              <w:t>Automotive fuel, spare parts and accessories</w:t>
            </w:r>
            <w:r w:rsidR="00FA7161" w:rsidRPr="0032590D">
              <w:t>; and</w:t>
            </w:r>
            <w:r w:rsidRPr="0032590D">
              <w:t xml:space="preserve"> </w:t>
            </w:r>
            <w:r w:rsidR="00FA7161" w:rsidRPr="0032590D">
              <w:t xml:space="preserve">automotive </w:t>
            </w:r>
            <w:r w:rsidRPr="0032590D">
              <w:t>maintenance and repair services</w:t>
            </w:r>
          </w:p>
        </w:tc>
        <w:tc>
          <w:tcPr>
            <w:tcW w:w="3500" w:type="dxa"/>
          </w:tcPr>
          <w:p w14:paraId="2B7B9D5D" w14:textId="41DA9BC5" w:rsidR="009C6408" w:rsidRPr="0032590D" w:rsidRDefault="00EF0172" w:rsidP="009B5CBC">
            <w:pPr>
              <w:spacing w:before="0" w:after="0"/>
            </w:pPr>
            <w:r w:rsidRPr="0032590D">
              <w:t>Motor vehicles and transport services</w:t>
            </w:r>
          </w:p>
        </w:tc>
      </w:tr>
      <w:tr w:rsidR="009C6408" w:rsidRPr="0032590D" w14:paraId="736819E7" w14:textId="77777777" w:rsidTr="00F25D7B">
        <w:tc>
          <w:tcPr>
            <w:tcW w:w="2265" w:type="dxa"/>
          </w:tcPr>
          <w:p w14:paraId="5213CD46" w14:textId="47CFEB6F" w:rsidR="009C6408" w:rsidRPr="0032590D" w:rsidRDefault="009C6408" w:rsidP="009B5CBC">
            <w:pPr>
              <w:spacing w:before="0" w:after="0"/>
              <w:rPr>
                <w:rFonts w:cs="Calibri Light"/>
              </w:rPr>
            </w:pPr>
            <w:r w:rsidRPr="0032590D">
              <w:rPr>
                <w:rFonts w:cs="Calibri Light"/>
              </w:rPr>
              <w:t>Communication</w:t>
            </w:r>
          </w:p>
        </w:tc>
        <w:tc>
          <w:tcPr>
            <w:tcW w:w="3500" w:type="dxa"/>
          </w:tcPr>
          <w:p w14:paraId="44DEB9F8" w14:textId="7D606D27" w:rsidR="009C6408" w:rsidRPr="0032590D" w:rsidRDefault="00EF0172" w:rsidP="009B5CBC">
            <w:pPr>
              <w:spacing w:before="0" w:after="0"/>
            </w:pPr>
            <w:r w:rsidRPr="0032590D">
              <w:t>Postal services (excluding parcel services)</w:t>
            </w:r>
            <w:r w:rsidR="003C17EC" w:rsidRPr="0032590D">
              <w:t>;</w:t>
            </w:r>
            <w:r w:rsidRPr="0032590D">
              <w:t xml:space="preserve"> and telecommunications equipment and services</w:t>
            </w:r>
          </w:p>
        </w:tc>
        <w:tc>
          <w:tcPr>
            <w:tcW w:w="3500" w:type="dxa"/>
          </w:tcPr>
          <w:p w14:paraId="723EEF1D" w14:textId="77777777" w:rsidR="009C6408" w:rsidRPr="0032590D" w:rsidRDefault="009C6408" w:rsidP="009B5CBC">
            <w:pPr>
              <w:spacing w:before="0" w:after="0"/>
            </w:pPr>
          </w:p>
        </w:tc>
      </w:tr>
      <w:tr w:rsidR="009C6408" w:rsidRPr="0032590D" w14:paraId="15829CB6" w14:textId="77777777" w:rsidTr="00F25D7B">
        <w:tc>
          <w:tcPr>
            <w:tcW w:w="2265" w:type="dxa"/>
          </w:tcPr>
          <w:p w14:paraId="46B302D9" w14:textId="2C56A4CC" w:rsidR="009C6408" w:rsidRPr="0032590D" w:rsidRDefault="00851710" w:rsidP="009B5CBC">
            <w:pPr>
              <w:spacing w:before="0" w:after="0"/>
              <w:rPr>
                <w:rFonts w:cs="Calibri Light"/>
              </w:rPr>
            </w:pPr>
            <w:r w:rsidRPr="0032590D">
              <w:rPr>
                <w:rFonts w:cs="Calibri Light"/>
              </w:rPr>
              <w:t>Recreation and culture</w:t>
            </w:r>
          </w:p>
        </w:tc>
        <w:tc>
          <w:tcPr>
            <w:tcW w:w="3500" w:type="dxa"/>
          </w:tcPr>
          <w:p w14:paraId="2878DB3D" w14:textId="3D6FF452" w:rsidR="009C6408" w:rsidRPr="0032590D" w:rsidRDefault="00B46F4E" w:rsidP="009B5CBC">
            <w:pPr>
              <w:spacing w:before="0" w:after="0"/>
            </w:pPr>
            <w:r w:rsidRPr="0032590D">
              <w:t>Pets</w:t>
            </w:r>
            <w:r w:rsidR="00E24609" w:rsidRPr="0032590D">
              <w:t>;</w:t>
            </w:r>
            <w:r w:rsidRPr="0032590D">
              <w:t xml:space="preserve"> pet products</w:t>
            </w:r>
            <w:r w:rsidR="00E24609" w:rsidRPr="0032590D">
              <w:t>;</w:t>
            </w:r>
            <w:r w:rsidRPr="0032590D">
              <w:t xml:space="preserve"> and vet</w:t>
            </w:r>
            <w:r w:rsidR="00B10595" w:rsidRPr="0032590D">
              <w:t>erinary services for pets</w:t>
            </w:r>
          </w:p>
        </w:tc>
        <w:tc>
          <w:tcPr>
            <w:tcW w:w="3500" w:type="dxa"/>
          </w:tcPr>
          <w:p w14:paraId="18266F25" w14:textId="7B63E6DA" w:rsidR="009C6408" w:rsidRPr="0032590D" w:rsidRDefault="00EF0172" w:rsidP="009B5CBC">
            <w:pPr>
              <w:spacing w:before="0" w:after="0"/>
            </w:pPr>
            <w:r w:rsidRPr="0032590D">
              <w:t>Audio, visual and computing equipment and services; newspapers, books and stationery; holiday travel and accommodation; sporting, camping, boating and recreational activities and equipment; games, toys and hobbies; galleries, museums, parks and gardens; creative and performing arts; and gambling activities</w:t>
            </w:r>
          </w:p>
        </w:tc>
      </w:tr>
      <w:tr w:rsidR="009C6408" w:rsidRPr="0032590D" w14:paraId="3CA54217" w14:textId="77777777" w:rsidTr="00F25D7B">
        <w:tc>
          <w:tcPr>
            <w:tcW w:w="2265" w:type="dxa"/>
          </w:tcPr>
          <w:p w14:paraId="592C0E0E" w14:textId="27111853" w:rsidR="009C6408" w:rsidRPr="0032590D" w:rsidRDefault="006A6D69" w:rsidP="009B5CBC">
            <w:pPr>
              <w:spacing w:before="0" w:after="0"/>
              <w:rPr>
                <w:rFonts w:cs="Calibri Light"/>
              </w:rPr>
            </w:pPr>
            <w:r w:rsidRPr="0032590D">
              <w:rPr>
                <w:rFonts w:cs="Calibri Light"/>
              </w:rPr>
              <w:t>Education</w:t>
            </w:r>
          </w:p>
        </w:tc>
        <w:tc>
          <w:tcPr>
            <w:tcW w:w="3500" w:type="dxa"/>
          </w:tcPr>
          <w:p w14:paraId="1C042DA5" w14:textId="5D6A6C2A" w:rsidR="009C6408" w:rsidRPr="0032590D" w:rsidRDefault="00EF0172" w:rsidP="009B5CBC">
            <w:pPr>
              <w:spacing w:before="0" w:after="0"/>
            </w:pPr>
            <w:r w:rsidRPr="0032590D">
              <w:t>Preschool, primary and secondary education</w:t>
            </w:r>
          </w:p>
        </w:tc>
        <w:tc>
          <w:tcPr>
            <w:tcW w:w="3500" w:type="dxa"/>
          </w:tcPr>
          <w:p w14:paraId="2DFC21B1" w14:textId="0600992C" w:rsidR="009C6408" w:rsidRPr="0032590D" w:rsidRDefault="00EF0172" w:rsidP="009B5CBC">
            <w:pPr>
              <w:spacing w:before="0" w:after="0"/>
            </w:pPr>
            <w:r w:rsidRPr="0032590D">
              <w:t>Vocational education and training; and higher education</w:t>
            </w:r>
          </w:p>
        </w:tc>
      </w:tr>
      <w:tr w:rsidR="009C6408" w:rsidRPr="0032590D" w14:paraId="4D1D461B" w14:textId="77777777" w:rsidTr="00F25D7B">
        <w:tc>
          <w:tcPr>
            <w:tcW w:w="2265" w:type="dxa"/>
          </w:tcPr>
          <w:p w14:paraId="6C48EBD2" w14:textId="652F97FB" w:rsidR="009C6408" w:rsidRPr="0032590D" w:rsidRDefault="006A6D69" w:rsidP="009B5CBC">
            <w:pPr>
              <w:spacing w:before="0" w:after="0"/>
              <w:rPr>
                <w:rFonts w:cs="Calibri Light"/>
              </w:rPr>
            </w:pPr>
            <w:r w:rsidRPr="0032590D">
              <w:rPr>
                <w:rFonts w:cs="Calibri Light"/>
              </w:rPr>
              <w:t>Insurance and financial services</w:t>
            </w:r>
          </w:p>
        </w:tc>
        <w:tc>
          <w:tcPr>
            <w:tcW w:w="3500" w:type="dxa"/>
          </w:tcPr>
          <w:p w14:paraId="39FEEF9C" w14:textId="7CFDE74E" w:rsidR="009C6408" w:rsidRPr="0032590D" w:rsidRDefault="00EF0172" w:rsidP="009B5CBC">
            <w:pPr>
              <w:spacing w:before="0" w:after="0"/>
            </w:pPr>
            <w:r w:rsidRPr="0032590D">
              <w:t xml:space="preserve">Compulsory insurance associated with another essential item (e.g., </w:t>
            </w:r>
            <w:r w:rsidR="00EC3E8E" w:rsidRPr="0032590D">
              <w:t xml:space="preserve">unbundled </w:t>
            </w:r>
            <w:r w:rsidRPr="0032590D">
              <w:t>compulsory third-party insurance)</w:t>
            </w:r>
          </w:p>
        </w:tc>
        <w:tc>
          <w:tcPr>
            <w:tcW w:w="3500" w:type="dxa"/>
          </w:tcPr>
          <w:p w14:paraId="697F20E1" w14:textId="77777777" w:rsidR="009C6408" w:rsidRPr="0032590D" w:rsidRDefault="009C6408" w:rsidP="009B5CBC">
            <w:pPr>
              <w:spacing w:before="0" w:after="0"/>
            </w:pPr>
          </w:p>
        </w:tc>
      </w:tr>
    </w:tbl>
    <w:p w14:paraId="2C2B724B" w14:textId="2623A9C7" w:rsidR="00144FE5" w:rsidRPr="0032590D" w:rsidRDefault="00144FE5" w:rsidP="001D1D8A">
      <w:pPr>
        <w:pStyle w:val="Heading3"/>
      </w:pPr>
      <w:r w:rsidRPr="0032590D">
        <w:t>Consumer</w:t>
      </w:r>
    </w:p>
    <w:p w14:paraId="47A9AA7F" w14:textId="77406D1F" w:rsidR="00144FE5" w:rsidRPr="0032590D" w:rsidRDefault="001C31DB" w:rsidP="00903AD0">
      <w:r w:rsidRPr="0032590D">
        <w:t xml:space="preserve">For the purposes of the mandate, a </w:t>
      </w:r>
      <w:r w:rsidR="0056296D" w:rsidRPr="0032590D">
        <w:t xml:space="preserve">person is proposed to have acquired goods or services as a consumer if, in general, </w:t>
      </w:r>
      <w:r w:rsidR="007811BE" w:rsidRPr="0032590D">
        <w:t xml:space="preserve">the amount payable </w:t>
      </w:r>
      <w:r w:rsidR="002C5D6C" w:rsidRPr="0032590D">
        <w:t xml:space="preserve">or paid </w:t>
      </w:r>
      <w:r w:rsidR="007811BE" w:rsidRPr="0032590D">
        <w:t xml:space="preserve">for the goods or services supplied </w:t>
      </w:r>
      <w:r w:rsidR="00B07735" w:rsidRPr="0032590D" w:rsidDel="00D223BA">
        <w:t xml:space="preserve">does not exceed </w:t>
      </w:r>
      <w:r w:rsidR="00F26BB1" w:rsidRPr="0032590D">
        <w:t xml:space="preserve">a specified dollar amount </w:t>
      </w:r>
      <w:r w:rsidR="00B07735" w:rsidRPr="0032590D" w:rsidDel="00D223BA">
        <w:t xml:space="preserve">or the goods or services </w:t>
      </w:r>
      <w:r w:rsidR="00FD2A5B" w:rsidRPr="0032590D">
        <w:t>were of a kind ordinarily acquired for personal, domestic or household use or consumption.</w:t>
      </w:r>
      <w:r w:rsidR="00F35BA0" w:rsidRPr="0032590D">
        <w:rPr>
          <w:rStyle w:val="FootnoteReference"/>
          <w:rFonts w:asciiTheme="minorHAnsi" w:hAnsiTheme="minorHAnsi" w:cstheme="minorBidi"/>
        </w:rPr>
        <w:footnoteReference w:id="39"/>
      </w:r>
      <w:r w:rsidR="00280D64" w:rsidRPr="0032590D">
        <w:t xml:space="preserve"> As noted below</w:t>
      </w:r>
      <w:r w:rsidR="003D6A34" w:rsidRPr="0032590D">
        <w:t xml:space="preserve"> in the </w:t>
      </w:r>
      <w:r w:rsidR="000A681E" w:rsidRPr="0032590D">
        <w:t>discussion on ‘</w:t>
      </w:r>
      <w:r w:rsidR="00E91E72" w:rsidRPr="0032590D">
        <w:t xml:space="preserve">must </w:t>
      </w:r>
      <w:r w:rsidR="000A681E" w:rsidRPr="0032590D">
        <w:t>accept cash payment’</w:t>
      </w:r>
      <w:r w:rsidR="00280D64" w:rsidRPr="0032590D">
        <w:t xml:space="preserve">, </w:t>
      </w:r>
      <w:r w:rsidR="0069652A" w:rsidRPr="0032590D">
        <w:t xml:space="preserve">consideration is being given to </w:t>
      </w:r>
      <w:r w:rsidR="00E91E72" w:rsidRPr="0032590D">
        <w:t xml:space="preserve">limiting the mandate to transactions </w:t>
      </w:r>
      <w:r w:rsidR="004875DD" w:rsidRPr="0032590D">
        <w:t>up to a prescribed value</w:t>
      </w:r>
      <w:r w:rsidR="00315A98" w:rsidRPr="0032590D">
        <w:t>.</w:t>
      </w:r>
    </w:p>
    <w:p w14:paraId="411B65B2" w14:textId="5264E520" w:rsidR="00C04496" w:rsidRPr="0032590D" w:rsidRDefault="00C04496" w:rsidP="00985379">
      <w:pPr>
        <w:pStyle w:val="Heading2"/>
      </w:pPr>
      <w:bookmarkStart w:id="53" w:name="_Toc183137388"/>
      <w:r w:rsidRPr="0032590D">
        <w:t>Offers in-person payment</w:t>
      </w:r>
      <w:bookmarkEnd w:id="53"/>
    </w:p>
    <w:p w14:paraId="194B5986" w14:textId="3D03B717" w:rsidR="000D4D95" w:rsidRPr="0032590D" w:rsidRDefault="00DF7CD4" w:rsidP="002619EC">
      <w:pPr>
        <w:pStyle w:val="Heading3"/>
      </w:pPr>
      <w:r w:rsidRPr="0032590D">
        <w:t>Mandate will apply where in</w:t>
      </w:r>
      <w:r w:rsidR="006F4D32" w:rsidRPr="0032590D">
        <w:t>-person payment is of</w:t>
      </w:r>
      <w:r w:rsidR="00D4023F" w:rsidRPr="0032590D">
        <w:t>fer</w:t>
      </w:r>
      <w:r w:rsidR="006F4D32" w:rsidRPr="0032590D">
        <w:t>ed</w:t>
      </w:r>
    </w:p>
    <w:p w14:paraId="5592DCFE" w14:textId="7089D41A" w:rsidR="006F4D32" w:rsidRPr="0032590D" w:rsidRDefault="00C634CB" w:rsidP="00E346F2">
      <w:pPr>
        <w:pStyle w:val="Heading4"/>
      </w:pPr>
      <w:r w:rsidRPr="0032590D">
        <w:t>Offer i</w:t>
      </w:r>
      <w:r w:rsidR="00623DD6" w:rsidRPr="0032590D">
        <w:t>n-person payment</w:t>
      </w:r>
    </w:p>
    <w:p w14:paraId="0FAC8974" w14:textId="2DF5E63B" w:rsidR="00E20C1B" w:rsidRPr="0032590D" w:rsidRDefault="00623DD6" w:rsidP="002C748E">
      <w:r w:rsidRPr="0032590D">
        <w:t xml:space="preserve">The mandate is proposed to apply </w:t>
      </w:r>
      <w:r w:rsidR="00F36F21" w:rsidRPr="0032590D">
        <w:t xml:space="preserve">where </w:t>
      </w:r>
      <w:r w:rsidR="00C634CB" w:rsidRPr="0032590D">
        <w:t>there is the offer of in-person payment</w:t>
      </w:r>
      <w:r w:rsidR="002C17C6" w:rsidRPr="0032590D">
        <w:t xml:space="preserve">. This would </w:t>
      </w:r>
      <w:r w:rsidR="00E20C1B" w:rsidRPr="0032590D">
        <w:t xml:space="preserve">be treated the same as a </w:t>
      </w:r>
      <w:r w:rsidR="002C17C6" w:rsidRPr="0032590D">
        <w:t>business mak</w:t>
      </w:r>
      <w:r w:rsidR="008A3E27" w:rsidRPr="0032590D">
        <w:t>ing</w:t>
      </w:r>
      <w:r w:rsidR="002C17C6" w:rsidRPr="0032590D">
        <w:t xml:space="preserve"> it known that it would accept </w:t>
      </w:r>
      <w:r w:rsidR="00F71BFF" w:rsidRPr="0032590D">
        <w:t>a proposal to pay in</w:t>
      </w:r>
      <w:r w:rsidR="00E20C1B" w:rsidRPr="0032590D">
        <w:t>-</w:t>
      </w:r>
      <w:r w:rsidR="00F71BFF" w:rsidRPr="0032590D">
        <w:t>person.</w:t>
      </w:r>
    </w:p>
    <w:p w14:paraId="324CDD27" w14:textId="382BDDB8" w:rsidR="00B4590C" w:rsidRPr="0032590D" w:rsidRDefault="00C95A01" w:rsidP="002C748E">
      <w:r w:rsidRPr="0032590D">
        <w:t>For the purposes of the mandate, a</w:t>
      </w:r>
      <w:r w:rsidR="004379EA" w:rsidRPr="0032590D">
        <w:t xml:space="preserve">n </w:t>
      </w:r>
      <w:r w:rsidR="00B4590C" w:rsidRPr="0032590D">
        <w:t xml:space="preserve">in-person payment </w:t>
      </w:r>
      <w:r w:rsidR="008C1A2D" w:rsidRPr="0032590D">
        <w:t xml:space="preserve">is proposed to </w:t>
      </w:r>
      <w:r w:rsidR="00F91AA0" w:rsidRPr="0032590D">
        <w:t xml:space="preserve">occur </w:t>
      </w:r>
      <w:r w:rsidR="00B4590C" w:rsidRPr="0032590D">
        <w:t>whe</w:t>
      </w:r>
      <w:r w:rsidRPr="0032590D">
        <w:t>n a</w:t>
      </w:r>
      <w:r w:rsidR="00B4590C" w:rsidRPr="0032590D">
        <w:t xml:space="preserve"> </w:t>
      </w:r>
      <w:r w:rsidR="00C37A18" w:rsidRPr="0032590D">
        <w:t xml:space="preserve">consumer </w:t>
      </w:r>
      <w:r w:rsidR="00B4590C" w:rsidRPr="0032590D">
        <w:t xml:space="preserve">is physically present </w:t>
      </w:r>
      <w:r w:rsidR="00F91AA0" w:rsidRPr="0032590D">
        <w:t xml:space="preserve">to </w:t>
      </w:r>
      <w:r w:rsidR="00BA21EA" w:rsidRPr="0032590D">
        <w:t xml:space="preserve">pay for </w:t>
      </w:r>
      <w:r w:rsidR="00F91AA0" w:rsidRPr="0032590D">
        <w:t xml:space="preserve">the supply of the </w:t>
      </w:r>
      <w:r w:rsidR="00B4590C" w:rsidRPr="0032590D">
        <w:t>good or service. This include</w:t>
      </w:r>
      <w:r w:rsidR="00056A10" w:rsidRPr="0032590D">
        <w:t>s</w:t>
      </w:r>
      <w:r w:rsidR="00B4590C" w:rsidRPr="0032590D">
        <w:t xml:space="preserve"> </w:t>
      </w:r>
      <w:r w:rsidR="00786A8D" w:rsidRPr="0032590D">
        <w:t xml:space="preserve">traditional </w:t>
      </w:r>
      <w:r w:rsidR="00B4590C" w:rsidRPr="0032590D">
        <w:t xml:space="preserve">retail transactions in </w:t>
      </w:r>
      <w:r w:rsidR="00EC59D9" w:rsidRPr="0032590D">
        <w:t xml:space="preserve">a </w:t>
      </w:r>
      <w:r w:rsidR="00B4590C" w:rsidRPr="0032590D">
        <w:t xml:space="preserve">physical store where </w:t>
      </w:r>
      <w:r w:rsidR="00EC59D9" w:rsidRPr="0032590D">
        <w:t xml:space="preserve">a </w:t>
      </w:r>
      <w:r w:rsidR="00B4590C" w:rsidRPr="0032590D">
        <w:t>customer pay</w:t>
      </w:r>
      <w:r w:rsidR="00EC59D9" w:rsidRPr="0032590D">
        <w:t>s</w:t>
      </w:r>
      <w:r w:rsidR="00B4590C" w:rsidRPr="0032590D">
        <w:t xml:space="preserve"> for goods or services at </w:t>
      </w:r>
      <w:r w:rsidR="006B5184" w:rsidRPr="0032590D">
        <w:t>a</w:t>
      </w:r>
      <w:r w:rsidR="00B4590C" w:rsidRPr="0032590D">
        <w:t xml:space="preserve"> point of sale</w:t>
      </w:r>
      <w:r w:rsidR="006B5184" w:rsidRPr="0032590D">
        <w:t xml:space="preserve"> such as a </w:t>
      </w:r>
      <w:r w:rsidR="00362305" w:rsidRPr="0032590D">
        <w:t xml:space="preserve">supermarket </w:t>
      </w:r>
      <w:r w:rsidR="006B5184" w:rsidRPr="0032590D">
        <w:t xml:space="preserve">check-out </w:t>
      </w:r>
      <w:r w:rsidR="003C2E4F" w:rsidRPr="0032590D">
        <w:t xml:space="preserve">or a </w:t>
      </w:r>
      <w:r w:rsidR="008C1A2D" w:rsidRPr="0032590D">
        <w:t xml:space="preserve">shop </w:t>
      </w:r>
      <w:r w:rsidR="003C2E4F" w:rsidRPr="0032590D">
        <w:t xml:space="preserve">sales counter. </w:t>
      </w:r>
      <w:r w:rsidR="004A12A3" w:rsidRPr="0032590D">
        <w:t xml:space="preserve"> </w:t>
      </w:r>
      <w:r w:rsidR="00544B6D" w:rsidRPr="0032590D">
        <w:t>‘</w:t>
      </w:r>
      <w:r w:rsidR="004A12A3" w:rsidRPr="0032590D">
        <w:t>In person</w:t>
      </w:r>
      <w:r w:rsidR="00544B6D" w:rsidRPr="0032590D">
        <w:t>’ payments would also</w:t>
      </w:r>
      <w:r w:rsidR="004A12A3" w:rsidRPr="0032590D">
        <w:t xml:space="preserve"> </w:t>
      </w:r>
      <w:r w:rsidR="002D5427" w:rsidRPr="0032590D">
        <w:t xml:space="preserve">include circumstances </w:t>
      </w:r>
      <w:r w:rsidR="00544B6D" w:rsidRPr="0032590D">
        <w:t xml:space="preserve">where </w:t>
      </w:r>
      <w:r w:rsidR="000E1043" w:rsidRPr="0032590D">
        <w:t>transactions occur through a suitably accessible third-party o</w:t>
      </w:r>
      <w:r w:rsidR="00C21CD4" w:rsidRPr="0032590D">
        <w:t>r in-person intermediary</w:t>
      </w:r>
      <w:r w:rsidR="00B67D4D" w:rsidRPr="0032590D">
        <w:t>.</w:t>
      </w:r>
    </w:p>
    <w:p w14:paraId="3E7E5243" w14:textId="0DA6654C" w:rsidR="00ED3ECE" w:rsidRPr="0032590D" w:rsidRDefault="00B4590C" w:rsidP="002C748E">
      <w:r w:rsidRPr="0032590D">
        <w:t xml:space="preserve">Consideration is being given to circumstances </w:t>
      </w:r>
      <w:r w:rsidR="001052DC" w:rsidRPr="0032590D">
        <w:t xml:space="preserve">where physical payment is made by </w:t>
      </w:r>
      <w:r w:rsidR="002A7351" w:rsidRPr="0032590D">
        <w:t xml:space="preserve">a consumer interacting with a </w:t>
      </w:r>
      <w:r w:rsidRPr="0032590D">
        <w:t>machine</w:t>
      </w:r>
      <w:r w:rsidR="0040388C" w:rsidRPr="0032590D">
        <w:t xml:space="preserve">, for example, </w:t>
      </w:r>
      <w:r w:rsidR="009C1639" w:rsidRPr="0032590D">
        <w:t xml:space="preserve">using a machine to </w:t>
      </w:r>
      <w:r w:rsidR="0040388C" w:rsidRPr="0032590D">
        <w:t>pay for par</w:t>
      </w:r>
      <w:r w:rsidR="008E50AA" w:rsidRPr="0032590D">
        <w:t>king in a private car park</w:t>
      </w:r>
      <w:r w:rsidR="00ED3ECE" w:rsidRPr="0032590D">
        <w:t>.</w:t>
      </w:r>
      <w:r w:rsidR="00A15116" w:rsidRPr="0032590D">
        <w:t xml:space="preserve"> Consideration is also being given to circumstances where the essential service </w:t>
      </w:r>
      <w:r w:rsidR="00E05403" w:rsidRPr="0032590D">
        <w:t>is mobile</w:t>
      </w:r>
      <w:r w:rsidR="00B42CC2" w:rsidRPr="0032590D">
        <w:t xml:space="preserve"> </w:t>
      </w:r>
      <w:r w:rsidR="00B060C3" w:rsidRPr="0032590D">
        <w:t>and</w:t>
      </w:r>
      <w:r w:rsidR="00B42CC2" w:rsidRPr="0032590D">
        <w:t xml:space="preserve"> in</w:t>
      </w:r>
      <w:r w:rsidR="00B060C3" w:rsidRPr="0032590D">
        <w:noBreakHyphen/>
      </w:r>
      <w:r w:rsidR="00B42CC2" w:rsidRPr="0032590D">
        <w:t xml:space="preserve">person payment </w:t>
      </w:r>
      <w:r w:rsidR="00B060C3" w:rsidRPr="0032590D">
        <w:t xml:space="preserve">is offered, </w:t>
      </w:r>
      <w:r w:rsidR="00E05403" w:rsidRPr="0032590D">
        <w:t xml:space="preserve">for example, </w:t>
      </w:r>
      <w:r w:rsidR="002A55DB" w:rsidRPr="0032590D">
        <w:t>mobile automotive repair services</w:t>
      </w:r>
      <w:r w:rsidR="00E05403" w:rsidRPr="0032590D">
        <w:t>.</w:t>
      </w:r>
    </w:p>
    <w:p w14:paraId="2ADBDF12" w14:textId="1EF99246" w:rsidR="00E47CE2" w:rsidRPr="0032590D" w:rsidRDefault="006F4D32" w:rsidP="00B74AF7">
      <w:pPr>
        <w:pStyle w:val="Heading3"/>
      </w:pPr>
      <w:r w:rsidRPr="0032590D">
        <w:t>Mandate will not apply to o</w:t>
      </w:r>
      <w:r w:rsidR="003F6BEB" w:rsidRPr="0032590D">
        <w:t xml:space="preserve">n-line </w:t>
      </w:r>
      <w:r w:rsidR="00F83B0B" w:rsidRPr="0032590D">
        <w:t>sales</w:t>
      </w:r>
    </w:p>
    <w:p w14:paraId="3536EE2D" w14:textId="0A9E57D6" w:rsidR="00D4023F" w:rsidRPr="0032590D" w:rsidRDefault="00D36F7F" w:rsidP="002C748E">
      <w:pPr>
        <w:rPr>
          <w:bCs/>
        </w:rPr>
      </w:pPr>
      <w:r w:rsidRPr="0032590D">
        <w:t xml:space="preserve">The mandate is proposed to not apply </w:t>
      </w:r>
      <w:r w:rsidR="00D56370" w:rsidRPr="0032590D">
        <w:t xml:space="preserve">where payment for </w:t>
      </w:r>
      <w:r w:rsidR="004C271F" w:rsidRPr="0032590D">
        <w:t xml:space="preserve">an </w:t>
      </w:r>
      <w:r w:rsidR="00D56370" w:rsidRPr="0032590D">
        <w:t xml:space="preserve">essential good </w:t>
      </w:r>
      <w:r w:rsidR="004C271F" w:rsidRPr="0032590D">
        <w:t xml:space="preserve">or </w:t>
      </w:r>
      <w:r w:rsidR="00D56370" w:rsidRPr="0032590D">
        <w:t>service</w:t>
      </w:r>
      <w:r w:rsidR="004C271F" w:rsidRPr="0032590D">
        <w:t xml:space="preserve"> </w:t>
      </w:r>
      <w:r w:rsidR="00E50725" w:rsidRPr="0032590D">
        <w:t xml:space="preserve">may </w:t>
      </w:r>
      <w:r w:rsidR="004C271F" w:rsidRPr="0032590D">
        <w:t xml:space="preserve">only </w:t>
      </w:r>
      <w:r w:rsidR="00E50725" w:rsidRPr="0032590D">
        <w:t xml:space="preserve">be made </w:t>
      </w:r>
      <w:r w:rsidR="004C271F" w:rsidRPr="0032590D">
        <w:t>online</w:t>
      </w:r>
      <w:r w:rsidR="00087A6B" w:rsidRPr="0032590D">
        <w:t xml:space="preserve">, </w:t>
      </w:r>
      <w:r w:rsidR="00F01B7A" w:rsidRPr="0032590D">
        <w:t xml:space="preserve">that is, </w:t>
      </w:r>
      <w:r w:rsidR="003A7524" w:rsidRPr="0032590D">
        <w:t xml:space="preserve">where the </w:t>
      </w:r>
      <w:r w:rsidR="00CA5013" w:rsidRPr="0032590D">
        <w:t xml:space="preserve">consumer </w:t>
      </w:r>
      <w:r w:rsidR="003A7524" w:rsidRPr="0032590D">
        <w:t xml:space="preserve">is not </w:t>
      </w:r>
      <w:r w:rsidR="005D50B4" w:rsidRPr="0032590D">
        <w:t xml:space="preserve">physically present </w:t>
      </w:r>
      <w:r w:rsidR="007C4087" w:rsidRPr="0032590D">
        <w:t xml:space="preserve">and pays for the supply </w:t>
      </w:r>
      <w:r w:rsidR="00BB0A24" w:rsidRPr="0032590D">
        <w:t xml:space="preserve">through an e-commerce </w:t>
      </w:r>
      <w:r w:rsidR="006D6C5E" w:rsidRPr="0032590D">
        <w:t>web</w:t>
      </w:r>
      <w:r w:rsidR="00BB0A24" w:rsidRPr="0032590D">
        <w:t>site</w:t>
      </w:r>
      <w:r w:rsidR="00D4638C" w:rsidRPr="0032590D">
        <w:t xml:space="preserve"> (such as </w:t>
      </w:r>
      <w:r w:rsidR="00914ADE" w:rsidRPr="0032590D">
        <w:t xml:space="preserve">acquiring physical goods from </w:t>
      </w:r>
      <w:r w:rsidR="00D4638C" w:rsidRPr="0032590D">
        <w:t>an online store), a digital marketplace (</w:t>
      </w:r>
      <w:r w:rsidR="006D6C5E" w:rsidRPr="0032590D">
        <w:t>such a</w:t>
      </w:r>
      <w:r w:rsidR="00914ADE" w:rsidRPr="0032590D">
        <w:t xml:space="preserve">s acquiring physical goods </w:t>
      </w:r>
      <w:r w:rsidR="008C6E51" w:rsidRPr="0032590D">
        <w:t>from a</w:t>
      </w:r>
      <w:r w:rsidR="006D6C5E" w:rsidRPr="0032590D">
        <w:t xml:space="preserve"> website offering the consumer </w:t>
      </w:r>
      <w:r w:rsidR="000314A6" w:rsidRPr="0032590D">
        <w:t>multiple suppliers</w:t>
      </w:r>
      <w:r w:rsidR="008C6E51" w:rsidRPr="0032590D">
        <w:t xml:space="preserve"> to choose from</w:t>
      </w:r>
      <w:r w:rsidR="000314A6" w:rsidRPr="0032590D">
        <w:t xml:space="preserve">), </w:t>
      </w:r>
      <w:r w:rsidR="00677452" w:rsidRPr="0032590D">
        <w:t>a mobile app (</w:t>
      </w:r>
      <w:r w:rsidR="006E268F" w:rsidRPr="0032590D">
        <w:t xml:space="preserve">such as </w:t>
      </w:r>
      <w:r w:rsidR="00F140B7" w:rsidRPr="0032590D">
        <w:t xml:space="preserve">mobile apps for food delivery </w:t>
      </w:r>
      <w:r w:rsidR="00140A90" w:rsidRPr="0032590D">
        <w:t xml:space="preserve">or </w:t>
      </w:r>
      <w:r w:rsidR="00F140B7" w:rsidRPr="0032590D">
        <w:t xml:space="preserve">ride sharing services), and </w:t>
      </w:r>
      <w:r w:rsidR="00737806" w:rsidRPr="0032590D">
        <w:t xml:space="preserve">digital services (such as </w:t>
      </w:r>
      <w:r w:rsidR="00CF50E3" w:rsidRPr="0032590D">
        <w:t>subscriptions for streaming services</w:t>
      </w:r>
      <w:r w:rsidR="001B5936" w:rsidRPr="0032590D">
        <w:t xml:space="preserve"> </w:t>
      </w:r>
      <w:r w:rsidR="002C748E" w:rsidRPr="0032590D">
        <w:t>for entertainment or education or the purchase of software downloaded to a phone or a computer)</w:t>
      </w:r>
      <w:r w:rsidR="005D50B4" w:rsidRPr="0032590D">
        <w:t>.</w:t>
      </w:r>
    </w:p>
    <w:p w14:paraId="3A9CF5C5" w14:textId="005EEF54" w:rsidR="000D4D95" w:rsidRPr="0032590D" w:rsidRDefault="00E105AC" w:rsidP="00985379">
      <w:pPr>
        <w:pStyle w:val="Heading2"/>
      </w:pPr>
      <w:bookmarkStart w:id="54" w:name="_Toc183137389"/>
      <w:r w:rsidRPr="0032590D">
        <w:t>Is n</w:t>
      </w:r>
      <w:r w:rsidR="000D4D95" w:rsidRPr="0032590D">
        <w:t xml:space="preserve">ot an exempt </w:t>
      </w:r>
      <w:r w:rsidR="00714290" w:rsidRPr="0032590D">
        <w:t>small business</w:t>
      </w:r>
      <w:bookmarkEnd w:id="54"/>
    </w:p>
    <w:p w14:paraId="075CAB95" w14:textId="011201DA" w:rsidR="00955562" w:rsidRPr="0032590D" w:rsidRDefault="00955562" w:rsidP="00B53817">
      <w:r w:rsidRPr="0032590D">
        <w:t xml:space="preserve">The </w:t>
      </w:r>
      <w:r w:rsidR="005705D1" w:rsidRPr="0032590D">
        <w:t xml:space="preserve">mandate is proposed to not apply to an exempt small business. </w:t>
      </w:r>
      <w:r w:rsidR="000E09BA" w:rsidRPr="0032590D">
        <w:t xml:space="preserve">The </w:t>
      </w:r>
      <w:r w:rsidRPr="0032590D">
        <w:t xml:space="preserve">Government recognises that the mandate will place </w:t>
      </w:r>
      <w:r w:rsidR="0070411C" w:rsidRPr="0032590D">
        <w:t xml:space="preserve">an ongoing </w:t>
      </w:r>
      <w:r w:rsidRPr="0032590D">
        <w:t xml:space="preserve">obligation on sections of industry to accept cash </w:t>
      </w:r>
      <w:r w:rsidR="0070411C" w:rsidRPr="0032590D">
        <w:t xml:space="preserve">payment </w:t>
      </w:r>
      <w:r w:rsidRPr="0032590D">
        <w:t xml:space="preserve">and that the mandate </w:t>
      </w:r>
      <w:r w:rsidR="00F91208" w:rsidRPr="0032590D">
        <w:t xml:space="preserve">should </w:t>
      </w:r>
      <w:r w:rsidRPr="0032590D">
        <w:t xml:space="preserve">minimise additional costs of doing business as far as possible. </w:t>
      </w:r>
    </w:p>
    <w:p w14:paraId="092F2363" w14:textId="71D504B8" w:rsidR="00955562" w:rsidRPr="0032590D" w:rsidRDefault="00955562" w:rsidP="00B53817">
      <w:r w:rsidRPr="0032590D">
        <w:t xml:space="preserve">Implementing a mandate now, while cash </w:t>
      </w:r>
      <w:r w:rsidR="00AC54F1" w:rsidRPr="0032590D">
        <w:t xml:space="preserve">payment remains broadly </w:t>
      </w:r>
      <w:r w:rsidRPr="0032590D">
        <w:t>accepted</w:t>
      </w:r>
      <w:r w:rsidR="004A729C" w:rsidRPr="0032590D">
        <w:t xml:space="preserve"> </w:t>
      </w:r>
      <w:r w:rsidRPr="0032590D">
        <w:t>for many essential goods and services</w:t>
      </w:r>
      <w:r w:rsidR="0026679A" w:rsidRPr="0032590D">
        <w:t>,</w:t>
      </w:r>
      <w:r w:rsidRPr="0032590D">
        <w:t xml:space="preserve"> will </w:t>
      </w:r>
      <w:r w:rsidR="004A729C" w:rsidRPr="0032590D">
        <w:t xml:space="preserve">assist in </w:t>
      </w:r>
      <w:r w:rsidRPr="0032590D">
        <w:t xml:space="preserve">avoiding additional costs </w:t>
      </w:r>
      <w:r w:rsidR="0026679A" w:rsidRPr="0032590D">
        <w:t xml:space="preserve">for business </w:t>
      </w:r>
      <w:r w:rsidRPr="0032590D">
        <w:t xml:space="preserve">down the track. Larger firms already typically accept cash and, in any case, have a wide customer base and significant economies-of-scale to spread costs associated with cash acceptance </w:t>
      </w:r>
      <w:r w:rsidR="005919D1" w:rsidRPr="0032590D">
        <w:t xml:space="preserve">with the result that each </w:t>
      </w:r>
      <w:r w:rsidRPr="0032590D">
        <w:t xml:space="preserve">consumer will </w:t>
      </w:r>
      <w:r w:rsidR="005919D1" w:rsidRPr="0032590D">
        <w:t xml:space="preserve">likely </w:t>
      </w:r>
      <w:r w:rsidRPr="0032590D">
        <w:t>face minor impacts. Smaller firms</w:t>
      </w:r>
      <w:r w:rsidR="007804FA" w:rsidRPr="0032590D">
        <w:t>,</w:t>
      </w:r>
      <w:r w:rsidRPr="0032590D">
        <w:t xml:space="preserve"> however</w:t>
      </w:r>
      <w:r w:rsidR="007804FA" w:rsidRPr="0032590D">
        <w:t>,</w:t>
      </w:r>
      <w:r w:rsidRPr="0032590D">
        <w:t xml:space="preserve"> cannot </w:t>
      </w:r>
      <w:r w:rsidR="00047325" w:rsidRPr="0032590D">
        <w:t xml:space="preserve">typically </w:t>
      </w:r>
      <w:r w:rsidRPr="0032590D">
        <w:t xml:space="preserve">spread the cost across a large </w:t>
      </w:r>
      <w:r w:rsidR="007804FA" w:rsidRPr="0032590D">
        <w:t xml:space="preserve">customer </w:t>
      </w:r>
      <w:r w:rsidRPr="0032590D">
        <w:t xml:space="preserve">base or absorb the cost themselves. </w:t>
      </w:r>
      <w:r w:rsidR="000D55E6" w:rsidRPr="0032590D">
        <w:t>Smaller busin</w:t>
      </w:r>
      <w:r w:rsidR="00850219" w:rsidRPr="0032590D">
        <w:t xml:space="preserve">esses may have limited available capital to </w:t>
      </w:r>
      <w:r w:rsidR="00742107" w:rsidRPr="0032590D">
        <w:t xml:space="preserve">enhance </w:t>
      </w:r>
      <w:r w:rsidR="00F8478A" w:rsidRPr="0032590D">
        <w:t>their</w:t>
      </w:r>
      <w:r w:rsidR="00742107" w:rsidRPr="0032590D">
        <w:t xml:space="preserve"> ability to </w:t>
      </w:r>
      <w:r w:rsidR="00FC1024" w:rsidRPr="0032590D">
        <w:t xml:space="preserve">safely </w:t>
      </w:r>
      <w:r w:rsidR="00742107" w:rsidRPr="0032590D">
        <w:t>hold larger amounts of cash on premises</w:t>
      </w:r>
      <w:r w:rsidR="00FC1024" w:rsidRPr="0032590D">
        <w:t xml:space="preserve">. </w:t>
      </w:r>
      <w:r w:rsidR="00043E6C" w:rsidRPr="0032590D">
        <w:t>Smaller businesses also lack the bargaining power to negotiate favourable rates to receive cash</w:t>
      </w:r>
      <w:r w:rsidR="00A101C6" w:rsidRPr="0032590D">
        <w:t>-</w:t>
      </w:r>
      <w:r w:rsidR="00043E6C" w:rsidRPr="0032590D">
        <w:t>in</w:t>
      </w:r>
      <w:r w:rsidR="00A101C6" w:rsidRPr="0032590D">
        <w:t>-</w:t>
      </w:r>
      <w:r w:rsidR="00043E6C" w:rsidRPr="0032590D">
        <w:t xml:space="preserve">transit services. </w:t>
      </w:r>
      <w:r w:rsidRPr="0032590D">
        <w:t>Establishing a</w:t>
      </w:r>
      <w:r w:rsidR="006A0D1D" w:rsidRPr="0032590D">
        <w:t xml:space="preserve"> small business </w:t>
      </w:r>
      <w:r w:rsidRPr="0032590D">
        <w:t>exemption</w:t>
      </w:r>
      <w:r w:rsidR="006A0D1D" w:rsidRPr="0032590D">
        <w:t xml:space="preserve"> </w:t>
      </w:r>
      <w:r w:rsidRPr="0032590D">
        <w:t>for the mandate is</w:t>
      </w:r>
      <w:r w:rsidRPr="0032590D" w:rsidDel="007B6920">
        <w:t xml:space="preserve"> </w:t>
      </w:r>
      <w:r w:rsidR="00F82241" w:rsidRPr="0032590D">
        <w:t xml:space="preserve">therefore </w:t>
      </w:r>
      <w:r w:rsidRPr="0032590D">
        <w:t xml:space="preserve">an effective way to limit inadvertently </w:t>
      </w:r>
      <w:r w:rsidR="00F82241" w:rsidRPr="0032590D">
        <w:t xml:space="preserve">imposing significant price </w:t>
      </w:r>
      <w:r w:rsidRPr="0032590D">
        <w:t>increas</w:t>
      </w:r>
      <w:r w:rsidR="00F82241" w:rsidRPr="0032590D">
        <w:t>es on</w:t>
      </w:r>
      <w:r w:rsidRPr="0032590D">
        <w:t xml:space="preserve"> consumers.</w:t>
      </w:r>
    </w:p>
    <w:p w14:paraId="604820A1" w14:textId="77777777" w:rsidR="00D41D48" w:rsidRPr="0032590D" w:rsidRDefault="00F3500A" w:rsidP="00B53817">
      <w:pPr>
        <w:rPr>
          <w:bCs/>
        </w:rPr>
      </w:pPr>
      <w:r w:rsidRPr="0032590D">
        <w:rPr>
          <w:bCs/>
        </w:rPr>
        <w:t xml:space="preserve">It is proposed that an exempt </w:t>
      </w:r>
      <w:r w:rsidR="00C9202F" w:rsidRPr="0032590D">
        <w:rPr>
          <w:bCs/>
        </w:rPr>
        <w:t>small business be one that</w:t>
      </w:r>
      <w:r w:rsidR="00D41D48" w:rsidRPr="0032590D">
        <w:rPr>
          <w:bCs/>
        </w:rPr>
        <w:t>:</w:t>
      </w:r>
    </w:p>
    <w:p w14:paraId="7C4E3DAE" w14:textId="77777777" w:rsidR="00F773FD" w:rsidRPr="0032590D" w:rsidRDefault="00EA02EA" w:rsidP="00BA3D5C">
      <w:pPr>
        <w:pStyle w:val="Bullet"/>
      </w:pPr>
      <w:r w:rsidRPr="0032590D">
        <w:t xml:space="preserve">if it is not part of a franchise arrangement </w:t>
      </w:r>
      <w:r w:rsidRPr="0032590D">
        <w:rPr>
          <w:rFonts w:cs="Calibri Light"/>
        </w:rPr>
        <w:t>–</w:t>
      </w:r>
      <w:r w:rsidR="00C9202F" w:rsidRPr="0032590D">
        <w:rPr>
          <w:bCs/>
        </w:rPr>
        <w:t xml:space="preserve"> </w:t>
      </w:r>
      <w:r w:rsidR="00955562" w:rsidRPr="0032590D">
        <w:rPr>
          <w:bCs/>
        </w:rPr>
        <w:t xml:space="preserve">has </w:t>
      </w:r>
      <w:r w:rsidR="001F3156" w:rsidRPr="0032590D">
        <w:rPr>
          <w:bCs/>
        </w:rPr>
        <w:t xml:space="preserve">aggregate </w:t>
      </w:r>
      <w:r w:rsidR="00955562" w:rsidRPr="0032590D">
        <w:rPr>
          <w:bCs/>
        </w:rPr>
        <w:t xml:space="preserve">turnover </w:t>
      </w:r>
      <w:r w:rsidR="00C9202F" w:rsidRPr="0032590D">
        <w:rPr>
          <w:bCs/>
        </w:rPr>
        <w:t xml:space="preserve">of </w:t>
      </w:r>
      <w:r w:rsidR="00955562" w:rsidRPr="0032590D">
        <w:rPr>
          <w:bCs/>
        </w:rPr>
        <w:t>under $10</w:t>
      </w:r>
      <w:r w:rsidR="006E3673" w:rsidRPr="0032590D">
        <w:rPr>
          <w:bCs/>
        </w:rPr>
        <w:t> </w:t>
      </w:r>
      <w:r w:rsidR="00955562" w:rsidRPr="0032590D">
        <w:rPr>
          <w:bCs/>
        </w:rPr>
        <w:t>million</w:t>
      </w:r>
      <w:r w:rsidR="00F773FD" w:rsidRPr="0032590D">
        <w:t>; or</w:t>
      </w:r>
    </w:p>
    <w:p w14:paraId="2D435D62" w14:textId="3B766E4B" w:rsidR="005A0CE8" w:rsidRPr="0032590D" w:rsidRDefault="00F773FD" w:rsidP="00BA3D5C">
      <w:pPr>
        <w:pStyle w:val="Bullet"/>
      </w:pPr>
      <w:r w:rsidRPr="0032590D">
        <w:t xml:space="preserve">if it is part of a franchise arrangement </w:t>
      </w:r>
      <w:r w:rsidRPr="0032590D">
        <w:rPr>
          <w:rFonts w:cs="Calibri Light"/>
        </w:rPr>
        <w:t>–</w:t>
      </w:r>
      <w:r w:rsidRPr="0032590D">
        <w:t xml:space="preserve"> </w:t>
      </w:r>
      <w:r w:rsidR="003249AC" w:rsidRPr="0032590D">
        <w:t xml:space="preserve">the </w:t>
      </w:r>
      <w:r w:rsidR="004303BB" w:rsidRPr="0032590D">
        <w:t>franchise arrangement</w:t>
      </w:r>
      <w:r w:rsidR="005A0CE8" w:rsidRPr="0032590D">
        <w:t>’s turnover is under $10</w:t>
      </w:r>
      <w:r w:rsidR="001125BE" w:rsidRPr="0032590D">
        <w:t> </w:t>
      </w:r>
      <w:r w:rsidR="005A0CE8" w:rsidRPr="0032590D">
        <w:t>million.</w:t>
      </w:r>
    </w:p>
    <w:p w14:paraId="57743FE9" w14:textId="77777777" w:rsidR="00D670E1" w:rsidRPr="0032590D" w:rsidRDefault="003E3AD9" w:rsidP="00B53817">
      <w:pPr>
        <w:rPr>
          <w:bCs/>
        </w:rPr>
      </w:pPr>
      <w:r w:rsidRPr="0032590D">
        <w:rPr>
          <w:bCs/>
        </w:rPr>
        <w:t xml:space="preserve">Aggregate </w:t>
      </w:r>
      <w:r w:rsidR="00037B32" w:rsidRPr="0032590D">
        <w:rPr>
          <w:bCs/>
        </w:rPr>
        <w:t xml:space="preserve">turnover </w:t>
      </w:r>
      <w:r w:rsidR="00994F6A" w:rsidRPr="0032590D">
        <w:rPr>
          <w:bCs/>
        </w:rPr>
        <w:t xml:space="preserve">is the annual turnover of the </w:t>
      </w:r>
      <w:r w:rsidR="00A064FA" w:rsidRPr="0032590D">
        <w:rPr>
          <w:bCs/>
        </w:rPr>
        <w:t xml:space="preserve">entity plus the annual turnovers of any entities that are </w:t>
      </w:r>
      <w:r w:rsidR="00BE27E9" w:rsidRPr="0032590D">
        <w:rPr>
          <w:bCs/>
        </w:rPr>
        <w:t>connected with it or that are its affiliates.</w:t>
      </w:r>
      <w:r w:rsidR="00BE27E9" w:rsidRPr="0032590D">
        <w:rPr>
          <w:rStyle w:val="FootnoteReference"/>
          <w:rFonts w:asciiTheme="minorHAnsi" w:hAnsiTheme="minorHAnsi" w:cstheme="minorHAnsi"/>
        </w:rPr>
        <w:t xml:space="preserve"> </w:t>
      </w:r>
      <w:r w:rsidR="004C0361" w:rsidRPr="0032590D">
        <w:rPr>
          <w:rStyle w:val="FootnoteReference"/>
          <w:rFonts w:asciiTheme="minorHAnsi" w:hAnsiTheme="minorHAnsi" w:cstheme="minorHAnsi"/>
          <w:bCs/>
        </w:rPr>
        <w:footnoteReference w:id="40"/>
      </w:r>
      <w:r w:rsidR="004C0361" w:rsidRPr="0032590D">
        <w:rPr>
          <w:bCs/>
        </w:rPr>
        <w:t xml:space="preserve"> </w:t>
      </w:r>
      <w:r w:rsidR="00BE27E9" w:rsidRPr="0032590D">
        <w:rPr>
          <w:bCs/>
        </w:rPr>
        <w:t xml:space="preserve"> </w:t>
      </w:r>
    </w:p>
    <w:p w14:paraId="0E053985" w14:textId="692579E9" w:rsidR="001B35DA" w:rsidRPr="0032590D" w:rsidRDefault="00D670E1" w:rsidP="00B53817">
      <w:pPr>
        <w:rPr>
          <w:bCs/>
        </w:rPr>
      </w:pPr>
      <w:r w:rsidRPr="0032590D">
        <w:rPr>
          <w:bCs/>
        </w:rPr>
        <w:t xml:space="preserve">The </w:t>
      </w:r>
      <w:r w:rsidR="00955562" w:rsidRPr="0032590D">
        <w:rPr>
          <w:bCs/>
        </w:rPr>
        <w:t xml:space="preserve">Australian </w:t>
      </w:r>
      <w:r w:rsidR="00844A53" w:rsidRPr="0032590D">
        <w:rPr>
          <w:bCs/>
        </w:rPr>
        <w:t xml:space="preserve">taxation law includes a </w:t>
      </w:r>
      <w:r w:rsidR="00955562" w:rsidRPr="0032590D">
        <w:rPr>
          <w:bCs/>
        </w:rPr>
        <w:t>defin</w:t>
      </w:r>
      <w:r w:rsidR="00844A53" w:rsidRPr="0032590D">
        <w:rPr>
          <w:bCs/>
        </w:rPr>
        <w:t>ition</w:t>
      </w:r>
      <w:r w:rsidR="00955562" w:rsidRPr="0032590D">
        <w:rPr>
          <w:bCs/>
        </w:rPr>
        <w:t xml:space="preserve"> </w:t>
      </w:r>
      <w:r w:rsidR="00844A53" w:rsidRPr="0032590D">
        <w:rPr>
          <w:bCs/>
        </w:rPr>
        <w:t>of</w:t>
      </w:r>
      <w:r w:rsidR="00955562" w:rsidRPr="0032590D">
        <w:rPr>
          <w:bCs/>
        </w:rPr>
        <w:t xml:space="preserve"> a small business entity</w:t>
      </w:r>
      <w:r w:rsidRPr="0032590D">
        <w:rPr>
          <w:bCs/>
        </w:rPr>
        <w:t xml:space="preserve"> as being </w:t>
      </w:r>
      <w:r w:rsidR="00DF2D0A" w:rsidRPr="0032590D">
        <w:rPr>
          <w:bCs/>
        </w:rPr>
        <w:t>one that has aggregate turnover of under $10 million</w:t>
      </w:r>
      <w:r w:rsidR="00955562" w:rsidRPr="0032590D">
        <w:rPr>
          <w:bCs/>
        </w:rPr>
        <w:t>.</w:t>
      </w:r>
      <w:r w:rsidR="005631A0" w:rsidRPr="0032590D">
        <w:rPr>
          <w:rStyle w:val="FootnoteReference"/>
          <w:rFonts w:asciiTheme="minorHAnsi" w:hAnsiTheme="minorHAnsi" w:cstheme="minorHAnsi"/>
          <w:bCs/>
        </w:rPr>
        <w:footnoteReference w:id="41"/>
      </w:r>
      <w:r w:rsidR="00CD095C" w:rsidRPr="0032590D">
        <w:rPr>
          <w:bCs/>
        </w:rPr>
        <w:t xml:space="preserve"> </w:t>
      </w:r>
    </w:p>
    <w:p w14:paraId="39375E3A" w14:textId="7065A2B3" w:rsidR="00955562" w:rsidRPr="0032590D" w:rsidRDefault="00955562" w:rsidP="00B53817">
      <w:pPr>
        <w:rPr>
          <w:bCs/>
        </w:rPr>
      </w:pPr>
      <w:r w:rsidRPr="0032590D">
        <w:rPr>
          <w:bCs/>
        </w:rPr>
        <w:t>A turnover threshold is a common method to determine what constitutes a small business and using an existing definition w</w:t>
      </w:r>
      <w:r w:rsidR="00C278FD" w:rsidRPr="0032590D">
        <w:rPr>
          <w:bCs/>
        </w:rPr>
        <w:t xml:space="preserve">ould </w:t>
      </w:r>
      <w:r w:rsidR="003A4208" w:rsidRPr="0032590D">
        <w:rPr>
          <w:bCs/>
        </w:rPr>
        <w:t xml:space="preserve">reduce regulatory burden on business. </w:t>
      </w:r>
      <w:r w:rsidRPr="0032590D">
        <w:rPr>
          <w:bCs/>
        </w:rPr>
        <w:t>According to ABS data, as of 30</w:t>
      </w:r>
      <w:r w:rsidR="00C278FD" w:rsidRPr="0032590D">
        <w:rPr>
          <w:bCs/>
        </w:rPr>
        <w:t> </w:t>
      </w:r>
      <w:r w:rsidRPr="0032590D">
        <w:rPr>
          <w:bCs/>
        </w:rPr>
        <w:t>June 2023</w:t>
      </w:r>
      <w:r w:rsidR="00B06401" w:rsidRPr="0032590D">
        <w:rPr>
          <w:bCs/>
        </w:rPr>
        <w:t>,</w:t>
      </w:r>
      <w:r w:rsidRPr="0032590D">
        <w:rPr>
          <w:bCs/>
        </w:rPr>
        <w:t xml:space="preserve"> there were</w:t>
      </w:r>
      <w:r w:rsidR="00C95AA6" w:rsidRPr="0032590D">
        <w:t xml:space="preserve"> </w:t>
      </w:r>
      <w:r w:rsidR="00C95AA6" w:rsidRPr="0032590D">
        <w:rPr>
          <w:bCs/>
        </w:rPr>
        <w:t>2,542,155</w:t>
      </w:r>
      <w:r w:rsidRPr="0032590D">
        <w:rPr>
          <w:bCs/>
        </w:rPr>
        <w:t xml:space="preserve"> </w:t>
      </w:r>
      <w:r w:rsidR="00C95AA6" w:rsidRPr="0032590D">
        <w:rPr>
          <w:bCs/>
        </w:rPr>
        <w:t>businesses (</w:t>
      </w:r>
      <w:r w:rsidR="00815B50" w:rsidRPr="0032590D">
        <w:rPr>
          <w:bCs/>
        </w:rPr>
        <w:t xml:space="preserve">98.2 per cent) </w:t>
      </w:r>
      <w:r w:rsidR="00C95AA6" w:rsidRPr="0032590D">
        <w:rPr>
          <w:bCs/>
        </w:rPr>
        <w:t>with a turnover of less than $10</w:t>
      </w:r>
      <w:r w:rsidR="00264DC7" w:rsidRPr="0032590D">
        <w:rPr>
          <w:bCs/>
        </w:rPr>
        <w:t> </w:t>
      </w:r>
      <w:r w:rsidR="00C95AA6" w:rsidRPr="0032590D">
        <w:rPr>
          <w:bCs/>
        </w:rPr>
        <w:t>million</w:t>
      </w:r>
      <w:r w:rsidR="00815B50" w:rsidRPr="0032590D">
        <w:rPr>
          <w:bCs/>
        </w:rPr>
        <w:t xml:space="preserve"> and </w:t>
      </w:r>
      <w:r w:rsidRPr="0032590D">
        <w:rPr>
          <w:bCs/>
        </w:rPr>
        <w:t>4</w:t>
      </w:r>
      <w:r w:rsidR="00FF337C" w:rsidRPr="0032590D">
        <w:rPr>
          <w:bCs/>
        </w:rPr>
        <w:t>7</w:t>
      </w:r>
      <w:r w:rsidRPr="0032590D">
        <w:rPr>
          <w:bCs/>
        </w:rPr>
        <w:t>,</w:t>
      </w:r>
      <w:r w:rsidR="00FF337C" w:rsidRPr="0032590D">
        <w:rPr>
          <w:bCs/>
        </w:rPr>
        <w:t>718</w:t>
      </w:r>
      <w:r w:rsidRPr="0032590D">
        <w:rPr>
          <w:bCs/>
        </w:rPr>
        <w:t xml:space="preserve"> </w:t>
      </w:r>
      <w:r w:rsidR="00815B50" w:rsidRPr="0032590D">
        <w:rPr>
          <w:bCs/>
        </w:rPr>
        <w:t xml:space="preserve">businesses (1.8 per cent) </w:t>
      </w:r>
      <w:r w:rsidRPr="0032590D">
        <w:rPr>
          <w:bCs/>
        </w:rPr>
        <w:t xml:space="preserve">with a turnover </w:t>
      </w:r>
      <w:r w:rsidR="00DE2A68" w:rsidRPr="0032590D">
        <w:rPr>
          <w:bCs/>
        </w:rPr>
        <w:t xml:space="preserve">of </w:t>
      </w:r>
      <w:r w:rsidRPr="0032590D">
        <w:rPr>
          <w:bCs/>
        </w:rPr>
        <w:t>$10</w:t>
      </w:r>
      <w:r w:rsidR="00DE2A68" w:rsidRPr="0032590D">
        <w:rPr>
          <w:bCs/>
        </w:rPr>
        <w:t xml:space="preserve"> million or greater</w:t>
      </w:r>
      <w:r w:rsidRPr="0032590D">
        <w:rPr>
          <w:bCs/>
        </w:rPr>
        <w:t>.</w:t>
      </w:r>
      <w:r w:rsidRPr="0032590D">
        <w:rPr>
          <w:rStyle w:val="FootnoteReference"/>
          <w:rFonts w:asciiTheme="minorHAnsi" w:hAnsiTheme="minorHAnsi" w:cstheme="minorHAnsi"/>
          <w:bCs/>
        </w:rPr>
        <w:footnoteReference w:id="42"/>
      </w:r>
      <w:r w:rsidRPr="0032590D">
        <w:rPr>
          <w:bCs/>
        </w:rPr>
        <w:t xml:space="preserve"> </w:t>
      </w:r>
    </w:p>
    <w:p w14:paraId="08FF9C80" w14:textId="65EEA954" w:rsidR="00B7096B" w:rsidRPr="0032590D" w:rsidRDefault="00955562" w:rsidP="00B53817">
      <w:pPr>
        <w:rPr>
          <w:bCs/>
        </w:rPr>
      </w:pPr>
      <w:r w:rsidRPr="0032590D">
        <w:rPr>
          <w:bCs/>
        </w:rPr>
        <w:t xml:space="preserve">Many small businesses would be familiar with the </w:t>
      </w:r>
      <w:r w:rsidR="007D5343" w:rsidRPr="0032590D">
        <w:rPr>
          <w:bCs/>
        </w:rPr>
        <w:t xml:space="preserve">tax law </w:t>
      </w:r>
      <w:r w:rsidRPr="0032590D">
        <w:rPr>
          <w:bCs/>
        </w:rPr>
        <w:t>definition and have regular interactions with the A</w:t>
      </w:r>
      <w:r w:rsidR="00A16450" w:rsidRPr="0032590D">
        <w:rPr>
          <w:bCs/>
        </w:rPr>
        <w:t xml:space="preserve">ustralian </w:t>
      </w:r>
      <w:r w:rsidRPr="0032590D">
        <w:rPr>
          <w:bCs/>
        </w:rPr>
        <w:t>T</w:t>
      </w:r>
      <w:r w:rsidR="00A16450" w:rsidRPr="0032590D">
        <w:rPr>
          <w:bCs/>
        </w:rPr>
        <w:t xml:space="preserve">axation </w:t>
      </w:r>
      <w:r w:rsidRPr="0032590D">
        <w:rPr>
          <w:bCs/>
        </w:rPr>
        <w:t>O</w:t>
      </w:r>
      <w:r w:rsidR="00A16450" w:rsidRPr="0032590D">
        <w:rPr>
          <w:bCs/>
        </w:rPr>
        <w:t>ffice</w:t>
      </w:r>
      <w:r w:rsidRPr="0032590D">
        <w:rPr>
          <w:bCs/>
        </w:rPr>
        <w:t xml:space="preserve">, leading to </w:t>
      </w:r>
      <w:r w:rsidR="006E2185" w:rsidRPr="0032590D">
        <w:rPr>
          <w:bCs/>
        </w:rPr>
        <w:t>a better</w:t>
      </w:r>
      <w:r w:rsidRPr="0032590D">
        <w:rPr>
          <w:bCs/>
        </w:rPr>
        <w:t xml:space="preserve"> understanding of </w:t>
      </w:r>
      <w:r w:rsidR="001F4C5C" w:rsidRPr="0032590D">
        <w:rPr>
          <w:bCs/>
        </w:rPr>
        <w:t>such a</w:t>
      </w:r>
      <w:r w:rsidRPr="0032590D">
        <w:rPr>
          <w:bCs/>
        </w:rPr>
        <w:t xml:space="preserve"> definition.</w:t>
      </w:r>
    </w:p>
    <w:p w14:paraId="27AF0EFD" w14:textId="66042AE3" w:rsidR="00955562" w:rsidRPr="0032590D" w:rsidRDefault="00FB726F" w:rsidP="00561FEB">
      <w:pPr>
        <w:rPr>
          <w:bCs/>
        </w:rPr>
      </w:pPr>
      <w:r w:rsidRPr="0032590D">
        <w:t>Alternative</w:t>
      </w:r>
      <w:r w:rsidR="00D3633D" w:rsidRPr="0032590D">
        <w:t xml:space="preserve"> definitions of </w:t>
      </w:r>
      <w:r w:rsidR="009D2E36" w:rsidRPr="0032590D">
        <w:t xml:space="preserve">a </w:t>
      </w:r>
      <w:r w:rsidRPr="0032590D">
        <w:t xml:space="preserve">small business </w:t>
      </w:r>
      <w:r w:rsidR="006C5B82" w:rsidRPr="0032590D">
        <w:t>could be used</w:t>
      </w:r>
      <w:r w:rsidR="00E90B74" w:rsidRPr="0032590D">
        <w:t xml:space="preserve">, such as </w:t>
      </w:r>
      <w:r w:rsidR="00C31133" w:rsidRPr="0032590D">
        <w:t>a business with less than a specified number of employees</w:t>
      </w:r>
      <w:r w:rsidR="00C276BE" w:rsidRPr="0032590D">
        <w:t xml:space="preserve">. </w:t>
      </w:r>
      <w:r w:rsidR="00E3486D" w:rsidRPr="0032590D">
        <w:t xml:space="preserve">However, a turnover test is preferred as </w:t>
      </w:r>
      <w:r w:rsidR="00B64505" w:rsidRPr="0032590D">
        <w:t xml:space="preserve">employee counts </w:t>
      </w:r>
      <w:r w:rsidR="00D3633D" w:rsidRPr="0032590D">
        <w:rPr>
          <w:bCs/>
        </w:rPr>
        <w:t xml:space="preserve">can fluctuate </w:t>
      </w:r>
      <w:r w:rsidR="00C83EB0" w:rsidRPr="0032590D">
        <w:rPr>
          <w:bCs/>
        </w:rPr>
        <w:t>on a seasonal basis</w:t>
      </w:r>
      <w:r w:rsidR="00D3633D" w:rsidRPr="0032590D">
        <w:rPr>
          <w:bCs/>
        </w:rPr>
        <w:t>, or a business may choos</w:t>
      </w:r>
      <w:r w:rsidR="002B555C" w:rsidRPr="0032590D">
        <w:rPr>
          <w:bCs/>
        </w:rPr>
        <w:t>e</w:t>
      </w:r>
      <w:r w:rsidR="00D3633D" w:rsidRPr="0032590D">
        <w:rPr>
          <w:bCs/>
        </w:rPr>
        <w:t xml:space="preserve"> to use more casual or part-time staff, driving them above </w:t>
      </w:r>
      <w:r w:rsidR="005F3796" w:rsidRPr="0032590D">
        <w:rPr>
          <w:bCs/>
        </w:rPr>
        <w:t>an employee limit</w:t>
      </w:r>
      <w:r w:rsidR="00D3633D" w:rsidRPr="0032590D">
        <w:rPr>
          <w:bCs/>
        </w:rPr>
        <w:t>.</w:t>
      </w:r>
    </w:p>
    <w:p w14:paraId="2664D774" w14:textId="0B425203" w:rsidR="00CD2C5E" w:rsidRPr="0032590D" w:rsidRDefault="00574287" w:rsidP="000E3939">
      <w:pPr>
        <w:rPr>
          <w:bCs/>
        </w:rPr>
      </w:pPr>
      <w:r w:rsidRPr="0032590D">
        <w:rPr>
          <w:bCs/>
        </w:rPr>
        <w:t xml:space="preserve">It is proposed to treat businesses that are part of </w:t>
      </w:r>
      <w:r w:rsidR="00231057" w:rsidRPr="0032590D">
        <w:rPr>
          <w:bCs/>
        </w:rPr>
        <w:t xml:space="preserve">a franchise arrangement separately to increase certainty for consumers. </w:t>
      </w:r>
      <w:r w:rsidR="00A03F6E" w:rsidRPr="0032590D">
        <w:rPr>
          <w:bCs/>
        </w:rPr>
        <w:t xml:space="preserve">If </w:t>
      </w:r>
      <w:r w:rsidR="009F5E24" w:rsidRPr="0032590D">
        <w:rPr>
          <w:bCs/>
        </w:rPr>
        <w:t xml:space="preserve">franchise arrangements </w:t>
      </w:r>
      <w:r w:rsidR="008F3CEA" w:rsidRPr="0032590D">
        <w:rPr>
          <w:bCs/>
        </w:rPr>
        <w:t>are</w:t>
      </w:r>
      <w:r w:rsidR="009F5E24" w:rsidRPr="0032590D">
        <w:rPr>
          <w:bCs/>
        </w:rPr>
        <w:t xml:space="preserve"> not dealt with separately</w:t>
      </w:r>
      <w:r w:rsidR="008F3CEA" w:rsidRPr="0032590D">
        <w:rPr>
          <w:bCs/>
        </w:rPr>
        <w:t>,</w:t>
      </w:r>
      <w:r w:rsidR="009F5E24" w:rsidRPr="0032590D">
        <w:rPr>
          <w:bCs/>
        </w:rPr>
        <w:t xml:space="preserve"> then </w:t>
      </w:r>
      <w:r w:rsidR="002E1831" w:rsidRPr="0032590D">
        <w:rPr>
          <w:bCs/>
        </w:rPr>
        <w:t xml:space="preserve">two different businesses within the same franchise </w:t>
      </w:r>
      <w:r w:rsidR="00F56103" w:rsidRPr="0032590D">
        <w:rPr>
          <w:bCs/>
        </w:rPr>
        <w:t xml:space="preserve">(brand) </w:t>
      </w:r>
      <w:r w:rsidR="00301286" w:rsidRPr="0032590D">
        <w:rPr>
          <w:bCs/>
        </w:rPr>
        <w:t xml:space="preserve">are more likely to </w:t>
      </w:r>
      <w:r w:rsidR="002E1831" w:rsidRPr="0032590D">
        <w:rPr>
          <w:bCs/>
        </w:rPr>
        <w:t>be subject to different treatment under the cash acceptance mandate</w:t>
      </w:r>
      <w:r w:rsidR="00F56103" w:rsidRPr="0032590D">
        <w:rPr>
          <w:bCs/>
        </w:rPr>
        <w:t>, which would cause confusion for consumers</w:t>
      </w:r>
      <w:r w:rsidR="00E46B5E" w:rsidRPr="0032590D">
        <w:rPr>
          <w:bCs/>
        </w:rPr>
        <w:t>.</w:t>
      </w:r>
      <w:r w:rsidR="0054448F" w:rsidRPr="0032590D">
        <w:rPr>
          <w:bCs/>
        </w:rPr>
        <w:t xml:space="preserve"> </w:t>
      </w:r>
      <w:r w:rsidR="00E81DFE" w:rsidRPr="0032590D">
        <w:rPr>
          <w:bCs/>
        </w:rPr>
        <w:t>However, as the relationship between franchisors and franchisees differ</w:t>
      </w:r>
      <w:r w:rsidR="00960FCD" w:rsidRPr="0032590D">
        <w:rPr>
          <w:bCs/>
        </w:rPr>
        <w:t>s</w:t>
      </w:r>
      <w:r w:rsidR="00E81DFE" w:rsidRPr="0032590D">
        <w:rPr>
          <w:bCs/>
        </w:rPr>
        <w:t xml:space="preserve"> significantly across industries, including in relation to cash handling practices, </w:t>
      </w:r>
      <w:r w:rsidR="0054448F" w:rsidRPr="0032590D">
        <w:rPr>
          <w:bCs/>
        </w:rPr>
        <w:t xml:space="preserve">stakeholder views are sought on how the </w:t>
      </w:r>
      <w:r w:rsidR="00E81DFE" w:rsidRPr="0032590D">
        <w:rPr>
          <w:bCs/>
        </w:rPr>
        <w:t>mandate</w:t>
      </w:r>
      <w:r w:rsidR="00FE42D1" w:rsidRPr="0032590D">
        <w:rPr>
          <w:bCs/>
        </w:rPr>
        <w:t xml:space="preserve"> (and exemptions to the mandate)</w:t>
      </w:r>
      <w:r w:rsidR="0054448F" w:rsidRPr="0032590D">
        <w:rPr>
          <w:bCs/>
        </w:rPr>
        <w:t xml:space="preserve"> may </w:t>
      </w:r>
      <w:r w:rsidR="006A21F6" w:rsidRPr="0032590D">
        <w:rPr>
          <w:bCs/>
        </w:rPr>
        <w:t xml:space="preserve">best be calibrated </w:t>
      </w:r>
      <w:r w:rsidR="0054448F" w:rsidRPr="0032590D">
        <w:rPr>
          <w:bCs/>
        </w:rPr>
        <w:t>to respond to the business needs of franchisees which</w:t>
      </w:r>
      <w:r w:rsidR="009727D3" w:rsidRPr="0032590D">
        <w:rPr>
          <w:bCs/>
        </w:rPr>
        <w:t xml:space="preserve">, but for the franchise arrangement, would otherwise be regarded as small businesses. </w:t>
      </w:r>
    </w:p>
    <w:p w14:paraId="76E9E728" w14:textId="768FA6B5" w:rsidR="00702403" w:rsidRPr="0032590D" w:rsidRDefault="00F43CB5" w:rsidP="000E3939">
      <w:pPr>
        <w:rPr>
          <w:bCs/>
        </w:rPr>
      </w:pPr>
      <w:r w:rsidRPr="0032590D">
        <w:rPr>
          <w:bCs/>
        </w:rPr>
        <w:t xml:space="preserve">The ABS, in examining </w:t>
      </w:r>
      <w:r w:rsidR="0005347F" w:rsidRPr="0032590D">
        <w:rPr>
          <w:bCs/>
        </w:rPr>
        <w:t xml:space="preserve">Franchise Disclosure Register (FDR) </w:t>
      </w:r>
      <w:r w:rsidR="0055640A" w:rsidRPr="0032590D">
        <w:rPr>
          <w:bCs/>
        </w:rPr>
        <w:t xml:space="preserve">data as </w:t>
      </w:r>
      <w:r w:rsidR="00AE7586" w:rsidRPr="0032590D">
        <w:rPr>
          <w:bCs/>
        </w:rPr>
        <w:t>of</w:t>
      </w:r>
      <w:r w:rsidR="0005347F" w:rsidRPr="0032590D">
        <w:rPr>
          <w:bCs/>
        </w:rPr>
        <w:t xml:space="preserve"> September 2023, </w:t>
      </w:r>
      <w:r w:rsidR="00825F2E" w:rsidRPr="0032590D">
        <w:rPr>
          <w:bCs/>
        </w:rPr>
        <w:t>has identified that there was a</w:t>
      </w:r>
      <w:r w:rsidR="0005347F" w:rsidRPr="0032590D">
        <w:rPr>
          <w:bCs/>
        </w:rPr>
        <w:t xml:space="preserve">n estimated </w:t>
      </w:r>
      <w:r w:rsidR="00495D90" w:rsidRPr="0032590D">
        <w:rPr>
          <w:bCs/>
        </w:rPr>
        <w:t>505</w:t>
      </w:r>
      <w:r w:rsidR="0005347F" w:rsidRPr="0032590D">
        <w:rPr>
          <w:bCs/>
        </w:rPr>
        <w:t xml:space="preserve"> franchise </w:t>
      </w:r>
      <w:r w:rsidR="00825F2E" w:rsidRPr="0032590D">
        <w:rPr>
          <w:bCs/>
        </w:rPr>
        <w:t>arrangements</w:t>
      </w:r>
      <w:r w:rsidR="0005347F" w:rsidRPr="0032590D">
        <w:rPr>
          <w:bCs/>
        </w:rPr>
        <w:t xml:space="preserve"> operating in Australia</w:t>
      </w:r>
      <w:r w:rsidR="00495D90" w:rsidRPr="0032590D">
        <w:rPr>
          <w:bCs/>
        </w:rPr>
        <w:t xml:space="preserve"> with a turnover of </w:t>
      </w:r>
      <w:r w:rsidR="003D56AF" w:rsidRPr="0032590D">
        <w:rPr>
          <w:bCs/>
        </w:rPr>
        <w:t>$10</w:t>
      </w:r>
      <w:r w:rsidR="001911AB" w:rsidRPr="0032590D">
        <w:rPr>
          <w:bCs/>
        </w:rPr>
        <w:t> </w:t>
      </w:r>
      <w:r w:rsidR="003D56AF" w:rsidRPr="0032590D">
        <w:rPr>
          <w:bCs/>
        </w:rPr>
        <w:t>million or over</w:t>
      </w:r>
      <w:r w:rsidR="001F3AAB" w:rsidRPr="0032590D">
        <w:rPr>
          <w:bCs/>
        </w:rPr>
        <w:t xml:space="preserve"> (or </w:t>
      </w:r>
      <w:r w:rsidR="005C2FA9" w:rsidRPr="0032590D">
        <w:rPr>
          <w:bCs/>
        </w:rPr>
        <w:t>employing more than 20 people</w:t>
      </w:r>
      <w:r w:rsidR="003B0AE5" w:rsidRPr="0032590D">
        <w:rPr>
          <w:bCs/>
        </w:rPr>
        <w:t xml:space="preserve"> or </w:t>
      </w:r>
      <w:r w:rsidR="00CE74B6" w:rsidRPr="0032590D">
        <w:rPr>
          <w:bCs/>
        </w:rPr>
        <w:t>with 30 or more franchisees</w:t>
      </w:r>
      <w:r w:rsidR="009060D4" w:rsidRPr="0032590D">
        <w:rPr>
          <w:bCs/>
        </w:rPr>
        <w:t xml:space="preserve"> or foreign owned)</w:t>
      </w:r>
      <w:r w:rsidR="003D56AF" w:rsidRPr="0032590D">
        <w:rPr>
          <w:bCs/>
        </w:rPr>
        <w:t xml:space="preserve">, with an associated </w:t>
      </w:r>
      <w:r w:rsidR="00EC7ED8" w:rsidRPr="0032590D">
        <w:rPr>
          <w:bCs/>
        </w:rPr>
        <w:t>66,008</w:t>
      </w:r>
      <w:r w:rsidR="0005347F" w:rsidRPr="0032590D">
        <w:rPr>
          <w:bCs/>
        </w:rPr>
        <w:t xml:space="preserve"> franchisees.</w:t>
      </w:r>
      <w:r w:rsidR="001E5EE4" w:rsidRPr="0032590D">
        <w:rPr>
          <w:bCs/>
        </w:rPr>
        <w:t xml:space="preserve"> The 505 franchise arrangements include those selling essential </w:t>
      </w:r>
      <w:r w:rsidR="007C19D9" w:rsidRPr="0032590D">
        <w:rPr>
          <w:bCs/>
        </w:rPr>
        <w:t xml:space="preserve">goods and services (such as </w:t>
      </w:r>
      <w:r w:rsidR="00AC4B1C" w:rsidRPr="0032590D">
        <w:rPr>
          <w:bCs/>
        </w:rPr>
        <w:t xml:space="preserve">IGA supermarkets) and </w:t>
      </w:r>
      <w:r w:rsidR="008B0A2B" w:rsidRPr="0032590D">
        <w:rPr>
          <w:bCs/>
        </w:rPr>
        <w:t xml:space="preserve">those selling non-essential goods and services (such as </w:t>
      </w:r>
      <w:r w:rsidR="00CC0157" w:rsidRPr="0032590D">
        <w:rPr>
          <w:bCs/>
        </w:rPr>
        <w:t>McDonald’s rest</w:t>
      </w:r>
      <w:r w:rsidR="001911AB" w:rsidRPr="0032590D">
        <w:rPr>
          <w:bCs/>
        </w:rPr>
        <w:t>a</w:t>
      </w:r>
      <w:r w:rsidR="00CC0157" w:rsidRPr="0032590D">
        <w:rPr>
          <w:bCs/>
        </w:rPr>
        <w:t>urants</w:t>
      </w:r>
      <w:r w:rsidR="008B0A2B" w:rsidRPr="0032590D">
        <w:rPr>
          <w:bCs/>
        </w:rPr>
        <w:t>)</w:t>
      </w:r>
      <w:r w:rsidR="00FC6EC9" w:rsidRPr="0032590D">
        <w:rPr>
          <w:bCs/>
        </w:rPr>
        <w:t>.</w:t>
      </w:r>
    </w:p>
    <w:p w14:paraId="39419E0B" w14:textId="6FA71089" w:rsidR="002372CD" w:rsidRPr="0032590D" w:rsidRDefault="00C2278A" w:rsidP="000E3939">
      <w:pPr>
        <w:rPr>
          <w:bCs/>
        </w:rPr>
      </w:pPr>
      <w:r w:rsidRPr="0032590D">
        <w:rPr>
          <w:bCs/>
        </w:rPr>
        <w:t xml:space="preserve">Many </w:t>
      </w:r>
      <w:r w:rsidR="008B3B27" w:rsidRPr="0032590D">
        <w:rPr>
          <w:bCs/>
        </w:rPr>
        <w:t xml:space="preserve">franchise agreements require the use of </w:t>
      </w:r>
      <w:r w:rsidR="009A6C3D" w:rsidRPr="0032590D">
        <w:rPr>
          <w:bCs/>
        </w:rPr>
        <w:t>the same</w:t>
      </w:r>
      <w:r w:rsidR="008B3B27" w:rsidRPr="0032590D">
        <w:rPr>
          <w:bCs/>
        </w:rPr>
        <w:t xml:space="preserve"> point-of-sale system</w:t>
      </w:r>
      <w:r w:rsidR="001B0EA6" w:rsidRPr="0032590D">
        <w:rPr>
          <w:bCs/>
        </w:rPr>
        <w:t xml:space="preserve"> and thus </w:t>
      </w:r>
      <w:r w:rsidR="009A6C3D" w:rsidRPr="0032590D">
        <w:rPr>
          <w:bCs/>
        </w:rPr>
        <w:t xml:space="preserve">there is </w:t>
      </w:r>
      <w:r w:rsidR="00CB43B3" w:rsidRPr="0032590D">
        <w:rPr>
          <w:bCs/>
        </w:rPr>
        <w:t xml:space="preserve">a mechanism </w:t>
      </w:r>
      <w:r w:rsidR="009A6C3D" w:rsidRPr="0032590D">
        <w:rPr>
          <w:bCs/>
        </w:rPr>
        <w:t xml:space="preserve">to </w:t>
      </w:r>
      <w:r w:rsidR="00CB43B3" w:rsidRPr="0032590D">
        <w:rPr>
          <w:bCs/>
        </w:rPr>
        <w:t xml:space="preserve">impose consistent payment </w:t>
      </w:r>
      <w:r w:rsidR="00E72A0F" w:rsidRPr="0032590D">
        <w:rPr>
          <w:bCs/>
        </w:rPr>
        <w:t xml:space="preserve">acceptance </w:t>
      </w:r>
      <w:r w:rsidR="001E3A95" w:rsidRPr="0032590D">
        <w:rPr>
          <w:bCs/>
        </w:rPr>
        <w:t xml:space="preserve">terms </w:t>
      </w:r>
      <w:r w:rsidR="00E72A0F" w:rsidRPr="0032590D">
        <w:rPr>
          <w:bCs/>
        </w:rPr>
        <w:t xml:space="preserve">across the franchise. </w:t>
      </w:r>
      <w:r w:rsidR="001E3A95" w:rsidRPr="0032590D">
        <w:rPr>
          <w:bCs/>
        </w:rPr>
        <w:t xml:space="preserve">The franchisor would also </w:t>
      </w:r>
      <w:r w:rsidR="007B5991" w:rsidRPr="0032590D">
        <w:rPr>
          <w:bCs/>
        </w:rPr>
        <w:t xml:space="preserve">be able to </w:t>
      </w:r>
      <w:r w:rsidR="00405144" w:rsidRPr="0032590D">
        <w:rPr>
          <w:bCs/>
        </w:rPr>
        <w:t xml:space="preserve">easily </w:t>
      </w:r>
      <w:r w:rsidR="007B5991" w:rsidRPr="0032590D">
        <w:rPr>
          <w:bCs/>
        </w:rPr>
        <w:t>identify the turnover of the franchise arrangement</w:t>
      </w:r>
      <w:r w:rsidR="00226F10" w:rsidRPr="0032590D">
        <w:rPr>
          <w:bCs/>
        </w:rPr>
        <w:t xml:space="preserve">, given that franchisors </w:t>
      </w:r>
      <w:r w:rsidR="00B121CF" w:rsidRPr="0032590D">
        <w:rPr>
          <w:bCs/>
        </w:rPr>
        <w:t>typically calculate their royalties</w:t>
      </w:r>
      <w:r w:rsidR="004957D8" w:rsidRPr="0032590D">
        <w:rPr>
          <w:bCs/>
        </w:rPr>
        <w:t xml:space="preserve"> or fees from franchisee turnover.</w:t>
      </w:r>
      <w:r w:rsidR="00003E60" w:rsidRPr="0032590D">
        <w:rPr>
          <w:bCs/>
        </w:rPr>
        <w:t xml:space="preserve"> </w:t>
      </w:r>
    </w:p>
    <w:p w14:paraId="306319CA" w14:textId="4A5F5062" w:rsidR="00714290" w:rsidRPr="0032590D" w:rsidRDefault="00C83516" w:rsidP="00F14A85">
      <w:pPr>
        <w:pStyle w:val="Heading2"/>
      </w:pPr>
      <w:bookmarkStart w:id="55" w:name="_Toc183137390"/>
      <w:r w:rsidRPr="0032590D">
        <w:t>Must accept cash payment</w:t>
      </w:r>
      <w:bookmarkEnd w:id="55"/>
    </w:p>
    <w:p w14:paraId="22A15DE8" w14:textId="3917F346" w:rsidR="00DF35C0" w:rsidRPr="0032590D" w:rsidRDefault="00433DE0" w:rsidP="00433DE0">
      <w:pPr>
        <w:pStyle w:val="Heading3"/>
      </w:pPr>
      <w:r w:rsidRPr="0032590D">
        <w:t>Options</w:t>
      </w:r>
    </w:p>
    <w:p w14:paraId="1B6BFFAA" w14:textId="514E4448" w:rsidR="00114894" w:rsidRPr="0032590D" w:rsidRDefault="00114894" w:rsidP="00561FEB">
      <w:r w:rsidRPr="0032590D">
        <w:t xml:space="preserve">Views are invited on </w:t>
      </w:r>
      <w:r w:rsidR="00EE1CFB" w:rsidRPr="0032590D">
        <w:t>three</w:t>
      </w:r>
      <w:r w:rsidRPr="0032590D">
        <w:t xml:space="preserve"> options for the mandate that would apply to business. </w:t>
      </w:r>
    </w:p>
    <w:p w14:paraId="7AB8D744" w14:textId="19C77A1D" w:rsidR="00E3222B" w:rsidRPr="0032590D" w:rsidRDefault="005229F1" w:rsidP="00E3222B">
      <w:pPr>
        <w:pStyle w:val="Heading4"/>
      </w:pPr>
      <w:r w:rsidRPr="0032590D">
        <w:t>D</w:t>
      </w:r>
      <w:r w:rsidR="00E3222B" w:rsidRPr="0032590D">
        <w:t>ollar limit</w:t>
      </w:r>
    </w:p>
    <w:p w14:paraId="5F7232D1" w14:textId="57686ADB" w:rsidR="00B05C4B" w:rsidRPr="0032590D" w:rsidRDefault="007C5270" w:rsidP="007C5270">
      <w:r w:rsidRPr="0032590D">
        <w:t>This option would apply a dollar limit to the mandate. Businesses covered by the mandate would only be required to accept cash for transactions below a certain dollar limit. This approach aims to reduce the burden on businesses by limiting the volume of cash transactions they must handle, while still ensuring that consumers can use cash for smaller, everyday purchases. It would provide a practical compromise, allowing businesses to avoid the costs and risks associated with handling large amounts of cash.</w:t>
      </w:r>
      <w:r w:rsidR="00FC44BD" w:rsidRPr="0032590D">
        <w:t xml:space="preserve"> </w:t>
      </w:r>
    </w:p>
    <w:p w14:paraId="1973388A" w14:textId="2A4CDCB4" w:rsidR="007C5270" w:rsidRPr="0032590D" w:rsidRDefault="00223C79" w:rsidP="007C5270">
      <w:r w:rsidRPr="0032590D">
        <w:t>Several other jurisdictions are considering imposing a</w:t>
      </w:r>
      <w:r w:rsidR="0078116A" w:rsidRPr="0032590D">
        <w:t xml:space="preserve"> dollar-limited cash acceptance mandate</w:t>
      </w:r>
      <w:r w:rsidR="00AA4554" w:rsidRPr="0032590D">
        <w:t>, including, as noted above, the United States</w:t>
      </w:r>
      <w:r w:rsidR="0078116A" w:rsidRPr="0032590D">
        <w:t xml:space="preserve">. </w:t>
      </w:r>
      <w:r w:rsidR="00584C71" w:rsidRPr="0032590D">
        <w:t>Should a dollar limit apply</w:t>
      </w:r>
      <w:r w:rsidR="006B08DF" w:rsidRPr="0032590D">
        <w:t xml:space="preserve"> in an Australian context,</w:t>
      </w:r>
      <w:r w:rsidR="00584C71" w:rsidRPr="0032590D">
        <w:t xml:space="preserve"> </w:t>
      </w:r>
      <w:r w:rsidR="00AA4554" w:rsidRPr="0032590D">
        <w:t xml:space="preserve">the prescribed </w:t>
      </w:r>
      <w:r w:rsidR="004C0C22" w:rsidRPr="0032590D">
        <w:t>limit</w:t>
      </w:r>
      <w:r w:rsidR="00584C71" w:rsidRPr="0032590D">
        <w:t xml:space="preserve"> must </w:t>
      </w:r>
      <w:r w:rsidR="00BE21A2" w:rsidRPr="0032590D">
        <w:t xml:space="preserve">be properly calibrated </w:t>
      </w:r>
      <w:r w:rsidR="00865C39" w:rsidRPr="0032590D">
        <w:t xml:space="preserve">toward the upper bound </w:t>
      </w:r>
      <w:r w:rsidR="00584C71" w:rsidRPr="0032590D">
        <w:t xml:space="preserve">on </w:t>
      </w:r>
      <w:r w:rsidR="009E0B64" w:rsidRPr="0032590D">
        <w:t>items covered by the mandate, for example energy bills</w:t>
      </w:r>
      <w:r w:rsidR="00F134DF" w:rsidRPr="0032590D">
        <w:t xml:space="preserve"> for larger households</w:t>
      </w:r>
      <w:r w:rsidR="009E0B64" w:rsidRPr="0032590D">
        <w:t>.</w:t>
      </w:r>
      <w:r w:rsidR="000074F6" w:rsidRPr="0032590D">
        <w:t xml:space="preserve"> Stakeholder views are sought on an appropriate dollar limit for this purpose</w:t>
      </w:r>
      <w:r w:rsidR="00557BAF" w:rsidRPr="0032590D">
        <w:t>.</w:t>
      </w:r>
    </w:p>
    <w:p w14:paraId="1EF990A2" w14:textId="0A02AFF5" w:rsidR="00E3222B" w:rsidRPr="0032590D" w:rsidRDefault="009A0502" w:rsidP="00E3222B">
      <w:pPr>
        <w:pStyle w:val="Heading4"/>
      </w:pPr>
      <w:r w:rsidRPr="0032590D">
        <w:t>T</w:t>
      </w:r>
      <w:r w:rsidR="00E3222B" w:rsidRPr="0032590D">
        <w:t>ime limit</w:t>
      </w:r>
    </w:p>
    <w:p w14:paraId="672E5E2E" w14:textId="54254B35" w:rsidR="00E3222B" w:rsidRPr="0032590D" w:rsidRDefault="00E3222B" w:rsidP="00561FEB">
      <w:r w:rsidRPr="0032590D">
        <w:t>Under this option, businesses covered by the mandate would be required to accept cash for in</w:t>
      </w:r>
      <w:r w:rsidR="00731D50" w:rsidRPr="0032590D">
        <w:noBreakHyphen/>
      </w:r>
      <w:r w:rsidRPr="0032590D">
        <w:t>person payments only during certain hours of the day, such as from 6</w:t>
      </w:r>
      <w:r w:rsidR="00731D50" w:rsidRPr="0032590D">
        <w:t>.00</w:t>
      </w:r>
      <w:r w:rsidRPr="0032590D">
        <w:t>am to 10</w:t>
      </w:r>
      <w:r w:rsidR="00731D50" w:rsidRPr="0032590D">
        <w:t>.00</w:t>
      </w:r>
      <w:r w:rsidRPr="0032590D">
        <w:t>pm. This</w:t>
      </w:r>
      <w:r w:rsidR="00731D50" w:rsidRPr="0032590D">
        <w:t> </w:t>
      </w:r>
      <w:r w:rsidRPr="0032590D">
        <w:t>approach aims to balance the need for cash acceptance with the operational realities of businesses. By limiting the hours during which cash must be accepted, businesses can better manage their cash handling processes and reduce the associated costs and</w:t>
      </w:r>
      <w:r w:rsidR="0CD62C77" w:rsidRPr="0032590D">
        <w:t xml:space="preserve"> security</w:t>
      </w:r>
      <w:r w:rsidRPr="0032590D">
        <w:t xml:space="preserve"> risks. This option also provides consumers with a clear window of time during which they can use cash, ensuring that it remains a viable payment option. However, it may create confusion and inconvenience for consumers who are unaware of the specific hours during which cash is accepted</w:t>
      </w:r>
      <w:r w:rsidR="000525BC" w:rsidRPr="0032590D">
        <w:t xml:space="preserve"> or who work </w:t>
      </w:r>
      <w:r w:rsidR="00EF1E2B" w:rsidRPr="0032590D">
        <w:t xml:space="preserve">in roles that require </w:t>
      </w:r>
      <w:r w:rsidR="000C0045" w:rsidRPr="0032590D">
        <w:t>night time work</w:t>
      </w:r>
      <w:r w:rsidRPr="0032590D">
        <w:t>.</w:t>
      </w:r>
    </w:p>
    <w:p w14:paraId="78E007EA" w14:textId="5A560480" w:rsidR="00E3222B" w:rsidRPr="0032590D" w:rsidRDefault="0068298C" w:rsidP="00E3222B">
      <w:pPr>
        <w:pStyle w:val="Heading4"/>
      </w:pPr>
      <w:r w:rsidRPr="0032590D">
        <w:t xml:space="preserve">Both dollar and time </w:t>
      </w:r>
      <w:r w:rsidR="00E3222B" w:rsidRPr="0032590D">
        <w:t>limit</w:t>
      </w:r>
    </w:p>
    <w:p w14:paraId="459C89DA" w14:textId="040BBB44" w:rsidR="00E3222B" w:rsidRPr="0032590D" w:rsidRDefault="00E3222B" w:rsidP="00561FEB">
      <w:r w:rsidRPr="0032590D">
        <w:t>This option combines the elements of the previous two, requiring businesses to accept cash for in</w:t>
      </w:r>
      <w:r w:rsidR="00CB7C71" w:rsidRPr="0032590D">
        <w:noBreakHyphen/>
      </w:r>
      <w:r w:rsidRPr="0032590D">
        <w:t xml:space="preserve">person payments only during certain hours of the day and for transactions below a specified dollar limit. This dual approach aims to </w:t>
      </w:r>
      <w:r w:rsidR="005C792B" w:rsidRPr="0032590D">
        <w:t xml:space="preserve">maximise </w:t>
      </w:r>
      <w:r w:rsidRPr="0032590D">
        <w:t>flexibility for businesses while still ensuring that cash remains an accessible payment option for consumers. By limiting both the time and the amount of cash transactions, businesses can better manage their cash handling processes and reduce the associated costs and risks. This option offers a balanced solution that addresses the needs of both businesses and consumers, but it may also be the most complex to implement and enforce, requiring clear communication and consistent application of the rules.</w:t>
      </w:r>
    </w:p>
    <w:p w14:paraId="550CCDEF" w14:textId="24CA562E" w:rsidR="00706486" w:rsidRPr="0032590D" w:rsidRDefault="00706486" w:rsidP="00561FEB">
      <w:r w:rsidRPr="0032590D">
        <w:t>Under all three options, businesses can still choose to accept cash outside of the dollar and/or time limit</w:t>
      </w:r>
      <w:r w:rsidR="00816F5A" w:rsidRPr="0032590D">
        <w:t>s</w:t>
      </w:r>
      <w:r w:rsidRPr="0032590D">
        <w:t>, they are just not required to.</w:t>
      </w:r>
    </w:p>
    <w:p w14:paraId="7B363720" w14:textId="02ACDD2A" w:rsidR="001C341B" w:rsidRPr="0032590D" w:rsidRDefault="001C341B" w:rsidP="003462B1">
      <w:r w:rsidRPr="0032590D">
        <w:rPr>
          <w:noProof/>
        </w:rPr>
        <mc:AlternateContent>
          <mc:Choice Requires="wps">
            <w:drawing>
              <wp:inline distT="0" distB="0" distL="0" distR="0" wp14:anchorId="5CD0B405" wp14:editId="6E2FA682">
                <wp:extent cx="5767057" cy="1404620"/>
                <wp:effectExtent l="0" t="0" r="5715" b="0"/>
                <wp:docPr id="14940547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057" cy="1404620"/>
                        </a:xfrm>
                        <a:prstGeom prst="rect">
                          <a:avLst/>
                        </a:prstGeom>
                        <a:solidFill>
                          <a:schemeClr val="accent2">
                            <a:lumMod val="20000"/>
                            <a:lumOff val="80000"/>
                          </a:schemeClr>
                        </a:solidFill>
                        <a:ln w="9525">
                          <a:noFill/>
                          <a:miter lim="800000"/>
                          <a:headEnd/>
                          <a:tailEnd/>
                        </a:ln>
                      </wps:spPr>
                      <wps:txbx>
                        <w:txbxContent>
                          <w:p w14:paraId="23DA5D4A" w14:textId="33793FAB" w:rsidR="001C341B" w:rsidRDefault="001C341B" w:rsidP="001C341B">
                            <w:pPr>
                              <w:pStyle w:val="BoxHeading"/>
                            </w:pPr>
                            <w:r>
                              <w:t>Box 3.3 International examples</w:t>
                            </w:r>
                          </w:p>
                          <w:p w14:paraId="0B3993F6" w14:textId="77777777" w:rsidR="001C341B" w:rsidRDefault="001C341B" w:rsidP="001C341B">
                            <w:r>
                              <w:t>Overseas examples of cash acceptance mandates provide valuable insights into how different regions manage cash transactions through limits on transaction amounts and specific hours of acceptance.</w:t>
                            </w:r>
                          </w:p>
                          <w:p w14:paraId="3AEE010F" w14:textId="77777777" w:rsidR="001C341B" w:rsidRDefault="001C341B" w:rsidP="001C341B">
                            <w:r>
                              <w:t xml:space="preserve">In the United States, A Payment Choice Bill is currently under consideration that proposes all retail businesses accept cash for purchases under $500. Additionally, some states have specified hours during which businesses must accept cash, typically aligning with their operating hours to ensure accessibility for all consumers. </w:t>
                            </w:r>
                          </w:p>
                          <w:p w14:paraId="31A097BD" w14:textId="36C087C0" w:rsidR="001C341B" w:rsidRDefault="001C341B" w:rsidP="001C341B">
                            <w:r>
                              <w:t>In Denmark, the Danish Payments Act requires that physical stores cannot reject cash between 6</w:t>
                            </w:r>
                            <w:r w:rsidR="00F51A12">
                              <w:t>.00</w:t>
                            </w:r>
                            <w:r>
                              <w:t>am and 10</w:t>
                            </w:r>
                            <w:r w:rsidR="00F51A12">
                              <w:t>.00</w:t>
                            </w:r>
                            <w:r>
                              <w:t>pm if the store is staffed and accepts digital payments. This mandate ensures that cash remains an accessible payment method during most business hours</w:t>
                            </w:r>
                            <w:r w:rsidR="00816F5A">
                              <w:t>.</w:t>
                            </w:r>
                          </w:p>
                        </w:txbxContent>
                      </wps:txbx>
                      <wps:bodyPr rot="0" vert="horz" wrap="square" lIns="91440" tIns="45720" rIns="91440" bIns="45720" anchor="t" anchorCtr="0">
                        <a:spAutoFit/>
                      </wps:bodyPr>
                    </wps:wsp>
                  </a:graphicData>
                </a:graphic>
              </wp:inline>
            </w:drawing>
          </mc:Choice>
          <mc:Fallback>
            <w:pict>
              <v:shape w14:anchorId="5CD0B405" id="_x0000_s1032" type="#_x0000_t202" style="width:454.1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" fillcolor="#d8e6df [661]" stroked="f">
                <v:textbox style="mso-fit-shape-to-text:t">
                  <w:txbxContent>
                    <w:p w14:paraId="23DA5D4A" w14:textId="33793FAB" w:rsidR="001C341B" w:rsidRDefault="001C341B" w:rsidP="001C341B">
                      <w:pPr>
                        <w:pStyle w:val="BoxHeading"/>
                      </w:pPr>
                      <w:r>
                        <w:t>Box 3.3 International examples</w:t>
                      </w:r>
                    </w:p>
                    <w:p w14:paraId="0B3993F6" w14:textId="77777777" w:rsidR="001C341B" w:rsidRDefault="001C341B" w:rsidP="001C341B">
                      <w:r>
                        <w:t>Overseas examples of cash acceptance mandates provide valuable insights into how different regions manage cash transactions through limits on transaction amounts and specific hours of acceptance.</w:t>
                      </w:r>
                    </w:p>
                    <w:p w14:paraId="3AEE010F" w14:textId="77777777" w:rsidR="001C341B" w:rsidRDefault="001C341B" w:rsidP="001C341B">
                      <w:r>
                        <w:t xml:space="preserve">In the United States, A Payment Choice Bill is currently under consideration that proposes all retail businesses accept cash for purchases under $500. Additionally, some states have specified hours during which businesses must accept cash, typically aligning with their operating hours to ensure accessibility for all consumers. </w:t>
                      </w:r>
                    </w:p>
                    <w:p w14:paraId="31A097BD" w14:textId="36C087C0" w:rsidR="001C341B" w:rsidRDefault="001C341B" w:rsidP="001C341B">
                      <w:r>
                        <w:t>In Denmark, the Danish Payments Act requires that physical stores cannot reject cash between 6</w:t>
                      </w:r>
                      <w:r w:rsidR="00F51A12">
                        <w:t>.00</w:t>
                      </w:r>
                      <w:r>
                        <w:t>am and 10</w:t>
                      </w:r>
                      <w:r w:rsidR="00F51A12">
                        <w:t>.00</w:t>
                      </w:r>
                      <w:r>
                        <w:t>pm if the store is staffed and accepts digital payments. This mandate ensures that cash remains an accessible payment method during most business hours</w:t>
                      </w:r>
                      <w:r w:rsidR="00816F5A">
                        <w:t>.</w:t>
                      </w:r>
                    </w:p>
                  </w:txbxContent>
                </v:textbox>
                <w10:anchorlock/>
              </v:shape>
            </w:pict>
          </mc:Fallback>
        </mc:AlternateContent>
      </w:r>
    </w:p>
    <w:p w14:paraId="69E992A3" w14:textId="7866A325" w:rsidR="001C341B" w:rsidRPr="0032590D" w:rsidRDefault="00840CDC" w:rsidP="00095ED5">
      <w:pPr>
        <w:pStyle w:val="Heading2"/>
      </w:pPr>
      <w:bookmarkStart w:id="56" w:name="_Toc183137391"/>
      <w:r w:rsidRPr="0032590D">
        <w:t>Impact</w:t>
      </w:r>
      <w:r w:rsidR="00584985" w:rsidRPr="0032590D">
        <w:t xml:space="preserve"> example</w:t>
      </w:r>
      <w:r w:rsidR="00CE0E18" w:rsidRPr="0032590D">
        <w:t>s</w:t>
      </w:r>
      <w:bookmarkEnd w:id="56"/>
    </w:p>
    <w:p w14:paraId="0C6D3CEB" w14:textId="5253638D" w:rsidR="001C341B" w:rsidRPr="0032590D" w:rsidRDefault="007E1C8C" w:rsidP="003462B1">
      <w:r w:rsidRPr="0032590D">
        <w:t xml:space="preserve">Table 3.2 </w:t>
      </w:r>
      <w:r w:rsidR="0008391D" w:rsidRPr="0032590D">
        <w:t>lists</w:t>
      </w:r>
      <w:r w:rsidR="00DA6D30" w:rsidRPr="0032590D">
        <w:t xml:space="preserve"> </w:t>
      </w:r>
      <w:r w:rsidR="00AF6D88" w:rsidRPr="0032590D">
        <w:t xml:space="preserve">examples of </w:t>
      </w:r>
      <w:r w:rsidR="00450ED7" w:rsidRPr="0032590D">
        <w:t xml:space="preserve">business types </w:t>
      </w:r>
      <w:r w:rsidR="00DA6D30" w:rsidRPr="0032590D">
        <w:t xml:space="preserve">that would </w:t>
      </w:r>
      <w:r w:rsidR="007E1DAA" w:rsidRPr="0032590D">
        <w:t xml:space="preserve">be likely to be subject to the </w:t>
      </w:r>
      <w:r w:rsidR="0008391D" w:rsidRPr="0032590D">
        <w:t xml:space="preserve">proposed </w:t>
      </w:r>
      <w:r w:rsidR="007E1DAA" w:rsidRPr="0032590D">
        <w:t>cash acceptance mandate</w:t>
      </w:r>
      <w:r w:rsidR="001160B7" w:rsidRPr="0032590D">
        <w:t>, assuming all proposed legal requirements are met,</w:t>
      </w:r>
      <w:r w:rsidR="007E1DAA" w:rsidRPr="0032590D">
        <w:t xml:space="preserve"> and </w:t>
      </w:r>
      <w:r w:rsidR="00134619" w:rsidRPr="0032590D">
        <w:t xml:space="preserve">the number of </w:t>
      </w:r>
      <w:r w:rsidR="007E1DAA" w:rsidRPr="0032590D">
        <w:t>outlets th</w:t>
      </w:r>
      <w:r w:rsidR="00134619" w:rsidRPr="0032590D">
        <w:t>at</w:t>
      </w:r>
      <w:r w:rsidR="007E1DAA" w:rsidRPr="0032590D">
        <w:t xml:space="preserve"> </w:t>
      </w:r>
      <w:r w:rsidR="00BB5C72" w:rsidRPr="0032590D">
        <w:t>each business has.</w:t>
      </w:r>
    </w:p>
    <w:p w14:paraId="7FC6F191" w14:textId="4B53B308" w:rsidR="00B77C86" w:rsidRPr="0032590D" w:rsidRDefault="00B77C86" w:rsidP="008A7F43">
      <w:pPr>
        <w:pStyle w:val="TableMainHeading"/>
        <w:pageBreakBefore/>
      </w:pPr>
      <w:r w:rsidRPr="0032590D">
        <w:t xml:space="preserve">Table 3.2 </w:t>
      </w:r>
      <w:r w:rsidR="00E33E49" w:rsidRPr="0032590D">
        <w:t>Examples of business</w:t>
      </w:r>
      <w:r w:rsidR="00C927A7" w:rsidRPr="0032590D">
        <w:t xml:space="preserve"> types</w:t>
      </w:r>
      <w:r w:rsidR="00E33E49" w:rsidRPr="0032590D">
        <w:t xml:space="preserve"> </w:t>
      </w:r>
      <w:r w:rsidR="00FD354B" w:rsidRPr="0032590D">
        <w:t>that may be subject to the</w:t>
      </w:r>
      <w:r w:rsidRPr="0032590D">
        <w:t xml:space="preserve"> proposed mandate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535"/>
      </w:tblGrid>
      <w:tr w:rsidR="00307299" w:rsidRPr="0032590D" w14:paraId="50ABABD6" w14:textId="655CEF72" w:rsidTr="0098358F">
        <w:trPr>
          <w:cnfStyle w:val="100000000000" w:firstRow="1" w:lastRow="0" w:firstColumn="0" w:lastColumn="0" w:oddVBand="0" w:evenVBand="0" w:oddHBand="0" w:evenHBand="0" w:firstRowFirstColumn="0" w:firstRowLastColumn="0" w:lastRowFirstColumn="0" w:lastRowLastColumn="0"/>
          <w:tblHeader/>
        </w:trPr>
        <w:tc>
          <w:tcPr>
            <w:tcW w:w="0" w:type="pct"/>
            <w:shd w:val="clear" w:color="auto" w:fill="D9D9D9" w:themeFill="background1" w:themeFillShade="D9"/>
          </w:tcPr>
          <w:p w14:paraId="25B3E090" w14:textId="308AA2A7" w:rsidR="00307299" w:rsidRPr="0032590D" w:rsidRDefault="00307299" w:rsidP="00FB7536">
            <w:pPr>
              <w:spacing w:before="96" w:after="96"/>
              <w:rPr>
                <w:b w:val="0"/>
                <w:bCs/>
              </w:rPr>
            </w:pPr>
            <w:r w:rsidRPr="0032590D">
              <w:rPr>
                <w:b w:val="0"/>
                <w:bCs/>
              </w:rPr>
              <w:t>CPI group</w:t>
            </w:r>
          </w:p>
        </w:tc>
        <w:tc>
          <w:tcPr>
            <w:tcW w:w="0" w:type="pct"/>
            <w:shd w:val="clear" w:color="auto" w:fill="D9D9D9" w:themeFill="background1" w:themeFillShade="D9"/>
          </w:tcPr>
          <w:p w14:paraId="00BAACE3" w14:textId="690C3C20" w:rsidR="00307299" w:rsidRPr="0032590D" w:rsidRDefault="00307299" w:rsidP="00FB7536">
            <w:pPr>
              <w:spacing w:before="96" w:after="96"/>
              <w:rPr>
                <w:b w:val="0"/>
                <w:bCs/>
              </w:rPr>
            </w:pPr>
            <w:r w:rsidRPr="0032590D">
              <w:rPr>
                <w:b w:val="0"/>
                <w:bCs/>
              </w:rPr>
              <w:t>Business type</w:t>
            </w:r>
          </w:p>
        </w:tc>
      </w:tr>
      <w:tr w:rsidR="00307299" w:rsidRPr="0032590D" w14:paraId="5D991478" w14:textId="14AE78A3" w:rsidTr="0098358F">
        <w:tc>
          <w:tcPr>
            <w:tcW w:w="0" w:type="pct"/>
          </w:tcPr>
          <w:p w14:paraId="6DFBCE5E" w14:textId="6E9DD273" w:rsidR="00307299" w:rsidRPr="0032590D" w:rsidRDefault="00307299" w:rsidP="00FB7536">
            <w:pPr>
              <w:spacing w:before="0" w:after="0"/>
            </w:pPr>
            <w:r w:rsidRPr="0032590D">
              <w:t>Food and non-alcoholic beverages</w:t>
            </w:r>
          </w:p>
        </w:tc>
        <w:tc>
          <w:tcPr>
            <w:tcW w:w="0" w:type="pct"/>
          </w:tcPr>
          <w:p w14:paraId="04D03E64" w14:textId="7AADA4EA" w:rsidR="00307299" w:rsidRPr="0032590D" w:rsidRDefault="00307299" w:rsidP="00FB7536">
            <w:pPr>
              <w:spacing w:before="0" w:after="0"/>
            </w:pPr>
            <w:r w:rsidRPr="0032590D">
              <w:t>Supermarket</w:t>
            </w:r>
          </w:p>
        </w:tc>
      </w:tr>
      <w:tr w:rsidR="00307299" w:rsidRPr="0032590D" w14:paraId="57B425E2" w14:textId="166459E7" w:rsidTr="0098358F">
        <w:tc>
          <w:tcPr>
            <w:tcW w:w="0" w:type="pct"/>
          </w:tcPr>
          <w:p w14:paraId="54B3323C" w14:textId="10C10FE7" w:rsidR="00307299" w:rsidRPr="0032590D" w:rsidRDefault="00307299" w:rsidP="00FB7536">
            <w:pPr>
              <w:spacing w:before="0" w:after="0"/>
            </w:pPr>
            <w:r w:rsidRPr="0032590D">
              <w:t>Alcohol and tobacco</w:t>
            </w:r>
          </w:p>
        </w:tc>
        <w:tc>
          <w:tcPr>
            <w:tcW w:w="0" w:type="pct"/>
          </w:tcPr>
          <w:p w14:paraId="4CBDE52D" w14:textId="63F9D157" w:rsidR="00307299" w:rsidRPr="0032590D" w:rsidRDefault="00307299" w:rsidP="00FB7536">
            <w:pPr>
              <w:spacing w:before="0" w:after="0"/>
            </w:pPr>
            <w:r w:rsidRPr="0032590D">
              <w:t>N/A</w:t>
            </w:r>
          </w:p>
        </w:tc>
      </w:tr>
      <w:tr w:rsidR="00307299" w:rsidRPr="0032590D" w14:paraId="1D3F1A10" w14:textId="7AA1ADFB" w:rsidTr="0098358F">
        <w:tc>
          <w:tcPr>
            <w:tcW w:w="0" w:type="pct"/>
          </w:tcPr>
          <w:p w14:paraId="351E3275" w14:textId="7EC6A4E5" w:rsidR="00307299" w:rsidRPr="0032590D" w:rsidRDefault="00307299" w:rsidP="00FB7536">
            <w:pPr>
              <w:spacing w:before="0" w:after="0"/>
            </w:pPr>
            <w:r w:rsidRPr="0032590D">
              <w:t>Clothing and footwear</w:t>
            </w:r>
          </w:p>
        </w:tc>
        <w:tc>
          <w:tcPr>
            <w:tcW w:w="0" w:type="pct"/>
          </w:tcPr>
          <w:p w14:paraId="50B2AD9C" w14:textId="66EABA68" w:rsidR="00307299" w:rsidRPr="0032590D" w:rsidRDefault="00307299" w:rsidP="00FB7536">
            <w:pPr>
              <w:spacing w:before="0" w:after="0"/>
            </w:pPr>
            <w:r w:rsidRPr="0032590D">
              <w:t>Department stores</w:t>
            </w:r>
          </w:p>
        </w:tc>
      </w:tr>
      <w:tr w:rsidR="00307299" w:rsidRPr="0032590D" w14:paraId="5252B169" w14:textId="53DE16DE" w:rsidTr="0098358F">
        <w:tc>
          <w:tcPr>
            <w:tcW w:w="0" w:type="pct"/>
          </w:tcPr>
          <w:p w14:paraId="18D78A51" w14:textId="3679BCAE" w:rsidR="00307299" w:rsidRPr="0032590D" w:rsidRDefault="00307299" w:rsidP="00FB7536">
            <w:pPr>
              <w:spacing w:before="0" w:after="0"/>
            </w:pPr>
            <w:r w:rsidRPr="0032590D">
              <w:t>Housing</w:t>
            </w:r>
          </w:p>
        </w:tc>
        <w:tc>
          <w:tcPr>
            <w:tcW w:w="0" w:type="pct"/>
          </w:tcPr>
          <w:p w14:paraId="073A3D9B" w14:textId="45450FD6" w:rsidR="00307299" w:rsidRPr="0032590D" w:rsidRDefault="00307299" w:rsidP="00FB7536">
            <w:pPr>
              <w:spacing w:before="0" w:after="0"/>
            </w:pPr>
            <w:r w:rsidRPr="0032590D">
              <w:t>Utilities</w:t>
            </w:r>
          </w:p>
        </w:tc>
      </w:tr>
      <w:tr w:rsidR="00307299" w:rsidRPr="0032590D" w14:paraId="16CEA87B" w14:textId="10342ADE" w:rsidTr="0098358F">
        <w:tc>
          <w:tcPr>
            <w:tcW w:w="0" w:type="pct"/>
          </w:tcPr>
          <w:p w14:paraId="496CDC51" w14:textId="0F1F5FFF" w:rsidR="00307299" w:rsidRPr="0032590D" w:rsidRDefault="00307299" w:rsidP="00FB7536">
            <w:pPr>
              <w:spacing w:before="0" w:after="0"/>
            </w:pPr>
            <w:r w:rsidRPr="0032590D">
              <w:t>Furnishings, household equipment and services</w:t>
            </w:r>
          </w:p>
        </w:tc>
        <w:tc>
          <w:tcPr>
            <w:tcW w:w="0" w:type="pct"/>
          </w:tcPr>
          <w:p w14:paraId="3BDF3BDC" w14:textId="75EB3960" w:rsidR="00307299" w:rsidRPr="0032590D" w:rsidRDefault="00307299" w:rsidP="00FB7536">
            <w:pPr>
              <w:spacing w:before="0" w:after="0"/>
            </w:pPr>
            <w:r w:rsidRPr="0032590D">
              <w:t>Supermarkets</w:t>
            </w:r>
          </w:p>
          <w:p w14:paraId="3C49ECAE" w14:textId="2B048BA2" w:rsidR="00307299" w:rsidRPr="0032590D" w:rsidRDefault="00307299" w:rsidP="00FB7536">
            <w:pPr>
              <w:spacing w:before="0" w:after="0"/>
            </w:pPr>
            <w:r w:rsidRPr="0032590D">
              <w:t>Hardware stores</w:t>
            </w:r>
          </w:p>
        </w:tc>
      </w:tr>
      <w:tr w:rsidR="00307299" w:rsidRPr="0032590D" w14:paraId="3B7771EC" w14:textId="66529FE5" w:rsidTr="0098358F">
        <w:tc>
          <w:tcPr>
            <w:tcW w:w="0" w:type="pct"/>
          </w:tcPr>
          <w:p w14:paraId="11222298" w14:textId="61ADD6B9" w:rsidR="00307299" w:rsidRPr="0032590D" w:rsidRDefault="00307299" w:rsidP="00FB7536">
            <w:pPr>
              <w:spacing w:before="0" w:after="0"/>
            </w:pPr>
            <w:r w:rsidRPr="0032590D">
              <w:t>Health</w:t>
            </w:r>
          </w:p>
        </w:tc>
        <w:tc>
          <w:tcPr>
            <w:tcW w:w="0" w:type="pct"/>
          </w:tcPr>
          <w:p w14:paraId="27FC2768" w14:textId="2A337AEF" w:rsidR="00307299" w:rsidRPr="0032590D" w:rsidRDefault="00307299" w:rsidP="00FB7536">
            <w:pPr>
              <w:spacing w:before="0" w:after="0"/>
            </w:pPr>
            <w:r w:rsidRPr="0032590D">
              <w:t>Community pharmacy</w:t>
            </w:r>
          </w:p>
          <w:p w14:paraId="2BD911AB" w14:textId="37C9E023" w:rsidR="00307299" w:rsidRPr="0032590D" w:rsidRDefault="00307299" w:rsidP="00FB7536">
            <w:pPr>
              <w:spacing w:before="0" w:after="0"/>
            </w:pPr>
            <w:r w:rsidRPr="0032590D">
              <w:t>General practice</w:t>
            </w:r>
          </w:p>
          <w:p w14:paraId="471781D9" w14:textId="559ADE25" w:rsidR="00307299" w:rsidRPr="0032590D" w:rsidRDefault="00307299" w:rsidP="00FB7536">
            <w:pPr>
              <w:spacing w:before="0" w:after="0"/>
            </w:pPr>
            <w:r w:rsidRPr="0032590D">
              <w:t>General dentistry</w:t>
            </w:r>
          </w:p>
        </w:tc>
      </w:tr>
      <w:tr w:rsidR="00307299" w:rsidRPr="0032590D" w14:paraId="5513F068" w14:textId="4D160906" w:rsidTr="0098358F">
        <w:tc>
          <w:tcPr>
            <w:tcW w:w="0" w:type="pct"/>
          </w:tcPr>
          <w:p w14:paraId="705A40E6" w14:textId="769D2EFE" w:rsidR="00307299" w:rsidRPr="0032590D" w:rsidRDefault="00307299" w:rsidP="00FB7536">
            <w:pPr>
              <w:spacing w:before="0" w:after="0"/>
            </w:pPr>
            <w:r w:rsidRPr="0032590D">
              <w:t>Transport</w:t>
            </w:r>
          </w:p>
        </w:tc>
        <w:tc>
          <w:tcPr>
            <w:tcW w:w="0" w:type="pct"/>
          </w:tcPr>
          <w:p w14:paraId="4E426E1D" w14:textId="0E31B63E" w:rsidR="00307299" w:rsidRPr="0032590D" w:rsidRDefault="00307299" w:rsidP="009A3C64">
            <w:pPr>
              <w:spacing w:before="0" w:after="0"/>
            </w:pPr>
            <w:r w:rsidRPr="0032590D">
              <w:t>Petrol station</w:t>
            </w:r>
          </w:p>
          <w:p w14:paraId="55DE1229" w14:textId="3F3869CF" w:rsidR="00307299" w:rsidRPr="0032590D" w:rsidRDefault="00307299" w:rsidP="009A3C64">
            <w:pPr>
              <w:spacing w:before="0" w:after="0"/>
            </w:pPr>
            <w:r w:rsidRPr="0032590D">
              <w:t>Automotive repair</w:t>
            </w:r>
          </w:p>
        </w:tc>
      </w:tr>
      <w:tr w:rsidR="00307299" w:rsidRPr="0032590D" w14:paraId="2B6D13E2" w14:textId="1ECA16F9" w:rsidTr="0098358F">
        <w:tc>
          <w:tcPr>
            <w:tcW w:w="0" w:type="pct"/>
          </w:tcPr>
          <w:p w14:paraId="78FAA084" w14:textId="7BE01E16" w:rsidR="00307299" w:rsidRPr="0032590D" w:rsidRDefault="00307299" w:rsidP="00FB7536">
            <w:pPr>
              <w:spacing w:before="0" w:after="0"/>
            </w:pPr>
            <w:r w:rsidRPr="0032590D">
              <w:t>Communication</w:t>
            </w:r>
          </w:p>
        </w:tc>
        <w:tc>
          <w:tcPr>
            <w:tcW w:w="0" w:type="pct"/>
          </w:tcPr>
          <w:p w14:paraId="4AAC06A4" w14:textId="36712AEE" w:rsidR="00307299" w:rsidRPr="0032590D" w:rsidRDefault="00307299" w:rsidP="006D1586">
            <w:pPr>
              <w:spacing w:before="0" w:after="0"/>
            </w:pPr>
            <w:r w:rsidRPr="0032590D">
              <w:t>Postal services (excluding parcel services)</w:t>
            </w:r>
          </w:p>
          <w:p w14:paraId="45D967C0" w14:textId="6F5BD088" w:rsidR="00307299" w:rsidRPr="0032590D" w:rsidRDefault="00307299" w:rsidP="006D1586">
            <w:pPr>
              <w:spacing w:before="0" w:after="0"/>
            </w:pPr>
            <w:r w:rsidRPr="0032590D">
              <w:t>Telecommunication equipment services</w:t>
            </w:r>
          </w:p>
        </w:tc>
      </w:tr>
      <w:tr w:rsidR="00307299" w:rsidRPr="0032590D" w14:paraId="79C9F756" w14:textId="58727247" w:rsidTr="0098358F">
        <w:tc>
          <w:tcPr>
            <w:tcW w:w="0" w:type="pct"/>
          </w:tcPr>
          <w:p w14:paraId="12A084B8" w14:textId="34FE59BC" w:rsidR="00307299" w:rsidRPr="0032590D" w:rsidRDefault="00307299" w:rsidP="00FB7536">
            <w:pPr>
              <w:spacing w:before="0" w:after="0"/>
            </w:pPr>
            <w:r w:rsidRPr="0032590D">
              <w:t>Recreation and culture</w:t>
            </w:r>
          </w:p>
        </w:tc>
        <w:tc>
          <w:tcPr>
            <w:tcW w:w="0" w:type="pct"/>
          </w:tcPr>
          <w:p w14:paraId="43FBE89F" w14:textId="3DD2B391" w:rsidR="00307299" w:rsidRPr="0032590D" w:rsidRDefault="00307299" w:rsidP="00FB7536">
            <w:pPr>
              <w:spacing w:before="0" w:after="0"/>
            </w:pPr>
            <w:r w:rsidRPr="0032590D">
              <w:t>Pet stores</w:t>
            </w:r>
          </w:p>
          <w:p w14:paraId="486D3660" w14:textId="4C9AC0B3" w:rsidR="00307299" w:rsidRPr="0032590D" w:rsidRDefault="00307299" w:rsidP="00FB7536">
            <w:pPr>
              <w:spacing w:before="0" w:after="0"/>
            </w:pPr>
            <w:r w:rsidRPr="0032590D">
              <w:t>Veterinary services</w:t>
            </w:r>
          </w:p>
        </w:tc>
      </w:tr>
      <w:tr w:rsidR="00307299" w:rsidRPr="0032590D" w14:paraId="528194FB" w14:textId="67934E6D" w:rsidTr="0098358F">
        <w:tc>
          <w:tcPr>
            <w:tcW w:w="0" w:type="pct"/>
          </w:tcPr>
          <w:p w14:paraId="5422954D" w14:textId="70C4BB0B" w:rsidR="00307299" w:rsidRPr="0032590D" w:rsidRDefault="00307299" w:rsidP="00FB7536">
            <w:pPr>
              <w:spacing w:before="0" w:after="0"/>
            </w:pPr>
            <w:r w:rsidRPr="0032590D">
              <w:t>Education</w:t>
            </w:r>
          </w:p>
        </w:tc>
        <w:tc>
          <w:tcPr>
            <w:tcW w:w="0" w:type="pct"/>
          </w:tcPr>
          <w:p w14:paraId="039A2726" w14:textId="65EA6161" w:rsidR="00307299" w:rsidRPr="0032590D" w:rsidRDefault="00307299" w:rsidP="00FB7536">
            <w:pPr>
              <w:spacing w:before="0" w:after="0"/>
            </w:pPr>
            <w:r w:rsidRPr="0032590D">
              <w:t>Pre-school</w:t>
            </w:r>
          </w:p>
          <w:p w14:paraId="56924D6A" w14:textId="59E4D7E4" w:rsidR="00307299" w:rsidRPr="0032590D" w:rsidRDefault="00307299" w:rsidP="00FB7536">
            <w:pPr>
              <w:spacing w:before="0" w:after="0"/>
            </w:pPr>
            <w:r w:rsidRPr="0032590D">
              <w:t>Primary and secondary education</w:t>
            </w:r>
          </w:p>
        </w:tc>
      </w:tr>
      <w:tr w:rsidR="00307299" w:rsidRPr="0032590D" w14:paraId="2048B24C" w14:textId="2D810A18" w:rsidTr="0098358F">
        <w:tc>
          <w:tcPr>
            <w:tcW w:w="2497" w:type="pct"/>
          </w:tcPr>
          <w:p w14:paraId="503D34F4" w14:textId="16FFCC96" w:rsidR="00307299" w:rsidRPr="0032590D" w:rsidRDefault="00307299" w:rsidP="00FB7536">
            <w:pPr>
              <w:spacing w:before="0" w:after="0"/>
            </w:pPr>
            <w:r w:rsidRPr="0032590D">
              <w:t>Insurance and financial services</w:t>
            </w:r>
          </w:p>
        </w:tc>
        <w:tc>
          <w:tcPr>
            <w:tcW w:w="2503" w:type="pct"/>
          </w:tcPr>
          <w:p w14:paraId="1C1A69E1" w14:textId="1D816100" w:rsidR="00307299" w:rsidRPr="0032590D" w:rsidRDefault="00EC3E8E" w:rsidP="00FB7536">
            <w:pPr>
              <w:spacing w:before="0" w:after="0"/>
            </w:pPr>
            <w:r w:rsidRPr="0032590D">
              <w:t xml:space="preserve">Unbundled </w:t>
            </w:r>
            <w:r w:rsidR="00307299" w:rsidRPr="0032590D">
              <w:t>Compulsory Third Party insurance</w:t>
            </w:r>
          </w:p>
        </w:tc>
      </w:tr>
    </w:tbl>
    <w:p w14:paraId="447DD9C7" w14:textId="57467F25" w:rsidR="00B319B3" w:rsidRPr="0032590D" w:rsidRDefault="00B319B3" w:rsidP="00A7362A">
      <w:pPr>
        <w:pStyle w:val="ChartorTableNote"/>
      </w:pPr>
      <w:bookmarkStart w:id="57" w:name="_Toc181026655"/>
    </w:p>
    <w:tbl>
      <w:tblPr>
        <w:tblStyle w:val="TableGrid"/>
        <w:tblpPr w:leftFromText="180" w:rightFromText="180" w:vertAnchor="text" w:horzAnchor="margin" w:tblpY="274"/>
        <w:tblW w:w="0" w:type="auto"/>
        <w:tblLook w:val="04A0" w:firstRow="1" w:lastRow="0" w:firstColumn="1" w:lastColumn="0" w:noHBand="0" w:noVBand="1"/>
      </w:tblPr>
      <w:tblGrid>
        <w:gridCol w:w="9070"/>
      </w:tblGrid>
      <w:tr w:rsidR="00843C34" w:rsidRPr="0032590D" w14:paraId="27BC5321" w14:textId="77777777" w:rsidTr="00843C34">
        <w:trPr>
          <w:cnfStyle w:val="100000000000" w:firstRow="1" w:lastRow="0" w:firstColumn="0" w:lastColumn="0" w:oddVBand="0" w:evenVBand="0" w:oddHBand="0" w:evenHBand="0" w:firstRowFirstColumn="0" w:firstRowLastColumn="0" w:lastRowFirstColumn="0" w:lastRowLastColumn="0"/>
        </w:trPr>
        <w:tc>
          <w:tcPr>
            <w:tcW w:w="9070" w:type="dxa"/>
            <w:shd w:val="clear" w:color="auto" w:fill="E8F0FC" w:themeFill="accent5" w:themeFillTint="33"/>
          </w:tcPr>
          <w:p w14:paraId="7BD2708C" w14:textId="3BE67B36" w:rsidR="00843C34" w:rsidRPr="0032590D" w:rsidRDefault="00843C34" w:rsidP="00843C34">
            <w:pPr>
              <w:spacing w:before="96" w:after="96"/>
              <w:rPr>
                <w:rFonts w:asciiTheme="minorHAnsi" w:hAnsiTheme="minorHAnsi" w:cstheme="minorHAnsi"/>
                <w:sz w:val="36"/>
                <w:szCs w:val="36"/>
              </w:rPr>
            </w:pPr>
            <w:r w:rsidRPr="0032590D">
              <w:rPr>
                <w:rFonts w:asciiTheme="minorHAnsi" w:hAnsiTheme="minorHAnsi" w:cstheme="minorHAnsi"/>
                <w:sz w:val="36"/>
                <w:szCs w:val="36"/>
              </w:rPr>
              <w:t xml:space="preserve">Consultation Questions </w:t>
            </w:r>
          </w:p>
          <w:p w14:paraId="0A295019" w14:textId="033C51A7" w:rsidR="00E9197B" w:rsidRPr="0032590D" w:rsidRDefault="00E85037" w:rsidP="00D55F46">
            <w:pPr>
              <w:pStyle w:val="ListParagraph"/>
              <w:numPr>
                <w:ilvl w:val="0"/>
                <w:numId w:val="36"/>
              </w:numPr>
              <w:spacing w:beforeLines="0" w:before="0" w:afterLines="0" w:line="259" w:lineRule="auto"/>
              <w:contextualSpacing w:val="0"/>
              <w:rPr>
                <w:rFonts w:asciiTheme="minorHAnsi" w:hAnsiTheme="minorHAnsi" w:cstheme="minorHAnsi"/>
                <w:b w:val="0"/>
                <w:sz w:val="22"/>
                <w:szCs w:val="22"/>
              </w:rPr>
            </w:pPr>
            <w:r w:rsidRPr="0032590D">
              <w:rPr>
                <w:rFonts w:asciiTheme="minorHAnsi" w:hAnsiTheme="minorHAnsi" w:cstheme="minorHAnsi"/>
                <w:b w:val="0"/>
                <w:sz w:val="22"/>
                <w:szCs w:val="22"/>
              </w:rPr>
              <w:t>D</w:t>
            </w:r>
            <w:r w:rsidR="006B7501" w:rsidRPr="0032590D">
              <w:rPr>
                <w:rFonts w:asciiTheme="minorHAnsi" w:hAnsiTheme="minorHAnsi" w:cstheme="minorHAnsi"/>
                <w:b w:val="0"/>
                <w:sz w:val="22"/>
                <w:szCs w:val="22"/>
              </w:rPr>
              <w:t xml:space="preserve">o you support the proposed </w:t>
            </w:r>
            <w:r w:rsidR="006002F0" w:rsidRPr="0032590D">
              <w:rPr>
                <w:rFonts w:asciiTheme="minorHAnsi" w:hAnsiTheme="minorHAnsi" w:cstheme="minorHAnsi"/>
                <w:b w:val="0"/>
                <w:sz w:val="22"/>
                <w:szCs w:val="22"/>
              </w:rPr>
              <w:t xml:space="preserve">mandate </w:t>
            </w:r>
            <w:r w:rsidR="006B7501" w:rsidRPr="0032590D">
              <w:rPr>
                <w:rFonts w:asciiTheme="minorHAnsi" w:hAnsiTheme="minorHAnsi" w:cstheme="minorHAnsi"/>
                <w:b w:val="0"/>
                <w:sz w:val="22"/>
                <w:szCs w:val="22"/>
              </w:rPr>
              <w:t xml:space="preserve">scope and application </w:t>
            </w:r>
            <w:r w:rsidR="006002F0" w:rsidRPr="0032590D">
              <w:rPr>
                <w:rFonts w:asciiTheme="minorHAnsi" w:hAnsiTheme="minorHAnsi" w:cstheme="minorHAnsi"/>
                <w:b w:val="0"/>
                <w:sz w:val="22"/>
                <w:szCs w:val="22"/>
              </w:rPr>
              <w:t>as described in Box 3.1</w:t>
            </w:r>
            <w:r w:rsidR="006B7501" w:rsidRPr="0032590D">
              <w:rPr>
                <w:rFonts w:asciiTheme="minorHAnsi" w:hAnsiTheme="minorHAnsi" w:cstheme="minorHAnsi"/>
                <w:b w:val="0"/>
                <w:sz w:val="22"/>
                <w:szCs w:val="22"/>
              </w:rPr>
              <w:t>?</w:t>
            </w:r>
            <w:r w:rsidR="00BD4718" w:rsidRPr="0032590D">
              <w:rPr>
                <w:rFonts w:asciiTheme="minorHAnsi" w:hAnsiTheme="minorHAnsi" w:cstheme="minorHAnsi"/>
                <w:b w:val="0"/>
                <w:sz w:val="22"/>
                <w:szCs w:val="22"/>
              </w:rPr>
              <w:t xml:space="preserve"> </w:t>
            </w:r>
            <w:r w:rsidR="00781033" w:rsidRPr="0032590D">
              <w:rPr>
                <w:rFonts w:asciiTheme="minorHAnsi" w:hAnsiTheme="minorHAnsi" w:cstheme="minorHAnsi"/>
                <w:b w:val="0"/>
                <w:sz w:val="22"/>
                <w:szCs w:val="22"/>
              </w:rPr>
              <w:t xml:space="preserve">If </w:t>
            </w:r>
            <w:r w:rsidR="00A72CDD" w:rsidRPr="0032590D">
              <w:rPr>
                <w:rFonts w:asciiTheme="minorHAnsi" w:hAnsiTheme="minorHAnsi" w:cstheme="minorHAnsi"/>
                <w:b w:val="0"/>
                <w:sz w:val="22"/>
                <w:szCs w:val="22"/>
              </w:rPr>
              <w:t xml:space="preserve">not, what are alternative approaches? </w:t>
            </w:r>
          </w:p>
          <w:p w14:paraId="1DDF1ED0" w14:textId="6F47B1C8" w:rsidR="00582DCB" w:rsidRPr="0032590D" w:rsidRDefault="00582DCB" w:rsidP="00D55F46">
            <w:pPr>
              <w:pStyle w:val="ListParagraph"/>
              <w:numPr>
                <w:ilvl w:val="0"/>
                <w:numId w:val="36"/>
              </w:numPr>
              <w:spacing w:beforeLines="0" w:before="0" w:afterLines="0" w:line="259" w:lineRule="auto"/>
              <w:contextualSpacing w:val="0"/>
              <w:rPr>
                <w:rFonts w:asciiTheme="minorHAnsi" w:hAnsiTheme="minorHAnsi" w:cstheme="minorHAnsi"/>
                <w:b w:val="0"/>
                <w:sz w:val="22"/>
                <w:szCs w:val="22"/>
              </w:rPr>
            </w:pPr>
            <w:r w:rsidRPr="0032590D">
              <w:rPr>
                <w:rFonts w:asciiTheme="minorHAnsi" w:hAnsiTheme="minorHAnsi" w:cstheme="minorHAnsi"/>
                <w:b w:val="0"/>
                <w:sz w:val="22"/>
                <w:szCs w:val="22"/>
              </w:rPr>
              <w:t xml:space="preserve">Do </w:t>
            </w:r>
            <w:r w:rsidR="00433FF3" w:rsidRPr="0032590D">
              <w:rPr>
                <w:rFonts w:asciiTheme="minorHAnsi" w:hAnsiTheme="minorHAnsi" w:cstheme="minorHAnsi"/>
                <w:b w:val="0"/>
                <w:sz w:val="22"/>
                <w:szCs w:val="22"/>
              </w:rPr>
              <w:t>you</w:t>
            </w:r>
            <w:r w:rsidRPr="0032590D">
              <w:rPr>
                <w:rFonts w:asciiTheme="minorHAnsi" w:hAnsiTheme="minorHAnsi" w:cstheme="minorHAnsi"/>
                <w:b w:val="0"/>
                <w:sz w:val="22"/>
                <w:szCs w:val="22"/>
              </w:rPr>
              <w:t xml:space="preserve"> </w:t>
            </w:r>
            <w:r w:rsidR="00C946BD" w:rsidRPr="0032590D">
              <w:rPr>
                <w:rFonts w:asciiTheme="minorHAnsi" w:hAnsiTheme="minorHAnsi" w:cstheme="minorHAnsi"/>
                <w:b w:val="0"/>
                <w:sz w:val="22"/>
                <w:szCs w:val="22"/>
              </w:rPr>
              <w:t>support</w:t>
            </w:r>
            <w:r w:rsidRPr="0032590D">
              <w:rPr>
                <w:rFonts w:asciiTheme="minorHAnsi" w:hAnsiTheme="minorHAnsi" w:cstheme="minorHAnsi"/>
                <w:b w:val="0"/>
                <w:sz w:val="22"/>
                <w:szCs w:val="22"/>
              </w:rPr>
              <w:t xml:space="preserve"> the </w:t>
            </w:r>
            <w:r w:rsidR="004517ED" w:rsidRPr="0032590D">
              <w:rPr>
                <w:rFonts w:asciiTheme="minorHAnsi" w:hAnsiTheme="minorHAnsi" w:cstheme="minorHAnsi"/>
                <w:b w:val="0"/>
                <w:sz w:val="22"/>
                <w:szCs w:val="22"/>
              </w:rPr>
              <w:t xml:space="preserve">proposed application </w:t>
            </w:r>
            <w:r w:rsidR="00C946BD" w:rsidRPr="0032590D">
              <w:rPr>
                <w:rFonts w:asciiTheme="minorHAnsi" w:hAnsiTheme="minorHAnsi" w:cstheme="minorHAnsi"/>
                <w:b w:val="0"/>
                <w:sz w:val="22"/>
                <w:szCs w:val="22"/>
              </w:rPr>
              <w:t xml:space="preserve">of the mandate </w:t>
            </w:r>
            <w:r w:rsidR="004517ED" w:rsidRPr="0032590D">
              <w:rPr>
                <w:rFonts w:asciiTheme="minorHAnsi" w:hAnsiTheme="minorHAnsi" w:cstheme="minorHAnsi"/>
                <w:b w:val="0"/>
                <w:sz w:val="22"/>
                <w:szCs w:val="22"/>
              </w:rPr>
              <w:t xml:space="preserve">to </w:t>
            </w:r>
            <w:r w:rsidR="006B7501" w:rsidRPr="0032590D">
              <w:rPr>
                <w:rFonts w:asciiTheme="minorHAnsi" w:hAnsiTheme="minorHAnsi" w:cstheme="minorHAnsi"/>
                <w:b w:val="0"/>
                <w:sz w:val="22"/>
                <w:szCs w:val="22"/>
              </w:rPr>
              <w:t>“</w:t>
            </w:r>
            <w:r w:rsidR="004517ED" w:rsidRPr="0032590D">
              <w:rPr>
                <w:rFonts w:asciiTheme="minorHAnsi" w:hAnsiTheme="minorHAnsi" w:cstheme="minorHAnsi"/>
                <w:b w:val="0"/>
                <w:sz w:val="22"/>
                <w:szCs w:val="22"/>
              </w:rPr>
              <w:t xml:space="preserve">corporations in </w:t>
            </w:r>
            <w:r w:rsidR="00EF032E" w:rsidRPr="0032590D">
              <w:rPr>
                <w:rFonts w:asciiTheme="minorHAnsi" w:hAnsiTheme="minorHAnsi" w:cstheme="minorHAnsi"/>
                <w:b w:val="0"/>
                <w:sz w:val="22"/>
                <w:szCs w:val="22"/>
              </w:rPr>
              <w:t>trade or commerce</w:t>
            </w:r>
            <w:r w:rsidR="006B7501" w:rsidRPr="0032590D">
              <w:rPr>
                <w:rFonts w:asciiTheme="minorHAnsi" w:hAnsiTheme="minorHAnsi" w:cstheme="minorHAnsi"/>
                <w:b w:val="0"/>
                <w:sz w:val="22"/>
                <w:szCs w:val="22"/>
              </w:rPr>
              <w:t>”</w:t>
            </w:r>
            <w:r w:rsidR="00EF032E" w:rsidRPr="0032590D">
              <w:rPr>
                <w:rFonts w:asciiTheme="minorHAnsi" w:hAnsiTheme="minorHAnsi" w:cstheme="minorHAnsi"/>
                <w:b w:val="0"/>
                <w:sz w:val="22"/>
                <w:szCs w:val="22"/>
              </w:rPr>
              <w:t xml:space="preserve">? </w:t>
            </w:r>
            <w:r w:rsidR="00BF65C4" w:rsidRPr="0032590D">
              <w:rPr>
                <w:rFonts w:asciiTheme="minorHAnsi" w:hAnsiTheme="minorHAnsi" w:cstheme="minorHAnsi"/>
                <w:b w:val="0"/>
                <w:sz w:val="22"/>
                <w:szCs w:val="22"/>
              </w:rPr>
              <w:t>I</w:t>
            </w:r>
            <w:r w:rsidR="00A72CDD" w:rsidRPr="0032590D">
              <w:rPr>
                <w:rFonts w:asciiTheme="minorHAnsi" w:hAnsiTheme="minorHAnsi" w:cstheme="minorHAnsi"/>
                <w:b w:val="0"/>
                <w:sz w:val="22"/>
                <w:szCs w:val="22"/>
              </w:rPr>
              <w:t>f not, what are alternative approaches?</w:t>
            </w:r>
          </w:p>
          <w:p w14:paraId="25EAA445" w14:textId="3C43252F" w:rsidR="00A83E39" w:rsidRPr="0032590D" w:rsidRDefault="00582DCB" w:rsidP="00D55F46">
            <w:pPr>
              <w:pStyle w:val="ListParagraph"/>
              <w:numPr>
                <w:ilvl w:val="0"/>
                <w:numId w:val="36"/>
              </w:numPr>
              <w:spacing w:beforeLines="0" w:before="0" w:afterLines="0" w:line="259" w:lineRule="auto"/>
              <w:contextualSpacing w:val="0"/>
              <w:rPr>
                <w:rFonts w:asciiTheme="minorHAnsi" w:hAnsiTheme="minorHAnsi" w:cstheme="minorHAnsi"/>
                <w:b w:val="0"/>
                <w:sz w:val="22"/>
                <w:szCs w:val="22"/>
              </w:rPr>
            </w:pPr>
            <w:r w:rsidRPr="0032590D">
              <w:rPr>
                <w:rFonts w:asciiTheme="minorHAnsi" w:hAnsiTheme="minorHAnsi" w:cstheme="minorHAnsi"/>
                <w:b w:val="0"/>
                <w:sz w:val="22"/>
                <w:szCs w:val="22"/>
              </w:rPr>
              <w:t xml:space="preserve">Do </w:t>
            </w:r>
            <w:r w:rsidR="00433FF3" w:rsidRPr="0032590D">
              <w:rPr>
                <w:rFonts w:asciiTheme="minorHAnsi" w:hAnsiTheme="minorHAnsi" w:cstheme="minorHAnsi"/>
                <w:b w:val="0"/>
                <w:sz w:val="22"/>
                <w:szCs w:val="22"/>
              </w:rPr>
              <w:t>you</w:t>
            </w:r>
            <w:r w:rsidRPr="0032590D">
              <w:rPr>
                <w:rFonts w:asciiTheme="minorHAnsi" w:hAnsiTheme="minorHAnsi" w:cstheme="minorHAnsi"/>
                <w:b w:val="0"/>
                <w:sz w:val="22"/>
                <w:szCs w:val="22"/>
              </w:rPr>
              <w:t xml:space="preserve"> </w:t>
            </w:r>
            <w:r w:rsidR="00FC1BA4" w:rsidRPr="0032590D">
              <w:rPr>
                <w:rFonts w:asciiTheme="minorHAnsi" w:hAnsiTheme="minorHAnsi" w:cstheme="minorHAnsi"/>
                <w:b w:val="0"/>
                <w:sz w:val="22"/>
                <w:szCs w:val="22"/>
              </w:rPr>
              <w:t xml:space="preserve">support </w:t>
            </w:r>
            <w:r w:rsidR="005707D8" w:rsidRPr="0032590D">
              <w:rPr>
                <w:rFonts w:asciiTheme="minorHAnsi" w:hAnsiTheme="minorHAnsi" w:cstheme="minorHAnsi"/>
                <w:b w:val="0"/>
                <w:sz w:val="22"/>
                <w:szCs w:val="22"/>
              </w:rPr>
              <w:t xml:space="preserve">the proposed definition of </w:t>
            </w:r>
            <w:r w:rsidR="007A076C" w:rsidRPr="0032590D">
              <w:rPr>
                <w:rFonts w:asciiTheme="minorHAnsi" w:hAnsiTheme="minorHAnsi" w:cstheme="minorHAnsi"/>
                <w:b w:val="0"/>
                <w:sz w:val="22"/>
                <w:szCs w:val="22"/>
              </w:rPr>
              <w:t>“</w:t>
            </w:r>
            <w:r w:rsidR="00332CA8" w:rsidRPr="0032590D">
              <w:rPr>
                <w:rFonts w:asciiTheme="minorHAnsi" w:hAnsiTheme="minorHAnsi" w:cstheme="minorHAnsi"/>
                <w:b w:val="0"/>
                <w:sz w:val="22"/>
                <w:szCs w:val="22"/>
              </w:rPr>
              <w:t>essential good or service</w:t>
            </w:r>
            <w:r w:rsidR="007A076C" w:rsidRPr="0032590D">
              <w:rPr>
                <w:rFonts w:asciiTheme="minorHAnsi" w:hAnsiTheme="minorHAnsi" w:cstheme="minorHAnsi"/>
                <w:b w:val="0"/>
                <w:sz w:val="22"/>
                <w:szCs w:val="22"/>
              </w:rPr>
              <w:t>”</w:t>
            </w:r>
            <w:r w:rsidR="00332CA8" w:rsidRPr="0032590D">
              <w:rPr>
                <w:rFonts w:asciiTheme="minorHAnsi" w:hAnsiTheme="minorHAnsi" w:cstheme="minorHAnsi"/>
                <w:b w:val="0"/>
                <w:sz w:val="22"/>
                <w:szCs w:val="22"/>
              </w:rPr>
              <w:t>?</w:t>
            </w:r>
            <w:r w:rsidR="00A83E39" w:rsidRPr="0032590D">
              <w:rPr>
                <w:rFonts w:asciiTheme="minorHAnsi" w:hAnsiTheme="minorHAnsi" w:cstheme="minorHAnsi"/>
                <w:b w:val="0"/>
                <w:sz w:val="22"/>
                <w:szCs w:val="22"/>
              </w:rPr>
              <w:t xml:space="preserve"> </w:t>
            </w:r>
            <w:r w:rsidR="00BF65C4" w:rsidRPr="0032590D">
              <w:rPr>
                <w:rFonts w:asciiTheme="minorHAnsi" w:hAnsiTheme="minorHAnsi" w:cstheme="minorHAnsi"/>
                <w:b w:val="0"/>
                <w:sz w:val="22"/>
                <w:szCs w:val="22"/>
              </w:rPr>
              <w:t>I</w:t>
            </w:r>
            <w:r w:rsidR="00A72CDD" w:rsidRPr="0032590D">
              <w:rPr>
                <w:rFonts w:asciiTheme="minorHAnsi" w:hAnsiTheme="minorHAnsi" w:cstheme="minorHAnsi"/>
                <w:b w:val="0"/>
                <w:sz w:val="22"/>
                <w:szCs w:val="22"/>
              </w:rPr>
              <w:t>f not, what are alternative approaches?</w:t>
            </w:r>
          </w:p>
          <w:p w14:paraId="3C733267" w14:textId="638CE0B4" w:rsidR="00857DE6" w:rsidRPr="0032590D" w:rsidRDefault="00AB6915" w:rsidP="00D55F46">
            <w:pPr>
              <w:pStyle w:val="ListParagraph"/>
              <w:numPr>
                <w:ilvl w:val="0"/>
                <w:numId w:val="36"/>
              </w:numPr>
              <w:spacing w:beforeLines="0" w:before="0" w:afterLines="0" w:line="259" w:lineRule="auto"/>
              <w:contextualSpacing w:val="0"/>
              <w:rPr>
                <w:rFonts w:asciiTheme="minorHAnsi" w:hAnsiTheme="minorHAnsi" w:cstheme="minorHAnsi"/>
                <w:b w:val="0"/>
                <w:sz w:val="22"/>
                <w:szCs w:val="22"/>
              </w:rPr>
            </w:pPr>
            <w:r w:rsidRPr="0032590D">
              <w:rPr>
                <w:rFonts w:asciiTheme="minorHAnsi" w:hAnsiTheme="minorHAnsi" w:cstheme="minorHAnsi"/>
                <w:b w:val="0"/>
                <w:sz w:val="22"/>
                <w:szCs w:val="22"/>
              </w:rPr>
              <w:t xml:space="preserve">Do you </w:t>
            </w:r>
            <w:r w:rsidR="000C4512" w:rsidRPr="0032590D">
              <w:rPr>
                <w:rFonts w:asciiTheme="minorHAnsi" w:hAnsiTheme="minorHAnsi" w:cstheme="minorHAnsi"/>
                <w:b w:val="0"/>
                <w:sz w:val="22"/>
                <w:szCs w:val="22"/>
              </w:rPr>
              <w:t xml:space="preserve">support </w:t>
            </w:r>
            <w:r w:rsidR="0012389F" w:rsidRPr="0032590D">
              <w:rPr>
                <w:rFonts w:asciiTheme="minorHAnsi" w:hAnsiTheme="minorHAnsi" w:cstheme="minorHAnsi"/>
                <w:b w:val="0"/>
                <w:sz w:val="22"/>
                <w:szCs w:val="22"/>
              </w:rPr>
              <w:t xml:space="preserve">the </w:t>
            </w:r>
            <w:r w:rsidR="00AD29A4" w:rsidRPr="0032590D">
              <w:rPr>
                <w:rFonts w:asciiTheme="minorHAnsi" w:hAnsiTheme="minorHAnsi" w:cstheme="minorHAnsi"/>
                <w:b w:val="0"/>
                <w:sz w:val="22"/>
                <w:szCs w:val="22"/>
              </w:rPr>
              <w:t xml:space="preserve">proposed classification </w:t>
            </w:r>
            <w:r w:rsidR="000E6632" w:rsidRPr="0032590D">
              <w:rPr>
                <w:rFonts w:asciiTheme="minorHAnsi" w:hAnsiTheme="minorHAnsi" w:cstheme="minorHAnsi"/>
                <w:b w:val="0"/>
                <w:sz w:val="22"/>
                <w:szCs w:val="22"/>
              </w:rPr>
              <w:t xml:space="preserve">into </w:t>
            </w:r>
            <w:r w:rsidR="00E85E62" w:rsidRPr="0032590D">
              <w:rPr>
                <w:rFonts w:asciiTheme="minorHAnsi" w:hAnsiTheme="minorHAnsi" w:cstheme="minorHAnsi"/>
                <w:b w:val="0"/>
                <w:sz w:val="22"/>
                <w:szCs w:val="22"/>
              </w:rPr>
              <w:t>“</w:t>
            </w:r>
            <w:r w:rsidR="000E6632" w:rsidRPr="0032590D">
              <w:rPr>
                <w:rFonts w:asciiTheme="minorHAnsi" w:hAnsiTheme="minorHAnsi" w:cstheme="minorHAnsi"/>
                <w:b w:val="0"/>
                <w:sz w:val="22"/>
                <w:szCs w:val="22"/>
              </w:rPr>
              <w:t>essential</w:t>
            </w:r>
            <w:r w:rsidR="00AC7787" w:rsidRPr="0032590D">
              <w:rPr>
                <w:rFonts w:asciiTheme="minorHAnsi" w:hAnsiTheme="minorHAnsi" w:cstheme="minorHAnsi"/>
                <w:b w:val="0"/>
                <w:sz w:val="22"/>
                <w:szCs w:val="22"/>
              </w:rPr>
              <w:t xml:space="preserve"> goods and services</w:t>
            </w:r>
            <w:r w:rsidR="00E85E62" w:rsidRPr="0032590D">
              <w:rPr>
                <w:rFonts w:asciiTheme="minorHAnsi" w:hAnsiTheme="minorHAnsi" w:cstheme="minorHAnsi"/>
                <w:b w:val="0"/>
                <w:sz w:val="22"/>
                <w:szCs w:val="22"/>
              </w:rPr>
              <w:t>”</w:t>
            </w:r>
            <w:r w:rsidR="000E6632" w:rsidRPr="0032590D">
              <w:rPr>
                <w:rFonts w:asciiTheme="minorHAnsi" w:hAnsiTheme="minorHAnsi" w:cstheme="minorHAnsi"/>
                <w:b w:val="0"/>
                <w:sz w:val="22"/>
                <w:szCs w:val="22"/>
              </w:rPr>
              <w:t xml:space="preserve"> and </w:t>
            </w:r>
            <w:r w:rsidR="00E85E62" w:rsidRPr="0032590D">
              <w:rPr>
                <w:rFonts w:asciiTheme="minorHAnsi" w:hAnsiTheme="minorHAnsi" w:cstheme="minorHAnsi"/>
                <w:b w:val="0"/>
                <w:sz w:val="22"/>
                <w:szCs w:val="22"/>
              </w:rPr>
              <w:t>“</w:t>
            </w:r>
            <w:r w:rsidR="000E6632" w:rsidRPr="0032590D">
              <w:rPr>
                <w:rFonts w:asciiTheme="minorHAnsi" w:hAnsiTheme="minorHAnsi" w:cstheme="minorHAnsi"/>
                <w:b w:val="0"/>
                <w:sz w:val="22"/>
                <w:szCs w:val="22"/>
              </w:rPr>
              <w:t>non</w:t>
            </w:r>
            <w:r w:rsidR="00566C51" w:rsidRPr="0032590D">
              <w:rPr>
                <w:rFonts w:asciiTheme="minorHAnsi" w:hAnsiTheme="minorHAnsi" w:cstheme="minorHAnsi"/>
                <w:b w:val="0"/>
                <w:sz w:val="22"/>
                <w:szCs w:val="22"/>
              </w:rPr>
              <w:noBreakHyphen/>
            </w:r>
            <w:r w:rsidR="000E6632" w:rsidRPr="0032590D">
              <w:rPr>
                <w:rFonts w:asciiTheme="minorHAnsi" w:hAnsiTheme="minorHAnsi" w:cstheme="minorHAnsi"/>
                <w:b w:val="0"/>
                <w:sz w:val="22"/>
                <w:szCs w:val="22"/>
              </w:rPr>
              <w:t>essential</w:t>
            </w:r>
            <w:r w:rsidR="00E85E62" w:rsidRPr="0032590D">
              <w:rPr>
                <w:rFonts w:asciiTheme="minorHAnsi" w:hAnsiTheme="minorHAnsi" w:cstheme="minorHAnsi"/>
                <w:b w:val="0"/>
                <w:sz w:val="22"/>
                <w:szCs w:val="22"/>
              </w:rPr>
              <w:t xml:space="preserve"> goods and services</w:t>
            </w:r>
            <w:r w:rsidR="00AC7787" w:rsidRPr="0032590D">
              <w:rPr>
                <w:rFonts w:asciiTheme="minorHAnsi" w:hAnsiTheme="minorHAnsi" w:cstheme="minorHAnsi"/>
                <w:b w:val="0"/>
                <w:sz w:val="22"/>
                <w:szCs w:val="22"/>
              </w:rPr>
              <w:t>”</w:t>
            </w:r>
            <w:r w:rsidR="00D50F28" w:rsidRPr="0032590D">
              <w:rPr>
                <w:rFonts w:asciiTheme="minorHAnsi" w:hAnsiTheme="minorHAnsi" w:cstheme="minorHAnsi"/>
                <w:b w:val="0"/>
                <w:sz w:val="22"/>
                <w:szCs w:val="22"/>
              </w:rPr>
              <w:t xml:space="preserve"> </w:t>
            </w:r>
            <w:r w:rsidR="000E6632" w:rsidRPr="0032590D">
              <w:rPr>
                <w:rFonts w:asciiTheme="minorHAnsi" w:hAnsiTheme="minorHAnsi" w:cstheme="minorHAnsi"/>
                <w:b w:val="0"/>
                <w:sz w:val="22"/>
                <w:szCs w:val="22"/>
              </w:rPr>
              <w:t xml:space="preserve">in Table 3.1? </w:t>
            </w:r>
            <w:r w:rsidR="00A72CDD" w:rsidRPr="0032590D">
              <w:rPr>
                <w:rFonts w:asciiTheme="minorHAnsi" w:hAnsiTheme="minorHAnsi" w:cstheme="minorHAnsi"/>
                <w:b w:val="0"/>
                <w:sz w:val="22"/>
                <w:szCs w:val="22"/>
              </w:rPr>
              <w:t xml:space="preserve"> </w:t>
            </w:r>
            <w:r w:rsidR="00BF65C4" w:rsidRPr="0032590D">
              <w:rPr>
                <w:rFonts w:asciiTheme="minorHAnsi" w:hAnsiTheme="minorHAnsi" w:cstheme="minorHAnsi"/>
                <w:b w:val="0"/>
                <w:sz w:val="22"/>
                <w:szCs w:val="22"/>
              </w:rPr>
              <w:t>I</w:t>
            </w:r>
            <w:r w:rsidR="00A72CDD" w:rsidRPr="0032590D">
              <w:rPr>
                <w:rFonts w:asciiTheme="minorHAnsi" w:hAnsiTheme="minorHAnsi" w:cstheme="minorHAnsi"/>
                <w:b w:val="0"/>
                <w:sz w:val="22"/>
                <w:szCs w:val="22"/>
              </w:rPr>
              <w:t>f not, what are alternative approaches?</w:t>
            </w:r>
          </w:p>
          <w:p w14:paraId="0D6F96AB" w14:textId="04FB5C1E" w:rsidR="00582DCB" w:rsidRPr="0032590D" w:rsidRDefault="00582DCB" w:rsidP="00D55F46">
            <w:pPr>
              <w:pStyle w:val="ListParagraph"/>
              <w:numPr>
                <w:ilvl w:val="0"/>
                <w:numId w:val="36"/>
              </w:numPr>
              <w:spacing w:beforeLines="0" w:before="0" w:afterLines="0" w:line="259" w:lineRule="auto"/>
              <w:contextualSpacing w:val="0"/>
              <w:rPr>
                <w:rFonts w:asciiTheme="minorHAnsi" w:hAnsiTheme="minorHAnsi" w:cstheme="minorHAnsi"/>
                <w:b w:val="0"/>
                <w:sz w:val="22"/>
                <w:szCs w:val="22"/>
              </w:rPr>
            </w:pPr>
            <w:r w:rsidRPr="0032590D">
              <w:rPr>
                <w:rFonts w:asciiTheme="minorHAnsi" w:hAnsiTheme="minorHAnsi" w:cstheme="minorHAnsi"/>
                <w:b w:val="0"/>
                <w:sz w:val="22"/>
                <w:szCs w:val="22"/>
              </w:rPr>
              <w:t xml:space="preserve">Do </w:t>
            </w:r>
            <w:r w:rsidR="00433FF3" w:rsidRPr="0032590D">
              <w:rPr>
                <w:rFonts w:asciiTheme="minorHAnsi" w:hAnsiTheme="minorHAnsi" w:cstheme="minorHAnsi"/>
                <w:b w:val="0"/>
                <w:sz w:val="22"/>
                <w:szCs w:val="22"/>
              </w:rPr>
              <w:t xml:space="preserve">you </w:t>
            </w:r>
            <w:r w:rsidR="00566C51" w:rsidRPr="0032590D">
              <w:rPr>
                <w:rFonts w:asciiTheme="minorHAnsi" w:hAnsiTheme="minorHAnsi" w:cstheme="minorHAnsi"/>
                <w:b w:val="0"/>
                <w:sz w:val="22"/>
                <w:szCs w:val="22"/>
              </w:rPr>
              <w:t xml:space="preserve">support </w:t>
            </w:r>
            <w:r w:rsidR="002E6457" w:rsidRPr="0032590D">
              <w:rPr>
                <w:rFonts w:asciiTheme="minorHAnsi" w:hAnsiTheme="minorHAnsi" w:cstheme="minorHAnsi"/>
                <w:b w:val="0"/>
                <w:sz w:val="22"/>
                <w:szCs w:val="22"/>
              </w:rPr>
              <w:t xml:space="preserve">the </w:t>
            </w:r>
            <w:r w:rsidR="002C01A3" w:rsidRPr="0032590D">
              <w:rPr>
                <w:rFonts w:asciiTheme="minorHAnsi" w:hAnsiTheme="minorHAnsi" w:cstheme="minorHAnsi"/>
                <w:b w:val="0"/>
                <w:sz w:val="22"/>
                <w:szCs w:val="22"/>
              </w:rPr>
              <w:t xml:space="preserve">proposed </w:t>
            </w:r>
            <w:r w:rsidR="002E6457" w:rsidRPr="0032590D">
              <w:rPr>
                <w:rFonts w:asciiTheme="minorHAnsi" w:hAnsiTheme="minorHAnsi" w:cstheme="minorHAnsi"/>
                <w:b w:val="0"/>
                <w:sz w:val="22"/>
                <w:szCs w:val="22"/>
              </w:rPr>
              <w:t xml:space="preserve">definition of </w:t>
            </w:r>
            <w:r w:rsidR="00093C5C" w:rsidRPr="0032590D">
              <w:rPr>
                <w:rFonts w:asciiTheme="minorHAnsi" w:hAnsiTheme="minorHAnsi" w:cstheme="minorHAnsi"/>
                <w:b w:val="0"/>
                <w:sz w:val="22"/>
                <w:szCs w:val="22"/>
              </w:rPr>
              <w:t xml:space="preserve">an </w:t>
            </w:r>
            <w:r w:rsidR="00B318A3" w:rsidRPr="0032590D">
              <w:rPr>
                <w:rFonts w:asciiTheme="minorHAnsi" w:hAnsiTheme="minorHAnsi" w:cstheme="minorHAnsi"/>
                <w:b w:val="0"/>
                <w:sz w:val="22"/>
                <w:szCs w:val="22"/>
              </w:rPr>
              <w:t>“</w:t>
            </w:r>
            <w:r w:rsidR="00BE7325" w:rsidRPr="0032590D">
              <w:rPr>
                <w:rFonts w:asciiTheme="minorHAnsi" w:hAnsiTheme="minorHAnsi" w:cstheme="minorHAnsi"/>
                <w:b w:val="0"/>
                <w:sz w:val="22"/>
                <w:szCs w:val="22"/>
              </w:rPr>
              <w:t>in-person payment</w:t>
            </w:r>
            <w:r w:rsidR="00B318A3" w:rsidRPr="0032590D">
              <w:rPr>
                <w:rFonts w:asciiTheme="minorHAnsi" w:hAnsiTheme="minorHAnsi" w:cstheme="minorHAnsi"/>
                <w:b w:val="0"/>
                <w:sz w:val="22"/>
                <w:szCs w:val="22"/>
              </w:rPr>
              <w:t>”</w:t>
            </w:r>
            <w:r w:rsidR="0034401E" w:rsidRPr="0032590D">
              <w:rPr>
                <w:rFonts w:asciiTheme="minorHAnsi" w:hAnsiTheme="minorHAnsi" w:cstheme="minorHAnsi"/>
                <w:b w:val="0"/>
                <w:sz w:val="22"/>
                <w:szCs w:val="22"/>
              </w:rPr>
              <w:t>?</w:t>
            </w:r>
            <w:r w:rsidR="00B723E3" w:rsidRPr="0032590D">
              <w:rPr>
                <w:rFonts w:asciiTheme="minorHAnsi" w:hAnsiTheme="minorHAnsi" w:cstheme="minorHAnsi"/>
                <w:b w:val="0"/>
                <w:sz w:val="22"/>
                <w:szCs w:val="22"/>
              </w:rPr>
              <w:t xml:space="preserve"> </w:t>
            </w:r>
            <w:r w:rsidR="00BF65C4" w:rsidRPr="0032590D">
              <w:rPr>
                <w:rFonts w:asciiTheme="minorHAnsi" w:hAnsiTheme="minorHAnsi" w:cstheme="minorHAnsi"/>
                <w:b w:val="0"/>
                <w:sz w:val="22"/>
                <w:szCs w:val="22"/>
              </w:rPr>
              <w:t>I</w:t>
            </w:r>
            <w:r w:rsidR="00A72CDD" w:rsidRPr="0032590D">
              <w:rPr>
                <w:rFonts w:asciiTheme="minorHAnsi" w:hAnsiTheme="minorHAnsi" w:cstheme="minorHAnsi"/>
                <w:b w:val="0"/>
                <w:sz w:val="22"/>
                <w:szCs w:val="22"/>
              </w:rPr>
              <w:t>f not, what are alternative approaches?</w:t>
            </w:r>
          </w:p>
          <w:p w14:paraId="0294170C" w14:textId="30019838" w:rsidR="00582DCB" w:rsidRPr="0032590D" w:rsidRDefault="00582DCB" w:rsidP="00D55F46">
            <w:pPr>
              <w:pStyle w:val="ListParagraph"/>
              <w:numPr>
                <w:ilvl w:val="0"/>
                <w:numId w:val="36"/>
              </w:numPr>
              <w:spacing w:beforeLines="0" w:before="0" w:afterLines="0" w:line="259" w:lineRule="auto"/>
              <w:contextualSpacing w:val="0"/>
              <w:rPr>
                <w:rFonts w:asciiTheme="minorHAnsi" w:hAnsiTheme="minorHAnsi" w:cstheme="minorHAnsi"/>
                <w:b w:val="0"/>
                <w:sz w:val="22"/>
                <w:szCs w:val="22"/>
              </w:rPr>
            </w:pPr>
            <w:r w:rsidRPr="0032590D">
              <w:rPr>
                <w:rFonts w:asciiTheme="minorHAnsi" w:hAnsiTheme="minorHAnsi" w:cstheme="minorHAnsi"/>
                <w:b w:val="0"/>
                <w:sz w:val="22"/>
                <w:szCs w:val="22"/>
              </w:rPr>
              <w:t xml:space="preserve">Do </w:t>
            </w:r>
            <w:r w:rsidR="00433FF3" w:rsidRPr="0032590D">
              <w:rPr>
                <w:rFonts w:asciiTheme="minorHAnsi" w:hAnsiTheme="minorHAnsi" w:cstheme="minorHAnsi"/>
                <w:b w:val="0"/>
                <w:sz w:val="22"/>
                <w:szCs w:val="22"/>
              </w:rPr>
              <w:t xml:space="preserve">you </w:t>
            </w:r>
            <w:r w:rsidR="00282AD9" w:rsidRPr="0032590D">
              <w:rPr>
                <w:rFonts w:asciiTheme="minorHAnsi" w:hAnsiTheme="minorHAnsi" w:cstheme="minorHAnsi"/>
                <w:b w:val="0"/>
                <w:sz w:val="22"/>
                <w:szCs w:val="22"/>
              </w:rPr>
              <w:t xml:space="preserve">support </w:t>
            </w:r>
            <w:r w:rsidR="0000262F" w:rsidRPr="0032590D">
              <w:rPr>
                <w:rFonts w:asciiTheme="minorHAnsi" w:hAnsiTheme="minorHAnsi" w:cstheme="minorHAnsi"/>
                <w:b w:val="0"/>
                <w:sz w:val="22"/>
                <w:szCs w:val="22"/>
              </w:rPr>
              <w:t xml:space="preserve">the proposed definition of an </w:t>
            </w:r>
            <w:r w:rsidR="00CF2E9E" w:rsidRPr="0032590D">
              <w:rPr>
                <w:rFonts w:asciiTheme="minorHAnsi" w:hAnsiTheme="minorHAnsi" w:cstheme="minorHAnsi"/>
                <w:b w:val="0"/>
                <w:sz w:val="22"/>
                <w:szCs w:val="22"/>
              </w:rPr>
              <w:t>“</w:t>
            </w:r>
            <w:r w:rsidR="00000AE6" w:rsidRPr="0032590D">
              <w:rPr>
                <w:rFonts w:asciiTheme="minorHAnsi" w:hAnsiTheme="minorHAnsi" w:cstheme="minorHAnsi"/>
                <w:b w:val="0"/>
                <w:sz w:val="22"/>
                <w:szCs w:val="22"/>
              </w:rPr>
              <w:t>exempt</w:t>
            </w:r>
            <w:r w:rsidR="00B8019E" w:rsidRPr="0032590D">
              <w:rPr>
                <w:rFonts w:asciiTheme="minorHAnsi" w:hAnsiTheme="minorHAnsi" w:cstheme="minorHAnsi"/>
                <w:b w:val="0"/>
                <w:sz w:val="22"/>
                <w:szCs w:val="22"/>
              </w:rPr>
              <w:t xml:space="preserve"> small business</w:t>
            </w:r>
            <w:r w:rsidR="00CF2E9E" w:rsidRPr="0032590D">
              <w:rPr>
                <w:rFonts w:asciiTheme="minorHAnsi" w:hAnsiTheme="minorHAnsi" w:cstheme="minorHAnsi"/>
                <w:b w:val="0"/>
                <w:sz w:val="22"/>
                <w:szCs w:val="22"/>
              </w:rPr>
              <w:t>”</w:t>
            </w:r>
            <w:r w:rsidR="00B479EA" w:rsidRPr="0032590D">
              <w:rPr>
                <w:rFonts w:asciiTheme="minorHAnsi" w:hAnsiTheme="minorHAnsi" w:cstheme="minorHAnsi"/>
                <w:b w:val="0"/>
                <w:sz w:val="22"/>
                <w:szCs w:val="22"/>
              </w:rPr>
              <w:t xml:space="preserve">, including the </w:t>
            </w:r>
            <w:r w:rsidR="005143D0" w:rsidRPr="0032590D">
              <w:rPr>
                <w:rFonts w:asciiTheme="minorHAnsi" w:hAnsiTheme="minorHAnsi" w:cstheme="minorHAnsi"/>
                <w:b w:val="0"/>
                <w:sz w:val="22"/>
                <w:szCs w:val="22"/>
              </w:rPr>
              <w:t xml:space="preserve">treatment of franchise </w:t>
            </w:r>
            <w:r w:rsidR="002F31E1" w:rsidRPr="0032590D">
              <w:rPr>
                <w:rFonts w:asciiTheme="minorHAnsi" w:hAnsiTheme="minorHAnsi" w:cstheme="minorHAnsi"/>
                <w:b w:val="0"/>
                <w:sz w:val="22"/>
                <w:szCs w:val="22"/>
              </w:rPr>
              <w:t>arrangement</w:t>
            </w:r>
            <w:r w:rsidR="002F31E1" w:rsidRPr="0032590D">
              <w:t>s</w:t>
            </w:r>
            <w:r w:rsidR="00F67AF2" w:rsidRPr="0032590D">
              <w:rPr>
                <w:rFonts w:asciiTheme="minorHAnsi" w:hAnsiTheme="minorHAnsi" w:cstheme="minorHAnsi"/>
                <w:b w:val="0"/>
                <w:sz w:val="22"/>
                <w:szCs w:val="22"/>
              </w:rPr>
              <w:t xml:space="preserve">? </w:t>
            </w:r>
            <w:r w:rsidR="00A72CDD" w:rsidRPr="0032590D">
              <w:rPr>
                <w:rFonts w:asciiTheme="minorHAnsi" w:hAnsiTheme="minorHAnsi" w:cstheme="minorHAnsi"/>
                <w:b w:val="0"/>
                <w:sz w:val="22"/>
                <w:szCs w:val="22"/>
              </w:rPr>
              <w:t xml:space="preserve"> </w:t>
            </w:r>
          </w:p>
          <w:p w14:paraId="22A3F38E" w14:textId="207816E8" w:rsidR="00D55F46" w:rsidRPr="0032590D" w:rsidRDefault="003E59DF" w:rsidP="002D70C9">
            <w:pPr>
              <w:pStyle w:val="ListParagraph"/>
              <w:numPr>
                <w:ilvl w:val="0"/>
                <w:numId w:val="36"/>
              </w:numPr>
              <w:spacing w:beforeLines="0" w:before="0" w:afterLines="0" w:line="259" w:lineRule="auto"/>
              <w:contextualSpacing w:val="0"/>
              <w:rPr>
                <w:rFonts w:asciiTheme="minorHAnsi" w:hAnsiTheme="minorHAnsi" w:cstheme="minorHAnsi"/>
                <w:b w:val="0"/>
                <w:sz w:val="22"/>
                <w:szCs w:val="22"/>
              </w:rPr>
            </w:pPr>
            <w:r w:rsidRPr="0032590D">
              <w:rPr>
                <w:rFonts w:asciiTheme="minorHAnsi" w:hAnsiTheme="minorHAnsi" w:cstheme="minorHAnsi"/>
                <w:b w:val="0"/>
                <w:sz w:val="22"/>
                <w:szCs w:val="22"/>
              </w:rPr>
              <w:t>Do you think any there should be additional exemptions as well as those for small businesses?</w:t>
            </w:r>
          </w:p>
          <w:p w14:paraId="19CAC538" w14:textId="4EE3DD8E" w:rsidR="00F976A7" w:rsidRPr="0032590D" w:rsidRDefault="00B57D39" w:rsidP="00D55F46">
            <w:pPr>
              <w:pStyle w:val="ListParagraph"/>
              <w:numPr>
                <w:ilvl w:val="0"/>
                <w:numId w:val="36"/>
              </w:numPr>
              <w:spacing w:beforeLines="0" w:before="0" w:afterLines="0" w:line="259" w:lineRule="auto"/>
              <w:contextualSpacing w:val="0"/>
              <w:rPr>
                <w:rFonts w:asciiTheme="minorHAnsi" w:hAnsiTheme="minorHAnsi" w:cstheme="minorHAnsi"/>
                <w:b w:val="0"/>
                <w:sz w:val="22"/>
              </w:rPr>
            </w:pPr>
            <w:r w:rsidRPr="0032590D">
              <w:rPr>
                <w:rFonts w:asciiTheme="minorHAnsi" w:hAnsiTheme="minorHAnsi" w:cstheme="minorHAnsi"/>
                <w:b w:val="0"/>
                <w:sz w:val="22"/>
                <w:szCs w:val="22"/>
              </w:rPr>
              <w:t xml:space="preserve">Should </w:t>
            </w:r>
            <w:r w:rsidR="006A11E2" w:rsidRPr="0032590D">
              <w:rPr>
                <w:rFonts w:asciiTheme="minorHAnsi" w:hAnsiTheme="minorHAnsi" w:cstheme="minorHAnsi"/>
                <w:b w:val="0"/>
                <w:sz w:val="22"/>
                <w:szCs w:val="22"/>
              </w:rPr>
              <w:t xml:space="preserve">the mandate be subject to </w:t>
            </w:r>
            <w:r w:rsidRPr="0032590D">
              <w:rPr>
                <w:rFonts w:asciiTheme="minorHAnsi" w:hAnsiTheme="minorHAnsi" w:cstheme="minorHAnsi"/>
                <w:b w:val="0"/>
                <w:sz w:val="22"/>
                <w:szCs w:val="22"/>
              </w:rPr>
              <w:t xml:space="preserve">a dollar limit, time limit or combination </w:t>
            </w:r>
            <w:r w:rsidR="00CC284A" w:rsidRPr="0032590D">
              <w:rPr>
                <w:rFonts w:asciiTheme="minorHAnsi" w:hAnsiTheme="minorHAnsi" w:cstheme="minorHAnsi"/>
                <w:b w:val="0"/>
                <w:sz w:val="22"/>
                <w:szCs w:val="22"/>
              </w:rPr>
              <w:t>limit</w:t>
            </w:r>
            <w:r w:rsidRPr="0032590D">
              <w:rPr>
                <w:rFonts w:asciiTheme="minorHAnsi" w:hAnsiTheme="minorHAnsi" w:cstheme="minorHAnsi"/>
                <w:b w:val="0"/>
                <w:sz w:val="22"/>
                <w:szCs w:val="22"/>
              </w:rPr>
              <w:t>?</w:t>
            </w:r>
            <w:r w:rsidR="00780C2C" w:rsidRPr="0032590D">
              <w:rPr>
                <w:rFonts w:asciiTheme="minorHAnsi" w:hAnsiTheme="minorHAnsi" w:cstheme="minorHAnsi"/>
                <w:b w:val="0"/>
                <w:sz w:val="22"/>
                <w:szCs w:val="22"/>
              </w:rPr>
              <w:t xml:space="preserve"> </w:t>
            </w:r>
            <w:r w:rsidR="0025045C" w:rsidRPr="0032590D">
              <w:rPr>
                <w:rFonts w:asciiTheme="minorHAnsi" w:hAnsiTheme="minorHAnsi" w:cstheme="minorHAnsi"/>
                <w:b w:val="0"/>
                <w:sz w:val="22"/>
                <w:szCs w:val="22"/>
              </w:rPr>
              <w:t xml:space="preserve">If so, what dollar and time limits should be imposed. </w:t>
            </w:r>
            <w:r w:rsidR="00266F7C" w:rsidRPr="0032590D">
              <w:rPr>
                <w:rFonts w:asciiTheme="minorHAnsi" w:hAnsiTheme="minorHAnsi" w:cstheme="minorHAnsi"/>
                <w:b w:val="0"/>
                <w:sz w:val="22"/>
                <w:szCs w:val="22"/>
              </w:rPr>
              <w:t>I</w:t>
            </w:r>
            <w:r w:rsidR="00A72CDD" w:rsidRPr="0032590D">
              <w:rPr>
                <w:rFonts w:asciiTheme="minorHAnsi" w:hAnsiTheme="minorHAnsi" w:cstheme="minorHAnsi"/>
                <w:b w:val="0"/>
                <w:sz w:val="22"/>
                <w:szCs w:val="22"/>
              </w:rPr>
              <w:t>f not, what are alternative approaches?</w:t>
            </w:r>
          </w:p>
          <w:p w14:paraId="4751C9ED" w14:textId="3A2A8EE5" w:rsidR="00AC7CCB" w:rsidRPr="0032590D" w:rsidRDefault="00FA39E4" w:rsidP="00D55F46">
            <w:pPr>
              <w:pStyle w:val="ListParagraph"/>
              <w:numPr>
                <w:ilvl w:val="0"/>
                <w:numId w:val="36"/>
              </w:numPr>
              <w:spacing w:beforeLines="0" w:before="0" w:afterLines="0" w:line="259" w:lineRule="auto"/>
              <w:contextualSpacing w:val="0"/>
              <w:rPr>
                <w:rFonts w:asciiTheme="minorHAnsi" w:hAnsiTheme="minorHAnsi" w:cstheme="minorHAnsi"/>
                <w:b w:val="0"/>
                <w:sz w:val="22"/>
              </w:rPr>
            </w:pPr>
            <w:r w:rsidRPr="0032590D">
              <w:rPr>
                <w:rFonts w:asciiTheme="minorHAnsi" w:hAnsiTheme="minorHAnsi" w:cstheme="minorHAnsi"/>
                <w:b w:val="0"/>
                <w:sz w:val="22"/>
              </w:rPr>
              <w:t>Do you have any other comments on the proposed mandate</w:t>
            </w:r>
            <w:r w:rsidR="00FA0DC5" w:rsidRPr="0032590D">
              <w:rPr>
                <w:rFonts w:asciiTheme="minorHAnsi" w:hAnsiTheme="minorHAnsi" w:cstheme="minorHAnsi"/>
                <w:b w:val="0"/>
                <w:sz w:val="22"/>
              </w:rPr>
              <w:t xml:space="preserve"> scope and application</w:t>
            </w:r>
            <w:r w:rsidR="008358AF" w:rsidRPr="0032590D">
              <w:rPr>
                <w:rFonts w:asciiTheme="minorHAnsi" w:hAnsiTheme="minorHAnsi" w:cstheme="minorHAnsi"/>
                <w:b w:val="0"/>
                <w:sz w:val="22"/>
              </w:rPr>
              <w:t>, including its</w:t>
            </w:r>
            <w:r w:rsidR="00055223" w:rsidRPr="0032590D">
              <w:rPr>
                <w:rFonts w:asciiTheme="minorHAnsi" w:hAnsiTheme="minorHAnsi" w:cstheme="minorHAnsi"/>
                <w:b w:val="0"/>
                <w:sz w:val="22"/>
              </w:rPr>
              <w:t xml:space="preserve"> impact on regional, rural and remote communities</w:t>
            </w:r>
            <w:r w:rsidR="00AC7CCB" w:rsidRPr="0032590D">
              <w:rPr>
                <w:rFonts w:asciiTheme="minorHAnsi" w:hAnsiTheme="minorHAnsi" w:cstheme="minorHAnsi"/>
                <w:b w:val="0"/>
                <w:sz w:val="22"/>
              </w:rPr>
              <w:t>?</w:t>
            </w:r>
          </w:p>
        </w:tc>
      </w:tr>
    </w:tbl>
    <w:p w14:paraId="337A8AA2" w14:textId="7FF42947" w:rsidR="006A3A99" w:rsidRPr="0032590D" w:rsidRDefault="006A3A99">
      <w:pPr>
        <w:spacing w:before="0" w:after="160" w:line="259" w:lineRule="auto"/>
        <w:rPr>
          <w:rFonts w:ascii="Calibri" w:hAnsi="Calibri" w:cs="Arial"/>
          <w:b/>
          <w:color w:val="5D779D" w:themeColor="accent3"/>
          <w:kern w:val="32"/>
          <w:sz w:val="44"/>
          <w:szCs w:val="36"/>
        </w:rPr>
      </w:pPr>
      <w:r w:rsidRPr="0032590D">
        <w:br w:type="page"/>
      </w:r>
    </w:p>
    <w:p w14:paraId="79B18A14" w14:textId="327E5473" w:rsidR="008423DB" w:rsidRPr="0032590D" w:rsidRDefault="00C130CB" w:rsidP="00C130CB">
      <w:pPr>
        <w:pStyle w:val="Heading1"/>
      </w:pPr>
      <w:bookmarkStart w:id="58" w:name="_Toc181278103"/>
      <w:bookmarkStart w:id="59" w:name="_Toc183137392"/>
      <w:r w:rsidRPr="0032590D">
        <w:t xml:space="preserve">Chapter 4: </w:t>
      </w:r>
      <w:bookmarkEnd w:id="57"/>
      <w:r w:rsidR="002C491A" w:rsidRPr="0032590D">
        <w:t>Measures to support the mandate</w:t>
      </w:r>
      <w:bookmarkEnd w:id="58"/>
      <w:bookmarkEnd w:id="59"/>
    </w:p>
    <w:p w14:paraId="18293604" w14:textId="3A90358C" w:rsidR="00F55699" w:rsidRPr="0032590D" w:rsidRDefault="00F55699" w:rsidP="00F55699">
      <w:pPr>
        <w:pStyle w:val="Heading2"/>
      </w:pPr>
      <w:bookmarkStart w:id="60" w:name="_Toc183137393"/>
      <w:bookmarkStart w:id="61" w:name="_Toc181026656"/>
      <w:r w:rsidRPr="0032590D">
        <w:t>Overview</w:t>
      </w:r>
      <w:bookmarkEnd w:id="60"/>
    </w:p>
    <w:p w14:paraId="7D78D0DB" w14:textId="6A7EA913" w:rsidR="002C1D9E" w:rsidRPr="0032590D" w:rsidRDefault="00EF26DD" w:rsidP="00B85CF5">
      <w:r w:rsidRPr="0032590D">
        <w:t xml:space="preserve">Supporting measures must be in place to enable </w:t>
      </w:r>
      <w:r w:rsidR="001B5875" w:rsidRPr="0032590D">
        <w:t xml:space="preserve">an </w:t>
      </w:r>
      <w:r w:rsidRPr="0032590D">
        <w:t>effective</w:t>
      </w:r>
      <w:r w:rsidR="001B5875" w:rsidRPr="0032590D">
        <w:t xml:space="preserve"> cash acceptance mandate. This </w:t>
      </w:r>
      <w:r w:rsidRPr="0032590D">
        <w:t xml:space="preserve">section </w:t>
      </w:r>
      <w:r w:rsidR="001B5875" w:rsidRPr="0032590D">
        <w:t xml:space="preserve">discusses </w:t>
      </w:r>
      <w:r w:rsidR="000F59A8" w:rsidRPr="0032590D">
        <w:t xml:space="preserve">necessary supporting measures </w:t>
      </w:r>
      <w:r w:rsidR="001B5875" w:rsidRPr="0032590D">
        <w:t>including</w:t>
      </w:r>
      <w:r w:rsidR="002C1D9E" w:rsidRPr="0032590D">
        <w:t>:</w:t>
      </w:r>
    </w:p>
    <w:p w14:paraId="32CCE2FD" w14:textId="00014BAF" w:rsidR="002C1D9E" w:rsidRPr="0032590D" w:rsidRDefault="00780745" w:rsidP="00990503">
      <w:pPr>
        <w:pStyle w:val="Bullet"/>
      </w:pPr>
      <w:r w:rsidRPr="0032590D">
        <w:t>p</w:t>
      </w:r>
      <w:r w:rsidR="00E37CE0" w:rsidRPr="0032590D">
        <w:t xml:space="preserve">romoting </w:t>
      </w:r>
      <w:r w:rsidR="00A10BF9" w:rsidRPr="0032590D">
        <w:t xml:space="preserve">compliance </w:t>
      </w:r>
      <w:r w:rsidR="00E37CE0" w:rsidRPr="0032590D">
        <w:t xml:space="preserve">with </w:t>
      </w:r>
      <w:r w:rsidR="00605F13" w:rsidRPr="0032590D">
        <w:t>the mandate</w:t>
      </w:r>
    </w:p>
    <w:p w14:paraId="55716DDE" w14:textId="77777777" w:rsidR="004D4829" w:rsidRPr="0032590D" w:rsidRDefault="004D4829" w:rsidP="004D4829">
      <w:pPr>
        <w:pStyle w:val="Bullet"/>
      </w:pPr>
      <w:r w:rsidRPr="0032590D">
        <w:t>ensuring that consumers are aware of where and when the mandate will apply</w:t>
      </w:r>
    </w:p>
    <w:p w14:paraId="598CE143" w14:textId="54878CA9" w:rsidR="00C6599A" w:rsidRPr="0032590D" w:rsidRDefault="00780745" w:rsidP="00990503">
      <w:pPr>
        <w:pStyle w:val="Bullet"/>
      </w:pPr>
      <w:r w:rsidRPr="0032590D">
        <w:t>m</w:t>
      </w:r>
      <w:r w:rsidR="00605F13" w:rsidRPr="0032590D">
        <w:t>aintaining reliable and cost-effective access to cash</w:t>
      </w:r>
      <w:r w:rsidR="00874307" w:rsidRPr="0032590D">
        <w:t>,</w:t>
      </w:r>
      <w:r w:rsidR="00605F13" w:rsidRPr="0032590D">
        <w:t xml:space="preserve"> </w:t>
      </w:r>
      <w:r w:rsidR="00C56124" w:rsidRPr="0032590D">
        <w:t xml:space="preserve">and </w:t>
      </w:r>
    </w:p>
    <w:p w14:paraId="0BB74565" w14:textId="63622DC5" w:rsidR="00725A62" w:rsidRPr="0032590D" w:rsidRDefault="00780745" w:rsidP="004D4829">
      <w:pPr>
        <w:pStyle w:val="Bullet"/>
      </w:pPr>
      <w:r w:rsidRPr="0032590D">
        <w:t>p</w:t>
      </w:r>
      <w:r w:rsidR="00E061FF" w:rsidRPr="0032590D">
        <w:t>roviding for ongoing monitoring of scope and application</w:t>
      </w:r>
    </w:p>
    <w:p w14:paraId="62D68CAC" w14:textId="047DDE61" w:rsidR="008152BF" w:rsidRPr="0032590D" w:rsidRDefault="00990503" w:rsidP="00990503">
      <w:r w:rsidRPr="0032590D">
        <w:t>This chapter explores these supporting measures.</w:t>
      </w:r>
    </w:p>
    <w:p w14:paraId="1FFA08AE" w14:textId="659819BF" w:rsidR="009D29D9" w:rsidRPr="0032590D" w:rsidRDefault="009D29D9" w:rsidP="00EB02F7">
      <w:pPr>
        <w:pStyle w:val="Heading2"/>
        <w:spacing w:before="240"/>
      </w:pPr>
      <w:bookmarkStart w:id="62" w:name="_Toc181278104"/>
      <w:bookmarkStart w:id="63" w:name="_Toc183137394"/>
      <w:r w:rsidRPr="0032590D">
        <w:t>Promoting compliance with the mandate</w:t>
      </w:r>
      <w:bookmarkEnd w:id="62"/>
      <w:bookmarkEnd w:id="63"/>
    </w:p>
    <w:p w14:paraId="10BE6903" w14:textId="06220925" w:rsidR="00365223" w:rsidRPr="0032590D" w:rsidRDefault="00365223" w:rsidP="00365223">
      <w:pPr>
        <w:rPr>
          <w:rFonts w:cs="Calibri Light"/>
        </w:rPr>
      </w:pPr>
      <w:r w:rsidRPr="0032590D">
        <w:rPr>
          <w:rFonts w:cs="Calibri Light"/>
        </w:rPr>
        <w:t>Success</w:t>
      </w:r>
      <w:r w:rsidR="00DF77BF" w:rsidRPr="0032590D">
        <w:rPr>
          <w:rFonts w:cs="Calibri Light"/>
        </w:rPr>
        <w:t xml:space="preserve"> for </w:t>
      </w:r>
      <w:r w:rsidRPr="0032590D">
        <w:rPr>
          <w:rFonts w:cs="Calibri Light"/>
        </w:rPr>
        <w:t xml:space="preserve">the </w:t>
      </w:r>
      <w:r w:rsidR="00560BA7" w:rsidRPr="0032590D">
        <w:rPr>
          <w:rFonts w:cs="Calibri Light"/>
        </w:rPr>
        <w:t xml:space="preserve">cash acceptance </w:t>
      </w:r>
      <w:r w:rsidRPr="0032590D">
        <w:rPr>
          <w:rFonts w:cs="Calibri Light"/>
        </w:rPr>
        <w:t xml:space="preserve">mandate requires consumers and businesses </w:t>
      </w:r>
      <w:r w:rsidR="00D73470" w:rsidRPr="0032590D">
        <w:rPr>
          <w:rFonts w:cs="Calibri Light"/>
        </w:rPr>
        <w:t xml:space="preserve">to be aware of and </w:t>
      </w:r>
      <w:r w:rsidR="00DF77BF" w:rsidRPr="0032590D">
        <w:rPr>
          <w:rFonts w:cs="Calibri Light"/>
        </w:rPr>
        <w:t xml:space="preserve">action </w:t>
      </w:r>
      <w:r w:rsidRPr="0032590D">
        <w:rPr>
          <w:rFonts w:cs="Calibri Light"/>
        </w:rPr>
        <w:t xml:space="preserve">their rights and obligations under the </w:t>
      </w:r>
      <w:r w:rsidR="00E4040E" w:rsidRPr="0032590D">
        <w:rPr>
          <w:rFonts w:cs="Calibri Light"/>
        </w:rPr>
        <w:t>law</w:t>
      </w:r>
      <w:r w:rsidR="005C1637" w:rsidRPr="0032590D">
        <w:rPr>
          <w:rFonts w:cs="Calibri Light"/>
        </w:rPr>
        <w:t>.</w:t>
      </w:r>
    </w:p>
    <w:p w14:paraId="5E1CE9E5" w14:textId="25116C21" w:rsidR="00414944" w:rsidRPr="0032590D" w:rsidRDefault="000427BE" w:rsidP="00F55699">
      <w:pPr>
        <w:pStyle w:val="Heading3"/>
      </w:pPr>
      <w:r w:rsidRPr="0032590D">
        <w:t xml:space="preserve">Consumer </w:t>
      </w:r>
      <w:r w:rsidR="002D70C9" w:rsidRPr="0032590D">
        <w:t xml:space="preserve">and business </w:t>
      </w:r>
      <w:r w:rsidRPr="0032590D">
        <w:t>a</w:t>
      </w:r>
      <w:r w:rsidR="00B26F35" w:rsidRPr="0032590D">
        <w:t>wareness and e</w:t>
      </w:r>
      <w:r w:rsidR="00641562" w:rsidRPr="0032590D">
        <w:t>ducation</w:t>
      </w:r>
      <w:r w:rsidR="00511C5C" w:rsidRPr="0032590D">
        <w:t xml:space="preserve"> </w:t>
      </w:r>
      <w:bookmarkEnd w:id="61"/>
    </w:p>
    <w:p w14:paraId="0826BE93" w14:textId="2457CF4A" w:rsidR="00B8352A" w:rsidRPr="0032590D" w:rsidRDefault="005D2DD7" w:rsidP="005D2DD7">
      <w:pPr>
        <w:rPr>
          <w:rFonts w:cs="Calibri Light"/>
        </w:rPr>
      </w:pPr>
      <w:r w:rsidRPr="0032590D">
        <w:rPr>
          <w:rFonts w:cs="Calibri Light"/>
        </w:rPr>
        <w:t xml:space="preserve">Consumers need to </w:t>
      </w:r>
      <w:r w:rsidR="00247C46" w:rsidRPr="0032590D">
        <w:rPr>
          <w:rFonts w:cs="Calibri Light"/>
        </w:rPr>
        <w:t xml:space="preserve">have a consistent experience with how the mandate will apply in practice. This means consumers must </w:t>
      </w:r>
      <w:r w:rsidRPr="0032590D">
        <w:rPr>
          <w:rFonts w:cs="Calibri Light"/>
        </w:rPr>
        <w:t>be informed about their rights to use cash for transactions</w:t>
      </w:r>
      <w:r w:rsidR="00247C46" w:rsidRPr="0032590D">
        <w:rPr>
          <w:rFonts w:cs="Calibri Light"/>
        </w:rPr>
        <w:t>,</w:t>
      </w:r>
      <w:r w:rsidR="007E23BB" w:rsidRPr="0032590D">
        <w:rPr>
          <w:rFonts w:cs="Calibri Light"/>
        </w:rPr>
        <w:t xml:space="preserve"> </w:t>
      </w:r>
      <w:r w:rsidR="00247C46" w:rsidRPr="0032590D">
        <w:rPr>
          <w:rFonts w:cs="Calibri Light"/>
        </w:rPr>
        <w:t xml:space="preserve">that is </w:t>
      </w:r>
      <w:r w:rsidR="007E23BB" w:rsidRPr="0032590D">
        <w:rPr>
          <w:rFonts w:cs="Calibri Light"/>
        </w:rPr>
        <w:t xml:space="preserve">for what </w:t>
      </w:r>
      <w:r w:rsidR="000D5E28" w:rsidRPr="0032590D">
        <w:rPr>
          <w:rFonts w:cs="Calibri Light"/>
        </w:rPr>
        <w:t xml:space="preserve">transactions </w:t>
      </w:r>
      <w:r w:rsidR="006C2323" w:rsidRPr="0032590D">
        <w:rPr>
          <w:rFonts w:cs="Calibri Light"/>
        </w:rPr>
        <w:t>the mandate</w:t>
      </w:r>
      <w:r w:rsidR="000D5E28" w:rsidRPr="0032590D">
        <w:rPr>
          <w:rFonts w:cs="Calibri Light"/>
        </w:rPr>
        <w:t xml:space="preserve"> will apply </w:t>
      </w:r>
      <w:r w:rsidR="003451DB" w:rsidRPr="0032590D">
        <w:rPr>
          <w:rFonts w:cs="Calibri Light"/>
        </w:rPr>
        <w:t>and when</w:t>
      </w:r>
      <w:r w:rsidR="00F24669" w:rsidRPr="0032590D">
        <w:rPr>
          <w:rFonts w:cs="Calibri Light"/>
        </w:rPr>
        <w:t xml:space="preserve"> they can expect to be able to pay cash</w:t>
      </w:r>
      <w:r w:rsidR="000D5E28" w:rsidRPr="0032590D">
        <w:rPr>
          <w:rFonts w:cs="Calibri Light"/>
        </w:rPr>
        <w:t xml:space="preserve">. </w:t>
      </w:r>
      <w:r w:rsidR="007C54BE" w:rsidRPr="0032590D">
        <w:rPr>
          <w:rFonts w:cs="Calibri Light"/>
        </w:rPr>
        <w:t>B</w:t>
      </w:r>
      <w:r w:rsidRPr="0032590D">
        <w:rPr>
          <w:rFonts w:cs="Calibri Light"/>
        </w:rPr>
        <w:t xml:space="preserve">usinesses must understand their obligations to accept cash payments. </w:t>
      </w:r>
      <w:r w:rsidR="00D36CA1" w:rsidRPr="0032590D">
        <w:rPr>
          <w:rFonts w:cs="Calibri Light"/>
        </w:rPr>
        <w:t>Awareness and e</w:t>
      </w:r>
      <w:r w:rsidRPr="0032590D">
        <w:rPr>
          <w:rFonts w:cs="Calibri Light"/>
        </w:rPr>
        <w:t xml:space="preserve">ducational campaigns can be conducted through various channels, </w:t>
      </w:r>
      <w:r w:rsidR="00BB7930" w:rsidRPr="0032590D">
        <w:rPr>
          <w:rFonts w:cs="Calibri Light"/>
        </w:rPr>
        <w:t xml:space="preserve">for example, through targeted advertising and </w:t>
      </w:r>
      <w:r w:rsidR="00216FF6" w:rsidRPr="0032590D">
        <w:rPr>
          <w:rFonts w:cs="Calibri Light"/>
        </w:rPr>
        <w:t xml:space="preserve">the creation of </w:t>
      </w:r>
      <w:r w:rsidRPr="0032590D">
        <w:rPr>
          <w:rFonts w:cs="Calibri Light"/>
        </w:rPr>
        <w:t>online resources.</w:t>
      </w:r>
      <w:r w:rsidR="00B8352A" w:rsidRPr="0032590D">
        <w:rPr>
          <w:rFonts w:cs="Calibri Light"/>
        </w:rPr>
        <w:t xml:space="preserve"> </w:t>
      </w:r>
      <w:r w:rsidR="004B7883" w:rsidRPr="0032590D">
        <w:rPr>
          <w:rFonts w:cs="Calibri Light"/>
        </w:rPr>
        <w:t>C</w:t>
      </w:r>
      <w:r w:rsidR="00B8352A" w:rsidRPr="0032590D">
        <w:rPr>
          <w:rFonts w:cs="Calibri Light"/>
        </w:rPr>
        <w:t xml:space="preserve">ampaigns </w:t>
      </w:r>
      <w:r w:rsidRPr="0032590D">
        <w:rPr>
          <w:rFonts w:cs="Calibri Light"/>
        </w:rPr>
        <w:t xml:space="preserve">can </w:t>
      </w:r>
      <w:r w:rsidR="00B8352A" w:rsidRPr="0032590D">
        <w:rPr>
          <w:rFonts w:cs="Calibri Light"/>
        </w:rPr>
        <w:t xml:space="preserve">lift </w:t>
      </w:r>
      <w:r w:rsidR="00C729F6" w:rsidRPr="0032590D">
        <w:rPr>
          <w:rFonts w:cs="Calibri Light"/>
        </w:rPr>
        <w:t xml:space="preserve">community understanding and increase </w:t>
      </w:r>
      <w:r w:rsidR="00B8352A" w:rsidRPr="0032590D">
        <w:rPr>
          <w:rFonts w:cs="Calibri Light"/>
        </w:rPr>
        <w:t xml:space="preserve">compliance </w:t>
      </w:r>
      <w:r w:rsidR="00BA1C13" w:rsidRPr="0032590D">
        <w:rPr>
          <w:rFonts w:cs="Calibri Light"/>
        </w:rPr>
        <w:t xml:space="preserve">without the need </w:t>
      </w:r>
      <w:r w:rsidR="007177AA" w:rsidRPr="0032590D">
        <w:rPr>
          <w:rFonts w:cs="Calibri Light"/>
        </w:rPr>
        <w:t>for enforcement.</w:t>
      </w:r>
    </w:p>
    <w:p w14:paraId="093F0E97" w14:textId="038801E5" w:rsidR="00A7273C" w:rsidRPr="0032590D" w:rsidRDefault="00A10BF9" w:rsidP="00F55699">
      <w:pPr>
        <w:pStyle w:val="Heading3"/>
      </w:pPr>
      <w:r w:rsidRPr="0032590D">
        <w:t>Enforc</w:t>
      </w:r>
      <w:r w:rsidR="00605F13" w:rsidRPr="0032590D">
        <w:t>ement</w:t>
      </w:r>
      <w:r w:rsidRPr="0032590D">
        <w:t xml:space="preserve"> </w:t>
      </w:r>
      <w:r w:rsidR="0072444C" w:rsidRPr="0032590D">
        <w:t>and anti-avoidance</w:t>
      </w:r>
    </w:p>
    <w:p w14:paraId="70826F10" w14:textId="68B1B779" w:rsidR="00FE400C" w:rsidRPr="0032590D" w:rsidRDefault="00612C4C" w:rsidP="00562A17">
      <w:r w:rsidRPr="0032590D">
        <w:t>To promote compliance, e</w:t>
      </w:r>
      <w:r w:rsidR="00FA486D" w:rsidRPr="0032590D">
        <w:t xml:space="preserve">nforcement </w:t>
      </w:r>
      <w:r w:rsidRPr="0032590D">
        <w:t xml:space="preserve">must deter non-compliance. </w:t>
      </w:r>
      <w:r w:rsidR="00784EA0" w:rsidRPr="0032590D">
        <w:t>Compliance with t</w:t>
      </w:r>
      <w:r w:rsidR="005D7CF2" w:rsidRPr="0032590D">
        <w:t xml:space="preserve">he cash acceptance mandate could be </w:t>
      </w:r>
      <w:r w:rsidR="00784EA0" w:rsidRPr="0032590D">
        <w:t xml:space="preserve">achieved through </w:t>
      </w:r>
      <w:r w:rsidR="00FE400C" w:rsidRPr="0032590D">
        <w:t>private enforcement, public enforcement or through a dual model, allowing both private and public enforcement.</w:t>
      </w:r>
    </w:p>
    <w:p w14:paraId="106A07A6" w14:textId="77777777" w:rsidR="00414944" w:rsidRPr="0032590D" w:rsidRDefault="00414944" w:rsidP="00F55699">
      <w:pPr>
        <w:pStyle w:val="Heading4"/>
      </w:pPr>
      <w:bookmarkStart w:id="64" w:name="_Toc181026657"/>
      <w:r w:rsidRPr="0032590D">
        <w:t>Private enforcement</w:t>
      </w:r>
      <w:bookmarkEnd w:id="64"/>
    </w:p>
    <w:p w14:paraId="7A9C59F0" w14:textId="3124F906" w:rsidR="00785F16" w:rsidRPr="0032590D" w:rsidRDefault="00785F16" w:rsidP="00785F16">
      <w:pPr>
        <w:rPr>
          <w:rFonts w:cs="Calibri Light"/>
        </w:rPr>
      </w:pPr>
      <w:r w:rsidRPr="0032590D">
        <w:rPr>
          <w:rFonts w:cs="Calibri Light"/>
        </w:rPr>
        <w:t xml:space="preserve">Should businesses fail to comply with the cash acceptance mandate, consumers </w:t>
      </w:r>
      <w:r w:rsidR="001A50B8" w:rsidRPr="0032590D">
        <w:rPr>
          <w:rFonts w:cs="Calibri Light"/>
        </w:rPr>
        <w:t xml:space="preserve">could be given a </w:t>
      </w:r>
      <w:r w:rsidRPr="0032590D">
        <w:rPr>
          <w:rFonts w:cs="Calibri Light"/>
        </w:rPr>
        <w:t xml:space="preserve">right </w:t>
      </w:r>
      <w:r w:rsidR="00C24B87" w:rsidRPr="0032590D">
        <w:rPr>
          <w:rFonts w:cs="Calibri Light"/>
        </w:rPr>
        <w:t xml:space="preserve">of action to enforce compliance. </w:t>
      </w:r>
      <w:r w:rsidR="00C107AB" w:rsidRPr="0032590D">
        <w:rPr>
          <w:rFonts w:cs="Calibri Light"/>
        </w:rPr>
        <w:t>R</w:t>
      </w:r>
      <w:r w:rsidR="0029355D" w:rsidRPr="0032590D">
        <w:rPr>
          <w:rFonts w:cs="Calibri Light"/>
        </w:rPr>
        <w:t>emed</w:t>
      </w:r>
      <w:r w:rsidR="00C107AB" w:rsidRPr="0032590D">
        <w:rPr>
          <w:rFonts w:cs="Calibri Light"/>
        </w:rPr>
        <w:t>ies</w:t>
      </w:r>
      <w:r w:rsidR="0029355D" w:rsidRPr="0032590D">
        <w:rPr>
          <w:rFonts w:cs="Calibri Light"/>
        </w:rPr>
        <w:t xml:space="preserve"> available to the consumer could include </w:t>
      </w:r>
      <w:r w:rsidR="00321D84" w:rsidRPr="0032590D">
        <w:rPr>
          <w:rFonts w:cs="Calibri Light"/>
        </w:rPr>
        <w:t>declarations, injunctions, and damages</w:t>
      </w:r>
      <w:r w:rsidR="00B25AC4" w:rsidRPr="0032590D">
        <w:rPr>
          <w:rFonts w:cs="Calibri Light"/>
        </w:rPr>
        <w:t xml:space="preserve">. </w:t>
      </w:r>
      <w:r w:rsidR="00FA5A86" w:rsidRPr="0032590D">
        <w:rPr>
          <w:rFonts w:cs="Calibri Light"/>
        </w:rPr>
        <w:t xml:space="preserve">To strengthen deterrence, </w:t>
      </w:r>
      <w:r w:rsidR="00C107AB" w:rsidRPr="0032590D">
        <w:rPr>
          <w:rFonts w:cs="Calibri Light"/>
        </w:rPr>
        <w:t xml:space="preserve">remedies could also include </w:t>
      </w:r>
      <w:r w:rsidR="00CF764C" w:rsidRPr="0032590D">
        <w:rPr>
          <w:rFonts w:cs="Calibri Light"/>
        </w:rPr>
        <w:t>punitive damages</w:t>
      </w:r>
      <w:r w:rsidR="00E006F4" w:rsidRPr="0032590D">
        <w:rPr>
          <w:rFonts w:cs="Calibri Light"/>
        </w:rPr>
        <w:t xml:space="preserve"> where there was </w:t>
      </w:r>
      <w:r w:rsidR="00EF18E3" w:rsidRPr="0032590D">
        <w:rPr>
          <w:rFonts w:cs="Calibri Light"/>
        </w:rPr>
        <w:t xml:space="preserve">systematic or </w:t>
      </w:r>
      <w:r w:rsidR="00E006F4" w:rsidRPr="0032590D">
        <w:rPr>
          <w:rFonts w:cs="Calibri Light"/>
        </w:rPr>
        <w:t>egregious non</w:t>
      </w:r>
      <w:r w:rsidR="00EF18E3" w:rsidRPr="0032590D">
        <w:rPr>
          <w:rFonts w:cs="Calibri Light"/>
        </w:rPr>
        <w:noBreakHyphen/>
      </w:r>
      <w:r w:rsidR="00E006F4" w:rsidRPr="0032590D">
        <w:rPr>
          <w:rFonts w:cs="Calibri Light"/>
        </w:rPr>
        <w:t>compliance.</w:t>
      </w:r>
      <w:r w:rsidR="00DE474E" w:rsidRPr="0032590D">
        <w:rPr>
          <w:rFonts w:cs="Calibri Light"/>
        </w:rPr>
        <w:t xml:space="preserve"> Private enforcement could be</w:t>
      </w:r>
      <w:r w:rsidRPr="0032590D">
        <w:rPr>
          <w:rFonts w:cs="Calibri Light"/>
        </w:rPr>
        <w:t xml:space="preserve"> pursue</w:t>
      </w:r>
      <w:r w:rsidR="00DE474E" w:rsidRPr="0032590D">
        <w:rPr>
          <w:rFonts w:cs="Calibri Light"/>
        </w:rPr>
        <w:t>d</w:t>
      </w:r>
      <w:r w:rsidRPr="0032590D">
        <w:rPr>
          <w:rFonts w:cs="Calibri Light"/>
        </w:rPr>
        <w:t xml:space="preserve"> either individually or </w:t>
      </w:r>
      <w:r w:rsidR="0090566D" w:rsidRPr="0032590D">
        <w:rPr>
          <w:rFonts w:cs="Calibri Light"/>
        </w:rPr>
        <w:t>coll</w:t>
      </w:r>
      <w:r w:rsidRPr="0032590D">
        <w:rPr>
          <w:rFonts w:cs="Calibri Light"/>
        </w:rPr>
        <w:t>ective</w:t>
      </w:r>
      <w:r w:rsidR="0090566D" w:rsidRPr="0032590D">
        <w:rPr>
          <w:rFonts w:cs="Calibri Light"/>
        </w:rPr>
        <w:t xml:space="preserve">ly through a </w:t>
      </w:r>
      <w:r w:rsidRPr="0032590D">
        <w:rPr>
          <w:rFonts w:cs="Calibri Light"/>
        </w:rPr>
        <w:t xml:space="preserve">class action. </w:t>
      </w:r>
      <w:r w:rsidR="00EB3592" w:rsidRPr="0032590D">
        <w:rPr>
          <w:rFonts w:cs="Calibri Light"/>
        </w:rPr>
        <w:t xml:space="preserve">All </w:t>
      </w:r>
      <w:r w:rsidRPr="0032590D">
        <w:rPr>
          <w:rFonts w:cs="Calibri Light"/>
        </w:rPr>
        <w:t xml:space="preserve">actions </w:t>
      </w:r>
      <w:r w:rsidR="00EB3592" w:rsidRPr="0032590D">
        <w:rPr>
          <w:rFonts w:cs="Calibri Light"/>
        </w:rPr>
        <w:t xml:space="preserve">would </w:t>
      </w:r>
      <w:r w:rsidRPr="0032590D">
        <w:rPr>
          <w:rFonts w:cs="Calibri Light"/>
        </w:rPr>
        <w:t>be funded privately.</w:t>
      </w:r>
      <w:r w:rsidR="00AF584E" w:rsidRPr="0032590D">
        <w:rPr>
          <w:rStyle w:val="FootnoteReference"/>
          <w:rFonts w:cs="Calibri Light"/>
        </w:rPr>
        <w:footnoteReference w:id="43"/>
      </w:r>
    </w:p>
    <w:p w14:paraId="76258F20" w14:textId="77777777" w:rsidR="00414944" w:rsidRPr="0032590D" w:rsidRDefault="00414944" w:rsidP="00F55699">
      <w:pPr>
        <w:pStyle w:val="Heading4"/>
      </w:pPr>
      <w:bookmarkStart w:id="65" w:name="_Toc181026658"/>
      <w:r w:rsidRPr="0032590D">
        <w:t>Public enforcement</w:t>
      </w:r>
      <w:bookmarkEnd w:id="65"/>
    </w:p>
    <w:p w14:paraId="0E3A1417" w14:textId="76D2A967" w:rsidR="000C61A0" w:rsidRPr="0032590D" w:rsidRDefault="000C61A0" w:rsidP="000874B4">
      <w:r w:rsidRPr="0032590D">
        <w:t xml:space="preserve">When businesses breach the mandate, </w:t>
      </w:r>
      <w:r w:rsidR="000C5DBC" w:rsidRPr="0032590D">
        <w:t xml:space="preserve">a </w:t>
      </w:r>
      <w:r w:rsidRPr="0032590D">
        <w:t>regulator c</w:t>
      </w:r>
      <w:r w:rsidR="000C5DBC" w:rsidRPr="0032590D">
        <w:t>ould</w:t>
      </w:r>
      <w:r w:rsidRPr="0032590D">
        <w:t xml:space="preserve"> take action to ensure compliance and protect consumers' rights.</w:t>
      </w:r>
      <w:r w:rsidR="005F3BC0" w:rsidRPr="0032590D">
        <w:t xml:space="preserve"> </w:t>
      </w:r>
      <w:r w:rsidR="001103A6" w:rsidRPr="0032590D">
        <w:t>A r</w:t>
      </w:r>
      <w:r w:rsidR="000C5DBC" w:rsidRPr="0032590D">
        <w:t xml:space="preserve">egulator </w:t>
      </w:r>
      <w:r w:rsidR="000A190C" w:rsidRPr="0032590D">
        <w:t xml:space="preserve">could </w:t>
      </w:r>
      <w:r w:rsidRPr="0032590D">
        <w:t xml:space="preserve">issue </w:t>
      </w:r>
      <w:r w:rsidR="000360E2" w:rsidRPr="0032590D">
        <w:t xml:space="preserve">an </w:t>
      </w:r>
      <w:r w:rsidRPr="0032590D">
        <w:t xml:space="preserve">infringement notice </w:t>
      </w:r>
      <w:r w:rsidR="00CA2FB2" w:rsidRPr="0032590D">
        <w:t xml:space="preserve">(similar to a speeding fine) or </w:t>
      </w:r>
      <w:r w:rsidRPr="0032590D">
        <w:t xml:space="preserve">pursue court action against </w:t>
      </w:r>
      <w:r w:rsidR="000360E2" w:rsidRPr="0032590D">
        <w:t xml:space="preserve">a </w:t>
      </w:r>
      <w:r w:rsidRPr="0032590D">
        <w:t>non-compliant business. The</w:t>
      </w:r>
      <w:r w:rsidR="004E41C9" w:rsidRPr="0032590D">
        <w:t xml:space="preserve"> regulator’s </w:t>
      </w:r>
      <w:r w:rsidRPr="0032590D">
        <w:t xml:space="preserve">actions </w:t>
      </w:r>
      <w:r w:rsidR="00951EC2" w:rsidRPr="0032590D">
        <w:t xml:space="preserve">would be </w:t>
      </w:r>
      <w:r w:rsidRPr="0032590D">
        <w:t>funded publicly, ensuring that enforcement is not limited by the financial resources of individual consumers.</w:t>
      </w:r>
      <w:r w:rsidR="004B3953" w:rsidRPr="0032590D">
        <w:t xml:space="preserve"> </w:t>
      </w:r>
      <w:r w:rsidRPr="0032590D">
        <w:t>The</w:t>
      </w:r>
      <w:r w:rsidR="0041272B" w:rsidRPr="0032590D">
        <w:t> </w:t>
      </w:r>
      <w:r w:rsidR="00212B6B" w:rsidRPr="0032590D">
        <w:t xml:space="preserve">remedies available </w:t>
      </w:r>
      <w:r w:rsidR="0041272B" w:rsidRPr="0032590D">
        <w:t xml:space="preserve">could </w:t>
      </w:r>
      <w:r w:rsidRPr="0032590D">
        <w:t xml:space="preserve">include </w:t>
      </w:r>
      <w:r w:rsidR="00E00FA2" w:rsidRPr="0032590D">
        <w:t xml:space="preserve">declarations, injunctions, </w:t>
      </w:r>
      <w:r w:rsidR="00212B6B" w:rsidRPr="0032590D">
        <w:t xml:space="preserve">civil </w:t>
      </w:r>
      <w:r w:rsidRPr="0032590D">
        <w:t xml:space="preserve">penalties, and </w:t>
      </w:r>
      <w:r w:rsidR="00E00FA2" w:rsidRPr="0032590D">
        <w:t xml:space="preserve">orders to take </w:t>
      </w:r>
      <w:r w:rsidRPr="0032590D">
        <w:t>remedial action to address non-compliance and prevent future breaches.</w:t>
      </w:r>
    </w:p>
    <w:p w14:paraId="65216063" w14:textId="1B948754" w:rsidR="000C61A0" w:rsidRPr="0032590D" w:rsidRDefault="000C61A0" w:rsidP="000874B4">
      <w:pPr>
        <w:rPr>
          <w:rFonts w:cstheme="minorHAnsi"/>
        </w:rPr>
      </w:pPr>
      <w:r w:rsidRPr="0032590D">
        <w:rPr>
          <w:rFonts w:cstheme="minorHAnsi"/>
        </w:rPr>
        <w:t xml:space="preserve">It is important to acknowledge that </w:t>
      </w:r>
      <w:r w:rsidR="00A461D3" w:rsidRPr="0032590D">
        <w:rPr>
          <w:rFonts w:cstheme="minorHAnsi"/>
        </w:rPr>
        <w:t xml:space="preserve">a </w:t>
      </w:r>
      <w:r w:rsidRPr="0032590D">
        <w:rPr>
          <w:rFonts w:cstheme="minorHAnsi"/>
        </w:rPr>
        <w:t xml:space="preserve">regulator </w:t>
      </w:r>
      <w:r w:rsidR="00A461D3" w:rsidRPr="0032590D">
        <w:rPr>
          <w:rFonts w:cstheme="minorHAnsi"/>
        </w:rPr>
        <w:t xml:space="preserve">would </w:t>
      </w:r>
      <w:r w:rsidRPr="0032590D">
        <w:rPr>
          <w:rFonts w:cstheme="minorHAnsi"/>
        </w:rPr>
        <w:t>have finite resources and competing priorities. This limitation may impact the extent and speed of enforcement action.</w:t>
      </w:r>
    </w:p>
    <w:p w14:paraId="2D752F21" w14:textId="7D4776DC" w:rsidR="00414944" w:rsidRPr="0032590D" w:rsidRDefault="007A6F6B" w:rsidP="00F55699">
      <w:pPr>
        <w:pStyle w:val="Heading4"/>
      </w:pPr>
      <w:bookmarkStart w:id="66" w:name="_Toc181026659"/>
      <w:r w:rsidRPr="0032590D">
        <w:t>A</w:t>
      </w:r>
      <w:r w:rsidR="00414944" w:rsidRPr="0032590D">
        <w:t>nti-avoidance</w:t>
      </w:r>
      <w:bookmarkEnd w:id="66"/>
      <w:r w:rsidR="00414944" w:rsidRPr="0032590D">
        <w:t xml:space="preserve"> </w:t>
      </w:r>
      <w:r w:rsidR="004D4003" w:rsidRPr="0032590D">
        <w:t>measures</w:t>
      </w:r>
    </w:p>
    <w:p w14:paraId="7C184010" w14:textId="5AAEC1AE" w:rsidR="00AC0D67" w:rsidRPr="0032590D" w:rsidRDefault="00AC0D67" w:rsidP="0041272B">
      <w:r w:rsidRPr="0032590D">
        <w:t xml:space="preserve">Anti-avoidance measures </w:t>
      </w:r>
      <w:r w:rsidR="00EF3457" w:rsidRPr="0032590D">
        <w:t xml:space="preserve">could </w:t>
      </w:r>
      <w:r w:rsidR="00F75661" w:rsidRPr="0032590D">
        <w:t xml:space="preserve">assist in </w:t>
      </w:r>
      <w:r w:rsidRPr="0032590D">
        <w:t>prevent</w:t>
      </w:r>
      <w:r w:rsidR="00F75661" w:rsidRPr="0032590D">
        <w:t>ing</w:t>
      </w:r>
      <w:r w:rsidRPr="0032590D">
        <w:t xml:space="preserve"> businesses from circumventing the cash acceptance mandate. Without these measures, businesses may find </w:t>
      </w:r>
      <w:r w:rsidR="00096298" w:rsidRPr="0032590D">
        <w:t xml:space="preserve">otherwise lawful ways </w:t>
      </w:r>
      <w:r w:rsidRPr="0032590D">
        <w:t>to undermin</w:t>
      </w:r>
      <w:r w:rsidR="00DD1F49" w:rsidRPr="0032590D">
        <w:t>e</w:t>
      </w:r>
      <w:r w:rsidRPr="0032590D">
        <w:t xml:space="preserve"> the effectiveness of the mandate. For example, </w:t>
      </w:r>
      <w:r w:rsidR="00224F91" w:rsidRPr="0032590D">
        <w:t xml:space="preserve">a business may impose a </w:t>
      </w:r>
      <w:r w:rsidRPr="0032590D">
        <w:t>surcharg</w:t>
      </w:r>
      <w:r w:rsidR="00224F91" w:rsidRPr="0032590D">
        <w:t>e</w:t>
      </w:r>
      <w:r w:rsidRPr="0032590D">
        <w:t xml:space="preserve"> for cash payments </w:t>
      </w:r>
      <w:r w:rsidR="00224F91" w:rsidRPr="0032590D">
        <w:t xml:space="preserve">to </w:t>
      </w:r>
      <w:r w:rsidRPr="0032590D">
        <w:t>discourage consumers from using cash.</w:t>
      </w:r>
    </w:p>
    <w:p w14:paraId="0CBEB0EF" w14:textId="199F5F63" w:rsidR="00AC6D94" w:rsidRPr="0032590D" w:rsidRDefault="007A6F6B" w:rsidP="00F55699">
      <w:pPr>
        <w:pStyle w:val="Heading2"/>
      </w:pPr>
      <w:bookmarkStart w:id="67" w:name="_Toc181278105"/>
      <w:bookmarkStart w:id="68" w:name="_Toc183137395"/>
      <w:r w:rsidRPr="0032590D">
        <w:t xml:space="preserve">Maintaining </w:t>
      </w:r>
      <w:r w:rsidR="008E1CD6" w:rsidRPr="0032590D">
        <w:t>cash distribution and access</w:t>
      </w:r>
      <w:bookmarkEnd w:id="67"/>
      <w:bookmarkEnd w:id="68"/>
    </w:p>
    <w:p w14:paraId="531BA6D7" w14:textId="20D7CF2C" w:rsidR="00EA34B7" w:rsidRPr="0032590D" w:rsidRDefault="00EA34B7" w:rsidP="00EA34B7">
      <w:pPr>
        <w:rPr>
          <w:rFonts w:cs="Calibri Light"/>
        </w:rPr>
      </w:pPr>
      <w:r w:rsidRPr="0032590D">
        <w:rPr>
          <w:rFonts w:cs="Calibri Light"/>
        </w:rPr>
        <w:t xml:space="preserve">The </w:t>
      </w:r>
      <w:r w:rsidR="00060F91" w:rsidRPr="0032590D">
        <w:rPr>
          <w:rFonts w:cs="Calibri Light"/>
        </w:rPr>
        <w:t xml:space="preserve">effectiveness of a cash acceptance mandate will depend on </w:t>
      </w:r>
      <w:r w:rsidR="00724D06" w:rsidRPr="0032590D">
        <w:rPr>
          <w:rFonts w:cs="Calibri Light"/>
        </w:rPr>
        <w:t xml:space="preserve">maintaining cost-effective cash distribution and </w:t>
      </w:r>
      <w:r w:rsidR="00DA2C3A" w:rsidRPr="0032590D">
        <w:rPr>
          <w:rFonts w:cs="Calibri Light"/>
        </w:rPr>
        <w:t>access to cash, for consumers and businesses.</w:t>
      </w:r>
    </w:p>
    <w:p w14:paraId="1D1BF1A0" w14:textId="6DD09AEC" w:rsidR="00AC6D94" w:rsidRPr="0032590D" w:rsidRDefault="00A362D0" w:rsidP="00B85CF5">
      <w:pPr>
        <w:rPr>
          <w:rFonts w:cs="Calibri Light"/>
        </w:rPr>
      </w:pPr>
      <w:r w:rsidRPr="0032590D">
        <w:rPr>
          <w:rFonts w:cs="Calibri Light"/>
        </w:rPr>
        <w:t xml:space="preserve">The </w:t>
      </w:r>
      <w:r w:rsidR="00AC6D94" w:rsidRPr="0032590D">
        <w:rPr>
          <w:rFonts w:cs="Calibri Light"/>
        </w:rPr>
        <w:t xml:space="preserve">decline </w:t>
      </w:r>
      <w:r w:rsidRPr="0032590D">
        <w:rPr>
          <w:rFonts w:cs="Calibri Light"/>
        </w:rPr>
        <w:t xml:space="preserve">in </w:t>
      </w:r>
      <w:r w:rsidR="00AC6D94" w:rsidRPr="0032590D">
        <w:rPr>
          <w:rFonts w:cs="Calibri Light"/>
        </w:rPr>
        <w:t>the use of cash poses difficulties for businesses that distribute cash. In June 2023</w:t>
      </w:r>
      <w:r w:rsidRPr="0032590D">
        <w:rPr>
          <w:rFonts w:cs="Calibri Light"/>
        </w:rPr>
        <w:t>,</w:t>
      </w:r>
      <w:r w:rsidR="00AC6D94" w:rsidRPr="0032590D">
        <w:rPr>
          <w:rFonts w:cs="Calibri Light"/>
        </w:rPr>
        <w:t xml:space="preserve"> the Australian Consumer and Competition Commission (ACCC) </w:t>
      </w:r>
      <w:r w:rsidR="00050EE7" w:rsidRPr="0032590D">
        <w:rPr>
          <w:rFonts w:cs="Calibri Light"/>
        </w:rPr>
        <w:t xml:space="preserve">authorised </w:t>
      </w:r>
      <w:r w:rsidR="00AC6D94" w:rsidRPr="0032590D">
        <w:rPr>
          <w:rFonts w:cs="Calibri Light"/>
        </w:rPr>
        <w:t xml:space="preserve">the </w:t>
      </w:r>
      <w:r w:rsidR="002038A3" w:rsidRPr="0032590D">
        <w:rPr>
          <w:rFonts w:cs="Calibri Light"/>
        </w:rPr>
        <w:t xml:space="preserve">merger of the </w:t>
      </w:r>
      <w:r w:rsidR="00AC6D94" w:rsidRPr="0032590D">
        <w:rPr>
          <w:rFonts w:cs="Calibri Light"/>
        </w:rPr>
        <w:t>two largest businesses in the cash in transit system.</w:t>
      </w:r>
      <w:r w:rsidR="00AC6D94" w:rsidRPr="0032590D">
        <w:rPr>
          <w:rStyle w:val="FootnoteReference"/>
          <w:rFonts w:cs="Calibri Light"/>
        </w:rPr>
        <w:t xml:space="preserve"> </w:t>
      </w:r>
      <w:r w:rsidR="00AC6D94" w:rsidRPr="0032590D">
        <w:rPr>
          <w:rStyle w:val="FootnoteReference"/>
          <w:rFonts w:cs="Calibri Light"/>
        </w:rPr>
        <w:footnoteReference w:id="44"/>
      </w:r>
      <w:r w:rsidR="00AC6D94" w:rsidRPr="0032590D">
        <w:rPr>
          <w:rFonts w:cs="Calibri Light"/>
        </w:rPr>
        <w:t xml:space="preserve"> As part of the ACCC’s authorisation for the Armaguard</w:t>
      </w:r>
      <w:r w:rsidR="005F3A68" w:rsidRPr="0032590D">
        <w:rPr>
          <w:rFonts w:cs="Calibri Light"/>
        </w:rPr>
        <w:noBreakHyphen/>
      </w:r>
      <w:r w:rsidR="00AC6D94" w:rsidRPr="0032590D">
        <w:rPr>
          <w:rFonts w:cs="Calibri Light"/>
        </w:rPr>
        <w:t>Prosegur merger, the ACCC made the following comment:</w:t>
      </w:r>
      <w:r w:rsidR="00AD036B" w:rsidRPr="0032590D">
        <w:rPr>
          <w:rStyle w:val="FootnoteReference"/>
          <w:rFonts w:cs="Calibri Light"/>
          <w:iCs/>
        </w:rPr>
        <w:t xml:space="preserve"> </w:t>
      </w:r>
      <w:r w:rsidR="00AD036B" w:rsidRPr="0032590D">
        <w:rPr>
          <w:rStyle w:val="FootnoteReference"/>
          <w:rFonts w:cs="Calibri Light"/>
          <w:iCs/>
        </w:rPr>
        <w:footnoteReference w:id="45"/>
      </w:r>
    </w:p>
    <w:p w14:paraId="54115AAC" w14:textId="494BCFAB" w:rsidR="00AC6D94" w:rsidRPr="0032590D" w:rsidRDefault="00AC6D94" w:rsidP="00AD036B">
      <w:pPr>
        <w:ind w:left="720"/>
        <w:rPr>
          <w:rFonts w:cs="Calibri Light"/>
          <w:iCs/>
        </w:rPr>
      </w:pPr>
      <w:r w:rsidRPr="0032590D">
        <w:rPr>
          <w:rFonts w:cs="Calibri Light"/>
          <w:iCs/>
        </w:rPr>
        <w:t>The ACCC’s review found that the cash-in-transit industry is in structural decline due to the decreasing use of cash as a payment method across the Australian economy. However, despite this decline, cash continues to be crucial to some parts of the economy.</w:t>
      </w:r>
    </w:p>
    <w:p w14:paraId="38D05745" w14:textId="2016D56C" w:rsidR="00AC6D94" w:rsidRPr="0032590D" w:rsidRDefault="00A677C3" w:rsidP="00B85CF5">
      <w:pPr>
        <w:rPr>
          <w:rFonts w:cs="Calibri Light"/>
        </w:rPr>
      </w:pPr>
      <w:r w:rsidRPr="0032590D">
        <w:rPr>
          <w:rFonts w:cs="Calibri Light"/>
        </w:rPr>
        <w:t>Wi</w:t>
      </w:r>
      <w:r w:rsidR="00AC6D94" w:rsidRPr="0032590D">
        <w:rPr>
          <w:rFonts w:cs="Calibri Light"/>
        </w:rPr>
        <w:t xml:space="preserve">thout a merger taking place </w:t>
      </w:r>
      <w:r w:rsidRPr="0032590D">
        <w:rPr>
          <w:rFonts w:cs="Calibri Light"/>
        </w:rPr>
        <w:t>the ACC</w:t>
      </w:r>
      <w:r w:rsidR="00E83F34" w:rsidRPr="0032590D">
        <w:rPr>
          <w:rFonts w:cs="Calibri Light"/>
        </w:rPr>
        <w:t>C</w:t>
      </w:r>
      <w:r w:rsidRPr="0032590D">
        <w:rPr>
          <w:rFonts w:cs="Calibri Light"/>
        </w:rPr>
        <w:t xml:space="preserve"> found </w:t>
      </w:r>
      <w:r w:rsidR="00AC6D94" w:rsidRPr="0032590D">
        <w:rPr>
          <w:rFonts w:cs="Calibri Light"/>
        </w:rPr>
        <w:t xml:space="preserve">it was likely either Prosegur or Armaguard would </w:t>
      </w:r>
      <w:r w:rsidR="00890948" w:rsidRPr="0032590D">
        <w:rPr>
          <w:rFonts w:cs="Calibri Light"/>
        </w:rPr>
        <w:t xml:space="preserve">in any event </w:t>
      </w:r>
      <w:r w:rsidR="00AC6D94" w:rsidRPr="0032590D">
        <w:rPr>
          <w:rFonts w:cs="Calibri Light"/>
        </w:rPr>
        <w:t>withdraw from the market. Since the merger</w:t>
      </w:r>
      <w:r w:rsidR="00E83F34" w:rsidRPr="0032590D">
        <w:rPr>
          <w:rFonts w:cs="Calibri Light"/>
        </w:rPr>
        <w:t>,</w:t>
      </w:r>
      <w:r w:rsidR="00AC6D94" w:rsidRPr="0032590D">
        <w:rPr>
          <w:rFonts w:cs="Calibri Light"/>
        </w:rPr>
        <w:t xml:space="preserve"> Armaguard has struggled to stay financially viable. </w:t>
      </w:r>
      <w:r w:rsidR="002C3630" w:rsidRPr="0032590D">
        <w:rPr>
          <w:rFonts w:cs="Calibri Light"/>
        </w:rPr>
        <w:t>In July 2024, t</w:t>
      </w:r>
      <w:r w:rsidR="00AC6D94" w:rsidRPr="0032590D">
        <w:rPr>
          <w:rFonts w:cs="Calibri Light"/>
        </w:rPr>
        <w:t>his led to the ACCC giving interim authorisation for ANZ Bank, Commonwealth Bank</w:t>
      </w:r>
      <w:r w:rsidR="002C3630" w:rsidRPr="0032590D">
        <w:rPr>
          <w:rFonts w:cs="Calibri Light"/>
        </w:rPr>
        <w:t xml:space="preserve"> of Australia</w:t>
      </w:r>
      <w:r w:rsidR="00AC6D94" w:rsidRPr="0032590D">
        <w:rPr>
          <w:rFonts w:cs="Calibri Light"/>
        </w:rPr>
        <w:t>, National Australia Bank, Westpac</w:t>
      </w:r>
      <w:r w:rsidR="002C3630" w:rsidRPr="0032590D">
        <w:rPr>
          <w:rFonts w:cs="Calibri Light"/>
        </w:rPr>
        <w:t xml:space="preserve"> Banking Corporation</w:t>
      </w:r>
      <w:r w:rsidR="00AC6D94" w:rsidRPr="0032590D">
        <w:rPr>
          <w:rFonts w:cs="Calibri Light"/>
        </w:rPr>
        <w:t xml:space="preserve">, Australia Post, Coles, Wesfarmers and Woolworths to provide financial support for Armaguard for up to 12 months to maintain the </w:t>
      </w:r>
      <w:r w:rsidR="009A468F" w:rsidRPr="0032590D">
        <w:rPr>
          <w:rFonts w:cs="Calibri Light"/>
        </w:rPr>
        <w:t xml:space="preserve">distribution </w:t>
      </w:r>
      <w:r w:rsidR="00AC6D94" w:rsidRPr="0032590D">
        <w:rPr>
          <w:rFonts w:cs="Calibri Light"/>
        </w:rPr>
        <w:t>of cash in the economy.</w:t>
      </w:r>
      <w:r w:rsidR="00AC6D94" w:rsidRPr="0032590D">
        <w:rPr>
          <w:rStyle w:val="FootnoteReference"/>
          <w:rFonts w:cs="Calibri Light"/>
        </w:rPr>
        <w:footnoteReference w:id="46"/>
      </w:r>
      <w:r w:rsidR="00AC6D94" w:rsidRPr="0032590D">
        <w:rPr>
          <w:rFonts w:cs="Calibri Light"/>
        </w:rPr>
        <w:t xml:space="preserve"> A cash mandate will need to consider the current headwinds to cash supply in the Australian economy and how a cash mandate may impact the challenges the sector faces. </w:t>
      </w:r>
    </w:p>
    <w:p w14:paraId="78870E70" w14:textId="740FF305" w:rsidR="00FD4059" w:rsidRPr="0032590D" w:rsidRDefault="00FD4059" w:rsidP="00FD4059">
      <w:pPr>
        <w:rPr>
          <w:rFonts w:asciiTheme="minorHAnsi" w:hAnsiTheme="minorHAnsi" w:cstheme="minorHAnsi"/>
        </w:rPr>
      </w:pPr>
      <w:bookmarkStart w:id="69" w:name="_Toc181026660"/>
      <w:bookmarkStart w:id="70" w:name="_Toc181278106"/>
      <w:bookmarkStart w:id="71" w:name="_Hlk181110829"/>
      <w:r w:rsidRPr="0032590D">
        <w:rPr>
          <w:rFonts w:cs="Calibri Light"/>
        </w:rPr>
        <w:t>The effectiveness of a cash acceptance mandate will also be dependent on the ability of businesses to withdraw cash for a float and to deposit takings</w:t>
      </w:r>
      <w:r w:rsidR="00A600AA" w:rsidRPr="0032590D">
        <w:rPr>
          <w:rFonts w:cs="Calibri Light"/>
        </w:rPr>
        <w:t xml:space="preserve">, </w:t>
      </w:r>
      <w:r w:rsidR="00053C59" w:rsidRPr="0032590D">
        <w:rPr>
          <w:rFonts w:cs="Calibri Light"/>
        </w:rPr>
        <w:t>and the ability of</w:t>
      </w:r>
      <w:r w:rsidR="00A600AA" w:rsidRPr="0032590D">
        <w:rPr>
          <w:rFonts w:cs="Calibri Light"/>
        </w:rPr>
        <w:t xml:space="preserve"> consumers to </w:t>
      </w:r>
      <w:r w:rsidR="006462E1" w:rsidRPr="0032590D">
        <w:rPr>
          <w:rFonts w:cs="Calibri Light"/>
        </w:rPr>
        <w:t xml:space="preserve">withdraw cash </w:t>
      </w:r>
      <w:r w:rsidR="0037368C" w:rsidRPr="0032590D">
        <w:rPr>
          <w:rFonts w:cs="Calibri Light"/>
        </w:rPr>
        <w:t>from an ATM</w:t>
      </w:r>
      <w:r w:rsidR="004D19FD" w:rsidRPr="0032590D">
        <w:rPr>
          <w:rFonts w:cs="Calibri Light"/>
        </w:rPr>
        <w:t xml:space="preserve"> or a branch or Bank@Post outlet</w:t>
      </w:r>
      <w:r w:rsidRPr="0032590D">
        <w:rPr>
          <w:rFonts w:cs="Calibri Light"/>
        </w:rPr>
        <w:t xml:space="preserve">. </w:t>
      </w:r>
    </w:p>
    <w:p w14:paraId="695F581F" w14:textId="77777777" w:rsidR="00315F88" w:rsidRPr="0032590D" w:rsidRDefault="00315F88" w:rsidP="00315F88">
      <w:pPr>
        <w:pStyle w:val="Heading2"/>
      </w:pPr>
      <w:bookmarkStart w:id="72" w:name="_Toc183137396"/>
      <w:bookmarkEnd w:id="69"/>
      <w:bookmarkEnd w:id="70"/>
      <w:r w:rsidRPr="0032590D">
        <w:t>Providing for ongoing monitoring of scope and application</w:t>
      </w:r>
      <w:bookmarkEnd w:id="72"/>
    </w:p>
    <w:bookmarkEnd w:id="71"/>
    <w:p w14:paraId="1905E654" w14:textId="3997B4A6" w:rsidR="00157E6A" w:rsidRPr="0032590D" w:rsidRDefault="00157E6A" w:rsidP="0069320B">
      <w:pPr>
        <w:rPr>
          <w:rFonts w:cs="Calibri Light"/>
        </w:rPr>
      </w:pPr>
      <w:r w:rsidRPr="0032590D">
        <w:rPr>
          <w:rFonts w:cs="Calibri Light"/>
        </w:rPr>
        <w:t>Once implemented</w:t>
      </w:r>
      <w:r w:rsidR="000B1853" w:rsidRPr="0032590D">
        <w:rPr>
          <w:rFonts w:cs="Calibri Light"/>
        </w:rPr>
        <w:t>,</w:t>
      </w:r>
      <w:r w:rsidRPr="0032590D">
        <w:rPr>
          <w:rFonts w:cs="Calibri Light"/>
        </w:rPr>
        <w:t xml:space="preserve"> the cash acceptance mandate must remain relevant and effective over time. This w</w:t>
      </w:r>
      <w:r w:rsidR="007B68E6" w:rsidRPr="0032590D">
        <w:rPr>
          <w:rFonts w:cs="Calibri Light"/>
        </w:rPr>
        <w:t>ould</w:t>
      </w:r>
      <w:r w:rsidR="00315F88" w:rsidRPr="0032590D">
        <w:rPr>
          <w:rFonts w:cs="Calibri Light"/>
        </w:rPr>
        <w:t xml:space="preserve"> </w:t>
      </w:r>
      <w:r w:rsidRPr="0032590D">
        <w:rPr>
          <w:rFonts w:cs="Calibri Light"/>
        </w:rPr>
        <w:t>require monitor</w:t>
      </w:r>
      <w:r w:rsidR="0084125A" w:rsidRPr="0032590D">
        <w:rPr>
          <w:rFonts w:cs="Calibri Light"/>
        </w:rPr>
        <w:t>ing</w:t>
      </w:r>
      <w:r w:rsidR="00C21A41" w:rsidRPr="0032590D">
        <w:rPr>
          <w:rFonts w:cs="Calibri Light"/>
        </w:rPr>
        <w:t xml:space="preserve"> and assessing a range of quantitative and quali</w:t>
      </w:r>
      <w:r w:rsidR="008E51AC" w:rsidRPr="0032590D">
        <w:rPr>
          <w:rFonts w:cs="Calibri Light"/>
        </w:rPr>
        <w:t>tative information.</w:t>
      </w:r>
      <w:r w:rsidR="008E51AC" w:rsidRPr="0032590D">
        <w:rPr>
          <w:rStyle w:val="FootnoteReference"/>
          <w:rFonts w:cs="Calibri Light"/>
        </w:rPr>
        <w:footnoteReference w:id="47"/>
      </w:r>
      <w:r w:rsidRPr="0032590D">
        <w:rPr>
          <w:rFonts w:cs="Calibri Light"/>
        </w:rPr>
        <w:t xml:space="preserve"> </w:t>
      </w:r>
    </w:p>
    <w:p w14:paraId="6EBC447C" w14:textId="77777777" w:rsidR="00196C48" w:rsidRPr="0032590D" w:rsidRDefault="00196C48" w:rsidP="00196C48">
      <w:r w:rsidRPr="0032590D">
        <w:t>Relevant information may include, for example:</w:t>
      </w:r>
    </w:p>
    <w:p w14:paraId="479C39AA" w14:textId="2DCCD22A" w:rsidR="00196C48" w:rsidRPr="0032590D" w:rsidRDefault="00196C48" w:rsidP="0047477C">
      <w:pPr>
        <w:pStyle w:val="Bullet"/>
      </w:pPr>
      <w:r w:rsidRPr="0032590D">
        <w:t xml:space="preserve">cash acceptance by businesses across geographic </w:t>
      </w:r>
      <w:r w:rsidR="00E84F3D" w:rsidRPr="0032590D">
        <w:t>location</w:t>
      </w:r>
      <w:r w:rsidRPr="0032590D">
        <w:t xml:space="preserve"> and type of goods and services offered </w:t>
      </w:r>
    </w:p>
    <w:p w14:paraId="4F5D08E5" w14:textId="1962390C" w:rsidR="00196C48" w:rsidRPr="0032590D" w:rsidRDefault="00196C48" w:rsidP="0047477C">
      <w:pPr>
        <w:pStyle w:val="Bullet"/>
      </w:pPr>
      <w:r w:rsidRPr="0032590D">
        <w:t xml:space="preserve">the costs and challenges faced by businesses to accept cash (including security incidents, and ability to obtain </w:t>
      </w:r>
      <w:r w:rsidR="00DB79B1" w:rsidRPr="0032590D">
        <w:t>cash floats</w:t>
      </w:r>
      <w:r w:rsidRPr="0032590D">
        <w:t xml:space="preserve"> and deposit cash takings) </w:t>
      </w:r>
    </w:p>
    <w:p w14:paraId="3F2B26BD" w14:textId="6DD16897" w:rsidR="00196C48" w:rsidRPr="0032590D" w:rsidRDefault="00196C48" w:rsidP="0047477C">
      <w:pPr>
        <w:pStyle w:val="Bullet"/>
      </w:pPr>
      <w:r w:rsidRPr="0032590D">
        <w:t xml:space="preserve">consumers’ perceptions of cash acceptance across diverse demographic groups. </w:t>
      </w:r>
    </w:p>
    <w:p w14:paraId="61022F66" w14:textId="7CFDD2AE" w:rsidR="00196C48" w:rsidRPr="0032590D" w:rsidRDefault="00196C48" w:rsidP="00196C48">
      <w:r w:rsidRPr="0032590D">
        <w:t>To the extent that there are information gaps, new surveys or other data collections may be required. The development of relevant metrics would consider the need for statistically significant sample sizes while balancing the cost of additional data collection for Government</w:t>
      </w:r>
      <w:r w:rsidR="0047477C" w:rsidRPr="0032590D">
        <w:t>,</w:t>
      </w:r>
      <w:r w:rsidRPr="0032590D">
        <w:t xml:space="preserve"> industry</w:t>
      </w:r>
      <w:r w:rsidR="0047477C" w:rsidRPr="0032590D">
        <w:t>, and consumers</w:t>
      </w:r>
      <w:r w:rsidRPr="0032590D">
        <w:t xml:space="preserve">. </w:t>
      </w:r>
    </w:p>
    <w:tbl>
      <w:tblPr>
        <w:tblStyle w:val="TableGrid"/>
        <w:tblW w:w="0" w:type="auto"/>
        <w:tblLook w:val="04A0" w:firstRow="1" w:lastRow="0" w:firstColumn="1" w:lastColumn="0" w:noHBand="0" w:noVBand="1"/>
      </w:tblPr>
      <w:tblGrid>
        <w:gridCol w:w="9070"/>
      </w:tblGrid>
      <w:tr w:rsidR="007868E2" w:rsidRPr="0032590D" w14:paraId="5F372DC5" w14:textId="77777777" w:rsidTr="013654BC">
        <w:trPr>
          <w:cnfStyle w:val="100000000000" w:firstRow="1" w:lastRow="0" w:firstColumn="0" w:lastColumn="0" w:oddVBand="0" w:evenVBand="0" w:oddHBand="0" w:evenHBand="0" w:firstRowFirstColumn="0" w:firstRowLastColumn="0" w:lastRowFirstColumn="0" w:lastRowLastColumn="0"/>
        </w:trPr>
        <w:tc>
          <w:tcPr>
            <w:tcW w:w="9070" w:type="dxa"/>
            <w:shd w:val="clear" w:color="auto" w:fill="E8F0FC" w:themeFill="accent5" w:themeFillTint="33"/>
          </w:tcPr>
          <w:p w14:paraId="2669C30E" w14:textId="77777777" w:rsidR="000C2CA9" w:rsidRPr="0032590D" w:rsidRDefault="000C2CA9" w:rsidP="000C2CA9">
            <w:pPr>
              <w:spacing w:before="96" w:after="96"/>
              <w:rPr>
                <w:rFonts w:asciiTheme="minorHAnsi" w:hAnsiTheme="minorHAnsi" w:cstheme="minorHAnsi"/>
                <w:sz w:val="36"/>
                <w:szCs w:val="36"/>
              </w:rPr>
            </w:pPr>
            <w:r w:rsidRPr="0032590D">
              <w:rPr>
                <w:rFonts w:asciiTheme="minorHAnsi" w:hAnsiTheme="minorHAnsi" w:cstheme="minorHAnsi"/>
                <w:sz w:val="36"/>
                <w:szCs w:val="36"/>
              </w:rPr>
              <w:t xml:space="preserve">Consultation Questions </w:t>
            </w:r>
          </w:p>
          <w:p w14:paraId="47076956" w14:textId="772D4BB8" w:rsidR="000C3F4B" w:rsidRPr="0032590D" w:rsidRDefault="003F6E2F" w:rsidP="000C3F4B">
            <w:pPr>
              <w:pStyle w:val="ListParagraph"/>
              <w:keepNext/>
              <w:numPr>
                <w:ilvl w:val="0"/>
                <w:numId w:val="36"/>
              </w:numPr>
              <w:spacing w:beforeLines="0" w:before="0" w:afterLines="0" w:line="259" w:lineRule="auto"/>
              <w:contextualSpacing w:val="0"/>
              <w:rPr>
                <w:rFonts w:asciiTheme="minorHAnsi" w:hAnsiTheme="minorHAnsi" w:cstheme="minorHAnsi"/>
                <w:b w:val="0"/>
                <w:bCs/>
                <w:sz w:val="22"/>
                <w:szCs w:val="22"/>
              </w:rPr>
            </w:pPr>
            <w:r w:rsidRPr="0032590D">
              <w:rPr>
                <w:rFonts w:asciiTheme="minorHAnsi" w:hAnsiTheme="minorHAnsi" w:cstheme="minorHAnsi"/>
                <w:b w:val="0"/>
                <w:bCs/>
                <w:sz w:val="22"/>
                <w:szCs w:val="22"/>
              </w:rPr>
              <w:t xml:space="preserve">What </w:t>
            </w:r>
            <w:r w:rsidR="00AB6832" w:rsidRPr="0032590D">
              <w:rPr>
                <w:rFonts w:asciiTheme="minorHAnsi" w:hAnsiTheme="minorHAnsi" w:cstheme="minorHAnsi"/>
                <w:b w:val="0"/>
                <w:bCs/>
                <w:sz w:val="22"/>
                <w:szCs w:val="22"/>
              </w:rPr>
              <w:t xml:space="preserve">is the most effective way </w:t>
            </w:r>
            <w:r w:rsidR="001E4DFC" w:rsidRPr="0032590D">
              <w:rPr>
                <w:rFonts w:asciiTheme="minorHAnsi" w:hAnsiTheme="minorHAnsi" w:cstheme="minorHAnsi"/>
                <w:b w:val="0"/>
                <w:bCs/>
                <w:sz w:val="22"/>
                <w:szCs w:val="22"/>
              </w:rPr>
              <w:t xml:space="preserve">to educate businesses </w:t>
            </w:r>
            <w:r w:rsidR="00F941BB" w:rsidRPr="0032590D">
              <w:rPr>
                <w:rFonts w:asciiTheme="minorHAnsi" w:hAnsiTheme="minorHAnsi" w:cstheme="minorHAnsi"/>
                <w:b w:val="0"/>
                <w:bCs/>
                <w:sz w:val="22"/>
                <w:szCs w:val="22"/>
              </w:rPr>
              <w:t>and consumers about the mandate?</w:t>
            </w:r>
          </w:p>
          <w:p w14:paraId="12409ED3" w14:textId="76232956" w:rsidR="00E226EB" w:rsidRPr="0032590D" w:rsidRDefault="00E226EB" w:rsidP="000C3F4B">
            <w:pPr>
              <w:pStyle w:val="ListParagraph"/>
              <w:keepNext/>
              <w:numPr>
                <w:ilvl w:val="0"/>
                <w:numId w:val="36"/>
              </w:numPr>
              <w:spacing w:beforeLines="0" w:before="0" w:afterLines="0" w:line="259" w:lineRule="auto"/>
              <w:contextualSpacing w:val="0"/>
              <w:rPr>
                <w:rFonts w:asciiTheme="minorHAnsi" w:hAnsiTheme="minorHAnsi" w:cstheme="minorHAnsi"/>
                <w:b w:val="0"/>
                <w:bCs/>
                <w:sz w:val="22"/>
                <w:szCs w:val="22"/>
              </w:rPr>
            </w:pPr>
            <w:r w:rsidRPr="0032590D">
              <w:rPr>
                <w:rFonts w:asciiTheme="minorHAnsi" w:hAnsiTheme="minorHAnsi" w:cstheme="minorHAnsi"/>
                <w:b w:val="0"/>
                <w:bCs/>
                <w:sz w:val="22"/>
                <w:szCs w:val="22"/>
              </w:rPr>
              <w:t xml:space="preserve">What measures can </w:t>
            </w:r>
            <w:r w:rsidR="00C403B2" w:rsidRPr="0032590D">
              <w:rPr>
                <w:rFonts w:asciiTheme="minorHAnsi" w:hAnsiTheme="minorHAnsi" w:cstheme="minorHAnsi"/>
                <w:b w:val="0"/>
                <w:bCs/>
                <w:sz w:val="22"/>
                <w:szCs w:val="22"/>
              </w:rPr>
              <w:t xml:space="preserve">help to ensure consumers have a consistent experience </w:t>
            </w:r>
            <w:r w:rsidR="00E7660A" w:rsidRPr="0032590D">
              <w:rPr>
                <w:rFonts w:asciiTheme="minorHAnsi" w:hAnsiTheme="minorHAnsi" w:cstheme="minorHAnsi"/>
                <w:b w:val="0"/>
                <w:bCs/>
                <w:sz w:val="22"/>
                <w:szCs w:val="22"/>
              </w:rPr>
              <w:t>on where and when the mandate applies?</w:t>
            </w:r>
          </w:p>
          <w:p w14:paraId="65CB8439" w14:textId="4F9B4205" w:rsidR="006C5100" w:rsidRPr="0032590D" w:rsidRDefault="003F6E2F" w:rsidP="000C3F4B">
            <w:pPr>
              <w:pStyle w:val="ListParagraph"/>
              <w:keepNext/>
              <w:numPr>
                <w:ilvl w:val="0"/>
                <w:numId w:val="36"/>
              </w:numPr>
              <w:spacing w:beforeLines="0" w:before="0" w:afterLines="0" w:line="259" w:lineRule="auto"/>
              <w:contextualSpacing w:val="0"/>
              <w:rPr>
                <w:rFonts w:asciiTheme="minorHAnsi" w:hAnsiTheme="minorHAnsi" w:cstheme="minorHAnsi"/>
                <w:b w:val="0"/>
                <w:bCs/>
                <w:sz w:val="22"/>
                <w:szCs w:val="22"/>
              </w:rPr>
            </w:pPr>
            <w:r w:rsidRPr="0032590D">
              <w:rPr>
                <w:rFonts w:asciiTheme="minorHAnsi" w:hAnsiTheme="minorHAnsi" w:cstheme="minorHAnsi"/>
                <w:b w:val="0"/>
                <w:bCs/>
                <w:sz w:val="22"/>
                <w:szCs w:val="22"/>
              </w:rPr>
              <w:t>How should the mandate be enforced?</w:t>
            </w:r>
          </w:p>
          <w:p w14:paraId="25313B91" w14:textId="7EB3C6EB" w:rsidR="00AF0AF4" w:rsidRPr="0032590D" w:rsidRDefault="00C31695" w:rsidP="000C3F4B">
            <w:pPr>
              <w:pStyle w:val="ListParagraph"/>
              <w:keepNext/>
              <w:numPr>
                <w:ilvl w:val="0"/>
                <w:numId w:val="36"/>
              </w:numPr>
              <w:spacing w:beforeLines="0" w:before="0" w:afterLines="0" w:line="259" w:lineRule="auto"/>
              <w:contextualSpacing w:val="0"/>
              <w:rPr>
                <w:rFonts w:asciiTheme="minorHAnsi" w:hAnsiTheme="minorHAnsi" w:cstheme="minorHAnsi"/>
                <w:b w:val="0"/>
                <w:bCs/>
                <w:sz w:val="22"/>
                <w:szCs w:val="22"/>
              </w:rPr>
            </w:pPr>
            <w:r w:rsidRPr="0032590D">
              <w:rPr>
                <w:rFonts w:asciiTheme="minorHAnsi" w:hAnsiTheme="minorHAnsi" w:cstheme="minorHAnsi"/>
                <w:b w:val="0"/>
                <w:bCs/>
                <w:sz w:val="22"/>
                <w:szCs w:val="22"/>
              </w:rPr>
              <w:t xml:space="preserve">Are </w:t>
            </w:r>
            <w:r w:rsidR="00147874" w:rsidRPr="0032590D">
              <w:rPr>
                <w:rFonts w:asciiTheme="minorHAnsi" w:hAnsiTheme="minorHAnsi" w:cstheme="minorHAnsi"/>
                <w:b w:val="0"/>
                <w:bCs/>
                <w:sz w:val="22"/>
                <w:szCs w:val="22"/>
              </w:rPr>
              <w:t xml:space="preserve">supporting measures </w:t>
            </w:r>
            <w:r w:rsidR="00055F9C" w:rsidRPr="0032590D">
              <w:rPr>
                <w:rFonts w:asciiTheme="minorHAnsi" w:hAnsiTheme="minorHAnsi" w:cstheme="minorHAnsi"/>
                <w:b w:val="0"/>
                <w:bCs/>
                <w:sz w:val="22"/>
                <w:szCs w:val="22"/>
              </w:rPr>
              <w:t xml:space="preserve">required in </w:t>
            </w:r>
            <w:r w:rsidR="00147874" w:rsidRPr="0032590D">
              <w:rPr>
                <w:rFonts w:asciiTheme="minorHAnsi" w:hAnsiTheme="minorHAnsi" w:cstheme="minorHAnsi"/>
                <w:b w:val="0"/>
                <w:bCs/>
                <w:sz w:val="22"/>
                <w:szCs w:val="22"/>
              </w:rPr>
              <w:t>the cash-in-transit sector</w:t>
            </w:r>
            <w:r w:rsidR="00AF0AF4" w:rsidRPr="0032590D">
              <w:rPr>
                <w:rFonts w:asciiTheme="minorHAnsi" w:hAnsiTheme="minorHAnsi" w:cstheme="minorHAnsi"/>
                <w:b w:val="0"/>
                <w:bCs/>
                <w:sz w:val="22"/>
                <w:szCs w:val="22"/>
              </w:rPr>
              <w:t>?</w:t>
            </w:r>
          </w:p>
          <w:p w14:paraId="38CCB041" w14:textId="5E194CE5" w:rsidR="00147874" w:rsidRPr="0032590D" w:rsidRDefault="00C31695" w:rsidP="000C3F4B">
            <w:pPr>
              <w:pStyle w:val="ListParagraph"/>
              <w:keepNext/>
              <w:numPr>
                <w:ilvl w:val="0"/>
                <w:numId w:val="36"/>
              </w:numPr>
              <w:spacing w:beforeLines="0" w:before="0" w:afterLines="0" w:line="259" w:lineRule="auto"/>
              <w:contextualSpacing w:val="0"/>
              <w:rPr>
                <w:rFonts w:asciiTheme="minorHAnsi" w:hAnsiTheme="minorHAnsi" w:cstheme="minorHAnsi"/>
                <w:b w:val="0"/>
                <w:bCs/>
                <w:sz w:val="22"/>
                <w:szCs w:val="22"/>
              </w:rPr>
            </w:pPr>
            <w:r w:rsidRPr="0032590D">
              <w:rPr>
                <w:rFonts w:asciiTheme="minorHAnsi" w:hAnsiTheme="minorHAnsi" w:cstheme="minorHAnsi"/>
                <w:b w:val="0"/>
                <w:bCs/>
                <w:sz w:val="22"/>
                <w:szCs w:val="22"/>
              </w:rPr>
              <w:t xml:space="preserve">Are </w:t>
            </w:r>
            <w:r w:rsidR="00C61801" w:rsidRPr="0032590D">
              <w:rPr>
                <w:rFonts w:asciiTheme="minorHAnsi" w:hAnsiTheme="minorHAnsi" w:cstheme="minorHAnsi"/>
                <w:b w:val="0"/>
                <w:bCs/>
                <w:sz w:val="22"/>
                <w:szCs w:val="22"/>
              </w:rPr>
              <w:t xml:space="preserve">supporting measures required </w:t>
            </w:r>
            <w:r w:rsidR="00D33763" w:rsidRPr="0032590D">
              <w:rPr>
                <w:rFonts w:asciiTheme="minorHAnsi" w:hAnsiTheme="minorHAnsi" w:cstheme="minorHAnsi"/>
                <w:b w:val="0"/>
                <w:bCs/>
                <w:sz w:val="22"/>
                <w:szCs w:val="22"/>
              </w:rPr>
              <w:t xml:space="preserve">to </w:t>
            </w:r>
            <w:r w:rsidR="00147874" w:rsidRPr="0032590D">
              <w:rPr>
                <w:rFonts w:asciiTheme="minorHAnsi" w:hAnsiTheme="minorHAnsi" w:cstheme="minorHAnsi"/>
                <w:b w:val="0"/>
                <w:bCs/>
                <w:sz w:val="22"/>
                <w:szCs w:val="22"/>
              </w:rPr>
              <w:t>maintain access to cash</w:t>
            </w:r>
            <w:r w:rsidR="00001D95" w:rsidRPr="0032590D">
              <w:rPr>
                <w:rFonts w:asciiTheme="minorHAnsi" w:hAnsiTheme="minorHAnsi" w:cstheme="minorHAnsi"/>
                <w:b w:val="0"/>
                <w:bCs/>
                <w:sz w:val="22"/>
                <w:szCs w:val="22"/>
              </w:rPr>
              <w:t xml:space="preserve"> for businesses and consumers</w:t>
            </w:r>
            <w:r w:rsidR="00147874" w:rsidRPr="0032590D">
              <w:rPr>
                <w:rFonts w:asciiTheme="minorHAnsi" w:hAnsiTheme="minorHAnsi" w:cstheme="minorHAnsi"/>
                <w:b w:val="0"/>
                <w:bCs/>
                <w:sz w:val="22"/>
                <w:szCs w:val="22"/>
              </w:rPr>
              <w:t>?</w:t>
            </w:r>
          </w:p>
          <w:p w14:paraId="4CBBE46E" w14:textId="581FF310" w:rsidR="007868E2" w:rsidRPr="0032590D" w:rsidRDefault="00147874" w:rsidP="000C3F4B">
            <w:pPr>
              <w:pStyle w:val="ListParagraph"/>
              <w:numPr>
                <w:ilvl w:val="0"/>
                <w:numId w:val="36"/>
              </w:numPr>
              <w:spacing w:beforeLines="100" w:before="240" w:afterLines="100" w:after="240" w:line="259" w:lineRule="auto"/>
              <w:rPr>
                <w:rFonts w:asciiTheme="minorHAnsi" w:hAnsiTheme="minorHAnsi" w:cstheme="minorBidi"/>
                <w:b w:val="0"/>
                <w:sz w:val="22"/>
                <w:szCs w:val="22"/>
              </w:rPr>
            </w:pPr>
            <w:r w:rsidRPr="0032590D">
              <w:rPr>
                <w:rFonts w:asciiTheme="minorHAnsi" w:hAnsiTheme="minorHAnsi" w:cstheme="minorHAnsi"/>
                <w:b w:val="0"/>
                <w:bCs/>
                <w:sz w:val="22"/>
                <w:szCs w:val="22"/>
              </w:rPr>
              <w:t xml:space="preserve">What metrics or data points </w:t>
            </w:r>
            <w:r w:rsidR="006265D6" w:rsidRPr="0032590D">
              <w:rPr>
                <w:rFonts w:asciiTheme="minorHAnsi" w:hAnsiTheme="minorHAnsi" w:cstheme="minorHAnsi"/>
                <w:b w:val="0"/>
                <w:bCs/>
                <w:sz w:val="22"/>
                <w:szCs w:val="22"/>
              </w:rPr>
              <w:t>are</w:t>
            </w:r>
            <w:r w:rsidRPr="0032590D">
              <w:rPr>
                <w:rFonts w:asciiTheme="minorHAnsi" w:hAnsiTheme="minorHAnsi" w:cstheme="minorHAnsi"/>
                <w:b w:val="0"/>
                <w:bCs/>
                <w:sz w:val="22"/>
                <w:szCs w:val="22"/>
              </w:rPr>
              <w:t xml:space="preserve"> important to help monitor a cash acceptance mandate?</w:t>
            </w:r>
          </w:p>
        </w:tc>
      </w:tr>
    </w:tbl>
    <w:p w14:paraId="4B3D9474" w14:textId="14750E5E" w:rsidR="00F56E23" w:rsidRPr="0032590D" w:rsidRDefault="00F56E23">
      <w:pPr>
        <w:spacing w:before="0" w:after="160" w:line="259" w:lineRule="auto"/>
      </w:pPr>
      <w:bookmarkStart w:id="73" w:name="_Toc181026661"/>
      <w:bookmarkStart w:id="74" w:name="_Toc181278107"/>
      <w:r w:rsidRPr="0032590D">
        <w:br w:type="page"/>
      </w:r>
    </w:p>
    <w:p w14:paraId="04BD051E" w14:textId="79BCF61B" w:rsidR="00D44876" w:rsidRPr="0032590D" w:rsidRDefault="008427BE" w:rsidP="00D44876">
      <w:pPr>
        <w:pStyle w:val="Heading1"/>
      </w:pPr>
      <w:bookmarkStart w:id="75" w:name="_Toc183137397"/>
      <w:r w:rsidRPr="0032590D">
        <w:t xml:space="preserve">Chapter 5: </w:t>
      </w:r>
      <w:r w:rsidR="00901163" w:rsidRPr="0032590D">
        <w:t>I</w:t>
      </w:r>
      <w:r w:rsidRPr="0032590D">
        <w:t>mpact</w:t>
      </w:r>
      <w:r w:rsidR="00FC2C1A" w:rsidRPr="0032590D">
        <w:t>s</w:t>
      </w:r>
      <w:r w:rsidRPr="0032590D">
        <w:t xml:space="preserve"> and implementation</w:t>
      </w:r>
      <w:bookmarkEnd w:id="73"/>
      <w:bookmarkEnd w:id="74"/>
      <w:bookmarkEnd w:id="75"/>
      <w:r w:rsidR="00117D7E" w:rsidRPr="0032590D">
        <w:t xml:space="preserve"> </w:t>
      </w:r>
    </w:p>
    <w:p w14:paraId="23E0CB8D" w14:textId="5D2B15C4" w:rsidR="006A5B94" w:rsidRPr="0032590D" w:rsidRDefault="006A5B94" w:rsidP="006A5B94">
      <w:pPr>
        <w:pStyle w:val="Heading2"/>
      </w:pPr>
      <w:bookmarkStart w:id="76" w:name="_Toc183137398"/>
      <w:r w:rsidRPr="0032590D">
        <w:t>Overview</w:t>
      </w:r>
      <w:bookmarkEnd w:id="76"/>
    </w:p>
    <w:p w14:paraId="0F91A2FF" w14:textId="7838534E" w:rsidR="0098639B" w:rsidRPr="0032590D" w:rsidRDefault="003B5A42" w:rsidP="00874307">
      <w:pPr>
        <w:rPr>
          <w:rFonts w:cs="Calibri Light"/>
        </w:rPr>
      </w:pPr>
      <w:r w:rsidRPr="0032590D">
        <w:rPr>
          <w:rFonts w:cs="Calibri Light"/>
        </w:rPr>
        <w:t>T</w:t>
      </w:r>
      <w:r w:rsidR="004507F3" w:rsidRPr="0032590D">
        <w:rPr>
          <w:rFonts w:cs="Calibri Light"/>
        </w:rPr>
        <w:t>he Australian Government Guide to Regulatory Impact Analysis</w:t>
      </w:r>
      <w:r w:rsidRPr="0032590D">
        <w:rPr>
          <w:rFonts w:cs="Calibri Light"/>
        </w:rPr>
        <w:t xml:space="preserve"> requires </w:t>
      </w:r>
      <w:r w:rsidR="004507F3" w:rsidRPr="0032590D">
        <w:rPr>
          <w:rFonts w:cs="Calibri Light"/>
        </w:rPr>
        <w:t xml:space="preserve">a Policy Impact Analysis be developed as part of this reform. </w:t>
      </w:r>
      <w:r w:rsidR="005729A4" w:rsidRPr="0032590D">
        <w:rPr>
          <w:rFonts w:cs="Calibri Light"/>
        </w:rPr>
        <w:t>V</w:t>
      </w:r>
      <w:r w:rsidR="004507F3" w:rsidRPr="0032590D">
        <w:rPr>
          <w:rFonts w:cs="Calibri Light"/>
        </w:rPr>
        <w:t xml:space="preserve">iews on the costs and benefits of implementing a cash acceptance mandate will be collected through this consultation </w:t>
      </w:r>
      <w:r w:rsidR="00713DD5" w:rsidRPr="0032590D">
        <w:rPr>
          <w:rFonts w:cs="Calibri Light"/>
        </w:rPr>
        <w:t xml:space="preserve">process </w:t>
      </w:r>
      <w:r w:rsidR="004507F3" w:rsidRPr="0032590D">
        <w:rPr>
          <w:rFonts w:cs="Calibri Light"/>
        </w:rPr>
        <w:t xml:space="preserve">to inform </w:t>
      </w:r>
      <w:r w:rsidR="00CC4608" w:rsidRPr="0032590D">
        <w:rPr>
          <w:rFonts w:cs="Calibri Light"/>
        </w:rPr>
        <w:t>this i</w:t>
      </w:r>
      <w:r w:rsidR="004507F3" w:rsidRPr="0032590D">
        <w:rPr>
          <w:rFonts w:cs="Calibri Light"/>
        </w:rPr>
        <w:t xml:space="preserve">mpact </w:t>
      </w:r>
      <w:r w:rsidR="00CC4608" w:rsidRPr="0032590D">
        <w:rPr>
          <w:rFonts w:cs="Calibri Light"/>
        </w:rPr>
        <w:t>a</w:t>
      </w:r>
      <w:r w:rsidR="004507F3" w:rsidRPr="0032590D">
        <w:rPr>
          <w:rFonts w:cs="Calibri Light"/>
        </w:rPr>
        <w:t xml:space="preserve">nalysis. </w:t>
      </w:r>
    </w:p>
    <w:p w14:paraId="1CB395E4" w14:textId="6E386AA4" w:rsidR="008652BE" w:rsidRPr="0032590D" w:rsidRDefault="00561D56" w:rsidP="00FC2C1A">
      <w:pPr>
        <w:pStyle w:val="Heading2"/>
      </w:pPr>
      <w:bookmarkStart w:id="77" w:name="_Toc181278108"/>
      <w:bookmarkStart w:id="78" w:name="_Toc183137399"/>
      <w:r w:rsidRPr="0032590D">
        <w:t>Impact assessment</w:t>
      </w:r>
      <w:bookmarkEnd w:id="77"/>
      <w:bookmarkEnd w:id="78"/>
    </w:p>
    <w:p w14:paraId="31A389F8" w14:textId="3D63F931" w:rsidR="00D62472" w:rsidRPr="0032590D" w:rsidRDefault="00713DD5" w:rsidP="003B0F67">
      <w:pPr>
        <w:spacing w:before="0"/>
        <w:rPr>
          <w:rFonts w:cs="Calibri Light"/>
        </w:rPr>
      </w:pPr>
      <w:r w:rsidRPr="0032590D">
        <w:rPr>
          <w:rFonts w:cs="Calibri Light"/>
        </w:rPr>
        <w:t xml:space="preserve">Views </w:t>
      </w:r>
      <w:r w:rsidR="00CC4608" w:rsidRPr="0032590D">
        <w:rPr>
          <w:rFonts w:cs="Calibri Light"/>
        </w:rPr>
        <w:t xml:space="preserve">are welcomed </w:t>
      </w:r>
      <w:r w:rsidR="00D62472" w:rsidRPr="0032590D">
        <w:rPr>
          <w:rFonts w:cs="Calibri Light"/>
        </w:rPr>
        <w:t xml:space="preserve">in </w:t>
      </w:r>
      <w:r w:rsidR="00CC4608" w:rsidRPr="0032590D">
        <w:rPr>
          <w:rFonts w:cs="Calibri Light"/>
        </w:rPr>
        <w:t>assess</w:t>
      </w:r>
      <w:r w:rsidR="00A65FD8" w:rsidRPr="0032590D">
        <w:rPr>
          <w:rFonts w:cs="Calibri Light"/>
        </w:rPr>
        <w:t>ing</w:t>
      </w:r>
      <w:r w:rsidR="00CC4608" w:rsidRPr="0032590D">
        <w:rPr>
          <w:rFonts w:cs="Calibri Light"/>
        </w:rPr>
        <w:t xml:space="preserve"> </w:t>
      </w:r>
      <w:r w:rsidR="004507F3" w:rsidRPr="0032590D">
        <w:rPr>
          <w:rFonts w:cs="Calibri Light"/>
        </w:rPr>
        <w:t xml:space="preserve">the benefits and </w:t>
      </w:r>
      <w:r w:rsidR="00CC4608" w:rsidRPr="0032590D">
        <w:rPr>
          <w:rFonts w:cs="Calibri Light"/>
        </w:rPr>
        <w:t xml:space="preserve">costs </w:t>
      </w:r>
      <w:r w:rsidR="004507F3" w:rsidRPr="0032590D">
        <w:rPr>
          <w:rFonts w:cs="Calibri Light"/>
        </w:rPr>
        <w:t xml:space="preserve">of cash acceptance for </w:t>
      </w:r>
      <w:r w:rsidR="00D62472" w:rsidRPr="0032590D">
        <w:rPr>
          <w:rFonts w:cs="Calibri Light"/>
        </w:rPr>
        <w:t xml:space="preserve">both </w:t>
      </w:r>
      <w:r w:rsidR="004507F3" w:rsidRPr="0032590D">
        <w:rPr>
          <w:rFonts w:cs="Calibri Light"/>
        </w:rPr>
        <w:t>consumers</w:t>
      </w:r>
      <w:r w:rsidR="00CC4608" w:rsidRPr="0032590D">
        <w:rPr>
          <w:rFonts w:cs="Calibri Light"/>
        </w:rPr>
        <w:t xml:space="preserve"> and businesses. </w:t>
      </w:r>
      <w:r w:rsidR="00D62472" w:rsidRPr="0032590D">
        <w:rPr>
          <w:rFonts w:cs="Calibri Light"/>
        </w:rPr>
        <w:t>The Government is interested in perspectives on several key areas</w:t>
      </w:r>
      <w:r w:rsidR="00B865A6" w:rsidRPr="0032590D">
        <w:rPr>
          <w:rFonts w:cs="Calibri Light"/>
        </w:rPr>
        <w:t>, including</w:t>
      </w:r>
      <w:r w:rsidR="00D62472" w:rsidRPr="0032590D">
        <w:rPr>
          <w:rFonts w:cs="Calibri Light"/>
        </w:rPr>
        <w:t>:</w:t>
      </w:r>
    </w:p>
    <w:p w14:paraId="69F0C82E" w14:textId="0DD66CF2" w:rsidR="00D62472" w:rsidRPr="0032590D" w:rsidRDefault="00D62472" w:rsidP="003B0F67">
      <w:pPr>
        <w:pStyle w:val="Bullet"/>
        <w:spacing w:before="0" w:line="240" w:lineRule="auto"/>
        <w:rPr>
          <w:rFonts w:cs="Calibri Light"/>
        </w:rPr>
      </w:pPr>
      <w:r w:rsidRPr="0032590D">
        <w:rPr>
          <w:rFonts w:cs="Calibri Light"/>
        </w:rPr>
        <w:t xml:space="preserve">The various costs that businesses might incur due to the mandate. This includes both </w:t>
      </w:r>
      <w:r w:rsidR="00B23230" w:rsidRPr="0032590D">
        <w:rPr>
          <w:rFonts w:cs="Calibri Light"/>
        </w:rPr>
        <w:t xml:space="preserve">operating and </w:t>
      </w:r>
      <w:r w:rsidRPr="0032590D">
        <w:rPr>
          <w:rFonts w:cs="Calibri Light"/>
        </w:rPr>
        <w:t xml:space="preserve">capital costs, such as </w:t>
      </w:r>
      <w:r w:rsidR="00A04421" w:rsidRPr="0032590D">
        <w:rPr>
          <w:rFonts w:cs="Calibri Light"/>
        </w:rPr>
        <w:t xml:space="preserve">maintaining </w:t>
      </w:r>
      <w:r w:rsidRPr="0032590D">
        <w:rPr>
          <w:rFonts w:cs="Calibri Light"/>
        </w:rPr>
        <w:t xml:space="preserve">security systems and </w:t>
      </w:r>
      <w:r w:rsidR="002D375B" w:rsidRPr="0032590D">
        <w:rPr>
          <w:rFonts w:cs="Calibri Light"/>
        </w:rPr>
        <w:t xml:space="preserve">continuing to train </w:t>
      </w:r>
      <w:r w:rsidRPr="0032590D">
        <w:rPr>
          <w:rFonts w:cs="Calibri Light"/>
        </w:rPr>
        <w:t>staff on cash handling.</w:t>
      </w:r>
    </w:p>
    <w:p w14:paraId="553C8BCA" w14:textId="4DDDE2DF" w:rsidR="00D62472" w:rsidRPr="0032590D" w:rsidRDefault="00D62472" w:rsidP="003B0F67">
      <w:pPr>
        <w:pStyle w:val="Bullet"/>
        <w:spacing w:before="0" w:after="120" w:line="240" w:lineRule="auto"/>
        <w:ind w:left="522" w:hanging="522"/>
        <w:rPr>
          <w:rFonts w:cs="Calibri Light"/>
        </w:rPr>
      </w:pPr>
      <w:r w:rsidRPr="0032590D">
        <w:rPr>
          <w:rFonts w:cs="Calibri Light"/>
        </w:rPr>
        <w:t xml:space="preserve">The financial impacts on businesses of different sizes and sectors. It is crucial to understand how these costs might vary and the extent to which they could be passed on to consumers. This includes examining the likely materiality of increases </w:t>
      </w:r>
      <w:r w:rsidR="00E2725B" w:rsidRPr="0032590D">
        <w:rPr>
          <w:rFonts w:cs="Calibri Light"/>
        </w:rPr>
        <w:t>in the price of essential goods and services</w:t>
      </w:r>
      <w:r w:rsidR="003A2E7A" w:rsidRPr="0032590D">
        <w:rPr>
          <w:rFonts w:cs="Calibri Light"/>
        </w:rPr>
        <w:t xml:space="preserve"> and </w:t>
      </w:r>
      <w:r w:rsidRPr="0032590D">
        <w:rPr>
          <w:rFonts w:cs="Calibri Light"/>
        </w:rPr>
        <w:t xml:space="preserve">how </w:t>
      </w:r>
      <w:r w:rsidR="003A2E7A" w:rsidRPr="0032590D">
        <w:rPr>
          <w:rFonts w:cs="Calibri Light"/>
        </w:rPr>
        <w:t xml:space="preserve">this </w:t>
      </w:r>
      <w:r w:rsidRPr="0032590D">
        <w:rPr>
          <w:rFonts w:cs="Calibri Light"/>
        </w:rPr>
        <w:t xml:space="preserve">might </w:t>
      </w:r>
      <w:r w:rsidR="003A2E7A" w:rsidRPr="0032590D">
        <w:rPr>
          <w:rFonts w:cs="Calibri Light"/>
        </w:rPr>
        <w:t xml:space="preserve">impact </w:t>
      </w:r>
      <w:r w:rsidRPr="0032590D">
        <w:rPr>
          <w:rFonts w:cs="Calibri Light"/>
        </w:rPr>
        <w:t xml:space="preserve">consumer </w:t>
      </w:r>
      <w:r w:rsidR="00D6525E" w:rsidRPr="0032590D">
        <w:rPr>
          <w:rFonts w:cs="Calibri Light"/>
        </w:rPr>
        <w:t>behaviour</w:t>
      </w:r>
      <w:r w:rsidRPr="0032590D">
        <w:rPr>
          <w:rFonts w:cs="Calibri Light"/>
        </w:rPr>
        <w:t>.</w:t>
      </w:r>
    </w:p>
    <w:p w14:paraId="0ECBA09F" w14:textId="558AA06C" w:rsidR="00D62472" w:rsidRPr="0032590D" w:rsidRDefault="00D62472" w:rsidP="003B0F67">
      <w:pPr>
        <w:pStyle w:val="Bullet"/>
        <w:spacing w:before="0" w:after="120" w:line="240" w:lineRule="auto"/>
        <w:ind w:left="522" w:hanging="522"/>
        <w:rPr>
          <w:rFonts w:cs="Calibri Light"/>
        </w:rPr>
      </w:pPr>
      <w:r w:rsidRPr="0032590D">
        <w:rPr>
          <w:rFonts w:cs="Calibri Light"/>
        </w:rPr>
        <w:t xml:space="preserve">The financial impacts on businesses </w:t>
      </w:r>
      <w:r w:rsidR="000068E7" w:rsidRPr="0032590D">
        <w:rPr>
          <w:rFonts w:cs="Calibri Light"/>
        </w:rPr>
        <w:t xml:space="preserve">in different </w:t>
      </w:r>
      <w:r w:rsidRPr="0032590D">
        <w:rPr>
          <w:rFonts w:cs="Calibri Light"/>
        </w:rPr>
        <w:t xml:space="preserve">location. There are significant differences in cost structures when comparing </w:t>
      </w:r>
      <w:r w:rsidR="008A7D29" w:rsidRPr="0032590D">
        <w:rPr>
          <w:rFonts w:cs="Calibri Light"/>
        </w:rPr>
        <w:t>major cities, region</w:t>
      </w:r>
      <w:r w:rsidR="00DC4F30" w:rsidRPr="0032590D">
        <w:rPr>
          <w:rFonts w:cs="Calibri Light"/>
        </w:rPr>
        <w:t>al</w:t>
      </w:r>
      <w:r w:rsidR="008A7D29" w:rsidRPr="0032590D">
        <w:rPr>
          <w:rFonts w:cs="Calibri Light"/>
        </w:rPr>
        <w:t xml:space="preserve"> and </w:t>
      </w:r>
      <w:r w:rsidRPr="0032590D">
        <w:rPr>
          <w:rFonts w:cs="Calibri Light"/>
        </w:rPr>
        <w:t>remote areas. These variations can influence the overall burden on businesses and their ability to comply with the mandate.</w:t>
      </w:r>
    </w:p>
    <w:p w14:paraId="5E0990CC" w14:textId="0BCB8036" w:rsidR="00B62FCD" w:rsidRPr="0032590D" w:rsidRDefault="001003A2" w:rsidP="003B0F67">
      <w:pPr>
        <w:pStyle w:val="Bullet"/>
        <w:spacing w:before="0" w:line="240" w:lineRule="auto"/>
        <w:ind w:left="522" w:hanging="522"/>
        <w:rPr>
          <w:rFonts w:cs="Calibri Light"/>
        </w:rPr>
      </w:pPr>
      <w:r w:rsidRPr="0032590D">
        <w:rPr>
          <w:rFonts w:cs="Calibri Light"/>
        </w:rPr>
        <w:t>The adequacy of access to cash withdrawal and deposit facilities for consumers.</w:t>
      </w:r>
      <w:r w:rsidR="0076503E" w:rsidRPr="0032590D">
        <w:rPr>
          <w:rFonts w:cs="Calibri Light"/>
        </w:rPr>
        <w:t xml:space="preserve"> For businesses, </w:t>
      </w:r>
      <w:r w:rsidR="000260F0" w:rsidRPr="0032590D">
        <w:rPr>
          <w:rFonts w:cs="Calibri Light"/>
        </w:rPr>
        <w:t xml:space="preserve">the flow on cost impacts </w:t>
      </w:r>
      <w:r w:rsidR="00F74668" w:rsidRPr="0032590D">
        <w:rPr>
          <w:rFonts w:cs="Calibri Light"/>
        </w:rPr>
        <w:t xml:space="preserve">of </w:t>
      </w:r>
      <w:r w:rsidR="008D5706" w:rsidRPr="0032590D">
        <w:rPr>
          <w:rFonts w:cs="Calibri Light"/>
        </w:rPr>
        <w:t>access to cash withdrawal and deposit facilities is also welcome.</w:t>
      </w:r>
    </w:p>
    <w:p w14:paraId="5FBDA815" w14:textId="4679E8F5" w:rsidR="00071138" w:rsidRPr="0032590D" w:rsidRDefault="003C408A" w:rsidP="006A5B94">
      <w:pPr>
        <w:pStyle w:val="Heading2"/>
      </w:pPr>
      <w:bookmarkStart w:id="79" w:name="_Toc183137400"/>
      <w:r w:rsidRPr="0032590D">
        <w:t xml:space="preserve">Implementation </w:t>
      </w:r>
      <w:r w:rsidR="00256F3A" w:rsidRPr="0032590D">
        <w:t>p</w:t>
      </w:r>
      <w:r w:rsidR="000F227A" w:rsidRPr="0032590D">
        <w:t>rocess</w:t>
      </w:r>
      <w:bookmarkEnd w:id="79"/>
    </w:p>
    <w:p w14:paraId="01CE088F" w14:textId="43C2507A" w:rsidR="001D5E7D" w:rsidRPr="0032590D" w:rsidRDefault="0077687D" w:rsidP="003B0F67">
      <w:pPr>
        <w:spacing w:before="0" w:after="160"/>
        <w:rPr>
          <w:rFonts w:cs="Calibri Light"/>
        </w:rPr>
      </w:pPr>
      <w:r w:rsidRPr="0032590D">
        <w:rPr>
          <w:rFonts w:cs="Calibri Light"/>
        </w:rPr>
        <w:t xml:space="preserve">The Government also seeks views on what constitutes an adequate lead time for businesses to comply with the new cash acceptance mandate. </w:t>
      </w:r>
      <w:r w:rsidR="006908A6" w:rsidRPr="0032590D">
        <w:rPr>
          <w:rFonts w:cs="Calibri Light"/>
        </w:rPr>
        <w:t xml:space="preserve">An indicative </w:t>
      </w:r>
      <w:r w:rsidR="00D83BF1" w:rsidRPr="0032590D">
        <w:rPr>
          <w:rFonts w:cs="Calibri Light"/>
        </w:rPr>
        <w:t>i</w:t>
      </w:r>
      <w:r w:rsidR="00BC4BB0" w:rsidRPr="0032590D">
        <w:rPr>
          <w:rFonts w:cs="Calibri Light"/>
        </w:rPr>
        <w:t>mplementation timetable is provided below</w:t>
      </w:r>
      <w:r w:rsidR="00657E71" w:rsidRPr="0032590D">
        <w:rPr>
          <w:rFonts w:cs="Calibri Light"/>
        </w:rPr>
        <w:t xml:space="preserve">. </w:t>
      </w:r>
      <w:r w:rsidR="00506231" w:rsidRPr="0032590D">
        <w:rPr>
          <w:rFonts w:cs="Calibri Light"/>
        </w:rPr>
        <w:t xml:space="preserve">As </w:t>
      </w:r>
      <w:r w:rsidR="009B5066" w:rsidRPr="0032590D">
        <w:rPr>
          <w:rFonts w:cs="Calibri Light"/>
        </w:rPr>
        <w:t xml:space="preserve">most businesses </w:t>
      </w:r>
      <w:r w:rsidR="001D62B4" w:rsidRPr="0032590D">
        <w:rPr>
          <w:rFonts w:cs="Calibri Light"/>
        </w:rPr>
        <w:t xml:space="preserve">that would be </w:t>
      </w:r>
      <w:r w:rsidR="009B5066" w:rsidRPr="0032590D">
        <w:rPr>
          <w:rFonts w:cs="Calibri Light"/>
        </w:rPr>
        <w:t xml:space="preserve">subject </w:t>
      </w:r>
      <w:r w:rsidR="00985859" w:rsidRPr="0032590D">
        <w:rPr>
          <w:rFonts w:cs="Calibri Light"/>
        </w:rPr>
        <w:t xml:space="preserve">to </w:t>
      </w:r>
      <w:r w:rsidR="00506231" w:rsidRPr="0032590D">
        <w:rPr>
          <w:rFonts w:cs="Calibri Light"/>
        </w:rPr>
        <w:t xml:space="preserve">the </w:t>
      </w:r>
      <w:r w:rsidR="00985859" w:rsidRPr="0032590D">
        <w:rPr>
          <w:rFonts w:cs="Calibri Light"/>
        </w:rPr>
        <w:t xml:space="preserve">proposed </w:t>
      </w:r>
      <w:r w:rsidR="00506231" w:rsidRPr="0032590D">
        <w:rPr>
          <w:rFonts w:cs="Calibri Light"/>
        </w:rPr>
        <w:t xml:space="preserve">mandate </w:t>
      </w:r>
      <w:r w:rsidR="00657E71" w:rsidRPr="0032590D">
        <w:rPr>
          <w:rFonts w:cs="Calibri Light"/>
        </w:rPr>
        <w:t>are already accepting cash payment</w:t>
      </w:r>
      <w:r w:rsidR="00985859" w:rsidRPr="0032590D">
        <w:rPr>
          <w:rFonts w:cs="Calibri Light"/>
        </w:rPr>
        <w:t xml:space="preserve">, minimal lead time </w:t>
      </w:r>
      <w:r w:rsidR="00281EB8" w:rsidRPr="0032590D">
        <w:rPr>
          <w:rFonts w:cs="Calibri Light"/>
        </w:rPr>
        <w:t xml:space="preserve">is required and the mandate is </w:t>
      </w:r>
      <w:r w:rsidR="009179EF" w:rsidRPr="0032590D">
        <w:rPr>
          <w:rFonts w:cs="Calibri Light"/>
        </w:rPr>
        <w:t xml:space="preserve">proposed </w:t>
      </w:r>
      <w:r w:rsidR="00EA6C81" w:rsidRPr="0032590D">
        <w:rPr>
          <w:rFonts w:cs="Calibri Light"/>
        </w:rPr>
        <w:t xml:space="preserve">to commence from </w:t>
      </w:r>
      <w:r w:rsidR="009179EF" w:rsidRPr="0032590D">
        <w:rPr>
          <w:rFonts w:cs="Calibri Light"/>
        </w:rPr>
        <w:t>1</w:t>
      </w:r>
      <w:r w:rsidR="00EA6C81" w:rsidRPr="0032590D">
        <w:rPr>
          <w:rFonts w:cs="Calibri Light"/>
        </w:rPr>
        <w:t> </w:t>
      </w:r>
      <w:r w:rsidR="009179EF" w:rsidRPr="0032590D">
        <w:rPr>
          <w:rFonts w:cs="Calibri Light"/>
        </w:rPr>
        <w:t>January 2026</w:t>
      </w:r>
      <w:r w:rsidRPr="0032590D">
        <w:rPr>
          <w:rFonts w:cs="Calibri Light"/>
        </w:rPr>
        <w:t>.</w:t>
      </w:r>
    </w:p>
    <w:p w14:paraId="4D2534AC" w14:textId="597E85C0" w:rsidR="00E76C78" w:rsidRPr="0032590D" w:rsidRDefault="00E76C78" w:rsidP="00E76C78">
      <w:pPr>
        <w:pStyle w:val="TableMainHeading"/>
      </w:pPr>
      <w:r w:rsidRPr="0032590D">
        <w:t>Indicative implementation timetable</w:t>
      </w:r>
    </w:p>
    <w:p w14:paraId="4628E128" w14:textId="519E62EA" w:rsidR="002C75FB" w:rsidRPr="0032590D" w:rsidRDefault="00F47D72" w:rsidP="5112B33B">
      <w:pPr>
        <w:rPr>
          <w:rFonts w:ascii="Calibri" w:hAnsi="Calibri" w:cs="Arial"/>
          <w:color w:val="2C384A"/>
          <w:kern w:val="32"/>
          <w:sz w:val="36"/>
          <w:szCs w:val="36"/>
        </w:rPr>
      </w:pPr>
      <w:r w:rsidRPr="0032590D">
        <w:rPr>
          <w:noProof/>
        </w:rPr>
        <w:drawing>
          <wp:inline distT="0" distB="0" distL="0" distR="0" wp14:anchorId="44459D0C" wp14:editId="4B41F88F">
            <wp:extent cx="5836920" cy="2705100"/>
            <wp:effectExtent l="38100" t="19050" r="11430" b="38100"/>
            <wp:docPr id="6183504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tbl>
      <w:tblPr>
        <w:tblStyle w:val="TableGrid"/>
        <w:tblW w:w="0" w:type="auto"/>
        <w:tblLook w:val="04A0" w:firstRow="1" w:lastRow="0" w:firstColumn="1" w:lastColumn="0" w:noHBand="0" w:noVBand="1"/>
      </w:tblPr>
      <w:tblGrid>
        <w:gridCol w:w="9070"/>
      </w:tblGrid>
      <w:tr w:rsidR="00FF59CC" w:rsidRPr="0032590D" w14:paraId="1586EB6E" w14:textId="77777777" w:rsidTr="00FF59CC">
        <w:trPr>
          <w:cnfStyle w:val="100000000000" w:firstRow="1" w:lastRow="0" w:firstColumn="0" w:lastColumn="0" w:oddVBand="0" w:evenVBand="0" w:oddHBand="0" w:evenHBand="0" w:firstRowFirstColumn="0" w:firstRowLastColumn="0" w:lastRowFirstColumn="0" w:lastRowLastColumn="0"/>
        </w:trPr>
        <w:tc>
          <w:tcPr>
            <w:tcW w:w="9070" w:type="dxa"/>
            <w:shd w:val="clear" w:color="auto" w:fill="E8F0FC" w:themeFill="accent5" w:themeFillTint="33"/>
          </w:tcPr>
          <w:p w14:paraId="2BA95A40" w14:textId="735803D3" w:rsidR="00FF59CC" w:rsidRPr="0032590D" w:rsidRDefault="00FF59CC" w:rsidP="00FF59CC">
            <w:pPr>
              <w:spacing w:before="96" w:after="96"/>
              <w:rPr>
                <w:rFonts w:asciiTheme="minorHAnsi" w:hAnsiTheme="minorHAnsi" w:cstheme="minorHAnsi"/>
                <w:sz w:val="36"/>
                <w:szCs w:val="36"/>
              </w:rPr>
            </w:pPr>
            <w:r w:rsidRPr="0032590D">
              <w:rPr>
                <w:rFonts w:asciiTheme="minorHAnsi" w:hAnsiTheme="minorHAnsi" w:cstheme="minorHAnsi"/>
                <w:sz w:val="36"/>
                <w:szCs w:val="36"/>
              </w:rPr>
              <w:t xml:space="preserve">Consultation Questions </w:t>
            </w:r>
          </w:p>
          <w:p w14:paraId="70149F27" w14:textId="2B1DFC9A" w:rsidR="0010658D" w:rsidRPr="0032590D" w:rsidRDefault="005F0AC7" w:rsidP="000C3F4B">
            <w:pPr>
              <w:pStyle w:val="ListParagraph"/>
              <w:numPr>
                <w:ilvl w:val="0"/>
                <w:numId w:val="36"/>
              </w:numPr>
              <w:spacing w:beforeLines="0" w:before="0" w:afterLines="0" w:line="259" w:lineRule="auto"/>
              <w:contextualSpacing w:val="0"/>
              <w:rPr>
                <w:rFonts w:asciiTheme="minorHAnsi" w:hAnsiTheme="minorHAnsi" w:cstheme="minorHAnsi"/>
                <w:b w:val="0"/>
                <w:sz w:val="22"/>
                <w:szCs w:val="22"/>
              </w:rPr>
            </w:pPr>
            <w:r w:rsidRPr="0032590D">
              <w:rPr>
                <w:rFonts w:asciiTheme="minorHAnsi" w:hAnsiTheme="minorHAnsi" w:cstheme="minorHAnsi"/>
                <w:b w:val="0"/>
                <w:sz w:val="22"/>
                <w:szCs w:val="22"/>
              </w:rPr>
              <w:t xml:space="preserve">If you are able, please </w:t>
            </w:r>
            <w:r w:rsidR="006F068C" w:rsidRPr="0032590D">
              <w:rPr>
                <w:rFonts w:asciiTheme="minorHAnsi" w:hAnsiTheme="minorHAnsi" w:cstheme="minorHAnsi"/>
                <w:b w:val="0"/>
                <w:sz w:val="22"/>
                <w:szCs w:val="22"/>
              </w:rPr>
              <w:t xml:space="preserve">assist in </w:t>
            </w:r>
            <w:r w:rsidR="0010658D" w:rsidRPr="0032590D">
              <w:rPr>
                <w:rFonts w:asciiTheme="minorHAnsi" w:hAnsiTheme="minorHAnsi" w:cstheme="minorHAnsi"/>
                <w:b w:val="0"/>
                <w:sz w:val="22"/>
                <w:szCs w:val="22"/>
              </w:rPr>
              <w:t>quantify</w:t>
            </w:r>
            <w:r w:rsidR="006F068C" w:rsidRPr="0032590D">
              <w:rPr>
                <w:rFonts w:asciiTheme="minorHAnsi" w:hAnsiTheme="minorHAnsi" w:cstheme="minorHAnsi"/>
                <w:b w:val="0"/>
                <w:sz w:val="22"/>
                <w:szCs w:val="22"/>
              </w:rPr>
              <w:t>ing the</w:t>
            </w:r>
            <w:r w:rsidR="0010658D" w:rsidRPr="0032590D">
              <w:rPr>
                <w:rFonts w:asciiTheme="minorHAnsi" w:hAnsiTheme="minorHAnsi" w:cstheme="minorHAnsi"/>
                <w:b w:val="0"/>
                <w:sz w:val="22"/>
                <w:szCs w:val="22"/>
              </w:rPr>
              <w:t xml:space="preserve"> potential benefits of the mandate for consumers</w:t>
            </w:r>
            <w:r w:rsidR="00ED30D1" w:rsidRPr="0032590D">
              <w:rPr>
                <w:rFonts w:asciiTheme="minorHAnsi" w:hAnsiTheme="minorHAnsi" w:cstheme="minorHAnsi"/>
                <w:b w:val="0"/>
                <w:sz w:val="22"/>
                <w:szCs w:val="22"/>
              </w:rPr>
              <w:t>.</w:t>
            </w:r>
            <w:r w:rsidR="0010658D" w:rsidRPr="0032590D">
              <w:rPr>
                <w:rFonts w:asciiTheme="minorHAnsi" w:hAnsiTheme="minorHAnsi" w:cstheme="minorHAnsi"/>
                <w:b w:val="0"/>
                <w:sz w:val="22"/>
                <w:szCs w:val="22"/>
              </w:rPr>
              <w:t xml:space="preserve"> </w:t>
            </w:r>
            <w:r w:rsidR="003D27D4" w:rsidRPr="0032590D">
              <w:rPr>
                <w:rFonts w:asciiTheme="minorHAnsi" w:hAnsiTheme="minorHAnsi" w:cstheme="minorHAnsi"/>
                <w:b w:val="0"/>
                <w:sz w:val="22"/>
                <w:szCs w:val="22"/>
              </w:rPr>
              <w:t xml:space="preserve">If you are able, please </w:t>
            </w:r>
            <w:r w:rsidRPr="0032590D">
              <w:rPr>
                <w:rFonts w:asciiTheme="minorHAnsi" w:hAnsiTheme="minorHAnsi" w:cstheme="minorHAnsi"/>
                <w:b w:val="0"/>
                <w:sz w:val="22"/>
                <w:szCs w:val="22"/>
              </w:rPr>
              <w:t xml:space="preserve">assist in </w:t>
            </w:r>
            <w:r w:rsidR="0010658D" w:rsidRPr="0032590D">
              <w:rPr>
                <w:rFonts w:asciiTheme="minorHAnsi" w:hAnsiTheme="minorHAnsi" w:cstheme="minorHAnsi"/>
                <w:b w:val="0"/>
                <w:sz w:val="22"/>
                <w:szCs w:val="22"/>
              </w:rPr>
              <w:t>quantify</w:t>
            </w:r>
            <w:r w:rsidRPr="0032590D">
              <w:rPr>
                <w:rFonts w:asciiTheme="minorHAnsi" w:hAnsiTheme="minorHAnsi" w:cstheme="minorHAnsi"/>
                <w:b w:val="0"/>
                <w:sz w:val="22"/>
                <w:szCs w:val="22"/>
              </w:rPr>
              <w:t>ing</w:t>
            </w:r>
            <w:r w:rsidR="0010658D" w:rsidRPr="0032590D">
              <w:rPr>
                <w:rFonts w:asciiTheme="minorHAnsi" w:hAnsiTheme="minorHAnsi" w:cstheme="minorHAnsi"/>
                <w:b w:val="0"/>
                <w:sz w:val="22"/>
                <w:szCs w:val="22"/>
              </w:rPr>
              <w:t xml:space="preserve"> </w:t>
            </w:r>
            <w:r w:rsidR="00E66643" w:rsidRPr="0032590D">
              <w:rPr>
                <w:rFonts w:asciiTheme="minorHAnsi" w:hAnsiTheme="minorHAnsi" w:cstheme="minorHAnsi"/>
                <w:b w:val="0"/>
                <w:sz w:val="22"/>
                <w:szCs w:val="22"/>
              </w:rPr>
              <w:t xml:space="preserve">the </w:t>
            </w:r>
            <w:r w:rsidR="0010658D" w:rsidRPr="0032590D">
              <w:rPr>
                <w:rFonts w:asciiTheme="minorHAnsi" w:hAnsiTheme="minorHAnsi" w:cstheme="minorHAnsi"/>
                <w:b w:val="0"/>
                <w:sz w:val="22"/>
                <w:szCs w:val="22"/>
              </w:rPr>
              <w:t xml:space="preserve">potential </w:t>
            </w:r>
            <w:r w:rsidR="00A56A36" w:rsidRPr="0032590D">
              <w:rPr>
                <w:rFonts w:asciiTheme="minorHAnsi" w:hAnsiTheme="minorHAnsi" w:cstheme="minorHAnsi"/>
                <w:b w:val="0"/>
                <w:sz w:val="22"/>
                <w:szCs w:val="22"/>
              </w:rPr>
              <w:t>costs</w:t>
            </w:r>
            <w:r w:rsidR="0010658D" w:rsidRPr="0032590D">
              <w:rPr>
                <w:rFonts w:asciiTheme="minorHAnsi" w:hAnsiTheme="minorHAnsi" w:cstheme="minorHAnsi"/>
                <w:b w:val="0"/>
                <w:sz w:val="22"/>
                <w:szCs w:val="22"/>
              </w:rPr>
              <w:t xml:space="preserve"> of the mandate for businesses</w:t>
            </w:r>
            <w:r w:rsidR="00ED30D1" w:rsidRPr="0032590D">
              <w:rPr>
                <w:rFonts w:asciiTheme="minorHAnsi" w:hAnsiTheme="minorHAnsi" w:cstheme="minorHAnsi"/>
                <w:b w:val="0"/>
                <w:sz w:val="22"/>
                <w:szCs w:val="22"/>
              </w:rPr>
              <w:t>.</w:t>
            </w:r>
          </w:p>
          <w:p w14:paraId="5459D681" w14:textId="76E8E179" w:rsidR="00FF59CC" w:rsidRPr="0032590D" w:rsidRDefault="00254694" w:rsidP="000C3F4B">
            <w:pPr>
              <w:pStyle w:val="ListParagraph"/>
              <w:numPr>
                <w:ilvl w:val="0"/>
                <w:numId w:val="36"/>
              </w:numPr>
              <w:spacing w:before="96" w:after="96"/>
              <w:rPr>
                <w:rFonts w:asciiTheme="minorHAnsi" w:hAnsiTheme="minorHAnsi" w:cstheme="minorHAnsi"/>
              </w:rPr>
            </w:pPr>
            <w:r w:rsidRPr="0032590D">
              <w:rPr>
                <w:rFonts w:asciiTheme="minorHAnsi" w:hAnsiTheme="minorHAnsi" w:cstheme="minorHAnsi"/>
                <w:b w:val="0"/>
                <w:sz w:val="22"/>
                <w:szCs w:val="22"/>
              </w:rPr>
              <w:t xml:space="preserve">Do </w:t>
            </w:r>
            <w:r w:rsidR="00E66643" w:rsidRPr="0032590D">
              <w:rPr>
                <w:rFonts w:asciiTheme="minorHAnsi" w:hAnsiTheme="minorHAnsi" w:cstheme="minorHAnsi"/>
                <w:b w:val="0"/>
                <w:sz w:val="22"/>
                <w:szCs w:val="22"/>
              </w:rPr>
              <w:t xml:space="preserve">you </w:t>
            </w:r>
            <w:r w:rsidRPr="0032590D">
              <w:rPr>
                <w:rFonts w:asciiTheme="minorHAnsi" w:hAnsiTheme="minorHAnsi" w:cstheme="minorHAnsi"/>
                <w:b w:val="0"/>
                <w:sz w:val="22"/>
                <w:szCs w:val="22"/>
              </w:rPr>
              <w:t xml:space="preserve">have views on the appropriate lead times required for the implementation of the proposed legislation? </w:t>
            </w:r>
            <w:r w:rsidR="002672FE" w:rsidRPr="0032590D">
              <w:rPr>
                <w:rFonts w:asciiTheme="minorHAnsi" w:hAnsiTheme="minorHAnsi" w:cstheme="minorHAnsi"/>
                <w:b w:val="0"/>
                <w:sz w:val="22"/>
                <w:szCs w:val="22"/>
              </w:rPr>
              <w:t xml:space="preserve">What are </w:t>
            </w:r>
            <w:r w:rsidR="00F070BB" w:rsidRPr="0032590D">
              <w:rPr>
                <w:rFonts w:asciiTheme="minorHAnsi" w:hAnsiTheme="minorHAnsi" w:cstheme="minorHAnsi"/>
                <w:b w:val="0"/>
                <w:sz w:val="22"/>
                <w:szCs w:val="22"/>
              </w:rPr>
              <w:t>the</w:t>
            </w:r>
            <w:r w:rsidRPr="0032590D">
              <w:rPr>
                <w:rFonts w:asciiTheme="minorHAnsi" w:hAnsiTheme="minorHAnsi" w:cstheme="minorHAnsi"/>
                <w:b w:val="0"/>
                <w:sz w:val="22"/>
                <w:szCs w:val="22"/>
              </w:rPr>
              <w:t xml:space="preserve"> considerations that may impact these lead times?</w:t>
            </w:r>
          </w:p>
        </w:tc>
      </w:tr>
    </w:tbl>
    <w:p w14:paraId="575FA60C" w14:textId="77777777" w:rsidR="0086055B" w:rsidRPr="0032590D" w:rsidRDefault="0086055B">
      <w:pPr>
        <w:spacing w:before="0" w:after="160" w:line="259" w:lineRule="auto"/>
      </w:pPr>
      <w:r w:rsidRPr="0032590D">
        <w:br w:type="page"/>
      </w:r>
    </w:p>
    <w:p w14:paraId="1131483F" w14:textId="727783DE" w:rsidR="00D44876" w:rsidRPr="0032590D" w:rsidRDefault="0086055B" w:rsidP="0086055B">
      <w:pPr>
        <w:pStyle w:val="Heading1"/>
      </w:pPr>
      <w:bookmarkStart w:id="80" w:name="_Toc183137401"/>
      <w:r w:rsidRPr="0032590D">
        <w:t>Appendix A</w:t>
      </w:r>
      <w:r w:rsidR="008C355E" w:rsidRPr="0032590D">
        <w:t>:</w:t>
      </w:r>
      <w:r w:rsidRPr="0032590D">
        <w:t xml:space="preserve"> Consultation Questions</w:t>
      </w:r>
      <w:bookmarkEnd w:id="80"/>
    </w:p>
    <w:tbl>
      <w:tblPr>
        <w:tblStyle w:val="TableGrid"/>
        <w:tblW w:w="0" w:type="auto"/>
        <w:tblLook w:val="04A0" w:firstRow="1" w:lastRow="0" w:firstColumn="1" w:lastColumn="0" w:noHBand="0" w:noVBand="1"/>
      </w:tblPr>
      <w:tblGrid>
        <w:gridCol w:w="9070"/>
      </w:tblGrid>
      <w:tr w:rsidR="0086055B" w:rsidRPr="0032590D" w14:paraId="028CDED0" w14:textId="77777777">
        <w:trPr>
          <w:cnfStyle w:val="100000000000" w:firstRow="1" w:lastRow="0" w:firstColumn="0" w:lastColumn="0" w:oddVBand="0" w:evenVBand="0" w:oddHBand="0" w:evenHBand="0" w:firstRowFirstColumn="0" w:firstRowLastColumn="0" w:lastRowFirstColumn="0" w:lastRowLastColumn="0"/>
        </w:trPr>
        <w:tc>
          <w:tcPr>
            <w:tcW w:w="9070" w:type="dxa"/>
            <w:shd w:val="clear" w:color="auto" w:fill="E8F0FC" w:themeFill="accent5" w:themeFillTint="33"/>
          </w:tcPr>
          <w:p w14:paraId="3E9A431B" w14:textId="77777777" w:rsidR="0086055B" w:rsidRPr="0032590D" w:rsidRDefault="0086055B">
            <w:pPr>
              <w:spacing w:before="96" w:after="96"/>
              <w:rPr>
                <w:rFonts w:asciiTheme="minorHAnsi" w:hAnsiTheme="minorHAnsi" w:cstheme="minorHAnsi"/>
                <w:sz w:val="36"/>
                <w:szCs w:val="36"/>
              </w:rPr>
            </w:pPr>
            <w:r w:rsidRPr="0032590D">
              <w:rPr>
                <w:rFonts w:asciiTheme="minorHAnsi" w:hAnsiTheme="minorHAnsi" w:cstheme="minorHAnsi"/>
                <w:sz w:val="36"/>
                <w:szCs w:val="36"/>
              </w:rPr>
              <w:t xml:space="preserve">Consultation Questions </w:t>
            </w:r>
          </w:p>
          <w:p w14:paraId="4D6AB3D4" w14:textId="22586F97" w:rsidR="00EA427E" w:rsidRPr="0032590D" w:rsidRDefault="00EA427E" w:rsidP="003E1591">
            <w:pPr>
              <w:pStyle w:val="ListParagraph"/>
              <w:numPr>
                <w:ilvl w:val="0"/>
                <w:numId w:val="45"/>
              </w:numPr>
              <w:spacing w:before="96" w:after="96" w:line="259" w:lineRule="auto"/>
              <w:contextualSpacing w:val="0"/>
              <w:rPr>
                <w:rFonts w:asciiTheme="minorHAnsi" w:hAnsiTheme="minorHAnsi" w:cstheme="minorHAnsi"/>
                <w:sz w:val="22"/>
                <w:szCs w:val="22"/>
              </w:rPr>
            </w:pPr>
            <w:r w:rsidRPr="0032590D">
              <w:rPr>
                <w:rFonts w:asciiTheme="minorHAnsi" w:hAnsiTheme="minorHAnsi" w:cstheme="minorHAnsi"/>
                <w:b w:val="0"/>
                <w:sz w:val="22"/>
                <w:szCs w:val="22"/>
              </w:rPr>
              <w:t>Are there other important reasons for people relying on cash payment?</w:t>
            </w:r>
          </w:p>
          <w:p w14:paraId="3D123F7D" w14:textId="77777777" w:rsidR="00EA427E" w:rsidRPr="0032590D" w:rsidRDefault="00EA427E" w:rsidP="003E1591">
            <w:pPr>
              <w:pStyle w:val="ListParagraph"/>
              <w:numPr>
                <w:ilvl w:val="0"/>
                <w:numId w:val="45"/>
              </w:numPr>
              <w:spacing w:beforeLines="0" w:before="0" w:afterLines="0" w:line="259" w:lineRule="auto"/>
              <w:contextualSpacing w:val="0"/>
              <w:rPr>
                <w:rFonts w:asciiTheme="minorHAnsi" w:hAnsiTheme="minorHAnsi" w:cstheme="minorHAnsi"/>
                <w:b w:val="0"/>
                <w:sz w:val="22"/>
                <w:szCs w:val="22"/>
              </w:rPr>
            </w:pPr>
            <w:r w:rsidRPr="0032590D">
              <w:rPr>
                <w:rFonts w:asciiTheme="minorHAnsi" w:hAnsiTheme="minorHAnsi" w:cstheme="minorHAnsi"/>
                <w:b w:val="0"/>
                <w:sz w:val="22"/>
                <w:szCs w:val="22"/>
              </w:rPr>
              <w:t xml:space="preserve">Do you support the proposed mandate scope and application as described in Box 3.1? and if not, what are alternative approaches? </w:t>
            </w:r>
          </w:p>
          <w:p w14:paraId="001A6A3E" w14:textId="77777777" w:rsidR="00EA427E" w:rsidRPr="0032590D" w:rsidRDefault="00EA427E" w:rsidP="003E1591">
            <w:pPr>
              <w:pStyle w:val="ListParagraph"/>
              <w:numPr>
                <w:ilvl w:val="0"/>
                <w:numId w:val="45"/>
              </w:numPr>
              <w:spacing w:beforeLines="0" w:before="0" w:afterLines="0" w:line="259" w:lineRule="auto"/>
              <w:contextualSpacing w:val="0"/>
              <w:rPr>
                <w:rFonts w:asciiTheme="minorHAnsi" w:hAnsiTheme="minorHAnsi" w:cstheme="minorHAnsi"/>
                <w:b w:val="0"/>
                <w:sz w:val="22"/>
                <w:szCs w:val="22"/>
              </w:rPr>
            </w:pPr>
            <w:r w:rsidRPr="0032590D">
              <w:rPr>
                <w:rFonts w:asciiTheme="minorHAnsi" w:hAnsiTheme="minorHAnsi" w:cstheme="minorHAnsi"/>
                <w:b w:val="0"/>
                <w:sz w:val="22"/>
                <w:szCs w:val="22"/>
              </w:rPr>
              <w:t>Do you support the proposed application of the mandate to “corporations in trade or commerce”? If not, what are alternative approaches?</w:t>
            </w:r>
          </w:p>
          <w:p w14:paraId="106A791C" w14:textId="77777777" w:rsidR="00EA427E" w:rsidRPr="0032590D" w:rsidRDefault="00EA427E" w:rsidP="003E1591">
            <w:pPr>
              <w:pStyle w:val="ListParagraph"/>
              <w:numPr>
                <w:ilvl w:val="0"/>
                <w:numId w:val="45"/>
              </w:numPr>
              <w:spacing w:beforeLines="0" w:before="0" w:afterLines="0" w:line="259" w:lineRule="auto"/>
              <w:contextualSpacing w:val="0"/>
              <w:rPr>
                <w:rFonts w:asciiTheme="minorHAnsi" w:hAnsiTheme="minorHAnsi" w:cstheme="minorHAnsi"/>
                <w:b w:val="0"/>
                <w:sz w:val="22"/>
                <w:szCs w:val="22"/>
              </w:rPr>
            </w:pPr>
            <w:r w:rsidRPr="0032590D">
              <w:rPr>
                <w:rFonts w:asciiTheme="minorHAnsi" w:hAnsiTheme="minorHAnsi" w:cstheme="minorHAnsi"/>
                <w:b w:val="0"/>
                <w:sz w:val="22"/>
                <w:szCs w:val="22"/>
              </w:rPr>
              <w:t>Do you support the proposed definition of “essential good or service”? If not, what are alternative approaches?</w:t>
            </w:r>
          </w:p>
          <w:p w14:paraId="5FB4DD92" w14:textId="77777777" w:rsidR="00EA427E" w:rsidRPr="0032590D" w:rsidRDefault="00EA427E" w:rsidP="003E1591">
            <w:pPr>
              <w:pStyle w:val="ListParagraph"/>
              <w:numPr>
                <w:ilvl w:val="0"/>
                <w:numId w:val="45"/>
              </w:numPr>
              <w:spacing w:beforeLines="0" w:before="0" w:afterLines="0" w:line="259" w:lineRule="auto"/>
              <w:contextualSpacing w:val="0"/>
              <w:rPr>
                <w:rFonts w:asciiTheme="minorHAnsi" w:hAnsiTheme="minorHAnsi" w:cstheme="minorHAnsi"/>
                <w:b w:val="0"/>
                <w:sz w:val="22"/>
                <w:szCs w:val="22"/>
              </w:rPr>
            </w:pPr>
            <w:r w:rsidRPr="0032590D">
              <w:rPr>
                <w:rFonts w:asciiTheme="minorHAnsi" w:hAnsiTheme="minorHAnsi" w:cstheme="minorHAnsi"/>
                <w:b w:val="0"/>
                <w:sz w:val="22"/>
                <w:szCs w:val="22"/>
              </w:rPr>
              <w:t>Do you support the proposed classification into “essential goods and services” and “non</w:t>
            </w:r>
            <w:r w:rsidRPr="0032590D">
              <w:rPr>
                <w:rFonts w:asciiTheme="minorHAnsi" w:hAnsiTheme="minorHAnsi" w:cstheme="minorHAnsi"/>
                <w:b w:val="0"/>
                <w:sz w:val="22"/>
                <w:szCs w:val="22"/>
              </w:rPr>
              <w:noBreakHyphen/>
              <w:t>essential goods and services” in Table 3.1?  If not, what are alternative approaches?</w:t>
            </w:r>
          </w:p>
          <w:p w14:paraId="38A50D4D" w14:textId="77777777" w:rsidR="00EA427E" w:rsidRPr="0032590D" w:rsidRDefault="00EA427E" w:rsidP="003E1591">
            <w:pPr>
              <w:pStyle w:val="ListParagraph"/>
              <w:numPr>
                <w:ilvl w:val="0"/>
                <w:numId w:val="45"/>
              </w:numPr>
              <w:spacing w:beforeLines="0" w:before="0" w:afterLines="0" w:line="259" w:lineRule="auto"/>
              <w:contextualSpacing w:val="0"/>
              <w:rPr>
                <w:rFonts w:asciiTheme="minorHAnsi" w:hAnsiTheme="minorHAnsi" w:cstheme="minorHAnsi"/>
                <w:b w:val="0"/>
                <w:sz w:val="22"/>
                <w:szCs w:val="22"/>
              </w:rPr>
            </w:pPr>
            <w:r w:rsidRPr="0032590D">
              <w:rPr>
                <w:rFonts w:asciiTheme="minorHAnsi" w:hAnsiTheme="minorHAnsi" w:cstheme="minorHAnsi"/>
                <w:b w:val="0"/>
                <w:sz w:val="22"/>
                <w:szCs w:val="22"/>
              </w:rPr>
              <w:t>Do you support the proposed definition of an “in-person payment”? If not, what are alternative approaches?</w:t>
            </w:r>
          </w:p>
          <w:p w14:paraId="2EFC182B" w14:textId="77777777" w:rsidR="00EA427E" w:rsidRPr="0032590D" w:rsidRDefault="00EA427E" w:rsidP="003E1591">
            <w:pPr>
              <w:pStyle w:val="ListParagraph"/>
              <w:numPr>
                <w:ilvl w:val="0"/>
                <w:numId w:val="45"/>
              </w:numPr>
              <w:spacing w:beforeLines="0" w:before="0" w:afterLines="0" w:line="259" w:lineRule="auto"/>
              <w:contextualSpacing w:val="0"/>
              <w:rPr>
                <w:rFonts w:asciiTheme="minorHAnsi" w:hAnsiTheme="minorHAnsi" w:cstheme="minorHAnsi"/>
                <w:b w:val="0"/>
                <w:sz w:val="22"/>
                <w:szCs w:val="22"/>
              </w:rPr>
            </w:pPr>
            <w:r w:rsidRPr="0032590D">
              <w:rPr>
                <w:rFonts w:asciiTheme="minorHAnsi" w:hAnsiTheme="minorHAnsi" w:cstheme="minorHAnsi"/>
                <w:b w:val="0"/>
                <w:sz w:val="22"/>
                <w:szCs w:val="22"/>
              </w:rPr>
              <w:t>Do you support the proposed definition of an “exempt small business”, including the treatment of franchise arrangement</w:t>
            </w:r>
            <w:r w:rsidRPr="0032590D">
              <w:rPr>
                <w:rFonts w:asciiTheme="minorHAnsi" w:hAnsiTheme="minorHAnsi" w:cstheme="minorHAnsi"/>
                <w:szCs w:val="22"/>
              </w:rPr>
              <w:t>s</w:t>
            </w:r>
            <w:r w:rsidRPr="0032590D">
              <w:rPr>
                <w:rFonts w:asciiTheme="minorHAnsi" w:hAnsiTheme="minorHAnsi" w:cstheme="minorHAnsi"/>
                <w:b w:val="0"/>
                <w:sz w:val="22"/>
                <w:szCs w:val="22"/>
              </w:rPr>
              <w:t>?  If not, what are alternative approaches?</w:t>
            </w:r>
          </w:p>
          <w:p w14:paraId="2AB54051" w14:textId="3F2510FF" w:rsidR="00EA36F2" w:rsidRPr="0032590D" w:rsidRDefault="00221D1F" w:rsidP="003E1591">
            <w:pPr>
              <w:pStyle w:val="ListParagraph"/>
              <w:numPr>
                <w:ilvl w:val="0"/>
                <w:numId w:val="45"/>
              </w:numPr>
              <w:spacing w:beforeLines="0" w:before="0" w:afterLines="0" w:line="259" w:lineRule="auto"/>
              <w:contextualSpacing w:val="0"/>
              <w:rPr>
                <w:rFonts w:asciiTheme="minorHAnsi" w:hAnsiTheme="minorHAnsi" w:cstheme="minorHAnsi"/>
                <w:b w:val="0"/>
                <w:sz w:val="22"/>
                <w:szCs w:val="22"/>
              </w:rPr>
            </w:pPr>
            <w:r w:rsidRPr="0032590D">
              <w:rPr>
                <w:rFonts w:asciiTheme="minorHAnsi" w:hAnsiTheme="minorHAnsi" w:cstheme="minorHAnsi"/>
                <w:b w:val="0"/>
                <w:sz w:val="22"/>
                <w:szCs w:val="22"/>
              </w:rPr>
              <w:t>Do you think any</w:t>
            </w:r>
            <w:r w:rsidR="00F212FE" w:rsidRPr="0032590D">
              <w:rPr>
                <w:rFonts w:asciiTheme="minorHAnsi" w:hAnsiTheme="minorHAnsi" w:cstheme="minorHAnsi"/>
                <w:b w:val="0"/>
                <w:sz w:val="22"/>
                <w:szCs w:val="22"/>
              </w:rPr>
              <w:t xml:space="preserve"> other exempt</w:t>
            </w:r>
            <w:r w:rsidR="00E82156" w:rsidRPr="0032590D">
              <w:rPr>
                <w:rFonts w:asciiTheme="minorHAnsi" w:hAnsiTheme="minorHAnsi" w:cstheme="minorHAnsi"/>
                <w:b w:val="0"/>
                <w:sz w:val="22"/>
                <w:szCs w:val="22"/>
              </w:rPr>
              <w:t>ions</w:t>
            </w:r>
            <w:r w:rsidR="00F74E17" w:rsidRPr="0032590D">
              <w:rPr>
                <w:rFonts w:asciiTheme="minorHAnsi" w:hAnsiTheme="minorHAnsi" w:cstheme="minorHAnsi"/>
                <w:b w:val="0"/>
                <w:sz w:val="22"/>
                <w:szCs w:val="22"/>
              </w:rPr>
              <w:t xml:space="preserve"> aside from “small businesses” are </w:t>
            </w:r>
            <w:r w:rsidR="00786E78" w:rsidRPr="0032590D">
              <w:rPr>
                <w:rFonts w:asciiTheme="minorHAnsi" w:hAnsiTheme="minorHAnsi" w:cstheme="minorHAnsi"/>
                <w:b w:val="0"/>
                <w:sz w:val="22"/>
                <w:szCs w:val="22"/>
              </w:rPr>
              <w:t>appropriate</w:t>
            </w:r>
            <w:r w:rsidR="00F74E17" w:rsidRPr="0032590D">
              <w:rPr>
                <w:rFonts w:asciiTheme="minorHAnsi" w:hAnsiTheme="minorHAnsi" w:cstheme="minorHAnsi"/>
                <w:b w:val="0"/>
                <w:sz w:val="22"/>
                <w:szCs w:val="22"/>
              </w:rPr>
              <w:t>?</w:t>
            </w:r>
            <w:r w:rsidR="00E82156" w:rsidRPr="0032590D">
              <w:rPr>
                <w:rFonts w:asciiTheme="minorHAnsi" w:hAnsiTheme="minorHAnsi" w:cstheme="minorHAnsi"/>
                <w:b w:val="0"/>
                <w:sz w:val="22"/>
                <w:szCs w:val="22"/>
              </w:rPr>
              <w:t xml:space="preserve"> </w:t>
            </w:r>
          </w:p>
          <w:p w14:paraId="6920E845" w14:textId="03FA5DB9" w:rsidR="00BA076E" w:rsidRPr="0032590D" w:rsidRDefault="00EA427E" w:rsidP="00BA076E">
            <w:pPr>
              <w:pStyle w:val="ListParagraph"/>
              <w:numPr>
                <w:ilvl w:val="0"/>
                <w:numId w:val="45"/>
              </w:numPr>
              <w:spacing w:beforeLines="0" w:before="0" w:afterLines="0" w:line="259" w:lineRule="auto"/>
              <w:contextualSpacing w:val="0"/>
              <w:rPr>
                <w:rFonts w:asciiTheme="minorHAnsi" w:hAnsiTheme="minorHAnsi" w:cstheme="minorHAnsi"/>
                <w:b w:val="0"/>
                <w:sz w:val="22"/>
              </w:rPr>
            </w:pPr>
            <w:r w:rsidRPr="0032590D">
              <w:rPr>
                <w:rFonts w:asciiTheme="minorHAnsi" w:hAnsiTheme="minorHAnsi" w:cstheme="minorHAnsi"/>
                <w:b w:val="0"/>
                <w:sz w:val="22"/>
                <w:szCs w:val="22"/>
              </w:rPr>
              <w:t xml:space="preserve">Should the mandate be subject to a dollar limit, time limit or combination limit? </w:t>
            </w:r>
            <w:r w:rsidR="0089284B" w:rsidRPr="0032590D">
              <w:rPr>
                <w:rFonts w:asciiTheme="minorHAnsi" w:hAnsiTheme="minorHAnsi" w:cstheme="minorHAnsi"/>
                <w:b w:val="0"/>
                <w:sz w:val="22"/>
                <w:szCs w:val="22"/>
              </w:rPr>
              <w:t>If so, what dollar and time limits should be imposed.</w:t>
            </w:r>
            <w:r w:rsidRPr="0032590D">
              <w:rPr>
                <w:rFonts w:asciiTheme="minorHAnsi" w:hAnsiTheme="minorHAnsi" w:cstheme="minorHAnsi"/>
                <w:b w:val="0"/>
                <w:sz w:val="22"/>
                <w:szCs w:val="22"/>
              </w:rPr>
              <w:t xml:space="preserve"> If not, what are alternative approaches?</w:t>
            </w:r>
          </w:p>
          <w:p w14:paraId="2A092D0E" w14:textId="0DB8CC46" w:rsidR="00EA427E" w:rsidRPr="0032590D" w:rsidRDefault="00EA427E" w:rsidP="003E1591">
            <w:pPr>
              <w:pStyle w:val="ListParagraph"/>
              <w:numPr>
                <w:ilvl w:val="0"/>
                <w:numId w:val="45"/>
              </w:numPr>
              <w:spacing w:before="96" w:after="96" w:line="259" w:lineRule="auto"/>
              <w:contextualSpacing w:val="0"/>
              <w:rPr>
                <w:rFonts w:asciiTheme="minorHAnsi" w:hAnsiTheme="minorHAnsi" w:cstheme="minorHAnsi"/>
              </w:rPr>
            </w:pPr>
            <w:r w:rsidRPr="0032590D">
              <w:rPr>
                <w:rFonts w:asciiTheme="minorHAnsi" w:hAnsiTheme="minorHAnsi" w:cstheme="minorHAnsi"/>
                <w:b w:val="0"/>
                <w:sz w:val="22"/>
              </w:rPr>
              <w:t xml:space="preserve">Do you have any </w:t>
            </w:r>
            <w:r w:rsidRPr="0032590D">
              <w:rPr>
                <w:rFonts w:asciiTheme="minorHAnsi" w:hAnsiTheme="minorHAnsi" w:cstheme="minorHAnsi"/>
                <w:b w:val="0"/>
                <w:sz w:val="22"/>
                <w:szCs w:val="22"/>
              </w:rPr>
              <w:t>other</w:t>
            </w:r>
            <w:r w:rsidRPr="0032590D">
              <w:rPr>
                <w:rFonts w:asciiTheme="minorHAnsi" w:hAnsiTheme="minorHAnsi" w:cstheme="minorHAnsi"/>
                <w:b w:val="0"/>
                <w:sz w:val="22"/>
              </w:rPr>
              <w:t xml:space="preserve"> comments on the proposed mandate scope and application, including its impact on regional, rural and remote communities?</w:t>
            </w:r>
          </w:p>
          <w:p w14:paraId="6BF739EF" w14:textId="77777777" w:rsidR="003E1591" w:rsidRPr="0032590D" w:rsidRDefault="003E1591" w:rsidP="003E1591">
            <w:pPr>
              <w:pStyle w:val="ListParagraph"/>
              <w:keepNext/>
              <w:numPr>
                <w:ilvl w:val="0"/>
                <w:numId w:val="45"/>
              </w:numPr>
              <w:spacing w:beforeLines="0" w:before="0" w:afterLines="0" w:line="259" w:lineRule="auto"/>
              <w:contextualSpacing w:val="0"/>
              <w:rPr>
                <w:rFonts w:asciiTheme="minorHAnsi" w:hAnsiTheme="minorHAnsi" w:cstheme="minorHAnsi"/>
                <w:b w:val="0"/>
                <w:bCs/>
                <w:sz w:val="22"/>
                <w:szCs w:val="22"/>
              </w:rPr>
            </w:pPr>
            <w:r w:rsidRPr="0032590D">
              <w:rPr>
                <w:rFonts w:asciiTheme="minorHAnsi" w:hAnsiTheme="minorHAnsi" w:cstheme="minorHAnsi"/>
                <w:b w:val="0"/>
                <w:bCs/>
                <w:sz w:val="22"/>
                <w:szCs w:val="22"/>
              </w:rPr>
              <w:t>What is the most effective way to educate businesses and consumers about the mandate?</w:t>
            </w:r>
          </w:p>
          <w:p w14:paraId="067684E8" w14:textId="77777777" w:rsidR="003E1591" w:rsidRPr="0032590D" w:rsidRDefault="003E1591" w:rsidP="003E1591">
            <w:pPr>
              <w:pStyle w:val="ListParagraph"/>
              <w:keepNext/>
              <w:numPr>
                <w:ilvl w:val="0"/>
                <w:numId w:val="45"/>
              </w:numPr>
              <w:spacing w:beforeLines="0" w:before="0" w:afterLines="0" w:line="259" w:lineRule="auto"/>
              <w:contextualSpacing w:val="0"/>
              <w:rPr>
                <w:rFonts w:asciiTheme="minorHAnsi" w:hAnsiTheme="minorHAnsi" w:cstheme="minorHAnsi"/>
                <w:b w:val="0"/>
                <w:bCs/>
                <w:sz w:val="22"/>
                <w:szCs w:val="22"/>
              </w:rPr>
            </w:pPr>
            <w:r w:rsidRPr="0032590D">
              <w:rPr>
                <w:rFonts w:asciiTheme="minorHAnsi" w:hAnsiTheme="minorHAnsi" w:cstheme="minorHAnsi"/>
                <w:b w:val="0"/>
                <w:bCs/>
                <w:sz w:val="22"/>
                <w:szCs w:val="22"/>
              </w:rPr>
              <w:t>How should the mandate be enforced?</w:t>
            </w:r>
          </w:p>
          <w:p w14:paraId="0BD56E29" w14:textId="77777777" w:rsidR="003E1591" w:rsidRPr="0032590D" w:rsidRDefault="003E1591" w:rsidP="003E1591">
            <w:pPr>
              <w:pStyle w:val="ListParagraph"/>
              <w:keepNext/>
              <w:numPr>
                <w:ilvl w:val="0"/>
                <w:numId w:val="45"/>
              </w:numPr>
              <w:spacing w:beforeLines="0" w:before="0" w:afterLines="0" w:line="259" w:lineRule="auto"/>
              <w:contextualSpacing w:val="0"/>
              <w:rPr>
                <w:rFonts w:asciiTheme="minorHAnsi" w:hAnsiTheme="minorHAnsi" w:cstheme="minorHAnsi"/>
                <w:b w:val="0"/>
                <w:bCs/>
                <w:sz w:val="22"/>
                <w:szCs w:val="22"/>
              </w:rPr>
            </w:pPr>
            <w:r w:rsidRPr="0032590D">
              <w:rPr>
                <w:rFonts w:asciiTheme="minorHAnsi" w:hAnsiTheme="minorHAnsi" w:cstheme="minorHAnsi"/>
                <w:b w:val="0"/>
                <w:bCs/>
                <w:sz w:val="22"/>
                <w:szCs w:val="22"/>
              </w:rPr>
              <w:t>Are supporting measures required in the cash-in-transit sector?</w:t>
            </w:r>
          </w:p>
          <w:p w14:paraId="15EFBF03" w14:textId="77777777" w:rsidR="003E1591" w:rsidRPr="0032590D" w:rsidRDefault="003E1591" w:rsidP="003E1591">
            <w:pPr>
              <w:pStyle w:val="ListParagraph"/>
              <w:keepNext/>
              <w:numPr>
                <w:ilvl w:val="0"/>
                <w:numId w:val="45"/>
              </w:numPr>
              <w:spacing w:beforeLines="0" w:before="0" w:afterLines="0" w:line="259" w:lineRule="auto"/>
              <w:contextualSpacing w:val="0"/>
              <w:rPr>
                <w:rFonts w:asciiTheme="minorHAnsi" w:hAnsiTheme="minorHAnsi" w:cstheme="minorHAnsi"/>
                <w:b w:val="0"/>
                <w:bCs/>
                <w:sz w:val="22"/>
                <w:szCs w:val="22"/>
              </w:rPr>
            </w:pPr>
            <w:r w:rsidRPr="0032590D">
              <w:rPr>
                <w:rFonts w:asciiTheme="minorHAnsi" w:hAnsiTheme="minorHAnsi" w:cstheme="minorHAnsi"/>
                <w:b w:val="0"/>
                <w:bCs/>
                <w:sz w:val="22"/>
                <w:szCs w:val="22"/>
              </w:rPr>
              <w:t>Are supporting measures required to maintain access to cash for businesses and consumers?</w:t>
            </w:r>
          </w:p>
          <w:p w14:paraId="3FA304AD" w14:textId="297F9EB2" w:rsidR="003E1591" w:rsidRPr="0032590D" w:rsidRDefault="003E1591" w:rsidP="003E1591">
            <w:pPr>
              <w:pStyle w:val="ListParagraph"/>
              <w:numPr>
                <w:ilvl w:val="0"/>
                <w:numId w:val="45"/>
              </w:numPr>
              <w:spacing w:before="96" w:after="96" w:line="259" w:lineRule="auto"/>
              <w:contextualSpacing w:val="0"/>
              <w:rPr>
                <w:rFonts w:asciiTheme="minorHAnsi" w:hAnsiTheme="minorHAnsi" w:cstheme="minorHAnsi"/>
              </w:rPr>
            </w:pPr>
            <w:r w:rsidRPr="0032590D">
              <w:rPr>
                <w:rFonts w:asciiTheme="minorHAnsi" w:hAnsiTheme="minorHAnsi" w:cstheme="minorHAnsi"/>
                <w:b w:val="0"/>
                <w:bCs/>
                <w:sz w:val="22"/>
                <w:szCs w:val="22"/>
              </w:rPr>
              <w:t>What metrics or data points are important to help monitor a cash acceptance mandate?</w:t>
            </w:r>
          </w:p>
          <w:p w14:paraId="6FC53038" w14:textId="77777777" w:rsidR="003E1591" w:rsidRPr="0032590D" w:rsidRDefault="003E1591" w:rsidP="003E1591">
            <w:pPr>
              <w:pStyle w:val="ListParagraph"/>
              <w:numPr>
                <w:ilvl w:val="0"/>
                <w:numId w:val="45"/>
              </w:numPr>
              <w:spacing w:beforeLines="0" w:before="0" w:afterLines="0" w:line="259" w:lineRule="auto"/>
              <w:contextualSpacing w:val="0"/>
              <w:rPr>
                <w:rFonts w:asciiTheme="minorHAnsi" w:hAnsiTheme="minorHAnsi" w:cstheme="minorHAnsi"/>
                <w:b w:val="0"/>
                <w:sz w:val="22"/>
                <w:szCs w:val="22"/>
              </w:rPr>
            </w:pPr>
            <w:r w:rsidRPr="0032590D">
              <w:rPr>
                <w:rFonts w:asciiTheme="minorHAnsi" w:hAnsiTheme="minorHAnsi" w:cstheme="minorHAnsi"/>
                <w:b w:val="0"/>
                <w:sz w:val="22"/>
                <w:szCs w:val="22"/>
              </w:rPr>
              <w:t>If you are able, please assist in quantifying the potential benefits of the mandate for consumers. If you are able, please assist in quantifying the potential costs of the mandate for businesses.</w:t>
            </w:r>
          </w:p>
          <w:p w14:paraId="0BA98CD8" w14:textId="15F46D33" w:rsidR="00EA427E" w:rsidRPr="0032590D" w:rsidRDefault="003E1591" w:rsidP="0073333D">
            <w:pPr>
              <w:pStyle w:val="ListParagraph"/>
              <w:numPr>
                <w:ilvl w:val="0"/>
                <w:numId w:val="45"/>
              </w:numPr>
              <w:spacing w:before="96" w:after="96" w:line="259" w:lineRule="auto"/>
              <w:contextualSpacing w:val="0"/>
              <w:rPr>
                <w:rFonts w:asciiTheme="minorHAnsi" w:hAnsiTheme="minorHAnsi" w:cstheme="minorHAnsi"/>
              </w:rPr>
            </w:pPr>
            <w:r w:rsidRPr="0032590D">
              <w:rPr>
                <w:rFonts w:asciiTheme="minorHAnsi" w:hAnsiTheme="minorHAnsi" w:cstheme="minorHAnsi"/>
                <w:b w:val="0"/>
                <w:sz w:val="22"/>
                <w:szCs w:val="22"/>
              </w:rPr>
              <w:t>Do you have views on the appropriate lead times required for the implementation of the proposed legislation? What are the considerations that may impact these lead times?</w:t>
            </w:r>
          </w:p>
        </w:tc>
      </w:tr>
    </w:tbl>
    <w:p w14:paraId="714C88B5" w14:textId="77777777" w:rsidR="0086055B" w:rsidRPr="0032590D" w:rsidRDefault="0086055B" w:rsidP="0086055B">
      <w:pPr>
        <w:spacing w:before="0" w:after="160" w:line="259" w:lineRule="auto"/>
      </w:pPr>
    </w:p>
    <w:p w14:paraId="19E3B41C" w14:textId="77777777" w:rsidR="00DE0A1D" w:rsidRPr="0032590D" w:rsidRDefault="00DE0A1D">
      <w:pPr>
        <w:spacing w:before="0" w:after="160" w:line="259" w:lineRule="auto"/>
        <w:sectPr w:rsidR="00DE0A1D" w:rsidRPr="0032590D" w:rsidSect="00716663">
          <w:footerReference w:type="default" r:id="rId22"/>
          <w:pgSz w:w="11906" w:h="16838" w:code="9"/>
          <w:pgMar w:top="1843" w:right="1418" w:bottom="1418" w:left="1418" w:header="709" w:footer="709" w:gutter="0"/>
          <w:cols w:space="708"/>
          <w:docGrid w:linePitch="360"/>
        </w:sectPr>
      </w:pPr>
    </w:p>
    <w:p w14:paraId="027587C8" w14:textId="68C30643" w:rsidR="00813254" w:rsidRPr="0032590D" w:rsidRDefault="00813254" w:rsidP="00813254">
      <w:pPr>
        <w:pStyle w:val="Heading1"/>
      </w:pPr>
      <w:bookmarkStart w:id="81" w:name="_Toc183137402"/>
      <w:r w:rsidRPr="0032590D">
        <w:t>Appendix B: Digital inclusion initiatives</w:t>
      </w:r>
      <w:bookmarkEnd w:id="81"/>
    </w:p>
    <w:p w14:paraId="71E6BF5F" w14:textId="77777777" w:rsidR="00813254" w:rsidRPr="0032590D" w:rsidRDefault="00813254" w:rsidP="00813254">
      <w:pPr>
        <w:pStyle w:val="Heading3"/>
      </w:pPr>
      <w:r w:rsidRPr="0032590D">
        <w:t>Overview</w:t>
      </w:r>
    </w:p>
    <w:p w14:paraId="747C7923" w14:textId="77777777" w:rsidR="00550916" w:rsidRPr="0032590D" w:rsidRDefault="00550916" w:rsidP="00550916">
      <w:r w:rsidRPr="0032590D">
        <w:t xml:space="preserve">In recognition of the difficulties that some groups in Australia are facing in accessing digital methods of payment both Government and industry are engaging in education, infrastructure, and outreach programs to enhance the digital capabilities of Australians. </w:t>
      </w:r>
    </w:p>
    <w:p w14:paraId="6640187E" w14:textId="77777777" w:rsidR="00550916" w:rsidRPr="0032590D" w:rsidRDefault="00550916" w:rsidP="00550916">
      <w:pPr>
        <w:pStyle w:val="Heading3"/>
      </w:pPr>
      <w:bookmarkStart w:id="82" w:name="_Toc152145804"/>
      <w:r w:rsidRPr="0032590D">
        <w:t>Government</w:t>
      </w:r>
      <w:bookmarkEnd w:id="82"/>
      <w:r w:rsidRPr="0032590D">
        <w:t xml:space="preserve"> </w:t>
      </w:r>
    </w:p>
    <w:p w14:paraId="43F87F74" w14:textId="77777777" w:rsidR="00550916" w:rsidRPr="0032590D" w:rsidRDefault="00550916" w:rsidP="00550916">
      <w:r w:rsidRPr="0032590D">
        <w:t xml:space="preserve">The Government’s </w:t>
      </w:r>
      <w:hyperlink r:id="rId23" w:history="1">
        <w:r w:rsidRPr="0032590D">
          <w:rPr>
            <w:rStyle w:val="Hyperlink"/>
          </w:rPr>
          <w:t>Be Connected</w:t>
        </w:r>
      </w:hyperlink>
      <w:r w:rsidRPr="0032590D">
        <w:t xml:space="preserve"> program aims to support all people aged over 50 in Australia to keep safe online and navigate evolving technology. </w:t>
      </w:r>
    </w:p>
    <w:p w14:paraId="2F3E4B46" w14:textId="77777777" w:rsidR="00550916" w:rsidRPr="0032590D" w:rsidRDefault="00550916" w:rsidP="00550916">
      <w:r w:rsidRPr="0032590D">
        <w:t xml:space="preserve">The Government’s </w:t>
      </w:r>
      <w:hyperlink r:id="rId24" w:tgtFrame="_blank" w:history="1">
        <w:r w:rsidRPr="0032590D">
          <w:rPr>
            <w:rStyle w:val="Hyperlink"/>
          </w:rPr>
          <w:t>Information, Linkages and Capacity Building Program</w:t>
        </w:r>
      </w:hyperlink>
      <w:r w:rsidRPr="0032590D">
        <w:t xml:space="preserve"> includes a focus on building the capacity of individuals to engage in community life, communicate their preferences and to make informed and independent decisions. </w:t>
      </w:r>
    </w:p>
    <w:p w14:paraId="03DA96DF" w14:textId="31FB6272" w:rsidR="00550916" w:rsidRPr="0032590D" w:rsidRDefault="00054429" w:rsidP="00550916">
      <w:r w:rsidRPr="0032590D">
        <w:t xml:space="preserve">Over 5 years to 2026-27, the </w:t>
      </w:r>
      <w:hyperlink r:id="rId25" w:history="1">
        <w:r w:rsidRPr="0032590D">
          <w:rPr>
            <w:rStyle w:val="Hyperlink"/>
          </w:rPr>
          <w:t>Better Connectivity Plan</w:t>
        </w:r>
      </w:hyperlink>
      <w:r w:rsidRPr="0032590D">
        <w:t xml:space="preserve"> is providing more than $1.1 billion toward telecommunications infrastructure and connectivity initiatives in regional and remote communities. This is providing infrastructure to help rural Australians realise the opportunities and meet the challenges presented by the digital economy revolution.</w:t>
      </w:r>
      <w:r w:rsidR="00550916" w:rsidRPr="0032590D">
        <w:t> </w:t>
      </w:r>
    </w:p>
    <w:p w14:paraId="73DAA5B3" w14:textId="77777777" w:rsidR="00550916" w:rsidRPr="0032590D" w:rsidRDefault="00550916" w:rsidP="00550916">
      <w:r w:rsidRPr="0032590D">
        <w:t xml:space="preserve">The Better Connectivity Plan also funds the </w:t>
      </w:r>
      <w:hyperlink r:id="rId26" w:history="1">
        <w:r w:rsidRPr="0032590D">
          <w:rPr>
            <w:rStyle w:val="Hyperlink"/>
          </w:rPr>
          <w:t>Regional Tech Hub</w:t>
        </w:r>
      </w:hyperlink>
      <w:r w:rsidRPr="0032590D">
        <w:t xml:space="preserve"> which assists people in regional and rural areas get connected and stay connected. Older people living in regional Australia may benefit from the Regional Tech Hub’s online information or contacting its helpdesk if they are having difficulty with connectivity. </w:t>
      </w:r>
    </w:p>
    <w:p w14:paraId="2613C92D" w14:textId="5539F0E6" w:rsidR="00550916" w:rsidRPr="0032590D" w:rsidRDefault="00550916" w:rsidP="00550916">
      <w:r w:rsidRPr="0032590D">
        <w:t xml:space="preserve">The First Nations Digital Inclusion Advisory Group (Advisory Group) was established in January 2023 to provide advice to the Minister for Communications on practical measures to support progress towards a 2026 target of equal levels of digital inclusion for Aboriginal and Torres Strait Islander peoples. An </w:t>
      </w:r>
      <w:hyperlink r:id="rId27" w:history="1">
        <w:r w:rsidRPr="0032590D">
          <w:rPr>
            <w:rStyle w:val="Hyperlink"/>
          </w:rPr>
          <w:t>initial report</w:t>
        </w:r>
      </w:hyperlink>
      <w:r w:rsidRPr="0032590D">
        <w:t xml:space="preserve"> by the Advisory Group was released in October 2023. Based on recommendations in this report, the Government has invested $68 million in the 2024-25 Budget to support </w:t>
      </w:r>
      <w:hyperlink r:id="rId28" w:anchor=":~:text=Based%20on%20the%20recommendations%20in,First%20Nations%20Digital%20Support%20Hub" w:history="1">
        <w:r w:rsidRPr="0032590D">
          <w:rPr>
            <w:rStyle w:val="Hyperlink"/>
          </w:rPr>
          <w:t>First Nations digital inclusion</w:t>
        </w:r>
      </w:hyperlink>
      <w:r w:rsidRPr="0032590D">
        <w:t xml:space="preserve">. </w:t>
      </w:r>
    </w:p>
    <w:p w14:paraId="601994A5" w14:textId="77777777" w:rsidR="00550916" w:rsidRPr="0032590D" w:rsidRDefault="00550916" w:rsidP="00550916">
      <w:r w:rsidRPr="0032590D">
        <w:t>As banks have reduced their physical branch counts, Australia Post, with its Bank@Post initiative has helped communities in regional and remote areas access basic banking and financial services through over 3,400 post offices, including over 1800 in regional and remote areas. The service includes cash and cheque deposits, cash withdrawals and balance enquiries.</w:t>
      </w:r>
    </w:p>
    <w:p w14:paraId="50685ADA" w14:textId="77777777" w:rsidR="00550916" w:rsidRPr="0032590D" w:rsidRDefault="00550916" w:rsidP="00550916">
      <w:pPr>
        <w:pStyle w:val="Heading3"/>
      </w:pPr>
      <w:bookmarkStart w:id="83" w:name="_Toc152145805"/>
      <w:r w:rsidRPr="0032590D">
        <w:t>Industry</w:t>
      </w:r>
      <w:bookmarkEnd w:id="83"/>
      <w:r w:rsidRPr="0032590D">
        <w:t xml:space="preserve"> </w:t>
      </w:r>
    </w:p>
    <w:p w14:paraId="6C2E7523" w14:textId="787C1A3E" w:rsidR="00AC65CD" w:rsidRPr="0032590D" w:rsidRDefault="00550916" w:rsidP="00550916">
      <w:r w:rsidRPr="0032590D">
        <w:t>Technological developments such as Star Link’s low Earth Orbit Satellites are showing potential to improve levels of connectivity in regional and remote Australia. Currently these plans are offered privately and require individuals to pay for access to the satellite, but there are considerations underway for Low Earth Orbit Satellites to be part of the Government’s solution to enhancing access to internet in regional and remote areas.</w:t>
      </w:r>
    </w:p>
    <w:p w14:paraId="585DAF7C" w14:textId="77777777" w:rsidR="00BF5EA1" w:rsidRPr="0032590D" w:rsidRDefault="00BF5EA1">
      <w:pPr>
        <w:spacing w:before="0" w:after="160" w:line="259" w:lineRule="auto"/>
      </w:pPr>
    </w:p>
    <w:p w14:paraId="3CEB906C" w14:textId="77777777" w:rsidR="00BF5EA1" w:rsidRPr="0032590D" w:rsidRDefault="00BF5EA1">
      <w:pPr>
        <w:spacing w:before="0" w:after="160" w:line="259" w:lineRule="auto"/>
      </w:pPr>
    </w:p>
    <w:p w14:paraId="652DD5A1" w14:textId="77777777" w:rsidR="00BF5EA1" w:rsidRPr="0032590D" w:rsidRDefault="00BF5EA1">
      <w:pPr>
        <w:spacing w:before="0" w:after="160" w:line="259" w:lineRule="auto"/>
        <w:sectPr w:rsidR="00BF5EA1" w:rsidRPr="0032590D" w:rsidSect="00716663">
          <w:pgSz w:w="11906" w:h="16838" w:code="9"/>
          <w:pgMar w:top="1843" w:right="1418" w:bottom="1418" w:left="1418" w:header="709" w:footer="709" w:gutter="0"/>
          <w:cols w:space="708"/>
          <w:docGrid w:linePitch="360"/>
        </w:sectPr>
      </w:pPr>
    </w:p>
    <w:p w14:paraId="57C02914" w14:textId="505EF89D" w:rsidR="00EE10AC" w:rsidRPr="0032590D" w:rsidRDefault="00EE10AC" w:rsidP="00EE10AC">
      <w:pPr>
        <w:pStyle w:val="Heading1"/>
      </w:pPr>
      <w:bookmarkStart w:id="84" w:name="_Toc183137403"/>
      <w:bookmarkStart w:id="85" w:name="_Hlk182134625"/>
      <w:r w:rsidRPr="0032590D">
        <w:t xml:space="preserve">Appendix </w:t>
      </w:r>
      <w:r w:rsidR="00813254" w:rsidRPr="0032590D">
        <w:t>C</w:t>
      </w:r>
      <w:r w:rsidR="008C355E" w:rsidRPr="0032590D">
        <w:t>:</w:t>
      </w:r>
      <w:r w:rsidRPr="0032590D">
        <w:t xml:space="preserve"> </w:t>
      </w:r>
      <w:r w:rsidR="004F4B19" w:rsidRPr="0032590D">
        <w:t xml:space="preserve">CPI </w:t>
      </w:r>
      <w:r w:rsidR="009951D3" w:rsidRPr="0032590D">
        <w:t>groups and components</w:t>
      </w:r>
      <w:bookmarkEnd w:id="84"/>
    </w:p>
    <w:bookmarkEnd w:id="85"/>
    <w:tbl>
      <w:tblPr>
        <w:tblW w:w="9628" w:type="dxa"/>
        <w:tblLook w:val="04A0" w:firstRow="1" w:lastRow="0" w:firstColumn="1" w:lastColumn="0" w:noHBand="0" w:noVBand="1"/>
      </w:tblPr>
      <w:tblGrid>
        <w:gridCol w:w="445"/>
        <w:gridCol w:w="2880"/>
        <w:gridCol w:w="1170"/>
        <w:gridCol w:w="1173"/>
        <w:gridCol w:w="1350"/>
        <w:gridCol w:w="1260"/>
        <w:gridCol w:w="1350"/>
      </w:tblGrid>
      <w:tr w:rsidR="00CC7D10" w:rsidRPr="0032590D" w14:paraId="669ED883" w14:textId="77777777" w:rsidTr="000107E2">
        <w:trPr>
          <w:trHeight w:val="249"/>
          <w:tblHeader/>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55862F69" w14:textId="77777777" w:rsidR="00E906FF" w:rsidRPr="0032590D" w:rsidRDefault="00E906FF" w:rsidP="00E906FF">
            <w:pPr>
              <w:spacing w:before="0" w:after="0"/>
              <w:rPr>
                <w:rFonts w:ascii="Arial" w:hAnsi="Arial" w:cs="Arial"/>
                <w:color w:val="000000" w:themeColor="text1"/>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17D5BB32" w14:textId="77777777" w:rsidR="00E906FF" w:rsidRPr="0032590D" w:rsidRDefault="00E906FF" w:rsidP="00E906FF">
            <w:pPr>
              <w:spacing w:before="0" w:after="0"/>
              <w:rPr>
                <w:rFonts w:ascii="Arial" w:hAnsi="Arial" w:cs="Arial"/>
                <w:color w:val="000000" w:themeColor="text1"/>
                <w:sz w:val="20"/>
              </w:rPr>
            </w:pPr>
          </w:p>
        </w:tc>
        <w:tc>
          <w:tcPr>
            <w:tcW w:w="2343" w:type="dxa"/>
            <w:gridSpan w:val="2"/>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7732CA29" w14:textId="5E549E6A" w:rsidR="00E906FF" w:rsidRPr="0032590D" w:rsidRDefault="00E906FF" w:rsidP="00E906FF">
            <w:pPr>
              <w:spacing w:before="0" w:after="0"/>
              <w:rPr>
                <w:rFonts w:ascii="Arial" w:hAnsi="Arial" w:cs="Arial"/>
                <w:color w:val="000000" w:themeColor="text1"/>
                <w:sz w:val="20"/>
              </w:rPr>
            </w:pPr>
            <w:r w:rsidRPr="0032590D">
              <w:rPr>
                <w:rFonts w:ascii="Arial" w:hAnsi="Arial" w:cs="Arial"/>
                <w:color w:val="000000" w:themeColor="text1"/>
                <w:sz w:val="20"/>
              </w:rPr>
              <w:t>ABS</w:t>
            </w:r>
          </w:p>
        </w:tc>
        <w:tc>
          <w:tcPr>
            <w:tcW w:w="3960" w:type="dxa"/>
            <w:gridSpan w:val="3"/>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14ED172D" w14:textId="4C993E2D" w:rsidR="00E906FF" w:rsidRPr="0032590D" w:rsidRDefault="00E906FF" w:rsidP="00E906FF">
            <w:pPr>
              <w:spacing w:before="0" w:after="0"/>
              <w:rPr>
                <w:rFonts w:ascii="Arial" w:hAnsi="Arial" w:cs="Arial"/>
                <w:color w:val="000000" w:themeColor="text1"/>
                <w:sz w:val="20"/>
              </w:rPr>
            </w:pPr>
            <w:r w:rsidRPr="0032590D">
              <w:rPr>
                <w:rFonts w:ascii="Arial" w:hAnsi="Arial" w:cs="Arial"/>
                <w:color w:val="000000" w:themeColor="text1"/>
                <w:sz w:val="20"/>
              </w:rPr>
              <w:t>Melbourne Institute</w:t>
            </w:r>
          </w:p>
        </w:tc>
      </w:tr>
      <w:tr w:rsidR="00CC7D10" w:rsidRPr="0032590D" w14:paraId="5818E87D" w14:textId="77777777" w:rsidTr="004F6A63">
        <w:trPr>
          <w:trHeight w:val="424"/>
          <w:tblHeader/>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76E4F825" w14:textId="77777777" w:rsidR="00E906FF" w:rsidRPr="0032590D" w:rsidRDefault="00E906FF" w:rsidP="00E906FF">
            <w:pPr>
              <w:spacing w:before="0" w:after="0"/>
              <w:rPr>
                <w:rFonts w:ascii="Arial" w:hAnsi="Arial" w:cs="Arial"/>
                <w:color w:val="000000" w:themeColor="text1"/>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4910AC7C" w14:textId="77777777" w:rsidR="00E906FF" w:rsidRPr="0032590D" w:rsidRDefault="00E906FF" w:rsidP="00E906FF">
            <w:pPr>
              <w:spacing w:before="0" w:after="0"/>
              <w:rPr>
                <w:rFonts w:ascii="Arial" w:hAnsi="Arial" w:cs="Arial"/>
                <w:color w:val="000000" w:themeColor="text1"/>
                <w:sz w:val="20"/>
              </w:rPr>
            </w:pP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vAlign w:val="bottom"/>
            <w:hideMark/>
          </w:tcPr>
          <w:p w14:paraId="1FB5F36E" w14:textId="3D80F227" w:rsidR="00E906FF" w:rsidRPr="0032590D" w:rsidRDefault="00E906FF" w:rsidP="00E906FF">
            <w:pPr>
              <w:spacing w:before="0" w:after="0"/>
              <w:rPr>
                <w:rFonts w:ascii="Arial Narrow" w:hAnsi="Arial Narrow" w:cs="Arial"/>
                <w:color w:val="000000" w:themeColor="text1"/>
                <w:sz w:val="20"/>
              </w:rPr>
            </w:pPr>
            <w:r w:rsidRPr="0032590D">
              <w:rPr>
                <w:rFonts w:ascii="Arial Narrow" w:hAnsi="Arial Narrow" w:cs="Arial"/>
                <w:color w:val="000000" w:themeColor="text1"/>
                <w:sz w:val="20"/>
              </w:rPr>
              <w:t>Non-discretionary</w:t>
            </w: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vAlign w:val="bottom"/>
            <w:hideMark/>
          </w:tcPr>
          <w:p w14:paraId="22488965" w14:textId="77777777" w:rsidR="00E906FF" w:rsidRPr="0032590D" w:rsidRDefault="00E906FF" w:rsidP="00E906FF">
            <w:pPr>
              <w:spacing w:before="0" w:after="0"/>
              <w:rPr>
                <w:rFonts w:ascii="Arial Narrow" w:hAnsi="Arial Narrow" w:cs="Arial"/>
                <w:color w:val="000000" w:themeColor="text1"/>
                <w:sz w:val="20"/>
              </w:rPr>
            </w:pPr>
            <w:r w:rsidRPr="0032590D">
              <w:rPr>
                <w:rFonts w:ascii="Arial Narrow" w:hAnsi="Arial Narrow" w:cs="Arial"/>
                <w:color w:val="000000" w:themeColor="text1"/>
                <w:sz w:val="20"/>
              </w:rPr>
              <w:t>Discretionary</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vAlign w:val="bottom"/>
            <w:hideMark/>
          </w:tcPr>
          <w:p w14:paraId="53CBB7A4" w14:textId="77777777" w:rsidR="00E906FF" w:rsidRPr="0032590D" w:rsidRDefault="00E906FF" w:rsidP="00E906FF">
            <w:pPr>
              <w:spacing w:before="0" w:after="0"/>
              <w:rPr>
                <w:rFonts w:ascii="Arial Narrow" w:hAnsi="Arial Narrow" w:cs="Arial"/>
                <w:color w:val="000000" w:themeColor="text1"/>
                <w:sz w:val="20"/>
              </w:rPr>
            </w:pPr>
            <w:r w:rsidRPr="0032590D">
              <w:rPr>
                <w:rFonts w:ascii="Arial Narrow" w:hAnsi="Arial Narrow" w:cs="Arial"/>
                <w:color w:val="000000" w:themeColor="text1"/>
                <w:sz w:val="20"/>
              </w:rPr>
              <w:t>Absolute basic need</w:t>
            </w: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vAlign w:val="bottom"/>
            <w:hideMark/>
          </w:tcPr>
          <w:p w14:paraId="4950E126" w14:textId="77777777" w:rsidR="00E906FF" w:rsidRPr="0032590D" w:rsidRDefault="00E906FF" w:rsidP="00E906FF">
            <w:pPr>
              <w:spacing w:before="0" w:after="0"/>
              <w:rPr>
                <w:rFonts w:ascii="Arial Narrow" w:hAnsi="Arial Narrow" w:cs="Arial"/>
                <w:color w:val="000000" w:themeColor="text1"/>
                <w:sz w:val="20"/>
              </w:rPr>
            </w:pPr>
            <w:r w:rsidRPr="0032590D">
              <w:rPr>
                <w:rFonts w:ascii="Arial Narrow" w:hAnsi="Arial Narrow" w:cs="Arial"/>
                <w:color w:val="000000" w:themeColor="text1"/>
                <w:sz w:val="20"/>
              </w:rPr>
              <w:t>Discretionary basics</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vAlign w:val="bottom"/>
            <w:hideMark/>
          </w:tcPr>
          <w:p w14:paraId="3EDA4F17" w14:textId="77777777" w:rsidR="00E906FF" w:rsidRPr="0032590D" w:rsidRDefault="00E906FF" w:rsidP="00E906FF">
            <w:pPr>
              <w:spacing w:before="0" w:after="0"/>
              <w:rPr>
                <w:rFonts w:ascii="Arial Narrow" w:hAnsi="Arial Narrow" w:cs="Arial"/>
                <w:color w:val="000000" w:themeColor="text1"/>
                <w:sz w:val="20"/>
              </w:rPr>
            </w:pPr>
            <w:r w:rsidRPr="0032590D">
              <w:rPr>
                <w:rFonts w:ascii="Arial Narrow" w:hAnsi="Arial Narrow" w:cs="Arial"/>
                <w:color w:val="000000" w:themeColor="text1"/>
                <w:sz w:val="20"/>
              </w:rPr>
              <w:t>Non-basics</w:t>
            </w:r>
          </w:p>
        </w:tc>
      </w:tr>
      <w:tr w:rsidR="00CB6ADE" w:rsidRPr="0032590D" w14:paraId="0E32BEAE" w14:textId="77777777" w:rsidTr="004463AC">
        <w:trPr>
          <w:trHeight w:val="249"/>
        </w:trPr>
        <w:tc>
          <w:tcPr>
            <w:tcW w:w="9628" w:type="dxa"/>
            <w:gridSpan w:val="7"/>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55072567" w14:textId="41717D91" w:rsidR="00CB6ADE" w:rsidRPr="0032590D" w:rsidRDefault="00CB6ADE" w:rsidP="00E906FF">
            <w:pPr>
              <w:spacing w:before="0" w:after="0"/>
              <w:rPr>
                <w:rFonts w:ascii="Arial" w:hAnsi="Arial" w:cs="Arial"/>
                <w:b/>
                <w:bCs/>
                <w:sz w:val="20"/>
              </w:rPr>
            </w:pPr>
            <w:r w:rsidRPr="0032590D">
              <w:rPr>
                <w:rFonts w:ascii="Arial" w:hAnsi="Arial" w:cs="Arial"/>
                <w:b/>
                <w:bCs/>
                <w:color w:val="000000"/>
                <w:sz w:val="20"/>
              </w:rPr>
              <w:t>FOOD AND NON-ALCOHOLIC BEVERAGES</w:t>
            </w:r>
          </w:p>
        </w:tc>
      </w:tr>
      <w:tr w:rsidR="00CB6ADE" w:rsidRPr="0032590D" w14:paraId="2B30AD49" w14:textId="77777777" w:rsidTr="00021D0F">
        <w:trPr>
          <w:trHeight w:val="249"/>
        </w:trPr>
        <w:tc>
          <w:tcPr>
            <w:tcW w:w="9628" w:type="dxa"/>
            <w:gridSpan w:val="7"/>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002F21CF" w14:textId="05D5C86F" w:rsidR="00CB6ADE" w:rsidRPr="0032590D" w:rsidRDefault="00CB6ADE" w:rsidP="00E906FF">
            <w:pPr>
              <w:spacing w:before="0" w:after="0"/>
              <w:rPr>
                <w:rFonts w:ascii="Arial" w:hAnsi="Arial" w:cs="Arial"/>
                <w:sz w:val="20"/>
              </w:rPr>
            </w:pPr>
            <w:r w:rsidRPr="0032590D">
              <w:rPr>
                <w:rFonts w:ascii="Arial" w:hAnsi="Arial" w:cs="Arial"/>
                <w:color w:val="000000"/>
                <w:sz w:val="20"/>
              </w:rPr>
              <w:t>Bread and cereal products</w:t>
            </w:r>
          </w:p>
        </w:tc>
      </w:tr>
      <w:tr w:rsidR="004463AC" w:rsidRPr="0032590D" w14:paraId="74079285" w14:textId="77777777" w:rsidTr="004463AC">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05748E02"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6378A556"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Bread</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266BC071"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0EC26D9F"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53F41393"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559FCBB0"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6E55FE3E" w14:textId="77777777" w:rsidR="00E906FF" w:rsidRPr="0032590D" w:rsidRDefault="00E906FF" w:rsidP="00E906FF">
            <w:pPr>
              <w:spacing w:before="0" w:after="0"/>
              <w:rPr>
                <w:rFonts w:ascii="Arial" w:hAnsi="Arial" w:cs="Arial"/>
                <w:sz w:val="20"/>
              </w:rPr>
            </w:pPr>
          </w:p>
        </w:tc>
      </w:tr>
      <w:tr w:rsidR="0035675C" w:rsidRPr="0032590D" w14:paraId="3BAF605D" w14:textId="77777777" w:rsidTr="000107E2">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618CFE36"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79014E3B"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Cakes and biscuits</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42232DDC" w14:textId="77777777" w:rsidR="00E906FF" w:rsidRPr="0032590D" w:rsidRDefault="00E906FF" w:rsidP="00E906FF">
            <w:pPr>
              <w:spacing w:before="0" w:after="0"/>
              <w:rPr>
                <w:rFonts w:ascii="Arial" w:hAnsi="Arial" w:cs="Arial"/>
                <w:color w:val="000000"/>
                <w:sz w:val="20"/>
              </w:rPr>
            </w:pP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5AA337A6"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429AB645" w14:textId="77777777" w:rsidR="00E906FF" w:rsidRPr="0032590D" w:rsidRDefault="00E906FF" w:rsidP="00E906FF">
            <w:pPr>
              <w:spacing w:before="0" w:after="0"/>
              <w:rPr>
                <w:rFonts w:ascii="Arial" w:hAnsi="Arial" w:cs="Arial"/>
                <w:color w:val="000000"/>
                <w:sz w:val="20"/>
              </w:rPr>
            </w:pP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444F3C2C"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2EC44C49" w14:textId="77777777" w:rsidR="00E906FF" w:rsidRPr="0032590D" w:rsidRDefault="00E906FF" w:rsidP="00E906FF">
            <w:pPr>
              <w:spacing w:before="0" w:after="0"/>
              <w:rPr>
                <w:rFonts w:ascii="Arial" w:hAnsi="Arial" w:cs="Arial"/>
                <w:color w:val="000000"/>
                <w:sz w:val="20"/>
              </w:rPr>
            </w:pPr>
          </w:p>
        </w:tc>
      </w:tr>
      <w:tr w:rsidR="004463AC" w:rsidRPr="0032590D" w14:paraId="6F38C83C" w14:textId="77777777" w:rsidTr="004463AC">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5210B370"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65C0BFDA"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Breakfast cereals</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2E8D0B2D"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73F29649"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3C7C5FA9"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0A6EBB07"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5509ACD8" w14:textId="77777777" w:rsidR="00E906FF" w:rsidRPr="0032590D" w:rsidRDefault="00E906FF" w:rsidP="00E906FF">
            <w:pPr>
              <w:spacing w:before="0" w:after="0"/>
              <w:rPr>
                <w:rFonts w:ascii="Arial" w:hAnsi="Arial" w:cs="Arial"/>
                <w:sz w:val="20"/>
              </w:rPr>
            </w:pPr>
          </w:p>
        </w:tc>
      </w:tr>
      <w:tr w:rsidR="0035675C" w:rsidRPr="0032590D" w14:paraId="123ADB3D" w14:textId="77777777" w:rsidTr="000107E2">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7066A9F8"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2D9378D2"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Other cereal products</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0D8ECF28"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3AADF438"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3E7ED525"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22C3CD40"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4CA5DDCD" w14:textId="77777777" w:rsidR="00E906FF" w:rsidRPr="0032590D" w:rsidRDefault="00E906FF" w:rsidP="00E906FF">
            <w:pPr>
              <w:spacing w:before="0" w:after="0"/>
              <w:rPr>
                <w:rFonts w:ascii="Arial" w:hAnsi="Arial" w:cs="Arial"/>
                <w:sz w:val="20"/>
              </w:rPr>
            </w:pPr>
          </w:p>
        </w:tc>
      </w:tr>
      <w:tr w:rsidR="00CB6ADE" w:rsidRPr="0032590D" w14:paraId="2F622E0C" w14:textId="77777777" w:rsidTr="004463AC">
        <w:trPr>
          <w:trHeight w:val="249"/>
        </w:trPr>
        <w:tc>
          <w:tcPr>
            <w:tcW w:w="9628" w:type="dxa"/>
            <w:gridSpan w:val="7"/>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7B3EB2E6" w14:textId="46CAC69F" w:rsidR="00CB6ADE" w:rsidRPr="0032590D" w:rsidRDefault="00CB6ADE" w:rsidP="00E906FF">
            <w:pPr>
              <w:spacing w:before="0" w:after="0"/>
              <w:rPr>
                <w:rFonts w:ascii="Arial" w:hAnsi="Arial" w:cs="Arial"/>
                <w:sz w:val="20"/>
              </w:rPr>
            </w:pPr>
            <w:r w:rsidRPr="0032590D">
              <w:rPr>
                <w:rFonts w:ascii="Arial" w:hAnsi="Arial" w:cs="Arial"/>
                <w:color w:val="000000"/>
                <w:sz w:val="20"/>
              </w:rPr>
              <w:t>Meat and seafoods</w:t>
            </w:r>
          </w:p>
        </w:tc>
      </w:tr>
      <w:tr w:rsidR="0035675C" w:rsidRPr="0032590D" w14:paraId="28429333" w14:textId="77777777" w:rsidTr="000107E2">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648D4C03"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1BA9FE23"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Beef and veal</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63873F88"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569D34CC"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67FF61A1"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4B51506E"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098757DE" w14:textId="77777777" w:rsidR="00E906FF" w:rsidRPr="0032590D" w:rsidRDefault="00E906FF" w:rsidP="00E906FF">
            <w:pPr>
              <w:spacing w:before="0" w:after="0"/>
              <w:rPr>
                <w:rFonts w:ascii="Arial" w:hAnsi="Arial" w:cs="Arial"/>
                <w:sz w:val="20"/>
              </w:rPr>
            </w:pPr>
          </w:p>
        </w:tc>
      </w:tr>
      <w:tr w:rsidR="004463AC" w:rsidRPr="0032590D" w14:paraId="112CE897" w14:textId="77777777" w:rsidTr="004463AC">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1D15E42C"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6BDF1AE3"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Pork</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69176B6D"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42812344"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6F32CC67"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0AD8906B"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31291C3C" w14:textId="77777777" w:rsidR="00E906FF" w:rsidRPr="0032590D" w:rsidRDefault="00E906FF" w:rsidP="00E906FF">
            <w:pPr>
              <w:spacing w:before="0" w:after="0"/>
              <w:rPr>
                <w:rFonts w:ascii="Arial" w:hAnsi="Arial" w:cs="Arial"/>
                <w:sz w:val="20"/>
              </w:rPr>
            </w:pPr>
          </w:p>
        </w:tc>
      </w:tr>
      <w:tr w:rsidR="0035675C" w:rsidRPr="0032590D" w14:paraId="4EF8CF33" w14:textId="77777777" w:rsidTr="000107E2">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02E3A494"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722D6C52"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Lamb and goat</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53A18C96"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779B3E91"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19BC25FB"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6209D7D6"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2EAA1BCA" w14:textId="77777777" w:rsidR="00E906FF" w:rsidRPr="0032590D" w:rsidRDefault="00E906FF" w:rsidP="00E906FF">
            <w:pPr>
              <w:spacing w:before="0" w:after="0"/>
              <w:rPr>
                <w:rFonts w:ascii="Arial" w:hAnsi="Arial" w:cs="Arial"/>
                <w:sz w:val="20"/>
              </w:rPr>
            </w:pPr>
          </w:p>
        </w:tc>
      </w:tr>
      <w:tr w:rsidR="004463AC" w:rsidRPr="0032590D" w14:paraId="742E0DF8" w14:textId="77777777" w:rsidTr="004463AC">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3A31C7EC"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22CF6DE5"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Poultry</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0AB7B6C6"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44EB6F78"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17202883"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47BEDBDE"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0005A8EC" w14:textId="77777777" w:rsidR="00E906FF" w:rsidRPr="0032590D" w:rsidRDefault="00E906FF" w:rsidP="00E906FF">
            <w:pPr>
              <w:spacing w:before="0" w:after="0"/>
              <w:rPr>
                <w:rFonts w:ascii="Arial" w:hAnsi="Arial" w:cs="Arial"/>
                <w:sz w:val="20"/>
              </w:rPr>
            </w:pPr>
          </w:p>
        </w:tc>
      </w:tr>
      <w:tr w:rsidR="0035675C" w:rsidRPr="0032590D" w14:paraId="77F1A49E" w14:textId="77777777" w:rsidTr="000107E2">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25DAD1B1"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56AB389C"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Other meats</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01A79330"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14C65C1A"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18C805C0"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4C914D7C"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7D566F1D" w14:textId="77777777" w:rsidR="00E906FF" w:rsidRPr="0032590D" w:rsidRDefault="00E906FF" w:rsidP="00E906FF">
            <w:pPr>
              <w:spacing w:before="0" w:after="0"/>
              <w:rPr>
                <w:rFonts w:ascii="Arial" w:hAnsi="Arial" w:cs="Arial"/>
                <w:sz w:val="20"/>
              </w:rPr>
            </w:pPr>
          </w:p>
        </w:tc>
      </w:tr>
      <w:tr w:rsidR="004463AC" w:rsidRPr="0032590D" w14:paraId="4E3FB7CC" w14:textId="77777777" w:rsidTr="004463AC">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0C452F9F"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5540A1BB"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Fish and other seafood</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2B895AE7"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4F710CD6"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3F063B12"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6D14E665"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55D7AE1F" w14:textId="77777777" w:rsidR="00E906FF" w:rsidRPr="0032590D" w:rsidRDefault="00E906FF" w:rsidP="00E906FF">
            <w:pPr>
              <w:spacing w:before="0" w:after="0"/>
              <w:rPr>
                <w:rFonts w:ascii="Arial" w:hAnsi="Arial" w:cs="Arial"/>
                <w:sz w:val="20"/>
              </w:rPr>
            </w:pPr>
          </w:p>
        </w:tc>
      </w:tr>
      <w:tr w:rsidR="00CB6ADE" w:rsidRPr="0032590D" w14:paraId="3D2E8758" w14:textId="77777777" w:rsidTr="00021D0F">
        <w:trPr>
          <w:trHeight w:val="249"/>
        </w:trPr>
        <w:tc>
          <w:tcPr>
            <w:tcW w:w="9628" w:type="dxa"/>
            <w:gridSpan w:val="7"/>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22309771" w14:textId="5AC11978" w:rsidR="00CB6ADE" w:rsidRPr="0032590D" w:rsidRDefault="00CB6ADE" w:rsidP="00E906FF">
            <w:pPr>
              <w:spacing w:before="0" w:after="0"/>
              <w:rPr>
                <w:rFonts w:ascii="Arial" w:hAnsi="Arial" w:cs="Arial"/>
                <w:sz w:val="20"/>
              </w:rPr>
            </w:pPr>
            <w:r w:rsidRPr="0032590D">
              <w:rPr>
                <w:rFonts w:ascii="Arial" w:hAnsi="Arial" w:cs="Arial"/>
                <w:color w:val="000000"/>
                <w:sz w:val="20"/>
              </w:rPr>
              <w:t>Dairy and related products</w:t>
            </w:r>
          </w:p>
        </w:tc>
      </w:tr>
      <w:tr w:rsidR="004463AC" w:rsidRPr="0032590D" w14:paraId="16AA35D8" w14:textId="77777777" w:rsidTr="004463AC">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3D0B04C6"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6AC2F68B"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Milk</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547931CC"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48785040"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4AAB8BBA"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321C4EAA"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03029F69" w14:textId="77777777" w:rsidR="00E906FF" w:rsidRPr="0032590D" w:rsidRDefault="00E906FF" w:rsidP="00E906FF">
            <w:pPr>
              <w:spacing w:before="0" w:after="0"/>
              <w:rPr>
                <w:rFonts w:ascii="Arial" w:hAnsi="Arial" w:cs="Arial"/>
                <w:sz w:val="20"/>
              </w:rPr>
            </w:pPr>
          </w:p>
        </w:tc>
      </w:tr>
      <w:tr w:rsidR="0035675C" w:rsidRPr="0032590D" w14:paraId="5C4D93A5" w14:textId="77777777" w:rsidTr="000107E2">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1AE069E1"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2E4A8F04"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Cheese</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7D5D61B8"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027AC4D0"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3ADD0181"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4B8F9692"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5E902E50" w14:textId="77777777" w:rsidR="00E906FF" w:rsidRPr="0032590D" w:rsidRDefault="00E906FF" w:rsidP="00E906FF">
            <w:pPr>
              <w:spacing w:before="0" w:after="0"/>
              <w:rPr>
                <w:rFonts w:ascii="Arial" w:hAnsi="Arial" w:cs="Arial"/>
                <w:sz w:val="20"/>
              </w:rPr>
            </w:pPr>
          </w:p>
        </w:tc>
      </w:tr>
      <w:tr w:rsidR="004463AC" w:rsidRPr="0032590D" w14:paraId="7CECC23E" w14:textId="77777777" w:rsidTr="004463AC">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2725FFF4"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77D8F367"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Ice cream and other dairy products</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58FEA65C" w14:textId="77777777" w:rsidR="00E906FF" w:rsidRPr="0032590D" w:rsidRDefault="00E906FF" w:rsidP="00E906FF">
            <w:pPr>
              <w:spacing w:before="0" w:after="0"/>
              <w:rPr>
                <w:rFonts w:ascii="Arial" w:hAnsi="Arial" w:cs="Arial"/>
                <w:color w:val="000000"/>
                <w:sz w:val="20"/>
              </w:rPr>
            </w:pP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3C40FFA6"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249C502F" w14:textId="77777777" w:rsidR="00E906FF" w:rsidRPr="0032590D" w:rsidRDefault="00E906FF" w:rsidP="00E906FF">
            <w:pPr>
              <w:spacing w:before="0" w:after="0"/>
              <w:rPr>
                <w:rFonts w:ascii="Arial" w:hAnsi="Arial" w:cs="Arial"/>
                <w:color w:val="000000"/>
                <w:sz w:val="20"/>
              </w:rPr>
            </w:pP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1BBCDC7D"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376370D7" w14:textId="77777777" w:rsidR="00E906FF" w:rsidRPr="0032590D" w:rsidRDefault="00E906FF" w:rsidP="00E906FF">
            <w:pPr>
              <w:spacing w:before="0" w:after="0"/>
              <w:rPr>
                <w:rFonts w:ascii="Arial" w:hAnsi="Arial" w:cs="Arial"/>
                <w:color w:val="000000"/>
                <w:sz w:val="20"/>
              </w:rPr>
            </w:pPr>
          </w:p>
        </w:tc>
      </w:tr>
      <w:tr w:rsidR="00CB6ADE" w:rsidRPr="0032590D" w14:paraId="0F8767A8" w14:textId="77777777" w:rsidTr="00021D0F">
        <w:trPr>
          <w:trHeight w:val="249"/>
        </w:trPr>
        <w:tc>
          <w:tcPr>
            <w:tcW w:w="9628" w:type="dxa"/>
            <w:gridSpan w:val="7"/>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50D8281B" w14:textId="59C84236" w:rsidR="00CB6ADE" w:rsidRPr="0032590D" w:rsidRDefault="00CB6ADE" w:rsidP="00E906FF">
            <w:pPr>
              <w:spacing w:before="0" w:after="0"/>
              <w:rPr>
                <w:rFonts w:ascii="Arial" w:hAnsi="Arial" w:cs="Arial"/>
                <w:sz w:val="20"/>
              </w:rPr>
            </w:pPr>
            <w:r w:rsidRPr="0032590D">
              <w:rPr>
                <w:rFonts w:ascii="Arial" w:hAnsi="Arial" w:cs="Arial"/>
                <w:color w:val="000000"/>
                <w:sz w:val="20"/>
              </w:rPr>
              <w:t>Fruit and vegetables</w:t>
            </w:r>
          </w:p>
        </w:tc>
      </w:tr>
      <w:tr w:rsidR="004463AC" w:rsidRPr="0032590D" w14:paraId="1268FA00" w14:textId="77777777" w:rsidTr="004463AC">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58A05552"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19F61AF6"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Fruit</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1174FFA0"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507F4FB3"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3F21772B"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01E5911B"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5EFC5C2C" w14:textId="77777777" w:rsidR="00E906FF" w:rsidRPr="0032590D" w:rsidRDefault="00E906FF" w:rsidP="00E906FF">
            <w:pPr>
              <w:spacing w:before="0" w:after="0"/>
              <w:rPr>
                <w:rFonts w:ascii="Arial" w:hAnsi="Arial" w:cs="Arial"/>
                <w:sz w:val="20"/>
              </w:rPr>
            </w:pPr>
          </w:p>
        </w:tc>
      </w:tr>
      <w:tr w:rsidR="0035675C" w:rsidRPr="0032590D" w14:paraId="69A03BCB" w14:textId="77777777" w:rsidTr="000107E2">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604B9FB3"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503A7DBA"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Vegetables</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6EF63164"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75D1CDF3"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0CD6D09A"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280D5806"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22F69AE0" w14:textId="77777777" w:rsidR="00E906FF" w:rsidRPr="0032590D" w:rsidRDefault="00E906FF" w:rsidP="00E906FF">
            <w:pPr>
              <w:spacing w:before="0" w:after="0"/>
              <w:rPr>
                <w:rFonts w:ascii="Arial" w:hAnsi="Arial" w:cs="Arial"/>
                <w:sz w:val="20"/>
              </w:rPr>
            </w:pPr>
          </w:p>
        </w:tc>
      </w:tr>
      <w:tr w:rsidR="00CB6ADE" w:rsidRPr="0032590D" w14:paraId="260C8837" w14:textId="77777777" w:rsidTr="004463AC">
        <w:trPr>
          <w:trHeight w:val="249"/>
        </w:trPr>
        <w:tc>
          <w:tcPr>
            <w:tcW w:w="9628" w:type="dxa"/>
            <w:gridSpan w:val="7"/>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1BA50DBB" w14:textId="79957351" w:rsidR="00CB6ADE" w:rsidRPr="0032590D" w:rsidRDefault="00CB6ADE" w:rsidP="00E906FF">
            <w:pPr>
              <w:spacing w:before="0" w:after="0"/>
              <w:rPr>
                <w:rFonts w:ascii="Arial" w:hAnsi="Arial" w:cs="Arial"/>
                <w:sz w:val="20"/>
              </w:rPr>
            </w:pPr>
            <w:r w:rsidRPr="0032590D">
              <w:rPr>
                <w:rFonts w:ascii="Arial" w:hAnsi="Arial" w:cs="Arial"/>
                <w:color w:val="000000"/>
                <w:sz w:val="20"/>
              </w:rPr>
              <w:t>Food products n.e.c.</w:t>
            </w:r>
          </w:p>
        </w:tc>
      </w:tr>
      <w:tr w:rsidR="0035675C" w:rsidRPr="0032590D" w14:paraId="0B8187A2" w14:textId="77777777" w:rsidTr="000107E2">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49D2722F"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29734480"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Eggs</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4617AAA8"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14FAC5CD"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738309FC"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0522F173"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289587A5" w14:textId="77777777" w:rsidR="00E906FF" w:rsidRPr="0032590D" w:rsidRDefault="00E906FF" w:rsidP="00E906FF">
            <w:pPr>
              <w:spacing w:before="0" w:after="0"/>
              <w:rPr>
                <w:rFonts w:ascii="Arial" w:hAnsi="Arial" w:cs="Arial"/>
                <w:sz w:val="20"/>
              </w:rPr>
            </w:pPr>
          </w:p>
        </w:tc>
      </w:tr>
      <w:tr w:rsidR="004463AC" w:rsidRPr="0032590D" w14:paraId="7ED146F4" w14:textId="77777777" w:rsidTr="004463AC">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033CF84B"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550E0FB0"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Jams, honey and spreads</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177CC6DB"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28E589F7"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08EA8A5F"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28CB167C"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122A60D3" w14:textId="77777777" w:rsidR="00E906FF" w:rsidRPr="0032590D" w:rsidRDefault="00E906FF" w:rsidP="00E906FF">
            <w:pPr>
              <w:spacing w:before="0" w:after="0"/>
              <w:rPr>
                <w:rFonts w:ascii="Arial" w:hAnsi="Arial" w:cs="Arial"/>
                <w:sz w:val="20"/>
              </w:rPr>
            </w:pPr>
          </w:p>
        </w:tc>
      </w:tr>
      <w:tr w:rsidR="0035675C" w:rsidRPr="0032590D" w14:paraId="13448ED9" w14:textId="77777777" w:rsidTr="000107E2">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3D9C09B5"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262D4364"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Food additives and condiments</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317F169D"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73936338"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7852418B"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06A96869"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2C1741D0" w14:textId="77777777" w:rsidR="00E906FF" w:rsidRPr="0032590D" w:rsidRDefault="00E906FF" w:rsidP="00E906FF">
            <w:pPr>
              <w:spacing w:before="0" w:after="0"/>
              <w:rPr>
                <w:rFonts w:ascii="Arial" w:hAnsi="Arial" w:cs="Arial"/>
                <w:sz w:val="20"/>
              </w:rPr>
            </w:pPr>
          </w:p>
        </w:tc>
      </w:tr>
      <w:tr w:rsidR="004463AC" w:rsidRPr="0032590D" w14:paraId="0D5485F9" w14:textId="77777777" w:rsidTr="004463AC">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4828DCD8"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62AD2548"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Oils and fats</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277C1AB1"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5F18C27A"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53E9BBC7"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48D5ABFE"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4833FBED" w14:textId="77777777" w:rsidR="00E906FF" w:rsidRPr="0032590D" w:rsidRDefault="00E906FF" w:rsidP="00E906FF">
            <w:pPr>
              <w:spacing w:before="0" w:after="0"/>
              <w:rPr>
                <w:rFonts w:ascii="Arial" w:hAnsi="Arial" w:cs="Arial"/>
                <w:sz w:val="20"/>
              </w:rPr>
            </w:pPr>
          </w:p>
        </w:tc>
      </w:tr>
      <w:tr w:rsidR="0035675C" w:rsidRPr="0032590D" w14:paraId="556E5B30" w14:textId="77777777" w:rsidTr="000107E2">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7EA450E2"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00BFED7C"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Snacks and confectionery</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5E06596E" w14:textId="77777777" w:rsidR="00E906FF" w:rsidRPr="0032590D" w:rsidRDefault="00E906FF" w:rsidP="00E906FF">
            <w:pPr>
              <w:spacing w:before="0" w:after="0"/>
              <w:rPr>
                <w:rFonts w:ascii="Arial" w:hAnsi="Arial" w:cs="Arial"/>
                <w:color w:val="000000"/>
                <w:sz w:val="20"/>
              </w:rPr>
            </w:pP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34A1B152"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3A1C6C5C" w14:textId="77777777" w:rsidR="00E906FF" w:rsidRPr="0032590D" w:rsidRDefault="00E906FF" w:rsidP="00E906FF">
            <w:pPr>
              <w:spacing w:before="0" w:after="0"/>
              <w:rPr>
                <w:rFonts w:ascii="Arial" w:hAnsi="Arial" w:cs="Arial"/>
                <w:color w:val="000000"/>
                <w:sz w:val="20"/>
              </w:rPr>
            </w:pP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6F75C987"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14C14485" w14:textId="77777777" w:rsidR="00E906FF" w:rsidRPr="0032590D" w:rsidRDefault="00E906FF" w:rsidP="00E906FF">
            <w:pPr>
              <w:spacing w:before="0" w:after="0"/>
              <w:rPr>
                <w:rFonts w:ascii="Arial" w:hAnsi="Arial" w:cs="Arial"/>
                <w:color w:val="000000"/>
                <w:sz w:val="20"/>
              </w:rPr>
            </w:pPr>
          </w:p>
        </w:tc>
      </w:tr>
      <w:tr w:rsidR="004463AC" w:rsidRPr="0032590D" w14:paraId="0385A28A" w14:textId="77777777" w:rsidTr="004463AC">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05AD151C"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5C0F9063"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Other food products n.e.c.</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5C230F2A"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480998FF"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333F4734"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1D9B6431"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6D5F7E85" w14:textId="77777777" w:rsidR="00E906FF" w:rsidRPr="0032590D" w:rsidRDefault="00E906FF" w:rsidP="00E906FF">
            <w:pPr>
              <w:spacing w:before="0" w:after="0"/>
              <w:rPr>
                <w:rFonts w:ascii="Arial" w:hAnsi="Arial" w:cs="Arial"/>
                <w:sz w:val="20"/>
              </w:rPr>
            </w:pPr>
          </w:p>
        </w:tc>
      </w:tr>
      <w:tr w:rsidR="00CB6ADE" w:rsidRPr="0032590D" w14:paraId="127FAA14" w14:textId="77777777" w:rsidTr="00021D0F">
        <w:trPr>
          <w:trHeight w:val="249"/>
        </w:trPr>
        <w:tc>
          <w:tcPr>
            <w:tcW w:w="9628" w:type="dxa"/>
            <w:gridSpan w:val="7"/>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5098D712" w14:textId="6BBB16C1" w:rsidR="00CB6ADE" w:rsidRPr="0032590D" w:rsidRDefault="00CB6ADE" w:rsidP="00E906FF">
            <w:pPr>
              <w:spacing w:before="0" w:after="0"/>
              <w:rPr>
                <w:rFonts w:ascii="Arial" w:hAnsi="Arial" w:cs="Arial"/>
                <w:sz w:val="20"/>
              </w:rPr>
            </w:pPr>
            <w:r w:rsidRPr="0032590D">
              <w:rPr>
                <w:rFonts w:ascii="Arial" w:hAnsi="Arial" w:cs="Arial"/>
                <w:color w:val="000000"/>
                <w:sz w:val="20"/>
              </w:rPr>
              <w:t>Non-alcoholic beverages</w:t>
            </w:r>
          </w:p>
        </w:tc>
      </w:tr>
      <w:tr w:rsidR="004463AC" w:rsidRPr="0032590D" w14:paraId="22563127" w14:textId="77777777" w:rsidTr="004463AC">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46AC8141"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62E77919"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Coffee, tea and cocoa</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651D8FCB"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3A22452C"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4FC48E70"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42993647"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0AC42899" w14:textId="77777777" w:rsidR="00E906FF" w:rsidRPr="0032590D" w:rsidRDefault="00E906FF" w:rsidP="00E906FF">
            <w:pPr>
              <w:spacing w:before="0" w:after="0"/>
              <w:rPr>
                <w:rFonts w:ascii="Arial" w:hAnsi="Arial" w:cs="Arial"/>
                <w:sz w:val="20"/>
              </w:rPr>
            </w:pPr>
          </w:p>
        </w:tc>
      </w:tr>
      <w:tr w:rsidR="0035675C" w:rsidRPr="0032590D" w14:paraId="17473107" w14:textId="77777777" w:rsidTr="000107E2">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5FA86827"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5AB088D7"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Waters, soft drinks and juices</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417E96CB" w14:textId="77777777" w:rsidR="00E906FF" w:rsidRPr="0032590D" w:rsidRDefault="00E906FF" w:rsidP="00E906FF">
            <w:pPr>
              <w:spacing w:before="0" w:after="0"/>
              <w:rPr>
                <w:rFonts w:ascii="Arial" w:hAnsi="Arial" w:cs="Arial"/>
                <w:color w:val="000000"/>
                <w:sz w:val="20"/>
              </w:rPr>
            </w:pP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306BB8CC"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2F9D35CA" w14:textId="77777777" w:rsidR="00E906FF" w:rsidRPr="0032590D" w:rsidRDefault="00E906FF" w:rsidP="00E906FF">
            <w:pPr>
              <w:spacing w:before="0" w:after="0"/>
              <w:rPr>
                <w:rFonts w:ascii="Arial" w:hAnsi="Arial" w:cs="Arial"/>
                <w:color w:val="000000"/>
                <w:sz w:val="20"/>
              </w:rPr>
            </w:pP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3D254B64"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5ACA2055" w14:textId="77777777" w:rsidR="00E906FF" w:rsidRPr="0032590D" w:rsidRDefault="00E906FF" w:rsidP="00E906FF">
            <w:pPr>
              <w:spacing w:before="0" w:after="0"/>
              <w:rPr>
                <w:rFonts w:ascii="Arial" w:hAnsi="Arial" w:cs="Arial"/>
                <w:color w:val="000000"/>
                <w:sz w:val="20"/>
              </w:rPr>
            </w:pPr>
          </w:p>
        </w:tc>
      </w:tr>
      <w:tr w:rsidR="00CB6ADE" w:rsidRPr="0032590D" w14:paraId="48031C58" w14:textId="77777777" w:rsidTr="004463AC">
        <w:trPr>
          <w:trHeight w:val="249"/>
        </w:trPr>
        <w:tc>
          <w:tcPr>
            <w:tcW w:w="9628" w:type="dxa"/>
            <w:gridSpan w:val="7"/>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51ABD47A" w14:textId="11D53B5B" w:rsidR="00CB6ADE" w:rsidRPr="0032590D" w:rsidRDefault="00CB6ADE" w:rsidP="00E906FF">
            <w:pPr>
              <w:spacing w:before="0" w:after="0"/>
              <w:rPr>
                <w:rFonts w:ascii="Arial" w:hAnsi="Arial" w:cs="Arial"/>
                <w:sz w:val="20"/>
              </w:rPr>
            </w:pPr>
            <w:r w:rsidRPr="0032590D">
              <w:rPr>
                <w:rFonts w:ascii="Arial" w:hAnsi="Arial" w:cs="Arial"/>
                <w:color w:val="000000"/>
                <w:sz w:val="20"/>
              </w:rPr>
              <w:t>Meals out and take away foods</w:t>
            </w:r>
          </w:p>
        </w:tc>
      </w:tr>
      <w:tr w:rsidR="0035675C" w:rsidRPr="0032590D" w14:paraId="12362E96" w14:textId="77777777" w:rsidTr="000107E2">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3A633582"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0B089864"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Restaurant meals</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63CAF7D6" w14:textId="77777777" w:rsidR="00E906FF" w:rsidRPr="0032590D" w:rsidRDefault="00E906FF" w:rsidP="00E906FF">
            <w:pPr>
              <w:spacing w:before="0" w:after="0"/>
              <w:rPr>
                <w:rFonts w:ascii="Arial" w:hAnsi="Arial" w:cs="Arial"/>
                <w:color w:val="000000"/>
                <w:sz w:val="20"/>
              </w:rPr>
            </w:pP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7C92BFD4"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24D62838" w14:textId="77777777" w:rsidR="00E906FF" w:rsidRPr="0032590D" w:rsidRDefault="00E906FF" w:rsidP="00E906FF">
            <w:pPr>
              <w:spacing w:before="0" w:after="0"/>
              <w:rPr>
                <w:rFonts w:ascii="Arial" w:hAnsi="Arial" w:cs="Arial"/>
                <w:color w:val="000000"/>
                <w:sz w:val="20"/>
              </w:rPr>
            </w:pP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46D1BE17"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777658B6" w14:textId="77777777" w:rsidR="00E906FF" w:rsidRPr="0032590D" w:rsidRDefault="00E906FF" w:rsidP="00E906FF">
            <w:pPr>
              <w:spacing w:before="0" w:after="0"/>
              <w:rPr>
                <w:rFonts w:ascii="Arial" w:hAnsi="Arial" w:cs="Arial"/>
                <w:color w:val="000000"/>
                <w:sz w:val="20"/>
              </w:rPr>
            </w:pPr>
          </w:p>
        </w:tc>
      </w:tr>
      <w:tr w:rsidR="004463AC" w:rsidRPr="0032590D" w14:paraId="2D515FA8" w14:textId="77777777" w:rsidTr="004463AC">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43A5FCB2"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51DC0816"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Take away and fast foods</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012F2284" w14:textId="77777777" w:rsidR="00E906FF" w:rsidRPr="0032590D" w:rsidRDefault="00E906FF" w:rsidP="00E906FF">
            <w:pPr>
              <w:spacing w:before="0" w:after="0"/>
              <w:rPr>
                <w:rFonts w:ascii="Arial" w:hAnsi="Arial" w:cs="Arial"/>
                <w:color w:val="000000"/>
                <w:sz w:val="20"/>
              </w:rPr>
            </w:pP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084BD25C"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5FD1D3EF" w14:textId="77777777" w:rsidR="00E906FF" w:rsidRPr="0032590D" w:rsidRDefault="00E906FF" w:rsidP="00E906FF">
            <w:pPr>
              <w:spacing w:before="0" w:after="0"/>
              <w:rPr>
                <w:rFonts w:ascii="Arial" w:hAnsi="Arial" w:cs="Arial"/>
                <w:color w:val="000000"/>
                <w:sz w:val="20"/>
              </w:rPr>
            </w:pP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0FBC6C3B"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4A90BA8C" w14:textId="77777777" w:rsidR="00E906FF" w:rsidRPr="0032590D" w:rsidRDefault="00E906FF" w:rsidP="00E906FF">
            <w:pPr>
              <w:spacing w:before="0" w:after="0"/>
              <w:rPr>
                <w:rFonts w:ascii="Arial" w:hAnsi="Arial" w:cs="Arial"/>
                <w:color w:val="000000"/>
                <w:sz w:val="20"/>
              </w:rPr>
            </w:pPr>
          </w:p>
        </w:tc>
      </w:tr>
      <w:tr w:rsidR="00CB6ADE" w:rsidRPr="0032590D" w14:paraId="250D5852" w14:textId="77777777" w:rsidTr="00021D0F">
        <w:trPr>
          <w:trHeight w:val="249"/>
        </w:trPr>
        <w:tc>
          <w:tcPr>
            <w:tcW w:w="9628" w:type="dxa"/>
            <w:gridSpan w:val="7"/>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0997F136" w14:textId="6774143D" w:rsidR="00CB6ADE" w:rsidRPr="0032590D" w:rsidRDefault="00CB6ADE" w:rsidP="00E906FF">
            <w:pPr>
              <w:spacing w:before="0" w:after="0"/>
              <w:rPr>
                <w:rFonts w:ascii="Arial" w:hAnsi="Arial" w:cs="Arial"/>
                <w:b/>
                <w:bCs/>
                <w:sz w:val="20"/>
              </w:rPr>
            </w:pPr>
            <w:r w:rsidRPr="0032590D">
              <w:rPr>
                <w:rFonts w:ascii="Arial" w:hAnsi="Arial" w:cs="Arial"/>
                <w:b/>
                <w:bCs/>
                <w:color w:val="000000"/>
                <w:sz w:val="20"/>
              </w:rPr>
              <w:t>ALCOHOL AND TOBACCO</w:t>
            </w:r>
          </w:p>
        </w:tc>
      </w:tr>
      <w:tr w:rsidR="00CB6ADE" w:rsidRPr="0032590D" w14:paraId="4766D625" w14:textId="77777777" w:rsidTr="004463AC">
        <w:trPr>
          <w:trHeight w:val="249"/>
        </w:trPr>
        <w:tc>
          <w:tcPr>
            <w:tcW w:w="9628" w:type="dxa"/>
            <w:gridSpan w:val="7"/>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776A630D" w14:textId="5C04C297" w:rsidR="00CB6ADE" w:rsidRPr="0032590D" w:rsidRDefault="00CB6ADE" w:rsidP="00E906FF">
            <w:pPr>
              <w:spacing w:before="0" w:after="0"/>
              <w:rPr>
                <w:rFonts w:ascii="Arial" w:hAnsi="Arial" w:cs="Arial"/>
                <w:sz w:val="20"/>
              </w:rPr>
            </w:pPr>
            <w:r w:rsidRPr="0032590D">
              <w:rPr>
                <w:rFonts w:ascii="Arial" w:hAnsi="Arial" w:cs="Arial"/>
                <w:color w:val="000000"/>
                <w:sz w:val="20"/>
              </w:rPr>
              <w:t>Alcoholic beverages</w:t>
            </w:r>
          </w:p>
        </w:tc>
      </w:tr>
      <w:tr w:rsidR="0035675C" w:rsidRPr="0032590D" w14:paraId="4B11F6AA" w14:textId="77777777" w:rsidTr="000107E2">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4F321CFC"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508EDDB1"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Spirits</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13DBA998" w14:textId="77777777" w:rsidR="00E906FF" w:rsidRPr="0032590D" w:rsidRDefault="00E906FF" w:rsidP="00E906FF">
            <w:pPr>
              <w:spacing w:before="0" w:after="0"/>
              <w:rPr>
                <w:rFonts w:ascii="Arial" w:hAnsi="Arial" w:cs="Arial"/>
                <w:color w:val="000000"/>
                <w:sz w:val="20"/>
              </w:rPr>
            </w:pP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6D05DAF9"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14AE697D" w14:textId="77777777" w:rsidR="00E906FF" w:rsidRPr="0032590D" w:rsidRDefault="00E906FF" w:rsidP="00E906FF">
            <w:pPr>
              <w:spacing w:before="0" w:after="0"/>
              <w:rPr>
                <w:rFonts w:ascii="Arial" w:hAnsi="Arial" w:cs="Arial"/>
                <w:color w:val="000000"/>
                <w:sz w:val="20"/>
              </w:rPr>
            </w:pP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02118A99"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75FECD2C" w14:textId="77777777" w:rsidR="00E906FF" w:rsidRPr="0032590D" w:rsidRDefault="00E906FF" w:rsidP="00E906FF">
            <w:pPr>
              <w:spacing w:before="0" w:after="0"/>
              <w:rPr>
                <w:rFonts w:ascii="Arial" w:hAnsi="Arial" w:cs="Arial"/>
                <w:color w:val="000000"/>
                <w:sz w:val="20"/>
              </w:rPr>
            </w:pPr>
          </w:p>
        </w:tc>
      </w:tr>
      <w:tr w:rsidR="004463AC" w:rsidRPr="0032590D" w14:paraId="7FEEAEA5" w14:textId="77777777" w:rsidTr="004463AC">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0B30B4E6"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66988690"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Wine</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046F2632" w14:textId="77777777" w:rsidR="00E906FF" w:rsidRPr="0032590D" w:rsidRDefault="00E906FF" w:rsidP="00E906FF">
            <w:pPr>
              <w:spacing w:before="0" w:after="0"/>
              <w:rPr>
                <w:rFonts w:ascii="Arial" w:hAnsi="Arial" w:cs="Arial"/>
                <w:color w:val="000000"/>
                <w:sz w:val="20"/>
              </w:rPr>
            </w:pP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37190483"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55CEDFD8" w14:textId="77777777" w:rsidR="00E906FF" w:rsidRPr="0032590D" w:rsidRDefault="00E906FF" w:rsidP="00E906FF">
            <w:pPr>
              <w:spacing w:before="0" w:after="0"/>
              <w:rPr>
                <w:rFonts w:ascii="Arial" w:hAnsi="Arial" w:cs="Arial"/>
                <w:color w:val="000000"/>
                <w:sz w:val="20"/>
              </w:rPr>
            </w:pP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7C6E3B87"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2BEEB6FC" w14:textId="77777777" w:rsidR="00E906FF" w:rsidRPr="0032590D" w:rsidRDefault="00E906FF" w:rsidP="00E906FF">
            <w:pPr>
              <w:spacing w:before="0" w:after="0"/>
              <w:rPr>
                <w:rFonts w:ascii="Arial" w:hAnsi="Arial" w:cs="Arial"/>
                <w:color w:val="000000"/>
                <w:sz w:val="20"/>
              </w:rPr>
            </w:pPr>
          </w:p>
        </w:tc>
      </w:tr>
      <w:tr w:rsidR="0035675C" w:rsidRPr="0032590D" w14:paraId="66D61956" w14:textId="77777777" w:rsidTr="000107E2">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02AEECA0"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0BB87332"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Beer</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3E27FA11" w14:textId="77777777" w:rsidR="00E906FF" w:rsidRPr="0032590D" w:rsidRDefault="00E906FF" w:rsidP="00E906FF">
            <w:pPr>
              <w:spacing w:before="0" w:after="0"/>
              <w:rPr>
                <w:rFonts w:ascii="Arial" w:hAnsi="Arial" w:cs="Arial"/>
                <w:color w:val="000000"/>
                <w:sz w:val="20"/>
              </w:rPr>
            </w:pP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1EB131CA"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0ECFD1DA" w14:textId="77777777" w:rsidR="00E906FF" w:rsidRPr="0032590D" w:rsidRDefault="00E906FF" w:rsidP="00E906FF">
            <w:pPr>
              <w:spacing w:before="0" w:after="0"/>
              <w:rPr>
                <w:rFonts w:ascii="Arial" w:hAnsi="Arial" w:cs="Arial"/>
                <w:color w:val="000000"/>
                <w:sz w:val="20"/>
              </w:rPr>
            </w:pP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55B245E7"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3330811E" w14:textId="77777777" w:rsidR="00E906FF" w:rsidRPr="0032590D" w:rsidRDefault="00E906FF" w:rsidP="00E906FF">
            <w:pPr>
              <w:spacing w:before="0" w:after="0"/>
              <w:rPr>
                <w:rFonts w:ascii="Arial" w:hAnsi="Arial" w:cs="Arial"/>
                <w:color w:val="000000"/>
                <w:sz w:val="20"/>
              </w:rPr>
            </w:pPr>
          </w:p>
        </w:tc>
      </w:tr>
      <w:tr w:rsidR="00CB6ADE" w:rsidRPr="0032590D" w14:paraId="5846D2E9" w14:textId="77777777" w:rsidTr="004463AC">
        <w:trPr>
          <w:trHeight w:val="249"/>
        </w:trPr>
        <w:tc>
          <w:tcPr>
            <w:tcW w:w="9628" w:type="dxa"/>
            <w:gridSpan w:val="7"/>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6762E70D" w14:textId="363C1D27" w:rsidR="00CB6ADE" w:rsidRPr="0032590D" w:rsidRDefault="00CB6ADE" w:rsidP="00E906FF">
            <w:pPr>
              <w:spacing w:before="0" w:after="0"/>
              <w:rPr>
                <w:rFonts w:ascii="Arial" w:hAnsi="Arial" w:cs="Arial"/>
                <w:sz w:val="20"/>
              </w:rPr>
            </w:pPr>
            <w:r w:rsidRPr="0032590D">
              <w:rPr>
                <w:rFonts w:ascii="Arial" w:hAnsi="Arial" w:cs="Arial"/>
                <w:color w:val="000000"/>
                <w:sz w:val="20"/>
              </w:rPr>
              <w:t>Tobacco</w:t>
            </w:r>
          </w:p>
        </w:tc>
      </w:tr>
      <w:tr w:rsidR="0035675C" w:rsidRPr="0032590D" w14:paraId="1AE95A32" w14:textId="77777777" w:rsidTr="000107E2">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301611C8"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59B4F707"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Tobacco</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0E75AB6D" w14:textId="77777777" w:rsidR="00E906FF" w:rsidRPr="0032590D" w:rsidRDefault="00E906FF" w:rsidP="00E906FF">
            <w:pPr>
              <w:spacing w:before="0" w:after="0"/>
              <w:rPr>
                <w:rFonts w:ascii="Arial" w:hAnsi="Arial" w:cs="Arial"/>
                <w:color w:val="000000"/>
                <w:sz w:val="20"/>
              </w:rPr>
            </w:pP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533E2CF1"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134F0A2C" w14:textId="77777777" w:rsidR="00E906FF" w:rsidRPr="0032590D" w:rsidRDefault="00E906FF" w:rsidP="00E906FF">
            <w:pPr>
              <w:spacing w:before="0" w:after="0"/>
              <w:rPr>
                <w:rFonts w:ascii="Arial" w:hAnsi="Arial" w:cs="Arial"/>
                <w:color w:val="000000"/>
                <w:sz w:val="20"/>
              </w:rPr>
            </w:pP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5A45EDAF"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47BC3927" w14:textId="77777777" w:rsidR="00E906FF" w:rsidRPr="0032590D" w:rsidRDefault="00E906FF" w:rsidP="00E906FF">
            <w:pPr>
              <w:spacing w:before="0" w:after="0"/>
              <w:rPr>
                <w:rFonts w:ascii="Arial" w:hAnsi="Arial" w:cs="Arial"/>
                <w:color w:val="000000"/>
                <w:sz w:val="20"/>
              </w:rPr>
            </w:pPr>
          </w:p>
        </w:tc>
      </w:tr>
      <w:tr w:rsidR="00CB6ADE" w:rsidRPr="0032590D" w14:paraId="4566BCB8" w14:textId="77777777" w:rsidTr="004463AC">
        <w:trPr>
          <w:trHeight w:val="249"/>
        </w:trPr>
        <w:tc>
          <w:tcPr>
            <w:tcW w:w="9628" w:type="dxa"/>
            <w:gridSpan w:val="7"/>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557D5D07" w14:textId="462A6B5F" w:rsidR="00CB6ADE" w:rsidRPr="0032590D" w:rsidRDefault="00CB6ADE" w:rsidP="00E906FF">
            <w:pPr>
              <w:spacing w:before="0" w:after="0"/>
              <w:rPr>
                <w:rFonts w:ascii="Arial" w:hAnsi="Arial" w:cs="Arial"/>
                <w:b/>
                <w:bCs/>
                <w:sz w:val="20"/>
              </w:rPr>
            </w:pPr>
            <w:r w:rsidRPr="0032590D">
              <w:rPr>
                <w:rFonts w:ascii="Arial" w:hAnsi="Arial" w:cs="Arial"/>
                <w:b/>
                <w:bCs/>
                <w:color w:val="000000"/>
                <w:sz w:val="20"/>
              </w:rPr>
              <w:t>CLOTHING AND FOOTWEAR</w:t>
            </w:r>
          </w:p>
        </w:tc>
      </w:tr>
      <w:tr w:rsidR="00CB6ADE" w:rsidRPr="0032590D" w14:paraId="02B6015F" w14:textId="77777777" w:rsidTr="00021D0F">
        <w:trPr>
          <w:trHeight w:val="249"/>
        </w:trPr>
        <w:tc>
          <w:tcPr>
            <w:tcW w:w="9628" w:type="dxa"/>
            <w:gridSpan w:val="7"/>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4F6221C2" w14:textId="1188D21F" w:rsidR="00CB6ADE" w:rsidRPr="0032590D" w:rsidRDefault="00CB6ADE" w:rsidP="00E906FF">
            <w:pPr>
              <w:spacing w:before="0" w:after="0"/>
              <w:rPr>
                <w:rFonts w:ascii="Arial" w:hAnsi="Arial" w:cs="Arial"/>
                <w:sz w:val="20"/>
              </w:rPr>
            </w:pPr>
            <w:r w:rsidRPr="0032590D">
              <w:rPr>
                <w:rFonts w:ascii="Arial" w:hAnsi="Arial" w:cs="Arial"/>
                <w:color w:val="000000"/>
                <w:sz w:val="20"/>
              </w:rPr>
              <w:t>Garments</w:t>
            </w:r>
          </w:p>
        </w:tc>
      </w:tr>
      <w:tr w:rsidR="004463AC" w:rsidRPr="0032590D" w14:paraId="6A9639BE" w14:textId="77777777" w:rsidTr="004463AC">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1B5F5096"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32A35161"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Garments for men</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3E75BA46" w14:textId="77777777" w:rsidR="00E906FF" w:rsidRPr="0032590D" w:rsidRDefault="00E906FF" w:rsidP="00E906FF">
            <w:pPr>
              <w:spacing w:before="0" w:after="0"/>
              <w:rPr>
                <w:rFonts w:ascii="Arial" w:hAnsi="Arial" w:cs="Arial"/>
                <w:color w:val="000000"/>
                <w:sz w:val="20"/>
              </w:rPr>
            </w:pP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4577E692"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23D55265" w14:textId="77777777" w:rsidR="00E906FF" w:rsidRPr="0032590D" w:rsidRDefault="00E906FF" w:rsidP="00E906FF">
            <w:pPr>
              <w:spacing w:before="0" w:after="0"/>
              <w:rPr>
                <w:rFonts w:ascii="Arial" w:hAnsi="Arial" w:cs="Arial"/>
                <w:color w:val="000000"/>
                <w:sz w:val="20"/>
              </w:rPr>
            </w:pP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49C6C0FC"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68E66AA5" w14:textId="77777777" w:rsidR="00E906FF" w:rsidRPr="0032590D" w:rsidRDefault="00E906FF" w:rsidP="00E906FF">
            <w:pPr>
              <w:spacing w:before="0" w:after="0"/>
              <w:rPr>
                <w:rFonts w:ascii="Arial" w:hAnsi="Arial" w:cs="Arial"/>
                <w:color w:val="000000"/>
                <w:sz w:val="20"/>
              </w:rPr>
            </w:pPr>
          </w:p>
        </w:tc>
      </w:tr>
      <w:tr w:rsidR="0035675C" w:rsidRPr="0032590D" w14:paraId="1186162B" w14:textId="77777777" w:rsidTr="000107E2">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20322D41"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3FFEDA6C"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Garments for women</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2F0E49D6" w14:textId="77777777" w:rsidR="00E906FF" w:rsidRPr="0032590D" w:rsidRDefault="00E906FF" w:rsidP="00E906FF">
            <w:pPr>
              <w:spacing w:before="0" w:after="0"/>
              <w:rPr>
                <w:rFonts w:ascii="Arial" w:hAnsi="Arial" w:cs="Arial"/>
                <w:color w:val="000000"/>
                <w:sz w:val="20"/>
              </w:rPr>
            </w:pP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52336019"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17FA7241" w14:textId="77777777" w:rsidR="00E906FF" w:rsidRPr="0032590D" w:rsidRDefault="00E906FF" w:rsidP="00E906FF">
            <w:pPr>
              <w:spacing w:before="0" w:after="0"/>
              <w:rPr>
                <w:rFonts w:ascii="Arial" w:hAnsi="Arial" w:cs="Arial"/>
                <w:color w:val="000000"/>
                <w:sz w:val="20"/>
              </w:rPr>
            </w:pP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7DFDF2EA"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125CE9E8" w14:textId="77777777" w:rsidR="00E906FF" w:rsidRPr="0032590D" w:rsidRDefault="00E906FF" w:rsidP="00E906FF">
            <w:pPr>
              <w:spacing w:before="0" w:after="0"/>
              <w:rPr>
                <w:rFonts w:ascii="Arial" w:hAnsi="Arial" w:cs="Arial"/>
                <w:color w:val="000000"/>
                <w:sz w:val="20"/>
              </w:rPr>
            </w:pPr>
          </w:p>
        </w:tc>
      </w:tr>
      <w:tr w:rsidR="004F6A63" w:rsidRPr="0032590D" w14:paraId="392C6C18" w14:textId="77777777" w:rsidTr="004463AC">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600D1B87"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71E5F4D0"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Garments for infants and children</w:t>
            </w:r>
          </w:p>
        </w:tc>
        <w:tc>
          <w:tcPr>
            <w:tcW w:w="1170"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DEDC98C" w14:textId="77777777" w:rsidR="00E906FF" w:rsidRPr="0032590D" w:rsidRDefault="00E906FF" w:rsidP="00E906FF">
            <w:pPr>
              <w:spacing w:before="0" w:after="0"/>
              <w:rPr>
                <w:rFonts w:ascii="Arial" w:hAnsi="Arial" w:cs="Arial"/>
                <w:color w:val="000000"/>
                <w:sz w:val="20"/>
              </w:rPr>
            </w:pPr>
          </w:p>
        </w:tc>
        <w:tc>
          <w:tcPr>
            <w:tcW w:w="1173"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659CE9C"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7E580CD6"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12F1699A"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526CF629" w14:textId="77777777" w:rsidR="00E906FF" w:rsidRPr="0032590D" w:rsidRDefault="00E906FF" w:rsidP="00E906FF">
            <w:pPr>
              <w:spacing w:before="0" w:after="0"/>
              <w:rPr>
                <w:rFonts w:ascii="Arial" w:hAnsi="Arial" w:cs="Arial"/>
                <w:sz w:val="20"/>
              </w:rPr>
            </w:pPr>
          </w:p>
        </w:tc>
      </w:tr>
      <w:tr w:rsidR="00CB6ADE" w:rsidRPr="0032590D" w14:paraId="6C5AA12C" w14:textId="77777777" w:rsidTr="00021D0F">
        <w:trPr>
          <w:trHeight w:val="249"/>
        </w:trPr>
        <w:tc>
          <w:tcPr>
            <w:tcW w:w="9628" w:type="dxa"/>
            <w:gridSpan w:val="7"/>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3A8DC8BC" w14:textId="574A2C46" w:rsidR="00CB6ADE" w:rsidRPr="0032590D" w:rsidRDefault="00CB6ADE" w:rsidP="00E906FF">
            <w:pPr>
              <w:spacing w:before="0" w:after="0"/>
              <w:rPr>
                <w:rFonts w:ascii="Arial" w:hAnsi="Arial" w:cs="Arial"/>
                <w:sz w:val="20"/>
              </w:rPr>
            </w:pPr>
            <w:r w:rsidRPr="0032590D">
              <w:rPr>
                <w:rFonts w:ascii="Arial" w:hAnsi="Arial" w:cs="Arial"/>
                <w:color w:val="000000"/>
                <w:sz w:val="20"/>
              </w:rPr>
              <w:t>Footwear</w:t>
            </w:r>
          </w:p>
        </w:tc>
      </w:tr>
      <w:tr w:rsidR="004463AC" w:rsidRPr="0032590D" w14:paraId="307F5FD8" w14:textId="77777777" w:rsidTr="004463AC">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6BE5FCC2"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711E8E58"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Footwear for men</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3C47A727" w14:textId="77777777" w:rsidR="00E906FF" w:rsidRPr="0032590D" w:rsidRDefault="00E906FF" w:rsidP="00E906FF">
            <w:pPr>
              <w:spacing w:before="0" w:after="0"/>
              <w:rPr>
                <w:rFonts w:ascii="Arial" w:hAnsi="Arial" w:cs="Arial"/>
                <w:color w:val="000000"/>
                <w:sz w:val="20"/>
              </w:rPr>
            </w:pP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23E44D46"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08754290" w14:textId="77777777" w:rsidR="00E906FF" w:rsidRPr="0032590D" w:rsidRDefault="00E906FF" w:rsidP="00E906FF">
            <w:pPr>
              <w:spacing w:before="0" w:after="0"/>
              <w:rPr>
                <w:rFonts w:ascii="Arial" w:hAnsi="Arial" w:cs="Arial"/>
                <w:color w:val="000000"/>
                <w:sz w:val="20"/>
              </w:rPr>
            </w:pP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15873068"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7E58D20E" w14:textId="77777777" w:rsidR="00E906FF" w:rsidRPr="0032590D" w:rsidRDefault="00E906FF" w:rsidP="00E906FF">
            <w:pPr>
              <w:spacing w:before="0" w:after="0"/>
              <w:rPr>
                <w:rFonts w:ascii="Arial" w:hAnsi="Arial" w:cs="Arial"/>
                <w:color w:val="000000"/>
                <w:sz w:val="20"/>
              </w:rPr>
            </w:pPr>
          </w:p>
        </w:tc>
      </w:tr>
      <w:tr w:rsidR="0035675C" w:rsidRPr="0032590D" w14:paraId="559FA897" w14:textId="77777777" w:rsidTr="000107E2">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218CA595"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2BB8FCE1"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Footwear for women</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72C9FC9B" w14:textId="77777777" w:rsidR="00E906FF" w:rsidRPr="0032590D" w:rsidRDefault="00E906FF" w:rsidP="00E906FF">
            <w:pPr>
              <w:spacing w:before="0" w:after="0"/>
              <w:rPr>
                <w:rFonts w:ascii="Arial" w:hAnsi="Arial" w:cs="Arial"/>
                <w:color w:val="000000"/>
                <w:sz w:val="20"/>
              </w:rPr>
            </w:pP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49ECC157"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1AC20A56" w14:textId="77777777" w:rsidR="00E906FF" w:rsidRPr="0032590D" w:rsidRDefault="00E906FF" w:rsidP="00E906FF">
            <w:pPr>
              <w:spacing w:before="0" w:after="0"/>
              <w:rPr>
                <w:rFonts w:ascii="Arial" w:hAnsi="Arial" w:cs="Arial"/>
                <w:color w:val="000000"/>
                <w:sz w:val="20"/>
              </w:rPr>
            </w:pP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21135604"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7DD7A9F2" w14:textId="77777777" w:rsidR="00E906FF" w:rsidRPr="0032590D" w:rsidRDefault="00E906FF" w:rsidP="00E906FF">
            <w:pPr>
              <w:spacing w:before="0" w:after="0"/>
              <w:rPr>
                <w:rFonts w:ascii="Arial" w:hAnsi="Arial" w:cs="Arial"/>
                <w:color w:val="000000"/>
                <w:sz w:val="20"/>
              </w:rPr>
            </w:pPr>
          </w:p>
        </w:tc>
      </w:tr>
      <w:tr w:rsidR="004463AC" w:rsidRPr="0032590D" w14:paraId="410EE773" w14:textId="77777777" w:rsidTr="004463AC">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69139679"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2F809632"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Footwear for infants and children</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730EC7C4" w14:textId="77777777" w:rsidR="00E906FF" w:rsidRPr="0032590D" w:rsidRDefault="00E906FF" w:rsidP="00E906FF">
            <w:pPr>
              <w:spacing w:before="0" w:after="0"/>
              <w:rPr>
                <w:rFonts w:ascii="Arial" w:hAnsi="Arial" w:cs="Arial"/>
                <w:color w:val="000000"/>
                <w:sz w:val="20"/>
              </w:rPr>
            </w:pP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19128E9C"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77F5B96E"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28D7AB19"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74CB948D" w14:textId="77777777" w:rsidR="00E906FF" w:rsidRPr="0032590D" w:rsidRDefault="00E906FF" w:rsidP="00E906FF">
            <w:pPr>
              <w:spacing w:before="0" w:after="0"/>
              <w:rPr>
                <w:rFonts w:ascii="Arial" w:hAnsi="Arial" w:cs="Arial"/>
                <w:sz w:val="20"/>
              </w:rPr>
            </w:pPr>
          </w:p>
        </w:tc>
      </w:tr>
      <w:tr w:rsidR="00CB6ADE" w:rsidRPr="0032590D" w14:paraId="62880E51" w14:textId="77777777" w:rsidTr="00021D0F">
        <w:trPr>
          <w:trHeight w:val="249"/>
        </w:trPr>
        <w:tc>
          <w:tcPr>
            <w:tcW w:w="9628" w:type="dxa"/>
            <w:gridSpan w:val="7"/>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40E66A47" w14:textId="3C84AB32" w:rsidR="00CB6ADE" w:rsidRPr="0032590D" w:rsidRDefault="00CB6ADE" w:rsidP="00E906FF">
            <w:pPr>
              <w:spacing w:before="0" w:after="0"/>
              <w:rPr>
                <w:rFonts w:ascii="Arial" w:hAnsi="Arial" w:cs="Arial"/>
                <w:sz w:val="20"/>
              </w:rPr>
            </w:pPr>
            <w:r w:rsidRPr="0032590D">
              <w:rPr>
                <w:rFonts w:ascii="Arial" w:hAnsi="Arial" w:cs="Arial"/>
                <w:color w:val="000000"/>
                <w:sz w:val="20"/>
              </w:rPr>
              <w:t>Accessories and clothing services</w:t>
            </w:r>
          </w:p>
        </w:tc>
      </w:tr>
      <w:tr w:rsidR="004463AC" w:rsidRPr="0032590D" w14:paraId="49B529AE" w14:textId="77777777" w:rsidTr="004463AC">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189A222E"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6C1DEFA3"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Accessories</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537F3181" w14:textId="77777777" w:rsidR="00E906FF" w:rsidRPr="0032590D" w:rsidRDefault="00E906FF" w:rsidP="00E906FF">
            <w:pPr>
              <w:spacing w:before="0" w:after="0"/>
              <w:rPr>
                <w:rFonts w:ascii="Arial" w:hAnsi="Arial" w:cs="Arial"/>
                <w:color w:val="000000"/>
                <w:sz w:val="20"/>
              </w:rPr>
            </w:pP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519B1447"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4565CFA5" w14:textId="77777777" w:rsidR="00E906FF" w:rsidRPr="0032590D" w:rsidRDefault="00E906FF" w:rsidP="00E906FF">
            <w:pPr>
              <w:spacing w:before="0" w:after="0"/>
              <w:rPr>
                <w:rFonts w:ascii="Arial" w:hAnsi="Arial" w:cs="Arial"/>
                <w:color w:val="000000"/>
                <w:sz w:val="20"/>
              </w:rPr>
            </w:pP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6DDBBD56"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21FB88A0" w14:textId="77777777" w:rsidR="00E906FF" w:rsidRPr="0032590D" w:rsidRDefault="00E906FF" w:rsidP="00E906FF">
            <w:pPr>
              <w:spacing w:before="0" w:after="0"/>
              <w:rPr>
                <w:rFonts w:ascii="Arial" w:hAnsi="Arial" w:cs="Arial"/>
                <w:color w:val="000000"/>
                <w:sz w:val="20"/>
              </w:rPr>
            </w:pPr>
          </w:p>
        </w:tc>
      </w:tr>
      <w:tr w:rsidR="007026E4" w:rsidRPr="0032590D" w14:paraId="52DE806E" w14:textId="77777777" w:rsidTr="000107E2">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460CE3F5" w14:textId="77777777" w:rsidR="007026E4" w:rsidRPr="0032590D" w:rsidRDefault="007026E4"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4E14E171" w14:textId="77777777" w:rsidR="007026E4" w:rsidRPr="0032590D" w:rsidRDefault="007026E4" w:rsidP="00E906FF">
            <w:pPr>
              <w:spacing w:before="0" w:after="0"/>
              <w:rPr>
                <w:rFonts w:ascii="Arial" w:hAnsi="Arial" w:cs="Arial"/>
                <w:color w:val="000000"/>
                <w:sz w:val="20"/>
              </w:rPr>
            </w:pPr>
            <w:r w:rsidRPr="0032590D">
              <w:rPr>
                <w:rFonts w:ascii="Arial" w:hAnsi="Arial" w:cs="Arial"/>
                <w:color w:val="000000"/>
                <w:sz w:val="20"/>
              </w:rPr>
              <w:t>Cleaning, repair and hire of clothing and footwear</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vAlign w:val="bottom"/>
          </w:tcPr>
          <w:p w14:paraId="77920F7C" w14:textId="3494DDFC" w:rsidR="007026E4" w:rsidRPr="0032590D" w:rsidRDefault="007026E4" w:rsidP="00E906FF">
            <w:pPr>
              <w:spacing w:before="0" w:after="0"/>
              <w:rPr>
                <w:rFonts w:ascii="Arial" w:hAnsi="Arial" w:cs="Arial"/>
                <w:color w:val="000000"/>
                <w:sz w:val="20"/>
              </w:rPr>
            </w:pP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3968EDF3" w14:textId="77777777" w:rsidR="007026E4" w:rsidRPr="0032590D" w:rsidRDefault="007026E4"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097D5E52" w14:textId="77777777" w:rsidR="007026E4" w:rsidRPr="0032590D" w:rsidRDefault="007026E4" w:rsidP="00E906FF">
            <w:pPr>
              <w:spacing w:before="0" w:after="0"/>
              <w:rPr>
                <w:rFonts w:ascii="Arial" w:hAnsi="Arial" w:cs="Arial"/>
                <w:color w:val="000000"/>
                <w:sz w:val="20"/>
              </w:rPr>
            </w:pP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29981781" w14:textId="77777777" w:rsidR="007026E4" w:rsidRPr="0032590D" w:rsidRDefault="007026E4"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4ACA6DAE" w14:textId="77777777" w:rsidR="007026E4" w:rsidRPr="0032590D" w:rsidRDefault="007026E4" w:rsidP="00E906FF">
            <w:pPr>
              <w:spacing w:before="0" w:after="0"/>
              <w:rPr>
                <w:rFonts w:ascii="Arial" w:hAnsi="Arial" w:cs="Arial"/>
                <w:color w:val="000000"/>
                <w:sz w:val="20"/>
              </w:rPr>
            </w:pPr>
          </w:p>
        </w:tc>
      </w:tr>
      <w:tr w:rsidR="00CB6ADE" w:rsidRPr="0032590D" w14:paraId="5765B7C4" w14:textId="77777777" w:rsidTr="004463AC">
        <w:trPr>
          <w:trHeight w:val="249"/>
        </w:trPr>
        <w:tc>
          <w:tcPr>
            <w:tcW w:w="9628" w:type="dxa"/>
            <w:gridSpan w:val="7"/>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6F77863D" w14:textId="0B3A2538" w:rsidR="00CB6ADE" w:rsidRPr="0032590D" w:rsidRDefault="00CB6ADE" w:rsidP="00E906FF">
            <w:pPr>
              <w:spacing w:before="0" w:after="0"/>
              <w:rPr>
                <w:rFonts w:ascii="Arial" w:hAnsi="Arial" w:cs="Arial"/>
                <w:b/>
                <w:bCs/>
                <w:sz w:val="20"/>
              </w:rPr>
            </w:pPr>
            <w:r w:rsidRPr="0032590D">
              <w:rPr>
                <w:rFonts w:ascii="Arial" w:hAnsi="Arial" w:cs="Arial"/>
                <w:b/>
                <w:bCs/>
                <w:color w:val="000000"/>
                <w:sz w:val="20"/>
              </w:rPr>
              <w:t>HOUSING</w:t>
            </w:r>
          </w:p>
        </w:tc>
      </w:tr>
      <w:tr w:rsidR="00CB6ADE" w:rsidRPr="0032590D" w14:paraId="42F10246" w14:textId="77777777" w:rsidTr="00021D0F">
        <w:trPr>
          <w:trHeight w:val="249"/>
        </w:trPr>
        <w:tc>
          <w:tcPr>
            <w:tcW w:w="9628" w:type="dxa"/>
            <w:gridSpan w:val="7"/>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01C6CE9D" w14:textId="6E7827EF" w:rsidR="00CB6ADE" w:rsidRPr="0032590D" w:rsidRDefault="00CB6ADE" w:rsidP="00E906FF">
            <w:pPr>
              <w:spacing w:before="0" w:after="0"/>
              <w:rPr>
                <w:rFonts w:ascii="Arial" w:hAnsi="Arial" w:cs="Arial"/>
                <w:sz w:val="20"/>
              </w:rPr>
            </w:pPr>
            <w:r w:rsidRPr="0032590D">
              <w:rPr>
                <w:rFonts w:ascii="Arial" w:hAnsi="Arial" w:cs="Arial"/>
                <w:color w:val="000000"/>
                <w:sz w:val="20"/>
              </w:rPr>
              <w:t>Rents</w:t>
            </w:r>
          </w:p>
        </w:tc>
      </w:tr>
      <w:tr w:rsidR="004463AC" w:rsidRPr="0032590D" w14:paraId="0D0F90A5" w14:textId="77777777" w:rsidTr="004463AC">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32F11BD6"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66C5BA81"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Rents</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4A90D7EE"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31B8A2F9"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1350F850" w14:textId="76C8CF64" w:rsidR="00E906FF" w:rsidRPr="0032590D" w:rsidRDefault="00132A3D" w:rsidP="00E906FF">
            <w:pPr>
              <w:spacing w:before="0" w:after="0"/>
              <w:rPr>
                <w:rFonts w:ascii="Arial" w:hAnsi="Arial" w:cs="Arial"/>
                <w:color w:val="000000"/>
                <w:sz w:val="20"/>
              </w:rPr>
            </w:pPr>
            <w:r w:rsidRPr="0032590D">
              <w:rPr>
                <w:rFonts w:ascii="Arial" w:hAnsi="Arial" w:cs="Arial"/>
                <w:color w:val="000000"/>
                <w:sz w:val="20"/>
              </w:rPr>
              <w:t>N/A</w:t>
            </w: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2452BDFA" w14:textId="3FC567A8" w:rsidR="00E906FF" w:rsidRPr="0032590D" w:rsidRDefault="00132A3D" w:rsidP="00E906FF">
            <w:pPr>
              <w:spacing w:before="0" w:after="0"/>
              <w:rPr>
                <w:rFonts w:ascii="Arial" w:hAnsi="Arial" w:cs="Arial"/>
                <w:color w:val="000000"/>
                <w:sz w:val="20"/>
              </w:rPr>
            </w:pPr>
            <w:r w:rsidRPr="0032590D">
              <w:rPr>
                <w:rFonts w:ascii="Arial" w:hAnsi="Arial" w:cs="Arial"/>
                <w:color w:val="000000"/>
                <w:sz w:val="20"/>
              </w:rPr>
              <w:t>N/A</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154EDA0B" w14:textId="79E9388D" w:rsidR="00E906FF" w:rsidRPr="0032590D" w:rsidRDefault="00132A3D" w:rsidP="00E906FF">
            <w:pPr>
              <w:spacing w:before="0" w:after="0"/>
              <w:rPr>
                <w:rFonts w:ascii="Arial" w:hAnsi="Arial" w:cs="Arial"/>
                <w:sz w:val="20"/>
              </w:rPr>
            </w:pPr>
            <w:r w:rsidRPr="0032590D">
              <w:rPr>
                <w:rFonts w:ascii="Arial" w:hAnsi="Arial" w:cs="Arial"/>
                <w:sz w:val="20"/>
              </w:rPr>
              <w:t>N/A</w:t>
            </w:r>
          </w:p>
        </w:tc>
      </w:tr>
      <w:tr w:rsidR="00CB6ADE" w:rsidRPr="0032590D" w14:paraId="10FA9107" w14:textId="77777777" w:rsidTr="00021D0F">
        <w:trPr>
          <w:trHeight w:val="249"/>
        </w:trPr>
        <w:tc>
          <w:tcPr>
            <w:tcW w:w="9628" w:type="dxa"/>
            <w:gridSpan w:val="7"/>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221EC1B9" w14:textId="4D6A9E58" w:rsidR="00CB6ADE" w:rsidRPr="0032590D" w:rsidRDefault="00CB6ADE" w:rsidP="00E906FF">
            <w:pPr>
              <w:spacing w:before="0" w:after="0"/>
              <w:rPr>
                <w:rFonts w:ascii="Arial" w:hAnsi="Arial" w:cs="Arial"/>
                <w:sz w:val="20"/>
              </w:rPr>
            </w:pPr>
            <w:r w:rsidRPr="0032590D">
              <w:rPr>
                <w:rFonts w:ascii="Arial" w:hAnsi="Arial" w:cs="Arial"/>
                <w:color w:val="000000"/>
                <w:sz w:val="20"/>
              </w:rPr>
              <w:t>New dwelling purchase by owner-occupiers</w:t>
            </w:r>
          </w:p>
        </w:tc>
      </w:tr>
      <w:tr w:rsidR="004463AC" w:rsidRPr="0032590D" w14:paraId="313515F2" w14:textId="77777777" w:rsidTr="009A73CB">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779A8392"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7DB6638F"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New dwelling purchase by owner-occupiers</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591657F7"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493971AD"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3BCAD69C" w14:textId="25BBB89E" w:rsidR="00E906FF" w:rsidRPr="0032590D" w:rsidRDefault="00496941" w:rsidP="00E906FF">
            <w:pPr>
              <w:spacing w:before="0" w:after="0"/>
              <w:rPr>
                <w:rFonts w:ascii="Arial" w:hAnsi="Arial" w:cs="Arial"/>
                <w:color w:val="000000"/>
                <w:sz w:val="20"/>
              </w:rPr>
            </w:pPr>
            <w:r w:rsidRPr="0032590D">
              <w:rPr>
                <w:rFonts w:ascii="Arial" w:hAnsi="Arial" w:cs="Arial"/>
                <w:color w:val="000000"/>
                <w:sz w:val="20"/>
              </w:rPr>
              <w:t>N/A</w:t>
            </w: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6F97F390" w14:textId="39CBE99F" w:rsidR="00E906FF" w:rsidRPr="0032590D" w:rsidRDefault="00496941" w:rsidP="00E906FF">
            <w:pPr>
              <w:spacing w:before="0" w:after="0"/>
              <w:rPr>
                <w:rFonts w:ascii="Arial" w:hAnsi="Arial" w:cs="Arial"/>
                <w:color w:val="000000"/>
                <w:sz w:val="20"/>
              </w:rPr>
            </w:pPr>
            <w:r w:rsidRPr="0032590D">
              <w:rPr>
                <w:rFonts w:ascii="Arial" w:hAnsi="Arial" w:cs="Arial"/>
                <w:color w:val="000000"/>
                <w:sz w:val="20"/>
              </w:rPr>
              <w:t>N/A</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3367D3CC" w14:textId="6B4C4D07" w:rsidR="00E906FF" w:rsidRPr="0032590D" w:rsidRDefault="00496941" w:rsidP="00E906FF">
            <w:pPr>
              <w:spacing w:before="0" w:after="0"/>
              <w:rPr>
                <w:rFonts w:ascii="Arial" w:hAnsi="Arial" w:cs="Arial"/>
                <w:sz w:val="20"/>
              </w:rPr>
            </w:pPr>
            <w:r w:rsidRPr="0032590D">
              <w:rPr>
                <w:rFonts w:ascii="Arial" w:hAnsi="Arial" w:cs="Arial"/>
                <w:sz w:val="20"/>
              </w:rPr>
              <w:t>N/A</w:t>
            </w:r>
          </w:p>
        </w:tc>
      </w:tr>
      <w:tr w:rsidR="00CB6ADE" w:rsidRPr="0032590D" w14:paraId="6316BD43" w14:textId="77777777" w:rsidTr="00021D0F">
        <w:trPr>
          <w:trHeight w:val="249"/>
        </w:trPr>
        <w:tc>
          <w:tcPr>
            <w:tcW w:w="9628" w:type="dxa"/>
            <w:gridSpan w:val="7"/>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50E45827" w14:textId="5FACC5C6" w:rsidR="00CB6ADE" w:rsidRPr="0032590D" w:rsidRDefault="00CB6ADE" w:rsidP="00E906FF">
            <w:pPr>
              <w:spacing w:before="0" w:after="0"/>
              <w:rPr>
                <w:rFonts w:ascii="Arial" w:hAnsi="Arial" w:cs="Arial"/>
                <w:sz w:val="20"/>
              </w:rPr>
            </w:pPr>
            <w:r w:rsidRPr="0032590D">
              <w:rPr>
                <w:rFonts w:ascii="Arial" w:hAnsi="Arial" w:cs="Arial"/>
                <w:color w:val="000000"/>
                <w:sz w:val="20"/>
              </w:rPr>
              <w:t>Other housing</w:t>
            </w:r>
          </w:p>
        </w:tc>
      </w:tr>
      <w:tr w:rsidR="004463AC" w:rsidRPr="0032590D" w14:paraId="02906B58" w14:textId="77777777" w:rsidTr="004463AC">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7A679F29"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7451D057"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Maintenance and repair of the dwelling</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01B2A1E7"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3CF9DDFB"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58C5AF77" w14:textId="55F568EA" w:rsidR="00E906FF" w:rsidRPr="0032590D" w:rsidRDefault="004F6A63" w:rsidP="00E906FF">
            <w:pPr>
              <w:spacing w:before="0" w:after="0"/>
              <w:rPr>
                <w:rFonts w:ascii="Arial" w:hAnsi="Arial" w:cs="Arial"/>
                <w:color w:val="000000"/>
                <w:sz w:val="20"/>
              </w:rPr>
            </w:pPr>
            <w:r w:rsidRPr="0032590D">
              <w:rPr>
                <w:rFonts w:ascii="Arial" w:hAnsi="Arial" w:cs="Arial"/>
                <w:color w:val="000000"/>
                <w:sz w:val="20"/>
              </w:rPr>
              <w:t>N/A</w:t>
            </w: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32E94B70" w14:textId="09EFB64A" w:rsidR="00E906FF" w:rsidRPr="0032590D" w:rsidRDefault="004F6A63" w:rsidP="00E906FF">
            <w:pPr>
              <w:spacing w:before="0" w:after="0"/>
              <w:rPr>
                <w:rFonts w:ascii="Arial" w:hAnsi="Arial" w:cs="Arial"/>
                <w:color w:val="000000"/>
                <w:sz w:val="20"/>
              </w:rPr>
            </w:pPr>
            <w:r w:rsidRPr="0032590D">
              <w:rPr>
                <w:rFonts w:ascii="Arial" w:hAnsi="Arial" w:cs="Arial"/>
                <w:color w:val="000000"/>
                <w:sz w:val="20"/>
              </w:rPr>
              <w:t>N/A</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3AFFCE0C" w14:textId="4D41F972" w:rsidR="00E906FF" w:rsidRPr="0032590D" w:rsidRDefault="004F6A63" w:rsidP="00E906FF">
            <w:pPr>
              <w:spacing w:before="0" w:after="0"/>
              <w:rPr>
                <w:rFonts w:ascii="Arial" w:hAnsi="Arial" w:cs="Arial"/>
                <w:sz w:val="20"/>
              </w:rPr>
            </w:pPr>
            <w:r w:rsidRPr="0032590D">
              <w:rPr>
                <w:rFonts w:ascii="Arial" w:hAnsi="Arial" w:cs="Arial"/>
                <w:sz w:val="20"/>
              </w:rPr>
              <w:t>N/A</w:t>
            </w:r>
          </w:p>
        </w:tc>
      </w:tr>
      <w:tr w:rsidR="0035675C" w:rsidRPr="0032590D" w14:paraId="6E17D90F" w14:textId="77777777" w:rsidTr="000107E2">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7972BF4B"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4221A685"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Property rates and charges</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1FFE1A0E"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723A477A"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40D4FC98" w14:textId="741FBC5E" w:rsidR="00E906FF" w:rsidRPr="0032590D" w:rsidRDefault="004F6A63" w:rsidP="00E906FF">
            <w:pPr>
              <w:spacing w:before="0" w:after="0"/>
              <w:rPr>
                <w:rFonts w:ascii="Arial" w:hAnsi="Arial" w:cs="Arial"/>
                <w:color w:val="000000"/>
                <w:sz w:val="20"/>
              </w:rPr>
            </w:pPr>
            <w:r w:rsidRPr="0032590D">
              <w:rPr>
                <w:rFonts w:ascii="Arial" w:hAnsi="Arial" w:cs="Arial"/>
                <w:color w:val="000000"/>
                <w:sz w:val="20"/>
              </w:rPr>
              <w:t>N/A</w:t>
            </w: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45EB3500" w14:textId="23963C80" w:rsidR="00E906FF" w:rsidRPr="0032590D" w:rsidRDefault="004F6A63" w:rsidP="00E906FF">
            <w:pPr>
              <w:spacing w:before="0" w:after="0"/>
              <w:rPr>
                <w:rFonts w:ascii="Arial" w:hAnsi="Arial" w:cs="Arial"/>
                <w:color w:val="000000"/>
                <w:sz w:val="20"/>
              </w:rPr>
            </w:pPr>
            <w:r w:rsidRPr="0032590D">
              <w:rPr>
                <w:rFonts w:ascii="Arial" w:hAnsi="Arial" w:cs="Arial"/>
                <w:color w:val="000000"/>
                <w:sz w:val="20"/>
              </w:rPr>
              <w:t>N/A</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6B5D1C69" w14:textId="35E783CE" w:rsidR="00E906FF" w:rsidRPr="0032590D" w:rsidRDefault="004F6A63" w:rsidP="00E906FF">
            <w:pPr>
              <w:spacing w:before="0" w:after="0"/>
              <w:rPr>
                <w:rFonts w:ascii="Arial" w:hAnsi="Arial" w:cs="Arial"/>
                <w:sz w:val="20"/>
              </w:rPr>
            </w:pPr>
            <w:r w:rsidRPr="0032590D">
              <w:rPr>
                <w:rFonts w:ascii="Arial" w:hAnsi="Arial" w:cs="Arial"/>
                <w:sz w:val="20"/>
              </w:rPr>
              <w:t>N/A</w:t>
            </w:r>
          </w:p>
        </w:tc>
      </w:tr>
      <w:tr w:rsidR="00CB6ADE" w:rsidRPr="0032590D" w14:paraId="412D4AB8" w14:textId="77777777" w:rsidTr="004463AC">
        <w:trPr>
          <w:trHeight w:val="249"/>
        </w:trPr>
        <w:tc>
          <w:tcPr>
            <w:tcW w:w="9628" w:type="dxa"/>
            <w:gridSpan w:val="7"/>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2316EA75" w14:textId="3D1A734D" w:rsidR="00CB6ADE" w:rsidRPr="0032590D" w:rsidRDefault="00CB6ADE" w:rsidP="00E906FF">
            <w:pPr>
              <w:spacing w:before="0" w:after="0"/>
              <w:rPr>
                <w:rFonts w:ascii="Arial" w:hAnsi="Arial" w:cs="Arial"/>
                <w:sz w:val="20"/>
              </w:rPr>
            </w:pPr>
            <w:r w:rsidRPr="0032590D">
              <w:rPr>
                <w:rFonts w:ascii="Arial" w:hAnsi="Arial" w:cs="Arial"/>
                <w:color w:val="000000"/>
                <w:sz w:val="20"/>
              </w:rPr>
              <w:t>Utilities</w:t>
            </w:r>
          </w:p>
        </w:tc>
      </w:tr>
      <w:tr w:rsidR="0035675C" w:rsidRPr="0032590D" w14:paraId="337778C6" w14:textId="77777777" w:rsidTr="000107E2">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019841E0"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4923D75C"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Water and sewerage</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7F09CBF8"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35E2F5CF"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5EFCE4D5"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26E3A908"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06D84FBB" w14:textId="77777777" w:rsidR="00E906FF" w:rsidRPr="0032590D" w:rsidRDefault="00E906FF" w:rsidP="00E906FF">
            <w:pPr>
              <w:spacing w:before="0" w:after="0"/>
              <w:rPr>
                <w:rFonts w:ascii="Arial" w:hAnsi="Arial" w:cs="Arial"/>
                <w:sz w:val="20"/>
              </w:rPr>
            </w:pPr>
          </w:p>
        </w:tc>
      </w:tr>
      <w:tr w:rsidR="004463AC" w:rsidRPr="0032590D" w14:paraId="31A07E9F" w14:textId="77777777" w:rsidTr="004463AC">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0961147B"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6C5B7046"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Electricity</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0AEF131C"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10BCDF62"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38D26DA5"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7BC531DF"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57173D88" w14:textId="77777777" w:rsidR="00E906FF" w:rsidRPr="0032590D" w:rsidRDefault="00E906FF" w:rsidP="00E906FF">
            <w:pPr>
              <w:spacing w:before="0" w:after="0"/>
              <w:rPr>
                <w:rFonts w:ascii="Arial" w:hAnsi="Arial" w:cs="Arial"/>
                <w:sz w:val="20"/>
              </w:rPr>
            </w:pPr>
          </w:p>
        </w:tc>
      </w:tr>
      <w:tr w:rsidR="0035675C" w:rsidRPr="0032590D" w14:paraId="3B8833CA" w14:textId="77777777" w:rsidTr="000107E2">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75266908"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5D985EDA"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Gas and other household fuels</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397BB048"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592680E3"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352B704A"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5E7F88F8"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5DB673E0" w14:textId="77777777" w:rsidR="00E906FF" w:rsidRPr="0032590D" w:rsidRDefault="00E906FF" w:rsidP="00E906FF">
            <w:pPr>
              <w:spacing w:before="0" w:after="0"/>
              <w:rPr>
                <w:rFonts w:ascii="Arial" w:hAnsi="Arial" w:cs="Arial"/>
                <w:sz w:val="20"/>
              </w:rPr>
            </w:pPr>
          </w:p>
        </w:tc>
      </w:tr>
      <w:tr w:rsidR="00CB6ADE" w:rsidRPr="0032590D" w14:paraId="64A526BD" w14:textId="77777777" w:rsidTr="004463AC">
        <w:trPr>
          <w:trHeight w:val="249"/>
        </w:trPr>
        <w:tc>
          <w:tcPr>
            <w:tcW w:w="9628" w:type="dxa"/>
            <w:gridSpan w:val="7"/>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1C50D918" w14:textId="560AAE53" w:rsidR="00CB6ADE" w:rsidRPr="0032590D" w:rsidRDefault="00CB6ADE" w:rsidP="00E906FF">
            <w:pPr>
              <w:spacing w:before="0" w:after="0"/>
              <w:rPr>
                <w:rFonts w:ascii="Arial" w:hAnsi="Arial" w:cs="Arial"/>
                <w:b/>
                <w:bCs/>
                <w:sz w:val="20"/>
              </w:rPr>
            </w:pPr>
            <w:r w:rsidRPr="0032590D">
              <w:rPr>
                <w:rFonts w:ascii="Arial" w:hAnsi="Arial" w:cs="Arial"/>
                <w:b/>
                <w:bCs/>
                <w:color w:val="000000"/>
                <w:sz w:val="20"/>
              </w:rPr>
              <w:t>FURNISHINGS, HOUSEHOLD EQUIPMENT AND SERVICES</w:t>
            </w:r>
          </w:p>
        </w:tc>
      </w:tr>
      <w:tr w:rsidR="00CB6ADE" w:rsidRPr="0032590D" w14:paraId="4C88BAB5" w14:textId="77777777" w:rsidTr="00021D0F">
        <w:trPr>
          <w:trHeight w:val="249"/>
        </w:trPr>
        <w:tc>
          <w:tcPr>
            <w:tcW w:w="9628" w:type="dxa"/>
            <w:gridSpan w:val="7"/>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55E8516E" w14:textId="2714BB22" w:rsidR="00CB6ADE" w:rsidRPr="0032590D" w:rsidRDefault="00CB6ADE" w:rsidP="00E906FF">
            <w:pPr>
              <w:spacing w:before="0" w:after="0"/>
              <w:rPr>
                <w:rFonts w:ascii="Arial" w:hAnsi="Arial" w:cs="Arial"/>
                <w:sz w:val="20"/>
              </w:rPr>
            </w:pPr>
            <w:r w:rsidRPr="0032590D">
              <w:rPr>
                <w:rFonts w:ascii="Arial" w:hAnsi="Arial" w:cs="Arial"/>
                <w:color w:val="000000"/>
                <w:sz w:val="20"/>
              </w:rPr>
              <w:t>Furniture and furnishings</w:t>
            </w:r>
          </w:p>
        </w:tc>
      </w:tr>
      <w:tr w:rsidR="004463AC" w:rsidRPr="0032590D" w14:paraId="3CCA9D63" w14:textId="77777777" w:rsidTr="004463AC">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346F921D"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37452CA4"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Furniture</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73CE5BB4" w14:textId="77777777" w:rsidR="00E906FF" w:rsidRPr="0032590D" w:rsidRDefault="00E906FF" w:rsidP="00E906FF">
            <w:pPr>
              <w:spacing w:before="0" w:after="0"/>
              <w:rPr>
                <w:rFonts w:ascii="Arial" w:hAnsi="Arial" w:cs="Arial"/>
                <w:color w:val="000000"/>
                <w:sz w:val="20"/>
              </w:rPr>
            </w:pP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4EA0F736"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10389EF9" w14:textId="77777777" w:rsidR="00E906FF" w:rsidRPr="0032590D" w:rsidRDefault="00E906FF" w:rsidP="00E906FF">
            <w:pPr>
              <w:spacing w:before="0" w:after="0"/>
              <w:rPr>
                <w:rFonts w:ascii="Arial" w:hAnsi="Arial" w:cs="Arial"/>
                <w:color w:val="000000"/>
                <w:sz w:val="20"/>
              </w:rPr>
            </w:pP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67376D74" w14:textId="77777777" w:rsidR="00E906FF" w:rsidRPr="0032590D" w:rsidRDefault="00E906FF" w:rsidP="00E906FF">
            <w:pPr>
              <w:spacing w:before="0" w:after="0"/>
              <w:rPr>
                <w:rFonts w:ascii="Arial" w:hAnsi="Arial" w:cs="Arial"/>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546EE16B" w14:textId="1645AA0A" w:rsidR="00E906FF" w:rsidRPr="0032590D" w:rsidRDefault="000107E2" w:rsidP="00E906FF">
            <w:pPr>
              <w:spacing w:before="0" w:after="0"/>
              <w:rPr>
                <w:rFonts w:ascii="Arial" w:hAnsi="Arial" w:cs="Arial"/>
                <w:sz w:val="20"/>
              </w:rPr>
            </w:pPr>
            <w:r w:rsidRPr="0032590D">
              <w:rPr>
                <w:rFonts w:ascii="Arial" w:hAnsi="Arial" w:cs="Arial"/>
                <w:sz w:val="20"/>
              </w:rPr>
              <w:t>X</w:t>
            </w:r>
          </w:p>
        </w:tc>
      </w:tr>
      <w:tr w:rsidR="0035675C" w:rsidRPr="0032590D" w14:paraId="3D46B1E5" w14:textId="77777777" w:rsidTr="00136144">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4404BECC"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05187E2A"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Carpets and other floor coverings</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17ACD3DF" w14:textId="77777777" w:rsidR="00E906FF" w:rsidRPr="0032590D" w:rsidRDefault="00E906FF" w:rsidP="00E906FF">
            <w:pPr>
              <w:spacing w:before="0" w:after="0"/>
              <w:rPr>
                <w:rFonts w:ascii="Arial" w:hAnsi="Arial" w:cs="Arial"/>
                <w:color w:val="000000"/>
                <w:sz w:val="20"/>
              </w:rPr>
            </w:pP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5C48D7D8"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718D5E65" w14:textId="77777777" w:rsidR="00E906FF" w:rsidRPr="0032590D" w:rsidRDefault="00E906FF" w:rsidP="00E906FF">
            <w:pPr>
              <w:spacing w:before="0" w:after="0"/>
              <w:rPr>
                <w:rFonts w:ascii="Arial" w:hAnsi="Arial" w:cs="Arial"/>
                <w:color w:val="000000"/>
                <w:sz w:val="20"/>
              </w:rPr>
            </w:pP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576B3C3B" w14:textId="77777777" w:rsidR="00E906FF" w:rsidRPr="0032590D" w:rsidRDefault="00E906FF" w:rsidP="00E906FF">
            <w:pPr>
              <w:spacing w:before="0" w:after="0"/>
              <w:rPr>
                <w:rFonts w:ascii="Arial" w:hAnsi="Arial" w:cs="Arial"/>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47F280DE" w14:textId="0998ECDF" w:rsidR="00E906FF" w:rsidRPr="0032590D" w:rsidRDefault="000107E2" w:rsidP="00E906FF">
            <w:pPr>
              <w:spacing w:before="0" w:after="0"/>
              <w:rPr>
                <w:rFonts w:ascii="Arial" w:hAnsi="Arial" w:cs="Arial"/>
                <w:sz w:val="20"/>
              </w:rPr>
            </w:pPr>
            <w:r w:rsidRPr="0032590D">
              <w:rPr>
                <w:rFonts w:ascii="Arial" w:hAnsi="Arial" w:cs="Arial"/>
                <w:sz w:val="20"/>
              </w:rPr>
              <w:t>X</w:t>
            </w:r>
          </w:p>
        </w:tc>
      </w:tr>
      <w:tr w:rsidR="00CB6ADE" w:rsidRPr="0032590D" w14:paraId="5FFFB3BE" w14:textId="77777777" w:rsidTr="004463AC">
        <w:trPr>
          <w:trHeight w:val="249"/>
        </w:trPr>
        <w:tc>
          <w:tcPr>
            <w:tcW w:w="9628" w:type="dxa"/>
            <w:gridSpan w:val="7"/>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016D7A76" w14:textId="7152033B" w:rsidR="00CB6ADE" w:rsidRPr="0032590D" w:rsidRDefault="00CB6ADE" w:rsidP="00E906FF">
            <w:pPr>
              <w:spacing w:before="0" w:after="0"/>
              <w:rPr>
                <w:rFonts w:ascii="Arial" w:hAnsi="Arial" w:cs="Arial"/>
                <w:sz w:val="20"/>
              </w:rPr>
            </w:pPr>
            <w:r w:rsidRPr="0032590D">
              <w:rPr>
                <w:rFonts w:ascii="Arial" w:hAnsi="Arial" w:cs="Arial"/>
                <w:color w:val="000000"/>
                <w:sz w:val="20"/>
              </w:rPr>
              <w:t>Household textiles</w:t>
            </w:r>
          </w:p>
        </w:tc>
      </w:tr>
      <w:tr w:rsidR="0035675C" w:rsidRPr="0032590D" w14:paraId="45E9B5D5" w14:textId="77777777" w:rsidTr="002142F4">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6F9F66AC"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5132DA4E"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Household textiles</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26EDCC10" w14:textId="77777777" w:rsidR="00E906FF" w:rsidRPr="0032590D" w:rsidRDefault="00E906FF" w:rsidP="00E906FF">
            <w:pPr>
              <w:spacing w:before="0" w:after="0"/>
              <w:rPr>
                <w:rFonts w:ascii="Arial" w:hAnsi="Arial" w:cs="Arial"/>
                <w:color w:val="000000"/>
                <w:sz w:val="20"/>
              </w:rPr>
            </w:pP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0BBA409B"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034D3608" w14:textId="77777777" w:rsidR="00E906FF" w:rsidRPr="0032590D" w:rsidRDefault="00E906FF" w:rsidP="00E906FF">
            <w:pPr>
              <w:spacing w:before="0" w:after="0"/>
              <w:rPr>
                <w:rFonts w:ascii="Arial" w:hAnsi="Arial" w:cs="Arial"/>
                <w:color w:val="000000"/>
                <w:sz w:val="20"/>
              </w:rPr>
            </w:pP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441E7B77" w14:textId="77777777" w:rsidR="00E906FF" w:rsidRPr="0032590D" w:rsidRDefault="00E906FF" w:rsidP="00E906FF">
            <w:pPr>
              <w:spacing w:before="0" w:after="0"/>
              <w:rPr>
                <w:rFonts w:ascii="Arial" w:hAnsi="Arial" w:cs="Arial"/>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607364AA" w14:textId="0FD736A9" w:rsidR="00E906FF" w:rsidRPr="0032590D" w:rsidRDefault="002142F4" w:rsidP="00E906FF">
            <w:pPr>
              <w:spacing w:before="0" w:after="0"/>
              <w:rPr>
                <w:rFonts w:ascii="Arial" w:hAnsi="Arial" w:cs="Arial"/>
                <w:sz w:val="20"/>
              </w:rPr>
            </w:pPr>
            <w:r w:rsidRPr="0032590D">
              <w:rPr>
                <w:rFonts w:ascii="Arial" w:hAnsi="Arial" w:cs="Arial"/>
                <w:color w:val="000000"/>
                <w:sz w:val="20"/>
              </w:rPr>
              <w:t>X</w:t>
            </w:r>
          </w:p>
        </w:tc>
      </w:tr>
      <w:tr w:rsidR="00CB6ADE" w:rsidRPr="0032590D" w14:paraId="35AD478F" w14:textId="77777777" w:rsidTr="004463AC">
        <w:trPr>
          <w:trHeight w:val="249"/>
        </w:trPr>
        <w:tc>
          <w:tcPr>
            <w:tcW w:w="9628" w:type="dxa"/>
            <w:gridSpan w:val="7"/>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2FB45F00" w14:textId="1FDE4C78" w:rsidR="00CB6ADE" w:rsidRPr="0032590D" w:rsidRDefault="00CB6ADE" w:rsidP="00E906FF">
            <w:pPr>
              <w:spacing w:before="0" w:after="0"/>
              <w:rPr>
                <w:rFonts w:ascii="Arial" w:hAnsi="Arial" w:cs="Arial"/>
                <w:sz w:val="20"/>
              </w:rPr>
            </w:pPr>
            <w:r w:rsidRPr="0032590D">
              <w:rPr>
                <w:rFonts w:ascii="Arial" w:hAnsi="Arial" w:cs="Arial"/>
                <w:color w:val="000000"/>
                <w:sz w:val="20"/>
              </w:rPr>
              <w:t>Household appliances, utensils and tools</w:t>
            </w:r>
          </w:p>
        </w:tc>
      </w:tr>
      <w:tr w:rsidR="0035675C" w:rsidRPr="0032590D" w14:paraId="3F17A10E" w14:textId="77777777" w:rsidTr="002142F4">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539F1A81"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19C8B3BD"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Major household appliances</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43A40A37" w14:textId="77777777" w:rsidR="00E906FF" w:rsidRPr="0032590D" w:rsidRDefault="00E906FF" w:rsidP="00E906FF">
            <w:pPr>
              <w:spacing w:before="0" w:after="0"/>
              <w:rPr>
                <w:rFonts w:ascii="Arial" w:hAnsi="Arial" w:cs="Arial"/>
                <w:color w:val="000000"/>
                <w:sz w:val="20"/>
              </w:rPr>
            </w:pP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0728AE6F"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3EB8929E" w14:textId="77777777" w:rsidR="00E906FF" w:rsidRPr="0032590D" w:rsidRDefault="00E906FF" w:rsidP="00E906FF">
            <w:pPr>
              <w:spacing w:before="0" w:after="0"/>
              <w:rPr>
                <w:rFonts w:ascii="Arial" w:hAnsi="Arial" w:cs="Arial"/>
                <w:color w:val="000000"/>
                <w:sz w:val="20"/>
              </w:rPr>
            </w:pP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49DD9D60" w14:textId="77777777" w:rsidR="00E906FF" w:rsidRPr="0032590D" w:rsidRDefault="00E906FF" w:rsidP="00E906FF">
            <w:pPr>
              <w:spacing w:before="0" w:after="0"/>
              <w:rPr>
                <w:rFonts w:ascii="Arial" w:hAnsi="Arial" w:cs="Arial"/>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55EB4DE1"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r>
      <w:tr w:rsidR="004463AC" w:rsidRPr="0032590D" w14:paraId="2263670E" w14:textId="77777777" w:rsidTr="004463AC">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088A7AA5" w14:textId="77777777" w:rsidR="00E906FF" w:rsidRPr="0032590D" w:rsidRDefault="00E906FF" w:rsidP="00E906FF">
            <w:pPr>
              <w:spacing w:before="0" w:after="0"/>
              <w:rPr>
                <w:rFonts w:ascii="Arial" w:hAnsi="Arial" w:cs="Arial"/>
                <w:color w:val="000000"/>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438FB647"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Small electric household appliances</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7B508D51" w14:textId="77777777" w:rsidR="00E906FF" w:rsidRPr="0032590D" w:rsidRDefault="00E906FF" w:rsidP="00E906FF">
            <w:pPr>
              <w:spacing w:before="0" w:after="0"/>
              <w:rPr>
                <w:rFonts w:ascii="Arial" w:hAnsi="Arial" w:cs="Arial"/>
                <w:color w:val="000000"/>
                <w:sz w:val="20"/>
              </w:rPr>
            </w:pP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5C4A6039"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2C5A5807" w14:textId="77777777" w:rsidR="00E906FF" w:rsidRPr="0032590D" w:rsidRDefault="00E906FF" w:rsidP="00E906FF">
            <w:pPr>
              <w:spacing w:before="0" w:after="0"/>
              <w:rPr>
                <w:rFonts w:ascii="Arial" w:hAnsi="Arial" w:cs="Arial"/>
                <w:color w:val="000000"/>
                <w:sz w:val="20"/>
              </w:rPr>
            </w:pP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20EFDEE9" w14:textId="77777777" w:rsidR="00E906FF" w:rsidRPr="0032590D" w:rsidRDefault="00E906FF" w:rsidP="00E906FF">
            <w:pPr>
              <w:spacing w:before="0" w:after="0"/>
              <w:rPr>
                <w:rFonts w:ascii="Arial" w:hAnsi="Arial" w:cs="Arial"/>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2D47465F"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r>
      <w:tr w:rsidR="00021D0F" w:rsidRPr="0032590D" w14:paraId="5400B1DB" w14:textId="77777777" w:rsidTr="002142F4">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5A7554EF" w14:textId="77777777" w:rsidR="00021D0F" w:rsidRPr="0032590D" w:rsidRDefault="00021D0F" w:rsidP="00E906FF">
            <w:pPr>
              <w:spacing w:before="0" w:after="0"/>
              <w:rPr>
                <w:rFonts w:ascii="Arial" w:hAnsi="Arial" w:cs="Arial"/>
                <w:color w:val="000000"/>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6A58D071" w14:textId="77777777" w:rsidR="00021D0F" w:rsidRPr="0032590D" w:rsidRDefault="00021D0F" w:rsidP="00E906FF">
            <w:pPr>
              <w:spacing w:before="0" w:after="0"/>
              <w:rPr>
                <w:rFonts w:ascii="Arial" w:hAnsi="Arial" w:cs="Arial"/>
                <w:color w:val="000000"/>
                <w:sz w:val="20"/>
              </w:rPr>
            </w:pPr>
            <w:r w:rsidRPr="0032590D">
              <w:rPr>
                <w:rFonts w:ascii="Arial" w:hAnsi="Arial" w:cs="Arial"/>
                <w:color w:val="000000"/>
                <w:sz w:val="20"/>
              </w:rPr>
              <w:t>Glassware, tableware and household utensils</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vAlign w:val="bottom"/>
          </w:tcPr>
          <w:p w14:paraId="62482E49" w14:textId="568C95B9" w:rsidR="00021D0F" w:rsidRPr="0032590D" w:rsidRDefault="00021D0F" w:rsidP="00E906FF">
            <w:pPr>
              <w:spacing w:before="0" w:after="0"/>
              <w:rPr>
                <w:rFonts w:ascii="Arial" w:hAnsi="Arial" w:cs="Arial"/>
                <w:color w:val="000000"/>
                <w:sz w:val="20"/>
              </w:rPr>
            </w:pP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0624A215" w14:textId="77777777" w:rsidR="00021D0F" w:rsidRPr="0032590D" w:rsidRDefault="00021D0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466AA0E6" w14:textId="77777777" w:rsidR="00021D0F" w:rsidRPr="0032590D" w:rsidRDefault="00021D0F" w:rsidP="00E906FF">
            <w:pPr>
              <w:spacing w:before="0" w:after="0"/>
              <w:rPr>
                <w:rFonts w:ascii="Arial" w:hAnsi="Arial" w:cs="Arial"/>
                <w:color w:val="000000"/>
                <w:sz w:val="20"/>
              </w:rPr>
            </w:pP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03AB63E9" w14:textId="77777777" w:rsidR="00021D0F" w:rsidRPr="0032590D" w:rsidRDefault="00021D0F" w:rsidP="00E906FF">
            <w:pPr>
              <w:spacing w:before="0" w:after="0"/>
              <w:rPr>
                <w:rFonts w:ascii="Arial" w:hAnsi="Arial" w:cs="Arial"/>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612498A4" w14:textId="77777777" w:rsidR="00021D0F" w:rsidRPr="0032590D" w:rsidRDefault="00021D0F" w:rsidP="00E906FF">
            <w:pPr>
              <w:spacing w:before="0" w:after="0"/>
              <w:rPr>
                <w:rFonts w:ascii="Arial" w:hAnsi="Arial" w:cs="Arial"/>
                <w:color w:val="000000"/>
                <w:sz w:val="20"/>
              </w:rPr>
            </w:pPr>
            <w:r w:rsidRPr="0032590D">
              <w:rPr>
                <w:rFonts w:ascii="Arial" w:hAnsi="Arial" w:cs="Arial"/>
                <w:color w:val="000000"/>
                <w:sz w:val="20"/>
              </w:rPr>
              <w:t>X</w:t>
            </w:r>
          </w:p>
        </w:tc>
      </w:tr>
      <w:tr w:rsidR="00021D0F" w:rsidRPr="0032590D" w14:paraId="63FA4F4F" w14:textId="77777777" w:rsidTr="004463AC">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39B3F613" w14:textId="77777777" w:rsidR="00021D0F" w:rsidRPr="0032590D" w:rsidRDefault="00021D0F" w:rsidP="00E906FF">
            <w:pPr>
              <w:spacing w:before="0" w:after="0"/>
              <w:rPr>
                <w:rFonts w:ascii="Arial" w:hAnsi="Arial" w:cs="Arial"/>
                <w:color w:val="000000"/>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2C5777FF" w14:textId="77777777" w:rsidR="00021D0F" w:rsidRPr="0032590D" w:rsidRDefault="00021D0F" w:rsidP="00E906FF">
            <w:pPr>
              <w:spacing w:before="0" w:after="0"/>
              <w:rPr>
                <w:rFonts w:ascii="Arial" w:hAnsi="Arial" w:cs="Arial"/>
                <w:color w:val="000000"/>
                <w:sz w:val="20"/>
              </w:rPr>
            </w:pPr>
            <w:r w:rsidRPr="0032590D">
              <w:rPr>
                <w:rFonts w:ascii="Arial" w:hAnsi="Arial" w:cs="Arial"/>
                <w:color w:val="000000"/>
                <w:sz w:val="20"/>
              </w:rPr>
              <w:t>Tools and equipment for house and garden</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vAlign w:val="bottom"/>
          </w:tcPr>
          <w:p w14:paraId="47F416BC" w14:textId="21A404C3" w:rsidR="00021D0F" w:rsidRPr="0032590D" w:rsidRDefault="00021D0F" w:rsidP="00E906FF">
            <w:pPr>
              <w:spacing w:before="0" w:after="0"/>
              <w:rPr>
                <w:rFonts w:ascii="Arial" w:hAnsi="Arial" w:cs="Arial"/>
                <w:color w:val="000000"/>
                <w:sz w:val="20"/>
              </w:rPr>
            </w:pP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7A191059" w14:textId="77777777" w:rsidR="00021D0F" w:rsidRPr="0032590D" w:rsidRDefault="00021D0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2E950F4F" w14:textId="77777777" w:rsidR="00021D0F" w:rsidRPr="0032590D" w:rsidRDefault="00021D0F" w:rsidP="00E906FF">
            <w:pPr>
              <w:spacing w:before="0" w:after="0"/>
              <w:rPr>
                <w:rFonts w:ascii="Arial" w:hAnsi="Arial" w:cs="Arial"/>
                <w:color w:val="000000"/>
                <w:sz w:val="20"/>
              </w:rPr>
            </w:pP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27790F9C" w14:textId="77777777" w:rsidR="00021D0F" w:rsidRPr="0032590D" w:rsidRDefault="00021D0F" w:rsidP="00E906FF">
            <w:pPr>
              <w:spacing w:before="0" w:after="0"/>
              <w:rPr>
                <w:rFonts w:ascii="Arial" w:hAnsi="Arial" w:cs="Arial"/>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6A589934" w14:textId="77777777" w:rsidR="00021D0F" w:rsidRPr="0032590D" w:rsidRDefault="00021D0F" w:rsidP="00E906FF">
            <w:pPr>
              <w:spacing w:before="0" w:after="0"/>
              <w:rPr>
                <w:rFonts w:ascii="Arial" w:hAnsi="Arial" w:cs="Arial"/>
                <w:color w:val="000000"/>
                <w:sz w:val="20"/>
              </w:rPr>
            </w:pPr>
            <w:r w:rsidRPr="0032590D">
              <w:rPr>
                <w:rFonts w:ascii="Arial" w:hAnsi="Arial" w:cs="Arial"/>
                <w:color w:val="000000"/>
                <w:sz w:val="20"/>
              </w:rPr>
              <w:t>X</w:t>
            </w:r>
          </w:p>
        </w:tc>
      </w:tr>
      <w:tr w:rsidR="00CB6ADE" w:rsidRPr="0032590D" w14:paraId="076FE858" w14:textId="77777777" w:rsidTr="00021D0F">
        <w:trPr>
          <w:trHeight w:val="249"/>
        </w:trPr>
        <w:tc>
          <w:tcPr>
            <w:tcW w:w="9628" w:type="dxa"/>
            <w:gridSpan w:val="7"/>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37A9C824" w14:textId="6692C766" w:rsidR="00CB6ADE" w:rsidRPr="0032590D" w:rsidRDefault="00CB6ADE" w:rsidP="00E906FF">
            <w:pPr>
              <w:spacing w:before="0" w:after="0"/>
              <w:rPr>
                <w:rFonts w:ascii="Arial" w:hAnsi="Arial" w:cs="Arial"/>
                <w:sz w:val="20"/>
              </w:rPr>
            </w:pPr>
            <w:r w:rsidRPr="0032590D">
              <w:rPr>
                <w:rFonts w:ascii="Arial" w:hAnsi="Arial" w:cs="Arial"/>
                <w:color w:val="000000"/>
                <w:sz w:val="20"/>
              </w:rPr>
              <w:t>Non-durable household products</w:t>
            </w:r>
          </w:p>
        </w:tc>
      </w:tr>
      <w:tr w:rsidR="004463AC" w:rsidRPr="0032590D" w14:paraId="1877B487" w14:textId="77777777" w:rsidTr="004463AC">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6B313495"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59BB364F"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Cleaning and maintenance products</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7E1F4A0A"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11685D91"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6BDA47EF"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300687DF"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05974D28" w14:textId="77777777" w:rsidR="00E906FF" w:rsidRPr="0032590D" w:rsidRDefault="00E906FF" w:rsidP="00E906FF">
            <w:pPr>
              <w:spacing w:before="0" w:after="0"/>
              <w:rPr>
                <w:rFonts w:ascii="Arial" w:hAnsi="Arial" w:cs="Arial"/>
                <w:sz w:val="20"/>
              </w:rPr>
            </w:pPr>
          </w:p>
        </w:tc>
      </w:tr>
      <w:tr w:rsidR="0035675C" w:rsidRPr="0032590D" w14:paraId="17F7A16A" w14:textId="77777777" w:rsidTr="002142F4">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43554CF9"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3A76D38F"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Personal care products</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7B9EEC63"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1ADF9132"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0DD1EF21"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49CF6ECC"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35DA6F96" w14:textId="77777777" w:rsidR="00E906FF" w:rsidRPr="0032590D" w:rsidRDefault="00E906FF" w:rsidP="00E906FF">
            <w:pPr>
              <w:spacing w:before="0" w:after="0"/>
              <w:rPr>
                <w:rFonts w:ascii="Arial" w:hAnsi="Arial" w:cs="Arial"/>
                <w:sz w:val="20"/>
              </w:rPr>
            </w:pPr>
          </w:p>
        </w:tc>
      </w:tr>
      <w:tr w:rsidR="004463AC" w:rsidRPr="0032590D" w14:paraId="6F7DA638" w14:textId="77777777" w:rsidTr="004463AC">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11F823C5"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7781023F"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Other non-durable household products</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2B40283E"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5754A804"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65BE84F5"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58FF8D3C"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5EDA15A8" w14:textId="77777777" w:rsidR="00E906FF" w:rsidRPr="0032590D" w:rsidRDefault="00E906FF" w:rsidP="00E906FF">
            <w:pPr>
              <w:spacing w:before="0" w:after="0"/>
              <w:rPr>
                <w:rFonts w:ascii="Arial" w:hAnsi="Arial" w:cs="Arial"/>
                <w:sz w:val="20"/>
              </w:rPr>
            </w:pPr>
          </w:p>
        </w:tc>
      </w:tr>
      <w:tr w:rsidR="00CB6ADE" w:rsidRPr="0032590D" w14:paraId="7933E763" w14:textId="77777777" w:rsidTr="00021D0F">
        <w:trPr>
          <w:trHeight w:val="249"/>
        </w:trPr>
        <w:tc>
          <w:tcPr>
            <w:tcW w:w="9628" w:type="dxa"/>
            <w:gridSpan w:val="7"/>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7E90199F" w14:textId="628599CD" w:rsidR="00CB6ADE" w:rsidRPr="0032590D" w:rsidRDefault="00CB6ADE" w:rsidP="00E906FF">
            <w:pPr>
              <w:spacing w:before="0" w:after="0"/>
              <w:rPr>
                <w:rFonts w:ascii="Arial" w:hAnsi="Arial" w:cs="Arial"/>
                <w:sz w:val="20"/>
              </w:rPr>
            </w:pPr>
            <w:r w:rsidRPr="0032590D">
              <w:rPr>
                <w:rFonts w:ascii="Arial" w:hAnsi="Arial" w:cs="Arial"/>
                <w:color w:val="000000"/>
                <w:sz w:val="20"/>
              </w:rPr>
              <w:t>Domestic and household services</w:t>
            </w:r>
          </w:p>
        </w:tc>
      </w:tr>
      <w:tr w:rsidR="004463AC" w:rsidRPr="0032590D" w14:paraId="70014036" w14:textId="77777777" w:rsidTr="004463AC">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5740C044"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6A1CE1EB"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Child care</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7113DFD1"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227E40E6"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608C87A7"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0A3CF22E"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5F238063" w14:textId="77777777" w:rsidR="00E906FF" w:rsidRPr="0032590D" w:rsidRDefault="00E906FF" w:rsidP="00E906FF">
            <w:pPr>
              <w:spacing w:before="0" w:after="0"/>
              <w:rPr>
                <w:rFonts w:ascii="Arial" w:hAnsi="Arial" w:cs="Arial"/>
                <w:sz w:val="20"/>
              </w:rPr>
            </w:pPr>
          </w:p>
        </w:tc>
      </w:tr>
      <w:tr w:rsidR="00021D0F" w:rsidRPr="0032590D" w14:paraId="5239B3BD" w14:textId="77777777" w:rsidTr="002142F4">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7B09472F" w14:textId="77777777" w:rsidR="00021D0F" w:rsidRPr="0032590D" w:rsidRDefault="00021D0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4A461A3D" w14:textId="77777777" w:rsidR="00021D0F" w:rsidRPr="0032590D" w:rsidRDefault="00021D0F" w:rsidP="00E906FF">
            <w:pPr>
              <w:spacing w:before="0" w:after="0"/>
              <w:rPr>
                <w:rFonts w:ascii="Arial" w:hAnsi="Arial" w:cs="Arial"/>
                <w:color w:val="000000"/>
                <w:sz w:val="20"/>
              </w:rPr>
            </w:pPr>
            <w:r w:rsidRPr="0032590D">
              <w:rPr>
                <w:rFonts w:ascii="Arial" w:hAnsi="Arial" w:cs="Arial"/>
                <w:color w:val="000000"/>
                <w:sz w:val="20"/>
              </w:rPr>
              <w:t>Hairdressing and personal grooming services</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vAlign w:val="bottom"/>
          </w:tcPr>
          <w:p w14:paraId="2DFCC1BF" w14:textId="715AFA6D" w:rsidR="00021D0F" w:rsidRPr="0032590D" w:rsidRDefault="00021D0F" w:rsidP="00E906FF">
            <w:pPr>
              <w:spacing w:before="0" w:after="0"/>
              <w:rPr>
                <w:rFonts w:ascii="Arial" w:hAnsi="Arial" w:cs="Arial"/>
                <w:color w:val="000000"/>
                <w:sz w:val="20"/>
              </w:rPr>
            </w:pP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54A196F9" w14:textId="77777777" w:rsidR="00021D0F" w:rsidRPr="0032590D" w:rsidRDefault="00021D0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5629BF73" w14:textId="77777777" w:rsidR="00021D0F" w:rsidRPr="0032590D" w:rsidRDefault="00021D0F" w:rsidP="00E906FF">
            <w:pPr>
              <w:spacing w:before="0" w:after="0"/>
              <w:rPr>
                <w:rFonts w:ascii="Arial" w:hAnsi="Arial" w:cs="Arial"/>
                <w:color w:val="000000"/>
                <w:sz w:val="20"/>
              </w:rPr>
            </w:pP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1AA27552" w14:textId="77777777" w:rsidR="00021D0F" w:rsidRPr="0032590D" w:rsidRDefault="00021D0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657B9CC2" w14:textId="77777777" w:rsidR="00021D0F" w:rsidRPr="0032590D" w:rsidRDefault="00021D0F" w:rsidP="00E906FF">
            <w:pPr>
              <w:spacing w:before="0" w:after="0"/>
              <w:rPr>
                <w:rFonts w:ascii="Arial" w:hAnsi="Arial" w:cs="Arial"/>
                <w:color w:val="000000"/>
                <w:sz w:val="20"/>
              </w:rPr>
            </w:pPr>
          </w:p>
        </w:tc>
      </w:tr>
      <w:tr w:rsidR="004463AC" w:rsidRPr="0032590D" w14:paraId="580DC193" w14:textId="77777777" w:rsidTr="004463AC">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0AB13DC5"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4C9B5574"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Other household services</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7E2A2764" w14:textId="77777777" w:rsidR="00E906FF" w:rsidRPr="0032590D" w:rsidRDefault="00E906FF" w:rsidP="00E906FF">
            <w:pPr>
              <w:spacing w:before="0" w:after="0"/>
              <w:rPr>
                <w:rFonts w:ascii="Arial" w:hAnsi="Arial" w:cs="Arial"/>
                <w:color w:val="000000"/>
                <w:sz w:val="20"/>
              </w:rPr>
            </w:pP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323628E1"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62CB1BD3" w14:textId="77777777" w:rsidR="00E906FF" w:rsidRPr="0032590D" w:rsidRDefault="00E906FF" w:rsidP="00E906FF">
            <w:pPr>
              <w:spacing w:before="0" w:after="0"/>
              <w:rPr>
                <w:rFonts w:ascii="Arial" w:hAnsi="Arial" w:cs="Arial"/>
                <w:color w:val="000000"/>
                <w:sz w:val="20"/>
              </w:rPr>
            </w:pP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24F7508F" w14:textId="77777777" w:rsidR="00E906FF" w:rsidRPr="0032590D" w:rsidRDefault="00E906FF" w:rsidP="00E906FF">
            <w:pPr>
              <w:spacing w:before="0" w:after="0"/>
              <w:rPr>
                <w:rFonts w:ascii="Arial" w:hAnsi="Arial" w:cs="Arial"/>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3EDA4ECC"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r>
      <w:tr w:rsidR="00CB6ADE" w:rsidRPr="0032590D" w14:paraId="4334DAB9" w14:textId="77777777" w:rsidTr="00021D0F">
        <w:trPr>
          <w:trHeight w:val="249"/>
        </w:trPr>
        <w:tc>
          <w:tcPr>
            <w:tcW w:w="9628" w:type="dxa"/>
            <w:gridSpan w:val="7"/>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30B24CB0" w14:textId="2144C02A" w:rsidR="00CB6ADE" w:rsidRPr="0032590D" w:rsidRDefault="00CB6ADE" w:rsidP="00E906FF">
            <w:pPr>
              <w:spacing w:before="0" w:after="0"/>
              <w:rPr>
                <w:rFonts w:ascii="Arial" w:hAnsi="Arial" w:cs="Arial"/>
                <w:b/>
                <w:bCs/>
                <w:sz w:val="20"/>
              </w:rPr>
            </w:pPr>
            <w:r w:rsidRPr="0032590D">
              <w:rPr>
                <w:rFonts w:ascii="Arial" w:hAnsi="Arial" w:cs="Arial"/>
                <w:b/>
                <w:bCs/>
                <w:color w:val="000000"/>
                <w:sz w:val="20"/>
              </w:rPr>
              <w:t>HEALTH</w:t>
            </w:r>
          </w:p>
        </w:tc>
      </w:tr>
      <w:tr w:rsidR="00CB6ADE" w:rsidRPr="0032590D" w14:paraId="4E61550F" w14:textId="77777777" w:rsidTr="004463AC">
        <w:trPr>
          <w:trHeight w:val="249"/>
        </w:trPr>
        <w:tc>
          <w:tcPr>
            <w:tcW w:w="9628" w:type="dxa"/>
            <w:gridSpan w:val="7"/>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65F6F6A7" w14:textId="25834EA7" w:rsidR="00CB6ADE" w:rsidRPr="0032590D" w:rsidRDefault="00CB6ADE" w:rsidP="00E906FF">
            <w:pPr>
              <w:spacing w:before="0" w:after="0"/>
              <w:rPr>
                <w:rFonts w:ascii="Arial" w:hAnsi="Arial" w:cs="Arial"/>
                <w:sz w:val="20"/>
              </w:rPr>
            </w:pPr>
            <w:r w:rsidRPr="0032590D">
              <w:rPr>
                <w:rFonts w:ascii="Arial" w:hAnsi="Arial" w:cs="Arial"/>
                <w:color w:val="000000"/>
                <w:sz w:val="20"/>
              </w:rPr>
              <w:t>Medical products, appliances and equipment</w:t>
            </w:r>
          </w:p>
        </w:tc>
      </w:tr>
      <w:tr w:rsidR="0035675C" w:rsidRPr="0032590D" w14:paraId="5CFBC439" w14:textId="77777777" w:rsidTr="00B024EA">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07090BFA"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011D1C0A"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Pharmaceutical products</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54C9512C"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4A3BDEE6"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75E301A8"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20C37DA6"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06B80746" w14:textId="77777777" w:rsidR="00E906FF" w:rsidRPr="0032590D" w:rsidRDefault="00E906FF" w:rsidP="00E906FF">
            <w:pPr>
              <w:spacing w:before="0" w:after="0"/>
              <w:rPr>
                <w:rFonts w:ascii="Arial" w:hAnsi="Arial" w:cs="Arial"/>
                <w:sz w:val="20"/>
              </w:rPr>
            </w:pPr>
          </w:p>
        </w:tc>
      </w:tr>
      <w:tr w:rsidR="004463AC" w:rsidRPr="0032590D" w14:paraId="7FA6BFE5" w14:textId="77777777" w:rsidTr="004463AC">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41A39699"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3BD547E5"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Therapeutic appliances and equipment</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0033EDA5"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63307110"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546E4D67"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269C416F"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53871112" w14:textId="77777777" w:rsidR="00E906FF" w:rsidRPr="0032590D" w:rsidRDefault="00E906FF" w:rsidP="00E906FF">
            <w:pPr>
              <w:spacing w:before="0" w:after="0"/>
              <w:rPr>
                <w:rFonts w:ascii="Arial" w:hAnsi="Arial" w:cs="Arial"/>
                <w:sz w:val="20"/>
              </w:rPr>
            </w:pPr>
          </w:p>
        </w:tc>
      </w:tr>
      <w:tr w:rsidR="00CB6ADE" w:rsidRPr="0032590D" w14:paraId="4A0C5894" w14:textId="77777777" w:rsidTr="00021D0F">
        <w:trPr>
          <w:trHeight w:val="249"/>
        </w:trPr>
        <w:tc>
          <w:tcPr>
            <w:tcW w:w="9628" w:type="dxa"/>
            <w:gridSpan w:val="7"/>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0FCD1787" w14:textId="73CF2DFE" w:rsidR="00CB6ADE" w:rsidRPr="0032590D" w:rsidRDefault="00CB6ADE" w:rsidP="00E906FF">
            <w:pPr>
              <w:spacing w:before="0" w:after="0"/>
              <w:rPr>
                <w:rFonts w:ascii="Arial" w:hAnsi="Arial" w:cs="Arial"/>
                <w:sz w:val="20"/>
              </w:rPr>
            </w:pPr>
            <w:r w:rsidRPr="0032590D">
              <w:rPr>
                <w:rFonts w:ascii="Arial" w:hAnsi="Arial" w:cs="Arial"/>
                <w:color w:val="000000"/>
                <w:sz w:val="20"/>
              </w:rPr>
              <w:t>Medical, dental and hospital services</w:t>
            </w:r>
          </w:p>
        </w:tc>
      </w:tr>
      <w:tr w:rsidR="004463AC" w:rsidRPr="0032590D" w14:paraId="28FAA66F" w14:textId="77777777" w:rsidTr="004463AC">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56AF0AFE"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14459B53"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Medical and hospital services</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4D648BF4"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2559F073"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066A3955"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34262548"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367105DC" w14:textId="77777777" w:rsidR="00E906FF" w:rsidRPr="0032590D" w:rsidRDefault="00E906FF" w:rsidP="00E906FF">
            <w:pPr>
              <w:spacing w:before="0" w:after="0"/>
              <w:rPr>
                <w:rFonts w:ascii="Arial" w:hAnsi="Arial" w:cs="Arial"/>
                <w:sz w:val="20"/>
              </w:rPr>
            </w:pPr>
          </w:p>
        </w:tc>
      </w:tr>
      <w:tr w:rsidR="0035675C" w:rsidRPr="0032590D" w14:paraId="0992A529" w14:textId="77777777" w:rsidTr="00B024EA">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32CFBE2D"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66BF939F"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Dental services</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5E8F1B58"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3318DDFB"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5C08A5F2"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52D324DB"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0939CDA3" w14:textId="77777777" w:rsidR="00E906FF" w:rsidRPr="0032590D" w:rsidRDefault="00E906FF" w:rsidP="00E906FF">
            <w:pPr>
              <w:spacing w:before="0" w:after="0"/>
              <w:rPr>
                <w:rFonts w:ascii="Arial" w:hAnsi="Arial" w:cs="Arial"/>
                <w:sz w:val="20"/>
              </w:rPr>
            </w:pPr>
          </w:p>
        </w:tc>
      </w:tr>
      <w:tr w:rsidR="00CB6ADE" w:rsidRPr="0032590D" w14:paraId="6E42C128" w14:textId="77777777" w:rsidTr="004463AC">
        <w:trPr>
          <w:trHeight w:val="249"/>
        </w:trPr>
        <w:tc>
          <w:tcPr>
            <w:tcW w:w="9628" w:type="dxa"/>
            <w:gridSpan w:val="7"/>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2C5FB22A" w14:textId="7894EDD6" w:rsidR="00CB6ADE" w:rsidRPr="0032590D" w:rsidRDefault="00CB6ADE" w:rsidP="00E906FF">
            <w:pPr>
              <w:spacing w:before="0" w:after="0"/>
              <w:rPr>
                <w:rFonts w:ascii="Arial" w:hAnsi="Arial" w:cs="Arial"/>
                <w:b/>
                <w:bCs/>
                <w:sz w:val="20"/>
              </w:rPr>
            </w:pPr>
            <w:r w:rsidRPr="0032590D">
              <w:rPr>
                <w:rFonts w:ascii="Arial" w:hAnsi="Arial" w:cs="Arial"/>
                <w:b/>
                <w:bCs/>
                <w:color w:val="000000"/>
                <w:sz w:val="20"/>
              </w:rPr>
              <w:t>TRANSPORT</w:t>
            </w:r>
          </w:p>
        </w:tc>
      </w:tr>
      <w:tr w:rsidR="00CB6ADE" w:rsidRPr="0032590D" w14:paraId="07703DC4" w14:textId="77777777" w:rsidTr="00021D0F">
        <w:trPr>
          <w:trHeight w:val="249"/>
        </w:trPr>
        <w:tc>
          <w:tcPr>
            <w:tcW w:w="9628" w:type="dxa"/>
            <w:gridSpan w:val="7"/>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4F86F4F5" w14:textId="4B264ADB" w:rsidR="00CB6ADE" w:rsidRPr="0032590D" w:rsidRDefault="00CB6ADE" w:rsidP="00E906FF">
            <w:pPr>
              <w:spacing w:before="0" w:after="0"/>
              <w:rPr>
                <w:rFonts w:ascii="Arial" w:hAnsi="Arial" w:cs="Arial"/>
                <w:sz w:val="20"/>
              </w:rPr>
            </w:pPr>
            <w:r w:rsidRPr="0032590D">
              <w:rPr>
                <w:rFonts w:ascii="Arial" w:hAnsi="Arial" w:cs="Arial"/>
                <w:color w:val="000000"/>
                <w:sz w:val="20"/>
              </w:rPr>
              <w:t>Private motoring</w:t>
            </w:r>
          </w:p>
        </w:tc>
      </w:tr>
      <w:tr w:rsidR="004463AC" w:rsidRPr="0032590D" w14:paraId="754F6BBF" w14:textId="77777777" w:rsidTr="004463AC">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77FE3BC0"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6F4733C0"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Motor vehicles</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19994876" w14:textId="77777777" w:rsidR="00E906FF" w:rsidRPr="0032590D" w:rsidRDefault="00E906FF" w:rsidP="00E906FF">
            <w:pPr>
              <w:spacing w:before="0" w:after="0"/>
              <w:rPr>
                <w:rFonts w:ascii="Arial" w:hAnsi="Arial" w:cs="Arial"/>
                <w:color w:val="000000"/>
                <w:sz w:val="20"/>
              </w:rPr>
            </w:pP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287D8626"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72902AE1" w14:textId="77777777" w:rsidR="00E906FF" w:rsidRPr="0032590D" w:rsidRDefault="00E906FF" w:rsidP="00E906FF">
            <w:pPr>
              <w:spacing w:before="0" w:after="0"/>
              <w:rPr>
                <w:rFonts w:ascii="Arial" w:hAnsi="Arial" w:cs="Arial"/>
                <w:color w:val="000000"/>
                <w:sz w:val="20"/>
              </w:rPr>
            </w:pP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1FC9FA18" w14:textId="77777777" w:rsidR="00E906FF" w:rsidRPr="0032590D" w:rsidRDefault="00E906FF" w:rsidP="00E906FF">
            <w:pPr>
              <w:spacing w:before="0" w:after="0"/>
              <w:rPr>
                <w:rFonts w:ascii="Arial" w:hAnsi="Arial" w:cs="Arial"/>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228C240B"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r>
      <w:tr w:rsidR="0035675C" w:rsidRPr="0032590D" w14:paraId="1B55605F" w14:textId="77777777" w:rsidTr="00B024EA">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02E56F9C" w14:textId="77777777" w:rsidR="00E906FF" w:rsidRPr="0032590D" w:rsidRDefault="00E906FF" w:rsidP="00E906FF">
            <w:pPr>
              <w:spacing w:before="0" w:after="0"/>
              <w:rPr>
                <w:rFonts w:ascii="Arial" w:hAnsi="Arial" w:cs="Arial"/>
                <w:color w:val="000000"/>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36F75278"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Spare parts and accessories for motor vehicles</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4923922C"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74AB84E3"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7315EFAC"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2B989963"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18414734" w14:textId="77777777" w:rsidR="00E906FF" w:rsidRPr="0032590D" w:rsidRDefault="00E906FF" w:rsidP="00E906FF">
            <w:pPr>
              <w:spacing w:before="0" w:after="0"/>
              <w:rPr>
                <w:rFonts w:ascii="Arial" w:hAnsi="Arial" w:cs="Arial"/>
                <w:sz w:val="20"/>
              </w:rPr>
            </w:pPr>
          </w:p>
        </w:tc>
      </w:tr>
      <w:tr w:rsidR="004463AC" w:rsidRPr="0032590D" w14:paraId="2FAACC7A" w14:textId="77777777" w:rsidTr="004463AC">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355EE51E"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14888A1D"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Automotive fuel</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552748AF"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5F1C4CB8"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5BB8254E"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427C01D8"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2A5F9383" w14:textId="77777777" w:rsidR="00E906FF" w:rsidRPr="0032590D" w:rsidRDefault="00E906FF" w:rsidP="00E906FF">
            <w:pPr>
              <w:spacing w:before="0" w:after="0"/>
              <w:rPr>
                <w:rFonts w:ascii="Arial" w:hAnsi="Arial" w:cs="Arial"/>
                <w:sz w:val="20"/>
              </w:rPr>
            </w:pPr>
          </w:p>
        </w:tc>
      </w:tr>
      <w:tr w:rsidR="0035675C" w:rsidRPr="0032590D" w14:paraId="3F7AF8D7" w14:textId="77777777" w:rsidTr="00B024EA">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46732D86"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4BA65947"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Maintenance and repair of motor vehicles</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47BBCC56"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0A9AED64"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7491C940"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17E297BC"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6AE3C7F5" w14:textId="77777777" w:rsidR="00E906FF" w:rsidRPr="0032590D" w:rsidRDefault="00E906FF" w:rsidP="00E906FF">
            <w:pPr>
              <w:spacing w:before="0" w:after="0"/>
              <w:rPr>
                <w:rFonts w:ascii="Arial" w:hAnsi="Arial" w:cs="Arial"/>
                <w:sz w:val="20"/>
              </w:rPr>
            </w:pPr>
          </w:p>
        </w:tc>
      </w:tr>
      <w:tr w:rsidR="004463AC" w:rsidRPr="0032590D" w14:paraId="15408AB1" w14:textId="77777777" w:rsidTr="004463AC">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6BA92D3D"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543974E5"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Other services in respect of motor vehicles</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3B465939"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14D9A5FE"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7CC1C348"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306DA255"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78F97669" w14:textId="77777777" w:rsidR="00E906FF" w:rsidRPr="0032590D" w:rsidRDefault="00E906FF" w:rsidP="00E906FF">
            <w:pPr>
              <w:spacing w:before="0" w:after="0"/>
              <w:rPr>
                <w:rFonts w:ascii="Arial" w:hAnsi="Arial" w:cs="Arial"/>
                <w:sz w:val="20"/>
              </w:rPr>
            </w:pPr>
          </w:p>
        </w:tc>
      </w:tr>
      <w:tr w:rsidR="00CB6ADE" w:rsidRPr="0032590D" w14:paraId="23BBA13D" w14:textId="77777777" w:rsidTr="00021D0F">
        <w:trPr>
          <w:trHeight w:val="249"/>
        </w:trPr>
        <w:tc>
          <w:tcPr>
            <w:tcW w:w="9628" w:type="dxa"/>
            <w:gridSpan w:val="7"/>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6DA31077" w14:textId="25A6FDEC" w:rsidR="00CB6ADE" w:rsidRPr="0032590D" w:rsidRDefault="00CB6ADE" w:rsidP="00E906FF">
            <w:pPr>
              <w:spacing w:before="0" w:after="0"/>
              <w:rPr>
                <w:rFonts w:ascii="Arial" w:hAnsi="Arial" w:cs="Arial"/>
                <w:sz w:val="20"/>
              </w:rPr>
            </w:pPr>
            <w:r w:rsidRPr="0032590D">
              <w:rPr>
                <w:rFonts w:ascii="Arial" w:hAnsi="Arial" w:cs="Arial"/>
                <w:color w:val="000000"/>
                <w:sz w:val="20"/>
              </w:rPr>
              <w:t>Urban transport fares</w:t>
            </w:r>
          </w:p>
        </w:tc>
      </w:tr>
      <w:tr w:rsidR="004463AC" w:rsidRPr="0032590D" w14:paraId="36C4654B" w14:textId="77777777" w:rsidTr="004463AC">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70256C50"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66B91A05"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Urban transport fares</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66280D74"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2998FA9A"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6CD2A927"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68B03ABF"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4BCA9BB6" w14:textId="77777777" w:rsidR="00E906FF" w:rsidRPr="0032590D" w:rsidRDefault="00E906FF" w:rsidP="00E906FF">
            <w:pPr>
              <w:spacing w:before="0" w:after="0"/>
              <w:rPr>
                <w:rFonts w:ascii="Arial" w:hAnsi="Arial" w:cs="Arial"/>
                <w:sz w:val="20"/>
              </w:rPr>
            </w:pPr>
          </w:p>
        </w:tc>
      </w:tr>
      <w:tr w:rsidR="00CB6ADE" w:rsidRPr="0032590D" w14:paraId="5AE4BF6C" w14:textId="77777777" w:rsidTr="00021D0F">
        <w:trPr>
          <w:trHeight w:val="249"/>
        </w:trPr>
        <w:tc>
          <w:tcPr>
            <w:tcW w:w="9628" w:type="dxa"/>
            <w:gridSpan w:val="7"/>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7AFD1A3E" w14:textId="5D9F0C03" w:rsidR="00CB6ADE" w:rsidRPr="0032590D" w:rsidRDefault="00CB6ADE" w:rsidP="00E906FF">
            <w:pPr>
              <w:spacing w:before="0" w:after="0"/>
              <w:rPr>
                <w:rFonts w:ascii="Arial" w:hAnsi="Arial" w:cs="Arial"/>
                <w:b/>
                <w:bCs/>
                <w:sz w:val="20"/>
              </w:rPr>
            </w:pPr>
            <w:r w:rsidRPr="0032590D">
              <w:rPr>
                <w:rFonts w:ascii="Arial" w:hAnsi="Arial" w:cs="Arial"/>
                <w:b/>
                <w:bCs/>
                <w:color w:val="000000"/>
                <w:sz w:val="20"/>
              </w:rPr>
              <w:t>COMMUNICATION</w:t>
            </w:r>
          </w:p>
        </w:tc>
      </w:tr>
      <w:tr w:rsidR="00CB6ADE" w:rsidRPr="0032590D" w14:paraId="153A200E" w14:textId="77777777" w:rsidTr="004463AC">
        <w:trPr>
          <w:trHeight w:val="249"/>
        </w:trPr>
        <w:tc>
          <w:tcPr>
            <w:tcW w:w="9628" w:type="dxa"/>
            <w:gridSpan w:val="7"/>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4173DEE0" w14:textId="4184FF87" w:rsidR="00CB6ADE" w:rsidRPr="0032590D" w:rsidRDefault="00CB6ADE" w:rsidP="00E906FF">
            <w:pPr>
              <w:spacing w:before="0" w:after="0"/>
              <w:rPr>
                <w:rFonts w:ascii="Arial" w:hAnsi="Arial" w:cs="Arial"/>
                <w:sz w:val="20"/>
              </w:rPr>
            </w:pPr>
            <w:r w:rsidRPr="0032590D">
              <w:rPr>
                <w:rFonts w:ascii="Arial" w:hAnsi="Arial" w:cs="Arial"/>
                <w:color w:val="000000"/>
                <w:sz w:val="20"/>
              </w:rPr>
              <w:t>Communication</w:t>
            </w:r>
          </w:p>
        </w:tc>
      </w:tr>
      <w:tr w:rsidR="0035675C" w:rsidRPr="0032590D" w14:paraId="120D9F4D" w14:textId="77777777" w:rsidTr="00B024EA">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71EC630B"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14A09269"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Postal services</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6F1D91E5"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5C72F088"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40827270"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676D1524"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5ED0F9D7" w14:textId="77777777" w:rsidR="00E906FF" w:rsidRPr="0032590D" w:rsidRDefault="00E906FF" w:rsidP="00E906FF">
            <w:pPr>
              <w:spacing w:before="0" w:after="0"/>
              <w:rPr>
                <w:rFonts w:ascii="Arial" w:hAnsi="Arial" w:cs="Arial"/>
                <w:sz w:val="20"/>
              </w:rPr>
            </w:pPr>
          </w:p>
        </w:tc>
      </w:tr>
      <w:tr w:rsidR="00A03E0B" w:rsidRPr="0032590D" w14:paraId="16EB8B5A" w14:textId="77777777" w:rsidTr="00B32C2F">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2FA4F98E"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67069958"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Telecommunication equipment and services</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0335C03B"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401C4331"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174A8BA4"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21DBDF15"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0B09ED91" w14:textId="77777777" w:rsidR="00E906FF" w:rsidRPr="0032590D" w:rsidRDefault="00E906FF" w:rsidP="00E906FF">
            <w:pPr>
              <w:spacing w:before="0" w:after="0"/>
              <w:rPr>
                <w:rFonts w:ascii="Arial" w:hAnsi="Arial" w:cs="Arial"/>
                <w:sz w:val="20"/>
              </w:rPr>
            </w:pPr>
          </w:p>
        </w:tc>
      </w:tr>
      <w:tr w:rsidR="00CB6ADE" w:rsidRPr="0032590D" w14:paraId="27E5204D" w14:textId="77777777" w:rsidTr="00021D0F">
        <w:trPr>
          <w:trHeight w:val="249"/>
        </w:trPr>
        <w:tc>
          <w:tcPr>
            <w:tcW w:w="9628" w:type="dxa"/>
            <w:gridSpan w:val="7"/>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7E6FF3B3" w14:textId="46FF6EB3" w:rsidR="00CB6ADE" w:rsidRPr="0032590D" w:rsidRDefault="00CB6ADE" w:rsidP="00E906FF">
            <w:pPr>
              <w:spacing w:before="0" w:after="0"/>
              <w:rPr>
                <w:rFonts w:ascii="Arial" w:hAnsi="Arial" w:cs="Arial"/>
                <w:b/>
                <w:bCs/>
                <w:sz w:val="20"/>
              </w:rPr>
            </w:pPr>
            <w:r w:rsidRPr="0032590D">
              <w:rPr>
                <w:rFonts w:ascii="Arial" w:hAnsi="Arial" w:cs="Arial"/>
                <w:b/>
                <w:bCs/>
                <w:color w:val="000000"/>
                <w:sz w:val="20"/>
              </w:rPr>
              <w:t>RECREATION AND CULTURE</w:t>
            </w:r>
          </w:p>
        </w:tc>
      </w:tr>
      <w:tr w:rsidR="00CB6ADE" w:rsidRPr="0032590D" w14:paraId="4CBA5485" w14:textId="77777777" w:rsidTr="004463AC">
        <w:trPr>
          <w:trHeight w:val="249"/>
        </w:trPr>
        <w:tc>
          <w:tcPr>
            <w:tcW w:w="9628" w:type="dxa"/>
            <w:gridSpan w:val="7"/>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432DBD0C" w14:textId="7D1BC778" w:rsidR="00CB6ADE" w:rsidRPr="0032590D" w:rsidRDefault="00CB6ADE" w:rsidP="00E906FF">
            <w:pPr>
              <w:spacing w:before="0" w:after="0"/>
              <w:rPr>
                <w:rFonts w:ascii="Arial" w:hAnsi="Arial" w:cs="Arial"/>
                <w:sz w:val="20"/>
              </w:rPr>
            </w:pPr>
            <w:r w:rsidRPr="0032590D">
              <w:rPr>
                <w:rFonts w:ascii="Arial" w:hAnsi="Arial" w:cs="Arial"/>
                <w:color w:val="000000"/>
                <w:sz w:val="20"/>
              </w:rPr>
              <w:t>Audio, visual and computing equipment and services</w:t>
            </w:r>
          </w:p>
        </w:tc>
      </w:tr>
      <w:tr w:rsidR="004832DE" w:rsidRPr="0032590D" w14:paraId="160F32EA" w14:textId="77777777" w:rsidTr="00B024EA">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23494005" w14:textId="77777777" w:rsidR="004832DE" w:rsidRPr="0032590D" w:rsidRDefault="004832DE"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0B13EB0E" w14:textId="77777777" w:rsidR="004832DE" w:rsidRPr="0032590D" w:rsidRDefault="004832DE" w:rsidP="00E906FF">
            <w:pPr>
              <w:spacing w:before="0" w:after="0"/>
              <w:rPr>
                <w:rFonts w:ascii="Arial" w:hAnsi="Arial" w:cs="Arial"/>
                <w:color w:val="000000"/>
                <w:sz w:val="20"/>
              </w:rPr>
            </w:pPr>
            <w:r w:rsidRPr="0032590D">
              <w:rPr>
                <w:rFonts w:ascii="Arial" w:hAnsi="Arial" w:cs="Arial"/>
                <w:color w:val="000000"/>
                <w:sz w:val="20"/>
              </w:rPr>
              <w:t>Audio, visual and computing equipment</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vAlign w:val="bottom"/>
          </w:tcPr>
          <w:p w14:paraId="4C29C127" w14:textId="55286E14" w:rsidR="004832DE" w:rsidRPr="0032590D" w:rsidRDefault="004832DE" w:rsidP="00E906FF">
            <w:pPr>
              <w:spacing w:before="0" w:after="0"/>
              <w:rPr>
                <w:rFonts w:ascii="Arial" w:hAnsi="Arial" w:cs="Arial"/>
                <w:color w:val="000000"/>
                <w:sz w:val="20"/>
              </w:rPr>
            </w:pP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78E3DDFD" w14:textId="77777777" w:rsidR="004832DE" w:rsidRPr="0032590D" w:rsidRDefault="004832DE"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58C83788" w14:textId="77777777" w:rsidR="004832DE" w:rsidRPr="0032590D" w:rsidRDefault="004832DE" w:rsidP="00E906FF">
            <w:pPr>
              <w:spacing w:before="0" w:after="0"/>
              <w:rPr>
                <w:rFonts w:ascii="Arial" w:hAnsi="Arial" w:cs="Arial"/>
                <w:color w:val="000000"/>
                <w:sz w:val="20"/>
              </w:rPr>
            </w:pP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140749BB" w14:textId="77777777" w:rsidR="004832DE" w:rsidRPr="0032590D" w:rsidRDefault="004832DE"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76A43EEE" w14:textId="77777777" w:rsidR="004832DE" w:rsidRPr="0032590D" w:rsidRDefault="004832DE" w:rsidP="00E906FF">
            <w:pPr>
              <w:spacing w:before="0" w:after="0"/>
              <w:rPr>
                <w:rFonts w:ascii="Arial" w:hAnsi="Arial" w:cs="Arial"/>
                <w:color w:val="000000"/>
                <w:sz w:val="20"/>
              </w:rPr>
            </w:pPr>
          </w:p>
        </w:tc>
      </w:tr>
      <w:tr w:rsidR="004F6A63" w:rsidRPr="0032590D" w14:paraId="326AF567" w14:textId="77777777" w:rsidTr="004463AC">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6020F7A0" w14:textId="77777777" w:rsidR="004832DE" w:rsidRPr="0032590D" w:rsidRDefault="004832DE"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60FC9EFE" w14:textId="77777777" w:rsidR="004832DE" w:rsidRPr="0032590D" w:rsidRDefault="004832DE" w:rsidP="00E906FF">
            <w:pPr>
              <w:spacing w:before="0" w:after="0"/>
              <w:rPr>
                <w:rFonts w:ascii="Arial" w:hAnsi="Arial" w:cs="Arial"/>
                <w:color w:val="000000"/>
                <w:sz w:val="20"/>
              </w:rPr>
            </w:pPr>
            <w:r w:rsidRPr="0032590D">
              <w:rPr>
                <w:rFonts w:ascii="Arial" w:hAnsi="Arial" w:cs="Arial"/>
                <w:color w:val="000000"/>
                <w:sz w:val="20"/>
              </w:rPr>
              <w:t>Audio, visual and computing media and services</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vAlign w:val="bottom"/>
          </w:tcPr>
          <w:p w14:paraId="6BC88CF0" w14:textId="1DD073F1" w:rsidR="004832DE" w:rsidRPr="0032590D" w:rsidRDefault="004832DE" w:rsidP="00E906FF">
            <w:pPr>
              <w:spacing w:before="0" w:after="0"/>
              <w:rPr>
                <w:rFonts w:ascii="Arial" w:hAnsi="Arial" w:cs="Arial"/>
                <w:color w:val="000000"/>
                <w:sz w:val="20"/>
              </w:rPr>
            </w:pP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07D3CEE6" w14:textId="77777777" w:rsidR="004832DE" w:rsidRPr="0032590D" w:rsidRDefault="004832DE"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63B4FCD5" w14:textId="77777777" w:rsidR="004832DE" w:rsidRPr="0032590D" w:rsidRDefault="004832DE" w:rsidP="00E906FF">
            <w:pPr>
              <w:spacing w:before="0" w:after="0"/>
              <w:rPr>
                <w:rFonts w:ascii="Arial" w:hAnsi="Arial" w:cs="Arial"/>
                <w:color w:val="000000"/>
                <w:sz w:val="20"/>
              </w:rPr>
            </w:pP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315468D2" w14:textId="77777777" w:rsidR="004832DE" w:rsidRPr="0032590D" w:rsidRDefault="004832DE"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0E461A48" w14:textId="77777777" w:rsidR="004832DE" w:rsidRPr="0032590D" w:rsidRDefault="004832DE" w:rsidP="00E906FF">
            <w:pPr>
              <w:spacing w:before="0" w:after="0"/>
              <w:rPr>
                <w:rFonts w:ascii="Arial" w:hAnsi="Arial" w:cs="Arial"/>
                <w:color w:val="000000"/>
                <w:sz w:val="20"/>
              </w:rPr>
            </w:pPr>
          </w:p>
        </w:tc>
      </w:tr>
      <w:tr w:rsidR="00CB6ADE" w:rsidRPr="0032590D" w14:paraId="44F290DE" w14:textId="77777777" w:rsidTr="00021D0F">
        <w:trPr>
          <w:trHeight w:val="249"/>
        </w:trPr>
        <w:tc>
          <w:tcPr>
            <w:tcW w:w="9628" w:type="dxa"/>
            <w:gridSpan w:val="7"/>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05A924B9" w14:textId="19462358" w:rsidR="00CB6ADE" w:rsidRPr="0032590D" w:rsidRDefault="00CB6ADE" w:rsidP="00E906FF">
            <w:pPr>
              <w:spacing w:before="0" w:after="0"/>
              <w:rPr>
                <w:rFonts w:ascii="Arial" w:hAnsi="Arial" w:cs="Arial"/>
                <w:sz w:val="20"/>
              </w:rPr>
            </w:pPr>
            <w:r w:rsidRPr="0032590D">
              <w:rPr>
                <w:rFonts w:ascii="Arial" w:hAnsi="Arial" w:cs="Arial"/>
                <w:color w:val="000000"/>
                <w:sz w:val="20"/>
              </w:rPr>
              <w:t>Newspapers, books and stationery</w:t>
            </w:r>
          </w:p>
        </w:tc>
      </w:tr>
      <w:tr w:rsidR="004463AC" w:rsidRPr="0032590D" w14:paraId="635A3ED0" w14:textId="77777777" w:rsidTr="004463AC">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28AC6F50"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7A3721A8"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Books</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301322D1" w14:textId="77777777" w:rsidR="00E906FF" w:rsidRPr="0032590D" w:rsidRDefault="00E906FF" w:rsidP="00E906FF">
            <w:pPr>
              <w:spacing w:before="0" w:after="0"/>
              <w:rPr>
                <w:rFonts w:ascii="Arial" w:hAnsi="Arial" w:cs="Arial"/>
                <w:color w:val="000000"/>
                <w:sz w:val="20"/>
              </w:rPr>
            </w:pP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692B7E45"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44980ECF" w14:textId="77777777" w:rsidR="00E906FF" w:rsidRPr="0032590D" w:rsidRDefault="00E906FF" w:rsidP="00E906FF">
            <w:pPr>
              <w:spacing w:before="0" w:after="0"/>
              <w:rPr>
                <w:rFonts w:ascii="Arial" w:hAnsi="Arial" w:cs="Arial"/>
                <w:color w:val="000000"/>
                <w:sz w:val="20"/>
              </w:rPr>
            </w:pP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187CEAB3"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0B44A428" w14:textId="77777777" w:rsidR="00E906FF" w:rsidRPr="0032590D" w:rsidRDefault="00E906FF" w:rsidP="00E906FF">
            <w:pPr>
              <w:spacing w:before="0" w:after="0"/>
              <w:rPr>
                <w:rFonts w:ascii="Arial" w:hAnsi="Arial" w:cs="Arial"/>
                <w:color w:val="000000"/>
                <w:sz w:val="20"/>
              </w:rPr>
            </w:pPr>
          </w:p>
        </w:tc>
      </w:tr>
      <w:tr w:rsidR="00021D0F" w:rsidRPr="0032590D" w14:paraId="0911B0F5" w14:textId="77777777" w:rsidTr="00B024EA">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182898D1" w14:textId="77777777" w:rsidR="00021D0F" w:rsidRPr="0032590D" w:rsidRDefault="00021D0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181F4AFC" w14:textId="77777777" w:rsidR="00021D0F" w:rsidRPr="0032590D" w:rsidRDefault="00021D0F" w:rsidP="00E906FF">
            <w:pPr>
              <w:spacing w:before="0" w:after="0"/>
              <w:rPr>
                <w:rFonts w:ascii="Arial" w:hAnsi="Arial" w:cs="Arial"/>
                <w:color w:val="000000"/>
                <w:sz w:val="20"/>
              </w:rPr>
            </w:pPr>
            <w:r w:rsidRPr="0032590D">
              <w:rPr>
                <w:rFonts w:ascii="Arial" w:hAnsi="Arial" w:cs="Arial"/>
                <w:color w:val="000000"/>
                <w:sz w:val="20"/>
              </w:rPr>
              <w:t>Newspapers, magazines and stationery</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vAlign w:val="bottom"/>
          </w:tcPr>
          <w:p w14:paraId="687B48F0" w14:textId="693E5A69" w:rsidR="00021D0F" w:rsidRPr="0032590D" w:rsidRDefault="00021D0F" w:rsidP="00E906FF">
            <w:pPr>
              <w:spacing w:before="0" w:after="0"/>
              <w:rPr>
                <w:rFonts w:ascii="Arial" w:hAnsi="Arial" w:cs="Arial"/>
                <w:color w:val="000000"/>
                <w:sz w:val="20"/>
              </w:rPr>
            </w:pP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5CAA162C" w14:textId="77777777" w:rsidR="00021D0F" w:rsidRPr="0032590D" w:rsidRDefault="00021D0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042180E9" w14:textId="77777777" w:rsidR="00021D0F" w:rsidRPr="0032590D" w:rsidRDefault="00021D0F" w:rsidP="00E906FF">
            <w:pPr>
              <w:spacing w:before="0" w:after="0"/>
              <w:rPr>
                <w:rFonts w:ascii="Arial" w:hAnsi="Arial" w:cs="Arial"/>
                <w:color w:val="000000"/>
                <w:sz w:val="20"/>
              </w:rPr>
            </w:pP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145B25D7" w14:textId="77777777" w:rsidR="00021D0F" w:rsidRPr="0032590D" w:rsidRDefault="00021D0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07C76F9E" w14:textId="77777777" w:rsidR="00021D0F" w:rsidRPr="0032590D" w:rsidRDefault="00021D0F" w:rsidP="00E906FF">
            <w:pPr>
              <w:spacing w:before="0" w:after="0"/>
              <w:rPr>
                <w:rFonts w:ascii="Arial" w:hAnsi="Arial" w:cs="Arial"/>
                <w:color w:val="000000"/>
                <w:sz w:val="20"/>
              </w:rPr>
            </w:pPr>
          </w:p>
        </w:tc>
      </w:tr>
      <w:tr w:rsidR="00CB6ADE" w:rsidRPr="0032590D" w14:paraId="6F82B6C7" w14:textId="77777777" w:rsidTr="00FA2937">
        <w:trPr>
          <w:trHeight w:val="249"/>
        </w:trPr>
        <w:tc>
          <w:tcPr>
            <w:tcW w:w="9628" w:type="dxa"/>
            <w:gridSpan w:val="7"/>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23EA5319" w14:textId="543523E7" w:rsidR="00CB6ADE" w:rsidRPr="0032590D" w:rsidRDefault="00CB6ADE" w:rsidP="00E906FF">
            <w:pPr>
              <w:spacing w:before="0" w:after="0"/>
              <w:rPr>
                <w:rFonts w:ascii="Arial" w:hAnsi="Arial" w:cs="Arial"/>
                <w:sz w:val="20"/>
              </w:rPr>
            </w:pPr>
            <w:r w:rsidRPr="0032590D">
              <w:rPr>
                <w:rFonts w:ascii="Arial" w:hAnsi="Arial" w:cs="Arial"/>
                <w:color w:val="000000"/>
                <w:sz w:val="20"/>
              </w:rPr>
              <w:t>Holiday travel and accommodation</w:t>
            </w:r>
          </w:p>
        </w:tc>
      </w:tr>
      <w:tr w:rsidR="004F6A63" w:rsidRPr="0032590D" w14:paraId="556B5738" w14:textId="77777777" w:rsidTr="00B024EA">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04AAE230" w14:textId="77777777" w:rsidR="004832DE" w:rsidRPr="0032590D" w:rsidRDefault="004832DE"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71436389" w14:textId="77777777" w:rsidR="004832DE" w:rsidRPr="0032590D" w:rsidRDefault="004832DE" w:rsidP="00E906FF">
            <w:pPr>
              <w:spacing w:before="0" w:after="0"/>
              <w:rPr>
                <w:rFonts w:ascii="Arial" w:hAnsi="Arial" w:cs="Arial"/>
                <w:color w:val="000000"/>
                <w:sz w:val="20"/>
              </w:rPr>
            </w:pPr>
            <w:r w:rsidRPr="0032590D">
              <w:rPr>
                <w:rFonts w:ascii="Arial" w:hAnsi="Arial" w:cs="Arial"/>
                <w:color w:val="000000"/>
                <w:sz w:val="20"/>
              </w:rPr>
              <w:t>Domestic holiday travel and accommodation</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vAlign w:val="bottom"/>
          </w:tcPr>
          <w:p w14:paraId="2AB40283" w14:textId="1DCD8A67" w:rsidR="004832DE" w:rsidRPr="0032590D" w:rsidRDefault="004832DE" w:rsidP="00E906FF">
            <w:pPr>
              <w:spacing w:before="0" w:after="0"/>
              <w:rPr>
                <w:rFonts w:ascii="Arial" w:hAnsi="Arial" w:cs="Arial"/>
                <w:color w:val="000000"/>
                <w:sz w:val="20"/>
              </w:rPr>
            </w:pP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56D12279" w14:textId="77777777" w:rsidR="004832DE" w:rsidRPr="0032590D" w:rsidRDefault="004832DE"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30244F5A" w14:textId="77777777" w:rsidR="004832DE" w:rsidRPr="0032590D" w:rsidRDefault="004832DE" w:rsidP="00E906FF">
            <w:pPr>
              <w:spacing w:before="0" w:after="0"/>
              <w:rPr>
                <w:rFonts w:ascii="Arial" w:hAnsi="Arial" w:cs="Arial"/>
                <w:color w:val="000000"/>
                <w:sz w:val="20"/>
              </w:rPr>
            </w:pP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7C050FE6" w14:textId="77777777" w:rsidR="004832DE" w:rsidRPr="0032590D" w:rsidRDefault="004832DE" w:rsidP="00E906FF">
            <w:pPr>
              <w:spacing w:before="0" w:after="0"/>
              <w:rPr>
                <w:rFonts w:ascii="Arial" w:hAnsi="Arial" w:cs="Arial"/>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693FF372" w14:textId="77777777" w:rsidR="004832DE" w:rsidRPr="0032590D" w:rsidRDefault="004832DE" w:rsidP="00E906FF">
            <w:pPr>
              <w:spacing w:before="0" w:after="0"/>
              <w:rPr>
                <w:rFonts w:ascii="Arial" w:hAnsi="Arial" w:cs="Arial"/>
                <w:color w:val="000000"/>
                <w:sz w:val="20"/>
              </w:rPr>
            </w:pPr>
            <w:r w:rsidRPr="0032590D">
              <w:rPr>
                <w:rFonts w:ascii="Arial" w:hAnsi="Arial" w:cs="Arial"/>
                <w:color w:val="000000"/>
                <w:sz w:val="20"/>
              </w:rPr>
              <w:t>X</w:t>
            </w:r>
          </w:p>
        </w:tc>
      </w:tr>
      <w:tr w:rsidR="004F6A63" w:rsidRPr="0032590D" w14:paraId="7DEAE5FA" w14:textId="77777777" w:rsidTr="004463AC">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11FDF463" w14:textId="77777777" w:rsidR="004832DE" w:rsidRPr="0032590D" w:rsidRDefault="004832DE" w:rsidP="00E906FF">
            <w:pPr>
              <w:spacing w:before="0" w:after="0"/>
              <w:rPr>
                <w:rFonts w:ascii="Arial" w:hAnsi="Arial" w:cs="Arial"/>
                <w:color w:val="000000"/>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0ED8E2A7" w14:textId="77777777" w:rsidR="004832DE" w:rsidRPr="0032590D" w:rsidRDefault="004832DE" w:rsidP="00E906FF">
            <w:pPr>
              <w:spacing w:before="0" w:after="0"/>
              <w:rPr>
                <w:rFonts w:ascii="Arial" w:hAnsi="Arial" w:cs="Arial"/>
                <w:color w:val="000000"/>
                <w:sz w:val="20"/>
              </w:rPr>
            </w:pPr>
            <w:r w:rsidRPr="0032590D">
              <w:rPr>
                <w:rFonts w:ascii="Arial" w:hAnsi="Arial" w:cs="Arial"/>
                <w:color w:val="000000"/>
                <w:sz w:val="20"/>
              </w:rPr>
              <w:t>International holiday travel and accommodation</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vAlign w:val="bottom"/>
          </w:tcPr>
          <w:p w14:paraId="569522CD" w14:textId="4141A80D" w:rsidR="004832DE" w:rsidRPr="0032590D" w:rsidRDefault="004832DE" w:rsidP="00E906FF">
            <w:pPr>
              <w:spacing w:before="0" w:after="0"/>
              <w:rPr>
                <w:rFonts w:ascii="Arial" w:hAnsi="Arial" w:cs="Arial"/>
                <w:color w:val="000000"/>
                <w:sz w:val="20"/>
              </w:rPr>
            </w:pP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3264EC17" w14:textId="77777777" w:rsidR="004832DE" w:rsidRPr="0032590D" w:rsidRDefault="004832DE"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64C1EB1F" w14:textId="77777777" w:rsidR="004832DE" w:rsidRPr="0032590D" w:rsidRDefault="004832DE" w:rsidP="00E906FF">
            <w:pPr>
              <w:spacing w:before="0" w:after="0"/>
              <w:rPr>
                <w:rFonts w:ascii="Arial" w:hAnsi="Arial" w:cs="Arial"/>
                <w:color w:val="000000"/>
                <w:sz w:val="20"/>
              </w:rPr>
            </w:pP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7E65EA03" w14:textId="77777777" w:rsidR="004832DE" w:rsidRPr="0032590D" w:rsidRDefault="004832DE" w:rsidP="00E906FF">
            <w:pPr>
              <w:spacing w:before="0" w:after="0"/>
              <w:rPr>
                <w:rFonts w:ascii="Arial" w:hAnsi="Arial" w:cs="Arial"/>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26CF688E" w14:textId="77777777" w:rsidR="004832DE" w:rsidRPr="0032590D" w:rsidRDefault="004832DE" w:rsidP="00E906FF">
            <w:pPr>
              <w:spacing w:before="0" w:after="0"/>
              <w:rPr>
                <w:rFonts w:ascii="Arial" w:hAnsi="Arial" w:cs="Arial"/>
                <w:color w:val="000000"/>
                <w:sz w:val="20"/>
              </w:rPr>
            </w:pPr>
            <w:r w:rsidRPr="0032590D">
              <w:rPr>
                <w:rFonts w:ascii="Arial" w:hAnsi="Arial" w:cs="Arial"/>
                <w:color w:val="000000"/>
                <w:sz w:val="20"/>
              </w:rPr>
              <w:t>X</w:t>
            </w:r>
          </w:p>
        </w:tc>
      </w:tr>
      <w:tr w:rsidR="00CB6ADE" w:rsidRPr="0032590D" w14:paraId="5AECE3E2" w14:textId="77777777" w:rsidTr="00021D0F">
        <w:trPr>
          <w:trHeight w:val="249"/>
        </w:trPr>
        <w:tc>
          <w:tcPr>
            <w:tcW w:w="9628" w:type="dxa"/>
            <w:gridSpan w:val="7"/>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5952DCC9" w14:textId="0D7F8A77" w:rsidR="00CB6ADE" w:rsidRPr="0032590D" w:rsidRDefault="00CB6ADE" w:rsidP="00E906FF">
            <w:pPr>
              <w:spacing w:before="0" w:after="0"/>
              <w:rPr>
                <w:rFonts w:ascii="Arial" w:hAnsi="Arial" w:cs="Arial"/>
                <w:sz w:val="20"/>
              </w:rPr>
            </w:pPr>
            <w:r w:rsidRPr="0032590D">
              <w:rPr>
                <w:rFonts w:ascii="Arial" w:hAnsi="Arial" w:cs="Arial"/>
                <w:color w:val="000000"/>
                <w:sz w:val="20"/>
              </w:rPr>
              <w:t>Other recreation, sport and culture</w:t>
            </w:r>
          </w:p>
        </w:tc>
      </w:tr>
      <w:tr w:rsidR="00EE2E1D" w:rsidRPr="0032590D" w14:paraId="20C2C31B" w14:textId="77777777" w:rsidTr="004463AC">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4CEF3F46" w14:textId="77777777" w:rsidR="00EE2E1D" w:rsidRPr="0032590D" w:rsidRDefault="00EE2E1D"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11497087" w14:textId="77777777" w:rsidR="00EE2E1D" w:rsidRPr="0032590D" w:rsidRDefault="00EE2E1D" w:rsidP="00E906FF">
            <w:pPr>
              <w:spacing w:before="0" w:after="0"/>
              <w:rPr>
                <w:rFonts w:ascii="Arial" w:hAnsi="Arial" w:cs="Arial"/>
                <w:color w:val="000000"/>
                <w:sz w:val="20"/>
              </w:rPr>
            </w:pPr>
            <w:r w:rsidRPr="0032590D">
              <w:rPr>
                <w:rFonts w:ascii="Arial" w:hAnsi="Arial" w:cs="Arial"/>
                <w:color w:val="000000"/>
                <w:sz w:val="20"/>
              </w:rPr>
              <w:t>Equipment for sports, camping and open-air recreation</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vAlign w:val="bottom"/>
          </w:tcPr>
          <w:p w14:paraId="115B4908" w14:textId="7F87A171" w:rsidR="00EE2E1D" w:rsidRPr="0032590D" w:rsidRDefault="00EE2E1D" w:rsidP="00E906FF">
            <w:pPr>
              <w:spacing w:before="0" w:after="0"/>
              <w:rPr>
                <w:rFonts w:ascii="Arial" w:hAnsi="Arial" w:cs="Arial"/>
                <w:color w:val="000000"/>
                <w:sz w:val="20"/>
              </w:rPr>
            </w:pP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760D8142" w14:textId="77777777" w:rsidR="00EE2E1D" w:rsidRPr="0032590D" w:rsidRDefault="00EE2E1D"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7F24BA82" w14:textId="77777777" w:rsidR="00EE2E1D" w:rsidRPr="0032590D" w:rsidRDefault="00EE2E1D" w:rsidP="00E906FF">
            <w:pPr>
              <w:spacing w:before="0" w:after="0"/>
              <w:rPr>
                <w:rFonts w:ascii="Arial" w:hAnsi="Arial" w:cs="Arial"/>
                <w:color w:val="000000"/>
                <w:sz w:val="20"/>
              </w:rPr>
            </w:pP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3F13FF0B" w14:textId="77777777" w:rsidR="00EE2E1D" w:rsidRPr="0032590D" w:rsidRDefault="00EE2E1D"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7D2C1F89" w14:textId="77777777" w:rsidR="00EE2E1D" w:rsidRPr="0032590D" w:rsidRDefault="00EE2E1D" w:rsidP="00E906FF">
            <w:pPr>
              <w:spacing w:before="0" w:after="0"/>
              <w:rPr>
                <w:rFonts w:ascii="Arial" w:hAnsi="Arial" w:cs="Arial"/>
                <w:color w:val="000000"/>
                <w:sz w:val="20"/>
              </w:rPr>
            </w:pPr>
          </w:p>
        </w:tc>
      </w:tr>
      <w:tr w:rsidR="0035675C" w:rsidRPr="0032590D" w14:paraId="3A057377" w14:textId="77777777" w:rsidTr="00B024EA">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6AC3B1DB"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708B1099"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Games, toys and hobbies</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2208A8F5" w14:textId="77777777" w:rsidR="00E906FF" w:rsidRPr="0032590D" w:rsidRDefault="00E906FF" w:rsidP="00E906FF">
            <w:pPr>
              <w:spacing w:before="0" w:after="0"/>
              <w:rPr>
                <w:rFonts w:ascii="Arial" w:hAnsi="Arial" w:cs="Arial"/>
                <w:color w:val="000000"/>
                <w:sz w:val="20"/>
              </w:rPr>
            </w:pP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41467DB8"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4851D6F5" w14:textId="77777777" w:rsidR="00E906FF" w:rsidRPr="0032590D" w:rsidRDefault="00E906FF" w:rsidP="00E906FF">
            <w:pPr>
              <w:spacing w:before="0" w:after="0"/>
              <w:rPr>
                <w:rFonts w:ascii="Arial" w:hAnsi="Arial" w:cs="Arial"/>
                <w:color w:val="000000"/>
                <w:sz w:val="20"/>
              </w:rPr>
            </w:pP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06B04A0D"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34158E6B" w14:textId="77777777" w:rsidR="00E906FF" w:rsidRPr="0032590D" w:rsidRDefault="00E906FF" w:rsidP="00E906FF">
            <w:pPr>
              <w:spacing w:before="0" w:after="0"/>
              <w:rPr>
                <w:rFonts w:ascii="Arial" w:hAnsi="Arial" w:cs="Arial"/>
                <w:color w:val="000000"/>
                <w:sz w:val="20"/>
              </w:rPr>
            </w:pPr>
          </w:p>
        </w:tc>
      </w:tr>
      <w:tr w:rsidR="004463AC" w:rsidRPr="0032590D" w14:paraId="299AABF2" w14:textId="77777777" w:rsidTr="004463AC">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7E2B78D7"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64C7BD6D"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Pets and related products</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5DBAD909"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64251153"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7D167BEF"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629D7768"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4DFACD16" w14:textId="77777777" w:rsidR="00E906FF" w:rsidRPr="0032590D" w:rsidRDefault="00E906FF" w:rsidP="00E906FF">
            <w:pPr>
              <w:spacing w:before="0" w:after="0"/>
              <w:rPr>
                <w:rFonts w:ascii="Arial" w:hAnsi="Arial" w:cs="Arial"/>
                <w:sz w:val="20"/>
              </w:rPr>
            </w:pPr>
          </w:p>
        </w:tc>
      </w:tr>
      <w:tr w:rsidR="0035675C" w:rsidRPr="0032590D" w14:paraId="38DA7701" w14:textId="77777777" w:rsidTr="00B024EA">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2DC32C6C"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338BE5FB"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Veterinary and other services for pets</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1902913F"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128AE72B"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75D328D2"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40D1F614"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51DA256C" w14:textId="77777777" w:rsidR="00E906FF" w:rsidRPr="0032590D" w:rsidRDefault="00E906FF" w:rsidP="00E906FF">
            <w:pPr>
              <w:spacing w:before="0" w:after="0"/>
              <w:rPr>
                <w:rFonts w:ascii="Arial" w:hAnsi="Arial" w:cs="Arial"/>
                <w:sz w:val="20"/>
              </w:rPr>
            </w:pPr>
          </w:p>
        </w:tc>
      </w:tr>
      <w:tr w:rsidR="004463AC" w:rsidRPr="0032590D" w14:paraId="4B722E8E" w14:textId="77777777" w:rsidTr="004463AC">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301421E1"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0F647747"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Sports participation</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1C409DA9" w14:textId="77777777" w:rsidR="00E906FF" w:rsidRPr="0032590D" w:rsidRDefault="00E906FF" w:rsidP="00E906FF">
            <w:pPr>
              <w:spacing w:before="0" w:after="0"/>
              <w:rPr>
                <w:rFonts w:ascii="Arial" w:hAnsi="Arial" w:cs="Arial"/>
                <w:color w:val="000000"/>
                <w:sz w:val="20"/>
              </w:rPr>
            </w:pP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75ED1F14"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24CE356F" w14:textId="77777777" w:rsidR="00E906FF" w:rsidRPr="0032590D" w:rsidRDefault="00E906FF" w:rsidP="00E906FF">
            <w:pPr>
              <w:spacing w:before="0" w:after="0"/>
              <w:rPr>
                <w:rFonts w:ascii="Arial" w:hAnsi="Arial" w:cs="Arial"/>
                <w:color w:val="000000"/>
                <w:sz w:val="20"/>
              </w:rPr>
            </w:pP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15E49DD9"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7E883BFC" w14:textId="77777777" w:rsidR="00E906FF" w:rsidRPr="0032590D" w:rsidRDefault="00E906FF" w:rsidP="00E906FF">
            <w:pPr>
              <w:spacing w:before="0" w:after="0"/>
              <w:rPr>
                <w:rFonts w:ascii="Arial" w:hAnsi="Arial" w:cs="Arial"/>
                <w:color w:val="000000"/>
                <w:sz w:val="20"/>
              </w:rPr>
            </w:pPr>
          </w:p>
        </w:tc>
      </w:tr>
      <w:tr w:rsidR="00EE2E1D" w:rsidRPr="0032590D" w14:paraId="04E3123B" w14:textId="77777777" w:rsidTr="00B024EA">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7670C8BC" w14:textId="77777777" w:rsidR="00EE2E1D" w:rsidRPr="0032590D" w:rsidRDefault="00EE2E1D"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1E6D2B7A" w14:textId="77777777" w:rsidR="00EE2E1D" w:rsidRPr="0032590D" w:rsidRDefault="00EE2E1D" w:rsidP="00E906FF">
            <w:pPr>
              <w:spacing w:before="0" w:after="0"/>
              <w:rPr>
                <w:rFonts w:ascii="Arial" w:hAnsi="Arial" w:cs="Arial"/>
                <w:color w:val="000000"/>
                <w:sz w:val="20"/>
              </w:rPr>
            </w:pPr>
            <w:r w:rsidRPr="0032590D">
              <w:rPr>
                <w:rFonts w:ascii="Arial" w:hAnsi="Arial" w:cs="Arial"/>
                <w:color w:val="000000"/>
                <w:sz w:val="20"/>
              </w:rPr>
              <w:t>Other recreational, sporting and cultural services</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vAlign w:val="bottom"/>
          </w:tcPr>
          <w:p w14:paraId="5FD1DB9E" w14:textId="2AD3E7B7" w:rsidR="00EE2E1D" w:rsidRPr="0032590D" w:rsidRDefault="00EE2E1D" w:rsidP="00E906FF">
            <w:pPr>
              <w:spacing w:before="0" w:after="0"/>
              <w:rPr>
                <w:rFonts w:ascii="Arial" w:hAnsi="Arial" w:cs="Arial"/>
                <w:color w:val="000000"/>
                <w:sz w:val="20"/>
              </w:rPr>
            </w:pP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10E3180A" w14:textId="77777777" w:rsidR="00EE2E1D" w:rsidRPr="0032590D" w:rsidRDefault="00EE2E1D"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731DF0BA" w14:textId="77777777" w:rsidR="00EE2E1D" w:rsidRPr="0032590D" w:rsidRDefault="00EE2E1D" w:rsidP="00E906FF">
            <w:pPr>
              <w:spacing w:before="0" w:after="0"/>
              <w:rPr>
                <w:rFonts w:ascii="Arial" w:hAnsi="Arial" w:cs="Arial"/>
                <w:color w:val="000000"/>
                <w:sz w:val="20"/>
              </w:rPr>
            </w:pP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5EA8F925" w14:textId="77777777" w:rsidR="00EE2E1D" w:rsidRPr="0032590D" w:rsidRDefault="00EE2E1D"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136AD7BC" w14:textId="77777777" w:rsidR="00EE2E1D" w:rsidRPr="0032590D" w:rsidRDefault="00EE2E1D" w:rsidP="00E906FF">
            <w:pPr>
              <w:spacing w:before="0" w:after="0"/>
              <w:rPr>
                <w:rFonts w:ascii="Arial" w:hAnsi="Arial" w:cs="Arial"/>
                <w:color w:val="000000"/>
                <w:sz w:val="20"/>
              </w:rPr>
            </w:pPr>
          </w:p>
        </w:tc>
      </w:tr>
      <w:tr w:rsidR="00CB6ADE" w:rsidRPr="0032590D" w14:paraId="2B1C4695" w14:textId="77777777" w:rsidTr="004463AC">
        <w:trPr>
          <w:trHeight w:val="249"/>
        </w:trPr>
        <w:tc>
          <w:tcPr>
            <w:tcW w:w="9628" w:type="dxa"/>
            <w:gridSpan w:val="7"/>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1EFB55EE" w14:textId="2460C963" w:rsidR="00CB6ADE" w:rsidRPr="0032590D" w:rsidRDefault="00CB6ADE" w:rsidP="00E906FF">
            <w:pPr>
              <w:spacing w:before="0" w:after="0"/>
              <w:rPr>
                <w:rFonts w:ascii="Arial" w:hAnsi="Arial" w:cs="Arial"/>
                <w:b/>
                <w:bCs/>
                <w:sz w:val="20"/>
              </w:rPr>
            </w:pPr>
            <w:r w:rsidRPr="0032590D">
              <w:rPr>
                <w:rFonts w:ascii="Arial" w:hAnsi="Arial" w:cs="Arial"/>
                <w:b/>
                <w:bCs/>
                <w:color w:val="000000"/>
                <w:sz w:val="20"/>
              </w:rPr>
              <w:t>EDUCATION</w:t>
            </w:r>
          </w:p>
        </w:tc>
      </w:tr>
      <w:tr w:rsidR="00CB6ADE" w:rsidRPr="0032590D" w14:paraId="4EC2C2A6" w14:textId="77777777" w:rsidTr="00021D0F">
        <w:trPr>
          <w:trHeight w:val="249"/>
        </w:trPr>
        <w:tc>
          <w:tcPr>
            <w:tcW w:w="9628" w:type="dxa"/>
            <w:gridSpan w:val="7"/>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718D249E" w14:textId="22713D40" w:rsidR="00CB6ADE" w:rsidRPr="0032590D" w:rsidRDefault="00CB6ADE" w:rsidP="00E906FF">
            <w:pPr>
              <w:spacing w:before="0" w:after="0"/>
              <w:rPr>
                <w:rFonts w:ascii="Arial" w:hAnsi="Arial" w:cs="Arial"/>
                <w:sz w:val="20"/>
              </w:rPr>
            </w:pPr>
            <w:r w:rsidRPr="0032590D">
              <w:rPr>
                <w:rFonts w:ascii="Arial" w:hAnsi="Arial" w:cs="Arial"/>
                <w:color w:val="000000"/>
                <w:sz w:val="20"/>
              </w:rPr>
              <w:t>Education</w:t>
            </w:r>
          </w:p>
        </w:tc>
      </w:tr>
      <w:tr w:rsidR="004463AC" w:rsidRPr="0032590D" w14:paraId="68819BAE" w14:textId="77777777" w:rsidTr="004463AC">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20B240E2"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716FEB20"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Preschool and primary education</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6D9C2056"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19916ADF"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7ABDA894"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58F91F1D"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682B845C" w14:textId="77777777" w:rsidR="00E906FF" w:rsidRPr="0032590D" w:rsidRDefault="00E906FF" w:rsidP="00E906FF">
            <w:pPr>
              <w:spacing w:before="0" w:after="0"/>
              <w:rPr>
                <w:rFonts w:ascii="Arial" w:hAnsi="Arial" w:cs="Arial"/>
                <w:sz w:val="20"/>
              </w:rPr>
            </w:pPr>
          </w:p>
        </w:tc>
      </w:tr>
      <w:tr w:rsidR="0035675C" w:rsidRPr="0032590D" w14:paraId="3E25CD87" w14:textId="77777777" w:rsidTr="00B024EA">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4F3E4F61"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24782F08"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Secondary education</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31B103E0"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6EEE642A"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4A859D83"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02F886FB"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135EFD3D" w14:textId="77777777" w:rsidR="00E906FF" w:rsidRPr="0032590D" w:rsidRDefault="00E906FF" w:rsidP="00E906FF">
            <w:pPr>
              <w:spacing w:before="0" w:after="0"/>
              <w:rPr>
                <w:rFonts w:ascii="Arial" w:hAnsi="Arial" w:cs="Arial"/>
                <w:sz w:val="20"/>
              </w:rPr>
            </w:pPr>
          </w:p>
        </w:tc>
      </w:tr>
      <w:tr w:rsidR="004463AC" w:rsidRPr="0032590D" w14:paraId="7CCCD7F5" w14:textId="77777777" w:rsidTr="004463AC">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4B4A7FA5"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040FC159"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Tertiary education</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6B793617" w14:textId="77777777" w:rsidR="00E906FF" w:rsidRPr="0032590D" w:rsidRDefault="00E906FF" w:rsidP="00E906FF">
            <w:pPr>
              <w:spacing w:before="0" w:after="0"/>
              <w:rPr>
                <w:rFonts w:ascii="Arial" w:hAnsi="Arial" w:cs="Arial"/>
                <w:color w:val="000000"/>
                <w:sz w:val="20"/>
              </w:rPr>
            </w:pP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241D0A7E"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09283A40" w14:textId="77777777" w:rsidR="00E906FF" w:rsidRPr="0032590D" w:rsidRDefault="00E906FF" w:rsidP="00E906FF">
            <w:pPr>
              <w:spacing w:before="0" w:after="0"/>
              <w:rPr>
                <w:rFonts w:ascii="Arial" w:hAnsi="Arial" w:cs="Arial"/>
                <w:color w:val="000000"/>
                <w:sz w:val="20"/>
              </w:rPr>
            </w:pP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674F5EBF"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6AF2B9C0" w14:textId="77777777" w:rsidR="00E906FF" w:rsidRPr="0032590D" w:rsidRDefault="00E906FF" w:rsidP="00E906FF">
            <w:pPr>
              <w:spacing w:before="0" w:after="0"/>
              <w:rPr>
                <w:rFonts w:ascii="Arial" w:hAnsi="Arial" w:cs="Arial"/>
                <w:color w:val="000000"/>
                <w:sz w:val="20"/>
              </w:rPr>
            </w:pPr>
          </w:p>
        </w:tc>
      </w:tr>
      <w:tr w:rsidR="00CB6ADE" w:rsidRPr="0032590D" w14:paraId="47987FA5" w14:textId="77777777" w:rsidTr="00021D0F">
        <w:trPr>
          <w:trHeight w:val="249"/>
        </w:trPr>
        <w:tc>
          <w:tcPr>
            <w:tcW w:w="9628" w:type="dxa"/>
            <w:gridSpan w:val="7"/>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14D4ED18" w14:textId="348E2D27" w:rsidR="00CB6ADE" w:rsidRPr="0032590D" w:rsidRDefault="00CB6ADE" w:rsidP="00E906FF">
            <w:pPr>
              <w:spacing w:before="0" w:after="0"/>
              <w:rPr>
                <w:rFonts w:ascii="Arial" w:hAnsi="Arial" w:cs="Arial"/>
                <w:b/>
                <w:bCs/>
                <w:sz w:val="20"/>
              </w:rPr>
            </w:pPr>
            <w:r w:rsidRPr="0032590D">
              <w:rPr>
                <w:rFonts w:ascii="Arial" w:hAnsi="Arial" w:cs="Arial"/>
                <w:b/>
                <w:bCs/>
                <w:color w:val="000000"/>
                <w:sz w:val="20"/>
              </w:rPr>
              <w:t>INSURANCE AND FINANCIAL SERVICES</w:t>
            </w:r>
          </w:p>
        </w:tc>
      </w:tr>
      <w:tr w:rsidR="00CB6ADE" w:rsidRPr="0032590D" w14:paraId="4D05E165" w14:textId="77777777" w:rsidTr="004463AC">
        <w:trPr>
          <w:trHeight w:val="249"/>
        </w:trPr>
        <w:tc>
          <w:tcPr>
            <w:tcW w:w="9628" w:type="dxa"/>
            <w:gridSpan w:val="7"/>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5C4B3A3B" w14:textId="53C59793" w:rsidR="00CB6ADE" w:rsidRPr="0032590D" w:rsidRDefault="00CB6ADE" w:rsidP="00E906FF">
            <w:pPr>
              <w:spacing w:before="0" w:after="0"/>
              <w:rPr>
                <w:rFonts w:ascii="Arial" w:hAnsi="Arial" w:cs="Arial"/>
                <w:sz w:val="20"/>
              </w:rPr>
            </w:pPr>
            <w:r w:rsidRPr="0032590D">
              <w:rPr>
                <w:rFonts w:ascii="Arial" w:hAnsi="Arial" w:cs="Arial"/>
                <w:color w:val="000000"/>
                <w:sz w:val="20"/>
              </w:rPr>
              <w:t>Insurance</w:t>
            </w:r>
          </w:p>
        </w:tc>
      </w:tr>
      <w:tr w:rsidR="0035675C" w:rsidRPr="0032590D" w14:paraId="230AC115" w14:textId="77777777" w:rsidTr="00B024EA">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75A4B21C"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4A51D4E2"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Insurance</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4060AD8E"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57EEF70D"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05889F18"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654C0860"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30EA2E9B" w14:textId="77777777" w:rsidR="00E906FF" w:rsidRPr="0032590D" w:rsidRDefault="00E906FF" w:rsidP="00E906FF">
            <w:pPr>
              <w:spacing w:before="0" w:after="0"/>
              <w:rPr>
                <w:rFonts w:ascii="Arial" w:hAnsi="Arial" w:cs="Arial"/>
                <w:sz w:val="20"/>
              </w:rPr>
            </w:pPr>
          </w:p>
        </w:tc>
      </w:tr>
      <w:tr w:rsidR="00CB6ADE" w:rsidRPr="0032590D" w14:paraId="3CCBC0D4" w14:textId="77777777" w:rsidTr="004463AC">
        <w:trPr>
          <w:trHeight w:val="249"/>
        </w:trPr>
        <w:tc>
          <w:tcPr>
            <w:tcW w:w="9628" w:type="dxa"/>
            <w:gridSpan w:val="7"/>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7D0ED344" w14:textId="29C1A724" w:rsidR="00CB6ADE" w:rsidRPr="0032590D" w:rsidRDefault="00CB6ADE" w:rsidP="00E906FF">
            <w:pPr>
              <w:spacing w:before="0" w:after="0"/>
              <w:rPr>
                <w:rFonts w:ascii="Arial" w:hAnsi="Arial" w:cs="Arial"/>
                <w:sz w:val="20"/>
              </w:rPr>
            </w:pPr>
            <w:r w:rsidRPr="0032590D">
              <w:rPr>
                <w:rFonts w:ascii="Arial" w:hAnsi="Arial" w:cs="Arial"/>
                <w:color w:val="000000"/>
                <w:sz w:val="20"/>
              </w:rPr>
              <w:t>Financial services</w:t>
            </w:r>
          </w:p>
        </w:tc>
      </w:tr>
      <w:tr w:rsidR="0035675C" w:rsidRPr="0032590D" w14:paraId="526500CC" w14:textId="77777777" w:rsidTr="00B024EA">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6FB158DC"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01AAD395"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Deposit and loan facilities (direct charges)</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11839EB9"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016CDD67"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487679C1"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0429C9F1"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5234E5E9" w14:textId="77777777" w:rsidR="00E906FF" w:rsidRPr="0032590D" w:rsidRDefault="00E906FF" w:rsidP="00E906FF">
            <w:pPr>
              <w:spacing w:before="0" w:after="0"/>
              <w:rPr>
                <w:rFonts w:ascii="Arial" w:hAnsi="Arial" w:cs="Arial"/>
                <w:sz w:val="20"/>
              </w:rPr>
            </w:pPr>
          </w:p>
        </w:tc>
      </w:tr>
      <w:tr w:rsidR="00A03E0B" w:rsidRPr="0032590D" w14:paraId="17D7BCC6" w14:textId="77777777" w:rsidTr="00B32C2F">
        <w:trPr>
          <w:trHeight w:val="249"/>
        </w:trPr>
        <w:tc>
          <w:tcPr>
            <w:tcW w:w="445"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07DC7432" w14:textId="77777777" w:rsidR="00E906FF" w:rsidRPr="0032590D" w:rsidRDefault="00E906FF" w:rsidP="00E906FF">
            <w:pPr>
              <w:spacing w:before="0" w:after="0"/>
              <w:rPr>
                <w:rFonts w:ascii="Arial" w:hAnsi="Arial" w:cs="Arial"/>
                <w:sz w:val="20"/>
              </w:rPr>
            </w:pPr>
          </w:p>
        </w:tc>
        <w:tc>
          <w:tcPr>
            <w:tcW w:w="2880" w:type="dxa"/>
            <w:tcBorders>
              <w:top w:val="single" w:sz="4" w:space="0" w:color="4472C4"/>
              <w:left w:val="single" w:sz="4" w:space="0" w:color="4472C4"/>
              <w:bottom w:val="single" w:sz="4" w:space="0" w:color="4472C4"/>
              <w:right w:val="single" w:sz="4" w:space="0" w:color="4472C4"/>
            </w:tcBorders>
            <w:shd w:val="clear" w:color="auto" w:fill="auto"/>
            <w:noWrap/>
            <w:vAlign w:val="bottom"/>
            <w:hideMark/>
          </w:tcPr>
          <w:p w14:paraId="2F624CBA"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Other financial services</w:t>
            </w:r>
          </w:p>
        </w:tc>
        <w:tc>
          <w:tcPr>
            <w:tcW w:w="1170"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692635A3"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173" w:type="dxa"/>
            <w:tcBorders>
              <w:top w:val="single" w:sz="4" w:space="0" w:color="4472C4"/>
              <w:left w:val="single" w:sz="4" w:space="0" w:color="4472C4"/>
              <w:bottom w:val="single" w:sz="4" w:space="0" w:color="4472C4"/>
              <w:right w:val="single" w:sz="4" w:space="0" w:color="4472C4"/>
            </w:tcBorders>
            <w:shd w:val="clear" w:color="auto" w:fill="DEE3EB" w:themeFill="accent3" w:themeFillTint="33"/>
            <w:noWrap/>
            <w:vAlign w:val="bottom"/>
            <w:hideMark/>
          </w:tcPr>
          <w:p w14:paraId="79E4A5A6"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53B3BFAC" w14:textId="77777777" w:rsidR="00E906FF" w:rsidRPr="0032590D" w:rsidRDefault="00E906FF" w:rsidP="00E906FF">
            <w:pPr>
              <w:spacing w:before="0" w:after="0"/>
              <w:rPr>
                <w:rFonts w:ascii="Arial" w:hAnsi="Arial" w:cs="Arial"/>
                <w:color w:val="000000"/>
                <w:sz w:val="20"/>
              </w:rPr>
            </w:pPr>
            <w:r w:rsidRPr="0032590D">
              <w:rPr>
                <w:rFonts w:ascii="Arial" w:hAnsi="Arial" w:cs="Arial"/>
                <w:color w:val="000000"/>
                <w:sz w:val="20"/>
              </w:rPr>
              <w:t>X</w:t>
            </w:r>
          </w:p>
        </w:tc>
        <w:tc>
          <w:tcPr>
            <w:tcW w:w="126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31CD18C1" w14:textId="77777777" w:rsidR="00E906FF" w:rsidRPr="0032590D" w:rsidRDefault="00E906FF" w:rsidP="00E906FF">
            <w:pPr>
              <w:spacing w:before="0" w:after="0"/>
              <w:rPr>
                <w:rFonts w:ascii="Arial" w:hAnsi="Arial" w:cs="Arial"/>
                <w:color w:val="000000"/>
                <w:sz w:val="20"/>
              </w:rPr>
            </w:pPr>
          </w:p>
        </w:tc>
        <w:tc>
          <w:tcPr>
            <w:tcW w:w="1350" w:type="dxa"/>
            <w:tcBorders>
              <w:top w:val="single" w:sz="4" w:space="0" w:color="4472C4"/>
              <w:left w:val="single" w:sz="4" w:space="0" w:color="4472C4"/>
              <w:bottom w:val="single" w:sz="4" w:space="0" w:color="4472C4"/>
              <w:right w:val="single" w:sz="4" w:space="0" w:color="4472C4"/>
            </w:tcBorders>
            <w:shd w:val="clear" w:color="auto" w:fill="D8E6DF" w:themeFill="accent2" w:themeFillTint="33"/>
            <w:noWrap/>
            <w:vAlign w:val="bottom"/>
            <w:hideMark/>
          </w:tcPr>
          <w:p w14:paraId="243B73D7" w14:textId="77777777" w:rsidR="00E906FF" w:rsidRPr="0032590D" w:rsidRDefault="00E906FF" w:rsidP="00E906FF">
            <w:pPr>
              <w:spacing w:before="0" w:after="0"/>
              <w:rPr>
                <w:rFonts w:ascii="Arial" w:hAnsi="Arial" w:cs="Arial"/>
                <w:sz w:val="20"/>
              </w:rPr>
            </w:pPr>
          </w:p>
        </w:tc>
      </w:tr>
    </w:tbl>
    <w:p w14:paraId="61E29723" w14:textId="77777777" w:rsidR="00D27729" w:rsidRPr="0032590D" w:rsidRDefault="00916438" w:rsidP="00C07327">
      <w:pPr>
        <w:tabs>
          <w:tab w:val="left" w:pos="1533"/>
        </w:tabs>
        <w:spacing w:before="0" w:after="0"/>
        <w:rPr>
          <w:rFonts w:asciiTheme="minorHAnsi" w:hAnsiTheme="minorHAnsi" w:cstheme="minorHAnsi"/>
          <w:sz w:val="20"/>
        </w:rPr>
      </w:pPr>
      <w:r w:rsidRPr="0032590D">
        <w:rPr>
          <w:rFonts w:asciiTheme="minorHAnsi" w:hAnsiTheme="minorHAnsi" w:cstheme="minorHAnsi"/>
          <w:sz w:val="20"/>
        </w:rPr>
        <w:t xml:space="preserve">Sources: </w:t>
      </w:r>
    </w:p>
    <w:p w14:paraId="6F68CC15" w14:textId="77777777" w:rsidR="00D27729" w:rsidRPr="0032590D" w:rsidRDefault="00916438" w:rsidP="00C07327">
      <w:pPr>
        <w:pStyle w:val="Bullet"/>
        <w:tabs>
          <w:tab w:val="clear" w:pos="520"/>
          <w:tab w:val="num" w:pos="270"/>
        </w:tabs>
        <w:spacing w:before="0" w:line="240" w:lineRule="auto"/>
        <w:rPr>
          <w:rFonts w:asciiTheme="minorHAnsi" w:hAnsiTheme="minorHAnsi" w:cstheme="minorHAnsi"/>
          <w:sz w:val="20"/>
        </w:rPr>
      </w:pPr>
      <w:r w:rsidRPr="0032590D">
        <w:rPr>
          <w:rFonts w:asciiTheme="minorHAnsi" w:hAnsiTheme="minorHAnsi" w:cstheme="minorHAnsi"/>
          <w:sz w:val="20"/>
        </w:rPr>
        <w:t xml:space="preserve">Australian Bureau of Statistics, </w:t>
      </w:r>
      <w:r w:rsidRPr="0032590D">
        <w:rPr>
          <w:rFonts w:asciiTheme="minorHAnsi" w:hAnsiTheme="minorHAnsi" w:cstheme="minorHAnsi"/>
          <w:i/>
          <w:iCs/>
          <w:sz w:val="20"/>
        </w:rPr>
        <w:t>Consumer Price Index, Weighting Pattern, 2020</w:t>
      </w:r>
      <w:r w:rsidRPr="0032590D">
        <w:rPr>
          <w:rFonts w:asciiTheme="minorHAnsi" w:hAnsiTheme="minorHAnsi" w:cstheme="minorHAnsi"/>
          <w:sz w:val="20"/>
        </w:rPr>
        <w:t xml:space="preserve">, released </w:t>
      </w:r>
      <w:r w:rsidR="00D27729" w:rsidRPr="0032590D">
        <w:rPr>
          <w:rFonts w:asciiTheme="minorHAnsi" w:hAnsiTheme="minorHAnsi" w:cstheme="minorHAnsi"/>
          <w:sz w:val="20"/>
        </w:rPr>
        <w:t>16 December 2020</w:t>
      </w:r>
    </w:p>
    <w:p w14:paraId="7E8CCF1B" w14:textId="0E191CB8" w:rsidR="00B11957" w:rsidRPr="0032590D" w:rsidRDefault="00D27729" w:rsidP="00C07327">
      <w:pPr>
        <w:pStyle w:val="Bullet"/>
        <w:tabs>
          <w:tab w:val="clear" w:pos="520"/>
          <w:tab w:val="num" w:pos="270"/>
        </w:tabs>
        <w:spacing w:before="0" w:line="240" w:lineRule="auto"/>
        <w:rPr>
          <w:rFonts w:asciiTheme="minorHAnsi" w:hAnsiTheme="minorHAnsi" w:cstheme="minorHAnsi"/>
          <w:sz w:val="20"/>
        </w:rPr>
      </w:pPr>
      <w:r w:rsidRPr="0032590D">
        <w:rPr>
          <w:rFonts w:asciiTheme="minorHAnsi" w:hAnsiTheme="minorHAnsi" w:cstheme="minorHAnsi"/>
          <w:sz w:val="20"/>
        </w:rPr>
        <w:t xml:space="preserve">Australian Bureau of Statistics, </w:t>
      </w:r>
      <w:r w:rsidR="00534652" w:rsidRPr="0032590D">
        <w:rPr>
          <w:rFonts w:asciiTheme="minorHAnsi" w:hAnsiTheme="minorHAnsi" w:cstheme="minorHAnsi"/>
          <w:i/>
          <w:iCs/>
          <w:sz w:val="20"/>
        </w:rPr>
        <w:t>Measuring Non-discretionary and Discretionary Inflation</w:t>
      </w:r>
      <w:r w:rsidR="0061678F" w:rsidRPr="0032590D">
        <w:rPr>
          <w:rFonts w:asciiTheme="minorHAnsi" w:hAnsiTheme="minorHAnsi" w:cstheme="minorHAnsi"/>
          <w:sz w:val="20"/>
        </w:rPr>
        <w:t>, released 25 May 2021</w:t>
      </w:r>
    </w:p>
    <w:p w14:paraId="75C8DFB2" w14:textId="4ECD1214" w:rsidR="0061678F" w:rsidRPr="0032590D" w:rsidRDefault="00787E6A" w:rsidP="00C07327">
      <w:pPr>
        <w:pStyle w:val="Bullet"/>
        <w:tabs>
          <w:tab w:val="clear" w:pos="520"/>
          <w:tab w:val="num" w:pos="270"/>
        </w:tabs>
        <w:spacing w:before="0"/>
        <w:ind w:left="270" w:hanging="270"/>
        <w:rPr>
          <w:rFonts w:asciiTheme="minorHAnsi" w:hAnsiTheme="minorHAnsi" w:cstheme="minorHAnsi"/>
          <w:sz w:val="20"/>
        </w:rPr>
      </w:pPr>
      <w:r w:rsidRPr="0032590D">
        <w:rPr>
          <w:rFonts w:asciiTheme="minorHAnsi" w:hAnsiTheme="minorHAnsi" w:cstheme="minorHAnsi"/>
          <w:sz w:val="20"/>
        </w:rPr>
        <w:t xml:space="preserve">Melbourne Institute, </w:t>
      </w:r>
      <w:r w:rsidR="001C2C34" w:rsidRPr="0032590D">
        <w:rPr>
          <w:rFonts w:asciiTheme="minorHAnsi" w:hAnsiTheme="minorHAnsi" w:cstheme="minorHAnsi"/>
          <w:i/>
          <w:iCs/>
          <w:sz w:val="20"/>
        </w:rPr>
        <w:t>Household Expenditure Measure</w:t>
      </w:r>
      <w:r w:rsidR="00BC0920" w:rsidRPr="0032590D">
        <w:rPr>
          <w:rFonts w:asciiTheme="minorHAnsi" w:hAnsiTheme="minorHAnsi" w:cstheme="minorHAnsi"/>
          <w:sz w:val="20"/>
        </w:rPr>
        <w:t xml:space="preserve"> </w:t>
      </w:r>
      <w:r w:rsidR="00A32826" w:rsidRPr="0032590D">
        <w:rPr>
          <w:rFonts w:asciiTheme="minorHAnsi" w:hAnsiTheme="minorHAnsi" w:cstheme="minorHAnsi"/>
          <w:sz w:val="20"/>
        </w:rPr>
        <w:t>, accessed 10 November  2024</w:t>
      </w:r>
      <w:r w:rsidR="000A48D6" w:rsidRPr="0032590D">
        <w:rPr>
          <w:rFonts w:asciiTheme="minorHAnsi" w:hAnsiTheme="minorHAnsi" w:cstheme="minorHAnsi"/>
          <w:sz w:val="20"/>
        </w:rPr>
        <w:t xml:space="preserve"> at</w:t>
      </w:r>
      <w:r w:rsidR="00A32826" w:rsidRPr="0032590D">
        <w:rPr>
          <w:rFonts w:asciiTheme="minorHAnsi" w:hAnsiTheme="minorHAnsi" w:cstheme="minorHAnsi"/>
          <w:sz w:val="20"/>
        </w:rPr>
        <w:t xml:space="preserve"> </w:t>
      </w:r>
      <w:hyperlink r:id="rId29" w:history="1">
        <w:r w:rsidR="00C07327" w:rsidRPr="0032590D">
          <w:rPr>
            <w:rStyle w:val="Hyperlink"/>
            <w:rFonts w:asciiTheme="minorHAnsi" w:hAnsiTheme="minorHAnsi" w:cstheme="minorHAnsi"/>
            <w:sz w:val="20"/>
          </w:rPr>
          <w:t>https://melbourneinstitute.unimelb.edu.au/publications/social-indicator-reports</w:t>
        </w:r>
      </w:hyperlink>
      <w:r w:rsidR="00C07327" w:rsidRPr="0032590D">
        <w:rPr>
          <w:rFonts w:asciiTheme="minorHAnsi" w:hAnsiTheme="minorHAnsi" w:cstheme="minorHAnsi"/>
          <w:sz w:val="20"/>
        </w:rPr>
        <w:t xml:space="preserve"> </w:t>
      </w:r>
    </w:p>
    <w:p w14:paraId="5954E761" w14:textId="77777777" w:rsidR="00B11957" w:rsidRDefault="00B11957" w:rsidP="00EE10AC">
      <w:pPr>
        <w:spacing w:before="0" w:after="160" w:line="259" w:lineRule="auto"/>
      </w:pPr>
    </w:p>
    <w:p w14:paraId="0092FEF0" w14:textId="77777777" w:rsidR="004A07C7" w:rsidRDefault="004A07C7" w:rsidP="0086055B"/>
    <w:sectPr w:rsidR="004A07C7" w:rsidSect="00E47F32">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CE81A" w14:textId="77777777" w:rsidR="00B70D45" w:rsidRDefault="00B70D45">
      <w:pPr>
        <w:spacing w:before="0" w:after="0"/>
      </w:pPr>
      <w:r>
        <w:separator/>
      </w:r>
    </w:p>
  </w:endnote>
  <w:endnote w:type="continuationSeparator" w:id="0">
    <w:p w14:paraId="62B7959D" w14:textId="77777777" w:rsidR="00B70D45" w:rsidRDefault="00B70D45">
      <w:pPr>
        <w:spacing w:before="0" w:after="0"/>
      </w:pPr>
      <w:r>
        <w:continuationSeparator/>
      </w:r>
    </w:p>
  </w:endnote>
  <w:endnote w:type="continuationNotice" w:id="1">
    <w:p w14:paraId="18116EC7" w14:textId="77777777" w:rsidR="00B70D45" w:rsidRDefault="00B70D4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845424596"/>
      <w:docPartObj>
        <w:docPartGallery w:val="Page Numbers (Bottom of Page)"/>
        <w:docPartUnique/>
      </w:docPartObj>
    </w:sdtPr>
    <w:sdtEndPr>
      <w:rPr>
        <w:noProof/>
      </w:rPr>
    </w:sdtEndPr>
    <w:sdtContent>
      <w:p w14:paraId="5FC1B696" w14:textId="0DE8CCA3" w:rsidR="00716663" w:rsidRDefault="00716663">
        <w:pPr>
          <w:pStyle w:val="Footer"/>
        </w:pPr>
        <w:r>
          <w:rPr>
            <w:noProof w:val="0"/>
          </w:rPr>
          <w:fldChar w:fldCharType="begin"/>
        </w:r>
        <w:r>
          <w:instrText xml:space="preserve"> PAGE   \* MERGEFORMAT </w:instrText>
        </w:r>
        <w:r>
          <w:rPr>
            <w:noProof w:val="0"/>
          </w:rPr>
          <w:fldChar w:fldCharType="separate"/>
        </w:r>
        <w:r>
          <w:t>2</w:t>
        </w:r>
        <w:r>
          <w:fldChar w:fldCharType="end"/>
        </w:r>
      </w:p>
    </w:sdtContent>
  </w:sdt>
  <w:p w14:paraId="428649B1" w14:textId="04755345" w:rsidR="00E81A40" w:rsidRPr="00E13E90" w:rsidRDefault="00E81A40" w:rsidP="00E13E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11636" w14:textId="77777777" w:rsidR="00B70D45" w:rsidRDefault="00B70D45">
      <w:pPr>
        <w:spacing w:before="0" w:after="0"/>
      </w:pPr>
      <w:r>
        <w:separator/>
      </w:r>
    </w:p>
  </w:footnote>
  <w:footnote w:type="continuationSeparator" w:id="0">
    <w:p w14:paraId="0B6605C0" w14:textId="77777777" w:rsidR="00B70D45" w:rsidRDefault="00B70D45">
      <w:pPr>
        <w:spacing w:before="0" w:after="0"/>
      </w:pPr>
      <w:r>
        <w:continuationSeparator/>
      </w:r>
    </w:p>
  </w:footnote>
  <w:footnote w:type="continuationNotice" w:id="1">
    <w:p w14:paraId="2331CA5D" w14:textId="77777777" w:rsidR="00B70D45" w:rsidRDefault="00B70D45">
      <w:pPr>
        <w:spacing w:before="0" w:after="0"/>
      </w:pPr>
    </w:p>
  </w:footnote>
  <w:footnote w:id="2">
    <w:p w14:paraId="557A13FC" w14:textId="73D881E4" w:rsidR="008C4F7E" w:rsidRDefault="008C4F7E">
      <w:pPr>
        <w:pStyle w:val="FootnoteText"/>
      </w:pPr>
      <w:r>
        <w:rPr>
          <w:rStyle w:val="FootnoteReference"/>
        </w:rPr>
        <w:footnoteRef/>
      </w:r>
      <w:r>
        <w:t xml:space="preserve"> </w:t>
      </w:r>
      <w:r>
        <w:tab/>
      </w:r>
      <w:r w:rsidR="009309E9" w:rsidRPr="009309E9">
        <w:t>Treasury, A Strategic Plan for Australia’s Payment System (2023), Treasury website.</w:t>
      </w:r>
    </w:p>
  </w:footnote>
  <w:footnote w:id="3">
    <w:p w14:paraId="6296F078" w14:textId="10D9D274" w:rsidR="002516E0" w:rsidRDefault="002516E0">
      <w:pPr>
        <w:pStyle w:val="FootnoteText"/>
      </w:pPr>
      <w:r>
        <w:rPr>
          <w:rStyle w:val="FootnoteReference"/>
        </w:rPr>
        <w:footnoteRef/>
      </w:r>
      <w:r>
        <w:t xml:space="preserve"> </w:t>
      </w:r>
      <w:r>
        <w:tab/>
      </w:r>
      <w:r w:rsidR="00D7667E" w:rsidRPr="009A2F3B">
        <w:t>Livermore T and J Mulqueeney (2023), ‘Cash Use and Attitudes in Australia’, RBA Bulletin, June.</w:t>
      </w:r>
    </w:p>
  </w:footnote>
  <w:footnote w:id="4">
    <w:p w14:paraId="27D6852D" w14:textId="760C6E20" w:rsidR="00744F5D" w:rsidRDefault="00744F5D" w:rsidP="00744F5D">
      <w:pPr>
        <w:pStyle w:val="FootnoteText"/>
      </w:pPr>
      <w:r>
        <w:rPr>
          <w:rStyle w:val="FootnoteReference"/>
        </w:rPr>
        <w:footnoteRef/>
      </w:r>
      <w:r>
        <w:t xml:space="preserve"> </w:t>
      </w:r>
      <w:r>
        <w:tab/>
      </w:r>
      <w:r w:rsidR="001E5FE7">
        <w:t xml:space="preserve">Estimate derived from </w:t>
      </w:r>
      <w:r w:rsidR="0000294F">
        <w:t xml:space="preserve">proportion of the population </w:t>
      </w:r>
      <w:r w:rsidR="00212759">
        <w:t xml:space="preserve">as high cash users </w:t>
      </w:r>
      <w:r w:rsidR="0000294F">
        <w:t xml:space="preserve">as reported in </w:t>
      </w:r>
      <w:r w:rsidR="009A2F3B" w:rsidRPr="009A2F3B">
        <w:t>Livermore T and J Mulqueeney (2023), ‘Cash Use and Attitudes in Australia’, RBA Bulletin, June</w:t>
      </w:r>
      <w:r w:rsidR="0000294F">
        <w:t xml:space="preserve"> and </w:t>
      </w:r>
      <w:r w:rsidR="009D6869">
        <w:t>Table B</w:t>
      </w:r>
      <w:r w:rsidR="00BB4BFD">
        <w:t>9 Population projections, by age and sex, Australia – medium series</w:t>
      </w:r>
      <w:r w:rsidR="00A76B77">
        <w:t xml:space="preserve"> in ABS Population Projections, Australia,</w:t>
      </w:r>
      <w:r w:rsidR="00B73BF9">
        <w:t xml:space="preserve"> released 23 November 2023</w:t>
      </w:r>
    </w:p>
  </w:footnote>
  <w:footnote w:id="5">
    <w:p w14:paraId="7274218A" w14:textId="45EC98A1" w:rsidR="00C67377" w:rsidRDefault="00C67377" w:rsidP="00C67377">
      <w:pPr>
        <w:pStyle w:val="FootnoteText"/>
      </w:pPr>
      <w:r>
        <w:rPr>
          <w:rStyle w:val="FootnoteReference"/>
        </w:rPr>
        <w:footnoteRef/>
      </w:r>
      <w:r>
        <w:t xml:space="preserve"> </w:t>
      </w:r>
      <w:r>
        <w:tab/>
      </w:r>
      <w:r w:rsidRPr="009309E9">
        <w:t>Treasury, A Strategic Plan for Australia’s Payment System</w:t>
      </w:r>
      <w:r w:rsidR="0039189A">
        <w:t xml:space="preserve">, </w:t>
      </w:r>
      <w:r w:rsidR="006C7304">
        <w:t xml:space="preserve">7 </w:t>
      </w:r>
      <w:r w:rsidR="003338AE">
        <w:t xml:space="preserve">June </w:t>
      </w:r>
      <w:r w:rsidRPr="009309E9">
        <w:t>2023</w:t>
      </w:r>
    </w:p>
  </w:footnote>
  <w:footnote w:id="6">
    <w:p w14:paraId="009E852D" w14:textId="4D28E279" w:rsidR="00663E21" w:rsidRDefault="00663E21">
      <w:pPr>
        <w:pStyle w:val="FootnoteText"/>
      </w:pPr>
      <w:r>
        <w:rPr>
          <w:rStyle w:val="FootnoteReference"/>
        </w:rPr>
        <w:footnoteRef/>
      </w:r>
      <w:r>
        <w:t xml:space="preserve"> </w:t>
      </w:r>
      <w:r>
        <w:tab/>
      </w:r>
      <w:r w:rsidR="002E6193" w:rsidRPr="002E6193">
        <w:t>Guttmann R, T Livermore and Z Zhang (2023), ‘</w:t>
      </w:r>
      <w:r w:rsidR="00694E62">
        <w:t xml:space="preserve">The Cash-use </w:t>
      </w:r>
      <w:r w:rsidR="002A0D67">
        <w:t>C</w:t>
      </w:r>
      <w:r w:rsidR="00694E62">
        <w:t xml:space="preserve">ycle in </w:t>
      </w:r>
      <w:r w:rsidR="002E6193" w:rsidRPr="002E6193">
        <w:t>Australia’, RBA</w:t>
      </w:r>
      <w:r w:rsidR="00AB6C62">
        <w:t xml:space="preserve"> </w:t>
      </w:r>
      <w:r w:rsidR="00EC46B4">
        <w:t>Bulletin,</w:t>
      </w:r>
      <w:r w:rsidR="004749CF" w:rsidRPr="004749CF">
        <w:t xml:space="preserve"> </w:t>
      </w:r>
      <w:r w:rsidR="00D104D6">
        <w:t>March</w:t>
      </w:r>
      <w:r w:rsidR="004749CF" w:rsidRPr="004749CF">
        <w:t>.</w:t>
      </w:r>
    </w:p>
  </w:footnote>
  <w:footnote w:id="7">
    <w:p w14:paraId="783B6054" w14:textId="33709627" w:rsidR="00C11B2E" w:rsidRDefault="00C11B2E" w:rsidP="00C11B2E">
      <w:pPr>
        <w:pStyle w:val="FootnoteText"/>
      </w:pPr>
      <w:r w:rsidRPr="005423A3">
        <w:rPr>
          <w:rStyle w:val="FootnoteReference"/>
          <w:color w:val="000000" w:themeColor="text1"/>
        </w:rPr>
        <w:footnoteRef/>
      </w:r>
      <w:r w:rsidRPr="005423A3">
        <w:rPr>
          <w:color w:val="000000" w:themeColor="text1"/>
        </w:rPr>
        <w:t xml:space="preserve"> </w:t>
      </w:r>
      <w:r>
        <w:tab/>
      </w:r>
      <w:r w:rsidR="002E6193" w:rsidRPr="002E6193">
        <w:rPr>
          <w:color w:val="000000" w:themeColor="text1"/>
        </w:rPr>
        <w:t>Guttmann R, T Livermore and Z Zhang (2023), ‘</w:t>
      </w:r>
      <w:r w:rsidR="00610A0B" w:rsidRPr="002E6193">
        <w:rPr>
          <w:color w:val="000000" w:themeColor="text1"/>
        </w:rPr>
        <w:t xml:space="preserve">The Cash-use </w:t>
      </w:r>
      <w:r w:rsidR="002A0D67" w:rsidRPr="002E6193">
        <w:rPr>
          <w:color w:val="000000" w:themeColor="text1"/>
        </w:rPr>
        <w:t>C</w:t>
      </w:r>
      <w:r w:rsidR="00610A0B" w:rsidRPr="002E6193">
        <w:rPr>
          <w:color w:val="000000" w:themeColor="text1"/>
        </w:rPr>
        <w:t xml:space="preserve">ycle in </w:t>
      </w:r>
      <w:r w:rsidR="002E6193" w:rsidRPr="002E6193">
        <w:rPr>
          <w:color w:val="000000" w:themeColor="text1"/>
        </w:rPr>
        <w:t>Australia’, RBA</w:t>
      </w:r>
      <w:r w:rsidR="00EC46B4" w:rsidRPr="002E6193">
        <w:rPr>
          <w:color w:val="000000" w:themeColor="text1"/>
        </w:rPr>
        <w:t xml:space="preserve"> Bulletin, </w:t>
      </w:r>
      <w:r w:rsidR="00610A0B" w:rsidRPr="002E6193">
        <w:rPr>
          <w:color w:val="000000" w:themeColor="text1"/>
        </w:rPr>
        <w:t>March.</w:t>
      </w:r>
    </w:p>
  </w:footnote>
  <w:footnote w:id="8">
    <w:p w14:paraId="71F0F007" w14:textId="77777777" w:rsidR="00E9144D" w:rsidRDefault="00E9144D" w:rsidP="00E9144D">
      <w:pPr>
        <w:pStyle w:val="FootnoteText"/>
      </w:pPr>
      <w:r>
        <w:rPr>
          <w:rStyle w:val="FootnoteReference"/>
        </w:rPr>
        <w:footnoteRef/>
      </w:r>
      <w:r>
        <w:t xml:space="preserve"> </w:t>
      </w:r>
      <w:r>
        <w:tab/>
        <w:t xml:space="preserve">See sections 8, 9 and 16 of the </w:t>
      </w:r>
      <w:r w:rsidRPr="0001751A">
        <w:rPr>
          <w:i/>
          <w:iCs/>
        </w:rPr>
        <w:t>Currency Act 1965</w:t>
      </w:r>
      <w:r>
        <w:t xml:space="preserve"> (Cth) and section 36 of the </w:t>
      </w:r>
      <w:r w:rsidRPr="0001751A">
        <w:rPr>
          <w:i/>
          <w:iCs/>
        </w:rPr>
        <w:t>Reserve Bank Act 1959</w:t>
      </w:r>
      <w:r>
        <w:t xml:space="preserve"> (Cth).</w:t>
      </w:r>
    </w:p>
  </w:footnote>
  <w:footnote w:id="9">
    <w:p w14:paraId="43353B52" w14:textId="77777777" w:rsidR="00E9144D" w:rsidRDefault="00E9144D" w:rsidP="00E9144D">
      <w:pPr>
        <w:pStyle w:val="FootnoteText"/>
      </w:pPr>
      <w:r>
        <w:rPr>
          <w:rStyle w:val="FootnoteReference"/>
        </w:rPr>
        <w:footnoteRef/>
      </w:r>
      <w:r>
        <w:t xml:space="preserve"> </w:t>
      </w:r>
      <w:r>
        <w:tab/>
        <w:t>S</w:t>
      </w:r>
      <w:r w:rsidRPr="00AB1182">
        <w:t xml:space="preserve">ee section 44 of the </w:t>
      </w:r>
      <w:r w:rsidRPr="00296C3E">
        <w:rPr>
          <w:i/>
          <w:iCs/>
        </w:rPr>
        <w:t>Reserve Bank Act 1959</w:t>
      </w:r>
      <w:r w:rsidRPr="00AB1182">
        <w:t xml:space="preserve"> </w:t>
      </w:r>
      <w:r>
        <w:t xml:space="preserve">(Cth) </w:t>
      </w:r>
      <w:r w:rsidRPr="00AB1182">
        <w:t xml:space="preserve">and section 22 of the </w:t>
      </w:r>
      <w:r w:rsidRPr="00296C3E">
        <w:rPr>
          <w:i/>
          <w:iCs/>
        </w:rPr>
        <w:t>Currency Act 1965</w:t>
      </w:r>
      <w:r>
        <w:t xml:space="preserve"> (Cth</w:t>
      </w:r>
      <w:r w:rsidRPr="00AB1182">
        <w:t>).</w:t>
      </w:r>
    </w:p>
  </w:footnote>
  <w:footnote w:id="10">
    <w:p w14:paraId="5E111CBF" w14:textId="63F4F62F" w:rsidR="005F37C9" w:rsidRDefault="005F37C9">
      <w:pPr>
        <w:pStyle w:val="FootnoteText"/>
      </w:pPr>
      <w:r>
        <w:rPr>
          <w:rStyle w:val="FootnoteReference"/>
        </w:rPr>
        <w:footnoteRef/>
      </w:r>
      <w:r>
        <w:t xml:space="preserve"> </w:t>
      </w:r>
      <w:r w:rsidR="00DF7D10">
        <w:tab/>
      </w:r>
      <w:r w:rsidR="0027325D">
        <w:t xml:space="preserve">In addition, </w:t>
      </w:r>
      <w:r w:rsidR="002855F8">
        <w:t>for cash transactions above $10,000</w:t>
      </w:r>
      <w:r w:rsidR="00C75C17">
        <w:t xml:space="preserve"> or where a suspicious matter has arisen</w:t>
      </w:r>
      <w:r w:rsidR="002855F8">
        <w:t>, the</w:t>
      </w:r>
      <w:r w:rsidR="007A64FE">
        <w:t xml:space="preserve">re are reporting requirements </w:t>
      </w:r>
      <w:r w:rsidR="00C56330">
        <w:t xml:space="preserve">for some businesses </w:t>
      </w:r>
      <w:r w:rsidR="007A64FE">
        <w:t xml:space="preserve">under the </w:t>
      </w:r>
      <w:r w:rsidR="002855F8">
        <w:t xml:space="preserve"> </w:t>
      </w:r>
      <w:r w:rsidR="0027325D" w:rsidRPr="00AD471E">
        <w:rPr>
          <w:i/>
          <w:iCs/>
        </w:rPr>
        <w:t>Anti-Money Laundering and Counter-Terrorism Financing Act 2006</w:t>
      </w:r>
      <w:r w:rsidR="0027325D" w:rsidRPr="0027325D">
        <w:t xml:space="preserve"> </w:t>
      </w:r>
      <w:r w:rsidR="00C56330">
        <w:t>(Cth)</w:t>
      </w:r>
      <w:r w:rsidR="0027325D" w:rsidRPr="0027325D">
        <w:t>.</w:t>
      </w:r>
    </w:p>
  </w:footnote>
  <w:footnote w:id="11">
    <w:p w14:paraId="7469F146" w14:textId="77777777" w:rsidR="00385705" w:rsidRPr="00DA03EB" w:rsidRDefault="00385705" w:rsidP="00385705">
      <w:pPr>
        <w:pStyle w:val="FootnoteText"/>
        <w:rPr>
          <w:i/>
          <w:iCs/>
        </w:rPr>
      </w:pPr>
      <w:r>
        <w:rPr>
          <w:rStyle w:val="FootnoteReference"/>
        </w:rPr>
        <w:footnoteRef/>
      </w:r>
      <w:r>
        <w:t xml:space="preserve"> </w:t>
      </w:r>
      <w:r>
        <w:tab/>
        <w:t xml:space="preserve">European Commission, </w:t>
      </w:r>
      <w:r w:rsidRPr="00DA03EB">
        <w:rPr>
          <w:i/>
          <w:iCs/>
        </w:rPr>
        <w:t>Press Release: Single Currency Package: new proposals to support the use of cash and to propose a framework for a digital euro</w:t>
      </w:r>
      <w:r>
        <w:t xml:space="preserve"> </w:t>
      </w:r>
      <w:r w:rsidRPr="00DA03EB">
        <w:t>28 June 2023</w:t>
      </w:r>
    </w:p>
  </w:footnote>
  <w:footnote w:id="12">
    <w:p w14:paraId="1F59F5CE" w14:textId="77777777" w:rsidR="00385705" w:rsidRDefault="00385705" w:rsidP="00385705">
      <w:pPr>
        <w:pStyle w:val="FootnoteText"/>
      </w:pPr>
      <w:r>
        <w:rPr>
          <w:rStyle w:val="FootnoteReference"/>
        </w:rPr>
        <w:footnoteRef/>
      </w:r>
      <w:r>
        <w:t xml:space="preserve"> </w:t>
      </w:r>
      <w:r>
        <w:tab/>
        <w:t>Judgment of the Court (Grand Chamber) of 26 January 2021 in Johannes Dietrich and Norbert Häring v Hessischer Rundfunk.</w:t>
      </w:r>
    </w:p>
  </w:footnote>
  <w:footnote w:id="13">
    <w:p w14:paraId="26775850" w14:textId="071FE81C" w:rsidR="004E77F1" w:rsidRDefault="004E77F1">
      <w:pPr>
        <w:pStyle w:val="FootnoteText"/>
      </w:pPr>
      <w:r>
        <w:rPr>
          <w:rStyle w:val="FootnoteReference"/>
        </w:rPr>
        <w:footnoteRef/>
      </w:r>
      <w:r>
        <w:t xml:space="preserve"> </w:t>
      </w:r>
      <w:r>
        <w:tab/>
      </w:r>
      <w:r w:rsidRPr="004E77F1">
        <w:t xml:space="preserve">Payment Choice </w:t>
      </w:r>
      <w:r w:rsidR="00E7060A">
        <w:t>Act</w:t>
      </w:r>
      <w:r w:rsidRPr="004E77F1">
        <w:t xml:space="preserve"> of 2023</w:t>
      </w:r>
      <w:r w:rsidR="00E7060A">
        <w:t xml:space="preserve">, introduced as a Bill to the US Senate on </w:t>
      </w:r>
      <w:r w:rsidR="009077F6">
        <w:t>14 June 2023.</w:t>
      </w:r>
    </w:p>
  </w:footnote>
  <w:footnote w:id="14">
    <w:p w14:paraId="13597FA1" w14:textId="77777777" w:rsidR="004A14EE" w:rsidRDefault="004A14EE" w:rsidP="004A14EE">
      <w:pPr>
        <w:pStyle w:val="FootnoteText"/>
      </w:pPr>
      <w:r>
        <w:rPr>
          <w:rStyle w:val="FootnoteReference"/>
        </w:rPr>
        <w:footnoteRef/>
      </w:r>
      <w:r>
        <w:t xml:space="preserve"> </w:t>
      </w:r>
      <w:r>
        <w:tab/>
      </w:r>
      <w:r w:rsidRPr="000A6E81">
        <w:rPr>
          <w:rFonts w:cs="Calibri Light"/>
        </w:rPr>
        <w:t>The RBA Consumer Payments Survey asks participants to record each payment they make as well as when they top up with cash. RBA surveys have collected this data every three years since 2007.</w:t>
      </w:r>
    </w:p>
  </w:footnote>
  <w:footnote w:id="15">
    <w:p w14:paraId="1B935793" w14:textId="77E6DB19" w:rsidR="0003099B" w:rsidRDefault="0003099B">
      <w:pPr>
        <w:pStyle w:val="FootnoteText"/>
      </w:pPr>
      <w:r>
        <w:rPr>
          <w:rStyle w:val="FootnoteReference"/>
        </w:rPr>
        <w:footnoteRef/>
      </w:r>
      <w:r>
        <w:t xml:space="preserve"> </w:t>
      </w:r>
      <w:r>
        <w:tab/>
      </w:r>
      <w:r w:rsidR="007B4FDF" w:rsidRPr="007B4FDF">
        <w:t>Livermore T and J Mulqueeney (2023), ‘Cash Use and Attitudes in Australia’, RBA Bulletin, June</w:t>
      </w:r>
      <w:r w:rsidR="00C500FF">
        <w:t>.</w:t>
      </w:r>
    </w:p>
  </w:footnote>
  <w:footnote w:id="16">
    <w:p w14:paraId="6D79332A" w14:textId="1C1C30A6" w:rsidR="00B54CDB" w:rsidRPr="00CF6AC9" w:rsidRDefault="00B54CDB" w:rsidP="00B54CDB">
      <w:pPr>
        <w:pStyle w:val="FootnoteText"/>
      </w:pPr>
      <w:r>
        <w:rPr>
          <w:rStyle w:val="FootnoteReference"/>
        </w:rPr>
        <w:footnoteRef/>
      </w:r>
      <w:r>
        <w:t xml:space="preserve"> </w:t>
      </w:r>
      <w:r>
        <w:tab/>
        <w:t>Australian Digital Inclusion Index: 2023</w:t>
      </w:r>
      <w:r w:rsidR="00C92263">
        <w:t>.</w:t>
      </w:r>
    </w:p>
  </w:footnote>
  <w:footnote w:id="17">
    <w:p w14:paraId="28A8268A" w14:textId="03C67BAC" w:rsidR="000A21A9" w:rsidRDefault="000A21A9">
      <w:pPr>
        <w:pStyle w:val="FootnoteText"/>
      </w:pPr>
      <w:r>
        <w:rPr>
          <w:rStyle w:val="FootnoteReference"/>
        </w:rPr>
        <w:footnoteRef/>
      </w:r>
      <w:r>
        <w:t xml:space="preserve"> </w:t>
      </w:r>
      <w:r>
        <w:tab/>
      </w:r>
      <w:r w:rsidR="00C1065E">
        <w:t>See ‘Understanding digital exclusi</w:t>
      </w:r>
      <w:r w:rsidR="006837F0">
        <w:t xml:space="preserve">on’ by age on the </w:t>
      </w:r>
      <w:r>
        <w:t xml:space="preserve">Australian Digital Inclusion Index dashboard </w:t>
      </w:r>
      <w:r w:rsidR="006837F0">
        <w:t xml:space="preserve">at: </w:t>
      </w:r>
      <w:r w:rsidR="006F1663" w:rsidRPr="006F1663">
        <w:t>https://www.digitalinclusionindex.org.au/dashboard/Exclusion.aspx</w:t>
      </w:r>
    </w:p>
  </w:footnote>
  <w:footnote w:id="18">
    <w:p w14:paraId="474CCA7B" w14:textId="1239C4AB" w:rsidR="00B54CDB" w:rsidRDefault="00B54CDB" w:rsidP="00B54CDB">
      <w:pPr>
        <w:pStyle w:val="FootnoteText"/>
      </w:pPr>
      <w:r>
        <w:rPr>
          <w:rStyle w:val="FootnoteReference"/>
        </w:rPr>
        <w:footnoteRef/>
      </w:r>
      <w:r>
        <w:t xml:space="preserve"> </w:t>
      </w:r>
      <w:r>
        <w:tab/>
        <w:t xml:space="preserve">Estimate derived from </w:t>
      </w:r>
      <w:r w:rsidR="00B91850">
        <w:t xml:space="preserve">proportions </w:t>
      </w:r>
      <w:r w:rsidR="00675087">
        <w:t xml:space="preserve">shown on the Australian Digital Inclusion Index dashboard </w:t>
      </w:r>
      <w:r>
        <w:t xml:space="preserve">and Table 8 Estimated resident population by age and sex-at 30 Jone 2023 in ABS, </w:t>
      </w:r>
      <w:r w:rsidRPr="005D756F">
        <w:t>National, state and territory population</w:t>
      </w:r>
      <w:r>
        <w:t>, released 19 September 2024.</w:t>
      </w:r>
    </w:p>
  </w:footnote>
  <w:footnote w:id="19">
    <w:p w14:paraId="6800BE87" w14:textId="77777777" w:rsidR="00B54CDB" w:rsidRPr="00DE02C8" w:rsidRDefault="00B54CDB" w:rsidP="00B54CDB">
      <w:pPr>
        <w:pStyle w:val="FootnoteText"/>
        <w:rPr>
          <w:rStyle w:val="FootnoteReference"/>
        </w:rPr>
      </w:pPr>
      <w:r>
        <w:rPr>
          <w:rStyle w:val="FootnoteReference"/>
        </w:rPr>
        <w:footnoteRef/>
      </w:r>
      <w:r w:rsidRPr="00DE02C8">
        <w:rPr>
          <w:rStyle w:val="FootnoteReference"/>
        </w:rPr>
        <w:t xml:space="preserve"> </w:t>
      </w:r>
      <w:r w:rsidRPr="00DE02C8">
        <w:rPr>
          <w:rStyle w:val="FootnoteReference"/>
        </w:rPr>
        <w:tab/>
      </w:r>
      <w:r w:rsidRPr="00B92470">
        <w:rPr>
          <w:rStyle w:val="FootnoteReference"/>
          <w:sz w:val="20"/>
          <w:vertAlign w:val="baseline"/>
        </w:rPr>
        <w:t xml:space="preserve">Regional Telecommunications Review, 2024 Regional Telecommunications Independent Review April issues paper, </w:t>
      </w:r>
      <w:r>
        <w:t xml:space="preserve">issued </w:t>
      </w:r>
      <w:r w:rsidRPr="00B92470">
        <w:rPr>
          <w:rStyle w:val="FootnoteReference"/>
          <w:sz w:val="20"/>
          <w:vertAlign w:val="baseline"/>
        </w:rPr>
        <w:t>April 2024</w:t>
      </w:r>
      <w:r>
        <w:t>.</w:t>
      </w:r>
    </w:p>
  </w:footnote>
  <w:footnote w:id="20">
    <w:p w14:paraId="5D77FD88" w14:textId="49684C18" w:rsidR="00A229C6" w:rsidRDefault="00A229C6">
      <w:pPr>
        <w:pStyle w:val="FootnoteText"/>
      </w:pPr>
      <w:r>
        <w:rPr>
          <w:rStyle w:val="FootnoteReference"/>
        </w:rPr>
        <w:footnoteRef/>
      </w:r>
      <w:r>
        <w:t xml:space="preserve"> </w:t>
      </w:r>
      <w:r w:rsidR="002D38F1">
        <w:tab/>
        <w:t xml:space="preserve">See </w:t>
      </w:r>
      <w:r w:rsidR="00C92263">
        <w:t>p10 of the Australian Digital Inclusion Index: 2023.</w:t>
      </w:r>
    </w:p>
  </w:footnote>
  <w:footnote w:id="21">
    <w:p w14:paraId="2872E65C" w14:textId="47C54B02" w:rsidR="00B54CDB" w:rsidRDefault="00B54CDB" w:rsidP="00B54CDB">
      <w:pPr>
        <w:pStyle w:val="FootnoteText"/>
      </w:pPr>
      <w:r>
        <w:rPr>
          <w:rStyle w:val="FootnoteReference"/>
        </w:rPr>
        <w:footnoteRef/>
      </w:r>
      <w:r>
        <w:t xml:space="preserve"> </w:t>
      </w:r>
      <w:r>
        <w:tab/>
        <w:t xml:space="preserve">Estimate derived from </w:t>
      </w:r>
      <w:r w:rsidR="00F70D89">
        <w:t xml:space="preserve">proportion shown on p10 of </w:t>
      </w:r>
      <w:r>
        <w:t xml:space="preserve">the Australian Digital Inclusion Index: 2023 and </w:t>
      </w:r>
      <w:r w:rsidR="001E27ED">
        <w:t xml:space="preserve">2018 population data from </w:t>
      </w:r>
      <w:r>
        <w:t>AIHW, People with disability in Australia 2024.</w:t>
      </w:r>
    </w:p>
  </w:footnote>
  <w:footnote w:id="22">
    <w:p w14:paraId="762F0B7A" w14:textId="0451E6DB" w:rsidR="002506E4" w:rsidRPr="00563F91" w:rsidRDefault="002506E4">
      <w:pPr>
        <w:pStyle w:val="FootnoteText"/>
      </w:pPr>
      <w:r>
        <w:rPr>
          <w:rStyle w:val="FootnoteReference"/>
        </w:rPr>
        <w:footnoteRef/>
      </w:r>
      <w:r>
        <w:t xml:space="preserve"> </w:t>
      </w:r>
      <w:r>
        <w:tab/>
      </w:r>
      <w:r w:rsidR="00443251" w:rsidRPr="00443251">
        <w:t xml:space="preserve">Griffiths </w:t>
      </w:r>
      <w:r w:rsidR="005530AA">
        <w:t xml:space="preserve">J </w:t>
      </w:r>
      <w:r w:rsidR="00443251" w:rsidRPr="00443251">
        <w:t xml:space="preserve">and Joyce </w:t>
      </w:r>
      <w:r w:rsidR="005530AA">
        <w:t>M (2024)</w:t>
      </w:r>
      <w:r w:rsidR="00677AF9">
        <w:t>,</w:t>
      </w:r>
      <w:r w:rsidR="005530AA">
        <w:t xml:space="preserve"> ‘</w:t>
      </w:r>
      <w:r w:rsidR="00530B29" w:rsidRPr="006228E1">
        <w:t>The Reliability of Retail Payment Services</w:t>
      </w:r>
      <w:r w:rsidR="005530AA">
        <w:t>’,</w:t>
      </w:r>
      <w:r w:rsidR="00563F91">
        <w:t xml:space="preserve"> </w:t>
      </w:r>
      <w:r w:rsidR="00677AF9">
        <w:t>RBA</w:t>
      </w:r>
      <w:r w:rsidR="006228E1" w:rsidRPr="006228E1">
        <w:t xml:space="preserve"> Bulletin, </w:t>
      </w:r>
      <w:r w:rsidR="00773BFA">
        <w:t>October</w:t>
      </w:r>
      <w:r w:rsidR="00E73AE7">
        <w:t>.</w:t>
      </w:r>
    </w:p>
  </w:footnote>
  <w:footnote w:id="23">
    <w:p w14:paraId="0851A607" w14:textId="33F64BAC" w:rsidR="0028078E" w:rsidRPr="001153AD" w:rsidRDefault="0028078E">
      <w:pPr>
        <w:pStyle w:val="FootnoteText"/>
      </w:pPr>
      <w:r>
        <w:rPr>
          <w:rStyle w:val="FootnoteReference"/>
        </w:rPr>
        <w:footnoteRef/>
      </w:r>
      <w:r w:rsidR="009943CF">
        <w:tab/>
        <w:t xml:space="preserve">ABC </w:t>
      </w:r>
      <w:r w:rsidR="001153AD">
        <w:t xml:space="preserve">reporting, </w:t>
      </w:r>
      <w:r w:rsidR="001153AD" w:rsidRPr="00246653">
        <w:rPr>
          <w:i/>
          <w:iCs/>
        </w:rPr>
        <w:t>In harm’s way</w:t>
      </w:r>
      <w:r w:rsidR="001153AD">
        <w:rPr>
          <w:i/>
          <w:iCs/>
        </w:rPr>
        <w:t>,</w:t>
      </w:r>
      <w:r w:rsidR="001153AD">
        <w:t xml:space="preserve"> 27 February 2023</w:t>
      </w:r>
    </w:p>
  </w:footnote>
  <w:footnote w:id="24">
    <w:p w14:paraId="31AD6127" w14:textId="08B40302" w:rsidR="00E54E80" w:rsidRDefault="00E54E80">
      <w:pPr>
        <w:pStyle w:val="FootnoteText"/>
      </w:pPr>
      <w:r>
        <w:rPr>
          <w:rStyle w:val="FootnoteReference"/>
        </w:rPr>
        <w:footnoteRef/>
      </w:r>
      <w:r>
        <w:t xml:space="preserve"> </w:t>
      </w:r>
      <w:r>
        <w:tab/>
      </w:r>
      <w:r w:rsidRPr="00E54E80">
        <w:t>Livermore T and J Mulqueeney (2023), ‘Cash Use and Attitudes in Australia’, RBA Bulletin, June</w:t>
      </w:r>
      <w:r>
        <w:t>.</w:t>
      </w:r>
    </w:p>
  </w:footnote>
  <w:footnote w:id="25">
    <w:p w14:paraId="26A2D6D6" w14:textId="77777777" w:rsidR="00E11E71" w:rsidRDefault="00E11E71" w:rsidP="00E11E71">
      <w:pPr>
        <w:pStyle w:val="FootnoteText"/>
      </w:pPr>
      <w:r>
        <w:rPr>
          <w:rStyle w:val="FootnoteReference"/>
        </w:rPr>
        <w:footnoteRef/>
      </w:r>
      <w:r>
        <w:t xml:space="preserve"> </w:t>
      </w:r>
      <w:r>
        <w:tab/>
        <w:t xml:space="preserve">Government </w:t>
      </w:r>
      <w:r w:rsidRPr="00C908B3">
        <w:t xml:space="preserve">Response </w:t>
      </w:r>
      <w:r>
        <w:t xml:space="preserve">to </w:t>
      </w:r>
      <w:r w:rsidRPr="00C908B3">
        <w:t>Privacy Act Review Report</w:t>
      </w:r>
      <w:r>
        <w:t>, released 23 September 2023.</w:t>
      </w:r>
    </w:p>
  </w:footnote>
  <w:footnote w:id="26">
    <w:p w14:paraId="74AAD21C" w14:textId="71C87437" w:rsidR="0019131D" w:rsidRDefault="0019131D">
      <w:pPr>
        <w:pStyle w:val="FootnoteText"/>
      </w:pPr>
      <w:r>
        <w:rPr>
          <w:rStyle w:val="FootnoteReference"/>
        </w:rPr>
        <w:footnoteRef/>
      </w:r>
      <w:r>
        <w:t xml:space="preserve"> </w:t>
      </w:r>
      <w:r>
        <w:tab/>
      </w:r>
      <w:r w:rsidR="00366B79">
        <w:t xml:space="preserve">Australian Government, </w:t>
      </w:r>
      <w:r w:rsidR="00366B79" w:rsidRPr="00366B79">
        <w:t>Unfair trading practices Consultation on the design of proposed general and specific prohibitions</w:t>
      </w:r>
      <w:r w:rsidR="00366B79">
        <w:t>, November 2024</w:t>
      </w:r>
    </w:p>
  </w:footnote>
  <w:footnote w:id="27">
    <w:p w14:paraId="501893C7" w14:textId="42B1D05F" w:rsidR="00E11E71" w:rsidRPr="003F65CD" w:rsidRDefault="00E11E71" w:rsidP="00E11E71">
      <w:pPr>
        <w:pStyle w:val="FootnoteText"/>
      </w:pPr>
      <w:r w:rsidRPr="002464D7">
        <w:rPr>
          <w:rStyle w:val="FootnoteReference"/>
        </w:rPr>
        <w:footnoteRef/>
      </w:r>
      <w:r w:rsidRPr="002464D7">
        <w:rPr>
          <w:rStyle w:val="FootnoteReference"/>
        </w:rPr>
        <w:t xml:space="preserve"> </w:t>
      </w:r>
      <w:r>
        <w:tab/>
      </w:r>
      <w:r w:rsidRPr="003F65CD">
        <w:t xml:space="preserve">Treasury Ministers, </w:t>
      </w:r>
      <w:hyperlink r:id="rId1" w:history="1">
        <w:r w:rsidRPr="003F65CD">
          <w:rPr>
            <w:rStyle w:val="Hyperlink"/>
            <w:color w:val="auto"/>
            <w:u w:val="none"/>
          </w:rPr>
          <w:t>Fighting back against scammer scourge – Government announces new anti</w:t>
        </w:r>
        <w:r w:rsidRPr="003F65CD">
          <w:rPr>
            <w:rStyle w:val="Hyperlink"/>
            <w:color w:val="auto"/>
            <w:u w:val="none"/>
          </w:rPr>
          <w:noBreakHyphen/>
          <w:t>scams centre</w:t>
        </w:r>
      </w:hyperlink>
      <w:r w:rsidRPr="003F65CD">
        <w:t xml:space="preserve"> (2023), Treasury portfolio Ministers website</w:t>
      </w:r>
      <w:r>
        <w:t>.</w:t>
      </w:r>
    </w:p>
  </w:footnote>
  <w:footnote w:id="28">
    <w:p w14:paraId="650B6CCA" w14:textId="7A5267BB" w:rsidR="00B45200" w:rsidRPr="00E12697" w:rsidRDefault="00B45200">
      <w:pPr>
        <w:pStyle w:val="FootnoteText"/>
      </w:pPr>
      <w:r>
        <w:rPr>
          <w:rStyle w:val="FootnoteReference"/>
        </w:rPr>
        <w:footnoteRef/>
      </w:r>
      <w:r>
        <w:t xml:space="preserve"> </w:t>
      </w:r>
      <w:r w:rsidR="00F62DF6">
        <w:tab/>
      </w:r>
      <w:r w:rsidR="000C6353" w:rsidRPr="000C6353">
        <w:t>Livermore T and J Mulqueeney (2023), ‘Cash Use and Attitudes in Australia’, RBA Bulletin, June</w:t>
      </w:r>
      <w:r w:rsidR="000C6353">
        <w:t>.</w:t>
      </w:r>
    </w:p>
  </w:footnote>
  <w:footnote w:id="29">
    <w:p w14:paraId="4F5CBBF7" w14:textId="1A2E081D" w:rsidR="00D6574E" w:rsidRDefault="00D6574E">
      <w:pPr>
        <w:pStyle w:val="FootnoteText"/>
      </w:pPr>
      <w:r>
        <w:rPr>
          <w:rStyle w:val="FootnoteReference"/>
        </w:rPr>
        <w:footnoteRef/>
      </w:r>
      <w:r>
        <w:t xml:space="preserve"> </w:t>
      </w:r>
      <w:r w:rsidR="008D2252">
        <w:tab/>
      </w:r>
      <w:r w:rsidR="00C21CE3">
        <w:t xml:space="preserve">Australian Bureau of Statistics, </w:t>
      </w:r>
      <w:r w:rsidR="00C21CE3" w:rsidRPr="004A0394">
        <w:t>Australia’s Population by Country of Birth</w:t>
      </w:r>
      <w:r w:rsidR="00C21CE3">
        <w:t>, June 2023</w:t>
      </w:r>
    </w:p>
  </w:footnote>
  <w:footnote w:id="30">
    <w:p w14:paraId="427CA3C8" w14:textId="2C51D7AD" w:rsidR="0090333E" w:rsidRDefault="0090333E">
      <w:pPr>
        <w:pStyle w:val="FootnoteText"/>
      </w:pPr>
      <w:r>
        <w:rPr>
          <w:rStyle w:val="FootnoteReference"/>
        </w:rPr>
        <w:footnoteRef/>
      </w:r>
      <w:r>
        <w:t xml:space="preserve"> </w:t>
      </w:r>
      <w:r w:rsidR="008D2252">
        <w:tab/>
      </w:r>
      <w:r w:rsidR="00354A35" w:rsidRPr="00354A35">
        <w:t>Livermore T and J Mulqueeney (2023), ‘Cash Use and Attitudes in Australia’, RBA Bulletin, June</w:t>
      </w:r>
      <w:r w:rsidR="00354A35">
        <w:t>.</w:t>
      </w:r>
    </w:p>
  </w:footnote>
  <w:footnote w:id="31">
    <w:p w14:paraId="6429ED0F" w14:textId="3582C564" w:rsidR="00F653D4" w:rsidRDefault="00F653D4">
      <w:pPr>
        <w:pStyle w:val="FootnoteText"/>
      </w:pPr>
      <w:r>
        <w:rPr>
          <w:rStyle w:val="FootnoteReference"/>
        </w:rPr>
        <w:footnoteRef/>
      </w:r>
      <w:r>
        <w:t xml:space="preserve"> </w:t>
      </w:r>
      <w:r w:rsidR="00480E4C">
        <w:tab/>
        <w:t xml:space="preserve">This is consistent with the application of </w:t>
      </w:r>
      <w:r w:rsidR="00CE4CBE">
        <w:t>general</w:t>
      </w:r>
      <w:r w:rsidR="00480E4C">
        <w:t xml:space="preserve"> consumer protection provisions</w:t>
      </w:r>
      <w:r w:rsidR="00C324C6">
        <w:t xml:space="preserve">; see </w:t>
      </w:r>
      <w:r w:rsidR="006C392A">
        <w:t xml:space="preserve">sections </w:t>
      </w:r>
      <w:r w:rsidR="00543BF1">
        <w:t>2A, 2B</w:t>
      </w:r>
      <w:r w:rsidR="007D6353">
        <w:t>, 2BA</w:t>
      </w:r>
      <w:r w:rsidR="00B42F6A">
        <w:t xml:space="preserve"> and</w:t>
      </w:r>
      <w:r w:rsidR="007D6353">
        <w:t xml:space="preserve"> </w:t>
      </w:r>
      <w:r w:rsidR="000D66FB">
        <w:t>2C</w:t>
      </w:r>
      <w:r w:rsidR="00480E4C">
        <w:t xml:space="preserve"> of the </w:t>
      </w:r>
      <w:r w:rsidR="00AD1B16" w:rsidRPr="00AD1B16">
        <w:rPr>
          <w:i/>
          <w:iCs/>
        </w:rPr>
        <w:t>Competition and Consumer Act 2010</w:t>
      </w:r>
      <w:r w:rsidR="00AD1B16">
        <w:t xml:space="preserve"> (Cth) and section</w:t>
      </w:r>
      <w:r w:rsidR="00486C5A">
        <w:t xml:space="preserve"> 12AD of the </w:t>
      </w:r>
      <w:r w:rsidR="00486C5A" w:rsidRPr="004C5CBB">
        <w:rPr>
          <w:i/>
        </w:rPr>
        <w:t>Australian Securities and Invest</w:t>
      </w:r>
      <w:r w:rsidR="00082F9B" w:rsidRPr="004C5CBB">
        <w:rPr>
          <w:i/>
        </w:rPr>
        <w:t xml:space="preserve">ments Commission Act </w:t>
      </w:r>
      <w:r w:rsidR="004C5CBB" w:rsidRPr="004C5CBB">
        <w:rPr>
          <w:i/>
          <w:iCs/>
        </w:rPr>
        <w:t>2001</w:t>
      </w:r>
      <w:r w:rsidR="004C5CBB">
        <w:t xml:space="preserve"> (Cth).</w:t>
      </w:r>
    </w:p>
  </w:footnote>
  <w:footnote w:id="32">
    <w:p w14:paraId="5FEDDEC8" w14:textId="20A9D00A" w:rsidR="00414EC1" w:rsidRDefault="00414EC1">
      <w:pPr>
        <w:pStyle w:val="FootnoteText"/>
      </w:pPr>
      <w:r>
        <w:rPr>
          <w:rStyle w:val="FootnoteReference"/>
        </w:rPr>
        <w:footnoteRef/>
      </w:r>
      <w:r>
        <w:t xml:space="preserve"> </w:t>
      </w:r>
      <w:r>
        <w:tab/>
        <w:t xml:space="preserve">See the definition of ‘supply’ in section 4 of the </w:t>
      </w:r>
      <w:r w:rsidRPr="0042231C">
        <w:rPr>
          <w:i/>
          <w:iCs/>
        </w:rPr>
        <w:t>Competition and Consumer Act 2010</w:t>
      </w:r>
      <w:r>
        <w:t xml:space="preserve"> (Cht)</w:t>
      </w:r>
      <w:r w:rsidR="00CD3ABF">
        <w:t xml:space="preserve"> and </w:t>
      </w:r>
      <w:r w:rsidR="004266B6">
        <w:t xml:space="preserve">the definition of ‘supply’ in section </w:t>
      </w:r>
      <w:r w:rsidR="002971C1">
        <w:t xml:space="preserve">12BA of the </w:t>
      </w:r>
      <w:r w:rsidR="00F012F6" w:rsidRPr="00F012F6">
        <w:rPr>
          <w:i/>
          <w:iCs/>
        </w:rPr>
        <w:t>Australian Securities and Investments Commission Act 2001</w:t>
      </w:r>
      <w:r w:rsidR="00F012F6">
        <w:t xml:space="preserve"> (Cth</w:t>
      </w:r>
      <w:r>
        <w:t>)</w:t>
      </w:r>
      <w:r w:rsidR="0042231C">
        <w:t>.</w:t>
      </w:r>
    </w:p>
  </w:footnote>
  <w:footnote w:id="33">
    <w:p w14:paraId="4F9C73C9" w14:textId="6102731A" w:rsidR="0013510D" w:rsidRDefault="0013510D">
      <w:pPr>
        <w:pStyle w:val="FootnoteText"/>
      </w:pPr>
      <w:r>
        <w:rPr>
          <w:rStyle w:val="FootnoteReference"/>
        </w:rPr>
        <w:footnoteRef/>
      </w:r>
      <w:r>
        <w:t xml:space="preserve"> </w:t>
      </w:r>
      <w:r>
        <w:tab/>
        <w:t xml:space="preserve">See, for example, the </w:t>
      </w:r>
      <w:r w:rsidR="009F046C">
        <w:t xml:space="preserve">definition of ‘essential worker’ in </w:t>
      </w:r>
      <w:r w:rsidR="001E0192">
        <w:t xml:space="preserve">the </w:t>
      </w:r>
      <w:r w:rsidR="00904BC4">
        <w:t>Emergency Management (Stay at Home) (COVID-</w:t>
      </w:r>
      <w:r w:rsidR="00AE6F8D">
        <w:t xml:space="preserve">19) Direction 2020 made under </w:t>
      </w:r>
      <w:r w:rsidR="005C0423">
        <w:t xml:space="preserve">section </w:t>
      </w:r>
      <w:r w:rsidR="00514B79">
        <w:t xml:space="preserve">25 of </w:t>
      </w:r>
      <w:r w:rsidR="00AE6F8D">
        <w:t xml:space="preserve">the </w:t>
      </w:r>
      <w:r w:rsidR="00AE6F8D" w:rsidRPr="00514B79">
        <w:rPr>
          <w:i/>
          <w:iCs/>
        </w:rPr>
        <w:t>Emergency Management Act 2004</w:t>
      </w:r>
      <w:r w:rsidR="00AE6F8D">
        <w:t xml:space="preserve"> (</w:t>
      </w:r>
      <w:r w:rsidR="005C0423">
        <w:t>S</w:t>
      </w:r>
      <w:r w:rsidR="00AE6F8D">
        <w:t>A)</w:t>
      </w:r>
      <w:r w:rsidR="00514B79">
        <w:t>.</w:t>
      </w:r>
    </w:p>
  </w:footnote>
  <w:footnote w:id="34">
    <w:p w14:paraId="0B361252" w14:textId="77777777" w:rsidR="00D2651B" w:rsidRDefault="00D2651B" w:rsidP="00D2651B">
      <w:pPr>
        <w:pStyle w:val="FootnoteText"/>
      </w:pPr>
      <w:r>
        <w:rPr>
          <w:rStyle w:val="FootnoteReference"/>
        </w:rPr>
        <w:footnoteRef/>
      </w:r>
      <w:r w:rsidRPr="00B97247">
        <w:rPr>
          <w:rFonts w:asciiTheme="minorHAnsi" w:hAnsiTheme="minorHAnsi" w:cstheme="minorHAnsi"/>
        </w:rPr>
        <w:tab/>
      </w:r>
      <w:r w:rsidRPr="002A5A03">
        <w:rPr>
          <w:i/>
        </w:rPr>
        <w:t>Essential Services Act 1988</w:t>
      </w:r>
      <w:r>
        <w:t xml:space="preserve"> (NSW) and </w:t>
      </w:r>
      <w:r w:rsidRPr="002A5A03">
        <w:rPr>
          <w:i/>
        </w:rPr>
        <w:t>Essential Services Act 1958</w:t>
      </w:r>
      <w:r>
        <w:t xml:space="preserve"> (VIC) </w:t>
      </w:r>
    </w:p>
  </w:footnote>
  <w:footnote w:id="35">
    <w:p w14:paraId="73910682" w14:textId="34528421" w:rsidR="00D47C0D" w:rsidRDefault="00D47C0D" w:rsidP="006366DA">
      <w:pPr>
        <w:pStyle w:val="FootnoteText"/>
      </w:pPr>
      <w:r>
        <w:rPr>
          <w:rStyle w:val="FootnoteReference"/>
        </w:rPr>
        <w:footnoteRef/>
      </w:r>
      <w:r w:rsidR="006366DA" w:rsidRPr="00B97247">
        <w:rPr>
          <w:rFonts w:asciiTheme="minorHAnsi" w:hAnsiTheme="minorHAnsi" w:cstheme="minorHAnsi"/>
        </w:rPr>
        <w:tab/>
      </w:r>
      <w:r w:rsidR="0064319A">
        <w:t xml:space="preserve">See </w:t>
      </w:r>
      <w:r w:rsidR="00642058">
        <w:t xml:space="preserve">Australian Bureau of statistics, </w:t>
      </w:r>
      <w:r w:rsidR="0064319A">
        <w:t>Measuring Non-discretionary and Discretionary Inflation</w:t>
      </w:r>
      <w:r w:rsidR="00642058">
        <w:t xml:space="preserve">, </w:t>
      </w:r>
      <w:r w:rsidR="00A72086">
        <w:t xml:space="preserve">released 25 May 2021, accessed 10 November 2024 at: </w:t>
      </w:r>
      <w:hyperlink r:id="rId2" w:history="1">
        <w:r w:rsidR="00801CA1" w:rsidRPr="002F309C">
          <w:rPr>
            <w:rStyle w:val="Hyperlink"/>
          </w:rPr>
          <w:t>https://www.abs.gov.au/articles/measuring-non-discretionary-and-discretionary-inflation</w:t>
        </w:r>
      </w:hyperlink>
      <w:r w:rsidR="00801CA1">
        <w:t>.</w:t>
      </w:r>
    </w:p>
  </w:footnote>
  <w:footnote w:id="36">
    <w:p w14:paraId="052AF051" w14:textId="10BD3AFB" w:rsidR="00215293" w:rsidRDefault="00215293">
      <w:pPr>
        <w:pStyle w:val="FootnoteText"/>
      </w:pPr>
      <w:r>
        <w:rPr>
          <w:rStyle w:val="FootnoteReference"/>
        </w:rPr>
        <w:footnoteRef/>
      </w:r>
      <w:r>
        <w:t xml:space="preserve"> </w:t>
      </w:r>
      <w:r>
        <w:tab/>
      </w:r>
      <w:r w:rsidR="00E25510" w:rsidRPr="00E25510">
        <w:t xml:space="preserve">See Australian Bureau of statistics, Measuring Non-discretionary and Discretionary Inflation, released 25 May 2021, accessed 10 November 2024 at: </w:t>
      </w:r>
      <w:hyperlink r:id="rId3" w:history="1">
        <w:r w:rsidR="00E25510" w:rsidRPr="00994E36">
          <w:rPr>
            <w:rStyle w:val="Hyperlink"/>
          </w:rPr>
          <w:t>https://www.abs.gov.au/articles/measuring-non-discretionary-and-discretionary-inflation</w:t>
        </w:r>
      </w:hyperlink>
      <w:r w:rsidR="00E25510" w:rsidRPr="00E25510">
        <w:t>.</w:t>
      </w:r>
      <w:r w:rsidR="00E25510">
        <w:t xml:space="preserve"> </w:t>
      </w:r>
    </w:p>
  </w:footnote>
  <w:footnote w:id="37">
    <w:p w14:paraId="51349954" w14:textId="54AC538E" w:rsidR="00D2651B" w:rsidRDefault="00D2651B" w:rsidP="00D2651B">
      <w:pPr>
        <w:pStyle w:val="FootnoteText"/>
      </w:pPr>
      <w:r>
        <w:rPr>
          <w:rStyle w:val="FootnoteReference"/>
        </w:rPr>
        <w:footnoteRef/>
      </w:r>
      <w:r w:rsidRPr="00B97247">
        <w:rPr>
          <w:rFonts w:asciiTheme="minorHAnsi" w:hAnsiTheme="minorHAnsi" w:cstheme="minorHAnsi"/>
        </w:rPr>
        <w:tab/>
      </w:r>
      <w:r w:rsidR="00712BAA" w:rsidRPr="006366DA">
        <w:rPr>
          <w:rFonts w:cs="Calibri Light"/>
        </w:rPr>
        <w:t xml:space="preserve">See </w:t>
      </w:r>
      <w:r w:rsidR="000B02BC" w:rsidRPr="000B02BC">
        <w:t>Melbourne Institute, Household Expenditure Measure</w:t>
      </w:r>
      <w:r w:rsidR="00265B64">
        <w:t xml:space="preserve">, accessed </w:t>
      </w:r>
      <w:r w:rsidR="00B640D6">
        <w:t>10 November 2024</w:t>
      </w:r>
      <w:r w:rsidR="00A07A07">
        <w:t xml:space="preserve"> at</w:t>
      </w:r>
      <w:r w:rsidR="000B02BC" w:rsidRPr="000B02BC">
        <w:t xml:space="preserve"> </w:t>
      </w:r>
      <w:hyperlink r:id="rId4" w:history="1">
        <w:r w:rsidR="004F6393" w:rsidRPr="002F309C">
          <w:rPr>
            <w:rStyle w:val="Hyperlink"/>
          </w:rPr>
          <w:t>https://melbourneinstitute.unimelb.edu.au/publications/social-indicator-reports</w:t>
        </w:r>
      </w:hyperlink>
    </w:p>
  </w:footnote>
  <w:footnote w:id="38">
    <w:p w14:paraId="27B1DC40" w14:textId="6F9F2BDB" w:rsidR="00EB1C56" w:rsidRDefault="00EB1C56">
      <w:pPr>
        <w:pStyle w:val="FootnoteText"/>
      </w:pPr>
      <w:r>
        <w:rPr>
          <w:rStyle w:val="FootnoteReference"/>
        </w:rPr>
        <w:footnoteRef/>
      </w:r>
      <w:r>
        <w:t xml:space="preserve"> </w:t>
      </w:r>
      <w:r>
        <w:tab/>
      </w:r>
      <w:r w:rsidR="00A01C78">
        <w:t xml:space="preserve">In the case where </w:t>
      </w:r>
      <w:r w:rsidR="00A01C78" w:rsidRPr="00A01C78">
        <w:t>C</w:t>
      </w:r>
      <w:r w:rsidR="00A01C78">
        <w:t xml:space="preserve">ompulsory </w:t>
      </w:r>
      <w:r w:rsidR="00A01C78" w:rsidRPr="00A01C78">
        <w:t>T</w:t>
      </w:r>
      <w:r w:rsidR="00A01C78">
        <w:t xml:space="preserve">hird </w:t>
      </w:r>
      <w:r w:rsidR="00A01C78" w:rsidRPr="00A01C78">
        <w:t>P</w:t>
      </w:r>
      <w:r w:rsidR="00A01C78">
        <w:t xml:space="preserve">arty </w:t>
      </w:r>
      <w:r w:rsidR="00A01C78" w:rsidRPr="00A01C78">
        <w:t xml:space="preserve">insurance is unbundled from </w:t>
      </w:r>
      <w:r w:rsidR="004D2814">
        <w:t xml:space="preserve">vehicle </w:t>
      </w:r>
      <w:r w:rsidR="00A01C78" w:rsidRPr="00A01C78">
        <w:t>registration</w:t>
      </w:r>
      <w:r w:rsidR="004D2814">
        <w:t xml:space="preserve"> and paid separately.</w:t>
      </w:r>
    </w:p>
  </w:footnote>
  <w:footnote w:id="39">
    <w:p w14:paraId="7C88D74A" w14:textId="5D45BDC1" w:rsidR="00F35BA0" w:rsidRDefault="00F35BA0">
      <w:pPr>
        <w:pStyle w:val="FootnoteText"/>
      </w:pPr>
      <w:r>
        <w:rPr>
          <w:rStyle w:val="FootnoteReference"/>
        </w:rPr>
        <w:footnoteRef/>
      </w:r>
      <w:r>
        <w:t xml:space="preserve"> </w:t>
      </w:r>
      <w:r w:rsidR="000B1186">
        <w:tab/>
        <w:t xml:space="preserve">See the definition of ‘consumer’ in section 4 of the </w:t>
      </w:r>
      <w:r w:rsidR="000B1186" w:rsidRPr="000B1186">
        <w:rPr>
          <w:i/>
          <w:iCs/>
        </w:rPr>
        <w:t>Competition and Consumer Act 2010</w:t>
      </w:r>
      <w:r w:rsidR="000B1186">
        <w:t xml:space="preserve"> (Cth)</w:t>
      </w:r>
      <w:r w:rsidR="00BD193D">
        <w:t>,</w:t>
      </w:r>
      <w:r w:rsidR="00F16983">
        <w:t xml:space="preserve"> as modified by regulation 77A in the </w:t>
      </w:r>
      <w:r w:rsidR="00F16983" w:rsidRPr="00F16983">
        <w:t>Competition and Consumer Regulations</w:t>
      </w:r>
      <w:r w:rsidR="00A25892">
        <w:t xml:space="preserve"> 2010 (Cth</w:t>
      </w:r>
      <w:r w:rsidR="000B1186">
        <w:t>).</w:t>
      </w:r>
    </w:p>
  </w:footnote>
  <w:footnote w:id="40">
    <w:p w14:paraId="27AEA613" w14:textId="2BB7036C" w:rsidR="004C0361" w:rsidRDefault="004C0361" w:rsidP="004C0361">
      <w:pPr>
        <w:pStyle w:val="FootnoteText"/>
      </w:pPr>
      <w:r>
        <w:rPr>
          <w:rStyle w:val="FootnoteReference"/>
        </w:rPr>
        <w:footnoteRef/>
      </w:r>
      <w:r>
        <w:t xml:space="preserve"> </w:t>
      </w:r>
      <w:r>
        <w:tab/>
        <w:t>See the definition of “aggregated turnover”, “connected with” and “affiliate” in, respectively, sections 328</w:t>
      </w:r>
      <w:r w:rsidR="00E614CB">
        <w:noBreakHyphen/>
      </w:r>
      <w:r>
        <w:t xml:space="preserve">115, 328-125 and 328-130  of the </w:t>
      </w:r>
      <w:r w:rsidRPr="004E311A">
        <w:rPr>
          <w:i/>
          <w:iCs/>
        </w:rPr>
        <w:t>Income Tax Assessment Act 1997</w:t>
      </w:r>
      <w:r>
        <w:t xml:space="preserve"> (Cth).</w:t>
      </w:r>
    </w:p>
  </w:footnote>
  <w:footnote w:id="41">
    <w:p w14:paraId="13ADD9BD" w14:textId="7F0BA58F" w:rsidR="005631A0" w:rsidRDefault="005631A0">
      <w:pPr>
        <w:pStyle w:val="FootnoteText"/>
      </w:pPr>
      <w:r>
        <w:rPr>
          <w:rStyle w:val="FootnoteReference"/>
        </w:rPr>
        <w:footnoteRef/>
      </w:r>
      <w:r>
        <w:t xml:space="preserve"> </w:t>
      </w:r>
      <w:r w:rsidR="002B359F">
        <w:tab/>
        <w:t xml:space="preserve">See </w:t>
      </w:r>
      <w:r w:rsidR="002B2B33">
        <w:t xml:space="preserve">the definition of </w:t>
      </w:r>
      <w:r w:rsidR="00FC597C">
        <w:t>“small business entity”</w:t>
      </w:r>
      <w:r w:rsidR="000C071F">
        <w:t xml:space="preserve"> </w:t>
      </w:r>
      <w:r w:rsidR="008371AE">
        <w:t>in</w:t>
      </w:r>
      <w:r w:rsidR="000C071F">
        <w:t xml:space="preserve"> </w:t>
      </w:r>
      <w:r w:rsidR="002B359F">
        <w:t>section</w:t>
      </w:r>
      <w:r w:rsidR="00FC597C">
        <w:t>s</w:t>
      </w:r>
      <w:r w:rsidR="002B359F">
        <w:t xml:space="preserve"> 328</w:t>
      </w:r>
      <w:r w:rsidR="000C071F">
        <w:t>-</w:t>
      </w:r>
      <w:r w:rsidR="002B359F">
        <w:t>110</w:t>
      </w:r>
      <w:r w:rsidR="000C071F">
        <w:t xml:space="preserve"> </w:t>
      </w:r>
      <w:r w:rsidR="002B359F">
        <w:t xml:space="preserve">of the </w:t>
      </w:r>
      <w:r w:rsidR="002B359F" w:rsidRPr="004E311A">
        <w:rPr>
          <w:i/>
          <w:iCs/>
        </w:rPr>
        <w:t>Income Tax Assessment Act 1997</w:t>
      </w:r>
      <w:r w:rsidR="002B359F">
        <w:t xml:space="preserve"> (Cth)</w:t>
      </w:r>
      <w:r w:rsidR="004E311A">
        <w:t>.</w:t>
      </w:r>
    </w:p>
  </w:footnote>
  <w:footnote w:id="42">
    <w:p w14:paraId="758BAFD7" w14:textId="77777777" w:rsidR="00955562" w:rsidRDefault="00955562" w:rsidP="00955562">
      <w:pPr>
        <w:pStyle w:val="FootnoteText"/>
      </w:pPr>
      <w:r>
        <w:rPr>
          <w:rStyle w:val="FootnoteReference"/>
        </w:rPr>
        <w:footnoteRef/>
      </w:r>
      <w:r>
        <w:t xml:space="preserve"> </w:t>
      </w:r>
      <w:r w:rsidRPr="00B97247">
        <w:rPr>
          <w:rFonts w:asciiTheme="minorHAnsi" w:hAnsiTheme="minorHAnsi" w:cstheme="minorHAnsi"/>
        </w:rPr>
        <w:tab/>
      </w:r>
      <w:r>
        <w:t>Australian Bureau of Statistics, Counts of Australian Businesses, including Entries and Exits, June 2019 to June 2023</w:t>
      </w:r>
    </w:p>
  </w:footnote>
  <w:footnote w:id="43">
    <w:p w14:paraId="12BE5FCE" w14:textId="42A82D27" w:rsidR="00AF584E" w:rsidRDefault="00AF584E">
      <w:pPr>
        <w:pStyle w:val="FootnoteText"/>
      </w:pPr>
      <w:r>
        <w:rPr>
          <w:rStyle w:val="FootnoteReference"/>
        </w:rPr>
        <w:footnoteRef/>
      </w:r>
      <w:r>
        <w:t xml:space="preserve"> </w:t>
      </w:r>
      <w:r>
        <w:tab/>
      </w:r>
      <w:r w:rsidR="00DB7055">
        <w:t xml:space="preserve">An example of </w:t>
      </w:r>
      <w:r w:rsidR="008A4083">
        <w:t xml:space="preserve">private enforcement is the </w:t>
      </w:r>
      <w:r w:rsidR="005D145C">
        <w:t>Australian Law Reform Commission</w:t>
      </w:r>
      <w:r w:rsidR="008A4083">
        <w:t>’s</w:t>
      </w:r>
      <w:r w:rsidR="005D145C">
        <w:t xml:space="preserve"> propos</w:t>
      </w:r>
      <w:r w:rsidR="008A4083">
        <w:t xml:space="preserve">al to create </w:t>
      </w:r>
      <w:r w:rsidR="003C5C20">
        <w:t xml:space="preserve">a civil cause </w:t>
      </w:r>
      <w:r w:rsidR="005D145C">
        <w:t xml:space="preserve">d </w:t>
      </w:r>
      <w:r w:rsidR="003C5C20">
        <w:t xml:space="preserve">action for serious invasion of privacy: see </w:t>
      </w:r>
      <w:r w:rsidR="00CE78C2">
        <w:t>Australian Law Reform Commission</w:t>
      </w:r>
      <w:r w:rsidR="00827CE7">
        <w:t xml:space="preserve">, Serious Invasions of Privacy in the Digital Era, </w:t>
      </w:r>
      <w:r w:rsidR="00D92038">
        <w:t>3 September 2014</w:t>
      </w:r>
      <w:r w:rsidR="00DB7055" w:rsidRPr="00DB7055">
        <w:t>.</w:t>
      </w:r>
      <w:r w:rsidR="002A5DDE">
        <w:t xml:space="preserve"> The Government has agreed</w:t>
      </w:r>
      <w:r w:rsidR="00CC34F1">
        <w:t xml:space="preserve">-in-principle to the </w:t>
      </w:r>
      <w:r w:rsidR="006B1B97">
        <w:t>proposal.</w:t>
      </w:r>
    </w:p>
  </w:footnote>
  <w:footnote w:id="44">
    <w:p w14:paraId="4AA55C9A" w14:textId="77777777" w:rsidR="00AC6D94" w:rsidRDefault="00AC6D94" w:rsidP="00AC6D94">
      <w:pPr>
        <w:pStyle w:val="FootnoteText"/>
      </w:pPr>
      <w:r>
        <w:rPr>
          <w:rStyle w:val="FootnoteReference"/>
        </w:rPr>
        <w:footnoteRef/>
      </w:r>
      <w:r>
        <w:t xml:space="preserve"> </w:t>
      </w:r>
      <w:r>
        <w:tab/>
        <w:t>ACCC, Release 78/24:</w:t>
      </w:r>
      <w:r w:rsidRPr="00BB359E">
        <w:t xml:space="preserve"> </w:t>
      </w:r>
      <w:r>
        <w:t>I</w:t>
      </w:r>
      <w:r w:rsidRPr="00283453">
        <w:t>nterim</w:t>
      </w:r>
      <w:r w:rsidRPr="00BB359E">
        <w:t xml:space="preserve"> authorisation</w:t>
      </w:r>
      <w:r w:rsidRPr="00283453">
        <w:t xml:space="preserve"> </w:t>
      </w:r>
      <w:r w:rsidRPr="00BB359E">
        <w:t>to</w:t>
      </w:r>
      <w:r w:rsidRPr="00283453">
        <w:t xml:space="preserve"> ABA,</w:t>
      </w:r>
      <w:r w:rsidRPr="00BB359E">
        <w:t xml:space="preserve"> banks</w:t>
      </w:r>
      <w:r w:rsidRPr="00283453">
        <w:t xml:space="preserve"> </w:t>
      </w:r>
      <w:r w:rsidRPr="00BB359E">
        <w:t>and</w:t>
      </w:r>
      <w:r w:rsidRPr="00283453">
        <w:t xml:space="preserve"> </w:t>
      </w:r>
      <w:r w:rsidRPr="00BB359E">
        <w:t>retailers</w:t>
      </w:r>
      <w:r w:rsidRPr="00283453">
        <w:t xml:space="preserve"> </w:t>
      </w:r>
      <w:r w:rsidRPr="00BB359E">
        <w:t>to</w:t>
      </w:r>
      <w:r w:rsidRPr="00283453">
        <w:t xml:space="preserve"> </w:t>
      </w:r>
      <w:r w:rsidRPr="00BB359E">
        <w:t>financially</w:t>
      </w:r>
      <w:r w:rsidRPr="00283453">
        <w:t xml:space="preserve"> </w:t>
      </w:r>
      <w:r w:rsidRPr="00BB359E">
        <w:t>support</w:t>
      </w:r>
      <w:r w:rsidRPr="00283453">
        <w:t xml:space="preserve"> Armaguard</w:t>
      </w:r>
      <w:r>
        <w:t>, July 2024</w:t>
      </w:r>
    </w:p>
  </w:footnote>
  <w:footnote w:id="45">
    <w:p w14:paraId="22241A6E" w14:textId="77777777" w:rsidR="00AD036B" w:rsidRDefault="00AD036B" w:rsidP="00AD036B">
      <w:pPr>
        <w:pStyle w:val="FootnoteText"/>
      </w:pPr>
      <w:r>
        <w:rPr>
          <w:rStyle w:val="FootnoteReference"/>
        </w:rPr>
        <w:footnoteRef/>
      </w:r>
      <w:r>
        <w:t xml:space="preserve"> </w:t>
      </w:r>
      <w:r>
        <w:tab/>
        <w:t xml:space="preserve">ACCC, Release 60/2023: </w:t>
      </w:r>
      <w:r w:rsidRPr="00831793">
        <w:t>ACCC authorises Armaguard and Prosegur's merger, subject to undertaking</w:t>
      </w:r>
      <w:r>
        <w:t>, June 2023</w:t>
      </w:r>
    </w:p>
  </w:footnote>
  <w:footnote w:id="46">
    <w:p w14:paraId="24745FAC" w14:textId="77777777" w:rsidR="00AC6D94" w:rsidRDefault="00AC6D94" w:rsidP="00AC6D94">
      <w:pPr>
        <w:pStyle w:val="FootnoteText"/>
      </w:pPr>
      <w:r>
        <w:rPr>
          <w:rStyle w:val="FootnoteReference"/>
        </w:rPr>
        <w:footnoteRef/>
      </w:r>
      <w:r>
        <w:t xml:space="preserve"> </w:t>
      </w:r>
      <w:r>
        <w:tab/>
        <w:t>ACCC, Release 78/24: I</w:t>
      </w:r>
      <w:r w:rsidRPr="00283453">
        <w:t>nterim authorisation to ABA, banks and retailers to financially support Armaguard</w:t>
      </w:r>
      <w:r>
        <w:t>, July 2024</w:t>
      </w:r>
    </w:p>
  </w:footnote>
  <w:footnote w:id="47">
    <w:p w14:paraId="1211B116" w14:textId="5E44BB5B" w:rsidR="008E51AC" w:rsidRDefault="008E51AC">
      <w:pPr>
        <w:pStyle w:val="FootnoteText"/>
      </w:pPr>
      <w:r>
        <w:rPr>
          <w:rStyle w:val="FootnoteReference"/>
        </w:rPr>
        <w:footnoteRef/>
      </w:r>
      <w:r>
        <w:t xml:space="preserve"> </w:t>
      </w:r>
      <w:r>
        <w:tab/>
      </w:r>
      <w:r w:rsidR="003F3076">
        <w:t>See, for example, Reserve Bank of Australia, The Cash Use Cycle in Australia, Bulletin, March 2023 for analysis of cash use, access and acceptance.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385FED"/>
    <w:multiLevelType w:val="hybridMultilevel"/>
    <w:tmpl w:val="996425B0"/>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ascii="Calibri Light" w:eastAsia="Times New Roman" w:hAnsi="Calibri Light" w:cs="Times New Roman"/>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611371"/>
    <w:multiLevelType w:val="hybridMultilevel"/>
    <w:tmpl w:val="2446193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5" w15:restartNumberingAfterBreak="0">
    <w:nsid w:val="18BC1C9D"/>
    <w:multiLevelType w:val="multilevel"/>
    <w:tmpl w:val="D40EA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3C7100"/>
    <w:multiLevelType w:val="hybridMultilevel"/>
    <w:tmpl w:val="996425B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DD02E6A"/>
    <w:multiLevelType w:val="hybridMultilevel"/>
    <w:tmpl w:val="A55C36D2"/>
    <w:lvl w:ilvl="0" w:tplc="A4BEAC2E">
      <w:start w:val="1"/>
      <w:numFmt w:val="bullet"/>
      <w:lvlText w:val=""/>
      <w:lvlJc w:val="left"/>
      <w:pPr>
        <w:ind w:left="1020" w:hanging="360"/>
      </w:pPr>
      <w:rPr>
        <w:rFonts w:ascii="Symbol" w:hAnsi="Symbol"/>
      </w:rPr>
    </w:lvl>
    <w:lvl w:ilvl="1" w:tplc="D7849B56">
      <w:start w:val="1"/>
      <w:numFmt w:val="bullet"/>
      <w:lvlText w:val=""/>
      <w:lvlJc w:val="left"/>
      <w:pPr>
        <w:ind w:left="1020" w:hanging="360"/>
      </w:pPr>
      <w:rPr>
        <w:rFonts w:ascii="Symbol" w:hAnsi="Symbol"/>
      </w:rPr>
    </w:lvl>
    <w:lvl w:ilvl="2" w:tplc="97700844">
      <w:start w:val="1"/>
      <w:numFmt w:val="bullet"/>
      <w:lvlText w:val=""/>
      <w:lvlJc w:val="left"/>
      <w:pPr>
        <w:ind w:left="1020" w:hanging="360"/>
      </w:pPr>
      <w:rPr>
        <w:rFonts w:ascii="Symbol" w:hAnsi="Symbol"/>
      </w:rPr>
    </w:lvl>
    <w:lvl w:ilvl="3" w:tplc="7682C114">
      <w:start w:val="1"/>
      <w:numFmt w:val="bullet"/>
      <w:lvlText w:val=""/>
      <w:lvlJc w:val="left"/>
      <w:pPr>
        <w:ind w:left="1020" w:hanging="360"/>
      </w:pPr>
      <w:rPr>
        <w:rFonts w:ascii="Symbol" w:hAnsi="Symbol"/>
      </w:rPr>
    </w:lvl>
    <w:lvl w:ilvl="4" w:tplc="9DF687CC">
      <w:start w:val="1"/>
      <w:numFmt w:val="bullet"/>
      <w:lvlText w:val=""/>
      <w:lvlJc w:val="left"/>
      <w:pPr>
        <w:ind w:left="1020" w:hanging="360"/>
      </w:pPr>
      <w:rPr>
        <w:rFonts w:ascii="Symbol" w:hAnsi="Symbol"/>
      </w:rPr>
    </w:lvl>
    <w:lvl w:ilvl="5" w:tplc="30A0F96C">
      <w:start w:val="1"/>
      <w:numFmt w:val="bullet"/>
      <w:lvlText w:val=""/>
      <w:lvlJc w:val="left"/>
      <w:pPr>
        <w:ind w:left="1020" w:hanging="360"/>
      </w:pPr>
      <w:rPr>
        <w:rFonts w:ascii="Symbol" w:hAnsi="Symbol"/>
      </w:rPr>
    </w:lvl>
    <w:lvl w:ilvl="6" w:tplc="443ACE5A">
      <w:start w:val="1"/>
      <w:numFmt w:val="bullet"/>
      <w:lvlText w:val=""/>
      <w:lvlJc w:val="left"/>
      <w:pPr>
        <w:ind w:left="1020" w:hanging="360"/>
      </w:pPr>
      <w:rPr>
        <w:rFonts w:ascii="Symbol" w:hAnsi="Symbol"/>
      </w:rPr>
    </w:lvl>
    <w:lvl w:ilvl="7" w:tplc="0156A8A8">
      <w:start w:val="1"/>
      <w:numFmt w:val="bullet"/>
      <w:lvlText w:val=""/>
      <w:lvlJc w:val="left"/>
      <w:pPr>
        <w:ind w:left="1020" w:hanging="360"/>
      </w:pPr>
      <w:rPr>
        <w:rFonts w:ascii="Symbol" w:hAnsi="Symbol"/>
      </w:rPr>
    </w:lvl>
    <w:lvl w:ilvl="8" w:tplc="DC3A2C14">
      <w:start w:val="1"/>
      <w:numFmt w:val="bullet"/>
      <w:lvlText w:val=""/>
      <w:lvlJc w:val="left"/>
      <w:pPr>
        <w:ind w:left="1020" w:hanging="360"/>
      </w:pPr>
      <w:rPr>
        <w:rFonts w:ascii="Symbol" w:hAnsi="Symbol"/>
      </w:rPr>
    </w:lvl>
  </w:abstractNum>
  <w:abstractNum w:abstractNumId="9" w15:restartNumberingAfterBreak="0">
    <w:nsid w:val="2F9F173C"/>
    <w:multiLevelType w:val="hybridMultilevel"/>
    <w:tmpl w:val="907A1C54"/>
    <w:lvl w:ilvl="0" w:tplc="996EAFAA">
      <w:numFmt w:val="bullet"/>
      <w:lvlText w:val="-"/>
      <w:lvlJc w:val="left"/>
      <w:pPr>
        <w:ind w:left="880" w:hanging="360"/>
      </w:pPr>
      <w:rPr>
        <w:rFonts w:ascii="Calibri Light" w:eastAsia="Times New Roman" w:hAnsi="Calibri Light" w:cs="Calibri Light" w:hint="default"/>
      </w:rPr>
    </w:lvl>
    <w:lvl w:ilvl="1" w:tplc="0C090003" w:tentative="1">
      <w:start w:val="1"/>
      <w:numFmt w:val="bullet"/>
      <w:lvlText w:val="o"/>
      <w:lvlJc w:val="left"/>
      <w:pPr>
        <w:ind w:left="1600" w:hanging="360"/>
      </w:pPr>
      <w:rPr>
        <w:rFonts w:ascii="Courier New" w:hAnsi="Courier New" w:cs="Courier New" w:hint="default"/>
      </w:rPr>
    </w:lvl>
    <w:lvl w:ilvl="2" w:tplc="0C090005" w:tentative="1">
      <w:start w:val="1"/>
      <w:numFmt w:val="bullet"/>
      <w:lvlText w:val=""/>
      <w:lvlJc w:val="left"/>
      <w:pPr>
        <w:ind w:left="2320" w:hanging="360"/>
      </w:pPr>
      <w:rPr>
        <w:rFonts w:ascii="Wingdings" w:hAnsi="Wingdings" w:hint="default"/>
      </w:rPr>
    </w:lvl>
    <w:lvl w:ilvl="3" w:tplc="0C090001" w:tentative="1">
      <w:start w:val="1"/>
      <w:numFmt w:val="bullet"/>
      <w:lvlText w:val=""/>
      <w:lvlJc w:val="left"/>
      <w:pPr>
        <w:ind w:left="3040" w:hanging="360"/>
      </w:pPr>
      <w:rPr>
        <w:rFonts w:ascii="Symbol" w:hAnsi="Symbol" w:hint="default"/>
      </w:rPr>
    </w:lvl>
    <w:lvl w:ilvl="4" w:tplc="0C090003" w:tentative="1">
      <w:start w:val="1"/>
      <w:numFmt w:val="bullet"/>
      <w:lvlText w:val="o"/>
      <w:lvlJc w:val="left"/>
      <w:pPr>
        <w:ind w:left="3760" w:hanging="360"/>
      </w:pPr>
      <w:rPr>
        <w:rFonts w:ascii="Courier New" w:hAnsi="Courier New" w:cs="Courier New" w:hint="default"/>
      </w:rPr>
    </w:lvl>
    <w:lvl w:ilvl="5" w:tplc="0C090005" w:tentative="1">
      <w:start w:val="1"/>
      <w:numFmt w:val="bullet"/>
      <w:lvlText w:val=""/>
      <w:lvlJc w:val="left"/>
      <w:pPr>
        <w:ind w:left="4480" w:hanging="360"/>
      </w:pPr>
      <w:rPr>
        <w:rFonts w:ascii="Wingdings" w:hAnsi="Wingdings" w:hint="default"/>
      </w:rPr>
    </w:lvl>
    <w:lvl w:ilvl="6" w:tplc="0C090001" w:tentative="1">
      <w:start w:val="1"/>
      <w:numFmt w:val="bullet"/>
      <w:lvlText w:val=""/>
      <w:lvlJc w:val="left"/>
      <w:pPr>
        <w:ind w:left="5200" w:hanging="360"/>
      </w:pPr>
      <w:rPr>
        <w:rFonts w:ascii="Symbol" w:hAnsi="Symbol" w:hint="default"/>
      </w:rPr>
    </w:lvl>
    <w:lvl w:ilvl="7" w:tplc="0C090003" w:tentative="1">
      <w:start w:val="1"/>
      <w:numFmt w:val="bullet"/>
      <w:lvlText w:val="o"/>
      <w:lvlJc w:val="left"/>
      <w:pPr>
        <w:ind w:left="5920" w:hanging="360"/>
      </w:pPr>
      <w:rPr>
        <w:rFonts w:ascii="Courier New" w:hAnsi="Courier New" w:cs="Courier New" w:hint="default"/>
      </w:rPr>
    </w:lvl>
    <w:lvl w:ilvl="8" w:tplc="0C090005" w:tentative="1">
      <w:start w:val="1"/>
      <w:numFmt w:val="bullet"/>
      <w:lvlText w:val=""/>
      <w:lvlJc w:val="left"/>
      <w:pPr>
        <w:ind w:left="6640" w:hanging="360"/>
      </w:pPr>
      <w:rPr>
        <w:rFonts w:ascii="Wingdings" w:hAnsi="Wingdings" w:hint="default"/>
      </w:rPr>
    </w:lvl>
  </w:abstractNum>
  <w:abstractNum w:abstractNumId="10" w15:restartNumberingAfterBreak="0">
    <w:nsid w:val="3238442C"/>
    <w:multiLevelType w:val="multilevel"/>
    <w:tmpl w:val="9CE0EBAE"/>
    <w:styleLink w:val="ChartandTableFootnoteAlpha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C972FB8"/>
    <w:multiLevelType w:val="hybridMultilevel"/>
    <w:tmpl w:val="996425B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9755CA"/>
    <w:multiLevelType w:val="multilevel"/>
    <w:tmpl w:val="5ED8E332"/>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94F1F7E"/>
    <w:multiLevelType w:val="hybridMultilevel"/>
    <w:tmpl w:val="44725BAE"/>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580C9B"/>
    <w:multiLevelType w:val="hybridMultilevel"/>
    <w:tmpl w:val="2446193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10D2021"/>
    <w:multiLevelType w:val="multilevel"/>
    <w:tmpl w:val="72F8140E"/>
    <w:numStyleLink w:val="OutlineList"/>
  </w:abstractNum>
  <w:abstractNum w:abstractNumId="17" w15:restartNumberingAfterBreak="0">
    <w:nsid w:val="5554438C"/>
    <w:multiLevelType w:val="hybridMultilevel"/>
    <w:tmpl w:val="726E6650"/>
    <w:lvl w:ilvl="0" w:tplc="BD3AF556">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3450D8"/>
    <w:multiLevelType w:val="multilevel"/>
    <w:tmpl w:val="6398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BE4C30"/>
    <w:multiLevelType w:val="multilevel"/>
    <w:tmpl w:val="42C03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DC42CF"/>
    <w:multiLevelType w:val="hybridMultilevel"/>
    <w:tmpl w:val="996425B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89E559A"/>
    <w:multiLevelType w:val="multilevel"/>
    <w:tmpl w:val="8030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222669"/>
    <w:multiLevelType w:val="hybridMultilevel"/>
    <w:tmpl w:val="730874C0"/>
    <w:lvl w:ilvl="0" w:tplc="868C106E">
      <w:start w:val="1"/>
      <w:numFmt w:val="decimal"/>
      <w:lvlText w:val="%1."/>
      <w:lvlJc w:val="left"/>
      <w:pPr>
        <w:ind w:left="720" w:hanging="360"/>
      </w:pPr>
      <w:rPr>
        <w:rFonts w:hint="default"/>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3A56347"/>
    <w:multiLevelType w:val="hybridMultilevel"/>
    <w:tmpl w:val="996425B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64A3D0F"/>
    <w:multiLevelType w:val="hybridMultilevel"/>
    <w:tmpl w:val="A544BCFA"/>
    <w:lvl w:ilvl="0" w:tplc="B40CBDD6">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D6B5224"/>
    <w:multiLevelType w:val="multilevel"/>
    <w:tmpl w:val="57000EF8"/>
    <w:lvl w:ilvl="0">
      <w:start w:val="1"/>
      <w:numFmt w:val="bullet"/>
      <w:lvlText w:val="•"/>
      <w:lvlJc w:val="left"/>
      <w:pPr>
        <w:tabs>
          <w:tab w:val="num" w:pos="1940"/>
        </w:tabs>
        <w:ind w:left="1940" w:hanging="520"/>
      </w:pPr>
      <w:rPr>
        <w:rFonts w:ascii="Times New Roman" w:hAnsi="Times New Roman" w:cs="Times New Roman"/>
        <w:color w:val="auto"/>
      </w:rPr>
    </w:lvl>
    <w:lvl w:ilvl="1">
      <w:start w:val="1"/>
      <w:numFmt w:val="bullet"/>
      <w:lvlText w:val="–"/>
      <w:lvlJc w:val="left"/>
      <w:pPr>
        <w:tabs>
          <w:tab w:val="num" w:pos="2460"/>
        </w:tabs>
        <w:ind w:left="2460" w:hanging="520"/>
      </w:pPr>
      <w:rPr>
        <w:rFonts w:ascii="Times New Roman" w:hAnsi="Times New Roman" w:cs="Times New Roman"/>
      </w:rPr>
    </w:lvl>
    <w:lvl w:ilvl="2">
      <w:start w:val="1"/>
      <w:numFmt w:val="bullet"/>
      <w:lvlText w:val=":"/>
      <w:lvlJc w:val="left"/>
      <w:pPr>
        <w:tabs>
          <w:tab w:val="num" w:pos="2980"/>
        </w:tabs>
        <w:ind w:left="2980" w:hanging="520"/>
      </w:pPr>
      <w:rPr>
        <w:rFonts w:ascii="Times New Roman" w:hAnsi="Times New Roman" w:cs="Times New Roman"/>
      </w:rPr>
    </w:lvl>
    <w:lvl w:ilvl="3">
      <w:start w:val="1"/>
      <w:numFmt w:val="decimal"/>
      <w:lvlText w:val="(%4)"/>
      <w:lvlJc w:val="left"/>
      <w:pPr>
        <w:ind w:left="2860" w:hanging="360"/>
      </w:pPr>
    </w:lvl>
    <w:lvl w:ilvl="4">
      <w:start w:val="1"/>
      <w:numFmt w:val="lowerLetter"/>
      <w:lvlText w:val="(%5)"/>
      <w:lvlJc w:val="left"/>
      <w:pPr>
        <w:ind w:left="3220" w:hanging="360"/>
      </w:pPr>
    </w:lvl>
    <w:lvl w:ilvl="5">
      <w:start w:val="1"/>
      <w:numFmt w:val="lowerRoman"/>
      <w:lvlText w:val="(%6)"/>
      <w:lvlJc w:val="left"/>
      <w:pPr>
        <w:ind w:left="3580" w:hanging="360"/>
      </w:pPr>
    </w:lvl>
    <w:lvl w:ilvl="6">
      <w:start w:val="1"/>
      <w:numFmt w:val="decimal"/>
      <w:lvlText w:val="%7."/>
      <w:lvlJc w:val="left"/>
      <w:pPr>
        <w:ind w:left="3940" w:hanging="360"/>
      </w:pPr>
    </w:lvl>
    <w:lvl w:ilvl="7">
      <w:start w:val="1"/>
      <w:numFmt w:val="lowerLetter"/>
      <w:lvlText w:val="%8."/>
      <w:lvlJc w:val="left"/>
      <w:pPr>
        <w:ind w:left="4300" w:hanging="360"/>
      </w:pPr>
    </w:lvl>
    <w:lvl w:ilvl="8">
      <w:start w:val="1"/>
      <w:numFmt w:val="lowerRoman"/>
      <w:lvlText w:val="%9."/>
      <w:lvlJc w:val="left"/>
      <w:pPr>
        <w:ind w:left="4660" w:hanging="360"/>
      </w:pPr>
    </w:lvl>
  </w:abstractNum>
  <w:num w:numId="1" w16cid:durableId="1706755449">
    <w:abstractNumId w:val="0"/>
  </w:num>
  <w:num w:numId="2" w16cid:durableId="1834367553">
    <w:abstractNumId w:val="11"/>
  </w:num>
  <w:num w:numId="3" w16cid:durableId="2000302802">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8320821">
    <w:abstractNumId w:val="4"/>
  </w:num>
  <w:num w:numId="5" w16cid:durableId="536553998">
    <w:abstractNumId w:val="7"/>
  </w:num>
  <w:num w:numId="6" w16cid:durableId="762529367">
    <w:abstractNumId w:val="13"/>
  </w:num>
  <w:num w:numId="7" w16cid:durableId="4596243">
    <w:abstractNumId w:val="17"/>
  </w:num>
  <w:num w:numId="8" w16cid:durableId="223613474">
    <w:abstractNumId w:val="2"/>
  </w:num>
  <w:num w:numId="9" w16cid:durableId="11295860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3983262">
    <w:abstractNumId w:val="10"/>
  </w:num>
  <w:num w:numId="11" w16cid:durableId="2042825785">
    <w:abstractNumId w:val="19"/>
  </w:num>
  <w:num w:numId="12" w16cid:durableId="1491097783">
    <w:abstractNumId w:val="10"/>
    <w:lvlOverride w:ilvl="0">
      <w:lvl w:ilvl="0">
        <w:start w:val="1"/>
        <w:numFmt w:val="lowerLetter"/>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3" w16cid:durableId="1754669044">
    <w:abstractNumId w:val="5"/>
  </w:num>
  <w:num w:numId="14" w16cid:durableId="600334651">
    <w:abstractNumId w:val="5"/>
    <w:lvlOverride w:ilvl="1">
      <w:lvl w:ilvl="1">
        <w:numFmt w:val="bullet"/>
        <w:lvlText w:val=""/>
        <w:lvlJc w:val="left"/>
        <w:pPr>
          <w:tabs>
            <w:tab w:val="num" w:pos="1440"/>
          </w:tabs>
          <w:ind w:left="1440" w:hanging="360"/>
        </w:pPr>
        <w:rPr>
          <w:rFonts w:ascii="Symbol" w:hAnsi="Symbol" w:hint="default"/>
          <w:sz w:val="20"/>
        </w:rPr>
      </w:lvl>
    </w:lvlOverride>
  </w:num>
  <w:num w:numId="15" w16cid:durableId="1212573221">
    <w:abstractNumId w:val="5"/>
    <w:lvlOverride w:ilvl="1">
      <w:lvl w:ilvl="1">
        <w:numFmt w:val="bullet"/>
        <w:lvlText w:val=""/>
        <w:lvlJc w:val="left"/>
        <w:pPr>
          <w:tabs>
            <w:tab w:val="num" w:pos="1440"/>
          </w:tabs>
          <w:ind w:left="1440" w:hanging="360"/>
        </w:pPr>
        <w:rPr>
          <w:rFonts w:ascii="Symbol" w:hAnsi="Symbol" w:hint="default"/>
          <w:sz w:val="20"/>
        </w:rPr>
      </w:lvl>
    </w:lvlOverride>
  </w:num>
  <w:num w:numId="16" w16cid:durableId="20009514">
    <w:abstractNumId w:val="5"/>
    <w:lvlOverride w:ilvl="1">
      <w:lvl w:ilvl="1">
        <w:numFmt w:val="bullet"/>
        <w:lvlText w:val=""/>
        <w:lvlJc w:val="left"/>
        <w:pPr>
          <w:tabs>
            <w:tab w:val="num" w:pos="1440"/>
          </w:tabs>
          <w:ind w:left="1440" w:hanging="360"/>
        </w:pPr>
        <w:rPr>
          <w:rFonts w:ascii="Symbol" w:hAnsi="Symbol" w:hint="default"/>
          <w:sz w:val="20"/>
        </w:rPr>
      </w:lvl>
    </w:lvlOverride>
  </w:num>
  <w:num w:numId="17" w16cid:durableId="340469158">
    <w:abstractNumId w:val="5"/>
    <w:lvlOverride w:ilvl="1">
      <w:lvl w:ilvl="1">
        <w:numFmt w:val="bullet"/>
        <w:lvlText w:val=""/>
        <w:lvlJc w:val="left"/>
        <w:pPr>
          <w:tabs>
            <w:tab w:val="num" w:pos="1440"/>
          </w:tabs>
          <w:ind w:left="1440" w:hanging="360"/>
        </w:pPr>
        <w:rPr>
          <w:rFonts w:ascii="Symbol" w:hAnsi="Symbol" w:hint="default"/>
          <w:sz w:val="20"/>
        </w:rPr>
      </w:lvl>
    </w:lvlOverride>
  </w:num>
  <w:num w:numId="18" w16cid:durableId="975766141">
    <w:abstractNumId w:val="5"/>
    <w:lvlOverride w:ilvl="1">
      <w:lvl w:ilvl="1">
        <w:numFmt w:val="bullet"/>
        <w:lvlText w:val=""/>
        <w:lvlJc w:val="left"/>
        <w:pPr>
          <w:tabs>
            <w:tab w:val="num" w:pos="1440"/>
          </w:tabs>
          <w:ind w:left="1440" w:hanging="360"/>
        </w:pPr>
        <w:rPr>
          <w:rFonts w:ascii="Symbol" w:hAnsi="Symbol" w:hint="default"/>
          <w:sz w:val="20"/>
        </w:rPr>
      </w:lvl>
    </w:lvlOverride>
  </w:num>
  <w:num w:numId="19" w16cid:durableId="1587182611">
    <w:abstractNumId w:val="5"/>
    <w:lvlOverride w:ilvl="1">
      <w:lvl w:ilvl="1">
        <w:numFmt w:val="bullet"/>
        <w:lvlText w:val=""/>
        <w:lvlJc w:val="left"/>
        <w:pPr>
          <w:tabs>
            <w:tab w:val="num" w:pos="1440"/>
          </w:tabs>
          <w:ind w:left="1440" w:hanging="360"/>
        </w:pPr>
        <w:rPr>
          <w:rFonts w:ascii="Symbol" w:hAnsi="Symbol" w:hint="default"/>
          <w:sz w:val="20"/>
        </w:rPr>
      </w:lvl>
    </w:lvlOverride>
  </w:num>
  <w:num w:numId="20" w16cid:durableId="465319840">
    <w:abstractNumId w:val="5"/>
    <w:lvlOverride w:ilvl="1">
      <w:lvl w:ilvl="1">
        <w:numFmt w:val="bullet"/>
        <w:lvlText w:val=""/>
        <w:lvlJc w:val="left"/>
        <w:pPr>
          <w:tabs>
            <w:tab w:val="num" w:pos="1440"/>
          </w:tabs>
          <w:ind w:left="1440" w:hanging="360"/>
        </w:pPr>
        <w:rPr>
          <w:rFonts w:ascii="Symbol" w:hAnsi="Symbol" w:hint="default"/>
          <w:sz w:val="20"/>
        </w:rPr>
      </w:lvl>
    </w:lvlOverride>
  </w:num>
  <w:num w:numId="21" w16cid:durableId="1301303909">
    <w:abstractNumId w:val="5"/>
    <w:lvlOverride w:ilvl="1">
      <w:lvl w:ilvl="1">
        <w:numFmt w:val="bullet"/>
        <w:lvlText w:val=""/>
        <w:lvlJc w:val="left"/>
        <w:pPr>
          <w:tabs>
            <w:tab w:val="num" w:pos="1440"/>
          </w:tabs>
          <w:ind w:left="1440" w:hanging="360"/>
        </w:pPr>
        <w:rPr>
          <w:rFonts w:ascii="Symbol" w:hAnsi="Symbol" w:hint="default"/>
          <w:sz w:val="20"/>
        </w:rPr>
      </w:lvl>
    </w:lvlOverride>
  </w:num>
  <w:num w:numId="22" w16cid:durableId="1630548379">
    <w:abstractNumId w:val="5"/>
    <w:lvlOverride w:ilvl="1">
      <w:lvl w:ilvl="1">
        <w:numFmt w:val="bullet"/>
        <w:lvlText w:val=""/>
        <w:lvlJc w:val="left"/>
        <w:pPr>
          <w:tabs>
            <w:tab w:val="num" w:pos="1440"/>
          </w:tabs>
          <w:ind w:left="1440" w:hanging="360"/>
        </w:pPr>
        <w:rPr>
          <w:rFonts w:ascii="Symbol" w:hAnsi="Symbol" w:hint="default"/>
          <w:sz w:val="20"/>
        </w:rPr>
      </w:lvl>
    </w:lvlOverride>
  </w:num>
  <w:num w:numId="23" w16cid:durableId="728964003">
    <w:abstractNumId w:val="5"/>
    <w:lvlOverride w:ilvl="1">
      <w:lvl w:ilvl="1">
        <w:numFmt w:val="bullet"/>
        <w:lvlText w:val=""/>
        <w:lvlJc w:val="left"/>
        <w:pPr>
          <w:tabs>
            <w:tab w:val="num" w:pos="1440"/>
          </w:tabs>
          <w:ind w:left="1440" w:hanging="360"/>
        </w:pPr>
        <w:rPr>
          <w:rFonts w:ascii="Symbol" w:hAnsi="Symbol" w:hint="default"/>
          <w:sz w:val="20"/>
        </w:rPr>
      </w:lvl>
    </w:lvlOverride>
  </w:num>
  <w:num w:numId="24" w16cid:durableId="1689211079">
    <w:abstractNumId w:val="5"/>
    <w:lvlOverride w:ilvl="1">
      <w:lvl w:ilvl="1">
        <w:numFmt w:val="bullet"/>
        <w:lvlText w:val=""/>
        <w:lvlJc w:val="left"/>
        <w:pPr>
          <w:tabs>
            <w:tab w:val="num" w:pos="1440"/>
          </w:tabs>
          <w:ind w:left="1440" w:hanging="360"/>
        </w:pPr>
        <w:rPr>
          <w:rFonts w:ascii="Symbol" w:hAnsi="Symbol" w:hint="default"/>
          <w:sz w:val="20"/>
        </w:rPr>
      </w:lvl>
    </w:lvlOverride>
  </w:num>
  <w:num w:numId="25" w16cid:durableId="451629283">
    <w:abstractNumId w:val="5"/>
    <w:lvlOverride w:ilvl="1">
      <w:lvl w:ilvl="1">
        <w:numFmt w:val="bullet"/>
        <w:lvlText w:val=""/>
        <w:lvlJc w:val="left"/>
        <w:pPr>
          <w:tabs>
            <w:tab w:val="num" w:pos="1440"/>
          </w:tabs>
          <w:ind w:left="1440" w:hanging="360"/>
        </w:pPr>
        <w:rPr>
          <w:rFonts w:ascii="Symbol" w:hAnsi="Symbol" w:hint="default"/>
          <w:sz w:val="20"/>
        </w:rPr>
      </w:lvl>
    </w:lvlOverride>
  </w:num>
  <w:num w:numId="26" w16cid:durableId="1105002578">
    <w:abstractNumId w:val="5"/>
    <w:lvlOverride w:ilvl="1">
      <w:lvl w:ilvl="1">
        <w:numFmt w:val="bullet"/>
        <w:lvlText w:val=""/>
        <w:lvlJc w:val="left"/>
        <w:pPr>
          <w:tabs>
            <w:tab w:val="num" w:pos="1440"/>
          </w:tabs>
          <w:ind w:left="1440" w:hanging="360"/>
        </w:pPr>
        <w:rPr>
          <w:rFonts w:ascii="Symbol" w:hAnsi="Symbol" w:hint="default"/>
          <w:sz w:val="20"/>
        </w:rPr>
      </w:lvl>
    </w:lvlOverride>
  </w:num>
  <w:num w:numId="27" w16cid:durableId="1491796071">
    <w:abstractNumId w:val="5"/>
    <w:lvlOverride w:ilvl="1">
      <w:lvl w:ilvl="1">
        <w:numFmt w:val="bullet"/>
        <w:lvlText w:val=""/>
        <w:lvlJc w:val="left"/>
        <w:pPr>
          <w:tabs>
            <w:tab w:val="num" w:pos="1440"/>
          </w:tabs>
          <w:ind w:left="1440" w:hanging="360"/>
        </w:pPr>
        <w:rPr>
          <w:rFonts w:ascii="Symbol" w:hAnsi="Symbol" w:hint="default"/>
          <w:sz w:val="20"/>
        </w:rPr>
      </w:lvl>
    </w:lvlOverride>
  </w:num>
  <w:num w:numId="28" w16cid:durableId="608662183">
    <w:abstractNumId w:val="5"/>
    <w:lvlOverride w:ilvl="1">
      <w:lvl w:ilvl="1">
        <w:numFmt w:val="bullet"/>
        <w:lvlText w:val=""/>
        <w:lvlJc w:val="left"/>
        <w:pPr>
          <w:tabs>
            <w:tab w:val="num" w:pos="1440"/>
          </w:tabs>
          <w:ind w:left="1440" w:hanging="360"/>
        </w:pPr>
        <w:rPr>
          <w:rFonts w:ascii="Symbol" w:hAnsi="Symbol" w:hint="default"/>
          <w:sz w:val="20"/>
        </w:rPr>
      </w:lvl>
    </w:lvlOverride>
  </w:num>
  <w:num w:numId="29" w16cid:durableId="1778981204">
    <w:abstractNumId w:val="5"/>
    <w:lvlOverride w:ilvl="1">
      <w:lvl w:ilvl="1">
        <w:numFmt w:val="bullet"/>
        <w:lvlText w:val=""/>
        <w:lvlJc w:val="left"/>
        <w:pPr>
          <w:tabs>
            <w:tab w:val="num" w:pos="1440"/>
          </w:tabs>
          <w:ind w:left="1440" w:hanging="360"/>
        </w:pPr>
        <w:rPr>
          <w:rFonts w:ascii="Symbol" w:hAnsi="Symbol" w:hint="default"/>
          <w:sz w:val="20"/>
        </w:rPr>
      </w:lvl>
    </w:lvlOverride>
  </w:num>
  <w:num w:numId="30" w16cid:durableId="1949852619">
    <w:abstractNumId w:val="5"/>
    <w:lvlOverride w:ilvl="1">
      <w:lvl w:ilvl="1">
        <w:numFmt w:val="bullet"/>
        <w:lvlText w:val=""/>
        <w:lvlJc w:val="left"/>
        <w:pPr>
          <w:tabs>
            <w:tab w:val="num" w:pos="1440"/>
          </w:tabs>
          <w:ind w:left="1440" w:hanging="360"/>
        </w:pPr>
        <w:rPr>
          <w:rFonts w:ascii="Symbol" w:hAnsi="Symbol" w:hint="default"/>
          <w:sz w:val="20"/>
        </w:rPr>
      </w:lvl>
    </w:lvlOverride>
  </w:num>
  <w:num w:numId="31" w16cid:durableId="711853478">
    <w:abstractNumId w:val="24"/>
  </w:num>
  <w:num w:numId="32" w16cid:durableId="933975279">
    <w:abstractNumId w:val="15"/>
  </w:num>
  <w:num w:numId="33" w16cid:durableId="484857343">
    <w:abstractNumId w:val="21"/>
  </w:num>
  <w:num w:numId="34" w16cid:durableId="26877006">
    <w:abstractNumId w:val="3"/>
  </w:num>
  <w:num w:numId="35" w16cid:durableId="1712873628">
    <w:abstractNumId w:val="13"/>
  </w:num>
  <w:num w:numId="36" w16cid:durableId="2067992031">
    <w:abstractNumId w:val="1"/>
  </w:num>
  <w:num w:numId="37" w16cid:durableId="1837333612">
    <w:abstractNumId w:val="12"/>
  </w:num>
  <w:num w:numId="38" w16cid:durableId="470362372">
    <w:abstractNumId w:val="18"/>
  </w:num>
  <w:num w:numId="39" w16cid:durableId="1678380566">
    <w:abstractNumId w:val="23"/>
  </w:num>
  <w:num w:numId="40" w16cid:durableId="1086995014">
    <w:abstractNumId w:val="9"/>
  </w:num>
  <w:num w:numId="41" w16cid:durableId="1032147081">
    <w:abstractNumId w:val="20"/>
  </w:num>
  <w:num w:numId="42" w16cid:durableId="590772856">
    <w:abstractNumId w:val="8"/>
  </w:num>
  <w:num w:numId="43" w16cid:durableId="1828662992">
    <w:abstractNumId w:val="6"/>
  </w:num>
  <w:num w:numId="44" w16cid:durableId="1229153821">
    <w:abstractNumId w:val="14"/>
  </w:num>
  <w:num w:numId="45" w16cid:durableId="1042825673">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7D3"/>
    <w:rsid w:val="000000C6"/>
    <w:rsid w:val="00000190"/>
    <w:rsid w:val="00000201"/>
    <w:rsid w:val="0000024A"/>
    <w:rsid w:val="000003AF"/>
    <w:rsid w:val="000003E9"/>
    <w:rsid w:val="0000042C"/>
    <w:rsid w:val="0000046A"/>
    <w:rsid w:val="0000046C"/>
    <w:rsid w:val="000004A7"/>
    <w:rsid w:val="0000054E"/>
    <w:rsid w:val="00000808"/>
    <w:rsid w:val="00000814"/>
    <w:rsid w:val="00000864"/>
    <w:rsid w:val="00000887"/>
    <w:rsid w:val="00000894"/>
    <w:rsid w:val="0000097B"/>
    <w:rsid w:val="00000A30"/>
    <w:rsid w:val="00000A36"/>
    <w:rsid w:val="00000A6B"/>
    <w:rsid w:val="00000A6E"/>
    <w:rsid w:val="00000AE6"/>
    <w:rsid w:val="00000B0F"/>
    <w:rsid w:val="00000E7D"/>
    <w:rsid w:val="00001146"/>
    <w:rsid w:val="0000147F"/>
    <w:rsid w:val="00001489"/>
    <w:rsid w:val="000014F5"/>
    <w:rsid w:val="000015D0"/>
    <w:rsid w:val="000016B5"/>
    <w:rsid w:val="00001874"/>
    <w:rsid w:val="00001AC0"/>
    <w:rsid w:val="00001D95"/>
    <w:rsid w:val="00001DA1"/>
    <w:rsid w:val="00001F17"/>
    <w:rsid w:val="0000205B"/>
    <w:rsid w:val="00002286"/>
    <w:rsid w:val="000022F9"/>
    <w:rsid w:val="0000237F"/>
    <w:rsid w:val="00002404"/>
    <w:rsid w:val="000024C4"/>
    <w:rsid w:val="00002583"/>
    <w:rsid w:val="00002603"/>
    <w:rsid w:val="0000262F"/>
    <w:rsid w:val="000026DB"/>
    <w:rsid w:val="00002821"/>
    <w:rsid w:val="0000294F"/>
    <w:rsid w:val="000029DC"/>
    <w:rsid w:val="00002D87"/>
    <w:rsid w:val="00002EC6"/>
    <w:rsid w:val="00002F9E"/>
    <w:rsid w:val="00003125"/>
    <w:rsid w:val="00003177"/>
    <w:rsid w:val="00003339"/>
    <w:rsid w:val="00003516"/>
    <w:rsid w:val="000037BD"/>
    <w:rsid w:val="00003896"/>
    <w:rsid w:val="000038B3"/>
    <w:rsid w:val="00003A2F"/>
    <w:rsid w:val="00003A57"/>
    <w:rsid w:val="00003A81"/>
    <w:rsid w:val="00003B3A"/>
    <w:rsid w:val="00003C59"/>
    <w:rsid w:val="00003C63"/>
    <w:rsid w:val="00003E60"/>
    <w:rsid w:val="0000408A"/>
    <w:rsid w:val="0000424C"/>
    <w:rsid w:val="00004572"/>
    <w:rsid w:val="00004626"/>
    <w:rsid w:val="00004669"/>
    <w:rsid w:val="000046FA"/>
    <w:rsid w:val="000047DC"/>
    <w:rsid w:val="00004A8D"/>
    <w:rsid w:val="00004B37"/>
    <w:rsid w:val="00004DD5"/>
    <w:rsid w:val="00004E65"/>
    <w:rsid w:val="0000500A"/>
    <w:rsid w:val="000050A9"/>
    <w:rsid w:val="0000512D"/>
    <w:rsid w:val="00005278"/>
    <w:rsid w:val="00005318"/>
    <w:rsid w:val="0000581F"/>
    <w:rsid w:val="000059CB"/>
    <w:rsid w:val="00005B2F"/>
    <w:rsid w:val="00005BA2"/>
    <w:rsid w:val="00005C6C"/>
    <w:rsid w:val="00005E67"/>
    <w:rsid w:val="00005EA3"/>
    <w:rsid w:val="00005F08"/>
    <w:rsid w:val="00005FF6"/>
    <w:rsid w:val="00006233"/>
    <w:rsid w:val="000063C9"/>
    <w:rsid w:val="0000662C"/>
    <w:rsid w:val="000067C7"/>
    <w:rsid w:val="0000687E"/>
    <w:rsid w:val="000068E7"/>
    <w:rsid w:val="00006B2D"/>
    <w:rsid w:val="00006B2E"/>
    <w:rsid w:val="00006B33"/>
    <w:rsid w:val="00006CA3"/>
    <w:rsid w:val="00006F11"/>
    <w:rsid w:val="00006F71"/>
    <w:rsid w:val="00006F83"/>
    <w:rsid w:val="00006FDF"/>
    <w:rsid w:val="00007052"/>
    <w:rsid w:val="0000717C"/>
    <w:rsid w:val="000073B7"/>
    <w:rsid w:val="0000745A"/>
    <w:rsid w:val="000074F6"/>
    <w:rsid w:val="0000751B"/>
    <w:rsid w:val="00007538"/>
    <w:rsid w:val="000077A2"/>
    <w:rsid w:val="00007874"/>
    <w:rsid w:val="0000798D"/>
    <w:rsid w:val="000079CF"/>
    <w:rsid w:val="00007BD6"/>
    <w:rsid w:val="00007C89"/>
    <w:rsid w:val="00007D86"/>
    <w:rsid w:val="00007E5C"/>
    <w:rsid w:val="000100FD"/>
    <w:rsid w:val="000101C9"/>
    <w:rsid w:val="00010232"/>
    <w:rsid w:val="0001034A"/>
    <w:rsid w:val="0001044B"/>
    <w:rsid w:val="000104CE"/>
    <w:rsid w:val="000107B8"/>
    <w:rsid w:val="000107E2"/>
    <w:rsid w:val="000108B5"/>
    <w:rsid w:val="00010953"/>
    <w:rsid w:val="00010A8A"/>
    <w:rsid w:val="00010ADC"/>
    <w:rsid w:val="00010B14"/>
    <w:rsid w:val="00010C86"/>
    <w:rsid w:val="00010E05"/>
    <w:rsid w:val="00010E0F"/>
    <w:rsid w:val="00010E98"/>
    <w:rsid w:val="00010F17"/>
    <w:rsid w:val="000110F4"/>
    <w:rsid w:val="00011111"/>
    <w:rsid w:val="0001112E"/>
    <w:rsid w:val="00011474"/>
    <w:rsid w:val="0001155E"/>
    <w:rsid w:val="0001159B"/>
    <w:rsid w:val="000115D3"/>
    <w:rsid w:val="00011653"/>
    <w:rsid w:val="00011725"/>
    <w:rsid w:val="00011AC1"/>
    <w:rsid w:val="00011ADF"/>
    <w:rsid w:val="00011D59"/>
    <w:rsid w:val="00011EAE"/>
    <w:rsid w:val="000122FA"/>
    <w:rsid w:val="00012327"/>
    <w:rsid w:val="00012465"/>
    <w:rsid w:val="000124AC"/>
    <w:rsid w:val="000128F1"/>
    <w:rsid w:val="0001290C"/>
    <w:rsid w:val="0001291C"/>
    <w:rsid w:val="00012969"/>
    <w:rsid w:val="00012A8D"/>
    <w:rsid w:val="00012C62"/>
    <w:rsid w:val="00012CDB"/>
    <w:rsid w:val="00012D17"/>
    <w:rsid w:val="00012DAE"/>
    <w:rsid w:val="0001333B"/>
    <w:rsid w:val="000135DA"/>
    <w:rsid w:val="000136F3"/>
    <w:rsid w:val="00013AA6"/>
    <w:rsid w:val="00013CE1"/>
    <w:rsid w:val="00013E2E"/>
    <w:rsid w:val="00013FFA"/>
    <w:rsid w:val="0001417A"/>
    <w:rsid w:val="000141A3"/>
    <w:rsid w:val="000143B2"/>
    <w:rsid w:val="000143E2"/>
    <w:rsid w:val="0001459E"/>
    <w:rsid w:val="00014714"/>
    <w:rsid w:val="0001483A"/>
    <w:rsid w:val="00014A80"/>
    <w:rsid w:val="00014B8C"/>
    <w:rsid w:val="00014B95"/>
    <w:rsid w:val="00014BD1"/>
    <w:rsid w:val="00014E83"/>
    <w:rsid w:val="00014EF1"/>
    <w:rsid w:val="000151CC"/>
    <w:rsid w:val="000151FF"/>
    <w:rsid w:val="000152B0"/>
    <w:rsid w:val="00015389"/>
    <w:rsid w:val="000153AD"/>
    <w:rsid w:val="00015510"/>
    <w:rsid w:val="000155E5"/>
    <w:rsid w:val="0001580F"/>
    <w:rsid w:val="000158C5"/>
    <w:rsid w:val="00015A9E"/>
    <w:rsid w:val="00015B0A"/>
    <w:rsid w:val="00015BD6"/>
    <w:rsid w:val="00015DE1"/>
    <w:rsid w:val="00015EB9"/>
    <w:rsid w:val="0001614C"/>
    <w:rsid w:val="0001625D"/>
    <w:rsid w:val="00016287"/>
    <w:rsid w:val="0001632E"/>
    <w:rsid w:val="00016405"/>
    <w:rsid w:val="00016469"/>
    <w:rsid w:val="0001647C"/>
    <w:rsid w:val="00016518"/>
    <w:rsid w:val="00016564"/>
    <w:rsid w:val="0001667C"/>
    <w:rsid w:val="000167A8"/>
    <w:rsid w:val="00016A82"/>
    <w:rsid w:val="00016AE5"/>
    <w:rsid w:val="00016CE8"/>
    <w:rsid w:val="00016EA8"/>
    <w:rsid w:val="00016F87"/>
    <w:rsid w:val="00016FE1"/>
    <w:rsid w:val="00017077"/>
    <w:rsid w:val="000170A9"/>
    <w:rsid w:val="00017104"/>
    <w:rsid w:val="00017166"/>
    <w:rsid w:val="00017188"/>
    <w:rsid w:val="00017251"/>
    <w:rsid w:val="000172E7"/>
    <w:rsid w:val="0001740D"/>
    <w:rsid w:val="000174DD"/>
    <w:rsid w:val="0001751A"/>
    <w:rsid w:val="00017A8B"/>
    <w:rsid w:val="00017B35"/>
    <w:rsid w:val="00017CC2"/>
    <w:rsid w:val="00017CEA"/>
    <w:rsid w:val="00017D30"/>
    <w:rsid w:val="00020003"/>
    <w:rsid w:val="000201CC"/>
    <w:rsid w:val="000201FB"/>
    <w:rsid w:val="00020262"/>
    <w:rsid w:val="00020365"/>
    <w:rsid w:val="0002047E"/>
    <w:rsid w:val="0002049D"/>
    <w:rsid w:val="000207EB"/>
    <w:rsid w:val="000209F4"/>
    <w:rsid w:val="00020AB2"/>
    <w:rsid w:val="00020BB1"/>
    <w:rsid w:val="00020BCA"/>
    <w:rsid w:val="00020CAB"/>
    <w:rsid w:val="00020CD7"/>
    <w:rsid w:val="00020D4D"/>
    <w:rsid w:val="00020D84"/>
    <w:rsid w:val="00020E36"/>
    <w:rsid w:val="00020E82"/>
    <w:rsid w:val="00020EA9"/>
    <w:rsid w:val="00020EF6"/>
    <w:rsid w:val="00020F9B"/>
    <w:rsid w:val="000210D4"/>
    <w:rsid w:val="000211E0"/>
    <w:rsid w:val="000212E4"/>
    <w:rsid w:val="00021408"/>
    <w:rsid w:val="00021460"/>
    <w:rsid w:val="00021503"/>
    <w:rsid w:val="000216E1"/>
    <w:rsid w:val="0002171B"/>
    <w:rsid w:val="000217E0"/>
    <w:rsid w:val="0002187A"/>
    <w:rsid w:val="00021897"/>
    <w:rsid w:val="00021B06"/>
    <w:rsid w:val="00021B1C"/>
    <w:rsid w:val="00021C1D"/>
    <w:rsid w:val="00021D07"/>
    <w:rsid w:val="00021D0F"/>
    <w:rsid w:val="000220CB"/>
    <w:rsid w:val="00022122"/>
    <w:rsid w:val="0002213E"/>
    <w:rsid w:val="00022211"/>
    <w:rsid w:val="000222E2"/>
    <w:rsid w:val="000223E2"/>
    <w:rsid w:val="00022513"/>
    <w:rsid w:val="00022598"/>
    <w:rsid w:val="000228B6"/>
    <w:rsid w:val="000228C3"/>
    <w:rsid w:val="00022A5C"/>
    <w:rsid w:val="00022A78"/>
    <w:rsid w:val="00022F1D"/>
    <w:rsid w:val="00022F2A"/>
    <w:rsid w:val="00022F4A"/>
    <w:rsid w:val="00023137"/>
    <w:rsid w:val="00023587"/>
    <w:rsid w:val="00023685"/>
    <w:rsid w:val="00023701"/>
    <w:rsid w:val="0002375C"/>
    <w:rsid w:val="00023798"/>
    <w:rsid w:val="000237CE"/>
    <w:rsid w:val="00023881"/>
    <w:rsid w:val="00023886"/>
    <w:rsid w:val="000238ED"/>
    <w:rsid w:val="000238F7"/>
    <w:rsid w:val="00023984"/>
    <w:rsid w:val="00023B47"/>
    <w:rsid w:val="00023B78"/>
    <w:rsid w:val="00023C4D"/>
    <w:rsid w:val="00023E49"/>
    <w:rsid w:val="00023E8D"/>
    <w:rsid w:val="00024010"/>
    <w:rsid w:val="000240C0"/>
    <w:rsid w:val="000240F1"/>
    <w:rsid w:val="0002419B"/>
    <w:rsid w:val="000241A4"/>
    <w:rsid w:val="000241B9"/>
    <w:rsid w:val="00024281"/>
    <w:rsid w:val="000242B7"/>
    <w:rsid w:val="0002448A"/>
    <w:rsid w:val="00024702"/>
    <w:rsid w:val="00024AA5"/>
    <w:rsid w:val="00024BE2"/>
    <w:rsid w:val="00024D1E"/>
    <w:rsid w:val="00024D3B"/>
    <w:rsid w:val="00024D8A"/>
    <w:rsid w:val="0002544D"/>
    <w:rsid w:val="000254CD"/>
    <w:rsid w:val="000256EC"/>
    <w:rsid w:val="000257CD"/>
    <w:rsid w:val="00025829"/>
    <w:rsid w:val="0002586C"/>
    <w:rsid w:val="0002593E"/>
    <w:rsid w:val="00025979"/>
    <w:rsid w:val="00025D43"/>
    <w:rsid w:val="00025DE7"/>
    <w:rsid w:val="00025FF4"/>
    <w:rsid w:val="00026071"/>
    <w:rsid w:val="000260F0"/>
    <w:rsid w:val="000261C9"/>
    <w:rsid w:val="000263F6"/>
    <w:rsid w:val="000264F4"/>
    <w:rsid w:val="0002658F"/>
    <w:rsid w:val="0002683A"/>
    <w:rsid w:val="00026943"/>
    <w:rsid w:val="00026C5A"/>
    <w:rsid w:val="00026CCC"/>
    <w:rsid w:val="00026D2D"/>
    <w:rsid w:val="00026E22"/>
    <w:rsid w:val="00026F98"/>
    <w:rsid w:val="000270BA"/>
    <w:rsid w:val="00027297"/>
    <w:rsid w:val="00027314"/>
    <w:rsid w:val="00027327"/>
    <w:rsid w:val="00027476"/>
    <w:rsid w:val="00027691"/>
    <w:rsid w:val="00027736"/>
    <w:rsid w:val="000277B2"/>
    <w:rsid w:val="0002787A"/>
    <w:rsid w:val="000278A6"/>
    <w:rsid w:val="00027957"/>
    <w:rsid w:val="0002796A"/>
    <w:rsid w:val="00027A5C"/>
    <w:rsid w:val="00027B24"/>
    <w:rsid w:val="00027B96"/>
    <w:rsid w:val="00027E46"/>
    <w:rsid w:val="00027FA7"/>
    <w:rsid w:val="00030061"/>
    <w:rsid w:val="0003019A"/>
    <w:rsid w:val="00030218"/>
    <w:rsid w:val="0003040C"/>
    <w:rsid w:val="00030486"/>
    <w:rsid w:val="00030512"/>
    <w:rsid w:val="000305F0"/>
    <w:rsid w:val="00030612"/>
    <w:rsid w:val="00030663"/>
    <w:rsid w:val="0003071A"/>
    <w:rsid w:val="000307F4"/>
    <w:rsid w:val="0003099B"/>
    <w:rsid w:val="00030BDE"/>
    <w:rsid w:val="00030C0C"/>
    <w:rsid w:val="00030E32"/>
    <w:rsid w:val="00030E96"/>
    <w:rsid w:val="000313FD"/>
    <w:rsid w:val="000314A6"/>
    <w:rsid w:val="00031669"/>
    <w:rsid w:val="00031927"/>
    <w:rsid w:val="000319B6"/>
    <w:rsid w:val="00031A04"/>
    <w:rsid w:val="00031A93"/>
    <w:rsid w:val="00031AEA"/>
    <w:rsid w:val="00031CD9"/>
    <w:rsid w:val="00031CE2"/>
    <w:rsid w:val="00031D1D"/>
    <w:rsid w:val="00031D2B"/>
    <w:rsid w:val="00032298"/>
    <w:rsid w:val="0003254B"/>
    <w:rsid w:val="000326EE"/>
    <w:rsid w:val="000328D9"/>
    <w:rsid w:val="00032971"/>
    <w:rsid w:val="00032987"/>
    <w:rsid w:val="00032A0C"/>
    <w:rsid w:val="00032D3A"/>
    <w:rsid w:val="00032E17"/>
    <w:rsid w:val="00032E4C"/>
    <w:rsid w:val="00032F07"/>
    <w:rsid w:val="00032FAD"/>
    <w:rsid w:val="000330DE"/>
    <w:rsid w:val="0003315F"/>
    <w:rsid w:val="00033217"/>
    <w:rsid w:val="0003332F"/>
    <w:rsid w:val="00033589"/>
    <w:rsid w:val="000337E0"/>
    <w:rsid w:val="0003395A"/>
    <w:rsid w:val="00033AC6"/>
    <w:rsid w:val="00033D1F"/>
    <w:rsid w:val="00033D34"/>
    <w:rsid w:val="00033E12"/>
    <w:rsid w:val="00033FAC"/>
    <w:rsid w:val="00034072"/>
    <w:rsid w:val="000340A4"/>
    <w:rsid w:val="000341E1"/>
    <w:rsid w:val="000345A2"/>
    <w:rsid w:val="0003494E"/>
    <w:rsid w:val="00034A1F"/>
    <w:rsid w:val="00034A7E"/>
    <w:rsid w:val="00034D57"/>
    <w:rsid w:val="00034D7D"/>
    <w:rsid w:val="00034E0D"/>
    <w:rsid w:val="00034E3D"/>
    <w:rsid w:val="00034E57"/>
    <w:rsid w:val="00034EDE"/>
    <w:rsid w:val="00034EE4"/>
    <w:rsid w:val="00034FC2"/>
    <w:rsid w:val="000350C2"/>
    <w:rsid w:val="0003514B"/>
    <w:rsid w:val="00035175"/>
    <w:rsid w:val="0003544D"/>
    <w:rsid w:val="0003546B"/>
    <w:rsid w:val="00035666"/>
    <w:rsid w:val="00035722"/>
    <w:rsid w:val="0003575B"/>
    <w:rsid w:val="000357DE"/>
    <w:rsid w:val="0003585B"/>
    <w:rsid w:val="000359C8"/>
    <w:rsid w:val="00035ACA"/>
    <w:rsid w:val="00035BE5"/>
    <w:rsid w:val="00036007"/>
    <w:rsid w:val="000360C2"/>
    <w:rsid w:val="000360E2"/>
    <w:rsid w:val="000361F2"/>
    <w:rsid w:val="000363CC"/>
    <w:rsid w:val="000363E6"/>
    <w:rsid w:val="00036455"/>
    <w:rsid w:val="000364D8"/>
    <w:rsid w:val="00036577"/>
    <w:rsid w:val="00036692"/>
    <w:rsid w:val="000366F6"/>
    <w:rsid w:val="00036790"/>
    <w:rsid w:val="000367A2"/>
    <w:rsid w:val="000367C4"/>
    <w:rsid w:val="00036922"/>
    <w:rsid w:val="00036A15"/>
    <w:rsid w:val="00036AB5"/>
    <w:rsid w:val="00036E5E"/>
    <w:rsid w:val="00036E65"/>
    <w:rsid w:val="00036F33"/>
    <w:rsid w:val="00037100"/>
    <w:rsid w:val="00037120"/>
    <w:rsid w:val="00037293"/>
    <w:rsid w:val="00037304"/>
    <w:rsid w:val="0003734F"/>
    <w:rsid w:val="000374B7"/>
    <w:rsid w:val="00037571"/>
    <w:rsid w:val="0003768D"/>
    <w:rsid w:val="000377DE"/>
    <w:rsid w:val="00037939"/>
    <w:rsid w:val="000379FC"/>
    <w:rsid w:val="00037A10"/>
    <w:rsid w:val="00037B32"/>
    <w:rsid w:val="00037D23"/>
    <w:rsid w:val="00037E64"/>
    <w:rsid w:val="00037ED0"/>
    <w:rsid w:val="0004042B"/>
    <w:rsid w:val="0004049F"/>
    <w:rsid w:val="00040569"/>
    <w:rsid w:val="0004087F"/>
    <w:rsid w:val="00040974"/>
    <w:rsid w:val="00040A16"/>
    <w:rsid w:val="00040D28"/>
    <w:rsid w:val="00041034"/>
    <w:rsid w:val="00041062"/>
    <w:rsid w:val="000410BF"/>
    <w:rsid w:val="00041276"/>
    <w:rsid w:val="00041295"/>
    <w:rsid w:val="000413B1"/>
    <w:rsid w:val="00041439"/>
    <w:rsid w:val="00041459"/>
    <w:rsid w:val="00041480"/>
    <w:rsid w:val="000414B0"/>
    <w:rsid w:val="000414C9"/>
    <w:rsid w:val="000415DB"/>
    <w:rsid w:val="00041611"/>
    <w:rsid w:val="000417EE"/>
    <w:rsid w:val="0004184D"/>
    <w:rsid w:val="000419A4"/>
    <w:rsid w:val="00041A8B"/>
    <w:rsid w:val="00041B0D"/>
    <w:rsid w:val="00041B8D"/>
    <w:rsid w:val="00041E7E"/>
    <w:rsid w:val="00041F4E"/>
    <w:rsid w:val="00041F98"/>
    <w:rsid w:val="0004204E"/>
    <w:rsid w:val="000421FA"/>
    <w:rsid w:val="000422A9"/>
    <w:rsid w:val="000423D0"/>
    <w:rsid w:val="0004249F"/>
    <w:rsid w:val="000424E8"/>
    <w:rsid w:val="000426E6"/>
    <w:rsid w:val="0004274D"/>
    <w:rsid w:val="000427BE"/>
    <w:rsid w:val="000427DF"/>
    <w:rsid w:val="000429A5"/>
    <w:rsid w:val="00042B77"/>
    <w:rsid w:val="00042B7B"/>
    <w:rsid w:val="00042B81"/>
    <w:rsid w:val="00042B84"/>
    <w:rsid w:val="00042CFE"/>
    <w:rsid w:val="00042FD2"/>
    <w:rsid w:val="00042FE3"/>
    <w:rsid w:val="000430EA"/>
    <w:rsid w:val="0004393F"/>
    <w:rsid w:val="000439F6"/>
    <w:rsid w:val="00043C74"/>
    <w:rsid w:val="00043DCC"/>
    <w:rsid w:val="00043E6C"/>
    <w:rsid w:val="00043E70"/>
    <w:rsid w:val="000442F7"/>
    <w:rsid w:val="00044311"/>
    <w:rsid w:val="00044471"/>
    <w:rsid w:val="00044561"/>
    <w:rsid w:val="000445FE"/>
    <w:rsid w:val="00044656"/>
    <w:rsid w:val="000448DB"/>
    <w:rsid w:val="000448F9"/>
    <w:rsid w:val="00044934"/>
    <w:rsid w:val="00044AD5"/>
    <w:rsid w:val="00044AEB"/>
    <w:rsid w:val="00044BE3"/>
    <w:rsid w:val="00044C0A"/>
    <w:rsid w:val="00044C0D"/>
    <w:rsid w:val="00044E0A"/>
    <w:rsid w:val="00044F58"/>
    <w:rsid w:val="000450F0"/>
    <w:rsid w:val="0004519F"/>
    <w:rsid w:val="00045380"/>
    <w:rsid w:val="000454FB"/>
    <w:rsid w:val="00045511"/>
    <w:rsid w:val="0004557E"/>
    <w:rsid w:val="00045652"/>
    <w:rsid w:val="00045655"/>
    <w:rsid w:val="000458C5"/>
    <w:rsid w:val="00045A66"/>
    <w:rsid w:val="00045AF6"/>
    <w:rsid w:val="00045AFC"/>
    <w:rsid w:val="00045E0E"/>
    <w:rsid w:val="00045F2C"/>
    <w:rsid w:val="00045F95"/>
    <w:rsid w:val="000461E6"/>
    <w:rsid w:val="000462B6"/>
    <w:rsid w:val="0004634A"/>
    <w:rsid w:val="00046541"/>
    <w:rsid w:val="000465C0"/>
    <w:rsid w:val="000465F8"/>
    <w:rsid w:val="000465FE"/>
    <w:rsid w:val="0004674A"/>
    <w:rsid w:val="0004677F"/>
    <w:rsid w:val="00046871"/>
    <w:rsid w:val="00046990"/>
    <w:rsid w:val="000469DD"/>
    <w:rsid w:val="00046CA2"/>
    <w:rsid w:val="00046D7A"/>
    <w:rsid w:val="00046E0A"/>
    <w:rsid w:val="00046E13"/>
    <w:rsid w:val="00047116"/>
    <w:rsid w:val="00047256"/>
    <w:rsid w:val="00047325"/>
    <w:rsid w:val="00047389"/>
    <w:rsid w:val="000473B1"/>
    <w:rsid w:val="00047424"/>
    <w:rsid w:val="00047459"/>
    <w:rsid w:val="0004754E"/>
    <w:rsid w:val="000475BC"/>
    <w:rsid w:val="00047603"/>
    <w:rsid w:val="00047DBA"/>
    <w:rsid w:val="00047E51"/>
    <w:rsid w:val="00047E5F"/>
    <w:rsid w:val="00047E78"/>
    <w:rsid w:val="000501EF"/>
    <w:rsid w:val="00050231"/>
    <w:rsid w:val="000503E8"/>
    <w:rsid w:val="00050485"/>
    <w:rsid w:val="000504B7"/>
    <w:rsid w:val="000505BD"/>
    <w:rsid w:val="00050791"/>
    <w:rsid w:val="0005087D"/>
    <w:rsid w:val="00050A27"/>
    <w:rsid w:val="00050B18"/>
    <w:rsid w:val="00050DBA"/>
    <w:rsid w:val="00050DEE"/>
    <w:rsid w:val="00050E5D"/>
    <w:rsid w:val="00050EE7"/>
    <w:rsid w:val="0005109E"/>
    <w:rsid w:val="000510CA"/>
    <w:rsid w:val="00051206"/>
    <w:rsid w:val="00051414"/>
    <w:rsid w:val="0005157A"/>
    <w:rsid w:val="000515B7"/>
    <w:rsid w:val="00051606"/>
    <w:rsid w:val="0005181A"/>
    <w:rsid w:val="00051852"/>
    <w:rsid w:val="00051947"/>
    <w:rsid w:val="000519BA"/>
    <w:rsid w:val="00051A11"/>
    <w:rsid w:val="00051C40"/>
    <w:rsid w:val="00051D60"/>
    <w:rsid w:val="00051DBE"/>
    <w:rsid w:val="00051E20"/>
    <w:rsid w:val="00052061"/>
    <w:rsid w:val="00052157"/>
    <w:rsid w:val="0005217E"/>
    <w:rsid w:val="000521DF"/>
    <w:rsid w:val="0005230B"/>
    <w:rsid w:val="00052401"/>
    <w:rsid w:val="00052531"/>
    <w:rsid w:val="00052539"/>
    <w:rsid w:val="000525BC"/>
    <w:rsid w:val="000526A4"/>
    <w:rsid w:val="0005274E"/>
    <w:rsid w:val="000527CD"/>
    <w:rsid w:val="00052887"/>
    <w:rsid w:val="000528C0"/>
    <w:rsid w:val="0005293C"/>
    <w:rsid w:val="00052B6C"/>
    <w:rsid w:val="00052BD6"/>
    <w:rsid w:val="00052C12"/>
    <w:rsid w:val="00052CAE"/>
    <w:rsid w:val="00052D67"/>
    <w:rsid w:val="00052DFC"/>
    <w:rsid w:val="00052EBC"/>
    <w:rsid w:val="00052FD6"/>
    <w:rsid w:val="00052FEA"/>
    <w:rsid w:val="00053210"/>
    <w:rsid w:val="00053268"/>
    <w:rsid w:val="0005347F"/>
    <w:rsid w:val="00053645"/>
    <w:rsid w:val="000538B9"/>
    <w:rsid w:val="000538DB"/>
    <w:rsid w:val="00053996"/>
    <w:rsid w:val="00053ABB"/>
    <w:rsid w:val="00053ACE"/>
    <w:rsid w:val="00053AEB"/>
    <w:rsid w:val="00053C59"/>
    <w:rsid w:val="00053E2B"/>
    <w:rsid w:val="000540AE"/>
    <w:rsid w:val="0005411B"/>
    <w:rsid w:val="00054423"/>
    <w:rsid w:val="00054429"/>
    <w:rsid w:val="0005444D"/>
    <w:rsid w:val="000546E0"/>
    <w:rsid w:val="0005498D"/>
    <w:rsid w:val="00054B5A"/>
    <w:rsid w:val="00054C65"/>
    <w:rsid w:val="00054CF5"/>
    <w:rsid w:val="00054D37"/>
    <w:rsid w:val="0005504A"/>
    <w:rsid w:val="0005516E"/>
    <w:rsid w:val="0005517F"/>
    <w:rsid w:val="00055211"/>
    <w:rsid w:val="00055215"/>
    <w:rsid w:val="00055223"/>
    <w:rsid w:val="000552C7"/>
    <w:rsid w:val="00055312"/>
    <w:rsid w:val="000555EA"/>
    <w:rsid w:val="00055610"/>
    <w:rsid w:val="00055755"/>
    <w:rsid w:val="00055803"/>
    <w:rsid w:val="000558DA"/>
    <w:rsid w:val="0005597B"/>
    <w:rsid w:val="00055ABB"/>
    <w:rsid w:val="00055CA5"/>
    <w:rsid w:val="00055F86"/>
    <w:rsid w:val="00055F9C"/>
    <w:rsid w:val="00056042"/>
    <w:rsid w:val="0005604A"/>
    <w:rsid w:val="00056080"/>
    <w:rsid w:val="00056105"/>
    <w:rsid w:val="000562DD"/>
    <w:rsid w:val="000563C9"/>
    <w:rsid w:val="0005669D"/>
    <w:rsid w:val="0005677C"/>
    <w:rsid w:val="00056859"/>
    <w:rsid w:val="00056880"/>
    <w:rsid w:val="00056977"/>
    <w:rsid w:val="00056A10"/>
    <w:rsid w:val="00056A3E"/>
    <w:rsid w:val="00056A4D"/>
    <w:rsid w:val="00056AF2"/>
    <w:rsid w:val="00056B5D"/>
    <w:rsid w:val="00056B69"/>
    <w:rsid w:val="00056DA6"/>
    <w:rsid w:val="00056E20"/>
    <w:rsid w:val="00056E6E"/>
    <w:rsid w:val="00056EA9"/>
    <w:rsid w:val="00056F5A"/>
    <w:rsid w:val="00057037"/>
    <w:rsid w:val="00057085"/>
    <w:rsid w:val="00057135"/>
    <w:rsid w:val="0005760C"/>
    <w:rsid w:val="0005778F"/>
    <w:rsid w:val="000577E1"/>
    <w:rsid w:val="00057847"/>
    <w:rsid w:val="0005787C"/>
    <w:rsid w:val="000579BE"/>
    <w:rsid w:val="00057B8B"/>
    <w:rsid w:val="00057EB4"/>
    <w:rsid w:val="00057EDC"/>
    <w:rsid w:val="00060173"/>
    <w:rsid w:val="0006021B"/>
    <w:rsid w:val="00060292"/>
    <w:rsid w:val="00060402"/>
    <w:rsid w:val="00060483"/>
    <w:rsid w:val="00060534"/>
    <w:rsid w:val="00060567"/>
    <w:rsid w:val="0006086B"/>
    <w:rsid w:val="00060BF8"/>
    <w:rsid w:val="00060E99"/>
    <w:rsid w:val="00060F30"/>
    <w:rsid w:val="00060F91"/>
    <w:rsid w:val="00060FC1"/>
    <w:rsid w:val="000610FC"/>
    <w:rsid w:val="00061352"/>
    <w:rsid w:val="000615DD"/>
    <w:rsid w:val="0006172F"/>
    <w:rsid w:val="0006177C"/>
    <w:rsid w:val="000618B4"/>
    <w:rsid w:val="00061C64"/>
    <w:rsid w:val="00061F3D"/>
    <w:rsid w:val="000620A4"/>
    <w:rsid w:val="0006217E"/>
    <w:rsid w:val="0006231F"/>
    <w:rsid w:val="0006233E"/>
    <w:rsid w:val="00062401"/>
    <w:rsid w:val="000625AD"/>
    <w:rsid w:val="00062777"/>
    <w:rsid w:val="00062DD5"/>
    <w:rsid w:val="00063168"/>
    <w:rsid w:val="000633FF"/>
    <w:rsid w:val="00063485"/>
    <w:rsid w:val="000637C5"/>
    <w:rsid w:val="00063971"/>
    <w:rsid w:val="000639B6"/>
    <w:rsid w:val="000639E2"/>
    <w:rsid w:val="00063A9E"/>
    <w:rsid w:val="00063B24"/>
    <w:rsid w:val="00063BEB"/>
    <w:rsid w:val="00063BF1"/>
    <w:rsid w:val="00063DD2"/>
    <w:rsid w:val="00063E49"/>
    <w:rsid w:val="00063FA7"/>
    <w:rsid w:val="00064018"/>
    <w:rsid w:val="00064067"/>
    <w:rsid w:val="00064303"/>
    <w:rsid w:val="000643F4"/>
    <w:rsid w:val="00064427"/>
    <w:rsid w:val="0006446A"/>
    <w:rsid w:val="000644E2"/>
    <w:rsid w:val="00064567"/>
    <w:rsid w:val="00064589"/>
    <w:rsid w:val="0006463D"/>
    <w:rsid w:val="000646BF"/>
    <w:rsid w:val="00064AEA"/>
    <w:rsid w:val="00064BCB"/>
    <w:rsid w:val="00064E41"/>
    <w:rsid w:val="00065020"/>
    <w:rsid w:val="000650F5"/>
    <w:rsid w:val="0006511F"/>
    <w:rsid w:val="0006516C"/>
    <w:rsid w:val="0006523C"/>
    <w:rsid w:val="0006533C"/>
    <w:rsid w:val="00065958"/>
    <w:rsid w:val="00065A31"/>
    <w:rsid w:val="00065B4E"/>
    <w:rsid w:val="00065B7A"/>
    <w:rsid w:val="00065BCF"/>
    <w:rsid w:val="00065CAB"/>
    <w:rsid w:val="00065EB1"/>
    <w:rsid w:val="00066185"/>
    <w:rsid w:val="0006638B"/>
    <w:rsid w:val="00066399"/>
    <w:rsid w:val="000666C0"/>
    <w:rsid w:val="000666EA"/>
    <w:rsid w:val="000668FA"/>
    <w:rsid w:val="0006694E"/>
    <w:rsid w:val="00066A0B"/>
    <w:rsid w:val="00066A4D"/>
    <w:rsid w:val="00066A5E"/>
    <w:rsid w:val="00066A79"/>
    <w:rsid w:val="00066AA8"/>
    <w:rsid w:val="00066CA9"/>
    <w:rsid w:val="00066D5C"/>
    <w:rsid w:val="00066EA0"/>
    <w:rsid w:val="00066EAC"/>
    <w:rsid w:val="000670D0"/>
    <w:rsid w:val="0006737F"/>
    <w:rsid w:val="00067543"/>
    <w:rsid w:val="000675D1"/>
    <w:rsid w:val="00067617"/>
    <w:rsid w:val="0006766F"/>
    <w:rsid w:val="00067705"/>
    <w:rsid w:val="00067790"/>
    <w:rsid w:val="00067822"/>
    <w:rsid w:val="00067E2E"/>
    <w:rsid w:val="00067EEE"/>
    <w:rsid w:val="00067EF6"/>
    <w:rsid w:val="000700BD"/>
    <w:rsid w:val="00070202"/>
    <w:rsid w:val="00070234"/>
    <w:rsid w:val="0007024F"/>
    <w:rsid w:val="000702EC"/>
    <w:rsid w:val="0007049B"/>
    <w:rsid w:val="000706DC"/>
    <w:rsid w:val="00070794"/>
    <w:rsid w:val="000707EC"/>
    <w:rsid w:val="000707F9"/>
    <w:rsid w:val="00070818"/>
    <w:rsid w:val="00070A05"/>
    <w:rsid w:val="00070D3C"/>
    <w:rsid w:val="0007102C"/>
    <w:rsid w:val="0007110F"/>
    <w:rsid w:val="00071138"/>
    <w:rsid w:val="00071246"/>
    <w:rsid w:val="00071263"/>
    <w:rsid w:val="0007133C"/>
    <w:rsid w:val="00071347"/>
    <w:rsid w:val="00071382"/>
    <w:rsid w:val="000713FA"/>
    <w:rsid w:val="0007148F"/>
    <w:rsid w:val="000714DD"/>
    <w:rsid w:val="0007151C"/>
    <w:rsid w:val="000718B8"/>
    <w:rsid w:val="00071AA5"/>
    <w:rsid w:val="00071B20"/>
    <w:rsid w:val="00071C46"/>
    <w:rsid w:val="00071D58"/>
    <w:rsid w:val="00071ED7"/>
    <w:rsid w:val="00071F57"/>
    <w:rsid w:val="00071F6C"/>
    <w:rsid w:val="000720C1"/>
    <w:rsid w:val="00072167"/>
    <w:rsid w:val="00072352"/>
    <w:rsid w:val="0007237C"/>
    <w:rsid w:val="00072599"/>
    <w:rsid w:val="000725AD"/>
    <w:rsid w:val="000729A3"/>
    <w:rsid w:val="00072BE2"/>
    <w:rsid w:val="00072C73"/>
    <w:rsid w:val="00072D0E"/>
    <w:rsid w:val="00072D45"/>
    <w:rsid w:val="00072E79"/>
    <w:rsid w:val="0007303F"/>
    <w:rsid w:val="0007326F"/>
    <w:rsid w:val="00073290"/>
    <w:rsid w:val="000732C9"/>
    <w:rsid w:val="000733EB"/>
    <w:rsid w:val="000734F7"/>
    <w:rsid w:val="00073521"/>
    <w:rsid w:val="00073803"/>
    <w:rsid w:val="00073871"/>
    <w:rsid w:val="00073A31"/>
    <w:rsid w:val="00073AE5"/>
    <w:rsid w:val="00073DB7"/>
    <w:rsid w:val="00074447"/>
    <w:rsid w:val="00074546"/>
    <w:rsid w:val="000745F7"/>
    <w:rsid w:val="00074968"/>
    <w:rsid w:val="000749B6"/>
    <w:rsid w:val="00074C54"/>
    <w:rsid w:val="00074CCC"/>
    <w:rsid w:val="00074DCC"/>
    <w:rsid w:val="00074F6C"/>
    <w:rsid w:val="000751EC"/>
    <w:rsid w:val="00075347"/>
    <w:rsid w:val="000753B0"/>
    <w:rsid w:val="000754D7"/>
    <w:rsid w:val="000755D7"/>
    <w:rsid w:val="00075749"/>
    <w:rsid w:val="00075772"/>
    <w:rsid w:val="00075848"/>
    <w:rsid w:val="00075962"/>
    <w:rsid w:val="00075A89"/>
    <w:rsid w:val="00075ADA"/>
    <w:rsid w:val="00075C15"/>
    <w:rsid w:val="00075D9D"/>
    <w:rsid w:val="00075EA2"/>
    <w:rsid w:val="00075EDE"/>
    <w:rsid w:val="00075F70"/>
    <w:rsid w:val="000761CA"/>
    <w:rsid w:val="0007627B"/>
    <w:rsid w:val="000764B9"/>
    <w:rsid w:val="0007672D"/>
    <w:rsid w:val="00076857"/>
    <w:rsid w:val="00076886"/>
    <w:rsid w:val="000768EA"/>
    <w:rsid w:val="000769C2"/>
    <w:rsid w:val="00076B11"/>
    <w:rsid w:val="00076BDA"/>
    <w:rsid w:val="00076C13"/>
    <w:rsid w:val="00076C74"/>
    <w:rsid w:val="00076EEF"/>
    <w:rsid w:val="00076F01"/>
    <w:rsid w:val="000770B3"/>
    <w:rsid w:val="00077326"/>
    <w:rsid w:val="00077496"/>
    <w:rsid w:val="00077580"/>
    <w:rsid w:val="000775DE"/>
    <w:rsid w:val="0007766E"/>
    <w:rsid w:val="00077682"/>
    <w:rsid w:val="000776B9"/>
    <w:rsid w:val="000776C5"/>
    <w:rsid w:val="000777C5"/>
    <w:rsid w:val="000777E4"/>
    <w:rsid w:val="00077ABF"/>
    <w:rsid w:val="00077B3A"/>
    <w:rsid w:val="00077CF3"/>
    <w:rsid w:val="00080120"/>
    <w:rsid w:val="00080132"/>
    <w:rsid w:val="00080162"/>
    <w:rsid w:val="00080278"/>
    <w:rsid w:val="000803BB"/>
    <w:rsid w:val="000803C2"/>
    <w:rsid w:val="00080440"/>
    <w:rsid w:val="000806A5"/>
    <w:rsid w:val="00080843"/>
    <w:rsid w:val="00080883"/>
    <w:rsid w:val="000808E5"/>
    <w:rsid w:val="0008094C"/>
    <w:rsid w:val="00080BC3"/>
    <w:rsid w:val="00080BDC"/>
    <w:rsid w:val="00080DB6"/>
    <w:rsid w:val="00080EC3"/>
    <w:rsid w:val="00080F61"/>
    <w:rsid w:val="000810CB"/>
    <w:rsid w:val="000810CF"/>
    <w:rsid w:val="0008133E"/>
    <w:rsid w:val="000813D3"/>
    <w:rsid w:val="00081483"/>
    <w:rsid w:val="000814C3"/>
    <w:rsid w:val="000814D4"/>
    <w:rsid w:val="0008150C"/>
    <w:rsid w:val="00081513"/>
    <w:rsid w:val="0008167E"/>
    <w:rsid w:val="000817D6"/>
    <w:rsid w:val="000818D0"/>
    <w:rsid w:val="000818FE"/>
    <w:rsid w:val="00081AE1"/>
    <w:rsid w:val="00081CB4"/>
    <w:rsid w:val="00081CEC"/>
    <w:rsid w:val="00081D90"/>
    <w:rsid w:val="00082078"/>
    <w:rsid w:val="00082154"/>
    <w:rsid w:val="00082184"/>
    <w:rsid w:val="000821AC"/>
    <w:rsid w:val="000822E4"/>
    <w:rsid w:val="000827F4"/>
    <w:rsid w:val="00082899"/>
    <w:rsid w:val="000828CB"/>
    <w:rsid w:val="00082A66"/>
    <w:rsid w:val="00082C51"/>
    <w:rsid w:val="00082DA2"/>
    <w:rsid w:val="00082E4E"/>
    <w:rsid w:val="00082ED0"/>
    <w:rsid w:val="00082F77"/>
    <w:rsid w:val="00082F9B"/>
    <w:rsid w:val="00082FA0"/>
    <w:rsid w:val="00082FC2"/>
    <w:rsid w:val="00083112"/>
    <w:rsid w:val="00083172"/>
    <w:rsid w:val="000833A2"/>
    <w:rsid w:val="000835AF"/>
    <w:rsid w:val="000835D8"/>
    <w:rsid w:val="0008360B"/>
    <w:rsid w:val="0008369C"/>
    <w:rsid w:val="000837EA"/>
    <w:rsid w:val="0008391D"/>
    <w:rsid w:val="00083C01"/>
    <w:rsid w:val="00083CE5"/>
    <w:rsid w:val="00083E9E"/>
    <w:rsid w:val="000840A5"/>
    <w:rsid w:val="00084409"/>
    <w:rsid w:val="00084588"/>
    <w:rsid w:val="0008468B"/>
    <w:rsid w:val="000846BB"/>
    <w:rsid w:val="0008477B"/>
    <w:rsid w:val="000847E2"/>
    <w:rsid w:val="00084800"/>
    <w:rsid w:val="0008498D"/>
    <w:rsid w:val="00084A58"/>
    <w:rsid w:val="00084B87"/>
    <w:rsid w:val="00084BA9"/>
    <w:rsid w:val="00084FA2"/>
    <w:rsid w:val="00085013"/>
    <w:rsid w:val="000850E1"/>
    <w:rsid w:val="00085116"/>
    <w:rsid w:val="00085263"/>
    <w:rsid w:val="00085281"/>
    <w:rsid w:val="000852F3"/>
    <w:rsid w:val="00085312"/>
    <w:rsid w:val="0008563C"/>
    <w:rsid w:val="0008575E"/>
    <w:rsid w:val="000857CB"/>
    <w:rsid w:val="000858F2"/>
    <w:rsid w:val="00085948"/>
    <w:rsid w:val="000859FA"/>
    <w:rsid w:val="00085A0C"/>
    <w:rsid w:val="00085C50"/>
    <w:rsid w:val="00085D47"/>
    <w:rsid w:val="00086131"/>
    <w:rsid w:val="0008639C"/>
    <w:rsid w:val="00086563"/>
    <w:rsid w:val="000866F9"/>
    <w:rsid w:val="00086798"/>
    <w:rsid w:val="00086B1C"/>
    <w:rsid w:val="00086C8E"/>
    <w:rsid w:val="00086CA5"/>
    <w:rsid w:val="00086E91"/>
    <w:rsid w:val="00087017"/>
    <w:rsid w:val="0008704F"/>
    <w:rsid w:val="00087273"/>
    <w:rsid w:val="00087281"/>
    <w:rsid w:val="000874B4"/>
    <w:rsid w:val="00087570"/>
    <w:rsid w:val="000875DC"/>
    <w:rsid w:val="00087749"/>
    <w:rsid w:val="000877EC"/>
    <w:rsid w:val="0008781C"/>
    <w:rsid w:val="000878A3"/>
    <w:rsid w:val="000878D4"/>
    <w:rsid w:val="0008792F"/>
    <w:rsid w:val="00087A6B"/>
    <w:rsid w:val="00087B61"/>
    <w:rsid w:val="00087EBA"/>
    <w:rsid w:val="00087F82"/>
    <w:rsid w:val="00087FAF"/>
    <w:rsid w:val="00087FDB"/>
    <w:rsid w:val="00090062"/>
    <w:rsid w:val="00090075"/>
    <w:rsid w:val="000900A5"/>
    <w:rsid w:val="00090275"/>
    <w:rsid w:val="00090369"/>
    <w:rsid w:val="0009049F"/>
    <w:rsid w:val="00090543"/>
    <w:rsid w:val="00090556"/>
    <w:rsid w:val="000907F4"/>
    <w:rsid w:val="000908B7"/>
    <w:rsid w:val="00090A16"/>
    <w:rsid w:val="00090A44"/>
    <w:rsid w:val="00090C92"/>
    <w:rsid w:val="00090D9F"/>
    <w:rsid w:val="00090E63"/>
    <w:rsid w:val="00090EC8"/>
    <w:rsid w:val="00090EE8"/>
    <w:rsid w:val="00090EFB"/>
    <w:rsid w:val="0009133A"/>
    <w:rsid w:val="00091495"/>
    <w:rsid w:val="0009151A"/>
    <w:rsid w:val="0009158F"/>
    <w:rsid w:val="0009159F"/>
    <w:rsid w:val="0009166C"/>
    <w:rsid w:val="00091C69"/>
    <w:rsid w:val="00091DDE"/>
    <w:rsid w:val="00091E64"/>
    <w:rsid w:val="00091F3A"/>
    <w:rsid w:val="00091F82"/>
    <w:rsid w:val="00091FFE"/>
    <w:rsid w:val="00092110"/>
    <w:rsid w:val="00092177"/>
    <w:rsid w:val="00092298"/>
    <w:rsid w:val="000923A2"/>
    <w:rsid w:val="000924DE"/>
    <w:rsid w:val="000926D1"/>
    <w:rsid w:val="00092984"/>
    <w:rsid w:val="00092B12"/>
    <w:rsid w:val="00092C92"/>
    <w:rsid w:val="00092D12"/>
    <w:rsid w:val="00092E71"/>
    <w:rsid w:val="00092F48"/>
    <w:rsid w:val="000930B8"/>
    <w:rsid w:val="00093294"/>
    <w:rsid w:val="0009365D"/>
    <w:rsid w:val="0009374B"/>
    <w:rsid w:val="0009395B"/>
    <w:rsid w:val="00093C0D"/>
    <w:rsid w:val="00093C5C"/>
    <w:rsid w:val="00093CEF"/>
    <w:rsid w:val="00093D02"/>
    <w:rsid w:val="00093EE6"/>
    <w:rsid w:val="00093F06"/>
    <w:rsid w:val="00093FDE"/>
    <w:rsid w:val="0009415B"/>
    <w:rsid w:val="000946D4"/>
    <w:rsid w:val="000948AE"/>
    <w:rsid w:val="00094A65"/>
    <w:rsid w:val="00094AEF"/>
    <w:rsid w:val="00094B1F"/>
    <w:rsid w:val="00094D86"/>
    <w:rsid w:val="00094DC4"/>
    <w:rsid w:val="000950B1"/>
    <w:rsid w:val="000951A0"/>
    <w:rsid w:val="000951DF"/>
    <w:rsid w:val="00095212"/>
    <w:rsid w:val="00095262"/>
    <w:rsid w:val="000952C4"/>
    <w:rsid w:val="0009536A"/>
    <w:rsid w:val="000953E8"/>
    <w:rsid w:val="000953EA"/>
    <w:rsid w:val="000956AA"/>
    <w:rsid w:val="00095710"/>
    <w:rsid w:val="00095747"/>
    <w:rsid w:val="00095811"/>
    <w:rsid w:val="00095897"/>
    <w:rsid w:val="00095955"/>
    <w:rsid w:val="0009598A"/>
    <w:rsid w:val="00095B5D"/>
    <w:rsid w:val="00095D74"/>
    <w:rsid w:val="00095E4B"/>
    <w:rsid w:val="00095E63"/>
    <w:rsid w:val="00095EA6"/>
    <w:rsid w:val="00095ED5"/>
    <w:rsid w:val="00095F1E"/>
    <w:rsid w:val="00095FA8"/>
    <w:rsid w:val="000960FF"/>
    <w:rsid w:val="00096103"/>
    <w:rsid w:val="000961A7"/>
    <w:rsid w:val="00096298"/>
    <w:rsid w:val="000964E1"/>
    <w:rsid w:val="000965D0"/>
    <w:rsid w:val="0009672E"/>
    <w:rsid w:val="0009694C"/>
    <w:rsid w:val="000969B1"/>
    <w:rsid w:val="00096B39"/>
    <w:rsid w:val="00096F7A"/>
    <w:rsid w:val="000970A7"/>
    <w:rsid w:val="000971D4"/>
    <w:rsid w:val="0009722F"/>
    <w:rsid w:val="0009729B"/>
    <w:rsid w:val="00097300"/>
    <w:rsid w:val="00097487"/>
    <w:rsid w:val="0009750F"/>
    <w:rsid w:val="000976C9"/>
    <w:rsid w:val="00097709"/>
    <w:rsid w:val="0009771E"/>
    <w:rsid w:val="000978A0"/>
    <w:rsid w:val="00097B4D"/>
    <w:rsid w:val="00097C39"/>
    <w:rsid w:val="00097C3C"/>
    <w:rsid w:val="00097CA4"/>
    <w:rsid w:val="00097F16"/>
    <w:rsid w:val="00097F4D"/>
    <w:rsid w:val="000A0002"/>
    <w:rsid w:val="000A0253"/>
    <w:rsid w:val="000A0429"/>
    <w:rsid w:val="000A0545"/>
    <w:rsid w:val="000A0557"/>
    <w:rsid w:val="000A063C"/>
    <w:rsid w:val="000A0658"/>
    <w:rsid w:val="000A070C"/>
    <w:rsid w:val="000A0A0D"/>
    <w:rsid w:val="000A0D4C"/>
    <w:rsid w:val="000A0EFF"/>
    <w:rsid w:val="000A1051"/>
    <w:rsid w:val="000A110B"/>
    <w:rsid w:val="000A1159"/>
    <w:rsid w:val="000A11C0"/>
    <w:rsid w:val="000A11D7"/>
    <w:rsid w:val="000A12E1"/>
    <w:rsid w:val="000A14D9"/>
    <w:rsid w:val="000A1509"/>
    <w:rsid w:val="000A1512"/>
    <w:rsid w:val="000A1517"/>
    <w:rsid w:val="000A15EB"/>
    <w:rsid w:val="000A176C"/>
    <w:rsid w:val="000A1813"/>
    <w:rsid w:val="000A190C"/>
    <w:rsid w:val="000A1B36"/>
    <w:rsid w:val="000A1B72"/>
    <w:rsid w:val="000A1C1D"/>
    <w:rsid w:val="000A1C1E"/>
    <w:rsid w:val="000A1F4A"/>
    <w:rsid w:val="000A1FC7"/>
    <w:rsid w:val="000A20C8"/>
    <w:rsid w:val="000A21A3"/>
    <w:rsid w:val="000A21A9"/>
    <w:rsid w:val="000A2219"/>
    <w:rsid w:val="000A245B"/>
    <w:rsid w:val="000A24DE"/>
    <w:rsid w:val="000A2502"/>
    <w:rsid w:val="000A2574"/>
    <w:rsid w:val="000A259F"/>
    <w:rsid w:val="000A265C"/>
    <w:rsid w:val="000A2685"/>
    <w:rsid w:val="000A295E"/>
    <w:rsid w:val="000A2AC4"/>
    <w:rsid w:val="000A2B55"/>
    <w:rsid w:val="000A2B67"/>
    <w:rsid w:val="000A2CD0"/>
    <w:rsid w:val="000A2D75"/>
    <w:rsid w:val="000A2FA2"/>
    <w:rsid w:val="000A3013"/>
    <w:rsid w:val="000A30A0"/>
    <w:rsid w:val="000A32D7"/>
    <w:rsid w:val="000A3354"/>
    <w:rsid w:val="000A3668"/>
    <w:rsid w:val="000A3721"/>
    <w:rsid w:val="000A38BF"/>
    <w:rsid w:val="000A39BB"/>
    <w:rsid w:val="000A3B40"/>
    <w:rsid w:val="000A3C33"/>
    <w:rsid w:val="000A3CFF"/>
    <w:rsid w:val="000A3D08"/>
    <w:rsid w:val="000A3D24"/>
    <w:rsid w:val="000A3F3C"/>
    <w:rsid w:val="000A4187"/>
    <w:rsid w:val="000A426C"/>
    <w:rsid w:val="000A4356"/>
    <w:rsid w:val="000A4417"/>
    <w:rsid w:val="000A4782"/>
    <w:rsid w:val="000A47C5"/>
    <w:rsid w:val="000A48D6"/>
    <w:rsid w:val="000A4A77"/>
    <w:rsid w:val="000A4C62"/>
    <w:rsid w:val="000A4D31"/>
    <w:rsid w:val="000A4DA6"/>
    <w:rsid w:val="000A506D"/>
    <w:rsid w:val="000A52E7"/>
    <w:rsid w:val="000A533B"/>
    <w:rsid w:val="000A5452"/>
    <w:rsid w:val="000A5458"/>
    <w:rsid w:val="000A55B4"/>
    <w:rsid w:val="000A55B6"/>
    <w:rsid w:val="000A55D5"/>
    <w:rsid w:val="000A584C"/>
    <w:rsid w:val="000A58FE"/>
    <w:rsid w:val="000A5A10"/>
    <w:rsid w:val="000A5AC0"/>
    <w:rsid w:val="000A5B2B"/>
    <w:rsid w:val="000A5D8D"/>
    <w:rsid w:val="000A5D8F"/>
    <w:rsid w:val="000A5DB5"/>
    <w:rsid w:val="000A5E14"/>
    <w:rsid w:val="000A5E80"/>
    <w:rsid w:val="000A5F3E"/>
    <w:rsid w:val="000A5FB0"/>
    <w:rsid w:val="000A60F1"/>
    <w:rsid w:val="000A6236"/>
    <w:rsid w:val="000A633C"/>
    <w:rsid w:val="000A647D"/>
    <w:rsid w:val="000A659B"/>
    <w:rsid w:val="000A6751"/>
    <w:rsid w:val="000A67CC"/>
    <w:rsid w:val="000A681E"/>
    <w:rsid w:val="000A6903"/>
    <w:rsid w:val="000A6ABF"/>
    <w:rsid w:val="000A6B11"/>
    <w:rsid w:val="000A6CFD"/>
    <w:rsid w:val="000A6D81"/>
    <w:rsid w:val="000A6E81"/>
    <w:rsid w:val="000A6F6D"/>
    <w:rsid w:val="000A7027"/>
    <w:rsid w:val="000A7080"/>
    <w:rsid w:val="000A70A0"/>
    <w:rsid w:val="000A70D9"/>
    <w:rsid w:val="000A714E"/>
    <w:rsid w:val="000A7425"/>
    <w:rsid w:val="000A7496"/>
    <w:rsid w:val="000A758A"/>
    <w:rsid w:val="000A789D"/>
    <w:rsid w:val="000A7C5A"/>
    <w:rsid w:val="000A7CF8"/>
    <w:rsid w:val="000A7D93"/>
    <w:rsid w:val="000A7DCE"/>
    <w:rsid w:val="000B000B"/>
    <w:rsid w:val="000B00A0"/>
    <w:rsid w:val="000B02BC"/>
    <w:rsid w:val="000B04F3"/>
    <w:rsid w:val="000B056B"/>
    <w:rsid w:val="000B05DA"/>
    <w:rsid w:val="000B0618"/>
    <w:rsid w:val="000B06C5"/>
    <w:rsid w:val="000B070C"/>
    <w:rsid w:val="000B0A8B"/>
    <w:rsid w:val="000B0B0B"/>
    <w:rsid w:val="000B0B96"/>
    <w:rsid w:val="000B0D1B"/>
    <w:rsid w:val="000B0EA3"/>
    <w:rsid w:val="000B0F5D"/>
    <w:rsid w:val="000B10AE"/>
    <w:rsid w:val="000B10BB"/>
    <w:rsid w:val="000B110F"/>
    <w:rsid w:val="000B1186"/>
    <w:rsid w:val="000B12B5"/>
    <w:rsid w:val="000B15B6"/>
    <w:rsid w:val="000B171E"/>
    <w:rsid w:val="000B1753"/>
    <w:rsid w:val="000B1757"/>
    <w:rsid w:val="000B1759"/>
    <w:rsid w:val="000B181E"/>
    <w:rsid w:val="000B1853"/>
    <w:rsid w:val="000B187F"/>
    <w:rsid w:val="000B188B"/>
    <w:rsid w:val="000B1953"/>
    <w:rsid w:val="000B1AB8"/>
    <w:rsid w:val="000B1C56"/>
    <w:rsid w:val="000B1E1F"/>
    <w:rsid w:val="000B1E6B"/>
    <w:rsid w:val="000B202F"/>
    <w:rsid w:val="000B20B3"/>
    <w:rsid w:val="000B20CC"/>
    <w:rsid w:val="000B2224"/>
    <w:rsid w:val="000B227A"/>
    <w:rsid w:val="000B23B0"/>
    <w:rsid w:val="000B2658"/>
    <w:rsid w:val="000B26C8"/>
    <w:rsid w:val="000B270F"/>
    <w:rsid w:val="000B28B2"/>
    <w:rsid w:val="000B2931"/>
    <w:rsid w:val="000B2B59"/>
    <w:rsid w:val="000B2CC2"/>
    <w:rsid w:val="000B3080"/>
    <w:rsid w:val="000B31D3"/>
    <w:rsid w:val="000B3237"/>
    <w:rsid w:val="000B35E1"/>
    <w:rsid w:val="000B36FB"/>
    <w:rsid w:val="000B37C7"/>
    <w:rsid w:val="000B3873"/>
    <w:rsid w:val="000B39BF"/>
    <w:rsid w:val="000B39CF"/>
    <w:rsid w:val="000B3BEC"/>
    <w:rsid w:val="000B3C40"/>
    <w:rsid w:val="000B3DAA"/>
    <w:rsid w:val="000B3F9B"/>
    <w:rsid w:val="000B3FFD"/>
    <w:rsid w:val="000B4060"/>
    <w:rsid w:val="000B41AA"/>
    <w:rsid w:val="000B431E"/>
    <w:rsid w:val="000B43C9"/>
    <w:rsid w:val="000B440E"/>
    <w:rsid w:val="000B494F"/>
    <w:rsid w:val="000B4BCC"/>
    <w:rsid w:val="000B4C07"/>
    <w:rsid w:val="000B4C49"/>
    <w:rsid w:val="000B4DED"/>
    <w:rsid w:val="000B51CB"/>
    <w:rsid w:val="000B520F"/>
    <w:rsid w:val="000B552D"/>
    <w:rsid w:val="000B5622"/>
    <w:rsid w:val="000B57C1"/>
    <w:rsid w:val="000B59F3"/>
    <w:rsid w:val="000B5BDF"/>
    <w:rsid w:val="000B5E29"/>
    <w:rsid w:val="000B5FD5"/>
    <w:rsid w:val="000B60CD"/>
    <w:rsid w:val="000B6258"/>
    <w:rsid w:val="000B62FC"/>
    <w:rsid w:val="000B6598"/>
    <w:rsid w:val="000B6A0E"/>
    <w:rsid w:val="000B6B44"/>
    <w:rsid w:val="000B6BD6"/>
    <w:rsid w:val="000B6BF1"/>
    <w:rsid w:val="000B6CB9"/>
    <w:rsid w:val="000B6F62"/>
    <w:rsid w:val="000B70B4"/>
    <w:rsid w:val="000B71ED"/>
    <w:rsid w:val="000B71F0"/>
    <w:rsid w:val="000B751A"/>
    <w:rsid w:val="000B7588"/>
    <w:rsid w:val="000B775E"/>
    <w:rsid w:val="000B7A1E"/>
    <w:rsid w:val="000B7AF5"/>
    <w:rsid w:val="000B7CBF"/>
    <w:rsid w:val="000B7D3B"/>
    <w:rsid w:val="000B7EC3"/>
    <w:rsid w:val="000B7EF6"/>
    <w:rsid w:val="000B7FC6"/>
    <w:rsid w:val="000C0020"/>
    <w:rsid w:val="000C0045"/>
    <w:rsid w:val="000C01E7"/>
    <w:rsid w:val="000C0290"/>
    <w:rsid w:val="000C02A8"/>
    <w:rsid w:val="000C02C5"/>
    <w:rsid w:val="000C02F3"/>
    <w:rsid w:val="000C0347"/>
    <w:rsid w:val="000C03B4"/>
    <w:rsid w:val="000C06AB"/>
    <w:rsid w:val="000C071F"/>
    <w:rsid w:val="000C09E2"/>
    <w:rsid w:val="000C0AB7"/>
    <w:rsid w:val="000C0ACD"/>
    <w:rsid w:val="000C0C9F"/>
    <w:rsid w:val="000C0CA7"/>
    <w:rsid w:val="000C0CFC"/>
    <w:rsid w:val="000C0F05"/>
    <w:rsid w:val="000C0F24"/>
    <w:rsid w:val="000C1032"/>
    <w:rsid w:val="000C10A2"/>
    <w:rsid w:val="000C12A3"/>
    <w:rsid w:val="000C1498"/>
    <w:rsid w:val="000C1702"/>
    <w:rsid w:val="000C1755"/>
    <w:rsid w:val="000C1782"/>
    <w:rsid w:val="000C18DF"/>
    <w:rsid w:val="000C1BC6"/>
    <w:rsid w:val="000C1D04"/>
    <w:rsid w:val="000C1EAC"/>
    <w:rsid w:val="000C229C"/>
    <w:rsid w:val="000C230D"/>
    <w:rsid w:val="000C237E"/>
    <w:rsid w:val="000C268E"/>
    <w:rsid w:val="000C26B4"/>
    <w:rsid w:val="000C2966"/>
    <w:rsid w:val="000C2A4D"/>
    <w:rsid w:val="000C2C06"/>
    <w:rsid w:val="000C2CA9"/>
    <w:rsid w:val="000C2DB8"/>
    <w:rsid w:val="000C2E81"/>
    <w:rsid w:val="000C3145"/>
    <w:rsid w:val="000C324E"/>
    <w:rsid w:val="000C32CB"/>
    <w:rsid w:val="000C3479"/>
    <w:rsid w:val="000C34C5"/>
    <w:rsid w:val="000C36B8"/>
    <w:rsid w:val="000C36BC"/>
    <w:rsid w:val="000C36DC"/>
    <w:rsid w:val="000C37DA"/>
    <w:rsid w:val="000C3880"/>
    <w:rsid w:val="000C38F6"/>
    <w:rsid w:val="000C3968"/>
    <w:rsid w:val="000C399A"/>
    <w:rsid w:val="000C3BA4"/>
    <w:rsid w:val="000C3C9D"/>
    <w:rsid w:val="000C3CCA"/>
    <w:rsid w:val="000C3EBD"/>
    <w:rsid w:val="000C3F4B"/>
    <w:rsid w:val="000C4212"/>
    <w:rsid w:val="000C4512"/>
    <w:rsid w:val="000C4680"/>
    <w:rsid w:val="000C47DC"/>
    <w:rsid w:val="000C497A"/>
    <w:rsid w:val="000C4A17"/>
    <w:rsid w:val="000C4A28"/>
    <w:rsid w:val="000C4BDE"/>
    <w:rsid w:val="000C4C29"/>
    <w:rsid w:val="000C521D"/>
    <w:rsid w:val="000C53DC"/>
    <w:rsid w:val="000C5474"/>
    <w:rsid w:val="000C550F"/>
    <w:rsid w:val="000C569C"/>
    <w:rsid w:val="000C5752"/>
    <w:rsid w:val="000C5944"/>
    <w:rsid w:val="000C595D"/>
    <w:rsid w:val="000C5A31"/>
    <w:rsid w:val="000C5A44"/>
    <w:rsid w:val="000C5A5D"/>
    <w:rsid w:val="000C5ACE"/>
    <w:rsid w:val="000C5BBF"/>
    <w:rsid w:val="000C5C94"/>
    <w:rsid w:val="000C5CFE"/>
    <w:rsid w:val="000C5DBC"/>
    <w:rsid w:val="000C5DEE"/>
    <w:rsid w:val="000C5F19"/>
    <w:rsid w:val="000C5F40"/>
    <w:rsid w:val="000C6109"/>
    <w:rsid w:val="000C61A0"/>
    <w:rsid w:val="000C6225"/>
    <w:rsid w:val="000C6353"/>
    <w:rsid w:val="000C6462"/>
    <w:rsid w:val="000C646E"/>
    <w:rsid w:val="000C65DF"/>
    <w:rsid w:val="000C6705"/>
    <w:rsid w:val="000C67FE"/>
    <w:rsid w:val="000C6814"/>
    <w:rsid w:val="000C69A4"/>
    <w:rsid w:val="000C69DB"/>
    <w:rsid w:val="000C6BB8"/>
    <w:rsid w:val="000C6FE8"/>
    <w:rsid w:val="000C73C4"/>
    <w:rsid w:val="000C74C9"/>
    <w:rsid w:val="000C7531"/>
    <w:rsid w:val="000C77B9"/>
    <w:rsid w:val="000C7858"/>
    <w:rsid w:val="000C7CC1"/>
    <w:rsid w:val="000C7F78"/>
    <w:rsid w:val="000C7FE2"/>
    <w:rsid w:val="000D0204"/>
    <w:rsid w:val="000D039F"/>
    <w:rsid w:val="000D03E2"/>
    <w:rsid w:val="000D0406"/>
    <w:rsid w:val="000D050E"/>
    <w:rsid w:val="000D0554"/>
    <w:rsid w:val="000D05C4"/>
    <w:rsid w:val="000D05FD"/>
    <w:rsid w:val="000D066E"/>
    <w:rsid w:val="000D0990"/>
    <w:rsid w:val="000D09DE"/>
    <w:rsid w:val="000D0A68"/>
    <w:rsid w:val="000D0AE6"/>
    <w:rsid w:val="000D0B8D"/>
    <w:rsid w:val="000D0BFD"/>
    <w:rsid w:val="000D0D03"/>
    <w:rsid w:val="000D0E50"/>
    <w:rsid w:val="000D0ECB"/>
    <w:rsid w:val="000D0F1A"/>
    <w:rsid w:val="000D123F"/>
    <w:rsid w:val="000D1284"/>
    <w:rsid w:val="000D15AC"/>
    <w:rsid w:val="000D1716"/>
    <w:rsid w:val="000D180C"/>
    <w:rsid w:val="000D1953"/>
    <w:rsid w:val="000D19BC"/>
    <w:rsid w:val="000D1CC8"/>
    <w:rsid w:val="000D1D21"/>
    <w:rsid w:val="000D1D90"/>
    <w:rsid w:val="000D1EAF"/>
    <w:rsid w:val="000D20E9"/>
    <w:rsid w:val="000D2261"/>
    <w:rsid w:val="000D22B2"/>
    <w:rsid w:val="000D2308"/>
    <w:rsid w:val="000D2466"/>
    <w:rsid w:val="000D24B7"/>
    <w:rsid w:val="000D2554"/>
    <w:rsid w:val="000D2823"/>
    <w:rsid w:val="000D292E"/>
    <w:rsid w:val="000D2969"/>
    <w:rsid w:val="000D2978"/>
    <w:rsid w:val="000D2BD3"/>
    <w:rsid w:val="000D2CD4"/>
    <w:rsid w:val="000D2D22"/>
    <w:rsid w:val="000D31C1"/>
    <w:rsid w:val="000D339F"/>
    <w:rsid w:val="000D36AE"/>
    <w:rsid w:val="000D373A"/>
    <w:rsid w:val="000D3994"/>
    <w:rsid w:val="000D3B2B"/>
    <w:rsid w:val="000D3D06"/>
    <w:rsid w:val="000D3DBD"/>
    <w:rsid w:val="000D3DCA"/>
    <w:rsid w:val="000D3FB6"/>
    <w:rsid w:val="000D4080"/>
    <w:rsid w:val="000D4249"/>
    <w:rsid w:val="000D424D"/>
    <w:rsid w:val="000D4274"/>
    <w:rsid w:val="000D45CE"/>
    <w:rsid w:val="000D4774"/>
    <w:rsid w:val="000D4853"/>
    <w:rsid w:val="000D4897"/>
    <w:rsid w:val="000D4CE5"/>
    <w:rsid w:val="000D4D51"/>
    <w:rsid w:val="000D4D95"/>
    <w:rsid w:val="000D4F9E"/>
    <w:rsid w:val="000D50EE"/>
    <w:rsid w:val="000D50EF"/>
    <w:rsid w:val="000D52B1"/>
    <w:rsid w:val="000D5533"/>
    <w:rsid w:val="000D55E6"/>
    <w:rsid w:val="000D5667"/>
    <w:rsid w:val="000D5737"/>
    <w:rsid w:val="000D5775"/>
    <w:rsid w:val="000D57B6"/>
    <w:rsid w:val="000D5931"/>
    <w:rsid w:val="000D594E"/>
    <w:rsid w:val="000D595F"/>
    <w:rsid w:val="000D5A6F"/>
    <w:rsid w:val="000D5B2D"/>
    <w:rsid w:val="000D5C99"/>
    <w:rsid w:val="000D5DB9"/>
    <w:rsid w:val="000D5DFC"/>
    <w:rsid w:val="000D5E28"/>
    <w:rsid w:val="000D5E2E"/>
    <w:rsid w:val="000D5E3F"/>
    <w:rsid w:val="000D5E9D"/>
    <w:rsid w:val="000D632D"/>
    <w:rsid w:val="000D6455"/>
    <w:rsid w:val="000D65E2"/>
    <w:rsid w:val="000D66FB"/>
    <w:rsid w:val="000D6741"/>
    <w:rsid w:val="000D6769"/>
    <w:rsid w:val="000D69E6"/>
    <w:rsid w:val="000D6AC5"/>
    <w:rsid w:val="000D6C93"/>
    <w:rsid w:val="000D6D21"/>
    <w:rsid w:val="000D72E1"/>
    <w:rsid w:val="000D7569"/>
    <w:rsid w:val="000D75A6"/>
    <w:rsid w:val="000D7794"/>
    <w:rsid w:val="000D797C"/>
    <w:rsid w:val="000D7A18"/>
    <w:rsid w:val="000D7B8E"/>
    <w:rsid w:val="000D7E4F"/>
    <w:rsid w:val="000D7F62"/>
    <w:rsid w:val="000D7F79"/>
    <w:rsid w:val="000D7FEA"/>
    <w:rsid w:val="000E0203"/>
    <w:rsid w:val="000E04C4"/>
    <w:rsid w:val="000E07BB"/>
    <w:rsid w:val="000E080D"/>
    <w:rsid w:val="000E09BA"/>
    <w:rsid w:val="000E0B74"/>
    <w:rsid w:val="000E0B8D"/>
    <w:rsid w:val="000E0BFC"/>
    <w:rsid w:val="000E0D7E"/>
    <w:rsid w:val="000E0EF6"/>
    <w:rsid w:val="000E1043"/>
    <w:rsid w:val="000E1082"/>
    <w:rsid w:val="000E1165"/>
    <w:rsid w:val="000E1362"/>
    <w:rsid w:val="000E1380"/>
    <w:rsid w:val="000E167B"/>
    <w:rsid w:val="000E17FD"/>
    <w:rsid w:val="000E19D4"/>
    <w:rsid w:val="000E1A27"/>
    <w:rsid w:val="000E1A95"/>
    <w:rsid w:val="000E1A9B"/>
    <w:rsid w:val="000E1C93"/>
    <w:rsid w:val="000E1D96"/>
    <w:rsid w:val="000E1E79"/>
    <w:rsid w:val="000E209D"/>
    <w:rsid w:val="000E2173"/>
    <w:rsid w:val="000E24C0"/>
    <w:rsid w:val="000E2817"/>
    <w:rsid w:val="000E287F"/>
    <w:rsid w:val="000E2887"/>
    <w:rsid w:val="000E28A0"/>
    <w:rsid w:val="000E2BEA"/>
    <w:rsid w:val="000E2DF2"/>
    <w:rsid w:val="000E2F04"/>
    <w:rsid w:val="000E3007"/>
    <w:rsid w:val="000E313A"/>
    <w:rsid w:val="000E3348"/>
    <w:rsid w:val="000E33DC"/>
    <w:rsid w:val="000E3535"/>
    <w:rsid w:val="000E35AA"/>
    <w:rsid w:val="000E35EE"/>
    <w:rsid w:val="000E3610"/>
    <w:rsid w:val="000E3690"/>
    <w:rsid w:val="000E374A"/>
    <w:rsid w:val="000E38A1"/>
    <w:rsid w:val="000E3939"/>
    <w:rsid w:val="000E39C1"/>
    <w:rsid w:val="000E3B23"/>
    <w:rsid w:val="000E3C90"/>
    <w:rsid w:val="000E3DB2"/>
    <w:rsid w:val="000E3DCC"/>
    <w:rsid w:val="000E3F1A"/>
    <w:rsid w:val="000E412D"/>
    <w:rsid w:val="000E4383"/>
    <w:rsid w:val="000E43D0"/>
    <w:rsid w:val="000E44D8"/>
    <w:rsid w:val="000E4560"/>
    <w:rsid w:val="000E46FC"/>
    <w:rsid w:val="000E49A0"/>
    <w:rsid w:val="000E4A42"/>
    <w:rsid w:val="000E4AB7"/>
    <w:rsid w:val="000E4B11"/>
    <w:rsid w:val="000E4B6B"/>
    <w:rsid w:val="000E4C07"/>
    <w:rsid w:val="000E4E50"/>
    <w:rsid w:val="000E51C0"/>
    <w:rsid w:val="000E538E"/>
    <w:rsid w:val="000E53BA"/>
    <w:rsid w:val="000E53FE"/>
    <w:rsid w:val="000E543E"/>
    <w:rsid w:val="000E54B3"/>
    <w:rsid w:val="000E5552"/>
    <w:rsid w:val="000E5689"/>
    <w:rsid w:val="000E568B"/>
    <w:rsid w:val="000E5850"/>
    <w:rsid w:val="000E5ADF"/>
    <w:rsid w:val="000E5AF7"/>
    <w:rsid w:val="000E5BEA"/>
    <w:rsid w:val="000E5CA2"/>
    <w:rsid w:val="000E5CAF"/>
    <w:rsid w:val="000E5F74"/>
    <w:rsid w:val="000E6309"/>
    <w:rsid w:val="000E65D7"/>
    <w:rsid w:val="000E65EE"/>
    <w:rsid w:val="000E6632"/>
    <w:rsid w:val="000E6713"/>
    <w:rsid w:val="000E699D"/>
    <w:rsid w:val="000E6AB8"/>
    <w:rsid w:val="000E6B6A"/>
    <w:rsid w:val="000E6C37"/>
    <w:rsid w:val="000E6C71"/>
    <w:rsid w:val="000E703D"/>
    <w:rsid w:val="000E72FE"/>
    <w:rsid w:val="000E748D"/>
    <w:rsid w:val="000E759C"/>
    <w:rsid w:val="000E7899"/>
    <w:rsid w:val="000E7A6F"/>
    <w:rsid w:val="000E7B50"/>
    <w:rsid w:val="000E7B76"/>
    <w:rsid w:val="000E7BF4"/>
    <w:rsid w:val="000E7D2A"/>
    <w:rsid w:val="000E7DA7"/>
    <w:rsid w:val="000E7DB4"/>
    <w:rsid w:val="000E7E42"/>
    <w:rsid w:val="000E7FBC"/>
    <w:rsid w:val="000F0319"/>
    <w:rsid w:val="000F03CA"/>
    <w:rsid w:val="000F0406"/>
    <w:rsid w:val="000F0446"/>
    <w:rsid w:val="000F063D"/>
    <w:rsid w:val="000F06D3"/>
    <w:rsid w:val="000F0869"/>
    <w:rsid w:val="000F09C1"/>
    <w:rsid w:val="000F0A3B"/>
    <w:rsid w:val="000F0BF8"/>
    <w:rsid w:val="000F0BFB"/>
    <w:rsid w:val="000F0BFE"/>
    <w:rsid w:val="000F0C09"/>
    <w:rsid w:val="000F0D64"/>
    <w:rsid w:val="000F0E92"/>
    <w:rsid w:val="000F0FBD"/>
    <w:rsid w:val="000F1048"/>
    <w:rsid w:val="000F1699"/>
    <w:rsid w:val="000F16DF"/>
    <w:rsid w:val="000F1817"/>
    <w:rsid w:val="000F1889"/>
    <w:rsid w:val="000F1ACA"/>
    <w:rsid w:val="000F1ADE"/>
    <w:rsid w:val="000F1CC4"/>
    <w:rsid w:val="000F1DE7"/>
    <w:rsid w:val="000F1E6E"/>
    <w:rsid w:val="000F2258"/>
    <w:rsid w:val="000F227A"/>
    <w:rsid w:val="000F231E"/>
    <w:rsid w:val="000F237F"/>
    <w:rsid w:val="000F2514"/>
    <w:rsid w:val="000F2583"/>
    <w:rsid w:val="000F2596"/>
    <w:rsid w:val="000F25B9"/>
    <w:rsid w:val="000F2897"/>
    <w:rsid w:val="000F28F2"/>
    <w:rsid w:val="000F2968"/>
    <w:rsid w:val="000F2D3C"/>
    <w:rsid w:val="000F2DF9"/>
    <w:rsid w:val="000F2F0D"/>
    <w:rsid w:val="000F2FBE"/>
    <w:rsid w:val="000F2FE3"/>
    <w:rsid w:val="000F34F1"/>
    <w:rsid w:val="000F359B"/>
    <w:rsid w:val="000F3623"/>
    <w:rsid w:val="000F3687"/>
    <w:rsid w:val="000F388F"/>
    <w:rsid w:val="000F3937"/>
    <w:rsid w:val="000F3A11"/>
    <w:rsid w:val="000F3A34"/>
    <w:rsid w:val="000F3C6D"/>
    <w:rsid w:val="000F3CA3"/>
    <w:rsid w:val="000F3D8C"/>
    <w:rsid w:val="000F3FD7"/>
    <w:rsid w:val="000F41DB"/>
    <w:rsid w:val="000F423E"/>
    <w:rsid w:val="000F424E"/>
    <w:rsid w:val="000F42B9"/>
    <w:rsid w:val="000F4673"/>
    <w:rsid w:val="000F4677"/>
    <w:rsid w:val="000F46F3"/>
    <w:rsid w:val="000F46FC"/>
    <w:rsid w:val="000F477B"/>
    <w:rsid w:val="000F48D9"/>
    <w:rsid w:val="000F498F"/>
    <w:rsid w:val="000F4B41"/>
    <w:rsid w:val="000F4B95"/>
    <w:rsid w:val="000F4BBB"/>
    <w:rsid w:val="000F502F"/>
    <w:rsid w:val="000F50B1"/>
    <w:rsid w:val="000F5199"/>
    <w:rsid w:val="000F5280"/>
    <w:rsid w:val="000F549F"/>
    <w:rsid w:val="000F54B8"/>
    <w:rsid w:val="000F56CF"/>
    <w:rsid w:val="000F57B7"/>
    <w:rsid w:val="000F5876"/>
    <w:rsid w:val="000F591A"/>
    <w:rsid w:val="000F591E"/>
    <w:rsid w:val="000F5942"/>
    <w:rsid w:val="000F5951"/>
    <w:rsid w:val="000F5952"/>
    <w:rsid w:val="000F59A8"/>
    <w:rsid w:val="000F59C5"/>
    <w:rsid w:val="000F5A40"/>
    <w:rsid w:val="000F5BF7"/>
    <w:rsid w:val="000F5C4E"/>
    <w:rsid w:val="000F5D03"/>
    <w:rsid w:val="000F6105"/>
    <w:rsid w:val="000F6181"/>
    <w:rsid w:val="000F631B"/>
    <w:rsid w:val="000F64A6"/>
    <w:rsid w:val="000F64E0"/>
    <w:rsid w:val="000F6611"/>
    <w:rsid w:val="000F671F"/>
    <w:rsid w:val="000F68F2"/>
    <w:rsid w:val="000F6A0E"/>
    <w:rsid w:val="000F6AE6"/>
    <w:rsid w:val="000F6B1F"/>
    <w:rsid w:val="000F6E1C"/>
    <w:rsid w:val="000F6F73"/>
    <w:rsid w:val="000F71EF"/>
    <w:rsid w:val="000F72F1"/>
    <w:rsid w:val="000F7517"/>
    <w:rsid w:val="000F760C"/>
    <w:rsid w:val="000F761B"/>
    <w:rsid w:val="000F775D"/>
    <w:rsid w:val="000F79EE"/>
    <w:rsid w:val="000F7B2C"/>
    <w:rsid w:val="000F7CC5"/>
    <w:rsid w:val="000F7D31"/>
    <w:rsid w:val="000F7EAF"/>
    <w:rsid w:val="000F7F7F"/>
    <w:rsid w:val="000F7F93"/>
    <w:rsid w:val="00100133"/>
    <w:rsid w:val="001001FB"/>
    <w:rsid w:val="001003A2"/>
    <w:rsid w:val="00100508"/>
    <w:rsid w:val="001005D6"/>
    <w:rsid w:val="0010063A"/>
    <w:rsid w:val="00100704"/>
    <w:rsid w:val="00100800"/>
    <w:rsid w:val="0010087D"/>
    <w:rsid w:val="00100BA6"/>
    <w:rsid w:val="00100DC7"/>
    <w:rsid w:val="00100E3F"/>
    <w:rsid w:val="00101034"/>
    <w:rsid w:val="0010126D"/>
    <w:rsid w:val="001013C6"/>
    <w:rsid w:val="0010142C"/>
    <w:rsid w:val="0010147F"/>
    <w:rsid w:val="001015F2"/>
    <w:rsid w:val="001016B6"/>
    <w:rsid w:val="00101924"/>
    <w:rsid w:val="00101D9D"/>
    <w:rsid w:val="00101E96"/>
    <w:rsid w:val="00101ECA"/>
    <w:rsid w:val="00101F18"/>
    <w:rsid w:val="00101F96"/>
    <w:rsid w:val="00101FD3"/>
    <w:rsid w:val="0010241E"/>
    <w:rsid w:val="001026D8"/>
    <w:rsid w:val="0010281B"/>
    <w:rsid w:val="001028A1"/>
    <w:rsid w:val="0010292D"/>
    <w:rsid w:val="00102999"/>
    <w:rsid w:val="001029B5"/>
    <w:rsid w:val="00102AF9"/>
    <w:rsid w:val="00102B5F"/>
    <w:rsid w:val="001030A8"/>
    <w:rsid w:val="0010343D"/>
    <w:rsid w:val="001035C4"/>
    <w:rsid w:val="001036E5"/>
    <w:rsid w:val="00103744"/>
    <w:rsid w:val="0010380D"/>
    <w:rsid w:val="00103935"/>
    <w:rsid w:val="00103A32"/>
    <w:rsid w:val="00103ABD"/>
    <w:rsid w:val="00103D99"/>
    <w:rsid w:val="00103E2C"/>
    <w:rsid w:val="00103EC8"/>
    <w:rsid w:val="00103FFE"/>
    <w:rsid w:val="001042AA"/>
    <w:rsid w:val="001042E8"/>
    <w:rsid w:val="00104356"/>
    <w:rsid w:val="00104380"/>
    <w:rsid w:val="001043A2"/>
    <w:rsid w:val="001043EA"/>
    <w:rsid w:val="00104B31"/>
    <w:rsid w:val="00104B66"/>
    <w:rsid w:val="00104BD0"/>
    <w:rsid w:val="00104C04"/>
    <w:rsid w:val="00104E60"/>
    <w:rsid w:val="00104FB4"/>
    <w:rsid w:val="001050EA"/>
    <w:rsid w:val="001051C6"/>
    <w:rsid w:val="001052DC"/>
    <w:rsid w:val="00105461"/>
    <w:rsid w:val="00105A85"/>
    <w:rsid w:val="00105D40"/>
    <w:rsid w:val="00105DC3"/>
    <w:rsid w:val="00106138"/>
    <w:rsid w:val="001063D2"/>
    <w:rsid w:val="001064A0"/>
    <w:rsid w:val="001064CC"/>
    <w:rsid w:val="00106502"/>
    <w:rsid w:val="0010658D"/>
    <w:rsid w:val="00106676"/>
    <w:rsid w:val="001067AE"/>
    <w:rsid w:val="001067D3"/>
    <w:rsid w:val="00106A9D"/>
    <w:rsid w:val="00106B5B"/>
    <w:rsid w:val="00106BD0"/>
    <w:rsid w:val="00106CE1"/>
    <w:rsid w:val="00106D77"/>
    <w:rsid w:val="00106EBB"/>
    <w:rsid w:val="00106F0D"/>
    <w:rsid w:val="00106F4A"/>
    <w:rsid w:val="001070DD"/>
    <w:rsid w:val="0010714E"/>
    <w:rsid w:val="00107152"/>
    <w:rsid w:val="001073C0"/>
    <w:rsid w:val="001074A6"/>
    <w:rsid w:val="001075C8"/>
    <w:rsid w:val="00107629"/>
    <w:rsid w:val="0010767A"/>
    <w:rsid w:val="00107692"/>
    <w:rsid w:val="001078DA"/>
    <w:rsid w:val="0010796D"/>
    <w:rsid w:val="00107A94"/>
    <w:rsid w:val="00107BA8"/>
    <w:rsid w:val="00107BE7"/>
    <w:rsid w:val="00107DE1"/>
    <w:rsid w:val="00107DF4"/>
    <w:rsid w:val="00107F88"/>
    <w:rsid w:val="00110370"/>
    <w:rsid w:val="001103A6"/>
    <w:rsid w:val="00110455"/>
    <w:rsid w:val="001104BC"/>
    <w:rsid w:val="001105C9"/>
    <w:rsid w:val="0011061A"/>
    <w:rsid w:val="001106A2"/>
    <w:rsid w:val="00110784"/>
    <w:rsid w:val="0011078C"/>
    <w:rsid w:val="00110B0E"/>
    <w:rsid w:val="00110C01"/>
    <w:rsid w:val="00110D16"/>
    <w:rsid w:val="00110D6C"/>
    <w:rsid w:val="00110E85"/>
    <w:rsid w:val="00110ECF"/>
    <w:rsid w:val="00110F32"/>
    <w:rsid w:val="00111020"/>
    <w:rsid w:val="0011108A"/>
    <w:rsid w:val="001110A5"/>
    <w:rsid w:val="0011129B"/>
    <w:rsid w:val="00111332"/>
    <w:rsid w:val="0011133F"/>
    <w:rsid w:val="00111347"/>
    <w:rsid w:val="001113DB"/>
    <w:rsid w:val="00111439"/>
    <w:rsid w:val="0011143F"/>
    <w:rsid w:val="001115F9"/>
    <w:rsid w:val="00111629"/>
    <w:rsid w:val="001116ED"/>
    <w:rsid w:val="001116FD"/>
    <w:rsid w:val="00111721"/>
    <w:rsid w:val="001117D0"/>
    <w:rsid w:val="0011184B"/>
    <w:rsid w:val="00111850"/>
    <w:rsid w:val="00111AB5"/>
    <w:rsid w:val="00112039"/>
    <w:rsid w:val="001123CA"/>
    <w:rsid w:val="001125BE"/>
    <w:rsid w:val="001125C5"/>
    <w:rsid w:val="0011265E"/>
    <w:rsid w:val="001126D9"/>
    <w:rsid w:val="00112734"/>
    <w:rsid w:val="00112780"/>
    <w:rsid w:val="001127B3"/>
    <w:rsid w:val="001129D5"/>
    <w:rsid w:val="00112A2F"/>
    <w:rsid w:val="00112B10"/>
    <w:rsid w:val="00112C3D"/>
    <w:rsid w:val="00112CAD"/>
    <w:rsid w:val="00112E8F"/>
    <w:rsid w:val="00112EE1"/>
    <w:rsid w:val="00113092"/>
    <w:rsid w:val="00113321"/>
    <w:rsid w:val="00113333"/>
    <w:rsid w:val="001134AF"/>
    <w:rsid w:val="001134D5"/>
    <w:rsid w:val="00113665"/>
    <w:rsid w:val="00113684"/>
    <w:rsid w:val="00113713"/>
    <w:rsid w:val="001137E4"/>
    <w:rsid w:val="00113941"/>
    <w:rsid w:val="00113948"/>
    <w:rsid w:val="00113967"/>
    <w:rsid w:val="00113AC7"/>
    <w:rsid w:val="00113F2E"/>
    <w:rsid w:val="001141B4"/>
    <w:rsid w:val="0011426E"/>
    <w:rsid w:val="00114360"/>
    <w:rsid w:val="00114678"/>
    <w:rsid w:val="00114703"/>
    <w:rsid w:val="00114894"/>
    <w:rsid w:val="001148A0"/>
    <w:rsid w:val="00114ABE"/>
    <w:rsid w:val="00114B77"/>
    <w:rsid w:val="00114DA9"/>
    <w:rsid w:val="00114EC9"/>
    <w:rsid w:val="00114F83"/>
    <w:rsid w:val="0011504A"/>
    <w:rsid w:val="001151A8"/>
    <w:rsid w:val="00115359"/>
    <w:rsid w:val="0011539C"/>
    <w:rsid w:val="001153AD"/>
    <w:rsid w:val="00115528"/>
    <w:rsid w:val="001158E8"/>
    <w:rsid w:val="00115911"/>
    <w:rsid w:val="00115BE5"/>
    <w:rsid w:val="00115C96"/>
    <w:rsid w:val="00115CE1"/>
    <w:rsid w:val="0011602E"/>
    <w:rsid w:val="001160B7"/>
    <w:rsid w:val="001160FB"/>
    <w:rsid w:val="001161E7"/>
    <w:rsid w:val="001161F2"/>
    <w:rsid w:val="001161F8"/>
    <w:rsid w:val="001162B8"/>
    <w:rsid w:val="00116475"/>
    <w:rsid w:val="001166A7"/>
    <w:rsid w:val="001166A9"/>
    <w:rsid w:val="00116898"/>
    <w:rsid w:val="001169D2"/>
    <w:rsid w:val="00116A4E"/>
    <w:rsid w:val="00116AA9"/>
    <w:rsid w:val="00116B30"/>
    <w:rsid w:val="00116B9F"/>
    <w:rsid w:val="00116BFD"/>
    <w:rsid w:val="00116C40"/>
    <w:rsid w:val="00117046"/>
    <w:rsid w:val="0011705A"/>
    <w:rsid w:val="001171C1"/>
    <w:rsid w:val="001171EE"/>
    <w:rsid w:val="00117270"/>
    <w:rsid w:val="00117301"/>
    <w:rsid w:val="00117428"/>
    <w:rsid w:val="001175AC"/>
    <w:rsid w:val="001177CE"/>
    <w:rsid w:val="00117989"/>
    <w:rsid w:val="001179EB"/>
    <w:rsid w:val="00117A1F"/>
    <w:rsid w:val="00117B0C"/>
    <w:rsid w:val="00117B3F"/>
    <w:rsid w:val="00117B44"/>
    <w:rsid w:val="00117C1D"/>
    <w:rsid w:val="00117D7E"/>
    <w:rsid w:val="00117EDC"/>
    <w:rsid w:val="00120101"/>
    <w:rsid w:val="0012034B"/>
    <w:rsid w:val="00120537"/>
    <w:rsid w:val="001205DB"/>
    <w:rsid w:val="00120754"/>
    <w:rsid w:val="00120952"/>
    <w:rsid w:val="00120A66"/>
    <w:rsid w:val="00120B55"/>
    <w:rsid w:val="00120B8F"/>
    <w:rsid w:val="00120C43"/>
    <w:rsid w:val="00120DBC"/>
    <w:rsid w:val="00120E41"/>
    <w:rsid w:val="00120F37"/>
    <w:rsid w:val="00120F4D"/>
    <w:rsid w:val="00120FE0"/>
    <w:rsid w:val="001211EA"/>
    <w:rsid w:val="001212BC"/>
    <w:rsid w:val="001212BE"/>
    <w:rsid w:val="00121323"/>
    <w:rsid w:val="00121349"/>
    <w:rsid w:val="00121666"/>
    <w:rsid w:val="00121793"/>
    <w:rsid w:val="0012190D"/>
    <w:rsid w:val="00122067"/>
    <w:rsid w:val="001220C9"/>
    <w:rsid w:val="00122241"/>
    <w:rsid w:val="0012232E"/>
    <w:rsid w:val="0012235A"/>
    <w:rsid w:val="00122555"/>
    <w:rsid w:val="001225F6"/>
    <w:rsid w:val="001226C2"/>
    <w:rsid w:val="0012274D"/>
    <w:rsid w:val="00122887"/>
    <w:rsid w:val="001228D4"/>
    <w:rsid w:val="001228DC"/>
    <w:rsid w:val="0012290F"/>
    <w:rsid w:val="00122931"/>
    <w:rsid w:val="00122941"/>
    <w:rsid w:val="001229D4"/>
    <w:rsid w:val="001229E5"/>
    <w:rsid w:val="00122DEC"/>
    <w:rsid w:val="00122E8D"/>
    <w:rsid w:val="001230BB"/>
    <w:rsid w:val="00123120"/>
    <w:rsid w:val="00123136"/>
    <w:rsid w:val="00123153"/>
    <w:rsid w:val="00123178"/>
    <w:rsid w:val="001231B7"/>
    <w:rsid w:val="001235FB"/>
    <w:rsid w:val="00123779"/>
    <w:rsid w:val="0012383A"/>
    <w:rsid w:val="0012389F"/>
    <w:rsid w:val="00123A4F"/>
    <w:rsid w:val="00123B0A"/>
    <w:rsid w:val="00123FDB"/>
    <w:rsid w:val="001241C0"/>
    <w:rsid w:val="0012433D"/>
    <w:rsid w:val="001243AF"/>
    <w:rsid w:val="001244D9"/>
    <w:rsid w:val="00124694"/>
    <w:rsid w:val="001247E2"/>
    <w:rsid w:val="001249B9"/>
    <w:rsid w:val="00124AAC"/>
    <w:rsid w:val="00124B78"/>
    <w:rsid w:val="00124B9D"/>
    <w:rsid w:val="00124C38"/>
    <w:rsid w:val="00124D6A"/>
    <w:rsid w:val="00124DD1"/>
    <w:rsid w:val="00124E1D"/>
    <w:rsid w:val="00124E37"/>
    <w:rsid w:val="00124F83"/>
    <w:rsid w:val="00125121"/>
    <w:rsid w:val="001252D2"/>
    <w:rsid w:val="001253B0"/>
    <w:rsid w:val="00125460"/>
    <w:rsid w:val="001254DD"/>
    <w:rsid w:val="001255AA"/>
    <w:rsid w:val="001256A3"/>
    <w:rsid w:val="001256EA"/>
    <w:rsid w:val="001258F7"/>
    <w:rsid w:val="00125A9E"/>
    <w:rsid w:val="00125BE6"/>
    <w:rsid w:val="00125DF8"/>
    <w:rsid w:val="00125E20"/>
    <w:rsid w:val="00125E95"/>
    <w:rsid w:val="00125EAB"/>
    <w:rsid w:val="00125F82"/>
    <w:rsid w:val="0012633D"/>
    <w:rsid w:val="001263D8"/>
    <w:rsid w:val="00126423"/>
    <w:rsid w:val="00126464"/>
    <w:rsid w:val="001264C8"/>
    <w:rsid w:val="00126561"/>
    <w:rsid w:val="00126795"/>
    <w:rsid w:val="00126828"/>
    <w:rsid w:val="0012684B"/>
    <w:rsid w:val="001269C5"/>
    <w:rsid w:val="00126BC3"/>
    <w:rsid w:val="00126C15"/>
    <w:rsid w:val="00127102"/>
    <w:rsid w:val="001273C1"/>
    <w:rsid w:val="00127437"/>
    <w:rsid w:val="00127491"/>
    <w:rsid w:val="001274A1"/>
    <w:rsid w:val="00127710"/>
    <w:rsid w:val="001278C3"/>
    <w:rsid w:val="00127C19"/>
    <w:rsid w:val="00127EFE"/>
    <w:rsid w:val="00127F3D"/>
    <w:rsid w:val="00127FED"/>
    <w:rsid w:val="0013023A"/>
    <w:rsid w:val="00130565"/>
    <w:rsid w:val="001306D2"/>
    <w:rsid w:val="0013090E"/>
    <w:rsid w:val="00130C76"/>
    <w:rsid w:val="00130C92"/>
    <w:rsid w:val="0013103C"/>
    <w:rsid w:val="0013106E"/>
    <w:rsid w:val="00131189"/>
    <w:rsid w:val="001311B9"/>
    <w:rsid w:val="00131303"/>
    <w:rsid w:val="001317D7"/>
    <w:rsid w:val="00131A11"/>
    <w:rsid w:val="00131C86"/>
    <w:rsid w:val="00131D12"/>
    <w:rsid w:val="00131D84"/>
    <w:rsid w:val="00131E21"/>
    <w:rsid w:val="00131E2E"/>
    <w:rsid w:val="00131FFF"/>
    <w:rsid w:val="001321DB"/>
    <w:rsid w:val="001323E0"/>
    <w:rsid w:val="00132514"/>
    <w:rsid w:val="001325DF"/>
    <w:rsid w:val="0013262F"/>
    <w:rsid w:val="001327BC"/>
    <w:rsid w:val="001327C4"/>
    <w:rsid w:val="001329AA"/>
    <w:rsid w:val="00132A3D"/>
    <w:rsid w:val="00132CCA"/>
    <w:rsid w:val="00132DB0"/>
    <w:rsid w:val="00132E01"/>
    <w:rsid w:val="001332C4"/>
    <w:rsid w:val="00133381"/>
    <w:rsid w:val="00133483"/>
    <w:rsid w:val="001334E4"/>
    <w:rsid w:val="00133658"/>
    <w:rsid w:val="001338EF"/>
    <w:rsid w:val="00133981"/>
    <w:rsid w:val="00133A6E"/>
    <w:rsid w:val="00133BD1"/>
    <w:rsid w:val="00133C42"/>
    <w:rsid w:val="00133D7B"/>
    <w:rsid w:val="00134000"/>
    <w:rsid w:val="00134105"/>
    <w:rsid w:val="0013442D"/>
    <w:rsid w:val="00134505"/>
    <w:rsid w:val="00134531"/>
    <w:rsid w:val="00134619"/>
    <w:rsid w:val="00134882"/>
    <w:rsid w:val="001349F7"/>
    <w:rsid w:val="00134E05"/>
    <w:rsid w:val="00134E08"/>
    <w:rsid w:val="00134E47"/>
    <w:rsid w:val="00134EF2"/>
    <w:rsid w:val="00134F15"/>
    <w:rsid w:val="0013510D"/>
    <w:rsid w:val="001351BA"/>
    <w:rsid w:val="001352AE"/>
    <w:rsid w:val="001354CB"/>
    <w:rsid w:val="0013553E"/>
    <w:rsid w:val="00135583"/>
    <w:rsid w:val="001355AD"/>
    <w:rsid w:val="001356B8"/>
    <w:rsid w:val="00135758"/>
    <w:rsid w:val="0013584A"/>
    <w:rsid w:val="00135934"/>
    <w:rsid w:val="001359F1"/>
    <w:rsid w:val="00135AF2"/>
    <w:rsid w:val="00135E30"/>
    <w:rsid w:val="00135F94"/>
    <w:rsid w:val="00135FA6"/>
    <w:rsid w:val="00136045"/>
    <w:rsid w:val="00136118"/>
    <w:rsid w:val="00136144"/>
    <w:rsid w:val="00136169"/>
    <w:rsid w:val="001361A7"/>
    <w:rsid w:val="001361E3"/>
    <w:rsid w:val="001365DA"/>
    <w:rsid w:val="00136623"/>
    <w:rsid w:val="001367A8"/>
    <w:rsid w:val="001367B6"/>
    <w:rsid w:val="0013685B"/>
    <w:rsid w:val="001368C0"/>
    <w:rsid w:val="00136A5D"/>
    <w:rsid w:val="00136B22"/>
    <w:rsid w:val="00136E89"/>
    <w:rsid w:val="00136E90"/>
    <w:rsid w:val="00137116"/>
    <w:rsid w:val="00137364"/>
    <w:rsid w:val="0013745B"/>
    <w:rsid w:val="001374E7"/>
    <w:rsid w:val="00137ABF"/>
    <w:rsid w:val="00137B63"/>
    <w:rsid w:val="00137C3E"/>
    <w:rsid w:val="00137F25"/>
    <w:rsid w:val="001405E4"/>
    <w:rsid w:val="00140635"/>
    <w:rsid w:val="00140785"/>
    <w:rsid w:val="00140860"/>
    <w:rsid w:val="0014091C"/>
    <w:rsid w:val="00140945"/>
    <w:rsid w:val="00140A8A"/>
    <w:rsid w:val="00140A90"/>
    <w:rsid w:val="00140ADD"/>
    <w:rsid w:val="00140B89"/>
    <w:rsid w:val="00140BAB"/>
    <w:rsid w:val="00140D9E"/>
    <w:rsid w:val="00140DAD"/>
    <w:rsid w:val="00141031"/>
    <w:rsid w:val="0014105D"/>
    <w:rsid w:val="001410EF"/>
    <w:rsid w:val="001410F8"/>
    <w:rsid w:val="00141208"/>
    <w:rsid w:val="001413CA"/>
    <w:rsid w:val="001415F9"/>
    <w:rsid w:val="0014167F"/>
    <w:rsid w:val="00141737"/>
    <w:rsid w:val="0014180B"/>
    <w:rsid w:val="00141921"/>
    <w:rsid w:val="00141960"/>
    <w:rsid w:val="00141C20"/>
    <w:rsid w:val="00141DBD"/>
    <w:rsid w:val="00141EEA"/>
    <w:rsid w:val="00141F0D"/>
    <w:rsid w:val="00141FA1"/>
    <w:rsid w:val="0014209B"/>
    <w:rsid w:val="001420B9"/>
    <w:rsid w:val="00142346"/>
    <w:rsid w:val="001427D0"/>
    <w:rsid w:val="001428A1"/>
    <w:rsid w:val="001428C5"/>
    <w:rsid w:val="001428F2"/>
    <w:rsid w:val="00142A64"/>
    <w:rsid w:val="00142AB8"/>
    <w:rsid w:val="00142B95"/>
    <w:rsid w:val="00142DB2"/>
    <w:rsid w:val="00142FDE"/>
    <w:rsid w:val="00142FF1"/>
    <w:rsid w:val="00143031"/>
    <w:rsid w:val="001431BF"/>
    <w:rsid w:val="001432A1"/>
    <w:rsid w:val="001433A9"/>
    <w:rsid w:val="001433C3"/>
    <w:rsid w:val="0014346E"/>
    <w:rsid w:val="0014360B"/>
    <w:rsid w:val="00143C8E"/>
    <w:rsid w:val="00143CDC"/>
    <w:rsid w:val="00143E6D"/>
    <w:rsid w:val="00143FA9"/>
    <w:rsid w:val="001440F9"/>
    <w:rsid w:val="001440FD"/>
    <w:rsid w:val="00144110"/>
    <w:rsid w:val="00144122"/>
    <w:rsid w:val="00144144"/>
    <w:rsid w:val="001441D1"/>
    <w:rsid w:val="00144483"/>
    <w:rsid w:val="001444A7"/>
    <w:rsid w:val="001446FD"/>
    <w:rsid w:val="00144A42"/>
    <w:rsid w:val="00144C38"/>
    <w:rsid w:val="00144C56"/>
    <w:rsid w:val="00144DA6"/>
    <w:rsid w:val="00144DB3"/>
    <w:rsid w:val="00144EAA"/>
    <w:rsid w:val="00144FE5"/>
    <w:rsid w:val="00145096"/>
    <w:rsid w:val="00145097"/>
    <w:rsid w:val="00145247"/>
    <w:rsid w:val="00145362"/>
    <w:rsid w:val="0014552C"/>
    <w:rsid w:val="00145562"/>
    <w:rsid w:val="00145664"/>
    <w:rsid w:val="00145AC8"/>
    <w:rsid w:val="00145AFD"/>
    <w:rsid w:val="00145B74"/>
    <w:rsid w:val="00145DE5"/>
    <w:rsid w:val="00145EE9"/>
    <w:rsid w:val="001460BE"/>
    <w:rsid w:val="0014615E"/>
    <w:rsid w:val="001463E3"/>
    <w:rsid w:val="00146462"/>
    <w:rsid w:val="001464E6"/>
    <w:rsid w:val="001464E9"/>
    <w:rsid w:val="0014665F"/>
    <w:rsid w:val="0014675B"/>
    <w:rsid w:val="00146895"/>
    <w:rsid w:val="00146977"/>
    <w:rsid w:val="00146A82"/>
    <w:rsid w:val="00146DF3"/>
    <w:rsid w:val="00146F52"/>
    <w:rsid w:val="0014700A"/>
    <w:rsid w:val="00147680"/>
    <w:rsid w:val="00147692"/>
    <w:rsid w:val="00147770"/>
    <w:rsid w:val="00147846"/>
    <w:rsid w:val="00147874"/>
    <w:rsid w:val="00147967"/>
    <w:rsid w:val="00147AAD"/>
    <w:rsid w:val="00147AE1"/>
    <w:rsid w:val="00147B45"/>
    <w:rsid w:val="00150058"/>
    <w:rsid w:val="0015019F"/>
    <w:rsid w:val="0015034C"/>
    <w:rsid w:val="00150849"/>
    <w:rsid w:val="0015086A"/>
    <w:rsid w:val="00150970"/>
    <w:rsid w:val="00150A2C"/>
    <w:rsid w:val="00150BA1"/>
    <w:rsid w:val="00150C73"/>
    <w:rsid w:val="00150DDA"/>
    <w:rsid w:val="00150EDA"/>
    <w:rsid w:val="00150EF4"/>
    <w:rsid w:val="001511F3"/>
    <w:rsid w:val="0015121D"/>
    <w:rsid w:val="0015123C"/>
    <w:rsid w:val="00151275"/>
    <w:rsid w:val="00151293"/>
    <w:rsid w:val="001514D9"/>
    <w:rsid w:val="00151519"/>
    <w:rsid w:val="0015152C"/>
    <w:rsid w:val="0015185F"/>
    <w:rsid w:val="00151A78"/>
    <w:rsid w:val="00151C52"/>
    <w:rsid w:val="00151FF4"/>
    <w:rsid w:val="0015241B"/>
    <w:rsid w:val="00152595"/>
    <w:rsid w:val="00152A95"/>
    <w:rsid w:val="00152C32"/>
    <w:rsid w:val="00152C4E"/>
    <w:rsid w:val="00152CBE"/>
    <w:rsid w:val="00152D3E"/>
    <w:rsid w:val="00152DB9"/>
    <w:rsid w:val="00152E4E"/>
    <w:rsid w:val="00152FE5"/>
    <w:rsid w:val="0015300C"/>
    <w:rsid w:val="001531E4"/>
    <w:rsid w:val="00153221"/>
    <w:rsid w:val="00153345"/>
    <w:rsid w:val="001534FB"/>
    <w:rsid w:val="0015359D"/>
    <w:rsid w:val="00153690"/>
    <w:rsid w:val="0015369E"/>
    <w:rsid w:val="001539A6"/>
    <w:rsid w:val="00153A36"/>
    <w:rsid w:val="00153CEE"/>
    <w:rsid w:val="0015406C"/>
    <w:rsid w:val="00154228"/>
    <w:rsid w:val="00154402"/>
    <w:rsid w:val="001545DD"/>
    <w:rsid w:val="001548AF"/>
    <w:rsid w:val="0015490E"/>
    <w:rsid w:val="00154977"/>
    <w:rsid w:val="00154B6A"/>
    <w:rsid w:val="00154C0A"/>
    <w:rsid w:val="00154C7C"/>
    <w:rsid w:val="00154CD3"/>
    <w:rsid w:val="00154F4D"/>
    <w:rsid w:val="00155021"/>
    <w:rsid w:val="001556CB"/>
    <w:rsid w:val="0015570D"/>
    <w:rsid w:val="001557C3"/>
    <w:rsid w:val="0015583B"/>
    <w:rsid w:val="00155895"/>
    <w:rsid w:val="001558CA"/>
    <w:rsid w:val="00155BD7"/>
    <w:rsid w:val="00155E2E"/>
    <w:rsid w:val="00155E73"/>
    <w:rsid w:val="00155FB3"/>
    <w:rsid w:val="0015610C"/>
    <w:rsid w:val="0015615A"/>
    <w:rsid w:val="001562F3"/>
    <w:rsid w:val="00156515"/>
    <w:rsid w:val="00156526"/>
    <w:rsid w:val="00156A92"/>
    <w:rsid w:val="00156B58"/>
    <w:rsid w:val="00156DDE"/>
    <w:rsid w:val="00156F0E"/>
    <w:rsid w:val="0015724D"/>
    <w:rsid w:val="001572A5"/>
    <w:rsid w:val="0015745D"/>
    <w:rsid w:val="001574E8"/>
    <w:rsid w:val="001575E3"/>
    <w:rsid w:val="00157747"/>
    <w:rsid w:val="00157800"/>
    <w:rsid w:val="001578B1"/>
    <w:rsid w:val="001579C1"/>
    <w:rsid w:val="00157CD2"/>
    <w:rsid w:val="00157E6A"/>
    <w:rsid w:val="00157F40"/>
    <w:rsid w:val="00160264"/>
    <w:rsid w:val="001602CD"/>
    <w:rsid w:val="0016048A"/>
    <w:rsid w:val="001605A8"/>
    <w:rsid w:val="001606A2"/>
    <w:rsid w:val="001606CF"/>
    <w:rsid w:val="001606FF"/>
    <w:rsid w:val="00160AB4"/>
    <w:rsid w:val="00160B6A"/>
    <w:rsid w:val="00160BFB"/>
    <w:rsid w:val="00160BFD"/>
    <w:rsid w:val="00160D5F"/>
    <w:rsid w:val="00160E5B"/>
    <w:rsid w:val="00160E73"/>
    <w:rsid w:val="00160E76"/>
    <w:rsid w:val="00160F1A"/>
    <w:rsid w:val="00160FFF"/>
    <w:rsid w:val="00161032"/>
    <w:rsid w:val="00161234"/>
    <w:rsid w:val="0016128D"/>
    <w:rsid w:val="001612BE"/>
    <w:rsid w:val="001612FC"/>
    <w:rsid w:val="001613BC"/>
    <w:rsid w:val="00161424"/>
    <w:rsid w:val="00161613"/>
    <w:rsid w:val="00161774"/>
    <w:rsid w:val="0016180E"/>
    <w:rsid w:val="00161978"/>
    <w:rsid w:val="00161B88"/>
    <w:rsid w:val="00161E30"/>
    <w:rsid w:val="00161F25"/>
    <w:rsid w:val="0016204C"/>
    <w:rsid w:val="001620B1"/>
    <w:rsid w:val="001623C0"/>
    <w:rsid w:val="001623F7"/>
    <w:rsid w:val="00162411"/>
    <w:rsid w:val="00162820"/>
    <w:rsid w:val="00162CA1"/>
    <w:rsid w:val="00162E24"/>
    <w:rsid w:val="0016302C"/>
    <w:rsid w:val="001630F5"/>
    <w:rsid w:val="00163181"/>
    <w:rsid w:val="00163222"/>
    <w:rsid w:val="0016328C"/>
    <w:rsid w:val="001632BD"/>
    <w:rsid w:val="00163310"/>
    <w:rsid w:val="00163312"/>
    <w:rsid w:val="001633F8"/>
    <w:rsid w:val="00163468"/>
    <w:rsid w:val="0016346A"/>
    <w:rsid w:val="00163744"/>
    <w:rsid w:val="001637E2"/>
    <w:rsid w:val="001638DF"/>
    <w:rsid w:val="00163BF1"/>
    <w:rsid w:val="00163C09"/>
    <w:rsid w:val="00163E42"/>
    <w:rsid w:val="00163EC8"/>
    <w:rsid w:val="00164031"/>
    <w:rsid w:val="00164252"/>
    <w:rsid w:val="00164256"/>
    <w:rsid w:val="0016442B"/>
    <w:rsid w:val="0016456B"/>
    <w:rsid w:val="0016476D"/>
    <w:rsid w:val="00164A0A"/>
    <w:rsid w:val="00164B19"/>
    <w:rsid w:val="00164C84"/>
    <w:rsid w:val="00164CD1"/>
    <w:rsid w:val="00164E4E"/>
    <w:rsid w:val="00164EDE"/>
    <w:rsid w:val="001651AB"/>
    <w:rsid w:val="001652CB"/>
    <w:rsid w:val="001653F5"/>
    <w:rsid w:val="0016573A"/>
    <w:rsid w:val="00165825"/>
    <w:rsid w:val="0016597E"/>
    <w:rsid w:val="00165A9A"/>
    <w:rsid w:val="00165CA4"/>
    <w:rsid w:val="00165D95"/>
    <w:rsid w:val="00165FCA"/>
    <w:rsid w:val="00165FCE"/>
    <w:rsid w:val="00166038"/>
    <w:rsid w:val="00166242"/>
    <w:rsid w:val="00166257"/>
    <w:rsid w:val="00166293"/>
    <w:rsid w:val="00166306"/>
    <w:rsid w:val="0016635E"/>
    <w:rsid w:val="0016649A"/>
    <w:rsid w:val="0016649D"/>
    <w:rsid w:val="001664C5"/>
    <w:rsid w:val="00166545"/>
    <w:rsid w:val="001665CA"/>
    <w:rsid w:val="00166634"/>
    <w:rsid w:val="001666D3"/>
    <w:rsid w:val="0016683D"/>
    <w:rsid w:val="0016686C"/>
    <w:rsid w:val="001668F9"/>
    <w:rsid w:val="00166961"/>
    <w:rsid w:val="00166AD3"/>
    <w:rsid w:val="00166CA3"/>
    <w:rsid w:val="00166D5F"/>
    <w:rsid w:val="00166D94"/>
    <w:rsid w:val="00166D98"/>
    <w:rsid w:val="00167098"/>
    <w:rsid w:val="0016722C"/>
    <w:rsid w:val="0016730E"/>
    <w:rsid w:val="00167373"/>
    <w:rsid w:val="00167490"/>
    <w:rsid w:val="001676E6"/>
    <w:rsid w:val="0016787D"/>
    <w:rsid w:val="001678D9"/>
    <w:rsid w:val="00167B9A"/>
    <w:rsid w:val="00167E2C"/>
    <w:rsid w:val="00170055"/>
    <w:rsid w:val="00170058"/>
    <w:rsid w:val="001700AF"/>
    <w:rsid w:val="00170196"/>
    <w:rsid w:val="001702DC"/>
    <w:rsid w:val="0017040A"/>
    <w:rsid w:val="00170645"/>
    <w:rsid w:val="001707AB"/>
    <w:rsid w:val="001707C4"/>
    <w:rsid w:val="0017085D"/>
    <w:rsid w:val="0017089D"/>
    <w:rsid w:val="0017091C"/>
    <w:rsid w:val="00170968"/>
    <w:rsid w:val="001709C2"/>
    <w:rsid w:val="00170ADC"/>
    <w:rsid w:val="00170AEC"/>
    <w:rsid w:val="00170C00"/>
    <w:rsid w:val="00170C01"/>
    <w:rsid w:val="00170D72"/>
    <w:rsid w:val="00170F0F"/>
    <w:rsid w:val="00171036"/>
    <w:rsid w:val="001711C3"/>
    <w:rsid w:val="0017122B"/>
    <w:rsid w:val="0017133A"/>
    <w:rsid w:val="0017134B"/>
    <w:rsid w:val="00171466"/>
    <w:rsid w:val="001716F5"/>
    <w:rsid w:val="001718D6"/>
    <w:rsid w:val="00171997"/>
    <w:rsid w:val="00171998"/>
    <w:rsid w:val="00171BE2"/>
    <w:rsid w:val="00171F21"/>
    <w:rsid w:val="00172072"/>
    <w:rsid w:val="00172158"/>
    <w:rsid w:val="001722AE"/>
    <w:rsid w:val="00172317"/>
    <w:rsid w:val="00172440"/>
    <w:rsid w:val="001725A1"/>
    <w:rsid w:val="001725B6"/>
    <w:rsid w:val="001725C7"/>
    <w:rsid w:val="001726CB"/>
    <w:rsid w:val="001727BD"/>
    <w:rsid w:val="001727EA"/>
    <w:rsid w:val="00172971"/>
    <w:rsid w:val="001729BF"/>
    <w:rsid w:val="001729DF"/>
    <w:rsid w:val="00172ADC"/>
    <w:rsid w:val="00172C88"/>
    <w:rsid w:val="00172C9F"/>
    <w:rsid w:val="00172E21"/>
    <w:rsid w:val="00173012"/>
    <w:rsid w:val="001730A2"/>
    <w:rsid w:val="0017350C"/>
    <w:rsid w:val="00173683"/>
    <w:rsid w:val="0017369B"/>
    <w:rsid w:val="001736EE"/>
    <w:rsid w:val="001737CB"/>
    <w:rsid w:val="00173897"/>
    <w:rsid w:val="001739C4"/>
    <w:rsid w:val="00173B5A"/>
    <w:rsid w:val="00173B8C"/>
    <w:rsid w:val="00173BEF"/>
    <w:rsid w:val="00173C52"/>
    <w:rsid w:val="00173CB7"/>
    <w:rsid w:val="00173D2F"/>
    <w:rsid w:val="00173F1E"/>
    <w:rsid w:val="00173FA5"/>
    <w:rsid w:val="00173FE4"/>
    <w:rsid w:val="00174185"/>
    <w:rsid w:val="001742F6"/>
    <w:rsid w:val="001744F6"/>
    <w:rsid w:val="001745EB"/>
    <w:rsid w:val="00174673"/>
    <w:rsid w:val="001746F9"/>
    <w:rsid w:val="001748B3"/>
    <w:rsid w:val="00174A47"/>
    <w:rsid w:val="00174AFB"/>
    <w:rsid w:val="00174B01"/>
    <w:rsid w:val="00174C57"/>
    <w:rsid w:val="00174CDA"/>
    <w:rsid w:val="00174D89"/>
    <w:rsid w:val="00174DD9"/>
    <w:rsid w:val="00174EBA"/>
    <w:rsid w:val="00174F3E"/>
    <w:rsid w:val="001752E5"/>
    <w:rsid w:val="00175646"/>
    <w:rsid w:val="00175737"/>
    <w:rsid w:val="001758EF"/>
    <w:rsid w:val="00175CFB"/>
    <w:rsid w:val="00175D0B"/>
    <w:rsid w:val="00175F20"/>
    <w:rsid w:val="00175F33"/>
    <w:rsid w:val="00175F5C"/>
    <w:rsid w:val="001760F0"/>
    <w:rsid w:val="00176250"/>
    <w:rsid w:val="001767B5"/>
    <w:rsid w:val="001767DA"/>
    <w:rsid w:val="00176A3A"/>
    <w:rsid w:val="00176BA2"/>
    <w:rsid w:val="00176ED4"/>
    <w:rsid w:val="00176ED6"/>
    <w:rsid w:val="0017703A"/>
    <w:rsid w:val="0017718D"/>
    <w:rsid w:val="00177384"/>
    <w:rsid w:val="0017740E"/>
    <w:rsid w:val="00177851"/>
    <w:rsid w:val="001779F9"/>
    <w:rsid w:val="00177AC9"/>
    <w:rsid w:val="00177BA9"/>
    <w:rsid w:val="00177BDC"/>
    <w:rsid w:val="00177CCE"/>
    <w:rsid w:val="00177DD9"/>
    <w:rsid w:val="00177F74"/>
    <w:rsid w:val="00177FFE"/>
    <w:rsid w:val="0018022F"/>
    <w:rsid w:val="0018035F"/>
    <w:rsid w:val="00180376"/>
    <w:rsid w:val="001803FA"/>
    <w:rsid w:val="0018057C"/>
    <w:rsid w:val="001805C5"/>
    <w:rsid w:val="0018060D"/>
    <w:rsid w:val="001806D6"/>
    <w:rsid w:val="00180794"/>
    <w:rsid w:val="00180812"/>
    <w:rsid w:val="001809A0"/>
    <w:rsid w:val="00180ACA"/>
    <w:rsid w:val="00180B21"/>
    <w:rsid w:val="00180B47"/>
    <w:rsid w:val="00180B7D"/>
    <w:rsid w:val="00180D40"/>
    <w:rsid w:val="00180E1B"/>
    <w:rsid w:val="00180FC0"/>
    <w:rsid w:val="00180FE2"/>
    <w:rsid w:val="001810ED"/>
    <w:rsid w:val="00181256"/>
    <w:rsid w:val="001812C9"/>
    <w:rsid w:val="0018132B"/>
    <w:rsid w:val="001813E5"/>
    <w:rsid w:val="001813FD"/>
    <w:rsid w:val="00181586"/>
    <w:rsid w:val="0018167B"/>
    <w:rsid w:val="001817A5"/>
    <w:rsid w:val="00181A40"/>
    <w:rsid w:val="00181A68"/>
    <w:rsid w:val="00181DAE"/>
    <w:rsid w:val="00181DD4"/>
    <w:rsid w:val="00181FDE"/>
    <w:rsid w:val="00182019"/>
    <w:rsid w:val="00182316"/>
    <w:rsid w:val="001823A3"/>
    <w:rsid w:val="001823B2"/>
    <w:rsid w:val="0018282F"/>
    <w:rsid w:val="001829E2"/>
    <w:rsid w:val="00182C24"/>
    <w:rsid w:val="00182C49"/>
    <w:rsid w:val="00182EFF"/>
    <w:rsid w:val="0018305B"/>
    <w:rsid w:val="00183188"/>
    <w:rsid w:val="001831B3"/>
    <w:rsid w:val="00183242"/>
    <w:rsid w:val="001832A8"/>
    <w:rsid w:val="001832B1"/>
    <w:rsid w:val="001833D1"/>
    <w:rsid w:val="0018349E"/>
    <w:rsid w:val="001834BE"/>
    <w:rsid w:val="00183546"/>
    <w:rsid w:val="0018389B"/>
    <w:rsid w:val="00183A9D"/>
    <w:rsid w:val="00183D90"/>
    <w:rsid w:val="00183F22"/>
    <w:rsid w:val="001841CB"/>
    <w:rsid w:val="001842F1"/>
    <w:rsid w:val="001843DD"/>
    <w:rsid w:val="00184455"/>
    <w:rsid w:val="00184471"/>
    <w:rsid w:val="00184497"/>
    <w:rsid w:val="00184585"/>
    <w:rsid w:val="001846F7"/>
    <w:rsid w:val="001847EA"/>
    <w:rsid w:val="0018489A"/>
    <w:rsid w:val="00184CED"/>
    <w:rsid w:val="00184DE3"/>
    <w:rsid w:val="0018500A"/>
    <w:rsid w:val="00185030"/>
    <w:rsid w:val="0018521E"/>
    <w:rsid w:val="001856A8"/>
    <w:rsid w:val="001857CB"/>
    <w:rsid w:val="0018581F"/>
    <w:rsid w:val="00185A84"/>
    <w:rsid w:val="00185CBB"/>
    <w:rsid w:val="00185D06"/>
    <w:rsid w:val="00185D95"/>
    <w:rsid w:val="00185E5E"/>
    <w:rsid w:val="00185F0F"/>
    <w:rsid w:val="001861CB"/>
    <w:rsid w:val="0018621A"/>
    <w:rsid w:val="00186242"/>
    <w:rsid w:val="001863D5"/>
    <w:rsid w:val="001864C0"/>
    <w:rsid w:val="001864D5"/>
    <w:rsid w:val="001865BE"/>
    <w:rsid w:val="001866B8"/>
    <w:rsid w:val="0018683C"/>
    <w:rsid w:val="00186B6D"/>
    <w:rsid w:val="00186CD6"/>
    <w:rsid w:val="00186F45"/>
    <w:rsid w:val="00186F53"/>
    <w:rsid w:val="001870CC"/>
    <w:rsid w:val="00187124"/>
    <w:rsid w:val="00187303"/>
    <w:rsid w:val="00187639"/>
    <w:rsid w:val="0018778A"/>
    <w:rsid w:val="00187914"/>
    <w:rsid w:val="00187927"/>
    <w:rsid w:val="00187B9C"/>
    <w:rsid w:val="00187BBE"/>
    <w:rsid w:val="00187C7E"/>
    <w:rsid w:val="00187C8D"/>
    <w:rsid w:val="00187E9D"/>
    <w:rsid w:val="00187FDB"/>
    <w:rsid w:val="00190132"/>
    <w:rsid w:val="00190311"/>
    <w:rsid w:val="00190442"/>
    <w:rsid w:val="001907D7"/>
    <w:rsid w:val="0019081F"/>
    <w:rsid w:val="00190A68"/>
    <w:rsid w:val="00190ACC"/>
    <w:rsid w:val="00190B34"/>
    <w:rsid w:val="00190D31"/>
    <w:rsid w:val="00190E67"/>
    <w:rsid w:val="00190F75"/>
    <w:rsid w:val="00190F90"/>
    <w:rsid w:val="0019101A"/>
    <w:rsid w:val="001911AB"/>
    <w:rsid w:val="00191239"/>
    <w:rsid w:val="00191280"/>
    <w:rsid w:val="0019131D"/>
    <w:rsid w:val="001913B5"/>
    <w:rsid w:val="001913F5"/>
    <w:rsid w:val="001914B4"/>
    <w:rsid w:val="001916D5"/>
    <w:rsid w:val="00191753"/>
    <w:rsid w:val="001918A7"/>
    <w:rsid w:val="001919CD"/>
    <w:rsid w:val="00191BA0"/>
    <w:rsid w:val="00191C1D"/>
    <w:rsid w:val="00191C61"/>
    <w:rsid w:val="00191DF4"/>
    <w:rsid w:val="00191EB5"/>
    <w:rsid w:val="00191F05"/>
    <w:rsid w:val="001921AA"/>
    <w:rsid w:val="0019236B"/>
    <w:rsid w:val="0019245A"/>
    <w:rsid w:val="00192540"/>
    <w:rsid w:val="001926A5"/>
    <w:rsid w:val="00192732"/>
    <w:rsid w:val="0019292B"/>
    <w:rsid w:val="001929FA"/>
    <w:rsid w:val="00192BA3"/>
    <w:rsid w:val="00192C79"/>
    <w:rsid w:val="00192D05"/>
    <w:rsid w:val="00192E16"/>
    <w:rsid w:val="00192FF9"/>
    <w:rsid w:val="00193038"/>
    <w:rsid w:val="001930B2"/>
    <w:rsid w:val="001930D7"/>
    <w:rsid w:val="001934AB"/>
    <w:rsid w:val="001936FA"/>
    <w:rsid w:val="00193A14"/>
    <w:rsid w:val="00193B8F"/>
    <w:rsid w:val="00193C3C"/>
    <w:rsid w:val="00193D78"/>
    <w:rsid w:val="00194233"/>
    <w:rsid w:val="001943FB"/>
    <w:rsid w:val="001944E3"/>
    <w:rsid w:val="0019453A"/>
    <w:rsid w:val="001945A8"/>
    <w:rsid w:val="00194748"/>
    <w:rsid w:val="001947B1"/>
    <w:rsid w:val="001948B3"/>
    <w:rsid w:val="001948B7"/>
    <w:rsid w:val="00194D45"/>
    <w:rsid w:val="00194D72"/>
    <w:rsid w:val="00194EEC"/>
    <w:rsid w:val="0019509E"/>
    <w:rsid w:val="0019510C"/>
    <w:rsid w:val="00195202"/>
    <w:rsid w:val="001952FA"/>
    <w:rsid w:val="00195331"/>
    <w:rsid w:val="00195500"/>
    <w:rsid w:val="00195736"/>
    <w:rsid w:val="00195794"/>
    <w:rsid w:val="0019580B"/>
    <w:rsid w:val="00195880"/>
    <w:rsid w:val="001959DF"/>
    <w:rsid w:val="00195A18"/>
    <w:rsid w:val="00195AED"/>
    <w:rsid w:val="00195B6C"/>
    <w:rsid w:val="00195DA1"/>
    <w:rsid w:val="00195E50"/>
    <w:rsid w:val="0019616D"/>
    <w:rsid w:val="001962ED"/>
    <w:rsid w:val="001963F6"/>
    <w:rsid w:val="001963FE"/>
    <w:rsid w:val="00196400"/>
    <w:rsid w:val="001964FA"/>
    <w:rsid w:val="00196798"/>
    <w:rsid w:val="00196882"/>
    <w:rsid w:val="00196919"/>
    <w:rsid w:val="001969A6"/>
    <w:rsid w:val="001969BB"/>
    <w:rsid w:val="00196AB1"/>
    <w:rsid w:val="00196AE8"/>
    <w:rsid w:val="00196C48"/>
    <w:rsid w:val="00196C7D"/>
    <w:rsid w:val="00196CD8"/>
    <w:rsid w:val="00196E24"/>
    <w:rsid w:val="00196F99"/>
    <w:rsid w:val="0019700A"/>
    <w:rsid w:val="00197464"/>
    <w:rsid w:val="0019757E"/>
    <w:rsid w:val="001976CD"/>
    <w:rsid w:val="00197771"/>
    <w:rsid w:val="00197850"/>
    <w:rsid w:val="00197BBB"/>
    <w:rsid w:val="00197F0A"/>
    <w:rsid w:val="00197F80"/>
    <w:rsid w:val="00197FA1"/>
    <w:rsid w:val="00197FBF"/>
    <w:rsid w:val="001A041A"/>
    <w:rsid w:val="001A0535"/>
    <w:rsid w:val="001A0572"/>
    <w:rsid w:val="001A0772"/>
    <w:rsid w:val="001A08A5"/>
    <w:rsid w:val="001A091A"/>
    <w:rsid w:val="001A0B30"/>
    <w:rsid w:val="001A0BDC"/>
    <w:rsid w:val="001A0C5D"/>
    <w:rsid w:val="001A0EAA"/>
    <w:rsid w:val="001A1113"/>
    <w:rsid w:val="001A11C1"/>
    <w:rsid w:val="001A12B5"/>
    <w:rsid w:val="001A12BC"/>
    <w:rsid w:val="001A1320"/>
    <w:rsid w:val="001A13AA"/>
    <w:rsid w:val="001A13B0"/>
    <w:rsid w:val="001A1568"/>
    <w:rsid w:val="001A157C"/>
    <w:rsid w:val="001A1595"/>
    <w:rsid w:val="001A176F"/>
    <w:rsid w:val="001A187A"/>
    <w:rsid w:val="001A18AA"/>
    <w:rsid w:val="001A1A24"/>
    <w:rsid w:val="001A1C21"/>
    <w:rsid w:val="001A1C37"/>
    <w:rsid w:val="001A1E33"/>
    <w:rsid w:val="001A1EDF"/>
    <w:rsid w:val="001A1F4B"/>
    <w:rsid w:val="001A2243"/>
    <w:rsid w:val="001A25C8"/>
    <w:rsid w:val="001A2686"/>
    <w:rsid w:val="001A277B"/>
    <w:rsid w:val="001A2847"/>
    <w:rsid w:val="001A2871"/>
    <w:rsid w:val="001A29F1"/>
    <w:rsid w:val="001A2A29"/>
    <w:rsid w:val="001A2A31"/>
    <w:rsid w:val="001A2B61"/>
    <w:rsid w:val="001A2C59"/>
    <w:rsid w:val="001A2DF6"/>
    <w:rsid w:val="001A2EA7"/>
    <w:rsid w:val="001A3148"/>
    <w:rsid w:val="001A3320"/>
    <w:rsid w:val="001A33A9"/>
    <w:rsid w:val="001A3519"/>
    <w:rsid w:val="001A382F"/>
    <w:rsid w:val="001A3967"/>
    <w:rsid w:val="001A3992"/>
    <w:rsid w:val="001A3A91"/>
    <w:rsid w:val="001A3B49"/>
    <w:rsid w:val="001A3B84"/>
    <w:rsid w:val="001A3CC8"/>
    <w:rsid w:val="001A3D68"/>
    <w:rsid w:val="001A3E86"/>
    <w:rsid w:val="001A40E4"/>
    <w:rsid w:val="001A415B"/>
    <w:rsid w:val="001A41EF"/>
    <w:rsid w:val="001A421E"/>
    <w:rsid w:val="001A4299"/>
    <w:rsid w:val="001A4398"/>
    <w:rsid w:val="001A4432"/>
    <w:rsid w:val="001A459B"/>
    <w:rsid w:val="001A464A"/>
    <w:rsid w:val="001A477A"/>
    <w:rsid w:val="001A480F"/>
    <w:rsid w:val="001A4817"/>
    <w:rsid w:val="001A4A19"/>
    <w:rsid w:val="001A4ABD"/>
    <w:rsid w:val="001A4B53"/>
    <w:rsid w:val="001A4B65"/>
    <w:rsid w:val="001A4C57"/>
    <w:rsid w:val="001A4ED5"/>
    <w:rsid w:val="001A4FF1"/>
    <w:rsid w:val="001A501B"/>
    <w:rsid w:val="001A50B8"/>
    <w:rsid w:val="001A50C8"/>
    <w:rsid w:val="001A51B8"/>
    <w:rsid w:val="001A5309"/>
    <w:rsid w:val="001A5951"/>
    <w:rsid w:val="001A59BA"/>
    <w:rsid w:val="001A5A4C"/>
    <w:rsid w:val="001A5B77"/>
    <w:rsid w:val="001A5BDF"/>
    <w:rsid w:val="001A5C4C"/>
    <w:rsid w:val="001A5CC3"/>
    <w:rsid w:val="001A5D33"/>
    <w:rsid w:val="001A5D44"/>
    <w:rsid w:val="001A5DE5"/>
    <w:rsid w:val="001A5E2F"/>
    <w:rsid w:val="001A5E7B"/>
    <w:rsid w:val="001A624E"/>
    <w:rsid w:val="001A634B"/>
    <w:rsid w:val="001A63C0"/>
    <w:rsid w:val="001A63F9"/>
    <w:rsid w:val="001A6434"/>
    <w:rsid w:val="001A6543"/>
    <w:rsid w:val="001A65C6"/>
    <w:rsid w:val="001A65E3"/>
    <w:rsid w:val="001A69A9"/>
    <w:rsid w:val="001A69AB"/>
    <w:rsid w:val="001A6A23"/>
    <w:rsid w:val="001A6C21"/>
    <w:rsid w:val="001A6CE1"/>
    <w:rsid w:val="001A6E4B"/>
    <w:rsid w:val="001A6EE8"/>
    <w:rsid w:val="001A70A7"/>
    <w:rsid w:val="001A7111"/>
    <w:rsid w:val="001A711E"/>
    <w:rsid w:val="001A7370"/>
    <w:rsid w:val="001A73DC"/>
    <w:rsid w:val="001A7468"/>
    <w:rsid w:val="001A768C"/>
    <w:rsid w:val="001A76B3"/>
    <w:rsid w:val="001A78A1"/>
    <w:rsid w:val="001A7A13"/>
    <w:rsid w:val="001A7A6A"/>
    <w:rsid w:val="001A7A8C"/>
    <w:rsid w:val="001A7B14"/>
    <w:rsid w:val="001A7BF7"/>
    <w:rsid w:val="001A7CAE"/>
    <w:rsid w:val="001A7F27"/>
    <w:rsid w:val="001B00A8"/>
    <w:rsid w:val="001B00A9"/>
    <w:rsid w:val="001B00B1"/>
    <w:rsid w:val="001B01CD"/>
    <w:rsid w:val="001B0307"/>
    <w:rsid w:val="001B036D"/>
    <w:rsid w:val="001B03D8"/>
    <w:rsid w:val="001B03E5"/>
    <w:rsid w:val="001B054A"/>
    <w:rsid w:val="001B086B"/>
    <w:rsid w:val="001B0A01"/>
    <w:rsid w:val="001B0A8A"/>
    <w:rsid w:val="001B0C45"/>
    <w:rsid w:val="001B0D4C"/>
    <w:rsid w:val="001B0EA6"/>
    <w:rsid w:val="001B0F19"/>
    <w:rsid w:val="001B0F7A"/>
    <w:rsid w:val="001B102D"/>
    <w:rsid w:val="001B111F"/>
    <w:rsid w:val="001B1368"/>
    <w:rsid w:val="001B14BF"/>
    <w:rsid w:val="001B1550"/>
    <w:rsid w:val="001B166B"/>
    <w:rsid w:val="001B177E"/>
    <w:rsid w:val="001B1A3A"/>
    <w:rsid w:val="001B1B90"/>
    <w:rsid w:val="001B1BA4"/>
    <w:rsid w:val="001B1C45"/>
    <w:rsid w:val="001B1C77"/>
    <w:rsid w:val="001B1D46"/>
    <w:rsid w:val="001B1DF7"/>
    <w:rsid w:val="001B1EC8"/>
    <w:rsid w:val="001B2018"/>
    <w:rsid w:val="001B2116"/>
    <w:rsid w:val="001B2265"/>
    <w:rsid w:val="001B244F"/>
    <w:rsid w:val="001B24BC"/>
    <w:rsid w:val="001B25B7"/>
    <w:rsid w:val="001B26FA"/>
    <w:rsid w:val="001B28A6"/>
    <w:rsid w:val="001B29C4"/>
    <w:rsid w:val="001B2BC2"/>
    <w:rsid w:val="001B2C8B"/>
    <w:rsid w:val="001B2CC5"/>
    <w:rsid w:val="001B2D82"/>
    <w:rsid w:val="001B2DB5"/>
    <w:rsid w:val="001B2F00"/>
    <w:rsid w:val="001B3300"/>
    <w:rsid w:val="001B3329"/>
    <w:rsid w:val="001B3350"/>
    <w:rsid w:val="001B346E"/>
    <w:rsid w:val="001B351C"/>
    <w:rsid w:val="001B35CB"/>
    <w:rsid w:val="001B35DA"/>
    <w:rsid w:val="001B3609"/>
    <w:rsid w:val="001B3656"/>
    <w:rsid w:val="001B36A4"/>
    <w:rsid w:val="001B37F2"/>
    <w:rsid w:val="001B37FC"/>
    <w:rsid w:val="001B3881"/>
    <w:rsid w:val="001B3A5A"/>
    <w:rsid w:val="001B3B5B"/>
    <w:rsid w:val="001B3C6F"/>
    <w:rsid w:val="001B3E03"/>
    <w:rsid w:val="001B3FDF"/>
    <w:rsid w:val="001B4166"/>
    <w:rsid w:val="001B42A0"/>
    <w:rsid w:val="001B4303"/>
    <w:rsid w:val="001B470B"/>
    <w:rsid w:val="001B4816"/>
    <w:rsid w:val="001B49A1"/>
    <w:rsid w:val="001B4A09"/>
    <w:rsid w:val="001B4B68"/>
    <w:rsid w:val="001B4D0C"/>
    <w:rsid w:val="001B4E35"/>
    <w:rsid w:val="001B515A"/>
    <w:rsid w:val="001B5290"/>
    <w:rsid w:val="001B5298"/>
    <w:rsid w:val="001B5310"/>
    <w:rsid w:val="001B5331"/>
    <w:rsid w:val="001B53A4"/>
    <w:rsid w:val="001B548D"/>
    <w:rsid w:val="001B576E"/>
    <w:rsid w:val="001B584E"/>
    <w:rsid w:val="001B5875"/>
    <w:rsid w:val="001B58A8"/>
    <w:rsid w:val="001B58F3"/>
    <w:rsid w:val="001B58FC"/>
    <w:rsid w:val="001B5906"/>
    <w:rsid w:val="001B592B"/>
    <w:rsid w:val="001B5936"/>
    <w:rsid w:val="001B5966"/>
    <w:rsid w:val="001B5B5C"/>
    <w:rsid w:val="001B5B8F"/>
    <w:rsid w:val="001B5CB7"/>
    <w:rsid w:val="001B5D10"/>
    <w:rsid w:val="001B5F38"/>
    <w:rsid w:val="001B6062"/>
    <w:rsid w:val="001B6085"/>
    <w:rsid w:val="001B6505"/>
    <w:rsid w:val="001B6651"/>
    <w:rsid w:val="001B6845"/>
    <w:rsid w:val="001B69A0"/>
    <w:rsid w:val="001B6A42"/>
    <w:rsid w:val="001B6B72"/>
    <w:rsid w:val="001B6D3F"/>
    <w:rsid w:val="001B6E10"/>
    <w:rsid w:val="001B6F5E"/>
    <w:rsid w:val="001B6FE1"/>
    <w:rsid w:val="001B70AA"/>
    <w:rsid w:val="001B7132"/>
    <w:rsid w:val="001B7190"/>
    <w:rsid w:val="001B76F9"/>
    <w:rsid w:val="001B7792"/>
    <w:rsid w:val="001B7852"/>
    <w:rsid w:val="001B7881"/>
    <w:rsid w:val="001B7919"/>
    <w:rsid w:val="001B7973"/>
    <w:rsid w:val="001B7B71"/>
    <w:rsid w:val="001B7C2F"/>
    <w:rsid w:val="001B7C4C"/>
    <w:rsid w:val="001B7EE6"/>
    <w:rsid w:val="001B7F36"/>
    <w:rsid w:val="001C018F"/>
    <w:rsid w:val="001C02F6"/>
    <w:rsid w:val="001C03A2"/>
    <w:rsid w:val="001C0466"/>
    <w:rsid w:val="001C0526"/>
    <w:rsid w:val="001C052E"/>
    <w:rsid w:val="001C05AC"/>
    <w:rsid w:val="001C066E"/>
    <w:rsid w:val="001C06C1"/>
    <w:rsid w:val="001C09B5"/>
    <w:rsid w:val="001C0A27"/>
    <w:rsid w:val="001C0B9D"/>
    <w:rsid w:val="001C0F26"/>
    <w:rsid w:val="001C0F2F"/>
    <w:rsid w:val="001C10B7"/>
    <w:rsid w:val="001C1113"/>
    <w:rsid w:val="001C112D"/>
    <w:rsid w:val="001C14EE"/>
    <w:rsid w:val="001C171E"/>
    <w:rsid w:val="001C1741"/>
    <w:rsid w:val="001C17A4"/>
    <w:rsid w:val="001C17AB"/>
    <w:rsid w:val="001C19EE"/>
    <w:rsid w:val="001C1C37"/>
    <w:rsid w:val="001C1F6A"/>
    <w:rsid w:val="001C206A"/>
    <w:rsid w:val="001C22F0"/>
    <w:rsid w:val="001C23A0"/>
    <w:rsid w:val="001C2953"/>
    <w:rsid w:val="001C2A94"/>
    <w:rsid w:val="001C2C34"/>
    <w:rsid w:val="001C2CF0"/>
    <w:rsid w:val="001C2F6E"/>
    <w:rsid w:val="001C2FF2"/>
    <w:rsid w:val="001C30BF"/>
    <w:rsid w:val="001C31A2"/>
    <w:rsid w:val="001C31DB"/>
    <w:rsid w:val="001C341B"/>
    <w:rsid w:val="001C3473"/>
    <w:rsid w:val="001C34D4"/>
    <w:rsid w:val="001C3524"/>
    <w:rsid w:val="001C358D"/>
    <w:rsid w:val="001C36F8"/>
    <w:rsid w:val="001C374A"/>
    <w:rsid w:val="001C396C"/>
    <w:rsid w:val="001C3B6E"/>
    <w:rsid w:val="001C3F26"/>
    <w:rsid w:val="001C3F47"/>
    <w:rsid w:val="001C3F7B"/>
    <w:rsid w:val="001C40A0"/>
    <w:rsid w:val="001C40FE"/>
    <w:rsid w:val="001C4139"/>
    <w:rsid w:val="001C41DC"/>
    <w:rsid w:val="001C424C"/>
    <w:rsid w:val="001C427B"/>
    <w:rsid w:val="001C43EA"/>
    <w:rsid w:val="001C47A1"/>
    <w:rsid w:val="001C47C0"/>
    <w:rsid w:val="001C4863"/>
    <w:rsid w:val="001C4956"/>
    <w:rsid w:val="001C4A9C"/>
    <w:rsid w:val="001C4B95"/>
    <w:rsid w:val="001C4C63"/>
    <w:rsid w:val="001C4DA2"/>
    <w:rsid w:val="001C4EB4"/>
    <w:rsid w:val="001C4EC1"/>
    <w:rsid w:val="001C50D0"/>
    <w:rsid w:val="001C5168"/>
    <w:rsid w:val="001C5360"/>
    <w:rsid w:val="001C5555"/>
    <w:rsid w:val="001C5754"/>
    <w:rsid w:val="001C5763"/>
    <w:rsid w:val="001C5B15"/>
    <w:rsid w:val="001C5C4F"/>
    <w:rsid w:val="001C607A"/>
    <w:rsid w:val="001C60DA"/>
    <w:rsid w:val="001C6357"/>
    <w:rsid w:val="001C637F"/>
    <w:rsid w:val="001C6387"/>
    <w:rsid w:val="001C69CC"/>
    <w:rsid w:val="001C6B59"/>
    <w:rsid w:val="001C6D70"/>
    <w:rsid w:val="001C6E3D"/>
    <w:rsid w:val="001C6E4B"/>
    <w:rsid w:val="001C6F29"/>
    <w:rsid w:val="001C7250"/>
    <w:rsid w:val="001C72CD"/>
    <w:rsid w:val="001C72D1"/>
    <w:rsid w:val="001C73DE"/>
    <w:rsid w:val="001C7444"/>
    <w:rsid w:val="001C745E"/>
    <w:rsid w:val="001C77EA"/>
    <w:rsid w:val="001C7823"/>
    <w:rsid w:val="001C787F"/>
    <w:rsid w:val="001C7895"/>
    <w:rsid w:val="001C79EF"/>
    <w:rsid w:val="001C7B71"/>
    <w:rsid w:val="001C7C22"/>
    <w:rsid w:val="001D0065"/>
    <w:rsid w:val="001D0167"/>
    <w:rsid w:val="001D01E5"/>
    <w:rsid w:val="001D022E"/>
    <w:rsid w:val="001D0401"/>
    <w:rsid w:val="001D040C"/>
    <w:rsid w:val="001D062B"/>
    <w:rsid w:val="001D062C"/>
    <w:rsid w:val="001D06ED"/>
    <w:rsid w:val="001D0B43"/>
    <w:rsid w:val="001D0B59"/>
    <w:rsid w:val="001D0BBA"/>
    <w:rsid w:val="001D0D9F"/>
    <w:rsid w:val="001D0E7A"/>
    <w:rsid w:val="001D0F55"/>
    <w:rsid w:val="001D105B"/>
    <w:rsid w:val="001D11DF"/>
    <w:rsid w:val="001D11EE"/>
    <w:rsid w:val="001D1618"/>
    <w:rsid w:val="001D16DD"/>
    <w:rsid w:val="001D1719"/>
    <w:rsid w:val="001D1730"/>
    <w:rsid w:val="001D1736"/>
    <w:rsid w:val="001D1924"/>
    <w:rsid w:val="001D1AB2"/>
    <w:rsid w:val="001D1C87"/>
    <w:rsid w:val="001D1CAC"/>
    <w:rsid w:val="001D1D1C"/>
    <w:rsid w:val="001D1D8A"/>
    <w:rsid w:val="001D1D94"/>
    <w:rsid w:val="001D1DE2"/>
    <w:rsid w:val="001D1F39"/>
    <w:rsid w:val="001D2302"/>
    <w:rsid w:val="001D236B"/>
    <w:rsid w:val="001D242B"/>
    <w:rsid w:val="001D26A9"/>
    <w:rsid w:val="001D2702"/>
    <w:rsid w:val="001D286E"/>
    <w:rsid w:val="001D2915"/>
    <w:rsid w:val="001D2B49"/>
    <w:rsid w:val="001D2D4D"/>
    <w:rsid w:val="001D2F05"/>
    <w:rsid w:val="001D30A2"/>
    <w:rsid w:val="001D30DE"/>
    <w:rsid w:val="001D30FF"/>
    <w:rsid w:val="001D33CD"/>
    <w:rsid w:val="001D353A"/>
    <w:rsid w:val="001D3765"/>
    <w:rsid w:val="001D37FD"/>
    <w:rsid w:val="001D3E8D"/>
    <w:rsid w:val="001D3F9A"/>
    <w:rsid w:val="001D402B"/>
    <w:rsid w:val="001D4037"/>
    <w:rsid w:val="001D4053"/>
    <w:rsid w:val="001D4134"/>
    <w:rsid w:val="001D4523"/>
    <w:rsid w:val="001D467C"/>
    <w:rsid w:val="001D4819"/>
    <w:rsid w:val="001D49ED"/>
    <w:rsid w:val="001D4A9B"/>
    <w:rsid w:val="001D4B83"/>
    <w:rsid w:val="001D4B85"/>
    <w:rsid w:val="001D4D4E"/>
    <w:rsid w:val="001D4E20"/>
    <w:rsid w:val="001D4E28"/>
    <w:rsid w:val="001D4E4A"/>
    <w:rsid w:val="001D4EAA"/>
    <w:rsid w:val="001D5036"/>
    <w:rsid w:val="001D5119"/>
    <w:rsid w:val="001D526E"/>
    <w:rsid w:val="001D52BA"/>
    <w:rsid w:val="001D533E"/>
    <w:rsid w:val="001D5459"/>
    <w:rsid w:val="001D54EB"/>
    <w:rsid w:val="001D5637"/>
    <w:rsid w:val="001D565D"/>
    <w:rsid w:val="001D5671"/>
    <w:rsid w:val="001D5872"/>
    <w:rsid w:val="001D58B4"/>
    <w:rsid w:val="001D5995"/>
    <w:rsid w:val="001D5A0C"/>
    <w:rsid w:val="001D5AC3"/>
    <w:rsid w:val="001D5BC4"/>
    <w:rsid w:val="001D5DEB"/>
    <w:rsid w:val="001D5E7D"/>
    <w:rsid w:val="001D61BA"/>
    <w:rsid w:val="001D62B4"/>
    <w:rsid w:val="001D6312"/>
    <w:rsid w:val="001D6523"/>
    <w:rsid w:val="001D6596"/>
    <w:rsid w:val="001D67FA"/>
    <w:rsid w:val="001D6839"/>
    <w:rsid w:val="001D6BBC"/>
    <w:rsid w:val="001D6C85"/>
    <w:rsid w:val="001D6CF3"/>
    <w:rsid w:val="001D6D3A"/>
    <w:rsid w:val="001D6E77"/>
    <w:rsid w:val="001D6F4B"/>
    <w:rsid w:val="001D705A"/>
    <w:rsid w:val="001D70A4"/>
    <w:rsid w:val="001D7260"/>
    <w:rsid w:val="001D7327"/>
    <w:rsid w:val="001D7454"/>
    <w:rsid w:val="001D74DD"/>
    <w:rsid w:val="001D75D8"/>
    <w:rsid w:val="001D75EB"/>
    <w:rsid w:val="001D77DA"/>
    <w:rsid w:val="001DA837"/>
    <w:rsid w:val="001E0192"/>
    <w:rsid w:val="001E05B0"/>
    <w:rsid w:val="001E05B8"/>
    <w:rsid w:val="001E05F9"/>
    <w:rsid w:val="001E068F"/>
    <w:rsid w:val="001E06B2"/>
    <w:rsid w:val="001E0AE0"/>
    <w:rsid w:val="001E0C5E"/>
    <w:rsid w:val="001E0CA9"/>
    <w:rsid w:val="001E0E04"/>
    <w:rsid w:val="001E0F4B"/>
    <w:rsid w:val="001E107C"/>
    <w:rsid w:val="001E1093"/>
    <w:rsid w:val="001E10D2"/>
    <w:rsid w:val="001E10F2"/>
    <w:rsid w:val="001E1106"/>
    <w:rsid w:val="001E112C"/>
    <w:rsid w:val="001E1218"/>
    <w:rsid w:val="001E1222"/>
    <w:rsid w:val="001E137F"/>
    <w:rsid w:val="001E13C0"/>
    <w:rsid w:val="001E14D7"/>
    <w:rsid w:val="001E1653"/>
    <w:rsid w:val="001E1921"/>
    <w:rsid w:val="001E19AD"/>
    <w:rsid w:val="001E1AA9"/>
    <w:rsid w:val="001E1B20"/>
    <w:rsid w:val="001E1C04"/>
    <w:rsid w:val="001E1D90"/>
    <w:rsid w:val="001E21C7"/>
    <w:rsid w:val="001E2379"/>
    <w:rsid w:val="001E246B"/>
    <w:rsid w:val="001E2474"/>
    <w:rsid w:val="001E27ED"/>
    <w:rsid w:val="001E280D"/>
    <w:rsid w:val="001E28FF"/>
    <w:rsid w:val="001E29F2"/>
    <w:rsid w:val="001E2A4D"/>
    <w:rsid w:val="001E2AE9"/>
    <w:rsid w:val="001E3151"/>
    <w:rsid w:val="001E3252"/>
    <w:rsid w:val="001E35A7"/>
    <w:rsid w:val="001E3668"/>
    <w:rsid w:val="001E373C"/>
    <w:rsid w:val="001E39A1"/>
    <w:rsid w:val="001E39CF"/>
    <w:rsid w:val="001E3A5A"/>
    <w:rsid w:val="001E3A95"/>
    <w:rsid w:val="001E3AC5"/>
    <w:rsid w:val="001E3AD3"/>
    <w:rsid w:val="001E3AD5"/>
    <w:rsid w:val="001E3E30"/>
    <w:rsid w:val="001E4177"/>
    <w:rsid w:val="001E45FE"/>
    <w:rsid w:val="001E4981"/>
    <w:rsid w:val="001E49F6"/>
    <w:rsid w:val="001E4A29"/>
    <w:rsid w:val="001E4A91"/>
    <w:rsid w:val="001E4DFC"/>
    <w:rsid w:val="001E4EC0"/>
    <w:rsid w:val="001E507E"/>
    <w:rsid w:val="001E53F0"/>
    <w:rsid w:val="001E5568"/>
    <w:rsid w:val="001E563E"/>
    <w:rsid w:val="001E5708"/>
    <w:rsid w:val="001E5925"/>
    <w:rsid w:val="001E5B2F"/>
    <w:rsid w:val="001E5B60"/>
    <w:rsid w:val="001E5C47"/>
    <w:rsid w:val="001E5C97"/>
    <w:rsid w:val="001E5E5B"/>
    <w:rsid w:val="001E5EE4"/>
    <w:rsid w:val="001E5FE7"/>
    <w:rsid w:val="001E600C"/>
    <w:rsid w:val="001E6268"/>
    <w:rsid w:val="001E63B2"/>
    <w:rsid w:val="001E6509"/>
    <w:rsid w:val="001E66F4"/>
    <w:rsid w:val="001E67FB"/>
    <w:rsid w:val="001E6811"/>
    <w:rsid w:val="001E69DA"/>
    <w:rsid w:val="001E6A5B"/>
    <w:rsid w:val="001E6AA8"/>
    <w:rsid w:val="001E6AF0"/>
    <w:rsid w:val="001E6DAB"/>
    <w:rsid w:val="001E7262"/>
    <w:rsid w:val="001E7265"/>
    <w:rsid w:val="001E72BD"/>
    <w:rsid w:val="001E7312"/>
    <w:rsid w:val="001E7563"/>
    <w:rsid w:val="001E7606"/>
    <w:rsid w:val="001E76A6"/>
    <w:rsid w:val="001E76B8"/>
    <w:rsid w:val="001E7954"/>
    <w:rsid w:val="001E7ADF"/>
    <w:rsid w:val="001E7C12"/>
    <w:rsid w:val="001E7CFE"/>
    <w:rsid w:val="001F0209"/>
    <w:rsid w:val="001F0379"/>
    <w:rsid w:val="001F091F"/>
    <w:rsid w:val="001F094C"/>
    <w:rsid w:val="001F0A37"/>
    <w:rsid w:val="001F0D71"/>
    <w:rsid w:val="001F0DC8"/>
    <w:rsid w:val="001F1298"/>
    <w:rsid w:val="001F15C1"/>
    <w:rsid w:val="001F16F0"/>
    <w:rsid w:val="001F1D8F"/>
    <w:rsid w:val="001F1DFF"/>
    <w:rsid w:val="001F20B9"/>
    <w:rsid w:val="001F2126"/>
    <w:rsid w:val="001F2253"/>
    <w:rsid w:val="001F2278"/>
    <w:rsid w:val="001F22B9"/>
    <w:rsid w:val="001F23AB"/>
    <w:rsid w:val="001F25FE"/>
    <w:rsid w:val="001F2789"/>
    <w:rsid w:val="001F279C"/>
    <w:rsid w:val="001F27AA"/>
    <w:rsid w:val="001F27EC"/>
    <w:rsid w:val="001F282C"/>
    <w:rsid w:val="001F28EB"/>
    <w:rsid w:val="001F2B9E"/>
    <w:rsid w:val="001F2C13"/>
    <w:rsid w:val="001F2C29"/>
    <w:rsid w:val="001F3156"/>
    <w:rsid w:val="001F31F1"/>
    <w:rsid w:val="001F32CF"/>
    <w:rsid w:val="001F3340"/>
    <w:rsid w:val="001F3588"/>
    <w:rsid w:val="001F36DE"/>
    <w:rsid w:val="001F378C"/>
    <w:rsid w:val="001F3AAB"/>
    <w:rsid w:val="001F3B2E"/>
    <w:rsid w:val="001F3CE6"/>
    <w:rsid w:val="001F3E92"/>
    <w:rsid w:val="001F3F38"/>
    <w:rsid w:val="001F3F6E"/>
    <w:rsid w:val="001F3FAE"/>
    <w:rsid w:val="001F4411"/>
    <w:rsid w:val="001F447F"/>
    <w:rsid w:val="001F45EE"/>
    <w:rsid w:val="001F4BEE"/>
    <w:rsid w:val="001F4C5C"/>
    <w:rsid w:val="001F4C66"/>
    <w:rsid w:val="001F4CDF"/>
    <w:rsid w:val="001F4D32"/>
    <w:rsid w:val="001F4FB0"/>
    <w:rsid w:val="001F5019"/>
    <w:rsid w:val="001F5677"/>
    <w:rsid w:val="001F5717"/>
    <w:rsid w:val="001F57D1"/>
    <w:rsid w:val="001F5867"/>
    <w:rsid w:val="001F5954"/>
    <w:rsid w:val="001F5988"/>
    <w:rsid w:val="001F5B24"/>
    <w:rsid w:val="001F5C43"/>
    <w:rsid w:val="001F5DF5"/>
    <w:rsid w:val="001F5DF7"/>
    <w:rsid w:val="001F5FDE"/>
    <w:rsid w:val="001F60C4"/>
    <w:rsid w:val="001F61B2"/>
    <w:rsid w:val="001F6445"/>
    <w:rsid w:val="001F6520"/>
    <w:rsid w:val="001F657C"/>
    <w:rsid w:val="001F68CE"/>
    <w:rsid w:val="001F68FC"/>
    <w:rsid w:val="001F6932"/>
    <w:rsid w:val="001F6BBE"/>
    <w:rsid w:val="001F6E33"/>
    <w:rsid w:val="001F70F2"/>
    <w:rsid w:val="001F7257"/>
    <w:rsid w:val="001F752B"/>
    <w:rsid w:val="001F7689"/>
    <w:rsid w:val="001F78DA"/>
    <w:rsid w:val="001F78E5"/>
    <w:rsid w:val="001F7AF7"/>
    <w:rsid w:val="001F7BD6"/>
    <w:rsid w:val="001F7BDA"/>
    <w:rsid w:val="001F7C59"/>
    <w:rsid w:val="001F7D13"/>
    <w:rsid w:val="001F7DD8"/>
    <w:rsid w:val="001F7E62"/>
    <w:rsid w:val="001F7F25"/>
    <w:rsid w:val="001F7F8C"/>
    <w:rsid w:val="00200067"/>
    <w:rsid w:val="002003D9"/>
    <w:rsid w:val="002004E8"/>
    <w:rsid w:val="0020068E"/>
    <w:rsid w:val="00200703"/>
    <w:rsid w:val="00200771"/>
    <w:rsid w:val="002008BA"/>
    <w:rsid w:val="00200B20"/>
    <w:rsid w:val="00200BCF"/>
    <w:rsid w:val="00200C43"/>
    <w:rsid w:val="00200C75"/>
    <w:rsid w:val="00200CC9"/>
    <w:rsid w:val="00200F3E"/>
    <w:rsid w:val="002011FA"/>
    <w:rsid w:val="0020128C"/>
    <w:rsid w:val="0020140F"/>
    <w:rsid w:val="002014F0"/>
    <w:rsid w:val="00201515"/>
    <w:rsid w:val="0020151D"/>
    <w:rsid w:val="0020163F"/>
    <w:rsid w:val="0020164F"/>
    <w:rsid w:val="00201860"/>
    <w:rsid w:val="00201EA8"/>
    <w:rsid w:val="00201FAD"/>
    <w:rsid w:val="002020F3"/>
    <w:rsid w:val="002022B5"/>
    <w:rsid w:val="002024D1"/>
    <w:rsid w:val="002025AA"/>
    <w:rsid w:val="0020266F"/>
    <w:rsid w:val="00202846"/>
    <w:rsid w:val="00202911"/>
    <w:rsid w:val="00202A04"/>
    <w:rsid w:val="00202C80"/>
    <w:rsid w:val="00202E4B"/>
    <w:rsid w:val="00202EAC"/>
    <w:rsid w:val="00202FFF"/>
    <w:rsid w:val="00203218"/>
    <w:rsid w:val="0020330D"/>
    <w:rsid w:val="00203445"/>
    <w:rsid w:val="002034D2"/>
    <w:rsid w:val="00203713"/>
    <w:rsid w:val="0020380D"/>
    <w:rsid w:val="002038A3"/>
    <w:rsid w:val="00203B07"/>
    <w:rsid w:val="00203B8E"/>
    <w:rsid w:val="00203D3D"/>
    <w:rsid w:val="00203D48"/>
    <w:rsid w:val="00203D6C"/>
    <w:rsid w:val="00203FB3"/>
    <w:rsid w:val="00203FEC"/>
    <w:rsid w:val="00204379"/>
    <w:rsid w:val="00204625"/>
    <w:rsid w:val="00204789"/>
    <w:rsid w:val="00204942"/>
    <w:rsid w:val="00204A2D"/>
    <w:rsid w:val="00204D1C"/>
    <w:rsid w:val="00204EC5"/>
    <w:rsid w:val="00204F0E"/>
    <w:rsid w:val="00204FCF"/>
    <w:rsid w:val="00205110"/>
    <w:rsid w:val="00205234"/>
    <w:rsid w:val="00205455"/>
    <w:rsid w:val="00205457"/>
    <w:rsid w:val="0020547B"/>
    <w:rsid w:val="002058D1"/>
    <w:rsid w:val="00205C3F"/>
    <w:rsid w:val="00205D7E"/>
    <w:rsid w:val="00205E04"/>
    <w:rsid w:val="00205E06"/>
    <w:rsid w:val="002061B4"/>
    <w:rsid w:val="0020621C"/>
    <w:rsid w:val="00206267"/>
    <w:rsid w:val="0020657A"/>
    <w:rsid w:val="00206694"/>
    <w:rsid w:val="002067DD"/>
    <w:rsid w:val="00206D99"/>
    <w:rsid w:val="00206FDA"/>
    <w:rsid w:val="0020704D"/>
    <w:rsid w:val="00207218"/>
    <w:rsid w:val="0020739C"/>
    <w:rsid w:val="002073FF"/>
    <w:rsid w:val="00207412"/>
    <w:rsid w:val="002075C6"/>
    <w:rsid w:val="00207646"/>
    <w:rsid w:val="002076A0"/>
    <w:rsid w:val="0020793F"/>
    <w:rsid w:val="00207AE5"/>
    <w:rsid w:val="00207BD1"/>
    <w:rsid w:val="00207BD7"/>
    <w:rsid w:val="00207C28"/>
    <w:rsid w:val="00207C38"/>
    <w:rsid w:val="00207CE4"/>
    <w:rsid w:val="00207E45"/>
    <w:rsid w:val="00207E7B"/>
    <w:rsid w:val="00207E9C"/>
    <w:rsid w:val="002100DF"/>
    <w:rsid w:val="0021032A"/>
    <w:rsid w:val="002105A7"/>
    <w:rsid w:val="0021087A"/>
    <w:rsid w:val="0021087D"/>
    <w:rsid w:val="0021095B"/>
    <w:rsid w:val="00210CA0"/>
    <w:rsid w:val="00210EF2"/>
    <w:rsid w:val="00210F7D"/>
    <w:rsid w:val="002110AE"/>
    <w:rsid w:val="002114FC"/>
    <w:rsid w:val="00211627"/>
    <w:rsid w:val="00211790"/>
    <w:rsid w:val="002118F3"/>
    <w:rsid w:val="0021194A"/>
    <w:rsid w:val="0021199C"/>
    <w:rsid w:val="00211A08"/>
    <w:rsid w:val="00211BBD"/>
    <w:rsid w:val="00211C8E"/>
    <w:rsid w:val="00211E22"/>
    <w:rsid w:val="00211E7B"/>
    <w:rsid w:val="00211F9E"/>
    <w:rsid w:val="002122AE"/>
    <w:rsid w:val="00212417"/>
    <w:rsid w:val="002125B0"/>
    <w:rsid w:val="0021272B"/>
    <w:rsid w:val="00212759"/>
    <w:rsid w:val="002129AA"/>
    <w:rsid w:val="00212B06"/>
    <w:rsid w:val="00212B6B"/>
    <w:rsid w:val="00212EA2"/>
    <w:rsid w:val="00212FB5"/>
    <w:rsid w:val="00213085"/>
    <w:rsid w:val="00213093"/>
    <w:rsid w:val="002131B7"/>
    <w:rsid w:val="00213221"/>
    <w:rsid w:val="0021326B"/>
    <w:rsid w:val="00213299"/>
    <w:rsid w:val="0021377B"/>
    <w:rsid w:val="00213853"/>
    <w:rsid w:val="00213A66"/>
    <w:rsid w:val="00213D07"/>
    <w:rsid w:val="00213D63"/>
    <w:rsid w:val="00213D8A"/>
    <w:rsid w:val="00214241"/>
    <w:rsid w:val="002142F4"/>
    <w:rsid w:val="00214351"/>
    <w:rsid w:val="00214708"/>
    <w:rsid w:val="002148A8"/>
    <w:rsid w:val="002148DC"/>
    <w:rsid w:val="00214921"/>
    <w:rsid w:val="002149A4"/>
    <w:rsid w:val="00214A16"/>
    <w:rsid w:val="00214AF7"/>
    <w:rsid w:val="00214BFE"/>
    <w:rsid w:val="00214C72"/>
    <w:rsid w:val="00214F0F"/>
    <w:rsid w:val="00214F7A"/>
    <w:rsid w:val="002150DD"/>
    <w:rsid w:val="0021521B"/>
    <w:rsid w:val="00215232"/>
    <w:rsid w:val="00215293"/>
    <w:rsid w:val="002153FA"/>
    <w:rsid w:val="0021542C"/>
    <w:rsid w:val="00215482"/>
    <w:rsid w:val="002157F7"/>
    <w:rsid w:val="00215984"/>
    <w:rsid w:val="00215AD6"/>
    <w:rsid w:val="00215D07"/>
    <w:rsid w:val="00215DEB"/>
    <w:rsid w:val="0021607D"/>
    <w:rsid w:val="00216151"/>
    <w:rsid w:val="002161FB"/>
    <w:rsid w:val="002166EC"/>
    <w:rsid w:val="002167D9"/>
    <w:rsid w:val="00216A32"/>
    <w:rsid w:val="00216B89"/>
    <w:rsid w:val="00216BE4"/>
    <w:rsid w:val="00216CD6"/>
    <w:rsid w:val="00216F9E"/>
    <w:rsid w:val="00216FF6"/>
    <w:rsid w:val="002171B0"/>
    <w:rsid w:val="002171D1"/>
    <w:rsid w:val="002171DE"/>
    <w:rsid w:val="00217359"/>
    <w:rsid w:val="002173DF"/>
    <w:rsid w:val="00217552"/>
    <w:rsid w:val="00217823"/>
    <w:rsid w:val="00217840"/>
    <w:rsid w:val="00217885"/>
    <w:rsid w:val="002179F9"/>
    <w:rsid w:val="00217C09"/>
    <w:rsid w:val="00217DC3"/>
    <w:rsid w:val="00217F77"/>
    <w:rsid w:val="00220008"/>
    <w:rsid w:val="002200B6"/>
    <w:rsid w:val="002200B7"/>
    <w:rsid w:val="00220102"/>
    <w:rsid w:val="002202A4"/>
    <w:rsid w:val="00220543"/>
    <w:rsid w:val="00220563"/>
    <w:rsid w:val="0022066E"/>
    <w:rsid w:val="0022086D"/>
    <w:rsid w:val="00220A77"/>
    <w:rsid w:val="00220AA7"/>
    <w:rsid w:val="00220C36"/>
    <w:rsid w:val="00220E4D"/>
    <w:rsid w:val="00220E62"/>
    <w:rsid w:val="00220E67"/>
    <w:rsid w:val="0022103C"/>
    <w:rsid w:val="00221089"/>
    <w:rsid w:val="00221124"/>
    <w:rsid w:val="00221294"/>
    <w:rsid w:val="00221369"/>
    <w:rsid w:val="002214B9"/>
    <w:rsid w:val="00221618"/>
    <w:rsid w:val="00221718"/>
    <w:rsid w:val="00221737"/>
    <w:rsid w:val="002217D5"/>
    <w:rsid w:val="00221801"/>
    <w:rsid w:val="0022184C"/>
    <w:rsid w:val="00221877"/>
    <w:rsid w:val="002218B1"/>
    <w:rsid w:val="002218B2"/>
    <w:rsid w:val="0022190E"/>
    <w:rsid w:val="00221D1F"/>
    <w:rsid w:val="00221E7A"/>
    <w:rsid w:val="00221FEC"/>
    <w:rsid w:val="0022206D"/>
    <w:rsid w:val="002223A3"/>
    <w:rsid w:val="00222456"/>
    <w:rsid w:val="0022252D"/>
    <w:rsid w:val="002226C3"/>
    <w:rsid w:val="002226D2"/>
    <w:rsid w:val="00222768"/>
    <w:rsid w:val="0022283E"/>
    <w:rsid w:val="00222A99"/>
    <w:rsid w:val="00222C4E"/>
    <w:rsid w:val="00222C63"/>
    <w:rsid w:val="00222E22"/>
    <w:rsid w:val="0022312C"/>
    <w:rsid w:val="00223141"/>
    <w:rsid w:val="00223221"/>
    <w:rsid w:val="00223245"/>
    <w:rsid w:val="002234F7"/>
    <w:rsid w:val="00223589"/>
    <w:rsid w:val="00223632"/>
    <w:rsid w:val="002236B6"/>
    <w:rsid w:val="00223949"/>
    <w:rsid w:val="002239D6"/>
    <w:rsid w:val="00223B1D"/>
    <w:rsid w:val="00223C79"/>
    <w:rsid w:val="00223D14"/>
    <w:rsid w:val="00223EAE"/>
    <w:rsid w:val="00223F2A"/>
    <w:rsid w:val="00223FD7"/>
    <w:rsid w:val="00224078"/>
    <w:rsid w:val="002240FA"/>
    <w:rsid w:val="002241B5"/>
    <w:rsid w:val="0022432D"/>
    <w:rsid w:val="0022439C"/>
    <w:rsid w:val="0022448A"/>
    <w:rsid w:val="002245C3"/>
    <w:rsid w:val="00224687"/>
    <w:rsid w:val="002247B6"/>
    <w:rsid w:val="00224976"/>
    <w:rsid w:val="00224D73"/>
    <w:rsid w:val="00224ED6"/>
    <w:rsid w:val="00224F41"/>
    <w:rsid w:val="00224F91"/>
    <w:rsid w:val="00225006"/>
    <w:rsid w:val="002250C6"/>
    <w:rsid w:val="00225165"/>
    <w:rsid w:val="00225191"/>
    <w:rsid w:val="00225940"/>
    <w:rsid w:val="00225AD2"/>
    <w:rsid w:val="00225B65"/>
    <w:rsid w:val="00225E75"/>
    <w:rsid w:val="00226264"/>
    <w:rsid w:val="002265E0"/>
    <w:rsid w:val="002265F3"/>
    <w:rsid w:val="002267C3"/>
    <w:rsid w:val="0022681D"/>
    <w:rsid w:val="00226B0D"/>
    <w:rsid w:val="00226D83"/>
    <w:rsid w:val="00226E12"/>
    <w:rsid w:val="00226F10"/>
    <w:rsid w:val="00227021"/>
    <w:rsid w:val="0022712B"/>
    <w:rsid w:val="0022727F"/>
    <w:rsid w:val="002272D2"/>
    <w:rsid w:val="00227423"/>
    <w:rsid w:val="00227431"/>
    <w:rsid w:val="002275A9"/>
    <w:rsid w:val="00227C0B"/>
    <w:rsid w:val="00227C4E"/>
    <w:rsid w:val="00227C83"/>
    <w:rsid w:val="00227D31"/>
    <w:rsid w:val="00227F7E"/>
    <w:rsid w:val="00230085"/>
    <w:rsid w:val="00230262"/>
    <w:rsid w:val="002302DA"/>
    <w:rsid w:val="002303D8"/>
    <w:rsid w:val="00230402"/>
    <w:rsid w:val="0023053F"/>
    <w:rsid w:val="002305C1"/>
    <w:rsid w:val="002305D9"/>
    <w:rsid w:val="0023072F"/>
    <w:rsid w:val="0023075E"/>
    <w:rsid w:val="0023091C"/>
    <w:rsid w:val="00230BF9"/>
    <w:rsid w:val="00230D24"/>
    <w:rsid w:val="00230D8E"/>
    <w:rsid w:val="00230EFB"/>
    <w:rsid w:val="00230F47"/>
    <w:rsid w:val="00231049"/>
    <w:rsid w:val="00231057"/>
    <w:rsid w:val="00231344"/>
    <w:rsid w:val="00231463"/>
    <w:rsid w:val="00231465"/>
    <w:rsid w:val="002314A3"/>
    <w:rsid w:val="002314D2"/>
    <w:rsid w:val="0023151A"/>
    <w:rsid w:val="0023152F"/>
    <w:rsid w:val="0023158A"/>
    <w:rsid w:val="002315D2"/>
    <w:rsid w:val="002316B6"/>
    <w:rsid w:val="0023174E"/>
    <w:rsid w:val="00231937"/>
    <w:rsid w:val="002319D7"/>
    <w:rsid w:val="00231ACF"/>
    <w:rsid w:val="00231DE6"/>
    <w:rsid w:val="00231F6C"/>
    <w:rsid w:val="002320EA"/>
    <w:rsid w:val="00232272"/>
    <w:rsid w:val="002323E4"/>
    <w:rsid w:val="002325D1"/>
    <w:rsid w:val="002326FB"/>
    <w:rsid w:val="0023274E"/>
    <w:rsid w:val="002328D2"/>
    <w:rsid w:val="00232A36"/>
    <w:rsid w:val="00232C18"/>
    <w:rsid w:val="002330D8"/>
    <w:rsid w:val="00233570"/>
    <w:rsid w:val="002337E2"/>
    <w:rsid w:val="002337F2"/>
    <w:rsid w:val="0023381E"/>
    <w:rsid w:val="00233899"/>
    <w:rsid w:val="00233C5C"/>
    <w:rsid w:val="00233D98"/>
    <w:rsid w:val="00233F35"/>
    <w:rsid w:val="00233FB4"/>
    <w:rsid w:val="00233FBE"/>
    <w:rsid w:val="00234293"/>
    <w:rsid w:val="0023438D"/>
    <w:rsid w:val="0023449D"/>
    <w:rsid w:val="00234A46"/>
    <w:rsid w:val="00234C7D"/>
    <w:rsid w:val="00234E28"/>
    <w:rsid w:val="00234E2E"/>
    <w:rsid w:val="00234F13"/>
    <w:rsid w:val="00234F49"/>
    <w:rsid w:val="00234FFE"/>
    <w:rsid w:val="0023514C"/>
    <w:rsid w:val="00235301"/>
    <w:rsid w:val="0023544E"/>
    <w:rsid w:val="00235561"/>
    <w:rsid w:val="00235793"/>
    <w:rsid w:val="00235863"/>
    <w:rsid w:val="002359B9"/>
    <w:rsid w:val="00235ABE"/>
    <w:rsid w:val="00235AC7"/>
    <w:rsid w:val="00235BB4"/>
    <w:rsid w:val="00235C39"/>
    <w:rsid w:val="00235CD8"/>
    <w:rsid w:val="0023600C"/>
    <w:rsid w:val="00236378"/>
    <w:rsid w:val="002363A6"/>
    <w:rsid w:val="0023658C"/>
    <w:rsid w:val="00236675"/>
    <w:rsid w:val="002366C6"/>
    <w:rsid w:val="00236764"/>
    <w:rsid w:val="0023679C"/>
    <w:rsid w:val="002367B9"/>
    <w:rsid w:val="002367F4"/>
    <w:rsid w:val="00236CCA"/>
    <w:rsid w:val="00236D30"/>
    <w:rsid w:val="00236E4D"/>
    <w:rsid w:val="00236F0D"/>
    <w:rsid w:val="00236F67"/>
    <w:rsid w:val="002371A0"/>
    <w:rsid w:val="00237277"/>
    <w:rsid w:val="002372A6"/>
    <w:rsid w:val="002372CD"/>
    <w:rsid w:val="002376FC"/>
    <w:rsid w:val="0023777F"/>
    <w:rsid w:val="00237839"/>
    <w:rsid w:val="0023789E"/>
    <w:rsid w:val="00237BC4"/>
    <w:rsid w:val="00237D46"/>
    <w:rsid w:val="00237EC0"/>
    <w:rsid w:val="00237F16"/>
    <w:rsid w:val="00240068"/>
    <w:rsid w:val="00240093"/>
    <w:rsid w:val="00240112"/>
    <w:rsid w:val="00240162"/>
    <w:rsid w:val="002401A8"/>
    <w:rsid w:val="00240231"/>
    <w:rsid w:val="002402C3"/>
    <w:rsid w:val="002404F8"/>
    <w:rsid w:val="0024052F"/>
    <w:rsid w:val="002407D7"/>
    <w:rsid w:val="00240996"/>
    <w:rsid w:val="002409D1"/>
    <w:rsid w:val="00240A18"/>
    <w:rsid w:val="00240AD2"/>
    <w:rsid w:val="00240B23"/>
    <w:rsid w:val="00240B3C"/>
    <w:rsid w:val="00240BC7"/>
    <w:rsid w:val="00240CA1"/>
    <w:rsid w:val="00240CDE"/>
    <w:rsid w:val="00240EB3"/>
    <w:rsid w:val="00241278"/>
    <w:rsid w:val="00241347"/>
    <w:rsid w:val="0024135C"/>
    <w:rsid w:val="002413D7"/>
    <w:rsid w:val="002415DD"/>
    <w:rsid w:val="00241662"/>
    <w:rsid w:val="002417C7"/>
    <w:rsid w:val="0024195A"/>
    <w:rsid w:val="00241998"/>
    <w:rsid w:val="00241B2B"/>
    <w:rsid w:val="00241B64"/>
    <w:rsid w:val="00241DF1"/>
    <w:rsid w:val="00241EA0"/>
    <w:rsid w:val="00241FAD"/>
    <w:rsid w:val="0024204C"/>
    <w:rsid w:val="0024229A"/>
    <w:rsid w:val="0024238F"/>
    <w:rsid w:val="002423CE"/>
    <w:rsid w:val="00242432"/>
    <w:rsid w:val="0024258E"/>
    <w:rsid w:val="002425E7"/>
    <w:rsid w:val="00242721"/>
    <w:rsid w:val="002427FA"/>
    <w:rsid w:val="0024299D"/>
    <w:rsid w:val="00242A3D"/>
    <w:rsid w:val="00242C6A"/>
    <w:rsid w:val="00242EA6"/>
    <w:rsid w:val="002430C2"/>
    <w:rsid w:val="00243121"/>
    <w:rsid w:val="002431C3"/>
    <w:rsid w:val="00243482"/>
    <w:rsid w:val="002434FF"/>
    <w:rsid w:val="00243505"/>
    <w:rsid w:val="0024352E"/>
    <w:rsid w:val="00243587"/>
    <w:rsid w:val="00243651"/>
    <w:rsid w:val="00243656"/>
    <w:rsid w:val="00243800"/>
    <w:rsid w:val="00243866"/>
    <w:rsid w:val="002439B6"/>
    <w:rsid w:val="00243BAD"/>
    <w:rsid w:val="00243BCA"/>
    <w:rsid w:val="00243F93"/>
    <w:rsid w:val="002444F1"/>
    <w:rsid w:val="002445A4"/>
    <w:rsid w:val="002445AD"/>
    <w:rsid w:val="002445EA"/>
    <w:rsid w:val="0024479A"/>
    <w:rsid w:val="00244974"/>
    <w:rsid w:val="00244A1C"/>
    <w:rsid w:val="00244BB5"/>
    <w:rsid w:val="00244BBB"/>
    <w:rsid w:val="00244C6C"/>
    <w:rsid w:val="00244C6E"/>
    <w:rsid w:val="00244CD3"/>
    <w:rsid w:val="00244CF5"/>
    <w:rsid w:val="00244CFE"/>
    <w:rsid w:val="00244E2D"/>
    <w:rsid w:val="00244F4E"/>
    <w:rsid w:val="00244F94"/>
    <w:rsid w:val="002451CA"/>
    <w:rsid w:val="002451F4"/>
    <w:rsid w:val="00245289"/>
    <w:rsid w:val="002452C5"/>
    <w:rsid w:val="002453DD"/>
    <w:rsid w:val="00245484"/>
    <w:rsid w:val="002456F1"/>
    <w:rsid w:val="002457BA"/>
    <w:rsid w:val="00245B40"/>
    <w:rsid w:val="00245CDD"/>
    <w:rsid w:val="00245D39"/>
    <w:rsid w:val="00245DC3"/>
    <w:rsid w:val="0024637B"/>
    <w:rsid w:val="002464D7"/>
    <w:rsid w:val="00246624"/>
    <w:rsid w:val="00246653"/>
    <w:rsid w:val="0024668F"/>
    <w:rsid w:val="002466FA"/>
    <w:rsid w:val="0024675B"/>
    <w:rsid w:val="00246891"/>
    <w:rsid w:val="00246A78"/>
    <w:rsid w:val="00246BAB"/>
    <w:rsid w:val="00246E50"/>
    <w:rsid w:val="00246E73"/>
    <w:rsid w:val="00246ECB"/>
    <w:rsid w:val="002470C8"/>
    <w:rsid w:val="00247124"/>
    <w:rsid w:val="0024723E"/>
    <w:rsid w:val="002472EF"/>
    <w:rsid w:val="00247408"/>
    <w:rsid w:val="0024746A"/>
    <w:rsid w:val="0024764C"/>
    <w:rsid w:val="00247871"/>
    <w:rsid w:val="00247875"/>
    <w:rsid w:val="0024789F"/>
    <w:rsid w:val="00247C1D"/>
    <w:rsid w:val="00247C46"/>
    <w:rsid w:val="00247C84"/>
    <w:rsid w:val="00247E16"/>
    <w:rsid w:val="00247E18"/>
    <w:rsid w:val="0025002F"/>
    <w:rsid w:val="002500D0"/>
    <w:rsid w:val="002500DF"/>
    <w:rsid w:val="00250265"/>
    <w:rsid w:val="002502D3"/>
    <w:rsid w:val="0025045C"/>
    <w:rsid w:val="0025049B"/>
    <w:rsid w:val="002505E6"/>
    <w:rsid w:val="002505F4"/>
    <w:rsid w:val="002506C4"/>
    <w:rsid w:val="002506E4"/>
    <w:rsid w:val="00250760"/>
    <w:rsid w:val="0025082A"/>
    <w:rsid w:val="00250978"/>
    <w:rsid w:val="00250A44"/>
    <w:rsid w:val="00250B32"/>
    <w:rsid w:val="00250B81"/>
    <w:rsid w:val="00250CCB"/>
    <w:rsid w:val="00250D84"/>
    <w:rsid w:val="00250E27"/>
    <w:rsid w:val="00250E95"/>
    <w:rsid w:val="00250FF9"/>
    <w:rsid w:val="00251004"/>
    <w:rsid w:val="00251042"/>
    <w:rsid w:val="002510F1"/>
    <w:rsid w:val="002511C2"/>
    <w:rsid w:val="00251219"/>
    <w:rsid w:val="0025131A"/>
    <w:rsid w:val="0025137A"/>
    <w:rsid w:val="002515D2"/>
    <w:rsid w:val="002516E0"/>
    <w:rsid w:val="002517C8"/>
    <w:rsid w:val="00251ADC"/>
    <w:rsid w:val="00251B28"/>
    <w:rsid w:val="00251C1B"/>
    <w:rsid w:val="00251D86"/>
    <w:rsid w:val="00251E36"/>
    <w:rsid w:val="00251EBE"/>
    <w:rsid w:val="00251EC6"/>
    <w:rsid w:val="00251F15"/>
    <w:rsid w:val="00251F63"/>
    <w:rsid w:val="00251F9A"/>
    <w:rsid w:val="002520DB"/>
    <w:rsid w:val="00252177"/>
    <w:rsid w:val="00252180"/>
    <w:rsid w:val="002521D6"/>
    <w:rsid w:val="0025254A"/>
    <w:rsid w:val="00252684"/>
    <w:rsid w:val="00252878"/>
    <w:rsid w:val="00252A0C"/>
    <w:rsid w:val="00252AB0"/>
    <w:rsid w:val="00252B0A"/>
    <w:rsid w:val="00252C4A"/>
    <w:rsid w:val="00252CB5"/>
    <w:rsid w:val="00252CBE"/>
    <w:rsid w:val="00252CFD"/>
    <w:rsid w:val="0025300D"/>
    <w:rsid w:val="00253106"/>
    <w:rsid w:val="00253261"/>
    <w:rsid w:val="002532BC"/>
    <w:rsid w:val="00253342"/>
    <w:rsid w:val="0025356F"/>
    <w:rsid w:val="00253642"/>
    <w:rsid w:val="00253689"/>
    <w:rsid w:val="002536DF"/>
    <w:rsid w:val="00253787"/>
    <w:rsid w:val="002537F7"/>
    <w:rsid w:val="00253883"/>
    <w:rsid w:val="002538E8"/>
    <w:rsid w:val="002538EE"/>
    <w:rsid w:val="00253A15"/>
    <w:rsid w:val="00253B88"/>
    <w:rsid w:val="00253BD5"/>
    <w:rsid w:val="00253C7C"/>
    <w:rsid w:val="00253E2B"/>
    <w:rsid w:val="00253ECE"/>
    <w:rsid w:val="00254120"/>
    <w:rsid w:val="002541D1"/>
    <w:rsid w:val="00254507"/>
    <w:rsid w:val="00254694"/>
    <w:rsid w:val="00254774"/>
    <w:rsid w:val="00254876"/>
    <w:rsid w:val="00254BE0"/>
    <w:rsid w:val="00254D07"/>
    <w:rsid w:val="00254D65"/>
    <w:rsid w:val="00254E04"/>
    <w:rsid w:val="00254F0F"/>
    <w:rsid w:val="00254F7C"/>
    <w:rsid w:val="00254FB1"/>
    <w:rsid w:val="00254FCB"/>
    <w:rsid w:val="00255014"/>
    <w:rsid w:val="00255053"/>
    <w:rsid w:val="0025533D"/>
    <w:rsid w:val="002554E9"/>
    <w:rsid w:val="00255546"/>
    <w:rsid w:val="0025554B"/>
    <w:rsid w:val="00255632"/>
    <w:rsid w:val="0025565D"/>
    <w:rsid w:val="0025572D"/>
    <w:rsid w:val="00255889"/>
    <w:rsid w:val="00255971"/>
    <w:rsid w:val="00255B87"/>
    <w:rsid w:val="00255BAA"/>
    <w:rsid w:val="00255C0C"/>
    <w:rsid w:val="00256192"/>
    <w:rsid w:val="00256199"/>
    <w:rsid w:val="002562BD"/>
    <w:rsid w:val="00256358"/>
    <w:rsid w:val="0025642B"/>
    <w:rsid w:val="002565BF"/>
    <w:rsid w:val="002565F5"/>
    <w:rsid w:val="002565FB"/>
    <w:rsid w:val="00256868"/>
    <w:rsid w:val="00256ADA"/>
    <w:rsid w:val="00256AFE"/>
    <w:rsid w:val="00256F3A"/>
    <w:rsid w:val="00256FB5"/>
    <w:rsid w:val="00257208"/>
    <w:rsid w:val="0025730F"/>
    <w:rsid w:val="002574A3"/>
    <w:rsid w:val="002574FF"/>
    <w:rsid w:val="00257543"/>
    <w:rsid w:val="00257619"/>
    <w:rsid w:val="0025769D"/>
    <w:rsid w:val="00257A4E"/>
    <w:rsid w:val="00257AEE"/>
    <w:rsid w:val="00257BAB"/>
    <w:rsid w:val="00257D18"/>
    <w:rsid w:val="00257D1E"/>
    <w:rsid w:val="00260099"/>
    <w:rsid w:val="0026026A"/>
    <w:rsid w:val="00260744"/>
    <w:rsid w:val="0026082F"/>
    <w:rsid w:val="00260855"/>
    <w:rsid w:val="0026094F"/>
    <w:rsid w:val="00260B09"/>
    <w:rsid w:val="00260C81"/>
    <w:rsid w:val="00260D54"/>
    <w:rsid w:val="00260E8A"/>
    <w:rsid w:val="002610B9"/>
    <w:rsid w:val="00261110"/>
    <w:rsid w:val="0026114B"/>
    <w:rsid w:val="00261222"/>
    <w:rsid w:val="00261473"/>
    <w:rsid w:val="002615A6"/>
    <w:rsid w:val="00261604"/>
    <w:rsid w:val="0026163D"/>
    <w:rsid w:val="00261703"/>
    <w:rsid w:val="002617C6"/>
    <w:rsid w:val="0026188F"/>
    <w:rsid w:val="002619EC"/>
    <w:rsid w:val="00261A8E"/>
    <w:rsid w:val="00261D18"/>
    <w:rsid w:val="0026203C"/>
    <w:rsid w:val="00262054"/>
    <w:rsid w:val="002622A6"/>
    <w:rsid w:val="002622DB"/>
    <w:rsid w:val="0026235B"/>
    <w:rsid w:val="00262466"/>
    <w:rsid w:val="00262523"/>
    <w:rsid w:val="0026275E"/>
    <w:rsid w:val="00262822"/>
    <w:rsid w:val="00262847"/>
    <w:rsid w:val="002629F5"/>
    <w:rsid w:val="00262AFE"/>
    <w:rsid w:val="00262CF0"/>
    <w:rsid w:val="00262CF4"/>
    <w:rsid w:val="00262FE7"/>
    <w:rsid w:val="0026307F"/>
    <w:rsid w:val="002631A3"/>
    <w:rsid w:val="00263348"/>
    <w:rsid w:val="002633A8"/>
    <w:rsid w:val="002634DE"/>
    <w:rsid w:val="002636CC"/>
    <w:rsid w:val="0026374A"/>
    <w:rsid w:val="00263779"/>
    <w:rsid w:val="00263891"/>
    <w:rsid w:val="002638D3"/>
    <w:rsid w:val="0026392A"/>
    <w:rsid w:val="00263B6C"/>
    <w:rsid w:val="00263D62"/>
    <w:rsid w:val="00263D8F"/>
    <w:rsid w:val="00263F29"/>
    <w:rsid w:val="00264078"/>
    <w:rsid w:val="002640B9"/>
    <w:rsid w:val="0026429E"/>
    <w:rsid w:val="002645EE"/>
    <w:rsid w:val="00264607"/>
    <w:rsid w:val="00264613"/>
    <w:rsid w:val="002646F5"/>
    <w:rsid w:val="00264798"/>
    <w:rsid w:val="00264B0D"/>
    <w:rsid w:val="00264B33"/>
    <w:rsid w:val="00264B46"/>
    <w:rsid w:val="00264BA2"/>
    <w:rsid w:val="00264D3A"/>
    <w:rsid w:val="00264DC7"/>
    <w:rsid w:val="00264E03"/>
    <w:rsid w:val="00264E75"/>
    <w:rsid w:val="00265046"/>
    <w:rsid w:val="0026511D"/>
    <w:rsid w:val="002651BE"/>
    <w:rsid w:val="002656F9"/>
    <w:rsid w:val="0026572B"/>
    <w:rsid w:val="00265887"/>
    <w:rsid w:val="0026592B"/>
    <w:rsid w:val="00265B64"/>
    <w:rsid w:val="00265C4E"/>
    <w:rsid w:val="00265D1E"/>
    <w:rsid w:val="00265EDB"/>
    <w:rsid w:val="0026603C"/>
    <w:rsid w:val="0026639F"/>
    <w:rsid w:val="002664FB"/>
    <w:rsid w:val="00266712"/>
    <w:rsid w:val="0026679A"/>
    <w:rsid w:val="00266860"/>
    <w:rsid w:val="0026698C"/>
    <w:rsid w:val="00266B55"/>
    <w:rsid w:val="00266DEE"/>
    <w:rsid w:val="00266E64"/>
    <w:rsid w:val="00266E65"/>
    <w:rsid w:val="00266E86"/>
    <w:rsid w:val="00266F7C"/>
    <w:rsid w:val="0026704F"/>
    <w:rsid w:val="00267098"/>
    <w:rsid w:val="00267264"/>
    <w:rsid w:val="00267284"/>
    <w:rsid w:val="002672FE"/>
    <w:rsid w:val="0026754E"/>
    <w:rsid w:val="002675A7"/>
    <w:rsid w:val="00267633"/>
    <w:rsid w:val="002676E0"/>
    <w:rsid w:val="00267811"/>
    <w:rsid w:val="00267816"/>
    <w:rsid w:val="0026783D"/>
    <w:rsid w:val="00267931"/>
    <w:rsid w:val="00267996"/>
    <w:rsid w:val="002679F6"/>
    <w:rsid w:val="00267A60"/>
    <w:rsid w:val="00267BBE"/>
    <w:rsid w:val="00267FCC"/>
    <w:rsid w:val="0027019A"/>
    <w:rsid w:val="00270209"/>
    <w:rsid w:val="00270292"/>
    <w:rsid w:val="002702B6"/>
    <w:rsid w:val="002702DD"/>
    <w:rsid w:val="00270381"/>
    <w:rsid w:val="002705CC"/>
    <w:rsid w:val="00270679"/>
    <w:rsid w:val="002707D1"/>
    <w:rsid w:val="00270992"/>
    <w:rsid w:val="00270BCC"/>
    <w:rsid w:val="00270FA8"/>
    <w:rsid w:val="00270FB2"/>
    <w:rsid w:val="00271113"/>
    <w:rsid w:val="0027123D"/>
    <w:rsid w:val="002712AD"/>
    <w:rsid w:val="0027132A"/>
    <w:rsid w:val="00271370"/>
    <w:rsid w:val="002713EE"/>
    <w:rsid w:val="002714FA"/>
    <w:rsid w:val="0027171E"/>
    <w:rsid w:val="00271769"/>
    <w:rsid w:val="002717FF"/>
    <w:rsid w:val="00271815"/>
    <w:rsid w:val="00271997"/>
    <w:rsid w:val="00271A36"/>
    <w:rsid w:val="00271AF6"/>
    <w:rsid w:val="00271CF6"/>
    <w:rsid w:val="00271D3C"/>
    <w:rsid w:val="00271DCB"/>
    <w:rsid w:val="00271E34"/>
    <w:rsid w:val="00272007"/>
    <w:rsid w:val="002724C7"/>
    <w:rsid w:val="0027259D"/>
    <w:rsid w:val="0027263D"/>
    <w:rsid w:val="002726F1"/>
    <w:rsid w:val="00272701"/>
    <w:rsid w:val="002727A3"/>
    <w:rsid w:val="0027297C"/>
    <w:rsid w:val="0027298D"/>
    <w:rsid w:val="002729ED"/>
    <w:rsid w:val="00272B14"/>
    <w:rsid w:val="00272B53"/>
    <w:rsid w:val="00272E15"/>
    <w:rsid w:val="00272E3F"/>
    <w:rsid w:val="00272E91"/>
    <w:rsid w:val="00272FD3"/>
    <w:rsid w:val="00273020"/>
    <w:rsid w:val="0027312B"/>
    <w:rsid w:val="0027315D"/>
    <w:rsid w:val="002731F2"/>
    <w:rsid w:val="0027325D"/>
    <w:rsid w:val="0027338E"/>
    <w:rsid w:val="002735CD"/>
    <w:rsid w:val="00273844"/>
    <w:rsid w:val="00273E19"/>
    <w:rsid w:val="00273FE6"/>
    <w:rsid w:val="0027411A"/>
    <w:rsid w:val="00274125"/>
    <w:rsid w:val="0027420E"/>
    <w:rsid w:val="00274344"/>
    <w:rsid w:val="00274346"/>
    <w:rsid w:val="00274367"/>
    <w:rsid w:val="002743D5"/>
    <w:rsid w:val="002743F3"/>
    <w:rsid w:val="0027441C"/>
    <w:rsid w:val="002748A7"/>
    <w:rsid w:val="002748D7"/>
    <w:rsid w:val="00274A6D"/>
    <w:rsid w:val="00274AD2"/>
    <w:rsid w:val="00274B98"/>
    <w:rsid w:val="00274D34"/>
    <w:rsid w:val="00274EA0"/>
    <w:rsid w:val="00275012"/>
    <w:rsid w:val="002750C2"/>
    <w:rsid w:val="00275126"/>
    <w:rsid w:val="002751E7"/>
    <w:rsid w:val="00275246"/>
    <w:rsid w:val="0027543C"/>
    <w:rsid w:val="002755AF"/>
    <w:rsid w:val="002755B5"/>
    <w:rsid w:val="002756CB"/>
    <w:rsid w:val="00275707"/>
    <w:rsid w:val="00275889"/>
    <w:rsid w:val="002758C1"/>
    <w:rsid w:val="0027590B"/>
    <w:rsid w:val="0027595C"/>
    <w:rsid w:val="00275C76"/>
    <w:rsid w:val="00275E3C"/>
    <w:rsid w:val="00275EC3"/>
    <w:rsid w:val="0027607A"/>
    <w:rsid w:val="002765D3"/>
    <w:rsid w:val="002765D8"/>
    <w:rsid w:val="002766CD"/>
    <w:rsid w:val="0027672D"/>
    <w:rsid w:val="00276780"/>
    <w:rsid w:val="00276921"/>
    <w:rsid w:val="00276C52"/>
    <w:rsid w:val="00276ECD"/>
    <w:rsid w:val="00276F0F"/>
    <w:rsid w:val="00276F22"/>
    <w:rsid w:val="00277012"/>
    <w:rsid w:val="0027712D"/>
    <w:rsid w:val="0027724E"/>
    <w:rsid w:val="0027755F"/>
    <w:rsid w:val="002775BA"/>
    <w:rsid w:val="002777D5"/>
    <w:rsid w:val="0027780B"/>
    <w:rsid w:val="00277B1E"/>
    <w:rsid w:val="00277B36"/>
    <w:rsid w:val="00277B8D"/>
    <w:rsid w:val="00277CB0"/>
    <w:rsid w:val="00277CFD"/>
    <w:rsid w:val="00277ED1"/>
    <w:rsid w:val="0028007E"/>
    <w:rsid w:val="002801C6"/>
    <w:rsid w:val="002805C3"/>
    <w:rsid w:val="00280638"/>
    <w:rsid w:val="002806B1"/>
    <w:rsid w:val="0028078E"/>
    <w:rsid w:val="002807E1"/>
    <w:rsid w:val="00280A46"/>
    <w:rsid w:val="00280B03"/>
    <w:rsid w:val="00280B13"/>
    <w:rsid w:val="00280CF3"/>
    <w:rsid w:val="00280D64"/>
    <w:rsid w:val="00281031"/>
    <w:rsid w:val="00281085"/>
    <w:rsid w:val="00281122"/>
    <w:rsid w:val="002811F2"/>
    <w:rsid w:val="0028122B"/>
    <w:rsid w:val="002813DE"/>
    <w:rsid w:val="00281578"/>
    <w:rsid w:val="0028159A"/>
    <w:rsid w:val="00281610"/>
    <w:rsid w:val="0028166E"/>
    <w:rsid w:val="0028197B"/>
    <w:rsid w:val="00281A61"/>
    <w:rsid w:val="00281C2D"/>
    <w:rsid w:val="00281D1A"/>
    <w:rsid w:val="00281EB8"/>
    <w:rsid w:val="00281F31"/>
    <w:rsid w:val="00282231"/>
    <w:rsid w:val="00282287"/>
    <w:rsid w:val="0028253A"/>
    <w:rsid w:val="00282540"/>
    <w:rsid w:val="00282636"/>
    <w:rsid w:val="002827DE"/>
    <w:rsid w:val="00282818"/>
    <w:rsid w:val="00282AD9"/>
    <w:rsid w:val="00282B3A"/>
    <w:rsid w:val="00282B66"/>
    <w:rsid w:val="00282C1D"/>
    <w:rsid w:val="00282D63"/>
    <w:rsid w:val="00282F43"/>
    <w:rsid w:val="00282F72"/>
    <w:rsid w:val="00282FB4"/>
    <w:rsid w:val="00282FE4"/>
    <w:rsid w:val="002830FF"/>
    <w:rsid w:val="00283239"/>
    <w:rsid w:val="00283311"/>
    <w:rsid w:val="00283447"/>
    <w:rsid w:val="00283453"/>
    <w:rsid w:val="00283594"/>
    <w:rsid w:val="00283731"/>
    <w:rsid w:val="002838D9"/>
    <w:rsid w:val="002838F0"/>
    <w:rsid w:val="002839B3"/>
    <w:rsid w:val="002839CC"/>
    <w:rsid w:val="00283B6E"/>
    <w:rsid w:val="00283CCE"/>
    <w:rsid w:val="00283EEA"/>
    <w:rsid w:val="002840C0"/>
    <w:rsid w:val="00284121"/>
    <w:rsid w:val="002841D3"/>
    <w:rsid w:val="002842B4"/>
    <w:rsid w:val="002842D7"/>
    <w:rsid w:val="00284361"/>
    <w:rsid w:val="00284370"/>
    <w:rsid w:val="00284381"/>
    <w:rsid w:val="00284389"/>
    <w:rsid w:val="00284663"/>
    <w:rsid w:val="00284969"/>
    <w:rsid w:val="00284BC3"/>
    <w:rsid w:val="00284BDF"/>
    <w:rsid w:val="00284CAA"/>
    <w:rsid w:val="00284CCA"/>
    <w:rsid w:val="00284D58"/>
    <w:rsid w:val="00284D9E"/>
    <w:rsid w:val="0028508A"/>
    <w:rsid w:val="00285092"/>
    <w:rsid w:val="002851A1"/>
    <w:rsid w:val="00285521"/>
    <w:rsid w:val="002855F8"/>
    <w:rsid w:val="00285749"/>
    <w:rsid w:val="00285806"/>
    <w:rsid w:val="00285916"/>
    <w:rsid w:val="00285969"/>
    <w:rsid w:val="00285A21"/>
    <w:rsid w:val="00285A70"/>
    <w:rsid w:val="00285AF3"/>
    <w:rsid w:val="00285E00"/>
    <w:rsid w:val="00285EE9"/>
    <w:rsid w:val="002861E8"/>
    <w:rsid w:val="00286615"/>
    <w:rsid w:val="002867D7"/>
    <w:rsid w:val="00286A37"/>
    <w:rsid w:val="00286BCA"/>
    <w:rsid w:val="00286CB5"/>
    <w:rsid w:val="00286D21"/>
    <w:rsid w:val="00287258"/>
    <w:rsid w:val="00287296"/>
    <w:rsid w:val="002873AA"/>
    <w:rsid w:val="002874F6"/>
    <w:rsid w:val="0028756F"/>
    <w:rsid w:val="002875CC"/>
    <w:rsid w:val="002876F3"/>
    <w:rsid w:val="00287ADA"/>
    <w:rsid w:val="00287D4F"/>
    <w:rsid w:val="00287DF3"/>
    <w:rsid w:val="00287DFA"/>
    <w:rsid w:val="00287EC0"/>
    <w:rsid w:val="00287F15"/>
    <w:rsid w:val="00290053"/>
    <w:rsid w:val="002902ED"/>
    <w:rsid w:val="002903CE"/>
    <w:rsid w:val="002905AC"/>
    <w:rsid w:val="002905EB"/>
    <w:rsid w:val="00290A2F"/>
    <w:rsid w:val="00290B27"/>
    <w:rsid w:val="00290C84"/>
    <w:rsid w:val="00290DFD"/>
    <w:rsid w:val="00290EE9"/>
    <w:rsid w:val="00290F32"/>
    <w:rsid w:val="00290F74"/>
    <w:rsid w:val="00291084"/>
    <w:rsid w:val="002910F7"/>
    <w:rsid w:val="00291123"/>
    <w:rsid w:val="00291228"/>
    <w:rsid w:val="0029126B"/>
    <w:rsid w:val="002913D3"/>
    <w:rsid w:val="00291896"/>
    <w:rsid w:val="00291A03"/>
    <w:rsid w:val="00291B6C"/>
    <w:rsid w:val="00291D1F"/>
    <w:rsid w:val="002921B6"/>
    <w:rsid w:val="002923FA"/>
    <w:rsid w:val="0029255B"/>
    <w:rsid w:val="00292638"/>
    <w:rsid w:val="002926B5"/>
    <w:rsid w:val="0029276D"/>
    <w:rsid w:val="00292898"/>
    <w:rsid w:val="002929D3"/>
    <w:rsid w:val="00292A83"/>
    <w:rsid w:val="00292B08"/>
    <w:rsid w:val="00292BEA"/>
    <w:rsid w:val="00292E87"/>
    <w:rsid w:val="002930AB"/>
    <w:rsid w:val="00293258"/>
    <w:rsid w:val="002933EF"/>
    <w:rsid w:val="0029355D"/>
    <w:rsid w:val="00293648"/>
    <w:rsid w:val="002936DC"/>
    <w:rsid w:val="002936E9"/>
    <w:rsid w:val="0029372C"/>
    <w:rsid w:val="00293738"/>
    <w:rsid w:val="002937D9"/>
    <w:rsid w:val="002939BF"/>
    <w:rsid w:val="00293B67"/>
    <w:rsid w:val="00293C7E"/>
    <w:rsid w:val="00293CB5"/>
    <w:rsid w:val="00293D59"/>
    <w:rsid w:val="00293E56"/>
    <w:rsid w:val="00293E9B"/>
    <w:rsid w:val="00293FFC"/>
    <w:rsid w:val="002940EC"/>
    <w:rsid w:val="00294281"/>
    <w:rsid w:val="00294352"/>
    <w:rsid w:val="0029435E"/>
    <w:rsid w:val="002943AE"/>
    <w:rsid w:val="00294440"/>
    <w:rsid w:val="00294455"/>
    <w:rsid w:val="002945F5"/>
    <w:rsid w:val="00294614"/>
    <w:rsid w:val="0029462F"/>
    <w:rsid w:val="00294899"/>
    <w:rsid w:val="002948E7"/>
    <w:rsid w:val="00294A55"/>
    <w:rsid w:val="00294B19"/>
    <w:rsid w:val="00294DB5"/>
    <w:rsid w:val="00294ECD"/>
    <w:rsid w:val="00294FA0"/>
    <w:rsid w:val="0029505B"/>
    <w:rsid w:val="00295125"/>
    <w:rsid w:val="00295184"/>
    <w:rsid w:val="0029529D"/>
    <w:rsid w:val="002952C0"/>
    <w:rsid w:val="00295423"/>
    <w:rsid w:val="00295439"/>
    <w:rsid w:val="002954F8"/>
    <w:rsid w:val="00295504"/>
    <w:rsid w:val="00295523"/>
    <w:rsid w:val="00295532"/>
    <w:rsid w:val="00295C7A"/>
    <w:rsid w:val="0029607B"/>
    <w:rsid w:val="0029631C"/>
    <w:rsid w:val="00296438"/>
    <w:rsid w:val="00296489"/>
    <w:rsid w:val="0029654D"/>
    <w:rsid w:val="00296558"/>
    <w:rsid w:val="00296628"/>
    <w:rsid w:val="00296639"/>
    <w:rsid w:val="0029665E"/>
    <w:rsid w:val="0029672E"/>
    <w:rsid w:val="002968DE"/>
    <w:rsid w:val="00296AA3"/>
    <w:rsid w:val="00296B3F"/>
    <w:rsid w:val="00296BE7"/>
    <w:rsid w:val="00296C3E"/>
    <w:rsid w:val="00296C9F"/>
    <w:rsid w:val="00296D12"/>
    <w:rsid w:val="00296D3F"/>
    <w:rsid w:val="00296DB8"/>
    <w:rsid w:val="00296F26"/>
    <w:rsid w:val="00296F4B"/>
    <w:rsid w:val="00296F8A"/>
    <w:rsid w:val="00297014"/>
    <w:rsid w:val="00297188"/>
    <w:rsid w:val="002971C1"/>
    <w:rsid w:val="00297250"/>
    <w:rsid w:val="00297347"/>
    <w:rsid w:val="0029744F"/>
    <w:rsid w:val="002976C2"/>
    <w:rsid w:val="0029776C"/>
    <w:rsid w:val="002977B7"/>
    <w:rsid w:val="0029787B"/>
    <w:rsid w:val="002978C9"/>
    <w:rsid w:val="00297903"/>
    <w:rsid w:val="00297B21"/>
    <w:rsid w:val="00297C12"/>
    <w:rsid w:val="002A00C4"/>
    <w:rsid w:val="002A029C"/>
    <w:rsid w:val="002A02AF"/>
    <w:rsid w:val="002A044E"/>
    <w:rsid w:val="002A05B5"/>
    <w:rsid w:val="002A089B"/>
    <w:rsid w:val="002A08F1"/>
    <w:rsid w:val="002A0AA7"/>
    <w:rsid w:val="002A0B13"/>
    <w:rsid w:val="002A0BE9"/>
    <w:rsid w:val="002A0D67"/>
    <w:rsid w:val="002A0DCE"/>
    <w:rsid w:val="002A0E07"/>
    <w:rsid w:val="002A0E18"/>
    <w:rsid w:val="002A0EC2"/>
    <w:rsid w:val="002A104D"/>
    <w:rsid w:val="002A106C"/>
    <w:rsid w:val="002A1179"/>
    <w:rsid w:val="002A11B3"/>
    <w:rsid w:val="002A11C9"/>
    <w:rsid w:val="002A1451"/>
    <w:rsid w:val="002A14F4"/>
    <w:rsid w:val="002A1585"/>
    <w:rsid w:val="002A15AB"/>
    <w:rsid w:val="002A1661"/>
    <w:rsid w:val="002A1847"/>
    <w:rsid w:val="002A188D"/>
    <w:rsid w:val="002A18ED"/>
    <w:rsid w:val="002A19BD"/>
    <w:rsid w:val="002A1A15"/>
    <w:rsid w:val="002A1B11"/>
    <w:rsid w:val="002A1D6C"/>
    <w:rsid w:val="002A1EE8"/>
    <w:rsid w:val="002A2104"/>
    <w:rsid w:val="002A2435"/>
    <w:rsid w:val="002A26B1"/>
    <w:rsid w:val="002A27EB"/>
    <w:rsid w:val="002A29F9"/>
    <w:rsid w:val="002A2CB4"/>
    <w:rsid w:val="002A2E19"/>
    <w:rsid w:val="002A2E3B"/>
    <w:rsid w:val="002A2FCB"/>
    <w:rsid w:val="002A30B1"/>
    <w:rsid w:val="002A30BF"/>
    <w:rsid w:val="002A325D"/>
    <w:rsid w:val="002A33C9"/>
    <w:rsid w:val="002A356C"/>
    <w:rsid w:val="002A36F7"/>
    <w:rsid w:val="002A3A4A"/>
    <w:rsid w:val="002A3BD9"/>
    <w:rsid w:val="002A3C99"/>
    <w:rsid w:val="002A3D67"/>
    <w:rsid w:val="002A3D82"/>
    <w:rsid w:val="002A3E19"/>
    <w:rsid w:val="002A420C"/>
    <w:rsid w:val="002A457C"/>
    <w:rsid w:val="002A477D"/>
    <w:rsid w:val="002A4830"/>
    <w:rsid w:val="002A4D5B"/>
    <w:rsid w:val="002A4F93"/>
    <w:rsid w:val="002A50C2"/>
    <w:rsid w:val="002A5162"/>
    <w:rsid w:val="002A51DF"/>
    <w:rsid w:val="002A5383"/>
    <w:rsid w:val="002A540E"/>
    <w:rsid w:val="002A55DB"/>
    <w:rsid w:val="002A567E"/>
    <w:rsid w:val="002A5969"/>
    <w:rsid w:val="002A5A03"/>
    <w:rsid w:val="002A5A08"/>
    <w:rsid w:val="002A5D8B"/>
    <w:rsid w:val="002A5D93"/>
    <w:rsid w:val="002A5DDE"/>
    <w:rsid w:val="002A5FBE"/>
    <w:rsid w:val="002A608A"/>
    <w:rsid w:val="002A60D1"/>
    <w:rsid w:val="002A6106"/>
    <w:rsid w:val="002A61BD"/>
    <w:rsid w:val="002A61F4"/>
    <w:rsid w:val="002A6420"/>
    <w:rsid w:val="002A64CE"/>
    <w:rsid w:val="002A65C5"/>
    <w:rsid w:val="002A663A"/>
    <w:rsid w:val="002A6A0A"/>
    <w:rsid w:val="002A6CF5"/>
    <w:rsid w:val="002A6EF1"/>
    <w:rsid w:val="002A6F3E"/>
    <w:rsid w:val="002A7004"/>
    <w:rsid w:val="002A70FB"/>
    <w:rsid w:val="002A7318"/>
    <w:rsid w:val="002A7351"/>
    <w:rsid w:val="002A7488"/>
    <w:rsid w:val="002A7534"/>
    <w:rsid w:val="002A78C4"/>
    <w:rsid w:val="002A79F0"/>
    <w:rsid w:val="002A7A94"/>
    <w:rsid w:val="002A7AAE"/>
    <w:rsid w:val="002A7C80"/>
    <w:rsid w:val="002A7DB5"/>
    <w:rsid w:val="002A7DE1"/>
    <w:rsid w:val="002A7E8E"/>
    <w:rsid w:val="002A7F0B"/>
    <w:rsid w:val="002A7FD2"/>
    <w:rsid w:val="002B01AF"/>
    <w:rsid w:val="002B0234"/>
    <w:rsid w:val="002B025B"/>
    <w:rsid w:val="002B05CA"/>
    <w:rsid w:val="002B0721"/>
    <w:rsid w:val="002B07D1"/>
    <w:rsid w:val="002B099D"/>
    <w:rsid w:val="002B09E9"/>
    <w:rsid w:val="002B0DA4"/>
    <w:rsid w:val="002B0E24"/>
    <w:rsid w:val="002B0E27"/>
    <w:rsid w:val="002B0E61"/>
    <w:rsid w:val="002B0E72"/>
    <w:rsid w:val="002B0F0A"/>
    <w:rsid w:val="002B0F49"/>
    <w:rsid w:val="002B1062"/>
    <w:rsid w:val="002B10D3"/>
    <w:rsid w:val="002B129E"/>
    <w:rsid w:val="002B12EA"/>
    <w:rsid w:val="002B1371"/>
    <w:rsid w:val="002B138C"/>
    <w:rsid w:val="002B14D1"/>
    <w:rsid w:val="002B16B8"/>
    <w:rsid w:val="002B186A"/>
    <w:rsid w:val="002B1B8C"/>
    <w:rsid w:val="002B1CD1"/>
    <w:rsid w:val="002B1DA7"/>
    <w:rsid w:val="002B1DBC"/>
    <w:rsid w:val="002B1E20"/>
    <w:rsid w:val="002B20F2"/>
    <w:rsid w:val="002B22A7"/>
    <w:rsid w:val="002B2447"/>
    <w:rsid w:val="002B2490"/>
    <w:rsid w:val="002B2623"/>
    <w:rsid w:val="002B29F4"/>
    <w:rsid w:val="002B2AAF"/>
    <w:rsid w:val="002B2B33"/>
    <w:rsid w:val="002B2C3E"/>
    <w:rsid w:val="002B2C70"/>
    <w:rsid w:val="002B2D08"/>
    <w:rsid w:val="002B2ECE"/>
    <w:rsid w:val="002B3283"/>
    <w:rsid w:val="002B337F"/>
    <w:rsid w:val="002B3457"/>
    <w:rsid w:val="002B34E1"/>
    <w:rsid w:val="002B359F"/>
    <w:rsid w:val="002B3612"/>
    <w:rsid w:val="002B37CC"/>
    <w:rsid w:val="002B37F1"/>
    <w:rsid w:val="002B3829"/>
    <w:rsid w:val="002B3914"/>
    <w:rsid w:val="002B3A1A"/>
    <w:rsid w:val="002B3A5F"/>
    <w:rsid w:val="002B3B36"/>
    <w:rsid w:val="002B3C33"/>
    <w:rsid w:val="002B3C97"/>
    <w:rsid w:val="002B3CE9"/>
    <w:rsid w:val="002B3DF5"/>
    <w:rsid w:val="002B3FB4"/>
    <w:rsid w:val="002B405E"/>
    <w:rsid w:val="002B412C"/>
    <w:rsid w:val="002B425C"/>
    <w:rsid w:val="002B427F"/>
    <w:rsid w:val="002B42C7"/>
    <w:rsid w:val="002B4322"/>
    <w:rsid w:val="002B44C2"/>
    <w:rsid w:val="002B44C8"/>
    <w:rsid w:val="002B4572"/>
    <w:rsid w:val="002B4611"/>
    <w:rsid w:val="002B46C7"/>
    <w:rsid w:val="002B47D5"/>
    <w:rsid w:val="002B4872"/>
    <w:rsid w:val="002B4879"/>
    <w:rsid w:val="002B4908"/>
    <w:rsid w:val="002B4A0C"/>
    <w:rsid w:val="002B4D4D"/>
    <w:rsid w:val="002B4FE3"/>
    <w:rsid w:val="002B50FE"/>
    <w:rsid w:val="002B527D"/>
    <w:rsid w:val="002B5467"/>
    <w:rsid w:val="002B54D4"/>
    <w:rsid w:val="002B5523"/>
    <w:rsid w:val="002B555C"/>
    <w:rsid w:val="002B56A5"/>
    <w:rsid w:val="002B5846"/>
    <w:rsid w:val="002B5A4C"/>
    <w:rsid w:val="002B5C39"/>
    <w:rsid w:val="002B5DC7"/>
    <w:rsid w:val="002B5F1F"/>
    <w:rsid w:val="002B5FE7"/>
    <w:rsid w:val="002B624B"/>
    <w:rsid w:val="002B631C"/>
    <w:rsid w:val="002B66E2"/>
    <w:rsid w:val="002B679E"/>
    <w:rsid w:val="002B67F2"/>
    <w:rsid w:val="002B6835"/>
    <w:rsid w:val="002B68DC"/>
    <w:rsid w:val="002B6CC5"/>
    <w:rsid w:val="002B6E58"/>
    <w:rsid w:val="002B6F92"/>
    <w:rsid w:val="002B7120"/>
    <w:rsid w:val="002B7187"/>
    <w:rsid w:val="002B71AF"/>
    <w:rsid w:val="002B72A2"/>
    <w:rsid w:val="002B7318"/>
    <w:rsid w:val="002B7429"/>
    <w:rsid w:val="002B775D"/>
    <w:rsid w:val="002B787E"/>
    <w:rsid w:val="002B78BF"/>
    <w:rsid w:val="002B798C"/>
    <w:rsid w:val="002B79D8"/>
    <w:rsid w:val="002B7AEE"/>
    <w:rsid w:val="002B7BC1"/>
    <w:rsid w:val="002B7C71"/>
    <w:rsid w:val="002B7D43"/>
    <w:rsid w:val="002B7F46"/>
    <w:rsid w:val="002C0057"/>
    <w:rsid w:val="002C01A3"/>
    <w:rsid w:val="002C01D1"/>
    <w:rsid w:val="002C01E0"/>
    <w:rsid w:val="002C0202"/>
    <w:rsid w:val="002C021A"/>
    <w:rsid w:val="002C0431"/>
    <w:rsid w:val="002C0BAA"/>
    <w:rsid w:val="002C0C7E"/>
    <w:rsid w:val="002C0CC6"/>
    <w:rsid w:val="002C0E76"/>
    <w:rsid w:val="002C1059"/>
    <w:rsid w:val="002C106F"/>
    <w:rsid w:val="002C163B"/>
    <w:rsid w:val="002C1694"/>
    <w:rsid w:val="002C17C6"/>
    <w:rsid w:val="002C17E9"/>
    <w:rsid w:val="002C185F"/>
    <w:rsid w:val="002C1910"/>
    <w:rsid w:val="002C1A33"/>
    <w:rsid w:val="002C1C90"/>
    <w:rsid w:val="002C1D9E"/>
    <w:rsid w:val="002C1E05"/>
    <w:rsid w:val="002C1F42"/>
    <w:rsid w:val="002C1F75"/>
    <w:rsid w:val="002C1FA8"/>
    <w:rsid w:val="002C2001"/>
    <w:rsid w:val="002C201C"/>
    <w:rsid w:val="002C2082"/>
    <w:rsid w:val="002C20D1"/>
    <w:rsid w:val="002C22DD"/>
    <w:rsid w:val="002C22FE"/>
    <w:rsid w:val="002C26A7"/>
    <w:rsid w:val="002C2824"/>
    <w:rsid w:val="002C298C"/>
    <w:rsid w:val="002C2AB1"/>
    <w:rsid w:val="002C2C18"/>
    <w:rsid w:val="002C2C8D"/>
    <w:rsid w:val="002C2D4C"/>
    <w:rsid w:val="002C2EC0"/>
    <w:rsid w:val="002C2F94"/>
    <w:rsid w:val="002C2FE1"/>
    <w:rsid w:val="002C30B4"/>
    <w:rsid w:val="002C30F5"/>
    <w:rsid w:val="002C318C"/>
    <w:rsid w:val="002C3233"/>
    <w:rsid w:val="002C32B0"/>
    <w:rsid w:val="002C3630"/>
    <w:rsid w:val="002C3684"/>
    <w:rsid w:val="002C373B"/>
    <w:rsid w:val="002C37F2"/>
    <w:rsid w:val="002C382B"/>
    <w:rsid w:val="002C3868"/>
    <w:rsid w:val="002C38CE"/>
    <w:rsid w:val="002C38FF"/>
    <w:rsid w:val="002C3A50"/>
    <w:rsid w:val="002C3BEA"/>
    <w:rsid w:val="002C3CD1"/>
    <w:rsid w:val="002C3D00"/>
    <w:rsid w:val="002C3EB3"/>
    <w:rsid w:val="002C3FA6"/>
    <w:rsid w:val="002C3FC0"/>
    <w:rsid w:val="002C40B9"/>
    <w:rsid w:val="002C4227"/>
    <w:rsid w:val="002C42AC"/>
    <w:rsid w:val="002C42EE"/>
    <w:rsid w:val="002C4483"/>
    <w:rsid w:val="002C491A"/>
    <w:rsid w:val="002C495E"/>
    <w:rsid w:val="002C4B90"/>
    <w:rsid w:val="002C4B95"/>
    <w:rsid w:val="002C4C1F"/>
    <w:rsid w:val="002C4D15"/>
    <w:rsid w:val="002C4FEF"/>
    <w:rsid w:val="002C50E2"/>
    <w:rsid w:val="002C5214"/>
    <w:rsid w:val="002C5307"/>
    <w:rsid w:val="002C543F"/>
    <w:rsid w:val="002C55AC"/>
    <w:rsid w:val="002C5B11"/>
    <w:rsid w:val="002C5B29"/>
    <w:rsid w:val="002C5CFA"/>
    <w:rsid w:val="002C5D6C"/>
    <w:rsid w:val="002C5DC7"/>
    <w:rsid w:val="002C5F2A"/>
    <w:rsid w:val="002C5F96"/>
    <w:rsid w:val="002C5FA1"/>
    <w:rsid w:val="002C5FB8"/>
    <w:rsid w:val="002C5FC7"/>
    <w:rsid w:val="002C62EF"/>
    <w:rsid w:val="002C641C"/>
    <w:rsid w:val="002C64A4"/>
    <w:rsid w:val="002C64FC"/>
    <w:rsid w:val="002C653A"/>
    <w:rsid w:val="002C6728"/>
    <w:rsid w:val="002C675E"/>
    <w:rsid w:val="002C6765"/>
    <w:rsid w:val="002C687A"/>
    <w:rsid w:val="002C68C1"/>
    <w:rsid w:val="002C6ACC"/>
    <w:rsid w:val="002C6C05"/>
    <w:rsid w:val="002C6F65"/>
    <w:rsid w:val="002C72B2"/>
    <w:rsid w:val="002C731F"/>
    <w:rsid w:val="002C748E"/>
    <w:rsid w:val="002C7494"/>
    <w:rsid w:val="002C75FB"/>
    <w:rsid w:val="002C7635"/>
    <w:rsid w:val="002C7BBA"/>
    <w:rsid w:val="002C7C7B"/>
    <w:rsid w:val="002C7E95"/>
    <w:rsid w:val="002D0154"/>
    <w:rsid w:val="002D025C"/>
    <w:rsid w:val="002D0357"/>
    <w:rsid w:val="002D0381"/>
    <w:rsid w:val="002D03B4"/>
    <w:rsid w:val="002D0626"/>
    <w:rsid w:val="002D065C"/>
    <w:rsid w:val="002D06CA"/>
    <w:rsid w:val="002D0804"/>
    <w:rsid w:val="002D0938"/>
    <w:rsid w:val="002D0A8B"/>
    <w:rsid w:val="002D0AFE"/>
    <w:rsid w:val="002D0CE5"/>
    <w:rsid w:val="002D0E41"/>
    <w:rsid w:val="002D0E56"/>
    <w:rsid w:val="002D0EB1"/>
    <w:rsid w:val="002D1069"/>
    <w:rsid w:val="002D107F"/>
    <w:rsid w:val="002D117C"/>
    <w:rsid w:val="002D1232"/>
    <w:rsid w:val="002D15E2"/>
    <w:rsid w:val="002D16D6"/>
    <w:rsid w:val="002D1702"/>
    <w:rsid w:val="002D18A6"/>
    <w:rsid w:val="002D19E6"/>
    <w:rsid w:val="002D1B78"/>
    <w:rsid w:val="002D1CEC"/>
    <w:rsid w:val="002D1D48"/>
    <w:rsid w:val="002D1D70"/>
    <w:rsid w:val="002D1DE8"/>
    <w:rsid w:val="002D1E71"/>
    <w:rsid w:val="002D1F90"/>
    <w:rsid w:val="002D204E"/>
    <w:rsid w:val="002D2423"/>
    <w:rsid w:val="002D247D"/>
    <w:rsid w:val="002D268C"/>
    <w:rsid w:val="002D2693"/>
    <w:rsid w:val="002D2953"/>
    <w:rsid w:val="002D2A41"/>
    <w:rsid w:val="002D2AD8"/>
    <w:rsid w:val="002D2B86"/>
    <w:rsid w:val="002D2CBF"/>
    <w:rsid w:val="002D2CDF"/>
    <w:rsid w:val="002D307D"/>
    <w:rsid w:val="002D309D"/>
    <w:rsid w:val="002D316C"/>
    <w:rsid w:val="002D3442"/>
    <w:rsid w:val="002D3445"/>
    <w:rsid w:val="002D3511"/>
    <w:rsid w:val="002D3666"/>
    <w:rsid w:val="002D375B"/>
    <w:rsid w:val="002D378E"/>
    <w:rsid w:val="002D37BD"/>
    <w:rsid w:val="002D38F1"/>
    <w:rsid w:val="002D394E"/>
    <w:rsid w:val="002D3A9C"/>
    <w:rsid w:val="002D3AA2"/>
    <w:rsid w:val="002D3B43"/>
    <w:rsid w:val="002D3BD1"/>
    <w:rsid w:val="002D3C81"/>
    <w:rsid w:val="002D3C96"/>
    <w:rsid w:val="002D3EA8"/>
    <w:rsid w:val="002D3FFD"/>
    <w:rsid w:val="002D43BA"/>
    <w:rsid w:val="002D46C4"/>
    <w:rsid w:val="002D4736"/>
    <w:rsid w:val="002D479F"/>
    <w:rsid w:val="002D486C"/>
    <w:rsid w:val="002D488F"/>
    <w:rsid w:val="002D4907"/>
    <w:rsid w:val="002D493E"/>
    <w:rsid w:val="002D4968"/>
    <w:rsid w:val="002D4DD4"/>
    <w:rsid w:val="002D4E52"/>
    <w:rsid w:val="002D4E9A"/>
    <w:rsid w:val="002D4EB0"/>
    <w:rsid w:val="002D4FFD"/>
    <w:rsid w:val="002D5053"/>
    <w:rsid w:val="002D50B9"/>
    <w:rsid w:val="002D5273"/>
    <w:rsid w:val="002D5293"/>
    <w:rsid w:val="002D52B5"/>
    <w:rsid w:val="002D5325"/>
    <w:rsid w:val="002D53C4"/>
    <w:rsid w:val="002D53EF"/>
    <w:rsid w:val="002D5427"/>
    <w:rsid w:val="002D5493"/>
    <w:rsid w:val="002D582E"/>
    <w:rsid w:val="002D58FD"/>
    <w:rsid w:val="002D598D"/>
    <w:rsid w:val="002D5BBB"/>
    <w:rsid w:val="002D5CEC"/>
    <w:rsid w:val="002D5E12"/>
    <w:rsid w:val="002D625A"/>
    <w:rsid w:val="002D62B3"/>
    <w:rsid w:val="002D6486"/>
    <w:rsid w:val="002D64A8"/>
    <w:rsid w:val="002D66B2"/>
    <w:rsid w:val="002D69C4"/>
    <w:rsid w:val="002D6A13"/>
    <w:rsid w:val="002D6A2C"/>
    <w:rsid w:val="002D6C69"/>
    <w:rsid w:val="002D6CCE"/>
    <w:rsid w:val="002D6E20"/>
    <w:rsid w:val="002D707A"/>
    <w:rsid w:val="002D70C9"/>
    <w:rsid w:val="002D7164"/>
    <w:rsid w:val="002D71DD"/>
    <w:rsid w:val="002D72CC"/>
    <w:rsid w:val="002D7593"/>
    <w:rsid w:val="002D75D3"/>
    <w:rsid w:val="002D77E9"/>
    <w:rsid w:val="002D782F"/>
    <w:rsid w:val="002D785B"/>
    <w:rsid w:val="002D7A4D"/>
    <w:rsid w:val="002D7CB9"/>
    <w:rsid w:val="002D7CC7"/>
    <w:rsid w:val="002D7D14"/>
    <w:rsid w:val="002D7D6F"/>
    <w:rsid w:val="002D7F8D"/>
    <w:rsid w:val="002D7F9B"/>
    <w:rsid w:val="002E0002"/>
    <w:rsid w:val="002E01AF"/>
    <w:rsid w:val="002E01FC"/>
    <w:rsid w:val="002E02AF"/>
    <w:rsid w:val="002E053F"/>
    <w:rsid w:val="002E0755"/>
    <w:rsid w:val="002E0883"/>
    <w:rsid w:val="002E094C"/>
    <w:rsid w:val="002E0A08"/>
    <w:rsid w:val="002E0C9A"/>
    <w:rsid w:val="002E0CD3"/>
    <w:rsid w:val="002E0D0B"/>
    <w:rsid w:val="002E0D69"/>
    <w:rsid w:val="002E0DE5"/>
    <w:rsid w:val="002E0F65"/>
    <w:rsid w:val="002E0F9E"/>
    <w:rsid w:val="002E1009"/>
    <w:rsid w:val="002E10B2"/>
    <w:rsid w:val="002E11F2"/>
    <w:rsid w:val="002E13A8"/>
    <w:rsid w:val="002E13C6"/>
    <w:rsid w:val="002E13DC"/>
    <w:rsid w:val="002E13F5"/>
    <w:rsid w:val="002E15F0"/>
    <w:rsid w:val="002E1618"/>
    <w:rsid w:val="002E167E"/>
    <w:rsid w:val="002E1754"/>
    <w:rsid w:val="002E17C2"/>
    <w:rsid w:val="002E1831"/>
    <w:rsid w:val="002E1C77"/>
    <w:rsid w:val="002E1CA7"/>
    <w:rsid w:val="002E1D93"/>
    <w:rsid w:val="002E20F2"/>
    <w:rsid w:val="002E214C"/>
    <w:rsid w:val="002E2578"/>
    <w:rsid w:val="002E27A9"/>
    <w:rsid w:val="002E27AD"/>
    <w:rsid w:val="002E2918"/>
    <w:rsid w:val="002E2AC5"/>
    <w:rsid w:val="002E2B1E"/>
    <w:rsid w:val="002E2B21"/>
    <w:rsid w:val="002E2BD1"/>
    <w:rsid w:val="002E2BD6"/>
    <w:rsid w:val="002E2C30"/>
    <w:rsid w:val="002E2CBD"/>
    <w:rsid w:val="002E2DF9"/>
    <w:rsid w:val="002E30AA"/>
    <w:rsid w:val="002E31E0"/>
    <w:rsid w:val="002E322E"/>
    <w:rsid w:val="002E327F"/>
    <w:rsid w:val="002E3541"/>
    <w:rsid w:val="002E358A"/>
    <w:rsid w:val="002E391A"/>
    <w:rsid w:val="002E3A8C"/>
    <w:rsid w:val="002E3B68"/>
    <w:rsid w:val="002E3D5D"/>
    <w:rsid w:val="002E444C"/>
    <w:rsid w:val="002E4637"/>
    <w:rsid w:val="002E4721"/>
    <w:rsid w:val="002E48EA"/>
    <w:rsid w:val="002E49EC"/>
    <w:rsid w:val="002E4B7F"/>
    <w:rsid w:val="002E4BA8"/>
    <w:rsid w:val="002E4BCD"/>
    <w:rsid w:val="002E4C4E"/>
    <w:rsid w:val="002E4DAA"/>
    <w:rsid w:val="002E4ED9"/>
    <w:rsid w:val="002E5007"/>
    <w:rsid w:val="002E5052"/>
    <w:rsid w:val="002E5267"/>
    <w:rsid w:val="002E52AD"/>
    <w:rsid w:val="002E53DD"/>
    <w:rsid w:val="002E57E1"/>
    <w:rsid w:val="002E589F"/>
    <w:rsid w:val="002E58AF"/>
    <w:rsid w:val="002E5920"/>
    <w:rsid w:val="002E594C"/>
    <w:rsid w:val="002E5CC2"/>
    <w:rsid w:val="002E5D0A"/>
    <w:rsid w:val="002E5F8A"/>
    <w:rsid w:val="002E5FC1"/>
    <w:rsid w:val="002E60CF"/>
    <w:rsid w:val="002E6193"/>
    <w:rsid w:val="002E62CC"/>
    <w:rsid w:val="002E6307"/>
    <w:rsid w:val="002E642D"/>
    <w:rsid w:val="002E6457"/>
    <w:rsid w:val="002E661B"/>
    <w:rsid w:val="002E6748"/>
    <w:rsid w:val="002E67A9"/>
    <w:rsid w:val="002E67B9"/>
    <w:rsid w:val="002E685A"/>
    <w:rsid w:val="002E6A64"/>
    <w:rsid w:val="002E6A8E"/>
    <w:rsid w:val="002E6C24"/>
    <w:rsid w:val="002E6D4F"/>
    <w:rsid w:val="002E6E2D"/>
    <w:rsid w:val="002E6F23"/>
    <w:rsid w:val="002E6F66"/>
    <w:rsid w:val="002E7092"/>
    <w:rsid w:val="002E72A7"/>
    <w:rsid w:val="002E72E0"/>
    <w:rsid w:val="002E7424"/>
    <w:rsid w:val="002E7615"/>
    <w:rsid w:val="002E788D"/>
    <w:rsid w:val="002E7961"/>
    <w:rsid w:val="002E798D"/>
    <w:rsid w:val="002E79C9"/>
    <w:rsid w:val="002E7A10"/>
    <w:rsid w:val="002E7A85"/>
    <w:rsid w:val="002E7B16"/>
    <w:rsid w:val="002E7B9E"/>
    <w:rsid w:val="002E7BE5"/>
    <w:rsid w:val="002E7CAF"/>
    <w:rsid w:val="002F0127"/>
    <w:rsid w:val="002F0253"/>
    <w:rsid w:val="002F028C"/>
    <w:rsid w:val="002F0402"/>
    <w:rsid w:val="002F0472"/>
    <w:rsid w:val="002F0499"/>
    <w:rsid w:val="002F05BA"/>
    <w:rsid w:val="002F088A"/>
    <w:rsid w:val="002F088F"/>
    <w:rsid w:val="002F096D"/>
    <w:rsid w:val="002F0A10"/>
    <w:rsid w:val="002F0A42"/>
    <w:rsid w:val="002F0B95"/>
    <w:rsid w:val="002F0DC5"/>
    <w:rsid w:val="002F0E6C"/>
    <w:rsid w:val="002F0EB8"/>
    <w:rsid w:val="002F0EE1"/>
    <w:rsid w:val="002F0FB2"/>
    <w:rsid w:val="002F116C"/>
    <w:rsid w:val="002F1320"/>
    <w:rsid w:val="002F1337"/>
    <w:rsid w:val="002F13F6"/>
    <w:rsid w:val="002F15C3"/>
    <w:rsid w:val="002F165C"/>
    <w:rsid w:val="002F188B"/>
    <w:rsid w:val="002F1C22"/>
    <w:rsid w:val="002F1C57"/>
    <w:rsid w:val="002F1DA7"/>
    <w:rsid w:val="002F1E1F"/>
    <w:rsid w:val="002F1E3F"/>
    <w:rsid w:val="002F2003"/>
    <w:rsid w:val="002F2112"/>
    <w:rsid w:val="002F21BE"/>
    <w:rsid w:val="002F22DF"/>
    <w:rsid w:val="002F2372"/>
    <w:rsid w:val="002F244F"/>
    <w:rsid w:val="002F2499"/>
    <w:rsid w:val="002F2542"/>
    <w:rsid w:val="002F2695"/>
    <w:rsid w:val="002F26AD"/>
    <w:rsid w:val="002F26DB"/>
    <w:rsid w:val="002F26F0"/>
    <w:rsid w:val="002F2963"/>
    <w:rsid w:val="002F29BB"/>
    <w:rsid w:val="002F2ABB"/>
    <w:rsid w:val="002F2C75"/>
    <w:rsid w:val="002F2CF2"/>
    <w:rsid w:val="002F2D05"/>
    <w:rsid w:val="002F2D94"/>
    <w:rsid w:val="002F2DB9"/>
    <w:rsid w:val="002F2E3F"/>
    <w:rsid w:val="002F3177"/>
    <w:rsid w:val="002F31E1"/>
    <w:rsid w:val="002F32AD"/>
    <w:rsid w:val="002F330B"/>
    <w:rsid w:val="002F33EB"/>
    <w:rsid w:val="002F3767"/>
    <w:rsid w:val="002F37CE"/>
    <w:rsid w:val="002F39A6"/>
    <w:rsid w:val="002F3DEB"/>
    <w:rsid w:val="002F3FEF"/>
    <w:rsid w:val="002F43ED"/>
    <w:rsid w:val="002F4AA8"/>
    <w:rsid w:val="002F4F49"/>
    <w:rsid w:val="002F5103"/>
    <w:rsid w:val="002F52CD"/>
    <w:rsid w:val="002F53D5"/>
    <w:rsid w:val="002F5650"/>
    <w:rsid w:val="002F5735"/>
    <w:rsid w:val="002F5760"/>
    <w:rsid w:val="002F5844"/>
    <w:rsid w:val="002F5896"/>
    <w:rsid w:val="002F598A"/>
    <w:rsid w:val="002F5BA4"/>
    <w:rsid w:val="002F5D4A"/>
    <w:rsid w:val="002F5E38"/>
    <w:rsid w:val="002F5ED3"/>
    <w:rsid w:val="002F5F34"/>
    <w:rsid w:val="002F60AC"/>
    <w:rsid w:val="002F617F"/>
    <w:rsid w:val="002F6274"/>
    <w:rsid w:val="002F657E"/>
    <w:rsid w:val="002F68A7"/>
    <w:rsid w:val="002F68B9"/>
    <w:rsid w:val="002F69B4"/>
    <w:rsid w:val="002F6B4D"/>
    <w:rsid w:val="002F6D42"/>
    <w:rsid w:val="002F6D98"/>
    <w:rsid w:val="002F6E5E"/>
    <w:rsid w:val="002F6F89"/>
    <w:rsid w:val="002F712D"/>
    <w:rsid w:val="002F71F3"/>
    <w:rsid w:val="002F75E7"/>
    <w:rsid w:val="002F7840"/>
    <w:rsid w:val="002F796E"/>
    <w:rsid w:val="002F7D15"/>
    <w:rsid w:val="002F7D36"/>
    <w:rsid w:val="002F7E99"/>
    <w:rsid w:val="002F7EE6"/>
    <w:rsid w:val="003000D4"/>
    <w:rsid w:val="00300199"/>
    <w:rsid w:val="003004F7"/>
    <w:rsid w:val="00300692"/>
    <w:rsid w:val="003007DE"/>
    <w:rsid w:val="003007DF"/>
    <w:rsid w:val="0030088D"/>
    <w:rsid w:val="00300A83"/>
    <w:rsid w:val="00300AA2"/>
    <w:rsid w:val="00300AD8"/>
    <w:rsid w:val="00300B1E"/>
    <w:rsid w:val="00300B6C"/>
    <w:rsid w:val="00300BC1"/>
    <w:rsid w:val="00301119"/>
    <w:rsid w:val="00301286"/>
    <w:rsid w:val="00301589"/>
    <w:rsid w:val="00301688"/>
    <w:rsid w:val="0030168C"/>
    <w:rsid w:val="00301C2E"/>
    <w:rsid w:val="00301C5A"/>
    <w:rsid w:val="00301E75"/>
    <w:rsid w:val="00301FCF"/>
    <w:rsid w:val="0030201D"/>
    <w:rsid w:val="00302168"/>
    <w:rsid w:val="003022AA"/>
    <w:rsid w:val="00302336"/>
    <w:rsid w:val="00302356"/>
    <w:rsid w:val="003023C9"/>
    <w:rsid w:val="003023EC"/>
    <w:rsid w:val="0030249C"/>
    <w:rsid w:val="0030252A"/>
    <w:rsid w:val="003026B6"/>
    <w:rsid w:val="0030284C"/>
    <w:rsid w:val="003029E9"/>
    <w:rsid w:val="00302BF3"/>
    <w:rsid w:val="00302CDB"/>
    <w:rsid w:val="00302DAE"/>
    <w:rsid w:val="00302DF6"/>
    <w:rsid w:val="00302FB8"/>
    <w:rsid w:val="00302FEC"/>
    <w:rsid w:val="00303090"/>
    <w:rsid w:val="00303101"/>
    <w:rsid w:val="003031F2"/>
    <w:rsid w:val="00303388"/>
    <w:rsid w:val="00303389"/>
    <w:rsid w:val="00303418"/>
    <w:rsid w:val="00303735"/>
    <w:rsid w:val="003037C3"/>
    <w:rsid w:val="00303953"/>
    <w:rsid w:val="00303986"/>
    <w:rsid w:val="00303B82"/>
    <w:rsid w:val="00303FAE"/>
    <w:rsid w:val="003041B8"/>
    <w:rsid w:val="00304336"/>
    <w:rsid w:val="00304456"/>
    <w:rsid w:val="003044C8"/>
    <w:rsid w:val="0030452D"/>
    <w:rsid w:val="0030467C"/>
    <w:rsid w:val="003046BC"/>
    <w:rsid w:val="0030474B"/>
    <w:rsid w:val="0030475A"/>
    <w:rsid w:val="00304B3C"/>
    <w:rsid w:val="00304C40"/>
    <w:rsid w:val="00304D76"/>
    <w:rsid w:val="00304F55"/>
    <w:rsid w:val="00304F6E"/>
    <w:rsid w:val="00304F9B"/>
    <w:rsid w:val="00305036"/>
    <w:rsid w:val="0030504F"/>
    <w:rsid w:val="00305111"/>
    <w:rsid w:val="003054B9"/>
    <w:rsid w:val="00305500"/>
    <w:rsid w:val="00305559"/>
    <w:rsid w:val="00305560"/>
    <w:rsid w:val="003055AF"/>
    <w:rsid w:val="00305601"/>
    <w:rsid w:val="003056BC"/>
    <w:rsid w:val="00305744"/>
    <w:rsid w:val="003057D7"/>
    <w:rsid w:val="00305B07"/>
    <w:rsid w:val="00305B0D"/>
    <w:rsid w:val="00305BA3"/>
    <w:rsid w:val="00305BAA"/>
    <w:rsid w:val="003061CC"/>
    <w:rsid w:val="003061E3"/>
    <w:rsid w:val="003062A9"/>
    <w:rsid w:val="00306465"/>
    <w:rsid w:val="0030661C"/>
    <w:rsid w:val="00306768"/>
    <w:rsid w:val="00306913"/>
    <w:rsid w:val="00306959"/>
    <w:rsid w:val="00306C2D"/>
    <w:rsid w:val="00306CDF"/>
    <w:rsid w:val="00306D1F"/>
    <w:rsid w:val="00306E58"/>
    <w:rsid w:val="0030700F"/>
    <w:rsid w:val="003070C2"/>
    <w:rsid w:val="003071A0"/>
    <w:rsid w:val="003071D4"/>
    <w:rsid w:val="00307299"/>
    <w:rsid w:val="003077A5"/>
    <w:rsid w:val="00307872"/>
    <w:rsid w:val="0030791C"/>
    <w:rsid w:val="00307B20"/>
    <w:rsid w:val="00307B32"/>
    <w:rsid w:val="00307BC6"/>
    <w:rsid w:val="00307C26"/>
    <w:rsid w:val="00307C57"/>
    <w:rsid w:val="00307F06"/>
    <w:rsid w:val="00307FAD"/>
    <w:rsid w:val="0031012B"/>
    <w:rsid w:val="00310138"/>
    <w:rsid w:val="0031043A"/>
    <w:rsid w:val="0031050A"/>
    <w:rsid w:val="0031054C"/>
    <w:rsid w:val="00310AA4"/>
    <w:rsid w:val="00310C33"/>
    <w:rsid w:val="00310DC4"/>
    <w:rsid w:val="00310E7E"/>
    <w:rsid w:val="00310EB6"/>
    <w:rsid w:val="00310F65"/>
    <w:rsid w:val="00310FB8"/>
    <w:rsid w:val="00311029"/>
    <w:rsid w:val="003112EB"/>
    <w:rsid w:val="00311718"/>
    <w:rsid w:val="0031184A"/>
    <w:rsid w:val="003118B1"/>
    <w:rsid w:val="00311930"/>
    <w:rsid w:val="00311972"/>
    <w:rsid w:val="00311AC8"/>
    <w:rsid w:val="00311B8D"/>
    <w:rsid w:val="00311BD3"/>
    <w:rsid w:val="00311D6E"/>
    <w:rsid w:val="00311E3E"/>
    <w:rsid w:val="00312030"/>
    <w:rsid w:val="00312096"/>
    <w:rsid w:val="00312219"/>
    <w:rsid w:val="003122F4"/>
    <w:rsid w:val="0031236A"/>
    <w:rsid w:val="00312537"/>
    <w:rsid w:val="0031265B"/>
    <w:rsid w:val="00312746"/>
    <w:rsid w:val="0031276E"/>
    <w:rsid w:val="003127E6"/>
    <w:rsid w:val="00312A13"/>
    <w:rsid w:val="00312A34"/>
    <w:rsid w:val="00312A4E"/>
    <w:rsid w:val="00312BE1"/>
    <w:rsid w:val="00312C8F"/>
    <w:rsid w:val="00312DDF"/>
    <w:rsid w:val="00312F5B"/>
    <w:rsid w:val="00312FD7"/>
    <w:rsid w:val="003130F8"/>
    <w:rsid w:val="00313307"/>
    <w:rsid w:val="00313323"/>
    <w:rsid w:val="003133CE"/>
    <w:rsid w:val="0031340F"/>
    <w:rsid w:val="0031352A"/>
    <w:rsid w:val="00313673"/>
    <w:rsid w:val="00313716"/>
    <w:rsid w:val="0031388F"/>
    <w:rsid w:val="003139A9"/>
    <w:rsid w:val="00313AD8"/>
    <w:rsid w:val="00313CC5"/>
    <w:rsid w:val="00313D74"/>
    <w:rsid w:val="00313E8E"/>
    <w:rsid w:val="00313FA5"/>
    <w:rsid w:val="00314075"/>
    <w:rsid w:val="00314093"/>
    <w:rsid w:val="00314530"/>
    <w:rsid w:val="0031467E"/>
    <w:rsid w:val="00314782"/>
    <w:rsid w:val="003149CD"/>
    <w:rsid w:val="00314A09"/>
    <w:rsid w:val="00314CF4"/>
    <w:rsid w:val="00314D98"/>
    <w:rsid w:val="00314E51"/>
    <w:rsid w:val="00315022"/>
    <w:rsid w:val="00315101"/>
    <w:rsid w:val="003151A0"/>
    <w:rsid w:val="00315523"/>
    <w:rsid w:val="003156A6"/>
    <w:rsid w:val="0031586E"/>
    <w:rsid w:val="00315901"/>
    <w:rsid w:val="003159B6"/>
    <w:rsid w:val="00315A15"/>
    <w:rsid w:val="00315A82"/>
    <w:rsid w:val="00315A98"/>
    <w:rsid w:val="00315B8A"/>
    <w:rsid w:val="00315CAF"/>
    <w:rsid w:val="00315E8E"/>
    <w:rsid w:val="00315EC8"/>
    <w:rsid w:val="00315F3C"/>
    <w:rsid w:val="00315F88"/>
    <w:rsid w:val="00315FAF"/>
    <w:rsid w:val="0031602F"/>
    <w:rsid w:val="0031633F"/>
    <w:rsid w:val="003163C2"/>
    <w:rsid w:val="00316753"/>
    <w:rsid w:val="003167A9"/>
    <w:rsid w:val="003167DE"/>
    <w:rsid w:val="003168B0"/>
    <w:rsid w:val="003168BE"/>
    <w:rsid w:val="003168CC"/>
    <w:rsid w:val="00316944"/>
    <w:rsid w:val="00316C08"/>
    <w:rsid w:val="00316C18"/>
    <w:rsid w:val="00316D63"/>
    <w:rsid w:val="00316F1A"/>
    <w:rsid w:val="00316FB4"/>
    <w:rsid w:val="003173B5"/>
    <w:rsid w:val="003173D5"/>
    <w:rsid w:val="003173DF"/>
    <w:rsid w:val="00317489"/>
    <w:rsid w:val="00317620"/>
    <w:rsid w:val="0031772E"/>
    <w:rsid w:val="003177BD"/>
    <w:rsid w:val="003178EF"/>
    <w:rsid w:val="003179BB"/>
    <w:rsid w:val="003179E3"/>
    <w:rsid w:val="00317ABC"/>
    <w:rsid w:val="00317D7B"/>
    <w:rsid w:val="00317D97"/>
    <w:rsid w:val="00317DFD"/>
    <w:rsid w:val="00317E65"/>
    <w:rsid w:val="00317E89"/>
    <w:rsid w:val="00317E9D"/>
    <w:rsid w:val="00317EC8"/>
    <w:rsid w:val="00320174"/>
    <w:rsid w:val="003201CD"/>
    <w:rsid w:val="0032024B"/>
    <w:rsid w:val="003202A0"/>
    <w:rsid w:val="0032051D"/>
    <w:rsid w:val="003205D3"/>
    <w:rsid w:val="003206FF"/>
    <w:rsid w:val="00320AA0"/>
    <w:rsid w:val="00320D15"/>
    <w:rsid w:val="00320E08"/>
    <w:rsid w:val="00320F8E"/>
    <w:rsid w:val="003210AA"/>
    <w:rsid w:val="00321367"/>
    <w:rsid w:val="0032137F"/>
    <w:rsid w:val="003213B8"/>
    <w:rsid w:val="003213CE"/>
    <w:rsid w:val="0032173B"/>
    <w:rsid w:val="00321866"/>
    <w:rsid w:val="003218FE"/>
    <w:rsid w:val="00321C3A"/>
    <w:rsid w:val="00321CBD"/>
    <w:rsid w:val="00321D84"/>
    <w:rsid w:val="00321DA6"/>
    <w:rsid w:val="00321DB7"/>
    <w:rsid w:val="00321EB5"/>
    <w:rsid w:val="00322005"/>
    <w:rsid w:val="00322077"/>
    <w:rsid w:val="003222EC"/>
    <w:rsid w:val="003226C5"/>
    <w:rsid w:val="00322884"/>
    <w:rsid w:val="00322899"/>
    <w:rsid w:val="0032289E"/>
    <w:rsid w:val="003228A0"/>
    <w:rsid w:val="003228FB"/>
    <w:rsid w:val="003229B9"/>
    <w:rsid w:val="00322CEF"/>
    <w:rsid w:val="00322DFD"/>
    <w:rsid w:val="00322E32"/>
    <w:rsid w:val="00322F3D"/>
    <w:rsid w:val="00323099"/>
    <w:rsid w:val="003232D9"/>
    <w:rsid w:val="00323377"/>
    <w:rsid w:val="0032353F"/>
    <w:rsid w:val="0032358E"/>
    <w:rsid w:val="0032377A"/>
    <w:rsid w:val="003237CF"/>
    <w:rsid w:val="00323DFC"/>
    <w:rsid w:val="00323FF7"/>
    <w:rsid w:val="003241A3"/>
    <w:rsid w:val="003244B9"/>
    <w:rsid w:val="003244E8"/>
    <w:rsid w:val="00324606"/>
    <w:rsid w:val="003247CA"/>
    <w:rsid w:val="0032486D"/>
    <w:rsid w:val="003249AC"/>
    <w:rsid w:val="00324C0C"/>
    <w:rsid w:val="00324C30"/>
    <w:rsid w:val="00324CCD"/>
    <w:rsid w:val="00324F8B"/>
    <w:rsid w:val="00325089"/>
    <w:rsid w:val="003250D9"/>
    <w:rsid w:val="00325110"/>
    <w:rsid w:val="0032526D"/>
    <w:rsid w:val="0032527B"/>
    <w:rsid w:val="003253A1"/>
    <w:rsid w:val="0032556C"/>
    <w:rsid w:val="003255A4"/>
    <w:rsid w:val="003256F2"/>
    <w:rsid w:val="0032590D"/>
    <w:rsid w:val="00325D68"/>
    <w:rsid w:val="00325D93"/>
    <w:rsid w:val="00325ED0"/>
    <w:rsid w:val="00325FC1"/>
    <w:rsid w:val="0032622B"/>
    <w:rsid w:val="003265B5"/>
    <w:rsid w:val="00326883"/>
    <w:rsid w:val="0032689C"/>
    <w:rsid w:val="003268D5"/>
    <w:rsid w:val="0032692B"/>
    <w:rsid w:val="003269B5"/>
    <w:rsid w:val="00326B8D"/>
    <w:rsid w:val="00326D47"/>
    <w:rsid w:val="00326E4F"/>
    <w:rsid w:val="00326FFB"/>
    <w:rsid w:val="00327172"/>
    <w:rsid w:val="003271E1"/>
    <w:rsid w:val="003271E3"/>
    <w:rsid w:val="00327525"/>
    <w:rsid w:val="00327569"/>
    <w:rsid w:val="00327597"/>
    <w:rsid w:val="003275B6"/>
    <w:rsid w:val="003277CA"/>
    <w:rsid w:val="00327A96"/>
    <w:rsid w:val="00327D75"/>
    <w:rsid w:val="00327EA7"/>
    <w:rsid w:val="00330153"/>
    <w:rsid w:val="0033015A"/>
    <w:rsid w:val="00330251"/>
    <w:rsid w:val="00330466"/>
    <w:rsid w:val="00330707"/>
    <w:rsid w:val="00330789"/>
    <w:rsid w:val="003309F4"/>
    <w:rsid w:val="00330A80"/>
    <w:rsid w:val="00330C3F"/>
    <w:rsid w:val="00330F1E"/>
    <w:rsid w:val="003313B0"/>
    <w:rsid w:val="00331486"/>
    <w:rsid w:val="003314D0"/>
    <w:rsid w:val="003314EE"/>
    <w:rsid w:val="003316EB"/>
    <w:rsid w:val="00331717"/>
    <w:rsid w:val="00331A00"/>
    <w:rsid w:val="00331AEC"/>
    <w:rsid w:val="00331B6F"/>
    <w:rsid w:val="00331BD4"/>
    <w:rsid w:val="00331C2F"/>
    <w:rsid w:val="00331D72"/>
    <w:rsid w:val="00331DF5"/>
    <w:rsid w:val="00331E1C"/>
    <w:rsid w:val="00331E90"/>
    <w:rsid w:val="0033203D"/>
    <w:rsid w:val="0033251C"/>
    <w:rsid w:val="0033277C"/>
    <w:rsid w:val="003327E8"/>
    <w:rsid w:val="003327EB"/>
    <w:rsid w:val="0033291A"/>
    <w:rsid w:val="00332A26"/>
    <w:rsid w:val="00332B4E"/>
    <w:rsid w:val="00332B4F"/>
    <w:rsid w:val="00332C4E"/>
    <w:rsid w:val="00332CA8"/>
    <w:rsid w:val="00332EA4"/>
    <w:rsid w:val="00332FED"/>
    <w:rsid w:val="003331E0"/>
    <w:rsid w:val="003332BE"/>
    <w:rsid w:val="003333D6"/>
    <w:rsid w:val="00333538"/>
    <w:rsid w:val="003335E6"/>
    <w:rsid w:val="0033383F"/>
    <w:rsid w:val="0033384C"/>
    <w:rsid w:val="003338AE"/>
    <w:rsid w:val="003338BF"/>
    <w:rsid w:val="0033398D"/>
    <w:rsid w:val="00333A66"/>
    <w:rsid w:val="00333CE3"/>
    <w:rsid w:val="00333FA4"/>
    <w:rsid w:val="00334038"/>
    <w:rsid w:val="003340D4"/>
    <w:rsid w:val="003340DC"/>
    <w:rsid w:val="0033411D"/>
    <w:rsid w:val="00334248"/>
    <w:rsid w:val="003342F3"/>
    <w:rsid w:val="00334349"/>
    <w:rsid w:val="00334389"/>
    <w:rsid w:val="003343C7"/>
    <w:rsid w:val="0033440A"/>
    <w:rsid w:val="00334507"/>
    <w:rsid w:val="0033471B"/>
    <w:rsid w:val="00334767"/>
    <w:rsid w:val="003349DA"/>
    <w:rsid w:val="00334AB3"/>
    <w:rsid w:val="00334AE9"/>
    <w:rsid w:val="00334C87"/>
    <w:rsid w:val="00334EB9"/>
    <w:rsid w:val="003351F8"/>
    <w:rsid w:val="0033522C"/>
    <w:rsid w:val="00335245"/>
    <w:rsid w:val="00335567"/>
    <w:rsid w:val="003355EE"/>
    <w:rsid w:val="003355F9"/>
    <w:rsid w:val="00335648"/>
    <w:rsid w:val="0033584C"/>
    <w:rsid w:val="0033584E"/>
    <w:rsid w:val="003358E4"/>
    <w:rsid w:val="00335A0F"/>
    <w:rsid w:val="00335A4C"/>
    <w:rsid w:val="00335B6B"/>
    <w:rsid w:val="00335EBC"/>
    <w:rsid w:val="00335F21"/>
    <w:rsid w:val="00335F4C"/>
    <w:rsid w:val="00335F9D"/>
    <w:rsid w:val="00335FCE"/>
    <w:rsid w:val="00335FE5"/>
    <w:rsid w:val="003362A0"/>
    <w:rsid w:val="00336639"/>
    <w:rsid w:val="00336B69"/>
    <w:rsid w:val="00336D20"/>
    <w:rsid w:val="00336E25"/>
    <w:rsid w:val="00336E8B"/>
    <w:rsid w:val="00337184"/>
    <w:rsid w:val="003374EC"/>
    <w:rsid w:val="0033752F"/>
    <w:rsid w:val="003375F8"/>
    <w:rsid w:val="00337A22"/>
    <w:rsid w:val="00337A31"/>
    <w:rsid w:val="00337A5F"/>
    <w:rsid w:val="00337B70"/>
    <w:rsid w:val="00337CD4"/>
    <w:rsid w:val="00337ED2"/>
    <w:rsid w:val="00337FD4"/>
    <w:rsid w:val="00340075"/>
    <w:rsid w:val="003400E8"/>
    <w:rsid w:val="0034030F"/>
    <w:rsid w:val="003403FD"/>
    <w:rsid w:val="0034058C"/>
    <w:rsid w:val="003405A1"/>
    <w:rsid w:val="00340626"/>
    <w:rsid w:val="00340691"/>
    <w:rsid w:val="003406A0"/>
    <w:rsid w:val="003406CA"/>
    <w:rsid w:val="00340758"/>
    <w:rsid w:val="00340892"/>
    <w:rsid w:val="003408BE"/>
    <w:rsid w:val="00340945"/>
    <w:rsid w:val="0034097B"/>
    <w:rsid w:val="00340B70"/>
    <w:rsid w:val="00340C2B"/>
    <w:rsid w:val="00340CF8"/>
    <w:rsid w:val="00340F2A"/>
    <w:rsid w:val="00340F73"/>
    <w:rsid w:val="00340FB7"/>
    <w:rsid w:val="003411CC"/>
    <w:rsid w:val="00341277"/>
    <w:rsid w:val="0034150E"/>
    <w:rsid w:val="0034163A"/>
    <w:rsid w:val="0034168A"/>
    <w:rsid w:val="003416D4"/>
    <w:rsid w:val="0034189F"/>
    <w:rsid w:val="00341917"/>
    <w:rsid w:val="00341B9F"/>
    <w:rsid w:val="00341C9A"/>
    <w:rsid w:val="00341CC8"/>
    <w:rsid w:val="00342167"/>
    <w:rsid w:val="003422D8"/>
    <w:rsid w:val="003425A5"/>
    <w:rsid w:val="00342820"/>
    <w:rsid w:val="003428CC"/>
    <w:rsid w:val="003429AA"/>
    <w:rsid w:val="00342C6F"/>
    <w:rsid w:val="00342E68"/>
    <w:rsid w:val="00342FAC"/>
    <w:rsid w:val="0034341B"/>
    <w:rsid w:val="00343420"/>
    <w:rsid w:val="00343720"/>
    <w:rsid w:val="0034393F"/>
    <w:rsid w:val="00343C3B"/>
    <w:rsid w:val="00343E4D"/>
    <w:rsid w:val="00343EE9"/>
    <w:rsid w:val="0034401E"/>
    <w:rsid w:val="0034436D"/>
    <w:rsid w:val="0034441E"/>
    <w:rsid w:val="0034457D"/>
    <w:rsid w:val="00344779"/>
    <w:rsid w:val="00344874"/>
    <w:rsid w:val="00344A3A"/>
    <w:rsid w:val="00344B10"/>
    <w:rsid w:val="00344B59"/>
    <w:rsid w:val="00344B7C"/>
    <w:rsid w:val="00344C6C"/>
    <w:rsid w:val="00344F0D"/>
    <w:rsid w:val="00345001"/>
    <w:rsid w:val="00345064"/>
    <w:rsid w:val="00345084"/>
    <w:rsid w:val="003450F4"/>
    <w:rsid w:val="003451DB"/>
    <w:rsid w:val="003455E0"/>
    <w:rsid w:val="003456EB"/>
    <w:rsid w:val="0034572F"/>
    <w:rsid w:val="0034586B"/>
    <w:rsid w:val="003458A0"/>
    <w:rsid w:val="00345908"/>
    <w:rsid w:val="00345AAC"/>
    <w:rsid w:val="00345C9B"/>
    <w:rsid w:val="00345E8F"/>
    <w:rsid w:val="003460D4"/>
    <w:rsid w:val="003461E1"/>
    <w:rsid w:val="003462B1"/>
    <w:rsid w:val="0034646B"/>
    <w:rsid w:val="00346482"/>
    <w:rsid w:val="0034653F"/>
    <w:rsid w:val="00346630"/>
    <w:rsid w:val="003466CC"/>
    <w:rsid w:val="00346903"/>
    <w:rsid w:val="00346941"/>
    <w:rsid w:val="00346987"/>
    <w:rsid w:val="003469B6"/>
    <w:rsid w:val="00346C7D"/>
    <w:rsid w:val="00346E32"/>
    <w:rsid w:val="0034719E"/>
    <w:rsid w:val="003471F9"/>
    <w:rsid w:val="0034723F"/>
    <w:rsid w:val="003472B7"/>
    <w:rsid w:val="003474AE"/>
    <w:rsid w:val="00347546"/>
    <w:rsid w:val="00347786"/>
    <w:rsid w:val="003479EA"/>
    <w:rsid w:val="00347B61"/>
    <w:rsid w:val="00347EF1"/>
    <w:rsid w:val="00350010"/>
    <w:rsid w:val="00350267"/>
    <w:rsid w:val="003503F0"/>
    <w:rsid w:val="003504B2"/>
    <w:rsid w:val="003504DD"/>
    <w:rsid w:val="0035051D"/>
    <w:rsid w:val="00350552"/>
    <w:rsid w:val="003505E2"/>
    <w:rsid w:val="003506E0"/>
    <w:rsid w:val="00350756"/>
    <w:rsid w:val="003508F6"/>
    <w:rsid w:val="00350A5C"/>
    <w:rsid w:val="00350A9E"/>
    <w:rsid w:val="00350C63"/>
    <w:rsid w:val="00350D82"/>
    <w:rsid w:val="00350D84"/>
    <w:rsid w:val="00350F3C"/>
    <w:rsid w:val="003513B6"/>
    <w:rsid w:val="0035140F"/>
    <w:rsid w:val="00351442"/>
    <w:rsid w:val="00351512"/>
    <w:rsid w:val="00351585"/>
    <w:rsid w:val="003516B2"/>
    <w:rsid w:val="0035172C"/>
    <w:rsid w:val="003517A4"/>
    <w:rsid w:val="00351BB6"/>
    <w:rsid w:val="00351CAB"/>
    <w:rsid w:val="00351CC3"/>
    <w:rsid w:val="00352154"/>
    <w:rsid w:val="00352156"/>
    <w:rsid w:val="0035220B"/>
    <w:rsid w:val="00352222"/>
    <w:rsid w:val="00352267"/>
    <w:rsid w:val="0035246E"/>
    <w:rsid w:val="003525AC"/>
    <w:rsid w:val="00352759"/>
    <w:rsid w:val="00352796"/>
    <w:rsid w:val="00352823"/>
    <w:rsid w:val="00352B81"/>
    <w:rsid w:val="00352C90"/>
    <w:rsid w:val="00352D27"/>
    <w:rsid w:val="00352E5C"/>
    <w:rsid w:val="00352EA0"/>
    <w:rsid w:val="00352F7A"/>
    <w:rsid w:val="0035323D"/>
    <w:rsid w:val="00353379"/>
    <w:rsid w:val="00353669"/>
    <w:rsid w:val="00353682"/>
    <w:rsid w:val="003537A6"/>
    <w:rsid w:val="00353847"/>
    <w:rsid w:val="0035388A"/>
    <w:rsid w:val="00353B28"/>
    <w:rsid w:val="00353B36"/>
    <w:rsid w:val="00353B3B"/>
    <w:rsid w:val="00353BD7"/>
    <w:rsid w:val="00353D52"/>
    <w:rsid w:val="00353DDE"/>
    <w:rsid w:val="00353E47"/>
    <w:rsid w:val="00354084"/>
    <w:rsid w:val="00354136"/>
    <w:rsid w:val="0035428E"/>
    <w:rsid w:val="003543AC"/>
    <w:rsid w:val="0035440C"/>
    <w:rsid w:val="00354496"/>
    <w:rsid w:val="00354764"/>
    <w:rsid w:val="00354A35"/>
    <w:rsid w:val="00354A83"/>
    <w:rsid w:val="00354BD5"/>
    <w:rsid w:val="00354C07"/>
    <w:rsid w:val="00354C51"/>
    <w:rsid w:val="00354D27"/>
    <w:rsid w:val="00354E1E"/>
    <w:rsid w:val="00354E93"/>
    <w:rsid w:val="00354FBB"/>
    <w:rsid w:val="00355139"/>
    <w:rsid w:val="0035517E"/>
    <w:rsid w:val="0035544F"/>
    <w:rsid w:val="00355537"/>
    <w:rsid w:val="00355792"/>
    <w:rsid w:val="00355955"/>
    <w:rsid w:val="003559A5"/>
    <w:rsid w:val="00355AFE"/>
    <w:rsid w:val="00355BC0"/>
    <w:rsid w:val="00355C5F"/>
    <w:rsid w:val="003560F2"/>
    <w:rsid w:val="003562E8"/>
    <w:rsid w:val="003562EE"/>
    <w:rsid w:val="0035663B"/>
    <w:rsid w:val="00356722"/>
    <w:rsid w:val="0035675C"/>
    <w:rsid w:val="00356861"/>
    <w:rsid w:val="00356938"/>
    <w:rsid w:val="00356A7B"/>
    <w:rsid w:val="00356AE0"/>
    <w:rsid w:val="00356AF2"/>
    <w:rsid w:val="00356C7A"/>
    <w:rsid w:val="00356CA9"/>
    <w:rsid w:val="00356CB4"/>
    <w:rsid w:val="00356FDF"/>
    <w:rsid w:val="0035726C"/>
    <w:rsid w:val="003572B8"/>
    <w:rsid w:val="0035730B"/>
    <w:rsid w:val="00357319"/>
    <w:rsid w:val="00357436"/>
    <w:rsid w:val="003574F7"/>
    <w:rsid w:val="00357558"/>
    <w:rsid w:val="003575E6"/>
    <w:rsid w:val="00357668"/>
    <w:rsid w:val="00357669"/>
    <w:rsid w:val="003576CC"/>
    <w:rsid w:val="00357705"/>
    <w:rsid w:val="00357797"/>
    <w:rsid w:val="003577CB"/>
    <w:rsid w:val="0035782D"/>
    <w:rsid w:val="00357A91"/>
    <w:rsid w:val="00357C09"/>
    <w:rsid w:val="00357C5D"/>
    <w:rsid w:val="00357CD0"/>
    <w:rsid w:val="00357F16"/>
    <w:rsid w:val="003600FA"/>
    <w:rsid w:val="0036021A"/>
    <w:rsid w:val="003603C3"/>
    <w:rsid w:val="003606EB"/>
    <w:rsid w:val="00360797"/>
    <w:rsid w:val="00360851"/>
    <w:rsid w:val="0036087A"/>
    <w:rsid w:val="00360A53"/>
    <w:rsid w:val="00360A57"/>
    <w:rsid w:val="00360ADE"/>
    <w:rsid w:val="00360B60"/>
    <w:rsid w:val="00360CC6"/>
    <w:rsid w:val="00360D28"/>
    <w:rsid w:val="00360DD7"/>
    <w:rsid w:val="003610BE"/>
    <w:rsid w:val="003610F5"/>
    <w:rsid w:val="00361103"/>
    <w:rsid w:val="0036115A"/>
    <w:rsid w:val="003611A8"/>
    <w:rsid w:val="00361264"/>
    <w:rsid w:val="00361327"/>
    <w:rsid w:val="00361693"/>
    <w:rsid w:val="003616C4"/>
    <w:rsid w:val="003616EE"/>
    <w:rsid w:val="00361735"/>
    <w:rsid w:val="0036180E"/>
    <w:rsid w:val="00361A77"/>
    <w:rsid w:val="00361BD2"/>
    <w:rsid w:val="00361C1C"/>
    <w:rsid w:val="00361DE0"/>
    <w:rsid w:val="00361E88"/>
    <w:rsid w:val="00361F59"/>
    <w:rsid w:val="0036200C"/>
    <w:rsid w:val="00362173"/>
    <w:rsid w:val="00362194"/>
    <w:rsid w:val="00362305"/>
    <w:rsid w:val="003627DE"/>
    <w:rsid w:val="003629A9"/>
    <w:rsid w:val="00362A9E"/>
    <w:rsid w:val="00362C31"/>
    <w:rsid w:val="00362D32"/>
    <w:rsid w:val="00362DD9"/>
    <w:rsid w:val="00362EAC"/>
    <w:rsid w:val="003633A6"/>
    <w:rsid w:val="003633A7"/>
    <w:rsid w:val="003633E0"/>
    <w:rsid w:val="00363674"/>
    <w:rsid w:val="00363703"/>
    <w:rsid w:val="0036377F"/>
    <w:rsid w:val="0036379E"/>
    <w:rsid w:val="00363837"/>
    <w:rsid w:val="00363996"/>
    <w:rsid w:val="00363A83"/>
    <w:rsid w:val="00363B24"/>
    <w:rsid w:val="00363B81"/>
    <w:rsid w:val="00363BE4"/>
    <w:rsid w:val="00363F67"/>
    <w:rsid w:val="00363FCB"/>
    <w:rsid w:val="003640D1"/>
    <w:rsid w:val="003642DB"/>
    <w:rsid w:val="00364454"/>
    <w:rsid w:val="00364482"/>
    <w:rsid w:val="003644EB"/>
    <w:rsid w:val="0036468D"/>
    <w:rsid w:val="00364AB1"/>
    <w:rsid w:val="00364BC8"/>
    <w:rsid w:val="00364C16"/>
    <w:rsid w:val="00364EA0"/>
    <w:rsid w:val="00364F8B"/>
    <w:rsid w:val="00365033"/>
    <w:rsid w:val="00365170"/>
    <w:rsid w:val="00365223"/>
    <w:rsid w:val="0036533F"/>
    <w:rsid w:val="00365405"/>
    <w:rsid w:val="00365410"/>
    <w:rsid w:val="003654A1"/>
    <w:rsid w:val="003655EE"/>
    <w:rsid w:val="00365674"/>
    <w:rsid w:val="0036568E"/>
    <w:rsid w:val="00365711"/>
    <w:rsid w:val="0036572A"/>
    <w:rsid w:val="00365A35"/>
    <w:rsid w:val="00365DB1"/>
    <w:rsid w:val="00365EEF"/>
    <w:rsid w:val="00366025"/>
    <w:rsid w:val="00366096"/>
    <w:rsid w:val="0036609C"/>
    <w:rsid w:val="00366124"/>
    <w:rsid w:val="0036617A"/>
    <w:rsid w:val="00366297"/>
    <w:rsid w:val="0036631C"/>
    <w:rsid w:val="00366400"/>
    <w:rsid w:val="00366442"/>
    <w:rsid w:val="00366488"/>
    <w:rsid w:val="00366625"/>
    <w:rsid w:val="00366709"/>
    <w:rsid w:val="00366A4E"/>
    <w:rsid w:val="00366A86"/>
    <w:rsid w:val="00366AE9"/>
    <w:rsid w:val="00366B79"/>
    <w:rsid w:val="00366C13"/>
    <w:rsid w:val="00366CB0"/>
    <w:rsid w:val="00366CC1"/>
    <w:rsid w:val="00366F7B"/>
    <w:rsid w:val="00366FF6"/>
    <w:rsid w:val="00367057"/>
    <w:rsid w:val="00367211"/>
    <w:rsid w:val="003678CE"/>
    <w:rsid w:val="00367B81"/>
    <w:rsid w:val="00367BAA"/>
    <w:rsid w:val="00367C1F"/>
    <w:rsid w:val="00367D0C"/>
    <w:rsid w:val="00367E06"/>
    <w:rsid w:val="00370750"/>
    <w:rsid w:val="0037095B"/>
    <w:rsid w:val="00370D03"/>
    <w:rsid w:val="00370ECF"/>
    <w:rsid w:val="00370F90"/>
    <w:rsid w:val="00371058"/>
    <w:rsid w:val="0037127E"/>
    <w:rsid w:val="003714A4"/>
    <w:rsid w:val="003715D2"/>
    <w:rsid w:val="00371640"/>
    <w:rsid w:val="0037188B"/>
    <w:rsid w:val="00371F4C"/>
    <w:rsid w:val="00371FD1"/>
    <w:rsid w:val="00372009"/>
    <w:rsid w:val="003720FA"/>
    <w:rsid w:val="00372176"/>
    <w:rsid w:val="00372256"/>
    <w:rsid w:val="00372274"/>
    <w:rsid w:val="00372471"/>
    <w:rsid w:val="00372639"/>
    <w:rsid w:val="00372B0C"/>
    <w:rsid w:val="00372C2F"/>
    <w:rsid w:val="00372C3B"/>
    <w:rsid w:val="00372D1D"/>
    <w:rsid w:val="00372F8B"/>
    <w:rsid w:val="00373361"/>
    <w:rsid w:val="003733FC"/>
    <w:rsid w:val="003734A3"/>
    <w:rsid w:val="003734F4"/>
    <w:rsid w:val="0037368C"/>
    <w:rsid w:val="0037371F"/>
    <w:rsid w:val="00373757"/>
    <w:rsid w:val="00373B55"/>
    <w:rsid w:val="00373BF2"/>
    <w:rsid w:val="00373C19"/>
    <w:rsid w:val="00373DB5"/>
    <w:rsid w:val="00373E83"/>
    <w:rsid w:val="00374092"/>
    <w:rsid w:val="003741A4"/>
    <w:rsid w:val="003741CF"/>
    <w:rsid w:val="0037422A"/>
    <w:rsid w:val="003746E9"/>
    <w:rsid w:val="0037487D"/>
    <w:rsid w:val="00374891"/>
    <w:rsid w:val="00374AA0"/>
    <w:rsid w:val="00374B28"/>
    <w:rsid w:val="00374B6C"/>
    <w:rsid w:val="00374C4B"/>
    <w:rsid w:val="00374D73"/>
    <w:rsid w:val="00374DA2"/>
    <w:rsid w:val="00374F93"/>
    <w:rsid w:val="00375273"/>
    <w:rsid w:val="00375346"/>
    <w:rsid w:val="00375394"/>
    <w:rsid w:val="003753E3"/>
    <w:rsid w:val="00375482"/>
    <w:rsid w:val="003754B4"/>
    <w:rsid w:val="003756A0"/>
    <w:rsid w:val="00375B14"/>
    <w:rsid w:val="00375B74"/>
    <w:rsid w:val="00375C75"/>
    <w:rsid w:val="00375D9B"/>
    <w:rsid w:val="00375FE6"/>
    <w:rsid w:val="0037613B"/>
    <w:rsid w:val="003762FA"/>
    <w:rsid w:val="00376535"/>
    <w:rsid w:val="00376731"/>
    <w:rsid w:val="00376747"/>
    <w:rsid w:val="00376D13"/>
    <w:rsid w:val="00376EA1"/>
    <w:rsid w:val="00376F4F"/>
    <w:rsid w:val="003770B8"/>
    <w:rsid w:val="00377258"/>
    <w:rsid w:val="003773DB"/>
    <w:rsid w:val="00377485"/>
    <w:rsid w:val="003775B0"/>
    <w:rsid w:val="003776C6"/>
    <w:rsid w:val="00377785"/>
    <w:rsid w:val="003778F5"/>
    <w:rsid w:val="00377D78"/>
    <w:rsid w:val="00377D8A"/>
    <w:rsid w:val="00377DE4"/>
    <w:rsid w:val="00377E2F"/>
    <w:rsid w:val="0038002F"/>
    <w:rsid w:val="0038010D"/>
    <w:rsid w:val="00380188"/>
    <w:rsid w:val="003802EC"/>
    <w:rsid w:val="00380450"/>
    <w:rsid w:val="003804B3"/>
    <w:rsid w:val="003804DF"/>
    <w:rsid w:val="003806AA"/>
    <w:rsid w:val="00380817"/>
    <w:rsid w:val="00380826"/>
    <w:rsid w:val="00380A0C"/>
    <w:rsid w:val="00380ABE"/>
    <w:rsid w:val="00380B5E"/>
    <w:rsid w:val="00380EBD"/>
    <w:rsid w:val="00381149"/>
    <w:rsid w:val="00381383"/>
    <w:rsid w:val="003813A6"/>
    <w:rsid w:val="003814D4"/>
    <w:rsid w:val="0038150E"/>
    <w:rsid w:val="00381540"/>
    <w:rsid w:val="00381BEF"/>
    <w:rsid w:val="00381C45"/>
    <w:rsid w:val="00381E2C"/>
    <w:rsid w:val="00381E7F"/>
    <w:rsid w:val="00381F68"/>
    <w:rsid w:val="00382031"/>
    <w:rsid w:val="003821DE"/>
    <w:rsid w:val="0038248E"/>
    <w:rsid w:val="003825FD"/>
    <w:rsid w:val="00382645"/>
    <w:rsid w:val="003826D4"/>
    <w:rsid w:val="0038291B"/>
    <w:rsid w:val="003829BA"/>
    <w:rsid w:val="00382A28"/>
    <w:rsid w:val="00382A3E"/>
    <w:rsid w:val="00382A56"/>
    <w:rsid w:val="00382BC2"/>
    <w:rsid w:val="00382F69"/>
    <w:rsid w:val="00383116"/>
    <w:rsid w:val="00383157"/>
    <w:rsid w:val="003831AD"/>
    <w:rsid w:val="00383283"/>
    <w:rsid w:val="003832E3"/>
    <w:rsid w:val="003833BC"/>
    <w:rsid w:val="003835C4"/>
    <w:rsid w:val="0038369F"/>
    <w:rsid w:val="00383826"/>
    <w:rsid w:val="00383885"/>
    <w:rsid w:val="00383944"/>
    <w:rsid w:val="0038395D"/>
    <w:rsid w:val="0038395F"/>
    <w:rsid w:val="003839F0"/>
    <w:rsid w:val="00383A19"/>
    <w:rsid w:val="00383B44"/>
    <w:rsid w:val="00383B56"/>
    <w:rsid w:val="00384171"/>
    <w:rsid w:val="003841E5"/>
    <w:rsid w:val="003841EF"/>
    <w:rsid w:val="003843E5"/>
    <w:rsid w:val="0038454E"/>
    <w:rsid w:val="003846FF"/>
    <w:rsid w:val="003847A8"/>
    <w:rsid w:val="00384949"/>
    <w:rsid w:val="00384965"/>
    <w:rsid w:val="00384A5D"/>
    <w:rsid w:val="00384AE1"/>
    <w:rsid w:val="00385247"/>
    <w:rsid w:val="0038525D"/>
    <w:rsid w:val="003855EB"/>
    <w:rsid w:val="00385645"/>
    <w:rsid w:val="00385705"/>
    <w:rsid w:val="0038573B"/>
    <w:rsid w:val="00385749"/>
    <w:rsid w:val="00385875"/>
    <w:rsid w:val="003858A6"/>
    <w:rsid w:val="003858B1"/>
    <w:rsid w:val="0038593C"/>
    <w:rsid w:val="00385BC0"/>
    <w:rsid w:val="00385D3C"/>
    <w:rsid w:val="00385DC0"/>
    <w:rsid w:val="00385DCA"/>
    <w:rsid w:val="00385F0F"/>
    <w:rsid w:val="003862BE"/>
    <w:rsid w:val="003863F1"/>
    <w:rsid w:val="00386488"/>
    <w:rsid w:val="003864F7"/>
    <w:rsid w:val="00386538"/>
    <w:rsid w:val="00386655"/>
    <w:rsid w:val="00386857"/>
    <w:rsid w:val="00386990"/>
    <w:rsid w:val="00386ADA"/>
    <w:rsid w:val="00386C3B"/>
    <w:rsid w:val="00386CCD"/>
    <w:rsid w:val="00386DEF"/>
    <w:rsid w:val="00386E8E"/>
    <w:rsid w:val="00386EB4"/>
    <w:rsid w:val="00387290"/>
    <w:rsid w:val="00387314"/>
    <w:rsid w:val="003873DE"/>
    <w:rsid w:val="00387587"/>
    <w:rsid w:val="00387997"/>
    <w:rsid w:val="003879F5"/>
    <w:rsid w:val="00387A51"/>
    <w:rsid w:val="00387D79"/>
    <w:rsid w:val="00387DD5"/>
    <w:rsid w:val="00387E99"/>
    <w:rsid w:val="003900EE"/>
    <w:rsid w:val="003902D8"/>
    <w:rsid w:val="00390304"/>
    <w:rsid w:val="0039051F"/>
    <w:rsid w:val="003906C6"/>
    <w:rsid w:val="0039076A"/>
    <w:rsid w:val="003908CB"/>
    <w:rsid w:val="00390A0C"/>
    <w:rsid w:val="00390B9C"/>
    <w:rsid w:val="00390C3C"/>
    <w:rsid w:val="00390C4C"/>
    <w:rsid w:val="0039126D"/>
    <w:rsid w:val="00391276"/>
    <w:rsid w:val="00391377"/>
    <w:rsid w:val="0039141F"/>
    <w:rsid w:val="003916E1"/>
    <w:rsid w:val="00391827"/>
    <w:rsid w:val="0039189A"/>
    <w:rsid w:val="0039196C"/>
    <w:rsid w:val="00391B35"/>
    <w:rsid w:val="00391BD3"/>
    <w:rsid w:val="00391BF6"/>
    <w:rsid w:val="00391C2F"/>
    <w:rsid w:val="00392043"/>
    <w:rsid w:val="00392080"/>
    <w:rsid w:val="00392102"/>
    <w:rsid w:val="00392120"/>
    <w:rsid w:val="003921AD"/>
    <w:rsid w:val="00392355"/>
    <w:rsid w:val="003924B9"/>
    <w:rsid w:val="0039251D"/>
    <w:rsid w:val="00392565"/>
    <w:rsid w:val="00392589"/>
    <w:rsid w:val="00392686"/>
    <w:rsid w:val="003926FB"/>
    <w:rsid w:val="00392727"/>
    <w:rsid w:val="00392764"/>
    <w:rsid w:val="003927E6"/>
    <w:rsid w:val="003928CA"/>
    <w:rsid w:val="0039294F"/>
    <w:rsid w:val="00392A3E"/>
    <w:rsid w:val="00392C97"/>
    <w:rsid w:val="00392D01"/>
    <w:rsid w:val="00392DCC"/>
    <w:rsid w:val="00393002"/>
    <w:rsid w:val="0039302F"/>
    <w:rsid w:val="00393196"/>
    <w:rsid w:val="00393261"/>
    <w:rsid w:val="00393278"/>
    <w:rsid w:val="003932C7"/>
    <w:rsid w:val="0039346C"/>
    <w:rsid w:val="003934D0"/>
    <w:rsid w:val="00393510"/>
    <w:rsid w:val="00393519"/>
    <w:rsid w:val="00393628"/>
    <w:rsid w:val="00393661"/>
    <w:rsid w:val="00393675"/>
    <w:rsid w:val="00393882"/>
    <w:rsid w:val="00393944"/>
    <w:rsid w:val="00393C8C"/>
    <w:rsid w:val="00393FD7"/>
    <w:rsid w:val="00394045"/>
    <w:rsid w:val="003940AD"/>
    <w:rsid w:val="0039415B"/>
    <w:rsid w:val="003942DA"/>
    <w:rsid w:val="0039435A"/>
    <w:rsid w:val="00394372"/>
    <w:rsid w:val="003945EB"/>
    <w:rsid w:val="003946FF"/>
    <w:rsid w:val="00394C46"/>
    <w:rsid w:val="00394C4D"/>
    <w:rsid w:val="00394EB6"/>
    <w:rsid w:val="00394F60"/>
    <w:rsid w:val="003950BD"/>
    <w:rsid w:val="003950D0"/>
    <w:rsid w:val="003952AE"/>
    <w:rsid w:val="00395351"/>
    <w:rsid w:val="003954B5"/>
    <w:rsid w:val="0039554E"/>
    <w:rsid w:val="003955E0"/>
    <w:rsid w:val="0039561B"/>
    <w:rsid w:val="0039565F"/>
    <w:rsid w:val="003957A2"/>
    <w:rsid w:val="003957E1"/>
    <w:rsid w:val="00395AC3"/>
    <w:rsid w:val="00395C87"/>
    <w:rsid w:val="00395CBD"/>
    <w:rsid w:val="00395CC2"/>
    <w:rsid w:val="00395D86"/>
    <w:rsid w:val="00395E10"/>
    <w:rsid w:val="00395E22"/>
    <w:rsid w:val="00395ED5"/>
    <w:rsid w:val="00395EDF"/>
    <w:rsid w:val="00395F68"/>
    <w:rsid w:val="00395FAA"/>
    <w:rsid w:val="00395FE9"/>
    <w:rsid w:val="00395FFC"/>
    <w:rsid w:val="00396368"/>
    <w:rsid w:val="003965E5"/>
    <w:rsid w:val="00396984"/>
    <w:rsid w:val="00396C3F"/>
    <w:rsid w:val="00396C77"/>
    <w:rsid w:val="00396CD2"/>
    <w:rsid w:val="00396D43"/>
    <w:rsid w:val="00396EAC"/>
    <w:rsid w:val="00396EC5"/>
    <w:rsid w:val="00396EF6"/>
    <w:rsid w:val="00396F3E"/>
    <w:rsid w:val="00396FF8"/>
    <w:rsid w:val="00397011"/>
    <w:rsid w:val="003970C9"/>
    <w:rsid w:val="003971BA"/>
    <w:rsid w:val="00397383"/>
    <w:rsid w:val="0039738D"/>
    <w:rsid w:val="0039754B"/>
    <w:rsid w:val="0039764A"/>
    <w:rsid w:val="0039779A"/>
    <w:rsid w:val="003977FA"/>
    <w:rsid w:val="00397888"/>
    <w:rsid w:val="00397A5E"/>
    <w:rsid w:val="00397B53"/>
    <w:rsid w:val="00397BF5"/>
    <w:rsid w:val="00397C70"/>
    <w:rsid w:val="00397DB1"/>
    <w:rsid w:val="00397EF5"/>
    <w:rsid w:val="00397FCC"/>
    <w:rsid w:val="003A0305"/>
    <w:rsid w:val="003A038B"/>
    <w:rsid w:val="003A0449"/>
    <w:rsid w:val="003A050E"/>
    <w:rsid w:val="003A07D5"/>
    <w:rsid w:val="003A0847"/>
    <w:rsid w:val="003A0A4C"/>
    <w:rsid w:val="003A0AEA"/>
    <w:rsid w:val="003A0C6F"/>
    <w:rsid w:val="003A0D37"/>
    <w:rsid w:val="003A0D5F"/>
    <w:rsid w:val="003A0DFE"/>
    <w:rsid w:val="003A0E85"/>
    <w:rsid w:val="003A0F62"/>
    <w:rsid w:val="003A0FD8"/>
    <w:rsid w:val="003A11A0"/>
    <w:rsid w:val="003A1220"/>
    <w:rsid w:val="003A127B"/>
    <w:rsid w:val="003A12D3"/>
    <w:rsid w:val="003A12D6"/>
    <w:rsid w:val="003A135A"/>
    <w:rsid w:val="003A137B"/>
    <w:rsid w:val="003A1400"/>
    <w:rsid w:val="003A1403"/>
    <w:rsid w:val="003A1658"/>
    <w:rsid w:val="003A16A3"/>
    <w:rsid w:val="003A199F"/>
    <w:rsid w:val="003A19F3"/>
    <w:rsid w:val="003A1B1F"/>
    <w:rsid w:val="003A1BA4"/>
    <w:rsid w:val="003A1C7E"/>
    <w:rsid w:val="003A1D3F"/>
    <w:rsid w:val="003A1E6A"/>
    <w:rsid w:val="003A1F1B"/>
    <w:rsid w:val="003A1F63"/>
    <w:rsid w:val="003A2001"/>
    <w:rsid w:val="003A2023"/>
    <w:rsid w:val="003A21AE"/>
    <w:rsid w:val="003A2356"/>
    <w:rsid w:val="003A2408"/>
    <w:rsid w:val="003A2573"/>
    <w:rsid w:val="003A2870"/>
    <w:rsid w:val="003A2A11"/>
    <w:rsid w:val="003A2A32"/>
    <w:rsid w:val="003A2A95"/>
    <w:rsid w:val="003A2B30"/>
    <w:rsid w:val="003A2C50"/>
    <w:rsid w:val="003A2CF9"/>
    <w:rsid w:val="003A2E7A"/>
    <w:rsid w:val="003A2EA8"/>
    <w:rsid w:val="003A301C"/>
    <w:rsid w:val="003A31C8"/>
    <w:rsid w:val="003A324B"/>
    <w:rsid w:val="003A33FC"/>
    <w:rsid w:val="003A36AA"/>
    <w:rsid w:val="003A3802"/>
    <w:rsid w:val="003A3853"/>
    <w:rsid w:val="003A3996"/>
    <w:rsid w:val="003A39C3"/>
    <w:rsid w:val="003A3D71"/>
    <w:rsid w:val="003A3ED5"/>
    <w:rsid w:val="003A3F33"/>
    <w:rsid w:val="003A4208"/>
    <w:rsid w:val="003A43B2"/>
    <w:rsid w:val="003A4469"/>
    <w:rsid w:val="003A44F7"/>
    <w:rsid w:val="003A480A"/>
    <w:rsid w:val="003A4845"/>
    <w:rsid w:val="003A484E"/>
    <w:rsid w:val="003A4904"/>
    <w:rsid w:val="003A4BD0"/>
    <w:rsid w:val="003A4DCE"/>
    <w:rsid w:val="003A4E6E"/>
    <w:rsid w:val="003A4E94"/>
    <w:rsid w:val="003A4ED9"/>
    <w:rsid w:val="003A5065"/>
    <w:rsid w:val="003A5076"/>
    <w:rsid w:val="003A5144"/>
    <w:rsid w:val="003A5274"/>
    <w:rsid w:val="003A5322"/>
    <w:rsid w:val="003A536C"/>
    <w:rsid w:val="003A5642"/>
    <w:rsid w:val="003A590D"/>
    <w:rsid w:val="003A5A90"/>
    <w:rsid w:val="003A5D8E"/>
    <w:rsid w:val="003A5EA9"/>
    <w:rsid w:val="003A5F7A"/>
    <w:rsid w:val="003A5FEA"/>
    <w:rsid w:val="003A61E4"/>
    <w:rsid w:val="003A63F5"/>
    <w:rsid w:val="003A668E"/>
    <w:rsid w:val="003A66B9"/>
    <w:rsid w:val="003A674D"/>
    <w:rsid w:val="003A676E"/>
    <w:rsid w:val="003A68AB"/>
    <w:rsid w:val="003A6D70"/>
    <w:rsid w:val="003A7045"/>
    <w:rsid w:val="003A70E6"/>
    <w:rsid w:val="003A72AE"/>
    <w:rsid w:val="003A7398"/>
    <w:rsid w:val="003A74EE"/>
    <w:rsid w:val="003A7524"/>
    <w:rsid w:val="003A755C"/>
    <w:rsid w:val="003A75F2"/>
    <w:rsid w:val="003A761D"/>
    <w:rsid w:val="003A7655"/>
    <w:rsid w:val="003A76A9"/>
    <w:rsid w:val="003A7809"/>
    <w:rsid w:val="003A790D"/>
    <w:rsid w:val="003A792E"/>
    <w:rsid w:val="003A7C48"/>
    <w:rsid w:val="003A7CDA"/>
    <w:rsid w:val="003B00C6"/>
    <w:rsid w:val="003B02BB"/>
    <w:rsid w:val="003B04CB"/>
    <w:rsid w:val="003B0894"/>
    <w:rsid w:val="003B0A8B"/>
    <w:rsid w:val="003B0AE5"/>
    <w:rsid w:val="003B0B0D"/>
    <w:rsid w:val="003B0C4F"/>
    <w:rsid w:val="003B0F67"/>
    <w:rsid w:val="003B0FCB"/>
    <w:rsid w:val="003B0FEE"/>
    <w:rsid w:val="003B105B"/>
    <w:rsid w:val="003B1096"/>
    <w:rsid w:val="003B11D2"/>
    <w:rsid w:val="003B14D7"/>
    <w:rsid w:val="003B160A"/>
    <w:rsid w:val="003B1641"/>
    <w:rsid w:val="003B1659"/>
    <w:rsid w:val="003B1684"/>
    <w:rsid w:val="003B17A2"/>
    <w:rsid w:val="003B19DF"/>
    <w:rsid w:val="003B1C11"/>
    <w:rsid w:val="003B1CBC"/>
    <w:rsid w:val="003B1D72"/>
    <w:rsid w:val="003B1E82"/>
    <w:rsid w:val="003B1EBD"/>
    <w:rsid w:val="003B1FEC"/>
    <w:rsid w:val="003B2079"/>
    <w:rsid w:val="003B2139"/>
    <w:rsid w:val="003B2211"/>
    <w:rsid w:val="003B23DE"/>
    <w:rsid w:val="003B25BF"/>
    <w:rsid w:val="003B25CE"/>
    <w:rsid w:val="003B2927"/>
    <w:rsid w:val="003B292E"/>
    <w:rsid w:val="003B2B99"/>
    <w:rsid w:val="003B2CC2"/>
    <w:rsid w:val="003B2EAB"/>
    <w:rsid w:val="003B2F22"/>
    <w:rsid w:val="003B2F39"/>
    <w:rsid w:val="003B30A6"/>
    <w:rsid w:val="003B30FE"/>
    <w:rsid w:val="003B318F"/>
    <w:rsid w:val="003B31DD"/>
    <w:rsid w:val="003B329E"/>
    <w:rsid w:val="003B32EF"/>
    <w:rsid w:val="003B3305"/>
    <w:rsid w:val="003B38DD"/>
    <w:rsid w:val="003B3935"/>
    <w:rsid w:val="003B395A"/>
    <w:rsid w:val="003B3B3B"/>
    <w:rsid w:val="003B3BB4"/>
    <w:rsid w:val="003B3BC1"/>
    <w:rsid w:val="003B3BC9"/>
    <w:rsid w:val="003B3BF5"/>
    <w:rsid w:val="003B3C3C"/>
    <w:rsid w:val="003B3D60"/>
    <w:rsid w:val="003B40C4"/>
    <w:rsid w:val="003B4107"/>
    <w:rsid w:val="003B433A"/>
    <w:rsid w:val="003B4430"/>
    <w:rsid w:val="003B443A"/>
    <w:rsid w:val="003B44E2"/>
    <w:rsid w:val="003B44E5"/>
    <w:rsid w:val="003B466B"/>
    <w:rsid w:val="003B489E"/>
    <w:rsid w:val="003B49AB"/>
    <w:rsid w:val="003B4A28"/>
    <w:rsid w:val="003B4E1D"/>
    <w:rsid w:val="003B4F2B"/>
    <w:rsid w:val="003B4F68"/>
    <w:rsid w:val="003B5149"/>
    <w:rsid w:val="003B52A7"/>
    <w:rsid w:val="003B5979"/>
    <w:rsid w:val="003B59FD"/>
    <w:rsid w:val="003B5A42"/>
    <w:rsid w:val="003B5A91"/>
    <w:rsid w:val="003B5BF0"/>
    <w:rsid w:val="003B5D8A"/>
    <w:rsid w:val="003B5F74"/>
    <w:rsid w:val="003B602B"/>
    <w:rsid w:val="003B6488"/>
    <w:rsid w:val="003B659E"/>
    <w:rsid w:val="003B6622"/>
    <w:rsid w:val="003B6BD1"/>
    <w:rsid w:val="003B6C00"/>
    <w:rsid w:val="003B6D3A"/>
    <w:rsid w:val="003B6E5F"/>
    <w:rsid w:val="003B7190"/>
    <w:rsid w:val="003B7211"/>
    <w:rsid w:val="003B72DD"/>
    <w:rsid w:val="003B7479"/>
    <w:rsid w:val="003B74AE"/>
    <w:rsid w:val="003B75DF"/>
    <w:rsid w:val="003B7633"/>
    <w:rsid w:val="003B7807"/>
    <w:rsid w:val="003B7858"/>
    <w:rsid w:val="003B79C2"/>
    <w:rsid w:val="003B7A68"/>
    <w:rsid w:val="003B7A95"/>
    <w:rsid w:val="003B7AF4"/>
    <w:rsid w:val="003B7BAF"/>
    <w:rsid w:val="003B7D97"/>
    <w:rsid w:val="003B7DB2"/>
    <w:rsid w:val="003B7DD4"/>
    <w:rsid w:val="003B7E69"/>
    <w:rsid w:val="003B7EE7"/>
    <w:rsid w:val="003B7FAB"/>
    <w:rsid w:val="003C0176"/>
    <w:rsid w:val="003C01F5"/>
    <w:rsid w:val="003C022F"/>
    <w:rsid w:val="003C05FE"/>
    <w:rsid w:val="003C062C"/>
    <w:rsid w:val="003C06D5"/>
    <w:rsid w:val="003C0A09"/>
    <w:rsid w:val="003C0CAB"/>
    <w:rsid w:val="003C0D35"/>
    <w:rsid w:val="003C0D6D"/>
    <w:rsid w:val="003C0DCA"/>
    <w:rsid w:val="003C0DCC"/>
    <w:rsid w:val="003C10BB"/>
    <w:rsid w:val="003C10FB"/>
    <w:rsid w:val="003C1140"/>
    <w:rsid w:val="003C1296"/>
    <w:rsid w:val="003C13DC"/>
    <w:rsid w:val="003C1513"/>
    <w:rsid w:val="003C1566"/>
    <w:rsid w:val="003C16B4"/>
    <w:rsid w:val="003C1720"/>
    <w:rsid w:val="003C17A8"/>
    <w:rsid w:val="003C17D7"/>
    <w:rsid w:val="003C17EC"/>
    <w:rsid w:val="003C1AA9"/>
    <w:rsid w:val="003C1B4D"/>
    <w:rsid w:val="003C1C64"/>
    <w:rsid w:val="003C1E2C"/>
    <w:rsid w:val="003C1F43"/>
    <w:rsid w:val="003C20FE"/>
    <w:rsid w:val="003C222A"/>
    <w:rsid w:val="003C2402"/>
    <w:rsid w:val="003C2988"/>
    <w:rsid w:val="003C2A97"/>
    <w:rsid w:val="003C2B26"/>
    <w:rsid w:val="003C2B28"/>
    <w:rsid w:val="003C2B37"/>
    <w:rsid w:val="003C2E4F"/>
    <w:rsid w:val="003C2EC3"/>
    <w:rsid w:val="003C2F90"/>
    <w:rsid w:val="003C30A2"/>
    <w:rsid w:val="003C30AB"/>
    <w:rsid w:val="003C31B7"/>
    <w:rsid w:val="003C33B8"/>
    <w:rsid w:val="003C3564"/>
    <w:rsid w:val="003C35A8"/>
    <w:rsid w:val="003C3604"/>
    <w:rsid w:val="003C3713"/>
    <w:rsid w:val="003C39FE"/>
    <w:rsid w:val="003C3C12"/>
    <w:rsid w:val="003C3F46"/>
    <w:rsid w:val="003C408A"/>
    <w:rsid w:val="003C413A"/>
    <w:rsid w:val="003C416F"/>
    <w:rsid w:val="003C41D9"/>
    <w:rsid w:val="003C435F"/>
    <w:rsid w:val="003C4562"/>
    <w:rsid w:val="003C4604"/>
    <w:rsid w:val="003C48CB"/>
    <w:rsid w:val="003C4BDC"/>
    <w:rsid w:val="003C4CC1"/>
    <w:rsid w:val="003C4DDA"/>
    <w:rsid w:val="003C4EB8"/>
    <w:rsid w:val="003C513C"/>
    <w:rsid w:val="003C5221"/>
    <w:rsid w:val="003C5372"/>
    <w:rsid w:val="003C5381"/>
    <w:rsid w:val="003C568B"/>
    <w:rsid w:val="003C58F9"/>
    <w:rsid w:val="003C5C20"/>
    <w:rsid w:val="003C5D7C"/>
    <w:rsid w:val="003C5DBB"/>
    <w:rsid w:val="003C5E34"/>
    <w:rsid w:val="003C5E74"/>
    <w:rsid w:val="003C5E8F"/>
    <w:rsid w:val="003C5FD2"/>
    <w:rsid w:val="003C63A3"/>
    <w:rsid w:val="003C64E8"/>
    <w:rsid w:val="003C65A9"/>
    <w:rsid w:val="003C665E"/>
    <w:rsid w:val="003C66B0"/>
    <w:rsid w:val="003C6904"/>
    <w:rsid w:val="003C6961"/>
    <w:rsid w:val="003C6A38"/>
    <w:rsid w:val="003C6AC5"/>
    <w:rsid w:val="003C6BE6"/>
    <w:rsid w:val="003C6E1F"/>
    <w:rsid w:val="003C6E21"/>
    <w:rsid w:val="003C6E23"/>
    <w:rsid w:val="003C6EAB"/>
    <w:rsid w:val="003C6EC6"/>
    <w:rsid w:val="003C6F5F"/>
    <w:rsid w:val="003C6F8D"/>
    <w:rsid w:val="003C715B"/>
    <w:rsid w:val="003C7250"/>
    <w:rsid w:val="003C73D0"/>
    <w:rsid w:val="003C73D3"/>
    <w:rsid w:val="003C7429"/>
    <w:rsid w:val="003C750B"/>
    <w:rsid w:val="003C7516"/>
    <w:rsid w:val="003C764F"/>
    <w:rsid w:val="003C76FA"/>
    <w:rsid w:val="003C776D"/>
    <w:rsid w:val="003C77DF"/>
    <w:rsid w:val="003C784F"/>
    <w:rsid w:val="003C7869"/>
    <w:rsid w:val="003C7893"/>
    <w:rsid w:val="003C79D7"/>
    <w:rsid w:val="003C7B07"/>
    <w:rsid w:val="003C7BA4"/>
    <w:rsid w:val="003C7D56"/>
    <w:rsid w:val="003C7F66"/>
    <w:rsid w:val="003D007C"/>
    <w:rsid w:val="003D00EF"/>
    <w:rsid w:val="003D0339"/>
    <w:rsid w:val="003D0395"/>
    <w:rsid w:val="003D04A7"/>
    <w:rsid w:val="003D06C5"/>
    <w:rsid w:val="003D0721"/>
    <w:rsid w:val="003D0921"/>
    <w:rsid w:val="003D0C23"/>
    <w:rsid w:val="003D0C5D"/>
    <w:rsid w:val="003D0E91"/>
    <w:rsid w:val="003D0EC3"/>
    <w:rsid w:val="003D104B"/>
    <w:rsid w:val="003D10C0"/>
    <w:rsid w:val="003D11C5"/>
    <w:rsid w:val="003D1315"/>
    <w:rsid w:val="003D1390"/>
    <w:rsid w:val="003D1392"/>
    <w:rsid w:val="003D1434"/>
    <w:rsid w:val="003D1556"/>
    <w:rsid w:val="003D1562"/>
    <w:rsid w:val="003D17B5"/>
    <w:rsid w:val="003D17D2"/>
    <w:rsid w:val="003D181E"/>
    <w:rsid w:val="003D1995"/>
    <w:rsid w:val="003D1DCE"/>
    <w:rsid w:val="003D1EB8"/>
    <w:rsid w:val="003D27D4"/>
    <w:rsid w:val="003D2869"/>
    <w:rsid w:val="003D2B98"/>
    <w:rsid w:val="003D2BE2"/>
    <w:rsid w:val="003D2D33"/>
    <w:rsid w:val="003D31C4"/>
    <w:rsid w:val="003D3701"/>
    <w:rsid w:val="003D391A"/>
    <w:rsid w:val="003D3C30"/>
    <w:rsid w:val="003D3C51"/>
    <w:rsid w:val="003D3C88"/>
    <w:rsid w:val="003D3D3E"/>
    <w:rsid w:val="003D3DA7"/>
    <w:rsid w:val="003D3FCC"/>
    <w:rsid w:val="003D4176"/>
    <w:rsid w:val="003D4257"/>
    <w:rsid w:val="003D42C8"/>
    <w:rsid w:val="003D441F"/>
    <w:rsid w:val="003D44C5"/>
    <w:rsid w:val="003D45C6"/>
    <w:rsid w:val="003D46F6"/>
    <w:rsid w:val="003D471C"/>
    <w:rsid w:val="003D4754"/>
    <w:rsid w:val="003D47D6"/>
    <w:rsid w:val="003D4969"/>
    <w:rsid w:val="003D4973"/>
    <w:rsid w:val="003D49D4"/>
    <w:rsid w:val="003D4B16"/>
    <w:rsid w:val="003D4C67"/>
    <w:rsid w:val="003D4D33"/>
    <w:rsid w:val="003D4E14"/>
    <w:rsid w:val="003D4FB2"/>
    <w:rsid w:val="003D501B"/>
    <w:rsid w:val="003D5021"/>
    <w:rsid w:val="003D5298"/>
    <w:rsid w:val="003D54CC"/>
    <w:rsid w:val="003D5651"/>
    <w:rsid w:val="003D565B"/>
    <w:rsid w:val="003D56AF"/>
    <w:rsid w:val="003D5825"/>
    <w:rsid w:val="003D58AC"/>
    <w:rsid w:val="003D597A"/>
    <w:rsid w:val="003D5D12"/>
    <w:rsid w:val="003D5D6A"/>
    <w:rsid w:val="003D5EB1"/>
    <w:rsid w:val="003D5F19"/>
    <w:rsid w:val="003D5F22"/>
    <w:rsid w:val="003D5F81"/>
    <w:rsid w:val="003D602F"/>
    <w:rsid w:val="003D603A"/>
    <w:rsid w:val="003D6127"/>
    <w:rsid w:val="003D61CF"/>
    <w:rsid w:val="003D61FB"/>
    <w:rsid w:val="003D6281"/>
    <w:rsid w:val="003D6441"/>
    <w:rsid w:val="003D64B6"/>
    <w:rsid w:val="003D64CC"/>
    <w:rsid w:val="003D6753"/>
    <w:rsid w:val="003D68F7"/>
    <w:rsid w:val="003D695A"/>
    <w:rsid w:val="003D69EE"/>
    <w:rsid w:val="003D6A34"/>
    <w:rsid w:val="003D6BB5"/>
    <w:rsid w:val="003D6C22"/>
    <w:rsid w:val="003D6C87"/>
    <w:rsid w:val="003D6FB6"/>
    <w:rsid w:val="003D7195"/>
    <w:rsid w:val="003D7378"/>
    <w:rsid w:val="003D7481"/>
    <w:rsid w:val="003D75AF"/>
    <w:rsid w:val="003D7629"/>
    <w:rsid w:val="003D76DF"/>
    <w:rsid w:val="003D783C"/>
    <w:rsid w:val="003D7856"/>
    <w:rsid w:val="003D797D"/>
    <w:rsid w:val="003D7AC6"/>
    <w:rsid w:val="003D7B0F"/>
    <w:rsid w:val="003D7B6B"/>
    <w:rsid w:val="003D7BEC"/>
    <w:rsid w:val="003D7BF1"/>
    <w:rsid w:val="003D7C37"/>
    <w:rsid w:val="003D7CE2"/>
    <w:rsid w:val="003D7EF4"/>
    <w:rsid w:val="003E018B"/>
    <w:rsid w:val="003E0225"/>
    <w:rsid w:val="003E02BE"/>
    <w:rsid w:val="003E0387"/>
    <w:rsid w:val="003E03C3"/>
    <w:rsid w:val="003E04BD"/>
    <w:rsid w:val="003E0615"/>
    <w:rsid w:val="003E0629"/>
    <w:rsid w:val="003E083C"/>
    <w:rsid w:val="003E0849"/>
    <w:rsid w:val="003E0936"/>
    <w:rsid w:val="003E0DC7"/>
    <w:rsid w:val="003E0F9C"/>
    <w:rsid w:val="003E1090"/>
    <w:rsid w:val="003E11CC"/>
    <w:rsid w:val="003E1261"/>
    <w:rsid w:val="003E139C"/>
    <w:rsid w:val="003E1547"/>
    <w:rsid w:val="003E1591"/>
    <w:rsid w:val="003E15B1"/>
    <w:rsid w:val="003E18AB"/>
    <w:rsid w:val="003E19A6"/>
    <w:rsid w:val="003E1A67"/>
    <w:rsid w:val="003E1AE9"/>
    <w:rsid w:val="003E1E8C"/>
    <w:rsid w:val="003E1E95"/>
    <w:rsid w:val="003E1EBA"/>
    <w:rsid w:val="003E1F30"/>
    <w:rsid w:val="003E216E"/>
    <w:rsid w:val="003E2182"/>
    <w:rsid w:val="003E22F0"/>
    <w:rsid w:val="003E24F1"/>
    <w:rsid w:val="003E2579"/>
    <w:rsid w:val="003E2B25"/>
    <w:rsid w:val="003E2B56"/>
    <w:rsid w:val="003E2D5D"/>
    <w:rsid w:val="003E2DFB"/>
    <w:rsid w:val="003E32AA"/>
    <w:rsid w:val="003E3312"/>
    <w:rsid w:val="003E350D"/>
    <w:rsid w:val="003E385A"/>
    <w:rsid w:val="003E38B0"/>
    <w:rsid w:val="003E38C1"/>
    <w:rsid w:val="003E3952"/>
    <w:rsid w:val="003E39C7"/>
    <w:rsid w:val="003E39D7"/>
    <w:rsid w:val="003E3AD9"/>
    <w:rsid w:val="003E3BF9"/>
    <w:rsid w:val="003E3EB0"/>
    <w:rsid w:val="003E4124"/>
    <w:rsid w:val="003E41D6"/>
    <w:rsid w:val="003E43B4"/>
    <w:rsid w:val="003E45A7"/>
    <w:rsid w:val="003E4909"/>
    <w:rsid w:val="003E4969"/>
    <w:rsid w:val="003E4A40"/>
    <w:rsid w:val="003E4D87"/>
    <w:rsid w:val="003E4E15"/>
    <w:rsid w:val="003E4E62"/>
    <w:rsid w:val="003E4FCC"/>
    <w:rsid w:val="003E4FF7"/>
    <w:rsid w:val="003E518E"/>
    <w:rsid w:val="003E51F4"/>
    <w:rsid w:val="003E5331"/>
    <w:rsid w:val="003E53ED"/>
    <w:rsid w:val="003E550E"/>
    <w:rsid w:val="003E5656"/>
    <w:rsid w:val="003E56A4"/>
    <w:rsid w:val="003E57AA"/>
    <w:rsid w:val="003E597C"/>
    <w:rsid w:val="003E59DF"/>
    <w:rsid w:val="003E5B91"/>
    <w:rsid w:val="003E5C3F"/>
    <w:rsid w:val="003E5D2F"/>
    <w:rsid w:val="003E5D7F"/>
    <w:rsid w:val="003E5DCB"/>
    <w:rsid w:val="003E5E3E"/>
    <w:rsid w:val="003E5EB2"/>
    <w:rsid w:val="003E5EDD"/>
    <w:rsid w:val="003E5F1F"/>
    <w:rsid w:val="003E5F39"/>
    <w:rsid w:val="003E6090"/>
    <w:rsid w:val="003E60AB"/>
    <w:rsid w:val="003E633B"/>
    <w:rsid w:val="003E6360"/>
    <w:rsid w:val="003E654A"/>
    <w:rsid w:val="003E65D3"/>
    <w:rsid w:val="003E664C"/>
    <w:rsid w:val="003E6724"/>
    <w:rsid w:val="003E6AD0"/>
    <w:rsid w:val="003E6B2A"/>
    <w:rsid w:val="003E6C92"/>
    <w:rsid w:val="003E6D11"/>
    <w:rsid w:val="003E6D19"/>
    <w:rsid w:val="003E7192"/>
    <w:rsid w:val="003E7208"/>
    <w:rsid w:val="003E72DD"/>
    <w:rsid w:val="003E7505"/>
    <w:rsid w:val="003E7514"/>
    <w:rsid w:val="003E7528"/>
    <w:rsid w:val="003E753F"/>
    <w:rsid w:val="003E75FF"/>
    <w:rsid w:val="003E78DA"/>
    <w:rsid w:val="003E7A12"/>
    <w:rsid w:val="003E7A1E"/>
    <w:rsid w:val="003E7CBC"/>
    <w:rsid w:val="003E7FEE"/>
    <w:rsid w:val="003F0001"/>
    <w:rsid w:val="003F03E5"/>
    <w:rsid w:val="003F0438"/>
    <w:rsid w:val="003F05C4"/>
    <w:rsid w:val="003F061A"/>
    <w:rsid w:val="003F079C"/>
    <w:rsid w:val="003F07BB"/>
    <w:rsid w:val="003F092F"/>
    <w:rsid w:val="003F09D6"/>
    <w:rsid w:val="003F0A8B"/>
    <w:rsid w:val="003F0C3B"/>
    <w:rsid w:val="003F0D27"/>
    <w:rsid w:val="003F0D5E"/>
    <w:rsid w:val="003F0DBD"/>
    <w:rsid w:val="003F0DF0"/>
    <w:rsid w:val="003F1105"/>
    <w:rsid w:val="003F120A"/>
    <w:rsid w:val="003F1221"/>
    <w:rsid w:val="003F13D2"/>
    <w:rsid w:val="003F15CB"/>
    <w:rsid w:val="003F1922"/>
    <w:rsid w:val="003F1935"/>
    <w:rsid w:val="003F1A13"/>
    <w:rsid w:val="003F1B84"/>
    <w:rsid w:val="003F1C30"/>
    <w:rsid w:val="003F1CE7"/>
    <w:rsid w:val="003F1D07"/>
    <w:rsid w:val="003F1DF3"/>
    <w:rsid w:val="003F1E69"/>
    <w:rsid w:val="003F1F42"/>
    <w:rsid w:val="003F1FA5"/>
    <w:rsid w:val="003F1FF3"/>
    <w:rsid w:val="003F2233"/>
    <w:rsid w:val="003F2362"/>
    <w:rsid w:val="003F26C8"/>
    <w:rsid w:val="003F26CC"/>
    <w:rsid w:val="003F27CA"/>
    <w:rsid w:val="003F27EB"/>
    <w:rsid w:val="003F27F9"/>
    <w:rsid w:val="003F284D"/>
    <w:rsid w:val="003F2956"/>
    <w:rsid w:val="003F2C21"/>
    <w:rsid w:val="003F2C6F"/>
    <w:rsid w:val="003F2C81"/>
    <w:rsid w:val="003F2DB8"/>
    <w:rsid w:val="003F2DFB"/>
    <w:rsid w:val="003F2F0A"/>
    <w:rsid w:val="003F3076"/>
    <w:rsid w:val="003F3135"/>
    <w:rsid w:val="003F3356"/>
    <w:rsid w:val="003F3451"/>
    <w:rsid w:val="003F352D"/>
    <w:rsid w:val="003F3823"/>
    <w:rsid w:val="003F39F2"/>
    <w:rsid w:val="003F3C9F"/>
    <w:rsid w:val="003F3D2C"/>
    <w:rsid w:val="003F3DF4"/>
    <w:rsid w:val="003F3E42"/>
    <w:rsid w:val="003F43F5"/>
    <w:rsid w:val="003F47BC"/>
    <w:rsid w:val="003F48D6"/>
    <w:rsid w:val="003F4ACA"/>
    <w:rsid w:val="003F4C22"/>
    <w:rsid w:val="003F4CD6"/>
    <w:rsid w:val="003F4F01"/>
    <w:rsid w:val="003F4F44"/>
    <w:rsid w:val="003F4F99"/>
    <w:rsid w:val="003F4FF0"/>
    <w:rsid w:val="003F5119"/>
    <w:rsid w:val="003F522B"/>
    <w:rsid w:val="003F524A"/>
    <w:rsid w:val="003F5348"/>
    <w:rsid w:val="003F5461"/>
    <w:rsid w:val="003F546C"/>
    <w:rsid w:val="003F5514"/>
    <w:rsid w:val="003F5519"/>
    <w:rsid w:val="003F5706"/>
    <w:rsid w:val="003F5894"/>
    <w:rsid w:val="003F5929"/>
    <w:rsid w:val="003F5C26"/>
    <w:rsid w:val="003F5CFF"/>
    <w:rsid w:val="003F5D68"/>
    <w:rsid w:val="003F5EEA"/>
    <w:rsid w:val="003F5EF6"/>
    <w:rsid w:val="003F60A1"/>
    <w:rsid w:val="003F61C6"/>
    <w:rsid w:val="003F6338"/>
    <w:rsid w:val="003F63FD"/>
    <w:rsid w:val="003F66F3"/>
    <w:rsid w:val="003F68C7"/>
    <w:rsid w:val="003F6920"/>
    <w:rsid w:val="003F693F"/>
    <w:rsid w:val="003F6A63"/>
    <w:rsid w:val="003F6B05"/>
    <w:rsid w:val="003F6BEB"/>
    <w:rsid w:val="003F6CB5"/>
    <w:rsid w:val="003F6D59"/>
    <w:rsid w:val="003F6E2F"/>
    <w:rsid w:val="003F6E65"/>
    <w:rsid w:val="003F6FCF"/>
    <w:rsid w:val="003F6FDD"/>
    <w:rsid w:val="003F71E0"/>
    <w:rsid w:val="003F71F2"/>
    <w:rsid w:val="003F7243"/>
    <w:rsid w:val="003F7291"/>
    <w:rsid w:val="003F7404"/>
    <w:rsid w:val="003F742B"/>
    <w:rsid w:val="003F74FE"/>
    <w:rsid w:val="003F76BA"/>
    <w:rsid w:val="003F76C5"/>
    <w:rsid w:val="003F772D"/>
    <w:rsid w:val="003F7796"/>
    <w:rsid w:val="003F788A"/>
    <w:rsid w:val="003F7A17"/>
    <w:rsid w:val="003F7AD4"/>
    <w:rsid w:val="003F7B03"/>
    <w:rsid w:val="003F7B31"/>
    <w:rsid w:val="003F7DA8"/>
    <w:rsid w:val="004002A9"/>
    <w:rsid w:val="004002DF"/>
    <w:rsid w:val="00400347"/>
    <w:rsid w:val="00400490"/>
    <w:rsid w:val="004007F5"/>
    <w:rsid w:val="00400824"/>
    <w:rsid w:val="00400904"/>
    <w:rsid w:val="00400F41"/>
    <w:rsid w:val="00401149"/>
    <w:rsid w:val="00401169"/>
    <w:rsid w:val="004011D4"/>
    <w:rsid w:val="0040140A"/>
    <w:rsid w:val="0040159D"/>
    <w:rsid w:val="0040165A"/>
    <w:rsid w:val="0040170B"/>
    <w:rsid w:val="004018B8"/>
    <w:rsid w:val="0040191F"/>
    <w:rsid w:val="00401B99"/>
    <w:rsid w:val="00401C66"/>
    <w:rsid w:val="00401D3C"/>
    <w:rsid w:val="00401D57"/>
    <w:rsid w:val="004020FB"/>
    <w:rsid w:val="0040210F"/>
    <w:rsid w:val="0040282A"/>
    <w:rsid w:val="0040299F"/>
    <w:rsid w:val="004029C1"/>
    <w:rsid w:val="00402B40"/>
    <w:rsid w:val="00402DC2"/>
    <w:rsid w:val="00403012"/>
    <w:rsid w:val="0040313F"/>
    <w:rsid w:val="00403163"/>
    <w:rsid w:val="004031A5"/>
    <w:rsid w:val="004032DB"/>
    <w:rsid w:val="00403323"/>
    <w:rsid w:val="0040332B"/>
    <w:rsid w:val="0040345B"/>
    <w:rsid w:val="00403573"/>
    <w:rsid w:val="004037C3"/>
    <w:rsid w:val="0040388C"/>
    <w:rsid w:val="004038C7"/>
    <w:rsid w:val="00403907"/>
    <w:rsid w:val="00403B90"/>
    <w:rsid w:val="00403BEA"/>
    <w:rsid w:val="00403C21"/>
    <w:rsid w:val="004041C4"/>
    <w:rsid w:val="00404361"/>
    <w:rsid w:val="00404515"/>
    <w:rsid w:val="00404589"/>
    <w:rsid w:val="0040460D"/>
    <w:rsid w:val="0040475F"/>
    <w:rsid w:val="004047FD"/>
    <w:rsid w:val="004048AF"/>
    <w:rsid w:val="00404920"/>
    <w:rsid w:val="00404A39"/>
    <w:rsid w:val="00404A6B"/>
    <w:rsid w:val="00404AC0"/>
    <w:rsid w:val="00404B55"/>
    <w:rsid w:val="00404CDD"/>
    <w:rsid w:val="00404FD4"/>
    <w:rsid w:val="00405110"/>
    <w:rsid w:val="00405122"/>
    <w:rsid w:val="00405144"/>
    <w:rsid w:val="00405160"/>
    <w:rsid w:val="004055D0"/>
    <w:rsid w:val="004059D6"/>
    <w:rsid w:val="00405CCC"/>
    <w:rsid w:val="00405D6D"/>
    <w:rsid w:val="00405DA2"/>
    <w:rsid w:val="00405E04"/>
    <w:rsid w:val="00405E5B"/>
    <w:rsid w:val="00405F65"/>
    <w:rsid w:val="00406065"/>
    <w:rsid w:val="0040632D"/>
    <w:rsid w:val="0040634E"/>
    <w:rsid w:val="004064B6"/>
    <w:rsid w:val="00406555"/>
    <w:rsid w:val="004065AD"/>
    <w:rsid w:val="004065C2"/>
    <w:rsid w:val="00406626"/>
    <w:rsid w:val="00406760"/>
    <w:rsid w:val="00406A65"/>
    <w:rsid w:val="00406A69"/>
    <w:rsid w:val="00406AC2"/>
    <w:rsid w:val="00406D7C"/>
    <w:rsid w:val="00406F27"/>
    <w:rsid w:val="00406F42"/>
    <w:rsid w:val="004071B6"/>
    <w:rsid w:val="0040733B"/>
    <w:rsid w:val="00407615"/>
    <w:rsid w:val="00407DD2"/>
    <w:rsid w:val="00407EA1"/>
    <w:rsid w:val="00407EE5"/>
    <w:rsid w:val="00407F75"/>
    <w:rsid w:val="00410371"/>
    <w:rsid w:val="004103A3"/>
    <w:rsid w:val="00410487"/>
    <w:rsid w:val="004104AD"/>
    <w:rsid w:val="0041078D"/>
    <w:rsid w:val="00410A55"/>
    <w:rsid w:val="00410AB3"/>
    <w:rsid w:val="00410ADE"/>
    <w:rsid w:val="00410B8F"/>
    <w:rsid w:val="0041103F"/>
    <w:rsid w:val="0041107E"/>
    <w:rsid w:val="00411126"/>
    <w:rsid w:val="004111B7"/>
    <w:rsid w:val="00411261"/>
    <w:rsid w:val="00411402"/>
    <w:rsid w:val="00411418"/>
    <w:rsid w:val="004115B4"/>
    <w:rsid w:val="00411AC0"/>
    <w:rsid w:val="00411B12"/>
    <w:rsid w:val="00411B36"/>
    <w:rsid w:val="00411CC7"/>
    <w:rsid w:val="00411EA6"/>
    <w:rsid w:val="00412009"/>
    <w:rsid w:val="0041205D"/>
    <w:rsid w:val="00412262"/>
    <w:rsid w:val="004122B8"/>
    <w:rsid w:val="00412335"/>
    <w:rsid w:val="00412356"/>
    <w:rsid w:val="004124BC"/>
    <w:rsid w:val="004125C7"/>
    <w:rsid w:val="00412649"/>
    <w:rsid w:val="0041272B"/>
    <w:rsid w:val="004127BB"/>
    <w:rsid w:val="004127FD"/>
    <w:rsid w:val="0041285C"/>
    <w:rsid w:val="004129FB"/>
    <w:rsid w:val="00412C2C"/>
    <w:rsid w:val="00412C68"/>
    <w:rsid w:val="00412F3D"/>
    <w:rsid w:val="00412FC7"/>
    <w:rsid w:val="00413178"/>
    <w:rsid w:val="004135BF"/>
    <w:rsid w:val="004137E0"/>
    <w:rsid w:val="00413885"/>
    <w:rsid w:val="004138A8"/>
    <w:rsid w:val="0041393F"/>
    <w:rsid w:val="00413998"/>
    <w:rsid w:val="004139C9"/>
    <w:rsid w:val="00413F67"/>
    <w:rsid w:val="004140C7"/>
    <w:rsid w:val="0041418F"/>
    <w:rsid w:val="0041422C"/>
    <w:rsid w:val="004143CA"/>
    <w:rsid w:val="004143F9"/>
    <w:rsid w:val="0041453A"/>
    <w:rsid w:val="004147C2"/>
    <w:rsid w:val="00414944"/>
    <w:rsid w:val="004149AA"/>
    <w:rsid w:val="00414A32"/>
    <w:rsid w:val="00414A40"/>
    <w:rsid w:val="00414A72"/>
    <w:rsid w:val="00414D27"/>
    <w:rsid w:val="00414DD1"/>
    <w:rsid w:val="00414E29"/>
    <w:rsid w:val="00414EC1"/>
    <w:rsid w:val="00414EF7"/>
    <w:rsid w:val="00414F91"/>
    <w:rsid w:val="004150AE"/>
    <w:rsid w:val="00415180"/>
    <w:rsid w:val="004151B7"/>
    <w:rsid w:val="0041529B"/>
    <w:rsid w:val="004153BA"/>
    <w:rsid w:val="00415409"/>
    <w:rsid w:val="00415486"/>
    <w:rsid w:val="004154EA"/>
    <w:rsid w:val="0041550D"/>
    <w:rsid w:val="00415520"/>
    <w:rsid w:val="00415AA5"/>
    <w:rsid w:val="00415B7B"/>
    <w:rsid w:val="00415DF4"/>
    <w:rsid w:val="00415F23"/>
    <w:rsid w:val="00416213"/>
    <w:rsid w:val="0041635F"/>
    <w:rsid w:val="0041649B"/>
    <w:rsid w:val="00416502"/>
    <w:rsid w:val="004166FD"/>
    <w:rsid w:val="00416762"/>
    <w:rsid w:val="004167E0"/>
    <w:rsid w:val="00416AD0"/>
    <w:rsid w:val="00416BC6"/>
    <w:rsid w:val="00416C2F"/>
    <w:rsid w:val="00416D26"/>
    <w:rsid w:val="00416E8C"/>
    <w:rsid w:val="00416ED5"/>
    <w:rsid w:val="0041701E"/>
    <w:rsid w:val="004171BE"/>
    <w:rsid w:val="0041724E"/>
    <w:rsid w:val="004172CC"/>
    <w:rsid w:val="00417322"/>
    <w:rsid w:val="004174BF"/>
    <w:rsid w:val="00417535"/>
    <w:rsid w:val="0041755F"/>
    <w:rsid w:val="004175A2"/>
    <w:rsid w:val="004175EF"/>
    <w:rsid w:val="00417A6C"/>
    <w:rsid w:val="00417B2B"/>
    <w:rsid w:val="00417BA5"/>
    <w:rsid w:val="00417CA0"/>
    <w:rsid w:val="00417CB3"/>
    <w:rsid w:val="00417CDD"/>
    <w:rsid w:val="00417DE4"/>
    <w:rsid w:val="00417EB0"/>
    <w:rsid w:val="00417F14"/>
    <w:rsid w:val="004205F2"/>
    <w:rsid w:val="004205F4"/>
    <w:rsid w:val="00420AE0"/>
    <w:rsid w:val="00420BB5"/>
    <w:rsid w:val="00420C64"/>
    <w:rsid w:val="00420F7B"/>
    <w:rsid w:val="00420F87"/>
    <w:rsid w:val="00420FA7"/>
    <w:rsid w:val="00421316"/>
    <w:rsid w:val="00421351"/>
    <w:rsid w:val="004213FB"/>
    <w:rsid w:val="004214B1"/>
    <w:rsid w:val="004215CB"/>
    <w:rsid w:val="004215EF"/>
    <w:rsid w:val="00421629"/>
    <w:rsid w:val="004216E4"/>
    <w:rsid w:val="00421763"/>
    <w:rsid w:val="00421767"/>
    <w:rsid w:val="00421782"/>
    <w:rsid w:val="00421987"/>
    <w:rsid w:val="00421AB2"/>
    <w:rsid w:val="00421C52"/>
    <w:rsid w:val="0042231C"/>
    <w:rsid w:val="0042233B"/>
    <w:rsid w:val="00422341"/>
    <w:rsid w:val="00422500"/>
    <w:rsid w:val="00422702"/>
    <w:rsid w:val="00422787"/>
    <w:rsid w:val="00422984"/>
    <w:rsid w:val="004229A6"/>
    <w:rsid w:val="004229D0"/>
    <w:rsid w:val="00422A0D"/>
    <w:rsid w:val="00422A97"/>
    <w:rsid w:val="00422B20"/>
    <w:rsid w:val="00422DB7"/>
    <w:rsid w:val="00422E84"/>
    <w:rsid w:val="00422F8F"/>
    <w:rsid w:val="0042303C"/>
    <w:rsid w:val="00423042"/>
    <w:rsid w:val="004232E0"/>
    <w:rsid w:val="00423404"/>
    <w:rsid w:val="004234C8"/>
    <w:rsid w:val="00423767"/>
    <w:rsid w:val="004238BA"/>
    <w:rsid w:val="00423999"/>
    <w:rsid w:val="00423A1C"/>
    <w:rsid w:val="00423BB8"/>
    <w:rsid w:val="004240AE"/>
    <w:rsid w:val="00424165"/>
    <w:rsid w:val="00424176"/>
    <w:rsid w:val="004246B5"/>
    <w:rsid w:val="00424775"/>
    <w:rsid w:val="004247BE"/>
    <w:rsid w:val="004248DA"/>
    <w:rsid w:val="00424994"/>
    <w:rsid w:val="00424C2C"/>
    <w:rsid w:val="00425143"/>
    <w:rsid w:val="0042520D"/>
    <w:rsid w:val="00425345"/>
    <w:rsid w:val="00425867"/>
    <w:rsid w:val="00425D86"/>
    <w:rsid w:val="0042626F"/>
    <w:rsid w:val="004262E7"/>
    <w:rsid w:val="00426650"/>
    <w:rsid w:val="004266B6"/>
    <w:rsid w:val="004267A9"/>
    <w:rsid w:val="00426913"/>
    <w:rsid w:val="00426942"/>
    <w:rsid w:val="00426B3A"/>
    <w:rsid w:val="00426B60"/>
    <w:rsid w:val="00426D94"/>
    <w:rsid w:val="00426DD6"/>
    <w:rsid w:val="00426E08"/>
    <w:rsid w:val="00426E6D"/>
    <w:rsid w:val="00426FC8"/>
    <w:rsid w:val="004270FD"/>
    <w:rsid w:val="0042713A"/>
    <w:rsid w:val="004272E0"/>
    <w:rsid w:val="004272E6"/>
    <w:rsid w:val="0042736B"/>
    <w:rsid w:val="00427565"/>
    <w:rsid w:val="00427730"/>
    <w:rsid w:val="00427754"/>
    <w:rsid w:val="004278E7"/>
    <w:rsid w:val="00427959"/>
    <w:rsid w:val="004279EA"/>
    <w:rsid w:val="00427A2E"/>
    <w:rsid w:val="00427A63"/>
    <w:rsid w:val="00427AB6"/>
    <w:rsid w:val="00427C8D"/>
    <w:rsid w:val="00427E3D"/>
    <w:rsid w:val="00427E76"/>
    <w:rsid w:val="004301F9"/>
    <w:rsid w:val="004302CE"/>
    <w:rsid w:val="00430399"/>
    <w:rsid w:val="004303BB"/>
    <w:rsid w:val="004303C1"/>
    <w:rsid w:val="004306C8"/>
    <w:rsid w:val="004306D4"/>
    <w:rsid w:val="004307EC"/>
    <w:rsid w:val="004309F9"/>
    <w:rsid w:val="00430B02"/>
    <w:rsid w:val="00430B8F"/>
    <w:rsid w:val="00430C02"/>
    <w:rsid w:val="00430C6E"/>
    <w:rsid w:val="00430C78"/>
    <w:rsid w:val="00430DF6"/>
    <w:rsid w:val="00430F0B"/>
    <w:rsid w:val="00430FA2"/>
    <w:rsid w:val="00430FDC"/>
    <w:rsid w:val="00430FF6"/>
    <w:rsid w:val="00431031"/>
    <w:rsid w:val="0043105C"/>
    <w:rsid w:val="004315EA"/>
    <w:rsid w:val="00431755"/>
    <w:rsid w:val="00431981"/>
    <w:rsid w:val="00431A1F"/>
    <w:rsid w:val="00431C02"/>
    <w:rsid w:val="00431CCC"/>
    <w:rsid w:val="00431CF9"/>
    <w:rsid w:val="00431DA4"/>
    <w:rsid w:val="00431EAB"/>
    <w:rsid w:val="0043202C"/>
    <w:rsid w:val="004321E0"/>
    <w:rsid w:val="004321E5"/>
    <w:rsid w:val="00432330"/>
    <w:rsid w:val="00432346"/>
    <w:rsid w:val="00432766"/>
    <w:rsid w:val="004327B9"/>
    <w:rsid w:val="004328D5"/>
    <w:rsid w:val="00432C52"/>
    <w:rsid w:val="00432C6E"/>
    <w:rsid w:val="00432C72"/>
    <w:rsid w:val="00432D1D"/>
    <w:rsid w:val="00432D8E"/>
    <w:rsid w:val="00432E38"/>
    <w:rsid w:val="00432E5A"/>
    <w:rsid w:val="00432E81"/>
    <w:rsid w:val="00432F70"/>
    <w:rsid w:val="0043311F"/>
    <w:rsid w:val="00433122"/>
    <w:rsid w:val="00433130"/>
    <w:rsid w:val="00433163"/>
    <w:rsid w:val="0043327F"/>
    <w:rsid w:val="004334A2"/>
    <w:rsid w:val="004335CF"/>
    <w:rsid w:val="00433A63"/>
    <w:rsid w:val="00433BF3"/>
    <w:rsid w:val="00433C77"/>
    <w:rsid w:val="00433CF2"/>
    <w:rsid w:val="00433DE0"/>
    <w:rsid w:val="00433FF3"/>
    <w:rsid w:val="00433FFF"/>
    <w:rsid w:val="004341FB"/>
    <w:rsid w:val="00434241"/>
    <w:rsid w:val="0043424F"/>
    <w:rsid w:val="00434255"/>
    <w:rsid w:val="004343F4"/>
    <w:rsid w:val="004344C4"/>
    <w:rsid w:val="004345CA"/>
    <w:rsid w:val="004346C7"/>
    <w:rsid w:val="00434E29"/>
    <w:rsid w:val="00435045"/>
    <w:rsid w:val="004350FB"/>
    <w:rsid w:val="00435188"/>
    <w:rsid w:val="00435402"/>
    <w:rsid w:val="00435558"/>
    <w:rsid w:val="004356E8"/>
    <w:rsid w:val="004358FC"/>
    <w:rsid w:val="00435968"/>
    <w:rsid w:val="004359FC"/>
    <w:rsid w:val="00435BA4"/>
    <w:rsid w:val="00435D7D"/>
    <w:rsid w:val="00435E60"/>
    <w:rsid w:val="00435EBE"/>
    <w:rsid w:val="004360A8"/>
    <w:rsid w:val="00436409"/>
    <w:rsid w:val="00436565"/>
    <w:rsid w:val="00436587"/>
    <w:rsid w:val="0043658D"/>
    <w:rsid w:val="00436637"/>
    <w:rsid w:val="0043680F"/>
    <w:rsid w:val="0043683C"/>
    <w:rsid w:val="00436AC3"/>
    <w:rsid w:val="00436D2F"/>
    <w:rsid w:val="00436DA1"/>
    <w:rsid w:val="00436DA6"/>
    <w:rsid w:val="00436E61"/>
    <w:rsid w:val="00436EE3"/>
    <w:rsid w:val="00436FD7"/>
    <w:rsid w:val="00437071"/>
    <w:rsid w:val="00437082"/>
    <w:rsid w:val="0043733D"/>
    <w:rsid w:val="00437613"/>
    <w:rsid w:val="004379D4"/>
    <w:rsid w:val="004379EA"/>
    <w:rsid w:val="00437C84"/>
    <w:rsid w:val="00437CAF"/>
    <w:rsid w:val="00437DB0"/>
    <w:rsid w:val="00440201"/>
    <w:rsid w:val="00440543"/>
    <w:rsid w:val="004405AB"/>
    <w:rsid w:val="00440681"/>
    <w:rsid w:val="00440950"/>
    <w:rsid w:val="004409A9"/>
    <w:rsid w:val="00440A03"/>
    <w:rsid w:val="00440BDA"/>
    <w:rsid w:val="00440E97"/>
    <w:rsid w:val="00440F86"/>
    <w:rsid w:val="004413DF"/>
    <w:rsid w:val="004414F7"/>
    <w:rsid w:val="00441539"/>
    <w:rsid w:val="00441713"/>
    <w:rsid w:val="004417A1"/>
    <w:rsid w:val="004417E2"/>
    <w:rsid w:val="00441BDF"/>
    <w:rsid w:val="00441C2B"/>
    <w:rsid w:val="00441C42"/>
    <w:rsid w:val="00441E84"/>
    <w:rsid w:val="00441FD9"/>
    <w:rsid w:val="004421F4"/>
    <w:rsid w:val="00442318"/>
    <w:rsid w:val="004424BA"/>
    <w:rsid w:val="0044265C"/>
    <w:rsid w:val="00442B24"/>
    <w:rsid w:val="00442BBD"/>
    <w:rsid w:val="00442F97"/>
    <w:rsid w:val="004430BF"/>
    <w:rsid w:val="00443251"/>
    <w:rsid w:val="00443265"/>
    <w:rsid w:val="0044330A"/>
    <w:rsid w:val="0044333E"/>
    <w:rsid w:val="00443427"/>
    <w:rsid w:val="004435C6"/>
    <w:rsid w:val="004436A5"/>
    <w:rsid w:val="004437CA"/>
    <w:rsid w:val="0044385B"/>
    <w:rsid w:val="00443A0C"/>
    <w:rsid w:val="00443A33"/>
    <w:rsid w:val="00443C2C"/>
    <w:rsid w:val="00443DBA"/>
    <w:rsid w:val="00443E65"/>
    <w:rsid w:val="00443E67"/>
    <w:rsid w:val="00443E94"/>
    <w:rsid w:val="00443F05"/>
    <w:rsid w:val="00443F33"/>
    <w:rsid w:val="00443FC1"/>
    <w:rsid w:val="00444119"/>
    <w:rsid w:val="004441F9"/>
    <w:rsid w:val="0044420B"/>
    <w:rsid w:val="0044436D"/>
    <w:rsid w:val="0044447E"/>
    <w:rsid w:val="0044473F"/>
    <w:rsid w:val="00444781"/>
    <w:rsid w:val="00444870"/>
    <w:rsid w:val="00444874"/>
    <w:rsid w:val="0044492E"/>
    <w:rsid w:val="004449FF"/>
    <w:rsid w:val="00444A48"/>
    <w:rsid w:val="00444C85"/>
    <w:rsid w:val="00444D41"/>
    <w:rsid w:val="00444DDA"/>
    <w:rsid w:val="00444E55"/>
    <w:rsid w:val="004451A1"/>
    <w:rsid w:val="00445200"/>
    <w:rsid w:val="00445265"/>
    <w:rsid w:val="004453A4"/>
    <w:rsid w:val="004454DD"/>
    <w:rsid w:val="0044553A"/>
    <w:rsid w:val="00445594"/>
    <w:rsid w:val="00445AE6"/>
    <w:rsid w:val="00445C35"/>
    <w:rsid w:val="00445D56"/>
    <w:rsid w:val="00445DCB"/>
    <w:rsid w:val="00445E70"/>
    <w:rsid w:val="00446099"/>
    <w:rsid w:val="004460CE"/>
    <w:rsid w:val="00446278"/>
    <w:rsid w:val="00446287"/>
    <w:rsid w:val="00446355"/>
    <w:rsid w:val="004463AC"/>
    <w:rsid w:val="004466B9"/>
    <w:rsid w:val="0044673D"/>
    <w:rsid w:val="004468EE"/>
    <w:rsid w:val="00446996"/>
    <w:rsid w:val="004469BA"/>
    <w:rsid w:val="00446A73"/>
    <w:rsid w:val="00446CAF"/>
    <w:rsid w:val="00446D56"/>
    <w:rsid w:val="00446EC8"/>
    <w:rsid w:val="00446F09"/>
    <w:rsid w:val="00447127"/>
    <w:rsid w:val="0044719C"/>
    <w:rsid w:val="00447259"/>
    <w:rsid w:val="00447305"/>
    <w:rsid w:val="0044737B"/>
    <w:rsid w:val="00447681"/>
    <w:rsid w:val="00447819"/>
    <w:rsid w:val="00447990"/>
    <w:rsid w:val="00447A26"/>
    <w:rsid w:val="00447A3C"/>
    <w:rsid w:val="00447B02"/>
    <w:rsid w:val="00447B66"/>
    <w:rsid w:val="00447C10"/>
    <w:rsid w:val="00447E57"/>
    <w:rsid w:val="0045007C"/>
    <w:rsid w:val="004500A4"/>
    <w:rsid w:val="00450129"/>
    <w:rsid w:val="00450363"/>
    <w:rsid w:val="00450510"/>
    <w:rsid w:val="004505C5"/>
    <w:rsid w:val="004506DC"/>
    <w:rsid w:val="0045071D"/>
    <w:rsid w:val="004507ED"/>
    <w:rsid w:val="004507F3"/>
    <w:rsid w:val="00450837"/>
    <w:rsid w:val="004508F7"/>
    <w:rsid w:val="00450AB5"/>
    <w:rsid w:val="00450DAA"/>
    <w:rsid w:val="00450ED7"/>
    <w:rsid w:val="00451005"/>
    <w:rsid w:val="004510C8"/>
    <w:rsid w:val="00451379"/>
    <w:rsid w:val="0045139B"/>
    <w:rsid w:val="00451478"/>
    <w:rsid w:val="00451496"/>
    <w:rsid w:val="004514A4"/>
    <w:rsid w:val="00451514"/>
    <w:rsid w:val="00451542"/>
    <w:rsid w:val="004516C4"/>
    <w:rsid w:val="004516F5"/>
    <w:rsid w:val="00451797"/>
    <w:rsid w:val="004517ED"/>
    <w:rsid w:val="00451817"/>
    <w:rsid w:val="004519E0"/>
    <w:rsid w:val="004519E6"/>
    <w:rsid w:val="00451A6A"/>
    <w:rsid w:val="00451C58"/>
    <w:rsid w:val="00451CBE"/>
    <w:rsid w:val="00451D07"/>
    <w:rsid w:val="00451D1C"/>
    <w:rsid w:val="00451E19"/>
    <w:rsid w:val="00451EBD"/>
    <w:rsid w:val="00451F56"/>
    <w:rsid w:val="00452024"/>
    <w:rsid w:val="004520BA"/>
    <w:rsid w:val="004522A6"/>
    <w:rsid w:val="0045247D"/>
    <w:rsid w:val="00452665"/>
    <w:rsid w:val="00452865"/>
    <w:rsid w:val="00452B0C"/>
    <w:rsid w:val="00452DE2"/>
    <w:rsid w:val="00452E08"/>
    <w:rsid w:val="00452ED7"/>
    <w:rsid w:val="00452F71"/>
    <w:rsid w:val="00452FA7"/>
    <w:rsid w:val="00453082"/>
    <w:rsid w:val="004530C8"/>
    <w:rsid w:val="0045335A"/>
    <w:rsid w:val="0045354B"/>
    <w:rsid w:val="0045359B"/>
    <w:rsid w:val="004535B8"/>
    <w:rsid w:val="0045375F"/>
    <w:rsid w:val="0045376B"/>
    <w:rsid w:val="00453959"/>
    <w:rsid w:val="00453BCE"/>
    <w:rsid w:val="00453DC5"/>
    <w:rsid w:val="00453EDC"/>
    <w:rsid w:val="00453F2F"/>
    <w:rsid w:val="00453F3E"/>
    <w:rsid w:val="00453F61"/>
    <w:rsid w:val="00454060"/>
    <w:rsid w:val="00454242"/>
    <w:rsid w:val="00454306"/>
    <w:rsid w:val="00454551"/>
    <w:rsid w:val="00454668"/>
    <w:rsid w:val="00454730"/>
    <w:rsid w:val="00454AD7"/>
    <w:rsid w:val="00454B5A"/>
    <w:rsid w:val="00454B78"/>
    <w:rsid w:val="00454DF9"/>
    <w:rsid w:val="00454E32"/>
    <w:rsid w:val="00455016"/>
    <w:rsid w:val="00455151"/>
    <w:rsid w:val="004551F2"/>
    <w:rsid w:val="0045521D"/>
    <w:rsid w:val="00455646"/>
    <w:rsid w:val="004556FA"/>
    <w:rsid w:val="004559CE"/>
    <w:rsid w:val="00455B33"/>
    <w:rsid w:val="00455B4C"/>
    <w:rsid w:val="00455B5B"/>
    <w:rsid w:val="00455B9D"/>
    <w:rsid w:val="00455BE4"/>
    <w:rsid w:val="00455EB9"/>
    <w:rsid w:val="0045617A"/>
    <w:rsid w:val="004561AB"/>
    <w:rsid w:val="00456373"/>
    <w:rsid w:val="004563F0"/>
    <w:rsid w:val="00456727"/>
    <w:rsid w:val="004567DA"/>
    <w:rsid w:val="004569DC"/>
    <w:rsid w:val="00456A30"/>
    <w:rsid w:val="00456CC9"/>
    <w:rsid w:val="00456D1B"/>
    <w:rsid w:val="00456D25"/>
    <w:rsid w:val="00456D9B"/>
    <w:rsid w:val="00456E2B"/>
    <w:rsid w:val="00456E58"/>
    <w:rsid w:val="00456EEE"/>
    <w:rsid w:val="00456F93"/>
    <w:rsid w:val="00456FB2"/>
    <w:rsid w:val="0045705E"/>
    <w:rsid w:val="004570B1"/>
    <w:rsid w:val="004570B3"/>
    <w:rsid w:val="00457127"/>
    <w:rsid w:val="0045712D"/>
    <w:rsid w:val="00457136"/>
    <w:rsid w:val="00457340"/>
    <w:rsid w:val="0045753D"/>
    <w:rsid w:val="004577B8"/>
    <w:rsid w:val="00457837"/>
    <w:rsid w:val="00457883"/>
    <w:rsid w:val="004578BC"/>
    <w:rsid w:val="00457BB2"/>
    <w:rsid w:val="00457CDA"/>
    <w:rsid w:val="00457CE6"/>
    <w:rsid w:val="00457D8E"/>
    <w:rsid w:val="00457F4D"/>
    <w:rsid w:val="004600B9"/>
    <w:rsid w:val="004604B5"/>
    <w:rsid w:val="00460A23"/>
    <w:rsid w:val="00460AB2"/>
    <w:rsid w:val="00460C1E"/>
    <w:rsid w:val="00460C6E"/>
    <w:rsid w:val="00460E65"/>
    <w:rsid w:val="004611AD"/>
    <w:rsid w:val="00461224"/>
    <w:rsid w:val="00461442"/>
    <w:rsid w:val="004615D1"/>
    <w:rsid w:val="00461B41"/>
    <w:rsid w:val="00461B9B"/>
    <w:rsid w:val="00461C41"/>
    <w:rsid w:val="00461CB6"/>
    <w:rsid w:val="00461CB9"/>
    <w:rsid w:val="00461D27"/>
    <w:rsid w:val="00461D37"/>
    <w:rsid w:val="00461D38"/>
    <w:rsid w:val="00461D5C"/>
    <w:rsid w:val="00461F53"/>
    <w:rsid w:val="00461F7F"/>
    <w:rsid w:val="0046229A"/>
    <w:rsid w:val="00462323"/>
    <w:rsid w:val="00462464"/>
    <w:rsid w:val="004626D2"/>
    <w:rsid w:val="004627CB"/>
    <w:rsid w:val="0046281A"/>
    <w:rsid w:val="00462E6E"/>
    <w:rsid w:val="00462EE3"/>
    <w:rsid w:val="0046307D"/>
    <w:rsid w:val="004631DC"/>
    <w:rsid w:val="00463224"/>
    <w:rsid w:val="0046333D"/>
    <w:rsid w:val="00463458"/>
    <w:rsid w:val="00463483"/>
    <w:rsid w:val="004634A8"/>
    <w:rsid w:val="00463708"/>
    <w:rsid w:val="004638EB"/>
    <w:rsid w:val="00463A80"/>
    <w:rsid w:val="00463A98"/>
    <w:rsid w:val="00463AA7"/>
    <w:rsid w:val="00463BC9"/>
    <w:rsid w:val="00463CE2"/>
    <w:rsid w:val="00463D27"/>
    <w:rsid w:val="00463D7E"/>
    <w:rsid w:val="00463DDB"/>
    <w:rsid w:val="00463DDD"/>
    <w:rsid w:val="00463DEA"/>
    <w:rsid w:val="004640E1"/>
    <w:rsid w:val="004642A6"/>
    <w:rsid w:val="004642CC"/>
    <w:rsid w:val="0046462D"/>
    <w:rsid w:val="00464723"/>
    <w:rsid w:val="0046474F"/>
    <w:rsid w:val="004647CD"/>
    <w:rsid w:val="00464A4C"/>
    <w:rsid w:val="00464B80"/>
    <w:rsid w:val="00464B9F"/>
    <w:rsid w:val="00464BFE"/>
    <w:rsid w:val="00464D2B"/>
    <w:rsid w:val="00464FE6"/>
    <w:rsid w:val="00465365"/>
    <w:rsid w:val="0046538A"/>
    <w:rsid w:val="00465436"/>
    <w:rsid w:val="0046555C"/>
    <w:rsid w:val="0046575D"/>
    <w:rsid w:val="00465847"/>
    <w:rsid w:val="00465AF6"/>
    <w:rsid w:val="00465DBD"/>
    <w:rsid w:val="00465EB3"/>
    <w:rsid w:val="00465EE2"/>
    <w:rsid w:val="00466128"/>
    <w:rsid w:val="004662A8"/>
    <w:rsid w:val="004662BA"/>
    <w:rsid w:val="00466320"/>
    <w:rsid w:val="004664DA"/>
    <w:rsid w:val="0046663D"/>
    <w:rsid w:val="00466838"/>
    <w:rsid w:val="004668DF"/>
    <w:rsid w:val="00466E8F"/>
    <w:rsid w:val="00466F83"/>
    <w:rsid w:val="00466FE3"/>
    <w:rsid w:val="00467678"/>
    <w:rsid w:val="004677A7"/>
    <w:rsid w:val="00467A53"/>
    <w:rsid w:val="00467A59"/>
    <w:rsid w:val="00467BAF"/>
    <w:rsid w:val="00467D26"/>
    <w:rsid w:val="00470084"/>
    <w:rsid w:val="004700E7"/>
    <w:rsid w:val="004701A1"/>
    <w:rsid w:val="004701FF"/>
    <w:rsid w:val="00470202"/>
    <w:rsid w:val="0047024B"/>
    <w:rsid w:val="00470253"/>
    <w:rsid w:val="0047061C"/>
    <w:rsid w:val="00470675"/>
    <w:rsid w:val="00470677"/>
    <w:rsid w:val="0047073E"/>
    <w:rsid w:val="00470789"/>
    <w:rsid w:val="00470912"/>
    <w:rsid w:val="004709C0"/>
    <w:rsid w:val="00470BE8"/>
    <w:rsid w:val="00470C0B"/>
    <w:rsid w:val="00470C6E"/>
    <w:rsid w:val="00470D41"/>
    <w:rsid w:val="00470EB1"/>
    <w:rsid w:val="00470F55"/>
    <w:rsid w:val="004710D5"/>
    <w:rsid w:val="004712E4"/>
    <w:rsid w:val="0047158B"/>
    <w:rsid w:val="00471900"/>
    <w:rsid w:val="004719EC"/>
    <w:rsid w:val="00471BF3"/>
    <w:rsid w:val="00471D3D"/>
    <w:rsid w:val="00471DDC"/>
    <w:rsid w:val="00471EEB"/>
    <w:rsid w:val="00471FEB"/>
    <w:rsid w:val="00472104"/>
    <w:rsid w:val="00472276"/>
    <w:rsid w:val="0047232B"/>
    <w:rsid w:val="0047239B"/>
    <w:rsid w:val="004723F9"/>
    <w:rsid w:val="00472727"/>
    <w:rsid w:val="0047272D"/>
    <w:rsid w:val="004728E0"/>
    <w:rsid w:val="00472B02"/>
    <w:rsid w:val="00472B7F"/>
    <w:rsid w:val="00472CD8"/>
    <w:rsid w:val="00472D93"/>
    <w:rsid w:val="00472E41"/>
    <w:rsid w:val="00472E49"/>
    <w:rsid w:val="00472F12"/>
    <w:rsid w:val="00472F6C"/>
    <w:rsid w:val="004730BF"/>
    <w:rsid w:val="0047327E"/>
    <w:rsid w:val="004734B0"/>
    <w:rsid w:val="00473695"/>
    <w:rsid w:val="00473703"/>
    <w:rsid w:val="004737E9"/>
    <w:rsid w:val="0047385A"/>
    <w:rsid w:val="00473ABD"/>
    <w:rsid w:val="00473BB3"/>
    <w:rsid w:val="00473C8A"/>
    <w:rsid w:val="00473EAB"/>
    <w:rsid w:val="00473F75"/>
    <w:rsid w:val="00474032"/>
    <w:rsid w:val="004741F7"/>
    <w:rsid w:val="004741FB"/>
    <w:rsid w:val="0047432C"/>
    <w:rsid w:val="00474341"/>
    <w:rsid w:val="0047436F"/>
    <w:rsid w:val="00474497"/>
    <w:rsid w:val="00474531"/>
    <w:rsid w:val="0047456E"/>
    <w:rsid w:val="0047456F"/>
    <w:rsid w:val="0047457B"/>
    <w:rsid w:val="00474709"/>
    <w:rsid w:val="00474734"/>
    <w:rsid w:val="0047477C"/>
    <w:rsid w:val="00474849"/>
    <w:rsid w:val="00474958"/>
    <w:rsid w:val="004749CF"/>
    <w:rsid w:val="00474BB9"/>
    <w:rsid w:val="00474DE2"/>
    <w:rsid w:val="00474ED8"/>
    <w:rsid w:val="00474F20"/>
    <w:rsid w:val="00474F86"/>
    <w:rsid w:val="0047521D"/>
    <w:rsid w:val="00475340"/>
    <w:rsid w:val="00475359"/>
    <w:rsid w:val="004753CD"/>
    <w:rsid w:val="004755DE"/>
    <w:rsid w:val="004756AA"/>
    <w:rsid w:val="004757B6"/>
    <w:rsid w:val="004757BD"/>
    <w:rsid w:val="00475892"/>
    <w:rsid w:val="00475AF8"/>
    <w:rsid w:val="00475B7B"/>
    <w:rsid w:val="00475BA6"/>
    <w:rsid w:val="00475C1E"/>
    <w:rsid w:val="00475CA3"/>
    <w:rsid w:val="00475D88"/>
    <w:rsid w:val="00475E61"/>
    <w:rsid w:val="00475F4D"/>
    <w:rsid w:val="00475F9D"/>
    <w:rsid w:val="00475FB5"/>
    <w:rsid w:val="004760F0"/>
    <w:rsid w:val="004760FF"/>
    <w:rsid w:val="004762AF"/>
    <w:rsid w:val="004763B8"/>
    <w:rsid w:val="004765CD"/>
    <w:rsid w:val="00476713"/>
    <w:rsid w:val="004768ED"/>
    <w:rsid w:val="00476C14"/>
    <w:rsid w:val="00476D3F"/>
    <w:rsid w:val="00476DE5"/>
    <w:rsid w:val="00476FE5"/>
    <w:rsid w:val="00477053"/>
    <w:rsid w:val="0047710B"/>
    <w:rsid w:val="00477157"/>
    <w:rsid w:val="0047715C"/>
    <w:rsid w:val="00477219"/>
    <w:rsid w:val="0047727F"/>
    <w:rsid w:val="00477415"/>
    <w:rsid w:val="004774C4"/>
    <w:rsid w:val="004779A9"/>
    <w:rsid w:val="004779F1"/>
    <w:rsid w:val="00477A0D"/>
    <w:rsid w:val="00477A45"/>
    <w:rsid w:val="00477AB5"/>
    <w:rsid w:val="00477AC7"/>
    <w:rsid w:val="00477DB4"/>
    <w:rsid w:val="00477EC4"/>
    <w:rsid w:val="00477F37"/>
    <w:rsid w:val="00480014"/>
    <w:rsid w:val="004806EA"/>
    <w:rsid w:val="0048080D"/>
    <w:rsid w:val="00480902"/>
    <w:rsid w:val="004809A4"/>
    <w:rsid w:val="00480ADD"/>
    <w:rsid w:val="00480BF3"/>
    <w:rsid w:val="00480CC6"/>
    <w:rsid w:val="00480D6F"/>
    <w:rsid w:val="00480DC4"/>
    <w:rsid w:val="00480E4C"/>
    <w:rsid w:val="004810A2"/>
    <w:rsid w:val="0048122C"/>
    <w:rsid w:val="004813C5"/>
    <w:rsid w:val="004813CA"/>
    <w:rsid w:val="0048174A"/>
    <w:rsid w:val="00481782"/>
    <w:rsid w:val="00481849"/>
    <w:rsid w:val="00481B37"/>
    <w:rsid w:val="00481D3A"/>
    <w:rsid w:val="00481FBC"/>
    <w:rsid w:val="0048224B"/>
    <w:rsid w:val="0048226E"/>
    <w:rsid w:val="0048241E"/>
    <w:rsid w:val="0048284C"/>
    <w:rsid w:val="0048286F"/>
    <w:rsid w:val="00482945"/>
    <w:rsid w:val="00482A9A"/>
    <w:rsid w:val="00482AD1"/>
    <w:rsid w:val="00482C8F"/>
    <w:rsid w:val="00482CBC"/>
    <w:rsid w:val="00482FA3"/>
    <w:rsid w:val="00482FBA"/>
    <w:rsid w:val="00482FC8"/>
    <w:rsid w:val="00483049"/>
    <w:rsid w:val="00483226"/>
    <w:rsid w:val="004832D6"/>
    <w:rsid w:val="004832DE"/>
    <w:rsid w:val="00483361"/>
    <w:rsid w:val="0048357F"/>
    <w:rsid w:val="00483632"/>
    <w:rsid w:val="004838B1"/>
    <w:rsid w:val="004839B5"/>
    <w:rsid w:val="00483C35"/>
    <w:rsid w:val="00483C9F"/>
    <w:rsid w:val="00483CAE"/>
    <w:rsid w:val="00483D8C"/>
    <w:rsid w:val="00483E55"/>
    <w:rsid w:val="00483E64"/>
    <w:rsid w:val="00483EBA"/>
    <w:rsid w:val="00483F72"/>
    <w:rsid w:val="0048429A"/>
    <w:rsid w:val="004843D5"/>
    <w:rsid w:val="004844D1"/>
    <w:rsid w:val="004844DD"/>
    <w:rsid w:val="0048457C"/>
    <w:rsid w:val="00484660"/>
    <w:rsid w:val="00484781"/>
    <w:rsid w:val="00484870"/>
    <w:rsid w:val="00484AA0"/>
    <w:rsid w:val="00484B5C"/>
    <w:rsid w:val="00484CAE"/>
    <w:rsid w:val="0048506B"/>
    <w:rsid w:val="004850DA"/>
    <w:rsid w:val="00485231"/>
    <w:rsid w:val="00485363"/>
    <w:rsid w:val="004854FC"/>
    <w:rsid w:val="00485799"/>
    <w:rsid w:val="00485961"/>
    <w:rsid w:val="004859D0"/>
    <w:rsid w:val="00485A8A"/>
    <w:rsid w:val="00485AE5"/>
    <w:rsid w:val="00485BB6"/>
    <w:rsid w:val="00485DAD"/>
    <w:rsid w:val="00485F03"/>
    <w:rsid w:val="0048613D"/>
    <w:rsid w:val="004863D9"/>
    <w:rsid w:val="00486669"/>
    <w:rsid w:val="00486696"/>
    <w:rsid w:val="0048675B"/>
    <w:rsid w:val="004867A7"/>
    <w:rsid w:val="004868F1"/>
    <w:rsid w:val="00486BCB"/>
    <w:rsid w:val="00486C5A"/>
    <w:rsid w:val="00486C95"/>
    <w:rsid w:val="00486DD6"/>
    <w:rsid w:val="00486DE5"/>
    <w:rsid w:val="004871B7"/>
    <w:rsid w:val="004871B8"/>
    <w:rsid w:val="00487572"/>
    <w:rsid w:val="004875DD"/>
    <w:rsid w:val="0048776A"/>
    <w:rsid w:val="004878D0"/>
    <w:rsid w:val="004878FD"/>
    <w:rsid w:val="00487AC8"/>
    <w:rsid w:val="00487AD4"/>
    <w:rsid w:val="00487B5C"/>
    <w:rsid w:val="00487B7E"/>
    <w:rsid w:val="00487B94"/>
    <w:rsid w:val="00487CC7"/>
    <w:rsid w:val="00487DD0"/>
    <w:rsid w:val="00487F55"/>
    <w:rsid w:val="004900B2"/>
    <w:rsid w:val="004902C4"/>
    <w:rsid w:val="004903BF"/>
    <w:rsid w:val="0049048A"/>
    <w:rsid w:val="004904A9"/>
    <w:rsid w:val="00490558"/>
    <w:rsid w:val="00490637"/>
    <w:rsid w:val="00490A87"/>
    <w:rsid w:val="00490B2D"/>
    <w:rsid w:val="00490BD7"/>
    <w:rsid w:val="00490DA9"/>
    <w:rsid w:val="004910CC"/>
    <w:rsid w:val="00491126"/>
    <w:rsid w:val="004912B4"/>
    <w:rsid w:val="004912B5"/>
    <w:rsid w:val="00491780"/>
    <w:rsid w:val="00491796"/>
    <w:rsid w:val="0049188E"/>
    <w:rsid w:val="004919A3"/>
    <w:rsid w:val="00491B9F"/>
    <w:rsid w:val="00491BA9"/>
    <w:rsid w:val="00491C2F"/>
    <w:rsid w:val="004920CB"/>
    <w:rsid w:val="0049230C"/>
    <w:rsid w:val="0049230D"/>
    <w:rsid w:val="00492364"/>
    <w:rsid w:val="00492432"/>
    <w:rsid w:val="004924BA"/>
    <w:rsid w:val="004924C5"/>
    <w:rsid w:val="004926C8"/>
    <w:rsid w:val="00492767"/>
    <w:rsid w:val="00492798"/>
    <w:rsid w:val="004927AC"/>
    <w:rsid w:val="0049281E"/>
    <w:rsid w:val="0049283E"/>
    <w:rsid w:val="004929A1"/>
    <w:rsid w:val="00492B6D"/>
    <w:rsid w:val="00492C13"/>
    <w:rsid w:val="00492D00"/>
    <w:rsid w:val="00492E41"/>
    <w:rsid w:val="00492E93"/>
    <w:rsid w:val="00492FCB"/>
    <w:rsid w:val="004930B3"/>
    <w:rsid w:val="0049334E"/>
    <w:rsid w:val="00493768"/>
    <w:rsid w:val="0049379D"/>
    <w:rsid w:val="00493866"/>
    <w:rsid w:val="004938D1"/>
    <w:rsid w:val="004938D3"/>
    <w:rsid w:val="00493A80"/>
    <w:rsid w:val="00493ABF"/>
    <w:rsid w:val="00493AE6"/>
    <w:rsid w:val="00493BF0"/>
    <w:rsid w:val="00493C07"/>
    <w:rsid w:val="00493C2F"/>
    <w:rsid w:val="00493CA8"/>
    <w:rsid w:val="00493D4A"/>
    <w:rsid w:val="00494036"/>
    <w:rsid w:val="00494126"/>
    <w:rsid w:val="00494203"/>
    <w:rsid w:val="0049434A"/>
    <w:rsid w:val="004945D9"/>
    <w:rsid w:val="00494712"/>
    <w:rsid w:val="00494B07"/>
    <w:rsid w:val="00494DBB"/>
    <w:rsid w:val="00494E2D"/>
    <w:rsid w:val="00494F96"/>
    <w:rsid w:val="004951A8"/>
    <w:rsid w:val="0049522A"/>
    <w:rsid w:val="00495239"/>
    <w:rsid w:val="00495275"/>
    <w:rsid w:val="00495302"/>
    <w:rsid w:val="00495582"/>
    <w:rsid w:val="004957D8"/>
    <w:rsid w:val="0049580E"/>
    <w:rsid w:val="004959A4"/>
    <w:rsid w:val="00495B46"/>
    <w:rsid w:val="00495BC6"/>
    <w:rsid w:val="00495BD1"/>
    <w:rsid w:val="00495BEC"/>
    <w:rsid w:val="00495D0D"/>
    <w:rsid w:val="00495D90"/>
    <w:rsid w:val="004961A8"/>
    <w:rsid w:val="00496303"/>
    <w:rsid w:val="004964CA"/>
    <w:rsid w:val="004965B4"/>
    <w:rsid w:val="00496635"/>
    <w:rsid w:val="0049666C"/>
    <w:rsid w:val="0049672A"/>
    <w:rsid w:val="00496739"/>
    <w:rsid w:val="00496941"/>
    <w:rsid w:val="00496994"/>
    <w:rsid w:val="004969AD"/>
    <w:rsid w:val="00496AA6"/>
    <w:rsid w:val="00496ACF"/>
    <w:rsid w:val="00496C32"/>
    <w:rsid w:val="00496CCD"/>
    <w:rsid w:val="00496F02"/>
    <w:rsid w:val="00497293"/>
    <w:rsid w:val="004974DB"/>
    <w:rsid w:val="004977F9"/>
    <w:rsid w:val="004978E2"/>
    <w:rsid w:val="00497904"/>
    <w:rsid w:val="00497A3D"/>
    <w:rsid w:val="00497A45"/>
    <w:rsid w:val="00497A52"/>
    <w:rsid w:val="00497FFB"/>
    <w:rsid w:val="004A002D"/>
    <w:rsid w:val="004A017A"/>
    <w:rsid w:val="004A02D6"/>
    <w:rsid w:val="004A0394"/>
    <w:rsid w:val="004A03FE"/>
    <w:rsid w:val="004A04BC"/>
    <w:rsid w:val="004A04FE"/>
    <w:rsid w:val="004A05FE"/>
    <w:rsid w:val="004A0602"/>
    <w:rsid w:val="004A0667"/>
    <w:rsid w:val="004A077D"/>
    <w:rsid w:val="004A07C7"/>
    <w:rsid w:val="004A07CD"/>
    <w:rsid w:val="004A087B"/>
    <w:rsid w:val="004A0909"/>
    <w:rsid w:val="004A0926"/>
    <w:rsid w:val="004A0997"/>
    <w:rsid w:val="004A0A0E"/>
    <w:rsid w:val="004A0B55"/>
    <w:rsid w:val="004A0EB7"/>
    <w:rsid w:val="004A0FF0"/>
    <w:rsid w:val="004A1088"/>
    <w:rsid w:val="004A10F1"/>
    <w:rsid w:val="004A10F3"/>
    <w:rsid w:val="004A125A"/>
    <w:rsid w:val="004A125E"/>
    <w:rsid w:val="004A12A3"/>
    <w:rsid w:val="004A1330"/>
    <w:rsid w:val="004A1372"/>
    <w:rsid w:val="004A137C"/>
    <w:rsid w:val="004A14EE"/>
    <w:rsid w:val="004A16B2"/>
    <w:rsid w:val="004A170F"/>
    <w:rsid w:val="004A1760"/>
    <w:rsid w:val="004A1967"/>
    <w:rsid w:val="004A1A18"/>
    <w:rsid w:val="004A1A90"/>
    <w:rsid w:val="004A1AB1"/>
    <w:rsid w:val="004A1AB4"/>
    <w:rsid w:val="004A1DBC"/>
    <w:rsid w:val="004A1E2B"/>
    <w:rsid w:val="004A1F2D"/>
    <w:rsid w:val="004A2249"/>
    <w:rsid w:val="004A2276"/>
    <w:rsid w:val="004A272B"/>
    <w:rsid w:val="004A275B"/>
    <w:rsid w:val="004A28FE"/>
    <w:rsid w:val="004A2E89"/>
    <w:rsid w:val="004A2EF1"/>
    <w:rsid w:val="004A2F03"/>
    <w:rsid w:val="004A2F1C"/>
    <w:rsid w:val="004A329E"/>
    <w:rsid w:val="004A330F"/>
    <w:rsid w:val="004A332D"/>
    <w:rsid w:val="004A345F"/>
    <w:rsid w:val="004A3708"/>
    <w:rsid w:val="004A3787"/>
    <w:rsid w:val="004A38A9"/>
    <w:rsid w:val="004A38B8"/>
    <w:rsid w:val="004A3983"/>
    <w:rsid w:val="004A39B7"/>
    <w:rsid w:val="004A3A9E"/>
    <w:rsid w:val="004A3D16"/>
    <w:rsid w:val="004A3F2F"/>
    <w:rsid w:val="004A4038"/>
    <w:rsid w:val="004A4487"/>
    <w:rsid w:val="004A45B8"/>
    <w:rsid w:val="004A467D"/>
    <w:rsid w:val="004A4740"/>
    <w:rsid w:val="004A4851"/>
    <w:rsid w:val="004A486E"/>
    <w:rsid w:val="004A4B75"/>
    <w:rsid w:val="004A4DC9"/>
    <w:rsid w:val="004A4F08"/>
    <w:rsid w:val="004A5056"/>
    <w:rsid w:val="004A51B8"/>
    <w:rsid w:val="004A5242"/>
    <w:rsid w:val="004A5271"/>
    <w:rsid w:val="004A5507"/>
    <w:rsid w:val="004A55B2"/>
    <w:rsid w:val="004A5600"/>
    <w:rsid w:val="004A5655"/>
    <w:rsid w:val="004A56FD"/>
    <w:rsid w:val="004A5742"/>
    <w:rsid w:val="004A574B"/>
    <w:rsid w:val="004A5789"/>
    <w:rsid w:val="004A583E"/>
    <w:rsid w:val="004A58A9"/>
    <w:rsid w:val="004A5BAB"/>
    <w:rsid w:val="004A5D12"/>
    <w:rsid w:val="004A5F85"/>
    <w:rsid w:val="004A61E1"/>
    <w:rsid w:val="004A62B5"/>
    <w:rsid w:val="004A639A"/>
    <w:rsid w:val="004A63C9"/>
    <w:rsid w:val="004A6562"/>
    <w:rsid w:val="004A6649"/>
    <w:rsid w:val="004A6660"/>
    <w:rsid w:val="004A66C5"/>
    <w:rsid w:val="004A67DC"/>
    <w:rsid w:val="004A680A"/>
    <w:rsid w:val="004A68F4"/>
    <w:rsid w:val="004A6B1C"/>
    <w:rsid w:val="004A6C8B"/>
    <w:rsid w:val="004A7038"/>
    <w:rsid w:val="004A70E9"/>
    <w:rsid w:val="004A71BD"/>
    <w:rsid w:val="004A729C"/>
    <w:rsid w:val="004A72A7"/>
    <w:rsid w:val="004A72DE"/>
    <w:rsid w:val="004A74DD"/>
    <w:rsid w:val="004A7576"/>
    <w:rsid w:val="004A79D5"/>
    <w:rsid w:val="004A7A9E"/>
    <w:rsid w:val="004A7B7E"/>
    <w:rsid w:val="004A7BAF"/>
    <w:rsid w:val="004A7BC2"/>
    <w:rsid w:val="004A7D81"/>
    <w:rsid w:val="004A7DC6"/>
    <w:rsid w:val="004B00D9"/>
    <w:rsid w:val="004B0102"/>
    <w:rsid w:val="004B01FB"/>
    <w:rsid w:val="004B0294"/>
    <w:rsid w:val="004B0326"/>
    <w:rsid w:val="004B039C"/>
    <w:rsid w:val="004B03E4"/>
    <w:rsid w:val="004B0436"/>
    <w:rsid w:val="004B0515"/>
    <w:rsid w:val="004B053F"/>
    <w:rsid w:val="004B0562"/>
    <w:rsid w:val="004B07D5"/>
    <w:rsid w:val="004B09DF"/>
    <w:rsid w:val="004B09F3"/>
    <w:rsid w:val="004B0ACC"/>
    <w:rsid w:val="004B0AEB"/>
    <w:rsid w:val="004B0F09"/>
    <w:rsid w:val="004B10D8"/>
    <w:rsid w:val="004B123F"/>
    <w:rsid w:val="004B1312"/>
    <w:rsid w:val="004B149F"/>
    <w:rsid w:val="004B14FE"/>
    <w:rsid w:val="004B1546"/>
    <w:rsid w:val="004B1854"/>
    <w:rsid w:val="004B188E"/>
    <w:rsid w:val="004B1B1A"/>
    <w:rsid w:val="004B1B53"/>
    <w:rsid w:val="004B1BF1"/>
    <w:rsid w:val="004B1CE7"/>
    <w:rsid w:val="004B1DD1"/>
    <w:rsid w:val="004B1F01"/>
    <w:rsid w:val="004B2157"/>
    <w:rsid w:val="004B2270"/>
    <w:rsid w:val="004B2374"/>
    <w:rsid w:val="004B2441"/>
    <w:rsid w:val="004B24EC"/>
    <w:rsid w:val="004B2502"/>
    <w:rsid w:val="004B2860"/>
    <w:rsid w:val="004B28F2"/>
    <w:rsid w:val="004B2AC6"/>
    <w:rsid w:val="004B2B48"/>
    <w:rsid w:val="004B2E28"/>
    <w:rsid w:val="004B2FC0"/>
    <w:rsid w:val="004B2FE3"/>
    <w:rsid w:val="004B3004"/>
    <w:rsid w:val="004B3145"/>
    <w:rsid w:val="004B3209"/>
    <w:rsid w:val="004B3281"/>
    <w:rsid w:val="004B34B8"/>
    <w:rsid w:val="004B3522"/>
    <w:rsid w:val="004B362F"/>
    <w:rsid w:val="004B3702"/>
    <w:rsid w:val="004B37DA"/>
    <w:rsid w:val="004B3850"/>
    <w:rsid w:val="004B3953"/>
    <w:rsid w:val="004B3C01"/>
    <w:rsid w:val="004B3C0C"/>
    <w:rsid w:val="004B3CB0"/>
    <w:rsid w:val="004B3CE9"/>
    <w:rsid w:val="004B3DBB"/>
    <w:rsid w:val="004B40DC"/>
    <w:rsid w:val="004B41A4"/>
    <w:rsid w:val="004B423F"/>
    <w:rsid w:val="004B4700"/>
    <w:rsid w:val="004B477B"/>
    <w:rsid w:val="004B4916"/>
    <w:rsid w:val="004B4924"/>
    <w:rsid w:val="004B4B0A"/>
    <w:rsid w:val="004B4BF8"/>
    <w:rsid w:val="004B4C67"/>
    <w:rsid w:val="004B4DD3"/>
    <w:rsid w:val="004B4F51"/>
    <w:rsid w:val="004B50FB"/>
    <w:rsid w:val="004B52BC"/>
    <w:rsid w:val="004B535A"/>
    <w:rsid w:val="004B537C"/>
    <w:rsid w:val="004B53AA"/>
    <w:rsid w:val="004B54F8"/>
    <w:rsid w:val="004B5556"/>
    <w:rsid w:val="004B5576"/>
    <w:rsid w:val="004B5633"/>
    <w:rsid w:val="004B5724"/>
    <w:rsid w:val="004B5741"/>
    <w:rsid w:val="004B5742"/>
    <w:rsid w:val="004B5A86"/>
    <w:rsid w:val="004B5B56"/>
    <w:rsid w:val="004B5B7B"/>
    <w:rsid w:val="004B5C49"/>
    <w:rsid w:val="004B5D00"/>
    <w:rsid w:val="004B5D6D"/>
    <w:rsid w:val="004B5DA6"/>
    <w:rsid w:val="004B5F33"/>
    <w:rsid w:val="004B5F9C"/>
    <w:rsid w:val="004B60C2"/>
    <w:rsid w:val="004B6166"/>
    <w:rsid w:val="004B618E"/>
    <w:rsid w:val="004B631D"/>
    <w:rsid w:val="004B63F2"/>
    <w:rsid w:val="004B6665"/>
    <w:rsid w:val="004B67A2"/>
    <w:rsid w:val="004B68A2"/>
    <w:rsid w:val="004B6A40"/>
    <w:rsid w:val="004B6D5B"/>
    <w:rsid w:val="004B6FA8"/>
    <w:rsid w:val="004B6FFB"/>
    <w:rsid w:val="004B6FFF"/>
    <w:rsid w:val="004B7026"/>
    <w:rsid w:val="004B708C"/>
    <w:rsid w:val="004B70A6"/>
    <w:rsid w:val="004B7179"/>
    <w:rsid w:val="004B717B"/>
    <w:rsid w:val="004B72A6"/>
    <w:rsid w:val="004B72F1"/>
    <w:rsid w:val="004B7551"/>
    <w:rsid w:val="004B75EE"/>
    <w:rsid w:val="004B7606"/>
    <w:rsid w:val="004B764D"/>
    <w:rsid w:val="004B76B1"/>
    <w:rsid w:val="004B7713"/>
    <w:rsid w:val="004B7728"/>
    <w:rsid w:val="004B780E"/>
    <w:rsid w:val="004B7847"/>
    <w:rsid w:val="004B7856"/>
    <w:rsid w:val="004B7883"/>
    <w:rsid w:val="004B7982"/>
    <w:rsid w:val="004B7A4E"/>
    <w:rsid w:val="004B7B82"/>
    <w:rsid w:val="004B7C84"/>
    <w:rsid w:val="004B7CCD"/>
    <w:rsid w:val="004B7CE6"/>
    <w:rsid w:val="004B7CF5"/>
    <w:rsid w:val="004B7FBF"/>
    <w:rsid w:val="004C01A3"/>
    <w:rsid w:val="004C01E5"/>
    <w:rsid w:val="004C020C"/>
    <w:rsid w:val="004C0270"/>
    <w:rsid w:val="004C02CB"/>
    <w:rsid w:val="004C0300"/>
    <w:rsid w:val="004C0361"/>
    <w:rsid w:val="004C0390"/>
    <w:rsid w:val="004C05ED"/>
    <w:rsid w:val="004C08AE"/>
    <w:rsid w:val="004C096B"/>
    <w:rsid w:val="004C0AB7"/>
    <w:rsid w:val="004C0B4C"/>
    <w:rsid w:val="004C0C22"/>
    <w:rsid w:val="004C0E34"/>
    <w:rsid w:val="004C1137"/>
    <w:rsid w:val="004C115F"/>
    <w:rsid w:val="004C12D1"/>
    <w:rsid w:val="004C13D3"/>
    <w:rsid w:val="004C14DB"/>
    <w:rsid w:val="004C1639"/>
    <w:rsid w:val="004C170B"/>
    <w:rsid w:val="004C1748"/>
    <w:rsid w:val="004C179A"/>
    <w:rsid w:val="004C17EA"/>
    <w:rsid w:val="004C18B1"/>
    <w:rsid w:val="004C1972"/>
    <w:rsid w:val="004C19C9"/>
    <w:rsid w:val="004C19F7"/>
    <w:rsid w:val="004C1DA0"/>
    <w:rsid w:val="004C1E09"/>
    <w:rsid w:val="004C219B"/>
    <w:rsid w:val="004C2270"/>
    <w:rsid w:val="004C2278"/>
    <w:rsid w:val="004C246C"/>
    <w:rsid w:val="004C271F"/>
    <w:rsid w:val="004C2863"/>
    <w:rsid w:val="004C28A8"/>
    <w:rsid w:val="004C298A"/>
    <w:rsid w:val="004C29AA"/>
    <w:rsid w:val="004C29BF"/>
    <w:rsid w:val="004C29E4"/>
    <w:rsid w:val="004C29F5"/>
    <w:rsid w:val="004C2AF4"/>
    <w:rsid w:val="004C2B6F"/>
    <w:rsid w:val="004C2BD3"/>
    <w:rsid w:val="004C2C19"/>
    <w:rsid w:val="004C2C75"/>
    <w:rsid w:val="004C2CF6"/>
    <w:rsid w:val="004C2D69"/>
    <w:rsid w:val="004C2D74"/>
    <w:rsid w:val="004C2DDC"/>
    <w:rsid w:val="004C2E36"/>
    <w:rsid w:val="004C2EDC"/>
    <w:rsid w:val="004C33D5"/>
    <w:rsid w:val="004C3673"/>
    <w:rsid w:val="004C388B"/>
    <w:rsid w:val="004C3BD7"/>
    <w:rsid w:val="004C3C8F"/>
    <w:rsid w:val="004C3ED5"/>
    <w:rsid w:val="004C3FCD"/>
    <w:rsid w:val="004C400B"/>
    <w:rsid w:val="004C4036"/>
    <w:rsid w:val="004C4158"/>
    <w:rsid w:val="004C42B6"/>
    <w:rsid w:val="004C435D"/>
    <w:rsid w:val="004C4451"/>
    <w:rsid w:val="004C4518"/>
    <w:rsid w:val="004C451D"/>
    <w:rsid w:val="004C4523"/>
    <w:rsid w:val="004C4632"/>
    <w:rsid w:val="004C4756"/>
    <w:rsid w:val="004C47C5"/>
    <w:rsid w:val="004C4802"/>
    <w:rsid w:val="004C4892"/>
    <w:rsid w:val="004C48F8"/>
    <w:rsid w:val="004C4966"/>
    <w:rsid w:val="004C4995"/>
    <w:rsid w:val="004C4998"/>
    <w:rsid w:val="004C4AE6"/>
    <w:rsid w:val="004C4B76"/>
    <w:rsid w:val="004C4BD1"/>
    <w:rsid w:val="004C4CA5"/>
    <w:rsid w:val="004C4D79"/>
    <w:rsid w:val="004C4D91"/>
    <w:rsid w:val="004C4F20"/>
    <w:rsid w:val="004C4FB8"/>
    <w:rsid w:val="004C5014"/>
    <w:rsid w:val="004C5101"/>
    <w:rsid w:val="004C5150"/>
    <w:rsid w:val="004C5228"/>
    <w:rsid w:val="004C5235"/>
    <w:rsid w:val="004C53A3"/>
    <w:rsid w:val="004C53C7"/>
    <w:rsid w:val="004C553F"/>
    <w:rsid w:val="004C55B9"/>
    <w:rsid w:val="004C5781"/>
    <w:rsid w:val="004C57FA"/>
    <w:rsid w:val="004C5805"/>
    <w:rsid w:val="004C59FE"/>
    <w:rsid w:val="004C5A0D"/>
    <w:rsid w:val="004C5CBB"/>
    <w:rsid w:val="004C5CF3"/>
    <w:rsid w:val="004C5D74"/>
    <w:rsid w:val="004C63D0"/>
    <w:rsid w:val="004C642E"/>
    <w:rsid w:val="004C6446"/>
    <w:rsid w:val="004C647C"/>
    <w:rsid w:val="004C663E"/>
    <w:rsid w:val="004C66B4"/>
    <w:rsid w:val="004C66F1"/>
    <w:rsid w:val="004C675D"/>
    <w:rsid w:val="004C6947"/>
    <w:rsid w:val="004C695B"/>
    <w:rsid w:val="004C6B87"/>
    <w:rsid w:val="004C6D6C"/>
    <w:rsid w:val="004C6E37"/>
    <w:rsid w:val="004C6FBA"/>
    <w:rsid w:val="004C7257"/>
    <w:rsid w:val="004C7300"/>
    <w:rsid w:val="004C746A"/>
    <w:rsid w:val="004C74E9"/>
    <w:rsid w:val="004C76AB"/>
    <w:rsid w:val="004C78D4"/>
    <w:rsid w:val="004C7947"/>
    <w:rsid w:val="004C7996"/>
    <w:rsid w:val="004C799A"/>
    <w:rsid w:val="004C7B03"/>
    <w:rsid w:val="004C7B0B"/>
    <w:rsid w:val="004C7BF2"/>
    <w:rsid w:val="004C7C3D"/>
    <w:rsid w:val="004C7C40"/>
    <w:rsid w:val="004C7D0A"/>
    <w:rsid w:val="004C7FB6"/>
    <w:rsid w:val="004C7FD4"/>
    <w:rsid w:val="004C7FE4"/>
    <w:rsid w:val="004D0064"/>
    <w:rsid w:val="004D0118"/>
    <w:rsid w:val="004D013D"/>
    <w:rsid w:val="004D021E"/>
    <w:rsid w:val="004D0246"/>
    <w:rsid w:val="004D03EB"/>
    <w:rsid w:val="004D04E7"/>
    <w:rsid w:val="004D0583"/>
    <w:rsid w:val="004D0585"/>
    <w:rsid w:val="004D0613"/>
    <w:rsid w:val="004D0937"/>
    <w:rsid w:val="004D094F"/>
    <w:rsid w:val="004D0A08"/>
    <w:rsid w:val="004D0A15"/>
    <w:rsid w:val="004D0BC6"/>
    <w:rsid w:val="004D0F7F"/>
    <w:rsid w:val="004D1018"/>
    <w:rsid w:val="004D1175"/>
    <w:rsid w:val="004D1360"/>
    <w:rsid w:val="004D136F"/>
    <w:rsid w:val="004D1507"/>
    <w:rsid w:val="004D175B"/>
    <w:rsid w:val="004D189E"/>
    <w:rsid w:val="004D19FD"/>
    <w:rsid w:val="004D1AA0"/>
    <w:rsid w:val="004D1AD2"/>
    <w:rsid w:val="004D1BFE"/>
    <w:rsid w:val="004D1CD8"/>
    <w:rsid w:val="004D2039"/>
    <w:rsid w:val="004D203E"/>
    <w:rsid w:val="004D22CE"/>
    <w:rsid w:val="004D24A0"/>
    <w:rsid w:val="004D250B"/>
    <w:rsid w:val="004D2606"/>
    <w:rsid w:val="004D2612"/>
    <w:rsid w:val="004D26DB"/>
    <w:rsid w:val="004D270E"/>
    <w:rsid w:val="004D2814"/>
    <w:rsid w:val="004D287A"/>
    <w:rsid w:val="004D2A63"/>
    <w:rsid w:val="004D2AE0"/>
    <w:rsid w:val="004D2B15"/>
    <w:rsid w:val="004D2C3A"/>
    <w:rsid w:val="004D2C45"/>
    <w:rsid w:val="004D2C5B"/>
    <w:rsid w:val="004D2F2C"/>
    <w:rsid w:val="004D3057"/>
    <w:rsid w:val="004D30DC"/>
    <w:rsid w:val="004D30F9"/>
    <w:rsid w:val="004D310A"/>
    <w:rsid w:val="004D3179"/>
    <w:rsid w:val="004D3183"/>
    <w:rsid w:val="004D31F5"/>
    <w:rsid w:val="004D3410"/>
    <w:rsid w:val="004D365F"/>
    <w:rsid w:val="004D368D"/>
    <w:rsid w:val="004D36A7"/>
    <w:rsid w:val="004D37F6"/>
    <w:rsid w:val="004D38B4"/>
    <w:rsid w:val="004D3919"/>
    <w:rsid w:val="004D3A75"/>
    <w:rsid w:val="004D3DC5"/>
    <w:rsid w:val="004D3E21"/>
    <w:rsid w:val="004D3F69"/>
    <w:rsid w:val="004D3FFA"/>
    <w:rsid w:val="004D4003"/>
    <w:rsid w:val="004D4013"/>
    <w:rsid w:val="004D40DD"/>
    <w:rsid w:val="004D40F3"/>
    <w:rsid w:val="004D4143"/>
    <w:rsid w:val="004D421B"/>
    <w:rsid w:val="004D4379"/>
    <w:rsid w:val="004D43D1"/>
    <w:rsid w:val="004D444F"/>
    <w:rsid w:val="004D44C9"/>
    <w:rsid w:val="004D4516"/>
    <w:rsid w:val="004D4577"/>
    <w:rsid w:val="004D46D5"/>
    <w:rsid w:val="004D4820"/>
    <w:rsid w:val="004D4829"/>
    <w:rsid w:val="004D483D"/>
    <w:rsid w:val="004D490F"/>
    <w:rsid w:val="004D49A0"/>
    <w:rsid w:val="004D4A37"/>
    <w:rsid w:val="004D4A3F"/>
    <w:rsid w:val="004D4A5A"/>
    <w:rsid w:val="004D4F55"/>
    <w:rsid w:val="004D519A"/>
    <w:rsid w:val="004D5211"/>
    <w:rsid w:val="004D52A1"/>
    <w:rsid w:val="004D5401"/>
    <w:rsid w:val="004D5725"/>
    <w:rsid w:val="004D5A08"/>
    <w:rsid w:val="004D5AF5"/>
    <w:rsid w:val="004D5B36"/>
    <w:rsid w:val="004D5B6A"/>
    <w:rsid w:val="004D5C5B"/>
    <w:rsid w:val="004D5D0E"/>
    <w:rsid w:val="004D5D98"/>
    <w:rsid w:val="004D5E13"/>
    <w:rsid w:val="004D5F38"/>
    <w:rsid w:val="004D5FA2"/>
    <w:rsid w:val="004D60B4"/>
    <w:rsid w:val="004D6286"/>
    <w:rsid w:val="004D629D"/>
    <w:rsid w:val="004D6395"/>
    <w:rsid w:val="004D63B4"/>
    <w:rsid w:val="004D6468"/>
    <w:rsid w:val="004D647F"/>
    <w:rsid w:val="004D64C5"/>
    <w:rsid w:val="004D6509"/>
    <w:rsid w:val="004D6595"/>
    <w:rsid w:val="004D672B"/>
    <w:rsid w:val="004D6846"/>
    <w:rsid w:val="004D6A51"/>
    <w:rsid w:val="004D6C21"/>
    <w:rsid w:val="004D711A"/>
    <w:rsid w:val="004D741F"/>
    <w:rsid w:val="004D7456"/>
    <w:rsid w:val="004D7568"/>
    <w:rsid w:val="004D780D"/>
    <w:rsid w:val="004D792D"/>
    <w:rsid w:val="004D796D"/>
    <w:rsid w:val="004D7B6E"/>
    <w:rsid w:val="004D7B7B"/>
    <w:rsid w:val="004D7D74"/>
    <w:rsid w:val="004D7E5C"/>
    <w:rsid w:val="004D7ED7"/>
    <w:rsid w:val="004E03FB"/>
    <w:rsid w:val="004E04C8"/>
    <w:rsid w:val="004E0509"/>
    <w:rsid w:val="004E07E9"/>
    <w:rsid w:val="004E08E9"/>
    <w:rsid w:val="004E0AC6"/>
    <w:rsid w:val="004E0DA2"/>
    <w:rsid w:val="004E0E16"/>
    <w:rsid w:val="004E0E7B"/>
    <w:rsid w:val="004E0F55"/>
    <w:rsid w:val="004E1057"/>
    <w:rsid w:val="004E12E6"/>
    <w:rsid w:val="004E132A"/>
    <w:rsid w:val="004E13F2"/>
    <w:rsid w:val="004E13FD"/>
    <w:rsid w:val="004E1455"/>
    <w:rsid w:val="004E14BC"/>
    <w:rsid w:val="004E1674"/>
    <w:rsid w:val="004E16D5"/>
    <w:rsid w:val="004E1757"/>
    <w:rsid w:val="004E17BD"/>
    <w:rsid w:val="004E1821"/>
    <w:rsid w:val="004E19FF"/>
    <w:rsid w:val="004E1A06"/>
    <w:rsid w:val="004E1A61"/>
    <w:rsid w:val="004E1B90"/>
    <w:rsid w:val="004E1B9D"/>
    <w:rsid w:val="004E1D6B"/>
    <w:rsid w:val="004E1DD9"/>
    <w:rsid w:val="004E1DFB"/>
    <w:rsid w:val="004E1FB1"/>
    <w:rsid w:val="004E207E"/>
    <w:rsid w:val="004E2145"/>
    <w:rsid w:val="004E2166"/>
    <w:rsid w:val="004E2255"/>
    <w:rsid w:val="004E22B2"/>
    <w:rsid w:val="004E2477"/>
    <w:rsid w:val="004E24F6"/>
    <w:rsid w:val="004E2532"/>
    <w:rsid w:val="004E26B2"/>
    <w:rsid w:val="004E26EF"/>
    <w:rsid w:val="004E291C"/>
    <w:rsid w:val="004E2B83"/>
    <w:rsid w:val="004E2E83"/>
    <w:rsid w:val="004E2EE4"/>
    <w:rsid w:val="004E2F25"/>
    <w:rsid w:val="004E311A"/>
    <w:rsid w:val="004E317A"/>
    <w:rsid w:val="004E3182"/>
    <w:rsid w:val="004E31AB"/>
    <w:rsid w:val="004E322D"/>
    <w:rsid w:val="004E33BD"/>
    <w:rsid w:val="004E3495"/>
    <w:rsid w:val="004E3619"/>
    <w:rsid w:val="004E37A5"/>
    <w:rsid w:val="004E38AD"/>
    <w:rsid w:val="004E39D5"/>
    <w:rsid w:val="004E3AD9"/>
    <w:rsid w:val="004E3B5A"/>
    <w:rsid w:val="004E3BA5"/>
    <w:rsid w:val="004E3D4B"/>
    <w:rsid w:val="004E3F3F"/>
    <w:rsid w:val="004E4072"/>
    <w:rsid w:val="004E40C4"/>
    <w:rsid w:val="004E41B7"/>
    <w:rsid w:val="004E41C9"/>
    <w:rsid w:val="004E422B"/>
    <w:rsid w:val="004E4258"/>
    <w:rsid w:val="004E4357"/>
    <w:rsid w:val="004E436E"/>
    <w:rsid w:val="004E4461"/>
    <w:rsid w:val="004E446C"/>
    <w:rsid w:val="004E4673"/>
    <w:rsid w:val="004E4709"/>
    <w:rsid w:val="004E4AD9"/>
    <w:rsid w:val="004E4B60"/>
    <w:rsid w:val="004E4FE1"/>
    <w:rsid w:val="004E510A"/>
    <w:rsid w:val="004E5114"/>
    <w:rsid w:val="004E5397"/>
    <w:rsid w:val="004E5548"/>
    <w:rsid w:val="004E5603"/>
    <w:rsid w:val="004E56E9"/>
    <w:rsid w:val="004E592D"/>
    <w:rsid w:val="004E59D3"/>
    <w:rsid w:val="004E5AFA"/>
    <w:rsid w:val="004E5B70"/>
    <w:rsid w:val="004E5C72"/>
    <w:rsid w:val="004E5F00"/>
    <w:rsid w:val="004E5F16"/>
    <w:rsid w:val="004E5FA9"/>
    <w:rsid w:val="004E604D"/>
    <w:rsid w:val="004E60A3"/>
    <w:rsid w:val="004E612B"/>
    <w:rsid w:val="004E6145"/>
    <w:rsid w:val="004E61D7"/>
    <w:rsid w:val="004E637B"/>
    <w:rsid w:val="004E64EB"/>
    <w:rsid w:val="004E65BF"/>
    <w:rsid w:val="004E65DB"/>
    <w:rsid w:val="004E66E6"/>
    <w:rsid w:val="004E66FE"/>
    <w:rsid w:val="004E67A3"/>
    <w:rsid w:val="004E67E1"/>
    <w:rsid w:val="004E689C"/>
    <w:rsid w:val="004E6970"/>
    <w:rsid w:val="004E69FF"/>
    <w:rsid w:val="004E6BEE"/>
    <w:rsid w:val="004E6DFC"/>
    <w:rsid w:val="004E6F2F"/>
    <w:rsid w:val="004E70B0"/>
    <w:rsid w:val="004E735B"/>
    <w:rsid w:val="004E73FF"/>
    <w:rsid w:val="004E7497"/>
    <w:rsid w:val="004E750D"/>
    <w:rsid w:val="004E75A0"/>
    <w:rsid w:val="004E75D2"/>
    <w:rsid w:val="004E7652"/>
    <w:rsid w:val="004E77F1"/>
    <w:rsid w:val="004E7B19"/>
    <w:rsid w:val="004E7BF5"/>
    <w:rsid w:val="004E7CEF"/>
    <w:rsid w:val="004E7E4A"/>
    <w:rsid w:val="004E7F04"/>
    <w:rsid w:val="004E7FD3"/>
    <w:rsid w:val="004F0112"/>
    <w:rsid w:val="004F019E"/>
    <w:rsid w:val="004F01D7"/>
    <w:rsid w:val="004F01FB"/>
    <w:rsid w:val="004F02DD"/>
    <w:rsid w:val="004F0304"/>
    <w:rsid w:val="004F0462"/>
    <w:rsid w:val="004F056C"/>
    <w:rsid w:val="004F0634"/>
    <w:rsid w:val="004F0A32"/>
    <w:rsid w:val="004F0B76"/>
    <w:rsid w:val="004F0B99"/>
    <w:rsid w:val="004F0BEA"/>
    <w:rsid w:val="004F0CDA"/>
    <w:rsid w:val="004F0D09"/>
    <w:rsid w:val="004F0D9A"/>
    <w:rsid w:val="004F10B4"/>
    <w:rsid w:val="004F1164"/>
    <w:rsid w:val="004F1381"/>
    <w:rsid w:val="004F14A5"/>
    <w:rsid w:val="004F1512"/>
    <w:rsid w:val="004F154D"/>
    <w:rsid w:val="004F169B"/>
    <w:rsid w:val="004F1887"/>
    <w:rsid w:val="004F1944"/>
    <w:rsid w:val="004F1A09"/>
    <w:rsid w:val="004F1B44"/>
    <w:rsid w:val="004F1B4D"/>
    <w:rsid w:val="004F1CAD"/>
    <w:rsid w:val="004F1D50"/>
    <w:rsid w:val="004F1EA9"/>
    <w:rsid w:val="004F1FBB"/>
    <w:rsid w:val="004F203B"/>
    <w:rsid w:val="004F2043"/>
    <w:rsid w:val="004F20A7"/>
    <w:rsid w:val="004F2123"/>
    <w:rsid w:val="004F213D"/>
    <w:rsid w:val="004F21EE"/>
    <w:rsid w:val="004F22A2"/>
    <w:rsid w:val="004F237C"/>
    <w:rsid w:val="004F25E9"/>
    <w:rsid w:val="004F25F2"/>
    <w:rsid w:val="004F2605"/>
    <w:rsid w:val="004F2713"/>
    <w:rsid w:val="004F2B7C"/>
    <w:rsid w:val="004F2C7B"/>
    <w:rsid w:val="004F3198"/>
    <w:rsid w:val="004F32BE"/>
    <w:rsid w:val="004F3340"/>
    <w:rsid w:val="004F341C"/>
    <w:rsid w:val="004F3455"/>
    <w:rsid w:val="004F352A"/>
    <w:rsid w:val="004F3685"/>
    <w:rsid w:val="004F3850"/>
    <w:rsid w:val="004F3884"/>
    <w:rsid w:val="004F391E"/>
    <w:rsid w:val="004F3A4D"/>
    <w:rsid w:val="004F3A9F"/>
    <w:rsid w:val="004F3D95"/>
    <w:rsid w:val="004F3F7C"/>
    <w:rsid w:val="004F400B"/>
    <w:rsid w:val="004F40E8"/>
    <w:rsid w:val="004F4120"/>
    <w:rsid w:val="004F440E"/>
    <w:rsid w:val="004F45AC"/>
    <w:rsid w:val="004F45C9"/>
    <w:rsid w:val="004F4617"/>
    <w:rsid w:val="004F4705"/>
    <w:rsid w:val="004F47B8"/>
    <w:rsid w:val="004F489E"/>
    <w:rsid w:val="004F4905"/>
    <w:rsid w:val="004F4A55"/>
    <w:rsid w:val="004F4B19"/>
    <w:rsid w:val="004F4B25"/>
    <w:rsid w:val="004F4DEF"/>
    <w:rsid w:val="004F4E26"/>
    <w:rsid w:val="004F5406"/>
    <w:rsid w:val="004F5584"/>
    <w:rsid w:val="004F564D"/>
    <w:rsid w:val="004F5720"/>
    <w:rsid w:val="004F594B"/>
    <w:rsid w:val="004F5BF3"/>
    <w:rsid w:val="004F5BF8"/>
    <w:rsid w:val="004F5DB0"/>
    <w:rsid w:val="004F5F63"/>
    <w:rsid w:val="004F5FA8"/>
    <w:rsid w:val="004F611A"/>
    <w:rsid w:val="004F617F"/>
    <w:rsid w:val="004F6229"/>
    <w:rsid w:val="004F6393"/>
    <w:rsid w:val="004F63DB"/>
    <w:rsid w:val="004F646C"/>
    <w:rsid w:val="004F646F"/>
    <w:rsid w:val="004F6889"/>
    <w:rsid w:val="004F6981"/>
    <w:rsid w:val="004F6A63"/>
    <w:rsid w:val="004F6A66"/>
    <w:rsid w:val="004F6A82"/>
    <w:rsid w:val="004F6ABC"/>
    <w:rsid w:val="004F6B0C"/>
    <w:rsid w:val="004F6B40"/>
    <w:rsid w:val="004F6BAF"/>
    <w:rsid w:val="004F6C73"/>
    <w:rsid w:val="004F6CF9"/>
    <w:rsid w:val="004F6EC5"/>
    <w:rsid w:val="004F72C4"/>
    <w:rsid w:val="004F737D"/>
    <w:rsid w:val="004F7415"/>
    <w:rsid w:val="004F797F"/>
    <w:rsid w:val="004F7989"/>
    <w:rsid w:val="004F7B8D"/>
    <w:rsid w:val="004F7BEC"/>
    <w:rsid w:val="004F7C08"/>
    <w:rsid w:val="004F7CBE"/>
    <w:rsid w:val="004F7CD6"/>
    <w:rsid w:val="00500150"/>
    <w:rsid w:val="0050030A"/>
    <w:rsid w:val="005003DC"/>
    <w:rsid w:val="00500442"/>
    <w:rsid w:val="00500448"/>
    <w:rsid w:val="005004B2"/>
    <w:rsid w:val="005004D7"/>
    <w:rsid w:val="0050088F"/>
    <w:rsid w:val="005008DF"/>
    <w:rsid w:val="00500913"/>
    <w:rsid w:val="00500948"/>
    <w:rsid w:val="00500A41"/>
    <w:rsid w:val="00500CF4"/>
    <w:rsid w:val="00500E69"/>
    <w:rsid w:val="00500EB4"/>
    <w:rsid w:val="00501105"/>
    <w:rsid w:val="0050145F"/>
    <w:rsid w:val="005014F1"/>
    <w:rsid w:val="0050159E"/>
    <w:rsid w:val="005015C5"/>
    <w:rsid w:val="005015C7"/>
    <w:rsid w:val="00501A3A"/>
    <w:rsid w:val="00501C0A"/>
    <w:rsid w:val="00501DDD"/>
    <w:rsid w:val="00501F06"/>
    <w:rsid w:val="00501F83"/>
    <w:rsid w:val="00501FB7"/>
    <w:rsid w:val="00502058"/>
    <w:rsid w:val="005020CB"/>
    <w:rsid w:val="005020E5"/>
    <w:rsid w:val="0050256F"/>
    <w:rsid w:val="00502617"/>
    <w:rsid w:val="005026A3"/>
    <w:rsid w:val="00502865"/>
    <w:rsid w:val="005028D5"/>
    <w:rsid w:val="005028F7"/>
    <w:rsid w:val="00502A09"/>
    <w:rsid w:val="00502AA4"/>
    <w:rsid w:val="00502BDA"/>
    <w:rsid w:val="00502E77"/>
    <w:rsid w:val="00503105"/>
    <w:rsid w:val="00503138"/>
    <w:rsid w:val="005032D1"/>
    <w:rsid w:val="0050337E"/>
    <w:rsid w:val="005033A0"/>
    <w:rsid w:val="00503553"/>
    <w:rsid w:val="00503593"/>
    <w:rsid w:val="005035D9"/>
    <w:rsid w:val="00503A27"/>
    <w:rsid w:val="00503B7B"/>
    <w:rsid w:val="00503C02"/>
    <w:rsid w:val="00503C40"/>
    <w:rsid w:val="00503CA5"/>
    <w:rsid w:val="00503D36"/>
    <w:rsid w:val="00503E77"/>
    <w:rsid w:val="00503EC8"/>
    <w:rsid w:val="00504097"/>
    <w:rsid w:val="00504242"/>
    <w:rsid w:val="005043F4"/>
    <w:rsid w:val="0050459A"/>
    <w:rsid w:val="00504735"/>
    <w:rsid w:val="005047FC"/>
    <w:rsid w:val="00504833"/>
    <w:rsid w:val="00504A2D"/>
    <w:rsid w:val="00504A59"/>
    <w:rsid w:val="00504D72"/>
    <w:rsid w:val="00504D97"/>
    <w:rsid w:val="00504E0C"/>
    <w:rsid w:val="00504E6B"/>
    <w:rsid w:val="00504E75"/>
    <w:rsid w:val="00504F97"/>
    <w:rsid w:val="0050513F"/>
    <w:rsid w:val="0050549C"/>
    <w:rsid w:val="0050553E"/>
    <w:rsid w:val="00505795"/>
    <w:rsid w:val="0050587F"/>
    <w:rsid w:val="005058BB"/>
    <w:rsid w:val="00505931"/>
    <w:rsid w:val="00505A41"/>
    <w:rsid w:val="00505C1D"/>
    <w:rsid w:val="00505EA4"/>
    <w:rsid w:val="0050602B"/>
    <w:rsid w:val="005060A6"/>
    <w:rsid w:val="00506231"/>
    <w:rsid w:val="005066CF"/>
    <w:rsid w:val="0050681F"/>
    <w:rsid w:val="005069B0"/>
    <w:rsid w:val="00506A53"/>
    <w:rsid w:val="00506A6B"/>
    <w:rsid w:val="00506C1D"/>
    <w:rsid w:val="00506C26"/>
    <w:rsid w:val="00506C4B"/>
    <w:rsid w:val="00506F80"/>
    <w:rsid w:val="005070E7"/>
    <w:rsid w:val="00507300"/>
    <w:rsid w:val="00507419"/>
    <w:rsid w:val="0050759B"/>
    <w:rsid w:val="005076FE"/>
    <w:rsid w:val="00507777"/>
    <w:rsid w:val="0050779A"/>
    <w:rsid w:val="00507898"/>
    <w:rsid w:val="005079EE"/>
    <w:rsid w:val="00507AAA"/>
    <w:rsid w:val="00507AE8"/>
    <w:rsid w:val="00507CCD"/>
    <w:rsid w:val="00507EAA"/>
    <w:rsid w:val="00507F93"/>
    <w:rsid w:val="00510444"/>
    <w:rsid w:val="00510502"/>
    <w:rsid w:val="0051053F"/>
    <w:rsid w:val="00510622"/>
    <w:rsid w:val="0051066B"/>
    <w:rsid w:val="005106CC"/>
    <w:rsid w:val="0051086C"/>
    <w:rsid w:val="005109AB"/>
    <w:rsid w:val="00510CF3"/>
    <w:rsid w:val="00510D95"/>
    <w:rsid w:val="0051122F"/>
    <w:rsid w:val="00511359"/>
    <w:rsid w:val="005115DD"/>
    <w:rsid w:val="005116B3"/>
    <w:rsid w:val="005116BF"/>
    <w:rsid w:val="00511857"/>
    <w:rsid w:val="0051189B"/>
    <w:rsid w:val="005119A1"/>
    <w:rsid w:val="00511C12"/>
    <w:rsid w:val="00511C5C"/>
    <w:rsid w:val="00511CB1"/>
    <w:rsid w:val="00511D0A"/>
    <w:rsid w:val="00511D15"/>
    <w:rsid w:val="00511E17"/>
    <w:rsid w:val="00511F0E"/>
    <w:rsid w:val="005120BF"/>
    <w:rsid w:val="0051224A"/>
    <w:rsid w:val="00512273"/>
    <w:rsid w:val="005122E1"/>
    <w:rsid w:val="005123EA"/>
    <w:rsid w:val="0051256A"/>
    <w:rsid w:val="005128A5"/>
    <w:rsid w:val="00512BAF"/>
    <w:rsid w:val="00512F9F"/>
    <w:rsid w:val="00513069"/>
    <w:rsid w:val="0051322F"/>
    <w:rsid w:val="005133EA"/>
    <w:rsid w:val="005135E5"/>
    <w:rsid w:val="005136A5"/>
    <w:rsid w:val="00513CF5"/>
    <w:rsid w:val="00513DFC"/>
    <w:rsid w:val="0051409A"/>
    <w:rsid w:val="00514133"/>
    <w:rsid w:val="0051418C"/>
    <w:rsid w:val="005142AF"/>
    <w:rsid w:val="005143D0"/>
    <w:rsid w:val="00514599"/>
    <w:rsid w:val="005145A5"/>
    <w:rsid w:val="0051461D"/>
    <w:rsid w:val="00514876"/>
    <w:rsid w:val="005149FA"/>
    <w:rsid w:val="00514B79"/>
    <w:rsid w:val="00514B9E"/>
    <w:rsid w:val="00514D8E"/>
    <w:rsid w:val="00514DC4"/>
    <w:rsid w:val="005152E3"/>
    <w:rsid w:val="00515310"/>
    <w:rsid w:val="00515794"/>
    <w:rsid w:val="005158AB"/>
    <w:rsid w:val="00515AE9"/>
    <w:rsid w:val="00515CF9"/>
    <w:rsid w:val="00515D0C"/>
    <w:rsid w:val="00516058"/>
    <w:rsid w:val="0051631D"/>
    <w:rsid w:val="0051656C"/>
    <w:rsid w:val="0051669B"/>
    <w:rsid w:val="005166D5"/>
    <w:rsid w:val="00516785"/>
    <w:rsid w:val="005169BD"/>
    <w:rsid w:val="00516B44"/>
    <w:rsid w:val="00516DD1"/>
    <w:rsid w:val="00516EA0"/>
    <w:rsid w:val="00516F3C"/>
    <w:rsid w:val="00516FEF"/>
    <w:rsid w:val="005171AE"/>
    <w:rsid w:val="005172A5"/>
    <w:rsid w:val="0051755C"/>
    <w:rsid w:val="005175B6"/>
    <w:rsid w:val="00517682"/>
    <w:rsid w:val="00517770"/>
    <w:rsid w:val="00517860"/>
    <w:rsid w:val="0051789B"/>
    <w:rsid w:val="00517D50"/>
    <w:rsid w:val="00517EC8"/>
    <w:rsid w:val="00517ECF"/>
    <w:rsid w:val="00517FAC"/>
    <w:rsid w:val="00517FF7"/>
    <w:rsid w:val="00520001"/>
    <w:rsid w:val="00520194"/>
    <w:rsid w:val="005202A2"/>
    <w:rsid w:val="0052043D"/>
    <w:rsid w:val="005205E0"/>
    <w:rsid w:val="00520972"/>
    <w:rsid w:val="00520BBD"/>
    <w:rsid w:val="00520BD3"/>
    <w:rsid w:val="00520C07"/>
    <w:rsid w:val="00520D4A"/>
    <w:rsid w:val="00520F1F"/>
    <w:rsid w:val="00520F4E"/>
    <w:rsid w:val="00520F7B"/>
    <w:rsid w:val="005211C6"/>
    <w:rsid w:val="00521206"/>
    <w:rsid w:val="0052127F"/>
    <w:rsid w:val="005214EA"/>
    <w:rsid w:val="005218FB"/>
    <w:rsid w:val="00521A42"/>
    <w:rsid w:val="00521C1B"/>
    <w:rsid w:val="00521C5B"/>
    <w:rsid w:val="00521F09"/>
    <w:rsid w:val="00521FE1"/>
    <w:rsid w:val="00522297"/>
    <w:rsid w:val="005222CC"/>
    <w:rsid w:val="005224A8"/>
    <w:rsid w:val="005224BA"/>
    <w:rsid w:val="005225D7"/>
    <w:rsid w:val="0052262C"/>
    <w:rsid w:val="0052286A"/>
    <w:rsid w:val="005228CE"/>
    <w:rsid w:val="005229F1"/>
    <w:rsid w:val="00522A0F"/>
    <w:rsid w:val="00522A29"/>
    <w:rsid w:val="00522AD4"/>
    <w:rsid w:val="00522B57"/>
    <w:rsid w:val="00522CE0"/>
    <w:rsid w:val="00522CF7"/>
    <w:rsid w:val="00522D88"/>
    <w:rsid w:val="00522EF2"/>
    <w:rsid w:val="005231B7"/>
    <w:rsid w:val="00523327"/>
    <w:rsid w:val="0052369D"/>
    <w:rsid w:val="0052377F"/>
    <w:rsid w:val="0052379B"/>
    <w:rsid w:val="00523803"/>
    <w:rsid w:val="0052383B"/>
    <w:rsid w:val="005238ED"/>
    <w:rsid w:val="00523A00"/>
    <w:rsid w:val="00523B62"/>
    <w:rsid w:val="00523C55"/>
    <w:rsid w:val="00523CC2"/>
    <w:rsid w:val="00523CCB"/>
    <w:rsid w:val="00523DC4"/>
    <w:rsid w:val="00523DD6"/>
    <w:rsid w:val="00523E26"/>
    <w:rsid w:val="00523FE9"/>
    <w:rsid w:val="00523FEB"/>
    <w:rsid w:val="00523FED"/>
    <w:rsid w:val="0052419D"/>
    <w:rsid w:val="00524310"/>
    <w:rsid w:val="00524466"/>
    <w:rsid w:val="0052453B"/>
    <w:rsid w:val="00524617"/>
    <w:rsid w:val="00524623"/>
    <w:rsid w:val="00524635"/>
    <w:rsid w:val="0052467A"/>
    <w:rsid w:val="0052487B"/>
    <w:rsid w:val="00524959"/>
    <w:rsid w:val="00524D81"/>
    <w:rsid w:val="005251FE"/>
    <w:rsid w:val="00525260"/>
    <w:rsid w:val="00525325"/>
    <w:rsid w:val="00525361"/>
    <w:rsid w:val="00525378"/>
    <w:rsid w:val="00525440"/>
    <w:rsid w:val="0052557B"/>
    <w:rsid w:val="00525666"/>
    <w:rsid w:val="005257C4"/>
    <w:rsid w:val="0052599D"/>
    <w:rsid w:val="00525A1F"/>
    <w:rsid w:val="00525D22"/>
    <w:rsid w:val="00526108"/>
    <w:rsid w:val="0052612E"/>
    <w:rsid w:val="0052646B"/>
    <w:rsid w:val="005264A5"/>
    <w:rsid w:val="0052652A"/>
    <w:rsid w:val="00526706"/>
    <w:rsid w:val="0052685B"/>
    <w:rsid w:val="00526B00"/>
    <w:rsid w:val="00526BB5"/>
    <w:rsid w:val="00526BFC"/>
    <w:rsid w:val="00526CAB"/>
    <w:rsid w:val="00527077"/>
    <w:rsid w:val="005270C9"/>
    <w:rsid w:val="0052710A"/>
    <w:rsid w:val="0052717B"/>
    <w:rsid w:val="00527281"/>
    <w:rsid w:val="005272B2"/>
    <w:rsid w:val="0052731E"/>
    <w:rsid w:val="00527412"/>
    <w:rsid w:val="00527489"/>
    <w:rsid w:val="00527569"/>
    <w:rsid w:val="005275B7"/>
    <w:rsid w:val="005275C4"/>
    <w:rsid w:val="00527633"/>
    <w:rsid w:val="0052768B"/>
    <w:rsid w:val="00527713"/>
    <w:rsid w:val="00527735"/>
    <w:rsid w:val="0052797A"/>
    <w:rsid w:val="00527A5C"/>
    <w:rsid w:val="00527B55"/>
    <w:rsid w:val="00527D33"/>
    <w:rsid w:val="005301E9"/>
    <w:rsid w:val="005301F8"/>
    <w:rsid w:val="00530261"/>
    <w:rsid w:val="00530285"/>
    <w:rsid w:val="005304EA"/>
    <w:rsid w:val="00530680"/>
    <w:rsid w:val="005309F5"/>
    <w:rsid w:val="00530A16"/>
    <w:rsid w:val="00530ACA"/>
    <w:rsid w:val="00530AE8"/>
    <w:rsid w:val="00530B29"/>
    <w:rsid w:val="00530BDD"/>
    <w:rsid w:val="00530CB2"/>
    <w:rsid w:val="00530D4B"/>
    <w:rsid w:val="00530DDB"/>
    <w:rsid w:val="00530F8F"/>
    <w:rsid w:val="005312FC"/>
    <w:rsid w:val="00531332"/>
    <w:rsid w:val="005318F2"/>
    <w:rsid w:val="00531A44"/>
    <w:rsid w:val="00531AB4"/>
    <w:rsid w:val="00531BBE"/>
    <w:rsid w:val="00531CF0"/>
    <w:rsid w:val="00531CFD"/>
    <w:rsid w:val="00531D1E"/>
    <w:rsid w:val="00531E89"/>
    <w:rsid w:val="00531EFC"/>
    <w:rsid w:val="00532119"/>
    <w:rsid w:val="00532167"/>
    <w:rsid w:val="005321A2"/>
    <w:rsid w:val="0053222D"/>
    <w:rsid w:val="0053240D"/>
    <w:rsid w:val="0053250F"/>
    <w:rsid w:val="00532797"/>
    <w:rsid w:val="005327B2"/>
    <w:rsid w:val="00532890"/>
    <w:rsid w:val="00532900"/>
    <w:rsid w:val="00532998"/>
    <w:rsid w:val="00532A3A"/>
    <w:rsid w:val="00532C96"/>
    <w:rsid w:val="00532D0A"/>
    <w:rsid w:val="00532EC4"/>
    <w:rsid w:val="00532F17"/>
    <w:rsid w:val="005331AE"/>
    <w:rsid w:val="005338EE"/>
    <w:rsid w:val="0053396C"/>
    <w:rsid w:val="00533982"/>
    <w:rsid w:val="00533BD0"/>
    <w:rsid w:val="00533C3A"/>
    <w:rsid w:val="00533C61"/>
    <w:rsid w:val="00533D34"/>
    <w:rsid w:val="00533E53"/>
    <w:rsid w:val="00533F94"/>
    <w:rsid w:val="00533FD3"/>
    <w:rsid w:val="00534063"/>
    <w:rsid w:val="00534086"/>
    <w:rsid w:val="005340B5"/>
    <w:rsid w:val="005340DA"/>
    <w:rsid w:val="0053423F"/>
    <w:rsid w:val="0053433A"/>
    <w:rsid w:val="005344D6"/>
    <w:rsid w:val="00534652"/>
    <w:rsid w:val="00534782"/>
    <w:rsid w:val="00534921"/>
    <w:rsid w:val="0053493B"/>
    <w:rsid w:val="005349B4"/>
    <w:rsid w:val="00534B08"/>
    <w:rsid w:val="00534B61"/>
    <w:rsid w:val="00534E97"/>
    <w:rsid w:val="00534EB3"/>
    <w:rsid w:val="00534EF2"/>
    <w:rsid w:val="005350AB"/>
    <w:rsid w:val="005351BC"/>
    <w:rsid w:val="005351C6"/>
    <w:rsid w:val="005351E8"/>
    <w:rsid w:val="0053529A"/>
    <w:rsid w:val="005352D1"/>
    <w:rsid w:val="0053537E"/>
    <w:rsid w:val="0053543A"/>
    <w:rsid w:val="00535458"/>
    <w:rsid w:val="00535498"/>
    <w:rsid w:val="005354AE"/>
    <w:rsid w:val="00535921"/>
    <w:rsid w:val="00535E2A"/>
    <w:rsid w:val="00535F39"/>
    <w:rsid w:val="0053603D"/>
    <w:rsid w:val="00536125"/>
    <w:rsid w:val="0053626E"/>
    <w:rsid w:val="00536339"/>
    <w:rsid w:val="0053636E"/>
    <w:rsid w:val="0053657C"/>
    <w:rsid w:val="005366B3"/>
    <w:rsid w:val="005367E2"/>
    <w:rsid w:val="00536990"/>
    <w:rsid w:val="00536CCC"/>
    <w:rsid w:val="00537395"/>
    <w:rsid w:val="005374CE"/>
    <w:rsid w:val="00537675"/>
    <w:rsid w:val="005376E8"/>
    <w:rsid w:val="00537865"/>
    <w:rsid w:val="00537A7B"/>
    <w:rsid w:val="00537AE1"/>
    <w:rsid w:val="00537B4E"/>
    <w:rsid w:val="00537BDE"/>
    <w:rsid w:val="00537D47"/>
    <w:rsid w:val="00537F12"/>
    <w:rsid w:val="005400F3"/>
    <w:rsid w:val="00540119"/>
    <w:rsid w:val="0054012C"/>
    <w:rsid w:val="0054057E"/>
    <w:rsid w:val="00540848"/>
    <w:rsid w:val="00540A30"/>
    <w:rsid w:val="00540B5A"/>
    <w:rsid w:val="00540FE1"/>
    <w:rsid w:val="0054100E"/>
    <w:rsid w:val="0054114B"/>
    <w:rsid w:val="00541154"/>
    <w:rsid w:val="005412B0"/>
    <w:rsid w:val="005413C0"/>
    <w:rsid w:val="005414BF"/>
    <w:rsid w:val="00541938"/>
    <w:rsid w:val="00541B2E"/>
    <w:rsid w:val="00541BB7"/>
    <w:rsid w:val="00541CF5"/>
    <w:rsid w:val="00541D04"/>
    <w:rsid w:val="00541DA9"/>
    <w:rsid w:val="00541F6B"/>
    <w:rsid w:val="005420AB"/>
    <w:rsid w:val="005423E8"/>
    <w:rsid w:val="00542402"/>
    <w:rsid w:val="00542410"/>
    <w:rsid w:val="0054254E"/>
    <w:rsid w:val="00542663"/>
    <w:rsid w:val="00542799"/>
    <w:rsid w:val="005427BE"/>
    <w:rsid w:val="005428F2"/>
    <w:rsid w:val="00542AC7"/>
    <w:rsid w:val="00542AF1"/>
    <w:rsid w:val="00542B53"/>
    <w:rsid w:val="00542CF8"/>
    <w:rsid w:val="00542DAF"/>
    <w:rsid w:val="00542E21"/>
    <w:rsid w:val="00542EBA"/>
    <w:rsid w:val="00542F9B"/>
    <w:rsid w:val="00543059"/>
    <w:rsid w:val="00543189"/>
    <w:rsid w:val="00543362"/>
    <w:rsid w:val="00543391"/>
    <w:rsid w:val="00543495"/>
    <w:rsid w:val="00543654"/>
    <w:rsid w:val="005436D7"/>
    <w:rsid w:val="005436D9"/>
    <w:rsid w:val="00543728"/>
    <w:rsid w:val="0054376A"/>
    <w:rsid w:val="005437FA"/>
    <w:rsid w:val="00543BF1"/>
    <w:rsid w:val="00543C95"/>
    <w:rsid w:val="00543D69"/>
    <w:rsid w:val="00543D73"/>
    <w:rsid w:val="00543E4E"/>
    <w:rsid w:val="00543F98"/>
    <w:rsid w:val="00543FD5"/>
    <w:rsid w:val="005441ED"/>
    <w:rsid w:val="00544376"/>
    <w:rsid w:val="0054439B"/>
    <w:rsid w:val="0054448F"/>
    <w:rsid w:val="0054490A"/>
    <w:rsid w:val="00544986"/>
    <w:rsid w:val="00544AC1"/>
    <w:rsid w:val="00544B6D"/>
    <w:rsid w:val="00544DEA"/>
    <w:rsid w:val="00544E86"/>
    <w:rsid w:val="00544E98"/>
    <w:rsid w:val="00544EFF"/>
    <w:rsid w:val="00545325"/>
    <w:rsid w:val="005455E6"/>
    <w:rsid w:val="00545C6E"/>
    <w:rsid w:val="00545CD0"/>
    <w:rsid w:val="00545E54"/>
    <w:rsid w:val="005460BF"/>
    <w:rsid w:val="00546169"/>
    <w:rsid w:val="0054636D"/>
    <w:rsid w:val="00546463"/>
    <w:rsid w:val="0054648A"/>
    <w:rsid w:val="005467BA"/>
    <w:rsid w:val="0054690F"/>
    <w:rsid w:val="00546996"/>
    <w:rsid w:val="00546AAA"/>
    <w:rsid w:val="00546BC6"/>
    <w:rsid w:val="00546DC0"/>
    <w:rsid w:val="005472FC"/>
    <w:rsid w:val="005473DA"/>
    <w:rsid w:val="0054746E"/>
    <w:rsid w:val="00547548"/>
    <w:rsid w:val="0054769F"/>
    <w:rsid w:val="005477D7"/>
    <w:rsid w:val="00547990"/>
    <w:rsid w:val="005479C5"/>
    <w:rsid w:val="005479F9"/>
    <w:rsid w:val="00547A7E"/>
    <w:rsid w:val="00547A93"/>
    <w:rsid w:val="00547AE8"/>
    <w:rsid w:val="00547BA7"/>
    <w:rsid w:val="00547E21"/>
    <w:rsid w:val="00547EB6"/>
    <w:rsid w:val="00547F80"/>
    <w:rsid w:val="00550001"/>
    <w:rsid w:val="00550097"/>
    <w:rsid w:val="0055011D"/>
    <w:rsid w:val="005501A1"/>
    <w:rsid w:val="005502B5"/>
    <w:rsid w:val="005502BE"/>
    <w:rsid w:val="0055052E"/>
    <w:rsid w:val="00550620"/>
    <w:rsid w:val="00550681"/>
    <w:rsid w:val="0055069C"/>
    <w:rsid w:val="005506B5"/>
    <w:rsid w:val="00550749"/>
    <w:rsid w:val="00550759"/>
    <w:rsid w:val="00550810"/>
    <w:rsid w:val="005508FF"/>
    <w:rsid w:val="00550916"/>
    <w:rsid w:val="00550BA4"/>
    <w:rsid w:val="00550BE5"/>
    <w:rsid w:val="00550C76"/>
    <w:rsid w:val="00550F84"/>
    <w:rsid w:val="005510C2"/>
    <w:rsid w:val="005512B8"/>
    <w:rsid w:val="00551403"/>
    <w:rsid w:val="00551624"/>
    <w:rsid w:val="005518BC"/>
    <w:rsid w:val="005518DB"/>
    <w:rsid w:val="00551992"/>
    <w:rsid w:val="00551D2C"/>
    <w:rsid w:val="00551D6E"/>
    <w:rsid w:val="00551FA6"/>
    <w:rsid w:val="00552022"/>
    <w:rsid w:val="0055215E"/>
    <w:rsid w:val="00552197"/>
    <w:rsid w:val="005521D8"/>
    <w:rsid w:val="005521E0"/>
    <w:rsid w:val="00552235"/>
    <w:rsid w:val="00552789"/>
    <w:rsid w:val="0055279A"/>
    <w:rsid w:val="00552BCA"/>
    <w:rsid w:val="00552D65"/>
    <w:rsid w:val="00552DA7"/>
    <w:rsid w:val="00552E1D"/>
    <w:rsid w:val="00552E21"/>
    <w:rsid w:val="00552E52"/>
    <w:rsid w:val="00552EF1"/>
    <w:rsid w:val="00552F55"/>
    <w:rsid w:val="005530A2"/>
    <w:rsid w:val="005530A6"/>
    <w:rsid w:val="005530AA"/>
    <w:rsid w:val="00553118"/>
    <w:rsid w:val="00553121"/>
    <w:rsid w:val="00553330"/>
    <w:rsid w:val="00553451"/>
    <w:rsid w:val="0055364A"/>
    <w:rsid w:val="0055366B"/>
    <w:rsid w:val="005536F0"/>
    <w:rsid w:val="00553757"/>
    <w:rsid w:val="00553965"/>
    <w:rsid w:val="0055399B"/>
    <w:rsid w:val="00553AA7"/>
    <w:rsid w:val="00553B08"/>
    <w:rsid w:val="00553C98"/>
    <w:rsid w:val="00553E2E"/>
    <w:rsid w:val="00553E36"/>
    <w:rsid w:val="00554230"/>
    <w:rsid w:val="005542DB"/>
    <w:rsid w:val="005542F8"/>
    <w:rsid w:val="0055451A"/>
    <w:rsid w:val="00554643"/>
    <w:rsid w:val="0055468C"/>
    <w:rsid w:val="00554851"/>
    <w:rsid w:val="005549FC"/>
    <w:rsid w:val="00554A39"/>
    <w:rsid w:val="00554B49"/>
    <w:rsid w:val="00554B57"/>
    <w:rsid w:val="00554DB7"/>
    <w:rsid w:val="00554DB8"/>
    <w:rsid w:val="00554DF4"/>
    <w:rsid w:val="005551B9"/>
    <w:rsid w:val="005551DF"/>
    <w:rsid w:val="00555232"/>
    <w:rsid w:val="00555299"/>
    <w:rsid w:val="005552D1"/>
    <w:rsid w:val="00555467"/>
    <w:rsid w:val="00555515"/>
    <w:rsid w:val="00555926"/>
    <w:rsid w:val="00555953"/>
    <w:rsid w:val="00555957"/>
    <w:rsid w:val="00555ADA"/>
    <w:rsid w:val="00555D14"/>
    <w:rsid w:val="00555E1A"/>
    <w:rsid w:val="00555E3A"/>
    <w:rsid w:val="00556106"/>
    <w:rsid w:val="005561C6"/>
    <w:rsid w:val="0055621C"/>
    <w:rsid w:val="00556378"/>
    <w:rsid w:val="0055640A"/>
    <w:rsid w:val="00556461"/>
    <w:rsid w:val="0055648D"/>
    <w:rsid w:val="005565EA"/>
    <w:rsid w:val="00556B78"/>
    <w:rsid w:val="00556C57"/>
    <w:rsid w:val="00556F65"/>
    <w:rsid w:val="00556FD2"/>
    <w:rsid w:val="00557213"/>
    <w:rsid w:val="005574A3"/>
    <w:rsid w:val="005576AE"/>
    <w:rsid w:val="00557770"/>
    <w:rsid w:val="0055779A"/>
    <w:rsid w:val="005578CF"/>
    <w:rsid w:val="005578DB"/>
    <w:rsid w:val="00557BAF"/>
    <w:rsid w:val="00557CC0"/>
    <w:rsid w:val="00557F9D"/>
    <w:rsid w:val="005600E5"/>
    <w:rsid w:val="005604D9"/>
    <w:rsid w:val="00560595"/>
    <w:rsid w:val="0056065A"/>
    <w:rsid w:val="00560733"/>
    <w:rsid w:val="00560746"/>
    <w:rsid w:val="00560873"/>
    <w:rsid w:val="00560997"/>
    <w:rsid w:val="00560B73"/>
    <w:rsid w:val="00560B9C"/>
    <w:rsid w:val="00560BA7"/>
    <w:rsid w:val="00560D7C"/>
    <w:rsid w:val="00560E3D"/>
    <w:rsid w:val="00560F20"/>
    <w:rsid w:val="00560FC2"/>
    <w:rsid w:val="00560FD0"/>
    <w:rsid w:val="00561054"/>
    <w:rsid w:val="00561077"/>
    <w:rsid w:val="00561151"/>
    <w:rsid w:val="00561269"/>
    <w:rsid w:val="005613C4"/>
    <w:rsid w:val="005613EA"/>
    <w:rsid w:val="0056177C"/>
    <w:rsid w:val="005617A4"/>
    <w:rsid w:val="00561977"/>
    <w:rsid w:val="00561B46"/>
    <w:rsid w:val="00561C88"/>
    <w:rsid w:val="00561D56"/>
    <w:rsid w:val="00561D5C"/>
    <w:rsid w:val="00561D67"/>
    <w:rsid w:val="00561F93"/>
    <w:rsid w:val="00561FEB"/>
    <w:rsid w:val="005620BE"/>
    <w:rsid w:val="00562182"/>
    <w:rsid w:val="00562286"/>
    <w:rsid w:val="005623CB"/>
    <w:rsid w:val="00562487"/>
    <w:rsid w:val="005624EF"/>
    <w:rsid w:val="005626BA"/>
    <w:rsid w:val="00562783"/>
    <w:rsid w:val="0056296D"/>
    <w:rsid w:val="00562A17"/>
    <w:rsid w:val="00562BAB"/>
    <w:rsid w:val="00562D9E"/>
    <w:rsid w:val="00562F82"/>
    <w:rsid w:val="005631A0"/>
    <w:rsid w:val="0056328D"/>
    <w:rsid w:val="005632A9"/>
    <w:rsid w:val="0056330C"/>
    <w:rsid w:val="005634C7"/>
    <w:rsid w:val="005635D4"/>
    <w:rsid w:val="00563606"/>
    <w:rsid w:val="0056369A"/>
    <w:rsid w:val="005637B6"/>
    <w:rsid w:val="00563870"/>
    <w:rsid w:val="00563875"/>
    <w:rsid w:val="00563918"/>
    <w:rsid w:val="00563AAC"/>
    <w:rsid w:val="00563AC9"/>
    <w:rsid w:val="00563BB6"/>
    <w:rsid w:val="00563BC0"/>
    <w:rsid w:val="00563C37"/>
    <w:rsid w:val="00563F67"/>
    <w:rsid w:val="00563F91"/>
    <w:rsid w:val="00563FD2"/>
    <w:rsid w:val="00563FD9"/>
    <w:rsid w:val="00564069"/>
    <w:rsid w:val="00564188"/>
    <w:rsid w:val="00564254"/>
    <w:rsid w:val="00564538"/>
    <w:rsid w:val="0056475F"/>
    <w:rsid w:val="005648A3"/>
    <w:rsid w:val="00564933"/>
    <w:rsid w:val="005649DE"/>
    <w:rsid w:val="00564BFB"/>
    <w:rsid w:val="00564CA3"/>
    <w:rsid w:val="00564DC4"/>
    <w:rsid w:val="00565230"/>
    <w:rsid w:val="00565444"/>
    <w:rsid w:val="0056547D"/>
    <w:rsid w:val="005654EB"/>
    <w:rsid w:val="00565721"/>
    <w:rsid w:val="00565858"/>
    <w:rsid w:val="00565A2B"/>
    <w:rsid w:val="00565A44"/>
    <w:rsid w:val="00565B3D"/>
    <w:rsid w:val="00565C7B"/>
    <w:rsid w:val="00565E09"/>
    <w:rsid w:val="00565EA4"/>
    <w:rsid w:val="00565FDD"/>
    <w:rsid w:val="005661B3"/>
    <w:rsid w:val="005661D5"/>
    <w:rsid w:val="005661FB"/>
    <w:rsid w:val="005662B8"/>
    <w:rsid w:val="005662BD"/>
    <w:rsid w:val="0056630C"/>
    <w:rsid w:val="005664F1"/>
    <w:rsid w:val="00566711"/>
    <w:rsid w:val="0056678D"/>
    <w:rsid w:val="00566867"/>
    <w:rsid w:val="00566A0F"/>
    <w:rsid w:val="00566AB2"/>
    <w:rsid w:val="00566B6A"/>
    <w:rsid w:val="00566BD6"/>
    <w:rsid w:val="00566BDF"/>
    <w:rsid w:val="00566C51"/>
    <w:rsid w:val="00566E0C"/>
    <w:rsid w:val="00566E76"/>
    <w:rsid w:val="00566ED3"/>
    <w:rsid w:val="0056716F"/>
    <w:rsid w:val="005671A2"/>
    <w:rsid w:val="005671CF"/>
    <w:rsid w:val="005672D6"/>
    <w:rsid w:val="00567553"/>
    <w:rsid w:val="00567708"/>
    <w:rsid w:val="00567854"/>
    <w:rsid w:val="0056792A"/>
    <w:rsid w:val="00567CF5"/>
    <w:rsid w:val="00567D2C"/>
    <w:rsid w:val="00567E36"/>
    <w:rsid w:val="00567E70"/>
    <w:rsid w:val="00567EAB"/>
    <w:rsid w:val="00567ED2"/>
    <w:rsid w:val="00567F0F"/>
    <w:rsid w:val="0057012A"/>
    <w:rsid w:val="00570289"/>
    <w:rsid w:val="005705D1"/>
    <w:rsid w:val="005706A0"/>
    <w:rsid w:val="005706B1"/>
    <w:rsid w:val="005707C2"/>
    <w:rsid w:val="005707D8"/>
    <w:rsid w:val="00570864"/>
    <w:rsid w:val="00570927"/>
    <w:rsid w:val="0057096A"/>
    <w:rsid w:val="00570FAB"/>
    <w:rsid w:val="00570FEA"/>
    <w:rsid w:val="00571379"/>
    <w:rsid w:val="005717B1"/>
    <w:rsid w:val="00571829"/>
    <w:rsid w:val="005719CD"/>
    <w:rsid w:val="00571A60"/>
    <w:rsid w:val="00571AD1"/>
    <w:rsid w:val="00571BCC"/>
    <w:rsid w:val="00571C2A"/>
    <w:rsid w:val="00571D0F"/>
    <w:rsid w:val="00571DA6"/>
    <w:rsid w:val="00571E90"/>
    <w:rsid w:val="00571EC3"/>
    <w:rsid w:val="00571F80"/>
    <w:rsid w:val="0057206E"/>
    <w:rsid w:val="00572155"/>
    <w:rsid w:val="00572338"/>
    <w:rsid w:val="00572387"/>
    <w:rsid w:val="0057260B"/>
    <w:rsid w:val="00572668"/>
    <w:rsid w:val="005726E5"/>
    <w:rsid w:val="0057275E"/>
    <w:rsid w:val="00572899"/>
    <w:rsid w:val="0057295A"/>
    <w:rsid w:val="00572971"/>
    <w:rsid w:val="005729A4"/>
    <w:rsid w:val="00572A1F"/>
    <w:rsid w:val="00572BAE"/>
    <w:rsid w:val="00572C56"/>
    <w:rsid w:val="00572C7D"/>
    <w:rsid w:val="00572DF0"/>
    <w:rsid w:val="00572F7C"/>
    <w:rsid w:val="00573174"/>
    <w:rsid w:val="005733B5"/>
    <w:rsid w:val="00573415"/>
    <w:rsid w:val="0057347C"/>
    <w:rsid w:val="005734B0"/>
    <w:rsid w:val="0057370D"/>
    <w:rsid w:val="005737E6"/>
    <w:rsid w:val="00573847"/>
    <w:rsid w:val="005738D9"/>
    <w:rsid w:val="00573A57"/>
    <w:rsid w:val="00573C2A"/>
    <w:rsid w:val="00573C83"/>
    <w:rsid w:val="00573CEF"/>
    <w:rsid w:val="00573E32"/>
    <w:rsid w:val="00573E4E"/>
    <w:rsid w:val="00573F7B"/>
    <w:rsid w:val="00573F92"/>
    <w:rsid w:val="005740A1"/>
    <w:rsid w:val="00574178"/>
    <w:rsid w:val="00574180"/>
    <w:rsid w:val="00574199"/>
    <w:rsid w:val="00574287"/>
    <w:rsid w:val="005742EB"/>
    <w:rsid w:val="00574381"/>
    <w:rsid w:val="0057454D"/>
    <w:rsid w:val="00574649"/>
    <w:rsid w:val="005747A4"/>
    <w:rsid w:val="00574904"/>
    <w:rsid w:val="005749ED"/>
    <w:rsid w:val="00574B0D"/>
    <w:rsid w:val="00574BB5"/>
    <w:rsid w:val="00574BB9"/>
    <w:rsid w:val="00574C25"/>
    <w:rsid w:val="0057508B"/>
    <w:rsid w:val="00575287"/>
    <w:rsid w:val="005752C6"/>
    <w:rsid w:val="005752FC"/>
    <w:rsid w:val="005753D2"/>
    <w:rsid w:val="0057542E"/>
    <w:rsid w:val="00575453"/>
    <w:rsid w:val="005755ED"/>
    <w:rsid w:val="00575613"/>
    <w:rsid w:val="00575620"/>
    <w:rsid w:val="00575690"/>
    <w:rsid w:val="00575862"/>
    <w:rsid w:val="00575877"/>
    <w:rsid w:val="005759C6"/>
    <w:rsid w:val="00575B5D"/>
    <w:rsid w:val="00575BDF"/>
    <w:rsid w:val="00576043"/>
    <w:rsid w:val="00576169"/>
    <w:rsid w:val="005761AA"/>
    <w:rsid w:val="00576395"/>
    <w:rsid w:val="00576546"/>
    <w:rsid w:val="005766E4"/>
    <w:rsid w:val="00576701"/>
    <w:rsid w:val="00576772"/>
    <w:rsid w:val="0057679E"/>
    <w:rsid w:val="005768B2"/>
    <w:rsid w:val="00576903"/>
    <w:rsid w:val="0057690C"/>
    <w:rsid w:val="00576951"/>
    <w:rsid w:val="00576AF1"/>
    <w:rsid w:val="00576B3F"/>
    <w:rsid w:val="00576B60"/>
    <w:rsid w:val="00576C44"/>
    <w:rsid w:val="00576C7A"/>
    <w:rsid w:val="00576CA3"/>
    <w:rsid w:val="00576D36"/>
    <w:rsid w:val="00576E24"/>
    <w:rsid w:val="00576F43"/>
    <w:rsid w:val="00576F81"/>
    <w:rsid w:val="00577167"/>
    <w:rsid w:val="00577193"/>
    <w:rsid w:val="005771E2"/>
    <w:rsid w:val="0057725E"/>
    <w:rsid w:val="0057730E"/>
    <w:rsid w:val="005775FA"/>
    <w:rsid w:val="00577702"/>
    <w:rsid w:val="00577832"/>
    <w:rsid w:val="00577887"/>
    <w:rsid w:val="005778B7"/>
    <w:rsid w:val="00577C47"/>
    <w:rsid w:val="00577D2C"/>
    <w:rsid w:val="00577D6B"/>
    <w:rsid w:val="00577E16"/>
    <w:rsid w:val="00577F56"/>
    <w:rsid w:val="00577FB6"/>
    <w:rsid w:val="00580014"/>
    <w:rsid w:val="00580139"/>
    <w:rsid w:val="0058018F"/>
    <w:rsid w:val="0058029C"/>
    <w:rsid w:val="005802D3"/>
    <w:rsid w:val="00580396"/>
    <w:rsid w:val="005803FA"/>
    <w:rsid w:val="005804B1"/>
    <w:rsid w:val="005805CE"/>
    <w:rsid w:val="0058085B"/>
    <w:rsid w:val="00580933"/>
    <w:rsid w:val="0058098A"/>
    <w:rsid w:val="00580AF1"/>
    <w:rsid w:val="00580BC9"/>
    <w:rsid w:val="00580ECB"/>
    <w:rsid w:val="00581157"/>
    <w:rsid w:val="005812CF"/>
    <w:rsid w:val="005812F5"/>
    <w:rsid w:val="0058133F"/>
    <w:rsid w:val="0058139C"/>
    <w:rsid w:val="00581611"/>
    <w:rsid w:val="005816C9"/>
    <w:rsid w:val="0058191C"/>
    <w:rsid w:val="0058193E"/>
    <w:rsid w:val="00581B4C"/>
    <w:rsid w:val="00581C03"/>
    <w:rsid w:val="00581D75"/>
    <w:rsid w:val="00581D7A"/>
    <w:rsid w:val="00582094"/>
    <w:rsid w:val="005820A9"/>
    <w:rsid w:val="005822BD"/>
    <w:rsid w:val="005822F1"/>
    <w:rsid w:val="005823AC"/>
    <w:rsid w:val="005824EC"/>
    <w:rsid w:val="005825F2"/>
    <w:rsid w:val="0058262E"/>
    <w:rsid w:val="0058280A"/>
    <w:rsid w:val="00582877"/>
    <w:rsid w:val="00582AF3"/>
    <w:rsid w:val="00582B32"/>
    <w:rsid w:val="00582CDF"/>
    <w:rsid w:val="00582DCB"/>
    <w:rsid w:val="00582DEC"/>
    <w:rsid w:val="00582EAF"/>
    <w:rsid w:val="00583251"/>
    <w:rsid w:val="0058325D"/>
    <w:rsid w:val="00583281"/>
    <w:rsid w:val="0058333D"/>
    <w:rsid w:val="0058348F"/>
    <w:rsid w:val="005835C0"/>
    <w:rsid w:val="005835EF"/>
    <w:rsid w:val="00583900"/>
    <w:rsid w:val="0058392D"/>
    <w:rsid w:val="00583BC4"/>
    <w:rsid w:val="00583BCC"/>
    <w:rsid w:val="00583C6F"/>
    <w:rsid w:val="00583DC8"/>
    <w:rsid w:val="00583DEE"/>
    <w:rsid w:val="005841F5"/>
    <w:rsid w:val="00584298"/>
    <w:rsid w:val="00584383"/>
    <w:rsid w:val="00584414"/>
    <w:rsid w:val="005844A9"/>
    <w:rsid w:val="00584799"/>
    <w:rsid w:val="0058481A"/>
    <w:rsid w:val="00584953"/>
    <w:rsid w:val="00584978"/>
    <w:rsid w:val="00584985"/>
    <w:rsid w:val="00584A7D"/>
    <w:rsid w:val="00584AF6"/>
    <w:rsid w:val="00584B6F"/>
    <w:rsid w:val="00584BA9"/>
    <w:rsid w:val="00584C71"/>
    <w:rsid w:val="00584E45"/>
    <w:rsid w:val="00584F7B"/>
    <w:rsid w:val="0058504F"/>
    <w:rsid w:val="00585061"/>
    <w:rsid w:val="00585144"/>
    <w:rsid w:val="0058522C"/>
    <w:rsid w:val="005854BC"/>
    <w:rsid w:val="005858D5"/>
    <w:rsid w:val="00585A01"/>
    <w:rsid w:val="00585ACC"/>
    <w:rsid w:val="00585B69"/>
    <w:rsid w:val="00585BC7"/>
    <w:rsid w:val="00585E09"/>
    <w:rsid w:val="00585E3F"/>
    <w:rsid w:val="00585F3E"/>
    <w:rsid w:val="00585F73"/>
    <w:rsid w:val="005865D5"/>
    <w:rsid w:val="005866F6"/>
    <w:rsid w:val="005868DE"/>
    <w:rsid w:val="00586AE1"/>
    <w:rsid w:val="00586C9E"/>
    <w:rsid w:val="00586D38"/>
    <w:rsid w:val="00586DE5"/>
    <w:rsid w:val="00586F6F"/>
    <w:rsid w:val="00587033"/>
    <w:rsid w:val="005870A0"/>
    <w:rsid w:val="0058722E"/>
    <w:rsid w:val="00587399"/>
    <w:rsid w:val="005873BB"/>
    <w:rsid w:val="00587477"/>
    <w:rsid w:val="00587AE1"/>
    <w:rsid w:val="00587F0E"/>
    <w:rsid w:val="00587FE7"/>
    <w:rsid w:val="00590399"/>
    <w:rsid w:val="00590579"/>
    <w:rsid w:val="005905DF"/>
    <w:rsid w:val="0059060D"/>
    <w:rsid w:val="005906B1"/>
    <w:rsid w:val="0059086C"/>
    <w:rsid w:val="00590F17"/>
    <w:rsid w:val="00590F7A"/>
    <w:rsid w:val="00590FBF"/>
    <w:rsid w:val="005910CE"/>
    <w:rsid w:val="005911CA"/>
    <w:rsid w:val="005911E5"/>
    <w:rsid w:val="0059127E"/>
    <w:rsid w:val="005912E5"/>
    <w:rsid w:val="005913B3"/>
    <w:rsid w:val="00591452"/>
    <w:rsid w:val="00591538"/>
    <w:rsid w:val="005915F4"/>
    <w:rsid w:val="005916F8"/>
    <w:rsid w:val="005919D1"/>
    <w:rsid w:val="00591B9C"/>
    <w:rsid w:val="00591CF8"/>
    <w:rsid w:val="00591D66"/>
    <w:rsid w:val="00591E1B"/>
    <w:rsid w:val="00591F96"/>
    <w:rsid w:val="005920C2"/>
    <w:rsid w:val="00592235"/>
    <w:rsid w:val="0059246D"/>
    <w:rsid w:val="005924AF"/>
    <w:rsid w:val="00592516"/>
    <w:rsid w:val="005926FB"/>
    <w:rsid w:val="00592942"/>
    <w:rsid w:val="00592C33"/>
    <w:rsid w:val="00592CA2"/>
    <w:rsid w:val="00592CF1"/>
    <w:rsid w:val="00592D1E"/>
    <w:rsid w:val="00592FEE"/>
    <w:rsid w:val="0059300A"/>
    <w:rsid w:val="00593016"/>
    <w:rsid w:val="0059315F"/>
    <w:rsid w:val="00593319"/>
    <w:rsid w:val="00593472"/>
    <w:rsid w:val="005934C8"/>
    <w:rsid w:val="0059356D"/>
    <w:rsid w:val="00593653"/>
    <w:rsid w:val="0059366D"/>
    <w:rsid w:val="005937DB"/>
    <w:rsid w:val="00593975"/>
    <w:rsid w:val="00593FDC"/>
    <w:rsid w:val="0059402C"/>
    <w:rsid w:val="00594489"/>
    <w:rsid w:val="005944BC"/>
    <w:rsid w:val="005944BE"/>
    <w:rsid w:val="005944D6"/>
    <w:rsid w:val="005944F6"/>
    <w:rsid w:val="0059450C"/>
    <w:rsid w:val="00594590"/>
    <w:rsid w:val="00594699"/>
    <w:rsid w:val="005946A3"/>
    <w:rsid w:val="005946A9"/>
    <w:rsid w:val="0059476D"/>
    <w:rsid w:val="00594854"/>
    <w:rsid w:val="00594893"/>
    <w:rsid w:val="00594977"/>
    <w:rsid w:val="00594BAD"/>
    <w:rsid w:val="00594CA7"/>
    <w:rsid w:val="00594E25"/>
    <w:rsid w:val="00594FFE"/>
    <w:rsid w:val="005950EB"/>
    <w:rsid w:val="0059515D"/>
    <w:rsid w:val="0059539B"/>
    <w:rsid w:val="00595458"/>
    <w:rsid w:val="005954EB"/>
    <w:rsid w:val="00595639"/>
    <w:rsid w:val="005956A3"/>
    <w:rsid w:val="0059585A"/>
    <w:rsid w:val="005958AC"/>
    <w:rsid w:val="005959B2"/>
    <w:rsid w:val="005959E2"/>
    <w:rsid w:val="00595BF6"/>
    <w:rsid w:val="00595D70"/>
    <w:rsid w:val="00595DAF"/>
    <w:rsid w:val="00595E0D"/>
    <w:rsid w:val="0059610F"/>
    <w:rsid w:val="005961BF"/>
    <w:rsid w:val="00596418"/>
    <w:rsid w:val="005965C0"/>
    <w:rsid w:val="00596644"/>
    <w:rsid w:val="005967AC"/>
    <w:rsid w:val="00596B35"/>
    <w:rsid w:val="00596B3D"/>
    <w:rsid w:val="00596D32"/>
    <w:rsid w:val="00596F67"/>
    <w:rsid w:val="0059701D"/>
    <w:rsid w:val="005970A1"/>
    <w:rsid w:val="005970BF"/>
    <w:rsid w:val="00597236"/>
    <w:rsid w:val="00597281"/>
    <w:rsid w:val="00597654"/>
    <w:rsid w:val="00597793"/>
    <w:rsid w:val="00597A73"/>
    <w:rsid w:val="00597AC1"/>
    <w:rsid w:val="00597AD4"/>
    <w:rsid w:val="00597C34"/>
    <w:rsid w:val="00597C88"/>
    <w:rsid w:val="005A0083"/>
    <w:rsid w:val="005A0093"/>
    <w:rsid w:val="005A00F2"/>
    <w:rsid w:val="005A0317"/>
    <w:rsid w:val="005A0406"/>
    <w:rsid w:val="005A043C"/>
    <w:rsid w:val="005A05D5"/>
    <w:rsid w:val="005A0606"/>
    <w:rsid w:val="005A07AA"/>
    <w:rsid w:val="005A0876"/>
    <w:rsid w:val="005A0AE1"/>
    <w:rsid w:val="005A0B05"/>
    <w:rsid w:val="005A0B18"/>
    <w:rsid w:val="005A0B77"/>
    <w:rsid w:val="005A0C70"/>
    <w:rsid w:val="005A0CE8"/>
    <w:rsid w:val="005A0D00"/>
    <w:rsid w:val="005A1005"/>
    <w:rsid w:val="005A1024"/>
    <w:rsid w:val="005A13C9"/>
    <w:rsid w:val="005A13F1"/>
    <w:rsid w:val="005A14B2"/>
    <w:rsid w:val="005A14C9"/>
    <w:rsid w:val="005A1849"/>
    <w:rsid w:val="005A18A9"/>
    <w:rsid w:val="005A1981"/>
    <w:rsid w:val="005A1BC9"/>
    <w:rsid w:val="005A1C01"/>
    <w:rsid w:val="005A1C91"/>
    <w:rsid w:val="005A1CBF"/>
    <w:rsid w:val="005A1D01"/>
    <w:rsid w:val="005A1E0B"/>
    <w:rsid w:val="005A1F3C"/>
    <w:rsid w:val="005A1F67"/>
    <w:rsid w:val="005A201E"/>
    <w:rsid w:val="005A2044"/>
    <w:rsid w:val="005A2094"/>
    <w:rsid w:val="005A20C2"/>
    <w:rsid w:val="005A2104"/>
    <w:rsid w:val="005A232E"/>
    <w:rsid w:val="005A24DB"/>
    <w:rsid w:val="005A2512"/>
    <w:rsid w:val="005A25E8"/>
    <w:rsid w:val="005A2AB7"/>
    <w:rsid w:val="005A2AF9"/>
    <w:rsid w:val="005A2B7D"/>
    <w:rsid w:val="005A2CC5"/>
    <w:rsid w:val="005A2D1F"/>
    <w:rsid w:val="005A2FF0"/>
    <w:rsid w:val="005A304A"/>
    <w:rsid w:val="005A3073"/>
    <w:rsid w:val="005A3106"/>
    <w:rsid w:val="005A3228"/>
    <w:rsid w:val="005A33E8"/>
    <w:rsid w:val="005A3494"/>
    <w:rsid w:val="005A3519"/>
    <w:rsid w:val="005A3581"/>
    <w:rsid w:val="005A382E"/>
    <w:rsid w:val="005A3888"/>
    <w:rsid w:val="005A39D0"/>
    <w:rsid w:val="005A3AE1"/>
    <w:rsid w:val="005A3F3D"/>
    <w:rsid w:val="005A3F9D"/>
    <w:rsid w:val="005A3FF8"/>
    <w:rsid w:val="005A41AA"/>
    <w:rsid w:val="005A423B"/>
    <w:rsid w:val="005A424C"/>
    <w:rsid w:val="005A4290"/>
    <w:rsid w:val="005A42C6"/>
    <w:rsid w:val="005A44A1"/>
    <w:rsid w:val="005A453E"/>
    <w:rsid w:val="005A4550"/>
    <w:rsid w:val="005A4621"/>
    <w:rsid w:val="005A4653"/>
    <w:rsid w:val="005A46EE"/>
    <w:rsid w:val="005A4706"/>
    <w:rsid w:val="005A4807"/>
    <w:rsid w:val="005A4A06"/>
    <w:rsid w:val="005A4A81"/>
    <w:rsid w:val="005A4B2E"/>
    <w:rsid w:val="005A4B86"/>
    <w:rsid w:val="005A4BC0"/>
    <w:rsid w:val="005A4CF0"/>
    <w:rsid w:val="005A4F35"/>
    <w:rsid w:val="005A5058"/>
    <w:rsid w:val="005A51A7"/>
    <w:rsid w:val="005A51FC"/>
    <w:rsid w:val="005A5323"/>
    <w:rsid w:val="005A53EE"/>
    <w:rsid w:val="005A5410"/>
    <w:rsid w:val="005A579C"/>
    <w:rsid w:val="005A5933"/>
    <w:rsid w:val="005A5A55"/>
    <w:rsid w:val="005A5C36"/>
    <w:rsid w:val="005A5D8A"/>
    <w:rsid w:val="005A5EB2"/>
    <w:rsid w:val="005A5ED1"/>
    <w:rsid w:val="005A5F71"/>
    <w:rsid w:val="005A5FF1"/>
    <w:rsid w:val="005A5FF9"/>
    <w:rsid w:val="005A6024"/>
    <w:rsid w:val="005A608D"/>
    <w:rsid w:val="005A6157"/>
    <w:rsid w:val="005A6161"/>
    <w:rsid w:val="005A61A6"/>
    <w:rsid w:val="005A6208"/>
    <w:rsid w:val="005A62F7"/>
    <w:rsid w:val="005A6583"/>
    <w:rsid w:val="005A6674"/>
    <w:rsid w:val="005A681D"/>
    <w:rsid w:val="005A689A"/>
    <w:rsid w:val="005A68FC"/>
    <w:rsid w:val="005A6BB6"/>
    <w:rsid w:val="005A6CF1"/>
    <w:rsid w:val="005A6E23"/>
    <w:rsid w:val="005A6E53"/>
    <w:rsid w:val="005A7053"/>
    <w:rsid w:val="005A708B"/>
    <w:rsid w:val="005A71C7"/>
    <w:rsid w:val="005A72B4"/>
    <w:rsid w:val="005A73A2"/>
    <w:rsid w:val="005A7440"/>
    <w:rsid w:val="005A755D"/>
    <w:rsid w:val="005A75CB"/>
    <w:rsid w:val="005A7783"/>
    <w:rsid w:val="005A788A"/>
    <w:rsid w:val="005A78B7"/>
    <w:rsid w:val="005A7A70"/>
    <w:rsid w:val="005A7A81"/>
    <w:rsid w:val="005A7A89"/>
    <w:rsid w:val="005A7AD2"/>
    <w:rsid w:val="005A7CB2"/>
    <w:rsid w:val="005A7CB8"/>
    <w:rsid w:val="005A7D5C"/>
    <w:rsid w:val="005A7D5D"/>
    <w:rsid w:val="005B00AF"/>
    <w:rsid w:val="005B00E2"/>
    <w:rsid w:val="005B02AA"/>
    <w:rsid w:val="005B02CF"/>
    <w:rsid w:val="005B03C5"/>
    <w:rsid w:val="005B0453"/>
    <w:rsid w:val="005B04C4"/>
    <w:rsid w:val="005B07F9"/>
    <w:rsid w:val="005B09B3"/>
    <w:rsid w:val="005B0C89"/>
    <w:rsid w:val="005B0F11"/>
    <w:rsid w:val="005B0FF3"/>
    <w:rsid w:val="005B10D3"/>
    <w:rsid w:val="005B132A"/>
    <w:rsid w:val="005B155D"/>
    <w:rsid w:val="005B18E7"/>
    <w:rsid w:val="005B19D8"/>
    <w:rsid w:val="005B1B40"/>
    <w:rsid w:val="005B1C0E"/>
    <w:rsid w:val="005B1D1E"/>
    <w:rsid w:val="005B1FB8"/>
    <w:rsid w:val="005B2113"/>
    <w:rsid w:val="005B2153"/>
    <w:rsid w:val="005B2154"/>
    <w:rsid w:val="005B2494"/>
    <w:rsid w:val="005B24D6"/>
    <w:rsid w:val="005B255A"/>
    <w:rsid w:val="005B25CF"/>
    <w:rsid w:val="005B2951"/>
    <w:rsid w:val="005B2A69"/>
    <w:rsid w:val="005B2D2E"/>
    <w:rsid w:val="005B2ED0"/>
    <w:rsid w:val="005B2F7D"/>
    <w:rsid w:val="005B2FD3"/>
    <w:rsid w:val="005B3068"/>
    <w:rsid w:val="005B30D9"/>
    <w:rsid w:val="005B3134"/>
    <w:rsid w:val="005B34A0"/>
    <w:rsid w:val="005B35C6"/>
    <w:rsid w:val="005B374C"/>
    <w:rsid w:val="005B3AFA"/>
    <w:rsid w:val="005B3BF1"/>
    <w:rsid w:val="005B3C3B"/>
    <w:rsid w:val="005B3C5A"/>
    <w:rsid w:val="005B3CFB"/>
    <w:rsid w:val="005B413A"/>
    <w:rsid w:val="005B427D"/>
    <w:rsid w:val="005B4285"/>
    <w:rsid w:val="005B42FE"/>
    <w:rsid w:val="005B457D"/>
    <w:rsid w:val="005B45EC"/>
    <w:rsid w:val="005B4762"/>
    <w:rsid w:val="005B4796"/>
    <w:rsid w:val="005B47B4"/>
    <w:rsid w:val="005B4B6B"/>
    <w:rsid w:val="005B4D7F"/>
    <w:rsid w:val="005B4DAA"/>
    <w:rsid w:val="005B4DB5"/>
    <w:rsid w:val="005B4E51"/>
    <w:rsid w:val="005B51B3"/>
    <w:rsid w:val="005B5535"/>
    <w:rsid w:val="005B560B"/>
    <w:rsid w:val="005B569E"/>
    <w:rsid w:val="005B56C7"/>
    <w:rsid w:val="005B583A"/>
    <w:rsid w:val="005B5901"/>
    <w:rsid w:val="005B5999"/>
    <w:rsid w:val="005B5ACD"/>
    <w:rsid w:val="005B5C0C"/>
    <w:rsid w:val="005B5D67"/>
    <w:rsid w:val="005B5F41"/>
    <w:rsid w:val="005B6082"/>
    <w:rsid w:val="005B6102"/>
    <w:rsid w:val="005B61E3"/>
    <w:rsid w:val="005B6374"/>
    <w:rsid w:val="005B6520"/>
    <w:rsid w:val="005B6674"/>
    <w:rsid w:val="005B679E"/>
    <w:rsid w:val="005B67EF"/>
    <w:rsid w:val="005B687B"/>
    <w:rsid w:val="005B6B25"/>
    <w:rsid w:val="005B6C12"/>
    <w:rsid w:val="005B6D6E"/>
    <w:rsid w:val="005B6FEC"/>
    <w:rsid w:val="005B6FF2"/>
    <w:rsid w:val="005B70E3"/>
    <w:rsid w:val="005B71E0"/>
    <w:rsid w:val="005B73B9"/>
    <w:rsid w:val="005B746C"/>
    <w:rsid w:val="005B74F2"/>
    <w:rsid w:val="005B75F8"/>
    <w:rsid w:val="005B7815"/>
    <w:rsid w:val="005B78E6"/>
    <w:rsid w:val="005B7A29"/>
    <w:rsid w:val="005B7B9E"/>
    <w:rsid w:val="005B7C02"/>
    <w:rsid w:val="005B7CA2"/>
    <w:rsid w:val="005B7CEA"/>
    <w:rsid w:val="005B7CF9"/>
    <w:rsid w:val="005B7F02"/>
    <w:rsid w:val="005B7FE6"/>
    <w:rsid w:val="005C010A"/>
    <w:rsid w:val="005C012B"/>
    <w:rsid w:val="005C0170"/>
    <w:rsid w:val="005C0375"/>
    <w:rsid w:val="005C03A1"/>
    <w:rsid w:val="005C0423"/>
    <w:rsid w:val="005C062C"/>
    <w:rsid w:val="005C076F"/>
    <w:rsid w:val="005C0912"/>
    <w:rsid w:val="005C0E3D"/>
    <w:rsid w:val="005C0EF5"/>
    <w:rsid w:val="005C0F3F"/>
    <w:rsid w:val="005C1043"/>
    <w:rsid w:val="005C106E"/>
    <w:rsid w:val="005C11D0"/>
    <w:rsid w:val="005C1226"/>
    <w:rsid w:val="005C127E"/>
    <w:rsid w:val="005C15E4"/>
    <w:rsid w:val="005C1628"/>
    <w:rsid w:val="005C1637"/>
    <w:rsid w:val="005C18B2"/>
    <w:rsid w:val="005C1AF5"/>
    <w:rsid w:val="005C1BF4"/>
    <w:rsid w:val="005C1C5D"/>
    <w:rsid w:val="005C1D15"/>
    <w:rsid w:val="005C1E60"/>
    <w:rsid w:val="005C1F0E"/>
    <w:rsid w:val="005C1FDB"/>
    <w:rsid w:val="005C21EC"/>
    <w:rsid w:val="005C21FB"/>
    <w:rsid w:val="005C2213"/>
    <w:rsid w:val="005C22C0"/>
    <w:rsid w:val="005C24FA"/>
    <w:rsid w:val="005C2594"/>
    <w:rsid w:val="005C273C"/>
    <w:rsid w:val="005C297D"/>
    <w:rsid w:val="005C2A1A"/>
    <w:rsid w:val="005C2A36"/>
    <w:rsid w:val="005C2A8B"/>
    <w:rsid w:val="005C2B12"/>
    <w:rsid w:val="005C2B8C"/>
    <w:rsid w:val="005C2CAF"/>
    <w:rsid w:val="005C2D6D"/>
    <w:rsid w:val="005C2DDA"/>
    <w:rsid w:val="005C2DE7"/>
    <w:rsid w:val="005C2FA9"/>
    <w:rsid w:val="005C2FD8"/>
    <w:rsid w:val="005C31A1"/>
    <w:rsid w:val="005C3254"/>
    <w:rsid w:val="005C32B6"/>
    <w:rsid w:val="005C33DD"/>
    <w:rsid w:val="005C3516"/>
    <w:rsid w:val="005C366C"/>
    <w:rsid w:val="005C374A"/>
    <w:rsid w:val="005C37EF"/>
    <w:rsid w:val="005C3803"/>
    <w:rsid w:val="005C395C"/>
    <w:rsid w:val="005C3ABA"/>
    <w:rsid w:val="005C3C65"/>
    <w:rsid w:val="005C3C80"/>
    <w:rsid w:val="005C3C92"/>
    <w:rsid w:val="005C3D03"/>
    <w:rsid w:val="005C3FCA"/>
    <w:rsid w:val="005C422C"/>
    <w:rsid w:val="005C43FC"/>
    <w:rsid w:val="005C4622"/>
    <w:rsid w:val="005C4643"/>
    <w:rsid w:val="005C486F"/>
    <w:rsid w:val="005C48EE"/>
    <w:rsid w:val="005C4B29"/>
    <w:rsid w:val="005C4B7D"/>
    <w:rsid w:val="005C4C6E"/>
    <w:rsid w:val="005C4CF7"/>
    <w:rsid w:val="005C4D4A"/>
    <w:rsid w:val="005C4DFC"/>
    <w:rsid w:val="005C4E08"/>
    <w:rsid w:val="005C4EEE"/>
    <w:rsid w:val="005C4FC9"/>
    <w:rsid w:val="005C51A2"/>
    <w:rsid w:val="005C51E2"/>
    <w:rsid w:val="005C582D"/>
    <w:rsid w:val="005C59D1"/>
    <w:rsid w:val="005C5BB9"/>
    <w:rsid w:val="005C5BFA"/>
    <w:rsid w:val="005C5BFD"/>
    <w:rsid w:val="005C5C02"/>
    <w:rsid w:val="005C5E02"/>
    <w:rsid w:val="005C5E3A"/>
    <w:rsid w:val="005C60A1"/>
    <w:rsid w:val="005C6324"/>
    <w:rsid w:val="005C63A5"/>
    <w:rsid w:val="005C6B77"/>
    <w:rsid w:val="005C708D"/>
    <w:rsid w:val="005C7172"/>
    <w:rsid w:val="005C74A8"/>
    <w:rsid w:val="005C751E"/>
    <w:rsid w:val="005C773E"/>
    <w:rsid w:val="005C792B"/>
    <w:rsid w:val="005C79D1"/>
    <w:rsid w:val="005C7A25"/>
    <w:rsid w:val="005C7BB6"/>
    <w:rsid w:val="005C7C5B"/>
    <w:rsid w:val="005C7D10"/>
    <w:rsid w:val="005C7DA9"/>
    <w:rsid w:val="005C7EFE"/>
    <w:rsid w:val="005C7F1A"/>
    <w:rsid w:val="005C7FF0"/>
    <w:rsid w:val="005D01E7"/>
    <w:rsid w:val="005D07D0"/>
    <w:rsid w:val="005D08C1"/>
    <w:rsid w:val="005D0932"/>
    <w:rsid w:val="005D0A01"/>
    <w:rsid w:val="005D0D6E"/>
    <w:rsid w:val="005D0D96"/>
    <w:rsid w:val="005D133A"/>
    <w:rsid w:val="005D145C"/>
    <w:rsid w:val="005D192E"/>
    <w:rsid w:val="005D1AF4"/>
    <w:rsid w:val="005D1C16"/>
    <w:rsid w:val="005D1CAC"/>
    <w:rsid w:val="005D1F4A"/>
    <w:rsid w:val="005D2037"/>
    <w:rsid w:val="005D214E"/>
    <w:rsid w:val="005D27BB"/>
    <w:rsid w:val="005D27CD"/>
    <w:rsid w:val="005D29A1"/>
    <w:rsid w:val="005D29CD"/>
    <w:rsid w:val="005D29EB"/>
    <w:rsid w:val="005D2B75"/>
    <w:rsid w:val="005D2D5A"/>
    <w:rsid w:val="005D2DBD"/>
    <w:rsid w:val="005D2DD7"/>
    <w:rsid w:val="005D2EEF"/>
    <w:rsid w:val="005D2F37"/>
    <w:rsid w:val="005D3302"/>
    <w:rsid w:val="005D3434"/>
    <w:rsid w:val="005D3882"/>
    <w:rsid w:val="005D389E"/>
    <w:rsid w:val="005D38DE"/>
    <w:rsid w:val="005D3AB0"/>
    <w:rsid w:val="005D3C1F"/>
    <w:rsid w:val="005D3CDA"/>
    <w:rsid w:val="005D3DC6"/>
    <w:rsid w:val="005D40D0"/>
    <w:rsid w:val="005D4171"/>
    <w:rsid w:val="005D41D2"/>
    <w:rsid w:val="005D431D"/>
    <w:rsid w:val="005D435F"/>
    <w:rsid w:val="005D43C0"/>
    <w:rsid w:val="005D4882"/>
    <w:rsid w:val="005D4910"/>
    <w:rsid w:val="005D4B5A"/>
    <w:rsid w:val="005D4D2C"/>
    <w:rsid w:val="005D4DA9"/>
    <w:rsid w:val="005D4E18"/>
    <w:rsid w:val="005D4EB4"/>
    <w:rsid w:val="005D4ECE"/>
    <w:rsid w:val="005D50B4"/>
    <w:rsid w:val="005D5372"/>
    <w:rsid w:val="005D5587"/>
    <w:rsid w:val="005D59F3"/>
    <w:rsid w:val="005D5B48"/>
    <w:rsid w:val="005D5B81"/>
    <w:rsid w:val="005D5CD9"/>
    <w:rsid w:val="005D5D19"/>
    <w:rsid w:val="005D5DD5"/>
    <w:rsid w:val="005D5E8B"/>
    <w:rsid w:val="005D603B"/>
    <w:rsid w:val="005D60B8"/>
    <w:rsid w:val="005D624E"/>
    <w:rsid w:val="005D62BD"/>
    <w:rsid w:val="005D6521"/>
    <w:rsid w:val="005D659F"/>
    <w:rsid w:val="005D6642"/>
    <w:rsid w:val="005D677F"/>
    <w:rsid w:val="005D6800"/>
    <w:rsid w:val="005D695C"/>
    <w:rsid w:val="005D6A16"/>
    <w:rsid w:val="005D6ABB"/>
    <w:rsid w:val="005D6DFB"/>
    <w:rsid w:val="005D6ECE"/>
    <w:rsid w:val="005D6ED4"/>
    <w:rsid w:val="005D6F13"/>
    <w:rsid w:val="005D7204"/>
    <w:rsid w:val="005D7339"/>
    <w:rsid w:val="005D756F"/>
    <w:rsid w:val="005D75E2"/>
    <w:rsid w:val="005D76C6"/>
    <w:rsid w:val="005D76E2"/>
    <w:rsid w:val="005D77D2"/>
    <w:rsid w:val="005D7ABF"/>
    <w:rsid w:val="005D7B22"/>
    <w:rsid w:val="005D7CB3"/>
    <w:rsid w:val="005D7CF2"/>
    <w:rsid w:val="005D7D0E"/>
    <w:rsid w:val="005D7E40"/>
    <w:rsid w:val="005D7EFE"/>
    <w:rsid w:val="005E0065"/>
    <w:rsid w:val="005E00ED"/>
    <w:rsid w:val="005E0188"/>
    <w:rsid w:val="005E019F"/>
    <w:rsid w:val="005E03AE"/>
    <w:rsid w:val="005E03B8"/>
    <w:rsid w:val="005E0535"/>
    <w:rsid w:val="005E065D"/>
    <w:rsid w:val="005E0781"/>
    <w:rsid w:val="005E098D"/>
    <w:rsid w:val="005E0A1D"/>
    <w:rsid w:val="005E0C7E"/>
    <w:rsid w:val="005E0E9C"/>
    <w:rsid w:val="005E1191"/>
    <w:rsid w:val="005E1307"/>
    <w:rsid w:val="005E138C"/>
    <w:rsid w:val="005E160E"/>
    <w:rsid w:val="005E18FC"/>
    <w:rsid w:val="005E1959"/>
    <w:rsid w:val="005E199D"/>
    <w:rsid w:val="005E19DB"/>
    <w:rsid w:val="005E1B50"/>
    <w:rsid w:val="005E1D75"/>
    <w:rsid w:val="005E1F20"/>
    <w:rsid w:val="005E1FE1"/>
    <w:rsid w:val="005E2298"/>
    <w:rsid w:val="005E24F3"/>
    <w:rsid w:val="005E26AD"/>
    <w:rsid w:val="005E279E"/>
    <w:rsid w:val="005E27A1"/>
    <w:rsid w:val="005E27B1"/>
    <w:rsid w:val="005E2995"/>
    <w:rsid w:val="005E2BC2"/>
    <w:rsid w:val="005E2BE7"/>
    <w:rsid w:val="005E2C0E"/>
    <w:rsid w:val="005E2C2F"/>
    <w:rsid w:val="005E2C66"/>
    <w:rsid w:val="005E2D71"/>
    <w:rsid w:val="005E3122"/>
    <w:rsid w:val="005E325A"/>
    <w:rsid w:val="005E32AD"/>
    <w:rsid w:val="005E3319"/>
    <w:rsid w:val="005E3327"/>
    <w:rsid w:val="005E3353"/>
    <w:rsid w:val="005E33CE"/>
    <w:rsid w:val="005E3492"/>
    <w:rsid w:val="005E34E6"/>
    <w:rsid w:val="005E351F"/>
    <w:rsid w:val="005E366D"/>
    <w:rsid w:val="005E3739"/>
    <w:rsid w:val="005E3776"/>
    <w:rsid w:val="005E37AC"/>
    <w:rsid w:val="005E37C4"/>
    <w:rsid w:val="005E3822"/>
    <w:rsid w:val="005E3829"/>
    <w:rsid w:val="005E392F"/>
    <w:rsid w:val="005E3CA8"/>
    <w:rsid w:val="005E3FF1"/>
    <w:rsid w:val="005E4083"/>
    <w:rsid w:val="005E40E4"/>
    <w:rsid w:val="005E41F7"/>
    <w:rsid w:val="005E4255"/>
    <w:rsid w:val="005E4314"/>
    <w:rsid w:val="005E43A2"/>
    <w:rsid w:val="005E43EE"/>
    <w:rsid w:val="005E4429"/>
    <w:rsid w:val="005E46E0"/>
    <w:rsid w:val="005E47FD"/>
    <w:rsid w:val="005E497F"/>
    <w:rsid w:val="005E4B4F"/>
    <w:rsid w:val="005E4B81"/>
    <w:rsid w:val="005E4BFC"/>
    <w:rsid w:val="005E4E60"/>
    <w:rsid w:val="005E4FB9"/>
    <w:rsid w:val="005E4FCC"/>
    <w:rsid w:val="005E501A"/>
    <w:rsid w:val="005E5264"/>
    <w:rsid w:val="005E52B8"/>
    <w:rsid w:val="005E52CB"/>
    <w:rsid w:val="005E548E"/>
    <w:rsid w:val="005E54C2"/>
    <w:rsid w:val="005E54EC"/>
    <w:rsid w:val="005E56BC"/>
    <w:rsid w:val="005E59B3"/>
    <w:rsid w:val="005E59FF"/>
    <w:rsid w:val="005E5A8B"/>
    <w:rsid w:val="005E5DEB"/>
    <w:rsid w:val="005E5E69"/>
    <w:rsid w:val="005E617D"/>
    <w:rsid w:val="005E629A"/>
    <w:rsid w:val="005E62B5"/>
    <w:rsid w:val="005E6A2A"/>
    <w:rsid w:val="005E6B90"/>
    <w:rsid w:val="005E6CC3"/>
    <w:rsid w:val="005E6D20"/>
    <w:rsid w:val="005E6D60"/>
    <w:rsid w:val="005E6DC5"/>
    <w:rsid w:val="005E6FC6"/>
    <w:rsid w:val="005E7321"/>
    <w:rsid w:val="005E7439"/>
    <w:rsid w:val="005E768E"/>
    <w:rsid w:val="005E76E5"/>
    <w:rsid w:val="005E7815"/>
    <w:rsid w:val="005E7929"/>
    <w:rsid w:val="005E7A61"/>
    <w:rsid w:val="005E7A6E"/>
    <w:rsid w:val="005E7B9B"/>
    <w:rsid w:val="005E7D83"/>
    <w:rsid w:val="005E7DC1"/>
    <w:rsid w:val="005F0161"/>
    <w:rsid w:val="005F02AF"/>
    <w:rsid w:val="005F0305"/>
    <w:rsid w:val="005F06A0"/>
    <w:rsid w:val="005F0762"/>
    <w:rsid w:val="005F0AC7"/>
    <w:rsid w:val="005F0AEE"/>
    <w:rsid w:val="005F0C3A"/>
    <w:rsid w:val="005F0C89"/>
    <w:rsid w:val="005F0CE6"/>
    <w:rsid w:val="005F0E6F"/>
    <w:rsid w:val="005F0FC1"/>
    <w:rsid w:val="005F1277"/>
    <w:rsid w:val="005F1396"/>
    <w:rsid w:val="005F1432"/>
    <w:rsid w:val="005F16FD"/>
    <w:rsid w:val="005F1723"/>
    <w:rsid w:val="005F1761"/>
    <w:rsid w:val="005F17B8"/>
    <w:rsid w:val="005F18F0"/>
    <w:rsid w:val="005F1982"/>
    <w:rsid w:val="005F199B"/>
    <w:rsid w:val="005F1B2F"/>
    <w:rsid w:val="005F1E2B"/>
    <w:rsid w:val="005F1FF6"/>
    <w:rsid w:val="005F214D"/>
    <w:rsid w:val="005F22FE"/>
    <w:rsid w:val="005F2323"/>
    <w:rsid w:val="005F235E"/>
    <w:rsid w:val="005F2660"/>
    <w:rsid w:val="005F26D9"/>
    <w:rsid w:val="005F2743"/>
    <w:rsid w:val="005F2935"/>
    <w:rsid w:val="005F2AB1"/>
    <w:rsid w:val="005F2C88"/>
    <w:rsid w:val="005F2D7A"/>
    <w:rsid w:val="005F31A7"/>
    <w:rsid w:val="005F337A"/>
    <w:rsid w:val="005F33FC"/>
    <w:rsid w:val="005F36F1"/>
    <w:rsid w:val="005F3796"/>
    <w:rsid w:val="005F37C9"/>
    <w:rsid w:val="005F3831"/>
    <w:rsid w:val="005F386A"/>
    <w:rsid w:val="005F390F"/>
    <w:rsid w:val="005F3986"/>
    <w:rsid w:val="005F3A68"/>
    <w:rsid w:val="005F3BC0"/>
    <w:rsid w:val="005F3EE0"/>
    <w:rsid w:val="005F3F35"/>
    <w:rsid w:val="005F3F73"/>
    <w:rsid w:val="005F404E"/>
    <w:rsid w:val="005F407C"/>
    <w:rsid w:val="005F4343"/>
    <w:rsid w:val="005F4376"/>
    <w:rsid w:val="005F44E4"/>
    <w:rsid w:val="005F44ED"/>
    <w:rsid w:val="005F45C1"/>
    <w:rsid w:val="005F4715"/>
    <w:rsid w:val="005F478B"/>
    <w:rsid w:val="005F480F"/>
    <w:rsid w:val="005F49D9"/>
    <w:rsid w:val="005F49DD"/>
    <w:rsid w:val="005F4A4B"/>
    <w:rsid w:val="005F4AC6"/>
    <w:rsid w:val="005F4AEB"/>
    <w:rsid w:val="005F4BB1"/>
    <w:rsid w:val="005F4BFB"/>
    <w:rsid w:val="005F4C0B"/>
    <w:rsid w:val="005F4CE5"/>
    <w:rsid w:val="005F4D1C"/>
    <w:rsid w:val="005F5135"/>
    <w:rsid w:val="005F53D6"/>
    <w:rsid w:val="005F54BD"/>
    <w:rsid w:val="005F5907"/>
    <w:rsid w:val="005F5967"/>
    <w:rsid w:val="005F5AD9"/>
    <w:rsid w:val="005F5C97"/>
    <w:rsid w:val="005F5D3D"/>
    <w:rsid w:val="005F5E1A"/>
    <w:rsid w:val="005F624A"/>
    <w:rsid w:val="005F62A2"/>
    <w:rsid w:val="005F62B9"/>
    <w:rsid w:val="005F64F3"/>
    <w:rsid w:val="005F65CF"/>
    <w:rsid w:val="005F678D"/>
    <w:rsid w:val="005F689D"/>
    <w:rsid w:val="005F694A"/>
    <w:rsid w:val="005F6A9F"/>
    <w:rsid w:val="005F6B62"/>
    <w:rsid w:val="005F6BF3"/>
    <w:rsid w:val="005F6C24"/>
    <w:rsid w:val="005F6C94"/>
    <w:rsid w:val="005F6D8E"/>
    <w:rsid w:val="005F6FF1"/>
    <w:rsid w:val="005F7036"/>
    <w:rsid w:val="005F719E"/>
    <w:rsid w:val="005F719F"/>
    <w:rsid w:val="005F73AC"/>
    <w:rsid w:val="005F7496"/>
    <w:rsid w:val="005F769C"/>
    <w:rsid w:val="005F76F5"/>
    <w:rsid w:val="005F776B"/>
    <w:rsid w:val="005F77E8"/>
    <w:rsid w:val="005F78E9"/>
    <w:rsid w:val="005F7AC1"/>
    <w:rsid w:val="005F7AC3"/>
    <w:rsid w:val="005F7C4C"/>
    <w:rsid w:val="005F7C8C"/>
    <w:rsid w:val="005F7E3E"/>
    <w:rsid w:val="005F7EAB"/>
    <w:rsid w:val="005F7F1D"/>
    <w:rsid w:val="005F7FAB"/>
    <w:rsid w:val="00600051"/>
    <w:rsid w:val="006000A9"/>
    <w:rsid w:val="006000F6"/>
    <w:rsid w:val="006002A6"/>
    <w:rsid w:val="006002F0"/>
    <w:rsid w:val="0060036A"/>
    <w:rsid w:val="006003E9"/>
    <w:rsid w:val="0060048D"/>
    <w:rsid w:val="006005A2"/>
    <w:rsid w:val="006005F9"/>
    <w:rsid w:val="0060060E"/>
    <w:rsid w:val="006007DB"/>
    <w:rsid w:val="00600817"/>
    <w:rsid w:val="0060093A"/>
    <w:rsid w:val="006009B4"/>
    <w:rsid w:val="00600A0A"/>
    <w:rsid w:val="00600BC0"/>
    <w:rsid w:val="00600C3F"/>
    <w:rsid w:val="00600D06"/>
    <w:rsid w:val="00600D67"/>
    <w:rsid w:val="00600D9D"/>
    <w:rsid w:val="00600ED8"/>
    <w:rsid w:val="0060139A"/>
    <w:rsid w:val="006014A5"/>
    <w:rsid w:val="006014F5"/>
    <w:rsid w:val="00601632"/>
    <w:rsid w:val="006016A6"/>
    <w:rsid w:val="006017D9"/>
    <w:rsid w:val="00601966"/>
    <w:rsid w:val="00601A42"/>
    <w:rsid w:val="00601AA8"/>
    <w:rsid w:val="00601B19"/>
    <w:rsid w:val="00601B1B"/>
    <w:rsid w:val="00601B32"/>
    <w:rsid w:val="00601BC7"/>
    <w:rsid w:val="00601CE0"/>
    <w:rsid w:val="00601CFA"/>
    <w:rsid w:val="00601DF0"/>
    <w:rsid w:val="00601E9F"/>
    <w:rsid w:val="00601EC4"/>
    <w:rsid w:val="00601EEC"/>
    <w:rsid w:val="00601FE2"/>
    <w:rsid w:val="006020C3"/>
    <w:rsid w:val="00602197"/>
    <w:rsid w:val="00602602"/>
    <w:rsid w:val="006027DE"/>
    <w:rsid w:val="0060281B"/>
    <w:rsid w:val="00602861"/>
    <w:rsid w:val="0060290F"/>
    <w:rsid w:val="00602A57"/>
    <w:rsid w:val="00602AEB"/>
    <w:rsid w:val="00602C70"/>
    <w:rsid w:val="00602DA0"/>
    <w:rsid w:val="00602E47"/>
    <w:rsid w:val="00602EFF"/>
    <w:rsid w:val="006031A2"/>
    <w:rsid w:val="006033B3"/>
    <w:rsid w:val="006033C9"/>
    <w:rsid w:val="00603588"/>
    <w:rsid w:val="00603637"/>
    <w:rsid w:val="00603793"/>
    <w:rsid w:val="006039D0"/>
    <w:rsid w:val="006039D6"/>
    <w:rsid w:val="00603BE6"/>
    <w:rsid w:val="00603F49"/>
    <w:rsid w:val="00603FA2"/>
    <w:rsid w:val="0060406D"/>
    <w:rsid w:val="0060409F"/>
    <w:rsid w:val="00604528"/>
    <w:rsid w:val="006045C1"/>
    <w:rsid w:val="006046AE"/>
    <w:rsid w:val="00604712"/>
    <w:rsid w:val="0060479E"/>
    <w:rsid w:val="006048B2"/>
    <w:rsid w:val="00604BD9"/>
    <w:rsid w:val="00604C40"/>
    <w:rsid w:val="00604E06"/>
    <w:rsid w:val="00604F07"/>
    <w:rsid w:val="00604FA2"/>
    <w:rsid w:val="00604FD3"/>
    <w:rsid w:val="00605049"/>
    <w:rsid w:val="006050DA"/>
    <w:rsid w:val="006051D3"/>
    <w:rsid w:val="00605242"/>
    <w:rsid w:val="006054A7"/>
    <w:rsid w:val="00605507"/>
    <w:rsid w:val="006055E2"/>
    <w:rsid w:val="0060595B"/>
    <w:rsid w:val="00605AD0"/>
    <w:rsid w:val="00605AFD"/>
    <w:rsid w:val="00605B61"/>
    <w:rsid w:val="00605BBF"/>
    <w:rsid w:val="00605F13"/>
    <w:rsid w:val="00605FF5"/>
    <w:rsid w:val="00606003"/>
    <w:rsid w:val="00606251"/>
    <w:rsid w:val="006063AF"/>
    <w:rsid w:val="00606471"/>
    <w:rsid w:val="006064BD"/>
    <w:rsid w:val="00606673"/>
    <w:rsid w:val="006066B2"/>
    <w:rsid w:val="0060670F"/>
    <w:rsid w:val="00606B76"/>
    <w:rsid w:val="00606BBF"/>
    <w:rsid w:val="00606BE9"/>
    <w:rsid w:val="00606DDF"/>
    <w:rsid w:val="00606F56"/>
    <w:rsid w:val="00606F86"/>
    <w:rsid w:val="006070F4"/>
    <w:rsid w:val="006071DA"/>
    <w:rsid w:val="00607527"/>
    <w:rsid w:val="00607572"/>
    <w:rsid w:val="00607680"/>
    <w:rsid w:val="00607726"/>
    <w:rsid w:val="00607A20"/>
    <w:rsid w:val="00607B78"/>
    <w:rsid w:val="00607C7C"/>
    <w:rsid w:val="00607C7D"/>
    <w:rsid w:val="00607C9F"/>
    <w:rsid w:val="00607DC1"/>
    <w:rsid w:val="00607E57"/>
    <w:rsid w:val="00607E8B"/>
    <w:rsid w:val="00607F9B"/>
    <w:rsid w:val="006100BF"/>
    <w:rsid w:val="006102B7"/>
    <w:rsid w:val="0061067D"/>
    <w:rsid w:val="0061083B"/>
    <w:rsid w:val="006108D8"/>
    <w:rsid w:val="00610A0B"/>
    <w:rsid w:val="00610B67"/>
    <w:rsid w:val="00610D75"/>
    <w:rsid w:val="00610E42"/>
    <w:rsid w:val="0061112F"/>
    <w:rsid w:val="00611195"/>
    <w:rsid w:val="0061146C"/>
    <w:rsid w:val="0061147A"/>
    <w:rsid w:val="00611637"/>
    <w:rsid w:val="006118A6"/>
    <w:rsid w:val="00611A52"/>
    <w:rsid w:val="00611AF0"/>
    <w:rsid w:val="00611B40"/>
    <w:rsid w:val="00611C25"/>
    <w:rsid w:val="00611CF5"/>
    <w:rsid w:val="00611E08"/>
    <w:rsid w:val="00612087"/>
    <w:rsid w:val="006123B4"/>
    <w:rsid w:val="006123D4"/>
    <w:rsid w:val="00612492"/>
    <w:rsid w:val="00612495"/>
    <w:rsid w:val="006125DC"/>
    <w:rsid w:val="006126C0"/>
    <w:rsid w:val="006126F9"/>
    <w:rsid w:val="006128F5"/>
    <w:rsid w:val="00612A15"/>
    <w:rsid w:val="00612B6C"/>
    <w:rsid w:val="00612C4C"/>
    <w:rsid w:val="00613502"/>
    <w:rsid w:val="006135C2"/>
    <w:rsid w:val="006138AA"/>
    <w:rsid w:val="006138E7"/>
    <w:rsid w:val="0061390B"/>
    <w:rsid w:val="00613B6C"/>
    <w:rsid w:val="00613BEF"/>
    <w:rsid w:val="00613C29"/>
    <w:rsid w:val="00613C69"/>
    <w:rsid w:val="00613FA7"/>
    <w:rsid w:val="00613FCF"/>
    <w:rsid w:val="00614285"/>
    <w:rsid w:val="006143DA"/>
    <w:rsid w:val="006146D0"/>
    <w:rsid w:val="006147B6"/>
    <w:rsid w:val="006149E0"/>
    <w:rsid w:val="00614A15"/>
    <w:rsid w:val="00614A44"/>
    <w:rsid w:val="00614A71"/>
    <w:rsid w:val="00614B60"/>
    <w:rsid w:val="00614CFC"/>
    <w:rsid w:val="00614D2B"/>
    <w:rsid w:val="00614D2F"/>
    <w:rsid w:val="00614D92"/>
    <w:rsid w:val="00614D9F"/>
    <w:rsid w:val="00614EF7"/>
    <w:rsid w:val="00614F42"/>
    <w:rsid w:val="00615082"/>
    <w:rsid w:val="006151C2"/>
    <w:rsid w:val="0061543D"/>
    <w:rsid w:val="006154E9"/>
    <w:rsid w:val="0061559C"/>
    <w:rsid w:val="006155A6"/>
    <w:rsid w:val="006155F5"/>
    <w:rsid w:val="00615714"/>
    <w:rsid w:val="006158EF"/>
    <w:rsid w:val="00615A41"/>
    <w:rsid w:val="00615BF7"/>
    <w:rsid w:val="00615C79"/>
    <w:rsid w:val="00615E50"/>
    <w:rsid w:val="00616689"/>
    <w:rsid w:val="00616693"/>
    <w:rsid w:val="006166FE"/>
    <w:rsid w:val="0061671A"/>
    <w:rsid w:val="0061678F"/>
    <w:rsid w:val="0061682F"/>
    <w:rsid w:val="0061690C"/>
    <w:rsid w:val="006169F1"/>
    <w:rsid w:val="00616A68"/>
    <w:rsid w:val="00616ABD"/>
    <w:rsid w:val="00616B5A"/>
    <w:rsid w:val="00616C63"/>
    <w:rsid w:val="00616E37"/>
    <w:rsid w:val="00617112"/>
    <w:rsid w:val="00617131"/>
    <w:rsid w:val="006171A8"/>
    <w:rsid w:val="00617275"/>
    <w:rsid w:val="00617348"/>
    <w:rsid w:val="00617450"/>
    <w:rsid w:val="00617457"/>
    <w:rsid w:val="006175C1"/>
    <w:rsid w:val="0061763A"/>
    <w:rsid w:val="00617931"/>
    <w:rsid w:val="00617C44"/>
    <w:rsid w:val="00617DE7"/>
    <w:rsid w:val="00617EC2"/>
    <w:rsid w:val="0062000C"/>
    <w:rsid w:val="00620227"/>
    <w:rsid w:val="00620259"/>
    <w:rsid w:val="006203D7"/>
    <w:rsid w:val="006204F2"/>
    <w:rsid w:val="00620560"/>
    <w:rsid w:val="00620738"/>
    <w:rsid w:val="006207E6"/>
    <w:rsid w:val="006207ED"/>
    <w:rsid w:val="00620A43"/>
    <w:rsid w:val="00620DBA"/>
    <w:rsid w:val="006210A5"/>
    <w:rsid w:val="0062112C"/>
    <w:rsid w:val="00621228"/>
    <w:rsid w:val="00621332"/>
    <w:rsid w:val="006214BF"/>
    <w:rsid w:val="006218CB"/>
    <w:rsid w:val="006219AD"/>
    <w:rsid w:val="006219C3"/>
    <w:rsid w:val="00621C67"/>
    <w:rsid w:val="00621E11"/>
    <w:rsid w:val="00621F79"/>
    <w:rsid w:val="00621F8E"/>
    <w:rsid w:val="00622061"/>
    <w:rsid w:val="006220EA"/>
    <w:rsid w:val="00622215"/>
    <w:rsid w:val="00622429"/>
    <w:rsid w:val="00622588"/>
    <w:rsid w:val="006225FB"/>
    <w:rsid w:val="00622735"/>
    <w:rsid w:val="006228E1"/>
    <w:rsid w:val="00622CA0"/>
    <w:rsid w:val="00622DC3"/>
    <w:rsid w:val="00623009"/>
    <w:rsid w:val="006232D6"/>
    <w:rsid w:val="006232EB"/>
    <w:rsid w:val="00623357"/>
    <w:rsid w:val="006233C2"/>
    <w:rsid w:val="006234C7"/>
    <w:rsid w:val="006234CE"/>
    <w:rsid w:val="006234DB"/>
    <w:rsid w:val="0062355B"/>
    <w:rsid w:val="00623852"/>
    <w:rsid w:val="006239B5"/>
    <w:rsid w:val="00623A70"/>
    <w:rsid w:val="00623B48"/>
    <w:rsid w:val="00623BFA"/>
    <w:rsid w:val="00623CC5"/>
    <w:rsid w:val="00623DD6"/>
    <w:rsid w:val="00623E04"/>
    <w:rsid w:val="0062408D"/>
    <w:rsid w:val="006240D8"/>
    <w:rsid w:val="006240D9"/>
    <w:rsid w:val="0062415D"/>
    <w:rsid w:val="006241E4"/>
    <w:rsid w:val="006245A8"/>
    <w:rsid w:val="006247BA"/>
    <w:rsid w:val="00624B56"/>
    <w:rsid w:val="00624BBD"/>
    <w:rsid w:val="00624C65"/>
    <w:rsid w:val="00624CED"/>
    <w:rsid w:val="00624D43"/>
    <w:rsid w:val="00624FB8"/>
    <w:rsid w:val="0062505A"/>
    <w:rsid w:val="00625117"/>
    <w:rsid w:val="0062528E"/>
    <w:rsid w:val="006253EF"/>
    <w:rsid w:val="00625461"/>
    <w:rsid w:val="00625631"/>
    <w:rsid w:val="0062567D"/>
    <w:rsid w:val="006258D0"/>
    <w:rsid w:val="00625B3D"/>
    <w:rsid w:val="00626020"/>
    <w:rsid w:val="006260B4"/>
    <w:rsid w:val="006260BE"/>
    <w:rsid w:val="006260C3"/>
    <w:rsid w:val="006261B3"/>
    <w:rsid w:val="006261F5"/>
    <w:rsid w:val="006264CF"/>
    <w:rsid w:val="00626526"/>
    <w:rsid w:val="006265D6"/>
    <w:rsid w:val="00626601"/>
    <w:rsid w:val="0062675C"/>
    <w:rsid w:val="0062686E"/>
    <w:rsid w:val="00626871"/>
    <w:rsid w:val="00626932"/>
    <w:rsid w:val="00626C3C"/>
    <w:rsid w:val="00626C46"/>
    <w:rsid w:val="00626CFD"/>
    <w:rsid w:val="00626D12"/>
    <w:rsid w:val="00626D62"/>
    <w:rsid w:val="00626E05"/>
    <w:rsid w:val="00626FF7"/>
    <w:rsid w:val="0062705E"/>
    <w:rsid w:val="006270D9"/>
    <w:rsid w:val="00627222"/>
    <w:rsid w:val="00627276"/>
    <w:rsid w:val="006272C7"/>
    <w:rsid w:val="00627547"/>
    <w:rsid w:val="00627879"/>
    <w:rsid w:val="006278AC"/>
    <w:rsid w:val="00627AEB"/>
    <w:rsid w:val="00627B30"/>
    <w:rsid w:val="00627B48"/>
    <w:rsid w:val="00627CAF"/>
    <w:rsid w:val="00627E20"/>
    <w:rsid w:val="00627EBA"/>
    <w:rsid w:val="00630114"/>
    <w:rsid w:val="00630153"/>
    <w:rsid w:val="006302DD"/>
    <w:rsid w:val="006303D0"/>
    <w:rsid w:val="006306E7"/>
    <w:rsid w:val="006307B5"/>
    <w:rsid w:val="00630B84"/>
    <w:rsid w:val="00630B97"/>
    <w:rsid w:val="00630DB4"/>
    <w:rsid w:val="00631093"/>
    <w:rsid w:val="006310B8"/>
    <w:rsid w:val="006313B7"/>
    <w:rsid w:val="0063162A"/>
    <w:rsid w:val="006317E1"/>
    <w:rsid w:val="0063180F"/>
    <w:rsid w:val="00631845"/>
    <w:rsid w:val="00631A3F"/>
    <w:rsid w:val="00631B5D"/>
    <w:rsid w:val="00631BC1"/>
    <w:rsid w:val="00631CC5"/>
    <w:rsid w:val="00631CC8"/>
    <w:rsid w:val="00631F8E"/>
    <w:rsid w:val="0063212E"/>
    <w:rsid w:val="0063213C"/>
    <w:rsid w:val="006321A2"/>
    <w:rsid w:val="0063240B"/>
    <w:rsid w:val="006324A0"/>
    <w:rsid w:val="006324C3"/>
    <w:rsid w:val="00632509"/>
    <w:rsid w:val="0063266D"/>
    <w:rsid w:val="006329CB"/>
    <w:rsid w:val="006329D5"/>
    <w:rsid w:val="00632B9F"/>
    <w:rsid w:val="00632CDF"/>
    <w:rsid w:val="00632CF8"/>
    <w:rsid w:val="00632EE2"/>
    <w:rsid w:val="00632F21"/>
    <w:rsid w:val="00632F27"/>
    <w:rsid w:val="0063339C"/>
    <w:rsid w:val="0063347D"/>
    <w:rsid w:val="00633488"/>
    <w:rsid w:val="006334F7"/>
    <w:rsid w:val="006334FF"/>
    <w:rsid w:val="0063350A"/>
    <w:rsid w:val="00633865"/>
    <w:rsid w:val="00633C31"/>
    <w:rsid w:val="00633E4F"/>
    <w:rsid w:val="006340F1"/>
    <w:rsid w:val="006340FD"/>
    <w:rsid w:val="006342A4"/>
    <w:rsid w:val="0063452C"/>
    <w:rsid w:val="0063459C"/>
    <w:rsid w:val="006345BA"/>
    <w:rsid w:val="00634A11"/>
    <w:rsid w:val="00634AD5"/>
    <w:rsid w:val="00634B03"/>
    <w:rsid w:val="00634B3A"/>
    <w:rsid w:val="00634BA9"/>
    <w:rsid w:val="00634BF6"/>
    <w:rsid w:val="00634C54"/>
    <w:rsid w:val="00634DF3"/>
    <w:rsid w:val="00634E4A"/>
    <w:rsid w:val="00634FDF"/>
    <w:rsid w:val="00635081"/>
    <w:rsid w:val="00635121"/>
    <w:rsid w:val="0063518C"/>
    <w:rsid w:val="006351F2"/>
    <w:rsid w:val="0063535E"/>
    <w:rsid w:val="00635388"/>
    <w:rsid w:val="0063539D"/>
    <w:rsid w:val="00635483"/>
    <w:rsid w:val="00635521"/>
    <w:rsid w:val="006357B5"/>
    <w:rsid w:val="0063594C"/>
    <w:rsid w:val="00635A3D"/>
    <w:rsid w:val="00635A9F"/>
    <w:rsid w:val="00635B0D"/>
    <w:rsid w:val="0063605B"/>
    <w:rsid w:val="00636191"/>
    <w:rsid w:val="006361B5"/>
    <w:rsid w:val="00636574"/>
    <w:rsid w:val="006365E8"/>
    <w:rsid w:val="0063666E"/>
    <w:rsid w:val="006366DA"/>
    <w:rsid w:val="006367C9"/>
    <w:rsid w:val="006367EA"/>
    <w:rsid w:val="00636841"/>
    <w:rsid w:val="00636A26"/>
    <w:rsid w:val="00636ADC"/>
    <w:rsid w:val="00636C31"/>
    <w:rsid w:val="00636D01"/>
    <w:rsid w:val="00636E1E"/>
    <w:rsid w:val="00636E48"/>
    <w:rsid w:val="00637040"/>
    <w:rsid w:val="00637167"/>
    <w:rsid w:val="006371D3"/>
    <w:rsid w:val="00637284"/>
    <w:rsid w:val="006373B7"/>
    <w:rsid w:val="006374E6"/>
    <w:rsid w:val="0063757D"/>
    <w:rsid w:val="00637599"/>
    <w:rsid w:val="006375C7"/>
    <w:rsid w:val="00637736"/>
    <w:rsid w:val="0063787E"/>
    <w:rsid w:val="00637A0B"/>
    <w:rsid w:val="00637A8F"/>
    <w:rsid w:val="00637A91"/>
    <w:rsid w:val="00637BAB"/>
    <w:rsid w:val="00637C14"/>
    <w:rsid w:val="00637C64"/>
    <w:rsid w:val="00637D6D"/>
    <w:rsid w:val="00637D86"/>
    <w:rsid w:val="00637E5C"/>
    <w:rsid w:val="00637E82"/>
    <w:rsid w:val="00637FCA"/>
    <w:rsid w:val="006401C5"/>
    <w:rsid w:val="006401D6"/>
    <w:rsid w:val="006404B5"/>
    <w:rsid w:val="00640798"/>
    <w:rsid w:val="006407D4"/>
    <w:rsid w:val="0064080B"/>
    <w:rsid w:val="00640B38"/>
    <w:rsid w:val="00640DA6"/>
    <w:rsid w:val="00640EE2"/>
    <w:rsid w:val="0064105B"/>
    <w:rsid w:val="00641195"/>
    <w:rsid w:val="00641443"/>
    <w:rsid w:val="006414D1"/>
    <w:rsid w:val="0064153F"/>
    <w:rsid w:val="00641562"/>
    <w:rsid w:val="00641644"/>
    <w:rsid w:val="006417B2"/>
    <w:rsid w:val="00641828"/>
    <w:rsid w:val="006418A5"/>
    <w:rsid w:val="00641B90"/>
    <w:rsid w:val="00641C3D"/>
    <w:rsid w:val="00641CB5"/>
    <w:rsid w:val="00641E07"/>
    <w:rsid w:val="00641FD1"/>
    <w:rsid w:val="00642016"/>
    <w:rsid w:val="00642058"/>
    <w:rsid w:val="00642091"/>
    <w:rsid w:val="006420BA"/>
    <w:rsid w:val="006421B4"/>
    <w:rsid w:val="0064237C"/>
    <w:rsid w:val="00642397"/>
    <w:rsid w:val="006423C9"/>
    <w:rsid w:val="00642467"/>
    <w:rsid w:val="006424F9"/>
    <w:rsid w:val="00642630"/>
    <w:rsid w:val="00642767"/>
    <w:rsid w:val="00642791"/>
    <w:rsid w:val="00642BB7"/>
    <w:rsid w:val="00642E2A"/>
    <w:rsid w:val="00642FCB"/>
    <w:rsid w:val="00643034"/>
    <w:rsid w:val="00643193"/>
    <w:rsid w:val="0064319A"/>
    <w:rsid w:val="0064365B"/>
    <w:rsid w:val="006436A0"/>
    <w:rsid w:val="006437A8"/>
    <w:rsid w:val="006438C2"/>
    <w:rsid w:val="00643DD6"/>
    <w:rsid w:val="00644160"/>
    <w:rsid w:val="00644328"/>
    <w:rsid w:val="00644330"/>
    <w:rsid w:val="00644430"/>
    <w:rsid w:val="00644445"/>
    <w:rsid w:val="006444C9"/>
    <w:rsid w:val="006445FD"/>
    <w:rsid w:val="006447BC"/>
    <w:rsid w:val="00644914"/>
    <w:rsid w:val="006449A9"/>
    <w:rsid w:val="00644B1A"/>
    <w:rsid w:val="00644C5C"/>
    <w:rsid w:val="006451DD"/>
    <w:rsid w:val="0064524D"/>
    <w:rsid w:val="0064543A"/>
    <w:rsid w:val="00645490"/>
    <w:rsid w:val="0064549E"/>
    <w:rsid w:val="006455CA"/>
    <w:rsid w:val="00645766"/>
    <w:rsid w:val="006459E6"/>
    <w:rsid w:val="00645CFF"/>
    <w:rsid w:val="00645FEB"/>
    <w:rsid w:val="00646092"/>
    <w:rsid w:val="006462AF"/>
    <w:rsid w:val="006462E1"/>
    <w:rsid w:val="00646318"/>
    <w:rsid w:val="00646440"/>
    <w:rsid w:val="006465D4"/>
    <w:rsid w:val="00646690"/>
    <w:rsid w:val="006467C7"/>
    <w:rsid w:val="0064687F"/>
    <w:rsid w:val="00646C69"/>
    <w:rsid w:val="006470CF"/>
    <w:rsid w:val="00647225"/>
    <w:rsid w:val="006472C5"/>
    <w:rsid w:val="0064737E"/>
    <w:rsid w:val="00647479"/>
    <w:rsid w:val="006474DD"/>
    <w:rsid w:val="0064757A"/>
    <w:rsid w:val="00647594"/>
    <w:rsid w:val="006475DD"/>
    <w:rsid w:val="00647709"/>
    <w:rsid w:val="00647726"/>
    <w:rsid w:val="006477A3"/>
    <w:rsid w:val="006477D6"/>
    <w:rsid w:val="00647869"/>
    <w:rsid w:val="0064788E"/>
    <w:rsid w:val="00647A5B"/>
    <w:rsid w:val="00647C2A"/>
    <w:rsid w:val="00647F1B"/>
    <w:rsid w:val="00650108"/>
    <w:rsid w:val="00650200"/>
    <w:rsid w:val="006502E6"/>
    <w:rsid w:val="006503A7"/>
    <w:rsid w:val="006503FC"/>
    <w:rsid w:val="00650651"/>
    <w:rsid w:val="006506E3"/>
    <w:rsid w:val="006507F2"/>
    <w:rsid w:val="0065088D"/>
    <w:rsid w:val="006508EC"/>
    <w:rsid w:val="00650A3C"/>
    <w:rsid w:val="00650B02"/>
    <w:rsid w:val="00650C22"/>
    <w:rsid w:val="00650C6A"/>
    <w:rsid w:val="00650CFE"/>
    <w:rsid w:val="00650DD9"/>
    <w:rsid w:val="00650F18"/>
    <w:rsid w:val="00651112"/>
    <w:rsid w:val="00651155"/>
    <w:rsid w:val="0065116E"/>
    <w:rsid w:val="00651213"/>
    <w:rsid w:val="00651410"/>
    <w:rsid w:val="00651495"/>
    <w:rsid w:val="00651573"/>
    <w:rsid w:val="006516FA"/>
    <w:rsid w:val="006517A9"/>
    <w:rsid w:val="00651A0A"/>
    <w:rsid w:val="00651AA4"/>
    <w:rsid w:val="00651BC5"/>
    <w:rsid w:val="00651C93"/>
    <w:rsid w:val="00651C96"/>
    <w:rsid w:val="006520F6"/>
    <w:rsid w:val="006523FE"/>
    <w:rsid w:val="0065244D"/>
    <w:rsid w:val="006524CE"/>
    <w:rsid w:val="00652542"/>
    <w:rsid w:val="00652B28"/>
    <w:rsid w:val="00652B2F"/>
    <w:rsid w:val="00652B48"/>
    <w:rsid w:val="00652B72"/>
    <w:rsid w:val="00652BFE"/>
    <w:rsid w:val="00652D4B"/>
    <w:rsid w:val="00652D50"/>
    <w:rsid w:val="00652E41"/>
    <w:rsid w:val="00652E85"/>
    <w:rsid w:val="00652F23"/>
    <w:rsid w:val="00652F52"/>
    <w:rsid w:val="00653261"/>
    <w:rsid w:val="00653331"/>
    <w:rsid w:val="006533D6"/>
    <w:rsid w:val="006534CE"/>
    <w:rsid w:val="00653638"/>
    <w:rsid w:val="00653650"/>
    <w:rsid w:val="006536C1"/>
    <w:rsid w:val="006537CC"/>
    <w:rsid w:val="00653897"/>
    <w:rsid w:val="00653A30"/>
    <w:rsid w:val="00653BCE"/>
    <w:rsid w:val="00653D08"/>
    <w:rsid w:val="00653DC9"/>
    <w:rsid w:val="00653F8F"/>
    <w:rsid w:val="00653FE3"/>
    <w:rsid w:val="0065402A"/>
    <w:rsid w:val="00654042"/>
    <w:rsid w:val="0065413C"/>
    <w:rsid w:val="006541C1"/>
    <w:rsid w:val="00654481"/>
    <w:rsid w:val="00654542"/>
    <w:rsid w:val="006545ED"/>
    <w:rsid w:val="00654603"/>
    <w:rsid w:val="006548BC"/>
    <w:rsid w:val="00654BA9"/>
    <w:rsid w:val="00654BE9"/>
    <w:rsid w:val="00654C01"/>
    <w:rsid w:val="00654C04"/>
    <w:rsid w:val="00654E81"/>
    <w:rsid w:val="00654F1A"/>
    <w:rsid w:val="00654FC9"/>
    <w:rsid w:val="00655004"/>
    <w:rsid w:val="00655033"/>
    <w:rsid w:val="006550EF"/>
    <w:rsid w:val="006552B0"/>
    <w:rsid w:val="006553FF"/>
    <w:rsid w:val="006555B5"/>
    <w:rsid w:val="00655652"/>
    <w:rsid w:val="00655734"/>
    <w:rsid w:val="00655787"/>
    <w:rsid w:val="0065580D"/>
    <w:rsid w:val="006558E9"/>
    <w:rsid w:val="00655926"/>
    <w:rsid w:val="00655AE4"/>
    <w:rsid w:val="00655B19"/>
    <w:rsid w:val="00655D17"/>
    <w:rsid w:val="00655EA0"/>
    <w:rsid w:val="00655EA6"/>
    <w:rsid w:val="00655F70"/>
    <w:rsid w:val="00655F99"/>
    <w:rsid w:val="00655FE9"/>
    <w:rsid w:val="006560D4"/>
    <w:rsid w:val="00656129"/>
    <w:rsid w:val="0065615F"/>
    <w:rsid w:val="0065627D"/>
    <w:rsid w:val="006562D4"/>
    <w:rsid w:val="00656356"/>
    <w:rsid w:val="0065680D"/>
    <w:rsid w:val="00656848"/>
    <w:rsid w:val="006568C3"/>
    <w:rsid w:val="00656A92"/>
    <w:rsid w:val="00656BE7"/>
    <w:rsid w:val="00656E28"/>
    <w:rsid w:val="006572A2"/>
    <w:rsid w:val="00657345"/>
    <w:rsid w:val="006573A4"/>
    <w:rsid w:val="006577B3"/>
    <w:rsid w:val="006579B8"/>
    <w:rsid w:val="00657A7F"/>
    <w:rsid w:val="00657AB2"/>
    <w:rsid w:val="00657C0B"/>
    <w:rsid w:val="00657E71"/>
    <w:rsid w:val="00657EB4"/>
    <w:rsid w:val="00657ED4"/>
    <w:rsid w:val="0066020C"/>
    <w:rsid w:val="00660220"/>
    <w:rsid w:val="0066043B"/>
    <w:rsid w:val="0066047F"/>
    <w:rsid w:val="00660496"/>
    <w:rsid w:val="00660610"/>
    <w:rsid w:val="00660669"/>
    <w:rsid w:val="006606B5"/>
    <w:rsid w:val="0066070B"/>
    <w:rsid w:val="0066072E"/>
    <w:rsid w:val="00660760"/>
    <w:rsid w:val="00660803"/>
    <w:rsid w:val="00660804"/>
    <w:rsid w:val="00660834"/>
    <w:rsid w:val="0066088D"/>
    <w:rsid w:val="006608A9"/>
    <w:rsid w:val="00660A75"/>
    <w:rsid w:val="00660BD2"/>
    <w:rsid w:val="00660CAF"/>
    <w:rsid w:val="00660CD9"/>
    <w:rsid w:val="00660FC3"/>
    <w:rsid w:val="00660FE3"/>
    <w:rsid w:val="00661049"/>
    <w:rsid w:val="00661085"/>
    <w:rsid w:val="0066155E"/>
    <w:rsid w:val="006617B9"/>
    <w:rsid w:val="006619A0"/>
    <w:rsid w:val="00661D9A"/>
    <w:rsid w:val="00661F6A"/>
    <w:rsid w:val="0066215E"/>
    <w:rsid w:val="0066230F"/>
    <w:rsid w:val="006623CE"/>
    <w:rsid w:val="0066241B"/>
    <w:rsid w:val="0066241C"/>
    <w:rsid w:val="00662506"/>
    <w:rsid w:val="00662584"/>
    <w:rsid w:val="0066264E"/>
    <w:rsid w:val="00662755"/>
    <w:rsid w:val="006627C8"/>
    <w:rsid w:val="00662912"/>
    <w:rsid w:val="00662BE5"/>
    <w:rsid w:val="00662CDC"/>
    <w:rsid w:val="00662D39"/>
    <w:rsid w:val="00662E53"/>
    <w:rsid w:val="00662FD9"/>
    <w:rsid w:val="006631B4"/>
    <w:rsid w:val="00663376"/>
    <w:rsid w:val="00663479"/>
    <w:rsid w:val="00663594"/>
    <w:rsid w:val="006637C6"/>
    <w:rsid w:val="006637D3"/>
    <w:rsid w:val="006639EF"/>
    <w:rsid w:val="00663CA3"/>
    <w:rsid w:val="00663D67"/>
    <w:rsid w:val="00663E10"/>
    <w:rsid w:val="00663E21"/>
    <w:rsid w:val="00663E44"/>
    <w:rsid w:val="00663EF3"/>
    <w:rsid w:val="00663F6C"/>
    <w:rsid w:val="00664007"/>
    <w:rsid w:val="006644CC"/>
    <w:rsid w:val="006645E6"/>
    <w:rsid w:val="00664942"/>
    <w:rsid w:val="00664ACE"/>
    <w:rsid w:val="00664BAF"/>
    <w:rsid w:val="00664CFB"/>
    <w:rsid w:val="00664D37"/>
    <w:rsid w:val="00664D52"/>
    <w:rsid w:val="006650FC"/>
    <w:rsid w:val="006651AA"/>
    <w:rsid w:val="0066523F"/>
    <w:rsid w:val="006655AB"/>
    <w:rsid w:val="006655E0"/>
    <w:rsid w:val="00665A6D"/>
    <w:rsid w:val="00665B61"/>
    <w:rsid w:val="00665BA8"/>
    <w:rsid w:val="00665BC7"/>
    <w:rsid w:val="00665D77"/>
    <w:rsid w:val="00665EEF"/>
    <w:rsid w:val="00665FAE"/>
    <w:rsid w:val="0066618D"/>
    <w:rsid w:val="0066637B"/>
    <w:rsid w:val="006663F0"/>
    <w:rsid w:val="00666403"/>
    <w:rsid w:val="00666611"/>
    <w:rsid w:val="00666626"/>
    <w:rsid w:val="00666633"/>
    <w:rsid w:val="0066666B"/>
    <w:rsid w:val="00666692"/>
    <w:rsid w:val="006666FF"/>
    <w:rsid w:val="006667C2"/>
    <w:rsid w:val="0066685B"/>
    <w:rsid w:val="00666A8B"/>
    <w:rsid w:val="00666AFF"/>
    <w:rsid w:val="00666C37"/>
    <w:rsid w:val="00666DFB"/>
    <w:rsid w:val="00666F01"/>
    <w:rsid w:val="00666FCF"/>
    <w:rsid w:val="00667293"/>
    <w:rsid w:val="00667313"/>
    <w:rsid w:val="006677BB"/>
    <w:rsid w:val="006678FA"/>
    <w:rsid w:val="00667A3C"/>
    <w:rsid w:val="00667B16"/>
    <w:rsid w:val="00667C4E"/>
    <w:rsid w:val="00667E5E"/>
    <w:rsid w:val="00667F6A"/>
    <w:rsid w:val="00670079"/>
    <w:rsid w:val="00670206"/>
    <w:rsid w:val="0067025F"/>
    <w:rsid w:val="00670353"/>
    <w:rsid w:val="0067063D"/>
    <w:rsid w:val="006706A4"/>
    <w:rsid w:val="00670708"/>
    <w:rsid w:val="0067085A"/>
    <w:rsid w:val="00670887"/>
    <w:rsid w:val="00670A4F"/>
    <w:rsid w:val="00670EDA"/>
    <w:rsid w:val="00670EF8"/>
    <w:rsid w:val="00671091"/>
    <w:rsid w:val="006710C7"/>
    <w:rsid w:val="0067126D"/>
    <w:rsid w:val="006712BB"/>
    <w:rsid w:val="006712CB"/>
    <w:rsid w:val="006714EB"/>
    <w:rsid w:val="0067171C"/>
    <w:rsid w:val="00671798"/>
    <w:rsid w:val="006717D2"/>
    <w:rsid w:val="006718E5"/>
    <w:rsid w:val="0067199B"/>
    <w:rsid w:val="00671CCC"/>
    <w:rsid w:val="00671E19"/>
    <w:rsid w:val="00672080"/>
    <w:rsid w:val="006723BB"/>
    <w:rsid w:val="006724B5"/>
    <w:rsid w:val="0067258F"/>
    <w:rsid w:val="0067265F"/>
    <w:rsid w:val="00672668"/>
    <w:rsid w:val="0067267E"/>
    <w:rsid w:val="00672748"/>
    <w:rsid w:val="006727AD"/>
    <w:rsid w:val="00672B74"/>
    <w:rsid w:val="00672BA0"/>
    <w:rsid w:val="00672D23"/>
    <w:rsid w:val="00672D29"/>
    <w:rsid w:val="00672D63"/>
    <w:rsid w:val="00672DEB"/>
    <w:rsid w:val="00672EC2"/>
    <w:rsid w:val="0067304D"/>
    <w:rsid w:val="006730F9"/>
    <w:rsid w:val="0067337F"/>
    <w:rsid w:val="0067368B"/>
    <w:rsid w:val="006736AF"/>
    <w:rsid w:val="006736CB"/>
    <w:rsid w:val="00673701"/>
    <w:rsid w:val="0067389B"/>
    <w:rsid w:val="00673AA8"/>
    <w:rsid w:val="00673ACC"/>
    <w:rsid w:val="00673E88"/>
    <w:rsid w:val="00673E8D"/>
    <w:rsid w:val="00673FEF"/>
    <w:rsid w:val="00674017"/>
    <w:rsid w:val="006742CF"/>
    <w:rsid w:val="006743B6"/>
    <w:rsid w:val="00674607"/>
    <w:rsid w:val="00674719"/>
    <w:rsid w:val="006747A5"/>
    <w:rsid w:val="00674A04"/>
    <w:rsid w:val="00674B45"/>
    <w:rsid w:val="00674B49"/>
    <w:rsid w:val="00674B87"/>
    <w:rsid w:val="00674CC8"/>
    <w:rsid w:val="00674CCA"/>
    <w:rsid w:val="00674D90"/>
    <w:rsid w:val="00675087"/>
    <w:rsid w:val="006751EE"/>
    <w:rsid w:val="00675344"/>
    <w:rsid w:val="006755BF"/>
    <w:rsid w:val="0067593D"/>
    <w:rsid w:val="00675D23"/>
    <w:rsid w:val="00675F04"/>
    <w:rsid w:val="00676028"/>
    <w:rsid w:val="00676135"/>
    <w:rsid w:val="00676166"/>
    <w:rsid w:val="00676506"/>
    <w:rsid w:val="006767D3"/>
    <w:rsid w:val="00676A2D"/>
    <w:rsid w:val="00676D9A"/>
    <w:rsid w:val="00677217"/>
    <w:rsid w:val="0067744C"/>
    <w:rsid w:val="00677452"/>
    <w:rsid w:val="0067759F"/>
    <w:rsid w:val="006775CD"/>
    <w:rsid w:val="006776C4"/>
    <w:rsid w:val="00677866"/>
    <w:rsid w:val="00677A24"/>
    <w:rsid w:val="00677AF9"/>
    <w:rsid w:val="00677C6C"/>
    <w:rsid w:val="00677D13"/>
    <w:rsid w:val="00677D90"/>
    <w:rsid w:val="00677F51"/>
    <w:rsid w:val="00680154"/>
    <w:rsid w:val="00680815"/>
    <w:rsid w:val="0068092B"/>
    <w:rsid w:val="0068094F"/>
    <w:rsid w:val="00680A99"/>
    <w:rsid w:val="00680A9B"/>
    <w:rsid w:val="00680ACE"/>
    <w:rsid w:val="00680B84"/>
    <w:rsid w:val="00680C62"/>
    <w:rsid w:val="00680CC2"/>
    <w:rsid w:val="00680F0F"/>
    <w:rsid w:val="00681135"/>
    <w:rsid w:val="00681341"/>
    <w:rsid w:val="0068157D"/>
    <w:rsid w:val="006816D7"/>
    <w:rsid w:val="006817EA"/>
    <w:rsid w:val="00681839"/>
    <w:rsid w:val="006818A6"/>
    <w:rsid w:val="0068196C"/>
    <w:rsid w:val="00681B54"/>
    <w:rsid w:val="00681CD5"/>
    <w:rsid w:val="00681D16"/>
    <w:rsid w:val="0068213A"/>
    <w:rsid w:val="00682293"/>
    <w:rsid w:val="00682420"/>
    <w:rsid w:val="0068247F"/>
    <w:rsid w:val="00682587"/>
    <w:rsid w:val="00682704"/>
    <w:rsid w:val="006827F2"/>
    <w:rsid w:val="00682811"/>
    <w:rsid w:val="00682957"/>
    <w:rsid w:val="0068298C"/>
    <w:rsid w:val="00682A7C"/>
    <w:rsid w:val="00682A7D"/>
    <w:rsid w:val="00682E20"/>
    <w:rsid w:val="00682EB3"/>
    <w:rsid w:val="0068307A"/>
    <w:rsid w:val="006831B1"/>
    <w:rsid w:val="006832A2"/>
    <w:rsid w:val="00683359"/>
    <w:rsid w:val="00683482"/>
    <w:rsid w:val="0068348E"/>
    <w:rsid w:val="00683515"/>
    <w:rsid w:val="006835E0"/>
    <w:rsid w:val="006837F0"/>
    <w:rsid w:val="00683853"/>
    <w:rsid w:val="00683886"/>
    <w:rsid w:val="0068388E"/>
    <w:rsid w:val="006839EF"/>
    <w:rsid w:val="00683B05"/>
    <w:rsid w:val="00683C6E"/>
    <w:rsid w:val="00683EFB"/>
    <w:rsid w:val="006840B7"/>
    <w:rsid w:val="006841DB"/>
    <w:rsid w:val="006842DD"/>
    <w:rsid w:val="0068451A"/>
    <w:rsid w:val="006846F3"/>
    <w:rsid w:val="00684723"/>
    <w:rsid w:val="00684A2F"/>
    <w:rsid w:val="00684A5E"/>
    <w:rsid w:val="00684ABB"/>
    <w:rsid w:val="00684D0D"/>
    <w:rsid w:val="00684D97"/>
    <w:rsid w:val="00684DBA"/>
    <w:rsid w:val="00684E1D"/>
    <w:rsid w:val="00684FC0"/>
    <w:rsid w:val="00685090"/>
    <w:rsid w:val="006850DD"/>
    <w:rsid w:val="0068514B"/>
    <w:rsid w:val="006853EB"/>
    <w:rsid w:val="006854A3"/>
    <w:rsid w:val="0068551E"/>
    <w:rsid w:val="00685625"/>
    <w:rsid w:val="00685844"/>
    <w:rsid w:val="0068588C"/>
    <w:rsid w:val="00685933"/>
    <w:rsid w:val="006859DB"/>
    <w:rsid w:val="00685A40"/>
    <w:rsid w:val="00685C24"/>
    <w:rsid w:val="00686165"/>
    <w:rsid w:val="00686252"/>
    <w:rsid w:val="00686270"/>
    <w:rsid w:val="00686372"/>
    <w:rsid w:val="0068638B"/>
    <w:rsid w:val="006863A2"/>
    <w:rsid w:val="00686412"/>
    <w:rsid w:val="006864FE"/>
    <w:rsid w:val="00686681"/>
    <w:rsid w:val="00686862"/>
    <w:rsid w:val="0068686B"/>
    <w:rsid w:val="0068691D"/>
    <w:rsid w:val="0068697A"/>
    <w:rsid w:val="00686AEA"/>
    <w:rsid w:val="00686BCE"/>
    <w:rsid w:val="00686C54"/>
    <w:rsid w:val="00686C82"/>
    <w:rsid w:val="00686CE2"/>
    <w:rsid w:val="00686DA9"/>
    <w:rsid w:val="00686EC4"/>
    <w:rsid w:val="00687097"/>
    <w:rsid w:val="00687162"/>
    <w:rsid w:val="006871AC"/>
    <w:rsid w:val="0068729F"/>
    <w:rsid w:val="0068735B"/>
    <w:rsid w:val="00687488"/>
    <w:rsid w:val="006876DA"/>
    <w:rsid w:val="0068776B"/>
    <w:rsid w:val="0068777B"/>
    <w:rsid w:val="006879DE"/>
    <w:rsid w:val="00687A1B"/>
    <w:rsid w:val="00687D11"/>
    <w:rsid w:val="00687DDC"/>
    <w:rsid w:val="00687EDE"/>
    <w:rsid w:val="00687FEA"/>
    <w:rsid w:val="0069043D"/>
    <w:rsid w:val="00690783"/>
    <w:rsid w:val="006907B6"/>
    <w:rsid w:val="00690804"/>
    <w:rsid w:val="0069087F"/>
    <w:rsid w:val="006908A6"/>
    <w:rsid w:val="0069091F"/>
    <w:rsid w:val="00690A78"/>
    <w:rsid w:val="00690A9A"/>
    <w:rsid w:val="00690B1F"/>
    <w:rsid w:val="00690DA2"/>
    <w:rsid w:val="00690F4D"/>
    <w:rsid w:val="0069103C"/>
    <w:rsid w:val="00691101"/>
    <w:rsid w:val="0069138E"/>
    <w:rsid w:val="0069141F"/>
    <w:rsid w:val="00691465"/>
    <w:rsid w:val="00691495"/>
    <w:rsid w:val="0069177D"/>
    <w:rsid w:val="006917FD"/>
    <w:rsid w:val="00691932"/>
    <w:rsid w:val="00691AB4"/>
    <w:rsid w:val="00691B78"/>
    <w:rsid w:val="00691CAA"/>
    <w:rsid w:val="00691CB5"/>
    <w:rsid w:val="00691DE3"/>
    <w:rsid w:val="00692168"/>
    <w:rsid w:val="00692253"/>
    <w:rsid w:val="006922C7"/>
    <w:rsid w:val="0069241A"/>
    <w:rsid w:val="006924E7"/>
    <w:rsid w:val="006928CE"/>
    <w:rsid w:val="00692D29"/>
    <w:rsid w:val="00692DAC"/>
    <w:rsid w:val="00692EE3"/>
    <w:rsid w:val="0069302B"/>
    <w:rsid w:val="00693144"/>
    <w:rsid w:val="0069317E"/>
    <w:rsid w:val="0069320B"/>
    <w:rsid w:val="0069322B"/>
    <w:rsid w:val="0069324A"/>
    <w:rsid w:val="00693748"/>
    <w:rsid w:val="00693885"/>
    <w:rsid w:val="0069388C"/>
    <w:rsid w:val="00693891"/>
    <w:rsid w:val="0069399C"/>
    <w:rsid w:val="00693AF2"/>
    <w:rsid w:val="00693B88"/>
    <w:rsid w:val="00693BD0"/>
    <w:rsid w:val="00693C5F"/>
    <w:rsid w:val="00693CCB"/>
    <w:rsid w:val="00693CEC"/>
    <w:rsid w:val="00693D93"/>
    <w:rsid w:val="00694145"/>
    <w:rsid w:val="00694171"/>
    <w:rsid w:val="00694396"/>
    <w:rsid w:val="00694436"/>
    <w:rsid w:val="00694446"/>
    <w:rsid w:val="006944D7"/>
    <w:rsid w:val="00694763"/>
    <w:rsid w:val="00694787"/>
    <w:rsid w:val="006948E8"/>
    <w:rsid w:val="00694924"/>
    <w:rsid w:val="00694A56"/>
    <w:rsid w:val="00694BB3"/>
    <w:rsid w:val="00694C3D"/>
    <w:rsid w:val="00694D15"/>
    <w:rsid w:val="00694D3E"/>
    <w:rsid w:val="00694E62"/>
    <w:rsid w:val="00694F45"/>
    <w:rsid w:val="00694FB2"/>
    <w:rsid w:val="00694FFB"/>
    <w:rsid w:val="0069538C"/>
    <w:rsid w:val="00695505"/>
    <w:rsid w:val="0069550B"/>
    <w:rsid w:val="0069565E"/>
    <w:rsid w:val="006956F3"/>
    <w:rsid w:val="0069576E"/>
    <w:rsid w:val="0069586F"/>
    <w:rsid w:val="00695A60"/>
    <w:rsid w:val="00695A99"/>
    <w:rsid w:val="00695DC6"/>
    <w:rsid w:val="00695E1A"/>
    <w:rsid w:val="00696246"/>
    <w:rsid w:val="00696413"/>
    <w:rsid w:val="00696441"/>
    <w:rsid w:val="0069645F"/>
    <w:rsid w:val="0069652A"/>
    <w:rsid w:val="00696585"/>
    <w:rsid w:val="0069665E"/>
    <w:rsid w:val="00696858"/>
    <w:rsid w:val="00696890"/>
    <w:rsid w:val="00696934"/>
    <w:rsid w:val="006969D4"/>
    <w:rsid w:val="00696C5A"/>
    <w:rsid w:val="00696C74"/>
    <w:rsid w:val="00696C92"/>
    <w:rsid w:val="00697287"/>
    <w:rsid w:val="0069739F"/>
    <w:rsid w:val="006973B0"/>
    <w:rsid w:val="006973DF"/>
    <w:rsid w:val="00697676"/>
    <w:rsid w:val="00697779"/>
    <w:rsid w:val="006977F8"/>
    <w:rsid w:val="00697870"/>
    <w:rsid w:val="0069789B"/>
    <w:rsid w:val="00697A48"/>
    <w:rsid w:val="00697B0C"/>
    <w:rsid w:val="006A00FC"/>
    <w:rsid w:val="006A061E"/>
    <w:rsid w:val="006A0686"/>
    <w:rsid w:val="006A090D"/>
    <w:rsid w:val="006A0B42"/>
    <w:rsid w:val="006A0B66"/>
    <w:rsid w:val="006A0B75"/>
    <w:rsid w:val="006A0BA9"/>
    <w:rsid w:val="006A0BF2"/>
    <w:rsid w:val="006A0CE5"/>
    <w:rsid w:val="006A0D1D"/>
    <w:rsid w:val="006A0E32"/>
    <w:rsid w:val="006A0E48"/>
    <w:rsid w:val="006A0FA1"/>
    <w:rsid w:val="006A0FEB"/>
    <w:rsid w:val="006A11E2"/>
    <w:rsid w:val="006A15F0"/>
    <w:rsid w:val="006A1762"/>
    <w:rsid w:val="006A18AD"/>
    <w:rsid w:val="006A191E"/>
    <w:rsid w:val="006A1A28"/>
    <w:rsid w:val="006A1C6C"/>
    <w:rsid w:val="006A1D03"/>
    <w:rsid w:val="006A1EC1"/>
    <w:rsid w:val="006A1FC3"/>
    <w:rsid w:val="006A1FDB"/>
    <w:rsid w:val="006A2117"/>
    <w:rsid w:val="006A21F6"/>
    <w:rsid w:val="006A2244"/>
    <w:rsid w:val="006A22B3"/>
    <w:rsid w:val="006A25A7"/>
    <w:rsid w:val="006A2647"/>
    <w:rsid w:val="006A2902"/>
    <w:rsid w:val="006A2A32"/>
    <w:rsid w:val="006A2B98"/>
    <w:rsid w:val="006A2DDF"/>
    <w:rsid w:val="006A2DE3"/>
    <w:rsid w:val="006A2EFB"/>
    <w:rsid w:val="006A326A"/>
    <w:rsid w:val="006A32F9"/>
    <w:rsid w:val="006A33E6"/>
    <w:rsid w:val="006A3489"/>
    <w:rsid w:val="006A3772"/>
    <w:rsid w:val="006A379C"/>
    <w:rsid w:val="006A3A43"/>
    <w:rsid w:val="006A3A8C"/>
    <w:rsid w:val="006A3A99"/>
    <w:rsid w:val="006A3AB7"/>
    <w:rsid w:val="006A3B41"/>
    <w:rsid w:val="006A3B80"/>
    <w:rsid w:val="006A3BF5"/>
    <w:rsid w:val="006A3D28"/>
    <w:rsid w:val="006A3E38"/>
    <w:rsid w:val="006A40EC"/>
    <w:rsid w:val="006A41EE"/>
    <w:rsid w:val="006A42FD"/>
    <w:rsid w:val="006A4419"/>
    <w:rsid w:val="006A467D"/>
    <w:rsid w:val="006A469D"/>
    <w:rsid w:val="006A49A3"/>
    <w:rsid w:val="006A49C6"/>
    <w:rsid w:val="006A49DA"/>
    <w:rsid w:val="006A4C05"/>
    <w:rsid w:val="006A4C94"/>
    <w:rsid w:val="006A4D08"/>
    <w:rsid w:val="006A4E6D"/>
    <w:rsid w:val="006A4E89"/>
    <w:rsid w:val="006A4FB3"/>
    <w:rsid w:val="006A4FB9"/>
    <w:rsid w:val="006A511D"/>
    <w:rsid w:val="006A513F"/>
    <w:rsid w:val="006A514D"/>
    <w:rsid w:val="006A53E7"/>
    <w:rsid w:val="006A5620"/>
    <w:rsid w:val="006A5737"/>
    <w:rsid w:val="006A57A1"/>
    <w:rsid w:val="006A57D8"/>
    <w:rsid w:val="006A5819"/>
    <w:rsid w:val="006A5992"/>
    <w:rsid w:val="006A59D5"/>
    <w:rsid w:val="006A5AD4"/>
    <w:rsid w:val="006A5AFE"/>
    <w:rsid w:val="006A5B45"/>
    <w:rsid w:val="006A5B94"/>
    <w:rsid w:val="006A5E16"/>
    <w:rsid w:val="006A5FDC"/>
    <w:rsid w:val="006A602D"/>
    <w:rsid w:val="006A6184"/>
    <w:rsid w:val="006A66DC"/>
    <w:rsid w:val="006A6804"/>
    <w:rsid w:val="006A6827"/>
    <w:rsid w:val="006A6A07"/>
    <w:rsid w:val="006A6C65"/>
    <w:rsid w:val="006A6D36"/>
    <w:rsid w:val="006A6D69"/>
    <w:rsid w:val="006A6D8A"/>
    <w:rsid w:val="006A6DDA"/>
    <w:rsid w:val="006A6E55"/>
    <w:rsid w:val="006A6EE1"/>
    <w:rsid w:val="006A70F0"/>
    <w:rsid w:val="006A7655"/>
    <w:rsid w:val="006A773E"/>
    <w:rsid w:val="006A7746"/>
    <w:rsid w:val="006A77FD"/>
    <w:rsid w:val="006A7806"/>
    <w:rsid w:val="006A78B8"/>
    <w:rsid w:val="006A7C94"/>
    <w:rsid w:val="006A7D6C"/>
    <w:rsid w:val="006B0609"/>
    <w:rsid w:val="006B080F"/>
    <w:rsid w:val="006B085F"/>
    <w:rsid w:val="006B0869"/>
    <w:rsid w:val="006B08DF"/>
    <w:rsid w:val="006B0BAB"/>
    <w:rsid w:val="006B0BF3"/>
    <w:rsid w:val="006B0E4B"/>
    <w:rsid w:val="006B0E64"/>
    <w:rsid w:val="006B0E77"/>
    <w:rsid w:val="006B1001"/>
    <w:rsid w:val="006B1011"/>
    <w:rsid w:val="006B10E0"/>
    <w:rsid w:val="006B1110"/>
    <w:rsid w:val="006B136E"/>
    <w:rsid w:val="006B14BD"/>
    <w:rsid w:val="006B14EB"/>
    <w:rsid w:val="006B1660"/>
    <w:rsid w:val="006B1886"/>
    <w:rsid w:val="006B18E5"/>
    <w:rsid w:val="006B1956"/>
    <w:rsid w:val="006B198F"/>
    <w:rsid w:val="006B19E7"/>
    <w:rsid w:val="006B1B89"/>
    <w:rsid w:val="006B1B97"/>
    <w:rsid w:val="006B1CA7"/>
    <w:rsid w:val="006B1D17"/>
    <w:rsid w:val="006B226F"/>
    <w:rsid w:val="006B235A"/>
    <w:rsid w:val="006B267A"/>
    <w:rsid w:val="006B277C"/>
    <w:rsid w:val="006B2831"/>
    <w:rsid w:val="006B2840"/>
    <w:rsid w:val="006B299D"/>
    <w:rsid w:val="006B2A55"/>
    <w:rsid w:val="006B2CD7"/>
    <w:rsid w:val="006B315A"/>
    <w:rsid w:val="006B31E5"/>
    <w:rsid w:val="006B3292"/>
    <w:rsid w:val="006B3366"/>
    <w:rsid w:val="006B339E"/>
    <w:rsid w:val="006B33F1"/>
    <w:rsid w:val="006B3617"/>
    <w:rsid w:val="006B36A4"/>
    <w:rsid w:val="006B376D"/>
    <w:rsid w:val="006B37CF"/>
    <w:rsid w:val="006B3A0C"/>
    <w:rsid w:val="006B3A2E"/>
    <w:rsid w:val="006B3ABE"/>
    <w:rsid w:val="006B3AF1"/>
    <w:rsid w:val="006B3B9B"/>
    <w:rsid w:val="006B3D32"/>
    <w:rsid w:val="006B3E21"/>
    <w:rsid w:val="006B3F2D"/>
    <w:rsid w:val="006B41DE"/>
    <w:rsid w:val="006B41F8"/>
    <w:rsid w:val="006B4211"/>
    <w:rsid w:val="006B4301"/>
    <w:rsid w:val="006B4336"/>
    <w:rsid w:val="006B467B"/>
    <w:rsid w:val="006B46C6"/>
    <w:rsid w:val="006B497E"/>
    <w:rsid w:val="006B49D5"/>
    <w:rsid w:val="006B4B79"/>
    <w:rsid w:val="006B4C2F"/>
    <w:rsid w:val="006B4D57"/>
    <w:rsid w:val="006B4DDE"/>
    <w:rsid w:val="006B4EE4"/>
    <w:rsid w:val="006B5147"/>
    <w:rsid w:val="006B5184"/>
    <w:rsid w:val="006B51A4"/>
    <w:rsid w:val="006B522F"/>
    <w:rsid w:val="006B54D6"/>
    <w:rsid w:val="006B5685"/>
    <w:rsid w:val="006B5728"/>
    <w:rsid w:val="006B5738"/>
    <w:rsid w:val="006B573F"/>
    <w:rsid w:val="006B57AA"/>
    <w:rsid w:val="006B591E"/>
    <w:rsid w:val="006B5AF6"/>
    <w:rsid w:val="006B5BDE"/>
    <w:rsid w:val="006B5E3A"/>
    <w:rsid w:val="006B5E7C"/>
    <w:rsid w:val="006B5E84"/>
    <w:rsid w:val="006B6163"/>
    <w:rsid w:val="006B617A"/>
    <w:rsid w:val="006B61F5"/>
    <w:rsid w:val="006B629A"/>
    <w:rsid w:val="006B636C"/>
    <w:rsid w:val="006B646A"/>
    <w:rsid w:val="006B65CF"/>
    <w:rsid w:val="006B66EB"/>
    <w:rsid w:val="006B67A8"/>
    <w:rsid w:val="006B6FC0"/>
    <w:rsid w:val="006B6FC1"/>
    <w:rsid w:val="006B7013"/>
    <w:rsid w:val="006B7050"/>
    <w:rsid w:val="006B7095"/>
    <w:rsid w:val="006B7346"/>
    <w:rsid w:val="006B7501"/>
    <w:rsid w:val="006B7616"/>
    <w:rsid w:val="006B7652"/>
    <w:rsid w:val="006B76E8"/>
    <w:rsid w:val="006B7751"/>
    <w:rsid w:val="006B79FD"/>
    <w:rsid w:val="006B7B76"/>
    <w:rsid w:val="006B7E4F"/>
    <w:rsid w:val="006B7EA5"/>
    <w:rsid w:val="006B7EAE"/>
    <w:rsid w:val="006B7F5F"/>
    <w:rsid w:val="006C0046"/>
    <w:rsid w:val="006C02E6"/>
    <w:rsid w:val="006C0427"/>
    <w:rsid w:val="006C05F4"/>
    <w:rsid w:val="006C07CD"/>
    <w:rsid w:val="006C07D6"/>
    <w:rsid w:val="006C08EE"/>
    <w:rsid w:val="006C09C1"/>
    <w:rsid w:val="006C0A8A"/>
    <w:rsid w:val="006C0BEF"/>
    <w:rsid w:val="006C0D01"/>
    <w:rsid w:val="006C0D8F"/>
    <w:rsid w:val="006C0F80"/>
    <w:rsid w:val="006C11D2"/>
    <w:rsid w:val="006C1375"/>
    <w:rsid w:val="006C1729"/>
    <w:rsid w:val="006C17D9"/>
    <w:rsid w:val="006C18D5"/>
    <w:rsid w:val="006C1C7B"/>
    <w:rsid w:val="006C1FCC"/>
    <w:rsid w:val="006C216B"/>
    <w:rsid w:val="006C2323"/>
    <w:rsid w:val="006C2324"/>
    <w:rsid w:val="006C2352"/>
    <w:rsid w:val="006C264D"/>
    <w:rsid w:val="006C2674"/>
    <w:rsid w:val="006C26F4"/>
    <w:rsid w:val="006C274E"/>
    <w:rsid w:val="006C28A1"/>
    <w:rsid w:val="006C2AF1"/>
    <w:rsid w:val="006C2DD5"/>
    <w:rsid w:val="006C2F23"/>
    <w:rsid w:val="006C319B"/>
    <w:rsid w:val="006C32A3"/>
    <w:rsid w:val="006C3648"/>
    <w:rsid w:val="006C368A"/>
    <w:rsid w:val="006C37D0"/>
    <w:rsid w:val="006C37DD"/>
    <w:rsid w:val="006C3886"/>
    <w:rsid w:val="006C392A"/>
    <w:rsid w:val="006C39A1"/>
    <w:rsid w:val="006C39A7"/>
    <w:rsid w:val="006C3A03"/>
    <w:rsid w:val="006C3C8C"/>
    <w:rsid w:val="006C3CE4"/>
    <w:rsid w:val="006C3D38"/>
    <w:rsid w:val="006C3D60"/>
    <w:rsid w:val="006C3D85"/>
    <w:rsid w:val="006C3E39"/>
    <w:rsid w:val="006C3FCA"/>
    <w:rsid w:val="006C4057"/>
    <w:rsid w:val="006C432B"/>
    <w:rsid w:val="006C444A"/>
    <w:rsid w:val="006C454C"/>
    <w:rsid w:val="006C4572"/>
    <w:rsid w:val="006C4820"/>
    <w:rsid w:val="006C4893"/>
    <w:rsid w:val="006C48C4"/>
    <w:rsid w:val="006C4A46"/>
    <w:rsid w:val="006C4BA6"/>
    <w:rsid w:val="006C4C72"/>
    <w:rsid w:val="006C4D8A"/>
    <w:rsid w:val="006C4D8C"/>
    <w:rsid w:val="006C4E36"/>
    <w:rsid w:val="006C4E7B"/>
    <w:rsid w:val="006C4EFB"/>
    <w:rsid w:val="006C5035"/>
    <w:rsid w:val="006C5100"/>
    <w:rsid w:val="006C527B"/>
    <w:rsid w:val="006C5469"/>
    <w:rsid w:val="006C563B"/>
    <w:rsid w:val="006C571C"/>
    <w:rsid w:val="006C5724"/>
    <w:rsid w:val="006C58DC"/>
    <w:rsid w:val="006C5AD5"/>
    <w:rsid w:val="006C5B49"/>
    <w:rsid w:val="006C5B82"/>
    <w:rsid w:val="006C5D14"/>
    <w:rsid w:val="006C5D37"/>
    <w:rsid w:val="006C5D3E"/>
    <w:rsid w:val="006C5DBF"/>
    <w:rsid w:val="006C5DE1"/>
    <w:rsid w:val="006C5E2A"/>
    <w:rsid w:val="006C5E2D"/>
    <w:rsid w:val="006C5E5C"/>
    <w:rsid w:val="006C61A6"/>
    <w:rsid w:val="006C61CE"/>
    <w:rsid w:val="006C61F2"/>
    <w:rsid w:val="006C6310"/>
    <w:rsid w:val="006C645D"/>
    <w:rsid w:val="006C6543"/>
    <w:rsid w:val="006C6584"/>
    <w:rsid w:val="006C65B3"/>
    <w:rsid w:val="006C66A5"/>
    <w:rsid w:val="006C66A9"/>
    <w:rsid w:val="006C6713"/>
    <w:rsid w:val="006C6731"/>
    <w:rsid w:val="006C6829"/>
    <w:rsid w:val="006C686B"/>
    <w:rsid w:val="006C6946"/>
    <w:rsid w:val="006C6ACC"/>
    <w:rsid w:val="006C6AF0"/>
    <w:rsid w:val="006C6CB5"/>
    <w:rsid w:val="006C6F39"/>
    <w:rsid w:val="006C6F8C"/>
    <w:rsid w:val="006C7041"/>
    <w:rsid w:val="006C714E"/>
    <w:rsid w:val="006C715B"/>
    <w:rsid w:val="006C7291"/>
    <w:rsid w:val="006C7304"/>
    <w:rsid w:val="006C73E0"/>
    <w:rsid w:val="006C7763"/>
    <w:rsid w:val="006C794F"/>
    <w:rsid w:val="006C79F6"/>
    <w:rsid w:val="006D00AE"/>
    <w:rsid w:val="006D00F3"/>
    <w:rsid w:val="006D01F6"/>
    <w:rsid w:val="006D0296"/>
    <w:rsid w:val="006D0393"/>
    <w:rsid w:val="006D0592"/>
    <w:rsid w:val="006D0614"/>
    <w:rsid w:val="006D0750"/>
    <w:rsid w:val="006D09CC"/>
    <w:rsid w:val="006D09DE"/>
    <w:rsid w:val="006D0A3F"/>
    <w:rsid w:val="006D0BD7"/>
    <w:rsid w:val="006D0D2C"/>
    <w:rsid w:val="006D0E1F"/>
    <w:rsid w:val="006D0F9E"/>
    <w:rsid w:val="006D0FFA"/>
    <w:rsid w:val="006D10BC"/>
    <w:rsid w:val="006D1203"/>
    <w:rsid w:val="006D14C2"/>
    <w:rsid w:val="006D1586"/>
    <w:rsid w:val="006D1692"/>
    <w:rsid w:val="006D1728"/>
    <w:rsid w:val="006D17ED"/>
    <w:rsid w:val="006D188E"/>
    <w:rsid w:val="006D1956"/>
    <w:rsid w:val="006D1A56"/>
    <w:rsid w:val="006D1AC9"/>
    <w:rsid w:val="006D1F5C"/>
    <w:rsid w:val="006D1FB1"/>
    <w:rsid w:val="006D2057"/>
    <w:rsid w:val="006D26A3"/>
    <w:rsid w:val="006D27CD"/>
    <w:rsid w:val="006D2891"/>
    <w:rsid w:val="006D2D57"/>
    <w:rsid w:val="006D2ED8"/>
    <w:rsid w:val="006D2F19"/>
    <w:rsid w:val="006D2F79"/>
    <w:rsid w:val="006D2F7D"/>
    <w:rsid w:val="006D32C4"/>
    <w:rsid w:val="006D3493"/>
    <w:rsid w:val="006D34C2"/>
    <w:rsid w:val="006D34E4"/>
    <w:rsid w:val="006D36B2"/>
    <w:rsid w:val="006D36DF"/>
    <w:rsid w:val="006D39AB"/>
    <w:rsid w:val="006D3CE2"/>
    <w:rsid w:val="006D3DD0"/>
    <w:rsid w:val="006D40CB"/>
    <w:rsid w:val="006D40EC"/>
    <w:rsid w:val="006D4246"/>
    <w:rsid w:val="006D428C"/>
    <w:rsid w:val="006D42C7"/>
    <w:rsid w:val="006D43C2"/>
    <w:rsid w:val="006D45A2"/>
    <w:rsid w:val="006D466F"/>
    <w:rsid w:val="006D484A"/>
    <w:rsid w:val="006D49BA"/>
    <w:rsid w:val="006D4AA9"/>
    <w:rsid w:val="006D4AF8"/>
    <w:rsid w:val="006D4B78"/>
    <w:rsid w:val="006D4DE4"/>
    <w:rsid w:val="006D4E3E"/>
    <w:rsid w:val="006D4EF0"/>
    <w:rsid w:val="006D4FAC"/>
    <w:rsid w:val="006D51E3"/>
    <w:rsid w:val="006D51F2"/>
    <w:rsid w:val="006D523E"/>
    <w:rsid w:val="006D52F7"/>
    <w:rsid w:val="006D5520"/>
    <w:rsid w:val="006D559C"/>
    <w:rsid w:val="006D566E"/>
    <w:rsid w:val="006D5792"/>
    <w:rsid w:val="006D5838"/>
    <w:rsid w:val="006D5B9B"/>
    <w:rsid w:val="006D5D00"/>
    <w:rsid w:val="006D5DB0"/>
    <w:rsid w:val="006D5E1D"/>
    <w:rsid w:val="006D5EF9"/>
    <w:rsid w:val="006D609C"/>
    <w:rsid w:val="006D6251"/>
    <w:rsid w:val="006D63CD"/>
    <w:rsid w:val="006D641B"/>
    <w:rsid w:val="006D65CA"/>
    <w:rsid w:val="006D6631"/>
    <w:rsid w:val="006D686C"/>
    <w:rsid w:val="006D6877"/>
    <w:rsid w:val="006D691F"/>
    <w:rsid w:val="006D6964"/>
    <w:rsid w:val="006D69ED"/>
    <w:rsid w:val="006D6A19"/>
    <w:rsid w:val="006D6AB8"/>
    <w:rsid w:val="006D6AB9"/>
    <w:rsid w:val="006D6B8D"/>
    <w:rsid w:val="006D6C32"/>
    <w:rsid w:val="006D6C5E"/>
    <w:rsid w:val="006D6FAB"/>
    <w:rsid w:val="006D703E"/>
    <w:rsid w:val="006D72EA"/>
    <w:rsid w:val="006D764C"/>
    <w:rsid w:val="006D764D"/>
    <w:rsid w:val="006D769A"/>
    <w:rsid w:val="006D76EA"/>
    <w:rsid w:val="006D7704"/>
    <w:rsid w:val="006D7792"/>
    <w:rsid w:val="006D7975"/>
    <w:rsid w:val="006D7986"/>
    <w:rsid w:val="006D7C96"/>
    <w:rsid w:val="006D7D1B"/>
    <w:rsid w:val="006D7DD8"/>
    <w:rsid w:val="006D7DEF"/>
    <w:rsid w:val="006D7E23"/>
    <w:rsid w:val="006D7E84"/>
    <w:rsid w:val="006E018D"/>
    <w:rsid w:val="006E0229"/>
    <w:rsid w:val="006E02AE"/>
    <w:rsid w:val="006E0394"/>
    <w:rsid w:val="006E068E"/>
    <w:rsid w:val="006E06EB"/>
    <w:rsid w:val="006E0751"/>
    <w:rsid w:val="006E08AF"/>
    <w:rsid w:val="006E08B6"/>
    <w:rsid w:val="006E0A32"/>
    <w:rsid w:val="006E0AAF"/>
    <w:rsid w:val="006E0AC4"/>
    <w:rsid w:val="006E0C26"/>
    <w:rsid w:val="006E0E3C"/>
    <w:rsid w:val="006E1009"/>
    <w:rsid w:val="006E109E"/>
    <w:rsid w:val="006E10FA"/>
    <w:rsid w:val="006E117A"/>
    <w:rsid w:val="006E11DD"/>
    <w:rsid w:val="006E1330"/>
    <w:rsid w:val="006E13C1"/>
    <w:rsid w:val="006E16F9"/>
    <w:rsid w:val="006E1B7A"/>
    <w:rsid w:val="006E1E7A"/>
    <w:rsid w:val="006E1E9F"/>
    <w:rsid w:val="006E20DD"/>
    <w:rsid w:val="006E2185"/>
    <w:rsid w:val="006E21E8"/>
    <w:rsid w:val="006E230C"/>
    <w:rsid w:val="006E2402"/>
    <w:rsid w:val="006E240A"/>
    <w:rsid w:val="006E2465"/>
    <w:rsid w:val="006E268F"/>
    <w:rsid w:val="006E27E5"/>
    <w:rsid w:val="006E28F2"/>
    <w:rsid w:val="006E2BAB"/>
    <w:rsid w:val="006E2BD4"/>
    <w:rsid w:val="006E2CFB"/>
    <w:rsid w:val="006E2D10"/>
    <w:rsid w:val="006E2DCA"/>
    <w:rsid w:val="006E2FC0"/>
    <w:rsid w:val="006E32FF"/>
    <w:rsid w:val="006E3430"/>
    <w:rsid w:val="006E352E"/>
    <w:rsid w:val="006E3612"/>
    <w:rsid w:val="006E3673"/>
    <w:rsid w:val="006E367B"/>
    <w:rsid w:val="006E3780"/>
    <w:rsid w:val="006E3CC3"/>
    <w:rsid w:val="006E3E2A"/>
    <w:rsid w:val="006E4044"/>
    <w:rsid w:val="006E40A3"/>
    <w:rsid w:val="006E40E4"/>
    <w:rsid w:val="006E4113"/>
    <w:rsid w:val="006E4162"/>
    <w:rsid w:val="006E42E8"/>
    <w:rsid w:val="006E42EA"/>
    <w:rsid w:val="006E4303"/>
    <w:rsid w:val="006E44D1"/>
    <w:rsid w:val="006E4506"/>
    <w:rsid w:val="006E458D"/>
    <w:rsid w:val="006E4729"/>
    <w:rsid w:val="006E47C2"/>
    <w:rsid w:val="006E47FD"/>
    <w:rsid w:val="006E4854"/>
    <w:rsid w:val="006E4C12"/>
    <w:rsid w:val="006E4CBA"/>
    <w:rsid w:val="006E4D3B"/>
    <w:rsid w:val="006E4E41"/>
    <w:rsid w:val="006E4FAF"/>
    <w:rsid w:val="006E4FEA"/>
    <w:rsid w:val="006E500C"/>
    <w:rsid w:val="006E5267"/>
    <w:rsid w:val="006E52C9"/>
    <w:rsid w:val="006E534A"/>
    <w:rsid w:val="006E5643"/>
    <w:rsid w:val="006E56A7"/>
    <w:rsid w:val="006E56DF"/>
    <w:rsid w:val="006E584D"/>
    <w:rsid w:val="006E58B2"/>
    <w:rsid w:val="006E5988"/>
    <w:rsid w:val="006E59A1"/>
    <w:rsid w:val="006E5AE3"/>
    <w:rsid w:val="006E5C3D"/>
    <w:rsid w:val="006E5CB0"/>
    <w:rsid w:val="006E5DEC"/>
    <w:rsid w:val="006E5F32"/>
    <w:rsid w:val="006E5FA1"/>
    <w:rsid w:val="006E6037"/>
    <w:rsid w:val="006E615B"/>
    <w:rsid w:val="006E62B0"/>
    <w:rsid w:val="006E633F"/>
    <w:rsid w:val="006E64AD"/>
    <w:rsid w:val="006E64D4"/>
    <w:rsid w:val="006E6535"/>
    <w:rsid w:val="006E65E0"/>
    <w:rsid w:val="006E6DE4"/>
    <w:rsid w:val="006E6E14"/>
    <w:rsid w:val="006E6FD5"/>
    <w:rsid w:val="006E70C4"/>
    <w:rsid w:val="006E70FC"/>
    <w:rsid w:val="006E7280"/>
    <w:rsid w:val="006E7393"/>
    <w:rsid w:val="006E74BA"/>
    <w:rsid w:val="006E75AC"/>
    <w:rsid w:val="006E780A"/>
    <w:rsid w:val="006E7980"/>
    <w:rsid w:val="006E7BAB"/>
    <w:rsid w:val="006E7DEB"/>
    <w:rsid w:val="006E7DFB"/>
    <w:rsid w:val="006E7E9A"/>
    <w:rsid w:val="006F00B6"/>
    <w:rsid w:val="006F01A6"/>
    <w:rsid w:val="006F0358"/>
    <w:rsid w:val="006F0683"/>
    <w:rsid w:val="006F068C"/>
    <w:rsid w:val="006F06BB"/>
    <w:rsid w:val="006F0717"/>
    <w:rsid w:val="006F0801"/>
    <w:rsid w:val="006F0947"/>
    <w:rsid w:val="006F0960"/>
    <w:rsid w:val="006F0A18"/>
    <w:rsid w:val="006F0A70"/>
    <w:rsid w:val="006F0AD8"/>
    <w:rsid w:val="006F0B0A"/>
    <w:rsid w:val="006F0BD6"/>
    <w:rsid w:val="006F0DCE"/>
    <w:rsid w:val="006F10A8"/>
    <w:rsid w:val="006F10F6"/>
    <w:rsid w:val="006F12DB"/>
    <w:rsid w:val="006F1323"/>
    <w:rsid w:val="006F13E2"/>
    <w:rsid w:val="006F1454"/>
    <w:rsid w:val="006F14F1"/>
    <w:rsid w:val="006F1616"/>
    <w:rsid w:val="006F1663"/>
    <w:rsid w:val="006F1731"/>
    <w:rsid w:val="006F18D2"/>
    <w:rsid w:val="006F1BBD"/>
    <w:rsid w:val="006F1CCE"/>
    <w:rsid w:val="006F1D85"/>
    <w:rsid w:val="006F1D94"/>
    <w:rsid w:val="006F1E35"/>
    <w:rsid w:val="006F1E51"/>
    <w:rsid w:val="006F217E"/>
    <w:rsid w:val="006F2191"/>
    <w:rsid w:val="006F2372"/>
    <w:rsid w:val="006F23D4"/>
    <w:rsid w:val="006F24C4"/>
    <w:rsid w:val="006F258A"/>
    <w:rsid w:val="006F26CD"/>
    <w:rsid w:val="006F277D"/>
    <w:rsid w:val="006F2850"/>
    <w:rsid w:val="006F2A1C"/>
    <w:rsid w:val="006F2AD4"/>
    <w:rsid w:val="006F2AD9"/>
    <w:rsid w:val="006F2B29"/>
    <w:rsid w:val="006F2B90"/>
    <w:rsid w:val="006F2C6C"/>
    <w:rsid w:val="006F2CEC"/>
    <w:rsid w:val="006F2D34"/>
    <w:rsid w:val="006F2D79"/>
    <w:rsid w:val="006F30E6"/>
    <w:rsid w:val="006F310C"/>
    <w:rsid w:val="006F332C"/>
    <w:rsid w:val="006F3518"/>
    <w:rsid w:val="006F3660"/>
    <w:rsid w:val="006F36A7"/>
    <w:rsid w:val="006F3FE0"/>
    <w:rsid w:val="006F402A"/>
    <w:rsid w:val="006F40E1"/>
    <w:rsid w:val="006F4318"/>
    <w:rsid w:val="006F44C5"/>
    <w:rsid w:val="006F45D5"/>
    <w:rsid w:val="006F46F5"/>
    <w:rsid w:val="006F4A82"/>
    <w:rsid w:val="006F4BAC"/>
    <w:rsid w:val="006F4BC7"/>
    <w:rsid w:val="006F4C42"/>
    <w:rsid w:val="006F4D32"/>
    <w:rsid w:val="006F4EFB"/>
    <w:rsid w:val="006F5060"/>
    <w:rsid w:val="006F5416"/>
    <w:rsid w:val="006F55B3"/>
    <w:rsid w:val="006F5637"/>
    <w:rsid w:val="006F57A7"/>
    <w:rsid w:val="006F5EF8"/>
    <w:rsid w:val="006F5F9A"/>
    <w:rsid w:val="006F6040"/>
    <w:rsid w:val="006F6278"/>
    <w:rsid w:val="006F632E"/>
    <w:rsid w:val="006F656C"/>
    <w:rsid w:val="006F65C8"/>
    <w:rsid w:val="006F6604"/>
    <w:rsid w:val="006F67EB"/>
    <w:rsid w:val="006F6910"/>
    <w:rsid w:val="006F697B"/>
    <w:rsid w:val="006F6E35"/>
    <w:rsid w:val="006F6EE3"/>
    <w:rsid w:val="006F7130"/>
    <w:rsid w:val="006F7224"/>
    <w:rsid w:val="006F7357"/>
    <w:rsid w:val="006F78A2"/>
    <w:rsid w:val="006F78DB"/>
    <w:rsid w:val="006F7AC3"/>
    <w:rsid w:val="006F7E08"/>
    <w:rsid w:val="006F7E0F"/>
    <w:rsid w:val="006F7E36"/>
    <w:rsid w:val="006F7E96"/>
    <w:rsid w:val="006F7EE0"/>
    <w:rsid w:val="006F7F26"/>
    <w:rsid w:val="00700111"/>
    <w:rsid w:val="00700332"/>
    <w:rsid w:val="00700466"/>
    <w:rsid w:val="00700500"/>
    <w:rsid w:val="007005E2"/>
    <w:rsid w:val="007006CD"/>
    <w:rsid w:val="007007AC"/>
    <w:rsid w:val="00700918"/>
    <w:rsid w:val="00700AA0"/>
    <w:rsid w:val="00700DE5"/>
    <w:rsid w:val="00700E42"/>
    <w:rsid w:val="007011EA"/>
    <w:rsid w:val="00701310"/>
    <w:rsid w:val="00701377"/>
    <w:rsid w:val="007013B6"/>
    <w:rsid w:val="007017FE"/>
    <w:rsid w:val="00701831"/>
    <w:rsid w:val="00701874"/>
    <w:rsid w:val="00701879"/>
    <w:rsid w:val="00701913"/>
    <w:rsid w:val="00701917"/>
    <w:rsid w:val="00701A8D"/>
    <w:rsid w:val="00701BED"/>
    <w:rsid w:val="00701C5F"/>
    <w:rsid w:val="00701FA4"/>
    <w:rsid w:val="00702011"/>
    <w:rsid w:val="00702285"/>
    <w:rsid w:val="00702368"/>
    <w:rsid w:val="0070238D"/>
    <w:rsid w:val="007023BD"/>
    <w:rsid w:val="007023D5"/>
    <w:rsid w:val="00702403"/>
    <w:rsid w:val="0070264F"/>
    <w:rsid w:val="007026E4"/>
    <w:rsid w:val="007027A0"/>
    <w:rsid w:val="00702908"/>
    <w:rsid w:val="00702A51"/>
    <w:rsid w:val="00702AF7"/>
    <w:rsid w:val="00702B22"/>
    <w:rsid w:val="00702B74"/>
    <w:rsid w:val="00702BD2"/>
    <w:rsid w:val="00702CCD"/>
    <w:rsid w:val="00702EF2"/>
    <w:rsid w:val="007030C5"/>
    <w:rsid w:val="00703104"/>
    <w:rsid w:val="00703181"/>
    <w:rsid w:val="0070323A"/>
    <w:rsid w:val="00703319"/>
    <w:rsid w:val="007036F3"/>
    <w:rsid w:val="0070374E"/>
    <w:rsid w:val="007037E3"/>
    <w:rsid w:val="00703B41"/>
    <w:rsid w:val="00703DAD"/>
    <w:rsid w:val="00703DC0"/>
    <w:rsid w:val="00703F86"/>
    <w:rsid w:val="007040AB"/>
    <w:rsid w:val="0070411C"/>
    <w:rsid w:val="0070414A"/>
    <w:rsid w:val="0070419A"/>
    <w:rsid w:val="00704351"/>
    <w:rsid w:val="00704436"/>
    <w:rsid w:val="007045DD"/>
    <w:rsid w:val="0070470A"/>
    <w:rsid w:val="00704889"/>
    <w:rsid w:val="00704EBC"/>
    <w:rsid w:val="007050B7"/>
    <w:rsid w:val="007052D2"/>
    <w:rsid w:val="0070537F"/>
    <w:rsid w:val="00705494"/>
    <w:rsid w:val="00705547"/>
    <w:rsid w:val="00705581"/>
    <w:rsid w:val="00705682"/>
    <w:rsid w:val="007056F1"/>
    <w:rsid w:val="00705710"/>
    <w:rsid w:val="007057D4"/>
    <w:rsid w:val="007058C3"/>
    <w:rsid w:val="00705C84"/>
    <w:rsid w:val="00705E1A"/>
    <w:rsid w:val="007060A1"/>
    <w:rsid w:val="007060C8"/>
    <w:rsid w:val="007061A1"/>
    <w:rsid w:val="007062AE"/>
    <w:rsid w:val="0070646A"/>
    <w:rsid w:val="00706486"/>
    <w:rsid w:val="00706497"/>
    <w:rsid w:val="0070649D"/>
    <w:rsid w:val="00706520"/>
    <w:rsid w:val="00706668"/>
    <w:rsid w:val="007067BC"/>
    <w:rsid w:val="007067F7"/>
    <w:rsid w:val="00706939"/>
    <w:rsid w:val="00706A85"/>
    <w:rsid w:val="00706B0F"/>
    <w:rsid w:val="00706BF9"/>
    <w:rsid w:val="00706CA6"/>
    <w:rsid w:val="00707014"/>
    <w:rsid w:val="00707180"/>
    <w:rsid w:val="00707259"/>
    <w:rsid w:val="007073E9"/>
    <w:rsid w:val="00707482"/>
    <w:rsid w:val="007076D4"/>
    <w:rsid w:val="007076E8"/>
    <w:rsid w:val="007076F7"/>
    <w:rsid w:val="00707700"/>
    <w:rsid w:val="00707760"/>
    <w:rsid w:val="007078D1"/>
    <w:rsid w:val="007078E1"/>
    <w:rsid w:val="007079DE"/>
    <w:rsid w:val="00707AD0"/>
    <w:rsid w:val="00707AE5"/>
    <w:rsid w:val="00707C33"/>
    <w:rsid w:val="00707D26"/>
    <w:rsid w:val="00707F5A"/>
    <w:rsid w:val="00710004"/>
    <w:rsid w:val="007101BE"/>
    <w:rsid w:val="0071021F"/>
    <w:rsid w:val="007102CA"/>
    <w:rsid w:val="0071033D"/>
    <w:rsid w:val="007103E1"/>
    <w:rsid w:val="0071048D"/>
    <w:rsid w:val="007105FB"/>
    <w:rsid w:val="00710A72"/>
    <w:rsid w:val="00710AC4"/>
    <w:rsid w:val="00710D0C"/>
    <w:rsid w:val="00710D21"/>
    <w:rsid w:val="00710D27"/>
    <w:rsid w:val="00710D53"/>
    <w:rsid w:val="00710E13"/>
    <w:rsid w:val="00711155"/>
    <w:rsid w:val="007111A4"/>
    <w:rsid w:val="00711205"/>
    <w:rsid w:val="00711276"/>
    <w:rsid w:val="007112B6"/>
    <w:rsid w:val="0071145A"/>
    <w:rsid w:val="007114EC"/>
    <w:rsid w:val="0071152F"/>
    <w:rsid w:val="007115BE"/>
    <w:rsid w:val="007115D4"/>
    <w:rsid w:val="007118BC"/>
    <w:rsid w:val="007119A3"/>
    <w:rsid w:val="00711ACA"/>
    <w:rsid w:val="00711B08"/>
    <w:rsid w:val="00711B87"/>
    <w:rsid w:val="00711CB1"/>
    <w:rsid w:val="00711CEC"/>
    <w:rsid w:val="00711D16"/>
    <w:rsid w:val="00711DAC"/>
    <w:rsid w:val="0071213E"/>
    <w:rsid w:val="007122A8"/>
    <w:rsid w:val="00712438"/>
    <w:rsid w:val="0071249E"/>
    <w:rsid w:val="007126C0"/>
    <w:rsid w:val="007127A5"/>
    <w:rsid w:val="007127DB"/>
    <w:rsid w:val="00712A10"/>
    <w:rsid w:val="00712B41"/>
    <w:rsid w:val="00712BA1"/>
    <w:rsid w:val="00712BAA"/>
    <w:rsid w:val="00712D63"/>
    <w:rsid w:val="00712FC9"/>
    <w:rsid w:val="00713207"/>
    <w:rsid w:val="0071327C"/>
    <w:rsid w:val="007132B7"/>
    <w:rsid w:val="007136DD"/>
    <w:rsid w:val="00713944"/>
    <w:rsid w:val="00713A4F"/>
    <w:rsid w:val="00713A61"/>
    <w:rsid w:val="00713BA4"/>
    <w:rsid w:val="00713BD4"/>
    <w:rsid w:val="00713D28"/>
    <w:rsid w:val="00713DD5"/>
    <w:rsid w:val="00713E32"/>
    <w:rsid w:val="00714056"/>
    <w:rsid w:val="007140E0"/>
    <w:rsid w:val="00714152"/>
    <w:rsid w:val="00714154"/>
    <w:rsid w:val="00714231"/>
    <w:rsid w:val="00714290"/>
    <w:rsid w:val="00714688"/>
    <w:rsid w:val="007146D4"/>
    <w:rsid w:val="0071478E"/>
    <w:rsid w:val="00714823"/>
    <w:rsid w:val="00714A32"/>
    <w:rsid w:val="00714A97"/>
    <w:rsid w:val="00714ABB"/>
    <w:rsid w:val="00714B36"/>
    <w:rsid w:val="00714BF3"/>
    <w:rsid w:val="00714D72"/>
    <w:rsid w:val="00714D9E"/>
    <w:rsid w:val="00714F29"/>
    <w:rsid w:val="00714F80"/>
    <w:rsid w:val="007150E9"/>
    <w:rsid w:val="007152AC"/>
    <w:rsid w:val="0071538A"/>
    <w:rsid w:val="007153B9"/>
    <w:rsid w:val="007153C6"/>
    <w:rsid w:val="00715410"/>
    <w:rsid w:val="007154B9"/>
    <w:rsid w:val="007154F7"/>
    <w:rsid w:val="007155C4"/>
    <w:rsid w:val="0071563A"/>
    <w:rsid w:val="007157A3"/>
    <w:rsid w:val="00715803"/>
    <w:rsid w:val="00715ABA"/>
    <w:rsid w:val="00715C3B"/>
    <w:rsid w:val="00715CF2"/>
    <w:rsid w:val="00715D69"/>
    <w:rsid w:val="00715E6F"/>
    <w:rsid w:val="00715FD7"/>
    <w:rsid w:val="0071600B"/>
    <w:rsid w:val="007164C9"/>
    <w:rsid w:val="0071656F"/>
    <w:rsid w:val="00716663"/>
    <w:rsid w:val="0071687A"/>
    <w:rsid w:val="007169C5"/>
    <w:rsid w:val="00716DDA"/>
    <w:rsid w:val="00716E85"/>
    <w:rsid w:val="00716F61"/>
    <w:rsid w:val="00716F78"/>
    <w:rsid w:val="007170B8"/>
    <w:rsid w:val="00717240"/>
    <w:rsid w:val="00717707"/>
    <w:rsid w:val="007177AA"/>
    <w:rsid w:val="0071787C"/>
    <w:rsid w:val="007179C3"/>
    <w:rsid w:val="00717B66"/>
    <w:rsid w:val="00717DAC"/>
    <w:rsid w:val="00717EDD"/>
    <w:rsid w:val="00717EF2"/>
    <w:rsid w:val="0072044D"/>
    <w:rsid w:val="00720698"/>
    <w:rsid w:val="007206EE"/>
    <w:rsid w:val="007207B3"/>
    <w:rsid w:val="007208F5"/>
    <w:rsid w:val="0072097C"/>
    <w:rsid w:val="00720A8C"/>
    <w:rsid w:val="00720AFD"/>
    <w:rsid w:val="00720BD6"/>
    <w:rsid w:val="00720BF2"/>
    <w:rsid w:val="00720CCC"/>
    <w:rsid w:val="00720F2F"/>
    <w:rsid w:val="0072115A"/>
    <w:rsid w:val="0072115F"/>
    <w:rsid w:val="00721361"/>
    <w:rsid w:val="0072137A"/>
    <w:rsid w:val="00721449"/>
    <w:rsid w:val="00721567"/>
    <w:rsid w:val="00721584"/>
    <w:rsid w:val="00721595"/>
    <w:rsid w:val="007216D5"/>
    <w:rsid w:val="0072185A"/>
    <w:rsid w:val="00721896"/>
    <w:rsid w:val="00721AA5"/>
    <w:rsid w:val="00721AAB"/>
    <w:rsid w:val="00721DE6"/>
    <w:rsid w:val="007221FC"/>
    <w:rsid w:val="0072230B"/>
    <w:rsid w:val="007227C9"/>
    <w:rsid w:val="00722921"/>
    <w:rsid w:val="00722B2D"/>
    <w:rsid w:val="00722D13"/>
    <w:rsid w:val="00722E23"/>
    <w:rsid w:val="00722E4E"/>
    <w:rsid w:val="00722E88"/>
    <w:rsid w:val="00722F09"/>
    <w:rsid w:val="00722F8D"/>
    <w:rsid w:val="007233E9"/>
    <w:rsid w:val="00723411"/>
    <w:rsid w:val="00723559"/>
    <w:rsid w:val="00723660"/>
    <w:rsid w:val="007236E6"/>
    <w:rsid w:val="0072376F"/>
    <w:rsid w:val="007238BE"/>
    <w:rsid w:val="00723968"/>
    <w:rsid w:val="00723A91"/>
    <w:rsid w:val="00723D77"/>
    <w:rsid w:val="00723DDE"/>
    <w:rsid w:val="00723EF1"/>
    <w:rsid w:val="00723F14"/>
    <w:rsid w:val="00723F5C"/>
    <w:rsid w:val="00723F78"/>
    <w:rsid w:val="00724245"/>
    <w:rsid w:val="0072444C"/>
    <w:rsid w:val="00724696"/>
    <w:rsid w:val="007246B6"/>
    <w:rsid w:val="00724974"/>
    <w:rsid w:val="00724A6F"/>
    <w:rsid w:val="00724B4B"/>
    <w:rsid w:val="00724B97"/>
    <w:rsid w:val="00724C9C"/>
    <w:rsid w:val="00724D06"/>
    <w:rsid w:val="00724FE6"/>
    <w:rsid w:val="00725139"/>
    <w:rsid w:val="00725488"/>
    <w:rsid w:val="0072563B"/>
    <w:rsid w:val="00725719"/>
    <w:rsid w:val="00725819"/>
    <w:rsid w:val="00725979"/>
    <w:rsid w:val="00725A62"/>
    <w:rsid w:val="00725F17"/>
    <w:rsid w:val="0072614A"/>
    <w:rsid w:val="00726252"/>
    <w:rsid w:val="0072626E"/>
    <w:rsid w:val="0072632E"/>
    <w:rsid w:val="0072635C"/>
    <w:rsid w:val="00726365"/>
    <w:rsid w:val="0072649D"/>
    <w:rsid w:val="0072667D"/>
    <w:rsid w:val="00726720"/>
    <w:rsid w:val="007267F8"/>
    <w:rsid w:val="007269D8"/>
    <w:rsid w:val="00726A1F"/>
    <w:rsid w:val="00726AED"/>
    <w:rsid w:val="0072705B"/>
    <w:rsid w:val="00727133"/>
    <w:rsid w:val="00727146"/>
    <w:rsid w:val="00727470"/>
    <w:rsid w:val="00727698"/>
    <w:rsid w:val="00727746"/>
    <w:rsid w:val="00727753"/>
    <w:rsid w:val="00727789"/>
    <w:rsid w:val="0072778A"/>
    <w:rsid w:val="007277A2"/>
    <w:rsid w:val="007277BF"/>
    <w:rsid w:val="007277CB"/>
    <w:rsid w:val="0072783C"/>
    <w:rsid w:val="00727925"/>
    <w:rsid w:val="00727B98"/>
    <w:rsid w:val="00727EC5"/>
    <w:rsid w:val="00727F54"/>
    <w:rsid w:val="0073004B"/>
    <w:rsid w:val="007300F7"/>
    <w:rsid w:val="0073019E"/>
    <w:rsid w:val="007301A1"/>
    <w:rsid w:val="00730509"/>
    <w:rsid w:val="007307B7"/>
    <w:rsid w:val="00730817"/>
    <w:rsid w:val="007308FE"/>
    <w:rsid w:val="0073096A"/>
    <w:rsid w:val="00730A69"/>
    <w:rsid w:val="00730C58"/>
    <w:rsid w:val="00730CE6"/>
    <w:rsid w:val="00730D82"/>
    <w:rsid w:val="00730D94"/>
    <w:rsid w:val="00731048"/>
    <w:rsid w:val="00731133"/>
    <w:rsid w:val="00731210"/>
    <w:rsid w:val="00731265"/>
    <w:rsid w:val="0073126C"/>
    <w:rsid w:val="007312E1"/>
    <w:rsid w:val="00731389"/>
    <w:rsid w:val="007315A5"/>
    <w:rsid w:val="007317EC"/>
    <w:rsid w:val="0073194C"/>
    <w:rsid w:val="00731A5F"/>
    <w:rsid w:val="00731A74"/>
    <w:rsid w:val="00731C33"/>
    <w:rsid w:val="00731D50"/>
    <w:rsid w:val="00731E6D"/>
    <w:rsid w:val="00731FE6"/>
    <w:rsid w:val="00732060"/>
    <w:rsid w:val="00732062"/>
    <w:rsid w:val="007320F2"/>
    <w:rsid w:val="007321E7"/>
    <w:rsid w:val="007321FA"/>
    <w:rsid w:val="007322CC"/>
    <w:rsid w:val="00732389"/>
    <w:rsid w:val="00732592"/>
    <w:rsid w:val="0073272F"/>
    <w:rsid w:val="0073282E"/>
    <w:rsid w:val="00732889"/>
    <w:rsid w:val="0073297D"/>
    <w:rsid w:val="00732AC7"/>
    <w:rsid w:val="00732D66"/>
    <w:rsid w:val="00732D97"/>
    <w:rsid w:val="00732E00"/>
    <w:rsid w:val="00732E45"/>
    <w:rsid w:val="00732EDE"/>
    <w:rsid w:val="0073333D"/>
    <w:rsid w:val="007333A9"/>
    <w:rsid w:val="007334A5"/>
    <w:rsid w:val="0073369B"/>
    <w:rsid w:val="0073392B"/>
    <w:rsid w:val="007339EE"/>
    <w:rsid w:val="00733C10"/>
    <w:rsid w:val="00733E78"/>
    <w:rsid w:val="00733E7A"/>
    <w:rsid w:val="00733F00"/>
    <w:rsid w:val="00733FC7"/>
    <w:rsid w:val="00733FF0"/>
    <w:rsid w:val="007340AB"/>
    <w:rsid w:val="007340B0"/>
    <w:rsid w:val="007341A8"/>
    <w:rsid w:val="007342C6"/>
    <w:rsid w:val="00734535"/>
    <w:rsid w:val="007346CD"/>
    <w:rsid w:val="007347FB"/>
    <w:rsid w:val="0073486C"/>
    <w:rsid w:val="00734A38"/>
    <w:rsid w:val="00734BE6"/>
    <w:rsid w:val="00734ED2"/>
    <w:rsid w:val="007354C8"/>
    <w:rsid w:val="0073579F"/>
    <w:rsid w:val="007357B1"/>
    <w:rsid w:val="00735A86"/>
    <w:rsid w:val="00735AF5"/>
    <w:rsid w:val="00735B0E"/>
    <w:rsid w:val="00735D40"/>
    <w:rsid w:val="0073614B"/>
    <w:rsid w:val="0073621B"/>
    <w:rsid w:val="007363D8"/>
    <w:rsid w:val="007363FA"/>
    <w:rsid w:val="00736611"/>
    <w:rsid w:val="00736687"/>
    <w:rsid w:val="007366D5"/>
    <w:rsid w:val="00736723"/>
    <w:rsid w:val="0073677F"/>
    <w:rsid w:val="00736A00"/>
    <w:rsid w:val="00736BA1"/>
    <w:rsid w:val="00736BA8"/>
    <w:rsid w:val="00736CB3"/>
    <w:rsid w:val="00736CE7"/>
    <w:rsid w:val="00737193"/>
    <w:rsid w:val="007371E8"/>
    <w:rsid w:val="007372B5"/>
    <w:rsid w:val="00737540"/>
    <w:rsid w:val="00737558"/>
    <w:rsid w:val="007375B7"/>
    <w:rsid w:val="007375BE"/>
    <w:rsid w:val="0073772C"/>
    <w:rsid w:val="00737806"/>
    <w:rsid w:val="007378AD"/>
    <w:rsid w:val="00737982"/>
    <w:rsid w:val="00737A2E"/>
    <w:rsid w:val="00737A35"/>
    <w:rsid w:val="00737B4A"/>
    <w:rsid w:val="00737B86"/>
    <w:rsid w:val="00737C3E"/>
    <w:rsid w:val="00737FAB"/>
    <w:rsid w:val="00737FCE"/>
    <w:rsid w:val="00740054"/>
    <w:rsid w:val="00740273"/>
    <w:rsid w:val="007402C5"/>
    <w:rsid w:val="0074083E"/>
    <w:rsid w:val="00740A41"/>
    <w:rsid w:val="00740C10"/>
    <w:rsid w:val="00740C59"/>
    <w:rsid w:val="00740C62"/>
    <w:rsid w:val="00740CA7"/>
    <w:rsid w:val="00740DA0"/>
    <w:rsid w:val="00740ECB"/>
    <w:rsid w:val="00740ED6"/>
    <w:rsid w:val="00740F35"/>
    <w:rsid w:val="00740F8C"/>
    <w:rsid w:val="0074103F"/>
    <w:rsid w:val="0074122E"/>
    <w:rsid w:val="00741370"/>
    <w:rsid w:val="007413EE"/>
    <w:rsid w:val="0074147E"/>
    <w:rsid w:val="007414FF"/>
    <w:rsid w:val="0074158E"/>
    <w:rsid w:val="007416DD"/>
    <w:rsid w:val="0074181F"/>
    <w:rsid w:val="00741C73"/>
    <w:rsid w:val="00741D79"/>
    <w:rsid w:val="00741F02"/>
    <w:rsid w:val="00742098"/>
    <w:rsid w:val="00742107"/>
    <w:rsid w:val="0074213A"/>
    <w:rsid w:val="0074216C"/>
    <w:rsid w:val="007421B6"/>
    <w:rsid w:val="00742317"/>
    <w:rsid w:val="00742374"/>
    <w:rsid w:val="007426D7"/>
    <w:rsid w:val="00742977"/>
    <w:rsid w:val="00742A76"/>
    <w:rsid w:val="00742E1D"/>
    <w:rsid w:val="00742E70"/>
    <w:rsid w:val="00742F81"/>
    <w:rsid w:val="007430B3"/>
    <w:rsid w:val="00743263"/>
    <w:rsid w:val="00743318"/>
    <w:rsid w:val="00743378"/>
    <w:rsid w:val="0074386B"/>
    <w:rsid w:val="007438BE"/>
    <w:rsid w:val="00743BDB"/>
    <w:rsid w:val="00743D4F"/>
    <w:rsid w:val="00743E80"/>
    <w:rsid w:val="00743ECB"/>
    <w:rsid w:val="00744193"/>
    <w:rsid w:val="00744246"/>
    <w:rsid w:val="00744249"/>
    <w:rsid w:val="0074428D"/>
    <w:rsid w:val="007442B1"/>
    <w:rsid w:val="007442ED"/>
    <w:rsid w:val="00744307"/>
    <w:rsid w:val="0074446F"/>
    <w:rsid w:val="0074474A"/>
    <w:rsid w:val="00744ADD"/>
    <w:rsid w:val="00744C5E"/>
    <w:rsid w:val="00744CD9"/>
    <w:rsid w:val="00744D82"/>
    <w:rsid w:val="00744DDE"/>
    <w:rsid w:val="00744F5D"/>
    <w:rsid w:val="00745205"/>
    <w:rsid w:val="0074544A"/>
    <w:rsid w:val="00745633"/>
    <w:rsid w:val="0074578E"/>
    <w:rsid w:val="007459A4"/>
    <w:rsid w:val="00745A07"/>
    <w:rsid w:val="00745A87"/>
    <w:rsid w:val="00745AB2"/>
    <w:rsid w:val="00745F36"/>
    <w:rsid w:val="00745FBB"/>
    <w:rsid w:val="00746231"/>
    <w:rsid w:val="007463DE"/>
    <w:rsid w:val="007467A7"/>
    <w:rsid w:val="00746881"/>
    <w:rsid w:val="0074696D"/>
    <w:rsid w:val="00746A45"/>
    <w:rsid w:val="00746A54"/>
    <w:rsid w:val="00746AAF"/>
    <w:rsid w:val="00746BFC"/>
    <w:rsid w:val="00746BFF"/>
    <w:rsid w:val="00746C1E"/>
    <w:rsid w:val="00746FC5"/>
    <w:rsid w:val="00747138"/>
    <w:rsid w:val="007471FB"/>
    <w:rsid w:val="007473CA"/>
    <w:rsid w:val="0074776D"/>
    <w:rsid w:val="0074796F"/>
    <w:rsid w:val="00747A5F"/>
    <w:rsid w:val="00747A94"/>
    <w:rsid w:val="00747E38"/>
    <w:rsid w:val="00747F4A"/>
    <w:rsid w:val="0075002B"/>
    <w:rsid w:val="0075018B"/>
    <w:rsid w:val="007502A8"/>
    <w:rsid w:val="00750395"/>
    <w:rsid w:val="00750B83"/>
    <w:rsid w:val="00750C7C"/>
    <w:rsid w:val="00750FD2"/>
    <w:rsid w:val="0075117E"/>
    <w:rsid w:val="007512A7"/>
    <w:rsid w:val="007514C7"/>
    <w:rsid w:val="00751511"/>
    <w:rsid w:val="00751694"/>
    <w:rsid w:val="007517AC"/>
    <w:rsid w:val="00751873"/>
    <w:rsid w:val="0075188C"/>
    <w:rsid w:val="00751939"/>
    <w:rsid w:val="007519E9"/>
    <w:rsid w:val="00751ADD"/>
    <w:rsid w:val="00751AF9"/>
    <w:rsid w:val="00751D67"/>
    <w:rsid w:val="00751E06"/>
    <w:rsid w:val="00751F11"/>
    <w:rsid w:val="00752108"/>
    <w:rsid w:val="00752109"/>
    <w:rsid w:val="00752323"/>
    <w:rsid w:val="007524F0"/>
    <w:rsid w:val="007525AC"/>
    <w:rsid w:val="0075267F"/>
    <w:rsid w:val="00752815"/>
    <w:rsid w:val="00752A06"/>
    <w:rsid w:val="00752ABF"/>
    <w:rsid w:val="00752C9B"/>
    <w:rsid w:val="00752E17"/>
    <w:rsid w:val="00752EDB"/>
    <w:rsid w:val="0075310F"/>
    <w:rsid w:val="00753187"/>
    <w:rsid w:val="007531C5"/>
    <w:rsid w:val="007532B8"/>
    <w:rsid w:val="0075333C"/>
    <w:rsid w:val="00753383"/>
    <w:rsid w:val="007534B2"/>
    <w:rsid w:val="007535A0"/>
    <w:rsid w:val="007535A9"/>
    <w:rsid w:val="00753635"/>
    <w:rsid w:val="00753769"/>
    <w:rsid w:val="007537A1"/>
    <w:rsid w:val="00753841"/>
    <w:rsid w:val="0075393F"/>
    <w:rsid w:val="007539E8"/>
    <w:rsid w:val="00753A6C"/>
    <w:rsid w:val="00753AA4"/>
    <w:rsid w:val="00753CC6"/>
    <w:rsid w:val="00753D6C"/>
    <w:rsid w:val="00753E11"/>
    <w:rsid w:val="00754085"/>
    <w:rsid w:val="0075416B"/>
    <w:rsid w:val="007541A4"/>
    <w:rsid w:val="007541D5"/>
    <w:rsid w:val="0075431B"/>
    <w:rsid w:val="0075432C"/>
    <w:rsid w:val="007543B1"/>
    <w:rsid w:val="00754626"/>
    <w:rsid w:val="007546E4"/>
    <w:rsid w:val="00754777"/>
    <w:rsid w:val="007547B3"/>
    <w:rsid w:val="007548C3"/>
    <w:rsid w:val="00754955"/>
    <w:rsid w:val="0075499D"/>
    <w:rsid w:val="00754A15"/>
    <w:rsid w:val="00754BA7"/>
    <w:rsid w:val="00754BA8"/>
    <w:rsid w:val="00754E43"/>
    <w:rsid w:val="00754EEC"/>
    <w:rsid w:val="00754F24"/>
    <w:rsid w:val="0075515C"/>
    <w:rsid w:val="0075530B"/>
    <w:rsid w:val="00755311"/>
    <w:rsid w:val="00755339"/>
    <w:rsid w:val="007553DB"/>
    <w:rsid w:val="0075554C"/>
    <w:rsid w:val="00755756"/>
    <w:rsid w:val="007558E2"/>
    <w:rsid w:val="00755AB5"/>
    <w:rsid w:val="00755B17"/>
    <w:rsid w:val="00755BF9"/>
    <w:rsid w:val="00755C58"/>
    <w:rsid w:val="00755E53"/>
    <w:rsid w:val="00755F58"/>
    <w:rsid w:val="0075603B"/>
    <w:rsid w:val="007560D3"/>
    <w:rsid w:val="00756145"/>
    <w:rsid w:val="00756281"/>
    <w:rsid w:val="00756663"/>
    <w:rsid w:val="007567BD"/>
    <w:rsid w:val="007569EF"/>
    <w:rsid w:val="00756A84"/>
    <w:rsid w:val="00756B7D"/>
    <w:rsid w:val="00756D80"/>
    <w:rsid w:val="00756D85"/>
    <w:rsid w:val="00756E85"/>
    <w:rsid w:val="0075703E"/>
    <w:rsid w:val="00757097"/>
    <w:rsid w:val="00757099"/>
    <w:rsid w:val="00757138"/>
    <w:rsid w:val="00757267"/>
    <w:rsid w:val="00757364"/>
    <w:rsid w:val="007573F0"/>
    <w:rsid w:val="0075759D"/>
    <w:rsid w:val="007575C9"/>
    <w:rsid w:val="00757795"/>
    <w:rsid w:val="00757816"/>
    <w:rsid w:val="007578AF"/>
    <w:rsid w:val="00757A78"/>
    <w:rsid w:val="00757A7B"/>
    <w:rsid w:val="00757AB8"/>
    <w:rsid w:val="00757FA7"/>
    <w:rsid w:val="00760138"/>
    <w:rsid w:val="0076027F"/>
    <w:rsid w:val="00760327"/>
    <w:rsid w:val="0076035D"/>
    <w:rsid w:val="00760535"/>
    <w:rsid w:val="007605D0"/>
    <w:rsid w:val="007606F7"/>
    <w:rsid w:val="007609BC"/>
    <w:rsid w:val="00760A06"/>
    <w:rsid w:val="00760AAA"/>
    <w:rsid w:val="00760AAF"/>
    <w:rsid w:val="00760AE4"/>
    <w:rsid w:val="00760B77"/>
    <w:rsid w:val="00760CCE"/>
    <w:rsid w:val="00760D39"/>
    <w:rsid w:val="00760D59"/>
    <w:rsid w:val="00760E0B"/>
    <w:rsid w:val="00760E64"/>
    <w:rsid w:val="00760EBD"/>
    <w:rsid w:val="00760FE2"/>
    <w:rsid w:val="0076111B"/>
    <w:rsid w:val="00761392"/>
    <w:rsid w:val="007613DB"/>
    <w:rsid w:val="00761581"/>
    <w:rsid w:val="007616D1"/>
    <w:rsid w:val="0076172F"/>
    <w:rsid w:val="00761939"/>
    <w:rsid w:val="00761DEA"/>
    <w:rsid w:val="007621E7"/>
    <w:rsid w:val="0076220E"/>
    <w:rsid w:val="00762323"/>
    <w:rsid w:val="00762522"/>
    <w:rsid w:val="007625B6"/>
    <w:rsid w:val="007625F6"/>
    <w:rsid w:val="0076265C"/>
    <w:rsid w:val="0076295D"/>
    <w:rsid w:val="007629FE"/>
    <w:rsid w:val="00762A73"/>
    <w:rsid w:val="00762AA6"/>
    <w:rsid w:val="00762EF9"/>
    <w:rsid w:val="007632F9"/>
    <w:rsid w:val="00763527"/>
    <w:rsid w:val="0076372B"/>
    <w:rsid w:val="00763910"/>
    <w:rsid w:val="00763DA0"/>
    <w:rsid w:val="007641BE"/>
    <w:rsid w:val="007641C2"/>
    <w:rsid w:val="00764373"/>
    <w:rsid w:val="007643C3"/>
    <w:rsid w:val="00764693"/>
    <w:rsid w:val="00764726"/>
    <w:rsid w:val="0076478D"/>
    <w:rsid w:val="00764976"/>
    <w:rsid w:val="00764A44"/>
    <w:rsid w:val="00764B23"/>
    <w:rsid w:val="00764C48"/>
    <w:rsid w:val="00764C75"/>
    <w:rsid w:val="00764CA6"/>
    <w:rsid w:val="00764DD6"/>
    <w:rsid w:val="00764F1B"/>
    <w:rsid w:val="00764F9F"/>
    <w:rsid w:val="0076503E"/>
    <w:rsid w:val="00765386"/>
    <w:rsid w:val="007653CF"/>
    <w:rsid w:val="0076540A"/>
    <w:rsid w:val="00765619"/>
    <w:rsid w:val="00765655"/>
    <w:rsid w:val="00765744"/>
    <w:rsid w:val="007657B1"/>
    <w:rsid w:val="0076597A"/>
    <w:rsid w:val="00765EDF"/>
    <w:rsid w:val="00765F40"/>
    <w:rsid w:val="00765F49"/>
    <w:rsid w:val="00765F60"/>
    <w:rsid w:val="0076607E"/>
    <w:rsid w:val="00766317"/>
    <w:rsid w:val="0076637D"/>
    <w:rsid w:val="0076641D"/>
    <w:rsid w:val="00766661"/>
    <w:rsid w:val="0076673D"/>
    <w:rsid w:val="00766765"/>
    <w:rsid w:val="00766815"/>
    <w:rsid w:val="00766898"/>
    <w:rsid w:val="0076693B"/>
    <w:rsid w:val="00766A20"/>
    <w:rsid w:val="00766E0A"/>
    <w:rsid w:val="00766E67"/>
    <w:rsid w:val="00766F27"/>
    <w:rsid w:val="0076708D"/>
    <w:rsid w:val="0076738F"/>
    <w:rsid w:val="007674B6"/>
    <w:rsid w:val="0076770B"/>
    <w:rsid w:val="007678D6"/>
    <w:rsid w:val="00767A2E"/>
    <w:rsid w:val="00767AF8"/>
    <w:rsid w:val="00767B0A"/>
    <w:rsid w:val="00767B19"/>
    <w:rsid w:val="00767CBE"/>
    <w:rsid w:val="00767D6E"/>
    <w:rsid w:val="00767E45"/>
    <w:rsid w:val="00767E56"/>
    <w:rsid w:val="00770101"/>
    <w:rsid w:val="0077041F"/>
    <w:rsid w:val="00770423"/>
    <w:rsid w:val="007704EF"/>
    <w:rsid w:val="0077090F"/>
    <w:rsid w:val="0077094B"/>
    <w:rsid w:val="0077099C"/>
    <w:rsid w:val="007709CE"/>
    <w:rsid w:val="00770A86"/>
    <w:rsid w:val="00770C6C"/>
    <w:rsid w:val="00770CDA"/>
    <w:rsid w:val="00770D30"/>
    <w:rsid w:val="00770D46"/>
    <w:rsid w:val="00770DF2"/>
    <w:rsid w:val="00771112"/>
    <w:rsid w:val="00771254"/>
    <w:rsid w:val="00771285"/>
    <w:rsid w:val="00771519"/>
    <w:rsid w:val="007716D6"/>
    <w:rsid w:val="0077187B"/>
    <w:rsid w:val="007718BD"/>
    <w:rsid w:val="00771C56"/>
    <w:rsid w:val="00771C5E"/>
    <w:rsid w:val="00771C68"/>
    <w:rsid w:val="00771D09"/>
    <w:rsid w:val="00771ED2"/>
    <w:rsid w:val="00771F39"/>
    <w:rsid w:val="00771F6D"/>
    <w:rsid w:val="00772147"/>
    <w:rsid w:val="00772160"/>
    <w:rsid w:val="00772203"/>
    <w:rsid w:val="0077220C"/>
    <w:rsid w:val="007722F6"/>
    <w:rsid w:val="00772801"/>
    <w:rsid w:val="007728C1"/>
    <w:rsid w:val="00772948"/>
    <w:rsid w:val="007729CC"/>
    <w:rsid w:val="007729E2"/>
    <w:rsid w:val="00772AEA"/>
    <w:rsid w:val="00772E98"/>
    <w:rsid w:val="00772F51"/>
    <w:rsid w:val="007731FD"/>
    <w:rsid w:val="007732C7"/>
    <w:rsid w:val="00773381"/>
    <w:rsid w:val="00773576"/>
    <w:rsid w:val="007737F1"/>
    <w:rsid w:val="007738CB"/>
    <w:rsid w:val="007739DC"/>
    <w:rsid w:val="00773A6C"/>
    <w:rsid w:val="00773BFA"/>
    <w:rsid w:val="00773C44"/>
    <w:rsid w:val="00773CA3"/>
    <w:rsid w:val="00773FE8"/>
    <w:rsid w:val="0077406C"/>
    <w:rsid w:val="00774096"/>
    <w:rsid w:val="0077423C"/>
    <w:rsid w:val="007742C6"/>
    <w:rsid w:val="007744DA"/>
    <w:rsid w:val="00774864"/>
    <w:rsid w:val="00774940"/>
    <w:rsid w:val="00774B1E"/>
    <w:rsid w:val="00774B3A"/>
    <w:rsid w:val="00774C57"/>
    <w:rsid w:val="00774ED7"/>
    <w:rsid w:val="007750A5"/>
    <w:rsid w:val="007750CD"/>
    <w:rsid w:val="00775169"/>
    <w:rsid w:val="00775176"/>
    <w:rsid w:val="007751A7"/>
    <w:rsid w:val="007751D5"/>
    <w:rsid w:val="0077524B"/>
    <w:rsid w:val="00775283"/>
    <w:rsid w:val="00775383"/>
    <w:rsid w:val="00775702"/>
    <w:rsid w:val="00775727"/>
    <w:rsid w:val="007759A9"/>
    <w:rsid w:val="00775B2A"/>
    <w:rsid w:val="00775C21"/>
    <w:rsid w:val="00775F68"/>
    <w:rsid w:val="00775F87"/>
    <w:rsid w:val="00775FFA"/>
    <w:rsid w:val="0077606C"/>
    <w:rsid w:val="00776135"/>
    <w:rsid w:val="00776144"/>
    <w:rsid w:val="0077629D"/>
    <w:rsid w:val="00776606"/>
    <w:rsid w:val="00776729"/>
    <w:rsid w:val="0077687D"/>
    <w:rsid w:val="00776889"/>
    <w:rsid w:val="00776A81"/>
    <w:rsid w:val="00776C2C"/>
    <w:rsid w:val="00776D6F"/>
    <w:rsid w:val="00776EA8"/>
    <w:rsid w:val="007770B2"/>
    <w:rsid w:val="00777207"/>
    <w:rsid w:val="00777432"/>
    <w:rsid w:val="0077743B"/>
    <w:rsid w:val="007776F5"/>
    <w:rsid w:val="00777836"/>
    <w:rsid w:val="00777BFD"/>
    <w:rsid w:val="00777DA4"/>
    <w:rsid w:val="00777E84"/>
    <w:rsid w:val="00777E8B"/>
    <w:rsid w:val="00777F2E"/>
    <w:rsid w:val="00777F5D"/>
    <w:rsid w:val="007800F4"/>
    <w:rsid w:val="0078028E"/>
    <w:rsid w:val="00780296"/>
    <w:rsid w:val="007804FA"/>
    <w:rsid w:val="00780510"/>
    <w:rsid w:val="00780618"/>
    <w:rsid w:val="0078068B"/>
    <w:rsid w:val="00780745"/>
    <w:rsid w:val="00780749"/>
    <w:rsid w:val="00780A15"/>
    <w:rsid w:val="00780B88"/>
    <w:rsid w:val="00780C2C"/>
    <w:rsid w:val="00780D02"/>
    <w:rsid w:val="00780E12"/>
    <w:rsid w:val="00781033"/>
    <w:rsid w:val="00781047"/>
    <w:rsid w:val="00781079"/>
    <w:rsid w:val="00781165"/>
    <w:rsid w:val="00781168"/>
    <w:rsid w:val="0078116A"/>
    <w:rsid w:val="007811BE"/>
    <w:rsid w:val="007813AA"/>
    <w:rsid w:val="007816C3"/>
    <w:rsid w:val="00781A80"/>
    <w:rsid w:val="00781A92"/>
    <w:rsid w:val="00781B8F"/>
    <w:rsid w:val="00781D94"/>
    <w:rsid w:val="00781DD7"/>
    <w:rsid w:val="00781E83"/>
    <w:rsid w:val="0078213F"/>
    <w:rsid w:val="007822C5"/>
    <w:rsid w:val="007822F0"/>
    <w:rsid w:val="00782302"/>
    <w:rsid w:val="0078230B"/>
    <w:rsid w:val="007824A3"/>
    <w:rsid w:val="007824D7"/>
    <w:rsid w:val="007828E6"/>
    <w:rsid w:val="00782ADE"/>
    <w:rsid w:val="00782B7D"/>
    <w:rsid w:val="00782CCD"/>
    <w:rsid w:val="00782D1F"/>
    <w:rsid w:val="00782D83"/>
    <w:rsid w:val="00782DE9"/>
    <w:rsid w:val="00782FC8"/>
    <w:rsid w:val="0078320E"/>
    <w:rsid w:val="00783227"/>
    <w:rsid w:val="00783244"/>
    <w:rsid w:val="007832F5"/>
    <w:rsid w:val="00783392"/>
    <w:rsid w:val="007834CD"/>
    <w:rsid w:val="007836C7"/>
    <w:rsid w:val="00783780"/>
    <w:rsid w:val="00783817"/>
    <w:rsid w:val="0078383A"/>
    <w:rsid w:val="00783B1D"/>
    <w:rsid w:val="00783B82"/>
    <w:rsid w:val="00783D6B"/>
    <w:rsid w:val="00783D91"/>
    <w:rsid w:val="00783E45"/>
    <w:rsid w:val="00783E72"/>
    <w:rsid w:val="00783EA6"/>
    <w:rsid w:val="00784397"/>
    <w:rsid w:val="007845F3"/>
    <w:rsid w:val="00784657"/>
    <w:rsid w:val="00784886"/>
    <w:rsid w:val="0078492E"/>
    <w:rsid w:val="00784A66"/>
    <w:rsid w:val="00784B8A"/>
    <w:rsid w:val="00784CBC"/>
    <w:rsid w:val="00784D2D"/>
    <w:rsid w:val="00784D5F"/>
    <w:rsid w:val="00784D73"/>
    <w:rsid w:val="00784D88"/>
    <w:rsid w:val="00784EA0"/>
    <w:rsid w:val="0078509F"/>
    <w:rsid w:val="007850E7"/>
    <w:rsid w:val="007851A9"/>
    <w:rsid w:val="00785437"/>
    <w:rsid w:val="007854D9"/>
    <w:rsid w:val="007855BB"/>
    <w:rsid w:val="00785716"/>
    <w:rsid w:val="00785770"/>
    <w:rsid w:val="007857CD"/>
    <w:rsid w:val="00785846"/>
    <w:rsid w:val="007858F5"/>
    <w:rsid w:val="00785971"/>
    <w:rsid w:val="00785A85"/>
    <w:rsid w:val="00785F16"/>
    <w:rsid w:val="00785F7E"/>
    <w:rsid w:val="00786222"/>
    <w:rsid w:val="00786355"/>
    <w:rsid w:val="007864EE"/>
    <w:rsid w:val="007864FF"/>
    <w:rsid w:val="0078651B"/>
    <w:rsid w:val="00786669"/>
    <w:rsid w:val="00786765"/>
    <w:rsid w:val="007867AA"/>
    <w:rsid w:val="007868E2"/>
    <w:rsid w:val="00786A71"/>
    <w:rsid w:val="00786A8D"/>
    <w:rsid w:val="00786B67"/>
    <w:rsid w:val="00786D50"/>
    <w:rsid w:val="00786E59"/>
    <w:rsid w:val="00786E78"/>
    <w:rsid w:val="00786EA5"/>
    <w:rsid w:val="00787240"/>
    <w:rsid w:val="00787359"/>
    <w:rsid w:val="0078750E"/>
    <w:rsid w:val="007876BB"/>
    <w:rsid w:val="00787711"/>
    <w:rsid w:val="0078780D"/>
    <w:rsid w:val="0078785C"/>
    <w:rsid w:val="00787866"/>
    <w:rsid w:val="007878E5"/>
    <w:rsid w:val="00787AF2"/>
    <w:rsid w:val="00787B00"/>
    <w:rsid w:val="00787B38"/>
    <w:rsid w:val="00787C66"/>
    <w:rsid w:val="00787E61"/>
    <w:rsid w:val="00787E6A"/>
    <w:rsid w:val="0079012F"/>
    <w:rsid w:val="0079013F"/>
    <w:rsid w:val="007901F1"/>
    <w:rsid w:val="0079022B"/>
    <w:rsid w:val="00790301"/>
    <w:rsid w:val="007904E0"/>
    <w:rsid w:val="007905D4"/>
    <w:rsid w:val="007905E3"/>
    <w:rsid w:val="0079081C"/>
    <w:rsid w:val="007908C3"/>
    <w:rsid w:val="007908C4"/>
    <w:rsid w:val="00790B32"/>
    <w:rsid w:val="00790D4C"/>
    <w:rsid w:val="00790D7F"/>
    <w:rsid w:val="00790E06"/>
    <w:rsid w:val="00790E1B"/>
    <w:rsid w:val="00791190"/>
    <w:rsid w:val="00791200"/>
    <w:rsid w:val="0079120F"/>
    <w:rsid w:val="00791214"/>
    <w:rsid w:val="00791363"/>
    <w:rsid w:val="007914B7"/>
    <w:rsid w:val="007916EB"/>
    <w:rsid w:val="007918F1"/>
    <w:rsid w:val="007918FD"/>
    <w:rsid w:val="00791A1A"/>
    <w:rsid w:val="00791BC5"/>
    <w:rsid w:val="00791C6C"/>
    <w:rsid w:val="00791F90"/>
    <w:rsid w:val="00792158"/>
    <w:rsid w:val="0079219D"/>
    <w:rsid w:val="007922EA"/>
    <w:rsid w:val="007922F3"/>
    <w:rsid w:val="0079235C"/>
    <w:rsid w:val="007929BF"/>
    <w:rsid w:val="00792AAA"/>
    <w:rsid w:val="00792B2A"/>
    <w:rsid w:val="00792BD7"/>
    <w:rsid w:val="00792CFA"/>
    <w:rsid w:val="00792EB9"/>
    <w:rsid w:val="00792FD8"/>
    <w:rsid w:val="0079304E"/>
    <w:rsid w:val="00793161"/>
    <w:rsid w:val="007931E7"/>
    <w:rsid w:val="007932B5"/>
    <w:rsid w:val="0079357E"/>
    <w:rsid w:val="007936A7"/>
    <w:rsid w:val="00793901"/>
    <w:rsid w:val="0079396E"/>
    <w:rsid w:val="00793C52"/>
    <w:rsid w:val="00793DDF"/>
    <w:rsid w:val="00793EF8"/>
    <w:rsid w:val="00793F9A"/>
    <w:rsid w:val="007940DB"/>
    <w:rsid w:val="00794300"/>
    <w:rsid w:val="00794314"/>
    <w:rsid w:val="00794499"/>
    <w:rsid w:val="0079458D"/>
    <w:rsid w:val="007947BD"/>
    <w:rsid w:val="00794840"/>
    <w:rsid w:val="007949B5"/>
    <w:rsid w:val="00794AC3"/>
    <w:rsid w:val="00794B75"/>
    <w:rsid w:val="00794C18"/>
    <w:rsid w:val="00794C2F"/>
    <w:rsid w:val="00794D6A"/>
    <w:rsid w:val="00794DE9"/>
    <w:rsid w:val="00794E82"/>
    <w:rsid w:val="00794FA8"/>
    <w:rsid w:val="00794FAB"/>
    <w:rsid w:val="0079505E"/>
    <w:rsid w:val="007950B5"/>
    <w:rsid w:val="007951D8"/>
    <w:rsid w:val="007952C2"/>
    <w:rsid w:val="007952C3"/>
    <w:rsid w:val="00795436"/>
    <w:rsid w:val="00795676"/>
    <w:rsid w:val="0079572C"/>
    <w:rsid w:val="007959E8"/>
    <w:rsid w:val="00795AE2"/>
    <w:rsid w:val="00795C7E"/>
    <w:rsid w:val="00795DA2"/>
    <w:rsid w:val="00795DBC"/>
    <w:rsid w:val="007964F8"/>
    <w:rsid w:val="0079671E"/>
    <w:rsid w:val="00796F1C"/>
    <w:rsid w:val="00796F3A"/>
    <w:rsid w:val="00796F63"/>
    <w:rsid w:val="0079710D"/>
    <w:rsid w:val="007971D0"/>
    <w:rsid w:val="007971D1"/>
    <w:rsid w:val="007972E4"/>
    <w:rsid w:val="0079732B"/>
    <w:rsid w:val="00797501"/>
    <w:rsid w:val="00797584"/>
    <w:rsid w:val="007975D6"/>
    <w:rsid w:val="00797600"/>
    <w:rsid w:val="00797652"/>
    <w:rsid w:val="00797705"/>
    <w:rsid w:val="00797709"/>
    <w:rsid w:val="00797848"/>
    <w:rsid w:val="007978DF"/>
    <w:rsid w:val="00797C07"/>
    <w:rsid w:val="00797C85"/>
    <w:rsid w:val="00797D44"/>
    <w:rsid w:val="00797EB5"/>
    <w:rsid w:val="007A008A"/>
    <w:rsid w:val="007A00B7"/>
    <w:rsid w:val="007A03B8"/>
    <w:rsid w:val="007A0492"/>
    <w:rsid w:val="007A04B8"/>
    <w:rsid w:val="007A062A"/>
    <w:rsid w:val="007A0670"/>
    <w:rsid w:val="007A076C"/>
    <w:rsid w:val="007A07A3"/>
    <w:rsid w:val="007A07C7"/>
    <w:rsid w:val="007A09C9"/>
    <w:rsid w:val="007A0A91"/>
    <w:rsid w:val="007A0B1A"/>
    <w:rsid w:val="007A0B71"/>
    <w:rsid w:val="007A0CA5"/>
    <w:rsid w:val="007A0D3E"/>
    <w:rsid w:val="007A0DE1"/>
    <w:rsid w:val="007A0F02"/>
    <w:rsid w:val="007A0F41"/>
    <w:rsid w:val="007A13B1"/>
    <w:rsid w:val="007A1585"/>
    <w:rsid w:val="007A15B5"/>
    <w:rsid w:val="007A17A1"/>
    <w:rsid w:val="007A17E5"/>
    <w:rsid w:val="007A1A30"/>
    <w:rsid w:val="007A1A32"/>
    <w:rsid w:val="007A1BAC"/>
    <w:rsid w:val="007A1CAC"/>
    <w:rsid w:val="007A1D02"/>
    <w:rsid w:val="007A1F76"/>
    <w:rsid w:val="007A201B"/>
    <w:rsid w:val="007A202E"/>
    <w:rsid w:val="007A207A"/>
    <w:rsid w:val="007A21AE"/>
    <w:rsid w:val="007A21DC"/>
    <w:rsid w:val="007A23F3"/>
    <w:rsid w:val="007A2411"/>
    <w:rsid w:val="007A2475"/>
    <w:rsid w:val="007A2517"/>
    <w:rsid w:val="007A26DA"/>
    <w:rsid w:val="007A270A"/>
    <w:rsid w:val="007A2714"/>
    <w:rsid w:val="007A2734"/>
    <w:rsid w:val="007A282B"/>
    <w:rsid w:val="007A29CF"/>
    <w:rsid w:val="007A2A00"/>
    <w:rsid w:val="007A2B76"/>
    <w:rsid w:val="007A2BB6"/>
    <w:rsid w:val="007A2C4B"/>
    <w:rsid w:val="007A2F72"/>
    <w:rsid w:val="007A2F98"/>
    <w:rsid w:val="007A3370"/>
    <w:rsid w:val="007A33AF"/>
    <w:rsid w:val="007A33E2"/>
    <w:rsid w:val="007A3663"/>
    <w:rsid w:val="007A3765"/>
    <w:rsid w:val="007A37C1"/>
    <w:rsid w:val="007A3825"/>
    <w:rsid w:val="007A38CA"/>
    <w:rsid w:val="007A3955"/>
    <w:rsid w:val="007A3B7D"/>
    <w:rsid w:val="007A3D23"/>
    <w:rsid w:val="007A3DCA"/>
    <w:rsid w:val="007A3E0B"/>
    <w:rsid w:val="007A411D"/>
    <w:rsid w:val="007A416D"/>
    <w:rsid w:val="007A421C"/>
    <w:rsid w:val="007A43AD"/>
    <w:rsid w:val="007A4449"/>
    <w:rsid w:val="007A4453"/>
    <w:rsid w:val="007A44AA"/>
    <w:rsid w:val="007A44AF"/>
    <w:rsid w:val="007A452E"/>
    <w:rsid w:val="007A4711"/>
    <w:rsid w:val="007A48BB"/>
    <w:rsid w:val="007A4AD8"/>
    <w:rsid w:val="007A4C4B"/>
    <w:rsid w:val="007A4F8C"/>
    <w:rsid w:val="007A531A"/>
    <w:rsid w:val="007A54BB"/>
    <w:rsid w:val="007A5557"/>
    <w:rsid w:val="007A5577"/>
    <w:rsid w:val="007A5794"/>
    <w:rsid w:val="007A5C62"/>
    <w:rsid w:val="007A5E4E"/>
    <w:rsid w:val="007A5EDB"/>
    <w:rsid w:val="007A5FC8"/>
    <w:rsid w:val="007A5FD8"/>
    <w:rsid w:val="007A605D"/>
    <w:rsid w:val="007A6133"/>
    <w:rsid w:val="007A62C5"/>
    <w:rsid w:val="007A64FE"/>
    <w:rsid w:val="007A654D"/>
    <w:rsid w:val="007A6616"/>
    <w:rsid w:val="007A6829"/>
    <w:rsid w:val="007A6A41"/>
    <w:rsid w:val="007A6B7E"/>
    <w:rsid w:val="007A6BBA"/>
    <w:rsid w:val="007A6C44"/>
    <w:rsid w:val="007A6C90"/>
    <w:rsid w:val="007A6CBA"/>
    <w:rsid w:val="007A6F6B"/>
    <w:rsid w:val="007A6FD7"/>
    <w:rsid w:val="007A6FD9"/>
    <w:rsid w:val="007A7225"/>
    <w:rsid w:val="007A72B7"/>
    <w:rsid w:val="007A73F9"/>
    <w:rsid w:val="007A7634"/>
    <w:rsid w:val="007A7672"/>
    <w:rsid w:val="007A783A"/>
    <w:rsid w:val="007A7977"/>
    <w:rsid w:val="007A79F5"/>
    <w:rsid w:val="007A79FE"/>
    <w:rsid w:val="007A7A3F"/>
    <w:rsid w:val="007A7AED"/>
    <w:rsid w:val="007A7B10"/>
    <w:rsid w:val="007A7BAE"/>
    <w:rsid w:val="007A7C66"/>
    <w:rsid w:val="007A7CBA"/>
    <w:rsid w:val="007A7D2F"/>
    <w:rsid w:val="007A7D37"/>
    <w:rsid w:val="007A7DBC"/>
    <w:rsid w:val="007B0067"/>
    <w:rsid w:val="007B0125"/>
    <w:rsid w:val="007B0126"/>
    <w:rsid w:val="007B0172"/>
    <w:rsid w:val="007B01BD"/>
    <w:rsid w:val="007B02BE"/>
    <w:rsid w:val="007B02F5"/>
    <w:rsid w:val="007B042D"/>
    <w:rsid w:val="007B048E"/>
    <w:rsid w:val="007B04E8"/>
    <w:rsid w:val="007B0624"/>
    <w:rsid w:val="007B0693"/>
    <w:rsid w:val="007B07AE"/>
    <w:rsid w:val="007B0A3A"/>
    <w:rsid w:val="007B0A6D"/>
    <w:rsid w:val="007B0AFC"/>
    <w:rsid w:val="007B0B2E"/>
    <w:rsid w:val="007B0C7E"/>
    <w:rsid w:val="007B0E38"/>
    <w:rsid w:val="007B105C"/>
    <w:rsid w:val="007B10BE"/>
    <w:rsid w:val="007B1449"/>
    <w:rsid w:val="007B154B"/>
    <w:rsid w:val="007B1EEB"/>
    <w:rsid w:val="007B1FA2"/>
    <w:rsid w:val="007B2067"/>
    <w:rsid w:val="007B2074"/>
    <w:rsid w:val="007B2306"/>
    <w:rsid w:val="007B23AE"/>
    <w:rsid w:val="007B24DC"/>
    <w:rsid w:val="007B2922"/>
    <w:rsid w:val="007B297B"/>
    <w:rsid w:val="007B2A10"/>
    <w:rsid w:val="007B2B91"/>
    <w:rsid w:val="007B2BEE"/>
    <w:rsid w:val="007B2E11"/>
    <w:rsid w:val="007B2E3D"/>
    <w:rsid w:val="007B2EB3"/>
    <w:rsid w:val="007B2F6C"/>
    <w:rsid w:val="007B30DB"/>
    <w:rsid w:val="007B326A"/>
    <w:rsid w:val="007B3361"/>
    <w:rsid w:val="007B3573"/>
    <w:rsid w:val="007B36EA"/>
    <w:rsid w:val="007B370E"/>
    <w:rsid w:val="007B374A"/>
    <w:rsid w:val="007B392B"/>
    <w:rsid w:val="007B3A28"/>
    <w:rsid w:val="007B3CD2"/>
    <w:rsid w:val="007B3E3E"/>
    <w:rsid w:val="007B402F"/>
    <w:rsid w:val="007B4279"/>
    <w:rsid w:val="007B442C"/>
    <w:rsid w:val="007B443B"/>
    <w:rsid w:val="007B454E"/>
    <w:rsid w:val="007B468B"/>
    <w:rsid w:val="007B49BB"/>
    <w:rsid w:val="007B4B44"/>
    <w:rsid w:val="007B4E15"/>
    <w:rsid w:val="007B4E5E"/>
    <w:rsid w:val="007B4FDF"/>
    <w:rsid w:val="007B4FF4"/>
    <w:rsid w:val="007B50BB"/>
    <w:rsid w:val="007B51A6"/>
    <w:rsid w:val="007B540B"/>
    <w:rsid w:val="007B5421"/>
    <w:rsid w:val="007B54C2"/>
    <w:rsid w:val="007B55B0"/>
    <w:rsid w:val="007B55EF"/>
    <w:rsid w:val="007B55F3"/>
    <w:rsid w:val="007B5722"/>
    <w:rsid w:val="007B5854"/>
    <w:rsid w:val="007B5899"/>
    <w:rsid w:val="007B5991"/>
    <w:rsid w:val="007B59FE"/>
    <w:rsid w:val="007B5DAC"/>
    <w:rsid w:val="007B5DC3"/>
    <w:rsid w:val="007B5F0F"/>
    <w:rsid w:val="007B5FD9"/>
    <w:rsid w:val="007B5FEA"/>
    <w:rsid w:val="007B60ED"/>
    <w:rsid w:val="007B6143"/>
    <w:rsid w:val="007B61A2"/>
    <w:rsid w:val="007B622A"/>
    <w:rsid w:val="007B6721"/>
    <w:rsid w:val="007B6774"/>
    <w:rsid w:val="007B687D"/>
    <w:rsid w:val="007B68E6"/>
    <w:rsid w:val="007B6920"/>
    <w:rsid w:val="007B6A70"/>
    <w:rsid w:val="007B6A92"/>
    <w:rsid w:val="007B6C0F"/>
    <w:rsid w:val="007B6C30"/>
    <w:rsid w:val="007B6C37"/>
    <w:rsid w:val="007B6CE9"/>
    <w:rsid w:val="007B6D2A"/>
    <w:rsid w:val="007B6F63"/>
    <w:rsid w:val="007B70D5"/>
    <w:rsid w:val="007B70E0"/>
    <w:rsid w:val="007B717A"/>
    <w:rsid w:val="007B73F9"/>
    <w:rsid w:val="007B74A4"/>
    <w:rsid w:val="007B74B2"/>
    <w:rsid w:val="007B76C3"/>
    <w:rsid w:val="007B777D"/>
    <w:rsid w:val="007B7826"/>
    <w:rsid w:val="007B7CED"/>
    <w:rsid w:val="007B7ECF"/>
    <w:rsid w:val="007B7F05"/>
    <w:rsid w:val="007B7F36"/>
    <w:rsid w:val="007B7FC6"/>
    <w:rsid w:val="007C01A2"/>
    <w:rsid w:val="007C02F0"/>
    <w:rsid w:val="007C039B"/>
    <w:rsid w:val="007C0745"/>
    <w:rsid w:val="007C0A33"/>
    <w:rsid w:val="007C0A9F"/>
    <w:rsid w:val="007C0AFF"/>
    <w:rsid w:val="007C0C25"/>
    <w:rsid w:val="007C0CFE"/>
    <w:rsid w:val="007C0D00"/>
    <w:rsid w:val="007C0DAA"/>
    <w:rsid w:val="007C0E3C"/>
    <w:rsid w:val="007C0F1F"/>
    <w:rsid w:val="007C1090"/>
    <w:rsid w:val="007C11F1"/>
    <w:rsid w:val="007C13AE"/>
    <w:rsid w:val="007C13B6"/>
    <w:rsid w:val="007C1541"/>
    <w:rsid w:val="007C1728"/>
    <w:rsid w:val="007C1746"/>
    <w:rsid w:val="007C176E"/>
    <w:rsid w:val="007C18F1"/>
    <w:rsid w:val="007C19D9"/>
    <w:rsid w:val="007C1D04"/>
    <w:rsid w:val="007C1D6A"/>
    <w:rsid w:val="007C1E4D"/>
    <w:rsid w:val="007C1F32"/>
    <w:rsid w:val="007C205E"/>
    <w:rsid w:val="007C2261"/>
    <w:rsid w:val="007C2279"/>
    <w:rsid w:val="007C2476"/>
    <w:rsid w:val="007C24DD"/>
    <w:rsid w:val="007C250E"/>
    <w:rsid w:val="007C26E7"/>
    <w:rsid w:val="007C26F3"/>
    <w:rsid w:val="007C2720"/>
    <w:rsid w:val="007C2B02"/>
    <w:rsid w:val="007C2BE4"/>
    <w:rsid w:val="007C2E4D"/>
    <w:rsid w:val="007C2F6B"/>
    <w:rsid w:val="007C3129"/>
    <w:rsid w:val="007C3155"/>
    <w:rsid w:val="007C31CA"/>
    <w:rsid w:val="007C321E"/>
    <w:rsid w:val="007C3243"/>
    <w:rsid w:val="007C345E"/>
    <w:rsid w:val="007C3549"/>
    <w:rsid w:val="007C35EC"/>
    <w:rsid w:val="007C3665"/>
    <w:rsid w:val="007C373D"/>
    <w:rsid w:val="007C3D89"/>
    <w:rsid w:val="007C4087"/>
    <w:rsid w:val="007C42E5"/>
    <w:rsid w:val="007C432E"/>
    <w:rsid w:val="007C434C"/>
    <w:rsid w:val="007C43E3"/>
    <w:rsid w:val="007C45BA"/>
    <w:rsid w:val="007C45C9"/>
    <w:rsid w:val="007C46A6"/>
    <w:rsid w:val="007C46B1"/>
    <w:rsid w:val="007C477E"/>
    <w:rsid w:val="007C4908"/>
    <w:rsid w:val="007C499F"/>
    <w:rsid w:val="007C4B54"/>
    <w:rsid w:val="007C4DE3"/>
    <w:rsid w:val="007C5104"/>
    <w:rsid w:val="007C5270"/>
    <w:rsid w:val="007C537E"/>
    <w:rsid w:val="007C53D8"/>
    <w:rsid w:val="007C54BE"/>
    <w:rsid w:val="007C54FA"/>
    <w:rsid w:val="007C55C0"/>
    <w:rsid w:val="007C5736"/>
    <w:rsid w:val="007C574E"/>
    <w:rsid w:val="007C57F0"/>
    <w:rsid w:val="007C5849"/>
    <w:rsid w:val="007C5A26"/>
    <w:rsid w:val="007C5D4D"/>
    <w:rsid w:val="007C60C4"/>
    <w:rsid w:val="007C62A5"/>
    <w:rsid w:val="007C62B2"/>
    <w:rsid w:val="007C6355"/>
    <w:rsid w:val="007C637E"/>
    <w:rsid w:val="007C6450"/>
    <w:rsid w:val="007C64EB"/>
    <w:rsid w:val="007C64F0"/>
    <w:rsid w:val="007C6811"/>
    <w:rsid w:val="007C69BD"/>
    <w:rsid w:val="007C69C8"/>
    <w:rsid w:val="007C6B84"/>
    <w:rsid w:val="007C6FCC"/>
    <w:rsid w:val="007C720F"/>
    <w:rsid w:val="007C728C"/>
    <w:rsid w:val="007C72B6"/>
    <w:rsid w:val="007C758D"/>
    <w:rsid w:val="007C77CD"/>
    <w:rsid w:val="007C77D7"/>
    <w:rsid w:val="007C79CB"/>
    <w:rsid w:val="007C79FA"/>
    <w:rsid w:val="007C7A7F"/>
    <w:rsid w:val="007C7BE6"/>
    <w:rsid w:val="007C7C55"/>
    <w:rsid w:val="007C7C81"/>
    <w:rsid w:val="007C7D0C"/>
    <w:rsid w:val="007D00B9"/>
    <w:rsid w:val="007D00C8"/>
    <w:rsid w:val="007D017B"/>
    <w:rsid w:val="007D0236"/>
    <w:rsid w:val="007D0296"/>
    <w:rsid w:val="007D0326"/>
    <w:rsid w:val="007D03F0"/>
    <w:rsid w:val="007D05CF"/>
    <w:rsid w:val="007D05D0"/>
    <w:rsid w:val="007D07A4"/>
    <w:rsid w:val="007D0994"/>
    <w:rsid w:val="007D0AC2"/>
    <w:rsid w:val="007D0E1F"/>
    <w:rsid w:val="007D0EA3"/>
    <w:rsid w:val="007D0EE2"/>
    <w:rsid w:val="007D108C"/>
    <w:rsid w:val="007D10EE"/>
    <w:rsid w:val="007D115C"/>
    <w:rsid w:val="007D116A"/>
    <w:rsid w:val="007D1187"/>
    <w:rsid w:val="007D1A4B"/>
    <w:rsid w:val="007D1AE1"/>
    <w:rsid w:val="007D1D91"/>
    <w:rsid w:val="007D1E03"/>
    <w:rsid w:val="007D1E89"/>
    <w:rsid w:val="007D1ED1"/>
    <w:rsid w:val="007D1F7F"/>
    <w:rsid w:val="007D21F1"/>
    <w:rsid w:val="007D23B6"/>
    <w:rsid w:val="007D23E8"/>
    <w:rsid w:val="007D25FC"/>
    <w:rsid w:val="007D2727"/>
    <w:rsid w:val="007D2B07"/>
    <w:rsid w:val="007D2BC8"/>
    <w:rsid w:val="007D2C1A"/>
    <w:rsid w:val="007D2C77"/>
    <w:rsid w:val="007D2F6F"/>
    <w:rsid w:val="007D2FA6"/>
    <w:rsid w:val="007D2FBA"/>
    <w:rsid w:val="007D30B4"/>
    <w:rsid w:val="007D3197"/>
    <w:rsid w:val="007D3208"/>
    <w:rsid w:val="007D3274"/>
    <w:rsid w:val="007D33C6"/>
    <w:rsid w:val="007D34F8"/>
    <w:rsid w:val="007D352A"/>
    <w:rsid w:val="007D3780"/>
    <w:rsid w:val="007D37A3"/>
    <w:rsid w:val="007D39A0"/>
    <w:rsid w:val="007D39A7"/>
    <w:rsid w:val="007D3A34"/>
    <w:rsid w:val="007D3BFE"/>
    <w:rsid w:val="007D3C01"/>
    <w:rsid w:val="007D3D3A"/>
    <w:rsid w:val="007D402B"/>
    <w:rsid w:val="007D402E"/>
    <w:rsid w:val="007D4034"/>
    <w:rsid w:val="007D407C"/>
    <w:rsid w:val="007D40F1"/>
    <w:rsid w:val="007D41EE"/>
    <w:rsid w:val="007D42C8"/>
    <w:rsid w:val="007D42ED"/>
    <w:rsid w:val="007D4401"/>
    <w:rsid w:val="007D45CE"/>
    <w:rsid w:val="007D4858"/>
    <w:rsid w:val="007D4D2B"/>
    <w:rsid w:val="007D4D75"/>
    <w:rsid w:val="007D5091"/>
    <w:rsid w:val="007D50D2"/>
    <w:rsid w:val="007D514E"/>
    <w:rsid w:val="007D5343"/>
    <w:rsid w:val="007D54D1"/>
    <w:rsid w:val="007D5620"/>
    <w:rsid w:val="007D5624"/>
    <w:rsid w:val="007D5660"/>
    <w:rsid w:val="007D5691"/>
    <w:rsid w:val="007D589B"/>
    <w:rsid w:val="007D58C6"/>
    <w:rsid w:val="007D5913"/>
    <w:rsid w:val="007D5953"/>
    <w:rsid w:val="007D59B5"/>
    <w:rsid w:val="007D5AA6"/>
    <w:rsid w:val="007D5D0A"/>
    <w:rsid w:val="007D5D88"/>
    <w:rsid w:val="007D5F07"/>
    <w:rsid w:val="007D61AD"/>
    <w:rsid w:val="007D6290"/>
    <w:rsid w:val="007D62B8"/>
    <w:rsid w:val="007D6353"/>
    <w:rsid w:val="007D6517"/>
    <w:rsid w:val="007D6799"/>
    <w:rsid w:val="007D68D4"/>
    <w:rsid w:val="007D6BD7"/>
    <w:rsid w:val="007D6BE8"/>
    <w:rsid w:val="007D6C7D"/>
    <w:rsid w:val="007D6D8E"/>
    <w:rsid w:val="007D6FE4"/>
    <w:rsid w:val="007D735E"/>
    <w:rsid w:val="007D7402"/>
    <w:rsid w:val="007D7596"/>
    <w:rsid w:val="007D7703"/>
    <w:rsid w:val="007D7831"/>
    <w:rsid w:val="007D7A54"/>
    <w:rsid w:val="007D7B51"/>
    <w:rsid w:val="007D7E4E"/>
    <w:rsid w:val="007E005D"/>
    <w:rsid w:val="007E012A"/>
    <w:rsid w:val="007E0152"/>
    <w:rsid w:val="007E02D4"/>
    <w:rsid w:val="007E084A"/>
    <w:rsid w:val="007E085E"/>
    <w:rsid w:val="007E0887"/>
    <w:rsid w:val="007E0AEB"/>
    <w:rsid w:val="007E0BFE"/>
    <w:rsid w:val="007E0C93"/>
    <w:rsid w:val="007E0E25"/>
    <w:rsid w:val="007E0FF1"/>
    <w:rsid w:val="007E1067"/>
    <w:rsid w:val="007E11FD"/>
    <w:rsid w:val="007E12F2"/>
    <w:rsid w:val="007E14B0"/>
    <w:rsid w:val="007E1543"/>
    <w:rsid w:val="007E1758"/>
    <w:rsid w:val="007E1A6E"/>
    <w:rsid w:val="007E1C8C"/>
    <w:rsid w:val="007E1DAA"/>
    <w:rsid w:val="007E1FD2"/>
    <w:rsid w:val="007E20ED"/>
    <w:rsid w:val="007E21A4"/>
    <w:rsid w:val="007E21B3"/>
    <w:rsid w:val="007E2212"/>
    <w:rsid w:val="007E223C"/>
    <w:rsid w:val="007E23BB"/>
    <w:rsid w:val="007E2486"/>
    <w:rsid w:val="007E2553"/>
    <w:rsid w:val="007E2620"/>
    <w:rsid w:val="007E2686"/>
    <w:rsid w:val="007E26D4"/>
    <w:rsid w:val="007E27F0"/>
    <w:rsid w:val="007E2AB9"/>
    <w:rsid w:val="007E2B03"/>
    <w:rsid w:val="007E2C81"/>
    <w:rsid w:val="007E2CD3"/>
    <w:rsid w:val="007E2F76"/>
    <w:rsid w:val="007E2FB6"/>
    <w:rsid w:val="007E3144"/>
    <w:rsid w:val="007E327C"/>
    <w:rsid w:val="007E3380"/>
    <w:rsid w:val="007E3389"/>
    <w:rsid w:val="007E3390"/>
    <w:rsid w:val="007E33B3"/>
    <w:rsid w:val="007E34BD"/>
    <w:rsid w:val="007E357B"/>
    <w:rsid w:val="007E36AC"/>
    <w:rsid w:val="007E36BA"/>
    <w:rsid w:val="007E36D2"/>
    <w:rsid w:val="007E3732"/>
    <w:rsid w:val="007E3840"/>
    <w:rsid w:val="007E3851"/>
    <w:rsid w:val="007E390E"/>
    <w:rsid w:val="007E393D"/>
    <w:rsid w:val="007E39E0"/>
    <w:rsid w:val="007E3AE1"/>
    <w:rsid w:val="007E3B74"/>
    <w:rsid w:val="007E3BEA"/>
    <w:rsid w:val="007E3D9E"/>
    <w:rsid w:val="007E3E76"/>
    <w:rsid w:val="007E3EB5"/>
    <w:rsid w:val="007E3F53"/>
    <w:rsid w:val="007E3F94"/>
    <w:rsid w:val="007E4014"/>
    <w:rsid w:val="007E4186"/>
    <w:rsid w:val="007E4337"/>
    <w:rsid w:val="007E4351"/>
    <w:rsid w:val="007E4445"/>
    <w:rsid w:val="007E4510"/>
    <w:rsid w:val="007E45B6"/>
    <w:rsid w:val="007E469C"/>
    <w:rsid w:val="007E481D"/>
    <w:rsid w:val="007E4976"/>
    <w:rsid w:val="007E49D3"/>
    <w:rsid w:val="007E49FD"/>
    <w:rsid w:val="007E4C52"/>
    <w:rsid w:val="007E4CAA"/>
    <w:rsid w:val="007E4D04"/>
    <w:rsid w:val="007E4D2C"/>
    <w:rsid w:val="007E4EA7"/>
    <w:rsid w:val="007E4EFA"/>
    <w:rsid w:val="007E4F6A"/>
    <w:rsid w:val="007E4F82"/>
    <w:rsid w:val="007E52D4"/>
    <w:rsid w:val="007E52DD"/>
    <w:rsid w:val="007E5440"/>
    <w:rsid w:val="007E5896"/>
    <w:rsid w:val="007E5A33"/>
    <w:rsid w:val="007E5C47"/>
    <w:rsid w:val="007E5C6D"/>
    <w:rsid w:val="007E5DA4"/>
    <w:rsid w:val="007E6047"/>
    <w:rsid w:val="007E6312"/>
    <w:rsid w:val="007E6335"/>
    <w:rsid w:val="007E635D"/>
    <w:rsid w:val="007E63C2"/>
    <w:rsid w:val="007E6456"/>
    <w:rsid w:val="007E64DA"/>
    <w:rsid w:val="007E6552"/>
    <w:rsid w:val="007E667B"/>
    <w:rsid w:val="007E66CA"/>
    <w:rsid w:val="007E66DC"/>
    <w:rsid w:val="007E67C2"/>
    <w:rsid w:val="007E67FE"/>
    <w:rsid w:val="007E69FE"/>
    <w:rsid w:val="007E6FD1"/>
    <w:rsid w:val="007E7379"/>
    <w:rsid w:val="007E7390"/>
    <w:rsid w:val="007E75BB"/>
    <w:rsid w:val="007E77AC"/>
    <w:rsid w:val="007E7C1A"/>
    <w:rsid w:val="007E7CDD"/>
    <w:rsid w:val="007E7D4F"/>
    <w:rsid w:val="007E7D8D"/>
    <w:rsid w:val="007E7FAD"/>
    <w:rsid w:val="007F0197"/>
    <w:rsid w:val="007F01E9"/>
    <w:rsid w:val="007F022B"/>
    <w:rsid w:val="007F033B"/>
    <w:rsid w:val="007F03A3"/>
    <w:rsid w:val="007F0426"/>
    <w:rsid w:val="007F045B"/>
    <w:rsid w:val="007F0578"/>
    <w:rsid w:val="007F0676"/>
    <w:rsid w:val="007F0B44"/>
    <w:rsid w:val="007F0E56"/>
    <w:rsid w:val="007F0ED1"/>
    <w:rsid w:val="007F0FA2"/>
    <w:rsid w:val="007F1051"/>
    <w:rsid w:val="007F10B3"/>
    <w:rsid w:val="007F133F"/>
    <w:rsid w:val="007F151D"/>
    <w:rsid w:val="007F1915"/>
    <w:rsid w:val="007F19F0"/>
    <w:rsid w:val="007F1B74"/>
    <w:rsid w:val="007F1D6F"/>
    <w:rsid w:val="007F1DAD"/>
    <w:rsid w:val="007F1DBD"/>
    <w:rsid w:val="007F1F1A"/>
    <w:rsid w:val="007F22ED"/>
    <w:rsid w:val="007F244E"/>
    <w:rsid w:val="007F275A"/>
    <w:rsid w:val="007F288D"/>
    <w:rsid w:val="007F29CE"/>
    <w:rsid w:val="007F2AD9"/>
    <w:rsid w:val="007F2CA5"/>
    <w:rsid w:val="007F2D6D"/>
    <w:rsid w:val="007F2D83"/>
    <w:rsid w:val="007F2FC2"/>
    <w:rsid w:val="007F2FCC"/>
    <w:rsid w:val="007F3024"/>
    <w:rsid w:val="007F315D"/>
    <w:rsid w:val="007F321D"/>
    <w:rsid w:val="007F326D"/>
    <w:rsid w:val="007F3285"/>
    <w:rsid w:val="007F3363"/>
    <w:rsid w:val="007F3467"/>
    <w:rsid w:val="007F34A7"/>
    <w:rsid w:val="007F35DC"/>
    <w:rsid w:val="007F37D6"/>
    <w:rsid w:val="007F37FE"/>
    <w:rsid w:val="007F3AF1"/>
    <w:rsid w:val="007F3C27"/>
    <w:rsid w:val="007F3CB7"/>
    <w:rsid w:val="007F3CD3"/>
    <w:rsid w:val="007F3FC8"/>
    <w:rsid w:val="007F412B"/>
    <w:rsid w:val="007F4266"/>
    <w:rsid w:val="007F4277"/>
    <w:rsid w:val="007F4287"/>
    <w:rsid w:val="007F42A7"/>
    <w:rsid w:val="007F42D4"/>
    <w:rsid w:val="007F458E"/>
    <w:rsid w:val="007F4D21"/>
    <w:rsid w:val="007F4E9F"/>
    <w:rsid w:val="007F5128"/>
    <w:rsid w:val="007F525B"/>
    <w:rsid w:val="007F528E"/>
    <w:rsid w:val="007F5630"/>
    <w:rsid w:val="007F568A"/>
    <w:rsid w:val="007F56E6"/>
    <w:rsid w:val="007F5B4D"/>
    <w:rsid w:val="007F5C78"/>
    <w:rsid w:val="007F5CC4"/>
    <w:rsid w:val="007F5D35"/>
    <w:rsid w:val="007F5D9E"/>
    <w:rsid w:val="007F5E0E"/>
    <w:rsid w:val="007F5E58"/>
    <w:rsid w:val="007F5EBA"/>
    <w:rsid w:val="007F5F33"/>
    <w:rsid w:val="007F5F4B"/>
    <w:rsid w:val="007F6079"/>
    <w:rsid w:val="007F6170"/>
    <w:rsid w:val="007F6191"/>
    <w:rsid w:val="007F6204"/>
    <w:rsid w:val="007F6224"/>
    <w:rsid w:val="007F62FF"/>
    <w:rsid w:val="007F638D"/>
    <w:rsid w:val="007F63D5"/>
    <w:rsid w:val="007F63E6"/>
    <w:rsid w:val="007F68D5"/>
    <w:rsid w:val="007F6A55"/>
    <w:rsid w:val="007F6AF9"/>
    <w:rsid w:val="007F6C05"/>
    <w:rsid w:val="007F6FA2"/>
    <w:rsid w:val="007F700B"/>
    <w:rsid w:val="007F717F"/>
    <w:rsid w:val="007F7293"/>
    <w:rsid w:val="007F72D1"/>
    <w:rsid w:val="007F72E4"/>
    <w:rsid w:val="007F734D"/>
    <w:rsid w:val="007F736C"/>
    <w:rsid w:val="007F73CC"/>
    <w:rsid w:val="007F73FB"/>
    <w:rsid w:val="007F7509"/>
    <w:rsid w:val="007F7640"/>
    <w:rsid w:val="007F77D3"/>
    <w:rsid w:val="007F7803"/>
    <w:rsid w:val="007F7906"/>
    <w:rsid w:val="007F7A14"/>
    <w:rsid w:val="007F7B07"/>
    <w:rsid w:val="007F7B10"/>
    <w:rsid w:val="007F7C93"/>
    <w:rsid w:val="007F7E32"/>
    <w:rsid w:val="007F7F38"/>
    <w:rsid w:val="007F7FF2"/>
    <w:rsid w:val="00800014"/>
    <w:rsid w:val="008001AC"/>
    <w:rsid w:val="008005B8"/>
    <w:rsid w:val="008005C3"/>
    <w:rsid w:val="008005EE"/>
    <w:rsid w:val="0080076D"/>
    <w:rsid w:val="008008A0"/>
    <w:rsid w:val="00800C69"/>
    <w:rsid w:val="00800F8F"/>
    <w:rsid w:val="00801258"/>
    <w:rsid w:val="00801300"/>
    <w:rsid w:val="008013E5"/>
    <w:rsid w:val="0080157F"/>
    <w:rsid w:val="008015AA"/>
    <w:rsid w:val="00801706"/>
    <w:rsid w:val="008018D3"/>
    <w:rsid w:val="008019A1"/>
    <w:rsid w:val="00801A6E"/>
    <w:rsid w:val="00801BC4"/>
    <w:rsid w:val="00801CA1"/>
    <w:rsid w:val="00801CDF"/>
    <w:rsid w:val="00801DA8"/>
    <w:rsid w:val="00801E12"/>
    <w:rsid w:val="00802108"/>
    <w:rsid w:val="0080226E"/>
    <w:rsid w:val="00802302"/>
    <w:rsid w:val="0080256F"/>
    <w:rsid w:val="008025F1"/>
    <w:rsid w:val="00802623"/>
    <w:rsid w:val="00802761"/>
    <w:rsid w:val="00802869"/>
    <w:rsid w:val="00802FD1"/>
    <w:rsid w:val="008030FA"/>
    <w:rsid w:val="0080314A"/>
    <w:rsid w:val="008031E7"/>
    <w:rsid w:val="00803264"/>
    <w:rsid w:val="008034BE"/>
    <w:rsid w:val="0080380B"/>
    <w:rsid w:val="00803937"/>
    <w:rsid w:val="00803940"/>
    <w:rsid w:val="00803A92"/>
    <w:rsid w:val="00803D1A"/>
    <w:rsid w:val="00803FA7"/>
    <w:rsid w:val="00803FFC"/>
    <w:rsid w:val="00804005"/>
    <w:rsid w:val="0080400C"/>
    <w:rsid w:val="0080411A"/>
    <w:rsid w:val="00804169"/>
    <w:rsid w:val="00804271"/>
    <w:rsid w:val="0080432F"/>
    <w:rsid w:val="008043EA"/>
    <w:rsid w:val="00804478"/>
    <w:rsid w:val="00804581"/>
    <w:rsid w:val="00804598"/>
    <w:rsid w:val="008049C6"/>
    <w:rsid w:val="008049D2"/>
    <w:rsid w:val="00804A51"/>
    <w:rsid w:val="00804B35"/>
    <w:rsid w:val="00804DCD"/>
    <w:rsid w:val="00804EE0"/>
    <w:rsid w:val="00804F81"/>
    <w:rsid w:val="00804FEC"/>
    <w:rsid w:val="00805011"/>
    <w:rsid w:val="00805023"/>
    <w:rsid w:val="00805279"/>
    <w:rsid w:val="00805353"/>
    <w:rsid w:val="00805365"/>
    <w:rsid w:val="0080536A"/>
    <w:rsid w:val="0080540D"/>
    <w:rsid w:val="0080547C"/>
    <w:rsid w:val="00805556"/>
    <w:rsid w:val="0080559A"/>
    <w:rsid w:val="0080561B"/>
    <w:rsid w:val="00805794"/>
    <w:rsid w:val="00805814"/>
    <w:rsid w:val="008058B3"/>
    <w:rsid w:val="008058CD"/>
    <w:rsid w:val="0080596F"/>
    <w:rsid w:val="00805BA2"/>
    <w:rsid w:val="00805BE3"/>
    <w:rsid w:val="00805E54"/>
    <w:rsid w:val="00805E58"/>
    <w:rsid w:val="00805F42"/>
    <w:rsid w:val="00805FEE"/>
    <w:rsid w:val="00806004"/>
    <w:rsid w:val="0080619B"/>
    <w:rsid w:val="0080623A"/>
    <w:rsid w:val="00806663"/>
    <w:rsid w:val="0080669D"/>
    <w:rsid w:val="008066A9"/>
    <w:rsid w:val="00806713"/>
    <w:rsid w:val="0080678D"/>
    <w:rsid w:val="00806805"/>
    <w:rsid w:val="00806A2F"/>
    <w:rsid w:val="00806C2F"/>
    <w:rsid w:val="00806D31"/>
    <w:rsid w:val="00806D38"/>
    <w:rsid w:val="00806DBB"/>
    <w:rsid w:val="0080704E"/>
    <w:rsid w:val="008070F5"/>
    <w:rsid w:val="0080726D"/>
    <w:rsid w:val="008072D2"/>
    <w:rsid w:val="008073A6"/>
    <w:rsid w:val="008076D7"/>
    <w:rsid w:val="008079C4"/>
    <w:rsid w:val="00807A99"/>
    <w:rsid w:val="00807BAE"/>
    <w:rsid w:val="00807E78"/>
    <w:rsid w:val="00807EBA"/>
    <w:rsid w:val="00807EC1"/>
    <w:rsid w:val="00807EE2"/>
    <w:rsid w:val="008100E8"/>
    <w:rsid w:val="0081015C"/>
    <w:rsid w:val="00810506"/>
    <w:rsid w:val="00810637"/>
    <w:rsid w:val="008107D3"/>
    <w:rsid w:val="0081080C"/>
    <w:rsid w:val="0081081F"/>
    <w:rsid w:val="00810A35"/>
    <w:rsid w:val="00810BDD"/>
    <w:rsid w:val="008110C7"/>
    <w:rsid w:val="00811279"/>
    <w:rsid w:val="0081169F"/>
    <w:rsid w:val="008116EC"/>
    <w:rsid w:val="00811BF5"/>
    <w:rsid w:val="00811CE2"/>
    <w:rsid w:val="00811DE6"/>
    <w:rsid w:val="00811E99"/>
    <w:rsid w:val="00811F88"/>
    <w:rsid w:val="00811FE3"/>
    <w:rsid w:val="008120E6"/>
    <w:rsid w:val="0081213C"/>
    <w:rsid w:val="00812258"/>
    <w:rsid w:val="0081234F"/>
    <w:rsid w:val="00812410"/>
    <w:rsid w:val="00812651"/>
    <w:rsid w:val="008126EC"/>
    <w:rsid w:val="0081272A"/>
    <w:rsid w:val="008127DD"/>
    <w:rsid w:val="00812B6E"/>
    <w:rsid w:val="00812B8C"/>
    <w:rsid w:val="00812BD8"/>
    <w:rsid w:val="00812BE9"/>
    <w:rsid w:val="00812C24"/>
    <w:rsid w:val="00812CFD"/>
    <w:rsid w:val="00812D69"/>
    <w:rsid w:val="00812E40"/>
    <w:rsid w:val="00813103"/>
    <w:rsid w:val="0081318A"/>
    <w:rsid w:val="00813254"/>
    <w:rsid w:val="0081360D"/>
    <w:rsid w:val="0081362F"/>
    <w:rsid w:val="008139D5"/>
    <w:rsid w:val="00813B43"/>
    <w:rsid w:val="00813B7A"/>
    <w:rsid w:val="00813C17"/>
    <w:rsid w:val="00813C91"/>
    <w:rsid w:val="00813F6E"/>
    <w:rsid w:val="00813F99"/>
    <w:rsid w:val="00813FF9"/>
    <w:rsid w:val="0081417B"/>
    <w:rsid w:val="00814288"/>
    <w:rsid w:val="0081438E"/>
    <w:rsid w:val="008143C5"/>
    <w:rsid w:val="008143CD"/>
    <w:rsid w:val="00814588"/>
    <w:rsid w:val="008145B2"/>
    <w:rsid w:val="008146A7"/>
    <w:rsid w:val="0081480D"/>
    <w:rsid w:val="00814853"/>
    <w:rsid w:val="00814D2E"/>
    <w:rsid w:val="00814D31"/>
    <w:rsid w:val="00814EE8"/>
    <w:rsid w:val="00814F02"/>
    <w:rsid w:val="00814FB8"/>
    <w:rsid w:val="0081510C"/>
    <w:rsid w:val="008152BF"/>
    <w:rsid w:val="00815332"/>
    <w:rsid w:val="008156F2"/>
    <w:rsid w:val="00815853"/>
    <w:rsid w:val="00815886"/>
    <w:rsid w:val="00815A34"/>
    <w:rsid w:val="00815A90"/>
    <w:rsid w:val="00815B50"/>
    <w:rsid w:val="00815B98"/>
    <w:rsid w:val="00815D58"/>
    <w:rsid w:val="00815E0B"/>
    <w:rsid w:val="00815E30"/>
    <w:rsid w:val="00815E87"/>
    <w:rsid w:val="00815E8D"/>
    <w:rsid w:val="00815FC7"/>
    <w:rsid w:val="008162AE"/>
    <w:rsid w:val="00816876"/>
    <w:rsid w:val="00816918"/>
    <w:rsid w:val="00816969"/>
    <w:rsid w:val="00816C24"/>
    <w:rsid w:val="00816F15"/>
    <w:rsid w:val="00816F5A"/>
    <w:rsid w:val="00817215"/>
    <w:rsid w:val="008172ED"/>
    <w:rsid w:val="00817326"/>
    <w:rsid w:val="008174FC"/>
    <w:rsid w:val="00817528"/>
    <w:rsid w:val="00817673"/>
    <w:rsid w:val="00817718"/>
    <w:rsid w:val="00817728"/>
    <w:rsid w:val="008178A7"/>
    <w:rsid w:val="008178C9"/>
    <w:rsid w:val="0081791C"/>
    <w:rsid w:val="00817A5C"/>
    <w:rsid w:val="00817AA9"/>
    <w:rsid w:val="00817E0D"/>
    <w:rsid w:val="00820051"/>
    <w:rsid w:val="00820067"/>
    <w:rsid w:val="00820069"/>
    <w:rsid w:val="00820190"/>
    <w:rsid w:val="00820562"/>
    <w:rsid w:val="008205C5"/>
    <w:rsid w:val="00820716"/>
    <w:rsid w:val="0082092E"/>
    <w:rsid w:val="00820965"/>
    <w:rsid w:val="008209C2"/>
    <w:rsid w:val="00820B09"/>
    <w:rsid w:val="00820BFA"/>
    <w:rsid w:val="00820CAC"/>
    <w:rsid w:val="00820D3D"/>
    <w:rsid w:val="00820DE5"/>
    <w:rsid w:val="00820E68"/>
    <w:rsid w:val="00820F2E"/>
    <w:rsid w:val="00821001"/>
    <w:rsid w:val="00821874"/>
    <w:rsid w:val="0082194D"/>
    <w:rsid w:val="00821B5E"/>
    <w:rsid w:val="00821C62"/>
    <w:rsid w:val="00821D6F"/>
    <w:rsid w:val="00821D74"/>
    <w:rsid w:val="00821D9F"/>
    <w:rsid w:val="0082223E"/>
    <w:rsid w:val="008224B0"/>
    <w:rsid w:val="008224E6"/>
    <w:rsid w:val="008224F7"/>
    <w:rsid w:val="00822610"/>
    <w:rsid w:val="00822855"/>
    <w:rsid w:val="0082293A"/>
    <w:rsid w:val="00822989"/>
    <w:rsid w:val="00822B65"/>
    <w:rsid w:val="00822D53"/>
    <w:rsid w:val="00822DB3"/>
    <w:rsid w:val="00822EBA"/>
    <w:rsid w:val="00822F04"/>
    <w:rsid w:val="00822F7E"/>
    <w:rsid w:val="008230D3"/>
    <w:rsid w:val="00823208"/>
    <w:rsid w:val="00823238"/>
    <w:rsid w:val="0082341D"/>
    <w:rsid w:val="008234AC"/>
    <w:rsid w:val="008234D9"/>
    <w:rsid w:val="008236A7"/>
    <w:rsid w:val="00823767"/>
    <w:rsid w:val="008237FC"/>
    <w:rsid w:val="008238C1"/>
    <w:rsid w:val="00823A66"/>
    <w:rsid w:val="00823ACA"/>
    <w:rsid w:val="00823D36"/>
    <w:rsid w:val="00823F4D"/>
    <w:rsid w:val="00823F94"/>
    <w:rsid w:val="00824158"/>
    <w:rsid w:val="00824169"/>
    <w:rsid w:val="00824429"/>
    <w:rsid w:val="0082468E"/>
    <w:rsid w:val="00824716"/>
    <w:rsid w:val="00824A51"/>
    <w:rsid w:val="00824B06"/>
    <w:rsid w:val="00824B1F"/>
    <w:rsid w:val="00824BEA"/>
    <w:rsid w:val="00824CD1"/>
    <w:rsid w:val="00824D1B"/>
    <w:rsid w:val="00824E09"/>
    <w:rsid w:val="00825048"/>
    <w:rsid w:val="008250A3"/>
    <w:rsid w:val="00825106"/>
    <w:rsid w:val="00825156"/>
    <w:rsid w:val="008253B1"/>
    <w:rsid w:val="008254B1"/>
    <w:rsid w:val="0082560F"/>
    <w:rsid w:val="00825762"/>
    <w:rsid w:val="008257B1"/>
    <w:rsid w:val="00825932"/>
    <w:rsid w:val="0082599D"/>
    <w:rsid w:val="00825D82"/>
    <w:rsid w:val="00825F2E"/>
    <w:rsid w:val="008261FA"/>
    <w:rsid w:val="008262BA"/>
    <w:rsid w:val="008262EC"/>
    <w:rsid w:val="0082650C"/>
    <w:rsid w:val="008265B6"/>
    <w:rsid w:val="008265F6"/>
    <w:rsid w:val="00826732"/>
    <w:rsid w:val="00826A9E"/>
    <w:rsid w:val="00826B85"/>
    <w:rsid w:val="00826C17"/>
    <w:rsid w:val="00826F26"/>
    <w:rsid w:val="008270C9"/>
    <w:rsid w:val="0082727F"/>
    <w:rsid w:val="008273F6"/>
    <w:rsid w:val="0082775C"/>
    <w:rsid w:val="00827788"/>
    <w:rsid w:val="00827999"/>
    <w:rsid w:val="008279A0"/>
    <w:rsid w:val="008279A8"/>
    <w:rsid w:val="008279C3"/>
    <w:rsid w:val="00827BD8"/>
    <w:rsid w:val="00827CE7"/>
    <w:rsid w:val="00827D34"/>
    <w:rsid w:val="00827DAC"/>
    <w:rsid w:val="00827FF7"/>
    <w:rsid w:val="00830049"/>
    <w:rsid w:val="00830076"/>
    <w:rsid w:val="00830144"/>
    <w:rsid w:val="008301A6"/>
    <w:rsid w:val="008301D3"/>
    <w:rsid w:val="00830569"/>
    <w:rsid w:val="008307D8"/>
    <w:rsid w:val="008308E1"/>
    <w:rsid w:val="00830980"/>
    <w:rsid w:val="008309AE"/>
    <w:rsid w:val="00830AE4"/>
    <w:rsid w:val="00830B0D"/>
    <w:rsid w:val="00830C7F"/>
    <w:rsid w:val="00830DE3"/>
    <w:rsid w:val="00830DF9"/>
    <w:rsid w:val="00830FBE"/>
    <w:rsid w:val="008310EA"/>
    <w:rsid w:val="008312BE"/>
    <w:rsid w:val="0083141A"/>
    <w:rsid w:val="0083162E"/>
    <w:rsid w:val="00831793"/>
    <w:rsid w:val="008317B4"/>
    <w:rsid w:val="008318FB"/>
    <w:rsid w:val="0083199E"/>
    <w:rsid w:val="00831A7B"/>
    <w:rsid w:val="00831D52"/>
    <w:rsid w:val="00831DBA"/>
    <w:rsid w:val="00831FBD"/>
    <w:rsid w:val="00831FEA"/>
    <w:rsid w:val="0083222B"/>
    <w:rsid w:val="0083228F"/>
    <w:rsid w:val="00832367"/>
    <w:rsid w:val="008324B9"/>
    <w:rsid w:val="0083253C"/>
    <w:rsid w:val="008326F4"/>
    <w:rsid w:val="00832796"/>
    <w:rsid w:val="008327F3"/>
    <w:rsid w:val="008328EF"/>
    <w:rsid w:val="00832ADC"/>
    <w:rsid w:val="00832C52"/>
    <w:rsid w:val="00832C81"/>
    <w:rsid w:val="00832E4F"/>
    <w:rsid w:val="00832E7C"/>
    <w:rsid w:val="00833026"/>
    <w:rsid w:val="00833111"/>
    <w:rsid w:val="0083316F"/>
    <w:rsid w:val="008331F0"/>
    <w:rsid w:val="00833260"/>
    <w:rsid w:val="0083363D"/>
    <w:rsid w:val="00833B83"/>
    <w:rsid w:val="00833C2C"/>
    <w:rsid w:val="00833C99"/>
    <w:rsid w:val="00833D73"/>
    <w:rsid w:val="00833DF1"/>
    <w:rsid w:val="00833FFF"/>
    <w:rsid w:val="00834033"/>
    <w:rsid w:val="00834243"/>
    <w:rsid w:val="00834343"/>
    <w:rsid w:val="0083442D"/>
    <w:rsid w:val="008344F6"/>
    <w:rsid w:val="00834516"/>
    <w:rsid w:val="0083460D"/>
    <w:rsid w:val="00834616"/>
    <w:rsid w:val="00834D81"/>
    <w:rsid w:val="00834DF0"/>
    <w:rsid w:val="00834E85"/>
    <w:rsid w:val="00835267"/>
    <w:rsid w:val="008352CB"/>
    <w:rsid w:val="00835411"/>
    <w:rsid w:val="00835658"/>
    <w:rsid w:val="0083571B"/>
    <w:rsid w:val="00835760"/>
    <w:rsid w:val="0083587A"/>
    <w:rsid w:val="008358AF"/>
    <w:rsid w:val="008358C7"/>
    <w:rsid w:val="00835CF2"/>
    <w:rsid w:val="00835D3C"/>
    <w:rsid w:val="00835DA7"/>
    <w:rsid w:val="00835FFF"/>
    <w:rsid w:val="008360EF"/>
    <w:rsid w:val="00836160"/>
    <w:rsid w:val="008361B4"/>
    <w:rsid w:val="0083622A"/>
    <w:rsid w:val="00836391"/>
    <w:rsid w:val="008363EE"/>
    <w:rsid w:val="008363F6"/>
    <w:rsid w:val="00836459"/>
    <w:rsid w:val="008364A2"/>
    <w:rsid w:val="008364B7"/>
    <w:rsid w:val="008367FD"/>
    <w:rsid w:val="00836874"/>
    <w:rsid w:val="008368FA"/>
    <w:rsid w:val="00836DB4"/>
    <w:rsid w:val="00836E8C"/>
    <w:rsid w:val="00836F38"/>
    <w:rsid w:val="00836F74"/>
    <w:rsid w:val="00836F89"/>
    <w:rsid w:val="00837080"/>
    <w:rsid w:val="00837134"/>
    <w:rsid w:val="00837187"/>
    <w:rsid w:val="008371AE"/>
    <w:rsid w:val="0083723B"/>
    <w:rsid w:val="008373A8"/>
    <w:rsid w:val="008374A3"/>
    <w:rsid w:val="00837873"/>
    <w:rsid w:val="00837F55"/>
    <w:rsid w:val="0084000D"/>
    <w:rsid w:val="008400E1"/>
    <w:rsid w:val="0084028B"/>
    <w:rsid w:val="0084039D"/>
    <w:rsid w:val="0084042D"/>
    <w:rsid w:val="008404EB"/>
    <w:rsid w:val="008408D8"/>
    <w:rsid w:val="008409FA"/>
    <w:rsid w:val="00840A9D"/>
    <w:rsid w:val="00840CDC"/>
    <w:rsid w:val="00841043"/>
    <w:rsid w:val="00841081"/>
    <w:rsid w:val="008410EB"/>
    <w:rsid w:val="0084114E"/>
    <w:rsid w:val="008411CC"/>
    <w:rsid w:val="0084121B"/>
    <w:rsid w:val="0084125A"/>
    <w:rsid w:val="008412FD"/>
    <w:rsid w:val="00841501"/>
    <w:rsid w:val="008416C0"/>
    <w:rsid w:val="0084180D"/>
    <w:rsid w:val="008418E8"/>
    <w:rsid w:val="00841BB6"/>
    <w:rsid w:val="00841E01"/>
    <w:rsid w:val="00841E41"/>
    <w:rsid w:val="00841ED2"/>
    <w:rsid w:val="00842066"/>
    <w:rsid w:val="0084207B"/>
    <w:rsid w:val="00842155"/>
    <w:rsid w:val="008422EB"/>
    <w:rsid w:val="00842392"/>
    <w:rsid w:val="008423C3"/>
    <w:rsid w:val="008423D2"/>
    <w:rsid w:val="008423DB"/>
    <w:rsid w:val="008424F1"/>
    <w:rsid w:val="00842634"/>
    <w:rsid w:val="008426BE"/>
    <w:rsid w:val="008426E8"/>
    <w:rsid w:val="00842722"/>
    <w:rsid w:val="008427BE"/>
    <w:rsid w:val="0084281C"/>
    <w:rsid w:val="00842977"/>
    <w:rsid w:val="00842979"/>
    <w:rsid w:val="00842B3A"/>
    <w:rsid w:val="00842B7C"/>
    <w:rsid w:val="00842CCC"/>
    <w:rsid w:val="00843062"/>
    <w:rsid w:val="008430DF"/>
    <w:rsid w:val="008431E2"/>
    <w:rsid w:val="008432AF"/>
    <w:rsid w:val="008433A4"/>
    <w:rsid w:val="00843435"/>
    <w:rsid w:val="008434D6"/>
    <w:rsid w:val="00843507"/>
    <w:rsid w:val="00843567"/>
    <w:rsid w:val="0084356E"/>
    <w:rsid w:val="008435EA"/>
    <w:rsid w:val="008437A3"/>
    <w:rsid w:val="00843A17"/>
    <w:rsid w:val="00843B11"/>
    <w:rsid w:val="00843C34"/>
    <w:rsid w:val="00843F24"/>
    <w:rsid w:val="0084409B"/>
    <w:rsid w:val="00844348"/>
    <w:rsid w:val="00844562"/>
    <w:rsid w:val="00844592"/>
    <w:rsid w:val="00844669"/>
    <w:rsid w:val="00844A2D"/>
    <w:rsid w:val="00844A53"/>
    <w:rsid w:val="00844BF0"/>
    <w:rsid w:val="00844C71"/>
    <w:rsid w:val="00844D1C"/>
    <w:rsid w:val="00844DBA"/>
    <w:rsid w:val="00844E83"/>
    <w:rsid w:val="00844FC7"/>
    <w:rsid w:val="008450CF"/>
    <w:rsid w:val="00845248"/>
    <w:rsid w:val="00845264"/>
    <w:rsid w:val="008453C2"/>
    <w:rsid w:val="008454BC"/>
    <w:rsid w:val="00845524"/>
    <w:rsid w:val="0084565B"/>
    <w:rsid w:val="008457E7"/>
    <w:rsid w:val="00845842"/>
    <w:rsid w:val="008458C6"/>
    <w:rsid w:val="008458DA"/>
    <w:rsid w:val="00845B63"/>
    <w:rsid w:val="00845E37"/>
    <w:rsid w:val="00846121"/>
    <w:rsid w:val="008461C5"/>
    <w:rsid w:val="008462D7"/>
    <w:rsid w:val="00846511"/>
    <w:rsid w:val="00846562"/>
    <w:rsid w:val="0084658C"/>
    <w:rsid w:val="00846608"/>
    <w:rsid w:val="00846726"/>
    <w:rsid w:val="0084685E"/>
    <w:rsid w:val="00846942"/>
    <w:rsid w:val="00846958"/>
    <w:rsid w:val="0084699C"/>
    <w:rsid w:val="008469D5"/>
    <w:rsid w:val="00846A8F"/>
    <w:rsid w:val="00846C7A"/>
    <w:rsid w:val="00846EE7"/>
    <w:rsid w:val="008471E1"/>
    <w:rsid w:val="00847241"/>
    <w:rsid w:val="008472E3"/>
    <w:rsid w:val="008474DF"/>
    <w:rsid w:val="0084776E"/>
    <w:rsid w:val="0084781F"/>
    <w:rsid w:val="0084785C"/>
    <w:rsid w:val="00847946"/>
    <w:rsid w:val="0084796D"/>
    <w:rsid w:val="00847B24"/>
    <w:rsid w:val="00847B61"/>
    <w:rsid w:val="00847E17"/>
    <w:rsid w:val="00847E44"/>
    <w:rsid w:val="00847FC7"/>
    <w:rsid w:val="00850149"/>
    <w:rsid w:val="00850219"/>
    <w:rsid w:val="00850386"/>
    <w:rsid w:val="00850414"/>
    <w:rsid w:val="00850451"/>
    <w:rsid w:val="008504EB"/>
    <w:rsid w:val="008505E9"/>
    <w:rsid w:val="00850649"/>
    <w:rsid w:val="008506AD"/>
    <w:rsid w:val="0085077E"/>
    <w:rsid w:val="0085079F"/>
    <w:rsid w:val="00850ABC"/>
    <w:rsid w:val="00850B5C"/>
    <w:rsid w:val="00850BD4"/>
    <w:rsid w:val="008510C0"/>
    <w:rsid w:val="00851157"/>
    <w:rsid w:val="008511BA"/>
    <w:rsid w:val="00851302"/>
    <w:rsid w:val="00851317"/>
    <w:rsid w:val="00851439"/>
    <w:rsid w:val="0085145D"/>
    <w:rsid w:val="00851710"/>
    <w:rsid w:val="00851825"/>
    <w:rsid w:val="00851847"/>
    <w:rsid w:val="00851928"/>
    <w:rsid w:val="00851AF8"/>
    <w:rsid w:val="00851D0A"/>
    <w:rsid w:val="0085206A"/>
    <w:rsid w:val="008520AA"/>
    <w:rsid w:val="00852111"/>
    <w:rsid w:val="00852144"/>
    <w:rsid w:val="008521EF"/>
    <w:rsid w:val="00852222"/>
    <w:rsid w:val="00852251"/>
    <w:rsid w:val="008522BA"/>
    <w:rsid w:val="00852435"/>
    <w:rsid w:val="00852687"/>
    <w:rsid w:val="00852988"/>
    <w:rsid w:val="008529C8"/>
    <w:rsid w:val="00852A1E"/>
    <w:rsid w:val="00852A6D"/>
    <w:rsid w:val="00852BC5"/>
    <w:rsid w:val="00852CB1"/>
    <w:rsid w:val="00852F30"/>
    <w:rsid w:val="00852FAA"/>
    <w:rsid w:val="00853191"/>
    <w:rsid w:val="008531D1"/>
    <w:rsid w:val="00853266"/>
    <w:rsid w:val="00853269"/>
    <w:rsid w:val="008532E5"/>
    <w:rsid w:val="00853526"/>
    <w:rsid w:val="00853624"/>
    <w:rsid w:val="00853839"/>
    <w:rsid w:val="00853894"/>
    <w:rsid w:val="00853935"/>
    <w:rsid w:val="00853A71"/>
    <w:rsid w:val="00853AE8"/>
    <w:rsid w:val="00853B82"/>
    <w:rsid w:val="00853C19"/>
    <w:rsid w:val="00853DE1"/>
    <w:rsid w:val="00853E10"/>
    <w:rsid w:val="00853ED4"/>
    <w:rsid w:val="0085409C"/>
    <w:rsid w:val="0085417B"/>
    <w:rsid w:val="0085418C"/>
    <w:rsid w:val="008542BA"/>
    <w:rsid w:val="008546C3"/>
    <w:rsid w:val="008548A9"/>
    <w:rsid w:val="008549D6"/>
    <w:rsid w:val="008549E4"/>
    <w:rsid w:val="00854D9B"/>
    <w:rsid w:val="00854E3D"/>
    <w:rsid w:val="00854F1A"/>
    <w:rsid w:val="008551AF"/>
    <w:rsid w:val="00855355"/>
    <w:rsid w:val="0085535F"/>
    <w:rsid w:val="00855378"/>
    <w:rsid w:val="00855618"/>
    <w:rsid w:val="00855650"/>
    <w:rsid w:val="008556F4"/>
    <w:rsid w:val="00855828"/>
    <w:rsid w:val="00855857"/>
    <w:rsid w:val="00855902"/>
    <w:rsid w:val="00855AA2"/>
    <w:rsid w:val="00855D9A"/>
    <w:rsid w:val="00855E0A"/>
    <w:rsid w:val="00855FBD"/>
    <w:rsid w:val="00856119"/>
    <w:rsid w:val="00856254"/>
    <w:rsid w:val="0085634B"/>
    <w:rsid w:val="008563AD"/>
    <w:rsid w:val="008563CD"/>
    <w:rsid w:val="0085665D"/>
    <w:rsid w:val="0085677F"/>
    <w:rsid w:val="00856812"/>
    <w:rsid w:val="00856994"/>
    <w:rsid w:val="00856A1F"/>
    <w:rsid w:val="00856BC2"/>
    <w:rsid w:val="00856C44"/>
    <w:rsid w:val="00856C6D"/>
    <w:rsid w:val="00856C88"/>
    <w:rsid w:val="00856D05"/>
    <w:rsid w:val="00856E11"/>
    <w:rsid w:val="00857014"/>
    <w:rsid w:val="00857100"/>
    <w:rsid w:val="00857211"/>
    <w:rsid w:val="00857384"/>
    <w:rsid w:val="00857440"/>
    <w:rsid w:val="008574A9"/>
    <w:rsid w:val="008574DD"/>
    <w:rsid w:val="008575CD"/>
    <w:rsid w:val="00857828"/>
    <w:rsid w:val="008578D4"/>
    <w:rsid w:val="00857969"/>
    <w:rsid w:val="00857B33"/>
    <w:rsid w:val="00857DE6"/>
    <w:rsid w:val="00857EB4"/>
    <w:rsid w:val="00857F07"/>
    <w:rsid w:val="0086012D"/>
    <w:rsid w:val="00860314"/>
    <w:rsid w:val="00860340"/>
    <w:rsid w:val="00860437"/>
    <w:rsid w:val="0086055B"/>
    <w:rsid w:val="00860703"/>
    <w:rsid w:val="008608E9"/>
    <w:rsid w:val="008609A9"/>
    <w:rsid w:val="008609AE"/>
    <w:rsid w:val="00860A29"/>
    <w:rsid w:val="00860DDE"/>
    <w:rsid w:val="00860EB9"/>
    <w:rsid w:val="00860F3E"/>
    <w:rsid w:val="00860FF7"/>
    <w:rsid w:val="008612A3"/>
    <w:rsid w:val="008613E6"/>
    <w:rsid w:val="008615A3"/>
    <w:rsid w:val="008615CD"/>
    <w:rsid w:val="0086170C"/>
    <w:rsid w:val="00861797"/>
    <w:rsid w:val="0086191D"/>
    <w:rsid w:val="00861A40"/>
    <w:rsid w:val="00861ADB"/>
    <w:rsid w:val="00861B14"/>
    <w:rsid w:val="00861E5B"/>
    <w:rsid w:val="00861E80"/>
    <w:rsid w:val="00861FDF"/>
    <w:rsid w:val="008621BF"/>
    <w:rsid w:val="008622BE"/>
    <w:rsid w:val="0086253E"/>
    <w:rsid w:val="00862844"/>
    <w:rsid w:val="00862885"/>
    <w:rsid w:val="008628D5"/>
    <w:rsid w:val="008628F1"/>
    <w:rsid w:val="00862ABF"/>
    <w:rsid w:val="00862BDB"/>
    <w:rsid w:val="00862C12"/>
    <w:rsid w:val="00862FBB"/>
    <w:rsid w:val="00862FF0"/>
    <w:rsid w:val="0086302E"/>
    <w:rsid w:val="0086330C"/>
    <w:rsid w:val="008635A0"/>
    <w:rsid w:val="0086360F"/>
    <w:rsid w:val="00863852"/>
    <w:rsid w:val="00863980"/>
    <w:rsid w:val="00863A58"/>
    <w:rsid w:val="00863A81"/>
    <w:rsid w:val="00863BF7"/>
    <w:rsid w:val="00863CC9"/>
    <w:rsid w:val="00863D40"/>
    <w:rsid w:val="00863D5E"/>
    <w:rsid w:val="00863E0E"/>
    <w:rsid w:val="00863FEF"/>
    <w:rsid w:val="008641D0"/>
    <w:rsid w:val="008644D0"/>
    <w:rsid w:val="00864542"/>
    <w:rsid w:val="008647EE"/>
    <w:rsid w:val="008649F4"/>
    <w:rsid w:val="00864BDF"/>
    <w:rsid w:val="00864D47"/>
    <w:rsid w:val="00864E83"/>
    <w:rsid w:val="00864F3A"/>
    <w:rsid w:val="00864F92"/>
    <w:rsid w:val="0086518F"/>
    <w:rsid w:val="00865250"/>
    <w:rsid w:val="008652BE"/>
    <w:rsid w:val="0086543C"/>
    <w:rsid w:val="00865588"/>
    <w:rsid w:val="00865590"/>
    <w:rsid w:val="00865685"/>
    <w:rsid w:val="008656E5"/>
    <w:rsid w:val="008658E0"/>
    <w:rsid w:val="008659AD"/>
    <w:rsid w:val="00865C39"/>
    <w:rsid w:val="00865D56"/>
    <w:rsid w:val="00865E49"/>
    <w:rsid w:val="00865EE6"/>
    <w:rsid w:val="008661F2"/>
    <w:rsid w:val="00866336"/>
    <w:rsid w:val="0086634D"/>
    <w:rsid w:val="008663DA"/>
    <w:rsid w:val="00866642"/>
    <w:rsid w:val="00866840"/>
    <w:rsid w:val="00866A2D"/>
    <w:rsid w:val="00866C09"/>
    <w:rsid w:val="00866DD9"/>
    <w:rsid w:val="00866EB5"/>
    <w:rsid w:val="00866FA5"/>
    <w:rsid w:val="008672CB"/>
    <w:rsid w:val="00867625"/>
    <w:rsid w:val="00867971"/>
    <w:rsid w:val="00867B46"/>
    <w:rsid w:val="00867CD5"/>
    <w:rsid w:val="00867D14"/>
    <w:rsid w:val="00867D89"/>
    <w:rsid w:val="00867DAE"/>
    <w:rsid w:val="00867E82"/>
    <w:rsid w:val="00867EB0"/>
    <w:rsid w:val="00867FD7"/>
    <w:rsid w:val="008700DE"/>
    <w:rsid w:val="008700E7"/>
    <w:rsid w:val="00870204"/>
    <w:rsid w:val="0087034F"/>
    <w:rsid w:val="0087038A"/>
    <w:rsid w:val="00870508"/>
    <w:rsid w:val="00870552"/>
    <w:rsid w:val="00870564"/>
    <w:rsid w:val="00870579"/>
    <w:rsid w:val="008705B2"/>
    <w:rsid w:val="008705BE"/>
    <w:rsid w:val="00870630"/>
    <w:rsid w:val="008707C3"/>
    <w:rsid w:val="00870AE5"/>
    <w:rsid w:val="00870D67"/>
    <w:rsid w:val="00870E46"/>
    <w:rsid w:val="00870F6E"/>
    <w:rsid w:val="00870F84"/>
    <w:rsid w:val="00870F99"/>
    <w:rsid w:val="00870F9F"/>
    <w:rsid w:val="00871107"/>
    <w:rsid w:val="00871137"/>
    <w:rsid w:val="008712B9"/>
    <w:rsid w:val="00871490"/>
    <w:rsid w:val="00871535"/>
    <w:rsid w:val="00871604"/>
    <w:rsid w:val="0087173E"/>
    <w:rsid w:val="00871AB3"/>
    <w:rsid w:val="00871CF3"/>
    <w:rsid w:val="00871DD2"/>
    <w:rsid w:val="00871F65"/>
    <w:rsid w:val="00871FF0"/>
    <w:rsid w:val="00872060"/>
    <w:rsid w:val="008720C6"/>
    <w:rsid w:val="0087226B"/>
    <w:rsid w:val="008722E1"/>
    <w:rsid w:val="00872358"/>
    <w:rsid w:val="0087256D"/>
    <w:rsid w:val="008725D8"/>
    <w:rsid w:val="00872675"/>
    <w:rsid w:val="0087291F"/>
    <w:rsid w:val="00872A9D"/>
    <w:rsid w:val="00872B24"/>
    <w:rsid w:val="00872D3B"/>
    <w:rsid w:val="00872ED1"/>
    <w:rsid w:val="00872EE0"/>
    <w:rsid w:val="00872F7F"/>
    <w:rsid w:val="00872FEE"/>
    <w:rsid w:val="008730C0"/>
    <w:rsid w:val="00873322"/>
    <w:rsid w:val="0087332C"/>
    <w:rsid w:val="008734E2"/>
    <w:rsid w:val="0087350F"/>
    <w:rsid w:val="00873524"/>
    <w:rsid w:val="008735CF"/>
    <w:rsid w:val="00873706"/>
    <w:rsid w:val="008739A1"/>
    <w:rsid w:val="00873D2F"/>
    <w:rsid w:val="00873E01"/>
    <w:rsid w:val="00873E08"/>
    <w:rsid w:val="00873F51"/>
    <w:rsid w:val="008740C4"/>
    <w:rsid w:val="00874214"/>
    <w:rsid w:val="00874307"/>
    <w:rsid w:val="00874320"/>
    <w:rsid w:val="008746CC"/>
    <w:rsid w:val="008748DA"/>
    <w:rsid w:val="00874D53"/>
    <w:rsid w:val="00874D96"/>
    <w:rsid w:val="00874E62"/>
    <w:rsid w:val="008752DE"/>
    <w:rsid w:val="008753EA"/>
    <w:rsid w:val="0087555D"/>
    <w:rsid w:val="0087563F"/>
    <w:rsid w:val="00875708"/>
    <w:rsid w:val="0087570E"/>
    <w:rsid w:val="00875762"/>
    <w:rsid w:val="0087578B"/>
    <w:rsid w:val="00875832"/>
    <w:rsid w:val="008759A4"/>
    <w:rsid w:val="00875AAB"/>
    <w:rsid w:val="00875BB1"/>
    <w:rsid w:val="0087627E"/>
    <w:rsid w:val="008764FC"/>
    <w:rsid w:val="0087652F"/>
    <w:rsid w:val="0087653D"/>
    <w:rsid w:val="00876907"/>
    <w:rsid w:val="00876A15"/>
    <w:rsid w:val="00876B28"/>
    <w:rsid w:val="00876C95"/>
    <w:rsid w:val="00876FF9"/>
    <w:rsid w:val="0087708A"/>
    <w:rsid w:val="008770CC"/>
    <w:rsid w:val="0087715D"/>
    <w:rsid w:val="00877237"/>
    <w:rsid w:val="0087739A"/>
    <w:rsid w:val="008774D7"/>
    <w:rsid w:val="00877505"/>
    <w:rsid w:val="00877A18"/>
    <w:rsid w:val="00877B42"/>
    <w:rsid w:val="00877E1F"/>
    <w:rsid w:val="00877E7F"/>
    <w:rsid w:val="0088013D"/>
    <w:rsid w:val="00880178"/>
    <w:rsid w:val="00880186"/>
    <w:rsid w:val="00880211"/>
    <w:rsid w:val="008802AC"/>
    <w:rsid w:val="008802AD"/>
    <w:rsid w:val="00880437"/>
    <w:rsid w:val="008806B7"/>
    <w:rsid w:val="008808AF"/>
    <w:rsid w:val="008808B4"/>
    <w:rsid w:val="00880931"/>
    <w:rsid w:val="00880AC2"/>
    <w:rsid w:val="00880D77"/>
    <w:rsid w:val="00880E33"/>
    <w:rsid w:val="00880E38"/>
    <w:rsid w:val="00880E55"/>
    <w:rsid w:val="0088113E"/>
    <w:rsid w:val="0088140F"/>
    <w:rsid w:val="008815B2"/>
    <w:rsid w:val="00881870"/>
    <w:rsid w:val="008818BD"/>
    <w:rsid w:val="0088194F"/>
    <w:rsid w:val="00881A5C"/>
    <w:rsid w:val="00881B39"/>
    <w:rsid w:val="00881C0B"/>
    <w:rsid w:val="00881C4F"/>
    <w:rsid w:val="00881F62"/>
    <w:rsid w:val="00881FC2"/>
    <w:rsid w:val="0088213E"/>
    <w:rsid w:val="00882196"/>
    <w:rsid w:val="0088220A"/>
    <w:rsid w:val="008823E0"/>
    <w:rsid w:val="00882475"/>
    <w:rsid w:val="008824C0"/>
    <w:rsid w:val="0088256D"/>
    <w:rsid w:val="00882727"/>
    <w:rsid w:val="008827A9"/>
    <w:rsid w:val="008827FE"/>
    <w:rsid w:val="00882956"/>
    <w:rsid w:val="00882A58"/>
    <w:rsid w:val="00882BBF"/>
    <w:rsid w:val="00882C54"/>
    <w:rsid w:val="008830A8"/>
    <w:rsid w:val="00883170"/>
    <w:rsid w:val="008831DB"/>
    <w:rsid w:val="0088323A"/>
    <w:rsid w:val="00883404"/>
    <w:rsid w:val="00883470"/>
    <w:rsid w:val="00883481"/>
    <w:rsid w:val="00883572"/>
    <w:rsid w:val="0088372C"/>
    <w:rsid w:val="00883763"/>
    <w:rsid w:val="008837EA"/>
    <w:rsid w:val="0088380C"/>
    <w:rsid w:val="008838AC"/>
    <w:rsid w:val="0088390F"/>
    <w:rsid w:val="0088398C"/>
    <w:rsid w:val="00883994"/>
    <w:rsid w:val="00883A5B"/>
    <w:rsid w:val="00883B01"/>
    <w:rsid w:val="00883C69"/>
    <w:rsid w:val="00883CA9"/>
    <w:rsid w:val="00883D36"/>
    <w:rsid w:val="00883D4C"/>
    <w:rsid w:val="00883E47"/>
    <w:rsid w:val="00883FAB"/>
    <w:rsid w:val="00884293"/>
    <w:rsid w:val="008843F1"/>
    <w:rsid w:val="008844E4"/>
    <w:rsid w:val="00884503"/>
    <w:rsid w:val="00884548"/>
    <w:rsid w:val="008845E2"/>
    <w:rsid w:val="008848E8"/>
    <w:rsid w:val="00884B85"/>
    <w:rsid w:val="00884C02"/>
    <w:rsid w:val="00884DFC"/>
    <w:rsid w:val="00884EED"/>
    <w:rsid w:val="00884F41"/>
    <w:rsid w:val="0088501F"/>
    <w:rsid w:val="00885363"/>
    <w:rsid w:val="00885383"/>
    <w:rsid w:val="008855CF"/>
    <w:rsid w:val="008855E1"/>
    <w:rsid w:val="0088567D"/>
    <w:rsid w:val="00885781"/>
    <w:rsid w:val="008858B8"/>
    <w:rsid w:val="00885B31"/>
    <w:rsid w:val="00885B33"/>
    <w:rsid w:val="00885D7B"/>
    <w:rsid w:val="00885DBA"/>
    <w:rsid w:val="00885E2C"/>
    <w:rsid w:val="00885F0A"/>
    <w:rsid w:val="00886049"/>
    <w:rsid w:val="00886129"/>
    <w:rsid w:val="00886204"/>
    <w:rsid w:val="00886249"/>
    <w:rsid w:val="008862D8"/>
    <w:rsid w:val="00886375"/>
    <w:rsid w:val="008863B0"/>
    <w:rsid w:val="008863C6"/>
    <w:rsid w:val="008863E8"/>
    <w:rsid w:val="00886583"/>
    <w:rsid w:val="00886832"/>
    <w:rsid w:val="0088697B"/>
    <w:rsid w:val="0088698F"/>
    <w:rsid w:val="00886AB7"/>
    <w:rsid w:val="00886B19"/>
    <w:rsid w:val="00886C6D"/>
    <w:rsid w:val="00886D6C"/>
    <w:rsid w:val="00886DC5"/>
    <w:rsid w:val="00886DCC"/>
    <w:rsid w:val="00886F1F"/>
    <w:rsid w:val="00886F2C"/>
    <w:rsid w:val="00886FAF"/>
    <w:rsid w:val="008870F8"/>
    <w:rsid w:val="008872ED"/>
    <w:rsid w:val="008872F5"/>
    <w:rsid w:val="00887320"/>
    <w:rsid w:val="00887413"/>
    <w:rsid w:val="008878DD"/>
    <w:rsid w:val="00887A01"/>
    <w:rsid w:val="00887A58"/>
    <w:rsid w:val="00887D03"/>
    <w:rsid w:val="00887E1E"/>
    <w:rsid w:val="00887E2F"/>
    <w:rsid w:val="00887EC1"/>
    <w:rsid w:val="00887EFC"/>
    <w:rsid w:val="00887F59"/>
    <w:rsid w:val="00890068"/>
    <w:rsid w:val="00890279"/>
    <w:rsid w:val="0089038A"/>
    <w:rsid w:val="00890948"/>
    <w:rsid w:val="008909C2"/>
    <w:rsid w:val="00890AC0"/>
    <w:rsid w:val="00890CFC"/>
    <w:rsid w:val="00890DDA"/>
    <w:rsid w:val="0089111F"/>
    <w:rsid w:val="0089130A"/>
    <w:rsid w:val="008914E9"/>
    <w:rsid w:val="00891778"/>
    <w:rsid w:val="0089186A"/>
    <w:rsid w:val="0089190D"/>
    <w:rsid w:val="0089191E"/>
    <w:rsid w:val="00891A07"/>
    <w:rsid w:val="00891AF3"/>
    <w:rsid w:val="00891CA2"/>
    <w:rsid w:val="00891CBB"/>
    <w:rsid w:val="008920AE"/>
    <w:rsid w:val="00892192"/>
    <w:rsid w:val="0089222C"/>
    <w:rsid w:val="0089222D"/>
    <w:rsid w:val="008922D1"/>
    <w:rsid w:val="008924C5"/>
    <w:rsid w:val="008924DB"/>
    <w:rsid w:val="008924FA"/>
    <w:rsid w:val="008927DD"/>
    <w:rsid w:val="0089284B"/>
    <w:rsid w:val="008928E7"/>
    <w:rsid w:val="00892C42"/>
    <w:rsid w:val="00892CFC"/>
    <w:rsid w:val="00892EC8"/>
    <w:rsid w:val="00892FA1"/>
    <w:rsid w:val="00892FD9"/>
    <w:rsid w:val="0089319C"/>
    <w:rsid w:val="00893325"/>
    <w:rsid w:val="00893407"/>
    <w:rsid w:val="00893487"/>
    <w:rsid w:val="00893619"/>
    <w:rsid w:val="0089366B"/>
    <w:rsid w:val="00893684"/>
    <w:rsid w:val="0089370C"/>
    <w:rsid w:val="008938D7"/>
    <w:rsid w:val="008939B7"/>
    <w:rsid w:val="00893B1D"/>
    <w:rsid w:val="00893BD1"/>
    <w:rsid w:val="00893C68"/>
    <w:rsid w:val="00893DBF"/>
    <w:rsid w:val="00893DC2"/>
    <w:rsid w:val="0089428B"/>
    <w:rsid w:val="0089431D"/>
    <w:rsid w:val="0089441E"/>
    <w:rsid w:val="00894486"/>
    <w:rsid w:val="008945E3"/>
    <w:rsid w:val="00894627"/>
    <w:rsid w:val="008947EE"/>
    <w:rsid w:val="00894A0C"/>
    <w:rsid w:val="00894A5F"/>
    <w:rsid w:val="00894ABC"/>
    <w:rsid w:val="00894D28"/>
    <w:rsid w:val="00894DAD"/>
    <w:rsid w:val="00894EBD"/>
    <w:rsid w:val="00894EFA"/>
    <w:rsid w:val="008952C4"/>
    <w:rsid w:val="0089535F"/>
    <w:rsid w:val="0089545F"/>
    <w:rsid w:val="008954BE"/>
    <w:rsid w:val="00895632"/>
    <w:rsid w:val="00895770"/>
    <w:rsid w:val="0089578F"/>
    <w:rsid w:val="00895857"/>
    <w:rsid w:val="008958BD"/>
    <w:rsid w:val="00895988"/>
    <w:rsid w:val="008959E7"/>
    <w:rsid w:val="00895A8C"/>
    <w:rsid w:val="00895C25"/>
    <w:rsid w:val="00895CE0"/>
    <w:rsid w:val="00895D56"/>
    <w:rsid w:val="00895DE7"/>
    <w:rsid w:val="008965C0"/>
    <w:rsid w:val="00896698"/>
    <w:rsid w:val="00896A26"/>
    <w:rsid w:val="00896B08"/>
    <w:rsid w:val="00896E6F"/>
    <w:rsid w:val="00896FEA"/>
    <w:rsid w:val="00897000"/>
    <w:rsid w:val="00897492"/>
    <w:rsid w:val="008975E4"/>
    <w:rsid w:val="00897687"/>
    <w:rsid w:val="008976F5"/>
    <w:rsid w:val="008977E0"/>
    <w:rsid w:val="00897823"/>
    <w:rsid w:val="00897953"/>
    <w:rsid w:val="00897A8A"/>
    <w:rsid w:val="00897D13"/>
    <w:rsid w:val="00897E12"/>
    <w:rsid w:val="00897E32"/>
    <w:rsid w:val="00897F06"/>
    <w:rsid w:val="00897F64"/>
    <w:rsid w:val="008A0145"/>
    <w:rsid w:val="008A01D1"/>
    <w:rsid w:val="008A027B"/>
    <w:rsid w:val="008A0314"/>
    <w:rsid w:val="008A03C2"/>
    <w:rsid w:val="008A03ED"/>
    <w:rsid w:val="008A088B"/>
    <w:rsid w:val="008A08BC"/>
    <w:rsid w:val="008A094F"/>
    <w:rsid w:val="008A0A91"/>
    <w:rsid w:val="008A0AA2"/>
    <w:rsid w:val="008A0B78"/>
    <w:rsid w:val="008A0BC3"/>
    <w:rsid w:val="008A0BFD"/>
    <w:rsid w:val="008A0F4C"/>
    <w:rsid w:val="008A1064"/>
    <w:rsid w:val="008A10C5"/>
    <w:rsid w:val="008A1109"/>
    <w:rsid w:val="008A1187"/>
    <w:rsid w:val="008A1343"/>
    <w:rsid w:val="008A14E4"/>
    <w:rsid w:val="008A1558"/>
    <w:rsid w:val="008A1564"/>
    <w:rsid w:val="008A1896"/>
    <w:rsid w:val="008A1AFF"/>
    <w:rsid w:val="008A1B42"/>
    <w:rsid w:val="008A1B7C"/>
    <w:rsid w:val="008A1B94"/>
    <w:rsid w:val="008A1C7A"/>
    <w:rsid w:val="008A217E"/>
    <w:rsid w:val="008A231E"/>
    <w:rsid w:val="008A23C3"/>
    <w:rsid w:val="008A2638"/>
    <w:rsid w:val="008A2748"/>
    <w:rsid w:val="008A2893"/>
    <w:rsid w:val="008A2967"/>
    <w:rsid w:val="008A2E13"/>
    <w:rsid w:val="008A3107"/>
    <w:rsid w:val="008A3269"/>
    <w:rsid w:val="008A330F"/>
    <w:rsid w:val="008A344F"/>
    <w:rsid w:val="008A3564"/>
    <w:rsid w:val="008A35E7"/>
    <w:rsid w:val="008A391E"/>
    <w:rsid w:val="008A3B13"/>
    <w:rsid w:val="008A3B9B"/>
    <w:rsid w:val="008A3C0E"/>
    <w:rsid w:val="008A3C22"/>
    <w:rsid w:val="008A3C33"/>
    <w:rsid w:val="008A3CFB"/>
    <w:rsid w:val="008A3E27"/>
    <w:rsid w:val="008A3E69"/>
    <w:rsid w:val="008A4083"/>
    <w:rsid w:val="008A41EB"/>
    <w:rsid w:val="008A4215"/>
    <w:rsid w:val="008A44B4"/>
    <w:rsid w:val="008A4660"/>
    <w:rsid w:val="008A495A"/>
    <w:rsid w:val="008A4B6C"/>
    <w:rsid w:val="008A4CA5"/>
    <w:rsid w:val="008A4D43"/>
    <w:rsid w:val="008A4E18"/>
    <w:rsid w:val="008A5053"/>
    <w:rsid w:val="008A5206"/>
    <w:rsid w:val="008A52FA"/>
    <w:rsid w:val="008A5462"/>
    <w:rsid w:val="008A5604"/>
    <w:rsid w:val="008A56F8"/>
    <w:rsid w:val="008A5854"/>
    <w:rsid w:val="008A5A1A"/>
    <w:rsid w:val="008A5B87"/>
    <w:rsid w:val="008A5CDD"/>
    <w:rsid w:val="008A5D03"/>
    <w:rsid w:val="008A5D63"/>
    <w:rsid w:val="008A5F36"/>
    <w:rsid w:val="008A6054"/>
    <w:rsid w:val="008A607D"/>
    <w:rsid w:val="008A60CC"/>
    <w:rsid w:val="008A6286"/>
    <w:rsid w:val="008A648B"/>
    <w:rsid w:val="008A65CF"/>
    <w:rsid w:val="008A677E"/>
    <w:rsid w:val="008A69BF"/>
    <w:rsid w:val="008A6B49"/>
    <w:rsid w:val="008A6B67"/>
    <w:rsid w:val="008A6B7F"/>
    <w:rsid w:val="008A6B82"/>
    <w:rsid w:val="008A6D71"/>
    <w:rsid w:val="008A6E6F"/>
    <w:rsid w:val="008A70AF"/>
    <w:rsid w:val="008A71FA"/>
    <w:rsid w:val="008A7336"/>
    <w:rsid w:val="008A749B"/>
    <w:rsid w:val="008A76EE"/>
    <w:rsid w:val="008A7752"/>
    <w:rsid w:val="008A799A"/>
    <w:rsid w:val="008A7B11"/>
    <w:rsid w:val="008A7BF9"/>
    <w:rsid w:val="008A7C2B"/>
    <w:rsid w:val="008A7D29"/>
    <w:rsid w:val="008A7EC0"/>
    <w:rsid w:val="008A7EE8"/>
    <w:rsid w:val="008A7F43"/>
    <w:rsid w:val="008B003D"/>
    <w:rsid w:val="008B00C9"/>
    <w:rsid w:val="008B01AF"/>
    <w:rsid w:val="008B0203"/>
    <w:rsid w:val="008B0295"/>
    <w:rsid w:val="008B031D"/>
    <w:rsid w:val="008B035C"/>
    <w:rsid w:val="008B0482"/>
    <w:rsid w:val="008B04BA"/>
    <w:rsid w:val="008B0692"/>
    <w:rsid w:val="008B071E"/>
    <w:rsid w:val="008B0741"/>
    <w:rsid w:val="008B0910"/>
    <w:rsid w:val="008B09D9"/>
    <w:rsid w:val="008B0A2B"/>
    <w:rsid w:val="008B0AAE"/>
    <w:rsid w:val="008B0AB2"/>
    <w:rsid w:val="008B0BDF"/>
    <w:rsid w:val="008B0CE9"/>
    <w:rsid w:val="008B0D3D"/>
    <w:rsid w:val="008B0D54"/>
    <w:rsid w:val="008B0D73"/>
    <w:rsid w:val="008B0DE5"/>
    <w:rsid w:val="008B0EA6"/>
    <w:rsid w:val="008B1396"/>
    <w:rsid w:val="008B13A5"/>
    <w:rsid w:val="008B13BB"/>
    <w:rsid w:val="008B1499"/>
    <w:rsid w:val="008B1502"/>
    <w:rsid w:val="008B15F6"/>
    <w:rsid w:val="008B1C66"/>
    <w:rsid w:val="008B1E5C"/>
    <w:rsid w:val="008B1E78"/>
    <w:rsid w:val="008B2153"/>
    <w:rsid w:val="008B239F"/>
    <w:rsid w:val="008B24AB"/>
    <w:rsid w:val="008B2A82"/>
    <w:rsid w:val="008B2BAB"/>
    <w:rsid w:val="008B2C66"/>
    <w:rsid w:val="008B2D73"/>
    <w:rsid w:val="008B2D77"/>
    <w:rsid w:val="008B2E56"/>
    <w:rsid w:val="008B30BD"/>
    <w:rsid w:val="008B33E4"/>
    <w:rsid w:val="008B3670"/>
    <w:rsid w:val="008B3719"/>
    <w:rsid w:val="008B3787"/>
    <w:rsid w:val="008B382D"/>
    <w:rsid w:val="008B3A58"/>
    <w:rsid w:val="008B3B26"/>
    <w:rsid w:val="008B3B27"/>
    <w:rsid w:val="008B3B67"/>
    <w:rsid w:val="008B3D78"/>
    <w:rsid w:val="008B3E7B"/>
    <w:rsid w:val="008B3EA0"/>
    <w:rsid w:val="008B3F93"/>
    <w:rsid w:val="008B40F5"/>
    <w:rsid w:val="008B411A"/>
    <w:rsid w:val="008B4330"/>
    <w:rsid w:val="008B4373"/>
    <w:rsid w:val="008B44CF"/>
    <w:rsid w:val="008B4586"/>
    <w:rsid w:val="008B4A37"/>
    <w:rsid w:val="008B4AFD"/>
    <w:rsid w:val="008B4C99"/>
    <w:rsid w:val="008B4CAC"/>
    <w:rsid w:val="008B4EDF"/>
    <w:rsid w:val="008B4EF8"/>
    <w:rsid w:val="008B4F63"/>
    <w:rsid w:val="008B506B"/>
    <w:rsid w:val="008B5130"/>
    <w:rsid w:val="008B530F"/>
    <w:rsid w:val="008B5311"/>
    <w:rsid w:val="008B5372"/>
    <w:rsid w:val="008B5379"/>
    <w:rsid w:val="008B55CD"/>
    <w:rsid w:val="008B5724"/>
    <w:rsid w:val="008B5775"/>
    <w:rsid w:val="008B5AAB"/>
    <w:rsid w:val="008B5B19"/>
    <w:rsid w:val="008B5C3F"/>
    <w:rsid w:val="008B5EA2"/>
    <w:rsid w:val="008B5F1C"/>
    <w:rsid w:val="008B5F73"/>
    <w:rsid w:val="008B613E"/>
    <w:rsid w:val="008B6271"/>
    <w:rsid w:val="008B638E"/>
    <w:rsid w:val="008B6464"/>
    <w:rsid w:val="008B65A2"/>
    <w:rsid w:val="008B65CF"/>
    <w:rsid w:val="008B6794"/>
    <w:rsid w:val="008B6B54"/>
    <w:rsid w:val="008B6D61"/>
    <w:rsid w:val="008B6F79"/>
    <w:rsid w:val="008B718C"/>
    <w:rsid w:val="008B7290"/>
    <w:rsid w:val="008B72D9"/>
    <w:rsid w:val="008B73B6"/>
    <w:rsid w:val="008B7464"/>
    <w:rsid w:val="008B77F2"/>
    <w:rsid w:val="008B783A"/>
    <w:rsid w:val="008B78E6"/>
    <w:rsid w:val="008B7E53"/>
    <w:rsid w:val="008B7F10"/>
    <w:rsid w:val="008B7F3A"/>
    <w:rsid w:val="008C00A8"/>
    <w:rsid w:val="008C014B"/>
    <w:rsid w:val="008C0160"/>
    <w:rsid w:val="008C0361"/>
    <w:rsid w:val="008C04CE"/>
    <w:rsid w:val="008C08AE"/>
    <w:rsid w:val="008C08CA"/>
    <w:rsid w:val="008C098C"/>
    <w:rsid w:val="008C099E"/>
    <w:rsid w:val="008C0A48"/>
    <w:rsid w:val="008C0B72"/>
    <w:rsid w:val="008C0C34"/>
    <w:rsid w:val="008C0CF4"/>
    <w:rsid w:val="008C0DB0"/>
    <w:rsid w:val="008C0DF3"/>
    <w:rsid w:val="008C105D"/>
    <w:rsid w:val="008C15E9"/>
    <w:rsid w:val="008C1653"/>
    <w:rsid w:val="008C17FF"/>
    <w:rsid w:val="008C18BB"/>
    <w:rsid w:val="008C1959"/>
    <w:rsid w:val="008C197B"/>
    <w:rsid w:val="008C1A2D"/>
    <w:rsid w:val="008C1A91"/>
    <w:rsid w:val="008C1AE1"/>
    <w:rsid w:val="008C1DE8"/>
    <w:rsid w:val="008C1E49"/>
    <w:rsid w:val="008C1EDF"/>
    <w:rsid w:val="008C1F3D"/>
    <w:rsid w:val="008C2275"/>
    <w:rsid w:val="008C24F7"/>
    <w:rsid w:val="008C24FD"/>
    <w:rsid w:val="008C2500"/>
    <w:rsid w:val="008C2565"/>
    <w:rsid w:val="008C2654"/>
    <w:rsid w:val="008C26B8"/>
    <w:rsid w:val="008C28EC"/>
    <w:rsid w:val="008C2AC7"/>
    <w:rsid w:val="008C2C17"/>
    <w:rsid w:val="008C2C4C"/>
    <w:rsid w:val="008C2CF6"/>
    <w:rsid w:val="008C2D09"/>
    <w:rsid w:val="008C2D6D"/>
    <w:rsid w:val="008C2EBF"/>
    <w:rsid w:val="008C2F3D"/>
    <w:rsid w:val="008C3008"/>
    <w:rsid w:val="008C301D"/>
    <w:rsid w:val="008C321F"/>
    <w:rsid w:val="008C3345"/>
    <w:rsid w:val="008C334C"/>
    <w:rsid w:val="008C3374"/>
    <w:rsid w:val="008C3482"/>
    <w:rsid w:val="008C34E2"/>
    <w:rsid w:val="008C355E"/>
    <w:rsid w:val="008C38C7"/>
    <w:rsid w:val="008C38DC"/>
    <w:rsid w:val="008C3908"/>
    <w:rsid w:val="008C3E6C"/>
    <w:rsid w:val="008C3F87"/>
    <w:rsid w:val="008C4366"/>
    <w:rsid w:val="008C44E2"/>
    <w:rsid w:val="008C45F7"/>
    <w:rsid w:val="008C46FF"/>
    <w:rsid w:val="008C4788"/>
    <w:rsid w:val="008C482E"/>
    <w:rsid w:val="008C494D"/>
    <w:rsid w:val="008C49DF"/>
    <w:rsid w:val="008C4F7E"/>
    <w:rsid w:val="008C515A"/>
    <w:rsid w:val="008C535B"/>
    <w:rsid w:val="008C5361"/>
    <w:rsid w:val="008C5405"/>
    <w:rsid w:val="008C5585"/>
    <w:rsid w:val="008C56EE"/>
    <w:rsid w:val="008C57B7"/>
    <w:rsid w:val="008C57DA"/>
    <w:rsid w:val="008C580D"/>
    <w:rsid w:val="008C5982"/>
    <w:rsid w:val="008C59C7"/>
    <w:rsid w:val="008C5A55"/>
    <w:rsid w:val="008C5A8B"/>
    <w:rsid w:val="008C5B82"/>
    <w:rsid w:val="008C5B8B"/>
    <w:rsid w:val="008C5F06"/>
    <w:rsid w:val="008C5F96"/>
    <w:rsid w:val="008C613F"/>
    <w:rsid w:val="008C6229"/>
    <w:rsid w:val="008C6343"/>
    <w:rsid w:val="008C6383"/>
    <w:rsid w:val="008C6597"/>
    <w:rsid w:val="008C65D2"/>
    <w:rsid w:val="008C6751"/>
    <w:rsid w:val="008C683C"/>
    <w:rsid w:val="008C6898"/>
    <w:rsid w:val="008C689B"/>
    <w:rsid w:val="008C6982"/>
    <w:rsid w:val="008C6AF4"/>
    <w:rsid w:val="008C6B7A"/>
    <w:rsid w:val="008C6D64"/>
    <w:rsid w:val="008C6DD2"/>
    <w:rsid w:val="008C6E51"/>
    <w:rsid w:val="008C6EB8"/>
    <w:rsid w:val="008C731C"/>
    <w:rsid w:val="008C7468"/>
    <w:rsid w:val="008C74C3"/>
    <w:rsid w:val="008C75A6"/>
    <w:rsid w:val="008C76D0"/>
    <w:rsid w:val="008C7875"/>
    <w:rsid w:val="008C7978"/>
    <w:rsid w:val="008C7AC9"/>
    <w:rsid w:val="008C7C07"/>
    <w:rsid w:val="008C7C45"/>
    <w:rsid w:val="008C7CF8"/>
    <w:rsid w:val="008C7F3A"/>
    <w:rsid w:val="008C7F7A"/>
    <w:rsid w:val="008C7F7F"/>
    <w:rsid w:val="008C7FBD"/>
    <w:rsid w:val="008D00E5"/>
    <w:rsid w:val="008D0241"/>
    <w:rsid w:val="008D058E"/>
    <w:rsid w:val="008D07BE"/>
    <w:rsid w:val="008D112D"/>
    <w:rsid w:val="008D1330"/>
    <w:rsid w:val="008D15ED"/>
    <w:rsid w:val="008D1648"/>
    <w:rsid w:val="008D16EB"/>
    <w:rsid w:val="008D1705"/>
    <w:rsid w:val="008D1BF4"/>
    <w:rsid w:val="008D1D27"/>
    <w:rsid w:val="008D1DDC"/>
    <w:rsid w:val="008D1E3F"/>
    <w:rsid w:val="008D2252"/>
    <w:rsid w:val="008D225D"/>
    <w:rsid w:val="008D22AB"/>
    <w:rsid w:val="008D2357"/>
    <w:rsid w:val="008D2421"/>
    <w:rsid w:val="008D248F"/>
    <w:rsid w:val="008D2497"/>
    <w:rsid w:val="008D2551"/>
    <w:rsid w:val="008D25F3"/>
    <w:rsid w:val="008D2733"/>
    <w:rsid w:val="008D2746"/>
    <w:rsid w:val="008D2D33"/>
    <w:rsid w:val="008D2D4E"/>
    <w:rsid w:val="008D2E07"/>
    <w:rsid w:val="008D2E7F"/>
    <w:rsid w:val="008D3067"/>
    <w:rsid w:val="008D306F"/>
    <w:rsid w:val="008D30FD"/>
    <w:rsid w:val="008D3103"/>
    <w:rsid w:val="008D321A"/>
    <w:rsid w:val="008D3386"/>
    <w:rsid w:val="008D339F"/>
    <w:rsid w:val="008D345F"/>
    <w:rsid w:val="008D3637"/>
    <w:rsid w:val="008D3BB7"/>
    <w:rsid w:val="008D3C62"/>
    <w:rsid w:val="008D3D43"/>
    <w:rsid w:val="008D3FED"/>
    <w:rsid w:val="008D410F"/>
    <w:rsid w:val="008D4232"/>
    <w:rsid w:val="008D4615"/>
    <w:rsid w:val="008D4668"/>
    <w:rsid w:val="008D4807"/>
    <w:rsid w:val="008D4A9D"/>
    <w:rsid w:val="008D4AE8"/>
    <w:rsid w:val="008D4BAD"/>
    <w:rsid w:val="008D4BB6"/>
    <w:rsid w:val="008D4C53"/>
    <w:rsid w:val="008D4FF7"/>
    <w:rsid w:val="008D500B"/>
    <w:rsid w:val="008D50BD"/>
    <w:rsid w:val="008D5118"/>
    <w:rsid w:val="008D5236"/>
    <w:rsid w:val="008D52BC"/>
    <w:rsid w:val="008D5367"/>
    <w:rsid w:val="008D53D3"/>
    <w:rsid w:val="008D55D2"/>
    <w:rsid w:val="008D5706"/>
    <w:rsid w:val="008D575A"/>
    <w:rsid w:val="008D57F1"/>
    <w:rsid w:val="008D59B8"/>
    <w:rsid w:val="008D59FC"/>
    <w:rsid w:val="008D5AD1"/>
    <w:rsid w:val="008D5C1C"/>
    <w:rsid w:val="008D5DBB"/>
    <w:rsid w:val="008D5DF8"/>
    <w:rsid w:val="008D5E0B"/>
    <w:rsid w:val="008D5E9E"/>
    <w:rsid w:val="008D5F96"/>
    <w:rsid w:val="008D63CE"/>
    <w:rsid w:val="008D6484"/>
    <w:rsid w:val="008D656A"/>
    <w:rsid w:val="008D665C"/>
    <w:rsid w:val="008D6699"/>
    <w:rsid w:val="008D680B"/>
    <w:rsid w:val="008D687F"/>
    <w:rsid w:val="008D6A18"/>
    <w:rsid w:val="008D6B48"/>
    <w:rsid w:val="008D6C45"/>
    <w:rsid w:val="008D6D6A"/>
    <w:rsid w:val="008D6E13"/>
    <w:rsid w:val="008D6F68"/>
    <w:rsid w:val="008D7005"/>
    <w:rsid w:val="008D7059"/>
    <w:rsid w:val="008D707D"/>
    <w:rsid w:val="008D7108"/>
    <w:rsid w:val="008D7194"/>
    <w:rsid w:val="008D7214"/>
    <w:rsid w:val="008D7288"/>
    <w:rsid w:val="008D7303"/>
    <w:rsid w:val="008D7483"/>
    <w:rsid w:val="008D74D8"/>
    <w:rsid w:val="008D7613"/>
    <w:rsid w:val="008D7A4C"/>
    <w:rsid w:val="008D7A7A"/>
    <w:rsid w:val="008D7ABD"/>
    <w:rsid w:val="008D7E26"/>
    <w:rsid w:val="008D7F38"/>
    <w:rsid w:val="008E0000"/>
    <w:rsid w:val="008E0091"/>
    <w:rsid w:val="008E015A"/>
    <w:rsid w:val="008E029A"/>
    <w:rsid w:val="008E029C"/>
    <w:rsid w:val="008E03DC"/>
    <w:rsid w:val="008E03EF"/>
    <w:rsid w:val="008E041B"/>
    <w:rsid w:val="008E046B"/>
    <w:rsid w:val="008E0489"/>
    <w:rsid w:val="008E074E"/>
    <w:rsid w:val="008E08DA"/>
    <w:rsid w:val="008E0A53"/>
    <w:rsid w:val="008E0A7C"/>
    <w:rsid w:val="008E0A90"/>
    <w:rsid w:val="008E0B38"/>
    <w:rsid w:val="008E0BC6"/>
    <w:rsid w:val="008E0C4F"/>
    <w:rsid w:val="008E0DEB"/>
    <w:rsid w:val="008E0F7B"/>
    <w:rsid w:val="008E112B"/>
    <w:rsid w:val="008E12B6"/>
    <w:rsid w:val="008E1553"/>
    <w:rsid w:val="008E1576"/>
    <w:rsid w:val="008E1603"/>
    <w:rsid w:val="008E18E9"/>
    <w:rsid w:val="008E1BDF"/>
    <w:rsid w:val="008E1CD6"/>
    <w:rsid w:val="008E1DFF"/>
    <w:rsid w:val="008E2168"/>
    <w:rsid w:val="008E2280"/>
    <w:rsid w:val="008E249E"/>
    <w:rsid w:val="008E2745"/>
    <w:rsid w:val="008E280F"/>
    <w:rsid w:val="008E28A0"/>
    <w:rsid w:val="008E2B0B"/>
    <w:rsid w:val="008E2B86"/>
    <w:rsid w:val="008E2CB4"/>
    <w:rsid w:val="008E2D9A"/>
    <w:rsid w:val="008E2E7E"/>
    <w:rsid w:val="008E30DD"/>
    <w:rsid w:val="008E3158"/>
    <w:rsid w:val="008E31C5"/>
    <w:rsid w:val="008E3785"/>
    <w:rsid w:val="008E3A2D"/>
    <w:rsid w:val="008E3A6E"/>
    <w:rsid w:val="008E3B20"/>
    <w:rsid w:val="008E3B71"/>
    <w:rsid w:val="008E3BFA"/>
    <w:rsid w:val="008E3C5E"/>
    <w:rsid w:val="008E3D43"/>
    <w:rsid w:val="008E3F58"/>
    <w:rsid w:val="008E43B4"/>
    <w:rsid w:val="008E4573"/>
    <w:rsid w:val="008E4869"/>
    <w:rsid w:val="008E4937"/>
    <w:rsid w:val="008E4989"/>
    <w:rsid w:val="008E4B53"/>
    <w:rsid w:val="008E4B9D"/>
    <w:rsid w:val="008E4D26"/>
    <w:rsid w:val="008E4D5C"/>
    <w:rsid w:val="008E4F15"/>
    <w:rsid w:val="008E4F36"/>
    <w:rsid w:val="008E4F51"/>
    <w:rsid w:val="008E4F94"/>
    <w:rsid w:val="008E50AA"/>
    <w:rsid w:val="008E51AC"/>
    <w:rsid w:val="008E51FF"/>
    <w:rsid w:val="008E5283"/>
    <w:rsid w:val="008E5363"/>
    <w:rsid w:val="008E550B"/>
    <w:rsid w:val="008E562E"/>
    <w:rsid w:val="008E586C"/>
    <w:rsid w:val="008E5D9C"/>
    <w:rsid w:val="008E5E19"/>
    <w:rsid w:val="008E5EC9"/>
    <w:rsid w:val="008E5F83"/>
    <w:rsid w:val="008E60AD"/>
    <w:rsid w:val="008E60D5"/>
    <w:rsid w:val="008E61E0"/>
    <w:rsid w:val="008E6292"/>
    <w:rsid w:val="008E6296"/>
    <w:rsid w:val="008E633A"/>
    <w:rsid w:val="008E63A5"/>
    <w:rsid w:val="008E644E"/>
    <w:rsid w:val="008E64ED"/>
    <w:rsid w:val="008E6504"/>
    <w:rsid w:val="008E679A"/>
    <w:rsid w:val="008E6860"/>
    <w:rsid w:val="008E6872"/>
    <w:rsid w:val="008E68FD"/>
    <w:rsid w:val="008E6A28"/>
    <w:rsid w:val="008E6A5B"/>
    <w:rsid w:val="008E6AEE"/>
    <w:rsid w:val="008E6D11"/>
    <w:rsid w:val="008E6E78"/>
    <w:rsid w:val="008E717D"/>
    <w:rsid w:val="008E71E0"/>
    <w:rsid w:val="008E73D3"/>
    <w:rsid w:val="008E7434"/>
    <w:rsid w:val="008E765B"/>
    <w:rsid w:val="008E7674"/>
    <w:rsid w:val="008E76E2"/>
    <w:rsid w:val="008E76EC"/>
    <w:rsid w:val="008E7845"/>
    <w:rsid w:val="008E78C6"/>
    <w:rsid w:val="008E798D"/>
    <w:rsid w:val="008E7998"/>
    <w:rsid w:val="008E79E5"/>
    <w:rsid w:val="008E79E9"/>
    <w:rsid w:val="008E7CBB"/>
    <w:rsid w:val="008E7D80"/>
    <w:rsid w:val="008E7DAB"/>
    <w:rsid w:val="008E7E26"/>
    <w:rsid w:val="008E7FA3"/>
    <w:rsid w:val="008F0013"/>
    <w:rsid w:val="008F0164"/>
    <w:rsid w:val="008F02A2"/>
    <w:rsid w:val="008F04E1"/>
    <w:rsid w:val="008F057E"/>
    <w:rsid w:val="008F0767"/>
    <w:rsid w:val="008F0A3B"/>
    <w:rsid w:val="008F0A7D"/>
    <w:rsid w:val="008F0BB7"/>
    <w:rsid w:val="008F0BF1"/>
    <w:rsid w:val="008F0C27"/>
    <w:rsid w:val="008F0CFF"/>
    <w:rsid w:val="008F0D8D"/>
    <w:rsid w:val="008F0E21"/>
    <w:rsid w:val="008F0E66"/>
    <w:rsid w:val="008F0F28"/>
    <w:rsid w:val="008F145E"/>
    <w:rsid w:val="008F146E"/>
    <w:rsid w:val="008F1574"/>
    <w:rsid w:val="008F15C4"/>
    <w:rsid w:val="008F1960"/>
    <w:rsid w:val="008F198B"/>
    <w:rsid w:val="008F1A2D"/>
    <w:rsid w:val="008F1C23"/>
    <w:rsid w:val="008F1C5A"/>
    <w:rsid w:val="008F1C6B"/>
    <w:rsid w:val="008F1CFA"/>
    <w:rsid w:val="008F1D2B"/>
    <w:rsid w:val="008F1D75"/>
    <w:rsid w:val="008F20E5"/>
    <w:rsid w:val="008F224D"/>
    <w:rsid w:val="008F23BB"/>
    <w:rsid w:val="008F2796"/>
    <w:rsid w:val="008F27C5"/>
    <w:rsid w:val="008F2883"/>
    <w:rsid w:val="008F2B2A"/>
    <w:rsid w:val="008F2B96"/>
    <w:rsid w:val="008F2BA7"/>
    <w:rsid w:val="008F2BDF"/>
    <w:rsid w:val="008F2FCE"/>
    <w:rsid w:val="008F3126"/>
    <w:rsid w:val="008F321F"/>
    <w:rsid w:val="008F32F4"/>
    <w:rsid w:val="008F34C6"/>
    <w:rsid w:val="008F36DF"/>
    <w:rsid w:val="008F37D9"/>
    <w:rsid w:val="008F38D1"/>
    <w:rsid w:val="008F39B4"/>
    <w:rsid w:val="008F3AB0"/>
    <w:rsid w:val="008F3AFC"/>
    <w:rsid w:val="008F3BFC"/>
    <w:rsid w:val="008F3C60"/>
    <w:rsid w:val="008F3CEA"/>
    <w:rsid w:val="008F40C7"/>
    <w:rsid w:val="008F4127"/>
    <w:rsid w:val="008F4193"/>
    <w:rsid w:val="008F4264"/>
    <w:rsid w:val="008F4283"/>
    <w:rsid w:val="008F44B2"/>
    <w:rsid w:val="008F4591"/>
    <w:rsid w:val="008F45A6"/>
    <w:rsid w:val="008F48BA"/>
    <w:rsid w:val="008F4932"/>
    <w:rsid w:val="008F496F"/>
    <w:rsid w:val="008F4994"/>
    <w:rsid w:val="008F4CFC"/>
    <w:rsid w:val="008F4D11"/>
    <w:rsid w:val="008F4DBB"/>
    <w:rsid w:val="008F4DE7"/>
    <w:rsid w:val="008F4E47"/>
    <w:rsid w:val="008F4E5D"/>
    <w:rsid w:val="008F4F35"/>
    <w:rsid w:val="008F50ED"/>
    <w:rsid w:val="008F5441"/>
    <w:rsid w:val="008F54F8"/>
    <w:rsid w:val="008F556E"/>
    <w:rsid w:val="008F55CF"/>
    <w:rsid w:val="008F56D1"/>
    <w:rsid w:val="008F5897"/>
    <w:rsid w:val="008F5989"/>
    <w:rsid w:val="008F5A43"/>
    <w:rsid w:val="008F5A57"/>
    <w:rsid w:val="008F5A9A"/>
    <w:rsid w:val="008F5DAE"/>
    <w:rsid w:val="008F5E10"/>
    <w:rsid w:val="008F5E2B"/>
    <w:rsid w:val="008F5F84"/>
    <w:rsid w:val="008F6164"/>
    <w:rsid w:val="008F6222"/>
    <w:rsid w:val="008F6325"/>
    <w:rsid w:val="008F6370"/>
    <w:rsid w:val="008F6432"/>
    <w:rsid w:val="008F64DE"/>
    <w:rsid w:val="008F663A"/>
    <w:rsid w:val="008F66F9"/>
    <w:rsid w:val="008F6832"/>
    <w:rsid w:val="008F6863"/>
    <w:rsid w:val="008F6C2A"/>
    <w:rsid w:val="008F6E51"/>
    <w:rsid w:val="008F6E9C"/>
    <w:rsid w:val="008F702F"/>
    <w:rsid w:val="008F7110"/>
    <w:rsid w:val="008F7194"/>
    <w:rsid w:val="008F74E4"/>
    <w:rsid w:val="008F771E"/>
    <w:rsid w:val="008F784F"/>
    <w:rsid w:val="008F7A72"/>
    <w:rsid w:val="008F7AA2"/>
    <w:rsid w:val="008F7CA5"/>
    <w:rsid w:val="008F7E25"/>
    <w:rsid w:val="008F7FC6"/>
    <w:rsid w:val="0090039B"/>
    <w:rsid w:val="009003E1"/>
    <w:rsid w:val="0090043D"/>
    <w:rsid w:val="0090048C"/>
    <w:rsid w:val="009005C4"/>
    <w:rsid w:val="0090072F"/>
    <w:rsid w:val="009007F0"/>
    <w:rsid w:val="00900825"/>
    <w:rsid w:val="00900882"/>
    <w:rsid w:val="00900994"/>
    <w:rsid w:val="009009AE"/>
    <w:rsid w:val="00900C2B"/>
    <w:rsid w:val="00900EF3"/>
    <w:rsid w:val="00900F76"/>
    <w:rsid w:val="00901163"/>
    <w:rsid w:val="00901464"/>
    <w:rsid w:val="009014C1"/>
    <w:rsid w:val="009018D4"/>
    <w:rsid w:val="009019A6"/>
    <w:rsid w:val="00901A3E"/>
    <w:rsid w:val="00901CA8"/>
    <w:rsid w:val="00901CD2"/>
    <w:rsid w:val="00901F46"/>
    <w:rsid w:val="00902203"/>
    <w:rsid w:val="00902294"/>
    <w:rsid w:val="00902319"/>
    <w:rsid w:val="009024F6"/>
    <w:rsid w:val="00902533"/>
    <w:rsid w:val="0090258B"/>
    <w:rsid w:val="00902777"/>
    <w:rsid w:val="00902921"/>
    <w:rsid w:val="0090293E"/>
    <w:rsid w:val="0090295D"/>
    <w:rsid w:val="00902B28"/>
    <w:rsid w:val="00902B32"/>
    <w:rsid w:val="00902DF0"/>
    <w:rsid w:val="00902E81"/>
    <w:rsid w:val="00903239"/>
    <w:rsid w:val="0090333E"/>
    <w:rsid w:val="009033B1"/>
    <w:rsid w:val="009035E9"/>
    <w:rsid w:val="00903A9D"/>
    <w:rsid w:val="00903AD0"/>
    <w:rsid w:val="00903C1C"/>
    <w:rsid w:val="00903D56"/>
    <w:rsid w:val="00903E29"/>
    <w:rsid w:val="00903E3E"/>
    <w:rsid w:val="00903FD8"/>
    <w:rsid w:val="009042F7"/>
    <w:rsid w:val="00904353"/>
    <w:rsid w:val="00904457"/>
    <w:rsid w:val="009044D9"/>
    <w:rsid w:val="00904520"/>
    <w:rsid w:val="009045A8"/>
    <w:rsid w:val="009049A4"/>
    <w:rsid w:val="00904B15"/>
    <w:rsid w:val="00904BC4"/>
    <w:rsid w:val="00904CE0"/>
    <w:rsid w:val="00904E8C"/>
    <w:rsid w:val="00904E9E"/>
    <w:rsid w:val="00904EE7"/>
    <w:rsid w:val="00904F1E"/>
    <w:rsid w:val="00905260"/>
    <w:rsid w:val="0090555D"/>
    <w:rsid w:val="0090566D"/>
    <w:rsid w:val="0090587C"/>
    <w:rsid w:val="0090588B"/>
    <w:rsid w:val="00905978"/>
    <w:rsid w:val="00905B22"/>
    <w:rsid w:val="00905C62"/>
    <w:rsid w:val="00905E6F"/>
    <w:rsid w:val="00905F82"/>
    <w:rsid w:val="00905FD5"/>
    <w:rsid w:val="00906026"/>
    <w:rsid w:val="0090607D"/>
    <w:rsid w:val="009060D4"/>
    <w:rsid w:val="009060E9"/>
    <w:rsid w:val="00906103"/>
    <w:rsid w:val="00906126"/>
    <w:rsid w:val="0090646C"/>
    <w:rsid w:val="009064CB"/>
    <w:rsid w:val="009065CB"/>
    <w:rsid w:val="009065EE"/>
    <w:rsid w:val="009066AE"/>
    <w:rsid w:val="0090675A"/>
    <w:rsid w:val="00906807"/>
    <w:rsid w:val="00906858"/>
    <w:rsid w:val="00906880"/>
    <w:rsid w:val="009068D5"/>
    <w:rsid w:val="0090698F"/>
    <w:rsid w:val="00906AC2"/>
    <w:rsid w:val="00906D9B"/>
    <w:rsid w:val="00906EC7"/>
    <w:rsid w:val="00906F89"/>
    <w:rsid w:val="00906FE1"/>
    <w:rsid w:val="009072CD"/>
    <w:rsid w:val="009073EF"/>
    <w:rsid w:val="0090765F"/>
    <w:rsid w:val="009077F6"/>
    <w:rsid w:val="009077FC"/>
    <w:rsid w:val="00907886"/>
    <w:rsid w:val="0090792E"/>
    <w:rsid w:val="009079E6"/>
    <w:rsid w:val="00907ADA"/>
    <w:rsid w:val="00907BB6"/>
    <w:rsid w:val="00907D5E"/>
    <w:rsid w:val="009103B7"/>
    <w:rsid w:val="00910416"/>
    <w:rsid w:val="0091046D"/>
    <w:rsid w:val="00910479"/>
    <w:rsid w:val="009107B8"/>
    <w:rsid w:val="009107E0"/>
    <w:rsid w:val="0091099C"/>
    <w:rsid w:val="00910A66"/>
    <w:rsid w:val="00910BD9"/>
    <w:rsid w:val="00910BE8"/>
    <w:rsid w:val="00910D54"/>
    <w:rsid w:val="00910F16"/>
    <w:rsid w:val="00911259"/>
    <w:rsid w:val="009112A4"/>
    <w:rsid w:val="0091138E"/>
    <w:rsid w:val="0091162E"/>
    <w:rsid w:val="00911640"/>
    <w:rsid w:val="00911707"/>
    <w:rsid w:val="00911A08"/>
    <w:rsid w:val="00911A0B"/>
    <w:rsid w:val="00911A37"/>
    <w:rsid w:val="00911AA4"/>
    <w:rsid w:val="00911B83"/>
    <w:rsid w:val="00911BAE"/>
    <w:rsid w:val="00911CAC"/>
    <w:rsid w:val="00912124"/>
    <w:rsid w:val="009121DD"/>
    <w:rsid w:val="00912285"/>
    <w:rsid w:val="0091239E"/>
    <w:rsid w:val="0091262A"/>
    <w:rsid w:val="0091278E"/>
    <w:rsid w:val="009127A9"/>
    <w:rsid w:val="00912805"/>
    <w:rsid w:val="00912929"/>
    <w:rsid w:val="00912A53"/>
    <w:rsid w:val="00912CE8"/>
    <w:rsid w:val="009130EA"/>
    <w:rsid w:val="009133D6"/>
    <w:rsid w:val="009134BB"/>
    <w:rsid w:val="00913520"/>
    <w:rsid w:val="009136AF"/>
    <w:rsid w:val="009136D0"/>
    <w:rsid w:val="00913950"/>
    <w:rsid w:val="00913989"/>
    <w:rsid w:val="009139A2"/>
    <w:rsid w:val="00913A68"/>
    <w:rsid w:val="00913C12"/>
    <w:rsid w:val="00913D29"/>
    <w:rsid w:val="00913EC7"/>
    <w:rsid w:val="009142C0"/>
    <w:rsid w:val="0091447B"/>
    <w:rsid w:val="00914543"/>
    <w:rsid w:val="0091462A"/>
    <w:rsid w:val="00914697"/>
    <w:rsid w:val="00914809"/>
    <w:rsid w:val="009148A2"/>
    <w:rsid w:val="00914ADE"/>
    <w:rsid w:val="00914D88"/>
    <w:rsid w:val="00914F02"/>
    <w:rsid w:val="00914F33"/>
    <w:rsid w:val="00914F58"/>
    <w:rsid w:val="00914F77"/>
    <w:rsid w:val="00915063"/>
    <w:rsid w:val="009150D9"/>
    <w:rsid w:val="00915130"/>
    <w:rsid w:val="00915211"/>
    <w:rsid w:val="009155A5"/>
    <w:rsid w:val="0091560E"/>
    <w:rsid w:val="0091563D"/>
    <w:rsid w:val="00915678"/>
    <w:rsid w:val="00915683"/>
    <w:rsid w:val="009157B8"/>
    <w:rsid w:val="00915A03"/>
    <w:rsid w:val="00915CBA"/>
    <w:rsid w:val="00915F5A"/>
    <w:rsid w:val="00915F60"/>
    <w:rsid w:val="00916066"/>
    <w:rsid w:val="0091610E"/>
    <w:rsid w:val="009161AD"/>
    <w:rsid w:val="009162DD"/>
    <w:rsid w:val="0091637C"/>
    <w:rsid w:val="009163A9"/>
    <w:rsid w:val="009163EA"/>
    <w:rsid w:val="009163F9"/>
    <w:rsid w:val="00916438"/>
    <w:rsid w:val="0091652A"/>
    <w:rsid w:val="0091681E"/>
    <w:rsid w:val="009169CF"/>
    <w:rsid w:val="00916A5C"/>
    <w:rsid w:val="00916AB9"/>
    <w:rsid w:val="00916CA9"/>
    <w:rsid w:val="00916D08"/>
    <w:rsid w:val="00916D32"/>
    <w:rsid w:val="00916DD0"/>
    <w:rsid w:val="00916F35"/>
    <w:rsid w:val="00916F88"/>
    <w:rsid w:val="00917097"/>
    <w:rsid w:val="00917145"/>
    <w:rsid w:val="0091728D"/>
    <w:rsid w:val="009172E2"/>
    <w:rsid w:val="009173C5"/>
    <w:rsid w:val="00917566"/>
    <w:rsid w:val="00917581"/>
    <w:rsid w:val="00917644"/>
    <w:rsid w:val="009176F3"/>
    <w:rsid w:val="0091774D"/>
    <w:rsid w:val="0091784C"/>
    <w:rsid w:val="009179EF"/>
    <w:rsid w:val="00917AD2"/>
    <w:rsid w:val="00917B5F"/>
    <w:rsid w:val="00917C2E"/>
    <w:rsid w:val="00917E65"/>
    <w:rsid w:val="00917EB6"/>
    <w:rsid w:val="00917F95"/>
    <w:rsid w:val="00920041"/>
    <w:rsid w:val="0092025E"/>
    <w:rsid w:val="009202BA"/>
    <w:rsid w:val="00920437"/>
    <w:rsid w:val="009206EC"/>
    <w:rsid w:val="0092073C"/>
    <w:rsid w:val="00920879"/>
    <w:rsid w:val="00920981"/>
    <w:rsid w:val="0092099E"/>
    <w:rsid w:val="009209AC"/>
    <w:rsid w:val="009209C1"/>
    <w:rsid w:val="00920B9D"/>
    <w:rsid w:val="00920BAE"/>
    <w:rsid w:val="00920CD2"/>
    <w:rsid w:val="00920F9D"/>
    <w:rsid w:val="0092107C"/>
    <w:rsid w:val="009211A9"/>
    <w:rsid w:val="009211DA"/>
    <w:rsid w:val="00921232"/>
    <w:rsid w:val="0092129C"/>
    <w:rsid w:val="00921525"/>
    <w:rsid w:val="009215B4"/>
    <w:rsid w:val="009218E6"/>
    <w:rsid w:val="00921975"/>
    <w:rsid w:val="0092197F"/>
    <w:rsid w:val="009219BD"/>
    <w:rsid w:val="009219C0"/>
    <w:rsid w:val="00921C8A"/>
    <w:rsid w:val="00921E94"/>
    <w:rsid w:val="00922088"/>
    <w:rsid w:val="00922158"/>
    <w:rsid w:val="00922343"/>
    <w:rsid w:val="009228B9"/>
    <w:rsid w:val="0092295D"/>
    <w:rsid w:val="00922A76"/>
    <w:rsid w:val="009230EE"/>
    <w:rsid w:val="0092324F"/>
    <w:rsid w:val="0092343C"/>
    <w:rsid w:val="00923542"/>
    <w:rsid w:val="00923698"/>
    <w:rsid w:val="00923771"/>
    <w:rsid w:val="00923807"/>
    <w:rsid w:val="009238D5"/>
    <w:rsid w:val="009239C7"/>
    <w:rsid w:val="00923E52"/>
    <w:rsid w:val="00923EA2"/>
    <w:rsid w:val="00923FE6"/>
    <w:rsid w:val="00924031"/>
    <w:rsid w:val="0092403B"/>
    <w:rsid w:val="00924040"/>
    <w:rsid w:val="00924281"/>
    <w:rsid w:val="00924439"/>
    <w:rsid w:val="0092464F"/>
    <w:rsid w:val="00924667"/>
    <w:rsid w:val="009247D2"/>
    <w:rsid w:val="00924820"/>
    <w:rsid w:val="00924856"/>
    <w:rsid w:val="0092487A"/>
    <w:rsid w:val="0092487C"/>
    <w:rsid w:val="009248BD"/>
    <w:rsid w:val="0092490C"/>
    <w:rsid w:val="0092494E"/>
    <w:rsid w:val="00924D5C"/>
    <w:rsid w:val="00924DC8"/>
    <w:rsid w:val="00924F8C"/>
    <w:rsid w:val="00924FFD"/>
    <w:rsid w:val="0092530B"/>
    <w:rsid w:val="009255C0"/>
    <w:rsid w:val="009255D0"/>
    <w:rsid w:val="0092576A"/>
    <w:rsid w:val="0092578B"/>
    <w:rsid w:val="00925AA5"/>
    <w:rsid w:val="00925B34"/>
    <w:rsid w:val="00925C63"/>
    <w:rsid w:val="00925E44"/>
    <w:rsid w:val="00925E56"/>
    <w:rsid w:val="00926040"/>
    <w:rsid w:val="0092604D"/>
    <w:rsid w:val="009260BE"/>
    <w:rsid w:val="0092618C"/>
    <w:rsid w:val="0092621C"/>
    <w:rsid w:val="00926328"/>
    <w:rsid w:val="0092640C"/>
    <w:rsid w:val="0092648E"/>
    <w:rsid w:val="0092665A"/>
    <w:rsid w:val="009266EB"/>
    <w:rsid w:val="009267AE"/>
    <w:rsid w:val="00926814"/>
    <w:rsid w:val="009269A0"/>
    <w:rsid w:val="00926A71"/>
    <w:rsid w:val="00926BA7"/>
    <w:rsid w:val="00926C00"/>
    <w:rsid w:val="00926C87"/>
    <w:rsid w:val="00926DAC"/>
    <w:rsid w:val="00926F10"/>
    <w:rsid w:val="00927001"/>
    <w:rsid w:val="0092704F"/>
    <w:rsid w:val="00927301"/>
    <w:rsid w:val="00927344"/>
    <w:rsid w:val="00927396"/>
    <w:rsid w:val="00927481"/>
    <w:rsid w:val="009275BF"/>
    <w:rsid w:val="009277C5"/>
    <w:rsid w:val="009277DD"/>
    <w:rsid w:val="00927917"/>
    <w:rsid w:val="0092792B"/>
    <w:rsid w:val="00927B6A"/>
    <w:rsid w:val="00927BE4"/>
    <w:rsid w:val="00927BF2"/>
    <w:rsid w:val="00927D2F"/>
    <w:rsid w:val="00927E38"/>
    <w:rsid w:val="00927E4E"/>
    <w:rsid w:val="00927F26"/>
    <w:rsid w:val="00930189"/>
    <w:rsid w:val="009302E7"/>
    <w:rsid w:val="009304C8"/>
    <w:rsid w:val="009305EC"/>
    <w:rsid w:val="00930894"/>
    <w:rsid w:val="009309E9"/>
    <w:rsid w:val="00930A4B"/>
    <w:rsid w:val="00930B08"/>
    <w:rsid w:val="00930CE8"/>
    <w:rsid w:val="00930F4A"/>
    <w:rsid w:val="00930FE7"/>
    <w:rsid w:val="0093108B"/>
    <w:rsid w:val="0093114B"/>
    <w:rsid w:val="009312A8"/>
    <w:rsid w:val="009312E8"/>
    <w:rsid w:val="0093165B"/>
    <w:rsid w:val="0093181E"/>
    <w:rsid w:val="00931AE7"/>
    <w:rsid w:val="00931B1A"/>
    <w:rsid w:val="00931BFA"/>
    <w:rsid w:val="00931C22"/>
    <w:rsid w:val="00931D4F"/>
    <w:rsid w:val="00931E9A"/>
    <w:rsid w:val="00931F38"/>
    <w:rsid w:val="0093210F"/>
    <w:rsid w:val="00932187"/>
    <w:rsid w:val="00932307"/>
    <w:rsid w:val="00932311"/>
    <w:rsid w:val="00932429"/>
    <w:rsid w:val="00932563"/>
    <w:rsid w:val="00932622"/>
    <w:rsid w:val="0093274D"/>
    <w:rsid w:val="00932854"/>
    <w:rsid w:val="00932882"/>
    <w:rsid w:val="0093295A"/>
    <w:rsid w:val="009329FA"/>
    <w:rsid w:val="00932A81"/>
    <w:rsid w:val="00932AA8"/>
    <w:rsid w:val="00932E9F"/>
    <w:rsid w:val="00932F23"/>
    <w:rsid w:val="00932F8D"/>
    <w:rsid w:val="00933118"/>
    <w:rsid w:val="009331A5"/>
    <w:rsid w:val="00933339"/>
    <w:rsid w:val="0093337E"/>
    <w:rsid w:val="009334E7"/>
    <w:rsid w:val="00933577"/>
    <w:rsid w:val="009335B8"/>
    <w:rsid w:val="009336BF"/>
    <w:rsid w:val="00933A99"/>
    <w:rsid w:val="00933BF8"/>
    <w:rsid w:val="00933CA6"/>
    <w:rsid w:val="00933EA1"/>
    <w:rsid w:val="0093402A"/>
    <w:rsid w:val="00934084"/>
    <w:rsid w:val="009340D7"/>
    <w:rsid w:val="00934750"/>
    <w:rsid w:val="00934752"/>
    <w:rsid w:val="009348EF"/>
    <w:rsid w:val="0093492E"/>
    <w:rsid w:val="009349C4"/>
    <w:rsid w:val="00934A07"/>
    <w:rsid w:val="00934C29"/>
    <w:rsid w:val="00934E8B"/>
    <w:rsid w:val="00934F0D"/>
    <w:rsid w:val="00935082"/>
    <w:rsid w:val="00935119"/>
    <w:rsid w:val="00935683"/>
    <w:rsid w:val="0093593A"/>
    <w:rsid w:val="00935AE2"/>
    <w:rsid w:val="00935B5A"/>
    <w:rsid w:val="00935BEF"/>
    <w:rsid w:val="00935CE1"/>
    <w:rsid w:val="00935D6B"/>
    <w:rsid w:val="00935E9F"/>
    <w:rsid w:val="00935ED9"/>
    <w:rsid w:val="009360B2"/>
    <w:rsid w:val="00936159"/>
    <w:rsid w:val="0093637B"/>
    <w:rsid w:val="00936539"/>
    <w:rsid w:val="009365A8"/>
    <w:rsid w:val="009365E3"/>
    <w:rsid w:val="00936721"/>
    <w:rsid w:val="009369D2"/>
    <w:rsid w:val="00936A35"/>
    <w:rsid w:val="00936B3F"/>
    <w:rsid w:val="00936C5A"/>
    <w:rsid w:val="00936CC7"/>
    <w:rsid w:val="00936CF6"/>
    <w:rsid w:val="00936DEE"/>
    <w:rsid w:val="009370B5"/>
    <w:rsid w:val="009371EA"/>
    <w:rsid w:val="00937549"/>
    <w:rsid w:val="00937729"/>
    <w:rsid w:val="00937A78"/>
    <w:rsid w:val="00937DA1"/>
    <w:rsid w:val="00937E40"/>
    <w:rsid w:val="00937F92"/>
    <w:rsid w:val="00940055"/>
    <w:rsid w:val="0094014D"/>
    <w:rsid w:val="0094019D"/>
    <w:rsid w:val="0094019F"/>
    <w:rsid w:val="00940541"/>
    <w:rsid w:val="00940596"/>
    <w:rsid w:val="009405D1"/>
    <w:rsid w:val="00940678"/>
    <w:rsid w:val="00940885"/>
    <w:rsid w:val="009408BA"/>
    <w:rsid w:val="0094090E"/>
    <w:rsid w:val="00940A25"/>
    <w:rsid w:val="00940C0E"/>
    <w:rsid w:val="00940DF9"/>
    <w:rsid w:val="0094102C"/>
    <w:rsid w:val="00941036"/>
    <w:rsid w:val="00941397"/>
    <w:rsid w:val="0094165A"/>
    <w:rsid w:val="009418A8"/>
    <w:rsid w:val="0094196F"/>
    <w:rsid w:val="0094198C"/>
    <w:rsid w:val="009419C5"/>
    <w:rsid w:val="00941B14"/>
    <w:rsid w:val="00941B38"/>
    <w:rsid w:val="00941B71"/>
    <w:rsid w:val="00941DA9"/>
    <w:rsid w:val="00941E19"/>
    <w:rsid w:val="00941F9C"/>
    <w:rsid w:val="00941FBB"/>
    <w:rsid w:val="0094204D"/>
    <w:rsid w:val="00942207"/>
    <w:rsid w:val="009422F3"/>
    <w:rsid w:val="00942343"/>
    <w:rsid w:val="009423D0"/>
    <w:rsid w:val="009423ED"/>
    <w:rsid w:val="009425EF"/>
    <w:rsid w:val="0094260C"/>
    <w:rsid w:val="009428E3"/>
    <w:rsid w:val="009429CB"/>
    <w:rsid w:val="00942AC6"/>
    <w:rsid w:val="00942AF1"/>
    <w:rsid w:val="00942B66"/>
    <w:rsid w:val="00942BC4"/>
    <w:rsid w:val="00942C11"/>
    <w:rsid w:val="00942C8A"/>
    <w:rsid w:val="00942CD2"/>
    <w:rsid w:val="00942D28"/>
    <w:rsid w:val="00943043"/>
    <w:rsid w:val="00943284"/>
    <w:rsid w:val="00943290"/>
    <w:rsid w:val="009432E8"/>
    <w:rsid w:val="0094335F"/>
    <w:rsid w:val="00943569"/>
    <w:rsid w:val="00943617"/>
    <w:rsid w:val="00943679"/>
    <w:rsid w:val="009436F2"/>
    <w:rsid w:val="00943A23"/>
    <w:rsid w:val="00943AFC"/>
    <w:rsid w:val="00943B46"/>
    <w:rsid w:val="00943F47"/>
    <w:rsid w:val="00944051"/>
    <w:rsid w:val="009440C7"/>
    <w:rsid w:val="009441B4"/>
    <w:rsid w:val="00944226"/>
    <w:rsid w:val="009443D0"/>
    <w:rsid w:val="009443FD"/>
    <w:rsid w:val="00944407"/>
    <w:rsid w:val="009444DC"/>
    <w:rsid w:val="009444F5"/>
    <w:rsid w:val="009444FA"/>
    <w:rsid w:val="0094455B"/>
    <w:rsid w:val="00944586"/>
    <w:rsid w:val="00944684"/>
    <w:rsid w:val="009446B1"/>
    <w:rsid w:val="00944745"/>
    <w:rsid w:val="0094497F"/>
    <w:rsid w:val="00944B98"/>
    <w:rsid w:val="00944CDB"/>
    <w:rsid w:val="00945116"/>
    <w:rsid w:val="00945208"/>
    <w:rsid w:val="00945269"/>
    <w:rsid w:val="0094531E"/>
    <w:rsid w:val="009453BB"/>
    <w:rsid w:val="00945497"/>
    <w:rsid w:val="00945507"/>
    <w:rsid w:val="00945575"/>
    <w:rsid w:val="009455AC"/>
    <w:rsid w:val="00945DEF"/>
    <w:rsid w:val="00945EAD"/>
    <w:rsid w:val="00945ECF"/>
    <w:rsid w:val="00945ED4"/>
    <w:rsid w:val="00945FAE"/>
    <w:rsid w:val="0094603D"/>
    <w:rsid w:val="00946098"/>
    <w:rsid w:val="00946113"/>
    <w:rsid w:val="00946177"/>
    <w:rsid w:val="00946668"/>
    <w:rsid w:val="0094676D"/>
    <w:rsid w:val="009467F6"/>
    <w:rsid w:val="00946822"/>
    <w:rsid w:val="00946B18"/>
    <w:rsid w:val="00946B6E"/>
    <w:rsid w:val="00946CBF"/>
    <w:rsid w:val="00946CD9"/>
    <w:rsid w:val="00947050"/>
    <w:rsid w:val="009473ED"/>
    <w:rsid w:val="0094747D"/>
    <w:rsid w:val="0094748F"/>
    <w:rsid w:val="00947697"/>
    <w:rsid w:val="009476E2"/>
    <w:rsid w:val="00947827"/>
    <w:rsid w:val="0094782B"/>
    <w:rsid w:val="00947B05"/>
    <w:rsid w:val="00947C91"/>
    <w:rsid w:val="00947FF0"/>
    <w:rsid w:val="009501F7"/>
    <w:rsid w:val="009502F2"/>
    <w:rsid w:val="0095034E"/>
    <w:rsid w:val="009503B1"/>
    <w:rsid w:val="00950443"/>
    <w:rsid w:val="009504C6"/>
    <w:rsid w:val="00950540"/>
    <w:rsid w:val="0095056B"/>
    <w:rsid w:val="009506DC"/>
    <w:rsid w:val="00950965"/>
    <w:rsid w:val="00950A31"/>
    <w:rsid w:val="00950B23"/>
    <w:rsid w:val="00950B72"/>
    <w:rsid w:val="00950BEA"/>
    <w:rsid w:val="00950BF2"/>
    <w:rsid w:val="00950E85"/>
    <w:rsid w:val="00950F48"/>
    <w:rsid w:val="009510AF"/>
    <w:rsid w:val="00951466"/>
    <w:rsid w:val="00951553"/>
    <w:rsid w:val="0095162F"/>
    <w:rsid w:val="00951692"/>
    <w:rsid w:val="00951746"/>
    <w:rsid w:val="0095181C"/>
    <w:rsid w:val="009518DA"/>
    <w:rsid w:val="009518EC"/>
    <w:rsid w:val="00951AD4"/>
    <w:rsid w:val="00951BD4"/>
    <w:rsid w:val="00951D54"/>
    <w:rsid w:val="00951E9A"/>
    <w:rsid w:val="00951EC2"/>
    <w:rsid w:val="0095213D"/>
    <w:rsid w:val="0095218C"/>
    <w:rsid w:val="00952322"/>
    <w:rsid w:val="0095232A"/>
    <w:rsid w:val="00952430"/>
    <w:rsid w:val="00952469"/>
    <w:rsid w:val="0095260D"/>
    <w:rsid w:val="009526C5"/>
    <w:rsid w:val="009527D4"/>
    <w:rsid w:val="00952B12"/>
    <w:rsid w:val="00952B36"/>
    <w:rsid w:val="00952D6C"/>
    <w:rsid w:val="00952DB1"/>
    <w:rsid w:val="00952DE0"/>
    <w:rsid w:val="00952DE1"/>
    <w:rsid w:val="009530C5"/>
    <w:rsid w:val="009535D5"/>
    <w:rsid w:val="009536D0"/>
    <w:rsid w:val="00953919"/>
    <w:rsid w:val="0095396C"/>
    <w:rsid w:val="00953A83"/>
    <w:rsid w:val="00953C43"/>
    <w:rsid w:val="00953C4F"/>
    <w:rsid w:val="00953D2A"/>
    <w:rsid w:val="00953FC5"/>
    <w:rsid w:val="00954018"/>
    <w:rsid w:val="009541C8"/>
    <w:rsid w:val="00954371"/>
    <w:rsid w:val="0095441D"/>
    <w:rsid w:val="009544F6"/>
    <w:rsid w:val="0095463E"/>
    <w:rsid w:val="009547DE"/>
    <w:rsid w:val="0095483F"/>
    <w:rsid w:val="0095485D"/>
    <w:rsid w:val="009548AB"/>
    <w:rsid w:val="009549D9"/>
    <w:rsid w:val="009549FB"/>
    <w:rsid w:val="00954AC4"/>
    <w:rsid w:val="00954D5F"/>
    <w:rsid w:val="00954F9C"/>
    <w:rsid w:val="009550AB"/>
    <w:rsid w:val="009551CE"/>
    <w:rsid w:val="009551D7"/>
    <w:rsid w:val="0095520E"/>
    <w:rsid w:val="0095522D"/>
    <w:rsid w:val="0095523B"/>
    <w:rsid w:val="00955349"/>
    <w:rsid w:val="00955562"/>
    <w:rsid w:val="0095564F"/>
    <w:rsid w:val="009556AF"/>
    <w:rsid w:val="00955755"/>
    <w:rsid w:val="0095579E"/>
    <w:rsid w:val="00955894"/>
    <w:rsid w:val="009558EB"/>
    <w:rsid w:val="00955942"/>
    <w:rsid w:val="00955B85"/>
    <w:rsid w:val="00955BA6"/>
    <w:rsid w:val="00955BC0"/>
    <w:rsid w:val="00955E53"/>
    <w:rsid w:val="00955E6E"/>
    <w:rsid w:val="00955FC1"/>
    <w:rsid w:val="00956046"/>
    <w:rsid w:val="00956203"/>
    <w:rsid w:val="009565FD"/>
    <w:rsid w:val="009567EB"/>
    <w:rsid w:val="009567FE"/>
    <w:rsid w:val="00956833"/>
    <w:rsid w:val="0095691B"/>
    <w:rsid w:val="00956A8E"/>
    <w:rsid w:val="00956AA7"/>
    <w:rsid w:val="00956B9B"/>
    <w:rsid w:val="00956DF1"/>
    <w:rsid w:val="00956EBC"/>
    <w:rsid w:val="00956FAD"/>
    <w:rsid w:val="0095700A"/>
    <w:rsid w:val="009571A2"/>
    <w:rsid w:val="009572D0"/>
    <w:rsid w:val="00957341"/>
    <w:rsid w:val="0095758F"/>
    <w:rsid w:val="0095762D"/>
    <w:rsid w:val="009576A8"/>
    <w:rsid w:val="00957711"/>
    <w:rsid w:val="0095777A"/>
    <w:rsid w:val="00957A49"/>
    <w:rsid w:val="00957A81"/>
    <w:rsid w:val="00957D86"/>
    <w:rsid w:val="00957E32"/>
    <w:rsid w:val="00957E4E"/>
    <w:rsid w:val="00957E80"/>
    <w:rsid w:val="00957FA4"/>
    <w:rsid w:val="009600D3"/>
    <w:rsid w:val="009601A5"/>
    <w:rsid w:val="0096020B"/>
    <w:rsid w:val="00960402"/>
    <w:rsid w:val="00960417"/>
    <w:rsid w:val="00960644"/>
    <w:rsid w:val="009606D8"/>
    <w:rsid w:val="00960730"/>
    <w:rsid w:val="00960963"/>
    <w:rsid w:val="00960FCD"/>
    <w:rsid w:val="0096123E"/>
    <w:rsid w:val="009613E2"/>
    <w:rsid w:val="00961640"/>
    <w:rsid w:val="00961674"/>
    <w:rsid w:val="00961793"/>
    <w:rsid w:val="00961856"/>
    <w:rsid w:val="009619D6"/>
    <w:rsid w:val="00961B3F"/>
    <w:rsid w:val="00961B49"/>
    <w:rsid w:val="00961B6C"/>
    <w:rsid w:val="00961BEF"/>
    <w:rsid w:val="00961D49"/>
    <w:rsid w:val="00961ECF"/>
    <w:rsid w:val="00962157"/>
    <w:rsid w:val="0096226F"/>
    <w:rsid w:val="00962287"/>
    <w:rsid w:val="009622C7"/>
    <w:rsid w:val="00962389"/>
    <w:rsid w:val="0096246C"/>
    <w:rsid w:val="00962517"/>
    <w:rsid w:val="00962545"/>
    <w:rsid w:val="0096266E"/>
    <w:rsid w:val="009626C3"/>
    <w:rsid w:val="0096294B"/>
    <w:rsid w:val="00962952"/>
    <w:rsid w:val="00962A92"/>
    <w:rsid w:val="00962DF6"/>
    <w:rsid w:val="00962E60"/>
    <w:rsid w:val="00962EB7"/>
    <w:rsid w:val="00962FC5"/>
    <w:rsid w:val="0096300F"/>
    <w:rsid w:val="009630A6"/>
    <w:rsid w:val="00963229"/>
    <w:rsid w:val="0096326A"/>
    <w:rsid w:val="00963346"/>
    <w:rsid w:val="009634B5"/>
    <w:rsid w:val="009634F5"/>
    <w:rsid w:val="00963501"/>
    <w:rsid w:val="00963544"/>
    <w:rsid w:val="009635B3"/>
    <w:rsid w:val="0096363E"/>
    <w:rsid w:val="00963796"/>
    <w:rsid w:val="00963A22"/>
    <w:rsid w:val="00963AF5"/>
    <w:rsid w:val="00963B83"/>
    <w:rsid w:val="00963BB4"/>
    <w:rsid w:val="00963CE9"/>
    <w:rsid w:val="00963D29"/>
    <w:rsid w:val="00963E8D"/>
    <w:rsid w:val="00963EC4"/>
    <w:rsid w:val="009641EC"/>
    <w:rsid w:val="0096453B"/>
    <w:rsid w:val="0096474F"/>
    <w:rsid w:val="00964A39"/>
    <w:rsid w:val="00964AF5"/>
    <w:rsid w:val="00964B0C"/>
    <w:rsid w:val="00964BFF"/>
    <w:rsid w:val="00964DF7"/>
    <w:rsid w:val="00964DFA"/>
    <w:rsid w:val="00964E18"/>
    <w:rsid w:val="00964F60"/>
    <w:rsid w:val="0096512A"/>
    <w:rsid w:val="009651C1"/>
    <w:rsid w:val="009653C8"/>
    <w:rsid w:val="009654FB"/>
    <w:rsid w:val="009655CC"/>
    <w:rsid w:val="00965745"/>
    <w:rsid w:val="00965783"/>
    <w:rsid w:val="009658EE"/>
    <w:rsid w:val="009659C7"/>
    <w:rsid w:val="00965AB2"/>
    <w:rsid w:val="00965BF3"/>
    <w:rsid w:val="00965CC8"/>
    <w:rsid w:val="00965D0D"/>
    <w:rsid w:val="00965E05"/>
    <w:rsid w:val="00965F75"/>
    <w:rsid w:val="00965FE7"/>
    <w:rsid w:val="009660C2"/>
    <w:rsid w:val="00966145"/>
    <w:rsid w:val="00966300"/>
    <w:rsid w:val="0096630B"/>
    <w:rsid w:val="0096642B"/>
    <w:rsid w:val="00966527"/>
    <w:rsid w:val="009666DD"/>
    <w:rsid w:val="009668A4"/>
    <w:rsid w:val="009669F4"/>
    <w:rsid w:val="00966AB9"/>
    <w:rsid w:val="00966BCB"/>
    <w:rsid w:val="00966BE3"/>
    <w:rsid w:val="00966F2E"/>
    <w:rsid w:val="00966F3B"/>
    <w:rsid w:val="00966FE3"/>
    <w:rsid w:val="009670EA"/>
    <w:rsid w:val="0096710D"/>
    <w:rsid w:val="009671F6"/>
    <w:rsid w:val="009672B9"/>
    <w:rsid w:val="00967493"/>
    <w:rsid w:val="009674FB"/>
    <w:rsid w:val="009675FF"/>
    <w:rsid w:val="0096769E"/>
    <w:rsid w:val="009677ED"/>
    <w:rsid w:val="00967901"/>
    <w:rsid w:val="00967935"/>
    <w:rsid w:val="00967B2B"/>
    <w:rsid w:val="00967DE4"/>
    <w:rsid w:val="00967E79"/>
    <w:rsid w:val="00967F96"/>
    <w:rsid w:val="009701A4"/>
    <w:rsid w:val="0097029A"/>
    <w:rsid w:val="00970485"/>
    <w:rsid w:val="00970706"/>
    <w:rsid w:val="009709F4"/>
    <w:rsid w:val="00970A59"/>
    <w:rsid w:val="00970A6D"/>
    <w:rsid w:val="00970AA4"/>
    <w:rsid w:val="00970C42"/>
    <w:rsid w:val="00970C94"/>
    <w:rsid w:val="0097107C"/>
    <w:rsid w:val="0097110E"/>
    <w:rsid w:val="00971146"/>
    <w:rsid w:val="0097117C"/>
    <w:rsid w:val="00971205"/>
    <w:rsid w:val="00971292"/>
    <w:rsid w:val="00971309"/>
    <w:rsid w:val="009713B0"/>
    <w:rsid w:val="009714F5"/>
    <w:rsid w:val="0097167E"/>
    <w:rsid w:val="009716DD"/>
    <w:rsid w:val="0097190F"/>
    <w:rsid w:val="0097194B"/>
    <w:rsid w:val="0097198D"/>
    <w:rsid w:val="00971AA8"/>
    <w:rsid w:val="00971BC0"/>
    <w:rsid w:val="00971BD1"/>
    <w:rsid w:val="00971CB9"/>
    <w:rsid w:val="00971D61"/>
    <w:rsid w:val="00971D9C"/>
    <w:rsid w:val="00971F5C"/>
    <w:rsid w:val="00971FBA"/>
    <w:rsid w:val="009720D5"/>
    <w:rsid w:val="00972190"/>
    <w:rsid w:val="009725EC"/>
    <w:rsid w:val="009726CE"/>
    <w:rsid w:val="00972798"/>
    <w:rsid w:val="009727D3"/>
    <w:rsid w:val="00972910"/>
    <w:rsid w:val="00972ACF"/>
    <w:rsid w:val="00972B46"/>
    <w:rsid w:val="00972BAF"/>
    <w:rsid w:val="00972BEB"/>
    <w:rsid w:val="00972CC2"/>
    <w:rsid w:val="00972E95"/>
    <w:rsid w:val="00972EC2"/>
    <w:rsid w:val="0097313A"/>
    <w:rsid w:val="009732EC"/>
    <w:rsid w:val="00973495"/>
    <w:rsid w:val="0097363D"/>
    <w:rsid w:val="00973647"/>
    <w:rsid w:val="0097372F"/>
    <w:rsid w:val="0097373A"/>
    <w:rsid w:val="0097375B"/>
    <w:rsid w:val="0097379E"/>
    <w:rsid w:val="009737D7"/>
    <w:rsid w:val="009737E5"/>
    <w:rsid w:val="00973A4D"/>
    <w:rsid w:val="00973AA5"/>
    <w:rsid w:val="00973B8F"/>
    <w:rsid w:val="00973CAB"/>
    <w:rsid w:val="00973D62"/>
    <w:rsid w:val="00973DD5"/>
    <w:rsid w:val="00973E6D"/>
    <w:rsid w:val="00974178"/>
    <w:rsid w:val="009743B4"/>
    <w:rsid w:val="0097441B"/>
    <w:rsid w:val="009747AD"/>
    <w:rsid w:val="00974831"/>
    <w:rsid w:val="009749E6"/>
    <w:rsid w:val="00974AFF"/>
    <w:rsid w:val="00974B8F"/>
    <w:rsid w:val="00974C7B"/>
    <w:rsid w:val="00974CC0"/>
    <w:rsid w:val="00974D0A"/>
    <w:rsid w:val="00974DD7"/>
    <w:rsid w:val="00974ED2"/>
    <w:rsid w:val="00974F00"/>
    <w:rsid w:val="009750FA"/>
    <w:rsid w:val="00975106"/>
    <w:rsid w:val="00975227"/>
    <w:rsid w:val="009755A3"/>
    <w:rsid w:val="009755A6"/>
    <w:rsid w:val="00975CA8"/>
    <w:rsid w:val="00975CE9"/>
    <w:rsid w:val="00975D20"/>
    <w:rsid w:val="00975D72"/>
    <w:rsid w:val="00975E00"/>
    <w:rsid w:val="00975E4D"/>
    <w:rsid w:val="009760E9"/>
    <w:rsid w:val="00976320"/>
    <w:rsid w:val="0097658F"/>
    <w:rsid w:val="009765A4"/>
    <w:rsid w:val="0097667E"/>
    <w:rsid w:val="0097675B"/>
    <w:rsid w:val="009767E0"/>
    <w:rsid w:val="009767EC"/>
    <w:rsid w:val="0097686E"/>
    <w:rsid w:val="00976914"/>
    <w:rsid w:val="00976994"/>
    <w:rsid w:val="009769F0"/>
    <w:rsid w:val="00976B2B"/>
    <w:rsid w:val="00976B40"/>
    <w:rsid w:val="00976C4F"/>
    <w:rsid w:val="00976C9B"/>
    <w:rsid w:val="00976F30"/>
    <w:rsid w:val="00976F33"/>
    <w:rsid w:val="009770C6"/>
    <w:rsid w:val="0097714D"/>
    <w:rsid w:val="00977161"/>
    <w:rsid w:val="0097730C"/>
    <w:rsid w:val="009773CD"/>
    <w:rsid w:val="0097759F"/>
    <w:rsid w:val="0097779F"/>
    <w:rsid w:val="00977A4C"/>
    <w:rsid w:val="00977B7F"/>
    <w:rsid w:val="00977B96"/>
    <w:rsid w:val="00977DAE"/>
    <w:rsid w:val="00980040"/>
    <w:rsid w:val="00980189"/>
    <w:rsid w:val="0098018C"/>
    <w:rsid w:val="00980335"/>
    <w:rsid w:val="009803AF"/>
    <w:rsid w:val="00980445"/>
    <w:rsid w:val="0098058D"/>
    <w:rsid w:val="009805D7"/>
    <w:rsid w:val="00980676"/>
    <w:rsid w:val="009806AD"/>
    <w:rsid w:val="00980902"/>
    <w:rsid w:val="00980B6F"/>
    <w:rsid w:val="00980DB0"/>
    <w:rsid w:val="00980DFE"/>
    <w:rsid w:val="00980E3C"/>
    <w:rsid w:val="00980E48"/>
    <w:rsid w:val="00980F90"/>
    <w:rsid w:val="00981426"/>
    <w:rsid w:val="0098176B"/>
    <w:rsid w:val="0098178B"/>
    <w:rsid w:val="00981A03"/>
    <w:rsid w:val="00981C54"/>
    <w:rsid w:val="00981CD7"/>
    <w:rsid w:val="00981DFF"/>
    <w:rsid w:val="00981EF3"/>
    <w:rsid w:val="00981F5C"/>
    <w:rsid w:val="00981FBD"/>
    <w:rsid w:val="00982057"/>
    <w:rsid w:val="009820C2"/>
    <w:rsid w:val="00982125"/>
    <w:rsid w:val="0098217C"/>
    <w:rsid w:val="00982181"/>
    <w:rsid w:val="009821CE"/>
    <w:rsid w:val="0098251D"/>
    <w:rsid w:val="009827B5"/>
    <w:rsid w:val="00982825"/>
    <w:rsid w:val="00982974"/>
    <w:rsid w:val="00982B7D"/>
    <w:rsid w:val="00982C21"/>
    <w:rsid w:val="00982CA9"/>
    <w:rsid w:val="00982D93"/>
    <w:rsid w:val="00982E34"/>
    <w:rsid w:val="009831B8"/>
    <w:rsid w:val="00983223"/>
    <w:rsid w:val="0098358F"/>
    <w:rsid w:val="0098362E"/>
    <w:rsid w:val="00983747"/>
    <w:rsid w:val="00983992"/>
    <w:rsid w:val="00983B23"/>
    <w:rsid w:val="00983C4E"/>
    <w:rsid w:val="00983E65"/>
    <w:rsid w:val="00983F2C"/>
    <w:rsid w:val="00983FE3"/>
    <w:rsid w:val="00984046"/>
    <w:rsid w:val="009840F1"/>
    <w:rsid w:val="0098415E"/>
    <w:rsid w:val="00984462"/>
    <w:rsid w:val="009844C2"/>
    <w:rsid w:val="00984505"/>
    <w:rsid w:val="00984907"/>
    <w:rsid w:val="00984A1E"/>
    <w:rsid w:val="00984A7F"/>
    <w:rsid w:val="00984AF3"/>
    <w:rsid w:val="00984B8C"/>
    <w:rsid w:val="00984BFE"/>
    <w:rsid w:val="00984E4C"/>
    <w:rsid w:val="00984E93"/>
    <w:rsid w:val="0098502D"/>
    <w:rsid w:val="009850F0"/>
    <w:rsid w:val="009852CF"/>
    <w:rsid w:val="009852D0"/>
    <w:rsid w:val="00985379"/>
    <w:rsid w:val="0098549D"/>
    <w:rsid w:val="0098576B"/>
    <w:rsid w:val="00985859"/>
    <w:rsid w:val="0098586E"/>
    <w:rsid w:val="00985906"/>
    <w:rsid w:val="00985BD0"/>
    <w:rsid w:val="00985FCE"/>
    <w:rsid w:val="0098624A"/>
    <w:rsid w:val="009862CB"/>
    <w:rsid w:val="0098639B"/>
    <w:rsid w:val="009863D2"/>
    <w:rsid w:val="0098655D"/>
    <w:rsid w:val="009865EA"/>
    <w:rsid w:val="00986722"/>
    <w:rsid w:val="00986727"/>
    <w:rsid w:val="0098673F"/>
    <w:rsid w:val="009867E3"/>
    <w:rsid w:val="00986936"/>
    <w:rsid w:val="0098697A"/>
    <w:rsid w:val="00986C02"/>
    <w:rsid w:val="00986DA2"/>
    <w:rsid w:val="00987245"/>
    <w:rsid w:val="0098725F"/>
    <w:rsid w:val="009873BB"/>
    <w:rsid w:val="009874C6"/>
    <w:rsid w:val="009874EC"/>
    <w:rsid w:val="0098761A"/>
    <w:rsid w:val="00987734"/>
    <w:rsid w:val="009878CA"/>
    <w:rsid w:val="00987B1A"/>
    <w:rsid w:val="00987CCD"/>
    <w:rsid w:val="00987E48"/>
    <w:rsid w:val="00987E6C"/>
    <w:rsid w:val="00987F93"/>
    <w:rsid w:val="00987FD2"/>
    <w:rsid w:val="00990169"/>
    <w:rsid w:val="00990450"/>
    <w:rsid w:val="00990503"/>
    <w:rsid w:val="00990540"/>
    <w:rsid w:val="009905E1"/>
    <w:rsid w:val="00990618"/>
    <w:rsid w:val="00990699"/>
    <w:rsid w:val="00990730"/>
    <w:rsid w:val="009909AD"/>
    <w:rsid w:val="00990B0D"/>
    <w:rsid w:val="00990B1B"/>
    <w:rsid w:val="00990BF8"/>
    <w:rsid w:val="00990CDB"/>
    <w:rsid w:val="00990CE5"/>
    <w:rsid w:val="00990ED4"/>
    <w:rsid w:val="00990EE8"/>
    <w:rsid w:val="00990F37"/>
    <w:rsid w:val="00990FB2"/>
    <w:rsid w:val="00991076"/>
    <w:rsid w:val="009911D0"/>
    <w:rsid w:val="0099137F"/>
    <w:rsid w:val="009913B2"/>
    <w:rsid w:val="009918B5"/>
    <w:rsid w:val="00991AA4"/>
    <w:rsid w:val="00991AC3"/>
    <w:rsid w:val="00991C6E"/>
    <w:rsid w:val="00991F46"/>
    <w:rsid w:val="00991FF1"/>
    <w:rsid w:val="0099210C"/>
    <w:rsid w:val="009923D7"/>
    <w:rsid w:val="00992403"/>
    <w:rsid w:val="00992440"/>
    <w:rsid w:val="009927E5"/>
    <w:rsid w:val="0099281F"/>
    <w:rsid w:val="00992901"/>
    <w:rsid w:val="00992A7D"/>
    <w:rsid w:val="00992BA0"/>
    <w:rsid w:val="00992BB3"/>
    <w:rsid w:val="00992BC4"/>
    <w:rsid w:val="00992BE9"/>
    <w:rsid w:val="00992C1D"/>
    <w:rsid w:val="00992C71"/>
    <w:rsid w:val="00992DF0"/>
    <w:rsid w:val="00992E3A"/>
    <w:rsid w:val="00993209"/>
    <w:rsid w:val="00993317"/>
    <w:rsid w:val="0099336C"/>
    <w:rsid w:val="00993417"/>
    <w:rsid w:val="00993652"/>
    <w:rsid w:val="009936DE"/>
    <w:rsid w:val="00993AD8"/>
    <w:rsid w:val="00993B03"/>
    <w:rsid w:val="00993CAA"/>
    <w:rsid w:val="00993CE2"/>
    <w:rsid w:val="00993D3B"/>
    <w:rsid w:val="00993D74"/>
    <w:rsid w:val="00993D93"/>
    <w:rsid w:val="00993E43"/>
    <w:rsid w:val="00993F07"/>
    <w:rsid w:val="00994046"/>
    <w:rsid w:val="0099408A"/>
    <w:rsid w:val="00994163"/>
    <w:rsid w:val="009942C5"/>
    <w:rsid w:val="009943CF"/>
    <w:rsid w:val="0099452D"/>
    <w:rsid w:val="009945CE"/>
    <w:rsid w:val="00994772"/>
    <w:rsid w:val="009947D6"/>
    <w:rsid w:val="0099481C"/>
    <w:rsid w:val="00994885"/>
    <w:rsid w:val="009949CC"/>
    <w:rsid w:val="00994A68"/>
    <w:rsid w:val="00994AA1"/>
    <w:rsid w:val="00994BCC"/>
    <w:rsid w:val="00994DCC"/>
    <w:rsid w:val="00994F12"/>
    <w:rsid w:val="00994F6A"/>
    <w:rsid w:val="00994FC5"/>
    <w:rsid w:val="009951D3"/>
    <w:rsid w:val="009951FF"/>
    <w:rsid w:val="009952AC"/>
    <w:rsid w:val="009952F5"/>
    <w:rsid w:val="00995624"/>
    <w:rsid w:val="009957EC"/>
    <w:rsid w:val="009959A9"/>
    <w:rsid w:val="00995A80"/>
    <w:rsid w:val="00995B05"/>
    <w:rsid w:val="00995C05"/>
    <w:rsid w:val="00995D00"/>
    <w:rsid w:val="00996135"/>
    <w:rsid w:val="00996389"/>
    <w:rsid w:val="0099640A"/>
    <w:rsid w:val="0099642C"/>
    <w:rsid w:val="009964A5"/>
    <w:rsid w:val="009964FF"/>
    <w:rsid w:val="00996515"/>
    <w:rsid w:val="00996518"/>
    <w:rsid w:val="00996536"/>
    <w:rsid w:val="00996C40"/>
    <w:rsid w:val="00996CDD"/>
    <w:rsid w:val="00996ED2"/>
    <w:rsid w:val="00997084"/>
    <w:rsid w:val="009973A5"/>
    <w:rsid w:val="009975EE"/>
    <w:rsid w:val="0099783B"/>
    <w:rsid w:val="00997A53"/>
    <w:rsid w:val="00997B15"/>
    <w:rsid w:val="00997CE7"/>
    <w:rsid w:val="00997D6F"/>
    <w:rsid w:val="00997FCB"/>
    <w:rsid w:val="009A0082"/>
    <w:rsid w:val="009A013E"/>
    <w:rsid w:val="009A01A4"/>
    <w:rsid w:val="009A0206"/>
    <w:rsid w:val="009A028E"/>
    <w:rsid w:val="009A040F"/>
    <w:rsid w:val="009A0455"/>
    <w:rsid w:val="009A0502"/>
    <w:rsid w:val="009A0544"/>
    <w:rsid w:val="009A0806"/>
    <w:rsid w:val="009A0841"/>
    <w:rsid w:val="009A09AE"/>
    <w:rsid w:val="009A0A7D"/>
    <w:rsid w:val="009A0AB5"/>
    <w:rsid w:val="009A0D99"/>
    <w:rsid w:val="009A10D9"/>
    <w:rsid w:val="009A1271"/>
    <w:rsid w:val="009A15F5"/>
    <w:rsid w:val="009A166C"/>
    <w:rsid w:val="009A16F0"/>
    <w:rsid w:val="009A17BC"/>
    <w:rsid w:val="009A1871"/>
    <w:rsid w:val="009A19C6"/>
    <w:rsid w:val="009A1ADD"/>
    <w:rsid w:val="009A1EA4"/>
    <w:rsid w:val="009A1F30"/>
    <w:rsid w:val="009A1FDC"/>
    <w:rsid w:val="009A203F"/>
    <w:rsid w:val="009A20A3"/>
    <w:rsid w:val="009A2141"/>
    <w:rsid w:val="009A2207"/>
    <w:rsid w:val="009A26A0"/>
    <w:rsid w:val="009A26DE"/>
    <w:rsid w:val="009A277E"/>
    <w:rsid w:val="009A27F8"/>
    <w:rsid w:val="009A29F0"/>
    <w:rsid w:val="009A2AB5"/>
    <w:rsid w:val="009A2AD0"/>
    <w:rsid w:val="009A2AFE"/>
    <w:rsid w:val="009A2C84"/>
    <w:rsid w:val="009A2CA5"/>
    <w:rsid w:val="009A2E59"/>
    <w:rsid w:val="009A2F3B"/>
    <w:rsid w:val="009A2F4E"/>
    <w:rsid w:val="009A3168"/>
    <w:rsid w:val="009A3292"/>
    <w:rsid w:val="009A360E"/>
    <w:rsid w:val="009A3697"/>
    <w:rsid w:val="009A39F4"/>
    <w:rsid w:val="009A3B4A"/>
    <w:rsid w:val="009A3C64"/>
    <w:rsid w:val="009A3E08"/>
    <w:rsid w:val="009A3F50"/>
    <w:rsid w:val="009A4121"/>
    <w:rsid w:val="009A4459"/>
    <w:rsid w:val="009A44A0"/>
    <w:rsid w:val="009A468F"/>
    <w:rsid w:val="009A47C8"/>
    <w:rsid w:val="009A47D1"/>
    <w:rsid w:val="009A47F6"/>
    <w:rsid w:val="009A490A"/>
    <w:rsid w:val="009A4992"/>
    <w:rsid w:val="009A49B3"/>
    <w:rsid w:val="009A4A14"/>
    <w:rsid w:val="009A4AEB"/>
    <w:rsid w:val="009A4C0F"/>
    <w:rsid w:val="009A4EDB"/>
    <w:rsid w:val="009A5286"/>
    <w:rsid w:val="009A5291"/>
    <w:rsid w:val="009A53F2"/>
    <w:rsid w:val="009A5489"/>
    <w:rsid w:val="009A54F0"/>
    <w:rsid w:val="009A585F"/>
    <w:rsid w:val="009A58BD"/>
    <w:rsid w:val="009A58D6"/>
    <w:rsid w:val="009A5D7B"/>
    <w:rsid w:val="009A5E8C"/>
    <w:rsid w:val="009A5F8E"/>
    <w:rsid w:val="009A60B7"/>
    <w:rsid w:val="009A6156"/>
    <w:rsid w:val="009A61FD"/>
    <w:rsid w:val="009A6232"/>
    <w:rsid w:val="009A6252"/>
    <w:rsid w:val="009A63F7"/>
    <w:rsid w:val="009A657B"/>
    <w:rsid w:val="009A658F"/>
    <w:rsid w:val="009A668A"/>
    <w:rsid w:val="009A6692"/>
    <w:rsid w:val="009A67B7"/>
    <w:rsid w:val="009A68C9"/>
    <w:rsid w:val="009A6AD9"/>
    <w:rsid w:val="009A6BCE"/>
    <w:rsid w:val="009A6C3D"/>
    <w:rsid w:val="009A6C8A"/>
    <w:rsid w:val="009A6D18"/>
    <w:rsid w:val="009A6EF9"/>
    <w:rsid w:val="009A6F44"/>
    <w:rsid w:val="009A6FCA"/>
    <w:rsid w:val="009A70B9"/>
    <w:rsid w:val="009A711D"/>
    <w:rsid w:val="009A7125"/>
    <w:rsid w:val="009A7147"/>
    <w:rsid w:val="009A7206"/>
    <w:rsid w:val="009A7298"/>
    <w:rsid w:val="009A72CA"/>
    <w:rsid w:val="009A72FB"/>
    <w:rsid w:val="009A7332"/>
    <w:rsid w:val="009A7388"/>
    <w:rsid w:val="009A73CB"/>
    <w:rsid w:val="009A76C4"/>
    <w:rsid w:val="009A7704"/>
    <w:rsid w:val="009A7831"/>
    <w:rsid w:val="009A7A3B"/>
    <w:rsid w:val="009A7A71"/>
    <w:rsid w:val="009A7A96"/>
    <w:rsid w:val="009A7D9B"/>
    <w:rsid w:val="009A7F48"/>
    <w:rsid w:val="009A7FBE"/>
    <w:rsid w:val="009B004A"/>
    <w:rsid w:val="009B00AC"/>
    <w:rsid w:val="009B0244"/>
    <w:rsid w:val="009B05D6"/>
    <w:rsid w:val="009B0693"/>
    <w:rsid w:val="009B07BE"/>
    <w:rsid w:val="009B07CE"/>
    <w:rsid w:val="009B07E8"/>
    <w:rsid w:val="009B0820"/>
    <w:rsid w:val="009B0D1D"/>
    <w:rsid w:val="009B0E56"/>
    <w:rsid w:val="009B1080"/>
    <w:rsid w:val="009B1142"/>
    <w:rsid w:val="009B12AA"/>
    <w:rsid w:val="009B137A"/>
    <w:rsid w:val="009B145C"/>
    <w:rsid w:val="009B14F4"/>
    <w:rsid w:val="009B15F6"/>
    <w:rsid w:val="009B18C3"/>
    <w:rsid w:val="009B199E"/>
    <w:rsid w:val="009B19FC"/>
    <w:rsid w:val="009B1A65"/>
    <w:rsid w:val="009B1AF1"/>
    <w:rsid w:val="009B1B84"/>
    <w:rsid w:val="009B1D4C"/>
    <w:rsid w:val="009B1E62"/>
    <w:rsid w:val="009B1F74"/>
    <w:rsid w:val="009B1FEF"/>
    <w:rsid w:val="009B1FFC"/>
    <w:rsid w:val="009B2177"/>
    <w:rsid w:val="009B2359"/>
    <w:rsid w:val="009B23C6"/>
    <w:rsid w:val="009B23CF"/>
    <w:rsid w:val="009B23F4"/>
    <w:rsid w:val="009B2428"/>
    <w:rsid w:val="009B24E5"/>
    <w:rsid w:val="009B2655"/>
    <w:rsid w:val="009B26B9"/>
    <w:rsid w:val="009B273E"/>
    <w:rsid w:val="009B2923"/>
    <w:rsid w:val="009B2A41"/>
    <w:rsid w:val="009B2B4F"/>
    <w:rsid w:val="009B2C30"/>
    <w:rsid w:val="009B2C3F"/>
    <w:rsid w:val="009B2CCC"/>
    <w:rsid w:val="009B2E8F"/>
    <w:rsid w:val="009B2EFB"/>
    <w:rsid w:val="009B2F4C"/>
    <w:rsid w:val="009B3117"/>
    <w:rsid w:val="009B33CE"/>
    <w:rsid w:val="009B34B5"/>
    <w:rsid w:val="009B3A5E"/>
    <w:rsid w:val="009B3A6B"/>
    <w:rsid w:val="009B3AEF"/>
    <w:rsid w:val="009B3C73"/>
    <w:rsid w:val="009B3EB4"/>
    <w:rsid w:val="009B3EFB"/>
    <w:rsid w:val="009B3F5D"/>
    <w:rsid w:val="009B413C"/>
    <w:rsid w:val="009B4190"/>
    <w:rsid w:val="009B4205"/>
    <w:rsid w:val="009B4415"/>
    <w:rsid w:val="009B460E"/>
    <w:rsid w:val="009B4645"/>
    <w:rsid w:val="009B485F"/>
    <w:rsid w:val="009B4BC0"/>
    <w:rsid w:val="009B4EF3"/>
    <w:rsid w:val="009B4F0E"/>
    <w:rsid w:val="009B4FBF"/>
    <w:rsid w:val="009B5066"/>
    <w:rsid w:val="009B51B9"/>
    <w:rsid w:val="009B51E9"/>
    <w:rsid w:val="009B53EE"/>
    <w:rsid w:val="009B545C"/>
    <w:rsid w:val="009B5678"/>
    <w:rsid w:val="009B58E8"/>
    <w:rsid w:val="009B5BCD"/>
    <w:rsid w:val="009B5CBC"/>
    <w:rsid w:val="009B5DE6"/>
    <w:rsid w:val="009B60A9"/>
    <w:rsid w:val="009B62AE"/>
    <w:rsid w:val="009B63AD"/>
    <w:rsid w:val="009B63F1"/>
    <w:rsid w:val="009B659A"/>
    <w:rsid w:val="009B65E3"/>
    <w:rsid w:val="009B66D4"/>
    <w:rsid w:val="009B694F"/>
    <w:rsid w:val="009B6AF8"/>
    <w:rsid w:val="009B6B91"/>
    <w:rsid w:val="009B6CE4"/>
    <w:rsid w:val="009B6D41"/>
    <w:rsid w:val="009B6DD7"/>
    <w:rsid w:val="009B7140"/>
    <w:rsid w:val="009B74BF"/>
    <w:rsid w:val="009B75B0"/>
    <w:rsid w:val="009B75B6"/>
    <w:rsid w:val="009B77B2"/>
    <w:rsid w:val="009B7813"/>
    <w:rsid w:val="009B7AA4"/>
    <w:rsid w:val="009B7B0D"/>
    <w:rsid w:val="009B7C26"/>
    <w:rsid w:val="009B7D61"/>
    <w:rsid w:val="009C0106"/>
    <w:rsid w:val="009C0110"/>
    <w:rsid w:val="009C0342"/>
    <w:rsid w:val="009C0406"/>
    <w:rsid w:val="009C0451"/>
    <w:rsid w:val="009C04DD"/>
    <w:rsid w:val="009C063F"/>
    <w:rsid w:val="009C075B"/>
    <w:rsid w:val="009C089E"/>
    <w:rsid w:val="009C0907"/>
    <w:rsid w:val="009C09DB"/>
    <w:rsid w:val="009C0A43"/>
    <w:rsid w:val="009C0A64"/>
    <w:rsid w:val="009C0AC8"/>
    <w:rsid w:val="009C0B34"/>
    <w:rsid w:val="009C0BAD"/>
    <w:rsid w:val="009C0BE4"/>
    <w:rsid w:val="009C0DFB"/>
    <w:rsid w:val="009C0FE7"/>
    <w:rsid w:val="009C1129"/>
    <w:rsid w:val="009C126A"/>
    <w:rsid w:val="009C1354"/>
    <w:rsid w:val="009C1482"/>
    <w:rsid w:val="009C155A"/>
    <w:rsid w:val="009C15EA"/>
    <w:rsid w:val="009C1639"/>
    <w:rsid w:val="009C1699"/>
    <w:rsid w:val="009C169D"/>
    <w:rsid w:val="009C1801"/>
    <w:rsid w:val="009C181B"/>
    <w:rsid w:val="009C1A16"/>
    <w:rsid w:val="009C1B48"/>
    <w:rsid w:val="009C1B5D"/>
    <w:rsid w:val="009C1B7F"/>
    <w:rsid w:val="009C1C50"/>
    <w:rsid w:val="009C1CB9"/>
    <w:rsid w:val="009C1F65"/>
    <w:rsid w:val="009C1F76"/>
    <w:rsid w:val="009C2165"/>
    <w:rsid w:val="009C21E0"/>
    <w:rsid w:val="009C21EE"/>
    <w:rsid w:val="009C2232"/>
    <w:rsid w:val="009C2239"/>
    <w:rsid w:val="009C2261"/>
    <w:rsid w:val="009C2629"/>
    <w:rsid w:val="009C2830"/>
    <w:rsid w:val="009C28CF"/>
    <w:rsid w:val="009C2A67"/>
    <w:rsid w:val="009C2AE2"/>
    <w:rsid w:val="009C2B58"/>
    <w:rsid w:val="009C2BB1"/>
    <w:rsid w:val="009C2BBA"/>
    <w:rsid w:val="009C2CA5"/>
    <w:rsid w:val="009C2E47"/>
    <w:rsid w:val="009C3165"/>
    <w:rsid w:val="009C330A"/>
    <w:rsid w:val="009C3422"/>
    <w:rsid w:val="009C3515"/>
    <w:rsid w:val="009C3537"/>
    <w:rsid w:val="009C3CF3"/>
    <w:rsid w:val="009C3D89"/>
    <w:rsid w:val="009C3F01"/>
    <w:rsid w:val="009C3FA8"/>
    <w:rsid w:val="009C4038"/>
    <w:rsid w:val="009C4070"/>
    <w:rsid w:val="009C4511"/>
    <w:rsid w:val="009C4567"/>
    <w:rsid w:val="009C47D3"/>
    <w:rsid w:val="009C4970"/>
    <w:rsid w:val="009C4A66"/>
    <w:rsid w:val="009C4B8F"/>
    <w:rsid w:val="009C4E49"/>
    <w:rsid w:val="009C4F10"/>
    <w:rsid w:val="009C4F36"/>
    <w:rsid w:val="009C4F88"/>
    <w:rsid w:val="009C50A5"/>
    <w:rsid w:val="009C545A"/>
    <w:rsid w:val="009C5470"/>
    <w:rsid w:val="009C5891"/>
    <w:rsid w:val="009C5897"/>
    <w:rsid w:val="009C593B"/>
    <w:rsid w:val="009C5AD9"/>
    <w:rsid w:val="009C5B9A"/>
    <w:rsid w:val="009C5F02"/>
    <w:rsid w:val="009C5F38"/>
    <w:rsid w:val="009C5F49"/>
    <w:rsid w:val="009C6023"/>
    <w:rsid w:val="009C606F"/>
    <w:rsid w:val="009C628F"/>
    <w:rsid w:val="009C6346"/>
    <w:rsid w:val="009C6408"/>
    <w:rsid w:val="009C6655"/>
    <w:rsid w:val="009C6AE2"/>
    <w:rsid w:val="009C6C16"/>
    <w:rsid w:val="009C6DBC"/>
    <w:rsid w:val="009C6FF1"/>
    <w:rsid w:val="009C703E"/>
    <w:rsid w:val="009C712F"/>
    <w:rsid w:val="009C718C"/>
    <w:rsid w:val="009C724A"/>
    <w:rsid w:val="009C72B9"/>
    <w:rsid w:val="009C72F2"/>
    <w:rsid w:val="009C73A1"/>
    <w:rsid w:val="009C75BA"/>
    <w:rsid w:val="009C7895"/>
    <w:rsid w:val="009C799B"/>
    <w:rsid w:val="009C7A38"/>
    <w:rsid w:val="009C7A72"/>
    <w:rsid w:val="009C7BCE"/>
    <w:rsid w:val="009C7CDD"/>
    <w:rsid w:val="009C7FC6"/>
    <w:rsid w:val="009D0016"/>
    <w:rsid w:val="009D0450"/>
    <w:rsid w:val="009D049E"/>
    <w:rsid w:val="009D0693"/>
    <w:rsid w:val="009D06C7"/>
    <w:rsid w:val="009D0811"/>
    <w:rsid w:val="009D0983"/>
    <w:rsid w:val="009D0B28"/>
    <w:rsid w:val="009D0C81"/>
    <w:rsid w:val="009D0D6D"/>
    <w:rsid w:val="009D0EC7"/>
    <w:rsid w:val="009D0EC8"/>
    <w:rsid w:val="009D0FAE"/>
    <w:rsid w:val="009D1011"/>
    <w:rsid w:val="009D12B2"/>
    <w:rsid w:val="009D1336"/>
    <w:rsid w:val="009D13C7"/>
    <w:rsid w:val="009D145E"/>
    <w:rsid w:val="009D1532"/>
    <w:rsid w:val="009D1787"/>
    <w:rsid w:val="009D17CE"/>
    <w:rsid w:val="009D1865"/>
    <w:rsid w:val="009D1892"/>
    <w:rsid w:val="009D19B9"/>
    <w:rsid w:val="009D1AB6"/>
    <w:rsid w:val="009D1AFC"/>
    <w:rsid w:val="009D1C02"/>
    <w:rsid w:val="009D1F77"/>
    <w:rsid w:val="009D21F9"/>
    <w:rsid w:val="009D231E"/>
    <w:rsid w:val="009D2487"/>
    <w:rsid w:val="009D25AD"/>
    <w:rsid w:val="009D2614"/>
    <w:rsid w:val="009D2828"/>
    <w:rsid w:val="009D2835"/>
    <w:rsid w:val="009D2840"/>
    <w:rsid w:val="009D29D9"/>
    <w:rsid w:val="009D2E36"/>
    <w:rsid w:val="009D30CD"/>
    <w:rsid w:val="009D3146"/>
    <w:rsid w:val="009D315C"/>
    <w:rsid w:val="009D33FB"/>
    <w:rsid w:val="009D36C6"/>
    <w:rsid w:val="009D385A"/>
    <w:rsid w:val="009D397A"/>
    <w:rsid w:val="009D3B51"/>
    <w:rsid w:val="009D3BD5"/>
    <w:rsid w:val="009D3D29"/>
    <w:rsid w:val="009D4154"/>
    <w:rsid w:val="009D42A3"/>
    <w:rsid w:val="009D460F"/>
    <w:rsid w:val="009D48B5"/>
    <w:rsid w:val="009D4C58"/>
    <w:rsid w:val="009D4D66"/>
    <w:rsid w:val="009D5017"/>
    <w:rsid w:val="009D5268"/>
    <w:rsid w:val="009D53D5"/>
    <w:rsid w:val="009D55FC"/>
    <w:rsid w:val="009D5648"/>
    <w:rsid w:val="009D581C"/>
    <w:rsid w:val="009D5940"/>
    <w:rsid w:val="009D59D9"/>
    <w:rsid w:val="009D5B97"/>
    <w:rsid w:val="009D5C95"/>
    <w:rsid w:val="009D5DCB"/>
    <w:rsid w:val="009D5E8C"/>
    <w:rsid w:val="009D5ED7"/>
    <w:rsid w:val="009D5F5E"/>
    <w:rsid w:val="009D602D"/>
    <w:rsid w:val="009D626B"/>
    <w:rsid w:val="009D6315"/>
    <w:rsid w:val="009D634A"/>
    <w:rsid w:val="009D6352"/>
    <w:rsid w:val="009D638B"/>
    <w:rsid w:val="009D6403"/>
    <w:rsid w:val="009D656D"/>
    <w:rsid w:val="009D6692"/>
    <w:rsid w:val="009D6869"/>
    <w:rsid w:val="009D6A4A"/>
    <w:rsid w:val="009D6AE3"/>
    <w:rsid w:val="009D6B13"/>
    <w:rsid w:val="009D6CCB"/>
    <w:rsid w:val="009D703C"/>
    <w:rsid w:val="009D70F9"/>
    <w:rsid w:val="009D7201"/>
    <w:rsid w:val="009D729C"/>
    <w:rsid w:val="009D7570"/>
    <w:rsid w:val="009D77CC"/>
    <w:rsid w:val="009D77ED"/>
    <w:rsid w:val="009D7908"/>
    <w:rsid w:val="009D7997"/>
    <w:rsid w:val="009D7AAF"/>
    <w:rsid w:val="009D7CB5"/>
    <w:rsid w:val="009D7D14"/>
    <w:rsid w:val="009D7D67"/>
    <w:rsid w:val="009D7F60"/>
    <w:rsid w:val="009E005D"/>
    <w:rsid w:val="009E031F"/>
    <w:rsid w:val="009E035A"/>
    <w:rsid w:val="009E093C"/>
    <w:rsid w:val="009E0985"/>
    <w:rsid w:val="009E09E2"/>
    <w:rsid w:val="009E0B02"/>
    <w:rsid w:val="009E0B64"/>
    <w:rsid w:val="009E0FC5"/>
    <w:rsid w:val="009E1003"/>
    <w:rsid w:val="009E1185"/>
    <w:rsid w:val="009E1547"/>
    <w:rsid w:val="009E15D8"/>
    <w:rsid w:val="009E16BD"/>
    <w:rsid w:val="009E1810"/>
    <w:rsid w:val="009E19B8"/>
    <w:rsid w:val="009E1AB1"/>
    <w:rsid w:val="009E1AD9"/>
    <w:rsid w:val="009E1B3B"/>
    <w:rsid w:val="009E1FFF"/>
    <w:rsid w:val="009E21DB"/>
    <w:rsid w:val="009E22D7"/>
    <w:rsid w:val="009E234C"/>
    <w:rsid w:val="009E23A2"/>
    <w:rsid w:val="009E23DB"/>
    <w:rsid w:val="009E262F"/>
    <w:rsid w:val="009E27B3"/>
    <w:rsid w:val="009E27EA"/>
    <w:rsid w:val="009E2870"/>
    <w:rsid w:val="009E28B1"/>
    <w:rsid w:val="009E2981"/>
    <w:rsid w:val="009E29D4"/>
    <w:rsid w:val="009E2A4E"/>
    <w:rsid w:val="009E2E18"/>
    <w:rsid w:val="009E2F70"/>
    <w:rsid w:val="009E305E"/>
    <w:rsid w:val="009E3140"/>
    <w:rsid w:val="009E3203"/>
    <w:rsid w:val="009E3586"/>
    <w:rsid w:val="009E35CB"/>
    <w:rsid w:val="009E3822"/>
    <w:rsid w:val="009E3B3B"/>
    <w:rsid w:val="009E3F20"/>
    <w:rsid w:val="009E3FD3"/>
    <w:rsid w:val="009E417A"/>
    <w:rsid w:val="009E46D1"/>
    <w:rsid w:val="009E4AA1"/>
    <w:rsid w:val="009E4AEB"/>
    <w:rsid w:val="009E4DD2"/>
    <w:rsid w:val="009E4DF9"/>
    <w:rsid w:val="009E4E80"/>
    <w:rsid w:val="009E4FA4"/>
    <w:rsid w:val="009E5062"/>
    <w:rsid w:val="009E5091"/>
    <w:rsid w:val="009E50C0"/>
    <w:rsid w:val="009E5125"/>
    <w:rsid w:val="009E520E"/>
    <w:rsid w:val="009E53E9"/>
    <w:rsid w:val="009E55E0"/>
    <w:rsid w:val="009E579D"/>
    <w:rsid w:val="009E57B8"/>
    <w:rsid w:val="009E592B"/>
    <w:rsid w:val="009E5AF9"/>
    <w:rsid w:val="009E5B84"/>
    <w:rsid w:val="009E5CDB"/>
    <w:rsid w:val="009E5D06"/>
    <w:rsid w:val="009E658D"/>
    <w:rsid w:val="009E665B"/>
    <w:rsid w:val="009E668A"/>
    <w:rsid w:val="009E66B6"/>
    <w:rsid w:val="009E6756"/>
    <w:rsid w:val="009E680D"/>
    <w:rsid w:val="009E69B3"/>
    <w:rsid w:val="009E6C26"/>
    <w:rsid w:val="009E6C57"/>
    <w:rsid w:val="009E6D1E"/>
    <w:rsid w:val="009E6DB6"/>
    <w:rsid w:val="009E6E52"/>
    <w:rsid w:val="009E6E97"/>
    <w:rsid w:val="009E6EC6"/>
    <w:rsid w:val="009E6FDB"/>
    <w:rsid w:val="009E71FF"/>
    <w:rsid w:val="009E7299"/>
    <w:rsid w:val="009E744D"/>
    <w:rsid w:val="009E7518"/>
    <w:rsid w:val="009E75B0"/>
    <w:rsid w:val="009E772C"/>
    <w:rsid w:val="009E77BC"/>
    <w:rsid w:val="009E7845"/>
    <w:rsid w:val="009E786D"/>
    <w:rsid w:val="009E7A40"/>
    <w:rsid w:val="009E7BE7"/>
    <w:rsid w:val="009E7C15"/>
    <w:rsid w:val="009E7E73"/>
    <w:rsid w:val="009E7E84"/>
    <w:rsid w:val="009E7E92"/>
    <w:rsid w:val="009F00AC"/>
    <w:rsid w:val="009F039E"/>
    <w:rsid w:val="009F03A8"/>
    <w:rsid w:val="009F03FB"/>
    <w:rsid w:val="009F046C"/>
    <w:rsid w:val="009F04B8"/>
    <w:rsid w:val="009F054B"/>
    <w:rsid w:val="009F07E0"/>
    <w:rsid w:val="009F07F9"/>
    <w:rsid w:val="009F081F"/>
    <w:rsid w:val="009F0876"/>
    <w:rsid w:val="009F0CCF"/>
    <w:rsid w:val="009F1392"/>
    <w:rsid w:val="009F13AF"/>
    <w:rsid w:val="009F1474"/>
    <w:rsid w:val="009F166D"/>
    <w:rsid w:val="009F1752"/>
    <w:rsid w:val="009F17D3"/>
    <w:rsid w:val="009F17F0"/>
    <w:rsid w:val="009F184E"/>
    <w:rsid w:val="009F191A"/>
    <w:rsid w:val="009F1982"/>
    <w:rsid w:val="009F1AE3"/>
    <w:rsid w:val="009F1B9B"/>
    <w:rsid w:val="009F1C85"/>
    <w:rsid w:val="009F1D5D"/>
    <w:rsid w:val="009F1DE9"/>
    <w:rsid w:val="009F1E67"/>
    <w:rsid w:val="009F1F15"/>
    <w:rsid w:val="009F21D8"/>
    <w:rsid w:val="009F2296"/>
    <w:rsid w:val="009F23A6"/>
    <w:rsid w:val="009F249B"/>
    <w:rsid w:val="009F26E4"/>
    <w:rsid w:val="009F2740"/>
    <w:rsid w:val="009F281A"/>
    <w:rsid w:val="009F28EF"/>
    <w:rsid w:val="009F2AF3"/>
    <w:rsid w:val="009F2CC6"/>
    <w:rsid w:val="009F2CED"/>
    <w:rsid w:val="009F3042"/>
    <w:rsid w:val="009F3103"/>
    <w:rsid w:val="009F3299"/>
    <w:rsid w:val="009F33E8"/>
    <w:rsid w:val="009F33F2"/>
    <w:rsid w:val="009F34D4"/>
    <w:rsid w:val="009F35D0"/>
    <w:rsid w:val="009F35F9"/>
    <w:rsid w:val="009F3905"/>
    <w:rsid w:val="009F3D3F"/>
    <w:rsid w:val="009F400B"/>
    <w:rsid w:val="009F420F"/>
    <w:rsid w:val="009F42FB"/>
    <w:rsid w:val="009F4355"/>
    <w:rsid w:val="009F448F"/>
    <w:rsid w:val="009F47BD"/>
    <w:rsid w:val="009F4961"/>
    <w:rsid w:val="009F49DE"/>
    <w:rsid w:val="009F4B3C"/>
    <w:rsid w:val="009F4F2F"/>
    <w:rsid w:val="009F5031"/>
    <w:rsid w:val="009F50EA"/>
    <w:rsid w:val="009F5244"/>
    <w:rsid w:val="009F52D9"/>
    <w:rsid w:val="009F53A5"/>
    <w:rsid w:val="009F56F1"/>
    <w:rsid w:val="009F57C9"/>
    <w:rsid w:val="009F5A44"/>
    <w:rsid w:val="009F5B0D"/>
    <w:rsid w:val="009F5BBD"/>
    <w:rsid w:val="009F5CC2"/>
    <w:rsid w:val="009F5D21"/>
    <w:rsid w:val="009F5E24"/>
    <w:rsid w:val="009F5FC5"/>
    <w:rsid w:val="009F603D"/>
    <w:rsid w:val="009F60DB"/>
    <w:rsid w:val="009F6108"/>
    <w:rsid w:val="009F63A0"/>
    <w:rsid w:val="009F64A0"/>
    <w:rsid w:val="009F670E"/>
    <w:rsid w:val="009F6791"/>
    <w:rsid w:val="009F69B0"/>
    <w:rsid w:val="009F6B20"/>
    <w:rsid w:val="009F6B4D"/>
    <w:rsid w:val="009F6C33"/>
    <w:rsid w:val="009F6CFB"/>
    <w:rsid w:val="009F6DC2"/>
    <w:rsid w:val="009F6E68"/>
    <w:rsid w:val="009F7112"/>
    <w:rsid w:val="009F71C6"/>
    <w:rsid w:val="009F7371"/>
    <w:rsid w:val="009F73CF"/>
    <w:rsid w:val="009F7414"/>
    <w:rsid w:val="009F754E"/>
    <w:rsid w:val="009F773D"/>
    <w:rsid w:val="009F7779"/>
    <w:rsid w:val="009F7A39"/>
    <w:rsid w:val="009F7AA9"/>
    <w:rsid w:val="009F7B3B"/>
    <w:rsid w:val="009F7BB5"/>
    <w:rsid w:val="009F7D49"/>
    <w:rsid w:val="009F7D8D"/>
    <w:rsid w:val="009F7E94"/>
    <w:rsid w:val="009F7FF9"/>
    <w:rsid w:val="00A00093"/>
    <w:rsid w:val="00A003A1"/>
    <w:rsid w:val="00A003CE"/>
    <w:rsid w:val="00A0044C"/>
    <w:rsid w:val="00A004CE"/>
    <w:rsid w:val="00A005AF"/>
    <w:rsid w:val="00A00665"/>
    <w:rsid w:val="00A0070E"/>
    <w:rsid w:val="00A0071E"/>
    <w:rsid w:val="00A0088C"/>
    <w:rsid w:val="00A00978"/>
    <w:rsid w:val="00A00A78"/>
    <w:rsid w:val="00A00A87"/>
    <w:rsid w:val="00A00C18"/>
    <w:rsid w:val="00A00C69"/>
    <w:rsid w:val="00A00D2E"/>
    <w:rsid w:val="00A00DB3"/>
    <w:rsid w:val="00A00DDB"/>
    <w:rsid w:val="00A00E1E"/>
    <w:rsid w:val="00A00E5A"/>
    <w:rsid w:val="00A00EA9"/>
    <w:rsid w:val="00A00F6E"/>
    <w:rsid w:val="00A0113D"/>
    <w:rsid w:val="00A0124B"/>
    <w:rsid w:val="00A01274"/>
    <w:rsid w:val="00A01397"/>
    <w:rsid w:val="00A0143A"/>
    <w:rsid w:val="00A015D5"/>
    <w:rsid w:val="00A01769"/>
    <w:rsid w:val="00A01788"/>
    <w:rsid w:val="00A017D7"/>
    <w:rsid w:val="00A01826"/>
    <w:rsid w:val="00A019C5"/>
    <w:rsid w:val="00A01A40"/>
    <w:rsid w:val="00A01B6D"/>
    <w:rsid w:val="00A01C78"/>
    <w:rsid w:val="00A01D75"/>
    <w:rsid w:val="00A01E35"/>
    <w:rsid w:val="00A01EAC"/>
    <w:rsid w:val="00A01EBF"/>
    <w:rsid w:val="00A01F93"/>
    <w:rsid w:val="00A02109"/>
    <w:rsid w:val="00A021A2"/>
    <w:rsid w:val="00A0223A"/>
    <w:rsid w:val="00A0226D"/>
    <w:rsid w:val="00A025C8"/>
    <w:rsid w:val="00A02664"/>
    <w:rsid w:val="00A027DD"/>
    <w:rsid w:val="00A0294B"/>
    <w:rsid w:val="00A02A1B"/>
    <w:rsid w:val="00A02A29"/>
    <w:rsid w:val="00A02B78"/>
    <w:rsid w:val="00A02BEA"/>
    <w:rsid w:val="00A02DB5"/>
    <w:rsid w:val="00A02EDE"/>
    <w:rsid w:val="00A03034"/>
    <w:rsid w:val="00A0318D"/>
    <w:rsid w:val="00A0351B"/>
    <w:rsid w:val="00A035BD"/>
    <w:rsid w:val="00A0373D"/>
    <w:rsid w:val="00A03907"/>
    <w:rsid w:val="00A03A1A"/>
    <w:rsid w:val="00A03A58"/>
    <w:rsid w:val="00A03AA7"/>
    <w:rsid w:val="00A03B0B"/>
    <w:rsid w:val="00A03CC5"/>
    <w:rsid w:val="00A03DC4"/>
    <w:rsid w:val="00A03E0B"/>
    <w:rsid w:val="00A03F58"/>
    <w:rsid w:val="00A03F6E"/>
    <w:rsid w:val="00A040CA"/>
    <w:rsid w:val="00A04294"/>
    <w:rsid w:val="00A042BB"/>
    <w:rsid w:val="00A042FA"/>
    <w:rsid w:val="00A04306"/>
    <w:rsid w:val="00A04374"/>
    <w:rsid w:val="00A043D3"/>
    <w:rsid w:val="00A04421"/>
    <w:rsid w:val="00A04473"/>
    <w:rsid w:val="00A044A9"/>
    <w:rsid w:val="00A0454C"/>
    <w:rsid w:val="00A0473B"/>
    <w:rsid w:val="00A0476D"/>
    <w:rsid w:val="00A047BA"/>
    <w:rsid w:val="00A0496B"/>
    <w:rsid w:val="00A04A82"/>
    <w:rsid w:val="00A04B74"/>
    <w:rsid w:val="00A04DB5"/>
    <w:rsid w:val="00A05138"/>
    <w:rsid w:val="00A051F0"/>
    <w:rsid w:val="00A05238"/>
    <w:rsid w:val="00A052EF"/>
    <w:rsid w:val="00A0536C"/>
    <w:rsid w:val="00A05490"/>
    <w:rsid w:val="00A05685"/>
    <w:rsid w:val="00A057CA"/>
    <w:rsid w:val="00A05895"/>
    <w:rsid w:val="00A058A3"/>
    <w:rsid w:val="00A058E5"/>
    <w:rsid w:val="00A05B5F"/>
    <w:rsid w:val="00A05BCB"/>
    <w:rsid w:val="00A05DE6"/>
    <w:rsid w:val="00A05F0A"/>
    <w:rsid w:val="00A06025"/>
    <w:rsid w:val="00A060A5"/>
    <w:rsid w:val="00A062D9"/>
    <w:rsid w:val="00A0644B"/>
    <w:rsid w:val="00A064C9"/>
    <w:rsid w:val="00A064FA"/>
    <w:rsid w:val="00A06550"/>
    <w:rsid w:val="00A06736"/>
    <w:rsid w:val="00A06761"/>
    <w:rsid w:val="00A06876"/>
    <w:rsid w:val="00A0689A"/>
    <w:rsid w:val="00A06C8C"/>
    <w:rsid w:val="00A06D90"/>
    <w:rsid w:val="00A0731C"/>
    <w:rsid w:val="00A0747C"/>
    <w:rsid w:val="00A07517"/>
    <w:rsid w:val="00A07542"/>
    <w:rsid w:val="00A07585"/>
    <w:rsid w:val="00A0773A"/>
    <w:rsid w:val="00A0788B"/>
    <w:rsid w:val="00A078A3"/>
    <w:rsid w:val="00A0799E"/>
    <w:rsid w:val="00A07A04"/>
    <w:rsid w:val="00A07A07"/>
    <w:rsid w:val="00A07AA0"/>
    <w:rsid w:val="00A07B83"/>
    <w:rsid w:val="00A07C75"/>
    <w:rsid w:val="00A07D65"/>
    <w:rsid w:val="00A07D68"/>
    <w:rsid w:val="00A07DCA"/>
    <w:rsid w:val="00A07E37"/>
    <w:rsid w:val="00A100C5"/>
    <w:rsid w:val="00A101A6"/>
    <w:rsid w:val="00A101C6"/>
    <w:rsid w:val="00A10302"/>
    <w:rsid w:val="00A1038A"/>
    <w:rsid w:val="00A1043C"/>
    <w:rsid w:val="00A1064D"/>
    <w:rsid w:val="00A10690"/>
    <w:rsid w:val="00A10701"/>
    <w:rsid w:val="00A1073C"/>
    <w:rsid w:val="00A10788"/>
    <w:rsid w:val="00A109DF"/>
    <w:rsid w:val="00A10A1E"/>
    <w:rsid w:val="00A10A57"/>
    <w:rsid w:val="00A10BF9"/>
    <w:rsid w:val="00A10C1F"/>
    <w:rsid w:val="00A10C77"/>
    <w:rsid w:val="00A10E9C"/>
    <w:rsid w:val="00A11163"/>
    <w:rsid w:val="00A111BB"/>
    <w:rsid w:val="00A11293"/>
    <w:rsid w:val="00A11405"/>
    <w:rsid w:val="00A115EC"/>
    <w:rsid w:val="00A119B8"/>
    <w:rsid w:val="00A11AE0"/>
    <w:rsid w:val="00A11AED"/>
    <w:rsid w:val="00A11B32"/>
    <w:rsid w:val="00A11BB3"/>
    <w:rsid w:val="00A11CF5"/>
    <w:rsid w:val="00A11E1D"/>
    <w:rsid w:val="00A11F12"/>
    <w:rsid w:val="00A1233E"/>
    <w:rsid w:val="00A1278C"/>
    <w:rsid w:val="00A127A9"/>
    <w:rsid w:val="00A1296E"/>
    <w:rsid w:val="00A12C44"/>
    <w:rsid w:val="00A1326B"/>
    <w:rsid w:val="00A136A0"/>
    <w:rsid w:val="00A13769"/>
    <w:rsid w:val="00A13802"/>
    <w:rsid w:val="00A1387A"/>
    <w:rsid w:val="00A13A6E"/>
    <w:rsid w:val="00A13B49"/>
    <w:rsid w:val="00A13B8F"/>
    <w:rsid w:val="00A13BC3"/>
    <w:rsid w:val="00A13CB2"/>
    <w:rsid w:val="00A13D2F"/>
    <w:rsid w:val="00A14134"/>
    <w:rsid w:val="00A141DF"/>
    <w:rsid w:val="00A14214"/>
    <w:rsid w:val="00A142C5"/>
    <w:rsid w:val="00A1459F"/>
    <w:rsid w:val="00A14650"/>
    <w:rsid w:val="00A147D4"/>
    <w:rsid w:val="00A147E5"/>
    <w:rsid w:val="00A148CA"/>
    <w:rsid w:val="00A14958"/>
    <w:rsid w:val="00A14B8D"/>
    <w:rsid w:val="00A14C30"/>
    <w:rsid w:val="00A14C69"/>
    <w:rsid w:val="00A14CB4"/>
    <w:rsid w:val="00A1507B"/>
    <w:rsid w:val="00A15116"/>
    <w:rsid w:val="00A1516E"/>
    <w:rsid w:val="00A15424"/>
    <w:rsid w:val="00A15437"/>
    <w:rsid w:val="00A15462"/>
    <w:rsid w:val="00A154F4"/>
    <w:rsid w:val="00A15619"/>
    <w:rsid w:val="00A15722"/>
    <w:rsid w:val="00A158B4"/>
    <w:rsid w:val="00A158D6"/>
    <w:rsid w:val="00A15B3F"/>
    <w:rsid w:val="00A15B49"/>
    <w:rsid w:val="00A15C46"/>
    <w:rsid w:val="00A15D14"/>
    <w:rsid w:val="00A15D48"/>
    <w:rsid w:val="00A15DE9"/>
    <w:rsid w:val="00A16450"/>
    <w:rsid w:val="00A164D6"/>
    <w:rsid w:val="00A164F9"/>
    <w:rsid w:val="00A16774"/>
    <w:rsid w:val="00A16979"/>
    <w:rsid w:val="00A169FF"/>
    <w:rsid w:val="00A16A2F"/>
    <w:rsid w:val="00A16B4F"/>
    <w:rsid w:val="00A16BC9"/>
    <w:rsid w:val="00A16BEA"/>
    <w:rsid w:val="00A16D56"/>
    <w:rsid w:val="00A16E03"/>
    <w:rsid w:val="00A16EA7"/>
    <w:rsid w:val="00A16FD6"/>
    <w:rsid w:val="00A17112"/>
    <w:rsid w:val="00A1711C"/>
    <w:rsid w:val="00A17155"/>
    <w:rsid w:val="00A1731F"/>
    <w:rsid w:val="00A178F2"/>
    <w:rsid w:val="00A17E19"/>
    <w:rsid w:val="00A20203"/>
    <w:rsid w:val="00A202DC"/>
    <w:rsid w:val="00A2062E"/>
    <w:rsid w:val="00A206BB"/>
    <w:rsid w:val="00A207D7"/>
    <w:rsid w:val="00A2082B"/>
    <w:rsid w:val="00A2087A"/>
    <w:rsid w:val="00A20B0A"/>
    <w:rsid w:val="00A20B7B"/>
    <w:rsid w:val="00A20C10"/>
    <w:rsid w:val="00A20CF8"/>
    <w:rsid w:val="00A20D7C"/>
    <w:rsid w:val="00A20DE0"/>
    <w:rsid w:val="00A20DEB"/>
    <w:rsid w:val="00A20F5B"/>
    <w:rsid w:val="00A20FE2"/>
    <w:rsid w:val="00A2119A"/>
    <w:rsid w:val="00A211D8"/>
    <w:rsid w:val="00A21342"/>
    <w:rsid w:val="00A21473"/>
    <w:rsid w:val="00A214E2"/>
    <w:rsid w:val="00A21586"/>
    <w:rsid w:val="00A2158D"/>
    <w:rsid w:val="00A215EE"/>
    <w:rsid w:val="00A21684"/>
    <w:rsid w:val="00A217E8"/>
    <w:rsid w:val="00A21BDD"/>
    <w:rsid w:val="00A21D91"/>
    <w:rsid w:val="00A21FA7"/>
    <w:rsid w:val="00A220C2"/>
    <w:rsid w:val="00A220FC"/>
    <w:rsid w:val="00A2228A"/>
    <w:rsid w:val="00A223E6"/>
    <w:rsid w:val="00A22420"/>
    <w:rsid w:val="00A224E6"/>
    <w:rsid w:val="00A22881"/>
    <w:rsid w:val="00A22883"/>
    <w:rsid w:val="00A229C6"/>
    <w:rsid w:val="00A22C03"/>
    <w:rsid w:val="00A22C23"/>
    <w:rsid w:val="00A22DFA"/>
    <w:rsid w:val="00A22EA9"/>
    <w:rsid w:val="00A22F3D"/>
    <w:rsid w:val="00A232C0"/>
    <w:rsid w:val="00A232DE"/>
    <w:rsid w:val="00A233ED"/>
    <w:rsid w:val="00A23480"/>
    <w:rsid w:val="00A23489"/>
    <w:rsid w:val="00A235BD"/>
    <w:rsid w:val="00A2365E"/>
    <w:rsid w:val="00A2371D"/>
    <w:rsid w:val="00A23848"/>
    <w:rsid w:val="00A238B2"/>
    <w:rsid w:val="00A2392E"/>
    <w:rsid w:val="00A23A7F"/>
    <w:rsid w:val="00A23ADE"/>
    <w:rsid w:val="00A23FA6"/>
    <w:rsid w:val="00A242DF"/>
    <w:rsid w:val="00A243A0"/>
    <w:rsid w:val="00A243E0"/>
    <w:rsid w:val="00A2479A"/>
    <w:rsid w:val="00A24932"/>
    <w:rsid w:val="00A249DA"/>
    <w:rsid w:val="00A24ACF"/>
    <w:rsid w:val="00A24AD0"/>
    <w:rsid w:val="00A24D66"/>
    <w:rsid w:val="00A24E8B"/>
    <w:rsid w:val="00A25339"/>
    <w:rsid w:val="00A253E0"/>
    <w:rsid w:val="00A25432"/>
    <w:rsid w:val="00A25486"/>
    <w:rsid w:val="00A25498"/>
    <w:rsid w:val="00A256B7"/>
    <w:rsid w:val="00A25791"/>
    <w:rsid w:val="00A25794"/>
    <w:rsid w:val="00A25892"/>
    <w:rsid w:val="00A25985"/>
    <w:rsid w:val="00A25A5A"/>
    <w:rsid w:val="00A25A5C"/>
    <w:rsid w:val="00A25AC5"/>
    <w:rsid w:val="00A25B3F"/>
    <w:rsid w:val="00A25BD8"/>
    <w:rsid w:val="00A25C92"/>
    <w:rsid w:val="00A25E48"/>
    <w:rsid w:val="00A25F7D"/>
    <w:rsid w:val="00A260CD"/>
    <w:rsid w:val="00A2640B"/>
    <w:rsid w:val="00A26415"/>
    <w:rsid w:val="00A2649C"/>
    <w:rsid w:val="00A265D6"/>
    <w:rsid w:val="00A266AB"/>
    <w:rsid w:val="00A26719"/>
    <w:rsid w:val="00A267E6"/>
    <w:rsid w:val="00A26813"/>
    <w:rsid w:val="00A268A9"/>
    <w:rsid w:val="00A26A49"/>
    <w:rsid w:val="00A26A73"/>
    <w:rsid w:val="00A26BFF"/>
    <w:rsid w:val="00A26D15"/>
    <w:rsid w:val="00A26E6F"/>
    <w:rsid w:val="00A27191"/>
    <w:rsid w:val="00A271C3"/>
    <w:rsid w:val="00A271D0"/>
    <w:rsid w:val="00A27211"/>
    <w:rsid w:val="00A27376"/>
    <w:rsid w:val="00A27386"/>
    <w:rsid w:val="00A27419"/>
    <w:rsid w:val="00A2767C"/>
    <w:rsid w:val="00A2779B"/>
    <w:rsid w:val="00A2782A"/>
    <w:rsid w:val="00A27B3F"/>
    <w:rsid w:val="00A300D3"/>
    <w:rsid w:val="00A30109"/>
    <w:rsid w:val="00A3038D"/>
    <w:rsid w:val="00A30491"/>
    <w:rsid w:val="00A305BD"/>
    <w:rsid w:val="00A306D6"/>
    <w:rsid w:val="00A30769"/>
    <w:rsid w:val="00A308F4"/>
    <w:rsid w:val="00A3092E"/>
    <w:rsid w:val="00A30A7B"/>
    <w:rsid w:val="00A30AC0"/>
    <w:rsid w:val="00A30B53"/>
    <w:rsid w:val="00A30BBD"/>
    <w:rsid w:val="00A30CCE"/>
    <w:rsid w:val="00A30F33"/>
    <w:rsid w:val="00A31421"/>
    <w:rsid w:val="00A31435"/>
    <w:rsid w:val="00A31439"/>
    <w:rsid w:val="00A317BA"/>
    <w:rsid w:val="00A317F7"/>
    <w:rsid w:val="00A31906"/>
    <w:rsid w:val="00A3192D"/>
    <w:rsid w:val="00A319D3"/>
    <w:rsid w:val="00A31B94"/>
    <w:rsid w:val="00A31C4A"/>
    <w:rsid w:val="00A31C4C"/>
    <w:rsid w:val="00A31E02"/>
    <w:rsid w:val="00A32007"/>
    <w:rsid w:val="00A3206C"/>
    <w:rsid w:val="00A32100"/>
    <w:rsid w:val="00A32168"/>
    <w:rsid w:val="00A323A3"/>
    <w:rsid w:val="00A323D4"/>
    <w:rsid w:val="00A3249D"/>
    <w:rsid w:val="00A32511"/>
    <w:rsid w:val="00A3257C"/>
    <w:rsid w:val="00A32624"/>
    <w:rsid w:val="00A32826"/>
    <w:rsid w:val="00A329D1"/>
    <w:rsid w:val="00A32A3F"/>
    <w:rsid w:val="00A32A72"/>
    <w:rsid w:val="00A32BB3"/>
    <w:rsid w:val="00A32C32"/>
    <w:rsid w:val="00A32C7B"/>
    <w:rsid w:val="00A32C9B"/>
    <w:rsid w:val="00A32C9C"/>
    <w:rsid w:val="00A32E14"/>
    <w:rsid w:val="00A32F2A"/>
    <w:rsid w:val="00A32FF2"/>
    <w:rsid w:val="00A331A9"/>
    <w:rsid w:val="00A331FD"/>
    <w:rsid w:val="00A332ED"/>
    <w:rsid w:val="00A3332D"/>
    <w:rsid w:val="00A33518"/>
    <w:rsid w:val="00A336F7"/>
    <w:rsid w:val="00A3391F"/>
    <w:rsid w:val="00A3393D"/>
    <w:rsid w:val="00A33944"/>
    <w:rsid w:val="00A339B4"/>
    <w:rsid w:val="00A339E5"/>
    <w:rsid w:val="00A33A78"/>
    <w:rsid w:val="00A33E28"/>
    <w:rsid w:val="00A33E98"/>
    <w:rsid w:val="00A34107"/>
    <w:rsid w:val="00A3429A"/>
    <w:rsid w:val="00A343C7"/>
    <w:rsid w:val="00A34403"/>
    <w:rsid w:val="00A345D3"/>
    <w:rsid w:val="00A345DB"/>
    <w:rsid w:val="00A345F3"/>
    <w:rsid w:val="00A34863"/>
    <w:rsid w:val="00A34DAB"/>
    <w:rsid w:val="00A350D6"/>
    <w:rsid w:val="00A355AC"/>
    <w:rsid w:val="00A35AB0"/>
    <w:rsid w:val="00A35B10"/>
    <w:rsid w:val="00A35C9F"/>
    <w:rsid w:val="00A35D9D"/>
    <w:rsid w:val="00A35E78"/>
    <w:rsid w:val="00A35EA4"/>
    <w:rsid w:val="00A35F65"/>
    <w:rsid w:val="00A35FAB"/>
    <w:rsid w:val="00A361B6"/>
    <w:rsid w:val="00A36207"/>
    <w:rsid w:val="00A362D0"/>
    <w:rsid w:val="00A363C6"/>
    <w:rsid w:val="00A3643A"/>
    <w:rsid w:val="00A364F7"/>
    <w:rsid w:val="00A3651F"/>
    <w:rsid w:val="00A366DC"/>
    <w:rsid w:val="00A36788"/>
    <w:rsid w:val="00A36BBE"/>
    <w:rsid w:val="00A36C92"/>
    <w:rsid w:val="00A36D11"/>
    <w:rsid w:val="00A36DED"/>
    <w:rsid w:val="00A370CD"/>
    <w:rsid w:val="00A373F5"/>
    <w:rsid w:val="00A3749B"/>
    <w:rsid w:val="00A3752C"/>
    <w:rsid w:val="00A3756B"/>
    <w:rsid w:val="00A37611"/>
    <w:rsid w:val="00A37686"/>
    <w:rsid w:val="00A376B0"/>
    <w:rsid w:val="00A377BA"/>
    <w:rsid w:val="00A377DC"/>
    <w:rsid w:val="00A37918"/>
    <w:rsid w:val="00A37EA2"/>
    <w:rsid w:val="00A40202"/>
    <w:rsid w:val="00A402F0"/>
    <w:rsid w:val="00A40397"/>
    <w:rsid w:val="00A404BD"/>
    <w:rsid w:val="00A406AF"/>
    <w:rsid w:val="00A40711"/>
    <w:rsid w:val="00A40971"/>
    <w:rsid w:val="00A409CC"/>
    <w:rsid w:val="00A409D1"/>
    <w:rsid w:val="00A409E0"/>
    <w:rsid w:val="00A40A56"/>
    <w:rsid w:val="00A40A68"/>
    <w:rsid w:val="00A40B53"/>
    <w:rsid w:val="00A40D2B"/>
    <w:rsid w:val="00A40EAC"/>
    <w:rsid w:val="00A40EDD"/>
    <w:rsid w:val="00A40F4D"/>
    <w:rsid w:val="00A40FB5"/>
    <w:rsid w:val="00A41235"/>
    <w:rsid w:val="00A41365"/>
    <w:rsid w:val="00A41416"/>
    <w:rsid w:val="00A414AF"/>
    <w:rsid w:val="00A416F1"/>
    <w:rsid w:val="00A416FC"/>
    <w:rsid w:val="00A4189E"/>
    <w:rsid w:val="00A418DB"/>
    <w:rsid w:val="00A419CA"/>
    <w:rsid w:val="00A41AAC"/>
    <w:rsid w:val="00A41C38"/>
    <w:rsid w:val="00A41E50"/>
    <w:rsid w:val="00A4209B"/>
    <w:rsid w:val="00A42181"/>
    <w:rsid w:val="00A4228F"/>
    <w:rsid w:val="00A422DC"/>
    <w:rsid w:val="00A42582"/>
    <w:rsid w:val="00A42632"/>
    <w:rsid w:val="00A427A6"/>
    <w:rsid w:val="00A427B8"/>
    <w:rsid w:val="00A427B9"/>
    <w:rsid w:val="00A42939"/>
    <w:rsid w:val="00A4296D"/>
    <w:rsid w:val="00A429FF"/>
    <w:rsid w:val="00A42A61"/>
    <w:rsid w:val="00A42AE8"/>
    <w:rsid w:val="00A42D32"/>
    <w:rsid w:val="00A42E3D"/>
    <w:rsid w:val="00A42E6A"/>
    <w:rsid w:val="00A430F0"/>
    <w:rsid w:val="00A4325E"/>
    <w:rsid w:val="00A43320"/>
    <w:rsid w:val="00A43506"/>
    <w:rsid w:val="00A435D4"/>
    <w:rsid w:val="00A43607"/>
    <w:rsid w:val="00A436A6"/>
    <w:rsid w:val="00A437BE"/>
    <w:rsid w:val="00A437D0"/>
    <w:rsid w:val="00A437FD"/>
    <w:rsid w:val="00A438FA"/>
    <w:rsid w:val="00A43C07"/>
    <w:rsid w:val="00A43C0A"/>
    <w:rsid w:val="00A43C3E"/>
    <w:rsid w:val="00A43C7F"/>
    <w:rsid w:val="00A43E2F"/>
    <w:rsid w:val="00A43E4C"/>
    <w:rsid w:val="00A43F36"/>
    <w:rsid w:val="00A43FBD"/>
    <w:rsid w:val="00A440F7"/>
    <w:rsid w:val="00A44192"/>
    <w:rsid w:val="00A4428D"/>
    <w:rsid w:val="00A443B2"/>
    <w:rsid w:val="00A44515"/>
    <w:rsid w:val="00A44530"/>
    <w:rsid w:val="00A44814"/>
    <w:rsid w:val="00A44973"/>
    <w:rsid w:val="00A44A51"/>
    <w:rsid w:val="00A44A67"/>
    <w:rsid w:val="00A44ABF"/>
    <w:rsid w:val="00A44B90"/>
    <w:rsid w:val="00A44CFB"/>
    <w:rsid w:val="00A44DFF"/>
    <w:rsid w:val="00A44E1B"/>
    <w:rsid w:val="00A44F6F"/>
    <w:rsid w:val="00A44FE3"/>
    <w:rsid w:val="00A45047"/>
    <w:rsid w:val="00A45071"/>
    <w:rsid w:val="00A4516D"/>
    <w:rsid w:val="00A45235"/>
    <w:rsid w:val="00A45251"/>
    <w:rsid w:val="00A452E6"/>
    <w:rsid w:val="00A453CB"/>
    <w:rsid w:val="00A4543C"/>
    <w:rsid w:val="00A45546"/>
    <w:rsid w:val="00A45637"/>
    <w:rsid w:val="00A4567E"/>
    <w:rsid w:val="00A4570D"/>
    <w:rsid w:val="00A45B42"/>
    <w:rsid w:val="00A45B59"/>
    <w:rsid w:val="00A45BC1"/>
    <w:rsid w:val="00A45BEE"/>
    <w:rsid w:val="00A45BF4"/>
    <w:rsid w:val="00A45CEA"/>
    <w:rsid w:val="00A45D68"/>
    <w:rsid w:val="00A45EE3"/>
    <w:rsid w:val="00A45FB7"/>
    <w:rsid w:val="00A4602C"/>
    <w:rsid w:val="00A4604F"/>
    <w:rsid w:val="00A4612D"/>
    <w:rsid w:val="00A4615D"/>
    <w:rsid w:val="00A461D3"/>
    <w:rsid w:val="00A46204"/>
    <w:rsid w:val="00A46220"/>
    <w:rsid w:val="00A46314"/>
    <w:rsid w:val="00A46462"/>
    <w:rsid w:val="00A46502"/>
    <w:rsid w:val="00A465CB"/>
    <w:rsid w:val="00A468C9"/>
    <w:rsid w:val="00A468F6"/>
    <w:rsid w:val="00A46A22"/>
    <w:rsid w:val="00A46B80"/>
    <w:rsid w:val="00A46C1F"/>
    <w:rsid w:val="00A46CF5"/>
    <w:rsid w:val="00A46D62"/>
    <w:rsid w:val="00A46DD2"/>
    <w:rsid w:val="00A46DF4"/>
    <w:rsid w:val="00A46ED6"/>
    <w:rsid w:val="00A47107"/>
    <w:rsid w:val="00A4712D"/>
    <w:rsid w:val="00A4712E"/>
    <w:rsid w:val="00A47283"/>
    <w:rsid w:val="00A47289"/>
    <w:rsid w:val="00A473E6"/>
    <w:rsid w:val="00A47427"/>
    <w:rsid w:val="00A4759B"/>
    <w:rsid w:val="00A475E7"/>
    <w:rsid w:val="00A4778D"/>
    <w:rsid w:val="00A477B2"/>
    <w:rsid w:val="00A47823"/>
    <w:rsid w:val="00A479ED"/>
    <w:rsid w:val="00A47A0A"/>
    <w:rsid w:val="00A47C29"/>
    <w:rsid w:val="00A47D08"/>
    <w:rsid w:val="00A47D73"/>
    <w:rsid w:val="00A47E49"/>
    <w:rsid w:val="00A47F25"/>
    <w:rsid w:val="00A50100"/>
    <w:rsid w:val="00A502D2"/>
    <w:rsid w:val="00A50461"/>
    <w:rsid w:val="00A5066B"/>
    <w:rsid w:val="00A5067E"/>
    <w:rsid w:val="00A50810"/>
    <w:rsid w:val="00A508BA"/>
    <w:rsid w:val="00A509E8"/>
    <w:rsid w:val="00A50B86"/>
    <w:rsid w:val="00A50CCF"/>
    <w:rsid w:val="00A50CD7"/>
    <w:rsid w:val="00A50EA4"/>
    <w:rsid w:val="00A50F26"/>
    <w:rsid w:val="00A50F4E"/>
    <w:rsid w:val="00A51246"/>
    <w:rsid w:val="00A5127C"/>
    <w:rsid w:val="00A51399"/>
    <w:rsid w:val="00A514D7"/>
    <w:rsid w:val="00A515CD"/>
    <w:rsid w:val="00A5167B"/>
    <w:rsid w:val="00A5170A"/>
    <w:rsid w:val="00A51C92"/>
    <w:rsid w:val="00A51D10"/>
    <w:rsid w:val="00A52272"/>
    <w:rsid w:val="00A52315"/>
    <w:rsid w:val="00A523EB"/>
    <w:rsid w:val="00A524DE"/>
    <w:rsid w:val="00A524F9"/>
    <w:rsid w:val="00A528AB"/>
    <w:rsid w:val="00A52974"/>
    <w:rsid w:val="00A529D8"/>
    <w:rsid w:val="00A52A4B"/>
    <w:rsid w:val="00A52E17"/>
    <w:rsid w:val="00A52E8C"/>
    <w:rsid w:val="00A52F13"/>
    <w:rsid w:val="00A52FB7"/>
    <w:rsid w:val="00A5307D"/>
    <w:rsid w:val="00A5318E"/>
    <w:rsid w:val="00A5321B"/>
    <w:rsid w:val="00A53286"/>
    <w:rsid w:val="00A532AC"/>
    <w:rsid w:val="00A532C2"/>
    <w:rsid w:val="00A533B8"/>
    <w:rsid w:val="00A534F2"/>
    <w:rsid w:val="00A53503"/>
    <w:rsid w:val="00A5363A"/>
    <w:rsid w:val="00A53861"/>
    <w:rsid w:val="00A53906"/>
    <w:rsid w:val="00A53B52"/>
    <w:rsid w:val="00A53BFB"/>
    <w:rsid w:val="00A53C65"/>
    <w:rsid w:val="00A53D3C"/>
    <w:rsid w:val="00A53F3A"/>
    <w:rsid w:val="00A53F9D"/>
    <w:rsid w:val="00A5406B"/>
    <w:rsid w:val="00A54131"/>
    <w:rsid w:val="00A541F8"/>
    <w:rsid w:val="00A54269"/>
    <w:rsid w:val="00A5427A"/>
    <w:rsid w:val="00A542A1"/>
    <w:rsid w:val="00A549E0"/>
    <w:rsid w:val="00A54C11"/>
    <w:rsid w:val="00A54C9A"/>
    <w:rsid w:val="00A54D58"/>
    <w:rsid w:val="00A54DBE"/>
    <w:rsid w:val="00A54F19"/>
    <w:rsid w:val="00A55075"/>
    <w:rsid w:val="00A55181"/>
    <w:rsid w:val="00A553E9"/>
    <w:rsid w:val="00A554B2"/>
    <w:rsid w:val="00A554BE"/>
    <w:rsid w:val="00A554FB"/>
    <w:rsid w:val="00A55617"/>
    <w:rsid w:val="00A5572E"/>
    <w:rsid w:val="00A55734"/>
    <w:rsid w:val="00A55B6B"/>
    <w:rsid w:val="00A55BE3"/>
    <w:rsid w:val="00A55BF9"/>
    <w:rsid w:val="00A55C05"/>
    <w:rsid w:val="00A55C16"/>
    <w:rsid w:val="00A55CA3"/>
    <w:rsid w:val="00A55E71"/>
    <w:rsid w:val="00A55F34"/>
    <w:rsid w:val="00A55FA3"/>
    <w:rsid w:val="00A56042"/>
    <w:rsid w:val="00A56108"/>
    <w:rsid w:val="00A56238"/>
    <w:rsid w:val="00A56270"/>
    <w:rsid w:val="00A56497"/>
    <w:rsid w:val="00A56778"/>
    <w:rsid w:val="00A5688F"/>
    <w:rsid w:val="00A56A36"/>
    <w:rsid w:val="00A56BA3"/>
    <w:rsid w:val="00A56D47"/>
    <w:rsid w:val="00A56D97"/>
    <w:rsid w:val="00A56E29"/>
    <w:rsid w:val="00A57092"/>
    <w:rsid w:val="00A571C3"/>
    <w:rsid w:val="00A573EF"/>
    <w:rsid w:val="00A57450"/>
    <w:rsid w:val="00A57486"/>
    <w:rsid w:val="00A576A5"/>
    <w:rsid w:val="00A578A0"/>
    <w:rsid w:val="00A578D1"/>
    <w:rsid w:val="00A57947"/>
    <w:rsid w:val="00A57951"/>
    <w:rsid w:val="00A57959"/>
    <w:rsid w:val="00A57C6E"/>
    <w:rsid w:val="00A57C96"/>
    <w:rsid w:val="00A57D25"/>
    <w:rsid w:val="00A57D2E"/>
    <w:rsid w:val="00A57D84"/>
    <w:rsid w:val="00A57DB1"/>
    <w:rsid w:val="00A57DEF"/>
    <w:rsid w:val="00A57F2A"/>
    <w:rsid w:val="00A600AA"/>
    <w:rsid w:val="00A6011A"/>
    <w:rsid w:val="00A60218"/>
    <w:rsid w:val="00A60336"/>
    <w:rsid w:val="00A60602"/>
    <w:rsid w:val="00A607C3"/>
    <w:rsid w:val="00A60B73"/>
    <w:rsid w:val="00A60EB6"/>
    <w:rsid w:val="00A60FE1"/>
    <w:rsid w:val="00A611AC"/>
    <w:rsid w:val="00A61305"/>
    <w:rsid w:val="00A6143E"/>
    <w:rsid w:val="00A6144D"/>
    <w:rsid w:val="00A614F0"/>
    <w:rsid w:val="00A61575"/>
    <w:rsid w:val="00A61668"/>
    <w:rsid w:val="00A616DA"/>
    <w:rsid w:val="00A61879"/>
    <w:rsid w:val="00A61A75"/>
    <w:rsid w:val="00A61C16"/>
    <w:rsid w:val="00A61C5F"/>
    <w:rsid w:val="00A61C6C"/>
    <w:rsid w:val="00A61CD1"/>
    <w:rsid w:val="00A61FD0"/>
    <w:rsid w:val="00A6204E"/>
    <w:rsid w:val="00A62170"/>
    <w:rsid w:val="00A621C3"/>
    <w:rsid w:val="00A622C4"/>
    <w:rsid w:val="00A622DB"/>
    <w:rsid w:val="00A6245F"/>
    <w:rsid w:val="00A626FE"/>
    <w:rsid w:val="00A62821"/>
    <w:rsid w:val="00A62983"/>
    <w:rsid w:val="00A629D7"/>
    <w:rsid w:val="00A62E42"/>
    <w:rsid w:val="00A62F50"/>
    <w:rsid w:val="00A6304A"/>
    <w:rsid w:val="00A63351"/>
    <w:rsid w:val="00A6385D"/>
    <w:rsid w:val="00A6387C"/>
    <w:rsid w:val="00A6396A"/>
    <w:rsid w:val="00A63A1B"/>
    <w:rsid w:val="00A63AC9"/>
    <w:rsid w:val="00A63AE4"/>
    <w:rsid w:val="00A63C53"/>
    <w:rsid w:val="00A63DBD"/>
    <w:rsid w:val="00A63EAB"/>
    <w:rsid w:val="00A63EB1"/>
    <w:rsid w:val="00A63F29"/>
    <w:rsid w:val="00A64322"/>
    <w:rsid w:val="00A644A0"/>
    <w:rsid w:val="00A64543"/>
    <w:rsid w:val="00A646A2"/>
    <w:rsid w:val="00A64A71"/>
    <w:rsid w:val="00A6505F"/>
    <w:rsid w:val="00A650B6"/>
    <w:rsid w:val="00A65246"/>
    <w:rsid w:val="00A652B8"/>
    <w:rsid w:val="00A65481"/>
    <w:rsid w:val="00A65564"/>
    <w:rsid w:val="00A6571A"/>
    <w:rsid w:val="00A65988"/>
    <w:rsid w:val="00A65B39"/>
    <w:rsid w:val="00A65BD6"/>
    <w:rsid w:val="00A65C50"/>
    <w:rsid w:val="00A65E32"/>
    <w:rsid w:val="00A65E78"/>
    <w:rsid w:val="00A65E90"/>
    <w:rsid w:val="00A65FD8"/>
    <w:rsid w:val="00A6612F"/>
    <w:rsid w:val="00A662D9"/>
    <w:rsid w:val="00A662DA"/>
    <w:rsid w:val="00A66369"/>
    <w:rsid w:val="00A6656A"/>
    <w:rsid w:val="00A66638"/>
    <w:rsid w:val="00A6669E"/>
    <w:rsid w:val="00A6677B"/>
    <w:rsid w:val="00A66782"/>
    <w:rsid w:val="00A668A6"/>
    <w:rsid w:val="00A668BE"/>
    <w:rsid w:val="00A66AA7"/>
    <w:rsid w:val="00A66B1F"/>
    <w:rsid w:val="00A66B3D"/>
    <w:rsid w:val="00A66D4B"/>
    <w:rsid w:val="00A674E5"/>
    <w:rsid w:val="00A67502"/>
    <w:rsid w:val="00A6755A"/>
    <w:rsid w:val="00A67679"/>
    <w:rsid w:val="00A676A6"/>
    <w:rsid w:val="00A67755"/>
    <w:rsid w:val="00A677C3"/>
    <w:rsid w:val="00A67812"/>
    <w:rsid w:val="00A67BA2"/>
    <w:rsid w:val="00A67BA8"/>
    <w:rsid w:val="00A67DD7"/>
    <w:rsid w:val="00A67E93"/>
    <w:rsid w:val="00A67F22"/>
    <w:rsid w:val="00A67F49"/>
    <w:rsid w:val="00A70038"/>
    <w:rsid w:val="00A7004D"/>
    <w:rsid w:val="00A70053"/>
    <w:rsid w:val="00A7011F"/>
    <w:rsid w:val="00A70245"/>
    <w:rsid w:val="00A70463"/>
    <w:rsid w:val="00A70572"/>
    <w:rsid w:val="00A705D8"/>
    <w:rsid w:val="00A70760"/>
    <w:rsid w:val="00A70918"/>
    <w:rsid w:val="00A70B06"/>
    <w:rsid w:val="00A70D80"/>
    <w:rsid w:val="00A70E0B"/>
    <w:rsid w:val="00A70E4B"/>
    <w:rsid w:val="00A70EEB"/>
    <w:rsid w:val="00A70FC8"/>
    <w:rsid w:val="00A70FF4"/>
    <w:rsid w:val="00A7108B"/>
    <w:rsid w:val="00A7118C"/>
    <w:rsid w:val="00A7123C"/>
    <w:rsid w:val="00A712B5"/>
    <w:rsid w:val="00A71353"/>
    <w:rsid w:val="00A7138C"/>
    <w:rsid w:val="00A714DB"/>
    <w:rsid w:val="00A71640"/>
    <w:rsid w:val="00A7166C"/>
    <w:rsid w:val="00A71955"/>
    <w:rsid w:val="00A71A61"/>
    <w:rsid w:val="00A71AA5"/>
    <w:rsid w:val="00A71ADB"/>
    <w:rsid w:val="00A71B3B"/>
    <w:rsid w:val="00A71D49"/>
    <w:rsid w:val="00A71F5D"/>
    <w:rsid w:val="00A71FF4"/>
    <w:rsid w:val="00A72014"/>
    <w:rsid w:val="00A72031"/>
    <w:rsid w:val="00A72086"/>
    <w:rsid w:val="00A72346"/>
    <w:rsid w:val="00A723D1"/>
    <w:rsid w:val="00A7241E"/>
    <w:rsid w:val="00A72496"/>
    <w:rsid w:val="00A7252F"/>
    <w:rsid w:val="00A725D6"/>
    <w:rsid w:val="00A7273C"/>
    <w:rsid w:val="00A72742"/>
    <w:rsid w:val="00A72A2C"/>
    <w:rsid w:val="00A72C45"/>
    <w:rsid w:val="00A72CDD"/>
    <w:rsid w:val="00A72CE0"/>
    <w:rsid w:val="00A72E47"/>
    <w:rsid w:val="00A730FA"/>
    <w:rsid w:val="00A731B6"/>
    <w:rsid w:val="00A73319"/>
    <w:rsid w:val="00A73356"/>
    <w:rsid w:val="00A733E6"/>
    <w:rsid w:val="00A7362A"/>
    <w:rsid w:val="00A7366C"/>
    <w:rsid w:val="00A73710"/>
    <w:rsid w:val="00A73732"/>
    <w:rsid w:val="00A737EE"/>
    <w:rsid w:val="00A73889"/>
    <w:rsid w:val="00A738AC"/>
    <w:rsid w:val="00A738E3"/>
    <w:rsid w:val="00A73918"/>
    <w:rsid w:val="00A739F1"/>
    <w:rsid w:val="00A73A39"/>
    <w:rsid w:val="00A73A48"/>
    <w:rsid w:val="00A73AA4"/>
    <w:rsid w:val="00A73E71"/>
    <w:rsid w:val="00A741B1"/>
    <w:rsid w:val="00A7430A"/>
    <w:rsid w:val="00A7453A"/>
    <w:rsid w:val="00A745BC"/>
    <w:rsid w:val="00A7494D"/>
    <w:rsid w:val="00A74998"/>
    <w:rsid w:val="00A74AEA"/>
    <w:rsid w:val="00A74AEC"/>
    <w:rsid w:val="00A74C2B"/>
    <w:rsid w:val="00A74CF3"/>
    <w:rsid w:val="00A74DF2"/>
    <w:rsid w:val="00A74F6C"/>
    <w:rsid w:val="00A7508F"/>
    <w:rsid w:val="00A750AF"/>
    <w:rsid w:val="00A7518C"/>
    <w:rsid w:val="00A7519D"/>
    <w:rsid w:val="00A758ED"/>
    <w:rsid w:val="00A75EC4"/>
    <w:rsid w:val="00A75F63"/>
    <w:rsid w:val="00A7601F"/>
    <w:rsid w:val="00A7614C"/>
    <w:rsid w:val="00A76160"/>
    <w:rsid w:val="00A76190"/>
    <w:rsid w:val="00A76238"/>
    <w:rsid w:val="00A7628C"/>
    <w:rsid w:val="00A764E1"/>
    <w:rsid w:val="00A7659F"/>
    <w:rsid w:val="00A7662C"/>
    <w:rsid w:val="00A76983"/>
    <w:rsid w:val="00A76ADE"/>
    <w:rsid w:val="00A76B77"/>
    <w:rsid w:val="00A76CBD"/>
    <w:rsid w:val="00A76CD9"/>
    <w:rsid w:val="00A76EF1"/>
    <w:rsid w:val="00A76F07"/>
    <w:rsid w:val="00A771C9"/>
    <w:rsid w:val="00A77319"/>
    <w:rsid w:val="00A7754E"/>
    <w:rsid w:val="00A775A4"/>
    <w:rsid w:val="00A776A2"/>
    <w:rsid w:val="00A776D3"/>
    <w:rsid w:val="00A776DC"/>
    <w:rsid w:val="00A77784"/>
    <w:rsid w:val="00A777EC"/>
    <w:rsid w:val="00A778C8"/>
    <w:rsid w:val="00A779B7"/>
    <w:rsid w:val="00A77BDE"/>
    <w:rsid w:val="00A77CDC"/>
    <w:rsid w:val="00A77E43"/>
    <w:rsid w:val="00A80071"/>
    <w:rsid w:val="00A8036C"/>
    <w:rsid w:val="00A8068F"/>
    <w:rsid w:val="00A8077B"/>
    <w:rsid w:val="00A80871"/>
    <w:rsid w:val="00A8098A"/>
    <w:rsid w:val="00A80BDA"/>
    <w:rsid w:val="00A80D19"/>
    <w:rsid w:val="00A80D66"/>
    <w:rsid w:val="00A80E19"/>
    <w:rsid w:val="00A80E34"/>
    <w:rsid w:val="00A81118"/>
    <w:rsid w:val="00A8119D"/>
    <w:rsid w:val="00A81205"/>
    <w:rsid w:val="00A8179A"/>
    <w:rsid w:val="00A81832"/>
    <w:rsid w:val="00A8197A"/>
    <w:rsid w:val="00A819BD"/>
    <w:rsid w:val="00A81AD2"/>
    <w:rsid w:val="00A81B41"/>
    <w:rsid w:val="00A81B43"/>
    <w:rsid w:val="00A820C5"/>
    <w:rsid w:val="00A82133"/>
    <w:rsid w:val="00A8225E"/>
    <w:rsid w:val="00A82336"/>
    <w:rsid w:val="00A824F7"/>
    <w:rsid w:val="00A82689"/>
    <w:rsid w:val="00A826E7"/>
    <w:rsid w:val="00A826FA"/>
    <w:rsid w:val="00A827C8"/>
    <w:rsid w:val="00A828AC"/>
    <w:rsid w:val="00A828D6"/>
    <w:rsid w:val="00A8299F"/>
    <w:rsid w:val="00A829B7"/>
    <w:rsid w:val="00A829E4"/>
    <w:rsid w:val="00A82DA5"/>
    <w:rsid w:val="00A82E32"/>
    <w:rsid w:val="00A82E6D"/>
    <w:rsid w:val="00A82FE4"/>
    <w:rsid w:val="00A832F1"/>
    <w:rsid w:val="00A83341"/>
    <w:rsid w:val="00A83368"/>
    <w:rsid w:val="00A8363C"/>
    <w:rsid w:val="00A836F8"/>
    <w:rsid w:val="00A837ED"/>
    <w:rsid w:val="00A83955"/>
    <w:rsid w:val="00A839B1"/>
    <w:rsid w:val="00A83DD6"/>
    <w:rsid w:val="00A83E39"/>
    <w:rsid w:val="00A84108"/>
    <w:rsid w:val="00A845B3"/>
    <w:rsid w:val="00A845C7"/>
    <w:rsid w:val="00A84616"/>
    <w:rsid w:val="00A8462D"/>
    <w:rsid w:val="00A84924"/>
    <w:rsid w:val="00A849F2"/>
    <w:rsid w:val="00A84A69"/>
    <w:rsid w:val="00A84BE3"/>
    <w:rsid w:val="00A84C7A"/>
    <w:rsid w:val="00A84D83"/>
    <w:rsid w:val="00A85100"/>
    <w:rsid w:val="00A85345"/>
    <w:rsid w:val="00A8543B"/>
    <w:rsid w:val="00A85A2E"/>
    <w:rsid w:val="00A85A31"/>
    <w:rsid w:val="00A85C7A"/>
    <w:rsid w:val="00A85EB7"/>
    <w:rsid w:val="00A85ED6"/>
    <w:rsid w:val="00A86342"/>
    <w:rsid w:val="00A86351"/>
    <w:rsid w:val="00A86436"/>
    <w:rsid w:val="00A86466"/>
    <w:rsid w:val="00A8651E"/>
    <w:rsid w:val="00A86AB1"/>
    <w:rsid w:val="00A86B92"/>
    <w:rsid w:val="00A86BD5"/>
    <w:rsid w:val="00A86CB3"/>
    <w:rsid w:val="00A86E25"/>
    <w:rsid w:val="00A86E4F"/>
    <w:rsid w:val="00A86E6D"/>
    <w:rsid w:val="00A86EEF"/>
    <w:rsid w:val="00A86F45"/>
    <w:rsid w:val="00A86FB3"/>
    <w:rsid w:val="00A871B7"/>
    <w:rsid w:val="00A87207"/>
    <w:rsid w:val="00A874D5"/>
    <w:rsid w:val="00A8773C"/>
    <w:rsid w:val="00A87796"/>
    <w:rsid w:val="00A87AB5"/>
    <w:rsid w:val="00A87B8F"/>
    <w:rsid w:val="00A87BC8"/>
    <w:rsid w:val="00A87CF0"/>
    <w:rsid w:val="00A87FBB"/>
    <w:rsid w:val="00A90008"/>
    <w:rsid w:val="00A90021"/>
    <w:rsid w:val="00A90217"/>
    <w:rsid w:val="00A905A3"/>
    <w:rsid w:val="00A907AC"/>
    <w:rsid w:val="00A90A99"/>
    <w:rsid w:val="00A90B6F"/>
    <w:rsid w:val="00A90C18"/>
    <w:rsid w:val="00A90D19"/>
    <w:rsid w:val="00A90E48"/>
    <w:rsid w:val="00A90F3E"/>
    <w:rsid w:val="00A90F57"/>
    <w:rsid w:val="00A91158"/>
    <w:rsid w:val="00A91199"/>
    <w:rsid w:val="00A911D6"/>
    <w:rsid w:val="00A912B3"/>
    <w:rsid w:val="00A91383"/>
    <w:rsid w:val="00A91472"/>
    <w:rsid w:val="00A91568"/>
    <w:rsid w:val="00A91584"/>
    <w:rsid w:val="00A916CD"/>
    <w:rsid w:val="00A9186A"/>
    <w:rsid w:val="00A919C3"/>
    <w:rsid w:val="00A91B1B"/>
    <w:rsid w:val="00A91B35"/>
    <w:rsid w:val="00A91B54"/>
    <w:rsid w:val="00A91BA4"/>
    <w:rsid w:val="00A92018"/>
    <w:rsid w:val="00A92062"/>
    <w:rsid w:val="00A92378"/>
    <w:rsid w:val="00A923C3"/>
    <w:rsid w:val="00A925FB"/>
    <w:rsid w:val="00A92689"/>
    <w:rsid w:val="00A92703"/>
    <w:rsid w:val="00A92915"/>
    <w:rsid w:val="00A92B9A"/>
    <w:rsid w:val="00A92C63"/>
    <w:rsid w:val="00A92CAA"/>
    <w:rsid w:val="00A92CEA"/>
    <w:rsid w:val="00A92D29"/>
    <w:rsid w:val="00A92DA9"/>
    <w:rsid w:val="00A92E4F"/>
    <w:rsid w:val="00A930AB"/>
    <w:rsid w:val="00A931D3"/>
    <w:rsid w:val="00A93221"/>
    <w:rsid w:val="00A9326B"/>
    <w:rsid w:val="00A9357F"/>
    <w:rsid w:val="00A935A4"/>
    <w:rsid w:val="00A935AC"/>
    <w:rsid w:val="00A935C8"/>
    <w:rsid w:val="00A935F6"/>
    <w:rsid w:val="00A936FC"/>
    <w:rsid w:val="00A938E1"/>
    <w:rsid w:val="00A93921"/>
    <w:rsid w:val="00A93A8F"/>
    <w:rsid w:val="00A93C38"/>
    <w:rsid w:val="00A9405A"/>
    <w:rsid w:val="00A941E8"/>
    <w:rsid w:val="00A94247"/>
    <w:rsid w:val="00A94276"/>
    <w:rsid w:val="00A94553"/>
    <w:rsid w:val="00A945CE"/>
    <w:rsid w:val="00A94669"/>
    <w:rsid w:val="00A94710"/>
    <w:rsid w:val="00A948EB"/>
    <w:rsid w:val="00A94A55"/>
    <w:rsid w:val="00A94B91"/>
    <w:rsid w:val="00A94D4D"/>
    <w:rsid w:val="00A94DDF"/>
    <w:rsid w:val="00A94DF6"/>
    <w:rsid w:val="00A94F08"/>
    <w:rsid w:val="00A94F24"/>
    <w:rsid w:val="00A9503D"/>
    <w:rsid w:val="00A95059"/>
    <w:rsid w:val="00A95121"/>
    <w:rsid w:val="00A951BB"/>
    <w:rsid w:val="00A95459"/>
    <w:rsid w:val="00A95ABF"/>
    <w:rsid w:val="00A95B40"/>
    <w:rsid w:val="00A95BBB"/>
    <w:rsid w:val="00A95C2B"/>
    <w:rsid w:val="00A95C82"/>
    <w:rsid w:val="00A95DEC"/>
    <w:rsid w:val="00A96002"/>
    <w:rsid w:val="00A96071"/>
    <w:rsid w:val="00A960F6"/>
    <w:rsid w:val="00A96310"/>
    <w:rsid w:val="00A96447"/>
    <w:rsid w:val="00A9644F"/>
    <w:rsid w:val="00A9678C"/>
    <w:rsid w:val="00A967AF"/>
    <w:rsid w:val="00A9681A"/>
    <w:rsid w:val="00A96825"/>
    <w:rsid w:val="00A968EC"/>
    <w:rsid w:val="00A9699F"/>
    <w:rsid w:val="00A96A32"/>
    <w:rsid w:val="00A96A78"/>
    <w:rsid w:val="00A96AAC"/>
    <w:rsid w:val="00A96B9C"/>
    <w:rsid w:val="00A96F2D"/>
    <w:rsid w:val="00A97045"/>
    <w:rsid w:val="00A970DC"/>
    <w:rsid w:val="00A97174"/>
    <w:rsid w:val="00A9717A"/>
    <w:rsid w:val="00A971A6"/>
    <w:rsid w:val="00A973AE"/>
    <w:rsid w:val="00A97521"/>
    <w:rsid w:val="00A97625"/>
    <w:rsid w:val="00A9780E"/>
    <w:rsid w:val="00A97968"/>
    <w:rsid w:val="00A97C4E"/>
    <w:rsid w:val="00A97CE9"/>
    <w:rsid w:val="00A97F39"/>
    <w:rsid w:val="00AA0247"/>
    <w:rsid w:val="00AA036C"/>
    <w:rsid w:val="00AA0374"/>
    <w:rsid w:val="00AA03B4"/>
    <w:rsid w:val="00AA03EA"/>
    <w:rsid w:val="00AA092E"/>
    <w:rsid w:val="00AA0956"/>
    <w:rsid w:val="00AA0A57"/>
    <w:rsid w:val="00AA0CDE"/>
    <w:rsid w:val="00AA0EE1"/>
    <w:rsid w:val="00AA11CA"/>
    <w:rsid w:val="00AA1435"/>
    <w:rsid w:val="00AA1618"/>
    <w:rsid w:val="00AA16A0"/>
    <w:rsid w:val="00AA1736"/>
    <w:rsid w:val="00AA18D0"/>
    <w:rsid w:val="00AA19D6"/>
    <w:rsid w:val="00AA1BC9"/>
    <w:rsid w:val="00AA1C78"/>
    <w:rsid w:val="00AA1C9E"/>
    <w:rsid w:val="00AA1D72"/>
    <w:rsid w:val="00AA1F00"/>
    <w:rsid w:val="00AA1FA7"/>
    <w:rsid w:val="00AA20D4"/>
    <w:rsid w:val="00AA21B9"/>
    <w:rsid w:val="00AA21C8"/>
    <w:rsid w:val="00AA23B3"/>
    <w:rsid w:val="00AA2426"/>
    <w:rsid w:val="00AA2529"/>
    <w:rsid w:val="00AA25BB"/>
    <w:rsid w:val="00AA28C9"/>
    <w:rsid w:val="00AA2A38"/>
    <w:rsid w:val="00AA2A79"/>
    <w:rsid w:val="00AA2A7E"/>
    <w:rsid w:val="00AA2AFA"/>
    <w:rsid w:val="00AA2BB3"/>
    <w:rsid w:val="00AA2BC2"/>
    <w:rsid w:val="00AA2D18"/>
    <w:rsid w:val="00AA2D51"/>
    <w:rsid w:val="00AA2D88"/>
    <w:rsid w:val="00AA2D98"/>
    <w:rsid w:val="00AA2E1C"/>
    <w:rsid w:val="00AA2E77"/>
    <w:rsid w:val="00AA2EF5"/>
    <w:rsid w:val="00AA2F73"/>
    <w:rsid w:val="00AA2FD4"/>
    <w:rsid w:val="00AA33ED"/>
    <w:rsid w:val="00AA347F"/>
    <w:rsid w:val="00AA3669"/>
    <w:rsid w:val="00AA367F"/>
    <w:rsid w:val="00AA398A"/>
    <w:rsid w:val="00AA3AAD"/>
    <w:rsid w:val="00AA3C6B"/>
    <w:rsid w:val="00AA3F5A"/>
    <w:rsid w:val="00AA41DF"/>
    <w:rsid w:val="00AA42DD"/>
    <w:rsid w:val="00AA430E"/>
    <w:rsid w:val="00AA4415"/>
    <w:rsid w:val="00AA454A"/>
    <w:rsid w:val="00AA4554"/>
    <w:rsid w:val="00AA4645"/>
    <w:rsid w:val="00AA4750"/>
    <w:rsid w:val="00AA4885"/>
    <w:rsid w:val="00AA496E"/>
    <w:rsid w:val="00AA4C05"/>
    <w:rsid w:val="00AA4C40"/>
    <w:rsid w:val="00AA4CA0"/>
    <w:rsid w:val="00AA4CAF"/>
    <w:rsid w:val="00AA4E35"/>
    <w:rsid w:val="00AA4EDC"/>
    <w:rsid w:val="00AA4F35"/>
    <w:rsid w:val="00AA50A8"/>
    <w:rsid w:val="00AA517E"/>
    <w:rsid w:val="00AA5199"/>
    <w:rsid w:val="00AA5384"/>
    <w:rsid w:val="00AA53E2"/>
    <w:rsid w:val="00AA5480"/>
    <w:rsid w:val="00AA54DF"/>
    <w:rsid w:val="00AA57CC"/>
    <w:rsid w:val="00AA5835"/>
    <w:rsid w:val="00AA58ED"/>
    <w:rsid w:val="00AA5A87"/>
    <w:rsid w:val="00AA5D8C"/>
    <w:rsid w:val="00AA5EB8"/>
    <w:rsid w:val="00AA5FEF"/>
    <w:rsid w:val="00AA622A"/>
    <w:rsid w:val="00AA6382"/>
    <w:rsid w:val="00AA65FB"/>
    <w:rsid w:val="00AA6904"/>
    <w:rsid w:val="00AA6A20"/>
    <w:rsid w:val="00AA6A5E"/>
    <w:rsid w:val="00AA6A93"/>
    <w:rsid w:val="00AA6BA9"/>
    <w:rsid w:val="00AA6BD1"/>
    <w:rsid w:val="00AA6CFB"/>
    <w:rsid w:val="00AA70FA"/>
    <w:rsid w:val="00AA715D"/>
    <w:rsid w:val="00AA7177"/>
    <w:rsid w:val="00AA7496"/>
    <w:rsid w:val="00AA74B2"/>
    <w:rsid w:val="00AA7636"/>
    <w:rsid w:val="00AA765A"/>
    <w:rsid w:val="00AA769D"/>
    <w:rsid w:val="00AA7787"/>
    <w:rsid w:val="00AA7BD7"/>
    <w:rsid w:val="00AA7E1A"/>
    <w:rsid w:val="00AA7E91"/>
    <w:rsid w:val="00AA7F02"/>
    <w:rsid w:val="00AB0003"/>
    <w:rsid w:val="00AB02B5"/>
    <w:rsid w:val="00AB06AB"/>
    <w:rsid w:val="00AB06D9"/>
    <w:rsid w:val="00AB06E9"/>
    <w:rsid w:val="00AB075C"/>
    <w:rsid w:val="00AB076A"/>
    <w:rsid w:val="00AB097E"/>
    <w:rsid w:val="00AB0AE1"/>
    <w:rsid w:val="00AB0D01"/>
    <w:rsid w:val="00AB1182"/>
    <w:rsid w:val="00AB130C"/>
    <w:rsid w:val="00AB1344"/>
    <w:rsid w:val="00AB1602"/>
    <w:rsid w:val="00AB165B"/>
    <w:rsid w:val="00AB1815"/>
    <w:rsid w:val="00AB1E69"/>
    <w:rsid w:val="00AB1E7B"/>
    <w:rsid w:val="00AB1E7E"/>
    <w:rsid w:val="00AB1E97"/>
    <w:rsid w:val="00AB1F7F"/>
    <w:rsid w:val="00AB2022"/>
    <w:rsid w:val="00AB209A"/>
    <w:rsid w:val="00AB2149"/>
    <w:rsid w:val="00AB21A2"/>
    <w:rsid w:val="00AB25F0"/>
    <w:rsid w:val="00AB2817"/>
    <w:rsid w:val="00AB281E"/>
    <w:rsid w:val="00AB2861"/>
    <w:rsid w:val="00AB2935"/>
    <w:rsid w:val="00AB2B23"/>
    <w:rsid w:val="00AB2B9D"/>
    <w:rsid w:val="00AB2C13"/>
    <w:rsid w:val="00AB2D38"/>
    <w:rsid w:val="00AB2E46"/>
    <w:rsid w:val="00AB2F42"/>
    <w:rsid w:val="00AB30C4"/>
    <w:rsid w:val="00AB325D"/>
    <w:rsid w:val="00AB32CD"/>
    <w:rsid w:val="00AB33BF"/>
    <w:rsid w:val="00AB35EC"/>
    <w:rsid w:val="00AB36CA"/>
    <w:rsid w:val="00AB3752"/>
    <w:rsid w:val="00AB388B"/>
    <w:rsid w:val="00AB396C"/>
    <w:rsid w:val="00AB39C7"/>
    <w:rsid w:val="00AB3B1A"/>
    <w:rsid w:val="00AB3B68"/>
    <w:rsid w:val="00AB3BB2"/>
    <w:rsid w:val="00AB3EFB"/>
    <w:rsid w:val="00AB408F"/>
    <w:rsid w:val="00AB422F"/>
    <w:rsid w:val="00AB4287"/>
    <w:rsid w:val="00AB42B3"/>
    <w:rsid w:val="00AB42E2"/>
    <w:rsid w:val="00AB42F8"/>
    <w:rsid w:val="00AB4458"/>
    <w:rsid w:val="00AB44BD"/>
    <w:rsid w:val="00AB4732"/>
    <w:rsid w:val="00AB47CB"/>
    <w:rsid w:val="00AB498D"/>
    <w:rsid w:val="00AB49B5"/>
    <w:rsid w:val="00AB4CB7"/>
    <w:rsid w:val="00AB4CBE"/>
    <w:rsid w:val="00AB4DE9"/>
    <w:rsid w:val="00AB506C"/>
    <w:rsid w:val="00AB5072"/>
    <w:rsid w:val="00AB521A"/>
    <w:rsid w:val="00AB544D"/>
    <w:rsid w:val="00AB5461"/>
    <w:rsid w:val="00AB5481"/>
    <w:rsid w:val="00AB5482"/>
    <w:rsid w:val="00AB5493"/>
    <w:rsid w:val="00AB55CF"/>
    <w:rsid w:val="00AB5602"/>
    <w:rsid w:val="00AB568C"/>
    <w:rsid w:val="00AB56B2"/>
    <w:rsid w:val="00AB56D9"/>
    <w:rsid w:val="00AB58BD"/>
    <w:rsid w:val="00AB5B87"/>
    <w:rsid w:val="00AB5BD6"/>
    <w:rsid w:val="00AB5D1F"/>
    <w:rsid w:val="00AB5DEF"/>
    <w:rsid w:val="00AB5E23"/>
    <w:rsid w:val="00AB5E7C"/>
    <w:rsid w:val="00AB5E8F"/>
    <w:rsid w:val="00AB5EC6"/>
    <w:rsid w:val="00AB5FBB"/>
    <w:rsid w:val="00AB619C"/>
    <w:rsid w:val="00AB6297"/>
    <w:rsid w:val="00AB62B0"/>
    <w:rsid w:val="00AB62E7"/>
    <w:rsid w:val="00AB6391"/>
    <w:rsid w:val="00AB63D7"/>
    <w:rsid w:val="00AB65E5"/>
    <w:rsid w:val="00AB6791"/>
    <w:rsid w:val="00AB67A1"/>
    <w:rsid w:val="00AB6832"/>
    <w:rsid w:val="00AB6915"/>
    <w:rsid w:val="00AB6970"/>
    <w:rsid w:val="00AB6C62"/>
    <w:rsid w:val="00AB6D4C"/>
    <w:rsid w:val="00AB6E5A"/>
    <w:rsid w:val="00AB7142"/>
    <w:rsid w:val="00AB7349"/>
    <w:rsid w:val="00AB7451"/>
    <w:rsid w:val="00AB74C8"/>
    <w:rsid w:val="00AB756A"/>
    <w:rsid w:val="00AB7780"/>
    <w:rsid w:val="00AB79AF"/>
    <w:rsid w:val="00AB7A5F"/>
    <w:rsid w:val="00AB7C01"/>
    <w:rsid w:val="00AB7E14"/>
    <w:rsid w:val="00AB7E82"/>
    <w:rsid w:val="00AC0A27"/>
    <w:rsid w:val="00AC0BCE"/>
    <w:rsid w:val="00AC0C52"/>
    <w:rsid w:val="00AC0CC6"/>
    <w:rsid w:val="00AC0D0A"/>
    <w:rsid w:val="00AC0D67"/>
    <w:rsid w:val="00AC0EF6"/>
    <w:rsid w:val="00AC105B"/>
    <w:rsid w:val="00AC12A5"/>
    <w:rsid w:val="00AC14A4"/>
    <w:rsid w:val="00AC1630"/>
    <w:rsid w:val="00AC1AC3"/>
    <w:rsid w:val="00AC1B95"/>
    <w:rsid w:val="00AC1BCE"/>
    <w:rsid w:val="00AC1C35"/>
    <w:rsid w:val="00AC1C3A"/>
    <w:rsid w:val="00AC1CDA"/>
    <w:rsid w:val="00AC2118"/>
    <w:rsid w:val="00AC2160"/>
    <w:rsid w:val="00AC221B"/>
    <w:rsid w:val="00AC2258"/>
    <w:rsid w:val="00AC22C1"/>
    <w:rsid w:val="00AC24CD"/>
    <w:rsid w:val="00AC2629"/>
    <w:rsid w:val="00AC2725"/>
    <w:rsid w:val="00AC29CF"/>
    <w:rsid w:val="00AC29D2"/>
    <w:rsid w:val="00AC2D9E"/>
    <w:rsid w:val="00AC306C"/>
    <w:rsid w:val="00AC3310"/>
    <w:rsid w:val="00AC3367"/>
    <w:rsid w:val="00AC33EB"/>
    <w:rsid w:val="00AC3411"/>
    <w:rsid w:val="00AC343F"/>
    <w:rsid w:val="00AC3571"/>
    <w:rsid w:val="00AC357E"/>
    <w:rsid w:val="00AC3599"/>
    <w:rsid w:val="00AC3704"/>
    <w:rsid w:val="00AC3722"/>
    <w:rsid w:val="00AC3781"/>
    <w:rsid w:val="00AC3B3F"/>
    <w:rsid w:val="00AC3B7F"/>
    <w:rsid w:val="00AC3D89"/>
    <w:rsid w:val="00AC3E57"/>
    <w:rsid w:val="00AC3EF4"/>
    <w:rsid w:val="00AC3FEC"/>
    <w:rsid w:val="00AC40D7"/>
    <w:rsid w:val="00AC4493"/>
    <w:rsid w:val="00AC44EC"/>
    <w:rsid w:val="00AC45FB"/>
    <w:rsid w:val="00AC46D2"/>
    <w:rsid w:val="00AC472E"/>
    <w:rsid w:val="00AC47B2"/>
    <w:rsid w:val="00AC48F6"/>
    <w:rsid w:val="00AC49FE"/>
    <w:rsid w:val="00AC4A38"/>
    <w:rsid w:val="00AC4B1C"/>
    <w:rsid w:val="00AC4F39"/>
    <w:rsid w:val="00AC4F9C"/>
    <w:rsid w:val="00AC512F"/>
    <w:rsid w:val="00AC5289"/>
    <w:rsid w:val="00AC54F1"/>
    <w:rsid w:val="00AC558E"/>
    <w:rsid w:val="00AC5617"/>
    <w:rsid w:val="00AC56BD"/>
    <w:rsid w:val="00AC57B7"/>
    <w:rsid w:val="00AC5AD6"/>
    <w:rsid w:val="00AC5B48"/>
    <w:rsid w:val="00AC5BAA"/>
    <w:rsid w:val="00AC5BE2"/>
    <w:rsid w:val="00AC5C8E"/>
    <w:rsid w:val="00AC5DE9"/>
    <w:rsid w:val="00AC6051"/>
    <w:rsid w:val="00AC60B2"/>
    <w:rsid w:val="00AC630E"/>
    <w:rsid w:val="00AC6341"/>
    <w:rsid w:val="00AC63B1"/>
    <w:rsid w:val="00AC6408"/>
    <w:rsid w:val="00AC6456"/>
    <w:rsid w:val="00AC64F6"/>
    <w:rsid w:val="00AC65CD"/>
    <w:rsid w:val="00AC6699"/>
    <w:rsid w:val="00AC6841"/>
    <w:rsid w:val="00AC691C"/>
    <w:rsid w:val="00AC6A63"/>
    <w:rsid w:val="00AC6AF6"/>
    <w:rsid w:val="00AC6D94"/>
    <w:rsid w:val="00AC6DB4"/>
    <w:rsid w:val="00AC6EC2"/>
    <w:rsid w:val="00AC6FC2"/>
    <w:rsid w:val="00AC70A9"/>
    <w:rsid w:val="00AC72D3"/>
    <w:rsid w:val="00AC7377"/>
    <w:rsid w:val="00AC7404"/>
    <w:rsid w:val="00AC743B"/>
    <w:rsid w:val="00AC7451"/>
    <w:rsid w:val="00AC7463"/>
    <w:rsid w:val="00AC7622"/>
    <w:rsid w:val="00AC7787"/>
    <w:rsid w:val="00AC784E"/>
    <w:rsid w:val="00AC7C38"/>
    <w:rsid w:val="00AC7C97"/>
    <w:rsid w:val="00AC7CCB"/>
    <w:rsid w:val="00AC7DCA"/>
    <w:rsid w:val="00AC7F86"/>
    <w:rsid w:val="00AC7FEA"/>
    <w:rsid w:val="00AD00BF"/>
    <w:rsid w:val="00AD01B3"/>
    <w:rsid w:val="00AD0332"/>
    <w:rsid w:val="00AD0367"/>
    <w:rsid w:val="00AD036B"/>
    <w:rsid w:val="00AD044F"/>
    <w:rsid w:val="00AD049C"/>
    <w:rsid w:val="00AD050A"/>
    <w:rsid w:val="00AD06F4"/>
    <w:rsid w:val="00AD0921"/>
    <w:rsid w:val="00AD0A69"/>
    <w:rsid w:val="00AD0A91"/>
    <w:rsid w:val="00AD0B71"/>
    <w:rsid w:val="00AD0B80"/>
    <w:rsid w:val="00AD0D02"/>
    <w:rsid w:val="00AD0D5F"/>
    <w:rsid w:val="00AD0D64"/>
    <w:rsid w:val="00AD0F16"/>
    <w:rsid w:val="00AD0F81"/>
    <w:rsid w:val="00AD10FB"/>
    <w:rsid w:val="00AD11B7"/>
    <w:rsid w:val="00AD1220"/>
    <w:rsid w:val="00AD124B"/>
    <w:rsid w:val="00AD1280"/>
    <w:rsid w:val="00AD13EA"/>
    <w:rsid w:val="00AD1477"/>
    <w:rsid w:val="00AD1636"/>
    <w:rsid w:val="00AD163E"/>
    <w:rsid w:val="00AD16A8"/>
    <w:rsid w:val="00AD1762"/>
    <w:rsid w:val="00AD1787"/>
    <w:rsid w:val="00AD18BE"/>
    <w:rsid w:val="00AD1989"/>
    <w:rsid w:val="00AD1A60"/>
    <w:rsid w:val="00AD1B16"/>
    <w:rsid w:val="00AD1B9E"/>
    <w:rsid w:val="00AD1C16"/>
    <w:rsid w:val="00AD1C61"/>
    <w:rsid w:val="00AD1C62"/>
    <w:rsid w:val="00AD1C84"/>
    <w:rsid w:val="00AD1D6C"/>
    <w:rsid w:val="00AD1DD2"/>
    <w:rsid w:val="00AD1FC5"/>
    <w:rsid w:val="00AD2082"/>
    <w:rsid w:val="00AD2102"/>
    <w:rsid w:val="00AD21ED"/>
    <w:rsid w:val="00AD2252"/>
    <w:rsid w:val="00AD22A8"/>
    <w:rsid w:val="00AD2350"/>
    <w:rsid w:val="00AD263C"/>
    <w:rsid w:val="00AD2786"/>
    <w:rsid w:val="00AD285A"/>
    <w:rsid w:val="00AD29A4"/>
    <w:rsid w:val="00AD2A58"/>
    <w:rsid w:val="00AD2B4E"/>
    <w:rsid w:val="00AD2BB3"/>
    <w:rsid w:val="00AD2E48"/>
    <w:rsid w:val="00AD2EFD"/>
    <w:rsid w:val="00AD3260"/>
    <w:rsid w:val="00AD3445"/>
    <w:rsid w:val="00AD34E5"/>
    <w:rsid w:val="00AD36B3"/>
    <w:rsid w:val="00AD392C"/>
    <w:rsid w:val="00AD398B"/>
    <w:rsid w:val="00AD39C0"/>
    <w:rsid w:val="00AD3A13"/>
    <w:rsid w:val="00AD3A56"/>
    <w:rsid w:val="00AD3AC4"/>
    <w:rsid w:val="00AD3BFC"/>
    <w:rsid w:val="00AD3E1E"/>
    <w:rsid w:val="00AD3F8C"/>
    <w:rsid w:val="00AD3FE9"/>
    <w:rsid w:val="00AD4320"/>
    <w:rsid w:val="00AD471E"/>
    <w:rsid w:val="00AD47E5"/>
    <w:rsid w:val="00AD487C"/>
    <w:rsid w:val="00AD491A"/>
    <w:rsid w:val="00AD49F0"/>
    <w:rsid w:val="00AD4A4F"/>
    <w:rsid w:val="00AD4AA7"/>
    <w:rsid w:val="00AD4AC7"/>
    <w:rsid w:val="00AD4C61"/>
    <w:rsid w:val="00AD4C7B"/>
    <w:rsid w:val="00AD4C82"/>
    <w:rsid w:val="00AD4DD6"/>
    <w:rsid w:val="00AD4FB0"/>
    <w:rsid w:val="00AD4FCB"/>
    <w:rsid w:val="00AD549E"/>
    <w:rsid w:val="00AD5564"/>
    <w:rsid w:val="00AD557D"/>
    <w:rsid w:val="00AD5581"/>
    <w:rsid w:val="00AD559A"/>
    <w:rsid w:val="00AD55A3"/>
    <w:rsid w:val="00AD56C2"/>
    <w:rsid w:val="00AD5895"/>
    <w:rsid w:val="00AD5A26"/>
    <w:rsid w:val="00AD5A9F"/>
    <w:rsid w:val="00AD5AA5"/>
    <w:rsid w:val="00AD5B65"/>
    <w:rsid w:val="00AD5BD3"/>
    <w:rsid w:val="00AD5C65"/>
    <w:rsid w:val="00AD5D05"/>
    <w:rsid w:val="00AD5D1D"/>
    <w:rsid w:val="00AD5D30"/>
    <w:rsid w:val="00AD5F1F"/>
    <w:rsid w:val="00AD5F4D"/>
    <w:rsid w:val="00AD642E"/>
    <w:rsid w:val="00AD6483"/>
    <w:rsid w:val="00AD6595"/>
    <w:rsid w:val="00AD676B"/>
    <w:rsid w:val="00AD69CE"/>
    <w:rsid w:val="00AD6AAD"/>
    <w:rsid w:val="00AD6B9B"/>
    <w:rsid w:val="00AD6BEA"/>
    <w:rsid w:val="00AD6DA9"/>
    <w:rsid w:val="00AD6EAE"/>
    <w:rsid w:val="00AD6EDB"/>
    <w:rsid w:val="00AD6F68"/>
    <w:rsid w:val="00AD6F83"/>
    <w:rsid w:val="00AD755F"/>
    <w:rsid w:val="00AD75CF"/>
    <w:rsid w:val="00AD75FF"/>
    <w:rsid w:val="00AD7605"/>
    <w:rsid w:val="00AD7A19"/>
    <w:rsid w:val="00AD7A32"/>
    <w:rsid w:val="00AD7B27"/>
    <w:rsid w:val="00AD7BB1"/>
    <w:rsid w:val="00AD7D5E"/>
    <w:rsid w:val="00AD7D9D"/>
    <w:rsid w:val="00AD7DC1"/>
    <w:rsid w:val="00AD7E8F"/>
    <w:rsid w:val="00AD7F5F"/>
    <w:rsid w:val="00AE0003"/>
    <w:rsid w:val="00AE00F2"/>
    <w:rsid w:val="00AE035E"/>
    <w:rsid w:val="00AE03CA"/>
    <w:rsid w:val="00AE053B"/>
    <w:rsid w:val="00AE054D"/>
    <w:rsid w:val="00AE0754"/>
    <w:rsid w:val="00AE090C"/>
    <w:rsid w:val="00AE0937"/>
    <w:rsid w:val="00AE0A2F"/>
    <w:rsid w:val="00AE0B7D"/>
    <w:rsid w:val="00AE0D07"/>
    <w:rsid w:val="00AE0D29"/>
    <w:rsid w:val="00AE0EE7"/>
    <w:rsid w:val="00AE0F45"/>
    <w:rsid w:val="00AE10E0"/>
    <w:rsid w:val="00AE1152"/>
    <w:rsid w:val="00AE1249"/>
    <w:rsid w:val="00AE18C1"/>
    <w:rsid w:val="00AE18CE"/>
    <w:rsid w:val="00AE1978"/>
    <w:rsid w:val="00AE1DF9"/>
    <w:rsid w:val="00AE1E70"/>
    <w:rsid w:val="00AE1FD7"/>
    <w:rsid w:val="00AE2121"/>
    <w:rsid w:val="00AE216D"/>
    <w:rsid w:val="00AE21D9"/>
    <w:rsid w:val="00AE22EC"/>
    <w:rsid w:val="00AE22FF"/>
    <w:rsid w:val="00AE2341"/>
    <w:rsid w:val="00AE239C"/>
    <w:rsid w:val="00AE245C"/>
    <w:rsid w:val="00AE24A8"/>
    <w:rsid w:val="00AE255A"/>
    <w:rsid w:val="00AE2615"/>
    <w:rsid w:val="00AE2683"/>
    <w:rsid w:val="00AE2756"/>
    <w:rsid w:val="00AE2838"/>
    <w:rsid w:val="00AE288F"/>
    <w:rsid w:val="00AE28BF"/>
    <w:rsid w:val="00AE296E"/>
    <w:rsid w:val="00AE2972"/>
    <w:rsid w:val="00AE2A84"/>
    <w:rsid w:val="00AE2BE8"/>
    <w:rsid w:val="00AE2BEC"/>
    <w:rsid w:val="00AE2D5A"/>
    <w:rsid w:val="00AE2E0F"/>
    <w:rsid w:val="00AE2E2F"/>
    <w:rsid w:val="00AE2ECF"/>
    <w:rsid w:val="00AE2F90"/>
    <w:rsid w:val="00AE3165"/>
    <w:rsid w:val="00AE3195"/>
    <w:rsid w:val="00AE3338"/>
    <w:rsid w:val="00AE3471"/>
    <w:rsid w:val="00AE35EF"/>
    <w:rsid w:val="00AE3614"/>
    <w:rsid w:val="00AE367D"/>
    <w:rsid w:val="00AE3680"/>
    <w:rsid w:val="00AE374B"/>
    <w:rsid w:val="00AE3B6E"/>
    <w:rsid w:val="00AE3B73"/>
    <w:rsid w:val="00AE3C96"/>
    <w:rsid w:val="00AE3D89"/>
    <w:rsid w:val="00AE3DB2"/>
    <w:rsid w:val="00AE3F1D"/>
    <w:rsid w:val="00AE3F7C"/>
    <w:rsid w:val="00AE3FD9"/>
    <w:rsid w:val="00AE4152"/>
    <w:rsid w:val="00AE4229"/>
    <w:rsid w:val="00AE422E"/>
    <w:rsid w:val="00AE4279"/>
    <w:rsid w:val="00AE453D"/>
    <w:rsid w:val="00AE459D"/>
    <w:rsid w:val="00AE49FA"/>
    <w:rsid w:val="00AE4A42"/>
    <w:rsid w:val="00AE50BE"/>
    <w:rsid w:val="00AE51C4"/>
    <w:rsid w:val="00AE545A"/>
    <w:rsid w:val="00AE55C8"/>
    <w:rsid w:val="00AE5638"/>
    <w:rsid w:val="00AE5860"/>
    <w:rsid w:val="00AE587B"/>
    <w:rsid w:val="00AE592D"/>
    <w:rsid w:val="00AE5A3B"/>
    <w:rsid w:val="00AE5AE6"/>
    <w:rsid w:val="00AE5B65"/>
    <w:rsid w:val="00AE5C91"/>
    <w:rsid w:val="00AE5CAD"/>
    <w:rsid w:val="00AE5E31"/>
    <w:rsid w:val="00AE603B"/>
    <w:rsid w:val="00AE6205"/>
    <w:rsid w:val="00AE6294"/>
    <w:rsid w:val="00AE62EC"/>
    <w:rsid w:val="00AE6316"/>
    <w:rsid w:val="00AE6440"/>
    <w:rsid w:val="00AE649C"/>
    <w:rsid w:val="00AE6609"/>
    <w:rsid w:val="00AE6962"/>
    <w:rsid w:val="00AE6980"/>
    <w:rsid w:val="00AE69E2"/>
    <w:rsid w:val="00AE6D09"/>
    <w:rsid w:val="00AE6DCD"/>
    <w:rsid w:val="00AE6F4E"/>
    <w:rsid w:val="00AE6F8D"/>
    <w:rsid w:val="00AE7003"/>
    <w:rsid w:val="00AE73A2"/>
    <w:rsid w:val="00AE753B"/>
    <w:rsid w:val="00AE7586"/>
    <w:rsid w:val="00AE765A"/>
    <w:rsid w:val="00AE7722"/>
    <w:rsid w:val="00AE77C6"/>
    <w:rsid w:val="00AE7857"/>
    <w:rsid w:val="00AE7882"/>
    <w:rsid w:val="00AE79D9"/>
    <w:rsid w:val="00AE7A45"/>
    <w:rsid w:val="00AE7B90"/>
    <w:rsid w:val="00AE7C15"/>
    <w:rsid w:val="00AE7C24"/>
    <w:rsid w:val="00AE7E23"/>
    <w:rsid w:val="00AE7EA9"/>
    <w:rsid w:val="00AE7F00"/>
    <w:rsid w:val="00AF0053"/>
    <w:rsid w:val="00AF00E5"/>
    <w:rsid w:val="00AF02AF"/>
    <w:rsid w:val="00AF0670"/>
    <w:rsid w:val="00AF0682"/>
    <w:rsid w:val="00AF06A1"/>
    <w:rsid w:val="00AF08E8"/>
    <w:rsid w:val="00AF0968"/>
    <w:rsid w:val="00AF09D2"/>
    <w:rsid w:val="00AF0A32"/>
    <w:rsid w:val="00AF0AC0"/>
    <w:rsid w:val="00AF0AF4"/>
    <w:rsid w:val="00AF0F93"/>
    <w:rsid w:val="00AF129D"/>
    <w:rsid w:val="00AF13A4"/>
    <w:rsid w:val="00AF1522"/>
    <w:rsid w:val="00AF1540"/>
    <w:rsid w:val="00AF1544"/>
    <w:rsid w:val="00AF1643"/>
    <w:rsid w:val="00AF17B5"/>
    <w:rsid w:val="00AF1A78"/>
    <w:rsid w:val="00AF1AE0"/>
    <w:rsid w:val="00AF1B65"/>
    <w:rsid w:val="00AF1BCC"/>
    <w:rsid w:val="00AF1D0F"/>
    <w:rsid w:val="00AF1D33"/>
    <w:rsid w:val="00AF20A2"/>
    <w:rsid w:val="00AF20A5"/>
    <w:rsid w:val="00AF239F"/>
    <w:rsid w:val="00AF2441"/>
    <w:rsid w:val="00AF25CD"/>
    <w:rsid w:val="00AF2751"/>
    <w:rsid w:val="00AF2AA4"/>
    <w:rsid w:val="00AF2B4C"/>
    <w:rsid w:val="00AF2C09"/>
    <w:rsid w:val="00AF2DC9"/>
    <w:rsid w:val="00AF3092"/>
    <w:rsid w:val="00AF30EE"/>
    <w:rsid w:val="00AF3214"/>
    <w:rsid w:val="00AF3284"/>
    <w:rsid w:val="00AF332C"/>
    <w:rsid w:val="00AF33D5"/>
    <w:rsid w:val="00AF34ED"/>
    <w:rsid w:val="00AF367F"/>
    <w:rsid w:val="00AF3711"/>
    <w:rsid w:val="00AF3763"/>
    <w:rsid w:val="00AF386A"/>
    <w:rsid w:val="00AF3924"/>
    <w:rsid w:val="00AF3964"/>
    <w:rsid w:val="00AF39C5"/>
    <w:rsid w:val="00AF3B5E"/>
    <w:rsid w:val="00AF3E01"/>
    <w:rsid w:val="00AF4029"/>
    <w:rsid w:val="00AF429F"/>
    <w:rsid w:val="00AF4344"/>
    <w:rsid w:val="00AF4363"/>
    <w:rsid w:val="00AF43A0"/>
    <w:rsid w:val="00AF44E3"/>
    <w:rsid w:val="00AF4587"/>
    <w:rsid w:val="00AF45FC"/>
    <w:rsid w:val="00AF461E"/>
    <w:rsid w:val="00AF46FD"/>
    <w:rsid w:val="00AF473C"/>
    <w:rsid w:val="00AF47C4"/>
    <w:rsid w:val="00AF496D"/>
    <w:rsid w:val="00AF49E8"/>
    <w:rsid w:val="00AF4C3D"/>
    <w:rsid w:val="00AF4D8D"/>
    <w:rsid w:val="00AF4DBD"/>
    <w:rsid w:val="00AF4DE7"/>
    <w:rsid w:val="00AF4F57"/>
    <w:rsid w:val="00AF4FFC"/>
    <w:rsid w:val="00AF5050"/>
    <w:rsid w:val="00AF50E0"/>
    <w:rsid w:val="00AF51B5"/>
    <w:rsid w:val="00AF5209"/>
    <w:rsid w:val="00AF5264"/>
    <w:rsid w:val="00AF536D"/>
    <w:rsid w:val="00AF5424"/>
    <w:rsid w:val="00AF55A1"/>
    <w:rsid w:val="00AF55CF"/>
    <w:rsid w:val="00AF576A"/>
    <w:rsid w:val="00AF57A9"/>
    <w:rsid w:val="00AF57DF"/>
    <w:rsid w:val="00AF5810"/>
    <w:rsid w:val="00AF584E"/>
    <w:rsid w:val="00AF5AB7"/>
    <w:rsid w:val="00AF5BAD"/>
    <w:rsid w:val="00AF5BEE"/>
    <w:rsid w:val="00AF5DAE"/>
    <w:rsid w:val="00AF5E42"/>
    <w:rsid w:val="00AF5EA2"/>
    <w:rsid w:val="00AF5FAC"/>
    <w:rsid w:val="00AF6423"/>
    <w:rsid w:val="00AF64D6"/>
    <w:rsid w:val="00AF6511"/>
    <w:rsid w:val="00AF6665"/>
    <w:rsid w:val="00AF668B"/>
    <w:rsid w:val="00AF6716"/>
    <w:rsid w:val="00AF68CC"/>
    <w:rsid w:val="00AF6905"/>
    <w:rsid w:val="00AF6AAE"/>
    <w:rsid w:val="00AF6B37"/>
    <w:rsid w:val="00AF6B4E"/>
    <w:rsid w:val="00AF6B89"/>
    <w:rsid w:val="00AF6BAA"/>
    <w:rsid w:val="00AF6BF8"/>
    <w:rsid w:val="00AF6CEE"/>
    <w:rsid w:val="00AF6D12"/>
    <w:rsid w:val="00AF6D3C"/>
    <w:rsid w:val="00AF6D48"/>
    <w:rsid w:val="00AF6D80"/>
    <w:rsid w:val="00AF6D88"/>
    <w:rsid w:val="00AF6DAE"/>
    <w:rsid w:val="00AF6F6C"/>
    <w:rsid w:val="00AF6FBA"/>
    <w:rsid w:val="00AF6FDA"/>
    <w:rsid w:val="00AF7252"/>
    <w:rsid w:val="00AF729A"/>
    <w:rsid w:val="00AF73FD"/>
    <w:rsid w:val="00AF74DE"/>
    <w:rsid w:val="00AF7546"/>
    <w:rsid w:val="00AF757B"/>
    <w:rsid w:val="00AF7613"/>
    <w:rsid w:val="00AF761A"/>
    <w:rsid w:val="00AF76E5"/>
    <w:rsid w:val="00AF77E2"/>
    <w:rsid w:val="00AF77EC"/>
    <w:rsid w:val="00AF7974"/>
    <w:rsid w:val="00AF79A6"/>
    <w:rsid w:val="00AF7A40"/>
    <w:rsid w:val="00AF7A5F"/>
    <w:rsid w:val="00AF7ADA"/>
    <w:rsid w:val="00AF7C6B"/>
    <w:rsid w:val="00AF7CAC"/>
    <w:rsid w:val="00B004F8"/>
    <w:rsid w:val="00B0075B"/>
    <w:rsid w:val="00B007DC"/>
    <w:rsid w:val="00B00B87"/>
    <w:rsid w:val="00B00F07"/>
    <w:rsid w:val="00B00F14"/>
    <w:rsid w:val="00B00FAD"/>
    <w:rsid w:val="00B01072"/>
    <w:rsid w:val="00B0129A"/>
    <w:rsid w:val="00B012D2"/>
    <w:rsid w:val="00B0165D"/>
    <w:rsid w:val="00B01805"/>
    <w:rsid w:val="00B01823"/>
    <w:rsid w:val="00B01831"/>
    <w:rsid w:val="00B0183C"/>
    <w:rsid w:val="00B01975"/>
    <w:rsid w:val="00B01B2F"/>
    <w:rsid w:val="00B01B61"/>
    <w:rsid w:val="00B01CD8"/>
    <w:rsid w:val="00B01DA4"/>
    <w:rsid w:val="00B01F81"/>
    <w:rsid w:val="00B023D1"/>
    <w:rsid w:val="00B024EA"/>
    <w:rsid w:val="00B0252D"/>
    <w:rsid w:val="00B025B1"/>
    <w:rsid w:val="00B0269C"/>
    <w:rsid w:val="00B027D3"/>
    <w:rsid w:val="00B02896"/>
    <w:rsid w:val="00B02917"/>
    <w:rsid w:val="00B02BFF"/>
    <w:rsid w:val="00B02D6C"/>
    <w:rsid w:val="00B02DA7"/>
    <w:rsid w:val="00B03209"/>
    <w:rsid w:val="00B033C6"/>
    <w:rsid w:val="00B03621"/>
    <w:rsid w:val="00B03698"/>
    <w:rsid w:val="00B0376B"/>
    <w:rsid w:val="00B03A76"/>
    <w:rsid w:val="00B03B53"/>
    <w:rsid w:val="00B03C70"/>
    <w:rsid w:val="00B03E28"/>
    <w:rsid w:val="00B03EB7"/>
    <w:rsid w:val="00B03F29"/>
    <w:rsid w:val="00B041FE"/>
    <w:rsid w:val="00B043C0"/>
    <w:rsid w:val="00B0446C"/>
    <w:rsid w:val="00B04487"/>
    <w:rsid w:val="00B044F9"/>
    <w:rsid w:val="00B04A83"/>
    <w:rsid w:val="00B04B88"/>
    <w:rsid w:val="00B04C69"/>
    <w:rsid w:val="00B04DDA"/>
    <w:rsid w:val="00B04F69"/>
    <w:rsid w:val="00B0501C"/>
    <w:rsid w:val="00B05034"/>
    <w:rsid w:val="00B050CC"/>
    <w:rsid w:val="00B05118"/>
    <w:rsid w:val="00B0511E"/>
    <w:rsid w:val="00B05542"/>
    <w:rsid w:val="00B055D5"/>
    <w:rsid w:val="00B05601"/>
    <w:rsid w:val="00B056E6"/>
    <w:rsid w:val="00B05AE1"/>
    <w:rsid w:val="00B05C26"/>
    <w:rsid w:val="00B05C4B"/>
    <w:rsid w:val="00B05D49"/>
    <w:rsid w:val="00B05D52"/>
    <w:rsid w:val="00B05D8B"/>
    <w:rsid w:val="00B05EBE"/>
    <w:rsid w:val="00B05F5B"/>
    <w:rsid w:val="00B060C3"/>
    <w:rsid w:val="00B060E2"/>
    <w:rsid w:val="00B06160"/>
    <w:rsid w:val="00B06330"/>
    <w:rsid w:val="00B06401"/>
    <w:rsid w:val="00B06587"/>
    <w:rsid w:val="00B065AB"/>
    <w:rsid w:val="00B06647"/>
    <w:rsid w:val="00B0677B"/>
    <w:rsid w:val="00B067A4"/>
    <w:rsid w:val="00B0683A"/>
    <w:rsid w:val="00B06849"/>
    <w:rsid w:val="00B068EC"/>
    <w:rsid w:val="00B06B9A"/>
    <w:rsid w:val="00B06C1C"/>
    <w:rsid w:val="00B06C2A"/>
    <w:rsid w:val="00B06D72"/>
    <w:rsid w:val="00B06D98"/>
    <w:rsid w:val="00B070A6"/>
    <w:rsid w:val="00B0713C"/>
    <w:rsid w:val="00B071EA"/>
    <w:rsid w:val="00B07371"/>
    <w:rsid w:val="00B074AC"/>
    <w:rsid w:val="00B0770E"/>
    <w:rsid w:val="00B07735"/>
    <w:rsid w:val="00B0773A"/>
    <w:rsid w:val="00B07774"/>
    <w:rsid w:val="00B077FA"/>
    <w:rsid w:val="00B078F0"/>
    <w:rsid w:val="00B0791D"/>
    <w:rsid w:val="00B079C5"/>
    <w:rsid w:val="00B07A78"/>
    <w:rsid w:val="00B07D6D"/>
    <w:rsid w:val="00B07E76"/>
    <w:rsid w:val="00B07EA5"/>
    <w:rsid w:val="00B07EE2"/>
    <w:rsid w:val="00B07EE8"/>
    <w:rsid w:val="00B10004"/>
    <w:rsid w:val="00B10156"/>
    <w:rsid w:val="00B10237"/>
    <w:rsid w:val="00B10244"/>
    <w:rsid w:val="00B10549"/>
    <w:rsid w:val="00B10595"/>
    <w:rsid w:val="00B106AF"/>
    <w:rsid w:val="00B106DB"/>
    <w:rsid w:val="00B1077B"/>
    <w:rsid w:val="00B107BF"/>
    <w:rsid w:val="00B1095D"/>
    <w:rsid w:val="00B10B1B"/>
    <w:rsid w:val="00B10B6B"/>
    <w:rsid w:val="00B10B96"/>
    <w:rsid w:val="00B10BBB"/>
    <w:rsid w:val="00B10C10"/>
    <w:rsid w:val="00B10F5A"/>
    <w:rsid w:val="00B11046"/>
    <w:rsid w:val="00B111DE"/>
    <w:rsid w:val="00B11607"/>
    <w:rsid w:val="00B1160A"/>
    <w:rsid w:val="00B116EC"/>
    <w:rsid w:val="00B11957"/>
    <w:rsid w:val="00B11AD6"/>
    <w:rsid w:val="00B11AD8"/>
    <w:rsid w:val="00B11C0C"/>
    <w:rsid w:val="00B11E9D"/>
    <w:rsid w:val="00B11F1E"/>
    <w:rsid w:val="00B120A1"/>
    <w:rsid w:val="00B120B4"/>
    <w:rsid w:val="00B12109"/>
    <w:rsid w:val="00B121CF"/>
    <w:rsid w:val="00B12227"/>
    <w:rsid w:val="00B1228C"/>
    <w:rsid w:val="00B12294"/>
    <w:rsid w:val="00B122AF"/>
    <w:rsid w:val="00B122C3"/>
    <w:rsid w:val="00B1258A"/>
    <w:rsid w:val="00B1269B"/>
    <w:rsid w:val="00B12780"/>
    <w:rsid w:val="00B127DB"/>
    <w:rsid w:val="00B129C9"/>
    <w:rsid w:val="00B12B18"/>
    <w:rsid w:val="00B12B35"/>
    <w:rsid w:val="00B12DD4"/>
    <w:rsid w:val="00B12E93"/>
    <w:rsid w:val="00B12EE1"/>
    <w:rsid w:val="00B12F6A"/>
    <w:rsid w:val="00B130DF"/>
    <w:rsid w:val="00B13202"/>
    <w:rsid w:val="00B133A0"/>
    <w:rsid w:val="00B13438"/>
    <w:rsid w:val="00B136A2"/>
    <w:rsid w:val="00B136A4"/>
    <w:rsid w:val="00B1393F"/>
    <w:rsid w:val="00B13962"/>
    <w:rsid w:val="00B13BC8"/>
    <w:rsid w:val="00B13D1F"/>
    <w:rsid w:val="00B13E62"/>
    <w:rsid w:val="00B142F8"/>
    <w:rsid w:val="00B1440A"/>
    <w:rsid w:val="00B14699"/>
    <w:rsid w:val="00B14901"/>
    <w:rsid w:val="00B14951"/>
    <w:rsid w:val="00B14A3F"/>
    <w:rsid w:val="00B14DA7"/>
    <w:rsid w:val="00B14E96"/>
    <w:rsid w:val="00B14F14"/>
    <w:rsid w:val="00B14FAA"/>
    <w:rsid w:val="00B14FBC"/>
    <w:rsid w:val="00B1503E"/>
    <w:rsid w:val="00B151C9"/>
    <w:rsid w:val="00B152D3"/>
    <w:rsid w:val="00B154A7"/>
    <w:rsid w:val="00B155CA"/>
    <w:rsid w:val="00B15A2B"/>
    <w:rsid w:val="00B15A83"/>
    <w:rsid w:val="00B15B1E"/>
    <w:rsid w:val="00B15C5B"/>
    <w:rsid w:val="00B15C79"/>
    <w:rsid w:val="00B15CB2"/>
    <w:rsid w:val="00B15D8A"/>
    <w:rsid w:val="00B1606F"/>
    <w:rsid w:val="00B16289"/>
    <w:rsid w:val="00B162B2"/>
    <w:rsid w:val="00B1634C"/>
    <w:rsid w:val="00B163BE"/>
    <w:rsid w:val="00B165D6"/>
    <w:rsid w:val="00B166C8"/>
    <w:rsid w:val="00B16833"/>
    <w:rsid w:val="00B16B75"/>
    <w:rsid w:val="00B16B8B"/>
    <w:rsid w:val="00B16C48"/>
    <w:rsid w:val="00B16C67"/>
    <w:rsid w:val="00B16FCB"/>
    <w:rsid w:val="00B1716F"/>
    <w:rsid w:val="00B173CD"/>
    <w:rsid w:val="00B1758E"/>
    <w:rsid w:val="00B175F7"/>
    <w:rsid w:val="00B176E5"/>
    <w:rsid w:val="00B17A8E"/>
    <w:rsid w:val="00B17AF2"/>
    <w:rsid w:val="00B17CB6"/>
    <w:rsid w:val="00B17D82"/>
    <w:rsid w:val="00B2020C"/>
    <w:rsid w:val="00B20397"/>
    <w:rsid w:val="00B2058F"/>
    <w:rsid w:val="00B205E3"/>
    <w:rsid w:val="00B205FE"/>
    <w:rsid w:val="00B20678"/>
    <w:rsid w:val="00B20699"/>
    <w:rsid w:val="00B206D0"/>
    <w:rsid w:val="00B2093E"/>
    <w:rsid w:val="00B2095C"/>
    <w:rsid w:val="00B20CCC"/>
    <w:rsid w:val="00B20F51"/>
    <w:rsid w:val="00B21212"/>
    <w:rsid w:val="00B21213"/>
    <w:rsid w:val="00B212AD"/>
    <w:rsid w:val="00B2172F"/>
    <w:rsid w:val="00B217FA"/>
    <w:rsid w:val="00B21C27"/>
    <w:rsid w:val="00B21C4B"/>
    <w:rsid w:val="00B21C53"/>
    <w:rsid w:val="00B21C62"/>
    <w:rsid w:val="00B21D16"/>
    <w:rsid w:val="00B21E8C"/>
    <w:rsid w:val="00B21EA6"/>
    <w:rsid w:val="00B2218A"/>
    <w:rsid w:val="00B222E7"/>
    <w:rsid w:val="00B22361"/>
    <w:rsid w:val="00B22495"/>
    <w:rsid w:val="00B22520"/>
    <w:rsid w:val="00B22591"/>
    <w:rsid w:val="00B22625"/>
    <w:rsid w:val="00B226E5"/>
    <w:rsid w:val="00B22704"/>
    <w:rsid w:val="00B227A9"/>
    <w:rsid w:val="00B22819"/>
    <w:rsid w:val="00B2281C"/>
    <w:rsid w:val="00B228B4"/>
    <w:rsid w:val="00B228CC"/>
    <w:rsid w:val="00B229A6"/>
    <w:rsid w:val="00B22B60"/>
    <w:rsid w:val="00B22B74"/>
    <w:rsid w:val="00B22D74"/>
    <w:rsid w:val="00B22F72"/>
    <w:rsid w:val="00B22F8D"/>
    <w:rsid w:val="00B23090"/>
    <w:rsid w:val="00B23230"/>
    <w:rsid w:val="00B2324F"/>
    <w:rsid w:val="00B2337A"/>
    <w:rsid w:val="00B237BE"/>
    <w:rsid w:val="00B23B2F"/>
    <w:rsid w:val="00B24235"/>
    <w:rsid w:val="00B2429D"/>
    <w:rsid w:val="00B244B3"/>
    <w:rsid w:val="00B24A6F"/>
    <w:rsid w:val="00B24AFE"/>
    <w:rsid w:val="00B24B38"/>
    <w:rsid w:val="00B24CC2"/>
    <w:rsid w:val="00B24CD5"/>
    <w:rsid w:val="00B24E80"/>
    <w:rsid w:val="00B24EF7"/>
    <w:rsid w:val="00B24F68"/>
    <w:rsid w:val="00B2511E"/>
    <w:rsid w:val="00B25249"/>
    <w:rsid w:val="00B25269"/>
    <w:rsid w:val="00B254DD"/>
    <w:rsid w:val="00B2555F"/>
    <w:rsid w:val="00B255E1"/>
    <w:rsid w:val="00B257F2"/>
    <w:rsid w:val="00B25A00"/>
    <w:rsid w:val="00B25AC4"/>
    <w:rsid w:val="00B25B7F"/>
    <w:rsid w:val="00B25BD7"/>
    <w:rsid w:val="00B25CCB"/>
    <w:rsid w:val="00B25DD2"/>
    <w:rsid w:val="00B25EC6"/>
    <w:rsid w:val="00B25F98"/>
    <w:rsid w:val="00B25FBD"/>
    <w:rsid w:val="00B26165"/>
    <w:rsid w:val="00B263E9"/>
    <w:rsid w:val="00B26595"/>
    <w:rsid w:val="00B26615"/>
    <w:rsid w:val="00B2668C"/>
    <w:rsid w:val="00B26789"/>
    <w:rsid w:val="00B268D4"/>
    <w:rsid w:val="00B26C18"/>
    <w:rsid w:val="00B26D32"/>
    <w:rsid w:val="00B26DFE"/>
    <w:rsid w:val="00B26E12"/>
    <w:rsid w:val="00B26EAA"/>
    <w:rsid w:val="00B26F35"/>
    <w:rsid w:val="00B26FE1"/>
    <w:rsid w:val="00B2747B"/>
    <w:rsid w:val="00B274E4"/>
    <w:rsid w:val="00B27633"/>
    <w:rsid w:val="00B27675"/>
    <w:rsid w:val="00B3006E"/>
    <w:rsid w:val="00B30085"/>
    <w:rsid w:val="00B30136"/>
    <w:rsid w:val="00B3015F"/>
    <w:rsid w:val="00B3039E"/>
    <w:rsid w:val="00B30407"/>
    <w:rsid w:val="00B30468"/>
    <w:rsid w:val="00B304FC"/>
    <w:rsid w:val="00B30AFB"/>
    <w:rsid w:val="00B30CE5"/>
    <w:rsid w:val="00B30CF9"/>
    <w:rsid w:val="00B30D1D"/>
    <w:rsid w:val="00B30D97"/>
    <w:rsid w:val="00B30EB6"/>
    <w:rsid w:val="00B30EBC"/>
    <w:rsid w:val="00B30EC4"/>
    <w:rsid w:val="00B30F08"/>
    <w:rsid w:val="00B30F4E"/>
    <w:rsid w:val="00B30F8E"/>
    <w:rsid w:val="00B30FFD"/>
    <w:rsid w:val="00B31031"/>
    <w:rsid w:val="00B31098"/>
    <w:rsid w:val="00B3121D"/>
    <w:rsid w:val="00B312AC"/>
    <w:rsid w:val="00B313CB"/>
    <w:rsid w:val="00B31453"/>
    <w:rsid w:val="00B3149D"/>
    <w:rsid w:val="00B3150F"/>
    <w:rsid w:val="00B316FF"/>
    <w:rsid w:val="00B31789"/>
    <w:rsid w:val="00B31892"/>
    <w:rsid w:val="00B318A3"/>
    <w:rsid w:val="00B3190F"/>
    <w:rsid w:val="00B319B3"/>
    <w:rsid w:val="00B31DD4"/>
    <w:rsid w:val="00B31E02"/>
    <w:rsid w:val="00B31E37"/>
    <w:rsid w:val="00B31E5B"/>
    <w:rsid w:val="00B31E8A"/>
    <w:rsid w:val="00B32C2F"/>
    <w:rsid w:val="00B32D11"/>
    <w:rsid w:val="00B32E91"/>
    <w:rsid w:val="00B32F91"/>
    <w:rsid w:val="00B331FD"/>
    <w:rsid w:val="00B33290"/>
    <w:rsid w:val="00B33983"/>
    <w:rsid w:val="00B33A5C"/>
    <w:rsid w:val="00B33E64"/>
    <w:rsid w:val="00B33FC8"/>
    <w:rsid w:val="00B34023"/>
    <w:rsid w:val="00B344FE"/>
    <w:rsid w:val="00B34509"/>
    <w:rsid w:val="00B3461B"/>
    <w:rsid w:val="00B34764"/>
    <w:rsid w:val="00B34C71"/>
    <w:rsid w:val="00B34C8C"/>
    <w:rsid w:val="00B34CB3"/>
    <w:rsid w:val="00B34CDF"/>
    <w:rsid w:val="00B34DE1"/>
    <w:rsid w:val="00B34E49"/>
    <w:rsid w:val="00B34F66"/>
    <w:rsid w:val="00B3504A"/>
    <w:rsid w:val="00B35140"/>
    <w:rsid w:val="00B35380"/>
    <w:rsid w:val="00B3544D"/>
    <w:rsid w:val="00B357DB"/>
    <w:rsid w:val="00B35A5B"/>
    <w:rsid w:val="00B35A82"/>
    <w:rsid w:val="00B35FD1"/>
    <w:rsid w:val="00B35FFA"/>
    <w:rsid w:val="00B36081"/>
    <w:rsid w:val="00B360F6"/>
    <w:rsid w:val="00B36109"/>
    <w:rsid w:val="00B361C3"/>
    <w:rsid w:val="00B361C9"/>
    <w:rsid w:val="00B3621E"/>
    <w:rsid w:val="00B3660D"/>
    <w:rsid w:val="00B3664B"/>
    <w:rsid w:val="00B366DF"/>
    <w:rsid w:val="00B367CF"/>
    <w:rsid w:val="00B36905"/>
    <w:rsid w:val="00B36A7A"/>
    <w:rsid w:val="00B36B65"/>
    <w:rsid w:val="00B36B83"/>
    <w:rsid w:val="00B36D74"/>
    <w:rsid w:val="00B36DC0"/>
    <w:rsid w:val="00B36DD4"/>
    <w:rsid w:val="00B36E40"/>
    <w:rsid w:val="00B36E6D"/>
    <w:rsid w:val="00B36F1C"/>
    <w:rsid w:val="00B36F56"/>
    <w:rsid w:val="00B36F70"/>
    <w:rsid w:val="00B37295"/>
    <w:rsid w:val="00B3738D"/>
    <w:rsid w:val="00B37428"/>
    <w:rsid w:val="00B3753D"/>
    <w:rsid w:val="00B3766D"/>
    <w:rsid w:val="00B37671"/>
    <w:rsid w:val="00B37A0D"/>
    <w:rsid w:val="00B37ACA"/>
    <w:rsid w:val="00B37CBE"/>
    <w:rsid w:val="00B4005A"/>
    <w:rsid w:val="00B40219"/>
    <w:rsid w:val="00B402B9"/>
    <w:rsid w:val="00B404BA"/>
    <w:rsid w:val="00B40637"/>
    <w:rsid w:val="00B4082E"/>
    <w:rsid w:val="00B40920"/>
    <w:rsid w:val="00B40C11"/>
    <w:rsid w:val="00B40F5C"/>
    <w:rsid w:val="00B411F1"/>
    <w:rsid w:val="00B412D8"/>
    <w:rsid w:val="00B41434"/>
    <w:rsid w:val="00B416CA"/>
    <w:rsid w:val="00B418D9"/>
    <w:rsid w:val="00B418EB"/>
    <w:rsid w:val="00B41963"/>
    <w:rsid w:val="00B41B6B"/>
    <w:rsid w:val="00B41CF7"/>
    <w:rsid w:val="00B41D96"/>
    <w:rsid w:val="00B41E8F"/>
    <w:rsid w:val="00B41FF6"/>
    <w:rsid w:val="00B421EA"/>
    <w:rsid w:val="00B42407"/>
    <w:rsid w:val="00B424C0"/>
    <w:rsid w:val="00B4271E"/>
    <w:rsid w:val="00B4288F"/>
    <w:rsid w:val="00B42949"/>
    <w:rsid w:val="00B429DB"/>
    <w:rsid w:val="00B42CC2"/>
    <w:rsid w:val="00B42CF4"/>
    <w:rsid w:val="00B42F6A"/>
    <w:rsid w:val="00B430DA"/>
    <w:rsid w:val="00B4313F"/>
    <w:rsid w:val="00B43246"/>
    <w:rsid w:val="00B4343E"/>
    <w:rsid w:val="00B4346D"/>
    <w:rsid w:val="00B4346F"/>
    <w:rsid w:val="00B436BE"/>
    <w:rsid w:val="00B436F5"/>
    <w:rsid w:val="00B436F6"/>
    <w:rsid w:val="00B437A6"/>
    <w:rsid w:val="00B43AD0"/>
    <w:rsid w:val="00B43CAF"/>
    <w:rsid w:val="00B43CF9"/>
    <w:rsid w:val="00B43D04"/>
    <w:rsid w:val="00B43E7A"/>
    <w:rsid w:val="00B43FC0"/>
    <w:rsid w:val="00B4405E"/>
    <w:rsid w:val="00B44106"/>
    <w:rsid w:val="00B44253"/>
    <w:rsid w:val="00B442FB"/>
    <w:rsid w:val="00B4437F"/>
    <w:rsid w:val="00B4454D"/>
    <w:rsid w:val="00B44560"/>
    <w:rsid w:val="00B4472C"/>
    <w:rsid w:val="00B44988"/>
    <w:rsid w:val="00B44997"/>
    <w:rsid w:val="00B449B3"/>
    <w:rsid w:val="00B44A3E"/>
    <w:rsid w:val="00B44A64"/>
    <w:rsid w:val="00B44A8E"/>
    <w:rsid w:val="00B44B64"/>
    <w:rsid w:val="00B44BF0"/>
    <w:rsid w:val="00B44C53"/>
    <w:rsid w:val="00B44CF8"/>
    <w:rsid w:val="00B44EE7"/>
    <w:rsid w:val="00B4509F"/>
    <w:rsid w:val="00B45200"/>
    <w:rsid w:val="00B45237"/>
    <w:rsid w:val="00B452CE"/>
    <w:rsid w:val="00B45321"/>
    <w:rsid w:val="00B453E6"/>
    <w:rsid w:val="00B454EC"/>
    <w:rsid w:val="00B4553E"/>
    <w:rsid w:val="00B4590C"/>
    <w:rsid w:val="00B4595D"/>
    <w:rsid w:val="00B45A3D"/>
    <w:rsid w:val="00B45A5A"/>
    <w:rsid w:val="00B45A6A"/>
    <w:rsid w:val="00B45B63"/>
    <w:rsid w:val="00B45D52"/>
    <w:rsid w:val="00B45DE1"/>
    <w:rsid w:val="00B460CD"/>
    <w:rsid w:val="00B460D1"/>
    <w:rsid w:val="00B46211"/>
    <w:rsid w:val="00B46290"/>
    <w:rsid w:val="00B46310"/>
    <w:rsid w:val="00B4640B"/>
    <w:rsid w:val="00B46555"/>
    <w:rsid w:val="00B4658D"/>
    <w:rsid w:val="00B4692F"/>
    <w:rsid w:val="00B4697C"/>
    <w:rsid w:val="00B46ACA"/>
    <w:rsid w:val="00B46E1E"/>
    <w:rsid w:val="00B46F4E"/>
    <w:rsid w:val="00B47632"/>
    <w:rsid w:val="00B47692"/>
    <w:rsid w:val="00B4785F"/>
    <w:rsid w:val="00B479EA"/>
    <w:rsid w:val="00B47E1B"/>
    <w:rsid w:val="00B47EA9"/>
    <w:rsid w:val="00B50028"/>
    <w:rsid w:val="00B500D3"/>
    <w:rsid w:val="00B502A3"/>
    <w:rsid w:val="00B5036C"/>
    <w:rsid w:val="00B503B4"/>
    <w:rsid w:val="00B50587"/>
    <w:rsid w:val="00B50847"/>
    <w:rsid w:val="00B50922"/>
    <w:rsid w:val="00B509E2"/>
    <w:rsid w:val="00B50A27"/>
    <w:rsid w:val="00B50B6F"/>
    <w:rsid w:val="00B50B8E"/>
    <w:rsid w:val="00B50B9C"/>
    <w:rsid w:val="00B50D71"/>
    <w:rsid w:val="00B50E49"/>
    <w:rsid w:val="00B50ECF"/>
    <w:rsid w:val="00B50FAC"/>
    <w:rsid w:val="00B50FF6"/>
    <w:rsid w:val="00B510B0"/>
    <w:rsid w:val="00B510CB"/>
    <w:rsid w:val="00B511B7"/>
    <w:rsid w:val="00B511BD"/>
    <w:rsid w:val="00B514A9"/>
    <w:rsid w:val="00B51539"/>
    <w:rsid w:val="00B51702"/>
    <w:rsid w:val="00B5173D"/>
    <w:rsid w:val="00B51A83"/>
    <w:rsid w:val="00B51B83"/>
    <w:rsid w:val="00B51C44"/>
    <w:rsid w:val="00B51C97"/>
    <w:rsid w:val="00B51E16"/>
    <w:rsid w:val="00B51E6C"/>
    <w:rsid w:val="00B51E85"/>
    <w:rsid w:val="00B52071"/>
    <w:rsid w:val="00B5234F"/>
    <w:rsid w:val="00B5277C"/>
    <w:rsid w:val="00B52848"/>
    <w:rsid w:val="00B52AFD"/>
    <w:rsid w:val="00B52B33"/>
    <w:rsid w:val="00B52BD8"/>
    <w:rsid w:val="00B5306D"/>
    <w:rsid w:val="00B530DB"/>
    <w:rsid w:val="00B531A6"/>
    <w:rsid w:val="00B53245"/>
    <w:rsid w:val="00B5325D"/>
    <w:rsid w:val="00B5345F"/>
    <w:rsid w:val="00B5355E"/>
    <w:rsid w:val="00B536DD"/>
    <w:rsid w:val="00B536FC"/>
    <w:rsid w:val="00B53718"/>
    <w:rsid w:val="00B53817"/>
    <w:rsid w:val="00B538B1"/>
    <w:rsid w:val="00B538E3"/>
    <w:rsid w:val="00B53A4C"/>
    <w:rsid w:val="00B53B08"/>
    <w:rsid w:val="00B53C1D"/>
    <w:rsid w:val="00B53CAB"/>
    <w:rsid w:val="00B53D18"/>
    <w:rsid w:val="00B53EE9"/>
    <w:rsid w:val="00B53F13"/>
    <w:rsid w:val="00B5404D"/>
    <w:rsid w:val="00B54059"/>
    <w:rsid w:val="00B543CD"/>
    <w:rsid w:val="00B54652"/>
    <w:rsid w:val="00B546FD"/>
    <w:rsid w:val="00B54828"/>
    <w:rsid w:val="00B54ABA"/>
    <w:rsid w:val="00B54B89"/>
    <w:rsid w:val="00B54B92"/>
    <w:rsid w:val="00B54CA6"/>
    <w:rsid w:val="00B54CDB"/>
    <w:rsid w:val="00B54EA6"/>
    <w:rsid w:val="00B54F42"/>
    <w:rsid w:val="00B54FB1"/>
    <w:rsid w:val="00B5529F"/>
    <w:rsid w:val="00B55835"/>
    <w:rsid w:val="00B55976"/>
    <w:rsid w:val="00B55D5F"/>
    <w:rsid w:val="00B55DE2"/>
    <w:rsid w:val="00B55E37"/>
    <w:rsid w:val="00B55EAA"/>
    <w:rsid w:val="00B56072"/>
    <w:rsid w:val="00B5610E"/>
    <w:rsid w:val="00B561F9"/>
    <w:rsid w:val="00B56226"/>
    <w:rsid w:val="00B563FA"/>
    <w:rsid w:val="00B56700"/>
    <w:rsid w:val="00B5673C"/>
    <w:rsid w:val="00B567E1"/>
    <w:rsid w:val="00B56802"/>
    <w:rsid w:val="00B56865"/>
    <w:rsid w:val="00B56AE8"/>
    <w:rsid w:val="00B56BC8"/>
    <w:rsid w:val="00B56D0C"/>
    <w:rsid w:val="00B56EF5"/>
    <w:rsid w:val="00B57041"/>
    <w:rsid w:val="00B5715E"/>
    <w:rsid w:val="00B57207"/>
    <w:rsid w:val="00B57355"/>
    <w:rsid w:val="00B574A6"/>
    <w:rsid w:val="00B57520"/>
    <w:rsid w:val="00B575E3"/>
    <w:rsid w:val="00B576A5"/>
    <w:rsid w:val="00B576EB"/>
    <w:rsid w:val="00B57733"/>
    <w:rsid w:val="00B57891"/>
    <w:rsid w:val="00B57A10"/>
    <w:rsid w:val="00B57C95"/>
    <w:rsid w:val="00B57D39"/>
    <w:rsid w:val="00B57FE9"/>
    <w:rsid w:val="00B60016"/>
    <w:rsid w:val="00B60031"/>
    <w:rsid w:val="00B60157"/>
    <w:rsid w:val="00B60295"/>
    <w:rsid w:val="00B604D2"/>
    <w:rsid w:val="00B606C2"/>
    <w:rsid w:val="00B607FD"/>
    <w:rsid w:val="00B60840"/>
    <w:rsid w:val="00B6098C"/>
    <w:rsid w:val="00B60A5E"/>
    <w:rsid w:val="00B60AF0"/>
    <w:rsid w:val="00B60BEF"/>
    <w:rsid w:val="00B60D5A"/>
    <w:rsid w:val="00B60DD7"/>
    <w:rsid w:val="00B60F67"/>
    <w:rsid w:val="00B610E5"/>
    <w:rsid w:val="00B6134D"/>
    <w:rsid w:val="00B61471"/>
    <w:rsid w:val="00B61490"/>
    <w:rsid w:val="00B614A4"/>
    <w:rsid w:val="00B616F8"/>
    <w:rsid w:val="00B61727"/>
    <w:rsid w:val="00B61742"/>
    <w:rsid w:val="00B61765"/>
    <w:rsid w:val="00B618A7"/>
    <w:rsid w:val="00B61A56"/>
    <w:rsid w:val="00B61AF2"/>
    <w:rsid w:val="00B61BA3"/>
    <w:rsid w:val="00B61BD5"/>
    <w:rsid w:val="00B61CB2"/>
    <w:rsid w:val="00B61D01"/>
    <w:rsid w:val="00B61D68"/>
    <w:rsid w:val="00B61F19"/>
    <w:rsid w:val="00B61F67"/>
    <w:rsid w:val="00B61F6B"/>
    <w:rsid w:val="00B61F93"/>
    <w:rsid w:val="00B6210A"/>
    <w:rsid w:val="00B62155"/>
    <w:rsid w:val="00B6215D"/>
    <w:rsid w:val="00B6228A"/>
    <w:rsid w:val="00B62302"/>
    <w:rsid w:val="00B6233F"/>
    <w:rsid w:val="00B6247C"/>
    <w:rsid w:val="00B62573"/>
    <w:rsid w:val="00B6268D"/>
    <w:rsid w:val="00B6275E"/>
    <w:rsid w:val="00B62862"/>
    <w:rsid w:val="00B629EC"/>
    <w:rsid w:val="00B62A6B"/>
    <w:rsid w:val="00B62B7A"/>
    <w:rsid w:val="00B62D2B"/>
    <w:rsid w:val="00B62DD7"/>
    <w:rsid w:val="00B62FCD"/>
    <w:rsid w:val="00B630AA"/>
    <w:rsid w:val="00B6317B"/>
    <w:rsid w:val="00B631C4"/>
    <w:rsid w:val="00B63279"/>
    <w:rsid w:val="00B632A3"/>
    <w:rsid w:val="00B634A2"/>
    <w:rsid w:val="00B634AC"/>
    <w:rsid w:val="00B635B9"/>
    <w:rsid w:val="00B63610"/>
    <w:rsid w:val="00B63787"/>
    <w:rsid w:val="00B638D7"/>
    <w:rsid w:val="00B63AC9"/>
    <w:rsid w:val="00B63B59"/>
    <w:rsid w:val="00B63B97"/>
    <w:rsid w:val="00B63C27"/>
    <w:rsid w:val="00B63D53"/>
    <w:rsid w:val="00B63DAF"/>
    <w:rsid w:val="00B63E29"/>
    <w:rsid w:val="00B640D6"/>
    <w:rsid w:val="00B64196"/>
    <w:rsid w:val="00B641D8"/>
    <w:rsid w:val="00B643A7"/>
    <w:rsid w:val="00B64505"/>
    <w:rsid w:val="00B64708"/>
    <w:rsid w:val="00B6485E"/>
    <w:rsid w:val="00B648B1"/>
    <w:rsid w:val="00B64993"/>
    <w:rsid w:val="00B6499B"/>
    <w:rsid w:val="00B64A62"/>
    <w:rsid w:val="00B64BC7"/>
    <w:rsid w:val="00B64D43"/>
    <w:rsid w:val="00B64E58"/>
    <w:rsid w:val="00B65121"/>
    <w:rsid w:val="00B65178"/>
    <w:rsid w:val="00B651F4"/>
    <w:rsid w:val="00B65451"/>
    <w:rsid w:val="00B654C7"/>
    <w:rsid w:val="00B658FE"/>
    <w:rsid w:val="00B65A4D"/>
    <w:rsid w:val="00B65A4F"/>
    <w:rsid w:val="00B65CCD"/>
    <w:rsid w:val="00B65D96"/>
    <w:rsid w:val="00B65DFB"/>
    <w:rsid w:val="00B65E87"/>
    <w:rsid w:val="00B65F97"/>
    <w:rsid w:val="00B660BB"/>
    <w:rsid w:val="00B66186"/>
    <w:rsid w:val="00B6628C"/>
    <w:rsid w:val="00B66420"/>
    <w:rsid w:val="00B6644B"/>
    <w:rsid w:val="00B66573"/>
    <w:rsid w:val="00B66607"/>
    <w:rsid w:val="00B6669A"/>
    <w:rsid w:val="00B66B65"/>
    <w:rsid w:val="00B67062"/>
    <w:rsid w:val="00B67661"/>
    <w:rsid w:val="00B6768F"/>
    <w:rsid w:val="00B67854"/>
    <w:rsid w:val="00B67874"/>
    <w:rsid w:val="00B6787A"/>
    <w:rsid w:val="00B67893"/>
    <w:rsid w:val="00B6799A"/>
    <w:rsid w:val="00B67D4D"/>
    <w:rsid w:val="00B70046"/>
    <w:rsid w:val="00B700CC"/>
    <w:rsid w:val="00B702A1"/>
    <w:rsid w:val="00B702A9"/>
    <w:rsid w:val="00B7043B"/>
    <w:rsid w:val="00B70461"/>
    <w:rsid w:val="00B704C2"/>
    <w:rsid w:val="00B706DC"/>
    <w:rsid w:val="00B70703"/>
    <w:rsid w:val="00B70854"/>
    <w:rsid w:val="00B7096B"/>
    <w:rsid w:val="00B70997"/>
    <w:rsid w:val="00B70A79"/>
    <w:rsid w:val="00B70BC1"/>
    <w:rsid w:val="00B70C8F"/>
    <w:rsid w:val="00B70D45"/>
    <w:rsid w:val="00B70F81"/>
    <w:rsid w:val="00B7107A"/>
    <w:rsid w:val="00B710BA"/>
    <w:rsid w:val="00B7128F"/>
    <w:rsid w:val="00B71355"/>
    <w:rsid w:val="00B713EB"/>
    <w:rsid w:val="00B71441"/>
    <w:rsid w:val="00B7145C"/>
    <w:rsid w:val="00B7146C"/>
    <w:rsid w:val="00B71688"/>
    <w:rsid w:val="00B716AC"/>
    <w:rsid w:val="00B716E4"/>
    <w:rsid w:val="00B7170E"/>
    <w:rsid w:val="00B717E6"/>
    <w:rsid w:val="00B718A7"/>
    <w:rsid w:val="00B718F3"/>
    <w:rsid w:val="00B71A24"/>
    <w:rsid w:val="00B71D8E"/>
    <w:rsid w:val="00B71DC4"/>
    <w:rsid w:val="00B72277"/>
    <w:rsid w:val="00B72317"/>
    <w:rsid w:val="00B723E3"/>
    <w:rsid w:val="00B72422"/>
    <w:rsid w:val="00B724A6"/>
    <w:rsid w:val="00B7259F"/>
    <w:rsid w:val="00B725EC"/>
    <w:rsid w:val="00B72663"/>
    <w:rsid w:val="00B726EE"/>
    <w:rsid w:val="00B72721"/>
    <w:rsid w:val="00B728C2"/>
    <w:rsid w:val="00B7293A"/>
    <w:rsid w:val="00B72B24"/>
    <w:rsid w:val="00B73007"/>
    <w:rsid w:val="00B7304C"/>
    <w:rsid w:val="00B731CA"/>
    <w:rsid w:val="00B73211"/>
    <w:rsid w:val="00B73473"/>
    <w:rsid w:val="00B734A7"/>
    <w:rsid w:val="00B735F9"/>
    <w:rsid w:val="00B73821"/>
    <w:rsid w:val="00B73ADE"/>
    <w:rsid w:val="00B73BF9"/>
    <w:rsid w:val="00B73CF5"/>
    <w:rsid w:val="00B73EB1"/>
    <w:rsid w:val="00B73F18"/>
    <w:rsid w:val="00B7404B"/>
    <w:rsid w:val="00B740F5"/>
    <w:rsid w:val="00B74132"/>
    <w:rsid w:val="00B74463"/>
    <w:rsid w:val="00B74495"/>
    <w:rsid w:val="00B7453E"/>
    <w:rsid w:val="00B745A4"/>
    <w:rsid w:val="00B746D3"/>
    <w:rsid w:val="00B7477B"/>
    <w:rsid w:val="00B74AA9"/>
    <w:rsid w:val="00B74AF7"/>
    <w:rsid w:val="00B74B9B"/>
    <w:rsid w:val="00B74B9D"/>
    <w:rsid w:val="00B74BEE"/>
    <w:rsid w:val="00B74C5F"/>
    <w:rsid w:val="00B74D25"/>
    <w:rsid w:val="00B74DAB"/>
    <w:rsid w:val="00B74E05"/>
    <w:rsid w:val="00B74E33"/>
    <w:rsid w:val="00B74ED8"/>
    <w:rsid w:val="00B74EF1"/>
    <w:rsid w:val="00B74F94"/>
    <w:rsid w:val="00B751B0"/>
    <w:rsid w:val="00B752C8"/>
    <w:rsid w:val="00B753C0"/>
    <w:rsid w:val="00B753E4"/>
    <w:rsid w:val="00B75791"/>
    <w:rsid w:val="00B75813"/>
    <w:rsid w:val="00B7582E"/>
    <w:rsid w:val="00B7585E"/>
    <w:rsid w:val="00B758F4"/>
    <w:rsid w:val="00B75AF1"/>
    <w:rsid w:val="00B75B52"/>
    <w:rsid w:val="00B75B66"/>
    <w:rsid w:val="00B75C3E"/>
    <w:rsid w:val="00B75E70"/>
    <w:rsid w:val="00B75F14"/>
    <w:rsid w:val="00B76039"/>
    <w:rsid w:val="00B760E1"/>
    <w:rsid w:val="00B76173"/>
    <w:rsid w:val="00B7638A"/>
    <w:rsid w:val="00B76446"/>
    <w:rsid w:val="00B7654A"/>
    <w:rsid w:val="00B76847"/>
    <w:rsid w:val="00B76854"/>
    <w:rsid w:val="00B768EB"/>
    <w:rsid w:val="00B7690D"/>
    <w:rsid w:val="00B7696F"/>
    <w:rsid w:val="00B76986"/>
    <w:rsid w:val="00B76A06"/>
    <w:rsid w:val="00B76AE0"/>
    <w:rsid w:val="00B76E69"/>
    <w:rsid w:val="00B770FF"/>
    <w:rsid w:val="00B77106"/>
    <w:rsid w:val="00B774C5"/>
    <w:rsid w:val="00B77514"/>
    <w:rsid w:val="00B7755F"/>
    <w:rsid w:val="00B775A3"/>
    <w:rsid w:val="00B775B3"/>
    <w:rsid w:val="00B77ACF"/>
    <w:rsid w:val="00B77BBE"/>
    <w:rsid w:val="00B77C86"/>
    <w:rsid w:val="00B77CF9"/>
    <w:rsid w:val="00B77DE9"/>
    <w:rsid w:val="00B77E0C"/>
    <w:rsid w:val="00B77E39"/>
    <w:rsid w:val="00B80066"/>
    <w:rsid w:val="00B8019D"/>
    <w:rsid w:val="00B8019E"/>
    <w:rsid w:val="00B80371"/>
    <w:rsid w:val="00B80429"/>
    <w:rsid w:val="00B807C9"/>
    <w:rsid w:val="00B80871"/>
    <w:rsid w:val="00B808A5"/>
    <w:rsid w:val="00B80AEE"/>
    <w:rsid w:val="00B80BE6"/>
    <w:rsid w:val="00B80D81"/>
    <w:rsid w:val="00B8106B"/>
    <w:rsid w:val="00B810FB"/>
    <w:rsid w:val="00B8135A"/>
    <w:rsid w:val="00B81531"/>
    <w:rsid w:val="00B81552"/>
    <w:rsid w:val="00B81610"/>
    <w:rsid w:val="00B81657"/>
    <w:rsid w:val="00B81788"/>
    <w:rsid w:val="00B81794"/>
    <w:rsid w:val="00B81910"/>
    <w:rsid w:val="00B819F5"/>
    <w:rsid w:val="00B81A76"/>
    <w:rsid w:val="00B81ADF"/>
    <w:rsid w:val="00B81B68"/>
    <w:rsid w:val="00B81D71"/>
    <w:rsid w:val="00B81DDF"/>
    <w:rsid w:val="00B81DE6"/>
    <w:rsid w:val="00B81F09"/>
    <w:rsid w:val="00B81F91"/>
    <w:rsid w:val="00B82335"/>
    <w:rsid w:val="00B825E7"/>
    <w:rsid w:val="00B8261F"/>
    <w:rsid w:val="00B82634"/>
    <w:rsid w:val="00B8278D"/>
    <w:rsid w:val="00B827AD"/>
    <w:rsid w:val="00B827DB"/>
    <w:rsid w:val="00B82809"/>
    <w:rsid w:val="00B82912"/>
    <w:rsid w:val="00B8295D"/>
    <w:rsid w:val="00B829BE"/>
    <w:rsid w:val="00B82AF1"/>
    <w:rsid w:val="00B82C79"/>
    <w:rsid w:val="00B82D0F"/>
    <w:rsid w:val="00B82EF9"/>
    <w:rsid w:val="00B830D4"/>
    <w:rsid w:val="00B83125"/>
    <w:rsid w:val="00B83171"/>
    <w:rsid w:val="00B832EF"/>
    <w:rsid w:val="00B8338D"/>
    <w:rsid w:val="00B83458"/>
    <w:rsid w:val="00B8352A"/>
    <w:rsid w:val="00B8354C"/>
    <w:rsid w:val="00B83561"/>
    <w:rsid w:val="00B835F9"/>
    <w:rsid w:val="00B8362D"/>
    <w:rsid w:val="00B83733"/>
    <w:rsid w:val="00B83743"/>
    <w:rsid w:val="00B837CF"/>
    <w:rsid w:val="00B838DB"/>
    <w:rsid w:val="00B83E9D"/>
    <w:rsid w:val="00B83EC8"/>
    <w:rsid w:val="00B83F98"/>
    <w:rsid w:val="00B84050"/>
    <w:rsid w:val="00B8409D"/>
    <w:rsid w:val="00B8427A"/>
    <w:rsid w:val="00B84390"/>
    <w:rsid w:val="00B84396"/>
    <w:rsid w:val="00B84499"/>
    <w:rsid w:val="00B84754"/>
    <w:rsid w:val="00B848A9"/>
    <w:rsid w:val="00B84926"/>
    <w:rsid w:val="00B84B5A"/>
    <w:rsid w:val="00B84D47"/>
    <w:rsid w:val="00B84E30"/>
    <w:rsid w:val="00B84FBF"/>
    <w:rsid w:val="00B85168"/>
    <w:rsid w:val="00B851A6"/>
    <w:rsid w:val="00B85515"/>
    <w:rsid w:val="00B855A9"/>
    <w:rsid w:val="00B85617"/>
    <w:rsid w:val="00B857C0"/>
    <w:rsid w:val="00B85992"/>
    <w:rsid w:val="00B85A37"/>
    <w:rsid w:val="00B85A85"/>
    <w:rsid w:val="00B85A8A"/>
    <w:rsid w:val="00B85CF5"/>
    <w:rsid w:val="00B85D46"/>
    <w:rsid w:val="00B85F1E"/>
    <w:rsid w:val="00B85F47"/>
    <w:rsid w:val="00B86152"/>
    <w:rsid w:val="00B86440"/>
    <w:rsid w:val="00B86459"/>
    <w:rsid w:val="00B86577"/>
    <w:rsid w:val="00B865A6"/>
    <w:rsid w:val="00B86637"/>
    <w:rsid w:val="00B866AD"/>
    <w:rsid w:val="00B867B7"/>
    <w:rsid w:val="00B86CD3"/>
    <w:rsid w:val="00B86CF2"/>
    <w:rsid w:val="00B87057"/>
    <w:rsid w:val="00B87072"/>
    <w:rsid w:val="00B870CA"/>
    <w:rsid w:val="00B87128"/>
    <w:rsid w:val="00B87129"/>
    <w:rsid w:val="00B87289"/>
    <w:rsid w:val="00B87482"/>
    <w:rsid w:val="00B875C2"/>
    <w:rsid w:val="00B876CC"/>
    <w:rsid w:val="00B8779F"/>
    <w:rsid w:val="00B8784D"/>
    <w:rsid w:val="00B878A0"/>
    <w:rsid w:val="00B87927"/>
    <w:rsid w:val="00B87948"/>
    <w:rsid w:val="00B87954"/>
    <w:rsid w:val="00B87AC6"/>
    <w:rsid w:val="00B87AE9"/>
    <w:rsid w:val="00B87B00"/>
    <w:rsid w:val="00B87B2F"/>
    <w:rsid w:val="00B87BA9"/>
    <w:rsid w:val="00B87D95"/>
    <w:rsid w:val="00B87DF6"/>
    <w:rsid w:val="00B87E96"/>
    <w:rsid w:val="00B87EFC"/>
    <w:rsid w:val="00B87F3E"/>
    <w:rsid w:val="00B87FB9"/>
    <w:rsid w:val="00B90179"/>
    <w:rsid w:val="00B90217"/>
    <w:rsid w:val="00B90229"/>
    <w:rsid w:val="00B90698"/>
    <w:rsid w:val="00B90753"/>
    <w:rsid w:val="00B907BD"/>
    <w:rsid w:val="00B907D4"/>
    <w:rsid w:val="00B908E1"/>
    <w:rsid w:val="00B90AD6"/>
    <w:rsid w:val="00B90AF5"/>
    <w:rsid w:val="00B90B3C"/>
    <w:rsid w:val="00B90B85"/>
    <w:rsid w:val="00B90F7B"/>
    <w:rsid w:val="00B910CB"/>
    <w:rsid w:val="00B9115A"/>
    <w:rsid w:val="00B91248"/>
    <w:rsid w:val="00B9131D"/>
    <w:rsid w:val="00B914EC"/>
    <w:rsid w:val="00B916CF"/>
    <w:rsid w:val="00B91850"/>
    <w:rsid w:val="00B918C7"/>
    <w:rsid w:val="00B9190B"/>
    <w:rsid w:val="00B919DE"/>
    <w:rsid w:val="00B91CB5"/>
    <w:rsid w:val="00B91CB8"/>
    <w:rsid w:val="00B91DA8"/>
    <w:rsid w:val="00B91F2C"/>
    <w:rsid w:val="00B91F5D"/>
    <w:rsid w:val="00B921BE"/>
    <w:rsid w:val="00B92470"/>
    <w:rsid w:val="00B925C1"/>
    <w:rsid w:val="00B92619"/>
    <w:rsid w:val="00B92813"/>
    <w:rsid w:val="00B929CE"/>
    <w:rsid w:val="00B92A7B"/>
    <w:rsid w:val="00B92BC0"/>
    <w:rsid w:val="00B92C2C"/>
    <w:rsid w:val="00B92CB8"/>
    <w:rsid w:val="00B930C4"/>
    <w:rsid w:val="00B930DE"/>
    <w:rsid w:val="00B931F6"/>
    <w:rsid w:val="00B93239"/>
    <w:rsid w:val="00B9334D"/>
    <w:rsid w:val="00B934CC"/>
    <w:rsid w:val="00B93803"/>
    <w:rsid w:val="00B93823"/>
    <w:rsid w:val="00B939BD"/>
    <w:rsid w:val="00B93D65"/>
    <w:rsid w:val="00B93DBE"/>
    <w:rsid w:val="00B93E49"/>
    <w:rsid w:val="00B93EF6"/>
    <w:rsid w:val="00B9407D"/>
    <w:rsid w:val="00B940E7"/>
    <w:rsid w:val="00B942F6"/>
    <w:rsid w:val="00B942FB"/>
    <w:rsid w:val="00B94340"/>
    <w:rsid w:val="00B943A7"/>
    <w:rsid w:val="00B944A4"/>
    <w:rsid w:val="00B946A1"/>
    <w:rsid w:val="00B94777"/>
    <w:rsid w:val="00B947BF"/>
    <w:rsid w:val="00B9486A"/>
    <w:rsid w:val="00B948FB"/>
    <w:rsid w:val="00B94DD5"/>
    <w:rsid w:val="00B95103"/>
    <w:rsid w:val="00B95256"/>
    <w:rsid w:val="00B95391"/>
    <w:rsid w:val="00B9542B"/>
    <w:rsid w:val="00B9546D"/>
    <w:rsid w:val="00B95810"/>
    <w:rsid w:val="00B95B53"/>
    <w:rsid w:val="00B95B57"/>
    <w:rsid w:val="00B96155"/>
    <w:rsid w:val="00B9637E"/>
    <w:rsid w:val="00B96445"/>
    <w:rsid w:val="00B96651"/>
    <w:rsid w:val="00B96803"/>
    <w:rsid w:val="00B968C3"/>
    <w:rsid w:val="00B96940"/>
    <w:rsid w:val="00B96B0E"/>
    <w:rsid w:val="00B96BCB"/>
    <w:rsid w:val="00B96E3E"/>
    <w:rsid w:val="00B96E68"/>
    <w:rsid w:val="00B96F17"/>
    <w:rsid w:val="00B971C7"/>
    <w:rsid w:val="00B971CF"/>
    <w:rsid w:val="00B97247"/>
    <w:rsid w:val="00B975DB"/>
    <w:rsid w:val="00B975FD"/>
    <w:rsid w:val="00B97741"/>
    <w:rsid w:val="00B9776F"/>
    <w:rsid w:val="00B97822"/>
    <w:rsid w:val="00B97A6D"/>
    <w:rsid w:val="00B97AEF"/>
    <w:rsid w:val="00B97CBD"/>
    <w:rsid w:val="00B97DEA"/>
    <w:rsid w:val="00B97EB0"/>
    <w:rsid w:val="00B97F2E"/>
    <w:rsid w:val="00BA01A5"/>
    <w:rsid w:val="00BA03D0"/>
    <w:rsid w:val="00BA04AD"/>
    <w:rsid w:val="00BA050A"/>
    <w:rsid w:val="00BA0616"/>
    <w:rsid w:val="00BA076E"/>
    <w:rsid w:val="00BA08BA"/>
    <w:rsid w:val="00BA092C"/>
    <w:rsid w:val="00BA09C7"/>
    <w:rsid w:val="00BA0A87"/>
    <w:rsid w:val="00BA0AF5"/>
    <w:rsid w:val="00BA0BA2"/>
    <w:rsid w:val="00BA0C07"/>
    <w:rsid w:val="00BA0C29"/>
    <w:rsid w:val="00BA0C52"/>
    <w:rsid w:val="00BA0FB4"/>
    <w:rsid w:val="00BA12E1"/>
    <w:rsid w:val="00BA14BA"/>
    <w:rsid w:val="00BA1521"/>
    <w:rsid w:val="00BA167E"/>
    <w:rsid w:val="00BA18C4"/>
    <w:rsid w:val="00BA1A1D"/>
    <w:rsid w:val="00BA1C13"/>
    <w:rsid w:val="00BA1C28"/>
    <w:rsid w:val="00BA1C90"/>
    <w:rsid w:val="00BA1E78"/>
    <w:rsid w:val="00BA1EF6"/>
    <w:rsid w:val="00BA21DD"/>
    <w:rsid w:val="00BA21EA"/>
    <w:rsid w:val="00BA22D9"/>
    <w:rsid w:val="00BA23A7"/>
    <w:rsid w:val="00BA2724"/>
    <w:rsid w:val="00BA27A5"/>
    <w:rsid w:val="00BA2879"/>
    <w:rsid w:val="00BA29CA"/>
    <w:rsid w:val="00BA2A0F"/>
    <w:rsid w:val="00BA2ADF"/>
    <w:rsid w:val="00BA2BF5"/>
    <w:rsid w:val="00BA2E24"/>
    <w:rsid w:val="00BA3008"/>
    <w:rsid w:val="00BA30D1"/>
    <w:rsid w:val="00BA31B3"/>
    <w:rsid w:val="00BA3229"/>
    <w:rsid w:val="00BA3322"/>
    <w:rsid w:val="00BA364D"/>
    <w:rsid w:val="00BA36D3"/>
    <w:rsid w:val="00BA39F5"/>
    <w:rsid w:val="00BA3B87"/>
    <w:rsid w:val="00BA3B88"/>
    <w:rsid w:val="00BA3BAE"/>
    <w:rsid w:val="00BA3BC2"/>
    <w:rsid w:val="00BA3C0B"/>
    <w:rsid w:val="00BA3CB5"/>
    <w:rsid w:val="00BA3D5C"/>
    <w:rsid w:val="00BA3DC1"/>
    <w:rsid w:val="00BA3F88"/>
    <w:rsid w:val="00BA402F"/>
    <w:rsid w:val="00BA409D"/>
    <w:rsid w:val="00BA421D"/>
    <w:rsid w:val="00BA4512"/>
    <w:rsid w:val="00BA4532"/>
    <w:rsid w:val="00BA458C"/>
    <w:rsid w:val="00BA47F0"/>
    <w:rsid w:val="00BA4917"/>
    <w:rsid w:val="00BA4BD1"/>
    <w:rsid w:val="00BA4BE1"/>
    <w:rsid w:val="00BA4D01"/>
    <w:rsid w:val="00BA4D68"/>
    <w:rsid w:val="00BA4DE0"/>
    <w:rsid w:val="00BA4F94"/>
    <w:rsid w:val="00BA4F9F"/>
    <w:rsid w:val="00BA4FD6"/>
    <w:rsid w:val="00BA50BD"/>
    <w:rsid w:val="00BA51C9"/>
    <w:rsid w:val="00BA526A"/>
    <w:rsid w:val="00BA5366"/>
    <w:rsid w:val="00BA53AD"/>
    <w:rsid w:val="00BA588A"/>
    <w:rsid w:val="00BA5A54"/>
    <w:rsid w:val="00BA5A82"/>
    <w:rsid w:val="00BA5B98"/>
    <w:rsid w:val="00BA5D0D"/>
    <w:rsid w:val="00BA5F7A"/>
    <w:rsid w:val="00BA6042"/>
    <w:rsid w:val="00BA6498"/>
    <w:rsid w:val="00BA649B"/>
    <w:rsid w:val="00BA65FA"/>
    <w:rsid w:val="00BA6875"/>
    <w:rsid w:val="00BA6B4A"/>
    <w:rsid w:val="00BA6B86"/>
    <w:rsid w:val="00BA6C0E"/>
    <w:rsid w:val="00BA6C78"/>
    <w:rsid w:val="00BA6E8C"/>
    <w:rsid w:val="00BA6F67"/>
    <w:rsid w:val="00BA7060"/>
    <w:rsid w:val="00BA70E7"/>
    <w:rsid w:val="00BA738E"/>
    <w:rsid w:val="00BA741C"/>
    <w:rsid w:val="00BA7492"/>
    <w:rsid w:val="00BA74BD"/>
    <w:rsid w:val="00BA7696"/>
    <w:rsid w:val="00BA76D8"/>
    <w:rsid w:val="00BA77AA"/>
    <w:rsid w:val="00BA786F"/>
    <w:rsid w:val="00BA7A08"/>
    <w:rsid w:val="00BA7E04"/>
    <w:rsid w:val="00BA7F97"/>
    <w:rsid w:val="00BB0046"/>
    <w:rsid w:val="00BB0085"/>
    <w:rsid w:val="00BB00E2"/>
    <w:rsid w:val="00BB017E"/>
    <w:rsid w:val="00BB0480"/>
    <w:rsid w:val="00BB04F6"/>
    <w:rsid w:val="00BB069C"/>
    <w:rsid w:val="00BB06F9"/>
    <w:rsid w:val="00BB07F2"/>
    <w:rsid w:val="00BB094E"/>
    <w:rsid w:val="00BB0A24"/>
    <w:rsid w:val="00BB0A54"/>
    <w:rsid w:val="00BB0B60"/>
    <w:rsid w:val="00BB0C1F"/>
    <w:rsid w:val="00BB1032"/>
    <w:rsid w:val="00BB13EF"/>
    <w:rsid w:val="00BB160C"/>
    <w:rsid w:val="00BB161C"/>
    <w:rsid w:val="00BB164D"/>
    <w:rsid w:val="00BB19E5"/>
    <w:rsid w:val="00BB1A9B"/>
    <w:rsid w:val="00BB1D26"/>
    <w:rsid w:val="00BB1DDD"/>
    <w:rsid w:val="00BB1E02"/>
    <w:rsid w:val="00BB1E41"/>
    <w:rsid w:val="00BB1F1A"/>
    <w:rsid w:val="00BB1F8A"/>
    <w:rsid w:val="00BB1FB0"/>
    <w:rsid w:val="00BB2210"/>
    <w:rsid w:val="00BB222A"/>
    <w:rsid w:val="00BB2247"/>
    <w:rsid w:val="00BB2368"/>
    <w:rsid w:val="00BB23BF"/>
    <w:rsid w:val="00BB24AB"/>
    <w:rsid w:val="00BB24D9"/>
    <w:rsid w:val="00BB25AC"/>
    <w:rsid w:val="00BB2A14"/>
    <w:rsid w:val="00BB2BBE"/>
    <w:rsid w:val="00BB2C61"/>
    <w:rsid w:val="00BB2C6C"/>
    <w:rsid w:val="00BB2CB2"/>
    <w:rsid w:val="00BB2D94"/>
    <w:rsid w:val="00BB2EEA"/>
    <w:rsid w:val="00BB2F58"/>
    <w:rsid w:val="00BB30F0"/>
    <w:rsid w:val="00BB3102"/>
    <w:rsid w:val="00BB316F"/>
    <w:rsid w:val="00BB32F9"/>
    <w:rsid w:val="00BB3514"/>
    <w:rsid w:val="00BB3572"/>
    <w:rsid w:val="00BB359E"/>
    <w:rsid w:val="00BB35DB"/>
    <w:rsid w:val="00BB360C"/>
    <w:rsid w:val="00BB364D"/>
    <w:rsid w:val="00BB3691"/>
    <w:rsid w:val="00BB3729"/>
    <w:rsid w:val="00BB3895"/>
    <w:rsid w:val="00BB3CE3"/>
    <w:rsid w:val="00BB43BD"/>
    <w:rsid w:val="00BB43F9"/>
    <w:rsid w:val="00BB44E6"/>
    <w:rsid w:val="00BB4591"/>
    <w:rsid w:val="00BB45AE"/>
    <w:rsid w:val="00BB4790"/>
    <w:rsid w:val="00BB48D8"/>
    <w:rsid w:val="00BB4916"/>
    <w:rsid w:val="00BB49EC"/>
    <w:rsid w:val="00BB4AC5"/>
    <w:rsid w:val="00BB4B44"/>
    <w:rsid w:val="00BB4BFD"/>
    <w:rsid w:val="00BB4C0C"/>
    <w:rsid w:val="00BB4E23"/>
    <w:rsid w:val="00BB4F8F"/>
    <w:rsid w:val="00BB5081"/>
    <w:rsid w:val="00BB5109"/>
    <w:rsid w:val="00BB54BD"/>
    <w:rsid w:val="00BB5570"/>
    <w:rsid w:val="00BB5755"/>
    <w:rsid w:val="00BB57C3"/>
    <w:rsid w:val="00BB5825"/>
    <w:rsid w:val="00BB583C"/>
    <w:rsid w:val="00BB59CA"/>
    <w:rsid w:val="00BB59EC"/>
    <w:rsid w:val="00BB5C72"/>
    <w:rsid w:val="00BB5D2C"/>
    <w:rsid w:val="00BB5DC7"/>
    <w:rsid w:val="00BB5EDC"/>
    <w:rsid w:val="00BB5F30"/>
    <w:rsid w:val="00BB5F53"/>
    <w:rsid w:val="00BB6025"/>
    <w:rsid w:val="00BB62E3"/>
    <w:rsid w:val="00BB6369"/>
    <w:rsid w:val="00BB653A"/>
    <w:rsid w:val="00BB6654"/>
    <w:rsid w:val="00BB66A5"/>
    <w:rsid w:val="00BB6900"/>
    <w:rsid w:val="00BB698E"/>
    <w:rsid w:val="00BB6A22"/>
    <w:rsid w:val="00BB6AB8"/>
    <w:rsid w:val="00BB6B98"/>
    <w:rsid w:val="00BB6BC5"/>
    <w:rsid w:val="00BB6C09"/>
    <w:rsid w:val="00BB6C48"/>
    <w:rsid w:val="00BB6D8E"/>
    <w:rsid w:val="00BB6EA7"/>
    <w:rsid w:val="00BB6F42"/>
    <w:rsid w:val="00BB6FA1"/>
    <w:rsid w:val="00BB70C9"/>
    <w:rsid w:val="00BB7130"/>
    <w:rsid w:val="00BB71B5"/>
    <w:rsid w:val="00BB74B7"/>
    <w:rsid w:val="00BB75B8"/>
    <w:rsid w:val="00BB7672"/>
    <w:rsid w:val="00BB7725"/>
    <w:rsid w:val="00BB7819"/>
    <w:rsid w:val="00BB787C"/>
    <w:rsid w:val="00BB7907"/>
    <w:rsid w:val="00BB7930"/>
    <w:rsid w:val="00BB79C3"/>
    <w:rsid w:val="00BB7AEA"/>
    <w:rsid w:val="00BB7BA1"/>
    <w:rsid w:val="00BB7E1A"/>
    <w:rsid w:val="00BC002A"/>
    <w:rsid w:val="00BC0252"/>
    <w:rsid w:val="00BC02F9"/>
    <w:rsid w:val="00BC0377"/>
    <w:rsid w:val="00BC04A6"/>
    <w:rsid w:val="00BC04BF"/>
    <w:rsid w:val="00BC04DA"/>
    <w:rsid w:val="00BC04EF"/>
    <w:rsid w:val="00BC04F8"/>
    <w:rsid w:val="00BC0579"/>
    <w:rsid w:val="00BC06F2"/>
    <w:rsid w:val="00BC0920"/>
    <w:rsid w:val="00BC0963"/>
    <w:rsid w:val="00BC09BA"/>
    <w:rsid w:val="00BC09E2"/>
    <w:rsid w:val="00BC0AAF"/>
    <w:rsid w:val="00BC0B51"/>
    <w:rsid w:val="00BC0C0F"/>
    <w:rsid w:val="00BC0E79"/>
    <w:rsid w:val="00BC0FFD"/>
    <w:rsid w:val="00BC1036"/>
    <w:rsid w:val="00BC1159"/>
    <w:rsid w:val="00BC1255"/>
    <w:rsid w:val="00BC134F"/>
    <w:rsid w:val="00BC17E5"/>
    <w:rsid w:val="00BC1804"/>
    <w:rsid w:val="00BC1921"/>
    <w:rsid w:val="00BC1AD2"/>
    <w:rsid w:val="00BC1B18"/>
    <w:rsid w:val="00BC1B96"/>
    <w:rsid w:val="00BC1BE9"/>
    <w:rsid w:val="00BC1C6D"/>
    <w:rsid w:val="00BC1DEC"/>
    <w:rsid w:val="00BC1F25"/>
    <w:rsid w:val="00BC1F61"/>
    <w:rsid w:val="00BC1F9C"/>
    <w:rsid w:val="00BC1FED"/>
    <w:rsid w:val="00BC20F3"/>
    <w:rsid w:val="00BC2792"/>
    <w:rsid w:val="00BC2814"/>
    <w:rsid w:val="00BC2A0C"/>
    <w:rsid w:val="00BC2A4B"/>
    <w:rsid w:val="00BC2AFC"/>
    <w:rsid w:val="00BC2B11"/>
    <w:rsid w:val="00BC2B1B"/>
    <w:rsid w:val="00BC2D11"/>
    <w:rsid w:val="00BC2DA0"/>
    <w:rsid w:val="00BC2E7D"/>
    <w:rsid w:val="00BC30BA"/>
    <w:rsid w:val="00BC3124"/>
    <w:rsid w:val="00BC3245"/>
    <w:rsid w:val="00BC3458"/>
    <w:rsid w:val="00BC34CA"/>
    <w:rsid w:val="00BC3511"/>
    <w:rsid w:val="00BC357E"/>
    <w:rsid w:val="00BC3734"/>
    <w:rsid w:val="00BC37AB"/>
    <w:rsid w:val="00BC37CE"/>
    <w:rsid w:val="00BC3862"/>
    <w:rsid w:val="00BC3881"/>
    <w:rsid w:val="00BC38F1"/>
    <w:rsid w:val="00BC399E"/>
    <w:rsid w:val="00BC39EE"/>
    <w:rsid w:val="00BC3C34"/>
    <w:rsid w:val="00BC3DD2"/>
    <w:rsid w:val="00BC3F89"/>
    <w:rsid w:val="00BC3FE6"/>
    <w:rsid w:val="00BC3FFA"/>
    <w:rsid w:val="00BC4024"/>
    <w:rsid w:val="00BC420E"/>
    <w:rsid w:val="00BC4219"/>
    <w:rsid w:val="00BC4223"/>
    <w:rsid w:val="00BC4288"/>
    <w:rsid w:val="00BC4317"/>
    <w:rsid w:val="00BC4569"/>
    <w:rsid w:val="00BC4619"/>
    <w:rsid w:val="00BC46CE"/>
    <w:rsid w:val="00BC47C5"/>
    <w:rsid w:val="00BC47EA"/>
    <w:rsid w:val="00BC4A30"/>
    <w:rsid w:val="00BC4A33"/>
    <w:rsid w:val="00BC4A74"/>
    <w:rsid w:val="00BC4B3A"/>
    <w:rsid w:val="00BC4B47"/>
    <w:rsid w:val="00BC4B56"/>
    <w:rsid w:val="00BC4BB0"/>
    <w:rsid w:val="00BC4D53"/>
    <w:rsid w:val="00BC4E45"/>
    <w:rsid w:val="00BC4F32"/>
    <w:rsid w:val="00BC4FC1"/>
    <w:rsid w:val="00BC5098"/>
    <w:rsid w:val="00BC51D9"/>
    <w:rsid w:val="00BC532B"/>
    <w:rsid w:val="00BC533C"/>
    <w:rsid w:val="00BC5416"/>
    <w:rsid w:val="00BC5420"/>
    <w:rsid w:val="00BC56C2"/>
    <w:rsid w:val="00BC585A"/>
    <w:rsid w:val="00BC58E1"/>
    <w:rsid w:val="00BC5A3D"/>
    <w:rsid w:val="00BC5B61"/>
    <w:rsid w:val="00BC5C84"/>
    <w:rsid w:val="00BC5DB5"/>
    <w:rsid w:val="00BC5E02"/>
    <w:rsid w:val="00BC5F4D"/>
    <w:rsid w:val="00BC6023"/>
    <w:rsid w:val="00BC604D"/>
    <w:rsid w:val="00BC641A"/>
    <w:rsid w:val="00BC677C"/>
    <w:rsid w:val="00BC6AB0"/>
    <w:rsid w:val="00BC6B81"/>
    <w:rsid w:val="00BC6E02"/>
    <w:rsid w:val="00BC6EB4"/>
    <w:rsid w:val="00BC6F8D"/>
    <w:rsid w:val="00BC70C8"/>
    <w:rsid w:val="00BC7197"/>
    <w:rsid w:val="00BC7239"/>
    <w:rsid w:val="00BC728A"/>
    <w:rsid w:val="00BC72E9"/>
    <w:rsid w:val="00BC7485"/>
    <w:rsid w:val="00BC74CC"/>
    <w:rsid w:val="00BC75DA"/>
    <w:rsid w:val="00BC7749"/>
    <w:rsid w:val="00BC77B7"/>
    <w:rsid w:val="00BC7827"/>
    <w:rsid w:val="00BC7832"/>
    <w:rsid w:val="00BC78A8"/>
    <w:rsid w:val="00BC79CB"/>
    <w:rsid w:val="00BC7B4E"/>
    <w:rsid w:val="00BC7B7C"/>
    <w:rsid w:val="00BC7C11"/>
    <w:rsid w:val="00BC7F69"/>
    <w:rsid w:val="00BD00F2"/>
    <w:rsid w:val="00BD0296"/>
    <w:rsid w:val="00BD0465"/>
    <w:rsid w:val="00BD0487"/>
    <w:rsid w:val="00BD0535"/>
    <w:rsid w:val="00BD05BA"/>
    <w:rsid w:val="00BD062C"/>
    <w:rsid w:val="00BD0789"/>
    <w:rsid w:val="00BD096F"/>
    <w:rsid w:val="00BD0A29"/>
    <w:rsid w:val="00BD0ACC"/>
    <w:rsid w:val="00BD0BBB"/>
    <w:rsid w:val="00BD0CFE"/>
    <w:rsid w:val="00BD0D60"/>
    <w:rsid w:val="00BD0DA1"/>
    <w:rsid w:val="00BD0DE4"/>
    <w:rsid w:val="00BD0EFC"/>
    <w:rsid w:val="00BD0F01"/>
    <w:rsid w:val="00BD0F30"/>
    <w:rsid w:val="00BD101C"/>
    <w:rsid w:val="00BD1046"/>
    <w:rsid w:val="00BD115C"/>
    <w:rsid w:val="00BD120D"/>
    <w:rsid w:val="00BD127F"/>
    <w:rsid w:val="00BD129F"/>
    <w:rsid w:val="00BD144C"/>
    <w:rsid w:val="00BD157E"/>
    <w:rsid w:val="00BD15EA"/>
    <w:rsid w:val="00BD16E4"/>
    <w:rsid w:val="00BD193D"/>
    <w:rsid w:val="00BD1953"/>
    <w:rsid w:val="00BD19C3"/>
    <w:rsid w:val="00BD1A81"/>
    <w:rsid w:val="00BD1AC8"/>
    <w:rsid w:val="00BD1D60"/>
    <w:rsid w:val="00BD1E9C"/>
    <w:rsid w:val="00BD1EB5"/>
    <w:rsid w:val="00BD1F24"/>
    <w:rsid w:val="00BD1F64"/>
    <w:rsid w:val="00BD20A2"/>
    <w:rsid w:val="00BD21C7"/>
    <w:rsid w:val="00BD26C4"/>
    <w:rsid w:val="00BD2708"/>
    <w:rsid w:val="00BD28EB"/>
    <w:rsid w:val="00BD2A8E"/>
    <w:rsid w:val="00BD2BBE"/>
    <w:rsid w:val="00BD2C1B"/>
    <w:rsid w:val="00BD2D61"/>
    <w:rsid w:val="00BD32E7"/>
    <w:rsid w:val="00BD3311"/>
    <w:rsid w:val="00BD37C8"/>
    <w:rsid w:val="00BD37D6"/>
    <w:rsid w:val="00BD3854"/>
    <w:rsid w:val="00BD3A58"/>
    <w:rsid w:val="00BD3AD5"/>
    <w:rsid w:val="00BD3B38"/>
    <w:rsid w:val="00BD3BB5"/>
    <w:rsid w:val="00BD3CB4"/>
    <w:rsid w:val="00BD3D0C"/>
    <w:rsid w:val="00BD4048"/>
    <w:rsid w:val="00BD40A1"/>
    <w:rsid w:val="00BD41C3"/>
    <w:rsid w:val="00BD42D8"/>
    <w:rsid w:val="00BD43B8"/>
    <w:rsid w:val="00BD44C5"/>
    <w:rsid w:val="00BD4536"/>
    <w:rsid w:val="00BD45C7"/>
    <w:rsid w:val="00BD45FB"/>
    <w:rsid w:val="00BD4718"/>
    <w:rsid w:val="00BD48EC"/>
    <w:rsid w:val="00BD49ED"/>
    <w:rsid w:val="00BD4A3A"/>
    <w:rsid w:val="00BD4AB6"/>
    <w:rsid w:val="00BD4AD6"/>
    <w:rsid w:val="00BD4C7C"/>
    <w:rsid w:val="00BD4D79"/>
    <w:rsid w:val="00BD4DAD"/>
    <w:rsid w:val="00BD5057"/>
    <w:rsid w:val="00BD50B6"/>
    <w:rsid w:val="00BD5117"/>
    <w:rsid w:val="00BD5250"/>
    <w:rsid w:val="00BD53A3"/>
    <w:rsid w:val="00BD5650"/>
    <w:rsid w:val="00BD56B6"/>
    <w:rsid w:val="00BD56C3"/>
    <w:rsid w:val="00BD5759"/>
    <w:rsid w:val="00BD5783"/>
    <w:rsid w:val="00BD5888"/>
    <w:rsid w:val="00BD58D0"/>
    <w:rsid w:val="00BD58E7"/>
    <w:rsid w:val="00BD5A59"/>
    <w:rsid w:val="00BD5ACF"/>
    <w:rsid w:val="00BD5C3D"/>
    <w:rsid w:val="00BD5CF9"/>
    <w:rsid w:val="00BD5D5D"/>
    <w:rsid w:val="00BD5E17"/>
    <w:rsid w:val="00BD5EDB"/>
    <w:rsid w:val="00BD5EFB"/>
    <w:rsid w:val="00BD5F2B"/>
    <w:rsid w:val="00BD622A"/>
    <w:rsid w:val="00BD6366"/>
    <w:rsid w:val="00BD63CB"/>
    <w:rsid w:val="00BD6502"/>
    <w:rsid w:val="00BD65E3"/>
    <w:rsid w:val="00BD65E4"/>
    <w:rsid w:val="00BD66FE"/>
    <w:rsid w:val="00BD6AB3"/>
    <w:rsid w:val="00BD6C4D"/>
    <w:rsid w:val="00BD6D2A"/>
    <w:rsid w:val="00BD6E53"/>
    <w:rsid w:val="00BD6EEC"/>
    <w:rsid w:val="00BD7013"/>
    <w:rsid w:val="00BD74B4"/>
    <w:rsid w:val="00BD7ACE"/>
    <w:rsid w:val="00BD7BC8"/>
    <w:rsid w:val="00BD7C19"/>
    <w:rsid w:val="00BD7E6A"/>
    <w:rsid w:val="00BD7F03"/>
    <w:rsid w:val="00BD7F50"/>
    <w:rsid w:val="00BD7F8E"/>
    <w:rsid w:val="00BD7F91"/>
    <w:rsid w:val="00BD7FF9"/>
    <w:rsid w:val="00BE00C0"/>
    <w:rsid w:val="00BE00D7"/>
    <w:rsid w:val="00BE01CA"/>
    <w:rsid w:val="00BE026F"/>
    <w:rsid w:val="00BE02A5"/>
    <w:rsid w:val="00BE0395"/>
    <w:rsid w:val="00BE069B"/>
    <w:rsid w:val="00BE06DA"/>
    <w:rsid w:val="00BE0844"/>
    <w:rsid w:val="00BE09E5"/>
    <w:rsid w:val="00BE0A99"/>
    <w:rsid w:val="00BE0B6E"/>
    <w:rsid w:val="00BE0C6C"/>
    <w:rsid w:val="00BE1457"/>
    <w:rsid w:val="00BE156C"/>
    <w:rsid w:val="00BE15CC"/>
    <w:rsid w:val="00BE15E5"/>
    <w:rsid w:val="00BE1602"/>
    <w:rsid w:val="00BE165F"/>
    <w:rsid w:val="00BE166C"/>
    <w:rsid w:val="00BE1973"/>
    <w:rsid w:val="00BE1AC5"/>
    <w:rsid w:val="00BE1D28"/>
    <w:rsid w:val="00BE1D30"/>
    <w:rsid w:val="00BE1DB6"/>
    <w:rsid w:val="00BE1DE0"/>
    <w:rsid w:val="00BE20D9"/>
    <w:rsid w:val="00BE21A2"/>
    <w:rsid w:val="00BE22D3"/>
    <w:rsid w:val="00BE2319"/>
    <w:rsid w:val="00BE238D"/>
    <w:rsid w:val="00BE251B"/>
    <w:rsid w:val="00BE27E9"/>
    <w:rsid w:val="00BE28CE"/>
    <w:rsid w:val="00BE28F5"/>
    <w:rsid w:val="00BE2CD8"/>
    <w:rsid w:val="00BE2EE1"/>
    <w:rsid w:val="00BE2F24"/>
    <w:rsid w:val="00BE3125"/>
    <w:rsid w:val="00BE31BB"/>
    <w:rsid w:val="00BE365D"/>
    <w:rsid w:val="00BE36FE"/>
    <w:rsid w:val="00BE3AE8"/>
    <w:rsid w:val="00BE3BD1"/>
    <w:rsid w:val="00BE3D1B"/>
    <w:rsid w:val="00BE3D3F"/>
    <w:rsid w:val="00BE4249"/>
    <w:rsid w:val="00BE42D8"/>
    <w:rsid w:val="00BE4303"/>
    <w:rsid w:val="00BE48DA"/>
    <w:rsid w:val="00BE4A23"/>
    <w:rsid w:val="00BE4B55"/>
    <w:rsid w:val="00BE4D9F"/>
    <w:rsid w:val="00BE4E27"/>
    <w:rsid w:val="00BE4E9B"/>
    <w:rsid w:val="00BE4EB0"/>
    <w:rsid w:val="00BE4FA0"/>
    <w:rsid w:val="00BE5006"/>
    <w:rsid w:val="00BE52ED"/>
    <w:rsid w:val="00BE53D3"/>
    <w:rsid w:val="00BE5525"/>
    <w:rsid w:val="00BE5537"/>
    <w:rsid w:val="00BE5614"/>
    <w:rsid w:val="00BE56B4"/>
    <w:rsid w:val="00BE573E"/>
    <w:rsid w:val="00BE5820"/>
    <w:rsid w:val="00BE5A2B"/>
    <w:rsid w:val="00BE5B36"/>
    <w:rsid w:val="00BE5BE2"/>
    <w:rsid w:val="00BE5C53"/>
    <w:rsid w:val="00BE5CBD"/>
    <w:rsid w:val="00BE5DB4"/>
    <w:rsid w:val="00BE609B"/>
    <w:rsid w:val="00BE60BB"/>
    <w:rsid w:val="00BE6183"/>
    <w:rsid w:val="00BE619D"/>
    <w:rsid w:val="00BE6428"/>
    <w:rsid w:val="00BE6C14"/>
    <w:rsid w:val="00BE6DBC"/>
    <w:rsid w:val="00BE6E71"/>
    <w:rsid w:val="00BE6EFF"/>
    <w:rsid w:val="00BE7025"/>
    <w:rsid w:val="00BE705F"/>
    <w:rsid w:val="00BE70A7"/>
    <w:rsid w:val="00BE70CC"/>
    <w:rsid w:val="00BE71B2"/>
    <w:rsid w:val="00BE72B2"/>
    <w:rsid w:val="00BE730B"/>
    <w:rsid w:val="00BE7325"/>
    <w:rsid w:val="00BE747C"/>
    <w:rsid w:val="00BE747E"/>
    <w:rsid w:val="00BE75C4"/>
    <w:rsid w:val="00BE761F"/>
    <w:rsid w:val="00BE76A6"/>
    <w:rsid w:val="00BE77A6"/>
    <w:rsid w:val="00BE77B6"/>
    <w:rsid w:val="00BE782D"/>
    <w:rsid w:val="00BE7B0E"/>
    <w:rsid w:val="00BE7B52"/>
    <w:rsid w:val="00BE7C9D"/>
    <w:rsid w:val="00BE7CA7"/>
    <w:rsid w:val="00BE7E66"/>
    <w:rsid w:val="00BE7EEE"/>
    <w:rsid w:val="00BE7F59"/>
    <w:rsid w:val="00BF0074"/>
    <w:rsid w:val="00BF008B"/>
    <w:rsid w:val="00BF031A"/>
    <w:rsid w:val="00BF0462"/>
    <w:rsid w:val="00BF0580"/>
    <w:rsid w:val="00BF07F5"/>
    <w:rsid w:val="00BF0897"/>
    <w:rsid w:val="00BF0A9E"/>
    <w:rsid w:val="00BF0BFD"/>
    <w:rsid w:val="00BF0C01"/>
    <w:rsid w:val="00BF0C96"/>
    <w:rsid w:val="00BF0CB0"/>
    <w:rsid w:val="00BF0D5A"/>
    <w:rsid w:val="00BF0DDC"/>
    <w:rsid w:val="00BF0E91"/>
    <w:rsid w:val="00BF0F79"/>
    <w:rsid w:val="00BF102C"/>
    <w:rsid w:val="00BF10A3"/>
    <w:rsid w:val="00BF1133"/>
    <w:rsid w:val="00BF1238"/>
    <w:rsid w:val="00BF1320"/>
    <w:rsid w:val="00BF1341"/>
    <w:rsid w:val="00BF14B9"/>
    <w:rsid w:val="00BF16F0"/>
    <w:rsid w:val="00BF18B2"/>
    <w:rsid w:val="00BF19A2"/>
    <w:rsid w:val="00BF1B69"/>
    <w:rsid w:val="00BF1BA8"/>
    <w:rsid w:val="00BF1BAB"/>
    <w:rsid w:val="00BF1C1E"/>
    <w:rsid w:val="00BF1CC3"/>
    <w:rsid w:val="00BF1E6E"/>
    <w:rsid w:val="00BF1EB8"/>
    <w:rsid w:val="00BF1F51"/>
    <w:rsid w:val="00BF1FCA"/>
    <w:rsid w:val="00BF2192"/>
    <w:rsid w:val="00BF2640"/>
    <w:rsid w:val="00BF2751"/>
    <w:rsid w:val="00BF2976"/>
    <w:rsid w:val="00BF2A3A"/>
    <w:rsid w:val="00BF2A76"/>
    <w:rsid w:val="00BF2E00"/>
    <w:rsid w:val="00BF2EAB"/>
    <w:rsid w:val="00BF32DF"/>
    <w:rsid w:val="00BF33AA"/>
    <w:rsid w:val="00BF346B"/>
    <w:rsid w:val="00BF34A2"/>
    <w:rsid w:val="00BF3570"/>
    <w:rsid w:val="00BF35B3"/>
    <w:rsid w:val="00BF36D1"/>
    <w:rsid w:val="00BF374D"/>
    <w:rsid w:val="00BF3B1B"/>
    <w:rsid w:val="00BF3DF1"/>
    <w:rsid w:val="00BF3F25"/>
    <w:rsid w:val="00BF4146"/>
    <w:rsid w:val="00BF4316"/>
    <w:rsid w:val="00BF4357"/>
    <w:rsid w:val="00BF4532"/>
    <w:rsid w:val="00BF49C3"/>
    <w:rsid w:val="00BF4B4C"/>
    <w:rsid w:val="00BF4BCB"/>
    <w:rsid w:val="00BF4C9F"/>
    <w:rsid w:val="00BF4D08"/>
    <w:rsid w:val="00BF4EA7"/>
    <w:rsid w:val="00BF4F0C"/>
    <w:rsid w:val="00BF4F34"/>
    <w:rsid w:val="00BF51B1"/>
    <w:rsid w:val="00BF51CC"/>
    <w:rsid w:val="00BF53FE"/>
    <w:rsid w:val="00BF54A9"/>
    <w:rsid w:val="00BF5626"/>
    <w:rsid w:val="00BF56B2"/>
    <w:rsid w:val="00BF5A28"/>
    <w:rsid w:val="00BF5BBE"/>
    <w:rsid w:val="00BF5C00"/>
    <w:rsid w:val="00BF5C01"/>
    <w:rsid w:val="00BF5E56"/>
    <w:rsid w:val="00BF5EA1"/>
    <w:rsid w:val="00BF63A3"/>
    <w:rsid w:val="00BF65AD"/>
    <w:rsid w:val="00BF65C4"/>
    <w:rsid w:val="00BF699C"/>
    <w:rsid w:val="00BF6C3F"/>
    <w:rsid w:val="00BF6CFE"/>
    <w:rsid w:val="00BF6E39"/>
    <w:rsid w:val="00BF6E53"/>
    <w:rsid w:val="00BF6FF3"/>
    <w:rsid w:val="00BF707F"/>
    <w:rsid w:val="00BF70EA"/>
    <w:rsid w:val="00BF713D"/>
    <w:rsid w:val="00BF7267"/>
    <w:rsid w:val="00BF74C5"/>
    <w:rsid w:val="00BF7619"/>
    <w:rsid w:val="00BF76E9"/>
    <w:rsid w:val="00BF78B9"/>
    <w:rsid w:val="00BF78FF"/>
    <w:rsid w:val="00BF7AC6"/>
    <w:rsid w:val="00BF7B82"/>
    <w:rsid w:val="00BF7C61"/>
    <w:rsid w:val="00BF7C79"/>
    <w:rsid w:val="00BF7D60"/>
    <w:rsid w:val="00BF7DFC"/>
    <w:rsid w:val="00BF7E24"/>
    <w:rsid w:val="00C00058"/>
    <w:rsid w:val="00C001B0"/>
    <w:rsid w:val="00C004E7"/>
    <w:rsid w:val="00C00537"/>
    <w:rsid w:val="00C007A3"/>
    <w:rsid w:val="00C0085E"/>
    <w:rsid w:val="00C0096B"/>
    <w:rsid w:val="00C009B1"/>
    <w:rsid w:val="00C00BE1"/>
    <w:rsid w:val="00C00C5F"/>
    <w:rsid w:val="00C00E53"/>
    <w:rsid w:val="00C01058"/>
    <w:rsid w:val="00C010CE"/>
    <w:rsid w:val="00C012CB"/>
    <w:rsid w:val="00C01340"/>
    <w:rsid w:val="00C013D6"/>
    <w:rsid w:val="00C014C2"/>
    <w:rsid w:val="00C014F2"/>
    <w:rsid w:val="00C0159B"/>
    <w:rsid w:val="00C015B5"/>
    <w:rsid w:val="00C018A1"/>
    <w:rsid w:val="00C019DD"/>
    <w:rsid w:val="00C019E7"/>
    <w:rsid w:val="00C01A60"/>
    <w:rsid w:val="00C01B6F"/>
    <w:rsid w:val="00C01BDD"/>
    <w:rsid w:val="00C01DB4"/>
    <w:rsid w:val="00C01ECB"/>
    <w:rsid w:val="00C01F61"/>
    <w:rsid w:val="00C0203D"/>
    <w:rsid w:val="00C020A8"/>
    <w:rsid w:val="00C020E1"/>
    <w:rsid w:val="00C0213E"/>
    <w:rsid w:val="00C02141"/>
    <w:rsid w:val="00C02162"/>
    <w:rsid w:val="00C02337"/>
    <w:rsid w:val="00C023F6"/>
    <w:rsid w:val="00C028D7"/>
    <w:rsid w:val="00C02EA6"/>
    <w:rsid w:val="00C030AE"/>
    <w:rsid w:val="00C03263"/>
    <w:rsid w:val="00C03322"/>
    <w:rsid w:val="00C0338F"/>
    <w:rsid w:val="00C033A2"/>
    <w:rsid w:val="00C03690"/>
    <w:rsid w:val="00C036E9"/>
    <w:rsid w:val="00C0395E"/>
    <w:rsid w:val="00C03A5E"/>
    <w:rsid w:val="00C03BA3"/>
    <w:rsid w:val="00C03C2A"/>
    <w:rsid w:val="00C03EEB"/>
    <w:rsid w:val="00C03F71"/>
    <w:rsid w:val="00C03F90"/>
    <w:rsid w:val="00C03FFB"/>
    <w:rsid w:val="00C0416A"/>
    <w:rsid w:val="00C041C0"/>
    <w:rsid w:val="00C041F2"/>
    <w:rsid w:val="00C04496"/>
    <w:rsid w:val="00C04568"/>
    <w:rsid w:val="00C04812"/>
    <w:rsid w:val="00C04DB4"/>
    <w:rsid w:val="00C04E19"/>
    <w:rsid w:val="00C05045"/>
    <w:rsid w:val="00C0506A"/>
    <w:rsid w:val="00C052A3"/>
    <w:rsid w:val="00C053F4"/>
    <w:rsid w:val="00C0581C"/>
    <w:rsid w:val="00C05961"/>
    <w:rsid w:val="00C05B8F"/>
    <w:rsid w:val="00C05C11"/>
    <w:rsid w:val="00C05C2D"/>
    <w:rsid w:val="00C05C74"/>
    <w:rsid w:val="00C05CE3"/>
    <w:rsid w:val="00C05DE0"/>
    <w:rsid w:val="00C05EF5"/>
    <w:rsid w:val="00C06130"/>
    <w:rsid w:val="00C06171"/>
    <w:rsid w:val="00C061BD"/>
    <w:rsid w:val="00C0628C"/>
    <w:rsid w:val="00C062AA"/>
    <w:rsid w:val="00C063EF"/>
    <w:rsid w:val="00C066C4"/>
    <w:rsid w:val="00C06820"/>
    <w:rsid w:val="00C068DB"/>
    <w:rsid w:val="00C06BE6"/>
    <w:rsid w:val="00C06D97"/>
    <w:rsid w:val="00C06DAB"/>
    <w:rsid w:val="00C072A0"/>
    <w:rsid w:val="00C072A1"/>
    <w:rsid w:val="00C07327"/>
    <w:rsid w:val="00C07375"/>
    <w:rsid w:val="00C073FC"/>
    <w:rsid w:val="00C07663"/>
    <w:rsid w:val="00C07679"/>
    <w:rsid w:val="00C076D7"/>
    <w:rsid w:val="00C077A8"/>
    <w:rsid w:val="00C07BF3"/>
    <w:rsid w:val="00C07C5B"/>
    <w:rsid w:val="00C07DA2"/>
    <w:rsid w:val="00C100CF"/>
    <w:rsid w:val="00C101BF"/>
    <w:rsid w:val="00C101D8"/>
    <w:rsid w:val="00C101FE"/>
    <w:rsid w:val="00C1023C"/>
    <w:rsid w:val="00C102AA"/>
    <w:rsid w:val="00C102AE"/>
    <w:rsid w:val="00C10390"/>
    <w:rsid w:val="00C10452"/>
    <w:rsid w:val="00C104ED"/>
    <w:rsid w:val="00C104F0"/>
    <w:rsid w:val="00C1065E"/>
    <w:rsid w:val="00C1069D"/>
    <w:rsid w:val="00C10785"/>
    <w:rsid w:val="00C107AB"/>
    <w:rsid w:val="00C107EC"/>
    <w:rsid w:val="00C10901"/>
    <w:rsid w:val="00C10B85"/>
    <w:rsid w:val="00C11010"/>
    <w:rsid w:val="00C110CD"/>
    <w:rsid w:val="00C111D3"/>
    <w:rsid w:val="00C1127F"/>
    <w:rsid w:val="00C114D1"/>
    <w:rsid w:val="00C11504"/>
    <w:rsid w:val="00C1175F"/>
    <w:rsid w:val="00C11781"/>
    <w:rsid w:val="00C117DE"/>
    <w:rsid w:val="00C11B2E"/>
    <w:rsid w:val="00C11B5F"/>
    <w:rsid w:val="00C11DC0"/>
    <w:rsid w:val="00C11FD7"/>
    <w:rsid w:val="00C1260A"/>
    <w:rsid w:val="00C1289A"/>
    <w:rsid w:val="00C128A3"/>
    <w:rsid w:val="00C12936"/>
    <w:rsid w:val="00C1294A"/>
    <w:rsid w:val="00C12A0A"/>
    <w:rsid w:val="00C12B6F"/>
    <w:rsid w:val="00C12B97"/>
    <w:rsid w:val="00C12D9A"/>
    <w:rsid w:val="00C12E19"/>
    <w:rsid w:val="00C12F1A"/>
    <w:rsid w:val="00C12F5C"/>
    <w:rsid w:val="00C130B3"/>
    <w:rsid w:val="00C130BF"/>
    <w:rsid w:val="00C130CB"/>
    <w:rsid w:val="00C13210"/>
    <w:rsid w:val="00C13326"/>
    <w:rsid w:val="00C1345F"/>
    <w:rsid w:val="00C135D6"/>
    <w:rsid w:val="00C137DB"/>
    <w:rsid w:val="00C13882"/>
    <w:rsid w:val="00C13A32"/>
    <w:rsid w:val="00C13BBA"/>
    <w:rsid w:val="00C13CF7"/>
    <w:rsid w:val="00C13D06"/>
    <w:rsid w:val="00C13DCD"/>
    <w:rsid w:val="00C13E71"/>
    <w:rsid w:val="00C141A6"/>
    <w:rsid w:val="00C1454F"/>
    <w:rsid w:val="00C1459C"/>
    <w:rsid w:val="00C145FB"/>
    <w:rsid w:val="00C14623"/>
    <w:rsid w:val="00C14642"/>
    <w:rsid w:val="00C14843"/>
    <w:rsid w:val="00C1484B"/>
    <w:rsid w:val="00C14861"/>
    <w:rsid w:val="00C14877"/>
    <w:rsid w:val="00C148B9"/>
    <w:rsid w:val="00C148E1"/>
    <w:rsid w:val="00C14907"/>
    <w:rsid w:val="00C149DB"/>
    <w:rsid w:val="00C14BAF"/>
    <w:rsid w:val="00C15010"/>
    <w:rsid w:val="00C151B6"/>
    <w:rsid w:val="00C152DC"/>
    <w:rsid w:val="00C1557C"/>
    <w:rsid w:val="00C155FD"/>
    <w:rsid w:val="00C15712"/>
    <w:rsid w:val="00C157B6"/>
    <w:rsid w:val="00C158CD"/>
    <w:rsid w:val="00C15BB4"/>
    <w:rsid w:val="00C15C33"/>
    <w:rsid w:val="00C15CA2"/>
    <w:rsid w:val="00C15DB0"/>
    <w:rsid w:val="00C15E08"/>
    <w:rsid w:val="00C15F47"/>
    <w:rsid w:val="00C1607C"/>
    <w:rsid w:val="00C16091"/>
    <w:rsid w:val="00C161CB"/>
    <w:rsid w:val="00C163BE"/>
    <w:rsid w:val="00C1656F"/>
    <w:rsid w:val="00C16696"/>
    <w:rsid w:val="00C166AC"/>
    <w:rsid w:val="00C16A38"/>
    <w:rsid w:val="00C16B8F"/>
    <w:rsid w:val="00C16D97"/>
    <w:rsid w:val="00C16EBF"/>
    <w:rsid w:val="00C16F7F"/>
    <w:rsid w:val="00C17208"/>
    <w:rsid w:val="00C175C4"/>
    <w:rsid w:val="00C17641"/>
    <w:rsid w:val="00C17782"/>
    <w:rsid w:val="00C179CB"/>
    <w:rsid w:val="00C179D9"/>
    <w:rsid w:val="00C17AFA"/>
    <w:rsid w:val="00C17C89"/>
    <w:rsid w:val="00C17CE9"/>
    <w:rsid w:val="00C17FC8"/>
    <w:rsid w:val="00C20121"/>
    <w:rsid w:val="00C20353"/>
    <w:rsid w:val="00C2035E"/>
    <w:rsid w:val="00C203D4"/>
    <w:rsid w:val="00C20656"/>
    <w:rsid w:val="00C20850"/>
    <w:rsid w:val="00C20883"/>
    <w:rsid w:val="00C208D6"/>
    <w:rsid w:val="00C2095D"/>
    <w:rsid w:val="00C20992"/>
    <w:rsid w:val="00C20A27"/>
    <w:rsid w:val="00C20ACD"/>
    <w:rsid w:val="00C20B36"/>
    <w:rsid w:val="00C20C9E"/>
    <w:rsid w:val="00C20E15"/>
    <w:rsid w:val="00C20EE6"/>
    <w:rsid w:val="00C2101B"/>
    <w:rsid w:val="00C21168"/>
    <w:rsid w:val="00C212A1"/>
    <w:rsid w:val="00C2132A"/>
    <w:rsid w:val="00C21805"/>
    <w:rsid w:val="00C21906"/>
    <w:rsid w:val="00C21A41"/>
    <w:rsid w:val="00C21C46"/>
    <w:rsid w:val="00C21CD4"/>
    <w:rsid w:val="00C21CE3"/>
    <w:rsid w:val="00C21E2B"/>
    <w:rsid w:val="00C21F96"/>
    <w:rsid w:val="00C21FD2"/>
    <w:rsid w:val="00C2200C"/>
    <w:rsid w:val="00C22048"/>
    <w:rsid w:val="00C22145"/>
    <w:rsid w:val="00C22512"/>
    <w:rsid w:val="00C2278A"/>
    <w:rsid w:val="00C22B30"/>
    <w:rsid w:val="00C22F53"/>
    <w:rsid w:val="00C230B3"/>
    <w:rsid w:val="00C231D8"/>
    <w:rsid w:val="00C23264"/>
    <w:rsid w:val="00C23325"/>
    <w:rsid w:val="00C233F9"/>
    <w:rsid w:val="00C23460"/>
    <w:rsid w:val="00C23505"/>
    <w:rsid w:val="00C237EA"/>
    <w:rsid w:val="00C239E3"/>
    <w:rsid w:val="00C23EA0"/>
    <w:rsid w:val="00C23F2F"/>
    <w:rsid w:val="00C23F79"/>
    <w:rsid w:val="00C23F98"/>
    <w:rsid w:val="00C24113"/>
    <w:rsid w:val="00C24639"/>
    <w:rsid w:val="00C246F1"/>
    <w:rsid w:val="00C247F8"/>
    <w:rsid w:val="00C24803"/>
    <w:rsid w:val="00C24882"/>
    <w:rsid w:val="00C24B87"/>
    <w:rsid w:val="00C24C09"/>
    <w:rsid w:val="00C24C41"/>
    <w:rsid w:val="00C24F7E"/>
    <w:rsid w:val="00C25042"/>
    <w:rsid w:val="00C250FA"/>
    <w:rsid w:val="00C2525E"/>
    <w:rsid w:val="00C25260"/>
    <w:rsid w:val="00C25458"/>
    <w:rsid w:val="00C2545F"/>
    <w:rsid w:val="00C2556C"/>
    <w:rsid w:val="00C2557C"/>
    <w:rsid w:val="00C258AC"/>
    <w:rsid w:val="00C259DF"/>
    <w:rsid w:val="00C25D8F"/>
    <w:rsid w:val="00C26144"/>
    <w:rsid w:val="00C2621E"/>
    <w:rsid w:val="00C2630F"/>
    <w:rsid w:val="00C26389"/>
    <w:rsid w:val="00C26A73"/>
    <w:rsid w:val="00C26A98"/>
    <w:rsid w:val="00C26ABE"/>
    <w:rsid w:val="00C26AD2"/>
    <w:rsid w:val="00C26BFC"/>
    <w:rsid w:val="00C26CAB"/>
    <w:rsid w:val="00C26D91"/>
    <w:rsid w:val="00C26DF1"/>
    <w:rsid w:val="00C26E2F"/>
    <w:rsid w:val="00C2703C"/>
    <w:rsid w:val="00C27283"/>
    <w:rsid w:val="00C27370"/>
    <w:rsid w:val="00C27426"/>
    <w:rsid w:val="00C27461"/>
    <w:rsid w:val="00C2768B"/>
    <w:rsid w:val="00C276B9"/>
    <w:rsid w:val="00C276BE"/>
    <w:rsid w:val="00C276D6"/>
    <w:rsid w:val="00C2774C"/>
    <w:rsid w:val="00C27839"/>
    <w:rsid w:val="00C278FD"/>
    <w:rsid w:val="00C27B46"/>
    <w:rsid w:val="00C27BB8"/>
    <w:rsid w:val="00C27E78"/>
    <w:rsid w:val="00C27F55"/>
    <w:rsid w:val="00C30115"/>
    <w:rsid w:val="00C3021F"/>
    <w:rsid w:val="00C30297"/>
    <w:rsid w:val="00C30427"/>
    <w:rsid w:val="00C3049F"/>
    <w:rsid w:val="00C3053F"/>
    <w:rsid w:val="00C3054C"/>
    <w:rsid w:val="00C305B4"/>
    <w:rsid w:val="00C3062A"/>
    <w:rsid w:val="00C3067B"/>
    <w:rsid w:val="00C3080A"/>
    <w:rsid w:val="00C308E2"/>
    <w:rsid w:val="00C3094C"/>
    <w:rsid w:val="00C30D44"/>
    <w:rsid w:val="00C30E8D"/>
    <w:rsid w:val="00C310E5"/>
    <w:rsid w:val="00C31133"/>
    <w:rsid w:val="00C31137"/>
    <w:rsid w:val="00C31258"/>
    <w:rsid w:val="00C31374"/>
    <w:rsid w:val="00C3139F"/>
    <w:rsid w:val="00C313F2"/>
    <w:rsid w:val="00C3142C"/>
    <w:rsid w:val="00C31695"/>
    <w:rsid w:val="00C31736"/>
    <w:rsid w:val="00C3176F"/>
    <w:rsid w:val="00C317D8"/>
    <w:rsid w:val="00C31A7A"/>
    <w:rsid w:val="00C31CAF"/>
    <w:rsid w:val="00C31D92"/>
    <w:rsid w:val="00C31DC0"/>
    <w:rsid w:val="00C31E90"/>
    <w:rsid w:val="00C32107"/>
    <w:rsid w:val="00C32147"/>
    <w:rsid w:val="00C32299"/>
    <w:rsid w:val="00C322B0"/>
    <w:rsid w:val="00C32372"/>
    <w:rsid w:val="00C323D7"/>
    <w:rsid w:val="00C324C6"/>
    <w:rsid w:val="00C325AC"/>
    <w:rsid w:val="00C327BD"/>
    <w:rsid w:val="00C328FB"/>
    <w:rsid w:val="00C3290F"/>
    <w:rsid w:val="00C329A1"/>
    <w:rsid w:val="00C32AFB"/>
    <w:rsid w:val="00C32B71"/>
    <w:rsid w:val="00C32B75"/>
    <w:rsid w:val="00C32D41"/>
    <w:rsid w:val="00C32DE4"/>
    <w:rsid w:val="00C32E76"/>
    <w:rsid w:val="00C32EA2"/>
    <w:rsid w:val="00C32EC2"/>
    <w:rsid w:val="00C32F32"/>
    <w:rsid w:val="00C33011"/>
    <w:rsid w:val="00C33135"/>
    <w:rsid w:val="00C3338C"/>
    <w:rsid w:val="00C334C1"/>
    <w:rsid w:val="00C33677"/>
    <w:rsid w:val="00C3367D"/>
    <w:rsid w:val="00C3375E"/>
    <w:rsid w:val="00C33798"/>
    <w:rsid w:val="00C3379E"/>
    <w:rsid w:val="00C337DD"/>
    <w:rsid w:val="00C33984"/>
    <w:rsid w:val="00C33C4D"/>
    <w:rsid w:val="00C33C76"/>
    <w:rsid w:val="00C33D47"/>
    <w:rsid w:val="00C33E5F"/>
    <w:rsid w:val="00C33E8D"/>
    <w:rsid w:val="00C33EEB"/>
    <w:rsid w:val="00C33FE1"/>
    <w:rsid w:val="00C3427E"/>
    <w:rsid w:val="00C3447F"/>
    <w:rsid w:val="00C34506"/>
    <w:rsid w:val="00C3453C"/>
    <w:rsid w:val="00C346E9"/>
    <w:rsid w:val="00C34C4B"/>
    <w:rsid w:val="00C34CCC"/>
    <w:rsid w:val="00C34D10"/>
    <w:rsid w:val="00C34E50"/>
    <w:rsid w:val="00C34F2F"/>
    <w:rsid w:val="00C35058"/>
    <w:rsid w:val="00C35086"/>
    <w:rsid w:val="00C3539F"/>
    <w:rsid w:val="00C3552C"/>
    <w:rsid w:val="00C3558F"/>
    <w:rsid w:val="00C3566F"/>
    <w:rsid w:val="00C35976"/>
    <w:rsid w:val="00C35A30"/>
    <w:rsid w:val="00C35AEC"/>
    <w:rsid w:val="00C35D53"/>
    <w:rsid w:val="00C35FCF"/>
    <w:rsid w:val="00C36061"/>
    <w:rsid w:val="00C360D4"/>
    <w:rsid w:val="00C360FE"/>
    <w:rsid w:val="00C361FA"/>
    <w:rsid w:val="00C362AF"/>
    <w:rsid w:val="00C362FE"/>
    <w:rsid w:val="00C36625"/>
    <w:rsid w:val="00C366EA"/>
    <w:rsid w:val="00C36760"/>
    <w:rsid w:val="00C36A5A"/>
    <w:rsid w:val="00C36B27"/>
    <w:rsid w:val="00C36C02"/>
    <w:rsid w:val="00C36D30"/>
    <w:rsid w:val="00C36EC0"/>
    <w:rsid w:val="00C36EDF"/>
    <w:rsid w:val="00C36F1A"/>
    <w:rsid w:val="00C370DE"/>
    <w:rsid w:val="00C371EE"/>
    <w:rsid w:val="00C3740A"/>
    <w:rsid w:val="00C3746E"/>
    <w:rsid w:val="00C37492"/>
    <w:rsid w:val="00C374F5"/>
    <w:rsid w:val="00C37629"/>
    <w:rsid w:val="00C37640"/>
    <w:rsid w:val="00C37A18"/>
    <w:rsid w:val="00C37A52"/>
    <w:rsid w:val="00C37D71"/>
    <w:rsid w:val="00C37E2F"/>
    <w:rsid w:val="00C37FC2"/>
    <w:rsid w:val="00C400F2"/>
    <w:rsid w:val="00C400FC"/>
    <w:rsid w:val="00C4011E"/>
    <w:rsid w:val="00C401CA"/>
    <w:rsid w:val="00C40253"/>
    <w:rsid w:val="00C40299"/>
    <w:rsid w:val="00C4033C"/>
    <w:rsid w:val="00C403B2"/>
    <w:rsid w:val="00C40584"/>
    <w:rsid w:val="00C4080A"/>
    <w:rsid w:val="00C409A3"/>
    <w:rsid w:val="00C409EA"/>
    <w:rsid w:val="00C40B37"/>
    <w:rsid w:val="00C40CF6"/>
    <w:rsid w:val="00C41169"/>
    <w:rsid w:val="00C4118E"/>
    <w:rsid w:val="00C4127E"/>
    <w:rsid w:val="00C412DB"/>
    <w:rsid w:val="00C41329"/>
    <w:rsid w:val="00C413C3"/>
    <w:rsid w:val="00C415D1"/>
    <w:rsid w:val="00C415E2"/>
    <w:rsid w:val="00C416AE"/>
    <w:rsid w:val="00C417C5"/>
    <w:rsid w:val="00C41880"/>
    <w:rsid w:val="00C41B24"/>
    <w:rsid w:val="00C41CC8"/>
    <w:rsid w:val="00C41D4D"/>
    <w:rsid w:val="00C41E1F"/>
    <w:rsid w:val="00C41EEF"/>
    <w:rsid w:val="00C41EF8"/>
    <w:rsid w:val="00C42208"/>
    <w:rsid w:val="00C422C5"/>
    <w:rsid w:val="00C4246B"/>
    <w:rsid w:val="00C4286E"/>
    <w:rsid w:val="00C429EA"/>
    <w:rsid w:val="00C42A09"/>
    <w:rsid w:val="00C42A67"/>
    <w:rsid w:val="00C42ABB"/>
    <w:rsid w:val="00C42B76"/>
    <w:rsid w:val="00C42C6C"/>
    <w:rsid w:val="00C42CBD"/>
    <w:rsid w:val="00C42DDF"/>
    <w:rsid w:val="00C42DFB"/>
    <w:rsid w:val="00C42E2E"/>
    <w:rsid w:val="00C42F31"/>
    <w:rsid w:val="00C43185"/>
    <w:rsid w:val="00C43346"/>
    <w:rsid w:val="00C435DC"/>
    <w:rsid w:val="00C435F3"/>
    <w:rsid w:val="00C436FE"/>
    <w:rsid w:val="00C43711"/>
    <w:rsid w:val="00C437F1"/>
    <w:rsid w:val="00C438C6"/>
    <w:rsid w:val="00C43A4B"/>
    <w:rsid w:val="00C44207"/>
    <w:rsid w:val="00C44236"/>
    <w:rsid w:val="00C442A1"/>
    <w:rsid w:val="00C44466"/>
    <w:rsid w:val="00C444DC"/>
    <w:rsid w:val="00C44607"/>
    <w:rsid w:val="00C44636"/>
    <w:rsid w:val="00C446E0"/>
    <w:rsid w:val="00C44728"/>
    <w:rsid w:val="00C4479B"/>
    <w:rsid w:val="00C4480B"/>
    <w:rsid w:val="00C44947"/>
    <w:rsid w:val="00C449BC"/>
    <w:rsid w:val="00C449C4"/>
    <w:rsid w:val="00C44B59"/>
    <w:rsid w:val="00C44D4A"/>
    <w:rsid w:val="00C44F8D"/>
    <w:rsid w:val="00C4523D"/>
    <w:rsid w:val="00C45423"/>
    <w:rsid w:val="00C45497"/>
    <w:rsid w:val="00C454AF"/>
    <w:rsid w:val="00C454BB"/>
    <w:rsid w:val="00C45618"/>
    <w:rsid w:val="00C45666"/>
    <w:rsid w:val="00C4583B"/>
    <w:rsid w:val="00C4586A"/>
    <w:rsid w:val="00C459B4"/>
    <w:rsid w:val="00C45E94"/>
    <w:rsid w:val="00C45F9F"/>
    <w:rsid w:val="00C46122"/>
    <w:rsid w:val="00C46174"/>
    <w:rsid w:val="00C461D6"/>
    <w:rsid w:val="00C46410"/>
    <w:rsid w:val="00C4649A"/>
    <w:rsid w:val="00C46547"/>
    <w:rsid w:val="00C46630"/>
    <w:rsid w:val="00C4676F"/>
    <w:rsid w:val="00C46A7E"/>
    <w:rsid w:val="00C46A9C"/>
    <w:rsid w:val="00C46AA8"/>
    <w:rsid w:val="00C46ADE"/>
    <w:rsid w:val="00C46D0E"/>
    <w:rsid w:val="00C46F5A"/>
    <w:rsid w:val="00C46FFD"/>
    <w:rsid w:val="00C4712F"/>
    <w:rsid w:val="00C471AA"/>
    <w:rsid w:val="00C4759D"/>
    <w:rsid w:val="00C475CF"/>
    <w:rsid w:val="00C47651"/>
    <w:rsid w:val="00C4772B"/>
    <w:rsid w:val="00C47AAF"/>
    <w:rsid w:val="00C47B4F"/>
    <w:rsid w:val="00C47B76"/>
    <w:rsid w:val="00C47BF1"/>
    <w:rsid w:val="00C47C5A"/>
    <w:rsid w:val="00C47C82"/>
    <w:rsid w:val="00C47D5D"/>
    <w:rsid w:val="00C47E3A"/>
    <w:rsid w:val="00C5001B"/>
    <w:rsid w:val="00C500FF"/>
    <w:rsid w:val="00C5024A"/>
    <w:rsid w:val="00C502C8"/>
    <w:rsid w:val="00C50488"/>
    <w:rsid w:val="00C504A5"/>
    <w:rsid w:val="00C504D5"/>
    <w:rsid w:val="00C504ED"/>
    <w:rsid w:val="00C5051E"/>
    <w:rsid w:val="00C506C6"/>
    <w:rsid w:val="00C5073B"/>
    <w:rsid w:val="00C508BD"/>
    <w:rsid w:val="00C50A5C"/>
    <w:rsid w:val="00C50AA6"/>
    <w:rsid w:val="00C50AD4"/>
    <w:rsid w:val="00C50B24"/>
    <w:rsid w:val="00C50D53"/>
    <w:rsid w:val="00C50EA9"/>
    <w:rsid w:val="00C50FCD"/>
    <w:rsid w:val="00C50FFB"/>
    <w:rsid w:val="00C5103E"/>
    <w:rsid w:val="00C511C9"/>
    <w:rsid w:val="00C511FE"/>
    <w:rsid w:val="00C5138F"/>
    <w:rsid w:val="00C5173E"/>
    <w:rsid w:val="00C5182E"/>
    <w:rsid w:val="00C518BB"/>
    <w:rsid w:val="00C51927"/>
    <w:rsid w:val="00C51BBD"/>
    <w:rsid w:val="00C51DB8"/>
    <w:rsid w:val="00C51DD1"/>
    <w:rsid w:val="00C5214C"/>
    <w:rsid w:val="00C52500"/>
    <w:rsid w:val="00C525C3"/>
    <w:rsid w:val="00C526CF"/>
    <w:rsid w:val="00C52990"/>
    <w:rsid w:val="00C52B43"/>
    <w:rsid w:val="00C52CDD"/>
    <w:rsid w:val="00C52D5C"/>
    <w:rsid w:val="00C52D69"/>
    <w:rsid w:val="00C52DDA"/>
    <w:rsid w:val="00C52E43"/>
    <w:rsid w:val="00C52E49"/>
    <w:rsid w:val="00C52EFF"/>
    <w:rsid w:val="00C52F8F"/>
    <w:rsid w:val="00C52FB8"/>
    <w:rsid w:val="00C53042"/>
    <w:rsid w:val="00C53299"/>
    <w:rsid w:val="00C533B8"/>
    <w:rsid w:val="00C534F5"/>
    <w:rsid w:val="00C53784"/>
    <w:rsid w:val="00C537B0"/>
    <w:rsid w:val="00C5385F"/>
    <w:rsid w:val="00C53ACA"/>
    <w:rsid w:val="00C53D59"/>
    <w:rsid w:val="00C53E09"/>
    <w:rsid w:val="00C53E22"/>
    <w:rsid w:val="00C53E68"/>
    <w:rsid w:val="00C53E85"/>
    <w:rsid w:val="00C53F78"/>
    <w:rsid w:val="00C541E8"/>
    <w:rsid w:val="00C54281"/>
    <w:rsid w:val="00C5443C"/>
    <w:rsid w:val="00C545F7"/>
    <w:rsid w:val="00C5460C"/>
    <w:rsid w:val="00C54671"/>
    <w:rsid w:val="00C5483B"/>
    <w:rsid w:val="00C54966"/>
    <w:rsid w:val="00C54A01"/>
    <w:rsid w:val="00C54B60"/>
    <w:rsid w:val="00C54D33"/>
    <w:rsid w:val="00C54DE9"/>
    <w:rsid w:val="00C54E4E"/>
    <w:rsid w:val="00C552FE"/>
    <w:rsid w:val="00C55508"/>
    <w:rsid w:val="00C555A3"/>
    <w:rsid w:val="00C55635"/>
    <w:rsid w:val="00C556D0"/>
    <w:rsid w:val="00C55762"/>
    <w:rsid w:val="00C55A7A"/>
    <w:rsid w:val="00C55AAE"/>
    <w:rsid w:val="00C55B9C"/>
    <w:rsid w:val="00C56124"/>
    <w:rsid w:val="00C56330"/>
    <w:rsid w:val="00C565FD"/>
    <w:rsid w:val="00C56608"/>
    <w:rsid w:val="00C56889"/>
    <w:rsid w:val="00C56943"/>
    <w:rsid w:val="00C569A9"/>
    <w:rsid w:val="00C569CC"/>
    <w:rsid w:val="00C56C9E"/>
    <w:rsid w:val="00C56D1E"/>
    <w:rsid w:val="00C56D37"/>
    <w:rsid w:val="00C5727F"/>
    <w:rsid w:val="00C5730B"/>
    <w:rsid w:val="00C57859"/>
    <w:rsid w:val="00C5788F"/>
    <w:rsid w:val="00C57892"/>
    <w:rsid w:val="00C57C36"/>
    <w:rsid w:val="00C57C5A"/>
    <w:rsid w:val="00C57C99"/>
    <w:rsid w:val="00C57CC7"/>
    <w:rsid w:val="00C57D58"/>
    <w:rsid w:val="00C60134"/>
    <w:rsid w:val="00C60236"/>
    <w:rsid w:val="00C60288"/>
    <w:rsid w:val="00C60461"/>
    <w:rsid w:val="00C6071C"/>
    <w:rsid w:val="00C6089F"/>
    <w:rsid w:val="00C608D3"/>
    <w:rsid w:val="00C60B2E"/>
    <w:rsid w:val="00C60F8A"/>
    <w:rsid w:val="00C60FE3"/>
    <w:rsid w:val="00C61032"/>
    <w:rsid w:val="00C61094"/>
    <w:rsid w:val="00C6121F"/>
    <w:rsid w:val="00C61226"/>
    <w:rsid w:val="00C612D2"/>
    <w:rsid w:val="00C616B7"/>
    <w:rsid w:val="00C617FA"/>
    <w:rsid w:val="00C61801"/>
    <w:rsid w:val="00C6192B"/>
    <w:rsid w:val="00C61AB0"/>
    <w:rsid w:val="00C61C14"/>
    <w:rsid w:val="00C61C2E"/>
    <w:rsid w:val="00C61D2B"/>
    <w:rsid w:val="00C61D74"/>
    <w:rsid w:val="00C61E00"/>
    <w:rsid w:val="00C61ED4"/>
    <w:rsid w:val="00C61F7F"/>
    <w:rsid w:val="00C620C9"/>
    <w:rsid w:val="00C62153"/>
    <w:rsid w:val="00C6221C"/>
    <w:rsid w:val="00C62257"/>
    <w:rsid w:val="00C622BA"/>
    <w:rsid w:val="00C623C3"/>
    <w:rsid w:val="00C62504"/>
    <w:rsid w:val="00C6276D"/>
    <w:rsid w:val="00C627EE"/>
    <w:rsid w:val="00C6285F"/>
    <w:rsid w:val="00C62973"/>
    <w:rsid w:val="00C629BA"/>
    <w:rsid w:val="00C62A61"/>
    <w:rsid w:val="00C62B04"/>
    <w:rsid w:val="00C62B44"/>
    <w:rsid w:val="00C62BF5"/>
    <w:rsid w:val="00C62D59"/>
    <w:rsid w:val="00C62F76"/>
    <w:rsid w:val="00C630BA"/>
    <w:rsid w:val="00C63469"/>
    <w:rsid w:val="00C634CB"/>
    <w:rsid w:val="00C634DF"/>
    <w:rsid w:val="00C6356C"/>
    <w:rsid w:val="00C63585"/>
    <w:rsid w:val="00C6365C"/>
    <w:rsid w:val="00C63914"/>
    <w:rsid w:val="00C63927"/>
    <w:rsid w:val="00C63BDC"/>
    <w:rsid w:val="00C63C4F"/>
    <w:rsid w:val="00C63CC2"/>
    <w:rsid w:val="00C63E0D"/>
    <w:rsid w:val="00C63E0F"/>
    <w:rsid w:val="00C63F62"/>
    <w:rsid w:val="00C63F6C"/>
    <w:rsid w:val="00C64365"/>
    <w:rsid w:val="00C64401"/>
    <w:rsid w:val="00C6451A"/>
    <w:rsid w:val="00C645D5"/>
    <w:rsid w:val="00C647BC"/>
    <w:rsid w:val="00C64819"/>
    <w:rsid w:val="00C6490E"/>
    <w:rsid w:val="00C64C61"/>
    <w:rsid w:val="00C64DD2"/>
    <w:rsid w:val="00C64E4A"/>
    <w:rsid w:val="00C64E6B"/>
    <w:rsid w:val="00C64EDF"/>
    <w:rsid w:val="00C64EE1"/>
    <w:rsid w:val="00C64EF7"/>
    <w:rsid w:val="00C64F43"/>
    <w:rsid w:val="00C65259"/>
    <w:rsid w:val="00C655DE"/>
    <w:rsid w:val="00C65605"/>
    <w:rsid w:val="00C65693"/>
    <w:rsid w:val="00C65727"/>
    <w:rsid w:val="00C65762"/>
    <w:rsid w:val="00C6578F"/>
    <w:rsid w:val="00C657BF"/>
    <w:rsid w:val="00C6599A"/>
    <w:rsid w:val="00C65B33"/>
    <w:rsid w:val="00C65D70"/>
    <w:rsid w:val="00C65EC9"/>
    <w:rsid w:val="00C65EED"/>
    <w:rsid w:val="00C660CE"/>
    <w:rsid w:val="00C660EC"/>
    <w:rsid w:val="00C66188"/>
    <w:rsid w:val="00C661EF"/>
    <w:rsid w:val="00C662AA"/>
    <w:rsid w:val="00C663AB"/>
    <w:rsid w:val="00C663B5"/>
    <w:rsid w:val="00C663B6"/>
    <w:rsid w:val="00C66404"/>
    <w:rsid w:val="00C66410"/>
    <w:rsid w:val="00C66496"/>
    <w:rsid w:val="00C666E5"/>
    <w:rsid w:val="00C66B47"/>
    <w:rsid w:val="00C66C18"/>
    <w:rsid w:val="00C66C41"/>
    <w:rsid w:val="00C66CD4"/>
    <w:rsid w:val="00C66CEF"/>
    <w:rsid w:val="00C66D46"/>
    <w:rsid w:val="00C66FF8"/>
    <w:rsid w:val="00C6709F"/>
    <w:rsid w:val="00C670A3"/>
    <w:rsid w:val="00C670FE"/>
    <w:rsid w:val="00C67377"/>
    <w:rsid w:val="00C6754D"/>
    <w:rsid w:val="00C67590"/>
    <w:rsid w:val="00C6777D"/>
    <w:rsid w:val="00C67835"/>
    <w:rsid w:val="00C678BC"/>
    <w:rsid w:val="00C679EC"/>
    <w:rsid w:val="00C67BCD"/>
    <w:rsid w:val="00C67BDF"/>
    <w:rsid w:val="00C67C09"/>
    <w:rsid w:val="00C67D90"/>
    <w:rsid w:val="00C67FD6"/>
    <w:rsid w:val="00C700A1"/>
    <w:rsid w:val="00C70191"/>
    <w:rsid w:val="00C705F0"/>
    <w:rsid w:val="00C7086E"/>
    <w:rsid w:val="00C709A1"/>
    <w:rsid w:val="00C70A31"/>
    <w:rsid w:val="00C70B31"/>
    <w:rsid w:val="00C70B8E"/>
    <w:rsid w:val="00C70C37"/>
    <w:rsid w:val="00C70DD4"/>
    <w:rsid w:val="00C70DEA"/>
    <w:rsid w:val="00C70F52"/>
    <w:rsid w:val="00C710C3"/>
    <w:rsid w:val="00C7117F"/>
    <w:rsid w:val="00C711D7"/>
    <w:rsid w:val="00C71269"/>
    <w:rsid w:val="00C71328"/>
    <w:rsid w:val="00C7134A"/>
    <w:rsid w:val="00C71354"/>
    <w:rsid w:val="00C7161C"/>
    <w:rsid w:val="00C71668"/>
    <w:rsid w:val="00C71718"/>
    <w:rsid w:val="00C717E3"/>
    <w:rsid w:val="00C71911"/>
    <w:rsid w:val="00C71A7B"/>
    <w:rsid w:val="00C71A96"/>
    <w:rsid w:val="00C71AE1"/>
    <w:rsid w:val="00C71C03"/>
    <w:rsid w:val="00C71CA1"/>
    <w:rsid w:val="00C71D81"/>
    <w:rsid w:val="00C72015"/>
    <w:rsid w:val="00C723FC"/>
    <w:rsid w:val="00C72439"/>
    <w:rsid w:val="00C72464"/>
    <w:rsid w:val="00C72481"/>
    <w:rsid w:val="00C7258D"/>
    <w:rsid w:val="00C72665"/>
    <w:rsid w:val="00C7272C"/>
    <w:rsid w:val="00C728B8"/>
    <w:rsid w:val="00C729F6"/>
    <w:rsid w:val="00C72A74"/>
    <w:rsid w:val="00C72B8B"/>
    <w:rsid w:val="00C72BFC"/>
    <w:rsid w:val="00C72C0A"/>
    <w:rsid w:val="00C72CAB"/>
    <w:rsid w:val="00C72CE2"/>
    <w:rsid w:val="00C72FC0"/>
    <w:rsid w:val="00C730E0"/>
    <w:rsid w:val="00C7312A"/>
    <w:rsid w:val="00C73130"/>
    <w:rsid w:val="00C7317D"/>
    <w:rsid w:val="00C7323D"/>
    <w:rsid w:val="00C7331F"/>
    <w:rsid w:val="00C733FE"/>
    <w:rsid w:val="00C73427"/>
    <w:rsid w:val="00C73755"/>
    <w:rsid w:val="00C7382C"/>
    <w:rsid w:val="00C738D7"/>
    <w:rsid w:val="00C739DA"/>
    <w:rsid w:val="00C73AA5"/>
    <w:rsid w:val="00C73B62"/>
    <w:rsid w:val="00C73B67"/>
    <w:rsid w:val="00C73B81"/>
    <w:rsid w:val="00C73C70"/>
    <w:rsid w:val="00C73CE1"/>
    <w:rsid w:val="00C73EED"/>
    <w:rsid w:val="00C73F4E"/>
    <w:rsid w:val="00C7408F"/>
    <w:rsid w:val="00C741EB"/>
    <w:rsid w:val="00C742F8"/>
    <w:rsid w:val="00C7457F"/>
    <w:rsid w:val="00C747C7"/>
    <w:rsid w:val="00C747D7"/>
    <w:rsid w:val="00C74A59"/>
    <w:rsid w:val="00C74A5C"/>
    <w:rsid w:val="00C74CBD"/>
    <w:rsid w:val="00C74EF8"/>
    <w:rsid w:val="00C7541D"/>
    <w:rsid w:val="00C7547D"/>
    <w:rsid w:val="00C755F8"/>
    <w:rsid w:val="00C756E6"/>
    <w:rsid w:val="00C757FA"/>
    <w:rsid w:val="00C7583A"/>
    <w:rsid w:val="00C75A43"/>
    <w:rsid w:val="00C75AF5"/>
    <w:rsid w:val="00C75C17"/>
    <w:rsid w:val="00C75CAF"/>
    <w:rsid w:val="00C75D8F"/>
    <w:rsid w:val="00C75E16"/>
    <w:rsid w:val="00C75EAB"/>
    <w:rsid w:val="00C761A4"/>
    <w:rsid w:val="00C76258"/>
    <w:rsid w:val="00C762C5"/>
    <w:rsid w:val="00C763A2"/>
    <w:rsid w:val="00C763D1"/>
    <w:rsid w:val="00C7646B"/>
    <w:rsid w:val="00C76531"/>
    <w:rsid w:val="00C76645"/>
    <w:rsid w:val="00C7665F"/>
    <w:rsid w:val="00C76693"/>
    <w:rsid w:val="00C766B1"/>
    <w:rsid w:val="00C76968"/>
    <w:rsid w:val="00C769F8"/>
    <w:rsid w:val="00C76F90"/>
    <w:rsid w:val="00C7700F"/>
    <w:rsid w:val="00C7706D"/>
    <w:rsid w:val="00C77091"/>
    <w:rsid w:val="00C770A9"/>
    <w:rsid w:val="00C77605"/>
    <w:rsid w:val="00C77702"/>
    <w:rsid w:val="00C77997"/>
    <w:rsid w:val="00C77ACB"/>
    <w:rsid w:val="00C77C1E"/>
    <w:rsid w:val="00C77C29"/>
    <w:rsid w:val="00C77C39"/>
    <w:rsid w:val="00C77C9C"/>
    <w:rsid w:val="00C77D99"/>
    <w:rsid w:val="00C77EA4"/>
    <w:rsid w:val="00C77EBE"/>
    <w:rsid w:val="00C80061"/>
    <w:rsid w:val="00C8018D"/>
    <w:rsid w:val="00C804FE"/>
    <w:rsid w:val="00C80A40"/>
    <w:rsid w:val="00C80B11"/>
    <w:rsid w:val="00C80B4E"/>
    <w:rsid w:val="00C80B7E"/>
    <w:rsid w:val="00C80C8A"/>
    <w:rsid w:val="00C80D0C"/>
    <w:rsid w:val="00C80D28"/>
    <w:rsid w:val="00C80DAD"/>
    <w:rsid w:val="00C8138D"/>
    <w:rsid w:val="00C81541"/>
    <w:rsid w:val="00C81557"/>
    <w:rsid w:val="00C8160A"/>
    <w:rsid w:val="00C81699"/>
    <w:rsid w:val="00C817A1"/>
    <w:rsid w:val="00C817B8"/>
    <w:rsid w:val="00C8181A"/>
    <w:rsid w:val="00C818AB"/>
    <w:rsid w:val="00C818E4"/>
    <w:rsid w:val="00C81973"/>
    <w:rsid w:val="00C819C2"/>
    <w:rsid w:val="00C81A43"/>
    <w:rsid w:val="00C81B1A"/>
    <w:rsid w:val="00C81C44"/>
    <w:rsid w:val="00C81CA8"/>
    <w:rsid w:val="00C81D50"/>
    <w:rsid w:val="00C81DDC"/>
    <w:rsid w:val="00C81DEC"/>
    <w:rsid w:val="00C81E33"/>
    <w:rsid w:val="00C81F68"/>
    <w:rsid w:val="00C81F7A"/>
    <w:rsid w:val="00C8214F"/>
    <w:rsid w:val="00C8219E"/>
    <w:rsid w:val="00C82354"/>
    <w:rsid w:val="00C824DE"/>
    <w:rsid w:val="00C8258A"/>
    <w:rsid w:val="00C825A4"/>
    <w:rsid w:val="00C827CF"/>
    <w:rsid w:val="00C82802"/>
    <w:rsid w:val="00C828E1"/>
    <w:rsid w:val="00C829A4"/>
    <w:rsid w:val="00C829D4"/>
    <w:rsid w:val="00C82A00"/>
    <w:rsid w:val="00C82E88"/>
    <w:rsid w:val="00C82E8D"/>
    <w:rsid w:val="00C83343"/>
    <w:rsid w:val="00C8346C"/>
    <w:rsid w:val="00C83516"/>
    <w:rsid w:val="00C8356E"/>
    <w:rsid w:val="00C835A7"/>
    <w:rsid w:val="00C8367C"/>
    <w:rsid w:val="00C836B9"/>
    <w:rsid w:val="00C836D1"/>
    <w:rsid w:val="00C83797"/>
    <w:rsid w:val="00C83C37"/>
    <w:rsid w:val="00C83E0B"/>
    <w:rsid w:val="00C83EB0"/>
    <w:rsid w:val="00C83ED4"/>
    <w:rsid w:val="00C84135"/>
    <w:rsid w:val="00C841A4"/>
    <w:rsid w:val="00C8485E"/>
    <w:rsid w:val="00C8487E"/>
    <w:rsid w:val="00C848F4"/>
    <w:rsid w:val="00C84A41"/>
    <w:rsid w:val="00C84B4E"/>
    <w:rsid w:val="00C84EF1"/>
    <w:rsid w:val="00C8516F"/>
    <w:rsid w:val="00C851B2"/>
    <w:rsid w:val="00C85283"/>
    <w:rsid w:val="00C85314"/>
    <w:rsid w:val="00C856DD"/>
    <w:rsid w:val="00C85DF8"/>
    <w:rsid w:val="00C85E8F"/>
    <w:rsid w:val="00C85EF1"/>
    <w:rsid w:val="00C85F14"/>
    <w:rsid w:val="00C85F74"/>
    <w:rsid w:val="00C86096"/>
    <w:rsid w:val="00C860D3"/>
    <w:rsid w:val="00C86265"/>
    <w:rsid w:val="00C8647D"/>
    <w:rsid w:val="00C8663B"/>
    <w:rsid w:val="00C8668B"/>
    <w:rsid w:val="00C867FC"/>
    <w:rsid w:val="00C8685E"/>
    <w:rsid w:val="00C86885"/>
    <w:rsid w:val="00C86AD8"/>
    <w:rsid w:val="00C86B64"/>
    <w:rsid w:val="00C86BB7"/>
    <w:rsid w:val="00C86C0B"/>
    <w:rsid w:val="00C86F36"/>
    <w:rsid w:val="00C86F72"/>
    <w:rsid w:val="00C86FDE"/>
    <w:rsid w:val="00C87022"/>
    <w:rsid w:val="00C87082"/>
    <w:rsid w:val="00C871AB"/>
    <w:rsid w:val="00C871F7"/>
    <w:rsid w:val="00C87231"/>
    <w:rsid w:val="00C87285"/>
    <w:rsid w:val="00C873AE"/>
    <w:rsid w:val="00C8749B"/>
    <w:rsid w:val="00C8763A"/>
    <w:rsid w:val="00C8765B"/>
    <w:rsid w:val="00C87822"/>
    <w:rsid w:val="00C879CC"/>
    <w:rsid w:val="00C87ADD"/>
    <w:rsid w:val="00C87B9C"/>
    <w:rsid w:val="00C87BAA"/>
    <w:rsid w:val="00C87C5F"/>
    <w:rsid w:val="00C87D1C"/>
    <w:rsid w:val="00C87ED8"/>
    <w:rsid w:val="00C87F10"/>
    <w:rsid w:val="00C9011D"/>
    <w:rsid w:val="00C901EE"/>
    <w:rsid w:val="00C90554"/>
    <w:rsid w:val="00C905C0"/>
    <w:rsid w:val="00C906CA"/>
    <w:rsid w:val="00C906F2"/>
    <w:rsid w:val="00C9085E"/>
    <w:rsid w:val="00C908B3"/>
    <w:rsid w:val="00C90986"/>
    <w:rsid w:val="00C90AA7"/>
    <w:rsid w:val="00C90F32"/>
    <w:rsid w:val="00C90F90"/>
    <w:rsid w:val="00C9109B"/>
    <w:rsid w:val="00C910E0"/>
    <w:rsid w:val="00C91197"/>
    <w:rsid w:val="00C913E1"/>
    <w:rsid w:val="00C913F3"/>
    <w:rsid w:val="00C91417"/>
    <w:rsid w:val="00C91468"/>
    <w:rsid w:val="00C9154D"/>
    <w:rsid w:val="00C9155F"/>
    <w:rsid w:val="00C915FC"/>
    <w:rsid w:val="00C91771"/>
    <w:rsid w:val="00C918EF"/>
    <w:rsid w:val="00C919D6"/>
    <w:rsid w:val="00C91AA3"/>
    <w:rsid w:val="00C91B91"/>
    <w:rsid w:val="00C91BC7"/>
    <w:rsid w:val="00C91E83"/>
    <w:rsid w:val="00C92016"/>
    <w:rsid w:val="00C92018"/>
    <w:rsid w:val="00C9201F"/>
    <w:rsid w:val="00C92028"/>
    <w:rsid w:val="00C9202F"/>
    <w:rsid w:val="00C9206E"/>
    <w:rsid w:val="00C9216E"/>
    <w:rsid w:val="00C921D1"/>
    <w:rsid w:val="00C92263"/>
    <w:rsid w:val="00C9232F"/>
    <w:rsid w:val="00C92335"/>
    <w:rsid w:val="00C92388"/>
    <w:rsid w:val="00C92430"/>
    <w:rsid w:val="00C92443"/>
    <w:rsid w:val="00C9245F"/>
    <w:rsid w:val="00C924B8"/>
    <w:rsid w:val="00C9261E"/>
    <w:rsid w:val="00C927A7"/>
    <w:rsid w:val="00C92813"/>
    <w:rsid w:val="00C928F1"/>
    <w:rsid w:val="00C929DD"/>
    <w:rsid w:val="00C92B40"/>
    <w:rsid w:val="00C92B8D"/>
    <w:rsid w:val="00C92C21"/>
    <w:rsid w:val="00C92D06"/>
    <w:rsid w:val="00C92F71"/>
    <w:rsid w:val="00C93105"/>
    <w:rsid w:val="00C93379"/>
    <w:rsid w:val="00C9337C"/>
    <w:rsid w:val="00C933F5"/>
    <w:rsid w:val="00C93470"/>
    <w:rsid w:val="00C93635"/>
    <w:rsid w:val="00C9370D"/>
    <w:rsid w:val="00C93813"/>
    <w:rsid w:val="00C93871"/>
    <w:rsid w:val="00C9387E"/>
    <w:rsid w:val="00C939C8"/>
    <w:rsid w:val="00C93A4F"/>
    <w:rsid w:val="00C93B08"/>
    <w:rsid w:val="00C93D3E"/>
    <w:rsid w:val="00C93F1B"/>
    <w:rsid w:val="00C93F1C"/>
    <w:rsid w:val="00C94230"/>
    <w:rsid w:val="00C9442C"/>
    <w:rsid w:val="00C94444"/>
    <w:rsid w:val="00C9457C"/>
    <w:rsid w:val="00C945EE"/>
    <w:rsid w:val="00C945F3"/>
    <w:rsid w:val="00C946A2"/>
    <w:rsid w:val="00C946BD"/>
    <w:rsid w:val="00C9470E"/>
    <w:rsid w:val="00C94790"/>
    <w:rsid w:val="00C947EF"/>
    <w:rsid w:val="00C94A86"/>
    <w:rsid w:val="00C94D7B"/>
    <w:rsid w:val="00C94D9A"/>
    <w:rsid w:val="00C94E87"/>
    <w:rsid w:val="00C950E0"/>
    <w:rsid w:val="00C9530E"/>
    <w:rsid w:val="00C9555D"/>
    <w:rsid w:val="00C9577B"/>
    <w:rsid w:val="00C95A01"/>
    <w:rsid w:val="00C95AA6"/>
    <w:rsid w:val="00C95C82"/>
    <w:rsid w:val="00C95CB3"/>
    <w:rsid w:val="00C95E76"/>
    <w:rsid w:val="00C95F6E"/>
    <w:rsid w:val="00C96229"/>
    <w:rsid w:val="00C9622D"/>
    <w:rsid w:val="00C96599"/>
    <w:rsid w:val="00C9687A"/>
    <w:rsid w:val="00C96952"/>
    <w:rsid w:val="00C96AF2"/>
    <w:rsid w:val="00C96B12"/>
    <w:rsid w:val="00C96B41"/>
    <w:rsid w:val="00C96D4A"/>
    <w:rsid w:val="00C96E34"/>
    <w:rsid w:val="00C97191"/>
    <w:rsid w:val="00C973CF"/>
    <w:rsid w:val="00C97512"/>
    <w:rsid w:val="00C97663"/>
    <w:rsid w:val="00C977B5"/>
    <w:rsid w:val="00C9789B"/>
    <w:rsid w:val="00C979FF"/>
    <w:rsid w:val="00C97B92"/>
    <w:rsid w:val="00C97BCB"/>
    <w:rsid w:val="00C97E24"/>
    <w:rsid w:val="00C97E64"/>
    <w:rsid w:val="00C97E9E"/>
    <w:rsid w:val="00C97FF8"/>
    <w:rsid w:val="00CA00B0"/>
    <w:rsid w:val="00CA00D1"/>
    <w:rsid w:val="00CA00E5"/>
    <w:rsid w:val="00CA01C2"/>
    <w:rsid w:val="00CA0238"/>
    <w:rsid w:val="00CA053B"/>
    <w:rsid w:val="00CA05CF"/>
    <w:rsid w:val="00CA086A"/>
    <w:rsid w:val="00CA0982"/>
    <w:rsid w:val="00CA09AA"/>
    <w:rsid w:val="00CA0DC4"/>
    <w:rsid w:val="00CA10E0"/>
    <w:rsid w:val="00CA11A3"/>
    <w:rsid w:val="00CA121E"/>
    <w:rsid w:val="00CA12BA"/>
    <w:rsid w:val="00CA12FF"/>
    <w:rsid w:val="00CA1367"/>
    <w:rsid w:val="00CA1550"/>
    <w:rsid w:val="00CA16A8"/>
    <w:rsid w:val="00CA1774"/>
    <w:rsid w:val="00CA19FE"/>
    <w:rsid w:val="00CA1C82"/>
    <w:rsid w:val="00CA1D8A"/>
    <w:rsid w:val="00CA1E49"/>
    <w:rsid w:val="00CA1F05"/>
    <w:rsid w:val="00CA21DF"/>
    <w:rsid w:val="00CA23B3"/>
    <w:rsid w:val="00CA23DA"/>
    <w:rsid w:val="00CA271C"/>
    <w:rsid w:val="00CA2763"/>
    <w:rsid w:val="00CA2769"/>
    <w:rsid w:val="00CA2B22"/>
    <w:rsid w:val="00CA2B39"/>
    <w:rsid w:val="00CA2BAA"/>
    <w:rsid w:val="00CA2D5C"/>
    <w:rsid w:val="00CA2DD4"/>
    <w:rsid w:val="00CA2E12"/>
    <w:rsid w:val="00CA2FB2"/>
    <w:rsid w:val="00CA3091"/>
    <w:rsid w:val="00CA30FC"/>
    <w:rsid w:val="00CA32DD"/>
    <w:rsid w:val="00CA33C0"/>
    <w:rsid w:val="00CA3445"/>
    <w:rsid w:val="00CA3452"/>
    <w:rsid w:val="00CA3549"/>
    <w:rsid w:val="00CA35C6"/>
    <w:rsid w:val="00CA37B7"/>
    <w:rsid w:val="00CA3B01"/>
    <w:rsid w:val="00CA3E38"/>
    <w:rsid w:val="00CA3E75"/>
    <w:rsid w:val="00CA3E79"/>
    <w:rsid w:val="00CA3F0B"/>
    <w:rsid w:val="00CA3FE5"/>
    <w:rsid w:val="00CA4061"/>
    <w:rsid w:val="00CA425A"/>
    <w:rsid w:val="00CA4432"/>
    <w:rsid w:val="00CA4461"/>
    <w:rsid w:val="00CA46D6"/>
    <w:rsid w:val="00CA4774"/>
    <w:rsid w:val="00CA4964"/>
    <w:rsid w:val="00CA49F9"/>
    <w:rsid w:val="00CA4A0C"/>
    <w:rsid w:val="00CA4AD1"/>
    <w:rsid w:val="00CA4B5A"/>
    <w:rsid w:val="00CA4BC0"/>
    <w:rsid w:val="00CA4E4E"/>
    <w:rsid w:val="00CA4E95"/>
    <w:rsid w:val="00CA4FFE"/>
    <w:rsid w:val="00CA5013"/>
    <w:rsid w:val="00CA520A"/>
    <w:rsid w:val="00CA525A"/>
    <w:rsid w:val="00CA52D4"/>
    <w:rsid w:val="00CA52DA"/>
    <w:rsid w:val="00CA53BD"/>
    <w:rsid w:val="00CA53D8"/>
    <w:rsid w:val="00CA55DF"/>
    <w:rsid w:val="00CA561F"/>
    <w:rsid w:val="00CA5713"/>
    <w:rsid w:val="00CA5891"/>
    <w:rsid w:val="00CA5BD9"/>
    <w:rsid w:val="00CA5D33"/>
    <w:rsid w:val="00CA5F5A"/>
    <w:rsid w:val="00CA604C"/>
    <w:rsid w:val="00CA6052"/>
    <w:rsid w:val="00CA60A7"/>
    <w:rsid w:val="00CA60C8"/>
    <w:rsid w:val="00CA62C9"/>
    <w:rsid w:val="00CA62EA"/>
    <w:rsid w:val="00CA64A8"/>
    <w:rsid w:val="00CA6668"/>
    <w:rsid w:val="00CA66F3"/>
    <w:rsid w:val="00CA69BA"/>
    <w:rsid w:val="00CA6A54"/>
    <w:rsid w:val="00CA6A5C"/>
    <w:rsid w:val="00CA6A61"/>
    <w:rsid w:val="00CA6C93"/>
    <w:rsid w:val="00CA6EB6"/>
    <w:rsid w:val="00CA6EF8"/>
    <w:rsid w:val="00CA6F34"/>
    <w:rsid w:val="00CA6FF6"/>
    <w:rsid w:val="00CA702E"/>
    <w:rsid w:val="00CA7087"/>
    <w:rsid w:val="00CA70DD"/>
    <w:rsid w:val="00CA712A"/>
    <w:rsid w:val="00CA720A"/>
    <w:rsid w:val="00CA7352"/>
    <w:rsid w:val="00CA75B7"/>
    <w:rsid w:val="00CA764E"/>
    <w:rsid w:val="00CA7919"/>
    <w:rsid w:val="00CA7963"/>
    <w:rsid w:val="00CA7BF4"/>
    <w:rsid w:val="00CA7C8D"/>
    <w:rsid w:val="00CA7E94"/>
    <w:rsid w:val="00CA7F72"/>
    <w:rsid w:val="00CB010A"/>
    <w:rsid w:val="00CB013E"/>
    <w:rsid w:val="00CB02DD"/>
    <w:rsid w:val="00CB040F"/>
    <w:rsid w:val="00CB04D0"/>
    <w:rsid w:val="00CB04F4"/>
    <w:rsid w:val="00CB0567"/>
    <w:rsid w:val="00CB0627"/>
    <w:rsid w:val="00CB0838"/>
    <w:rsid w:val="00CB0AF1"/>
    <w:rsid w:val="00CB116D"/>
    <w:rsid w:val="00CB1188"/>
    <w:rsid w:val="00CB120D"/>
    <w:rsid w:val="00CB1300"/>
    <w:rsid w:val="00CB15D7"/>
    <w:rsid w:val="00CB169C"/>
    <w:rsid w:val="00CB16FD"/>
    <w:rsid w:val="00CB1704"/>
    <w:rsid w:val="00CB18B0"/>
    <w:rsid w:val="00CB1EE0"/>
    <w:rsid w:val="00CB216C"/>
    <w:rsid w:val="00CB218C"/>
    <w:rsid w:val="00CB22EB"/>
    <w:rsid w:val="00CB2310"/>
    <w:rsid w:val="00CB2C0D"/>
    <w:rsid w:val="00CB2DF0"/>
    <w:rsid w:val="00CB2F57"/>
    <w:rsid w:val="00CB3065"/>
    <w:rsid w:val="00CB30C3"/>
    <w:rsid w:val="00CB31C2"/>
    <w:rsid w:val="00CB33A0"/>
    <w:rsid w:val="00CB34E6"/>
    <w:rsid w:val="00CB3749"/>
    <w:rsid w:val="00CB378F"/>
    <w:rsid w:val="00CB3A30"/>
    <w:rsid w:val="00CB3AA0"/>
    <w:rsid w:val="00CB3CAF"/>
    <w:rsid w:val="00CB3CF7"/>
    <w:rsid w:val="00CB3E61"/>
    <w:rsid w:val="00CB4109"/>
    <w:rsid w:val="00CB41A0"/>
    <w:rsid w:val="00CB43B3"/>
    <w:rsid w:val="00CB43D5"/>
    <w:rsid w:val="00CB449A"/>
    <w:rsid w:val="00CB4918"/>
    <w:rsid w:val="00CB4A88"/>
    <w:rsid w:val="00CB4BC1"/>
    <w:rsid w:val="00CB4ECF"/>
    <w:rsid w:val="00CB4F5D"/>
    <w:rsid w:val="00CB5192"/>
    <w:rsid w:val="00CB51AE"/>
    <w:rsid w:val="00CB5226"/>
    <w:rsid w:val="00CB52E4"/>
    <w:rsid w:val="00CB533B"/>
    <w:rsid w:val="00CB536A"/>
    <w:rsid w:val="00CB5433"/>
    <w:rsid w:val="00CB58DB"/>
    <w:rsid w:val="00CB596F"/>
    <w:rsid w:val="00CB5991"/>
    <w:rsid w:val="00CB5AB1"/>
    <w:rsid w:val="00CB5AE2"/>
    <w:rsid w:val="00CB5B28"/>
    <w:rsid w:val="00CB5D46"/>
    <w:rsid w:val="00CB5EEE"/>
    <w:rsid w:val="00CB5F02"/>
    <w:rsid w:val="00CB6176"/>
    <w:rsid w:val="00CB61C7"/>
    <w:rsid w:val="00CB6354"/>
    <w:rsid w:val="00CB647A"/>
    <w:rsid w:val="00CB659D"/>
    <w:rsid w:val="00CB6694"/>
    <w:rsid w:val="00CB6751"/>
    <w:rsid w:val="00CB6806"/>
    <w:rsid w:val="00CB6872"/>
    <w:rsid w:val="00CB6898"/>
    <w:rsid w:val="00CB6ADE"/>
    <w:rsid w:val="00CB6F3E"/>
    <w:rsid w:val="00CB70B1"/>
    <w:rsid w:val="00CB70B8"/>
    <w:rsid w:val="00CB72FE"/>
    <w:rsid w:val="00CB7321"/>
    <w:rsid w:val="00CB7365"/>
    <w:rsid w:val="00CB7610"/>
    <w:rsid w:val="00CB770F"/>
    <w:rsid w:val="00CB787D"/>
    <w:rsid w:val="00CB7946"/>
    <w:rsid w:val="00CB7C71"/>
    <w:rsid w:val="00CB7D4B"/>
    <w:rsid w:val="00CB7DCD"/>
    <w:rsid w:val="00CB7F2A"/>
    <w:rsid w:val="00CC0157"/>
    <w:rsid w:val="00CC01B3"/>
    <w:rsid w:val="00CC01F3"/>
    <w:rsid w:val="00CC033C"/>
    <w:rsid w:val="00CC0379"/>
    <w:rsid w:val="00CC038C"/>
    <w:rsid w:val="00CC03FA"/>
    <w:rsid w:val="00CC08C7"/>
    <w:rsid w:val="00CC0CBF"/>
    <w:rsid w:val="00CC0CE7"/>
    <w:rsid w:val="00CC0E9F"/>
    <w:rsid w:val="00CC1102"/>
    <w:rsid w:val="00CC11B1"/>
    <w:rsid w:val="00CC1282"/>
    <w:rsid w:val="00CC13A0"/>
    <w:rsid w:val="00CC13D3"/>
    <w:rsid w:val="00CC14E8"/>
    <w:rsid w:val="00CC1503"/>
    <w:rsid w:val="00CC1631"/>
    <w:rsid w:val="00CC1940"/>
    <w:rsid w:val="00CC199D"/>
    <w:rsid w:val="00CC1B27"/>
    <w:rsid w:val="00CC1BDD"/>
    <w:rsid w:val="00CC1C7A"/>
    <w:rsid w:val="00CC1CF2"/>
    <w:rsid w:val="00CC1D73"/>
    <w:rsid w:val="00CC1FA4"/>
    <w:rsid w:val="00CC22C3"/>
    <w:rsid w:val="00CC22D8"/>
    <w:rsid w:val="00CC2454"/>
    <w:rsid w:val="00CC2615"/>
    <w:rsid w:val="00CC2660"/>
    <w:rsid w:val="00CC2669"/>
    <w:rsid w:val="00CC2731"/>
    <w:rsid w:val="00CC281A"/>
    <w:rsid w:val="00CC282D"/>
    <w:rsid w:val="00CC284A"/>
    <w:rsid w:val="00CC287E"/>
    <w:rsid w:val="00CC288E"/>
    <w:rsid w:val="00CC296C"/>
    <w:rsid w:val="00CC2A0A"/>
    <w:rsid w:val="00CC2A27"/>
    <w:rsid w:val="00CC2A8C"/>
    <w:rsid w:val="00CC2AC5"/>
    <w:rsid w:val="00CC2CCC"/>
    <w:rsid w:val="00CC2E84"/>
    <w:rsid w:val="00CC2EA5"/>
    <w:rsid w:val="00CC2EC9"/>
    <w:rsid w:val="00CC307C"/>
    <w:rsid w:val="00CC3120"/>
    <w:rsid w:val="00CC316B"/>
    <w:rsid w:val="00CC320D"/>
    <w:rsid w:val="00CC327D"/>
    <w:rsid w:val="00CC32F4"/>
    <w:rsid w:val="00CC34F1"/>
    <w:rsid w:val="00CC3539"/>
    <w:rsid w:val="00CC3607"/>
    <w:rsid w:val="00CC37AA"/>
    <w:rsid w:val="00CC38B3"/>
    <w:rsid w:val="00CC3BCA"/>
    <w:rsid w:val="00CC3C8A"/>
    <w:rsid w:val="00CC3CD9"/>
    <w:rsid w:val="00CC41A1"/>
    <w:rsid w:val="00CC41EE"/>
    <w:rsid w:val="00CC4210"/>
    <w:rsid w:val="00CC4298"/>
    <w:rsid w:val="00CC42CB"/>
    <w:rsid w:val="00CC4380"/>
    <w:rsid w:val="00CC43D3"/>
    <w:rsid w:val="00CC4445"/>
    <w:rsid w:val="00CC4462"/>
    <w:rsid w:val="00CC4586"/>
    <w:rsid w:val="00CC45B1"/>
    <w:rsid w:val="00CC4608"/>
    <w:rsid w:val="00CC460E"/>
    <w:rsid w:val="00CC4820"/>
    <w:rsid w:val="00CC484A"/>
    <w:rsid w:val="00CC48C5"/>
    <w:rsid w:val="00CC4997"/>
    <w:rsid w:val="00CC4AD9"/>
    <w:rsid w:val="00CC4B80"/>
    <w:rsid w:val="00CC4BE9"/>
    <w:rsid w:val="00CC4CA3"/>
    <w:rsid w:val="00CC5058"/>
    <w:rsid w:val="00CC5144"/>
    <w:rsid w:val="00CC5195"/>
    <w:rsid w:val="00CC51A1"/>
    <w:rsid w:val="00CC525A"/>
    <w:rsid w:val="00CC52FA"/>
    <w:rsid w:val="00CC559D"/>
    <w:rsid w:val="00CC562F"/>
    <w:rsid w:val="00CC56E7"/>
    <w:rsid w:val="00CC57F0"/>
    <w:rsid w:val="00CC57F9"/>
    <w:rsid w:val="00CC5872"/>
    <w:rsid w:val="00CC5889"/>
    <w:rsid w:val="00CC58F6"/>
    <w:rsid w:val="00CC590A"/>
    <w:rsid w:val="00CC5B3D"/>
    <w:rsid w:val="00CC5D0B"/>
    <w:rsid w:val="00CC5D31"/>
    <w:rsid w:val="00CC5D89"/>
    <w:rsid w:val="00CC5FB2"/>
    <w:rsid w:val="00CC617E"/>
    <w:rsid w:val="00CC6269"/>
    <w:rsid w:val="00CC641D"/>
    <w:rsid w:val="00CC64EC"/>
    <w:rsid w:val="00CC65E1"/>
    <w:rsid w:val="00CC66D9"/>
    <w:rsid w:val="00CC66F5"/>
    <w:rsid w:val="00CC688C"/>
    <w:rsid w:val="00CC6B7B"/>
    <w:rsid w:val="00CC6E38"/>
    <w:rsid w:val="00CC6E3D"/>
    <w:rsid w:val="00CC6EC2"/>
    <w:rsid w:val="00CC6FD2"/>
    <w:rsid w:val="00CC704B"/>
    <w:rsid w:val="00CC70BA"/>
    <w:rsid w:val="00CC7259"/>
    <w:rsid w:val="00CC7303"/>
    <w:rsid w:val="00CC73BF"/>
    <w:rsid w:val="00CC7432"/>
    <w:rsid w:val="00CC7582"/>
    <w:rsid w:val="00CC78C7"/>
    <w:rsid w:val="00CC7A3F"/>
    <w:rsid w:val="00CC7B15"/>
    <w:rsid w:val="00CC7C31"/>
    <w:rsid w:val="00CC7D10"/>
    <w:rsid w:val="00CC7EC1"/>
    <w:rsid w:val="00CC7EF5"/>
    <w:rsid w:val="00CC7FB4"/>
    <w:rsid w:val="00CD0002"/>
    <w:rsid w:val="00CD0116"/>
    <w:rsid w:val="00CD050E"/>
    <w:rsid w:val="00CD0551"/>
    <w:rsid w:val="00CD0598"/>
    <w:rsid w:val="00CD0669"/>
    <w:rsid w:val="00CD066C"/>
    <w:rsid w:val="00CD07F3"/>
    <w:rsid w:val="00CD08D9"/>
    <w:rsid w:val="00CD08F4"/>
    <w:rsid w:val="00CD0916"/>
    <w:rsid w:val="00CD095C"/>
    <w:rsid w:val="00CD1096"/>
    <w:rsid w:val="00CD1218"/>
    <w:rsid w:val="00CD12DD"/>
    <w:rsid w:val="00CD1358"/>
    <w:rsid w:val="00CD13A0"/>
    <w:rsid w:val="00CD1458"/>
    <w:rsid w:val="00CD1628"/>
    <w:rsid w:val="00CD17A9"/>
    <w:rsid w:val="00CD18A3"/>
    <w:rsid w:val="00CD194D"/>
    <w:rsid w:val="00CD1A5F"/>
    <w:rsid w:val="00CD1B27"/>
    <w:rsid w:val="00CD1CAF"/>
    <w:rsid w:val="00CD1D72"/>
    <w:rsid w:val="00CD1DEC"/>
    <w:rsid w:val="00CD1F26"/>
    <w:rsid w:val="00CD1F92"/>
    <w:rsid w:val="00CD268E"/>
    <w:rsid w:val="00CD26C4"/>
    <w:rsid w:val="00CD2BD9"/>
    <w:rsid w:val="00CD2C5E"/>
    <w:rsid w:val="00CD2CF6"/>
    <w:rsid w:val="00CD2E36"/>
    <w:rsid w:val="00CD2F88"/>
    <w:rsid w:val="00CD30F8"/>
    <w:rsid w:val="00CD311E"/>
    <w:rsid w:val="00CD3314"/>
    <w:rsid w:val="00CD3579"/>
    <w:rsid w:val="00CD3803"/>
    <w:rsid w:val="00CD3862"/>
    <w:rsid w:val="00CD38A4"/>
    <w:rsid w:val="00CD397D"/>
    <w:rsid w:val="00CD3982"/>
    <w:rsid w:val="00CD3ABF"/>
    <w:rsid w:val="00CD3BB2"/>
    <w:rsid w:val="00CD3E3E"/>
    <w:rsid w:val="00CD4250"/>
    <w:rsid w:val="00CD4278"/>
    <w:rsid w:val="00CD43DE"/>
    <w:rsid w:val="00CD44C6"/>
    <w:rsid w:val="00CD4526"/>
    <w:rsid w:val="00CD45BA"/>
    <w:rsid w:val="00CD45E8"/>
    <w:rsid w:val="00CD46B1"/>
    <w:rsid w:val="00CD495C"/>
    <w:rsid w:val="00CD496F"/>
    <w:rsid w:val="00CD4AA9"/>
    <w:rsid w:val="00CD4CF3"/>
    <w:rsid w:val="00CD4FBD"/>
    <w:rsid w:val="00CD5087"/>
    <w:rsid w:val="00CD510A"/>
    <w:rsid w:val="00CD52E1"/>
    <w:rsid w:val="00CD5319"/>
    <w:rsid w:val="00CD532D"/>
    <w:rsid w:val="00CD53D3"/>
    <w:rsid w:val="00CD57AC"/>
    <w:rsid w:val="00CD5874"/>
    <w:rsid w:val="00CD58F4"/>
    <w:rsid w:val="00CD5954"/>
    <w:rsid w:val="00CD5C5F"/>
    <w:rsid w:val="00CD5C89"/>
    <w:rsid w:val="00CD5D5C"/>
    <w:rsid w:val="00CD5E8A"/>
    <w:rsid w:val="00CD5FA1"/>
    <w:rsid w:val="00CD6086"/>
    <w:rsid w:val="00CD6356"/>
    <w:rsid w:val="00CD64BD"/>
    <w:rsid w:val="00CD654B"/>
    <w:rsid w:val="00CD671D"/>
    <w:rsid w:val="00CD68ED"/>
    <w:rsid w:val="00CD6973"/>
    <w:rsid w:val="00CD6BD4"/>
    <w:rsid w:val="00CD6E02"/>
    <w:rsid w:val="00CD6E64"/>
    <w:rsid w:val="00CD6FA1"/>
    <w:rsid w:val="00CD6FFA"/>
    <w:rsid w:val="00CD7081"/>
    <w:rsid w:val="00CD709C"/>
    <w:rsid w:val="00CD71AB"/>
    <w:rsid w:val="00CD740A"/>
    <w:rsid w:val="00CD74E1"/>
    <w:rsid w:val="00CD7533"/>
    <w:rsid w:val="00CD7672"/>
    <w:rsid w:val="00CD7685"/>
    <w:rsid w:val="00CD7910"/>
    <w:rsid w:val="00CD7AF3"/>
    <w:rsid w:val="00CD7B27"/>
    <w:rsid w:val="00CD7B97"/>
    <w:rsid w:val="00CD7EC7"/>
    <w:rsid w:val="00CD7FB2"/>
    <w:rsid w:val="00CE00CB"/>
    <w:rsid w:val="00CE0126"/>
    <w:rsid w:val="00CE0169"/>
    <w:rsid w:val="00CE024E"/>
    <w:rsid w:val="00CE026E"/>
    <w:rsid w:val="00CE0614"/>
    <w:rsid w:val="00CE069E"/>
    <w:rsid w:val="00CE0702"/>
    <w:rsid w:val="00CE0726"/>
    <w:rsid w:val="00CE0866"/>
    <w:rsid w:val="00CE0899"/>
    <w:rsid w:val="00CE094D"/>
    <w:rsid w:val="00CE09E5"/>
    <w:rsid w:val="00CE0B4E"/>
    <w:rsid w:val="00CE0E18"/>
    <w:rsid w:val="00CE11E8"/>
    <w:rsid w:val="00CE13A0"/>
    <w:rsid w:val="00CE14E6"/>
    <w:rsid w:val="00CE1631"/>
    <w:rsid w:val="00CE17A5"/>
    <w:rsid w:val="00CE1831"/>
    <w:rsid w:val="00CE1BC9"/>
    <w:rsid w:val="00CE1C2E"/>
    <w:rsid w:val="00CE1CA6"/>
    <w:rsid w:val="00CE223E"/>
    <w:rsid w:val="00CE2362"/>
    <w:rsid w:val="00CE247A"/>
    <w:rsid w:val="00CE24A7"/>
    <w:rsid w:val="00CE25CF"/>
    <w:rsid w:val="00CE25E2"/>
    <w:rsid w:val="00CE26A3"/>
    <w:rsid w:val="00CE2884"/>
    <w:rsid w:val="00CE29C7"/>
    <w:rsid w:val="00CE2A1F"/>
    <w:rsid w:val="00CE2ABC"/>
    <w:rsid w:val="00CE2AD0"/>
    <w:rsid w:val="00CE2BDC"/>
    <w:rsid w:val="00CE2C28"/>
    <w:rsid w:val="00CE2D50"/>
    <w:rsid w:val="00CE2F60"/>
    <w:rsid w:val="00CE329D"/>
    <w:rsid w:val="00CE3359"/>
    <w:rsid w:val="00CE336B"/>
    <w:rsid w:val="00CE339B"/>
    <w:rsid w:val="00CE3440"/>
    <w:rsid w:val="00CE376F"/>
    <w:rsid w:val="00CE3787"/>
    <w:rsid w:val="00CE38B4"/>
    <w:rsid w:val="00CE38F8"/>
    <w:rsid w:val="00CE3E0A"/>
    <w:rsid w:val="00CE3E4E"/>
    <w:rsid w:val="00CE3F4C"/>
    <w:rsid w:val="00CE4119"/>
    <w:rsid w:val="00CE4254"/>
    <w:rsid w:val="00CE44F8"/>
    <w:rsid w:val="00CE45A0"/>
    <w:rsid w:val="00CE45C4"/>
    <w:rsid w:val="00CE48B8"/>
    <w:rsid w:val="00CE48D3"/>
    <w:rsid w:val="00CE494F"/>
    <w:rsid w:val="00CE4980"/>
    <w:rsid w:val="00CE4CBE"/>
    <w:rsid w:val="00CE4DA2"/>
    <w:rsid w:val="00CE4DCD"/>
    <w:rsid w:val="00CE4E49"/>
    <w:rsid w:val="00CE4F19"/>
    <w:rsid w:val="00CE4FC7"/>
    <w:rsid w:val="00CE503C"/>
    <w:rsid w:val="00CE5137"/>
    <w:rsid w:val="00CE5257"/>
    <w:rsid w:val="00CE54E3"/>
    <w:rsid w:val="00CE556B"/>
    <w:rsid w:val="00CE5579"/>
    <w:rsid w:val="00CE5688"/>
    <w:rsid w:val="00CE56B6"/>
    <w:rsid w:val="00CE58E0"/>
    <w:rsid w:val="00CE591B"/>
    <w:rsid w:val="00CE5A43"/>
    <w:rsid w:val="00CE5B0C"/>
    <w:rsid w:val="00CE5BE0"/>
    <w:rsid w:val="00CE5C4E"/>
    <w:rsid w:val="00CE5D57"/>
    <w:rsid w:val="00CE5DC3"/>
    <w:rsid w:val="00CE61A4"/>
    <w:rsid w:val="00CE62FD"/>
    <w:rsid w:val="00CE64AE"/>
    <w:rsid w:val="00CE65F3"/>
    <w:rsid w:val="00CE68F7"/>
    <w:rsid w:val="00CE698B"/>
    <w:rsid w:val="00CE6AA8"/>
    <w:rsid w:val="00CE6CC0"/>
    <w:rsid w:val="00CE7070"/>
    <w:rsid w:val="00CE70B9"/>
    <w:rsid w:val="00CE74B6"/>
    <w:rsid w:val="00CE76E8"/>
    <w:rsid w:val="00CE7710"/>
    <w:rsid w:val="00CE78C2"/>
    <w:rsid w:val="00CE7B14"/>
    <w:rsid w:val="00CE7BCE"/>
    <w:rsid w:val="00CE7C34"/>
    <w:rsid w:val="00CE7D37"/>
    <w:rsid w:val="00CE7E06"/>
    <w:rsid w:val="00CF0021"/>
    <w:rsid w:val="00CF0244"/>
    <w:rsid w:val="00CF030F"/>
    <w:rsid w:val="00CF0639"/>
    <w:rsid w:val="00CF06ED"/>
    <w:rsid w:val="00CF07F0"/>
    <w:rsid w:val="00CF095D"/>
    <w:rsid w:val="00CF0970"/>
    <w:rsid w:val="00CF0B2B"/>
    <w:rsid w:val="00CF0B2F"/>
    <w:rsid w:val="00CF0C82"/>
    <w:rsid w:val="00CF0CE6"/>
    <w:rsid w:val="00CF0DB0"/>
    <w:rsid w:val="00CF0DB8"/>
    <w:rsid w:val="00CF0DC1"/>
    <w:rsid w:val="00CF0E78"/>
    <w:rsid w:val="00CF0FC0"/>
    <w:rsid w:val="00CF10B9"/>
    <w:rsid w:val="00CF10F6"/>
    <w:rsid w:val="00CF126E"/>
    <w:rsid w:val="00CF137F"/>
    <w:rsid w:val="00CF1412"/>
    <w:rsid w:val="00CF1497"/>
    <w:rsid w:val="00CF14A8"/>
    <w:rsid w:val="00CF1742"/>
    <w:rsid w:val="00CF1785"/>
    <w:rsid w:val="00CF1857"/>
    <w:rsid w:val="00CF19DA"/>
    <w:rsid w:val="00CF1BB6"/>
    <w:rsid w:val="00CF1CF0"/>
    <w:rsid w:val="00CF1E0C"/>
    <w:rsid w:val="00CF1F8F"/>
    <w:rsid w:val="00CF2112"/>
    <w:rsid w:val="00CF2181"/>
    <w:rsid w:val="00CF2579"/>
    <w:rsid w:val="00CF273D"/>
    <w:rsid w:val="00CF289A"/>
    <w:rsid w:val="00CF29F5"/>
    <w:rsid w:val="00CF2AE2"/>
    <w:rsid w:val="00CF2AFE"/>
    <w:rsid w:val="00CF2CB8"/>
    <w:rsid w:val="00CF2D1F"/>
    <w:rsid w:val="00CF2D39"/>
    <w:rsid w:val="00CF2D81"/>
    <w:rsid w:val="00CF2D87"/>
    <w:rsid w:val="00CF2E53"/>
    <w:rsid w:val="00CF2E54"/>
    <w:rsid w:val="00CF2E89"/>
    <w:rsid w:val="00CF2E9E"/>
    <w:rsid w:val="00CF305C"/>
    <w:rsid w:val="00CF30ED"/>
    <w:rsid w:val="00CF313B"/>
    <w:rsid w:val="00CF335E"/>
    <w:rsid w:val="00CF3576"/>
    <w:rsid w:val="00CF360F"/>
    <w:rsid w:val="00CF3620"/>
    <w:rsid w:val="00CF36E9"/>
    <w:rsid w:val="00CF377E"/>
    <w:rsid w:val="00CF3857"/>
    <w:rsid w:val="00CF389C"/>
    <w:rsid w:val="00CF38B4"/>
    <w:rsid w:val="00CF3A59"/>
    <w:rsid w:val="00CF3BA1"/>
    <w:rsid w:val="00CF3EC9"/>
    <w:rsid w:val="00CF4027"/>
    <w:rsid w:val="00CF414E"/>
    <w:rsid w:val="00CF417D"/>
    <w:rsid w:val="00CF446F"/>
    <w:rsid w:val="00CF45AC"/>
    <w:rsid w:val="00CF4808"/>
    <w:rsid w:val="00CF4816"/>
    <w:rsid w:val="00CF4D19"/>
    <w:rsid w:val="00CF4DD0"/>
    <w:rsid w:val="00CF4EF0"/>
    <w:rsid w:val="00CF50E3"/>
    <w:rsid w:val="00CF510D"/>
    <w:rsid w:val="00CF51BC"/>
    <w:rsid w:val="00CF5224"/>
    <w:rsid w:val="00CF5246"/>
    <w:rsid w:val="00CF5378"/>
    <w:rsid w:val="00CF544D"/>
    <w:rsid w:val="00CF5469"/>
    <w:rsid w:val="00CF5483"/>
    <w:rsid w:val="00CF57F7"/>
    <w:rsid w:val="00CF58FC"/>
    <w:rsid w:val="00CF59F1"/>
    <w:rsid w:val="00CF5AE9"/>
    <w:rsid w:val="00CF5ED2"/>
    <w:rsid w:val="00CF5EE1"/>
    <w:rsid w:val="00CF5F77"/>
    <w:rsid w:val="00CF63F4"/>
    <w:rsid w:val="00CF6404"/>
    <w:rsid w:val="00CF6563"/>
    <w:rsid w:val="00CF6573"/>
    <w:rsid w:val="00CF6805"/>
    <w:rsid w:val="00CF6AC9"/>
    <w:rsid w:val="00CF6BF5"/>
    <w:rsid w:val="00CF6E4D"/>
    <w:rsid w:val="00CF6E7B"/>
    <w:rsid w:val="00CF6EA5"/>
    <w:rsid w:val="00CF6FBC"/>
    <w:rsid w:val="00CF7073"/>
    <w:rsid w:val="00CF722D"/>
    <w:rsid w:val="00CF73BC"/>
    <w:rsid w:val="00CF7440"/>
    <w:rsid w:val="00CF75C2"/>
    <w:rsid w:val="00CF762F"/>
    <w:rsid w:val="00CF764C"/>
    <w:rsid w:val="00CF7713"/>
    <w:rsid w:val="00CF7741"/>
    <w:rsid w:val="00CF774D"/>
    <w:rsid w:val="00CF7B3C"/>
    <w:rsid w:val="00CF7EEE"/>
    <w:rsid w:val="00CF7F71"/>
    <w:rsid w:val="00D000E9"/>
    <w:rsid w:val="00D00117"/>
    <w:rsid w:val="00D001FA"/>
    <w:rsid w:val="00D00B38"/>
    <w:rsid w:val="00D00B64"/>
    <w:rsid w:val="00D00BBD"/>
    <w:rsid w:val="00D00C63"/>
    <w:rsid w:val="00D00F76"/>
    <w:rsid w:val="00D010B4"/>
    <w:rsid w:val="00D0112D"/>
    <w:rsid w:val="00D0122C"/>
    <w:rsid w:val="00D01232"/>
    <w:rsid w:val="00D01304"/>
    <w:rsid w:val="00D01312"/>
    <w:rsid w:val="00D01612"/>
    <w:rsid w:val="00D01779"/>
    <w:rsid w:val="00D01A0F"/>
    <w:rsid w:val="00D01B86"/>
    <w:rsid w:val="00D01BF0"/>
    <w:rsid w:val="00D01CED"/>
    <w:rsid w:val="00D01E00"/>
    <w:rsid w:val="00D0205F"/>
    <w:rsid w:val="00D020B1"/>
    <w:rsid w:val="00D02121"/>
    <w:rsid w:val="00D0213D"/>
    <w:rsid w:val="00D02146"/>
    <w:rsid w:val="00D0221F"/>
    <w:rsid w:val="00D022BB"/>
    <w:rsid w:val="00D02376"/>
    <w:rsid w:val="00D02445"/>
    <w:rsid w:val="00D0276C"/>
    <w:rsid w:val="00D0276D"/>
    <w:rsid w:val="00D02810"/>
    <w:rsid w:val="00D02932"/>
    <w:rsid w:val="00D02AFA"/>
    <w:rsid w:val="00D02B6F"/>
    <w:rsid w:val="00D02B90"/>
    <w:rsid w:val="00D02C60"/>
    <w:rsid w:val="00D02D27"/>
    <w:rsid w:val="00D02E44"/>
    <w:rsid w:val="00D03055"/>
    <w:rsid w:val="00D0309F"/>
    <w:rsid w:val="00D03297"/>
    <w:rsid w:val="00D03712"/>
    <w:rsid w:val="00D0372A"/>
    <w:rsid w:val="00D03756"/>
    <w:rsid w:val="00D03DA2"/>
    <w:rsid w:val="00D03F6C"/>
    <w:rsid w:val="00D0401A"/>
    <w:rsid w:val="00D04287"/>
    <w:rsid w:val="00D042F8"/>
    <w:rsid w:val="00D04681"/>
    <w:rsid w:val="00D047B6"/>
    <w:rsid w:val="00D049AB"/>
    <w:rsid w:val="00D04AA0"/>
    <w:rsid w:val="00D04B4B"/>
    <w:rsid w:val="00D04B95"/>
    <w:rsid w:val="00D04D88"/>
    <w:rsid w:val="00D04DEF"/>
    <w:rsid w:val="00D04DF5"/>
    <w:rsid w:val="00D04F1A"/>
    <w:rsid w:val="00D04FB1"/>
    <w:rsid w:val="00D05008"/>
    <w:rsid w:val="00D05199"/>
    <w:rsid w:val="00D0523E"/>
    <w:rsid w:val="00D05392"/>
    <w:rsid w:val="00D05441"/>
    <w:rsid w:val="00D05474"/>
    <w:rsid w:val="00D05482"/>
    <w:rsid w:val="00D056C9"/>
    <w:rsid w:val="00D05753"/>
    <w:rsid w:val="00D057A0"/>
    <w:rsid w:val="00D057ED"/>
    <w:rsid w:val="00D059B9"/>
    <w:rsid w:val="00D05A98"/>
    <w:rsid w:val="00D05D6B"/>
    <w:rsid w:val="00D05DC6"/>
    <w:rsid w:val="00D05EB8"/>
    <w:rsid w:val="00D062EC"/>
    <w:rsid w:val="00D06354"/>
    <w:rsid w:val="00D063CF"/>
    <w:rsid w:val="00D064DC"/>
    <w:rsid w:val="00D0652C"/>
    <w:rsid w:val="00D06729"/>
    <w:rsid w:val="00D06764"/>
    <w:rsid w:val="00D06942"/>
    <w:rsid w:val="00D06A21"/>
    <w:rsid w:val="00D06B75"/>
    <w:rsid w:val="00D06F5E"/>
    <w:rsid w:val="00D07049"/>
    <w:rsid w:val="00D07255"/>
    <w:rsid w:val="00D07423"/>
    <w:rsid w:val="00D07504"/>
    <w:rsid w:val="00D07656"/>
    <w:rsid w:val="00D077F2"/>
    <w:rsid w:val="00D078CC"/>
    <w:rsid w:val="00D0795B"/>
    <w:rsid w:val="00D0797D"/>
    <w:rsid w:val="00D07A6A"/>
    <w:rsid w:val="00D07C9A"/>
    <w:rsid w:val="00D07D0B"/>
    <w:rsid w:val="00D1006D"/>
    <w:rsid w:val="00D100B3"/>
    <w:rsid w:val="00D10166"/>
    <w:rsid w:val="00D104A7"/>
    <w:rsid w:val="00D104D6"/>
    <w:rsid w:val="00D10597"/>
    <w:rsid w:val="00D105E3"/>
    <w:rsid w:val="00D10628"/>
    <w:rsid w:val="00D1081E"/>
    <w:rsid w:val="00D10AD0"/>
    <w:rsid w:val="00D10AEE"/>
    <w:rsid w:val="00D10E3E"/>
    <w:rsid w:val="00D10E83"/>
    <w:rsid w:val="00D10F19"/>
    <w:rsid w:val="00D10F9F"/>
    <w:rsid w:val="00D11044"/>
    <w:rsid w:val="00D1147E"/>
    <w:rsid w:val="00D11511"/>
    <w:rsid w:val="00D11721"/>
    <w:rsid w:val="00D11767"/>
    <w:rsid w:val="00D1176E"/>
    <w:rsid w:val="00D1194D"/>
    <w:rsid w:val="00D11C0A"/>
    <w:rsid w:val="00D11C63"/>
    <w:rsid w:val="00D11F11"/>
    <w:rsid w:val="00D123DE"/>
    <w:rsid w:val="00D12668"/>
    <w:rsid w:val="00D126E9"/>
    <w:rsid w:val="00D12728"/>
    <w:rsid w:val="00D1275A"/>
    <w:rsid w:val="00D12DC0"/>
    <w:rsid w:val="00D1308A"/>
    <w:rsid w:val="00D13111"/>
    <w:rsid w:val="00D131AF"/>
    <w:rsid w:val="00D131B8"/>
    <w:rsid w:val="00D13382"/>
    <w:rsid w:val="00D13694"/>
    <w:rsid w:val="00D136AE"/>
    <w:rsid w:val="00D1382E"/>
    <w:rsid w:val="00D13888"/>
    <w:rsid w:val="00D13A39"/>
    <w:rsid w:val="00D13A68"/>
    <w:rsid w:val="00D13B9B"/>
    <w:rsid w:val="00D13BCF"/>
    <w:rsid w:val="00D13CBE"/>
    <w:rsid w:val="00D13E7B"/>
    <w:rsid w:val="00D13ECE"/>
    <w:rsid w:val="00D13F25"/>
    <w:rsid w:val="00D13F28"/>
    <w:rsid w:val="00D140AD"/>
    <w:rsid w:val="00D14200"/>
    <w:rsid w:val="00D1428F"/>
    <w:rsid w:val="00D14459"/>
    <w:rsid w:val="00D145F5"/>
    <w:rsid w:val="00D14747"/>
    <w:rsid w:val="00D147F7"/>
    <w:rsid w:val="00D1480D"/>
    <w:rsid w:val="00D148B0"/>
    <w:rsid w:val="00D14E71"/>
    <w:rsid w:val="00D14F92"/>
    <w:rsid w:val="00D15395"/>
    <w:rsid w:val="00D15438"/>
    <w:rsid w:val="00D15493"/>
    <w:rsid w:val="00D154A7"/>
    <w:rsid w:val="00D1551D"/>
    <w:rsid w:val="00D155BB"/>
    <w:rsid w:val="00D1562E"/>
    <w:rsid w:val="00D15A9E"/>
    <w:rsid w:val="00D15AAE"/>
    <w:rsid w:val="00D15C7A"/>
    <w:rsid w:val="00D15CEC"/>
    <w:rsid w:val="00D15EFD"/>
    <w:rsid w:val="00D15F89"/>
    <w:rsid w:val="00D1608D"/>
    <w:rsid w:val="00D160F0"/>
    <w:rsid w:val="00D16149"/>
    <w:rsid w:val="00D16177"/>
    <w:rsid w:val="00D16370"/>
    <w:rsid w:val="00D163E4"/>
    <w:rsid w:val="00D165EA"/>
    <w:rsid w:val="00D167D8"/>
    <w:rsid w:val="00D1695E"/>
    <w:rsid w:val="00D1696D"/>
    <w:rsid w:val="00D169E4"/>
    <w:rsid w:val="00D16B52"/>
    <w:rsid w:val="00D16B7B"/>
    <w:rsid w:val="00D16C02"/>
    <w:rsid w:val="00D16C05"/>
    <w:rsid w:val="00D16C1A"/>
    <w:rsid w:val="00D16C4B"/>
    <w:rsid w:val="00D16CB8"/>
    <w:rsid w:val="00D16CFD"/>
    <w:rsid w:val="00D16CFF"/>
    <w:rsid w:val="00D16D21"/>
    <w:rsid w:val="00D1702D"/>
    <w:rsid w:val="00D17506"/>
    <w:rsid w:val="00D175A5"/>
    <w:rsid w:val="00D1760E"/>
    <w:rsid w:val="00D177F0"/>
    <w:rsid w:val="00D17808"/>
    <w:rsid w:val="00D1798E"/>
    <w:rsid w:val="00D17B5C"/>
    <w:rsid w:val="00D17B72"/>
    <w:rsid w:val="00D17C0E"/>
    <w:rsid w:val="00D17C76"/>
    <w:rsid w:val="00D17D9E"/>
    <w:rsid w:val="00D17EB9"/>
    <w:rsid w:val="00D2021D"/>
    <w:rsid w:val="00D20253"/>
    <w:rsid w:val="00D202F1"/>
    <w:rsid w:val="00D20A94"/>
    <w:rsid w:val="00D20B8C"/>
    <w:rsid w:val="00D20BC1"/>
    <w:rsid w:val="00D20BD9"/>
    <w:rsid w:val="00D20BE0"/>
    <w:rsid w:val="00D20C87"/>
    <w:rsid w:val="00D20D23"/>
    <w:rsid w:val="00D20D49"/>
    <w:rsid w:val="00D20DCF"/>
    <w:rsid w:val="00D20DF6"/>
    <w:rsid w:val="00D20E04"/>
    <w:rsid w:val="00D20F8B"/>
    <w:rsid w:val="00D20FB3"/>
    <w:rsid w:val="00D211E9"/>
    <w:rsid w:val="00D211FA"/>
    <w:rsid w:val="00D21262"/>
    <w:rsid w:val="00D21372"/>
    <w:rsid w:val="00D213B0"/>
    <w:rsid w:val="00D2144B"/>
    <w:rsid w:val="00D21529"/>
    <w:rsid w:val="00D21659"/>
    <w:rsid w:val="00D216E3"/>
    <w:rsid w:val="00D2186D"/>
    <w:rsid w:val="00D219EE"/>
    <w:rsid w:val="00D21B3A"/>
    <w:rsid w:val="00D21B92"/>
    <w:rsid w:val="00D22148"/>
    <w:rsid w:val="00D223BA"/>
    <w:rsid w:val="00D2243C"/>
    <w:rsid w:val="00D2287D"/>
    <w:rsid w:val="00D22A2E"/>
    <w:rsid w:val="00D22A8D"/>
    <w:rsid w:val="00D22D89"/>
    <w:rsid w:val="00D22E75"/>
    <w:rsid w:val="00D22F05"/>
    <w:rsid w:val="00D230D2"/>
    <w:rsid w:val="00D23106"/>
    <w:rsid w:val="00D231FD"/>
    <w:rsid w:val="00D23229"/>
    <w:rsid w:val="00D232A5"/>
    <w:rsid w:val="00D23368"/>
    <w:rsid w:val="00D23578"/>
    <w:rsid w:val="00D235F0"/>
    <w:rsid w:val="00D2360B"/>
    <w:rsid w:val="00D237B6"/>
    <w:rsid w:val="00D23AA3"/>
    <w:rsid w:val="00D23AC7"/>
    <w:rsid w:val="00D23C8C"/>
    <w:rsid w:val="00D23DEB"/>
    <w:rsid w:val="00D23FF6"/>
    <w:rsid w:val="00D240A1"/>
    <w:rsid w:val="00D24124"/>
    <w:rsid w:val="00D24470"/>
    <w:rsid w:val="00D2466D"/>
    <w:rsid w:val="00D246D9"/>
    <w:rsid w:val="00D24774"/>
    <w:rsid w:val="00D24938"/>
    <w:rsid w:val="00D24BDB"/>
    <w:rsid w:val="00D24EB2"/>
    <w:rsid w:val="00D24ECD"/>
    <w:rsid w:val="00D24FBC"/>
    <w:rsid w:val="00D24FC2"/>
    <w:rsid w:val="00D250C6"/>
    <w:rsid w:val="00D250F9"/>
    <w:rsid w:val="00D25120"/>
    <w:rsid w:val="00D25154"/>
    <w:rsid w:val="00D252E4"/>
    <w:rsid w:val="00D255A3"/>
    <w:rsid w:val="00D256AC"/>
    <w:rsid w:val="00D257C1"/>
    <w:rsid w:val="00D257EF"/>
    <w:rsid w:val="00D25915"/>
    <w:rsid w:val="00D25A94"/>
    <w:rsid w:val="00D25E39"/>
    <w:rsid w:val="00D25E99"/>
    <w:rsid w:val="00D262FF"/>
    <w:rsid w:val="00D26300"/>
    <w:rsid w:val="00D2645C"/>
    <w:rsid w:val="00D2651B"/>
    <w:rsid w:val="00D26631"/>
    <w:rsid w:val="00D2675D"/>
    <w:rsid w:val="00D26826"/>
    <w:rsid w:val="00D268EE"/>
    <w:rsid w:val="00D26946"/>
    <w:rsid w:val="00D26977"/>
    <w:rsid w:val="00D26997"/>
    <w:rsid w:val="00D26999"/>
    <w:rsid w:val="00D269DE"/>
    <w:rsid w:val="00D26A66"/>
    <w:rsid w:val="00D26DDF"/>
    <w:rsid w:val="00D26E1D"/>
    <w:rsid w:val="00D26ECA"/>
    <w:rsid w:val="00D26F10"/>
    <w:rsid w:val="00D2711B"/>
    <w:rsid w:val="00D271ED"/>
    <w:rsid w:val="00D2728C"/>
    <w:rsid w:val="00D2746C"/>
    <w:rsid w:val="00D27508"/>
    <w:rsid w:val="00D2758D"/>
    <w:rsid w:val="00D27729"/>
    <w:rsid w:val="00D2774E"/>
    <w:rsid w:val="00D27841"/>
    <w:rsid w:val="00D278F7"/>
    <w:rsid w:val="00D27A68"/>
    <w:rsid w:val="00D27AAB"/>
    <w:rsid w:val="00D27DA3"/>
    <w:rsid w:val="00D27F8F"/>
    <w:rsid w:val="00D30094"/>
    <w:rsid w:val="00D30116"/>
    <w:rsid w:val="00D30210"/>
    <w:rsid w:val="00D303C7"/>
    <w:rsid w:val="00D30413"/>
    <w:rsid w:val="00D3050D"/>
    <w:rsid w:val="00D306A9"/>
    <w:rsid w:val="00D30733"/>
    <w:rsid w:val="00D307F5"/>
    <w:rsid w:val="00D30911"/>
    <w:rsid w:val="00D309CC"/>
    <w:rsid w:val="00D309E4"/>
    <w:rsid w:val="00D30F3A"/>
    <w:rsid w:val="00D30FAC"/>
    <w:rsid w:val="00D3114B"/>
    <w:rsid w:val="00D312AD"/>
    <w:rsid w:val="00D31500"/>
    <w:rsid w:val="00D315F4"/>
    <w:rsid w:val="00D316C7"/>
    <w:rsid w:val="00D31703"/>
    <w:rsid w:val="00D317CA"/>
    <w:rsid w:val="00D31804"/>
    <w:rsid w:val="00D318CC"/>
    <w:rsid w:val="00D31997"/>
    <w:rsid w:val="00D31998"/>
    <w:rsid w:val="00D31A13"/>
    <w:rsid w:val="00D31AE5"/>
    <w:rsid w:val="00D31E63"/>
    <w:rsid w:val="00D31EE8"/>
    <w:rsid w:val="00D31FDB"/>
    <w:rsid w:val="00D32070"/>
    <w:rsid w:val="00D3219A"/>
    <w:rsid w:val="00D32607"/>
    <w:rsid w:val="00D3262C"/>
    <w:rsid w:val="00D326F6"/>
    <w:rsid w:val="00D3285D"/>
    <w:rsid w:val="00D32870"/>
    <w:rsid w:val="00D328C4"/>
    <w:rsid w:val="00D32902"/>
    <w:rsid w:val="00D329B8"/>
    <w:rsid w:val="00D32AA0"/>
    <w:rsid w:val="00D32B5B"/>
    <w:rsid w:val="00D32D40"/>
    <w:rsid w:val="00D32D6B"/>
    <w:rsid w:val="00D32ED2"/>
    <w:rsid w:val="00D32F1E"/>
    <w:rsid w:val="00D32F88"/>
    <w:rsid w:val="00D32FB5"/>
    <w:rsid w:val="00D3305A"/>
    <w:rsid w:val="00D330B1"/>
    <w:rsid w:val="00D33387"/>
    <w:rsid w:val="00D3367B"/>
    <w:rsid w:val="00D33763"/>
    <w:rsid w:val="00D337F3"/>
    <w:rsid w:val="00D33935"/>
    <w:rsid w:val="00D33BE8"/>
    <w:rsid w:val="00D33C8E"/>
    <w:rsid w:val="00D33E8D"/>
    <w:rsid w:val="00D33F47"/>
    <w:rsid w:val="00D33FAB"/>
    <w:rsid w:val="00D3400A"/>
    <w:rsid w:val="00D342E7"/>
    <w:rsid w:val="00D34438"/>
    <w:rsid w:val="00D34618"/>
    <w:rsid w:val="00D346ED"/>
    <w:rsid w:val="00D34784"/>
    <w:rsid w:val="00D348A8"/>
    <w:rsid w:val="00D34B26"/>
    <w:rsid w:val="00D34BB9"/>
    <w:rsid w:val="00D34BE8"/>
    <w:rsid w:val="00D34D06"/>
    <w:rsid w:val="00D34DD1"/>
    <w:rsid w:val="00D35058"/>
    <w:rsid w:val="00D35233"/>
    <w:rsid w:val="00D35454"/>
    <w:rsid w:val="00D354F8"/>
    <w:rsid w:val="00D355F0"/>
    <w:rsid w:val="00D35659"/>
    <w:rsid w:val="00D35778"/>
    <w:rsid w:val="00D35823"/>
    <w:rsid w:val="00D35A4E"/>
    <w:rsid w:val="00D35AD4"/>
    <w:rsid w:val="00D35B23"/>
    <w:rsid w:val="00D35BC0"/>
    <w:rsid w:val="00D35DB5"/>
    <w:rsid w:val="00D35DC4"/>
    <w:rsid w:val="00D35F36"/>
    <w:rsid w:val="00D36056"/>
    <w:rsid w:val="00D360AE"/>
    <w:rsid w:val="00D360D2"/>
    <w:rsid w:val="00D36221"/>
    <w:rsid w:val="00D3633D"/>
    <w:rsid w:val="00D36442"/>
    <w:rsid w:val="00D36B1F"/>
    <w:rsid w:val="00D36C18"/>
    <w:rsid w:val="00D36CA1"/>
    <w:rsid w:val="00D36D69"/>
    <w:rsid w:val="00D36E0D"/>
    <w:rsid w:val="00D36F7F"/>
    <w:rsid w:val="00D3716E"/>
    <w:rsid w:val="00D371C3"/>
    <w:rsid w:val="00D372C3"/>
    <w:rsid w:val="00D373E1"/>
    <w:rsid w:val="00D377B1"/>
    <w:rsid w:val="00D37A4B"/>
    <w:rsid w:val="00D37AE1"/>
    <w:rsid w:val="00D37B03"/>
    <w:rsid w:val="00D37B3E"/>
    <w:rsid w:val="00D37CF9"/>
    <w:rsid w:val="00D37E4F"/>
    <w:rsid w:val="00D37F8F"/>
    <w:rsid w:val="00D37FB9"/>
    <w:rsid w:val="00D40090"/>
    <w:rsid w:val="00D40143"/>
    <w:rsid w:val="00D4023F"/>
    <w:rsid w:val="00D40248"/>
    <w:rsid w:val="00D404CA"/>
    <w:rsid w:val="00D4050A"/>
    <w:rsid w:val="00D40596"/>
    <w:rsid w:val="00D4073D"/>
    <w:rsid w:val="00D4086A"/>
    <w:rsid w:val="00D40CC6"/>
    <w:rsid w:val="00D40E58"/>
    <w:rsid w:val="00D40E76"/>
    <w:rsid w:val="00D40ED7"/>
    <w:rsid w:val="00D40F56"/>
    <w:rsid w:val="00D41191"/>
    <w:rsid w:val="00D4123E"/>
    <w:rsid w:val="00D412F7"/>
    <w:rsid w:val="00D4132D"/>
    <w:rsid w:val="00D414BC"/>
    <w:rsid w:val="00D414FA"/>
    <w:rsid w:val="00D4154F"/>
    <w:rsid w:val="00D418C0"/>
    <w:rsid w:val="00D41986"/>
    <w:rsid w:val="00D41B1E"/>
    <w:rsid w:val="00D41B5E"/>
    <w:rsid w:val="00D41D48"/>
    <w:rsid w:val="00D41DAF"/>
    <w:rsid w:val="00D42225"/>
    <w:rsid w:val="00D423D4"/>
    <w:rsid w:val="00D42457"/>
    <w:rsid w:val="00D42612"/>
    <w:rsid w:val="00D4262B"/>
    <w:rsid w:val="00D4264B"/>
    <w:rsid w:val="00D4265B"/>
    <w:rsid w:val="00D426FB"/>
    <w:rsid w:val="00D428A5"/>
    <w:rsid w:val="00D428CF"/>
    <w:rsid w:val="00D428E1"/>
    <w:rsid w:val="00D42A00"/>
    <w:rsid w:val="00D42DF5"/>
    <w:rsid w:val="00D42E11"/>
    <w:rsid w:val="00D42EEA"/>
    <w:rsid w:val="00D431D0"/>
    <w:rsid w:val="00D43408"/>
    <w:rsid w:val="00D435A1"/>
    <w:rsid w:val="00D43751"/>
    <w:rsid w:val="00D43764"/>
    <w:rsid w:val="00D437A1"/>
    <w:rsid w:val="00D43A77"/>
    <w:rsid w:val="00D43D57"/>
    <w:rsid w:val="00D43DF9"/>
    <w:rsid w:val="00D43E9C"/>
    <w:rsid w:val="00D441D9"/>
    <w:rsid w:val="00D441FB"/>
    <w:rsid w:val="00D44281"/>
    <w:rsid w:val="00D4428F"/>
    <w:rsid w:val="00D4430C"/>
    <w:rsid w:val="00D443B4"/>
    <w:rsid w:val="00D44554"/>
    <w:rsid w:val="00D446B4"/>
    <w:rsid w:val="00D446D0"/>
    <w:rsid w:val="00D44705"/>
    <w:rsid w:val="00D4486C"/>
    <w:rsid w:val="00D44876"/>
    <w:rsid w:val="00D448D2"/>
    <w:rsid w:val="00D4499F"/>
    <w:rsid w:val="00D44A63"/>
    <w:rsid w:val="00D44BE9"/>
    <w:rsid w:val="00D44BFF"/>
    <w:rsid w:val="00D44D2F"/>
    <w:rsid w:val="00D44DF4"/>
    <w:rsid w:val="00D45163"/>
    <w:rsid w:val="00D452BB"/>
    <w:rsid w:val="00D452E0"/>
    <w:rsid w:val="00D45310"/>
    <w:rsid w:val="00D4540C"/>
    <w:rsid w:val="00D455AA"/>
    <w:rsid w:val="00D455F8"/>
    <w:rsid w:val="00D45642"/>
    <w:rsid w:val="00D4577A"/>
    <w:rsid w:val="00D457C5"/>
    <w:rsid w:val="00D4580F"/>
    <w:rsid w:val="00D458E0"/>
    <w:rsid w:val="00D45A00"/>
    <w:rsid w:val="00D45AF8"/>
    <w:rsid w:val="00D45C6C"/>
    <w:rsid w:val="00D45CD9"/>
    <w:rsid w:val="00D45D4C"/>
    <w:rsid w:val="00D45D6B"/>
    <w:rsid w:val="00D45D91"/>
    <w:rsid w:val="00D45DA7"/>
    <w:rsid w:val="00D45EFC"/>
    <w:rsid w:val="00D4601E"/>
    <w:rsid w:val="00D46044"/>
    <w:rsid w:val="00D46151"/>
    <w:rsid w:val="00D462FD"/>
    <w:rsid w:val="00D4630F"/>
    <w:rsid w:val="00D46377"/>
    <w:rsid w:val="00D4638C"/>
    <w:rsid w:val="00D46425"/>
    <w:rsid w:val="00D46478"/>
    <w:rsid w:val="00D464B4"/>
    <w:rsid w:val="00D465A8"/>
    <w:rsid w:val="00D46613"/>
    <w:rsid w:val="00D466BC"/>
    <w:rsid w:val="00D46757"/>
    <w:rsid w:val="00D46823"/>
    <w:rsid w:val="00D468B3"/>
    <w:rsid w:val="00D46A46"/>
    <w:rsid w:val="00D46AA7"/>
    <w:rsid w:val="00D471A9"/>
    <w:rsid w:val="00D47277"/>
    <w:rsid w:val="00D472B2"/>
    <w:rsid w:val="00D473B4"/>
    <w:rsid w:val="00D47400"/>
    <w:rsid w:val="00D4762C"/>
    <w:rsid w:val="00D478B1"/>
    <w:rsid w:val="00D47A2A"/>
    <w:rsid w:val="00D47AE4"/>
    <w:rsid w:val="00D47B12"/>
    <w:rsid w:val="00D47B27"/>
    <w:rsid w:val="00D47C0D"/>
    <w:rsid w:val="00D47C79"/>
    <w:rsid w:val="00D47EDD"/>
    <w:rsid w:val="00D50061"/>
    <w:rsid w:val="00D5019A"/>
    <w:rsid w:val="00D501BA"/>
    <w:rsid w:val="00D5053E"/>
    <w:rsid w:val="00D507A4"/>
    <w:rsid w:val="00D50AF0"/>
    <w:rsid w:val="00D50BEA"/>
    <w:rsid w:val="00D50C20"/>
    <w:rsid w:val="00D50C64"/>
    <w:rsid w:val="00D50DDA"/>
    <w:rsid w:val="00D50F1B"/>
    <w:rsid w:val="00D50F28"/>
    <w:rsid w:val="00D5126D"/>
    <w:rsid w:val="00D51295"/>
    <w:rsid w:val="00D51390"/>
    <w:rsid w:val="00D513E0"/>
    <w:rsid w:val="00D513EE"/>
    <w:rsid w:val="00D51401"/>
    <w:rsid w:val="00D5143F"/>
    <w:rsid w:val="00D51675"/>
    <w:rsid w:val="00D51682"/>
    <w:rsid w:val="00D51857"/>
    <w:rsid w:val="00D5191C"/>
    <w:rsid w:val="00D51968"/>
    <w:rsid w:val="00D5199C"/>
    <w:rsid w:val="00D51C05"/>
    <w:rsid w:val="00D51C18"/>
    <w:rsid w:val="00D51C1A"/>
    <w:rsid w:val="00D51F0B"/>
    <w:rsid w:val="00D51FB5"/>
    <w:rsid w:val="00D51FBD"/>
    <w:rsid w:val="00D520D8"/>
    <w:rsid w:val="00D52354"/>
    <w:rsid w:val="00D523C8"/>
    <w:rsid w:val="00D524A4"/>
    <w:rsid w:val="00D524F7"/>
    <w:rsid w:val="00D525EA"/>
    <w:rsid w:val="00D52615"/>
    <w:rsid w:val="00D52676"/>
    <w:rsid w:val="00D5292B"/>
    <w:rsid w:val="00D529BD"/>
    <w:rsid w:val="00D52B7E"/>
    <w:rsid w:val="00D52C60"/>
    <w:rsid w:val="00D52D7D"/>
    <w:rsid w:val="00D52DB1"/>
    <w:rsid w:val="00D52F03"/>
    <w:rsid w:val="00D52FA4"/>
    <w:rsid w:val="00D53021"/>
    <w:rsid w:val="00D53180"/>
    <w:rsid w:val="00D531B6"/>
    <w:rsid w:val="00D53244"/>
    <w:rsid w:val="00D53290"/>
    <w:rsid w:val="00D532B0"/>
    <w:rsid w:val="00D53394"/>
    <w:rsid w:val="00D533C4"/>
    <w:rsid w:val="00D533F7"/>
    <w:rsid w:val="00D5361A"/>
    <w:rsid w:val="00D53798"/>
    <w:rsid w:val="00D537D9"/>
    <w:rsid w:val="00D5393B"/>
    <w:rsid w:val="00D53946"/>
    <w:rsid w:val="00D539D3"/>
    <w:rsid w:val="00D53B07"/>
    <w:rsid w:val="00D53B7E"/>
    <w:rsid w:val="00D53D48"/>
    <w:rsid w:val="00D53DBE"/>
    <w:rsid w:val="00D53F3D"/>
    <w:rsid w:val="00D53FAF"/>
    <w:rsid w:val="00D54127"/>
    <w:rsid w:val="00D54206"/>
    <w:rsid w:val="00D54239"/>
    <w:rsid w:val="00D543D1"/>
    <w:rsid w:val="00D54550"/>
    <w:rsid w:val="00D54557"/>
    <w:rsid w:val="00D546A7"/>
    <w:rsid w:val="00D546ED"/>
    <w:rsid w:val="00D547CF"/>
    <w:rsid w:val="00D547F7"/>
    <w:rsid w:val="00D5487A"/>
    <w:rsid w:val="00D54898"/>
    <w:rsid w:val="00D549D7"/>
    <w:rsid w:val="00D549EF"/>
    <w:rsid w:val="00D54A36"/>
    <w:rsid w:val="00D54AFB"/>
    <w:rsid w:val="00D54DF8"/>
    <w:rsid w:val="00D54F6C"/>
    <w:rsid w:val="00D5526C"/>
    <w:rsid w:val="00D5528F"/>
    <w:rsid w:val="00D554CB"/>
    <w:rsid w:val="00D55512"/>
    <w:rsid w:val="00D5573C"/>
    <w:rsid w:val="00D55856"/>
    <w:rsid w:val="00D558E6"/>
    <w:rsid w:val="00D5598B"/>
    <w:rsid w:val="00D559D7"/>
    <w:rsid w:val="00D55A46"/>
    <w:rsid w:val="00D55CE1"/>
    <w:rsid w:val="00D55D0C"/>
    <w:rsid w:val="00D55F46"/>
    <w:rsid w:val="00D55FAA"/>
    <w:rsid w:val="00D561F2"/>
    <w:rsid w:val="00D5625D"/>
    <w:rsid w:val="00D56303"/>
    <w:rsid w:val="00D56370"/>
    <w:rsid w:val="00D56556"/>
    <w:rsid w:val="00D56666"/>
    <w:rsid w:val="00D567FF"/>
    <w:rsid w:val="00D568E1"/>
    <w:rsid w:val="00D56AD8"/>
    <w:rsid w:val="00D56BBC"/>
    <w:rsid w:val="00D56BDB"/>
    <w:rsid w:val="00D56C26"/>
    <w:rsid w:val="00D56D76"/>
    <w:rsid w:val="00D56DED"/>
    <w:rsid w:val="00D56F11"/>
    <w:rsid w:val="00D57154"/>
    <w:rsid w:val="00D572E0"/>
    <w:rsid w:val="00D5732E"/>
    <w:rsid w:val="00D576E9"/>
    <w:rsid w:val="00D5771B"/>
    <w:rsid w:val="00D57778"/>
    <w:rsid w:val="00D578C6"/>
    <w:rsid w:val="00D57A32"/>
    <w:rsid w:val="00D57AAB"/>
    <w:rsid w:val="00D57B7D"/>
    <w:rsid w:val="00D57E24"/>
    <w:rsid w:val="00D57E3D"/>
    <w:rsid w:val="00D57E88"/>
    <w:rsid w:val="00D57ECB"/>
    <w:rsid w:val="00D60055"/>
    <w:rsid w:val="00D600CA"/>
    <w:rsid w:val="00D60198"/>
    <w:rsid w:val="00D6019D"/>
    <w:rsid w:val="00D601C1"/>
    <w:rsid w:val="00D60201"/>
    <w:rsid w:val="00D6029C"/>
    <w:rsid w:val="00D602BB"/>
    <w:rsid w:val="00D60386"/>
    <w:rsid w:val="00D603E6"/>
    <w:rsid w:val="00D604B6"/>
    <w:rsid w:val="00D6066F"/>
    <w:rsid w:val="00D60AB7"/>
    <w:rsid w:val="00D60CAE"/>
    <w:rsid w:val="00D60E5C"/>
    <w:rsid w:val="00D60EFC"/>
    <w:rsid w:val="00D60F46"/>
    <w:rsid w:val="00D6100A"/>
    <w:rsid w:val="00D613BE"/>
    <w:rsid w:val="00D61584"/>
    <w:rsid w:val="00D61873"/>
    <w:rsid w:val="00D6193A"/>
    <w:rsid w:val="00D61974"/>
    <w:rsid w:val="00D619FD"/>
    <w:rsid w:val="00D61C48"/>
    <w:rsid w:val="00D61C85"/>
    <w:rsid w:val="00D61CFA"/>
    <w:rsid w:val="00D61EA8"/>
    <w:rsid w:val="00D61F39"/>
    <w:rsid w:val="00D61F7E"/>
    <w:rsid w:val="00D61FF0"/>
    <w:rsid w:val="00D62156"/>
    <w:rsid w:val="00D621AD"/>
    <w:rsid w:val="00D621D1"/>
    <w:rsid w:val="00D621F3"/>
    <w:rsid w:val="00D6225D"/>
    <w:rsid w:val="00D6234B"/>
    <w:rsid w:val="00D62472"/>
    <w:rsid w:val="00D624AA"/>
    <w:rsid w:val="00D62547"/>
    <w:rsid w:val="00D62562"/>
    <w:rsid w:val="00D626CC"/>
    <w:rsid w:val="00D6271A"/>
    <w:rsid w:val="00D62746"/>
    <w:rsid w:val="00D62788"/>
    <w:rsid w:val="00D6285E"/>
    <w:rsid w:val="00D62867"/>
    <w:rsid w:val="00D62B22"/>
    <w:rsid w:val="00D62B4B"/>
    <w:rsid w:val="00D62B55"/>
    <w:rsid w:val="00D62CF9"/>
    <w:rsid w:val="00D62D69"/>
    <w:rsid w:val="00D62D96"/>
    <w:rsid w:val="00D62E88"/>
    <w:rsid w:val="00D62F7D"/>
    <w:rsid w:val="00D63244"/>
    <w:rsid w:val="00D63325"/>
    <w:rsid w:val="00D633B8"/>
    <w:rsid w:val="00D6362E"/>
    <w:rsid w:val="00D636C9"/>
    <w:rsid w:val="00D637D9"/>
    <w:rsid w:val="00D637F5"/>
    <w:rsid w:val="00D639AC"/>
    <w:rsid w:val="00D639E9"/>
    <w:rsid w:val="00D639EC"/>
    <w:rsid w:val="00D63AB4"/>
    <w:rsid w:val="00D63AC0"/>
    <w:rsid w:val="00D63DA0"/>
    <w:rsid w:val="00D63DEE"/>
    <w:rsid w:val="00D64183"/>
    <w:rsid w:val="00D642CC"/>
    <w:rsid w:val="00D6430E"/>
    <w:rsid w:val="00D64325"/>
    <w:rsid w:val="00D644F6"/>
    <w:rsid w:val="00D645AF"/>
    <w:rsid w:val="00D64822"/>
    <w:rsid w:val="00D648F4"/>
    <w:rsid w:val="00D64998"/>
    <w:rsid w:val="00D64B51"/>
    <w:rsid w:val="00D64BE2"/>
    <w:rsid w:val="00D64D92"/>
    <w:rsid w:val="00D64EB5"/>
    <w:rsid w:val="00D65239"/>
    <w:rsid w:val="00D6525E"/>
    <w:rsid w:val="00D65299"/>
    <w:rsid w:val="00D65346"/>
    <w:rsid w:val="00D65350"/>
    <w:rsid w:val="00D654F7"/>
    <w:rsid w:val="00D65502"/>
    <w:rsid w:val="00D65744"/>
    <w:rsid w:val="00D65748"/>
    <w:rsid w:val="00D6574E"/>
    <w:rsid w:val="00D65779"/>
    <w:rsid w:val="00D65821"/>
    <w:rsid w:val="00D658F2"/>
    <w:rsid w:val="00D65BC9"/>
    <w:rsid w:val="00D65E0B"/>
    <w:rsid w:val="00D65E46"/>
    <w:rsid w:val="00D660CC"/>
    <w:rsid w:val="00D6664C"/>
    <w:rsid w:val="00D66A56"/>
    <w:rsid w:val="00D66A78"/>
    <w:rsid w:val="00D66C97"/>
    <w:rsid w:val="00D66D3F"/>
    <w:rsid w:val="00D66DFB"/>
    <w:rsid w:val="00D6707B"/>
    <w:rsid w:val="00D670C2"/>
    <w:rsid w:val="00D670E1"/>
    <w:rsid w:val="00D671B3"/>
    <w:rsid w:val="00D67216"/>
    <w:rsid w:val="00D67335"/>
    <w:rsid w:val="00D67524"/>
    <w:rsid w:val="00D67661"/>
    <w:rsid w:val="00D67699"/>
    <w:rsid w:val="00D67881"/>
    <w:rsid w:val="00D678FB"/>
    <w:rsid w:val="00D67988"/>
    <w:rsid w:val="00D679C0"/>
    <w:rsid w:val="00D67A1C"/>
    <w:rsid w:val="00D67B45"/>
    <w:rsid w:val="00D67B82"/>
    <w:rsid w:val="00D67C6E"/>
    <w:rsid w:val="00D67CE4"/>
    <w:rsid w:val="00D67D8C"/>
    <w:rsid w:val="00D67F14"/>
    <w:rsid w:val="00D67FF2"/>
    <w:rsid w:val="00D700B9"/>
    <w:rsid w:val="00D700BC"/>
    <w:rsid w:val="00D70319"/>
    <w:rsid w:val="00D703F9"/>
    <w:rsid w:val="00D7092C"/>
    <w:rsid w:val="00D70A89"/>
    <w:rsid w:val="00D70B04"/>
    <w:rsid w:val="00D70B7D"/>
    <w:rsid w:val="00D70BD6"/>
    <w:rsid w:val="00D70CEE"/>
    <w:rsid w:val="00D70D33"/>
    <w:rsid w:val="00D70E17"/>
    <w:rsid w:val="00D70EB6"/>
    <w:rsid w:val="00D70FC2"/>
    <w:rsid w:val="00D71017"/>
    <w:rsid w:val="00D710F8"/>
    <w:rsid w:val="00D7143F"/>
    <w:rsid w:val="00D71489"/>
    <w:rsid w:val="00D715B4"/>
    <w:rsid w:val="00D7197F"/>
    <w:rsid w:val="00D71A3B"/>
    <w:rsid w:val="00D71A7E"/>
    <w:rsid w:val="00D71D83"/>
    <w:rsid w:val="00D71FD3"/>
    <w:rsid w:val="00D721C3"/>
    <w:rsid w:val="00D721FA"/>
    <w:rsid w:val="00D7243C"/>
    <w:rsid w:val="00D725A3"/>
    <w:rsid w:val="00D725A6"/>
    <w:rsid w:val="00D72628"/>
    <w:rsid w:val="00D72661"/>
    <w:rsid w:val="00D728B7"/>
    <w:rsid w:val="00D72C9A"/>
    <w:rsid w:val="00D72E62"/>
    <w:rsid w:val="00D72F7A"/>
    <w:rsid w:val="00D73028"/>
    <w:rsid w:val="00D7334E"/>
    <w:rsid w:val="00D733E0"/>
    <w:rsid w:val="00D7346E"/>
    <w:rsid w:val="00D73470"/>
    <w:rsid w:val="00D734E3"/>
    <w:rsid w:val="00D735F5"/>
    <w:rsid w:val="00D73631"/>
    <w:rsid w:val="00D738FB"/>
    <w:rsid w:val="00D73C3A"/>
    <w:rsid w:val="00D73C7F"/>
    <w:rsid w:val="00D73C80"/>
    <w:rsid w:val="00D73D4D"/>
    <w:rsid w:val="00D73DCF"/>
    <w:rsid w:val="00D73EE3"/>
    <w:rsid w:val="00D73EF4"/>
    <w:rsid w:val="00D73F07"/>
    <w:rsid w:val="00D74177"/>
    <w:rsid w:val="00D7435A"/>
    <w:rsid w:val="00D743F0"/>
    <w:rsid w:val="00D747B7"/>
    <w:rsid w:val="00D747E8"/>
    <w:rsid w:val="00D7484D"/>
    <w:rsid w:val="00D7493D"/>
    <w:rsid w:val="00D74A2A"/>
    <w:rsid w:val="00D74B7D"/>
    <w:rsid w:val="00D74C5C"/>
    <w:rsid w:val="00D74CA6"/>
    <w:rsid w:val="00D74F3C"/>
    <w:rsid w:val="00D75077"/>
    <w:rsid w:val="00D750F5"/>
    <w:rsid w:val="00D752E0"/>
    <w:rsid w:val="00D75514"/>
    <w:rsid w:val="00D75601"/>
    <w:rsid w:val="00D75BCA"/>
    <w:rsid w:val="00D75C16"/>
    <w:rsid w:val="00D75CDD"/>
    <w:rsid w:val="00D75DA2"/>
    <w:rsid w:val="00D75E22"/>
    <w:rsid w:val="00D760CF"/>
    <w:rsid w:val="00D761A4"/>
    <w:rsid w:val="00D76210"/>
    <w:rsid w:val="00D7637A"/>
    <w:rsid w:val="00D76487"/>
    <w:rsid w:val="00D76561"/>
    <w:rsid w:val="00D76592"/>
    <w:rsid w:val="00D7667E"/>
    <w:rsid w:val="00D766BF"/>
    <w:rsid w:val="00D76AD1"/>
    <w:rsid w:val="00D76C53"/>
    <w:rsid w:val="00D77234"/>
    <w:rsid w:val="00D7745C"/>
    <w:rsid w:val="00D777D2"/>
    <w:rsid w:val="00D77809"/>
    <w:rsid w:val="00D7787B"/>
    <w:rsid w:val="00D77899"/>
    <w:rsid w:val="00D77C2D"/>
    <w:rsid w:val="00D77D4D"/>
    <w:rsid w:val="00D77DED"/>
    <w:rsid w:val="00D77E69"/>
    <w:rsid w:val="00D77EC9"/>
    <w:rsid w:val="00D77F08"/>
    <w:rsid w:val="00D80016"/>
    <w:rsid w:val="00D80029"/>
    <w:rsid w:val="00D80133"/>
    <w:rsid w:val="00D80260"/>
    <w:rsid w:val="00D8026E"/>
    <w:rsid w:val="00D804B0"/>
    <w:rsid w:val="00D8052F"/>
    <w:rsid w:val="00D806C8"/>
    <w:rsid w:val="00D806FD"/>
    <w:rsid w:val="00D80793"/>
    <w:rsid w:val="00D8079F"/>
    <w:rsid w:val="00D807F3"/>
    <w:rsid w:val="00D80828"/>
    <w:rsid w:val="00D809BF"/>
    <w:rsid w:val="00D80AC2"/>
    <w:rsid w:val="00D80BA8"/>
    <w:rsid w:val="00D80C4F"/>
    <w:rsid w:val="00D81014"/>
    <w:rsid w:val="00D810C7"/>
    <w:rsid w:val="00D81181"/>
    <w:rsid w:val="00D813E3"/>
    <w:rsid w:val="00D814F7"/>
    <w:rsid w:val="00D814FF"/>
    <w:rsid w:val="00D81531"/>
    <w:rsid w:val="00D816F1"/>
    <w:rsid w:val="00D8179E"/>
    <w:rsid w:val="00D817A6"/>
    <w:rsid w:val="00D817EB"/>
    <w:rsid w:val="00D819B4"/>
    <w:rsid w:val="00D81A12"/>
    <w:rsid w:val="00D81A41"/>
    <w:rsid w:val="00D81B10"/>
    <w:rsid w:val="00D81B74"/>
    <w:rsid w:val="00D81C61"/>
    <w:rsid w:val="00D81CE3"/>
    <w:rsid w:val="00D81FC8"/>
    <w:rsid w:val="00D82172"/>
    <w:rsid w:val="00D8218D"/>
    <w:rsid w:val="00D82809"/>
    <w:rsid w:val="00D82893"/>
    <w:rsid w:val="00D828CF"/>
    <w:rsid w:val="00D8291D"/>
    <w:rsid w:val="00D82B0A"/>
    <w:rsid w:val="00D82C64"/>
    <w:rsid w:val="00D82E09"/>
    <w:rsid w:val="00D82F9D"/>
    <w:rsid w:val="00D8307B"/>
    <w:rsid w:val="00D83091"/>
    <w:rsid w:val="00D832D1"/>
    <w:rsid w:val="00D83545"/>
    <w:rsid w:val="00D83619"/>
    <w:rsid w:val="00D83729"/>
    <w:rsid w:val="00D837E2"/>
    <w:rsid w:val="00D838DF"/>
    <w:rsid w:val="00D83B79"/>
    <w:rsid w:val="00D83BD9"/>
    <w:rsid w:val="00D83BF1"/>
    <w:rsid w:val="00D83CF9"/>
    <w:rsid w:val="00D83DB9"/>
    <w:rsid w:val="00D83E6B"/>
    <w:rsid w:val="00D84041"/>
    <w:rsid w:val="00D840B7"/>
    <w:rsid w:val="00D843E6"/>
    <w:rsid w:val="00D8443F"/>
    <w:rsid w:val="00D84530"/>
    <w:rsid w:val="00D8453A"/>
    <w:rsid w:val="00D84578"/>
    <w:rsid w:val="00D8466D"/>
    <w:rsid w:val="00D846C2"/>
    <w:rsid w:val="00D849CF"/>
    <w:rsid w:val="00D849D9"/>
    <w:rsid w:val="00D849F7"/>
    <w:rsid w:val="00D84AED"/>
    <w:rsid w:val="00D84DB4"/>
    <w:rsid w:val="00D84EB5"/>
    <w:rsid w:val="00D84FC0"/>
    <w:rsid w:val="00D85025"/>
    <w:rsid w:val="00D85127"/>
    <w:rsid w:val="00D851C3"/>
    <w:rsid w:val="00D851DB"/>
    <w:rsid w:val="00D852B1"/>
    <w:rsid w:val="00D852B9"/>
    <w:rsid w:val="00D85865"/>
    <w:rsid w:val="00D85B0D"/>
    <w:rsid w:val="00D85BB4"/>
    <w:rsid w:val="00D85CF5"/>
    <w:rsid w:val="00D85E7A"/>
    <w:rsid w:val="00D85EA7"/>
    <w:rsid w:val="00D8614E"/>
    <w:rsid w:val="00D863A5"/>
    <w:rsid w:val="00D86439"/>
    <w:rsid w:val="00D86551"/>
    <w:rsid w:val="00D86560"/>
    <w:rsid w:val="00D8671D"/>
    <w:rsid w:val="00D86783"/>
    <w:rsid w:val="00D8697D"/>
    <w:rsid w:val="00D869C8"/>
    <w:rsid w:val="00D86C7F"/>
    <w:rsid w:val="00D86EC1"/>
    <w:rsid w:val="00D86FD6"/>
    <w:rsid w:val="00D87042"/>
    <w:rsid w:val="00D87196"/>
    <w:rsid w:val="00D872CA"/>
    <w:rsid w:val="00D872D9"/>
    <w:rsid w:val="00D87327"/>
    <w:rsid w:val="00D87328"/>
    <w:rsid w:val="00D875FD"/>
    <w:rsid w:val="00D876DA"/>
    <w:rsid w:val="00D87820"/>
    <w:rsid w:val="00D8791B"/>
    <w:rsid w:val="00D87A9C"/>
    <w:rsid w:val="00D87B78"/>
    <w:rsid w:val="00D87DD6"/>
    <w:rsid w:val="00D87E4F"/>
    <w:rsid w:val="00D90045"/>
    <w:rsid w:val="00D90152"/>
    <w:rsid w:val="00D901E2"/>
    <w:rsid w:val="00D9028E"/>
    <w:rsid w:val="00D904CD"/>
    <w:rsid w:val="00D905E3"/>
    <w:rsid w:val="00D90680"/>
    <w:rsid w:val="00D9086A"/>
    <w:rsid w:val="00D9088C"/>
    <w:rsid w:val="00D90944"/>
    <w:rsid w:val="00D909B6"/>
    <w:rsid w:val="00D90B06"/>
    <w:rsid w:val="00D90BC5"/>
    <w:rsid w:val="00D90CBB"/>
    <w:rsid w:val="00D90F90"/>
    <w:rsid w:val="00D90FF4"/>
    <w:rsid w:val="00D9117D"/>
    <w:rsid w:val="00D912B7"/>
    <w:rsid w:val="00D912B9"/>
    <w:rsid w:val="00D912D2"/>
    <w:rsid w:val="00D912F6"/>
    <w:rsid w:val="00D912F9"/>
    <w:rsid w:val="00D91321"/>
    <w:rsid w:val="00D9135B"/>
    <w:rsid w:val="00D914D1"/>
    <w:rsid w:val="00D91569"/>
    <w:rsid w:val="00D91690"/>
    <w:rsid w:val="00D916C4"/>
    <w:rsid w:val="00D9180E"/>
    <w:rsid w:val="00D918AD"/>
    <w:rsid w:val="00D91950"/>
    <w:rsid w:val="00D91CDC"/>
    <w:rsid w:val="00D91D32"/>
    <w:rsid w:val="00D91E02"/>
    <w:rsid w:val="00D91E7D"/>
    <w:rsid w:val="00D91FB2"/>
    <w:rsid w:val="00D92038"/>
    <w:rsid w:val="00D92106"/>
    <w:rsid w:val="00D9222B"/>
    <w:rsid w:val="00D92396"/>
    <w:rsid w:val="00D9240D"/>
    <w:rsid w:val="00D92463"/>
    <w:rsid w:val="00D92884"/>
    <w:rsid w:val="00D928B7"/>
    <w:rsid w:val="00D92AC9"/>
    <w:rsid w:val="00D92CCE"/>
    <w:rsid w:val="00D92E6B"/>
    <w:rsid w:val="00D92FEE"/>
    <w:rsid w:val="00D931F1"/>
    <w:rsid w:val="00D93275"/>
    <w:rsid w:val="00D93294"/>
    <w:rsid w:val="00D932C9"/>
    <w:rsid w:val="00D93358"/>
    <w:rsid w:val="00D9335B"/>
    <w:rsid w:val="00D934C1"/>
    <w:rsid w:val="00D93875"/>
    <w:rsid w:val="00D938DA"/>
    <w:rsid w:val="00D93A10"/>
    <w:rsid w:val="00D93A98"/>
    <w:rsid w:val="00D93AB8"/>
    <w:rsid w:val="00D93B7C"/>
    <w:rsid w:val="00D93BF5"/>
    <w:rsid w:val="00D93C0F"/>
    <w:rsid w:val="00D93C95"/>
    <w:rsid w:val="00D93CD6"/>
    <w:rsid w:val="00D93CF6"/>
    <w:rsid w:val="00D93D3F"/>
    <w:rsid w:val="00D93D5C"/>
    <w:rsid w:val="00D93E23"/>
    <w:rsid w:val="00D93F06"/>
    <w:rsid w:val="00D93F86"/>
    <w:rsid w:val="00D94030"/>
    <w:rsid w:val="00D94186"/>
    <w:rsid w:val="00D9443F"/>
    <w:rsid w:val="00D944B3"/>
    <w:rsid w:val="00D94600"/>
    <w:rsid w:val="00D94836"/>
    <w:rsid w:val="00D948CB"/>
    <w:rsid w:val="00D948FC"/>
    <w:rsid w:val="00D94D78"/>
    <w:rsid w:val="00D94DEE"/>
    <w:rsid w:val="00D95063"/>
    <w:rsid w:val="00D950AA"/>
    <w:rsid w:val="00D95142"/>
    <w:rsid w:val="00D951CA"/>
    <w:rsid w:val="00D9534C"/>
    <w:rsid w:val="00D9552D"/>
    <w:rsid w:val="00D95549"/>
    <w:rsid w:val="00D95572"/>
    <w:rsid w:val="00D955A2"/>
    <w:rsid w:val="00D957FE"/>
    <w:rsid w:val="00D95802"/>
    <w:rsid w:val="00D95956"/>
    <w:rsid w:val="00D95AA9"/>
    <w:rsid w:val="00D95B5E"/>
    <w:rsid w:val="00D95BB1"/>
    <w:rsid w:val="00D95C67"/>
    <w:rsid w:val="00D95DD3"/>
    <w:rsid w:val="00D95F2D"/>
    <w:rsid w:val="00D95F4E"/>
    <w:rsid w:val="00D95F86"/>
    <w:rsid w:val="00D95FB9"/>
    <w:rsid w:val="00D960F5"/>
    <w:rsid w:val="00D9620C"/>
    <w:rsid w:val="00D96384"/>
    <w:rsid w:val="00D96398"/>
    <w:rsid w:val="00D96523"/>
    <w:rsid w:val="00D9664A"/>
    <w:rsid w:val="00D9667F"/>
    <w:rsid w:val="00D967DC"/>
    <w:rsid w:val="00D96975"/>
    <w:rsid w:val="00D969B1"/>
    <w:rsid w:val="00D96AC4"/>
    <w:rsid w:val="00D96ADE"/>
    <w:rsid w:val="00D96B1A"/>
    <w:rsid w:val="00D96B33"/>
    <w:rsid w:val="00D96DBB"/>
    <w:rsid w:val="00D96E25"/>
    <w:rsid w:val="00D97189"/>
    <w:rsid w:val="00D972BD"/>
    <w:rsid w:val="00D972F4"/>
    <w:rsid w:val="00D97389"/>
    <w:rsid w:val="00D9743C"/>
    <w:rsid w:val="00D97ACC"/>
    <w:rsid w:val="00D97AD8"/>
    <w:rsid w:val="00D97C29"/>
    <w:rsid w:val="00D97CE6"/>
    <w:rsid w:val="00D97CF1"/>
    <w:rsid w:val="00D97D54"/>
    <w:rsid w:val="00DA0145"/>
    <w:rsid w:val="00DA02FA"/>
    <w:rsid w:val="00DA03EB"/>
    <w:rsid w:val="00DA04B8"/>
    <w:rsid w:val="00DA0513"/>
    <w:rsid w:val="00DA05B5"/>
    <w:rsid w:val="00DA0627"/>
    <w:rsid w:val="00DA067D"/>
    <w:rsid w:val="00DA070D"/>
    <w:rsid w:val="00DA07CE"/>
    <w:rsid w:val="00DA0898"/>
    <w:rsid w:val="00DA0B78"/>
    <w:rsid w:val="00DA0C44"/>
    <w:rsid w:val="00DA0C67"/>
    <w:rsid w:val="00DA0F04"/>
    <w:rsid w:val="00DA100E"/>
    <w:rsid w:val="00DA107C"/>
    <w:rsid w:val="00DA148F"/>
    <w:rsid w:val="00DA164A"/>
    <w:rsid w:val="00DA16BE"/>
    <w:rsid w:val="00DA171B"/>
    <w:rsid w:val="00DA174B"/>
    <w:rsid w:val="00DA175B"/>
    <w:rsid w:val="00DA1CE4"/>
    <w:rsid w:val="00DA1D1B"/>
    <w:rsid w:val="00DA1E01"/>
    <w:rsid w:val="00DA1F2E"/>
    <w:rsid w:val="00DA1F56"/>
    <w:rsid w:val="00DA1F72"/>
    <w:rsid w:val="00DA2015"/>
    <w:rsid w:val="00DA2125"/>
    <w:rsid w:val="00DA2706"/>
    <w:rsid w:val="00DA27DC"/>
    <w:rsid w:val="00DA28A1"/>
    <w:rsid w:val="00DA2A5A"/>
    <w:rsid w:val="00DA2C3A"/>
    <w:rsid w:val="00DA2F8A"/>
    <w:rsid w:val="00DA3002"/>
    <w:rsid w:val="00DA3327"/>
    <w:rsid w:val="00DA33FF"/>
    <w:rsid w:val="00DA358F"/>
    <w:rsid w:val="00DA38E9"/>
    <w:rsid w:val="00DA3A32"/>
    <w:rsid w:val="00DA3BB6"/>
    <w:rsid w:val="00DA3C6F"/>
    <w:rsid w:val="00DA3CD6"/>
    <w:rsid w:val="00DA3DCB"/>
    <w:rsid w:val="00DA3E59"/>
    <w:rsid w:val="00DA3F27"/>
    <w:rsid w:val="00DA4081"/>
    <w:rsid w:val="00DA4245"/>
    <w:rsid w:val="00DA4282"/>
    <w:rsid w:val="00DA4494"/>
    <w:rsid w:val="00DA4631"/>
    <w:rsid w:val="00DA4CE8"/>
    <w:rsid w:val="00DA4CEF"/>
    <w:rsid w:val="00DA4E56"/>
    <w:rsid w:val="00DA4FB7"/>
    <w:rsid w:val="00DA504A"/>
    <w:rsid w:val="00DA5114"/>
    <w:rsid w:val="00DA513C"/>
    <w:rsid w:val="00DA51FA"/>
    <w:rsid w:val="00DA5228"/>
    <w:rsid w:val="00DA524C"/>
    <w:rsid w:val="00DA5269"/>
    <w:rsid w:val="00DA52D8"/>
    <w:rsid w:val="00DA53A7"/>
    <w:rsid w:val="00DA542B"/>
    <w:rsid w:val="00DA54B8"/>
    <w:rsid w:val="00DA56CC"/>
    <w:rsid w:val="00DA56FE"/>
    <w:rsid w:val="00DA5798"/>
    <w:rsid w:val="00DA585B"/>
    <w:rsid w:val="00DA59B8"/>
    <w:rsid w:val="00DA5A61"/>
    <w:rsid w:val="00DA5A70"/>
    <w:rsid w:val="00DA5B64"/>
    <w:rsid w:val="00DA5C2D"/>
    <w:rsid w:val="00DA5E29"/>
    <w:rsid w:val="00DA606D"/>
    <w:rsid w:val="00DA606F"/>
    <w:rsid w:val="00DA645D"/>
    <w:rsid w:val="00DA6475"/>
    <w:rsid w:val="00DA6820"/>
    <w:rsid w:val="00DA686B"/>
    <w:rsid w:val="00DA69AA"/>
    <w:rsid w:val="00DA6AAE"/>
    <w:rsid w:val="00DA6D30"/>
    <w:rsid w:val="00DA6E55"/>
    <w:rsid w:val="00DA70C0"/>
    <w:rsid w:val="00DA7133"/>
    <w:rsid w:val="00DA733A"/>
    <w:rsid w:val="00DA73BE"/>
    <w:rsid w:val="00DA776D"/>
    <w:rsid w:val="00DA7787"/>
    <w:rsid w:val="00DA7860"/>
    <w:rsid w:val="00DA7902"/>
    <w:rsid w:val="00DA7AD4"/>
    <w:rsid w:val="00DA7B6F"/>
    <w:rsid w:val="00DA7DFB"/>
    <w:rsid w:val="00DA7EF3"/>
    <w:rsid w:val="00DA7F03"/>
    <w:rsid w:val="00DA7F92"/>
    <w:rsid w:val="00DB0101"/>
    <w:rsid w:val="00DB0263"/>
    <w:rsid w:val="00DB031C"/>
    <w:rsid w:val="00DB0449"/>
    <w:rsid w:val="00DB053F"/>
    <w:rsid w:val="00DB056C"/>
    <w:rsid w:val="00DB06A9"/>
    <w:rsid w:val="00DB0756"/>
    <w:rsid w:val="00DB078F"/>
    <w:rsid w:val="00DB0968"/>
    <w:rsid w:val="00DB0BCD"/>
    <w:rsid w:val="00DB0CBC"/>
    <w:rsid w:val="00DB0CC8"/>
    <w:rsid w:val="00DB0D1F"/>
    <w:rsid w:val="00DB0D62"/>
    <w:rsid w:val="00DB0D74"/>
    <w:rsid w:val="00DB0F98"/>
    <w:rsid w:val="00DB1089"/>
    <w:rsid w:val="00DB1314"/>
    <w:rsid w:val="00DB1390"/>
    <w:rsid w:val="00DB1394"/>
    <w:rsid w:val="00DB13F9"/>
    <w:rsid w:val="00DB1535"/>
    <w:rsid w:val="00DB166D"/>
    <w:rsid w:val="00DB17AC"/>
    <w:rsid w:val="00DB1883"/>
    <w:rsid w:val="00DB1929"/>
    <w:rsid w:val="00DB193A"/>
    <w:rsid w:val="00DB1BEE"/>
    <w:rsid w:val="00DB1D1B"/>
    <w:rsid w:val="00DB1F84"/>
    <w:rsid w:val="00DB2056"/>
    <w:rsid w:val="00DB2240"/>
    <w:rsid w:val="00DB23BB"/>
    <w:rsid w:val="00DB2422"/>
    <w:rsid w:val="00DB25A8"/>
    <w:rsid w:val="00DB28C3"/>
    <w:rsid w:val="00DB2ABC"/>
    <w:rsid w:val="00DB2D04"/>
    <w:rsid w:val="00DB2E20"/>
    <w:rsid w:val="00DB2F79"/>
    <w:rsid w:val="00DB2FB3"/>
    <w:rsid w:val="00DB3353"/>
    <w:rsid w:val="00DB3A3A"/>
    <w:rsid w:val="00DB3C8B"/>
    <w:rsid w:val="00DB3EE9"/>
    <w:rsid w:val="00DB3F36"/>
    <w:rsid w:val="00DB41BF"/>
    <w:rsid w:val="00DB420E"/>
    <w:rsid w:val="00DB4246"/>
    <w:rsid w:val="00DB43D9"/>
    <w:rsid w:val="00DB4405"/>
    <w:rsid w:val="00DB4510"/>
    <w:rsid w:val="00DB46F3"/>
    <w:rsid w:val="00DB4819"/>
    <w:rsid w:val="00DB49EC"/>
    <w:rsid w:val="00DB4A19"/>
    <w:rsid w:val="00DB4C1D"/>
    <w:rsid w:val="00DB4C4A"/>
    <w:rsid w:val="00DB5030"/>
    <w:rsid w:val="00DB5142"/>
    <w:rsid w:val="00DB5147"/>
    <w:rsid w:val="00DB51A2"/>
    <w:rsid w:val="00DB51D0"/>
    <w:rsid w:val="00DB5258"/>
    <w:rsid w:val="00DB5342"/>
    <w:rsid w:val="00DB55A8"/>
    <w:rsid w:val="00DB57A1"/>
    <w:rsid w:val="00DB57A5"/>
    <w:rsid w:val="00DB57B8"/>
    <w:rsid w:val="00DB581C"/>
    <w:rsid w:val="00DB5E9D"/>
    <w:rsid w:val="00DB6112"/>
    <w:rsid w:val="00DB6140"/>
    <w:rsid w:val="00DB61D7"/>
    <w:rsid w:val="00DB6725"/>
    <w:rsid w:val="00DB67C3"/>
    <w:rsid w:val="00DB6866"/>
    <w:rsid w:val="00DB6920"/>
    <w:rsid w:val="00DB695F"/>
    <w:rsid w:val="00DB6963"/>
    <w:rsid w:val="00DB69D5"/>
    <w:rsid w:val="00DB6A24"/>
    <w:rsid w:val="00DB6A3C"/>
    <w:rsid w:val="00DB6B17"/>
    <w:rsid w:val="00DB6BF6"/>
    <w:rsid w:val="00DB6C60"/>
    <w:rsid w:val="00DB6D5C"/>
    <w:rsid w:val="00DB6E0A"/>
    <w:rsid w:val="00DB6E40"/>
    <w:rsid w:val="00DB6F0B"/>
    <w:rsid w:val="00DB6FF5"/>
    <w:rsid w:val="00DB7055"/>
    <w:rsid w:val="00DB719D"/>
    <w:rsid w:val="00DB7278"/>
    <w:rsid w:val="00DB766B"/>
    <w:rsid w:val="00DB7836"/>
    <w:rsid w:val="00DB786C"/>
    <w:rsid w:val="00DB7927"/>
    <w:rsid w:val="00DB7981"/>
    <w:rsid w:val="00DB79B1"/>
    <w:rsid w:val="00DB7AC3"/>
    <w:rsid w:val="00DB7C94"/>
    <w:rsid w:val="00DB7D03"/>
    <w:rsid w:val="00DB7E35"/>
    <w:rsid w:val="00DB7F09"/>
    <w:rsid w:val="00DC000C"/>
    <w:rsid w:val="00DC00E8"/>
    <w:rsid w:val="00DC016C"/>
    <w:rsid w:val="00DC016E"/>
    <w:rsid w:val="00DC039E"/>
    <w:rsid w:val="00DC0582"/>
    <w:rsid w:val="00DC0713"/>
    <w:rsid w:val="00DC09B6"/>
    <w:rsid w:val="00DC0B31"/>
    <w:rsid w:val="00DC0DD7"/>
    <w:rsid w:val="00DC0EA1"/>
    <w:rsid w:val="00DC0EB0"/>
    <w:rsid w:val="00DC0F55"/>
    <w:rsid w:val="00DC0F99"/>
    <w:rsid w:val="00DC10B5"/>
    <w:rsid w:val="00DC1193"/>
    <w:rsid w:val="00DC124D"/>
    <w:rsid w:val="00DC147D"/>
    <w:rsid w:val="00DC14C5"/>
    <w:rsid w:val="00DC18EC"/>
    <w:rsid w:val="00DC1AC0"/>
    <w:rsid w:val="00DC1AF9"/>
    <w:rsid w:val="00DC1B53"/>
    <w:rsid w:val="00DC1D69"/>
    <w:rsid w:val="00DC1EB6"/>
    <w:rsid w:val="00DC1F84"/>
    <w:rsid w:val="00DC20CD"/>
    <w:rsid w:val="00DC20E8"/>
    <w:rsid w:val="00DC2137"/>
    <w:rsid w:val="00DC2198"/>
    <w:rsid w:val="00DC23C1"/>
    <w:rsid w:val="00DC2497"/>
    <w:rsid w:val="00DC24AB"/>
    <w:rsid w:val="00DC2571"/>
    <w:rsid w:val="00DC265F"/>
    <w:rsid w:val="00DC2731"/>
    <w:rsid w:val="00DC2817"/>
    <w:rsid w:val="00DC282D"/>
    <w:rsid w:val="00DC289E"/>
    <w:rsid w:val="00DC2E0C"/>
    <w:rsid w:val="00DC2EE4"/>
    <w:rsid w:val="00DC2FA6"/>
    <w:rsid w:val="00DC30FC"/>
    <w:rsid w:val="00DC3205"/>
    <w:rsid w:val="00DC325D"/>
    <w:rsid w:val="00DC32EA"/>
    <w:rsid w:val="00DC34B3"/>
    <w:rsid w:val="00DC3890"/>
    <w:rsid w:val="00DC3898"/>
    <w:rsid w:val="00DC38F6"/>
    <w:rsid w:val="00DC39D2"/>
    <w:rsid w:val="00DC3A57"/>
    <w:rsid w:val="00DC3C73"/>
    <w:rsid w:val="00DC3E8B"/>
    <w:rsid w:val="00DC3FEB"/>
    <w:rsid w:val="00DC402D"/>
    <w:rsid w:val="00DC4359"/>
    <w:rsid w:val="00DC44DF"/>
    <w:rsid w:val="00DC44E6"/>
    <w:rsid w:val="00DC480D"/>
    <w:rsid w:val="00DC4983"/>
    <w:rsid w:val="00DC4A03"/>
    <w:rsid w:val="00DC4A9B"/>
    <w:rsid w:val="00DC4AA9"/>
    <w:rsid w:val="00DC4AFE"/>
    <w:rsid w:val="00DC4C7B"/>
    <w:rsid w:val="00DC4D10"/>
    <w:rsid w:val="00DC4D99"/>
    <w:rsid w:val="00DC4EB4"/>
    <w:rsid w:val="00DC4F30"/>
    <w:rsid w:val="00DC5021"/>
    <w:rsid w:val="00DC5055"/>
    <w:rsid w:val="00DC506B"/>
    <w:rsid w:val="00DC50D8"/>
    <w:rsid w:val="00DC51DD"/>
    <w:rsid w:val="00DC538D"/>
    <w:rsid w:val="00DC5678"/>
    <w:rsid w:val="00DC56B4"/>
    <w:rsid w:val="00DC581B"/>
    <w:rsid w:val="00DC5A0F"/>
    <w:rsid w:val="00DC5B13"/>
    <w:rsid w:val="00DC5B1A"/>
    <w:rsid w:val="00DC5BEF"/>
    <w:rsid w:val="00DC5F13"/>
    <w:rsid w:val="00DC5F9F"/>
    <w:rsid w:val="00DC6206"/>
    <w:rsid w:val="00DC6338"/>
    <w:rsid w:val="00DC661F"/>
    <w:rsid w:val="00DC68C7"/>
    <w:rsid w:val="00DC6AFF"/>
    <w:rsid w:val="00DC6B95"/>
    <w:rsid w:val="00DC6C32"/>
    <w:rsid w:val="00DC6D73"/>
    <w:rsid w:val="00DC6E8F"/>
    <w:rsid w:val="00DC6F68"/>
    <w:rsid w:val="00DC700D"/>
    <w:rsid w:val="00DC718B"/>
    <w:rsid w:val="00DC73E9"/>
    <w:rsid w:val="00DC75BE"/>
    <w:rsid w:val="00DC77D3"/>
    <w:rsid w:val="00DC7887"/>
    <w:rsid w:val="00DC7942"/>
    <w:rsid w:val="00DC7A55"/>
    <w:rsid w:val="00DC7B16"/>
    <w:rsid w:val="00DC7E5C"/>
    <w:rsid w:val="00DC7E77"/>
    <w:rsid w:val="00DD0001"/>
    <w:rsid w:val="00DD00AA"/>
    <w:rsid w:val="00DD0330"/>
    <w:rsid w:val="00DD0408"/>
    <w:rsid w:val="00DD08D3"/>
    <w:rsid w:val="00DD0977"/>
    <w:rsid w:val="00DD0E64"/>
    <w:rsid w:val="00DD0F4B"/>
    <w:rsid w:val="00DD0F58"/>
    <w:rsid w:val="00DD0F6A"/>
    <w:rsid w:val="00DD12A6"/>
    <w:rsid w:val="00DD12C9"/>
    <w:rsid w:val="00DD1346"/>
    <w:rsid w:val="00DD1515"/>
    <w:rsid w:val="00DD1737"/>
    <w:rsid w:val="00DD1785"/>
    <w:rsid w:val="00DD17C2"/>
    <w:rsid w:val="00DD1928"/>
    <w:rsid w:val="00DD1A81"/>
    <w:rsid w:val="00DD1AFE"/>
    <w:rsid w:val="00DD1C1B"/>
    <w:rsid w:val="00DD1D3B"/>
    <w:rsid w:val="00DD1E1B"/>
    <w:rsid w:val="00DD1F49"/>
    <w:rsid w:val="00DD1F81"/>
    <w:rsid w:val="00DD1FB5"/>
    <w:rsid w:val="00DD2035"/>
    <w:rsid w:val="00DD207A"/>
    <w:rsid w:val="00DD207C"/>
    <w:rsid w:val="00DD219B"/>
    <w:rsid w:val="00DD22A5"/>
    <w:rsid w:val="00DD23DD"/>
    <w:rsid w:val="00DD2528"/>
    <w:rsid w:val="00DD26DE"/>
    <w:rsid w:val="00DD2752"/>
    <w:rsid w:val="00DD2859"/>
    <w:rsid w:val="00DD2F28"/>
    <w:rsid w:val="00DD2F6F"/>
    <w:rsid w:val="00DD30D2"/>
    <w:rsid w:val="00DD32DC"/>
    <w:rsid w:val="00DD3351"/>
    <w:rsid w:val="00DD3481"/>
    <w:rsid w:val="00DD365A"/>
    <w:rsid w:val="00DD393C"/>
    <w:rsid w:val="00DD3AF7"/>
    <w:rsid w:val="00DD3DD2"/>
    <w:rsid w:val="00DD4133"/>
    <w:rsid w:val="00DD41BB"/>
    <w:rsid w:val="00DD430A"/>
    <w:rsid w:val="00DD43C7"/>
    <w:rsid w:val="00DD4510"/>
    <w:rsid w:val="00DD4537"/>
    <w:rsid w:val="00DD4A36"/>
    <w:rsid w:val="00DD4A46"/>
    <w:rsid w:val="00DD4C3A"/>
    <w:rsid w:val="00DD4DB8"/>
    <w:rsid w:val="00DD4DF7"/>
    <w:rsid w:val="00DD4F25"/>
    <w:rsid w:val="00DD4F5F"/>
    <w:rsid w:val="00DD503B"/>
    <w:rsid w:val="00DD50F3"/>
    <w:rsid w:val="00DD5135"/>
    <w:rsid w:val="00DD52E5"/>
    <w:rsid w:val="00DD5691"/>
    <w:rsid w:val="00DD56D6"/>
    <w:rsid w:val="00DD57BC"/>
    <w:rsid w:val="00DD58D0"/>
    <w:rsid w:val="00DD5993"/>
    <w:rsid w:val="00DD59AB"/>
    <w:rsid w:val="00DD5AF7"/>
    <w:rsid w:val="00DD5C26"/>
    <w:rsid w:val="00DD5D3F"/>
    <w:rsid w:val="00DD5D92"/>
    <w:rsid w:val="00DD5D93"/>
    <w:rsid w:val="00DD5E61"/>
    <w:rsid w:val="00DD63D1"/>
    <w:rsid w:val="00DD66CE"/>
    <w:rsid w:val="00DD67D4"/>
    <w:rsid w:val="00DD695A"/>
    <w:rsid w:val="00DD69EB"/>
    <w:rsid w:val="00DD6B31"/>
    <w:rsid w:val="00DD6C00"/>
    <w:rsid w:val="00DD6EE8"/>
    <w:rsid w:val="00DD6F7D"/>
    <w:rsid w:val="00DD7003"/>
    <w:rsid w:val="00DD70CA"/>
    <w:rsid w:val="00DD70D5"/>
    <w:rsid w:val="00DD73F1"/>
    <w:rsid w:val="00DD77A3"/>
    <w:rsid w:val="00DD7912"/>
    <w:rsid w:val="00DD7947"/>
    <w:rsid w:val="00DD79F4"/>
    <w:rsid w:val="00DD7A2E"/>
    <w:rsid w:val="00DD7BAE"/>
    <w:rsid w:val="00DD7BCE"/>
    <w:rsid w:val="00DD7BFE"/>
    <w:rsid w:val="00DD7C2A"/>
    <w:rsid w:val="00DD7C7F"/>
    <w:rsid w:val="00DD7DB4"/>
    <w:rsid w:val="00DD7E59"/>
    <w:rsid w:val="00DD7E85"/>
    <w:rsid w:val="00DE008E"/>
    <w:rsid w:val="00DE00D8"/>
    <w:rsid w:val="00DE0131"/>
    <w:rsid w:val="00DE021C"/>
    <w:rsid w:val="00DE0281"/>
    <w:rsid w:val="00DE02BA"/>
    <w:rsid w:val="00DE02C8"/>
    <w:rsid w:val="00DE0511"/>
    <w:rsid w:val="00DE0601"/>
    <w:rsid w:val="00DE060D"/>
    <w:rsid w:val="00DE078C"/>
    <w:rsid w:val="00DE09EC"/>
    <w:rsid w:val="00DE09F9"/>
    <w:rsid w:val="00DE0A1D"/>
    <w:rsid w:val="00DE0AD2"/>
    <w:rsid w:val="00DE0B20"/>
    <w:rsid w:val="00DE0BC7"/>
    <w:rsid w:val="00DE0BDE"/>
    <w:rsid w:val="00DE0E82"/>
    <w:rsid w:val="00DE0F1D"/>
    <w:rsid w:val="00DE0F32"/>
    <w:rsid w:val="00DE0FCB"/>
    <w:rsid w:val="00DE11BB"/>
    <w:rsid w:val="00DE1251"/>
    <w:rsid w:val="00DE1354"/>
    <w:rsid w:val="00DE13AA"/>
    <w:rsid w:val="00DE1498"/>
    <w:rsid w:val="00DE16D9"/>
    <w:rsid w:val="00DE171C"/>
    <w:rsid w:val="00DE1793"/>
    <w:rsid w:val="00DE1878"/>
    <w:rsid w:val="00DE19B2"/>
    <w:rsid w:val="00DE1B28"/>
    <w:rsid w:val="00DE1B47"/>
    <w:rsid w:val="00DE1D39"/>
    <w:rsid w:val="00DE1DB9"/>
    <w:rsid w:val="00DE1DE2"/>
    <w:rsid w:val="00DE2019"/>
    <w:rsid w:val="00DE21C2"/>
    <w:rsid w:val="00DE2296"/>
    <w:rsid w:val="00DE229E"/>
    <w:rsid w:val="00DE2456"/>
    <w:rsid w:val="00DE2A68"/>
    <w:rsid w:val="00DE2AB2"/>
    <w:rsid w:val="00DE2AD7"/>
    <w:rsid w:val="00DE2C64"/>
    <w:rsid w:val="00DE2E42"/>
    <w:rsid w:val="00DE2F29"/>
    <w:rsid w:val="00DE3128"/>
    <w:rsid w:val="00DE3178"/>
    <w:rsid w:val="00DE3358"/>
    <w:rsid w:val="00DE338F"/>
    <w:rsid w:val="00DE340D"/>
    <w:rsid w:val="00DE3515"/>
    <w:rsid w:val="00DE354A"/>
    <w:rsid w:val="00DE3641"/>
    <w:rsid w:val="00DE3707"/>
    <w:rsid w:val="00DE3959"/>
    <w:rsid w:val="00DE3A29"/>
    <w:rsid w:val="00DE3B39"/>
    <w:rsid w:val="00DE3C0A"/>
    <w:rsid w:val="00DE3C71"/>
    <w:rsid w:val="00DE3CE3"/>
    <w:rsid w:val="00DE3CEF"/>
    <w:rsid w:val="00DE3D00"/>
    <w:rsid w:val="00DE3D14"/>
    <w:rsid w:val="00DE3DCD"/>
    <w:rsid w:val="00DE3F2C"/>
    <w:rsid w:val="00DE4163"/>
    <w:rsid w:val="00DE42F1"/>
    <w:rsid w:val="00DE42F3"/>
    <w:rsid w:val="00DE4448"/>
    <w:rsid w:val="00DE456B"/>
    <w:rsid w:val="00DE474E"/>
    <w:rsid w:val="00DE4897"/>
    <w:rsid w:val="00DE4A82"/>
    <w:rsid w:val="00DE4C99"/>
    <w:rsid w:val="00DE4E37"/>
    <w:rsid w:val="00DE4F28"/>
    <w:rsid w:val="00DE4F45"/>
    <w:rsid w:val="00DE4FF6"/>
    <w:rsid w:val="00DE5031"/>
    <w:rsid w:val="00DE5128"/>
    <w:rsid w:val="00DE51C0"/>
    <w:rsid w:val="00DE5312"/>
    <w:rsid w:val="00DE54B7"/>
    <w:rsid w:val="00DE54E3"/>
    <w:rsid w:val="00DE5502"/>
    <w:rsid w:val="00DE5896"/>
    <w:rsid w:val="00DE5934"/>
    <w:rsid w:val="00DE600E"/>
    <w:rsid w:val="00DE607C"/>
    <w:rsid w:val="00DE616E"/>
    <w:rsid w:val="00DE6272"/>
    <w:rsid w:val="00DE62CB"/>
    <w:rsid w:val="00DE6412"/>
    <w:rsid w:val="00DE66BC"/>
    <w:rsid w:val="00DE6756"/>
    <w:rsid w:val="00DE679C"/>
    <w:rsid w:val="00DE68FB"/>
    <w:rsid w:val="00DE6B5F"/>
    <w:rsid w:val="00DE6CDF"/>
    <w:rsid w:val="00DE6D9C"/>
    <w:rsid w:val="00DE6DA7"/>
    <w:rsid w:val="00DE6DB4"/>
    <w:rsid w:val="00DE6E88"/>
    <w:rsid w:val="00DE7068"/>
    <w:rsid w:val="00DE716D"/>
    <w:rsid w:val="00DE7299"/>
    <w:rsid w:val="00DE7347"/>
    <w:rsid w:val="00DE74C3"/>
    <w:rsid w:val="00DE75BF"/>
    <w:rsid w:val="00DE7658"/>
    <w:rsid w:val="00DE76D8"/>
    <w:rsid w:val="00DE779C"/>
    <w:rsid w:val="00DE785A"/>
    <w:rsid w:val="00DE7876"/>
    <w:rsid w:val="00DE7930"/>
    <w:rsid w:val="00DE7A71"/>
    <w:rsid w:val="00DE7A85"/>
    <w:rsid w:val="00DE7B36"/>
    <w:rsid w:val="00DE7B6E"/>
    <w:rsid w:val="00DE7ED4"/>
    <w:rsid w:val="00DF00C0"/>
    <w:rsid w:val="00DF0148"/>
    <w:rsid w:val="00DF0260"/>
    <w:rsid w:val="00DF028A"/>
    <w:rsid w:val="00DF02CE"/>
    <w:rsid w:val="00DF0430"/>
    <w:rsid w:val="00DF04B6"/>
    <w:rsid w:val="00DF0553"/>
    <w:rsid w:val="00DF061A"/>
    <w:rsid w:val="00DF081E"/>
    <w:rsid w:val="00DF0933"/>
    <w:rsid w:val="00DF09B9"/>
    <w:rsid w:val="00DF0ABE"/>
    <w:rsid w:val="00DF0AC4"/>
    <w:rsid w:val="00DF0C2A"/>
    <w:rsid w:val="00DF0D26"/>
    <w:rsid w:val="00DF0DBF"/>
    <w:rsid w:val="00DF0E92"/>
    <w:rsid w:val="00DF0EE0"/>
    <w:rsid w:val="00DF0FB1"/>
    <w:rsid w:val="00DF121D"/>
    <w:rsid w:val="00DF1236"/>
    <w:rsid w:val="00DF1387"/>
    <w:rsid w:val="00DF13B5"/>
    <w:rsid w:val="00DF14DC"/>
    <w:rsid w:val="00DF152F"/>
    <w:rsid w:val="00DF15DE"/>
    <w:rsid w:val="00DF1716"/>
    <w:rsid w:val="00DF171E"/>
    <w:rsid w:val="00DF17C5"/>
    <w:rsid w:val="00DF1C12"/>
    <w:rsid w:val="00DF1D24"/>
    <w:rsid w:val="00DF1D6E"/>
    <w:rsid w:val="00DF1EB0"/>
    <w:rsid w:val="00DF1EBE"/>
    <w:rsid w:val="00DF1F27"/>
    <w:rsid w:val="00DF22DE"/>
    <w:rsid w:val="00DF2596"/>
    <w:rsid w:val="00DF25E5"/>
    <w:rsid w:val="00DF26AE"/>
    <w:rsid w:val="00DF2829"/>
    <w:rsid w:val="00DF2836"/>
    <w:rsid w:val="00DF28A3"/>
    <w:rsid w:val="00DF28D2"/>
    <w:rsid w:val="00DF2913"/>
    <w:rsid w:val="00DF2935"/>
    <w:rsid w:val="00DF2A67"/>
    <w:rsid w:val="00DF2C30"/>
    <w:rsid w:val="00DF2C5B"/>
    <w:rsid w:val="00DF2D0A"/>
    <w:rsid w:val="00DF2F5E"/>
    <w:rsid w:val="00DF2F9C"/>
    <w:rsid w:val="00DF30DD"/>
    <w:rsid w:val="00DF314D"/>
    <w:rsid w:val="00DF31BB"/>
    <w:rsid w:val="00DF320A"/>
    <w:rsid w:val="00DF339B"/>
    <w:rsid w:val="00DF35C0"/>
    <w:rsid w:val="00DF3664"/>
    <w:rsid w:val="00DF36A5"/>
    <w:rsid w:val="00DF3701"/>
    <w:rsid w:val="00DF3983"/>
    <w:rsid w:val="00DF3B26"/>
    <w:rsid w:val="00DF3B95"/>
    <w:rsid w:val="00DF3C07"/>
    <w:rsid w:val="00DF3C5B"/>
    <w:rsid w:val="00DF3C62"/>
    <w:rsid w:val="00DF3D87"/>
    <w:rsid w:val="00DF3E06"/>
    <w:rsid w:val="00DF3EA4"/>
    <w:rsid w:val="00DF3EAC"/>
    <w:rsid w:val="00DF411B"/>
    <w:rsid w:val="00DF452B"/>
    <w:rsid w:val="00DF455B"/>
    <w:rsid w:val="00DF45A2"/>
    <w:rsid w:val="00DF477D"/>
    <w:rsid w:val="00DF478A"/>
    <w:rsid w:val="00DF47E8"/>
    <w:rsid w:val="00DF498A"/>
    <w:rsid w:val="00DF4A34"/>
    <w:rsid w:val="00DF4E47"/>
    <w:rsid w:val="00DF4F6E"/>
    <w:rsid w:val="00DF51A2"/>
    <w:rsid w:val="00DF5551"/>
    <w:rsid w:val="00DF55C3"/>
    <w:rsid w:val="00DF5713"/>
    <w:rsid w:val="00DF57A1"/>
    <w:rsid w:val="00DF5931"/>
    <w:rsid w:val="00DF597E"/>
    <w:rsid w:val="00DF59EA"/>
    <w:rsid w:val="00DF5A53"/>
    <w:rsid w:val="00DF5A84"/>
    <w:rsid w:val="00DF5B4A"/>
    <w:rsid w:val="00DF5BFE"/>
    <w:rsid w:val="00DF5C78"/>
    <w:rsid w:val="00DF5C98"/>
    <w:rsid w:val="00DF5CD9"/>
    <w:rsid w:val="00DF5E4E"/>
    <w:rsid w:val="00DF5EE9"/>
    <w:rsid w:val="00DF60B0"/>
    <w:rsid w:val="00DF62CC"/>
    <w:rsid w:val="00DF65D7"/>
    <w:rsid w:val="00DF6655"/>
    <w:rsid w:val="00DF66A1"/>
    <w:rsid w:val="00DF6732"/>
    <w:rsid w:val="00DF6769"/>
    <w:rsid w:val="00DF68D5"/>
    <w:rsid w:val="00DF68D7"/>
    <w:rsid w:val="00DF6964"/>
    <w:rsid w:val="00DF6ACB"/>
    <w:rsid w:val="00DF6B4A"/>
    <w:rsid w:val="00DF6E28"/>
    <w:rsid w:val="00DF6EFC"/>
    <w:rsid w:val="00DF6F3D"/>
    <w:rsid w:val="00DF6FED"/>
    <w:rsid w:val="00DF72C3"/>
    <w:rsid w:val="00DF754A"/>
    <w:rsid w:val="00DF7590"/>
    <w:rsid w:val="00DF76ED"/>
    <w:rsid w:val="00DF7740"/>
    <w:rsid w:val="00DF7759"/>
    <w:rsid w:val="00DF77BF"/>
    <w:rsid w:val="00DF79AE"/>
    <w:rsid w:val="00DF79C3"/>
    <w:rsid w:val="00DF7B2B"/>
    <w:rsid w:val="00DF7B38"/>
    <w:rsid w:val="00DF7BAB"/>
    <w:rsid w:val="00DF7C9F"/>
    <w:rsid w:val="00DF7CD4"/>
    <w:rsid w:val="00DF7D10"/>
    <w:rsid w:val="00DF7E1C"/>
    <w:rsid w:val="00DF7E37"/>
    <w:rsid w:val="00DF7E5C"/>
    <w:rsid w:val="00DF7EC3"/>
    <w:rsid w:val="00DF7F2E"/>
    <w:rsid w:val="00E00332"/>
    <w:rsid w:val="00E004F0"/>
    <w:rsid w:val="00E00592"/>
    <w:rsid w:val="00E006F4"/>
    <w:rsid w:val="00E00896"/>
    <w:rsid w:val="00E008C2"/>
    <w:rsid w:val="00E008DB"/>
    <w:rsid w:val="00E008DD"/>
    <w:rsid w:val="00E00A50"/>
    <w:rsid w:val="00E00A9E"/>
    <w:rsid w:val="00E00AD3"/>
    <w:rsid w:val="00E00BB6"/>
    <w:rsid w:val="00E00C92"/>
    <w:rsid w:val="00E00CC1"/>
    <w:rsid w:val="00E00DA5"/>
    <w:rsid w:val="00E00E8C"/>
    <w:rsid w:val="00E00FA2"/>
    <w:rsid w:val="00E011CA"/>
    <w:rsid w:val="00E012F9"/>
    <w:rsid w:val="00E01318"/>
    <w:rsid w:val="00E01402"/>
    <w:rsid w:val="00E0142F"/>
    <w:rsid w:val="00E015C5"/>
    <w:rsid w:val="00E0167E"/>
    <w:rsid w:val="00E016C9"/>
    <w:rsid w:val="00E016CA"/>
    <w:rsid w:val="00E01704"/>
    <w:rsid w:val="00E01768"/>
    <w:rsid w:val="00E017C8"/>
    <w:rsid w:val="00E017EA"/>
    <w:rsid w:val="00E01846"/>
    <w:rsid w:val="00E01966"/>
    <w:rsid w:val="00E01A2C"/>
    <w:rsid w:val="00E01A61"/>
    <w:rsid w:val="00E01AF2"/>
    <w:rsid w:val="00E01B03"/>
    <w:rsid w:val="00E01DFA"/>
    <w:rsid w:val="00E01E36"/>
    <w:rsid w:val="00E01E61"/>
    <w:rsid w:val="00E02032"/>
    <w:rsid w:val="00E021BF"/>
    <w:rsid w:val="00E02243"/>
    <w:rsid w:val="00E0225B"/>
    <w:rsid w:val="00E02369"/>
    <w:rsid w:val="00E024A7"/>
    <w:rsid w:val="00E02511"/>
    <w:rsid w:val="00E02562"/>
    <w:rsid w:val="00E026D2"/>
    <w:rsid w:val="00E0270E"/>
    <w:rsid w:val="00E02962"/>
    <w:rsid w:val="00E02B16"/>
    <w:rsid w:val="00E02BC6"/>
    <w:rsid w:val="00E02C15"/>
    <w:rsid w:val="00E02C74"/>
    <w:rsid w:val="00E02CF6"/>
    <w:rsid w:val="00E02D1F"/>
    <w:rsid w:val="00E02DA8"/>
    <w:rsid w:val="00E031E9"/>
    <w:rsid w:val="00E03414"/>
    <w:rsid w:val="00E034A4"/>
    <w:rsid w:val="00E034CC"/>
    <w:rsid w:val="00E03546"/>
    <w:rsid w:val="00E0358F"/>
    <w:rsid w:val="00E036C4"/>
    <w:rsid w:val="00E038A3"/>
    <w:rsid w:val="00E038E9"/>
    <w:rsid w:val="00E03A15"/>
    <w:rsid w:val="00E03C16"/>
    <w:rsid w:val="00E03C68"/>
    <w:rsid w:val="00E03CE7"/>
    <w:rsid w:val="00E03E8F"/>
    <w:rsid w:val="00E03F62"/>
    <w:rsid w:val="00E04089"/>
    <w:rsid w:val="00E04140"/>
    <w:rsid w:val="00E041F0"/>
    <w:rsid w:val="00E0430A"/>
    <w:rsid w:val="00E0441C"/>
    <w:rsid w:val="00E047C4"/>
    <w:rsid w:val="00E04C8F"/>
    <w:rsid w:val="00E04F7D"/>
    <w:rsid w:val="00E050CB"/>
    <w:rsid w:val="00E051D5"/>
    <w:rsid w:val="00E05248"/>
    <w:rsid w:val="00E05403"/>
    <w:rsid w:val="00E05493"/>
    <w:rsid w:val="00E056BF"/>
    <w:rsid w:val="00E0572E"/>
    <w:rsid w:val="00E057DA"/>
    <w:rsid w:val="00E05839"/>
    <w:rsid w:val="00E05937"/>
    <w:rsid w:val="00E059E8"/>
    <w:rsid w:val="00E05AD2"/>
    <w:rsid w:val="00E05B42"/>
    <w:rsid w:val="00E05C0B"/>
    <w:rsid w:val="00E05C32"/>
    <w:rsid w:val="00E05D6F"/>
    <w:rsid w:val="00E05E08"/>
    <w:rsid w:val="00E05F24"/>
    <w:rsid w:val="00E061D0"/>
    <w:rsid w:val="00E061FF"/>
    <w:rsid w:val="00E06235"/>
    <w:rsid w:val="00E063E7"/>
    <w:rsid w:val="00E064B3"/>
    <w:rsid w:val="00E06596"/>
    <w:rsid w:val="00E06679"/>
    <w:rsid w:val="00E066E1"/>
    <w:rsid w:val="00E0674F"/>
    <w:rsid w:val="00E067A4"/>
    <w:rsid w:val="00E069B3"/>
    <w:rsid w:val="00E06A78"/>
    <w:rsid w:val="00E06C7A"/>
    <w:rsid w:val="00E06D58"/>
    <w:rsid w:val="00E06E71"/>
    <w:rsid w:val="00E06F0A"/>
    <w:rsid w:val="00E070A6"/>
    <w:rsid w:val="00E0712E"/>
    <w:rsid w:val="00E072AB"/>
    <w:rsid w:val="00E073AB"/>
    <w:rsid w:val="00E07452"/>
    <w:rsid w:val="00E07580"/>
    <w:rsid w:val="00E075A8"/>
    <w:rsid w:val="00E076FB"/>
    <w:rsid w:val="00E07B60"/>
    <w:rsid w:val="00E07DE8"/>
    <w:rsid w:val="00E07F9F"/>
    <w:rsid w:val="00E10214"/>
    <w:rsid w:val="00E102C7"/>
    <w:rsid w:val="00E10447"/>
    <w:rsid w:val="00E105AC"/>
    <w:rsid w:val="00E1087E"/>
    <w:rsid w:val="00E108C0"/>
    <w:rsid w:val="00E1098C"/>
    <w:rsid w:val="00E10B5E"/>
    <w:rsid w:val="00E10B82"/>
    <w:rsid w:val="00E10C1C"/>
    <w:rsid w:val="00E10C94"/>
    <w:rsid w:val="00E10D39"/>
    <w:rsid w:val="00E1103E"/>
    <w:rsid w:val="00E111A4"/>
    <w:rsid w:val="00E11286"/>
    <w:rsid w:val="00E1136B"/>
    <w:rsid w:val="00E11391"/>
    <w:rsid w:val="00E11441"/>
    <w:rsid w:val="00E11461"/>
    <w:rsid w:val="00E114D0"/>
    <w:rsid w:val="00E114ED"/>
    <w:rsid w:val="00E1152A"/>
    <w:rsid w:val="00E11553"/>
    <w:rsid w:val="00E11630"/>
    <w:rsid w:val="00E116A2"/>
    <w:rsid w:val="00E1186E"/>
    <w:rsid w:val="00E11953"/>
    <w:rsid w:val="00E11996"/>
    <w:rsid w:val="00E11DD0"/>
    <w:rsid w:val="00E11E71"/>
    <w:rsid w:val="00E12028"/>
    <w:rsid w:val="00E1204E"/>
    <w:rsid w:val="00E12077"/>
    <w:rsid w:val="00E123FD"/>
    <w:rsid w:val="00E1243D"/>
    <w:rsid w:val="00E1256E"/>
    <w:rsid w:val="00E12676"/>
    <w:rsid w:val="00E12697"/>
    <w:rsid w:val="00E12854"/>
    <w:rsid w:val="00E12874"/>
    <w:rsid w:val="00E12A69"/>
    <w:rsid w:val="00E12A7D"/>
    <w:rsid w:val="00E12AB9"/>
    <w:rsid w:val="00E12C5E"/>
    <w:rsid w:val="00E12D64"/>
    <w:rsid w:val="00E12ED2"/>
    <w:rsid w:val="00E13034"/>
    <w:rsid w:val="00E13108"/>
    <w:rsid w:val="00E1363B"/>
    <w:rsid w:val="00E1372E"/>
    <w:rsid w:val="00E1375A"/>
    <w:rsid w:val="00E138DE"/>
    <w:rsid w:val="00E1398F"/>
    <w:rsid w:val="00E13AB7"/>
    <w:rsid w:val="00E13ABE"/>
    <w:rsid w:val="00E13CA0"/>
    <w:rsid w:val="00E13CA9"/>
    <w:rsid w:val="00E13D8C"/>
    <w:rsid w:val="00E13E90"/>
    <w:rsid w:val="00E13FAA"/>
    <w:rsid w:val="00E141CF"/>
    <w:rsid w:val="00E142CA"/>
    <w:rsid w:val="00E144AB"/>
    <w:rsid w:val="00E145FD"/>
    <w:rsid w:val="00E14614"/>
    <w:rsid w:val="00E14663"/>
    <w:rsid w:val="00E146B7"/>
    <w:rsid w:val="00E148C1"/>
    <w:rsid w:val="00E14905"/>
    <w:rsid w:val="00E14A12"/>
    <w:rsid w:val="00E14BE7"/>
    <w:rsid w:val="00E14CD5"/>
    <w:rsid w:val="00E14DE4"/>
    <w:rsid w:val="00E15043"/>
    <w:rsid w:val="00E150B1"/>
    <w:rsid w:val="00E15252"/>
    <w:rsid w:val="00E15266"/>
    <w:rsid w:val="00E154AE"/>
    <w:rsid w:val="00E1587F"/>
    <w:rsid w:val="00E15910"/>
    <w:rsid w:val="00E15971"/>
    <w:rsid w:val="00E15974"/>
    <w:rsid w:val="00E15995"/>
    <w:rsid w:val="00E15BD7"/>
    <w:rsid w:val="00E15C2E"/>
    <w:rsid w:val="00E15E1B"/>
    <w:rsid w:val="00E16042"/>
    <w:rsid w:val="00E16243"/>
    <w:rsid w:val="00E162BD"/>
    <w:rsid w:val="00E163EB"/>
    <w:rsid w:val="00E1644B"/>
    <w:rsid w:val="00E16486"/>
    <w:rsid w:val="00E1653F"/>
    <w:rsid w:val="00E16541"/>
    <w:rsid w:val="00E1664F"/>
    <w:rsid w:val="00E16940"/>
    <w:rsid w:val="00E169ED"/>
    <w:rsid w:val="00E16A0F"/>
    <w:rsid w:val="00E16B08"/>
    <w:rsid w:val="00E16B13"/>
    <w:rsid w:val="00E16BB9"/>
    <w:rsid w:val="00E16C93"/>
    <w:rsid w:val="00E16CD5"/>
    <w:rsid w:val="00E16DDA"/>
    <w:rsid w:val="00E16FAD"/>
    <w:rsid w:val="00E16FBB"/>
    <w:rsid w:val="00E170A8"/>
    <w:rsid w:val="00E170E1"/>
    <w:rsid w:val="00E17259"/>
    <w:rsid w:val="00E1733F"/>
    <w:rsid w:val="00E175DE"/>
    <w:rsid w:val="00E17A33"/>
    <w:rsid w:val="00E17B42"/>
    <w:rsid w:val="00E17B65"/>
    <w:rsid w:val="00E17C2E"/>
    <w:rsid w:val="00E17E3E"/>
    <w:rsid w:val="00E17E56"/>
    <w:rsid w:val="00E2010B"/>
    <w:rsid w:val="00E20194"/>
    <w:rsid w:val="00E201B8"/>
    <w:rsid w:val="00E203F5"/>
    <w:rsid w:val="00E205C8"/>
    <w:rsid w:val="00E207AC"/>
    <w:rsid w:val="00E20853"/>
    <w:rsid w:val="00E208EB"/>
    <w:rsid w:val="00E209C9"/>
    <w:rsid w:val="00E20A6E"/>
    <w:rsid w:val="00E20B98"/>
    <w:rsid w:val="00E20BED"/>
    <w:rsid w:val="00E20C15"/>
    <w:rsid w:val="00E20C1B"/>
    <w:rsid w:val="00E20C2C"/>
    <w:rsid w:val="00E20D5E"/>
    <w:rsid w:val="00E20EC8"/>
    <w:rsid w:val="00E20FAD"/>
    <w:rsid w:val="00E20FBF"/>
    <w:rsid w:val="00E20FFE"/>
    <w:rsid w:val="00E21148"/>
    <w:rsid w:val="00E2115C"/>
    <w:rsid w:val="00E213D2"/>
    <w:rsid w:val="00E213ED"/>
    <w:rsid w:val="00E215BA"/>
    <w:rsid w:val="00E2167F"/>
    <w:rsid w:val="00E217AB"/>
    <w:rsid w:val="00E21D2B"/>
    <w:rsid w:val="00E21E4D"/>
    <w:rsid w:val="00E21F10"/>
    <w:rsid w:val="00E21F23"/>
    <w:rsid w:val="00E22026"/>
    <w:rsid w:val="00E220A5"/>
    <w:rsid w:val="00E22182"/>
    <w:rsid w:val="00E226EB"/>
    <w:rsid w:val="00E2275E"/>
    <w:rsid w:val="00E227BE"/>
    <w:rsid w:val="00E228DB"/>
    <w:rsid w:val="00E22AF7"/>
    <w:rsid w:val="00E22C60"/>
    <w:rsid w:val="00E22D51"/>
    <w:rsid w:val="00E22E56"/>
    <w:rsid w:val="00E22FF0"/>
    <w:rsid w:val="00E23040"/>
    <w:rsid w:val="00E2309D"/>
    <w:rsid w:val="00E23185"/>
    <w:rsid w:val="00E231AA"/>
    <w:rsid w:val="00E231AE"/>
    <w:rsid w:val="00E2324D"/>
    <w:rsid w:val="00E232AE"/>
    <w:rsid w:val="00E23514"/>
    <w:rsid w:val="00E23597"/>
    <w:rsid w:val="00E236FD"/>
    <w:rsid w:val="00E23856"/>
    <w:rsid w:val="00E23B80"/>
    <w:rsid w:val="00E23BEC"/>
    <w:rsid w:val="00E23C0D"/>
    <w:rsid w:val="00E23C0F"/>
    <w:rsid w:val="00E23C3F"/>
    <w:rsid w:val="00E23CB8"/>
    <w:rsid w:val="00E23D1F"/>
    <w:rsid w:val="00E23E0E"/>
    <w:rsid w:val="00E23EBF"/>
    <w:rsid w:val="00E23F9C"/>
    <w:rsid w:val="00E23FF4"/>
    <w:rsid w:val="00E24125"/>
    <w:rsid w:val="00E24262"/>
    <w:rsid w:val="00E24387"/>
    <w:rsid w:val="00E2446F"/>
    <w:rsid w:val="00E24532"/>
    <w:rsid w:val="00E24609"/>
    <w:rsid w:val="00E246F2"/>
    <w:rsid w:val="00E24AD1"/>
    <w:rsid w:val="00E24AFD"/>
    <w:rsid w:val="00E24B18"/>
    <w:rsid w:val="00E24BAC"/>
    <w:rsid w:val="00E24BCA"/>
    <w:rsid w:val="00E24D08"/>
    <w:rsid w:val="00E24DB1"/>
    <w:rsid w:val="00E24E36"/>
    <w:rsid w:val="00E250B9"/>
    <w:rsid w:val="00E2527E"/>
    <w:rsid w:val="00E25360"/>
    <w:rsid w:val="00E253A1"/>
    <w:rsid w:val="00E25510"/>
    <w:rsid w:val="00E25838"/>
    <w:rsid w:val="00E2595C"/>
    <w:rsid w:val="00E25A2E"/>
    <w:rsid w:val="00E25A4B"/>
    <w:rsid w:val="00E25C4B"/>
    <w:rsid w:val="00E25C6A"/>
    <w:rsid w:val="00E25E93"/>
    <w:rsid w:val="00E25F27"/>
    <w:rsid w:val="00E26085"/>
    <w:rsid w:val="00E26140"/>
    <w:rsid w:val="00E26285"/>
    <w:rsid w:val="00E26308"/>
    <w:rsid w:val="00E26457"/>
    <w:rsid w:val="00E26760"/>
    <w:rsid w:val="00E2681A"/>
    <w:rsid w:val="00E2689C"/>
    <w:rsid w:val="00E2693F"/>
    <w:rsid w:val="00E26D79"/>
    <w:rsid w:val="00E26DAF"/>
    <w:rsid w:val="00E26E83"/>
    <w:rsid w:val="00E26EB6"/>
    <w:rsid w:val="00E26F3A"/>
    <w:rsid w:val="00E27194"/>
    <w:rsid w:val="00E271C5"/>
    <w:rsid w:val="00E271DD"/>
    <w:rsid w:val="00E2725B"/>
    <w:rsid w:val="00E27265"/>
    <w:rsid w:val="00E27351"/>
    <w:rsid w:val="00E27405"/>
    <w:rsid w:val="00E2742E"/>
    <w:rsid w:val="00E27641"/>
    <w:rsid w:val="00E276C4"/>
    <w:rsid w:val="00E277D5"/>
    <w:rsid w:val="00E27A1B"/>
    <w:rsid w:val="00E27A21"/>
    <w:rsid w:val="00E27BC5"/>
    <w:rsid w:val="00E27D21"/>
    <w:rsid w:val="00E27DAC"/>
    <w:rsid w:val="00E27F54"/>
    <w:rsid w:val="00E3000A"/>
    <w:rsid w:val="00E3009B"/>
    <w:rsid w:val="00E30103"/>
    <w:rsid w:val="00E30139"/>
    <w:rsid w:val="00E30176"/>
    <w:rsid w:val="00E3029F"/>
    <w:rsid w:val="00E303AC"/>
    <w:rsid w:val="00E303B9"/>
    <w:rsid w:val="00E305DF"/>
    <w:rsid w:val="00E306ED"/>
    <w:rsid w:val="00E30775"/>
    <w:rsid w:val="00E30784"/>
    <w:rsid w:val="00E30A97"/>
    <w:rsid w:val="00E30F5B"/>
    <w:rsid w:val="00E311EA"/>
    <w:rsid w:val="00E312E8"/>
    <w:rsid w:val="00E313CD"/>
    <w:rsid w:val="00E313EE"/>
    <w:rsid w:val="00E31617"/>
    <w:rsid w:val="00E316FC"/>
    <w:rsid w:val="00E3175C"/>
    <w:rsid w:val="00E317E1"/>
    <w:rsid w:val="00E31968"/>
    <w:rsid w:val="00E31BDF"/>
    <w:rsid w:val="00E31EC6"/>
    <w:rsid w:val="00E31EE8"/>
    <w:rsid w:val="00E3217F"/>
    <w:rsid w:val="00E3222B"/>
    <w:rsid w:val="00E323DA"/>
    <w:rsid w:val="00E32965"/>
    <w:rsid w:val="00E32A6D"/>
    <w:rsid w:val="00E32B36"/>
    <w:rsid w:val="00E32BAF"/>
    <w:rsid w:val="00E32D27"/>
    <w:rsid w:val="00E32EA6"/>
    <w:rsid w:val="00E330C8"/>
    <w:rsid w:val="00E33109"/>
    <w:rsid w:val="00E3310F"/>
    <w:rsid w:val="00E33540"/>
    <w:rsid w:val="00E335FE"/>
    <w:rsid w:val="00E336C5"/>
    <w:rsid w:val="00E336D6"/>
    <w:rsid w:val="00E33753"/>
    <w:rsid w:val="00E33B71"/>
    <w:rsid w:val="00E33D45"/>
    <w:rsid w:val="00E33D73"/>
    <w:rsid w:val="00E33E49"/>
    <w:rsid w:val="00E33E8B"/>
    <w:rsid w:val="00E33E9C"/>
    <w:rsid w:val="00E34047"/>
    <w:rsid w:val="00E3407D"/>
    <w:rsid w:val="00E34299"/>
    <w:rsid w:val="00E342AA"/>
    <w:rsid w:val="00E342FF"/>
    <w:rsid w:val="00E343F3"/>
    <w:rsid w:val="00E344DA"/>
    <w:rsid w:val="00E34546"/>
    <w:rsid w:val="00E346F2"/>
    <w:rsid w:val="00E347C0"/>
    <w:rsid w:val="00E34838"/>
    <w:rsid w:val="00E34847"/>
    <w:rsid w:val="00E3486D"/>
    <w:rsid w:val="00E34909"/>
    <w:rsid w:val="00E34936"/>
    <w:rsid w:val="00E34A33"/>
    <w:rsid w:val="00E34A86"/>
    <w:rsid w:val="00E34B30"/>
    <w:rsid w:val="00E34C95"/>
    <w:rsid w:val="00E34EA1"/>
    <w:rsid w:val="00E35095"/>
    <w:rsid w:val="00E350A8"/>
    <w:rsid w:val="00E3525C"/>
    <w:rsid w:val="00E354E2"/>
    <w:rsid w:val="00E35524"/>
    <w:rsid w:val="00E35571"/>
    <w:rsid w:val="00E355D5"/>
    <w:rsid w:val="00E355EB"/>
    <w:rsid w:val="00E35788"/>
    <w:rsid w:val="00E359AA"/>
    <w:rsid w:val="00E35C79"/>
    <w:rsid w:val="00E35D31"/>
    <w:rsid w:val="00E35D42"/>
    <w:rsid w:val="00E35FA1"/>
    <w:rsid w:val="00E36089"/>
    <w:rsid w:val="00E360F5"/>
    <w:rsid w:val="00E36262"/>
    <w:rsid w:val="00E3631B"/>
    <w:rsid w:val="00E3638E"/>
    <w:rsid w:val="00E36589"/>
    <w:rsid w:val="00E366BB"/>
    <w:rsid w:val="00E36789"/>
    <w:rsid w:val="00E36792"/>
    <w:rsid w:val="00E367A7"/>
    <w:rsid w:val="00E36E41"/>
    <w:rsid w:val="00E36F4B"/>
    <w:rsid w:val="00E36F85"/>
    <w:rsid w:val="00E36FCE"/>
    <w:rsid w:val="00E37068"/>
    <w:rsid w:val="00E37105"/>
    <w:rsid w:val="00E372DF"/>
    <w:rsid w:val="00E373AD"/>
    <w:rsid w:val="00E37402"/>
    <w:rsid w:val="00E37449"/>
    <w:rsid w:val="00E37470"/>
    <w:rsid w:val="00E37479"/>
    <w:rsid w:val="00E37601"/>
    <w:rsid w:val="00E377F9"/>
    <w:rsid w:val="00E37854"/>
    <w:rsid w:val="00E37882"/>
    <w:rsid w:val="00E37C2D"/>
    <w:rsid w:val="00E37C37"/>
    <w:rsid w:val="00E37C78"/>
    <w:rsid w:val="00E37C7C"/>
    <w:rsid w:val="00E37CE0"/>
    <w:rsid w:val="00E37EAA"/>
    <w:rsid w:val="00E37FDC"/>
    <w:rsid w:val="00E400A3"/>
    <w:rsid w:val="00E400F9"/>
    <w:rsid w:val="00E401A3"/>
    <w:rsid w:val="00E4040E"/>
    <w:rsid w:val="00E405A9"/>
    <w:rsid w:val="00E406B5"/>
    <w:rsid w:val="00E408FF"/>
    <w:rsid w:val="00E40920"/>
    <w:rsid w:val="00E40932"/>
    <w:rsid w:val="00E40A35"/>
    <w:rsid w:val="00E40B08"/>
    <w:rsid w:val="00E40BD7"/>
    <w:rsid w:val="00E4108E"/>
    <w:rsid w:val="00E410A1"/>
    <w:rsid w:val="00E41107"/>
    <w:rsid w:val="00E41194"/>
    <w:rsid w:val="00E41260"/>
    <w:rsid w:val="00E41389"/>
    <w:rsid w:val="00E413B0"/>
    <w:rsid w:val="00E413BA"/>
    <w:rsid w:val="00E41614"/>
    <w:rsid w:val="00E41682"/>
    <w:rsid w:val="00E4168D"/>
    <w:rsid w:val="00E417D4"/>
    <w:rsid w:val="00E41934"/>
    <w:rsid w:val="00E4193B"/>
    <w:rsid w:val="00E41A3D"/>
    <w:rsid w:val="00E41C19"/>
    <w:rsid w:val="00E41DC5"/>
    <w:rsid w:val="00E4201E"/>
    <w:rsid w:val="00E42044"/>
    <w:rsid w:val="00E4208A"/>
    <w:rsid w:val="00E42299"/>
    <w:rsid w:val="00E422D7"/>
    <w:rsid w:val="00E4244D"/>
    <w:rsid w:val="00E42688"/>
    <w:rsid w:val="00E4272F"/>
    <w:rsid w:val="00E429F4"/>
    <w:rsid w:val="00E42B26"/>
    <w:rsid w:val="00E42B30"/>
    <w:rsid w:val="00E42C38"/>
    <w:rsid w:val="00E42DCD"/>
    <w:rsid w:val="00E42FA6"/>
    <w:rsid w:val="00E42FAE"/>
    <w:rsid w:val="00E4305E"/>
    <w:rsid w:val="00E430BB"/>
    <w:rsid w:val="00E430E1"/>
    <w:rsid w:val="00E43138"/>
    <w:rsid w:val="00E43176"/>
    <w:rsid w:val="00E4318C"/>
    <w:rsid w:val="00E43212"/>
    <w:rsid w:val="00E43365"/>
    <w:rsid w:val="00E43618"/>
    <w:rsid w:val="00E4377B"/>
    <w:rsid w:val="00E43782"/>
    <w:rsid w:val="00E437C2"/>
    <w:rsid w:val="00E437F7"/>
    <w:rsid w:val="00E43813"/>
    <w:rsid w:val="00E43859"/>
    <w:rsid w:val="00E43991"/>
    <w:rsid w:val="00E43A43"/>
    <w:rsid w:val="00E4434E"/>
    <w:rsid w:val="00E444A9"/>
    <w:rsid w:val="00E444E2"/>
    <w:rsid w:val="00E445E4"/>
    <w:rsid w:val="00E447FA"/>
    <w:rsid w:val="00E44C9C"/>
    <w:rsid w:val="00E44DAD"/>
    <w:rsid w:val="00E44E1F"/>
    <w:rsid w:val="00E44F01"/>
    <w:rsid w:val="00E45107"/>
    <w:rsid w:val="00E45125"/>
    <w:rsid w:val="00E45158"/>
    <w:rsid w:val="00E45196"/>
    <w:rsid w:val="00E45383"/>
    <w:rsid w:val="00E45434"/>
    <w:rsid w:val="00E45630"/>
    <w:rsid w:val="00E45670"/>
    <w:rsid w:val="00E4577A"/>
    <w:rsid w:val="00E45850"/>
    <w:rsid w:val="00E45924"/>
    <w:rsid w:val="00E45B5E"/>
    <w:rsid w:val="00E45D13"/>
    <w:rsid w:val="00E45E24"/>
    <w:rsid w:val="00E45E6C"/>
    <w:rsid w:val="00E4608A"/>
    <w:rsid w:val="00E460FD"/>
    <w:rsid w:val="00E4647B"/>
    <w:rsid w:val="00E465C6"/>
    <w:rsid w:val="00E46707"/>
    <w:rsid w:val="00E46763"/>
    <w:rsid w:val="00E46AD7"/>
    <w:rsid w:val="00E46AFA"/>
    <w:rsid w:val="00E46B3F"/>
    <w:rsid w:val="00E46B5E"/>
    <w:rsid w:val="00E46D0E"/>
    <w:rsid w:val="00E46D74"/>
    <w:rsid w:val="00E46D92"/>
    <w:rsid w:val="00E46EAF"/>
    <w:rsid w:val="00E470D5"/>
    <w:rsid w:val="00E47428"/>
    <w:rsid w:val="00E474C6"/>
    <w:rsid w:val="00E475E8"/>
    <w:rsid w:val="00E4786E"/>
    <w:rsid w:val="00E478BA"/>
    <w:rsid w:val="00E479B7"/>
    <w:rsid w:val="00E47CB6"/>
    <w:rsid w:val="00E47CE2"/>
    <w:rsid w:val="00E47DAC"/>
    <w:rsid w:val="00E47F32"/>
    <w:rsid w:val="00E50069"/>
    <w:rsid w:val="00E501AB"/>
    <w:rsid w:val="00E50306"/>
    <w:rsid w:val="00E50398"/>
    <w:rsid w:val="00E503F1"/>
    <w:rsid w:val="00E50454"/>
    <w:rsid w:val="00E50594"/>
    <w:rsid w:val="00E50627"/>
    <w:rsid w:val="00E506EC"/>
    <w:rsid w:val="00E50725"/>
    <w:rsid w:val="00E5079A"/>
    <w:rsid w:val="00E508A6"/>
    <w:rsid w:val="00E508C7"/>
    <w:rsid w:val="00E508E0"/>
    <w:rsid w:val="00E508F7"/>
    <w:rsid w:val="00E50914"/>
    <w:rsid w:val="00E50917"/>
    <w:rsid w:val="00E50A0A"/>
    <w:rsid w:val="00E50AB4"/>
    <w:rsid w:val="00E50AC2"/>
    <w:rsid w:val="00E50E7C"/>
    <w:rsid w:val="00E50FD2"/>
    <w:rsid w:val="00E5101E"/>
    <w:rsid w:val="00E510FF"/>
    <w:rsid w:val="00E511E2"/>
    <w:rsid w:val="00E51312"/>
    <w:rsid w:val="00E513B5"/>
    <w:rsid w:val="00E514FA"/>
    <w:rsid w:val="00E51545"/>
    <w:rsid w:val="00E5174E"/>
    <w:rsid w:val="00E517E0"/>
    <w:rsid w:val="00E51ACD"/>
    <w:rsid w:val="00E51C51"/>
    <w:rsid w:val="00E51CBF"/>
    <w:rsid w:val="00E51EE4"/>
    <w:rsid w:val="00E520D9"/>
    <w:rsid w:val="00E522C3"/>
    <w:rsid w:val="00E522EF"/>
    <w:rsid w:val="00E52404"/>
    <w:rsid w:val="00E52510"/>
    <w:rsid w:val="00E5273B"/>
    <w:rsid w:val="00E5274C"/>
    <w:rsid w:val="00E52766"/>
    <w:rsid w:val="00E52770"/>
    <w:rsid w:val="00E5293A"/>
    <w:rsid w:val="00E52994"/>
    <w:rsid w:val="00E52B33"/>
    <w:rsid w:val="00E52B6B"/>
    <w:rsid w:val="00E52BDC"/>
    <w:rsid w:val="00E52D37"/>
    <w:rsid w:val="00E52D93"/>
    <w:rsid w:val="00E52EDF"/>
    <w:rsid w:val="00E53090"/>
    <w:rsid w:val="00E53115"/>
    <w:rsid w:val="00E5317C"/>
    <w:rsid w:val="00E53223"/>
    <w:rsid w:val="00E5335A"/>
    <w:rsid w:val="00E5350B"/>
    <w:rsid w:val="00E5357F"/>
    <w:rsid w:val="00E5363F"/>
    <w:rsid w:val="00E53850"/>
    <w:rsid w:val="00E53953"/>
    <w:rsid w:val="00E53970"/>
    <w:rsid w:val="00E53B89"/>
    <w:rsid w:val="00E53D4C"/>
    <w:rsid w:val="00E53DF1"/>
    <w:rsid w:val="00E53F34"/>
    <w:rsid w:val="00E53F52"/>
    <w:rsid w:val="00E54071"/>
    <w:rsid w:val="00E54078"/>
    <w:rsid w:val="00E540CA"/>
    <w:rsid w:val="00E5449C"/>
    <w:rsid w:val="00E544D8"/>
    <w:rsid w:val="00E5475D"/>
    <w:rsid w:val="00E54863"/>
    <w:rsid w:val="00E5499F"/>
    <w:rsid w:val="00E549E5"/>
    <w:rsid w:val="00E54A79"/>
    <w:rsid w:val="00E54B0C"/>
    <w:rsid w:val="00E54B1D"/>
    <w:rsid w:val="00E54D30"/>
    <w:rsid w:val="00E54E16"/>
    <w:rsid w:val="00E54E22"/>
    <w:rsid w:val="00E54E80"/>
    <w:rsid w:val="00E54EEC"/>
    <w:rsid w:val="00E54F7C"/>
    <w:rsid w:val="00E5503A"/>
    <w:rsid w:val="00E55326"/>
    <w:rsid w:val="00E55423"/>
    <w:rsid w:val="00E554ED"/>
    <w:rsid w:val="00E555AF"/>
    <w:rsid w:val="00E5572C"/>
    <w:rsid w:val="00E55961"/>
    <w:rsid w:val="00E55B32"/>
    <w:rsid w:val="00E55B7C"/>
    <w:rsid w:val="00E55BA5"/>
    <w:rsid w:val="00E55BFB"/>
    <w:rsid w:val="00E56262"/>
    <w:rsid w:val="00E56349"/>
    <w:rsid w:val="00E563D8"/>
    <w:rsid w:val="00E56478"/>
    <w:rsid w:val="00E565A2"/>
    <w:rsid w:val="00E56604"/>
    <w:rsid w:val="00E566DD"/>
    <w:rsid w:val="00E56AC0"/>
    <w:rsid w:val="00E56B9F"/>
    <w:rsid w:val="00E56D91"/>
    <w:rsid w:val="00E56DE7"/>
    <w:rsid w:val="00E56EDC"/>
    <w:rsid w:val="00E56F7D"/>
    <w:rsid w:val="00E571CF"/>
    <w:rsid w:val="00E571E1"/>
    <w:rsid w:val="00E5722D"/>
    <w:rsid w:val="00E573C1"/>
    <w:rsid w:val="00E57421"/>
    <w:rsid w:val="00E57468"/>
    <w:rsid w:val="00E57521"/>
    <w:rsid w:val="00E57539"/>
    <w:rsid w:val="00E575B6"/>
    <w:rsid w:val="00E57640"/>
    <w:rsid w:val="00E57810"/>
    <w:rsid w:val="00E578E4"/>
    <w:rsid w:val="00E57916"/>
    <w:rsid w:val="00E57981"/>
    <w:rsid w:val="00E5799F"/>
    <w:rsid w:val="00E57D3A"/>
    <w:rsid w:val="00E57D83"/>
    <w:rsid w:val="00E57E25"/>
    <w:rsid w:val="00E57E29"/>
    <w:rsid w:val="00E60088"/>
    <w:rsid w:val="00E60244"/>
    <w:rsid w:val="00E60414"/>
    <w:rsid w:val="00E6058D"/>
    <w:rsid w:val="00E6064E"/>
    <w:rsid w:val="00E6065B"/>
    <w:rsid w:val="00E60699"/>
    <w:rsid w:val="00E606FE"/>
    <w:rsid w:val="00E6088D"/>
    <w:rsid w:val="00E60984"/>
    <w:rsid w:val="00E6098F"/>
    <w:rsid w:val="00E60A8A"/>
    <w:rsid w:val="00E60C72"/>
    <w:rsid w:val="00E60C85"/>
    <w:rsid w:val="00E60DE0"/>
    <w:rsid w:val="00E60DFB"/>
    <w:rsid w:val="00E60E92"/>
    <w:rsid w:val="00E60EB3"/>
    <w:rsid w:val="00E60F2E"/>
    <w:rsid w:val="00E60F77"/>
    <w:rsid w:val="00E60FAC"/>
    <w:rsid w:val="00E61142"/>
    <w:rsid w:val="00E61227"/>
    <w:rsid w:val="00E613F3"/>
    <w:rsid w:val="00E614CB"/>
    <w:rsid w:val="00E61626"/>
    <w:rsid w:val="00E6165A"/>
    <w:rsid w:val="00E61847"/>
    <w:rsid w:val="00E618C5"/>
    <w:rsid w:val="00E61A9A"/>
    <w:rsid w:val="00E61B07"/>
    <w:rsid w:val="00E61C12"/>
    <w:rsid w:val="00E61C40"/>
    <w:rsid w:val="00E61E07"/>
    <w:rsid w:val="00E61EB1"/>
    <w:rsid w:val="00E61F5D"/>
    <w:rsid w:val="00E621BB"/>
    <w:rsid w:val="00E62675"/>
    <w:rsid w:val="00E6277A"/>
    <w:rsid w:val="00E628CD"/>
    <w:rsid w:val="00E62AAB"/>
    <w:rsid w:val="00E62AB4"/>
    <w:rsid w:val="00E62CD3"/>
    <w:rsid w:val="00E62CDA"/>
    <w:rsid w:val="00E62DD4"/>
    <w:rsid w:val="00E62EF0"/>
    <w:rsid w:val="00E63064"/>
    <w:rsid w:val="00E630BD"/>
    <w:rsid w:val="00E63677"/>
    <w:rsid w:val="00E636ED"/>
    <w:rsid w:val="00E63727"/>
    <w:rsid w:val="00E63797"/>
    <w:rsid w:val="00E637EC"/>
    <w:rsid w:val="00E63926"/>
    <w:rsid w:val="00E63964"/>
    <w:rsid w:val="00E639A1"/>
    <w:rsid w:val="00E63A41"/>
    <w:rsid w:val="00E63BF4"/>
    <w:rsid w:val="00E63FB9"/>
    <w:rsid w:val="00E64408"/>
    <w:rsid w:val="00E6473F"/>
    <w:rsid w:val="00E6476D"/>
    <w:rsid w:val="00E64829"/>
    <w:rsid w:val="00E64885"/>
    <w:rsid w:val="00E64A90"/>
    <w:rsid w:val="00E64AB9"/>
    <w:rsid w:val="00E64BA3"/>
    <w:rsid w:val="00E64C3C"/>
    <w:rsid w:val="00E64F67"/>
    <w:rsid w:val="00E64F69"/>
    <w:rsid w:val="00E64FAD"/>
    <w:rsid w:val="00E650D0"/>
    <w:rsid w:val="00E652D0"/>
    <w:rsid w:val="00E6545D"/>
    <w:rsid w:val="00E656F9"/>
    <w:rsid w:val="00E65839"/>
    <w:rsid w:val="00E65AF9"/>
    <w:rsid w:val="00E65D15"/>
    <w:rsid w:val="00E65D4C"/>
    <w:rsid w:val="00E65E4A"/>
    <w:rsid w:val="00E65F3E"/>
    <w:rsid w:val="00E65F8D"/>
    <w:rsid w:val="00E65F9E"/>
    <w:rsid w:val="00E6610A"/>
    <w:rsid w:val="00E66185"/>
    <w:rsid w:val="00E6622E"/>
    <w:rsid w:val="00E6629E"/>
    <w:rsid w:val="00E66643"/>
    <w:rsid w:val="00E6685E"/>
    <w:rsid w:val="00E66E0D"/>
    <w:rsid w:val="00E670AA"/>
    <w:rsid w:val="00E67136"/>
    <w:rsid w:val="00E673EE"/>
    <w:rsid w:val="00E6742F"/>
    <w:rsid w:val="00E67444"/>
    <w:rsid w:val="00E67626"/>
    <w:rsid w:val="00E67687"/>
    <w:rsid w:val="00E67934"/>
    <w:rsid w:val="00E679FD"/>
    <w:rsid w:val="00E67B05"/>
    <w:rsid w:val="00E67C26"/>
    <w:rsid w:val="00E67C8D"/>
    <w:rsid w:val="00E67CBF"/>
    <w:rsid w:val="00E67ED2"/>
    <w:rsid w:val="00E67F62"/>
    <w:rsid w:val="00E67FDA"/>
    <w:rsid w:val="00E67FF3"/>
    <w:rsid w:val="00E702D2"/>
    <w:rsid w:val="00E704C9"/>
    <w:rsid w:val="00E70503"/>
    <w:rsid w:val="00E70604"/>
    <w:rsid w:val="00E7060A"/>
    <w:rsid w:val="00E70669"/>
    <w:rsid w:val="00E70731"/>
    <w:rsid w:val="00E707D8"/>
    <w:rsid w:val="00E7089D"/>
    <w:rsid w:val="00E70CAA"/>
    <w:rsid w:val="00E70E09"/>
    <w:rsid w:val="00E70F28"/>
    <w:rsid w:val="00E70FFC"/>
    <w:rsid w:val="00E7106A"/>
    <w:rsid w:val="00E711D7"/>
    <w:rsid w:val="00E712DE"/>
    <w:rsid w:val="00E713DA"/>
    <w:rsid w:val="00E714F6"/>
    <w:rsid w:val="00E71628"/>
    <w:rsid w:val="00E717F3"/>
    <w:rsid w:val="00E71931"/>
    <w:rsid w:val="00E71955"/>
    <w:rsid w:val="00E71A16"/>
    <w:rsid w:val="00E71AB9"/>
    <w:rsid w:val="00E71BAE"/>
    <w:rsid w:val="00E71BDD"/>
    <w:rsid w:val="00E71C47"/>
    <w:rsid w:val="00E71F50"/>
    <w:rsid w:val="00E71F99"/>
    <w:rsid w:val="00E71FFB"/>
    <w:rsid w:val="00E7223D"/>
    <w:rsid w:val="00E7226D"/>
    <w:rsid w:val="00E724E6"/>
    <w:rsid w:val="00E72551"/>
    <w:rsid w:val="00E7279D"/>
    <w:rsid w:val="00E727A7"/>
    <w:rsid w:val="00E727AE"/>
    <w:rsid w:val="00E728AD"/>
    <w:rsid w:val="00E728D0"/>
    <w:rsid w:val="00E72A0F"/>
    <w:rsid w:val="00E72A3D"/>
    <w:rsid w:val="00E72A71"/>
    <w:rsid w:val="00E72B8B"/>
    <w:rsid w:val="00E72F5C"/>
    <w:rsid w:val="00E730DB"/>
    <w:rsid w:val="00E7331B"/>
    <w:rsid w:val="00E733AB"/>
    <w:rsid w:val="00E733C4"/>
    <w:rsid w:val="00E733F3"/>
    <w:rsid w:val="00E73440"/>
    <w:rsid w:val="00E735EC"/>
    <w:rsid w:val="00E736D9"/>
    <w:rsid w:val="00E736F7"/>
    <w:rsid w:val="00E737C7"/>
    <w:rsid w:val="00E738BC"/>
    <w:rsid w:val="00E73A9E"/>
    <w:rsid w:val="00E73AE7"/>
    <w:rsid w:val="00E73B9E"/>
    <w:rsid w:val="00E73D36"/>
    <w:rsid w:val="00E73D96"/>
    <w:rsid w:val="00E74161"/>
    <w:rsid w:val="00E741CC"/>
    <w:rsid w:val="00E74308"/>
    <w:rsid w:val="00E7447A"/>
    <w:rsid w:val="00E744A3"/>
    <w:rsid w:val="00E744C1"/>
    <w:rsid w:val="00E744D6"/>
    <w:rsid w:val="00E74629"/>
    <w:rsid w:val="00E747AE"/>
    <w:rsid w:val="00E74AB2"/>
    <w:rsid w:val="00E74C8B"/>
    <w:rsid w:val="00E74CC8"/>
    <w:rsid w:val="00E75084"/>
    <w:rsid w:val="00E75167"/>
    <w:rsid w:val="00E751A6"/>
    <w:rsid w:val="00E7537F"/>
    <w:rsid w:val="00E753BE"/>
    <w:rsid w:val="00E75492"/>
    <w:rsid w:val="00E754AE"/>
    <w:rsid w:val="00E755D2"/>
    <w:rsid w:val="00E7589E"/>
    <w:rsid w:val="00E758ED"/>
    <w:rsid w:val="00E75BEF"/>
    <w:rsid w:val="00E75BF9"/>
    <w:rsid w:val="00E75E3F"/>
    <w:rsid w:val="00E75E83"/>
    <w:rsid w:val="00E75F91"/>
    <w:rsid w:val="00E76030"/>
    <w:rsid w:val="00E76294"/>
    <w:rsid w:val="00E764ED"/>
    <w:rsid w:val="00E7660A"/>
    <w:rsid w:val="00E7660B"/>
    <w:rsid w:val="00E766CC"/>
    <w:rsid w:val="00E76736"/>
    <w:rsid w:val="00E767F0"/>
    <w:rsid w:val="00E76BE8"/>
    <w:rsid w:val="00E76C78"/>
    <w:rsid w:val="00E76E24"/>
    <w:rsid w:val="00E771B3"/>
    <w:rsid w:val="00E77443"/>
    <w:rsid w:val="00E77688"/>
    <w:rsid w:val="00E77694"/>
    <w:rsid w:val="00E77875"/>
    <w:rsid w:val="00E7797D"/>
    <w:rsid w:val="00E779DA"/>
    <w:rsid w:val="00E779DE"/>
    <w:rsid w:val="00E779E1"/>
    <w:rsid w:val="00E77AAF"/>
    <w:rsid w:val="00E77AB5"/>
    <w:rsid w:val="00E77BEE"/>
    <w:rsid w:val="00E77C2A"/>
    <w:rsid w:val="00E77DE0"/>
    <w:rsid w:val="00E77E38"/>
    <w:rsid w:val="00E801A1"/>
    <w:rsid w:val="00E801E2"/>
    <w:rsid w:val="00E80221"/>
    <w:rsid w:val="00E802DB"/>
    <w:rsid w:val="00E80359"/>
    <w:rsid w:val="00E803F8"/>
    <w:rsid w:val="00E804F9"/>
    <w:rsid w:val="00E80626"/>
    <w:rsid w:val="00E8084C"/>
    <w:rsid w:val="00E8098D"/>
    <w:rsid w:val="00E80DCD"/>
    <w:rsid w:val="00E80E62"/>
    <w:rsid w:val="00E80FB7"/>
    <w:rsid w:val="00E81040"/>
    <w:rsid w:val="00E8111C"/>
    <w:rsid w:val="00E811A7"/>
    <w:rsid w:val="00E8129A"/>
    <w:rsid w:val="00E812BC"/>
    <w:rsid w:val="00E8136C"/>
    <w:rsid w:val="00E813EB"/>
    <w:rsid w:val="00E8146F"/>
    <w:rsid w:val="00E815DD"/>
    <w:rsid w:val="00E8173C"/>
    <w:rsid w:val="00E817A2"/>
    <w:rsid w:val="00E81819"/>
    <w:rsid w:val="00E818D2"/>
    <w:rsid w:val="00E818E2"/>
    <w:rsid w:val="00E81935"/>
    <w:rsid w:val="00E81A40"/>
    <w:rsid w:val="00E81A7C"/>
    <w:rsid w:val="00E81B6C"/>
    <w:rsid w:val="00E81BC0"/>
    <w:rsid w:val="00E81C0A"/>
    <w:rsid w:val="00E81C3F"/>
    <w:rsid w:val="00E81D25"/>
    <w:rsid w:val="00E81DFE"/>
    <w:rsid w:val="00E82123"/>
    <w:rsid w:val="00E82127"/>
    <w:rsid w:val="00E82156"/>
    <w:rsid w:val="00E82302"/>
    <w:rsid w:val="00E82529"/>
    <w:rsid w:val="00E82576"/>
    <w:rsid w:val="00E8263F"/>
    <w:rsid w:val="00E8266E"/>
    <w:rsid w:val="00E82678"/>
    <w:rsid w:val="00E826AC"/>
    <w:rsid w:val="00E827D4"/>
    <w:rsid w:val="00E82955"/>
    <w:rsid w:val="00E8296E"/>
    <w:rsid w:val="00E82B1B"/>
    <w:rsid w:val="00E82C5F"/>
    <w:rsid w:val="00E82E9F"/>
    <w:rsid w:val="00E82EE2"/>
    <w:rsid w:val="00E83009"/>
    <w:rsid w:val="00E83134"/>
    <w:rsid w:val="00E834DE"/>
    <w:rsid w:val="00E83528"/>
    <w:rsid w:val="00E83563"/>
    <w:rsid w:val="00E83674"/>
    <w:rsid w:val="00E83700"/>
    <w:rsid w:val="00E83730"/>
    <w:rsid w:val="00E83772"/>
    <w:rsid w:val="00E83781"/>
    <w:rsid w:val="00E837C0"/>
    <w:rsid w:val="00E837CE"/>
    <w:rsid w:val="00E8390D"/>
    <w:rsid w:val="00E83964"/>
    <w:rsid w:val="00E839CC"/>
    <w:rsid w:val="00E83C51"/>
    <w:rsid w:val="00E83E1F"/>
    <w:rsid w:val="00E83E30"/>
    <w:rsid w:val="00E83EC6"/>
    <w:rsid w:val="00E83F34"/>
    <w:rsid w:val="00E84226"/>
    <w:rsid w:val="00E844FD"/>
    <w:rsid w:val="00E84546"/>
    <w:rsid w:val="00E84627"/>
    <w:rsid w:val="00E84709"/>
    <w:rsid w:val="00E84901"/>
    <w:rsid w:val="00E8496A"/>
    <w:rsid w:val="00E84A68"/>
    <w:rsid w:val="00E84AA9"/>
    <w:rsid w:val="00E84AE8"/>
    <w:rsid w:val="00E84B81"/>
    <w:rsid w:val="00E84F3D"/>
    <w:rsid w:val="00E84F45"/>
    <w:rsid w:val="00E85037"/>
    <w:rsid w:val="00E8516B"/>
    <w:rsid w:val="00E851A2"/>
    <w:rsid w:val="00E85417"/>
    <w:rsid w:val="00E854DD"/>
    <w:rsid w:val="00E85553"/>
    <w:rsid w:val="00E856D6"/>
    <w:rsid w:val="00E85CEE"/>
    <w:rsid w:val="00E85E62"/>
    <w:rsid w:val="00E85F35"/>
    <w:rsid w:val="00E85F5F"/>
    <w:rsid w:val="00E8600E"/>
    <w:rsid w:val="00E86275"/>
    <w:rsid w:val="00E862FD"/>
    <w:rsid w:val="00E86504"/>
    <w:rsid w:val="00E8684C"/>
    <w:rsid w:val="00E8689B"/>
    <w:rsid w:val="00E86C8D"/>
    <w:rsid w:val="00E86D62"/>
    <w:rsid w:val="00E86F54"/>
    <w:rsid w:val="00E86FB2"/>
    <w:rsid w:val="00E86FE5"/>
    <w:rsid w:val="00E8703F"/>
    <w:rsid w:val="00E8723E"/>
    <w:rsid w:val="00E87291"/>
    <w:rsid w:val="00E875FA"/>
    <w:rsid w:val="00E87700"/>
    <w:rsid w:val="00E87767"/>
    <w:rsid w:val="00E87877"/>
    <w:rsid w:val="00E87CDD"/>
    <w:rsid w:val="00E87DED"/>
    <w:rsid w:val="00E900AA"/>
    <w:rsid w:val="00E900D8"/>
    <w:rsid w:val="00E901AD"/>
    <w:rsid w:val="00E902B0"/>
    <w:rsid w:val="00E902E8"/>
    <w:rsid w:val="00E90384"/>
    <w:rsid w:val="00E906FF"/>
    <w:rsid w:val="00E907AC"/>
    <w:rsid w:val="00E90915"/>
    <w:rsid w:val="00E90995"/>
    <w:rsid w:val="00E909DD"/>
    <w:rsid w:val="00E90B69"/>
    <w:rsid w:val="00E90B74"/>
    <w:rsid w:val="00E90C8D"/>
    <w:rsid w:val="00E90D77"/>
    <w:rsid w:val="00E90DFF"/>
    <w:rsid w:val="00E90E01"/>
    <w:rsid w:val="00E910AE"/>
    <w:rsid w:val="00E9144D"/>
    <w:rsid w:val="00E914C0"/>
    <w:rsid w:val="00E914F3"/>
    <w:rsid w:val="00E9173B"/>
    <w:rsid w:val="00E917A3"/>
    <w:rsid w:val="00E9192B"/>
    <w:rsid w:val="00E9197B"/>
    <w:rsid w:val="00E91ACE"/>
    <w:rsid w:val="00E91B70"/>
    <w:rsid w:val="00E91E4D"/>
    <w:rsid w:val="00E91E72"/>
    <w:rsid w:val="00E91EF7"/>
    <w:rsid w:val="00E92139"/>
    <w:rsid w:val="00E923F4"/>
    <w:rsid w:val="00E925DC"/>
    <w:rsid w:val="00E927B6"/>
    <w:rsid w:val="00E928B7"/>
    <w:rsid w:val="00E92B20"/>
    <w:rsid w:val="00E92B69"/>
    <w:rsid w:val="00E92C24"/>
    <w:rsid w:val="00E92ED5"/>
    <w:rsid w:val="00E9304A"/>
    <w:rsid w:val="00E930F2"/>
    <w:rsid w:val="00E9319B"/>
    <w:rsid w:val="00E931EB"/>
    <w:rsid w:val="00E93238"/>
    <w:rsid w:val="00E93350"/>
    <w:rsid w:val="00E93359"/>
    <w:rsid w:val="00E933DD"/>
    <w:rsid w:val="00E93416"/>
    <w:rsid w:val="00E9346C"/>
    <w:rsid w:val="00E93543"/>
    <w:rsid w:val="00E9377C"/>
    <w:rsid w:val="00E93795"/>
    <w:rsid w:val="00E9380C"/>
    <w:rsid w:val="00E93A8F"/>
    <w:rsid w:val="00E93B9B"/>
    <w:rsid w:val="00E93E20"/>
    <w:rsid w:val="00E94026"/>
    <w:rsid w:val="00E94060"/>
    <w:rsid w:val="00E94072"/>
    <w:rsid w:val="00E9417E"/>
    <w:rsid w:val="00E94274"/>
    <w:rsid w:val="00E946D3"/>
    <w:rsid w:val="00E947B9"/>
    <w:rsid w:val="00E948B4"/>
    <w:rsid w:val="00E94A9F"/>
    <w:rsid w:val="00E94B32"/>
    <w:rsid w:val="00E94C45"/>
    <w:rsid w:val="00E94E4D"/>
    <w:rsid w:val="00E94F64"/>
    <w:rsid w:val="00E95014"/>
    <w:rsid w:val="00E95207"/>
    <w:rsid w:val="00E9529A"/>
    <w:rsid w:val="00E952A4"/>
    <w:rsid w:val="00E9564D"/>
    <w:rsid w:val="00E9565E"/>
    <w:rsid w:val="00E9569F"/>
    <w:rsid w:val="00E959FA"/>
    <w:rsid w:val="00E95A24"/>
    <w:rsid w:val="00E95A62"/>
    <w:rsid w:val="00E95AEB"/>
    <w:rsid w:val="00E95B6E"/>
    <w:rsid w:val="00E95BC6"/>
    <w:rsid w:val="00E95BD0"/>
    <w:rsid w:val="00E95C29"/>
    <w:rsid w:val="00E95DCF"/>
    <w:rsid w:val="00E95F5C"/>
    <w:rsid w:val="00E963E8"/>
    <w:rsid w:val="00E96606"/>
    <w:rsid w:val="00E96751"/>
    <w:rsid w:val="00E96890"/>
    <w:rsid w:val="00E96897"/>
    <w:rsid w:val="00E969AA"/>
    <w:rsid w:val="00E96A94"/>
    <w:rsid w:val="00E96BB7"/>
    <w:rsid w:val="00E96DBB"/>
    <w:rsid w:val="00E9727D"/>
    <w:rsid w:val="00E975D5"/>
    <w:rsid w:val="00E97602"/>
    <w:rsid w:val="00E97667"/>
    <w:rsid w:val="00E976D5"/>
    <w:rsid w:val="00E977AA"/>
    <w:rsid w:val="00E978EA"/>
    <w:rsid w:val="00E9799E"/>
    <w:rsid w:val="00E97A9C"/>
    <w:rsid w:val="00E97AED"/>
    <w:rsid w:val="00E97B17"/>
    <w:rsid w:val="00E97C91"/>
    <w:rsid w:val="00E97DE8"/>
    <w:rsid w:val="00E97E3D"/>
    <w:rsid w:val="00E97F11"/>
    <w:rsid w:val="00E97F72"/>
    <w:rsid w:val="00E97FA9"/>
    <w:rsid w:val="00EA0139"/>
    <w:rsid w:val="00EA0178"/>
    <w:rsid w:val="00EA02B6"/>
    <w:rsid w:val="00EA02EA"/>
    <w:rsid w:val="00EA0313"/>
    <w:rsid w:val="00EA031C"/>
    <w:rsid w:val="00EA0486"/>
    <w:rsid w:val="00EA04B6"/>
    <w:rsid w:val="00EA04C5"/>
    <w:rsid w:val="00EA0653"/>
    <w:rsid w:val="00EA0709"/>
    <w:rsid w:val="00EA0836"/>
    <w:rsid w:val="00EA0852"/>
    <w:rsid w:val="00EA0903"/>
    <w:rsid w:val="00EA0A02"/>
    <w:rsid w:val="00EA0BC5"/>
    <w:rsid w:val="00EA0C70"/>
    <w:rsid w:val="00EA0CB2"/>
    <w:rsid w:val="00EA0E26"/>
    <w:rsid w:val="00EA0FAE"/>
    <w:rsid w:val="00EA11B7"/>
    <w:rsid w:val="00EA1318"/>
    <w:rsid w:val="00EA1337"/>
    <w:rsid w:val="00EA13DD"/>
    <w:rsid w:val="00EA1401"/>
    <w:rsid w:val="00EA15CB"/>
    <w:rsid w:val="00EA1910"/>
    <w:rsid w:val="00EA1B51"/>
    <w:rsid w:val="00EA1C6B"/>
    <w:rsid w:val="00EA1CF5"/>
    <w:rsid w:val="00EA1DE8"/>
    <w:rsid w:val="00EA1E84"/>
    <w:rsid w:val="00EA1F94"/>
    <w:rsid w:val="00EA201C"/>
    <w:rsid w:val="00EA2233"/>
    <w:rsid w:val="00EA2590"/>
    <w:rsid w:val="00EA2652"/>
    <w:rsid w:val="00EA277A"/>
    <w:rsid w:val="00EA27E2"/>
    <w:rsid w:val="00EA28D9"/>
    <w:rsid w:val="00EA2B43"/>
    <w:rsid w:val="00EA2CEA"/>
    <w:rsid w:val="00EA2DD0"/>
    <w:rsid w:val="00EA2E42"/>
    <w:rsid w:val="00EA2F65"/>
    <w:rsid w:val="00EA318D"/>
    <w:rsid w:val="00EA3406"/>
    <w:rsid w:val="00EA34B7"/>
    <w:rsid w:val="00EA3517"/>
    <w:rsid w:val="00EA3643"/>
    <w:rsid w:val="00EA3650"/>
    <w:rsid w:val="00EA368C"/>
    <w:rsid w:val="00EA36F2"/>
    <w:rsid w:val="00EA3749"/>
    <w:rsid w:val="00EA377E"/>
    <w:rsid w:val="00EA3A12"/>
    <w:rsid w:val="00EA3A77"/>
    <w:rsid w:val="00EA3CB2"/>
    <w:rsid w:val="00EA3CB4"/>
    <w:rsid w:val="00EA40B1"/>
    <w:rsid w:val="00EA427E"/>
    <w:rsid w:val="00EA4423"/>
    <w:rsid w:val="00EA4518"/>
    <w:rsid w:val="00EA45B0"/>
    <w:rsid w:val="00EA4631"/>
    <w:rsid w:val="00EA4679"/>
    <w:rsid w:val="00EA467F"/>
    <w:rsid w:val="00EA4713"/>
    <w:rsid w:val="00EA480B"/>
    <w:rsid w:val="00EA497C"/>
    <w:rsid w:val="00EA4B24"/>
    <w:rsid w:val="00EA5193"/>
    <w:rsid w:val="00EA51FB"/>
    <w:rsid w:val="00EA5249"/>
    <w:rsid w:val="00EA5507"/>
    <w:rsid w:val="00EA583B"/>
    <w:rsid w:val="00EA5977"/>
    <w:rsid w:val="00EA59AC"/>
    <w:rsid w:val="00EA5AB7"/>
    <w:rsid w:val="00EA5B4E"/>
    <w:rsid w:val="00EA5E80"/>
    <w:rsid w:val="00EA5E85"/>
    <w:rsid w:val="00EA60A6"/>
    <w:rsid w:val="00EA618B"/>
    <w:rsid w:val="00EA638D"/>
    <w:rsid w:val="00EA680E"/>
    <w:rsid w:val="00EA68B2"/>
    <w:rsid w:val="00EA69C5"/>
    <w:rsid w:val="00EA6A77"/>
    <w:rsid w:val="00EA6B27"/>
    <w:rsid w:val="00EA6B37"/>
    <w:rsid w:val="00EA6C81"/>
    <w:rsid w:val="00EA6E7B"/>
    <w:rsid w:val="00EA6E96"/>
    <w:rsid w:val="00EA7062"/>
    <w:rsid w:val="00EA70FE"/>
    <w:rsid w:val="00EA718B"/>
    <w:rsid w:val="00EA726C"/>
    <w:rsid w:val="00EA7567"/>
    <w:rsid w:val="00EA762A"/>
    <w:rsid w:val="00EA7780"/>
    <w:rsid w:val="00EA78EA"/>
    <w:rsid w:val="00EA7918"/>
    <w:rsid w:val="00EA79A0"/>
    <w:rsid w:val="00EA79F3"/>
    <w:rsid w:val="00EA7C34"/>
    <w:rsid w:val="00EA7D36"/>
    <w:rsid w:val="00EA7E0A"/>
    <w:rsid w:val="00EA7E63"/>
    <w:rsid w:val="00EA7FE7"/>
    <w:rsid w:val="00EB0035"/>
    <w:rsid w:val="00EB0058"/>
    <w:rsid w:val="00EB00F0"/>
    <w:rsid w:val="00EB00FA"/>
    <w:rsid w:val="00EB02F7"/>
    <w:rsid w:val="00EB030F"/>
    <w:rsid w:val="00EB0343"/>
    <w:rsid w:val="00EB0939"/>
    <w:rsid w:val="00EB0A5A"/>
    <w:rsid w:val="00EB0B11"/>
    <w:rsid w:val="00EB1039"/>
    <w:rsid w:val="00EB1326"/>
    <w:rsid w:val="00EB13CF"/>
    <w:rsid w:val="00EB14F8"/>
    <w:rsid w:val="00EB16D5"/>
    <w:rsid w:val="00EB173A"/>
    <w:rsid w:val="00EB1880"/>
    <w:rsid w:val="00EB198A"/>
    <w:rsid w:val="00EB1A24"/>
    <w:rsid w:val="00EB1AA1"/>
    <w:rsid w:val="00EB1C56"/>
    <w:rsid w:val="00EB1DEB"/>
    <w:rsid w:val="00EB1E36"/>
    <w:rsid w:val="00EB1E7C"/>
    <w:rsid w:val="00EB2044"/>
    <w:rsid w:val="00EB22DF"/>
    <w:rsid w:val="00EB2376"/>
    <w:rsid w:val="00EB238D"/>
    <w:rsid w:val="00EB23C2"/>
    <w:rsid w:val="00EB245F"/>
    <w:rsid w:val="00EB265B"/>
    <w:rsid w:val="00EB26F8"/>
    <w:rsid w:val="00EB2778"/>
    <w:rsid w:val="00EB2C54"/>
    <w:rsid w:val="00EB2D14"/>
    <w:rsid w:val="00EB2D58"/>
    <w:rsid w:val="00EB3234"/>
    <w:rsid w:val="00EB3286"/>
    <w:rsid w:val="00EB334F"/>
    <w:rsid w:val="00EB342C"/>
    <w:rsid w:val="00EB3592"/>
    <w:rsid w:val="00EB35C3"/>
    <w:rsid w:val="00EB35C5"/>
    <w:rsid w:val="00EB35D7"/>
    <w:rsid w:val="00EB36E4"/>
    <w:rsid w:val="00EB373C"/>
    <w:rsid w:val="00EB37D1"/>
    <w:rsid w:val="00EB38E9"/>
    <w:rsid w:val="00EB392B"/>
    <w:rsid w:val="00EB3A38"/>
    <w:rsid w:val="00EB3BE2"/>
    <w:rsid w:val="00EB3C17"/>
    <w:rsid w:val="00EB3E40"/>
    <w:rsid w:val="00EB3F54"/>
    <w:rsid w:val="00EB406A"/>
    <w:rsid w:val="00EB417F"/>
    <w:rsid w:val="00EB4202"/>
    <w:rsid w:val="00EB4259"/>
    <w:rsid w:val="00EB45EC"/>
    <w:rsid w:val="00EB46AB"/>
    <w:rsid w:val="00EB46D8"/>
    <w:rsid w:val="00EB47CF"/>
    <w:rsid w:val="00EB4991"/>
    <w:rsid w:val="00EB4A62"/>
    <w:rsid w:val="00EB4B8C"/>
    <w:rsid w:val="00EB4CBA"/>
    <w:rsid w:val="00EB4D53"/>
    <w:rsid w:val="00EB4E31"/>
    <w:rsid w:val="00EB4FF9"/>
    <w:rsid w:val="00EB51A3"/>
    <w:rsid w:val="00EB5376"/>
    <w:rsid w:val="00EB5462"/>
    <w:rsid w:val="00EB54E7"/>
    <w:rsid w:val="00EB5640"/>
    <w:rsid w:val="00EB57B3"/>
    <w:rsid w:val="00EB5C24"/>
    <w:rsid w:val="00EB5C6B"/>
    <w:rsid w:val="00EB5E6B"/>
    <w:rsid w:val="00EB5F64"/>
    <w:rsid w:val="00EB5F76"/>
    <w:rsid w:val="00EB5FE1"/>
    <w:rsid w:val="00EB60D0"/>
    <w:rsid w:val="00EB614A"/>
    <w:rsid w:val="00EB6386"/>
    <w:rsid w:val="00EB63DE"/>
    <w:rsid w:val="00EB66FD"/>
    <w:rsid w:val="00EB671A"/>
    <w:rsid w:val="00EB6803"/>
    <w:rsid w:val="00EB68EA"/>
    <w:rsid w:val="00EB6AA4"/>
    <w:rsid w:val="00EB6BCC"/>
    <w:rsid w:val="00EB6BE6"/>
    <w:rsid w:val="00EB6FDD"/>
    <w:rsid w:val="00EB7137"/>
    <w:rsid w:val="00EB716B"/>
    <w:rsid w:val="00EB720B"/>
    <w:rsid w:val="00EB723A"/>
    <w:rsid w:val="00EB7463"/>
    <w:rsid w:val="00EB74DF"/>
    <w:rsid w:val="00EB7897"/>
    <w:rsid w:val="00EB78A9"/>
    <w:rsid w:val="00EB7972"/>
    <w:rsid w:val="00EB7F38"/>
    <w:rsid w:val="00EB7F7E"/>
    <w:rsid w:val="00EC0018"/>
    <w:rsid w:val="00EC023E"/>
    <w:rsid w:val="00EC0370"/>
    <w:rsid w:val="00EC03D9"/>
    <w:rsid w:val="00EC04C7"/>
    <w:rsid w:val="00EC0519"/>
    <w:rsid w:val="00EC051D"/>
    <w:rsid w:val="00EC0528"/>
    <w:rsid w:val="00EC0948"/>
    <w:rsid w:val="00EC094C"/>
    <w:rsid w:val="00EC0999"/>
    <w:rsid w:val="00EC09D2"/>
    <w:rsid w:val="00EC09EF"/>
    <w:rsid w:val="00EC0B88"/>
    <w:rsid w:val="00EC0C73"/>
    <w:rsid w:val="00EC0C78"/>
    <w:rsid w:val="00EC0D7E"/>
    <w:rsid w:val="00EC0D8E"/>
    <w:rsid w:val="00EC0E93"/>
    <w:rsid w:val="00EC0EEE"/>
    <w:rsid w:val="00EC1172"/>
    <w:rsid w:val="00EC11D2"/>
    <w:rsid w:val="00EC150F"/>
    <w:rsid w:val="00EC161B"/>
    <w:rsid w:val="00EC169F"/>
    <w:rsid w:val="00EC1709"/>
    <w:rsid w:val="00EC175D"/>
    <w:rsid w:val="00EC175F"/>
    <w:rsid w:val="00EC1BDB"/>
    <w:rsid w:val="00EC1D85"/>
    <w:rsid w:val="00EC1D98"/>
    <w:rsid w:val="00EC1E75"/>
    <w:rsid w:val="00EC1FD2"/>
    <w:rsid w:val="00EC214A"/>
    <w:rsid w:val="00EC2278"/>
    <w:rsid w:val="00EC267B"/>
    <w:rsid w:val="00EC2955"/>
    <w:rsid w:val="00EC2AAE"/>
    <w:rsid w:val="00EC2B7E"/>
    <w:rsid w:val="00EC2D10"/>
    <w:rsid w:val="00EC2D32"/>
    <w:rsid w:val="00EC2DD5"/>
    <w:rsid w:val="00EC2EB5"/>
    <w:rsid w:val="00EC2F92"/>
    <w:rsid w:val="00EC3210"/>
    <w:rsid w:val="00EC3352"/>
    <w:rsid w:val="00EC34A3"/>
    <w:rsid w:val="00EC3556"/>
    <w:rsid w:val="00EC35D4"/>
    <w:rsid w:val="00EC361A"/>
    <w:rsid w:val="00EC37FB"/>
    <w:rsid w:val="00EC38C2"/>
    <w:rsid w:val="00EC38DC"/>
    <w:rsid w:val="00EC38E9"/>
    <w:rsid w:val="00EC394F"/>
    <w:rsid w:val="00EC39A8"/>
    <w:rsid w:val="00EC3A24"/>
    <w:rsid w:val="00EC3A6F"/>
    <w:rsid w:val="00EC3A87"/>
    <w:rsid w:val="00EC3A9A"/>
    <w:rsid w:val="00EC3E75"/>
    <w:rsid w:val="00EC3E8E"/>
    <w:rsid w:val="00EC3FEC"/>
    <w:rsid w:val="00EC401C"/>
    <w:rsid w:val="00EC403A"/>
    <w:rsid w:val="00EC4075"/>
    <w:rsid w:val="00EC419A"/>
    <w:rsid w:val="00EC42BC"/>
    <w:rsid w:val="00EC432E"/>
    <w:rsid w:val="00EC4630"/>
    <w:rsid w:val="00EC469E"/>
    <w:rsid w:val="00EC46B4"/>
    <w:rsid w:val="00EC46CB"/>
    <w:rsid w:val="00EC481D"/>
    <w:rsid w:val="00EC4AAD"/>
    <w:rsid w:val="00EC4AFA"/>
    <w:rsid w:val="00EC4D41"/>
    <w:rsid w:val="00EC52A1"/>
    <w:rsid w:val="00EC5349"/>
    <w:rsid w:val="00EC542E"/>
    <w:rsid w:val="00EC54AD"/>
    <w:rsid w:val="00EC559F"/>
    <w:rsid w:val="00EC57B2"/>
    <w:rsid w:val="00EC5827"/>
    <w:rsid w:val="00EC597D"/>
    <w:rsid w:val="00EC59A3"/>
    <w:rsid w:val="00EC59D9"/>
    <w:rsid w:val="00EC59F9"/>
    <w:rsid w:val="00EC5B27"/>
    <w:rsid w:val="00EC5CF0"/>
    <w:rsid w:val="00EC5D6B"/>
    <w:rsid w:val="00EC609A"/>
    <w:rsid w:val="00EC62E7"/>
    <w:rsid w:val="00EC630F"/>
    <w:rsid w:val="00EC65EC"/>
    <w:rsid w:val="00EC6801"/>
    <w:rsid w:val="00EC68AA"/>
    <w:rsid w:val="00EC68AC"/>
    <w:rsid w:val="00EC6A5F"/>
    <w:rsid w:val="00EC6B16"/>
    <w:rsid w:val="00EC6C1A"/>
    <w:rsid w:val="00EC6C20"/>
    <w:rsid w:val="00EC6C69"/>
    <w:rsid w:val="00EC6C7E"/>
    <w:rsid w:val="00EC6ED1"/>
    <w:rsid w:val="00EC6ED9"/>
    <w:rsid w:val="00EC719D"/>
    <w:rsid w:val="00EC7245"/>
    <w:rsid w:val="00EC73C7"/>
    <w:rsid w:val="00EC7607"/>
    <w:rsid w:val="00EC776E"/>
    <w:rsid w:val="00EC789C"/>
    <w:rsid w:val="00EC78D4"/>
    <w:rsid w:val="00EC7A7B"/>
    <w:rsid w:val="00EC7AF6"/>
    <w:rsid w:val="00EC7ED8"/>
    <w:rsid w:val="00ED00C2"/>
    <w:rsid w:val="00ED0188"/>
    <w:rsid w:val="00ED028A"/>
    <w:rsid w:val="00ED0533"/>
    <w:rsid w:val="00ED0554"/>
    <w:rsid w:val="00ED05E1"/>
    <w:rsid w:val="00ED0775"/>
    <w:rsid w:val="00ED0843"/>
    <w:rsid w:val="00ED08FD"/>
    <w:rsid w:val="00ED0B65"/>
    <w:rsid w:val="00ED0C23"/>
    <w:rsid w:val="00ED0CFC"/>
    <w:rsid w:val="00ED0E26"/>
    <w:rsid w:val="00ED0F04"/>
    <w:rsid w:val="00ED0F3A"/>
    <w:rsid w:val="00ED1038"/>
    <w:rsid w:val="00ED10AC"/>
    <w:rsid w:val="00ED12C9"/>
    <w:rsid w:val="00ED1339"/>
    <w:rsid w:val="00ED137E"/>
    <w:rsid w:val="00ED1426"/>
    <w:rsid w:val="00ED14CE"/>
    <w:rsid w:val="00ED14FB"/>
    <w:rsid w:val="00ED1740"/>
    <w:rsid w:val="00ED17CB"/>
    <w:rsid w:val="00ED1982"/>
    <w:rsid w:val="00ED1A88"/>
    <w:rsid w:val="00ED1ADF"/>
    <w:rsid w:val="00ED1BFA"/>
    <w:rsid w:val="00ED1D8A"/>
    <w:rsid w:val="00ED1DEC"/>
    <w:rsid w:val="00ED1FC0"/>
    <w:rsid w:val="00ED1FE4"/>
    <w:rsid w:val="00ED2005"/>
    <w:rsid w:val="00ED2092"/>
    <w:rsid w:val="00ED2129"/>
    <w:rsid w:val="00ED2138"/>
    <w:rsid w:val="00ED222E"/>
    <w:rsid w:val="00ED223D"/>
    <w:rsid w:val="00ED2254"/>
    <w:rsid w:val="00ED22B6"/>
    <w:rsid w:val="00ED2392"/>
    <w:rsid w:val="00ED2924"/>
    <w:rsid w:val="00ED2A85"/>
    <w:rsid w:val="00ED2C2E"/>
    <w:rsid w:val="00ED2E58"/>
    <w:rsid w:val="00ED2E5B"/>
    <w:rsid w:val="00ED2EE3"/>
    <w:rsid w:val="00ED2EE4"/>
    <w:rsid w:val="00ED3027"/>
    <w:rsid w:val="00ED3038"/>
    <w:rsid w:val="00ED30D1"/>
    <w:rsid w:val="00ED30F1"/>
    <w:rsid w:val="00ED3157"/>
    <w:rsid w:val="00ED329F"/>
    <w:rsid w:val="00ED3312"/>
    <w:rsid w:val="00ED332B"/>
    <w:rsid w:val="00ED3479"/>
    <w:rsid w:val="00ED34DA"/>
    <w:rsid w:val="00ED3686"/>
    <w:rsid w:val="00ED372D"/>
    <w:rsid w:val="00ED3811"/>
    <w:rsid w:val="00ED3998"/>
    <w:rsid w:val="00ED3A51"/>
    <w:rsid w:val="00ED3B68"/>
    <w:rsid w:val="00ED3D25"/>
    <w:rsid w:val="00ED3D75"/>
    <w:rsid w:val="00ED3D8F"/>
    <w:rsid w:val="00ED3ECE"/>
    <w:rsid w:val="00ED409D"/>
    <w:rsid w:val="00ED41B6"/>
    <w:rsid w:val="00ED4249"/>
    <w:rsid w:val="00ED44DD"/>
    <w:rsid w:val="00ED4772"/>
    <w:rsid w:val="00ED477C"/>
    <w:rsid w:val="00ED48B4"/>
    <w:rsid w:val="00ED48E3"/>
    <w:rsid w:val="00ED496D"/>
    <w:rsid w:val="00ED4CF4"/>
    <w:rsid w:val="00ED4D76"/>
    <w:rsid w:val="00ED4DF1"/>
    <w:rsid w:val="00ED4EBC"/>
    <w:rsid w:val="00ED4F50"/>
    <w:rsid w:val="00ED53A0"/>
    <w:rsid w:val="00ED53CB"/>
    <w:rsid w:val="00ED5443"/>
    <w:rsid w:val="00ED5446"/>
    <w:rsid w:val="00ED54C3"/>
    <w:rsid w:val="00ED567B"/>
    <w:rsid w:val="00ED56C8"/>
    <w:rsid w:val="00ED5749"/>
    <w:rsid w:val="00ED57DD"/>
    <w:rsid w:val="00ED59E4"/>
    <w:rsid w:val="00ED5B94"/>
    <w:rsid w:val="00ED5BDF"/>
    <w:rsid w:val="00ED5CA1"/>
    <w:rsid w:val="00ED5D91"/>
    <w:rsid w:val="00ED5EA4"/>
    <w:rsid w:val="00ED5FA6"/>
    <w:rsid w:val="00ED5FAD"/>
    <w:rsid w:val="00ED6048"/>
    <w:rsid w:val="00ED6236"/>
    <w:rsid w:val="00ED6402"/>
    <w:rsid w:val="00ED66A6"/>
    <w:rsid w:val="00ED6872"/>
    <w:rsid w:val="00ED6B8D"/>
    <w:rsid w:val="00ED6C08"/>
    <w:rsid w:val="00ED6D64"/>
    <w:rsid w:val="00ED7020"/>
    <w:rsid w:val="00ED708D"/>
    <w:rsid w:val="00ED70F9"/>
    <w:rsid w:val="00ED70FE"/>
    <w:rsid w:val="00ED71B8"/>
    <w:rsid w:val="00ED71E2"/>
    <w:rsid w:val="00ED71EA"/>
    <w:rsid w:val="00ED728B"/>
    <w:rsid w:val="00ED72A1"/>
    <w:rsid w:val="00ED73EB"/>
    <w:rsid w:val="00ED7705"/>
    <w:rsid w:val="00ED7844"/>
    <w:rsid w:val="00ED7B97"/>
    <w:rsid w:val="00ED7D13"/>
    <w:rsid w:val="00ED7E80"/>
    <w:rsid w:val="00ED7F07"/>
    <w:rsid w:val="00ED7FBE"/>
    <w:rsid w:val="00EE0048"/>
    <w:rsid w:val="00EE017D"/>
    <w:rsid w:val="00EE01C8"/>
    <w:rsid w:val="00EE02A5"/>
    <w:rsid w:val="00EE0414"/>
    <w:rsid w:val="00EE0690"/>
    <w:rsid w:val="00EE0742"/>
    <w:rsid w:val="00EE07D4"/>
    <w:rsid w:val="00EE086E"/>
    <w:rsid w:val="00EE0906"/>
    <w:rsid w:val="00EE096E"/>
    <w:rsid w:val="00EE0B8A"/>
    <w:rsid w:val="00EE0BB7"/>
    <w:rsid w:val="00EE0E01"/>
    <w:rsid w:val="00EE0E17"/>
    <w:rsid w:val="00EE0F64"/>
    <w:rsid w:val="00EE0F69"/>
    <w:rsid w:val="00EE1049"/>
    <w:rsid w:val="00EE10AC"/>
    <w:rsid w:val="00EE1372"/>
    <w:rsid w:val="00EE1654"/>
    <w:rsid w:val="00EE1746"/>
    <w:rsid w:val="00EE17B9"/>
    <w:rsid w:val="00EE18C8"/>
    <w:rsid w:val="00EE1CFB"/>
    <w:rsid w:val="00EE1E85"/>
    <w:rsid w:val="00EE22B0"/>
    <w:rsid w:val="00EE22DB"/>
    <w:rsid w:val="00EE237E"/>
    <w:rsid w:val="00EE27CF"/>
    <w:rsid w:val="00EE2851"/>
    <w:rsid w:val="00EE2904"/>
    <w:rsid w:val="00EE2B29"/>
    <w:rsid w:val="00EE2BFE"/>
    <w:rsid w:val="00EE2C56"/>
    <w:rsid w:val="00EE2E1D"/>
    <w:rsid w:val="00EE2E54"/>
    <w:rsid w:val="00EE2F02"/>
    <w:rsid w:val="00EE305E"/>
    <w:rsid w:val="00EE31FA"/>
    <w:rsid w:val="00EE320B"/>
    <w:rsid w:val="00EE323D"/>
    <w:rsid w:val="00EE33C4"/>
    <w:rsid w:val="00EE3608"/>
    <w:rsid w:val="00EE391D"/>
    <w:rsid w:val="00EE3ADC"/>
    <w:rsid w:val="00EE3AE9"/>
    <w:rsid w:val="00EE3D5F"/>
    <w:rsid w:val="00EE3DBA"/>
    <w:rsid w:val="00EE3E02"/>
    <w:rsid w:val="00EE4083"/>
    <w:rsid w:val="00EE421C"/>
    <w:rsid w:val="00EE4390"/>
    <w:rsid w:val="00EE4474"/>
    <w:rsid w:val="00EE45D7"/>
    <w:rsid w:val="00EE46B7"/>
    <w:rsid w:val="00EE4768"/>
    <w:rsid w:val="00EE47B3"/>
    <w:rsid w:val="00EE48F7"/>
    <w:rsid w:val="00EE4994"/>
    <w:rsid w:val="00EE4ABB"/>
    <w:rsid w:val="00EE4C60"/>
    <w:rsid w:val="00EE4D7B"/>
    <w:rsid w:val="00EE4DFB"/>
    <w:rsid w:val="00EE4E22"/>
    <w:rsid w:val="00EE4FA4"/>
    <w:rsid w:val="00EE50F4"/>
    <w:rsid w:val="00EE5119"/>
    <w:rsid w:val="00EE5207"/>
    <w:rsid w:val="00EE5258"/>
    <w:rsid w:val="00EE5443"/>
    <w:rsid w:val="00EE5537"/>
    <w:rsid w:val="00EE5703"/>
    <w:rsid w:val="00EE58E2"/>
    <w:rsid w:val="00EE5952"/>
    <w:rsid w:val="00EE5C1F"/>
    <w:rsid w:val="00EE5D5F"/>
    <w:rsid w:val="00EE5DA7"/>
    <w:rsid w:val="00EE5DD1"/>
    <w:rsid w:val="00EE5E77"/>
    <w:rsid w:val="00EE5FD4"/>
    <w:rsid w:val="00EE650F"/>
    <w:rsid w:val="00EE665B"/>
    <w:rsid w:val="00EE6721"/>
    <w:rsid w:val="00EE677F"/>
    <w:rsid w:val="00EE67BD"/>
    <w:rsid w:val="00EE681E"/>
    <w:rsid w:val="00EE6841"/>
    <w:rsid w:val="00EE68F7"/>
    <w:rsid w:val="00EE69D5"/>
    <w:rsid w:val="00EE6BA8"/>
    <w:rsid w:val="00EE6BF5"/>
    <w:rsid w:val="00EE6CA6"/>
    <w:rsid w:val="00EE6DB7"/>
    <w:rsid w:val="00EE702E"/>
    <w:rsid w:val="00EE7247"/>
    <w:rsid w:val="00EE7269"/>
    <w:rsid w:val="00EE727B"/>
    <w:rsid w:val="00EE7347"/>
    <w:rsid w:val="00EE734B"/>
    <w:rsid w:val="00EE7359"/>
    <w:rsid w:val="00EE7367"/>
    <w:rsid w:val="00EE7579"/>
    <w:rsid w:val="00EE75CA"/>
    <w:rsid w:val="00EE76E3"/>
    <w:rsid w:val="00EE7742"/>
    <w:rsid w:val="00EE78A5"/>
    <w:rsid w:val="00EE796B"/>
    <w:rsid w:val="00EE79D9"/>
    <w:rsid w:val="00EE7A7F"/>
    <w:rsid w:val="00EE7BD3"/>
    <w:rsid w:val="00EE7C89"/>
    <w:rsid w:val="00EE7CAE"/>
    <w:rsid w:val="00EE7DD7"/>
    <w:rsid w:val="00EE7EE6"/>
    <w:rsid w:val="00EE7FF0"/>
    <w:rsid w:val="00EF016C"/>
    <w:rsid w:val="00EF0172"/>
    <w:rsid w:val="00EF032E"/>
    <w:rsid w:val="00EF0412"/>
    <w:rsid w:val="00EF06D9"/>
    <w:rsid w:val="00EF079E"/>
    <w:rsid w:val="00EF0A98"/>
    <w:rsid w:val="00EF0B4B"/>
    <w:rsid w:val="00EF0E39"/>
    <w:rsid w:val="00EF0E5B"/>
    <w:rsid w:val="00EF0ED8"/>
    <w:rsid w:val="00EF0FD9"/>
    <w:rsid w:val="00EF10BD"/>
    <w:rsid w:val="00EF1253"/>
    <w:rsid w:val="00EF140C"/>
    <w:rsid w:val="00EF1458"/>
    <w:rsid w:val="00EF163D"/>
    <w:rsid w:val="00EF1698"/>
    <w:rsid w:val="00EF17F7"/>
    <w:rsid w:val="00EF18CB"/>
    <w:rsid w:val="00EF18E3"/>
    <w:rsid w:val="00EF1946"/>
    <w:rsid w:val="00EF1B26"/>
    <w:rsid w:val="00EF1BC4"/>
    <w:rsid w:val="00EF1E2B"/>
    <w:rsid w:val="00EF1EF6"/>
    <w:rsid w:val="00EF1F8D"/>
    <w:rsid w:val="00EF1FF6"/>
    <w:rsid w:val="00EF2006"/>
    <w:rsid w:val="00EF2091"/>
    <w:rsid w:val="00EF20A3"/>
    <w:rsid w:val="00EF2117"/>
    <w:rsid w:val="00EF217C"/>
    <w:rsid w:val="00EF22CE"/>
    <w:rsid w:val="00EF2460"/>
    <w:rsid w:val="00EF2637"/>
    <w:rsid w:val="00EF26B6"/>
    <w:rsid w:val="00EF26DD"/>
    <w:rsid w:val="00EF280F"/>
    <w:rsid w:val="00EF2B84"/>
    <w:rsid w:val="00EF2DDB"/>
    <w:rsid w:val="00EF2E5A"/>
    <w:rsid w:val="00EF2FBF"/>
    <w:rsid w:val="00EF3427"/>
    <w:rsid w:val="00EF3440"/>
    <w:rsid w:val="00EF3457"/>
    <w:rsid w:val="00EF36C7"/>
    <w:rsid w:val="00EF36CD"/>
    <w:rsid w:val="00EF39B1"/>
    <w:rsid w:val="00EF3BF3"/>
    <w:rsid w:val="00EF3CFA"/>
    <w:rsid w:val="00EF3D26"/>
    <w:rsid w:val="00EF3D60"/>
    <w:rsid w:val="00EF3E74"/>
    <w:rsid w:val="00EF3E84"/>
    <w:rsid w:val="00EF3FBD"/>
    <w:rsid w:val="00EF3FDA"/>
    <w:rsid w:val="00EF403B"/>
    <w:rsid w:val="00EF4061"/>
    <w:rsid w:val="00EF4096"/>
    <w:rsid w:val="00EF4308"/>
    <w:rsid w:val="00EF4425"/>
    <w:rsid w:val="00EF4473"/>
    <w:rsid w:val="00EF44F6"/>
    <w:rsid w:val="00EF4690"/>
    <w:rsid w:val="00EF4870"/>
    <w:rsid w:val="00EF4A44"/>
    <w:rsid w:val="00EF4AA5"/>
    <w:rsid w:val="00EF4B6A"/>
    <w:rsid w:val="00EF4C7D"/>
    <w:rsid w:val="00EF4DD4"/>
    <w:rsid w:val="00EF50D7"/>
    <w:rsid w:val="00EF516F"/>
    <w:rsid w:val="00EF5181"/>
    <w:rsid w:val="00EF5241"/>
    <w:rsid w:val="00EF5286"/>
    <w:rsid w:val="00EF5335"/>
    <w:rsid w:val="00EF548F"/>
    <w:rsid w:val="00EF54E5"/>
    <w:rsid w:val="00EF554F"/>
    <w:rsid w:val="00EF56C5"/>
    <w:rsid w:val="00EF5B24"/>
    <w:rsid w:val="00EF5E14"/>
    <w:rsid w:val="00EF5E1C"/>
    <w:rsid w:val="00EF678E"/>
    <w:rsid w:val="00EF6792"/>
    <w:rsid w:val="00EF6821"/>
    <w:rsid w:val="00EF6A68"/>
    <w:rsid w:val="00EF6CA4"/>
    <w:rsid w:val="00EF6CD6"/>
    <w:rsid w:val="00EF6F3F"/>
    <w:rsid w:val="00EF6FAA"/>
    <w:rsid w:val="00EF7035"/>
    <w:rsid w:val="00EF7072"/>
    <w:rsid w:val="00EF7074"/>
    <w:rsid w:val="00EF7163"/>
    <w:rsid w:val="00EF72AA"/>
    <w:rsid w:val="00EF75BF"/>
    <w:rsid w:val="00EF7709"/>
    <w:rsid w:val="00EF79D2"/>
    <w:rsid w:val="00EF7A52"/>
    <w:rsid w:val="00EF7A92"/>
    <w:rsid w:val="00EF7BC5"/>
    <w:rsid w:val="00EF7C8F"/>
    <w:rsid w:val="00EF7DF9"/>
    <w:rsid w:val="00EF7E08"/>
    <w:rsid w:val="00EF7FB1"/>
    <w:rsid w:val="00EF7FC7"/>
    <w:rsid w:val="00F002CD"/>
    <w:rsid w:val="00F00330"/>
    <w:rsid w:val="00F003F7"/>
    <w:rsid w:val="00F0081C"/>
    <w:rsid w:val="00F0082D"/>
    <w:rsid w:val="00F0087D"/>
    <w:rsid w:val="00F00B18"/>
    <w:rsid w:val="00F00BA4"/>
    <w:rsid w:val="00F00C23"/>
    <w:rsid w:val="00F00E28"/>
    <w:rsid w:val="00F00F29"/>
    <w:rsid w:val="00F0117E"/>
    <w:rsid w:val="00F011C3"/>
    <w:rsid w:val="00F0125F"/>
    <w:rsid w:val="00F012F2"/>
    <w:rsid w:val="00F012F6"/>
    <w:rsid w:val="00F013EA"/>
    <w:rsid w:val="00F01731"/>
    <w:rsid w:val="00F017B8"/>
    <w:rsid w:val="00F0198C"/>
    <w:rsid w:val="00F01AF3"/>
    <w:rsid w:val="00F01B7A"/>
    <w:rsid w:val="00F01CC7"/>
    <w:rsid w:val="00F01D27"/>
    <w:rsid w:val="00F01E48"/>
    <w:rsid w:val="00F01E57"/>
    <w:rsid w:val="00F021C0"/>
    <w:rsid w:val="00F02423"/>
    <w:rsid w:val="00F0253F"/>
    <w:rsid w:val="00F02554"/>
    <w:rsid w:val="00F02556"/>
    <w:rsid w:val="00F02572"/>
    <w:rsid w:val="00F025A3"/>
    <w:rsid w:val="00F0271D"/>
    <w:rsid w:val="00F0285C"/>
    <w:rsid w:val="00F02982"/>
    <w:rsid w:val="00F02B19"/>
    <w:rsid w:val="00F02B52"/>
    <w:rsid w:val="00F02CF3"/>
    <w:rsid w:val="00F02E00"/>
    <w:rsid w:val="00F02FAB"/>
    <w:rsid w:val="00F03110"/>
    <w:rsid w:val="00F0315A"/>
    <w:rsid w:val="00F03459"/>
    <w:rsid w:val="00F0369F"/>
    <w:rsid w:val="00F039F7"/>
    <w:rsid w:val="00F03BD4"/>
    <w:rsid w:val="00F03D19"/>
    <w:rsid w:val="00F03DBC"/>
    <w:rsid w:val="00F03E06"/>
    <w:rsid w:val="00F03EBC"/>
    <w:rsid w:val="00F03F0E"/>
    <w:rsid w:val="00F04253"/>
    <w:rsid w:val="00F043A5"/>
    <w:rsid w:val="00F046C2"/>
    <w:rsid w:val="00F04842"/>
    <w:rsid w:val="00F048E9"/>
    <w:rsid w:val="00F04BBB"/>
    <w:rsid w:val="00F04C68"/>
    <w:rsid w:val="00F04C81"/>
    <w:rsid w:val="00F04F06"/>
    <w:rsid w:val="00F04FC2"/>
    <w:rsid w:val="00F04FDA"/>
    <w:rsid w:val="00F05006"/>
    <w:rsid w:val="00F051AE"/>
    <w:rsid w:val="00F052ED"/>
    <w:rsid w:val="00F05378"/>
    <w:rsid w:val="00F053C5"/>
    <w:rsid w:val="00F0545C"/>
    <w:rsid w:val="00F055AE"/>
    <w:rsid w:val="00F056F6"/>
    <w:rsid w:val="00F057F2"/>
    <w:rsid w:val="00F057FC"/>
    <w:rsid w:val="00F059B0"/>
    <w:rsid w:val="00F059EF"/>
    <w:rsid w:val="00F05B02"/>
    <w:rsid w:val="00F05B44"/>
    <w:rsid w:val="00F05D42"/>
    <w:rsid w:val="00F05E8E"/>
    <w:rsid w:val="00F05F8D"/>
    <w:rsid w:val="00F06091"/>
    <w:rsid w:val="00F0612E"/>
    <w:rsid w:val="00F06238"/>
    <w:rsid w:val="00F062B0"/>
    <w:rsid w:val="00F06326"/>
    <w:rsid w:val="00F063BD"/>
    <w:rsid w:val="00F06439"/>
    <w:rsid w:val="00F06459"/>
    <w:rsid w:val="00F064A9"/>
    <w:rsid w:val="00F064BD"/>
    <w:rsid w:val="00F0650A"/>
    <w:rsid w:val="00F06511"/>
    <w:rsid w:val="00F06691"/>
    <w:rsid w:val="00F067A7"/>
    <w:rsid w:val="00F067CC"/>
    <w:rsid w:val="00F06844"/>
    <w:rsid w:val="00F0691C"/>
    <w:rsid w:val="00F069A5"/>
    <w:rsid w:val="00F06C63"/>
    <w:rsid w:val="00F06D88"/>
    <w:rsid w:val="00F06E9E"/>
    <w:rsid w:val="00F070BB"/>
    <w:rsid w:val="00F072AC"/>
    <w:rsid w:val="00F072BC"/>
    <w:rsid w:val="00F072DA"/>
    <w:rsid w:val="00F07339"/>
    <w:rsid w:val="00F0750A"/>
    <w:rsid w:val="00F075B4"/>
    <w:rsid w:val="00F075F5"/>
    <w:rsid w:val="00F07728"/>
    <w:rsid w:val="00F07A1B"/>
    <w:rsid w:val="00F07A24"/>
    <w:rsid w:val="00F07A9D"/>
    <w:rsid w:val="00F07ADE"/>
    <w:rsid w:val="00F07B2D"/>
    <w:rsid w:val="00F07B54"/>
    <w:rsid w:val="00F07C90"/>
    <w:rsid w:val="00F07CFC"/>
    <w:rsid w:val="00F07E64"/>
    <w:rsid w:val="00F07E88"/>
    <w:rsid w:val="00F07F1F"/>
    <w:rsid w:val="00F100C9"/>
    <w:rsid w:val="00F1012A"/>
    <w:rsid w:val="00F10344"/>
    <w:rsid w:val="00F10699"/>
    <w:rsid w:val="00F1077F"/>
    <w:rsid w:val="00F1091C"/>
    <w:rsid w:val="00F10A09"/>
    <w:rsid w:val="00F10AA7"/>
    <w:rsid w:val="00F10BBC"/>
    <w:rsid w:val="00F10C49"/>
    <w:rsid w:val="00F10D19"/>
    <w:rsid w:val="00F10E71"/>
    <w:rsid w:val="00F10F32"/>
    <w:rsid w:val="00F11038"/>
    <w:rsid w:val="00F110BF"/>
    <w:rsid w:val="00F1138A"/>
    <w:rsid w:val="00F116E9"/>
    <w:rsid w:val="00F11828"/>
    <w:rsid w:val="00F11A4A"/>
    <w:rsid w:val="00F11AA3"/>
    <w:rsid w:val="00F11BAA"/>
    <w:rsid w:val="00F11C27"/>
    <w:rsid w:val="00F11C73"/>
    <w:rsid w:val="00F11CC7"/>
    <w:rsid w:val="00F11D92"/>
    <w:rsid w:val="00F11DE8"/>
    <w:rsid w:val="00F11EA2"/>
    <w:rsid w:val="00F1208A"/>
    <w:rsid w:val="00F1245F"/>
    <w:rsid w:val="00F12665"/>
    <w:rsid w:val="00F1266C"/>
    <w:rsid w:val="00F12704"/>
    <w:rsid w:val="00F12B63"/>
    <w:rsid w:val="00F12B9C"/>
    <w:rsid w:val="00F12F07"/>
    <w:rsid w:val="00F12FFB"/>
    <w:rsid w:val="00F1304C"/>
    <w:rsid w:val="00F1331E"/>
    <w:rsid w:val="00F134DA"/>
    <w:rsid w:val="00F134DF"/>
    <w:rsid w:val="00F135A1"/>
    <w:rsid w:val="00F137C2"/>
    <w:rsid w:val="00F13820"/>
    <w:rsid w:val="00F13950"/>
    <w:rsid w:val="00F139A4"/>
    <w:rsid w:val="00F13C10"/>
    <w:rsid w:val="00F13C38"/>
    <w:rsid w:val="00F13C98"/>
    <w:rsid w:val="00F13CA8"/>
    <w:rsid w:val="00F13D4F"/>
    <w:rsid w:val="00F14055"/>
    <w:rsid w:val="00F140B7"/>
    <w:rsid w:val="00F141FE"/>
    <w:rsid w:val="00F143E3"/>
    <w:rsid w:val="00F1468D"/>
    <w:rsid w:val="00F1497E"/>
    <w:rsid w:val="00F149AE"/>
    <w:rsid w:val="00F14A85"/>
    <w:rsid w:val="00F14AE7"/>
    <w:rsid w:val="00F14BBD"/>
    <w:rsid w:val="00F14C23"/>
    <w:rsid w:val="00F14C4D"/>
    <w:rsid w:val="00F14D0B"/>
    <w:rsid w:val="00F15117"/>
    <w:rsid w:val="00F15199"/>
    <w:rsid w:val="00F15467"/>
    <w:rsid w:val="00F15484"/>
    <w:rsid w:val="00F154CB"/>
    <w:rsid w:val="00F1561A"/>
    <w:rsid w:val="00F15720"/>
    <w:rsid w:val="00F15728"/>
    <w:rsid w:val="00F15860"/>
    <w:rsid w:val="00F15A67"/>
    <w:rsid w:val="00F15AFC"/>
    <w:rsid w:val="00F15B73"/>
    <w:rsid w:val="00F15D28"/>
    <w:rsid w:val="00F15F9E"/>
    <w:rsid w:val="00F1631F"/>
    <w:rsid w:val="00F163F9"/>
    <w:rsid w:val="00F165FD"/>
    <w:rsid w:val="00F16670"/>
    <w:rsid w:val="00F166D5"/>
    <w:rsid w:val="00F16983"/>
    <w:rsid w:val="00F169EC"/>
    <w:rsid w:val="00F16A22"/>
    <w:rsid w:val="00F16B08"/>
    <w:rsid w:val="00F16B4F"/>
    <w:rsid w:val="00F16C48"/>
    <w:rsid w:val="00F16C7A"/>
    <w:rsid w:val="00F16CD6"/>
    <w:rsid w:val="00F16CF0"/>
    <w:rsid w:val="00F170B8"/>
    <w:rsid w:val="00F17230"/>
    <w:rsid w:val="00F17326"/>
    <w:rsid w:val="00F1738B"/>
    <w:rsid w:val="00F17480"/>
    <w:rsid w:val="00F1748B"/>
    <w:rsid w:val="00F17540"/>
    <w:rsid w:val="00F17612"/>
    <w:rsid w:val="00F1766B"/>
    <w:rsid w:val="00F177B4"/>
    <w:rsid w:val="00F177EA"/>
    <w:rsid w:val="00F17802"/>
    <w:rsid w:val="00F1786A"/>
    <w:rsid w:val="00F178D6"/>
    <w:rsid w:val="00F179CD"/>
    <w:rsid w:val="00F179FC"/>
    <w:rsid w:val="00F17C84"/>
    <w:rsid w:val="00F17F8F"/>
    <w:rsid w:val="00F20153"/>
    <w:rsid w:val="00F2029F"/>
    <w:rsid w:val="00F2036A"/>
    <w:rsid w:val="00F2042C"/>
    <w:rsid w:val="00F20469"/>
    <w:rsid w:val="00F2069B"/>
    <w:rsid w:val="00F206A7"/>
    <w:rsid w:val="00F207CA"/>
    <w:rsid w:val="00F207D5"/>
    <w:rsid w:val="00F20824"/>
    <w:rsid w:val="00F20895"/>
    <w:rsid w:val="00F20A59"/>
    <w:rsid w:val="00F2120A"/>
    <w:rsid w:val="00F212FE"/>
    <w:rsid w:val="00F213C5"/>
    <w:rsid w:val="00F213F6"/>
    <w:rsid w:val="00F21557"/>
    <w:rsid w:val="00F21691"/>
    <w:rsid w:val="00F21736"/>
    <w:rsid w:val="00F2178D"/>
    <w:rsid w:val="00F21CA3"/>
    <w:rsid w:val="00F21E08"/>
    <w:rsid w:val="00F21EA2"/>
    <w:rsid w:val="00F222D4"/>
    <w:rsid w:val="00F223D8"/>
    <w:rsid w:val="00F22549"/>
    <w:rsid w:val="00F2265D"/>
    <w:rsid w:val="00F22927"/>
    <w:rsid w:val="00F22A27"/>
    <w:rsid w:val="00F22A95"/>
    <w:rsid w:val="00F22CF7"/>
    <w:rsid w:val="00F22D4B"/>
    <w:rsid w:val="00F22DC6"/>
    <w:rsid w:val="00F22EFD"/>
    <w:rsid w:val="00F23074"/>
    <w:rsid w:val="00F2315C"/>
    <w:rsid w:val="00F2325A"/>
    <w:rsid w:val="00F23342"/>
    <w:rsid w:val="00F2356B"/>
    <w:rsid w:val="00F23651"/>
    <w:rsid w:val="00F23662"/>
    <w:rsid w:val="00F236F8"/>
    <w:rsid w:val="00F237C3"/>
    <w:rsid w:val="00F2395A"/>
    <w:rsid w:val="00F23A57"/>
    <w:rsid w:val="00F23AE6"/>
    <w:rsid w:val="00F23BBC"/>
    <w:rsid w:val="00F24030"/>
    <w:rsid w:val="00F241BE"/>
    <w:rsid w:val="00F24241"/>
    <w:rsid w:val="00F24414"/>
    <w:rsid w:val="00F2448C"/>
    <w:rsid w:val="00F244E7"/>
    <w:rsid w:val="00F24552"/>
    <w:rsid w:val="00F245C0"/>
    <w:rsid w:val="00F2463F"/>
    <w:rsid w:val="00F24669"/>
    <w:rsid w:val="00F24732"/>
    <w:rsid w:val="00F24735"/>
    <w:rsid w:val="00F24819"/>
    <w:rsid w:val="00F24841"/>
    <w:rsid w:val="00F24A59"/>
    <w:rsid w:val="00F24AEA"/>
    <w:rsid w:val="00F24B6B"/>
    <w:rsid w:val="00F24BFC"/>
    <w:rsid w:val="00F24C71"/>
    <w:rsid w:val="00F24CB9"/>
    <w:rsid w:val="00F24EFA"/>
    <w:rsid w:val="00F24F15"/>
    <w:rsid w:val="00F251BD"/>
    <w:rsid w:val="00F25238"/>
    <w:rsid w:val="00F25239"/>
    <w:rsid w:val="00F25321"/>
    <w:rsid w:val="00F25355"/>
    <w:rsid w:val="00F253CB"/>
    <w:rsid w:val="00F25523"/>
    <w:rsid w:val="00F25527"/>
    <w:rsid w:val="00F2552B"/>
    <w:rsid w:val="00F25656"/>
    <w:rsid w:val="00F25739"/>
    <w:rsid w:val="00F257F2"/>
    <w:rsid w:val="00F25820"/>
    <w:rsid w:val="00F2599F"/>
    <w:rsid w:val="00F25A7B"/>
    <w:rsid w:val="00F25B19"/>
    <w:rsid w:val="00F25BF9"/>
    <w:rsid w:val="00F25C1A"/>
    <w:rsid w:val="00F25CB1"/>
    <w:rsid w:val="00F25D7B"/>
    <w:rsid w:val="00F25DC8"/>
    <w:rsid w:val="00F25E5B"/>
    <w:rsid w:val="00F25F58"/>
    <w:rsid w:val="00F26063"/>
    <w:rsid w:val="00F263A1"/>
    <w:rsid w:val="00F26677"/>
    <w:rsid w:val="00F26713"/>
    <w:rsid w:val="00F26877"/>
    <w:rsid w:val="00F2697D"/>
    <w:rsid w:val="00F269D2"/>
    <w:rsid w:val="00F26BB1"/>
    <w:rsid w:val="00F26C07"/>
    <w:rsid w:val="00F26C1B"/>
    <w:rsid w:val="00F26DB4"/>
    <w:rsid w:val="00F26F81"/>
    <w:rsid w:val="00F27096"/>
    <w:rsid w:val="00F270F6"/>
    <w:rsid w:val="00F273CE"/>
    <w:rsid w:val="00F27563"/>
    <w:rsid w:val="00F27588"/>
    <w:rsid w:val="00F2786B"/>
    <w:rsid w:val="00F27C65"/>
    <w:rsid w:val="00F27C6D"/>
    <w:rsid w:val="00F27DFB"/>
    <w:rsid w:val="00F27E09"/>
    <w:rsid w:val="00F30023"/>
    <w:rsid w:val="00F301A7"/>
    <w:rsid w:val="00F301FF"/>
    <w:rsid w:val="00F30202"/>
    <w:rsid w:val="00F3035E"/>
    <w:rsid w:val="00F30387"/>
    <w:rsid w:val="00F3051D"/>
    <w:rsid w:val="00F3098B"/>
    <w:rsid w:val="00F30A59"/>
    <w:rsid w:val="00F30CD9"/>
    <w:rsid w:val="00F30D4D"/>
    <w:rsid w:val="00F30FE3"/>
    <w:rsid w:val="00F312AF"/>
    <w:rsid w:val="00F3131B"/>
    <w:rsid w:val="00F31510"/>
    <w:rsid w:val="00F31858"/>
    <w:rsid w:val="00F3188B"/>
    <w:rsid w:val="00F319C3"/>
    <w:rsid w:val="00F31BA4"/>
    <w:rsid w:val="00F31D25"/>
    <w:rsid w:val="00F31F28"/>
    <w:rsid w:val="00F31F7B"/>
    <w:rsid w:val="00F321FC"/>
    <w:rsid w:val="00F32203"/>
    <w:rsid w:val="00F322AE"/>
    <w:rsid w:val="00F322D7"/>
    <w:rsid w:val="00F3243F"/>
    <w:rsid w:val="00F325DF"/>
    <w:rsid w:val="00F3262D"/>
    <w:rsid w:val="00F32654"/>
    <w:rsid w:val="00F3269B"/>
    <w:rsid w:val="00F3274F"/>
    <w:rsid w:val="00F327B0"/>
    <w:rsid w:val="00F32835"/>
    <w:rsid w:val="00F3284E"/>
    <w:rsid w:val="00F32A15"/>
    <w:rsid w:val="00F32A91"/>
    <w:rsid w:val="00F32E81"/>
    <w:rsid w:val="00F32FB4"/>
    <w:rsid w:val="00F330CE"/>
    <w:rsid w:val="00F330E8"/>
    <w:rsid w:val="00F33AEF"/>
    <w:rsid w:val="00F33B3E"/>
    <w:rsid w:val="00F33D06"/>
    <w:rsid w:val="00F33DD7"/>
    <w:rsid w:val="00F33F1F"/>
    <w:rsid w:val="00F34035"/>
    <w:rsid w:val="00F341CE"/>
    <w:rsid w:val="00F3444E"/>
    <w:rsid w:val="00F344CF"/>
    <w:rsid w:val="00F346FB"/>
    <w:rsid w:val="00F347A4"/>
    <w:rsid w:val="00F34859"/>
    <w:rsid w:val="00F3485C"/>
    <w:rsid w:val="00F34BCA"/>
    <w:rsid w:val="00F34C63"/>
    <w:rsid w:val="00F34C99"/>
    <w:rsid w:val="00F34CCB"/>
    <w:rsid w:val="00F34CF9"/>
    <w:rsid w:val="00F34D14"/>
    <w:rsid w:val="00F34E78"/>
    <w:rsid w:val="00F34E8A"/>
    <w:rsid w:val="00F3500A"/>
    <w:rsid w:val="00F35095"/>
    <w:rsid w:val="00F350B7"/>
    <w:rsid w:val="00F35155"/>
    <w:rsid w:val="00F35214"/>
    <w:rsid w:val="00F352BB"/>
    <w:rsid w:val="00F35538"/>
    <w:rsid w:val="00F3559C"/>
    <w:rsid w:val="00F35641"/>
    <w:rsid w:val="00F35867"/>
    <w:rsid w:val="00F358A1"/>
    <w:rsid w:val="00F35900"/>
    <w:rsid w:val="00F35BA0"/>
    <w:rsid w:val="00F35CE9"/>
    <w:rsid w:val="00F35E01"/>
    <w:rsid w:val="00F35FD5"/>
    <w:rsid w:val="00F3604A"/>
    <w:rsid w:val="00F362D8"/>
    <w:rsid w:val="00F363B0"/>
    <w:rsid w:val="00F36425"/>
    <w:rsid w:val="00F36436"/>
    <w:rsid w:val="00F36483"/>
    <w:rsid w:val="00F364DE"/>
    <w:rsid w:val="00F3655B"/>
    <w:rsid w:val="00F36602"/>
    <w:rsid w:val="00F3663D"/>
    <w:rsid w:val="00F36656"/>
    <w:rsid w:val="00F369CC"/>
    <w:rsid w:val="00F36A6E"/>
    <w:rsid w:val="00F36B38"/>
    <w:rsid w:val="00F36BF8"/>
    <w:rsid w:val="00F36C8E"/>
    <w:rsid w:val="00F36CEF"/>
    <w:rsid w:val="00F36F21"/>
    <w:rsid w:val="00F36F53"/>
    <w:rsid w:val="00F370EB"/>
    <w:rsid w:val="00F37145"/>
    <w:rsid w:val="00F37546"/>
    <w:rsid w:val="00F37643"/>
    <w:rsid w:val="00F376E9"/>
    <w:rsid w:val="00F3777F"/>
    <w:rsid w:val="00F377F0"/>
    <w:rsid w:val="00F37823"/>
    <w:rsid w:val="00F3795D"/>
    <w:rsid w:val="00F37A0C"/>
    <w:rsid w:val="00F37ACA"/>
    <w:rsid w:val="00F37B6A"/>
    <w:rsid w:val="00F37BB8"/>
    <w:rsid w:val="00F37C1C"/>
    <w:rsid w:val="00F37CB5"/>
    <w:rsid w:val="00F37CC2"/>
    <w:rsid w:val="00F37DA0"/>
    <w:rsid w:val="00F4000C"/>
    <w:rsid w:val="00F40179"/>
    <w:rsid w:val="00F401E0"/>
    <w:rsid w:val="00F4047B"/>
    <w:rsid w:val="00F404AC"/>
    <w:rsid w:val="00F404B5"/>
    <w:rsid w:val="00F40753"/>
    <w:rsid w:val="00F407AA"/>
    <w:rsid w:val="00F407ED"/>
    <w:rsid w:val="00F40812"/>
    <w:rsid w:val="00F408BE"/>
    <w:rsid w:val="00F40992"/>
    <w:rsid w:val="00F409CB"/>
    <w:rsid w:val="00F40B14"/>
    <w:rsid w:val="00F40B15"/>
    <w:rsid w:val="00F40B8F"/>
    <w:rsid w:val="00F40D6F"/>
    <w:rsid w:val="00F40DE6"/>
    <w:rsid w:val="00F40DF7"/>
    <w:rsid w:val="00F4107F"/>
    <w:rsid w:val="00F412FC"/>
    <w:rsid w:val="00F41410"/>
    <w:rsid w:val="00F4158D"/>
    <w:rsid w:val="00F415E9"/>
    <w:rsid w:val="00F416A8"/>
    <w:rsid w:val="00F4182E"/>
    <w:rsid w:val="00F41841"/>
    <w:rsid w:val="00F41874"/>
    <w:rsid w:val="00F418F4"/>
    <w:rsid w:val="00F41B25"/>
    <w:rsid w:val="00F41C6B"/>
    <w:rsid w:val="00F41E0D"/>
    <w:rsid w:val="00F41FD4"/>
    <w:rsid w:val="00F4222E"/>
    <w:rsid w:val="00F42326"/>
    <w:rsid w:val="00F4234A"/>
    <w:rsid w:val="00F423FB"/>
    <w:rsid w:val="00F425AE"/>
    <w:rsid w:val="00F426D9"/>
    <w:rsid w:val="00F42762"/>
    <w:rsid w:val="00F42A65"/>
    <w:rsid w:val="00F42A89"/>
    <w:rsid w:val="00F42D86"/>
    <w:rsid w:val="00F42DB9"/>
    <w:rsid w:val="00F42F77"/>
    <w:rsid w:val="00F431C7"/>
    <w:rsid w:val="00F43303"/>
    <w:rsid w:val="00F4338D"/>
    <w:rsid w:val="00F43457"/>
    <w:rsid w:val="00F43746"/>
    <w:rsid w:val="00F43764"/>
    <w:rsid w:val="00F43A61"/>
    <w:rsid w:val="00F43A6F"/>
    <w:rsid w:val="00F43C45"/>
    <w:rsid w:val="00F43C5E"/>
    <w:rsid w:val="00F43CB2"/>
    <w:rsid w:val="00F43CB5"/>
    <w:rsid w:val="00F43CE4"/>
    <w:rsid w:val="00F43D2A"/>
    <w:rsid w:val="00F43D30"/>
    <w:rsid w:val="00F43D5B"/>
    <w:rsid w:val="00F43E51"/>
    <w:rsid w:val="00F43EEF"/>
    <w:rsid w:val="00F43F21"/>
    <w:rsid w:val="00F44079"/>
    <w:rsid w:val="00F440D0"/>
    <w:rsid w:val="00F445B2"/>
    <w:rsid w:val="00F44628"/>
    <w:rsid w:val="00F446A5"/>
    <w:rsid w:val="00F44706"/>
    <w:rsid w:val="00F4480B"/>
    <w:rsid w:val="00F4488B"/>
    <w:rsid w:val="00F4499F"/>
    <w:rsid w:val="00F44AFA"/>
    <w:rsid w:val="00F44B0B"/>
    <w:rsid w:val="00F44C90"/>
    <w:rsid w:val="00F44CCC"/>
    <w:rsid w:val="00F44DC6"/>
    <w:rsid w:val="00F44F1A"/>
    <w:rsid w:val="00F44F56"/>
    <w:rsid w:val="00F44F6F"/>
    <w:rsid w:val="00F45057"/>
    <w:rsid w:val="00F451D3"/>
    <w:rsid w:val="00F45324"/>
    <w:rsid w:val="00F45618"/>
    <w:rsid w:val="00F457B2"/>
    <w:rsid w:val="00F457D6"/>
    <w:rsid w:val="00F45873"/>
    <w:rsid w:val="00F458D7"/>
    <w:rsid w:val="00F458DE"/>
    <w:rsid w:val="00F45932"/>
    <w:rsid w:val="00F45BBA"/>
    <w:rsid w:val="00F45D8B"/>
    <w:rsid w:val="00F45DA0"/>
    <w:rsid w:val="00F4627F"/>
    <w:rsid w:val="00F462F9"/>
    <w:rsid w:val="00F4634C"/>
    <w:rsid w:val="00F46610"/>
    <w:rsid w:val="00F4670C"/>
    <w:rsid w:val="00F468B4"/>
    <w:rsid w:val="00F46960"/>
    <w:rsid w:val="00F469B7"/>
    <w:rsid w:val="00F46C0E"/>
    <w:rsid w:val="00F46DEF"/>
    <w:rsid w:val="00F46E90"/>
    <w:rsid w:val="00F46EEB"/>
    <w:rsid w:val="00F47001"/>
    <w:rsid w:val="00F4707E"/>
    <w:rsid w:val="00F471B3"/>
    <w:rsid w:val="00F472A1"/>
    <w:rsid w:val="00F475B8"/>
    <w:rsid w:val="00F4787B"/>
    <w:rsid w:val="00F478A2"/>
    <w:rsid w:val="00F479A7"/>
    <w:rsid w:val="00F47D72"/>
    <w:rsid w:val="00F47D87"/>
    <w:rsid w:val="00F500B8"/>
    <w:rsid w:val="00F501E0"/>
    <w:rsid w:val="00F50350"/>
    <w:rsid w:val="00F50373"/>
    <w:rsid w:val="00F5039F"/>
    <w:rsid w:val="00F5049B"/>
    <w:rsid w:val="00F5050F"/>
    <w:rsid w:val="00F50565"/>
    <w:rsid w:val="00F50830"/>
    <w:rsid w:val="00F508DD"/>
    <w:rsid w:val="00F509C7"/>
    <w:rsid w:val="00F50C30"/>
    <w:rsid w:val="00F50C70"/>
    <w:rsid w:val="00F50D87"/>
    <w:rsid w:val="00F50D8B"/>
    <w:rsid w:val="00F50DE4"/>
    <w:rsid w:val="00F50E5D"/>
    <w:rsid w:val="00F50F45"/>
    <w:rsid w:val="00F5118C"/>
    <w:rsid w:val="00F511A8"/>
    <w:rsid w:val="00F511BA"/>
    <w:rsid w:val="00F51443"/>
    <w:rsid w:val="00F514BC"/>
    <w:rsid w:val="00F515C6"/>
    <w:rsid w:val="00F519CE"/>
    <w:rsid w:val="00F51A12"/>
    <w:rsid w:val="00F51AB6"/>
    <w:rsid w:val="00F51AE5"/>
    <w:rsid w:val="00F51BFC"/>
    <w:rsid w:val="00F51D36"/>
    <w:rsid w:val="00F51D7A"/>
    <w:rsid w:val="00F51D7E"/>
    <w:rsid w:val="00F5209C"/>
    <w:rsid w:val="00F524BB"/>
    <w:rsid w:val="00F5252D"/>
    <w:rsid w:val="00F525D9"/>
    <w:rsid w:val="00F52636"/>
    <w:rsid w:val="00F526B3"/>
    <w:rsid w:val="00F52756"/>
    <w:rsid w:val="00F527FF"/>
    <w:rsid w:val="00F529A4"/>
    <w:rsid w:val="00F52AB5"/>
    <w:rsid w:val="00F52CE1"/>
    <w:rsid w:val="00F530CE"/>
    <w:rsid w:val="00F530F1"/>
    <w:rsid w:val="00F5318D"/>
    <w:rsid w:val="00F532FE"/>
    <w:rsid w:val="00F53320"/>
    <w:rsid w:val="00F53561"/>
    <w:rsid w:val="00F53634"/>
    <w:rsid w:val="00F53828"/>
    <w:rsid w:val="00F53C7C"/>
    <w:rsid w:val="00F53EF7"/>
    <w:rsid w:val="00F53F8B"/>
    <w:rsid w:val="00F53F91"/>
    <w:rsid w:val="00F54047"/>
    <w:rsid w:val="00F54059"/>
    <w:rsid w:val="00F54105"/>
    <w:rsid w:val="00F54305"/>
    <w:rsid w:val="00F54374"/>
    <w:rsid w:val="00F54551"/>
    <w:rsid w:val="00F545CB"/>
    <w:rsid w:val="00F546ED"/>
    <w:rsid w:val="00F54717"/>
    <w:rsid w:val="00F548E8"/>
    <w:rsid w:val="00F5499F"/>
    <w:rsid w:val="00F54A57"/>
    <w:rsid w:val="00F54A78"/>
    <w:rsid w:val="00F54E37"/>
    <w:rsid w:val="00F5508D"/>
    <w:rsid w:val="00F550AF"/>
    <w:rsid w:val="00F5534F"/>
    <w:rsid w:val="00F554C7"/>
    <w:rsid w:val="00F55548"/>
    <w:rsid w:val="00F55566"/>
    <w:rsid w:val="00F555AB"/>
    <w:rsid w:val="00F55699"/>
    <w:rsid w:val="00F55867"/>
    <w:rsid w:val="00F55B84"/>
    <w:rsid w:val="00F55C5F"/>
    <w:rsid w:val="00F55C8B"/>
    <w:rsid w:val="00F55DB0"/>
    <w:rsid w:val="00F55F4B"/>
    <w:rsid w:val="00F56002"/>
    <w:rsid w:val="00F56103"/>
    <w:rsid w:val="00F562EA"/>
    <w:rsid w:val="00F56545"/>
    <w:rsid w:val="00F56596"/>
    <w:rsid w:val="00F56613"/>
    <w:rsid w:val="00F568F9"/>
    <w:rsid w:val="00F56CCA"/>
    <w:rsid w:val="00F56E23"/>
    <w:rsid w:val="00F56EF1"/>
    <w:rsid w:val="00F56F0E"/>
    <w:rsid w:val="00F56FA2"/>
    <w:rsid w:val="00F570B1"/>
    <w:rsid w:val="00F57130"/>
    <w:rsid w:val="00F57140"/>
    <w:rsid w:val="00F57325"/>
    <w:rsid w:val="00F574B1"/>
    <w:rsid w:val="00F575A0"/>
    <w:rsid w:val="00F57AE6"/>
    <w:rsid w:val="00F57C90"/>
    <w:rsid w:val="00F57D7D"/>
    <w:rsid w:val="00F57E59"/>
    <w:rsid w:val="00F60058"/>
    <w:rsid w:val="00F604A4"/>
    <w:rsid w:val="00F6050A"/>
    <w:rsid w:val="00F609E9"/>
    <w:rsid w:val="00F60BA2"/>
    <w:rsid w:val="00F60C83"/>
    <w:rsid w:val="00F60FB7"/>
    <w:rsid w:val="00F6102A"/>
    <w:rsid w:val="00F6125B"/>
    <w:rsid w:val="00F61412"/>
    <w:rsid w:val="00F61416"/>
    <w:rsid w:val="00F61591"/>
    <w:rsid w:val="00F615E0"/>
    <w:rsid w:val="00F619E3"/>
    <w:rsid w:val="00F61A86"/>
    <w:rsid w:val="00F61AAA"/>
    <w:rsid w:val="00F61C50"/>
    <w:rsid w:val="00F61CE8"/>
    <w:rsid w:val="00F61D28"/>
    <w:rsid w:val="00F61D68"/>
    <w:rsid w:val="00F61E91"/>
    <w:rsid w:val="00F61F8B"/>
    <w:rsid w:val="00F6209F"/>
    <w:rsid w:val="00F62233"/>
    <w:rsid w:val="00F62246"/>
    <w:rsid w:val="00F622F6"/>
    <w:rsid w:val="00F62303"/>
    <w:rsid w:val="00F62339"/>
    <w:rsid w:val="00F6243D"/>
    <w:rsid w:val="00F625BC"/>
    <w:rsid w:val="00F62714"/>
    <w:rsid w:val="00F6295E"/>
    <w:rsid w:val="00F62A2B"/>
    <w:rsid w:val="00F62BA8"/>
    <w:rsid w:val="00F62CC6"/>
    <w:rsid w:val="00F62DF6"/>
    <w:rsid w:val="00F62EFC"/>
    <w:rsid w:val="00F6303D"/>
    <w:rsid w:val="00F6328F"/>
    <w:rsid w:val="00F6347F"/>
    <w:rsid w:val="00F635E2"/>
    <w:rsid w:val="00F6367A"/>
    <w:rsid w:val="00F63682"/>
    <w:rsid w:val="00F636BD"/>
    <w:rsid w:val="00F63715"/>
    <w:rsid w:val="00F637E7"/>
    <w:rsid w:val="00F638B0"/>
    <w:rsid w:val="00F6390C"/>
    <w:rsid w:val="00F63CBF"/>
    <w:rsid w:val="00F63E4F"/>
    <w:rsid w:val="00F63F0D"/>
    <w:rsid w:val="00F63FF4"/>
    <w:rsid w:val="00F641CD"/>
    <w:rsid w:val="00F642BF"/>
    <w:rsid w:val="00F6435E"/>
    <w:rsid w:val="00F64459"/>
    <w:rsid w:val="00F6447B"/>
    <w:rsid w:val="00F644F2"/>
    <w:rsid w:val="00F6465F"/>
    <w:rsid w:val="00F646E3"/>
    <w:rsid w:val="00F648D4"/>
    <w:rsid w:val="00F64915"/>
    <w:rsid w:val="00F64A59"/>
    <w:rsid w:val="00F64B20"/>
    <w:rsid w:val="00F64B56"/>
    <w:rsid w:val="00F64B94"/>
    <w:rsid w:val="00F64BE7"/>
    <w:rsid w:val="00F64CBD"/>
    <w:rsid w:val="00F64D00"/>
    <w:rsid w:val="00F64D5D"/>
    <w:rsid w:val="00F64DCA"/>
    <w:rsid w:val="00F64E3C"/>
    <w:rsid w:val="00F651D2"/>
    <w:rsid w:val="00F65386"/>
    <w:rsid w:val="00F653D4"/>
    <w:rsid w:val="00F653F3"/>
    <w:rsid w:val="00F65715"/>
    <w:rsid w:val="00F65A74"/>
    <w:rsid w:val="00F65ABE"/>
    <w:rsid w:val="00F65B23"/>
    <w:rsid w:val="00F65B73"/>
    <w:rsid w:val="00F65C07"/>
    <w:rsid w:val="00F65DE6"/>
    <w:rsid w:val="00F65EBC"/>
    <w:rsid w:val="00F65F24"/>
    <w:rsid w:val="00F66270"/>
    <w:rsid w:val="00F66405"/>
    <w:rsid w:val="00F66525"/>
    <w:rsid w:val="00F665D1"/>
    <w:rsid w:val="00F66732"/>
    <w:rsid w:val="00F66765"/>
    <w:rsid w:val="00F667BE"/>
    <w:rsid w:val="00F667C5"/>
    <w:rsid w:val="00F669D0"/>
    <w:rsid w:val="00F66B20"/>
    <w:rsid w:val="00F66B21"/>
    <w:rsid w:val="00F66B9F"/>
    <w:rsid w:val="00F66BF4"/>
    <w:rsid w:val="00F66C08"/>
    <w:rsid w:val="00F66D18"/>
    <w:rsid w:val="00F66ECB"/>
    <w:rsid w:val="00F66F79"/>
    <w:rsid w:val="00F66FAF"/>
    <w:rsid w:val="00F6708F"/>
    <w:rsid w:val="00F670C9"/>
    <w:rsid w:val="00F671F4"/>
    <w:rsid w:val="00F673F8"/>
    <w:rsid w:val="00F67776"/>
    <w:rsid w:val="00F679EB"/>
    <w:rsid w:val="00F67AF2"/>
    <w:rsid w:val="00F67B46"/>
    <w:rsid w:val="00F67B5F"/>
    <w:rsid w:val="00F67BA5"/>
    <w:rsid w:val="00F67C8D"/>
    <w:rsid w:val="00F67CDA"/>
    <w:rsid w:val="00F7006C"/>
    <w:rsid w:val="00F70106"/>
    <w:rsid w:val="00F70157"/>
    <w:rsid w:val="00F70166"/>
    <w:rsid w:val="00F703BF"/>
    <w:rsid w:val="00F703FC"/>
    <w:rsid w:val="00F704BB"/>
    <w:rsid w:val="00F705EB"/>
    <w:rsid w:val="00F707D1"/>
    <w:rsid w:val="00F70A68"/>
    <w:rsid w:val="00F70A6B"/>
    <w:rsid w:val="00F70BAE"/>
    <w:rsid w:val="00F70C29"/>
    <w:rsid w:val="00F70D89"/>
    <w:rsid w:val="00F7123F"/>
    <w:rsid w:val="00F71244"/>
    <w:rsid w:val="00F716D4"/>
    <w:rsid w:val="00F7172C"/>
    <w:rsid w:val="00F7179B"/>
    <w:rsid w:val="00F717EE"/>
    <w:rsid w:val="00F71831"/>
    <w:rsid w:val="00F718B6"/>
    <w:rsid w:val="00F71909"/>
    <w:rsid w:val="00F71988"/>
    <w:rsid w:val="00F719C1"/>
    <w:rsid w:val="00F71A0E"/>
    <w:rsid w:val="00F71BFF"/>
    <w:rsid w:val="00F71D45"/>
    <w:rsid w:val="00F71E4A"/>
    <w:rsid w:val="00F71FBB"/>
    <w:rsid w:val="00F723AE"/>
    <w:rsid w:val="00F723BD"/>
    <w:rsid w:val="00F72503"/>
    <w:rsid w:val="00F725A8"/>
    <w:rsid w:val="00F725C9"/>
    <w:rsid w:val="00F729B9"/>
    <w:rsid w:val="00F72B41"/>
    <w:rsid w:val="00F72DCE"/>
    <w:rsid w:val="00F72E7D"/>
    <w:rsid w:val="00F73317"/>
    <w:rsid w:val="00F7343C"/>
    <w:rsid w:val="00F73492"/>
    <w:rsid w:val="00F73A25"/>
    <w:rsid w:val="00F73A45"/>
    <w:rsid w:val="00F73ABA"/>
    <w:rsid w:val="00F73AC0"/>
    <w:rsid w:val="00F73B26"/>
    <w:rsid w:val="00F73B39"/>
    <w:rsid w:val="00F73C35"/>
    <w:rsid w:val="00F73F78"/>
    <w:rsid w:val="00F7412C"/>
    <w:rsid w:val="00F74201"/>
    <w:rsid w:val="00F7437D"/>
    <w:rsid w:val="00F74585"/>
    <w:rsid w:val="00F745FE"/>
    <w:rsid w:val="00F74668"/>
    <w:rsid w:val="00F7475B"/>
    <w:rsid w:val="00F74981"/>
    <w:rsid w:val="00F74A1A"/>
    <w:rsid w:val="00F74B91"/>
    <w:rsid w:val="00F74CBC"/>
    <w:rsid w:val="00F74D77"/>
    <w:rsid w:val="00F74D7A"/>
    <w:rsid w:val="00F74E17"/>
    <w:rsid w:val="00F751A9"/>
    <w:rsid w:val="00F7532D"/>
    <w:rsid w:val="00F75397"/>
    <w:rsid w:val="00F75407"/>
    <w:rsid w:val="00F754E4"/>
    <w:rsid w:val="00F754EE"/>
    <w:rsid w:val="00F75605"/>
    <w:rsid w:val="00F75661"/>
    <w:rsid w:val="00F7567A"/>
    <w:rsid w:val="00F759DF"/>
    <w:rsid w:val="00F75D25"/>
    <w:rsid w:val="00F75E52"/>
    <w:rsid w:val="00F75F51"/>
    <w:rsid w:val="00F76090"/>
    <w:rsid w:val="00F76102"/>
    <w:rsid w:val="00F76337"/>
    <w:rsid w:val="00F7652C"/>
    <w:rsid w:val="00F766DD"/>
    <w:rsid w:val="00F7674C"/>
    <w:rsid w:val="00F76AE2"/>
    <w:rsid w:val="00F76B15"/>
    <w:rsid w:val="00F76CB7"/>
    <w:rsid w:val="00F76D97"/>
    <w:rsid w:val="00F76F9B"/>
    <w:rsid w:val="00F7702A"/>
    <w:rsid w:val="00F771AF"/>
    <w:rsid w:val="00F7724A"/>
    <w:rsid w:val="00F773FD"/>
    <w:rsid w:val="00F77427"/>
    <w:rsid w:val="00F774E9"/>
    <w:rsid w:val="00F77764"/>
    <w:rsid w:val="00F77AED"/>
    <w:rsid w:val="00F77B3B"/>
    <w:rsid w:val="00F77BF9"/>
    <w:rsid w:val="00F77C58"/>
    <w:rsid w:val="00F77C94"/>
    <w:rsid w:val="00F77FA2"/>
    <w:rsid w:val="00F77FCA"/>
    <w:rsid w:val="00F77FFB"/>
    <w:rsid w:val="00F80511"/>
    <w:rsid w:val="00F80547"/>
    <w:rsid w:val="00F8069F"/>
    <w:rsid w:val="00F8071A"/>
    <w:rsid w:val="00F807EB"/>
    <w:rsid w:val="00F808E5"/>
    <w:rsid w:val="00F809BB"/>
    <w:rsid w:val="00F809EF"/>
    <w:rsid w:val="00F80AD5"/>
    <w:rsid w:val="00F80C8B"/>
    <w:rsid w:val="00F80CD9"/>
    <w:rsid w:val="00F80E98"/>
    <w:rsid w:val="00F81358"/>
    <w:rsid w:val="00F813C6"/>
    <w:rsid w:val="00F813DC"/>
    <w:rsid w:val="00F813EA"/>
    <w:rsid w:val="00F81485"/>
    <w:rsid w:val="00F81722"/>
    <w:rsid w:val="00F81845"/>
    <w:rsid w:val="00F818D6"/>
    <w:rsid w:val="00F8198B"/>
    <w:rsid w:val="00F81B66"/>
    <w:rsid w:val="00F81D3D"/>
    <w:rsid w:val="00F81DD8"/>
    <w:rsid w:val="00F81E7E"/>
    <w:rsid w:val="00F81F36"/>
    <w:rsid w:val="00F81FD3"/>
    <w:rsid w:val="00F8218A"/>
    <w:rsid w:val="00F82241"/>
    <w:rsid w:val="00F8244D"/>
    <w:rsid w:val="00F8259C"/>
    <w:rsid w:val="00F82705"/>
    <w:rsid w:val="00F8275C"/>
    <w:rsid w:val="00F82781"/>
    <w:rsid w:val="00F8282C"/>
    <w:rsid w:val="00F828E0"/>
    <w:rsid w:val="00F82BC1"/>
    <w:rsid w:val="00F82DEF"/>
    <w:rsid w:val="00F82EDD"/>
    <w:rsid w:val="00F83066"/>
    <w:rsid w:val="00F83089"/>
    <w:rsid w:val="00F832D7"/>
    <w:rsid w:val="00F832E4"/>
    <w:rsid w:val="00F834AD"/>
    <w:rsid w:val="00F8351B"/>
    <w:rsid w:val="00F83662"/>
    <w:rsid w:val="00F83684"/>
    <w:rsid w:val="00F838B4"/>
    <w:rsid w:val="00F83A73"/>
    <w:rsid w:val="00F83B0B"/>
    <w:rsid w:val="00F83B48"/>
    <w:rsid w:val="00F83C3C"/>
    <w:rsid w:val="00F83D14"/>
    <w:rsid w:val="00F84014"/>
    <w:rsid w:val="00F8410E"/>
    <w:rsid w:val="00F844BC"/>
    <w:rsid w:val="00F84525"/>
    <w:rsid w:val="00F8478A"/>
    <w:rsid w:val="00F8495C"/>
    <w:rsid w:val="00F849DA"/>
    <w:rsid w:val="00F84A35"/>
    <w:rsid w:val="00F84ECC"/>
    <w:rsid w:val="00F84EE4"/>
    <w:rsid w:val="00F84FCB"/>
    <w:rsid w:val="00F850B4"/>
    <w:rsid w:val="00F850CD"/>
    <w:rsid w:val="00F8516F"/>
    <w:rsid w:val="00F851A0"/>
    <w:rsid w:val="00F85234"/>
    <w:rsid w:val="00F85247"/>
    <w:rsid w:val="00F85283"/>
    <w:rsid w:val="00F853AD"/>
    <w:rsid w:val="00F8565A"/>
    <w:rsid w:val="00F85A89"/>
    <w:rsid w:val="00F85BF2"/>
    <w:rsid w:val="00F85C59"/>
    <w:rsid w:val="00F85E30"/>
    <w:rsid w:val="00F85E4A"/>
    <w:rsid w:val="00F85EC2"/>
    <w:rsid w:val="00F85ED4"/>
    <w:rsid w:val="00F8609B"/>
    <w:rsid w:val="00F863CC"/>
    <w:rsid w:val="00F86510"/>
    <w:rsid w:val="00F8673A"/>
    <w:rsid w:val="00F8690D"/>
    <w:rsid w:val="00F86BDC"/>
    <w:rsid w:val="00F86EFC"/>
    <w:rsid w:val="00F86FEB"/>
    <w:rsid w:val="00F87394"/>
    <w:rsid w:val="00F87483"/>
    <w:rsid w:val="00F874D5"/>
    <w:rsid w:val="00F87673"/>
    <w:rsid w:val="00F876AD"/>
    <w:rsid w:val="00F8775C"/>
    <w:rsid w:val="00F877AB"/>
    <w:rsid w:val="00F87812"/>
    <w:rsid w:val="00F878E3"/>
    <w:rsid w:val="00F87993"/>
    <w:rsid w:val="00F87A25"/>
    <w:rsid w:val="00F87AE6"/>
    <w:rsid w:val="00F87BC1"/>
    <w:rsid w:val="00F87BD2"/>
    <w:rsid w:val="00F87C3E"/>
    <w:rsid w:val="00F87C8E"/>
    <w:rsid w:val="00F87E5A"/>
    <w:rsid w:val="00F87E6A"/>
    <w:rsid w:val="00F87F5F"/>
    <w:rsid w:val="00F87FED"/>
    <w:rsid w:val="00F90006"/>
    <w:rsid w:val="00F901AC"/>
    <w:rsid w:val="00F905E4"/>
    <w:rsid w:val="00F90617"/>
    <w:rsid w:val="00F9061C"/>
    <w:rsid w:val="00F906AE"/>
    <w:rsid w:val="00F907AB"/>
    <w:rsid w:val="00F90830"/>
    <w:rsid w:val="00F90A26"/>
    <w:rsid w:val="00F90BBC"/>
    <w:rsid w:val="00F90BCF"/>
    <w:rsid w:val="00F90C24"/>
    <w:rsid w:val="00F91208"/>
    <w:rsid w:val="00F9127E"/>
    <w:rsid w:val="00F9135F"/>
    <w:rsid w:val="00F917E5"/>
    <w:rsid w:val="00F918D0"/>
    <w:rsid w:val="00F91911"/>
    <w:rsid w:val="00F91AA0"/>
    <w:rsid w:val="00F91C22"/>
    <w:rsid w:val="00F91DC7"/>
    <w:rsid w:val="00F91E24"/>
    <w:rsid w:val="00F92012"/>
    <w:rsid w:val="00F92279"/>
    <w:rsid w:val="00F922DB"/>
    <w:rsid w:val="00F9232B"/>
    <w:rsid w:val="00F924B7"/>
    <w:rsid w:val="00F9275E"/>
    <w:rsid w:val="00F928BD"/>
    <w:rsid w:val="00F928BE"/>
    <w:rsid w:val="00F92995"/>
    <w:rsid w:val="00F929C7"/>
    <w:rsid w:val="00F929EA"/>
    <w:rsid w:val="00F92C49"/>
    <w:rsid w:val="00F92DD2"/>
    <w:rsid w:val="00F93292"/>
    <w:rsid w:val="00F9333F"/>
    <w:rsid w:val="00F933E6"/>
    <w:rsid w:val="00F936FE"/>
    <w:rsid w:val="00F93887"/>
    <w:rsid w:val="00F938D1"/>
    <w:rsid w:val="00F93A3E"/>
    <w:rsid w:val="00F93C05"/>
    <w:rsid w:val="00F93D08"/>
    <w:rsid w:val="00F93E47"/>
    <w:rsid w:val="00F93FB1"/>
    <w:rsid w:val="00F94010"/>
    <w:rsid w:val="00F94167"/>
    <w:rsid w:val="00F941BB"/>
    <w:rsid w:val="00F94267"/>
    <w:rsid w:val="00F9453D"/>
    <w:rsid w:val="00F947D7"/>
    <w:rsid w:val="00F94982"/>
    <w:rsid w:val="00F9499F"/>
    <w:rsid w:val="00F94AAC"/>
    <w:rsid w:val="00F94B6E"/>
    <w:rsid w:val="00F94CC3"/>
    <w:rsid w:val="00F94D40"/>
    <w:rsid w:val="00F94F3A"/>
    <w:rsid w:val="00F94FDB"/>
    <w:rsid w:val="00F951E6"/>
    <w:rsid w:val="00F95341"/>
    <w:rsid w:val="00F95385"/>
    <w:rsid w:val="00F954FE"/>
    <w:rsid w:val="00F95748"/>
    <w:rsid w:val="00F9577D"/>
    <w:rsid w:val="00F95822"/>
    <w:rsid w:val="00F958CD"/>
    <w:rsid w:val="00F95A4D"/>
    <w:rsid w:val="00F95AEB"/>
    <w:rsid w:val="00F95B01"/>
    <w:rsid w:val="00F95B9F"/>
    <w:rsid w:val="00F95CE6"/>
    <w:rsid w:val="00F95D8D"/>
    <w:rsid w:val="00F95E3D"/>
    <w:rsid w:val="00F95F9C"/>
    <w:rsid w:val="00F95FEC"/>
    <w:rsid w:val="00F960FC"/>
    <w:rsid w:val="00F96174"/>
    <w:rsid w:val="00F9620D"/>
    <w:rsid w:val="00F962B2"/>
    <w:rsid w:val="00F9635A"/>
    <w:rsid w:val="00F96611"/>
    <w:rsid w:val="00F96709"/>
    <w:rsid w:val="00F9674B"/>
    <w:rsid w:val="00F967F2"/>
    <w:rsid w:val="00F96899"/>
    <w:rsid w:val="00F96C81"/>
    <w:rsid w:val="00F96E60"/>
    <w:rsid w:val="00F96EB9"/>
    <w:rsid w:val="00F97067"/>
    <w:rsid w:val="00F972FB"/>
    <w:rsid w:val="00F97309"/>
    <w:rsid w:val="00F9740B"/>
    <w:rsid w:val="00F97482"/>
    <w:rsid w:val="00F974A9"/>
    <w:rsid w:val="00F97666"/>
    <w:rsid w:val="00F976A7"/>
    <w:rsid w:val="00F97785"/>
    <w:rsid w:val="00F977B7"/>
    <w:rsid w:val="00F97911"/>
    <w:rsid w:val="00F9794B"/>
    <w:rsid w:val="00F97B11"/>
    <w:rsid w:val="00F97C0F"/>
    <w:rsid w:val="00F97C2D"/>
    <w:rsid w:val="00F97D40"/>
    <w:rsid w:val="00F97D90"/>
    <w:rsid w:val="00F97F6B"/>
    <w:rsid w:val="00FA0189"/>
    <w:rsid w:val="00FA01B3"/>
    <w:rsid w:val="00FA03BB"/>
    <w:rsid w:val="00FA04C4"/>
    <w:rsid w:val="00FA04CD"/>
    <w:rsid w:val="00FA0557"/>
    <w:rsid w:val="00FA05DE"/>
    <w:rsid w:val="00FA0656"/>
    <w:rsid w:val="00FA0893"/>
    <w:rsid w:val="00FA0A0B"/>
    <w:rsid w:val="00FA0A15"/>
    <w:rsid w:val="00FA0B6C"/>
    <w:rsid w:val="00FA0D47"/>
    <w:rsid w:val="00FA0D56"/>
    <w:rsid w:val="00FA0DC5"/>
    <w:rsid w:val="00FA1324"/>
    <w:rsid w:val="00FA13B3"/>
    <w:rsid w:val="00FA13F5"/>
    <w:rsid w:val="00FA1863"/>
    <w:rsid w:val="00FA1873"/>
    <w:rsid w:val="00FA1909"/>
    <w:rsid w:val="00FA1920"/>
    <w:rsid w:val="00FA19D4"/>
    <w:rsid w:val="00FA1AE0"/>
    <w:rsid w:val="00FA1B14"/>
    <w:rsid w:val="00FA1CC3"/>
    <w:rsid w:val="00FA1D86"/>
    <w:rsid w:val="00FA1DB3"/>
    <w:rsid w:val="00FA2107"/>
    <w:rsid w:val="00FA2130"/>
    <w:rsid w:val="00FA2135"/>
    <w:rsid w:val="00FA2264"/>
    <w:rsid w:val="00FA256A"/>
    <w:rsid w:val="00FA25E0"/>
    <w:rsid w:val="00FA26BE"/>
    <w:rsid w:val="00FA2796"/>
    <w:rsid w:val="00FA2800"/>
    <w:rsid w:val="00FA290E"/>
    <w:rsid w:val="00FA2937"/>
    <w:rsid w:val="00FA2CF0"/>
    <w:rsid w:val="00FA2D33"/>
    <w:rsid w:val="00FA2EF4"/>
    <w:rsid w:val="00FA32EB"/>
    <w:rsid w:val="00FA3323"/>
    <w:rsid w:val="00FA3552"/>
    <w:rsid w:val="00FA357A"/>
    <w:rsid w:val="00FA369D"/>
    <w:rsid w:val="00FA378F"/>
    <w:rsid w:val="00FA381D"/>
    <w:rsid w:val="00FA3905"/>
    <w:rsid w:val="00FA39E4"/>
    <w:rsid w:val="00FA3A4D"/>
    <w:rsid w:val="00FA3BF8"/>
    <w:rsid w:val="00FA3DD1"/>
    <w:rsid w:val="00FA3E2E"/>
    <w:rsid w:val="00FA40B8"/>
    <w:rsid w:val="00FA4285"/>
    <w:rsid w:val="00FA42ED"/>
    <w:rsid w:val="00FA4315"/>
    <w:rsid w:val="00FA44F7"/>
    <w:rsid w:val="00FA4662"/>
    <w:rsid w:val="00FA4862"/>
    <w:rsid w:val="00FA486D"/>
    <w:rsid w:val="00FA488B"/>
    <w:rsid w:val="00FA48D7"/>
    <w:rsid w:val="00FA4900"/>
    <w:rsid w:val="00FA493B"/>
    <w:rsid w:val="00FA49BE"/>
    <w:rsid w:val="00FA4B6F"/>
    <w:rsid w:val="00FA4C48"/>
    <w:rsid w:val="00FA4CEC"/>
    <w:rsid w:val="00FA4D9C"/>
    <w:rsid w:val="00FA4F48"/>
    <w:rsid w:val="00FA5096"/>
    <w:rsid w:val="00FA55F2"/>
    <w:rsid w:val="00FA561E"/>
    <w:rsid w:val="00FA5658"/>
    <w:rsid w:val="00FA5839"/>
    <w:rsid w:val="00FA586D"/>
    <w:rsid w:val="00FA5946"/>
    <w:rsid w:val="00FA5A86"/>
    <w:rsid w:val="00FA5EFE"/>
    <w:rsid w:val="00FA6099"/>
    <w:rsid w:val="00FA6294"/>
    <w:rsid w:val="00FA6312"/>
    <w:rsid w:val="00FA6347"/>
    <w:rsid w:val="00FA6548"/>
    <w:rsid w:val="00FA6579"/>
    <w:rsid w:val="00FA6597"/>
    <w:rsid w:val="00FA662F"/>
    <w:rsid w:val="00FA669E"/>
    <w:rsid w:val="00FA66D2"/>
    <w:rsid w:val="00FA671A"/>
    <w:rsid w:val="00FA67C7"/>
    <w:rsid w:val="00FA67FF"/>
    <w:rsid w:val="00FA692B"/>
    <w:rsid w:val="00FA6A73"/>
    <w:rsid w:val="00FA6C61"/>
    <w:rsid w:val="00FA6C7F"/>
    <w:rsid w:val="00FA6DD0"/>
    <w:rsid w:val="00FA6FA1"/>
    <w:rsid w:val="00FA711E"/>
    <w:rsid w:val="00FA7161"/>
    <w:rsid w:val="00FA74A3"/>
    <w:rsid w:val="00FA77BA"/>
    <w:rsid w:val="00FA7826"/>
    <w:rsid w:val="00FA7889"/>
    <w:rsid w:val="00FA7ACD"/>
    <w:rsid w:val="00FA7B48"/>
    <w:rsid w:val="00FA7C82"/>
    <w:rsid w:val="00FA7FBE"/>
    <w:rsid w:val="00FB01D1"/>
    <w:rsid w:val="00FB0579"/>
    <w:rsid w:val="00FB05FB"/>
    <w:rsid w:val="00FB0666"/>
    <w:rsid w:val="00FB0693"/>
    <w:rsid w:val="00FB069C"/>
    <w:rsid w:val="00FB073B"/>
    <w:rsid w:val="00FB07B7"/>
    <w:rsid w:val="00FB0B56"/>
    <w:rsid w:val="00FB0CAB"/>
    <w:rsid w:val="00FB0CDA"/>
    <w:rsid w:val="00FB0CFE"/>
    <w:rsid w:val="00FB0E45"/>
    <w:rsid w:val="00FB0EAE"/>
    <w:rsid w:val="00FB0F4F"/>
    <w:rsid w:val="00FB0FC2"/>
    <w:rsid w:val="00FB0FD0"/>
    <w:rsid w:val="00FB109F"/>
    <w:rsid w:val="00FB11AA"/>
    <w:rsid w:val="00FB18CF"/>
    <w:rsid w:val="00FB18DD"/>
    <w:rsid w:val="00FB193A"/>
    <w:rsid w:val="00FB1A68"/>
    <w:rsid w:val="00FB1AF8"/>
    <w:rsid w:val="00FB1CC5"/>
    <w:rsid w:val="00FB1D10"/>
    <w:rsid w:val="00FB1F4F"/>
    <w:rsid w:val="00FB1F5E"/>
    <w:rsid w:val="00FB2019"/>
    <w:rsid w:val="00FB231D"/>
    <w:rsid w:val="00FB2348"/>
    <w:rsid w:val="00FB2480"/>
    <w:rsid w:val="00FB2624"/>
    <w:rsid w:val="00FB270D"/>
    <w:rsid w:val="00FB2842"/>
    <w:rsid w:val="00FB2B52"/>
    <w:rsid w:val="00FB2B6A"/>
    <w:rsid w:val="00FB2B83"/>
    <w:rsid w:val="00FB2DBF"/>
    <w:rsid w:val="00FB2E31"/>
    <w:rsid w:val="00FB2E72"/>
    <w:rsid w:val="00FB2ED8"/>
    <w:rsid w:val="00FB2EDC"/>
    <w:rsid w:val="00FB2FE5"/>
    <w:rsid w:val="00FB3020"/>
    <w:rsid w:val="00FB34AD"/>
    <w:rsid w:val="00FB34C2"/>
    <w:rsid w:val="00FB35F3"/>
    <w:rsid w:val="00FB365A"/>
    <w:rsid w:val="00FB386C"/>
    <w:rsid w:val="00FB3895"/>
    <w:rsid w:val="00FB38C3"/>
    <w:rsid w:val="00FB3951"/>
    <w:rsid w:val="00FB3993"/>
    <w:rsid w:val="00FB3A39"/>
    <w:rsid w:val="00FB3AF0"/>
    <w:rsid w:val="00FB3B0B"/>
    <w:rsid w:val="00FB3C67"/>
    <w:rsid w:val="00FB3E9E"/>
    <w:rsid w:val="00FB40DB"/>
    <w:rsid w:val="00FB4440"/>
    <w:rsid w:val="00FB48C9"/>
    <w:rsid w:val="00FB501B"/>
    <w:rsid w:val="00FB5045"/>
    <w:rsid w:val="00FB50BC"/>
    <w:rsid w:val="00FB52DA"/>
    <w:rsid w:val="00FB5325"/>
    <w:rsid w:val="00FB535D"/>
    <w:rsid w:val="00FB54BC"/>
    <w:rsid w:val="00FB571E"/>
    <w:rsid w:val="00FB574E"/>
    <w:rsid w:val="00FB57FE"/>
    <w:rsid w:val="00FB5868"/>
    <w:rsid w:val="00FB58D4"/>
    <w:rsid w:val="00FB5912"/>
    <w:rsid w:val="00FB599A"/>
    <w:rsid w:val="00FB5C01"/>
    <w:rsid w:val="00FB5EDA"/>
    <w:rsid w:val="00FB5F03"/>
    <w:rsid w:val="00FB5F38"/>
    <w:rsid w:val="00FB5F64"/>
    <w:rsid w:val="00FB61F1"/>
    <w:rsid w:val="00FB6240"/>
    <w:rsid w:val="00FB6248"/>
    <w:rsid w:val="00FB6333"/>
    <w:rsid w:val="00FB64AA"/>
    <w:rsid w:val="00FB667B"/>
    <w:rsid w:val="00FB66E9"/>
    <w:rsid w:val="00FB69EA"/>
    <w:rsid w:val="00FB6C14"/>
    <w:rsid w:val="00FB6D48"/>
    <w:rsid w:val="00FB6D94"/>
    <w:rsid w:val="00FB6DA1"/>
    <w:rsid w:val="00FB7094"/>
    <w:rsid w:val="00FB7095"/>
    <w:rsid w:val="00FB71E9"/>
    <w:rsid w:val="00FB726F"/>
    <w:rsid w:val="00FB7376"/>
    <w:rsid w:val="00FB73F4"/>
    <w:rsid w:val="00FB74E7"/>
    <w:rsid w:val="00FB751A"/>
    <w:rsid w:val="00FB7536"/>
    <w:rsid w:val="00FB7672"/>
    <w:rsid w:val="00FB7762"/>
    <w:rsid w:val="00FB7905"/>
    <w:rsid w:val="00FB794B"/>
    <w:rsid w:val="00FB7DC9"/>
    <w:rsid w:val="00FB7F06"/>
    <w:rsid w:val="00FC0108"/>
    <w:rsid w:val="00FC02E3"/>
    <w:rsid w:val="00FC064A"/>
    <w:rsid w:val="00FC08B6"/>
    <w:rsid w:val="00FC0996"/>
    <w:rsid w:val="00FC09DF"/>
    <w:rsid w:val="00FC0A03"/>
    <w:rsid w:val="00FC0AEE"/>
    <w:rsid w:val="00FC1024"/>
    <w:rsid w:val="00FC1051"/>
    <w:rsid w:val="00FC1268"/>
    <w:rsid w:val="00FC13BF"/>
    <w:rsid w:val="00FC149E"/>
    <w:rsid w:val="00FC14B2"/>
    <w:rsid w:val="00FC15C4"/>
    <w:rsid w:val="00FC1A37"/>
    <w:rsid w:val="00FC1A7F"/>
    <w:rsid w:val="00FC1AEB"/>
    <w:rsid w:val="00FC1BA4"/>
    <w:rsid w:val="00FC1C97"/>
    <w:rsid w:val="00FC1D09"/>
    <w:rsid w:val="00FC1F80"/>
    <w:rsid w:val="00FC2135"/>
    <w:rsid w:val="00FC2405"/>
    <w:rsid w:val="00FC24DE"/>
    <w:rsid w:val="00FC269D"/>
    <w:rsid w:val="00FC26C8"/>
    <w:rsid w:val="00FC276F"/>
    <w:rsid w:val="00FC291C"/>
    <w:rsid w:val="00FC295D"/>
    <w:rsid w:val="00FC2BDA"/>
    <w:rsid w:val="00FC2C1A"/>
    <w:rsid w:val="00FC2D2A"/>
    <w:rsid w:val="00FC2D74"/>
    <w:rsid w:val="00FC2FE0"/>
    <w:rsid w:val="00FC3105"/>
    <w:rsid w:val="00FC3130"/>
    <w:rsid w:val="00FC3210"/>
    <w:rsid w:val="00FC32ED"/>
    <w:rsid w:val="00FC3375"/>
    <w:rsid w:val="00FC3477"/>
    <w:rsid w:val="00FC359D"/>
    <w:rsid w:val="00FC3666"/>
    <w:rsid w:val="00FC379D"/>
    <w:rsid w:val="00FC3F0F"/>
    <w:rsid w:val="00FC3F2C"/>
    <w:rsid w:val="00FC4053"/>
    <w:rsid w:val="00FC4213"/>
    <w:rsid w:val="00FC422B"/>
    <w:rsid w:val="00FC429A"/>
    <w:rsid w:val="00FC444F"/>
    <w:rsid w:val="00FC44BD"/>
    <w:rsid w:val="00FC45B7"/>
    <w:rsid w:val="00FC46F9"/>
    <w:rsid w:val="00FC4753"/>
    <w:rsid w:val="00FC47E5"/>
    <w:rsid w:val="00FC4828"/>
    <w:rsid w:val="00FC4876"/>
    <w:rsid w:val="00FC496C"/>
    <w:rsid w:val="00FC49F0"/>
    <w:rsid w:val="00FC4B21"/>
    <w:rsid w:val="00FC4C75"/>
    <w:rsid w:val="00FC4CC4"/>
    <w:rsid w:val="00FC4ED7"/>
    <w:rsid w:val="00FC4EFE"/>
    <w:rsid w:val="00FC4F03"/>
    <w:rsid w:val="00FC5258"/>
    <w:rsid w:val="00FC5302"/>
    <w:rsid w:val="00FC53B7"/>
    <w:rsid w:val="00FC54BC"/>
    <w:rsid w:val="00FC5501"/>
    <w:rsid w:val="00FC55A8"/>
    <w:rsid w:val="00FC5627"/>
    <w:rsid w:val="00FC57A0"/>
    <w:rsid w:val="00FC597C"/>
    <w:rsid w:val="00FC5AA7"/>
    <w:rsid w:val="00FC5B59"/>
    <w:rsid w:val="00FC5B94"/>
    <w:rsid w:val="00FC5DC2"/>
    <w:rsid w:val="00FC5DF8"/>
    <w:rsid w:val="00FC5FC8"/>
    <w:rsid w:val="00FC6136"/>
    <w:rsid w:val="00FC6200"/>
    <w:rsid w:val="00FC6263"/>
    <w:rsid w:val="00FC62ED"/>
    <w:rsid w:val="00FC6300"/>
    <w:rsid w:val="00FC641E"/>
    <w:rsid w:val="00FC651C"/>
    <w:rsid w:val="00FC66E9"/>
    <w:rsid w:val="00FC6ADA"/>
    <w:rsid w:val="00FC6B45"/>
    <w:rsid w:val="00FC6C40"/>
    <w:rsid w:val="00FC6CA6"/>
    <w:rsid w:val="00FC6E68"/>
    <w:rsid w:val="00FC6E71"/>
    <w:rsid w:val="00FC6E9A"/>
    <w:rsid w:val="00FC6EC9"/>
    <w:rsid w:val="00FC6F60"/>
    <w:rsid w:val="00FC70BD"/>
    <w:rsid w:val="00FC725D"/>
    <w:rsid w:val="00FC73D6"/>
    <w:rsid w:val="00FC7567"/>
    <w:rsid w:val="00FC76BB"/>
    <w:rsid w:val="00FC791B"/>
    <w:rsid w:val="00FC7997"/>
    <w:rsid w:val="00FC7A4A"/>
    <w:rsid w:val="00FC7AD2"/>
    <w:rsid w:val="00FC7AD3"/>
    <w:rsid w:val="00FC7C5D"/>
    <w:rsid w:val="00FC7CE9"/>
    <w:rsid w:val="00FC7D87"/>
    <w:rsid w:val="00FC7D88"/>
    <w:rsid w:val="00FD0051"/>
    <w:rsid w:val="00FD0362"/>
    <w:rsid w:val="00FD04E1"/>
    <w:rsid w:val="00FD04F8"/>
    <w:rsid w:val="00FD07B9"/>
    <w:rsid w:val="00FD07CB"/>
    <w:rsid w:val="00FD088B"/>
    <w:rsid w:val="00FD09A3"/>
    <w:rsid w:val="00FD0BBB"/>
    <w:rsid w:val="00FD0BD7"/>
    <w:rsid w:val="00FD0BEB"/>
    <w:rsid w:val="00FD0C0F"/>
    <w:rsid w:val="00FD1371"/>
    <w:rsid w:val="00FD1529"/>
    <w:rsid w:val="00FD1592"/>
    <w:rsid w:val="00FD16AC"/>
    <w:rsid w:val="00FD16BC"/>
    <w:rsid w:val="00FD1B5D"/>
    <w:rsid w:val="00FD1C6F"/>
    <w:rsid w:val="00FD1D4F"/>
    <w:rsid w:val="00FD1F34"/>
    <w:rsid w:val="00FD1F6A"/>
    <w:rsid w:val="00FD1FF4"/>
    <w:rsid w:val="00FD20D3"/>
    <w:rsid w:val="00FD20EB"/>
    <w:rsid w:val="00FD21B8"/>
    <w:rsid w:val="00FD2496"/>
    <w:rsid w:val="00FD26EB"/>
    <w:rsid w:val="00FD28D2"/>
    <w:rsid w:val="00FD2994"/>
    <w:rsid w:val="00FD299D"/>
    <w:rsid w:val="00FD2A3E"/>
    <w:rsid w:val="00FD2A5B"/>
    <w:rsid w:val="00FD2AD2"/>
    <w:rsid w:val="00FD2C43"/>
    <w:rsid w:val="00FD2DF1"/>
    <w:rsid w:val="00FD2EDE"/>
    <w:rsid w:val="00FD308D"/>
    <w:rsid w:val="00FD31CC"/>
    <w:rsid w:val="00FD34C7"/>
    <w:rsid w:val="00FD354B"/>
    <w:rsid w:val="00FD3553"/>
    <w:rsid w:val="00FD35B5"/>
    <w:rsid w:val="00FD3608"/>
    <w:rsid w:val="00FD377B"/>
    <w:rsid w:val="00FD37E7"/>
    <w:rsid w:val="00FD3972"/>
    <w:rsid w:val="00FD3CE0"/>
    <w:rsid w:val="00FD3DED"/>
    <w:rsid w:val="00FD4059"/>
    <w:rsid w:val="00FD40CC"/>
    <w:rsid w:val="00FD4166"/>
    <w:rsid w:val="00FD41D4"/>
    <w:rsid w:val="00FD41DB"/>
    <w:rsid w:val="00FD4308"/>
    <w:rsid w:val="00FD4353"/>
    <w:rsid w:val="00FD43C3"/>
    <w:rsid w:val="00FD43F3"/>
    <w:rsid w:val="00FD47B8"/>
    <w:rsid w:val="00FD4884"/>
    <w:rsid w:val="00FD490B"/>
    <w:rsid w:val="00FD499F"/>
    <w:rsid w:val="00FD4A52"/>
    <w:rsid w:val="00FD4A8E"/>
    <w:rsid w:val="00FD4B70"/>
    <w:rsid w:val="00FD4C5C"/>
    <w:rsid w:val="00FD4FF0"/>
    <w:rsid w:val="00FD4FF4"/>
    <w:rsid w:val="00FD53DF"/>
    <w:rsid w:val="00FD56B8"/>
    <w:rsid w:val="00FD572E"/>
    <w:rsid w:val="00FD5854"/>
    <w:rsid w:val="00FD5A45"/>
    <w:rsid w:val="00FD5B26"/>
    <w:rsid w:val="00FD5B50"/>
    <w:rsid w:val="00FD5B82"/>
    <w:rsid w:val="00FD5BA4"/>
    <w:rsid w:val="00FD5BC2"/>
    <w:rsid w:val="00FD5C2D"/>
    <w:rsid w:val="00FD5C41"/>
    <w:rsid w:val="00FD5DFC"/>
    <w:rsid w:val="00FD63FF"/>
    <w:rsid w:val="00FD648A"/>
    <w:rsid w:val="00FD6543"/>
    <w:rsid w:val="00FD6597"/>
    <w:rsid w:val="00FD65DA"/>
    <w:rsid w:val="00FD65F3"/>
    <w:rsid w:val="00FD6604"/>
    <w:rsid w:val="00FD669A"/>
    <w:rsid w:val="00FD66B4"/>
    <w:rsid w:val="00FD6729"/>
    <w:rsid w:val="00FD6764"/>
    <w:rsid w:val="00FD6766"/>
    <w:rsid w:val="00FD6788"/>
    <w:rsid w:val="00FD6904"/>
    <w:rsid w:val="00FD695A"/>
    <w:rsid w:val="00FD6AE9"/>
    <w:rsid w:val="00FD6D88"/>
    <w:rsid w:val="00FD6F0B"/>
    <w:rsid w:val="00FD709A"/>
    <w:rsid w:val="00FD732A"/>
    <w:rsid w:val="00FD73BC"/>
    <w:rsid w:val="00FD74F9"/>
    <w:rsid w:val="00FD756B"/>
    <w:rsid w:val="00FD7588"/>
    <w:rsid w:val="00FD75EF"/>
    <w:rsid w:val="00FD773B"/>
    <w:rsid w:val="00FD7790"/>
    <w:rsid w:val="00FD7A15"/>
    <w:rsid w:val="00FD7BEA"/>
    <w:rsid w:val="00FD7C13"/>
    <w:rsid w:val="00FD7C78"/>
    <w:rsid w:val="00FD7DC4"/>
    <w:rsid w:val="00FD7E03"/>
    <w:rsid w:val="00FD7E54"/>
    <w:rsid w:val="00FE004C"/>
    <w:rsid w:val="00FE009E"/>
    <w:rsid w:val="00FE02A0"/>
    <w:rsid w:val="00FE04D3"/>
    <w:rsid w:val="00FE069B"/>
    <w:rsid w:val="00FE06DF"/>
    <w:rsid w:val="00FE0779"/>
    <w:rsid w:val="00FE0807"/>
    <w:rsid w:val="00FE0885"/>
    <w:rsid w:val="00FE08C7"/>
    <w:rsid w:val="00FE0A50"/>
    <w:rsid w:val="00FE0F29"/>
    <w:rsid w:val="00FE10DC"/>
    <w:rsid w:val="00FE1115"/>
    <w:rsid w:val="00FE1530"/>
    <w:rsid w:val="00FE159D"/>
    <w:rsid w:val="00FE179C"/>
    <w:rsid w:val="00FE17A3"/>
    <w:rsid w:val="00FE190D"/>
    <w:rsid w:val="00FE1B2E"/>
    <w:rsid w:val="00FE1B3E"/>
    <w:rsid w:val="00FE1BE4"/>
    <w:rsid w:val="00FE1BF4"/>
    <w:rsid w:val="00FE1E3F"/>
    <w:rsid w:val="00FE1EF1"/>
    <w:rsid w:val="00FE2015"/>
    <w:rsid w:val="00FE20B2"/>
    <w:rsid w:val="00FE2131"/>
    <w:rsid w:val="00FE2169"/>
    <w:rsid w:val="00FE217D"/>
    <w:rsid w:val="00FE224A"/>
    <w:rsid w:val="00FE2260"/>
    <w:rsid w:val="00FE2369"/>
    <w:rsid w:val="00FE2414"/>
    <w:rsid w:val="00FE241C"/>
    <w:rsid w:val="00FE24FA"/>
    <w:rsid w:val="00FE257B"/>
    <w:rsid w:val="00FE258E"/>
    <w:rsid w:val="00FE2691"/>
    <w:rsid w:val="00FE26C7"/>
    <w:rsid w:val="00FE279B"/>
    <w:rsid w:val="00FE2B32"/>
    <w:rsid w:val="00FE2C01"/>
    <w:rsid w:val="00FE2D19"/>
    <w:rsid w:val="00FE2DE2"/>
    <w:rsid w:val="00FE2DF6"/>
    <w:rsid w:val="00FE2FE4"/>
    <w:rsid w:val="00FE3042"/>
    <w:rsid w:val="00FE30D7"/>
    <w:rsid w:val="00FE32CA"/>
    <w:rsid w:val="00FE336D"/>
    <w:rsid w:val="00FE33F2"/>
    <w:rsid w:val="00FE35EB"/>
    <w:rsid w:val="00FE367A"/>
    <w:rsid w:val="00FE374F"/>
    <w:rsid w:val="00FE3773"/>
    <w:rsid w:val="00FE38D7"/>
    <w:rsid w:val="00FE39F2"/>
    <w:rsid w:val="00FE3AEB"/>
    <w:rsid w:val="00FE3B30"/>
    <w:rsid w:val="00FE3C12"/>
    <w:rsid w:val="00FE3D38"/>
    <w:rsid w:val="00FE3D41"/>
    <w:rsid w:val="00FE400C"/>
    <w:rsid w:val="00FE4062"/>
    <w:rsid w:val="00FE4066"/>
    <w:rsid w:val="00FE40FB"/>
    <w:rsid w:val="00FE4166"/>
    <w:rsid w:val="00FE417E"/>
    <w:rsid w:val="00FE42D1"/>
    <w:rsid w:val="00FE4326"/>
    <w:rsid w:val="00FE4429"/>
    <w:rsid w:val="00FE467C"/>
    <w:rsid w:val="00FE4734"/>
    <w:rsid w:val="00FE478A"/>
    <w:rsid w:val="00FE4856"/>
    <w:rsid w:val="00FE48DE"/>
    <w:rsid w:val="00FE48F2"/>
    <w:rsid w:val="00FE49DE"/>
    <w:rsid w:val="00FE4B17"/>
    <w:rsid w:val="00FE4D16"/>
    <w:rsid w:val="00FE4F39"/>
    <w:rsid w:val="00FE500C"/>
    <w:rsid w:val="00FE50D8"/>
    <w:rsid w:val="00FE5728"/>
    <w:rsid w:val="00FE5797"/>
    <w:rsid w:val="00FE5871"/>
    <w:rsid w:val="00FE587B"/>
    <w:rsid w:val="00FE5922"/>
    <w:rsid w:val="00FE5959"/>
    <w:rsid w:val="00FE5A27"/>
    <w:rsid w:val="00FE5AF2"/>
    <w:rsid w:val="00FE5B2C"/>
    <w:rsid w:val="00FE5C08"/>
    <w:rsid w:val="00FE5CB0"/>
    <w:rsid w:val="00FE5D2A"/>
    <w:rsid w:val="00FE5E8D"/>
    <w:rsid w:val="00FE5FCE"/>
    <w:rsid w:val="00FE6050"/>
    <w:rsid w:val="00FE60F1"/>
    <w:rsid w:val="00FE6164"/>
    <w:rsid w:val="00FE61E6"/>
    <w:rsid w:val="00FE65D6"/>
    <w:rsid w:val="00FE6600"/>
    <w:rsid w:val="00FE6755"/>
    <w:rsid w:val="00FE6973"/>
    <w:rsid w:val="00FE6B96"/>
    <w:rsid w:val="00FE6EAE"/>
    <w:rsid w:val="00FE6F1B"/>
    <w:rsid w:val="00FE705E"/>
    <w:rsid w:val="00FE7334"/>
    <w:rsid w:val="00FE7388"/>
    <w:rsid w:val="00FE74D9"/>
    <w:rsid w:val="00FE7505"/>
    <w:rsid w:val="00FE750A"/>
    <w:rsid w:val="00FE76D0"/>
    <w:rsid w:val="00FE773A"/>
    <w:rsid w:val="00FE77AC"/>
    <w:rsid w:val="00FE79AD"/>
    <w:rsid w:val="00FE79B8"/>
    <w:rsid w:val="00FE7E22"/>
    <w:rsid w:val="00FE7EE6"/>
    <w:rsid w:val="00FE7FF6"/>
    <w:rsid w:val="00FE7FFC"/>
    <w:rsid w:val="00FF01EC"/>
    <w:rsid w:val="00FF0384"/>
    <w:rsid w:val="00FF056F"/>
    <w:rsid w:val="00FF065D"/>
    <w:rsid w:val="00FF0794"/>
    <w:rsid w:val="00FF08D2"/>
    <w:rsid w:val="00FF096C"/>
    <w:rsid w:val="00FF097F"/>
    <w:rsid w:val="00FF10A8"/>
    <w:rsid w:val="00FF13BB"/>
    <w:rsid w:val="00FF1458"/>
    <w:rsid w:val="00FF14B7"/>
    <w:rsid w:val="00FF15A4"/>
    <w:rsid w:val="00FF15BD"/>
    <w:rsid w:val="00FF1600"/>
    <w:rsid w:val="00FF1691"/>
    <w:rsid w:val="00FF16DD"/>
    <w:rsid w:val="00FF1891"/>
    <w:rsid w:val="00FF1C27"/>
    <w:rsid w:val="00FF1C51"/>
    <w:rsid w:val="00FF1CB8"/>
    <w:rsid w:val="00FF1F58"/>
    <w:rsid w:val="00FF21B8"/>
    <w:rsid w:val="00FF222F"/>
    <w:rsid w:val="00FF224A"/>
    <w:rsid w:val="00FF253E"/>
    <w:rsid w:val="00FF2608"/>
    <w:rsid w:val="00FF26B3"/>
    <w:rsid w:val="00FF2908"/>
    <w:rsid w:val="00FF2939"/>
    <w:rsid w:val="00FF2993"/>
    <w:rsid w:val="00FF29A8"/>
    <w:rsid w:val="00FF2BC9"/>
    <w:rsid w:val="00FF2E4E"/>
    <w:rsid w:val="00FF2E52"/>
    <w:rsid w:val="00FF30BA"/>
    <w:rsid w:val="00FF3315"/>
    <w:rsid w:val="00FF337C"/>
    <w:rsid w:val="00FF3398"/>
    <w:rsid w:val="00FF3621"/>
    <w:rsid w:val="00FF36C0"/>
    <w:rsid w:val="00FF37A9"/>
    <w:rsid w:val="00FF3A2F"/>
    <w:rsid w:val="00FF3B1F"/>
    <w:rsid w:val="00FF3C80"/>
    <w:rsid w:val="00FF3CB2"/>
    <w:rsid w:val="00FF3E13"/>
    <w:rsid w:val="00FF3EB8"/>
    <w:rsid w:val="00FF44B9"/>
    <w:rsid w:val="00FF46AA"/>
    <w:rsid w:val="00FF4800"/>
    <w:rsid w:val="00FF4801"/>
    <w:rsid w:val="00FF4809"/>
    <w:rsid w:val="00FF494B"/>
    <w:rsid w:val="00FF4E8F"/>
    <w:rsid w:val="00FF4E94"/>
    <w:rsid w:val="00FF537F"/>
    <w:rsid w:val="00FF5404"/>
    <w:rsid w:val="00FF5581"/>
    <w:rsid w:val="00FF56A0"/>
    <w:rsid w:val="00FF56BB"/>
    <w:rsid w:val="00FF56D6"/>
    <w:rsid w:val="00FF59CC"/>
    <w:rsid w:val="00FF5B74"/>
    <w:rsid w:val="00FF5C84"/>
    <w:rsid w:val="00FF5E78"/>
    <w:rsid w:val="00FF5EE7"/>
    <w:rsid w:val="00FF6198"/>
    <w:rsid w:val="00FF630B"/>
    <w:rsid w:val="00FF647D"/>
    <w:rsid w:val="00FF650D"/>
    <w:rsid w:val="00FF656D"/>
    <w:rsid w:val="00FF6599"/>
    <w:rsid w:val="00FF671D"/>
    <w:rsid w:val="00FF685B"/>
    <w:rsid w:val="00FF6B84"/>
    <w:rsid w:val="00FF6CAF"/>
    <w:rsid w:val="00FF6DBE"/>
    <w:rsid w:val="00FF6E7F"/>
    <w:rsid w:val="00FF6ECA"/>
    <w:rsid w:val="00FF6F56"/>
    <w:rsid w:val="00FF7073"/>
    <w:rsid w:val="00FF73CF"/>
    <w:rsid w:val="00FF73E3"/>
    <w:rsid w:val="00FF74BA"/>
    <w:rsid w:val="00FF763F"/>
    <w:rsid w:val="00FF7648"/>
    <w:rsid w:val="00FF779D"/>
    <w:rsid w:val="00FF77D4"/>
    <w:rsid w:val="00FF7A85"/>
    <w:rsid w:val="00FF7ACE"/>
    <w:rsid w:val="00FF7BE9"/>
    <w:rsid w:val="00FF7C7B"/>
    <w:rsid w:val="00FF7D05"/>
    <w:rsid w:val="00FF7E1E"/>
    <w:rsid w:val="00FF7FD7"/>
    <w:rsid w:val="013654BC"/>
    <w:rsid w:val="04BC764C"/>
    <w:rsid w:val="075465FD"/>
    <w:rsid w:val="07A0621C"/>
    <w:rsid w:val="0AF76E99"/>
    <w:rsid w:val="0B479BF7"/>
    <w:rsid w:val="0C80BCBD"/>
    <w:rsid w:val="0CD62C77"/>
    <w:rsid w:val="0D34681F"/>
    <w:rsid w:val="11459A83"/>
    <w:rsid w:val="155DBE95"/>
    <w:rsid w:val="1635455B"/>
    <w:rsid w:val="165E5F8C"/>
    <w:rsid w:val="185B9D64"/>
    <w:rsid w:val="1AA18C01"/>
    <w:rsid w:val="1C089D8E"/>
    <w:rsid w:val="1C75F4AB"/>
    <w:rsid w:val="23217B03"/>
    <w:rsid w:val="243C18BA"/>
    <w:rsid w:val="276ED740"/>
    <w:rsid w:val="2A8A345B"/>
    <w:rsid w:val="2AF43B47"/>
    <w:rsid w:val="3035BD42"/>
    <w:rsid w:val="321EBD42"/>
    <w:rsid w:val="336B64E6"/>
    <w:rsid w:val="3468AA88"/>
    <w:rsid w:val="356B8D49"/>
    <w:rsid w:val="383FF6E7"/>
    <w:rsid w:val="388EBC14"/>
    <w:rsid w:val="390D0C81"/>
    <w:rsid w:val="3C9A6C7D"/>
    <w:rsid w:val="3F20D8BA"/>
    <w:rsid w:val="42D95323"/>
    <w:rsid w:val="439E6655"/>
    <w:rsid w:val="448F93E5"/>
    <w:rsid w:val="4518DBA0"/>
    <w:rsid w:val="4CD06C37"/>
    <w:rsid w:val="4D526E77"/>
    <w:rsid w:val="4F37D78B"/>
    <w:rsid w:val="4F7D4A6B"/>
    <w:rsid w:val="50215079"/>
    <w:rsid w:val="5112B33B"/>
    <w:rsid w:val="51E4CAB1"/>
    <w:rsid w:val="52DFCAB6"/>
    <w:rsid w:val="5462DAFD"/>
    <w:rsid w:val="5D3B6B09"/>
    <w:rsid w:val="5D4BC7C3"/>
    <w:rsid w:val="608DE58D"/>
    <w:rsid w:val="61FB846C"/>
    <w:rsid w:val="62321793"/>
    <w:rsid w:val="67BBEEA5"/>
    <w:rsid w:val="6C5577A0"/>
    <w:rsid w:val="6DD24E88"/>
    <w:rsid w:val="6F405985"/>
    <w:rsid w:val="70A3452A"/>
    <w:rsid w:val="716F3AE0"/>
    <w:rsid w:val="73D3336E"/>
    <w:rsid w:val="7C20CF74"/>
    <w:rsid w:val="7DFE357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C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numPr>
        <w:ilvl w:val="1"/>
        <w:numId w:val="5"/>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basedOn w:val="Normal"/>
    <w:link w:val="BulletChar"/>
    <w:qFormat/>
    <w:rsid w:val="00136118"/>
    <w:pPr>
      <w:numPr>
        <w:numId w:val="6"/>
      </w:numPr>
      <w:spacing w:after="0" w:line="276" w:lineRule="auto"/>
    </w:pPr>
  </w:style>
  <w:style w:type="paragraph" w:customStyle="1" w:styleId="ChartandTableFootnoteAlpha">
    <w:name w:val="Chart and Table Footnote Alpha"/>
    <w:rsid w:val="008043EA"/>
    <w:pPr>
      <w:spacing w:after="0" w:line="240" w:lineRule="auto"/>
      <w:ind w:left="360" w:hanging="360"/>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6"/>
      </w:numPr>
      <w:spacing w:before="0"/>
    </w:pPr>
  </w:style>
  <w:style w:type="paragraph" w:customStyle="1" w:styleId="DoubleDot">
    <w:name w:val="Double Dot"/>
    <w:basedOn w:val="Normal"/>
    <w:link w:val="DoubleDotChar"/>
    <w:qFormat/>
    <w:rsid w:val="008043EA"/>
    <w:pPr>
      <w:numPr>
        <w:ilvl w:val="2"/>
        <w:numId w:val="6"/>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rsid w:val="008043EA"/>
    <w:pPr>
      <w:numPr>
        <w:numId w:val="9"/>
      </w:numPr>
      <w:spacing w:before="0"/>
    </w:pPr>
  </w:style>
  <w:style w:type="paragraph" w:customStyle="1" w:styleId="OneLevelNumberedParagraph">
    <w:name w:val="One Level Numbered Paragraph"/>
    <w:basedOn w:val="Normal"/>
    <w:rsid w:val="008043EA"/>
    <w:pPr>
      <w:tabs>
        <w:tab w:val="num" w:pos="284"/>
        <w:tab w:val="num" w:pos="360"/>
      </w:tabs>
      <w:spacing w:before="0"/>
      <w:ind w:left="284" w:hanging="284"/>
    </w:pPr>
  </w:style>
  <w:style w:type="paragraph" w:customStyle="1" w:styleId="OutlineNumbered2">
    <w:name w:val="Outline Numbered 2"/>
    <w:basedOn w:val="Normal"/>
    <w:rsid w:val="008043EA"/>
    <w:pPr>
      <w:numPr>
        <w:ilvl w:val="1"/>
        <w:numId w:val="9"/>
      </w:numPr>
      <w:spacing w:before="0"/>
    </w:pPr>
  </w:style>
  <w:style w:type="paragraph" w:customStyle="1" w:styleId="OutlineNumbered3">
    <w:name w:val="Outline Numbered 3"/>
    <w:basedOn w:val="Normal"/>
    <w:rsid w:val="008043EA"/>
    <w:pPr>
      <w:numPr>
        <w:ilvl w:val="2"/>
        <w:numId w:val="9"/>
      </w:numPr>
      <w:spacing w:before="0"/>
    </w:pPr>
  </w:style>
  <w:style w:type="paragraph" w:customStyle="1" w:styleId="SingleParagraph">
    <w:name w:val="Single Paragraph"/>
    <w:basedOn w:val="Normal"/>
    <w:next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8"/>
      </w:numPr>
    </w:pPr>
  </w:style>
  <w:style w:type="numbering" w:customStyle="1" w:styleId="BulletedList">
    <w:name w:val="Bulleted List"/>
    <w:uiPriority w:val="99"/>
    <w:rsid w:val="008043EA"/>
  </w:style>
  <w:style w:type="numbering" w:customStyle="1" w:styleId="BoxBulletedList">
    <w:name w:val="Box Bulleted List"/>
    <w:uiPriority w:val="99"/>
    <w:rsid w:val="008043EA"/>
    <w:pPr>
      <w:numPr>
        <w:numId w:val="1"/>
      </w:numPr>
    </w:pPr>
  </w:style>
  <w:style w:type="numbering" w:customStyle="1" w:styleId="OneLevelList">
    <w:name w:val="OneLevelList"/>
    <w:uiPriority w:val="99"/>
    <w:rsid w:val="008043EA"/>
    <w:pPr>
      <w:numPr>
        <w:numId w:val="2"/>
      </w:numPr>
    </w:pPr>
  </w:style>
  <w:style w:type="numbering" w:customStyle="1" w:styleId="ChartandTableFootnoteAlphaList">
    <w:name w:val="ChartandTableFootnoteAlphaList"/>
    <w:uiPriority w:val="99"/>
    <w:rsid w:val="008043EA"/>
    <w:pPr>
      <w:numPr>
        <w:numId w:val="10"/>
      </w:numPr>
    </w:pPr>
  </w:style>
  <w:style w:type="paragraph" w:customStyle="1" w:styleId="Heading1Numbered">
    <w:name w:val="Heading 1 Numbered"/>
    <w:basedOn w:val="Heading1"/>
    <w:next w:val="Normal"/>
    <w:rsid w:val="008043EA"/>
    <w:pPr>
      <w:numPr>
        <w:numId w:val="4"/>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4"/>
      </w:numPr>
    </w:pPr>
  </w:style>
  <w:style w:type="paragraph" w:customStyle="1" w:styleId="Heading3Numbered">
    <w:name w:val="Heading 3 Numbered"/>
    <w:basedOn w:val="Heading3"/>
    <w:rsid w:val="008043EA"/>
    <w:pPr>
      <w:numPr>
        <w:ilvl w:val="2"/>
        <w:numId w:val="4"/>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basedOn w:val="DefaultParagraphFont"/>
    <w:link w:val="Bullet"/>
    <w:locked/>
    <w:rsid w:val="00136118"/>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left" w:pos="567"/>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iPriority w:val="99"/>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uiPriority w:val="99"/>
    <w:rsid w:val="00E13E90"/>
    <w:rPr>
      <w:rFonts w:ascii="Calibri Light" w:eastAsia="Times New Roman" w:hAnsi="Calibri Light" w:cs="Times New Roman"/>
      <w:noProof/>
      <w:color w:val="2C384A" w:themeColor="accent1"/>
      <w:sz w:val="20"/>
      <w:szCs w:val="20"/>
      <w:lang w:eastAsia="en-AU"/>
    </w:rPr>
  </w:style>
  <w:style w:type="character" w:styleId="Emphasis">
    <w:name w:val="Emphasis"/>
    <w:basedOn w:val="DefaultParagraphFont"/>
    <w:uiPriority w:val="20"/>
    <w:rsid w:val="00283EEA"/>
    <w:rPr>
      <w:i/>
      <w:iCs/>
    </w:rPr>
  </w:style>
  <w:style w:type="paragraph" w:styleId="ListParagraph">
    <w:name w:val="List Paragraph"/>
    <w:basedOn w:val="Normal"/>
    <w:uiPriority w:val="34"/>
    <w:rsid w:val="0067265F"/>
    <w:pPr>
      <w:ind w:left="720"/>
      <w:contextualSpacing/>
    </w:pPr>
  </w:style>
  <w:style w:type="character" w:styleId="CommentReference">
    <w:name w:val="annotation reference"/>
    <w:basedOn w:val="DefaultParagraphFont"/>
    <w:uiPriority w:val="99"/>
    <w:semiHidden/>
    <w:unhideWhenUsed/>
    <w:rsid w:val="00B02896"/>
    <w:rPr>
      <w:sz w:val="16"/>
      <w:szCs w:val="16"/>
    </w:rPr>
  </w:style>
  <w:style w:type="paragraph" w:styleId="CommentText">
    <w:name w:val="annotation text"/>
    <w:basedOn w:val="Normal"/>
    <w:link w:val="CommentTextChar"/>
    <w:uiPriority w:val="99"/>
    <w:unhideWhenUsed/>
    <w:rsid w:val="00B02896"/>
    <w:rPr>
      <w:sz w:val="20"/>
    </w:rPr>
  </w:style>
  <w:style w:type="character" w:customStyle="1" w:styleId="CommentTextChar">
    <w:name w:val="Comment Text Char"/>
    <w:basedOn w:val="DefaultParagraphFont"/>
    <w:link w:val="CommentText"/>
    <w:uiPriority w:val="99"/>
    <w:rsid w:val="00B02896"/>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02896"/>
    <w:rPr>
      <w:b/>
      <w:bCs/>
    </w:rPr>
  </w:style>
  <w:style w:type="character" w:customStyle="1" w:styleId="CommentSubjectChar">
    <w:name w:val="Comment Subject Char"/>
    <w:basedOn w:val="CommentTextChar"/>
    <w:link w:val="CommentSubject"/>
    <w:uiPriority w:val="99"/>
    <w:semiHidden/>
    <w:rsid w:val="00B02896"/>
    <w:rPr>
      <w:rFonts w:ascii="Calibri Light" w:eastAsia="Times New Roman" w:hAnsi="Calibri Light" w:cs="Times New Roman"/>
      <w:b/>
      <w:bCs/>
      <w:sz w:val="20"/>
      <w:szCs w:val="20"/>
      <w:lang w:eastAsia="en-AU"/>
    </w:rPr>
  </w:style>
  <w:style w:type="paragraph" w:styleId="Revision">
    <w:name w:val="Revision"/>
    <w:hidden/>
    <w:uiPriority w:val="99"/>
    <w:semiHidden/>
    <w:rsid w:val="00FC08B6"/>
    <w:pPr>
      <w:spacing w:after="0" w:line="240" w:lineRule="auto"/>
    </w:pPr>
    <w:rPr>
      <w:rFonts w:ascii="Calibri Light" w:eastAsia="Times New Roman" w:hAnsi="Calibri Light" w:cs="Times New Roman"/>
      <w:szCs w:val="20"/>
      <w:lang w:eastAsia="en-AU"/>
    </w:rPr>
  </w:style>
  <w:style w:type="character" w:styleId="FollowedHyperlink">
    <w:name w:val="FollowedHyperlink"/>
    <w:basedOn w:val="DefaultParagraphFont"/>
    <w:uiPriority w:val="99"/>
    <w:semiHidden/>
    <w:unhideWhenUsed/>
    <w:rsid w:val="005E4BFC"/>
    <w:rPr>
      <w:color w:val="844D9E" w:themeColor="followedHyperlink"/>
      <w:u w:val="single"/>
    </w:rPr>
  </w:style>
  <w:style w:type="table" w:styleId="GridTable5Dark">
    <w:name w:val="Grid Table 5 Dark"/>
    <w:basedOn w:val="TableNormal"/>
    <w:uiPriority w:val="50"/>
    <w:rsid w:val="0044478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TOCHeading">
    <w:name w:val="TOC Heading"/>
    <w:basedOn w:val="Heading1"/>
    <w:next w:val="Normal"/>
    <w:uiPriority w:val="39"/>
    <w:unhideWhenUsed/>
    <w:qFormat/>
    <w:rsid w:val="00B73473"/>
    <w:pPr>
      <w:keepLines/>
      <w:spacing w:before="240" w:after="0" w:line="259" w:lineRule="auto"/>
      <w:outlineLvl w:val="9"/>
    </w:pPr>
    <w:rPr>
      <w:rFonts w:asciiTheme="majorHAnsi" w:eastAsiaTheme="majorEastAsia" w:hAnsiTheme="majorHAnsi" w:cstheme="majorBidi"/>
      <w:b w:val="0"/>
      <w:color w:val="212937" w:themeColor="accent1" w:themeShade="BF"/>
      <w:kern w:val="0"/>
      <w:sz w:val="32"/>
      <w:szCs w:val="32"/>
      <w:lang w:val="en-US" w:eastAsia="en-US"/>
    </w:rPr>
  </w:style>
  <w:style w:type="table" w:customStyle="1" w:styleId="TableGrid1">
    <w:name w:val="Table Grid1"/>
    <w:basedOn w:val="TableNormal"/>
    <w:next w:val="TableGrid"/>
    <w:rsid w:val="0098639B"/>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sz w:val="20"/>
      </w:rPr>
      <w:tblPr/>
      <w:tcPr>
        <w:shd w:val="clear" w:color="auto" w:fill="EEEEEE"/>
      </w:tcPr>
    </w:tblStylePr>
  </w:style>
  <w:style w:type="table" w:styleId="GridTable4">
    <w:name w:val="Grid Table 4"/>
    <w:basedOn w:val="TableNormal"/>
    <w:uiPriority w:val="49"/>
    <w:rsid w:val="005E6C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ndnoteText">
    <w:name w:val="endnote text"/>
    <w:basedOn w:val="Normal"/>
    <w:link w:val="EndnoteTextChar"/>
    <w:uiPriority w:val="99"/>
    <w:semiHidden/>
    <w:unhideWhenUsed/>
    <w:rsid w:val="00B129C9"/>
    <w:pPr>
      <w:spacing w:before="0" w:after="0"/>
    </w:pPr>
    <w:rPr>
      <w:sz w:val="20"/>
    </w:rPr>
  </w:style>
  <w:style w:type="character" w:customStyle="1" w:styleId="EndnoteTextChar">
    <w:name w:val="Endnote Text Char"/>
    <w:basedOn w:val="DefaultParagraphFont"/>
    <w:link w:val="EndnoteText"/>
    <w:uiPriority w:val="99"/>
    <w:semiHidden/>
    <w:rsid w:val="00B129C9"/>
    <w:rPr>
      <w:rFonts w:ascii="Calibri Light" w:eastAsia="Times New Roman" w:hAnsi="Calibri Light" w:cs="Times New Roman"/>
      <w:sz w:val="20"/>
      <w:szCs w:val="20"/>
      <w:lang w:eastAsia="en-AU"/>
    </w:rPr>
  </w:style>
  <w:style w:type="character" w:styleId="EndnoteReference">
    <w:name w:val="endnote reference"/>
    <w:basedOn w:val="DefaultParagraphFont"/>
    <w:uiPriority w:val="99"/>
    <w:semiHidden/>
    <w:unhideWhenUsed/>
    <w:rsid w:val="00B129C9"/>
    <w:rPr>
      <w:vertAlign w:val="superscript"/>
    </w:rPr>
  </w:style>
  <w:style w:type="table" w:styleId="ListTable3">
    <w:name w:val="List Table 3"/>
    <w:basedOn w:val="TableNormal"/>
    <w:uiPriority w:val="48"/>
    <w:rsid w:val="00E47F3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field">
    <w:name w:val="field"/>
    <w:basedOn w:val="DefaultParagraphFont"/>
    <w:rsid w:val="00B54CDB"/>
  </w:style>
  <w:style w:type="character" w:styleId="Mention">
    <w:name w:val="Mention"/>
    <w:basedOn w:val="DefaultParagraphFont"/>
    <w:uiPriority w:val="99"/>
    <w:unhideWhenUsed/>
    <w:rsid w:val="00D443B4"/>
    <w:rPr>
      <w:color w:val="2B579A"/>
      <w:shd w:val="clear" w:color="auto" w:fill="E1DFDD"/>
    </w:rPr>
  </w:style>
  <w:style w:type="paragraph" w:styleId="NormalWeb">
    <w:name w:val="Normal (Web)"/>
    <w:basedOn w:val="Normal"/>
    <w:uiPriority w:val="99"/>
    <w:semiHidden/>
    <w:unhideWhenUsed/>
    <w:rsid w:val="0062787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24540">
      <w:bodyDiv w:val="1"/>
      <w:marLeft w:val="0"/>
      <w:marRight w:val="0"/>
      <w:marTop w:val="0"/>
      <w:marBottom w:val="0"/>
      <w:divBdr>
        <w:top w:val="none" w:sz="0" w:space="0" w:color="auto"/>
        <w:left w:val="none" w:sz="0" w:space="0" w:color="auto"/>
        <w:bottom w:val="none" w:sz="0" w:space="0" w:color="auto"/>
        <w:right w:val="none" w:sz="0" w:space="0" w:color="auto"/>
      </w:divBdr>
      <w:divsChild>
        <w:div w:id="734009886">
          <w:marLeft w:val="0"/>
          <w:marRight w:val="0"/>
          <w:marTop w:val="0"/>
          <w:marBottom w:val="0"/>
          <w:divBdr>
            <w:top w:val="none" w:sz="0" w:space="0" w:color="auto"/>
            <w:left w:val="none" w:sz="0" w:space="0" w:color="auto"/>
            <w:bottom w:val="none" w:sz="0" w:space="0" w:color="auto"/>
            <w:right w:val="none" w:sz="0" w:space="0" w:color="auto"/>
          </w:divBdr>
        </w:div>
        <w:div w:id="856499299">
          <w:marLeft w:val="0"/>
          <w:marRight w:val="0"/>
          <w:marTop w:val="0"/>
          <w:marBottom w:val="0"/>
          <w:divBdr>
            <w:top w:val="none" w:sz="0" w:space="0" w:color="auto"/>
            <w:left w:val="none" w:sz="0" w:space="0" w:color="auto"/>
            <w:bottom w:val="none" w:sz="0" w:space="0" w:color="auto"/>
            <w:right w:val="none" w:sz="0" w:space="0" w:color="auto"/>
          </w:divBdr>
          <w:divsChild>
            <w:div w:id="514996166">
              <w:marLeft w:val="0"/>
              <w:marRight w:val="0"/>
              <w:marTop w:val="0"/>
              <w:marBottom w:val="0"/>
              <w:divBdr>
                <w:top w:val="none" w:sz="0" w:space="0" w:color="auto"/>
                <w:left w:val="none" w:sz="0" w:space="0" w:color="auto"/>
                <w:bottom w:val="none" w:sz="0" w:space="0" w:color="auto"/>
                <w:right w:val="none" w:sz="0" w:space="0" w:color="auto"/>
              </w:divBdr>
            </w:div>
            <w:div w:id="673606996">
              <w:marLeft w:val="0"/>
              <w:marRight w:val="0"/>
              <w:marTop w:val="0"/>
              <w:marBottom w:val="0"/>
              <w:divBdr>
                <w:top w:val="none" w:sz="0" w:space="0" w:color="auto"/>
                <w:left w:val="none" w:sz="0" w:space="0" w:color="auto"/>
                <w:bottom w:val="none" w:sz="0" w:space="0" w:color="auto"/>
                <w:right w:val="none" w:sz="0" w:space="0" w:color="auto"/>
              </w:divBdr>
            </w:div>
            <w:div w:id="920916200">
              <w:marLeft w:val="0"/>
              <w:marRight w:val="0"/>
              <w:marTop w:val="0"/>
              <w:marBottom w:val="0"/>
              <w:divBdr>
                <w:top w:val="none" w:sz="0" w:space="0" w:color="auto"/>
                <w:left w:val="none" w:sz="0" w:space="0" w:color="auto"/>
                <w:bottom w:val="none" w:sz="0" w:space="0" w:color="auto"/>
                <w:right w:val="none" w:sz="0" w:space="0" w:color="auto"/>
              </w:divBdr>
            </w:div>
            <w:div w:id="1309169717">
              <w:marLeft w:val="0"/>
              <w:marRight w:val="0"/>
              <w:marTop w:val="0"/>
              <w:marBottom w:val="0"/>
              <w:divBdr>
                <w:top w:val="none" w:sz="0" w:space="0" w:color="auto"/>
                <w:left w:val="none" w:sz="0" w:space="0" w:color="auto"/>
                <w:bottom w:val="none" w:sz="0" w:space="0" w:color="auto"/>
                <w:right w:val="none" w:sz="0" w:space="0" w:color="auto"/>
              </w:divBdr>
            </w:div>
            <w:div w:id="1567688939">
              <w:marLeft w:val="0"/>
              <w:marRight w:val="0"/>
              <w:marTop w:val="0"/>
              <w:marBottom w:val="0"/>
              <w:divBdr>
                <w:top w:val="none" w:sz="0" w:space="0" w:color="auto"/>
                <w:left w:val="none" w:sz="0" w:space="0" w:color="auto"/>
                <w:bottom w:val="none" w:sz="0" w:space="0" w:color="auto"/>
                <w:right w:val="none" w:sz="0" w:space="0" w:color="auto"/>
              </w:divBdr>
            </w:div>
          </w:divsChild>
        </w:div>
        <w:div w:id="2047635109">
          <w:marLeft w:val="0"/>
          <w:marRight w:val="0"/>
          <w:marTop w:val="0"/>
          <w:marBottom w:val="0"/>
          <w:divBdr>
            <w:top w:val="none" w:sz="0" w:space="0" w:color="auto"/>
            <w:left w:val="none" w:sz="0" w:space="0" w:color="auto"/>
            <w:bottom w:val="none" w:sz="0" w:space="0" w:color="auto"/>
            <w:right w:val="none" w:sz="0" w:space="0" w:color="auto"/>
          </w:divBdr>
        </w:div>
      </w:divsChild>
    </w:div>
    <w:div w:id="82653387">
      <w:bodyDiv w:val="1"/>
      <w:marLeft w:val="0"/>
      <w:marRight w:val="0"/>
      <w:marTop w:val="0"/>
      <w:marBottom w:val="0"/>
      <w:divBdr>
        <w:top w:val="none" w:sz="0" w:space="0" w:color="auto"/>
        <w:left w:val="none" w:sz="0" w:space="0" w:color="auto"/>
        <w:bottom w:val="none" w:sz="0" w:space="0" w:color="auto"/>
        <w:right w:val="none" w:sz="0" w:space="0" w:color="auto"/>
      </w:divBdr>
    </w:div>
    <w:div w:id="89931983">
      <w:bodyDiv w:val="1"/>
      <w:marLeft w:val="0"/>
      <w:marRight w:val="0"/>
      <w:marTop w:val="0"/>
      <w:marBottom w:val="0"/>
      <w:divBdr>
        <w:top w:val="none" w:sz="0" w:space="0" w:color="auto"/>
        <w:left w:val="none" w:sz="0" w:space="0" w:color="auto"/>
        <w:bottom w:val="none" w:sz="0" w:space="0" w:color="auto"/>
        <w:right w:val="none" w:sz="0" w:space="0" w:color="auto"/>
      </w:divBdr>
    </w:div>
    <w:div w:id="101265288">
      <w:bodyDiv w:val="1"/>
      <w:marLeft w:val="0"/>
      <w:marRight w:val="0"/>
      <w:marTop w:val="0"/>
      <w:marBottom w:val="0"/>
      <w:divBdr>
        <w:top w:val="none" w:sz="0" w:space="0" w:color="auto"/>
        <w:left w:val="none" w:sz="0" w:space="0" w:color="auto"/>
        <w:bottom w:val="none" w:sz="0" w:space="0" w:color="auto"/>
        <w:right w:val="none" w:sz="0" w:space="0" w:color="auto"/>
      </w:divBdr>
    </w:div>
    <w:div w:id="240530907">
      <w:bodyDiv w:val="1"/>
      <w:marLeft w:val="0"/>
      <w:marRight w:val="0"/>
      <w:marTop w:val="0"/>
      <w:marBottom w:val="0"/>
      <w:divBdr>
        <w:top w:val="none" w:sz="0" w:space="0" w:color="auto"/>
        <w:left w:val="none" w:sz="0" w:space="0" w:color="auto"/>
        <w:bottom w:val="none" w:sz="0" w:space="0" w:color="auto"/>
        <w:right w:val="none" w:sz="0" w:space="0" w:color="auto"/>
      </w:divBdr>
    </w:div>
    <w:div w:id="252788048">
      <w:bodyDiv w:val="1"/>
      <w:marLeft w:val="0"/>
      <w:marRight w:val="0"/>
      <w:marTop w:val="0"/>
      <w:marBottom w:val="0"/>
      <w:divBdr>
        <w:top w:val="none" w:sz="0" w:space="0" w:color="auto"/>
        <w:left w:val="none" w:sz="0" w:space="0" w:color="auto"/>
        <w:bottom w:val="none" w:sz="0" w:space="0" w:color="auto"/>
        <w:right w:val="none" w:sz="0" w:space="0" w:color="auto"/>
      </w:divBdr>
    </w:div>
    <w:div w:id="293952743">
      <w:bodyDiv w:val="1"/>
      <w:marLeft w:val="0"/>
      <w:marRight w:val="0"/>
      <w:marTop w:val="0"/>
      <w:marBottom w:val="0"/>
      <w:divBdr>
        <w:top w:val="none" w:sz="0" w:space="0" w:color="auto"/>
        <w:left w:val="none" w:sz="0" w:space="0" w:color="auto"/>
        <w:bottom w:val="none" w:sz="0" w:space="0" w:color="auto"/>
        <w:right w:val="none" w:sz="0" w:space="0" w:color="auto"/>
      </w:divBdr>
      <w:divsChild>
        <w:div w:id="5181337">
          <w:marLeft w:val="48"/>
          <w:marRight w:val="0"/>
          <w:marTop w:val="0"/>
          <w:marBottom w:val="0"/>
          <w:divBdr>
            <w:top w:val="none" w:sz="0" w:space="0" w:color="auto"/>
            <w:left w:val="none" w:sz="0" w:space="0" w:color="auto"/>
            <w:bottom w:val="none" w:sz="0" w:space="0" w:color="auto"/>
            <w:right w:val="none" w:sz="0" w:space="0" w:color="auto"/>
          </w:divBdr>
        </w:div>
        <w:div w:id="106973253">
          <w:marLeft w:val="48"/>
          <w:marRight w:val="0"/>
          <w:marTop w:val="0"/>
          <w:marBottom w:val="0"/>
          <w:divBdr>
            <w:top w:val="none" w:sz="0" w:space="0" w:color="auto"/>
            <w:left w:val="none" w:sz="0" w:space="0" w:color="auto"/>
            <w:bottom w:val="none" w:sz="0" w:space="0" w:color="auto"/>
            <w:right w:val="none" w:sz="0" w:space="0" w:color="auto"/>
          </w:divBdr>
        </w:div>
        <w:div w:id="162166926">
          <w:marLeft w:val="48"/>
          <w:marRight w:val="0"/>
          <w:marTop w:val="0"/>
          <w:marBottom w:val="0"/>
          <w:divBdr>
            <w:top w:val="none" w:sz="0" w:space="0" w:color="auto"/>
            <w:left w:val="none" w:sz="0" w:space="0" w:color="auto"/>
            <w:bottom w:val="none" w:sz="0" w:space="0" w:color="auto"/>
            <w:right w:val="none" w:sz="0" w:space="0" w:color="auto"/>
          </w:divBdr>
        </w:div>
        <w:div w:id="646863699">
          <w:marLeft w:val="48"/>
          <w:marRight w:val="0"/>
          <w:marTop w:val="0"/>
          <w:marBottom w:val="0"/>
          <w:divBdr>
            <w:top w:val="none" w:sz="0" w:space="0" w:color="auto"/>
            <w:left w:val="none" w:sz="0" w:space="0" w:color="auto"/>
            <w:bottom w:val="none" w:sz="0" w:space="0" w:color="auto"/>
            <w:right w:val="none" w:sz="0" w:space="0" w:color="auto"/>
          </w:divBdr>
        </w:div>
        <w:div w:id="1450008762">
          <w:marLeft w:val="48"/>
          <w:marRight w:val="0"/>
          <w:marTop w:val="0"/>
          <w:marBottom w:val="0"/>
          <w:divBdr>
            <w:top w:val="none" w:sz="0" w:space="0" w:color="auto"/>
            <w:left w:val="none" w:sz="0" w:space="0" w:color="auto"/>
            <w:bottom w:val="none" w:sz="0" w:space="0" w:color="auto"/>
            <w:right w:val="none" w:sz="0" w:space="0" w:color="auto"/>
          </w:divBdr>
        </w:div>
        <w:div w:id="1453590789">
          <w:marLeft w:val="48"/>
          <w:marRight w:val="0"/>
          <w:marTop w:val="0"/>
          <w:marBottom w:val="0"/>
          <w:divBdr>
            <w:top w:val="none" w:sz="0" w:space="0" w:color="auto"/>
            <w:left w:val="none" w:sz="0" w:space="0" w:color="auto"/>
            <w:bottom w:val="none" w:sz="0" w:space="0" w:color="auto"/>
            <w:right w:val="none" w:sz="0" w:space="0" w:color="auto"/>
          </w:divBdr>
        </w:div>
        <w:div w:id="1520510273">
          <w:marLeft w:val="48"/>
          <w:marRight w:val="0"/>
          <w:marTop w:val="0"/>
          <w:marBottom w:val="0"/>
          <w:divBdr>
            <w:top w:val="none" w:sz="0" w:space="0" w:color="auto"/>
            <w:left w:val="none" w:sz="0" w:space="0" w:color="auto"/>
            <w:bottom w:val="none" w:sz="0" w:space="0" w:color="auto"/>
            <w:right w:val="none" w:sz="0" w:space="0" w:color="auto"/>
          </w:divBdr>
        </w:div>
        <w:div w:id="1619943706">
          <w:marLeft w:val="48"/>
          <w:marRight w:val="0"/>
          <w:marTop w:val="0"/>
          <w:marBottom w:val="0"/>
          <w:divBdr>
            <w:top w:val="none" w:sz="0" w:space="0" w:color="auto"/>
            <w:left w:val="none" w:sz="0" w:space="0" w:color="auto"/>
            <w:bottom w:val="none" w:sz="0" w:space="0" w:color="auto"/>
            <w:right w:val="none" w:sz="0" w:space="0" w:color="auto"/>
          </w:divBdr>
        </w:div>
        <w:div w:id="1776559918">
          <w:marLeft w:val="48"/>
          <w:marRight w:val="0"/>
          <w:marTop w:val="0"/>
          <w:marBottom w:val="0"/>
          <w:divBdr>
            <w:top w:val="none" w:sz="0" w:space="0" w:color="auto"/>
            <w:left w:val="none" w:sz="0" w:space="0" w:color="auto"/>
            <w:bottom w:val="none" w:sz="0" w:space="0" w:color="auto"/>
            <w:right w:val="none" w:sz="0" w:space="0" w:color="auto"/>
          </w:divBdr>
        </w:div>
      </w:divsChild>
    </w:div>
    <w:div w:id="329329297">
      <w:bodyDiv w:val="1"/>
      <w:marLeft w:val="0"/>
      <w:marRight w:val="0"/>
      <w:marTop w:val="0"/>
      <w:marBottom w:val="0"/>
      <w:divBdr>
        <w:top w:val="none" w:sz="0" w:space="0" w:color="auto"/>
        <w:left w:val="none" w:sz="0" w:space="0" w:color="auto"/>
        <w:bottom w:val="none" w:sz="0" w:space="0" w:color="auto"/>
        <w:right w:val="none" w:sz="0" w:space="0" w:color="auto"/>
      </w:divBdr>
    </w:div>
    <w:div w:id="345716346">
      <w:bodyDiv w:val="1"/>
      <w:marLeft w:val="0"/>
      <w:marRight w:val="0"/>
      <w:marTop w:val="0"/>
      <w:marBottom w:val="0"/>
      <w:divBdr>
        <w:top w:val="none" w:sz="0" w:space="0" w:color="auto"/>
        <w:left w:val="none" w:sz="0" w:space="0" w:color="auto"/>
        <w:bottom w:val="none" w:sz="0" w:space="0" w:color="auto"/>
        <w:right w:val="none" w:sz="0" w:space="0" w:color="auto"/>
      </w:divBdr>
    </w:div>
    <w:div w:id="351997764">
      <w:bodyDiv w:val="1"/>
      <w:marLeft w:val="0"/>
      <w:marRight w:val="0"/>
      <w:marTop w:val="0"/>
      <w:marBottom w:val="0"/>
      <w:divBdr>
        <w:top w:val="none" w:sz="0" w:space="0" w:color="auto"/>
        <w:left w:val="none" w:sz="0" w:space="0" w:color="auto"/>
        <w:bottom w:val="none" w:sz="0" w:space="0" w:color="auto"/>
        <w:right w:val="none" w:sz="0" w:space="0" w:color="auto"/>
      </w:divBdr>
    </w:div>
    <w:div w:id="361243832">
      <w:bodyDiv w:val="1"/>
      <w:marLeft w:val="0"/>
      <w:marRight w:val="0"/>
      <w:marTop w:val="0"/>
      <w:marBottom w:val="0"/>
      <w:divBdr>
        <w:top w:val="none" w:sz="0" w:space="0" w:color="auto"/>
        <w:left w:val="none" w:sz="0" w:space="0" w:color="auto"/>
        <w:bottom w:val="none" w:sz="0" w:space="0" w:color="auto"/>
        <w:right w:val="none" w:sz="0" w:space="0" w:color="auto"/>
      </w:divBdr>
    </w:div>
    <w:div w:id="376978539">
      <w:bodyDiv w:val="1"/>
      <w:marLeft w:val="0"/>
      <w:marRight w:val="0"/>
      <w:marTop w:val="0"/>
      <w:marBottom w:val="0"/>
      <w:divBdr>
        <w:top w:val="none" w:sz="0" w:space="0" w:color="auto"/>
        <w:left w:val="none" w:sz="0" w:space="0" w:color="auto"/>
        <w:bottom w:val="none" w:sz="0" w:space="0" w:color="auto"/>
        <w:right w:val="none" w:sz="0" w:space="0" w:color="auto"/>
      </w:divBdr>
    </w:div>
    <w:div w:id="380832623">
      <w:bodyDiv w:val="1"/>
      <w:marLeft w:val="0"/>
      <w:marRight w:val="0"/>
      <w:marTop w:val="0"/>
      <w:marBottom w:val="0"/>
      <w:divBdr>
        <w:top w:val="none" w:sz="0" w:space="0" w:color="auto"/>
        <w:left w:val="none" w:sz="0" w:space="0" w:color="auto"/>
        <w:bottom w:val="none" w:sz="0" w:space="0" w:color="auto"/>
        <w:right w:val="none" w:sz="0" w:space="0" w:color="auto"/>
      </w:divBdr>
    </w:div>
    <w:div w:id="397900339">
      <w:bodyDiv w:val="1"/>
      <w:marLeft w:val="0"/>
      <w:marRight w:val="0"/>
      <w:marTop w:val="0"/>
      <w:marBottom w:val="0"/>
      <w:divBdr>
        <w:top w:val="none" w:sz="0" w:space="0" w:color="auto"/>
        <w:left w:val="none" w:sz="0" w:space="0" w:color="auto"/>
        <w:bottom w:val="none" w:sz="0" w:space="0" w:color="auto"/>
        <w:right w:val="none" w:sz="0" w:space="0" w:color="auto"/>
      </w:divBdr>
    </w:div>
    <w:div w:id="404108710">
      <w:bodyDiv w:val="1"/>
      <w:marLeft w:val="0"/>
      <w:marRight w:val="0"/>
      <w:marTop w:val="0"/>
      <w:marBottom w:val="0"/>
      <w:divBdr>
        <w:top w:val="none" w:sz="0" w:space="0" w:color="auto"/>
        <w:left w:val="none" w:sz="0" w:space="0" w:color="auto"/>
        <w:bottom w:val="none" w:sz="0" w:space="0" w:color="auto"/>
        <w:right w:val="none" w:sz="0" w:space="0" w:color="auto"/>
      </w:divBdr>
    </w:div>
    <w:div w:id="406809757">
      <w:bodyDiv w:val="1"/>
      <w:marLeft w:val="0"/>
      <w:marRight w:val="0"/>
      <w:marTop w:val="0"/>
      <w:marBottom w:val="0"/>
      <w:divBdr>
        <w:top w:val="none" w:sz="0" w:space="0" w:color="auto"/>
        <w:left w:val="none" w:sz="0" w:space="0" w:color="auto"/>
        <w:bottom w:val="none" w:sz="0" w:space="0" w:color="auto"/>
        <w:right w:val="none" w:sz="0" w:space="0" w:color="auto"/>
      </w:divBdr>
    </w:div>
    <w:div w:id="494420678">
      <w:bodyDiv w:val="1"/>
      <w:marLeft w:val="0"/>
      <w:marRight w:val="0"/>
      <w:marTop w:val="0"/>
      <w:marBottom w:val="0"/>
      <w:divBdr>
        <w:top w:val="none" w:sz="0" w:space="0" w:color="auto"/>
        <w:left w:val="none" w:sz="0" w:space="0" w:color="auto"/>
        <w:bottom w:val="none" w:sz="0" w:space="0" w:color="auto"/>
        <w:right w:val="none" w:sz="0" w:space="0" w:color="auto"/>
      </w:divBdr>
      <w:divsChild>
        <w:div w:id="322927121">
          <w:marLeft w:val="0"/>
          <w:marRight w:val="0"/>
          <w:marTop w:val="0"/>
          <w:marBottom w:val="0"/>
          <w:divBdr>
            <w:top w:val="none" w:sz="0" w:space="0" w:color="auto"/>
            <w:left w:val="none" w:sz="0" w:space="0" w:color="auto"/>
            <w:bottom w:val="none" w:sz="0" w:space="0" w:color="auto"/>
            <w:right w:val="none" w:sz="0" w:space="0" w:color="auto"/>
          </w:divBdr>
        </w:div>
        <w:div w:id="1093744858">
          <w:marLeft w:val="0"/>
          <w:marRight w:val="0"/>
          <w:marTop w:val="0"/>
          <w:marBottom w:val="0"/>
          <w:divBdr>
            <w:top w:val="none" w:sz="0" w:space="0" w:color="auto"/>
            <w:left w:val="none" w:sz="0" w:space="0" w:color="auto"/>
            <w:bottom w:val="none" w:sz="0" w:space="0" w:color="auto"/>
            <w:right w:val="none" w:sz="0" w:space="0" w:color="auto"/>
          </w:divBdr>
        </w:div>
        <w:div w:id="1791701237">
          <w:marLeft w:val="0"/>
          <w:marRight w:val="0"/>
          <w:marTop w:val="0"/>
          <w:marBottom w:val="0"/>
          <w:divBdr>
            <w:top w:val="none" w:sz="0" w:space="0" w:color="auto"/>
            <w:left w:val="none" w:sz="0" w:space="0" w:color="auto"/>
            <w:bottom w:val="none" w:sz="0" w:space="0" w:color="auto"/>
            <w:right w:val="none" w:sz="0" w:space="0" w:color="auto"/>
          </w:divBdr>
        </w:div>
      </w:divsChild>
    </w:div>
    <w:div w:id="523637033">
      <w:bodyDiv w:val="1"/>
      <w:marLeft w:val="0"/>
      <w:marRight w:val="0"/>
      <w:marTop w:val="0"/>
      <w:marBottom w:val="0"/>
      <w:divBdr>
        <w:top w:val="none" w:sz="0" w:space="0" w:color="auto"/>
        <w:left w:val="none" w:sz="0" w:space="0" w:color="auto"/>
        <w:bottom w:val="none" w:sz="0" w:space="0" w:color="auto"/>
        <w:right w:val="none" w:sz="0" w:space="0" w:color="auto"/>
      </w:divBdr>
    </w:div>
    <w:div w:id="532882603">
      <w:bodyDiv w:val="1"/>
      <w:marLeft w:val="0"/>
      <w:marRight w:val="0"/>
      <w:marTop w:val="0"/>
      <w:marBottom w:val="0"/>
      <w:divBdr>
        <w:top w:val="none" w:sz="0" w:space="0" w:color="auto"/>
        <w:left w:val="none" w:sz="0" w:space="0" w:color="auto"/>
        <w:bottom w:val="none" w:sz="0" w:space="0" w:color="auto"/>
        <w:right w:val="none" w:sz="0" w:space="0" w:color="auto"/>
      </w:divBdr>
    </w:div>
    <w:div w:id="571625497">
      <w:bodyDiv w:val="1"/>
      <w:marLeft w:val="0"/>
      <w:marRight w:val="0"/>
      <w:marTop w:val="0"/>
      <w:marBottom w:val="0"/>
      <w:divBdr>
        <w:top w:val="none" w:sz="0" w:space="0" w:color="auto"/>
        <w:left w:val="none" w:sz="0" w:space="0" w:color="auto"/>
        <w:bottom w:val="none" w:sz="0" w:space="0" w:color="auto"/>
        <w:right w:val="none" w:sz="0" w:space="0" w:color="auto"/>
      </w:divBdr>
    </w:div>
    <w:div w:id="587349204">
      <w:bodyDiv w:val="1"/>
      <w:marLeft w:val="0"/>
      <w:marRight w:val="0"/>
      <w:marTop w:val="0"/>
      <w:marBottom w:val="0"/>
      <w:divBdr>
        <w:top w:val="none" w:sz="0" w:space="0" w:color="auto"/>
        <w:left w:val="none" w:sz="0" w:space="0" w:color="auto"/>
        <w:bottom w:val="none" w:sz="0" w:space="0" w:color="auto"/>
        <w:right w:val="none" w:sz="0" w:space="0" w:color="auto"/>
      </w:divBdr>
    </w:div>
    <w:div w:id="591357723">
      <w:bodyDiv w:val="1"/>
      <w:marLeft w:val="0"/>
      <w:marRight w:val="0"/>
      <w:marTop w:val="0"/>
      <w:marBottom w:val="0"/>
      <w:divBdr>
        <w:top w:val="none" w:sz="0" w:space="0" w:color="auto"/>
        <w:left w:val="none" w:sz="0" w:space="0" w:color="auto"/>
        <w:bottom w:val="none" w:sz="0" w:space="0" w:color="auto"/>
        <w:right w:val="none" w:sz="0" w:space="0" w:color="auto"/>
      </w:divBdr>
    </w:div>
    <w:div w:id="593519061">
      <w:bodyDiv w:val="1"/>
      <w:marLeft w:val="0"/>
      <w:marRight w:val="0"/>
      <w:marTop w:val="0"/>
      <w:marBottom w:val="0"/>
      <w:divBdr>
        <w:top w:val="none" w:sz="0" w:space="0" w:color="auto"/>
        <w:left w:val="none" w:sz="0" w:space="0" w:color="auto"/>
        <w:bottom w:val="none" w:sz="0" w:space="0" w:color="auto"/>
        <w:right w:val="none" w:sz="0" w:space="0" w:color="auto"/>
      </w:divBdr>
    </w:div>
    <w:div w:id="594291749">
      <w:bodyDiv w:val="1"/>
      <w:marLeft w:val="0"/>
      <w:marRight w:val="0"/>
      <w:marTop w:val="0"/>
      <w:marBottom w:val="0"/>
      <w:divBdr>
        <w:top w:val="none" w:sz="0" w:space="0" w:color="auto"/>
        <w:left w:val="none" w:sz="0" w:space="0" w:color="auto"/>
        <w:bottom w:val="none" w:sz="0" w:space="0" w:color="auto"/>
        <w:right w:val="none" w:sz="0" w:space="0" w:color="auto"/>
      </w:divBdr>
    </w:div>
    <w:div w:id="598755885">
      <w:bodyDiv w:val="1"/>
      <w:marLeft w:val="0"/>
      <w:marRight w:val="0"/>
      <w:marTop w:val="0"/>
      <w:marBottom w:val="0"/>
      <w:divBdr>
        <w:top w:val="none" w:sz="0" w:space="0" w:color="auto"/>
        <w:left w:val="none" w:sz="0" w:space="0" w:color="auto"/>
        <w:bottom w:val="none" w:sz="0" w:space="0" w:color="auto"/>
        <w:right w:val="none" w:sz="0" w:space="0" w:color="auto"/>
      </w:divBdr>
    </w:div>
    <w:div w:id="603657843">
      <w:bodyDiv w:val="1"/>
      <w:marLeft w:val="0"/>
      <w:marRight w:val="0"/>
      <w:marTop w:val="0"/>
      <w:marBottom w:val="0"/>
      <w:divBdr>
        <w:top w:val="none" w:sz="0" w:space="0" w:color="auto"/>
        <w:left w:val="none" w:sz="0" w:space="0" w:color="auto"/>
        <w:bottom w:val="none" w:sz="0" w:space="0" w:color="auto"/>
        <w:right w:val="none" w:sz="0" w:space="0" w:color="auto"/>
      </w:divBdr>
      <w:divsChild>
        <w:div w:id="841548190">
          <w:marLeft w:val="0"/>
          <w:marRight w:val="0"/>
          <w:marTop w:val="0"/>
          <w:marBottom w:val="0"/>
          <w:divBdr>
            <w:top w:val="none" w:sz="0" w:space="0" w:color="242424"/>
            <w:left w:val="none" w:sz="0" w:space="0" w:color="242424"/>
            <w:bottom w:val="none" w:sz="0" w:space="0" w:color="242424"/>
            <w:right w:val="none" w:sz="0" w:space="0" w:color="242424"/>
          </w:divBdr>
        </w:div>
      </w:divsChild>
    </w:div>
    <w:div w:id="631131856">
      <w:bodyDiv w:val="1"/>
      <w:marLeft w:val="0"/>
      <w:marRight w:val="0"/>
      <w:marTop w:val="0"/>
      <w:marBottom w:val="0"/>
      <w:divBdr>
        <w:top w:val="none" w:sz="0" w:space="0" w:color="auto"/>
        <w:left w:val="none" w:sz="0" w:space="0" w:color="auto"/>
        <w:bottom w:val="none" w:sz="0" w:space="0" w:color="auto"/>
        <w:right w:val="none" w:sz="0" w:space="0" w:color="auto"/>
      </w:divBdr>
    </w:div>
    <w:div w:id="644941529">
      <w:bodyDiv w:val="1"/>
      <w:marLeft w:val="0"/>
      <w:marRight w:val="0"/>
      <w:marTop w:val="0"/>
      <w:marBottom w:val="0"/>
      <w:divBdr>
        <w:top w:val="none" w:sz="0" w:space="0" w:color="auto"/>
        <w:left w:val="none" w:sz="0" w:space="0" w:color="auto"/>
        <w:bottom w:val="none" w:sz="0" w:space="0" w:color="auto"/>
        <w:right w:val="none" w:sz="0" w:space="0" w:color="auto"/>
      </w:divBdr>
      <w:divsChild>
        <w:div w:id="202206813">
          <w:marLeft w:val="0"/>
          <w:marRight w:val="0"/>
          <w:marTop w:val="0"/>
          <w:marBottom w:val="0"/>
          <w:divBdr>
            <w:top w:val="none" w:sz="0" w:space="0" w:color="auto"/>
            <w:left w:val="none" w:sz="0" w:space="0" w:color="auto"/>
            <w:bottom w:val="none" w:sz="0" w:space="0" w:color="auto"/>
            <w:right w:val="none" w:sz="0" w:space="0" w:color="auto"/>
          </w:divBdr>
        </w:div>
        <w:div w:id="482162918">
          <w:marLeft w:val="0"/>
          <w:marRight w:val="0"/>
          <w:marTop w:val="0"/>
          <w:marBottom w:val="0"/>
          <w:divBdr>
            <w:top w:val="none" w:sz="0" w:space="0" w:color="auto"/>
            <w:left w:val="none" w:sz="0" w:space="0" w:color="auto"/>
            <w:bottom w:val="none" w:sz="0" w:space="0" w:color="auto"/>
            <w:right w:val="none" w:sz="0" w:space="0" w:color="auto"/>
          </w:divBdr>
        </w:div>
        <w:div w:id="510799858">
          <w:marLeft w:val="0"/>
          <w:marRight w:val="0"/>
          <w:marTop w:val="0"/>
          <w:marBottom w:val="0"/>
          <w:divBdr>
            <w:top w:val="none" w:sz="0" w:space="0" w:color="auto"/>
            <w:left w:val="none" w:sz="0" w:space="0" w:color="auto"/>
            <w:bottom w:val="none" w:sz="0" w:space="0" w:color="auto"/>
            <w:right w:val="none" w:sz="0" w:space="0" w:color="auto"/>
          </w:divBdr>
        </w:div>
        <w:div w:id="770777203">
          <w:marLeft w:val="0"/>
          <w:marRight w:val="0"/>
          <w:marTop w:val="0"/>
          <w:marBottom w:val="0"/>
          <w:divBdr>
            <w:top w:val="none" w:sz="0" w:space="0" w:color="auto"/>
            <w:left w:val="none" w:sz="0" w:space="0" w:color="auto"/>
            <w:bottom w:val="none" w:sz="0" w:space="0" w:color="auto"/>
            <w:right w:val="none" w:sz="0" w:space="0" w:color="auto"/>
          </w:divBdr>
        </w:div>
        <w:div w:id="974026530">
          <w:marLeft w:val="0"/>
          <w:marRight w:val="0"/>
          <w:marTop w:val="0"/>
          <w:marBottom w:val="0"/>
          <w:divBdr>
            <w:top w:val="none" w:sz="0" w:space="0" w:color="auto"/>
            <w:left w:val="none" w:sz="0" w:space="0" w:color="auto"/>
            <w:bottom w:val="none" w:sz="0" w:space="0" w:color="auto"/>
            <w:right w:val="none" w:sz="0" w:space="0" w:color="auto"/>
          </w:divBdr>
        </w:div>
        <w:div w:id="1378317963">
          <w:marLeft w:val="0"/>
          <w:marRight w:val="0"/>
          <w:marTop w:val="0"/>
          <w:marBottom w:val="0"/>
          <w:divBdr>
            <w:top w:val="none" w:sz="0" w:space="0" w:color="auto"/>
            <w:left w:val="none" w:sz="0" w:space="0" w:color="auto"/>
            <w:bottom w:val="none" w:sz="0" w:space="0" w:color="auto"/>
            <w:right w:val="none" w:sz="0" w:space="0" w:color="auto"/>
          </w:divBdr>
        </w:div>
        <w:div w:id="1414661985">
          <w:marLeft w:val="0"/>
          <w:marRight w:val="0"/>
          <w:marTop w:val="0"/>
          <w:marBottom w:val="0"/>
          <w:divBdr>
            <w:top w:val="none" w:sz="0" w:space="0" w:color="auto"/>
            <w:left w:val="none" w:sz="0" w:space="0" w:color="auto"/>
            <w:bottom w:val="none" w:sz="0" w:space="0" w:color="auto"/>
            <w:right w:val="none" w:sz="0" w:space="0" w:color="auto"/>
          </w:divBdr>
        </w:div>
        <w:div w:id="1615210551">
          <w:marLeft w:val="0"/>
          <w:marRight w:val="0"/>
          <w:marTop w:val="0"/>
          <w:marBottom w:val="0"/>
          <w:divBdr>
            <w:top w:val="none" w:sz="0" w:space="0" w:color="auto"/>
            <w:left w:val="none" w:sz="0" w:space="0" w:color="auto"/>
            <w:bottom w:val="none" w:sz="0" w:space="0" w:color="auto"/>
            <w:right w:val="none" w:sz="0" w:space="0" w:color="auto"/>
          </w:divBdr>
        </w:div>
        <w:div w:id="2045981280">
          <w:marLeft w:val="0"/>
          <w:marRight w:val="0"/>
          <w:marTop w:val="0"/>
          <w:marBottom w:val="0"/>
          <w:divBdr>
            <w:top w:val="none" w:sz="0" w:space="0" w:color="auto"/>
            <w:left w:val="none" w:sz="0" w:space="0" w:color="auto"/>
            <w:bottom w:val="none" w:sz="0" w:space="0" w:color="auto"/>
            <w:right w:val="none" w:sz="0" w:space="0" w:color="auto"/>
          </w:divBdr>
        </w:div>
      </w:divsChild>
    </w:div>
    <w:div w:id="661737799">
      <w:bodyDiv w:val="1"/>
      <w:marLeft w:val="0"/>
      <w:marRight w:val="0"/>
      <w:marTop w:val="0"/>
      <w:marBottom w:val="0"/>
      <w:divBdr>
        <w:top w:val="none" w:sz="0" w:space="0" w:color="auto"/>
        <w:left w:val="none" w:sz="0" w:space="0" w:color="auto"/>
        <w:bottom w:val="none" w:sz="0" w:space="0" w:color="auto"/>
        <w:right w:val="none" w:sz="0" w:space="0" w:color="auto"/>
      </w:divBdr>
      <w:divsChild>
        <w:div w:id="83454132">
          <w:marLeft w:val="0"/>
          <w:marRight w:val="0"/>
          <w:marTop w:val="0"/>
          <w:marBottom w:val="0"/>
          <w:divBdr>
            <w:top w:val="none" w:sz="0" w:space="0" w:color="auto"/>
            <w:left w:val="none" w:sz="0" w:space="0" w:color="auto"/>
            <w:bottom w:val="none" w:sz="0" w:space="0" w:color="auto"/>
            <w:right w:val="none" w:sz="0" w:space="0" w:color="auto"/>
          </w:divBdr>
        </w:div>
        <w:div w:id="382946673">
          <w:marLeft w:val="0"/>
          <w:marRight w:val="0"/>
          <w:marTop w:val="0"/>
          <w:marBottom w:val="0"/>
          <w:divBdr>
            <w:top w:val="none" w:sz="0" w:space="0" w:color="auto"/>
            <w:left w:val="none" w:sz="0" w:space="0" w:color="auto"/>
            <w:bottom w:val="none" w:sz="0" w:space="0" w:color="auto"/>
            <w:right w:val="none" w:sz="0" w:space="0" w:color="auto"/>
          </w:divBdr>
        </w:div>
        <w:div w:id="1613051405">
          <w:marLeft w:val="0"/>
          <w:marRight w:val="0"/>
          <w:marTop w:val="0"/>
          <w:marBottom w:val="0"/>
          <w:divBdr>
            <w:top w:val="none" w:sz="0" w:space="0" w:color="auto"/>
            <w:left w:val="none" w:sz="0" w:space="0" w:color="auto"/>
            <w:bottom w:val="none" w:sz="0" w:space="0" w:color="auto"/>
            <w:right w:val="none" w:sz="0" w:space="0" w:color="auto"/>
          </w:divBdr>
          <w:divsChild>
            <w:div w:id="1019239179">
              <w:marLeft w:val="0"/>
              <w:marRight w:val="0"/>
              <w:marTop w:val="0"/>
              <w:marBottom w:val="0"/>
              <w:divBdr>
                <w:top w:val="none" w:sz="0" w:space="0" w:color="auto"/>
                <w:left w:val="none" w:sz="0" w:space="0" w:color="auto"/>
                <w:bottom w:val="none" w:sz="0" w:space="0" w:color="auto"/>
                <w:right w:val="none" w:sz="0" w:space="0" w:color="auto"/>
              </w:divBdr>
            </w:div>
            <w:div w:id="1185173398">
              <w:marLeft w:val="0"/>
              <w:marRight w:val="0"/>
              <w:marTop w:val="0"/>
              <w:marBottom w:val="0"/>
              <w:divBdr>
                <w:top w:val="none" w:sz="0" w:space="0" w:color="auto"/>
                <w:left w:val="none" w:sz="0" w:space="0" w:color="auto"/>
                <w:bottom w:val="none" w:sz="0" w:space="0" w:color="auto"/>
                <w:right w:val="none" w:sz="0" w:space="0" w:color="auto"/>
              </w:divBdr>
            </w:div>
            <w:div w:id="1388839151">
              <w:marLeft w:val="0"/>
              <w:marRight w:val="0"/>
              <w:marTop w:val="0"/>
              <w:marBottom w:val="0"/>
              <w:divBdr>
                <w:top w:val="none" w:sz="0" w:space="0" w:color="auto"/>
                <w:left w:val="none" w:sz="0" w:space="0" w:color="auto"/>
                <w:bottom w:val="none" w:sz="0" w:space="0" w:color="auto"/>
                <w:right w:val="none" w:sz="0" w:space="0" w:color="auto"/>
              </w:divBdr>
            </w:div>
            <w:div w:id="1838766626">
              <w:marLeft w:val="0"/>
              <w:marRight w:val="0"/>
              <w:marTop w:val="0"/>
              <w:marBottom w:val="0"/>
              <w:divBdr>
                <w:top w:val="none" w:sz="0" w:space="0" w:color="auto"/>
                <w:left w:val="none" w:sz="0" w:space="0" w:color="auto"/>
                <w:bottom w:val="none" w:sz="0" w:space="0" w:color="auto"/>
                <w:right w:val="none" w:sz="0" w:space="0" w:color="auto"/>
              </w:divBdr>
            </w:div>
            <w:div w:id="186170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24829">
      <w:bodyDiv w:val="1"/>
      <w:marLeft w:val="0"/>
      <w:marRight w:val="0"/>
      <w:marTop w:val="0"/>
      <w:marBottom w:val="0"/>
      <w:divBdr>
        <w:top w:val="none" w:sz="0" w:space="0" w:color="auto"/>
        <w:left w:val="none" w:sz="0" w:space="0" w:color="auto"/>
        <w:bottom w:val="none" w:sz="0" w:space="0" w:color="auto"/>
        <w:right w:val="none" w:sz="0" w:space="0" w:color="auto"/>
      </w:divBdr>
    </w:div>
    <w:div w:id="683093732">
      <w:bodyDiv w:val="1"/>
      <w:marLeft w:val="0"/>
      <w:marRight w:val="0"/>
      <w:marTop w:val="0"/>
      <w:marBottom w:val="0"/>
      <w:divBdr>
        <w:top w:val="none" w:sz="0" w:space="0" w:color="auto"/>
        <w:left w:val="none" w:sz="0" w:space="0" w:color="auto"/>
        <w:bottom w:val="none" w:sz="0" w:space="0" w:color="auto"/>
        <w:right w:val="none" w:sz="0" w:space="0" w:color="auto"/>
      </w:divBdr>
    </w:div>
    <w:div w:id="687296115">
      <w:bodyDiv w:val="1"/>
      <w:marLeft w:val="0"/>
      <w:marRight w:val="0"/>
      <w:marTop w:val="0"/>
      <w:marBottom w:val="0"/>
      <w:divBdr>
        <w:top w:val="none" w:sz="0" w:space="0" w:color="auto"/>
        <w:left w:val="none" w:sz="0" w:space="0" w:color="auto"/>
        <w:bottom w:val="none" w:sz="0" w:space="0" w:color="auto"/>
        <w:right w:val="none" w:sz="0" w:space="0" w:color="auto"/>
      </w:divBdr>
    </w:div>
    <w:div w:id="691489892">
      <w:bodyDiv w:val="1"/>
      <w:marLeft w:val="0"/>
      <w:marRight w:val="0"/>
      <w:marTop w:val="0"/>
      <w:marBottom w:val="0"/>
      <w:divBdr>
        <w:top w:val="none" w:sz="0" w:space="0" w:color="auto"/>
        <w:left w:val="none" w:sz="0" w:space="0" w:color="auto"/>
        <w:bottom w:val="none" w:sz="0" w:space="0" w:color="auto"/>
        <w:right w:val="none" w:sz="0" w:space="0" w:color="auto"/>
      </w:divBdr>
    </w:div>
    <w:div w:id="704645525">
      <w:bodyDiv w:val="1"/>
      <w:marLeft w:val="0"/>
      <w:marRight w:val="0"/>
      <w:marTop w:val="0"/>
      <w:marBottom w:val="0"/>
      <w:divBdr>
        <w:top w:val="none" w:sz="0" w:space="0" w:color="auto"/>
        <w:left w:val="none" w:sz="0" w:space="0" w:color="auto"/>
        <w:bottom w:val="none" w:sz="0" w:space="0" w:color="auto"/>
        <w:right w:val="none" w:sz="0" w:space="0" w:color="auto"/>
      </w:divBdr>
    </w:div>
    <w:div w:id="713391085">
      <w:bodyDiv w:val="1"/>
      <w:marLeft w:val="0"/>
      <w:marRight w:val="0"/>
      <w:marTop w:val="0"/>
      <w:marBottom w:val="0"/>
      <w:divBdr>
        <w:top w:val="none" w:sz="0" w:space="0" w:color="auto"/>
        <w:left w:val="none" w:sz="0" w:space="0" w:color="auto"/>
        <w:bottom w:val="none" w:sz="0" w:space="0" w:color="auto"/>
        <w:right w:val="none" w:sz="0" w:space="0" w:color="auto"/>
      </w:divBdr>
    </w:div>
    <w:div w:id="734933357">
      <w:bodyDiv w:val="1"/>
      <w:marLeft w:val="0"/>
      <w:marRight w:val="0"/>
      <w:marTop w:val="0"/>
      <w:marBottom w:val="0"/>
      <w:divBdr>
        <w:top w:val="none" w:sz="0" w:space="0" w:color="auto"/>
        <w:left w:val="none" w:sz="0" w:space="0" w:color="auto"/>
        <w:bottom w:val="none" w:sz="0" w:space="0" w:color="auto"/>
        <w:right w:val="none" w:sz="0" w:space="0" w:color="auto"/>
      </w:divBdr>
      <w:divsChild>
        <w:div w:id="1452280477">
          <w:marLeft w:val="0"/>
          <w:marRight w:val="0"/>
          <w:marTop w:val="0"/>
          <w:marBottom w:val="0"/>
          <w:divBdr>
            <w:top w:val="none" w:sz="0" w:space="0" w:color="auto"/>
            <w:left w:val="none" w:sz="0" w:space="0" w:color="auto"/>
            <w:bottom w:val="none" w:sz="0" w:space="0" w:color="auto"/>
            <w:right w:val="none" w:sz="0" w:space="0" w:color="auto"/>
          </w:divBdr>
        </w:div>
      </w:divsChild>
    </w:div>
    <w:div w:id="770399441">
      <w:bodyDiv w:val="1"/>
      <w:marLeft w:val="0"/>
      <w:marRight w:val="0"/>
      <w:marTop w:val="0"/>
      <w:marBottom w:val="0"/>
      <w:divBdr>
        <w:top w:val="none" w:sz="0" w:space="0" w:color="auto"/>
        <w:left w:val="none" w:sz="0" w:space="0" w:color="auto"/>
        <w:bottom w:val="none" w:sz="0" w:space="0" w:color="auto"/>
        <w:right w:val="none" w:sz="0" w:space="0" w:color="auto"/>
      </w:divBdr>
    </w:div>
    <w:div w:id="772742892">
      <w:bodyDiv w:val="1"/>
      <w:marLeft w:val="0"/>
      <w:marRight w:val="0"/>
      <w:marTop w:val="0"/>
      <w:marBottom w:val="0"/>
      <w:divBdr>
        <w:top w:val="none" w:sz="0" w:space="0" w:color="auto"/>
        <w:left w:val="none" w:sz="0" w:space="0" w:color="auto"/>
        <w:bottom w:val="none" w:sz="0" w:space="0" w:color="auto"/>
        <w:right w:val="none" w:sz="0" w:space="0" w:color="auto"/>
      </w:divBdr>
    </w:div>
    <w:div w:id="798039213">
      <w:bodyDiv w:val="1"/>
      <w:marLeft w:val="0"/>
      <w:marRight w:val="0"/>
      <w:marTop w:val="0"/>
      <w:marBottom w:val="0"/>
      <w:divBdr>
        <w:top w:val="none" w:sz="0" w:space="0" w:color="auto"/>
        <w:left w:val="none" w:sz="0" w:space="0" w:color="auto"/>
        <w:bottom w:val="none" w:sz="0" w:space="0" w:color="auto"/>
        <w:right w:val="none" w:sz="0" w:space="0" w:color="auto"/>
      </w:divBdr>
      <w:divsChild>
        <w:div w:id="69814054">
          <w:marLeft w:val="48"/>
          <w:marRight w:val="0"/>
          <w:marTop w:val="0"/>
          <w:marBottom w:val="0"/>
          <w:divBdr>
            <w:top w:val="none" w:sz="0" w:space="0" w:color="auto"/>
            <w:left w:val="none" w:sz="0" w:space="0" w:color="auto"/>
            <w:bottom w:val="none" w:sz="0" w:space="0" w:color="auto"/>
            <w:right w:val="none" w:sz="0" w:space="0" w:color="auto"/>
          </w:divBdr>
        </w:div>
        <w:div w:id="405035056">
          <w:marLeft w:val="48"/>
          <w:marRight w:val="0"/>
          <w:marTop w:val="0"/>
          <w:marBottom w:val="0"/>
          <w:divBdr>
            <w:top w:val="none" w:sz="0" w:space="0" w:color="auto"/>
            <w:left w:val="none" w:sz="0" w:space="0" w:color="auto"/>
            <w:bottom w:val="none" w:sz="0" w:space="0" w:color="auto"/>
            <w:right w:val="none" w:sz="0" w:space="0" w:color="auto"/>
          </w:divBdr>
        </w:div>
        <w:div w:id="553127724">
          <w:marLeft w:val="48"/>
          <w:marRight w:val="0"/>
          <w:marTop w:val="0"/>
          <w:marBottom w:val="0"/>
          <w:divBdr>
            <w:top w:val="none" w:sz="0" w:space="0" w:color="auto"/>
            <w:left w:val="none" w:sz="0" w:space="0" w:color="auto"/>
            <w:bottom w:val="none" w:sz="0" w:space="0" w:color="auto"/>
            <w:right w:val="none" w:sz="0" w:space="0" w:color="auto"/>
          </w:divBdr>
        </w:div>
        <w:div w:id="586354310">
          <w:marLeft w:val="48"/>
          <w:marRight w:val="0"/>
          <w:marTop w:val="0"/>
          <w:marBottom w:val="0"/>
          <w:divBdr>
            <w:top w:val="none" w:sz="0" w:space="0" w:color="auto"/>
            <w:left w:val="none" w:sz="0" w:space="0" w:color="auto"/>
            <w:bottom w:val="none" w:sz="0" w:space="0" w:color="auto"/>
            <w:right w:val="none" w:sz="0" w:space="0" w:color="auto"/>
          </w:divBdr>
        </w:div>
        <w:div w:id="1352144228">
          <w:marLeft w:val="48"/>
          <w:marRight w:val="0"/>
          <w:marTop w:val="0"/>
          <w:marBottom w:val="0"/>
          <w:divBdr>
            <w:top w:val="none" w:sz="0" w:space="0" w:color="auto"/>
            <w:left w:val="none" w:sz="0" w:space="0" w:color="auto"/>
            <w:bottom w:val="none" w:sz="0" w:space="0" w:color="auto"/>
            <w:right w:val="none" w:sz="0" w:space="0" w:color="auto"/>
          </w:divBdr>
        </w:div>
        <w:div w:id="1419670611">
          <w:marLeft w:val="48"/>
          <w:marRight w:val="0"/>
          <w:marTop w:val="0"/>
          <w:marBottom w:val="0"/>
          <w:divBdr>
            <w:top w:val="none" w:sz="0" w:space="0" w:color="auto"/>
            <w:left w:val="none" w:sz="0" w:space="0" w:color="auto"/>
            <w:bottom w:val="none" w:sz="0" w:space="0" w:color="auto"/>
            <w:right w:val="none" w:sz="0" w:space="0" w:color="auto"/>
          </w:divBdr>
        </w:div>
        <w:div w:id="1433545640">
          <w:marLeft w:val="48"/>
          <w:marRight w:val="0"/>
          <w:marTop w:val="0"/>
          <w:marBottom w:val="0"/>
          <w:divBdr>
            <w:top w:val="none" w:sz="0" w:space="0" w:color="auto"/>
            <w:left w:val="none" w:sz="0" w:space="0" w:color="auto"/>
            <w:bottom w:val="none" w:sz="0" w:space="0" w:color="auto"/>
            <w:right w:val="none" w:sz="0" w:space="0" w:color="auto"/>
          </w:divBdr>
        </w:div>
        <w:div w:id="1470897427">
          <w:marLeft w:val="48"/>
          <w:marRight w:val="0"/>
          <w:marTop w:val="0"/>
          <w:marBottom w:val="0"/>
          <w:divBdr>
            <w:top w:val="none" w:sz="0" w:space="0" w:color="auto"/>
            <w:left w:val="none" w:sz="0" w:space="0" w:color="auto"/>
            <w:bottom w:val="none" w:sz="0" w:space="0" w:color="auto"/>
            <w:right w:val="none" w:sz="0" w:space="0" w:color="auto"/>
          </w:divBdr>
        </w:div>
        <w:div w:id="1899047642">
          <w:marLeft w:val="48"/>
          <w:marRight w:val="0"/>
          <w:marTop w:val="0"/>
          <w:marBottom w:val="0"/>
          <w:divBdr>
            <w:top w:val="none" w:sz="0" w:space="0" w:color="auto"/>
            <w:left w:val="none" w:sz="0" w:space="0" w:color="auto"/>
            <w:bottom w:val="none" w:sz="0" w:space="0" w:color="auto"/>
            <w:right w:val="none" w:sz="0" w:space="0" w:color="auto"/>
          </w:divBdr>
        </w:div>
      </w:divsChild>
    </w:div>
    <w:div w:id="814100925">
      <w:bodyDiv w:val="1"/>
      <w:marLeft w:val="0"/>
      <w:marRight w:val="0"/>
      <w:marTop w:val="0"/>
      <w:marBottom w:val="0"/>
      <w:divBdr>
        <w:top w:val="none" w:sz="0" w:space="0" w:color="auto"/>
        <w:left w:val="none" w:sz="0" w:space="0" w:color="auto"/>
        <w:bottom w:val="none" w:sz="0" w:space="0" w:color="auto"/>
        <w:right w:val="none" w:sz="0" w:space="0" w:color="auto"/>
      </w:divBdr>
    </w:div>
    <w:div w:id="852888118">
      <w:bodyDiv w:val="1"/>
      <w:marLeft w:val="0"/>
      <w:marRight w:val="0"/>
      <w:marTop w:val="0"/>
      <w:marBottom w:val="0"/>
      <w:divBdr>
        <w:top w:val="none" w:sz="0" w:space="0" w:color="auto"/>
        <w:left w:val="none" w:sz="0" w:space="0" w:color="auto"/>
        <w:bottom w:val="none" w:sz="0" w:space="0" w:color="auto"/>
        <w:right w:val="none" w:sz="0" w:space="0" w:color="auto"/>
      </w:divBdr>
    </w:div>
    <w:div w:id="861553566">
      <w:bodyDiv w:val="1"/>
      <w:marLeft w:val="0"/>
      <w:marRight w:val="0"/>
      <w:marTop w:val="0"/>
      <w:marBottom w:val="0"/>
      <w:divBdr>
        <w:top w:val="none" w:sz="0" w:space="0" w:color="auto"/>
        <w:left w:val="none" w:sz="0" w:space="0" w:color="auto"/>
        <w:bottom w:val="none" w:sz="0" w:space="0" w:color="auto"/>
        <w:right w:val="none" w:sz="0" w:space="0" w:color="auto"/>
      </w:divBdr>
    </w:div>
    <w:div w:id="875846524">
      <w:bodyDiv w:val="1"/>
      <w:marLeft w:val="0"/>
      <w:marRight w:val="0"/>
      <w:marTop w:val="0"/>
      <w:marBottom w:val="0"/>
      <w:divBdr>
        <w:top w:val="none" w:sz="0" w:space="0" w:color="auto"/>
        <w:left w:val="none" w:sz="0" w:space="0" w:color="auto"/>
        <w:bottom w:val="none" w:sz="0" w:space="0" w:color="auto"/>
        <w:right w:val="none" w:sz="0" w:space="0" w:color="auto"/>
      </w:divBdr>
    </w:div>
    <w:div w:id="893733962">
      <w:bodyDiv w:val="1"/>
      <w:marLeft w:val="0"/>
      <w:marRight w:val="0"/>
      <w:marTop w:val="0"/>
      <w:marBottom w:val="0"/>
      <w:divBdr>
        <w:top w:val="none" w:sz="0" w:space="0" w:color="auto"/>
        <w:left w:val="none" w:sz="0" w:space="0" w:color="auto"/>
        <w:bottom w:val="none" w:sz="0" w:space="0" w:color="auto"/>
        <w:right w:val="none" w:sz="0" w:space="0" w:color="auto"/>
      </w:divBdr>
    </w:div>
    <w:div w:id="906722058">
      <w:bodyDiv w:val="1"/>
      <w:marLeft w:val="0"/>
      <w:marRight w:val="0"/>
      <w:marTop w:val="0"/>
      <w:marBottom w:val="0"/>
      <w:divBdr>
        <w:top w:val="none" w:sz="0" w:space="0" w:color="auto"/>
        <w:left w:val="none" w:sz="0" w:space="0" w:color="auto"/>
        <w:bottom w:val="none" w:sz="0" w:space="0" w:color="auto"/>
        <w:right w:val="none" w:sz="0" w:space="0" w:color="auto"/>
      </w:divBdr>
    </w:div>
    <w:div w:id="911309376">
      <w:bodyDiv w:val="1"/>
      <w:marLeft w:val="0"/>
      <w:marRight w:val="0"/>
      <w:marTop w:val="0"/>
      <w:marBottom w:val="0"/>
      <w:divBdr>
        <w:top w:val="none" w:sz="0" w:space="0" w:color="auto"/>
        <w:left w:val="none" w:sz="0" w:space="0" w:color="auto"/>
        <w:bottom w:val="none" w:sz="0" w:space="0" w:color="auto"/>
        <w:right w:val="none" w:sz="0" w:space="0" w:color="auto"/>
      </w:divBdr>
    </w:div>
    <w:div w:id="920136982">
      <w:bodyDiv w:val="1"/>
      <w:marLeft w:val="0"/>
      <w:marRight w:val="0"/>
      <w:marTop w:val="0"/>
      <w:marBottom w:val="0"/>
      <w:divBdr>
        <w:top w:val="none" w:sz="0" w:space="0" w:color="auto"/>
        <w:left w:val="none" w:sz="0" w:space="0" w:color="auto"/>
        <w:bottom w:val="none" w:sz="0" w:space="0" w:color="auto"/>
        <w:right w:val="none" w:sz="0" w:space="0" w:color="auto"/>
      </w:divBdr>
    </w:div>
    <w:div w:id="923798955">
      <w:bodyDiv w:val="1"/>
      <w:marLeft w:val="0"/>
      <w:marRight w:val="0"/>
      <w:marTop w:val="0"/>
      <w:marBottom w:val="0"/>
      <w:divBdr>
        <w:top w:val="none" w:sz="0" w:space="0" w:color="auto"/>
        <w:left w:val="none" w:sz="0" w:space="0" w:color="auto"/>
        <w:bottom w:val="none" w:sz="0" w:space="0" w:color="auto"/>
        <w:right w:val="none" w:sz="0" w:space="0" w:color="auto"/>
      </w:divBdr>
    </w:div>
    <w:div w:id="933248819">
      <w:bodyDiv w:val="1"/>
      <w:marLeft w:val="0"/>
      <w:marRight w:val="0"/>
      <w:marTop w:val="0"/>
      <w:marBottom w:val="0"/>
      <w:divBdr>
        <w:top w:val="none" w:sz="0" w:space="0" w:color="auto"/>
        <w:left w:val="none" w:sz="0" w:space="0" w:color="auto"/>
        <w:bottom w:val="none" w:sz="0" w:space="0" w:color="auto"/>
        <w:right w:val="none" w:sz="0" w:space="0" w:color="auto"/>
      </w:divBdr>
    </w:div>
    <w:div w:id="953436787">
      <w:bodyDiv w:val="1"/>
      <w:marLeft w:val="0"/>
      <w:marRight w:val="0"/>
      <w:marTop w:val="0"/>
      <w:marBottom w:val="0"/>
      <w:divBdr>
        <w:top w:val="none" w:sz="0" w:space="0" w:color="auto"/>
        <w:left w:val="none" w:sz="0" w:space="0" w:color="auto"/>
        <w:bottom w:val="none" w:sz="0" w:space="0" w:color="auto"/>
        <w:right w:val="none" w:sz="0" w:space="0" w:color="auto"/>
      </w:divBdr>
    </w:div>
    <w:div w:id="962998949">
      <w:bodyDiv w:val="1"/>
      <w:marLeft w:val="0"/>
      <w:marRight w:val="0"/>
      <w:marTop w:val="0"/>
      <w:marBottom w:val="0"/>
      <w:divBdr>
        <w:top w:val="none" w:sz="0" w:space="0" w:color="auto"/>
        <w:left w:val="none" w:sz="0" w:space="0" w:color="auto"/>
        <w:bottom w:val="none" w:sz="0" w:space="0" w:color="auto"/>
        <w:right w:val="none" w:sz="0" w:space="0" w:color="auto"/>
      </w:divBdr>
    </w:div>
    <w:div w:id="1008484186">
      <w:bodyDiv w:val="1"/>
      <w:marLeft w:val="0"/>
      <w:marRight w:val="0"/>
      <w:marTop w:val="0"/>
      <w:marBottom w:val="0"/>
      <w:divBdr>
        <w:top w:val="none" w:sz="0" w:space="0" w:color="auto"/>
        <w:left w:val="none" w:sz="0" w:space="0" w:color="auto"/>
        <w:bottom w:val="none" w:sz="0" w:space="0" w:color="auto"/>
        <w:right w:val="none" w:sz="0" w:space="0" w:color="auto"/>
      </w:divBdr>
    </w:div>
    <w:div w:id="1011447253">
      <w:bodyDiv w:val="1"/>
      <w:marLeft w:val="0"/>
      <w:marRight w:val="0"/>
      <w:marTop w:val="0"/>
      <w:marBottom w:val="0"/>
      <w:divBdr>
        <w:top w:val="none" w:sz="0" w:space="0" w:color="auto"/>
        <w:left w:val="none" w:sz="0" w:space="0" w:color="auto"/>
        <w:bottom w:val="none" w:sz="0" w:space="0" w:color="auto"/>
        <w:right w:val="none" w:sz="0" w:space="0" w:color="auto"/>
      </w:divBdr>
    </w:div>
    <w:div w:id="1041058657">
      <w:bodyDiv w:val="1"/>
      <w:marLeft w:val="0"/>
      <w:marRight w:val="0"/>
      <w:marTop w:val="0"/>
      <w:marBottom w:val="0"/>
      <w:divBdr>
        <w:top w:val="none" w:sz="0" w:space="0" w:color="auto"/>
        <w:left w:val="none" w:sz="0" w:space="0" w:color="auto"/>
        <w:bottom w:val="none" w:sz="0" w:space="0" w:color="auto"/>
        <w:right w:val="none" w:sz="0" w:space="0" w:color="auto"/>
      </w:divBdr>
    </w:div>
    <w:div w:id="1050961495">
      <w:bodyDiv w:val="1"/>
      <w:marLeft w:val="0"/>
      <w:marRight w:val="0"/>
      <w:marTop w:val="0"/>
      <w:marBottom w:val="0"/>
      <w:divBdr>
        <w:top w:val="none" w:sz="0" w:space="0" w:color="auto"/>
        <w:left w:val="none" w:sz="0" w:space="0" w:color="auto"/>
        <w:bottom w:val="none" w:sz="0" w:space="0" w:color="auto"/>
        <w:right w:val="none" w:sz="0" w:space="0" w:color="auto"/>
      </w:divBdr>
      <w:divsChild>
        <w:div w:id="51387389">
          <w:marLeft w:val="0"/>
          <w:marRight w:val="0"/>
          <w:marTop w:val="0"/>
          <w:marBottom w:val="0"/>
          <w:divBdr>
            <w:top w:val="none" w:sz="0" w:space="0" w:color="242424"/>
            <w:left w:val="none" w:sz="0" w:space="0" w:color="242424"/>
            <w:bottom w:val="none" w:sz="0" w:space="0" w:color="242424"/>
            <w:right w:val="none" w:sz="0" w:space="0" w:color="242424"/>
          </w:divBdr>
        </w:div>
      </w:divsChild>
    </w:div>
    <w:div w:id="1076324937">
      <w:bodyDiv w:val="1"/>
      <w:marLeft w:val="0"/>
      <w:marRight w:val="0"/>
      <w:marTop w:val="0"/>
      <w:marBottom w:val="0"/>
      <w:divBdr>
        <w:top w:val="none" w:sz="0" w:space="0" w:color="auto"/>
        <w:left w:val="none" w:sz="0" w:space="0" w:color="auto"/>
        <w:bottom w:val="none" w:sz="0" w:space="0" w:color="auto"/>
        <w:right w:val="none" w:sz="0" w:space="0" w:color="auto"/>
      </w:divBdr>
    </w:div>
    <w:div w:id="1089497268">
      <w:bodyDiv w:val="1"/>
      <w:marLeft w:val="0"/>
      <w:marRight w:val="0"/>
      <w:marTop w:val="0"/>
      <w:marBottom w:val="0"/>
      <w:divBdr>
        <w:top w:val="none" w:sz="0" w:space="0" w:color="auto"/>
        <w:left w:val="none" w:sz="0" w:space="0" w:color="auto"/>
        <w:bottom w:val="none" w:sz="0" w:space="0" w:color="auto"/>
        <w:right w:val="none" w:sz="0" w:space="0" w:color="auto"/>
      </w:divBdr>
    </w:div>
    <w:div w:id="1099059432">
      <w:bodyDiv w:val="1"/>
      <w:marLeft w:val="0"/>
      <w:marRight w:val="0"/>
      <w:marTop w:val="0"/>
      <w:marBottom w:val="0"/>
      <w:divBdr>
        <w:top w:val="none" w:sz="0" w:space="0" w:color="auto"/>
        <w:left w:val="none" w:sz="0" w:space="0" w:color="auto"/>
        <w:bottom w:val="none" w:sz="0" w:space="0" w:color="auto"/>
        <w:right w:val="none" w:sz="0" w:space="0" w:color="auto"/>
      </w:divBdr>
      <w:divsChild>
        <w:div w:id="152648638">
          <w:marLeft w:val="0"/>
          <w:marRight w:val="0"/>
          <w:marTop w:val="0"/>
          <w:marBottom w:val="0"/>
          <w:divBdr>
            <w:top w:val="none" w:sz="0" w:space="0" w:color="auto"/>
            <w:left w:val="none" w:sz="0" w:space="0" w:color="auto"/>
            <w:bottom w:val="none" w:sz="0" w:space="0" w:color="auto"/>
            <w:right w:val="none" w:sz="0" w:space="0" w:color="auto"/>
          </w:divBdr>
        </w:div>
        <w:div w:id="260993770">
          <w:marLeft w:val="0"/>
          <w:marRight w:val="0"/>
          <w:marTop w:val="0"/>
          <w:marBottom w:val="0"/>
          <w:divBdr>
            <w:top w:val="none" w:sz="0" w:space="0" w:color="auto"/>
            <w:left w:val="none" w:sz="0" w:space="0" w:color="auto"/>
            <w:bottom w:val="none" w:sz="0" w:space="0" w:color="auto"/>
            <w:right w:val="none" w:sz="0" w:space="0" w:color="auto"/>
          </w:divBdr>
        </w:div>
        <w:div w:id="606084355">
          <w:marLeft w:val="0"/>
          <w:marRight w:val="0"/>
          <w:marTop w:val="0"/>
          <w:marBottom w:val="0"/>
          <w:divBdr>
            <w:top w:val="none" w:sz="0" w:space="0" w:color="auto"/>
            <w:left w:val="none" w:sz="0" w:space="0" w:color="auto"/>
            <w:bottom w:val="none" w:sz="0" w:space="0" w:color="auto"/>
            <w:right w:val="none" w:sz="0" w:space="0" w:color="auto"/>
          </w:divBdr>
        </w:div>
        <w:div w:id="1951887046">
          <w:marLeft w:val="0"/>
          <w:marRight w:val="0"/>
          <w:marTop w:val="0"/>
          <w:marBottom w:val="0"/>
          <w:divBdr>
            <w:top w:val="none" w:sz="0" w:space="0" w:color="auto"/>
            <w:left w:val="none" w:sz="0" w:space="0" w:color="auto"/>
            <w:bottom w:val="none" w:sz="0" w:space="0" w:color="auto"/>
            <w:right w:val="none" w:sz="0" w:space="0" w:color="auto"/>
          </w:divBdr>
        </w:div>
        <w:div w:id="2137137414">
          <w:marLeft w:val="0"/>
          <w:marRight w:val="0"/>
          <w:marTop w:val="0"/>
          <w:marBottom w:val="0"/>
          <w:divBdr>
            <w:top w:val="none" w:sz="0" w:space="0" w:color="auto"/>
            <w:left w:val="none" w:sz="0" w:space="0" w:color="auto"/>
            <w:bottom w:val="none" w:sz="0" w:space="0" w:color="auto"/>
            <w:right w:val="none" w:sz="0" w:space="0" w:color="auto"/>
          </w:divBdr>
        </w:div>
      </w:divsChild>
    </w:div>
    <w:div w:id="1107890263">
      <w:bodyDiv w:val="1"/>
      <w:marLeft w:val="0"/>
      <w:marRight w:val="0"/>
      <w:marTop w:val="0"/>
      <w:marBottom w:val="0"/>
      <w:divBdr>
        <w:top w:val="none" w:sz="0" w:space="0" w:color="auto"/>
        <w:left w:val="none" w:sz="0" w:space="0" w:color="auto"/>
        <w:bottom w:val="none" w:sz="0" w:space="0" w:color="auto"/>
        <w:right w:val="none" w:sz="0" w:space="0" w:color="auto"/>
      </w:divBdr>
    </w:div>
    <w:div w:id="1127309892">
      <w:bodyDiv w:val="1"/>
      <w:marLeft w:val="0"/>
      <w:marRight w:val="0"/>
      <w:marTop w:val="0"/>
      <w:marBottom w:val="0"/>
      <w:divBdr>
        <w:top w:val="none" w:sz="0" w:space="0" w:color="auto"/>
        <w:left w:val="none" w:sz="0" w:space="0" w:color="auto"/>
        <w:bottom w:val="none" w:sz="0" w:space="0" w:color="auto"/>
        <w:right w:val="none" w:sz="0" w:space="0" w:color="auto"/>
      </w:divBdr>
    </w:div>
    <w:div w:id="1137450164">
      <w:bodyDiv w:val="1"/>
      <w:marLeft w:val="0"/>
      <w:marRight w:val="0"/>
      <w:marTop w:val="0"/>
      <w:marBottom w:val="0"/>
      <w:divBdr>
        <w:top w:val="none" w:sz="0" w:space="0" w:color="auto"/>
        <w:left w:val="none" w:sz="0" w:space="0" w:color="auto"/>
        <w:bottom w:val="none" w:sz="0" w:space="0" w:color="auto"/>
        <w:right w:val="none" w:sz="0" w:space="0" w:color="auto"/>
      </w:divBdr>
    </w:div>
    <w:div w:id="1137533031">
      <w:bodyDiv w:val="1"/>
      <w:marLeft w:val="0"/>
      <w:marRight w:val="0"/>
      <w:marTop w:val="0"/>
      <w:marBottom w:val="0"/>
      <w:divBdr>
        <w:top w:val="none" w:sz="0" w:space="0" w:color="auto"/>
        <w:left w:val="none" w:sz="0" w:space="0" w:color="auto"/>
        <w:bottom w:val="none" w:sz="0" w:space="0" w:color="auto"/>
        <w:right w:val="none" w:sz="0" w:space="0" w:color="auto"/>
      </w:divBdr>
    </w:div>
    <w:div w:id="1175726872">
      <w:bodyDiv w:val="1"/>
      <w:marLeft w:val="0"/>
      <w:marRight w:val="0"/>
      <w:marTop w:val="0"/>
      <w:marBottom w:val="0"/>
      <w:divBdr>
        <w:top w:val="none" w:sz="0" w:space="0" w:color="auto"/>
        <w:left w:val="none" w:sz="0" w:space="0" w:color="auto"/>
        <w:bottom w:val="none" w:sz="0" w:space="0" w:color="auto"/>
        <w:right w:val="none" w:sz="0" w:space="0" w:color="auto"/>
      </w:divBdr>
    </w:div>
    <w:div w:id="1186754337">
      <w:bodyDiv w:val="1"/>
      <w:marLeft w:val="0"/>
      <w:marRight w:val="0"/>
      <w:marTop w:val="0"/>
      <w:marBottom w:val="0"/>
      <w:divBdr>
        <w:top w:val="none" w:sz="0" w:space="0" w:color="auto"/>
        <w:left w:val="none" w:sz="0" w:space="0" w:color="auto"/>
        <w:bottom w:val="none" w:sz="0" w:space="0" w:color="auto"/>
        <w:right w:val="none" w:sz="0" w:space="0" w:color="auto"/>
      </w:divBdr>
    </w:div>
    <w:div w:id="1187867619">
      <w:bodyDiv w:val="1"/>
      <w:marLeft w:val="0"/>
      <w:marRight w:val="0"/>
      <w:marTop w:val="0"/>
      <w:marBottom w:val="0"/>
      <w:divBdr>
        <w:top w:val="none" w:sz="0" w:space="0" w:color="auto"/>
        <w:left w:val="none" w:sz="0" w:space="0" w:color="auto"/>
        <w:bottom w:val="none" w:sz="0" w:space="0" w:color="auto"/>
        <w:right w:val="none" w:sz="0" w:space="0" w:color="auto"/>
      </w:divBdr>
    </w:div>
    <w:div w:id="1230917326">
      <w:bodyDiv w:val="1"/>
      <w:marLeft w:val="0"/>
      <w:marRight w:val="0"/>
      <w:marTop w:val="0"/>
      <w:marBottom w:val="0"/>
      <w:divBdr>
        <w:top w:val="none" w:sz="0" w:space="0" w:color="auto"/>
        <w:left w:val="none" w:sz="0" w:space="0" w:color="auto"/>
        <w:bottom w:val="none" w:sz="0" w:space="0" w:color="auto"/>
        <w:right w:val="none" w:sz="0" w:space="0" w:color="auto"/>
      </w:divBdr>
    </w:div>
    <w:div w:id="1235310359">
      <w:bodyDiv w:val="1"/>
      <w:marLeft w:val="0"/>
      <w:marRight w:val="0"/>
      <w:marTop w:val="0"/>
      <w:marBottom w:val="0"/>
      <w:divBdr>
        <w:top w:val="none" w:sz="0" w:space="0" w:color="auto"/>
        <w:left w:val="none" w:sz="0" w:space="0" w:color="auto"/>
        <w:bottom w:val="none" w:sz="0" w:space="0" w:color="auto"/>
        <w:right w:val="none" w:sz="0" w:space="0" w:color="auto"/>
      </w:divBdr>
    </w:div>
    <w:div w:id="1243024278">
      <w:bodyDiv w:val="1"/>
      <w:marLeft w:val="0"/>
      <w:marRight w:val="0"/>
      <w:marTop w:val="0"/>
      <w:marBottom w:val="0"/>
      <w:divBdr>
        <w:top w:val="none" w:sz="0" w:space="0" w:color="auto"/>
        <w:left w:val="none" w:sz="0" w:space="0" w:color="auto"/>
        <w:bottom w:val="none" w:sz="0" w:space="0" w:color="auto"/>
        <w:right w:val="none" w:sz="0" w:space="0" w:color="auto"/>
      </w:divBdr>
    </w:div>
    <w:div w:id="1260409071">
      <w:bodyDiv w:val="1"/>
      <w:marLeft w:val="0"/>
      <w:marRight w:val="0"/>
      <w:marTop w:val="0"/>
      <w:marBottom w:val="0"/>
      <w:divBdr>
        <w:top w:val="none" w:sz="0" w:space="0" w:color="auto"/>
        <w:left w:val="none" w:sz="0" w:space="0" w:color="auto"/>
        <w:bottom w:val="none" w:sz="0" w:space="0" w:color="auto"/>
        <w:right w:val="none" w:sz="0" w:space="0" w:color="auto"/>
      </w:divBdr>
    </w:div>
    <w:div w:id="1292591112">
      <w:bodyDiv w:val="1"/>
      <w:marLeft w:val="0"/>
      <w:marRight w:val="0"/>
      <w:marTop w:val="0"/>
      <w:marBottom w:val="0"/>
      <w:divBdr>
        <w:top w:val="none" w:sz="0" w:space="0" w:color="auto"/>
        <w:left w:val="none" w:sz="0" w:space="0" w:color="auto"/>
        <w:bottom w:val="none" w:sz="0" w:space="0" w:color="auto"/>
        <w:right w:val="none" w:sz="0" w:space="0" w:color="auto"/>
      </w:divBdr>
    </w:div>
    <w:div w:id="1348948119">
      <w:bodyDiv w:val="1"/>
      <w:marLeft w:val="0"/>
      <w:marRight w:val="0"/>
      <w:marTop w:val="0"/>
      <w:marBottom w:val="0"/>
      <w:divBdr>
        <w:top w:val="none" w:sz="0" w:space="0" w:color="auto"/>
        <w:left w:val="none" w:sz="0" w:space="0" w:color="auto"/>
        <w:bottom w:val="none" w:sz="0" w:space="0" w:color="auto"/>
        <w:right w:val="none" w:sz="0" w:space="0" w:color="auto"/>
      </w:divBdr>
    </w:div>
    <w:div w:id="1366368295">
      <w:bodyDiv w:val="1"/>
      <w:marLeft w:val="0"/>
      <w:marRight w:val="0"/>
      <w:marTop w:val="0"/>
      <w:marBottom w:val="0"/>
      <w:divBdr>
        <w:top w:val="none" w:sz="0" w:space="0" w:color="auto"/>
        <w:left w:val="none" w:sz="0" w:space="0" w:color="auto"/>
        <w:bottom w:val="none" w:sz="0" w:space="0" w:color="auto"/>
        <w:right w:val="none" w:sz="0" w:space="0" w:color="auto"/>
      </w:divBdr>
    </w:div>
    <w:div w:id="1366978986">
      <w:bodyDiv w:val="1"/>
      <w:marLeft w:val="0"/>
      <w:marRight w:val="0"/>
      <w:marTop w:val="0"/>
      <w:marBottom w:val="0"/>
      <w:divBdr>
        <w:top w:val="none" w:sz="0" w:space="0" w:color="auto"/>
        <w:left w:val="none" w:sz="0" w:space="0" w:color="auto"/>
        <w:bottom w:val="none" w:sz="0" w:space="0" w:color="auto"/>
        <w:right w:val="none" w:sz="0" w:space="0" w:color="auto"/>
      </w:divBdr>
      <w:divsChild>
        <w:div w:id="375661038">
          <w:marLeft w:val="0"/>
          <w:marRight w:val="0"/>
          <w:marTop w:val="0"/>
          <w:marBottom w:val="0"/>
          <w:divBdr>
            <w:top w:val="none" w:sz="0" w:space="0" w:color="auto"/>
            <w:left w:val="none" w:sz="0" w:space="0" w:color="auto"/>
            <w:bottom w:val="none" w:sz="0" w:space="0" w:color="auto"/>
            <w:right w:val="none" w:sz="0" w:space="0" w:color="auto"/>
          </w:divBdr>
        </w:div>
        <w:div w:id="1146825951">
          <w:marLeft w:val="0"/>
          <w:marRight w:val="0"/>
          <w:marTop w:val="0"/>
          <w:marBottom w:val="0"/>
          <w:divBdr>
            <w:top w:val="none" w:sz="0" w:space="0" w:color="auto"/>
            <w:left w:val="none" w:sz="0" w:space="0" w:color="auto"/>
            <w:bottom w:val="none" w:sz="0" w:space="0" w:color="auto"/>
            <w:right w:val="none" w:sz="0" w:space="0" w:color="auto"/>
          </w:divBdr>
        </w:div>
        <w:div w:id="1482431010">
          <w:marLeft w:val="0"/>
          <w:marRight w:val="0"/>
          <w:marTop w:val="0"/>
          <w:marBottom w:val="0"/>
          <w:divBdr>
            <w:top w:val="none" w:sz="0" w:space="0" w:color="auto"/>
            <w:left w:val="none" w:sz="0" w:space="0" w:color="auto"/>
            <w:bottom w:val="none" w:sz="0" w:space="0" w:color="auto"/>
            <w:right w:val="none" w:sz="0" w:space="0" w:color="auto"/>
          </w:divBdr>
        </w:div>
      </w:divsChild>
    </w:div>
    <w:div w:id="1385254185">
      <w:bodyDiv w:val="1"/>
      <w:marLeft w:val="0"/>
      <w:marRight w:val="0"/>
      <w:marTop w:val="0"/>
      <w:marBottom w:val="0"/>
      <w:divBdr>
        <w:top w:val="none" w:sz="0" w:space="0" w:color="auto"/>
        <w:left w:val="none" w:sz="0" w:space="0" w:color="auto"/>
        <w:bottom w:val="none" w:sz="0" w:space="0" w:color="auto"/>
        <w:right w:val="none" w:sz="0" w:space="0" w:color="auto"/>
      </w:divBdr>
      <w:divsChild>
        <w:div w:id="597710595">
          <w:marLeft w:val="0"/>
          <w:marRight w:val="0"/>
          <w:marTop w:val="0"/>
          <w:marBottom w:val="0"/>
          <w:divBdr>
            <w:top w:val="none" w:sz="0" w:space="0" w:color="auto"/>
            <w:left w:val="none" w:sz="0" w:space="0" w:color="auto"/>
            <w:bottom w:val="none" w:sz="0" w:space="0" w:color="auto"/>
            <w:right w:val="none" w:sz="0" w:space="0" w:color="auto"/>
          </w:divBdr>
        </w:div>
        <w:div w:id="699471804">
          <w:marLeft w:val="0"/>
          <w:marRight w:val="0"/>
          <w:marTop w:val="0"/>
          <w:marBottom w:val="0"/>
          <w:divBdr>
            <w:top w:val="none" w:sz="0" w:space="0" w:color="auto"/>
            <w:left w:val="none" w:sz="0" w:space="0" w:color="auto"/>
            <w:bottom w:val="none" w:sz="0" w:space="0" w:color="auto"/>
            <w:right w:val="none" w:sz="0" w:space="0" w:color="auto"/>
          </w:divBdr>
        </w:div>
        <w:div w:id="772283762">
          <w:marLeft w:val="0"/>
          <w:marRight w:val="0"/>
          <w:marTop w:val="0"/>
          <w:marBottom w:val="0"/>
          <w:divBdr>
            <w:top w:val="none" w:sz="0" w:space="0" w:color="auto"/>
            <w:left w:val="none" w:sz="0" w:space="0" w:color="auto"/>
            <w:bottom w:val="none" w:sz="0" w:space="0" w:color="auto"/>
            <w:right w:val="none" w:sz="0" w:space="0" w:color="auto"/>
          </w:divBdr>
        </w:div>
        <w:div w:id="900410880">
          <w:marLeft w:val="0"/>
          <w:marRight w:val="0"/>
          <w:marTop w:val="0"/>
          <w:marBottom w:val="0"/>
          <w:divBdr>
            <w:top w:val="none" w:sz="0" w:space="0" w:color="auto"/>
            <w:left w:val="none" w:sz="0" w:space="0" w:color="auto"/>
            <w:bottom w:val="none" w:sz="0" w:space="0" w:color="auto"/>
            <w:right w:val="none" w:sz="0" w:space="0" w:color="auto"/>
          </w:divBdr>
        </w:div>
        <w:div w:id="967931462">
          <w:marLeft w:val="0"/>
          <w:marRight w:val="0"/>
          <w:marTop w:val="0"/>
          <w:marBottom w:val="0"/>
          <w:divBdr>
            <w:top w:val="none" w:sz="0" w:space="0" w:color="auto"/>
            <w:left w:val="none" w:sz="0" w:space="0" w:color="auto"/>
            <w:bottom w:val="none" w:sz="0" w:space="0" w:color="auto"/>
            <w:right w:val="none" w:sz="0" w:space="0" w:color="auto"/>
          </w:divBdr>
        </w:div>
        <w:div w:id="1321619102">
          <w:marLeft w:val="0"/>
          <w:marRight w:val="0"/>
          <w:marTop w:val="0"/>
          <w:marBottom w:val="0"/>
          <w:divBdr>
            <w:top w:val="none" w:sz="0" w:space="0" w:color="auto"/>
            <w:left w:val="none" w:sz="0" w:space="0" w:color="auto"/>
            <w:bottom w:val="none" w:sz="0" w:space="0" w:color="auto"/>
            <w:right w:val="none" w:sz="0" w:space="0" w:color="auto"/>
          </w:divBdr>
        </w:div>
        <w:div w:id="1526748492">
          <w:marLeft w:val="0"/>
          <w:marRight w:val="0"/>
          <w:marTop w:val="0"/>
          <w:marBottom w:val="0"/>
          <w:divBdr>
            <w:top w:val="none" w:sz="0" w:space="0" w:color="auto"/>
            <w:left w:val="none" w:sz="0" w:space="0" w:color="auto"/>
            <w:bottom w:val="none" w:sz="0" w:space="0" w:color="auto"/>
            <w:right w:val="none" w:sz="0" w:space="0" w:color="auto"/>
          </w:divBdr>
        </w:div>
        <w:div w:id="1552767931">
          <w:marLeft w:val="0"/>
          <w:marRight w:val="0"/>
          <w:marTop w:val="0"/>
          <w:marBottom w:val="0"/>
          <w:divBdr>
            <w:top w:val="none" w:sz="0" w:space="0" w:color="auto"/>
            <w:left w:val="none" w:sz="0" w:space="0" w:color="auto"/>
            <w:bottom w:val="none" w:sz="0" w:space="0" w:color="auto"/>
            <w:right w:val="none" w:sz="0" w:space="0" w:color="auto"/>
          </w:divBdr>
        </w:div>
        <w:div w:id="1846044991">
          <w:marLeft w:val="0"/>
          <w:marRight w:val="0"/>
          <w:marTop w:val="0"/>
          <w:marBottom w:val="0"/>
          <w:divBdr>
            <w:top w:val="none" w:sz="0" w:space="0" w:color="auto"/>
            <w:left w:val="none" w:sz="0" w:space="0" w:color="auto"/>
            <w:bottom w:val="none" w:sz="0" w:space="0" w:color="auto"/>
            <w:right w:val="none" w:sz="0" w:space="0" w:color="auto"/>
          </w:divBdr>
        </w:div>
      </w:divsChild>
    </w:div>
    <w:div w:id="1404330373">
      <w:bodyDiv w:val="1"/>
      <w:marLeft w:val="0"/>
      <w:marRight w:val="0"/>
      <w:marTop w:val="0"/>
      <w:marBottom w:val="0"/>
      <w:divBdr>
        <w:top w:val="none" w:sz="0" w:space="0" w:color="auto"/>
        <w:left w:val="none" w:sz="0" w:space="0" w:color="auto"/>
        <w:bottom w:val="none" w:sz="0" w:space="0" w:color="auto"/>
        <w:right w:val="none" w:sz="0" w:space="0" w:color="auto"/>
      </w:divBdr>
    </w:div>
    <w:div w:id="1447044822">
      <w:bodyDiv w:val="1"/>
      <w:marLeft w:val="0"/>
      <w:marRight w:val="0"/>
      <w:marTop w:val="0"/>
      <w:marBottom w:val="0"/>
      <w:divBdr>
        <w:top w:val="none" w:sz="0" w:space="0" w:color="auto"/>
        <w:left w:val="none" w:sz="0" w:space="0" w:color="auto"/>
        <w:bottom w:val="none" w:sz="0" w:space="0" w:color="auto"/>
        <w:right w:val="none" w:sz="0" w:space="0" w:color="auto"/>
      </w:divBdr>
    </w:div>
    <w:div w:id="1479418599">
      <w:bodyDiv w:val="1"/>
      <w:marLeft w:val="0"/>
      <w:marRight w:val="0"/>
      <w:marTop w:val="0"/>
      <w:marBottom w:val="0"/>
      <w:divBdr>
        <w:top w:val="none" w:sz="0" w:space="0" w:color="auto"/>
        <w:left w:val="none" w:sz="0" w:space="0" w:color="auto"/>
        <w:bottom w:val="none" w:sz="0" w:space="0" w:color="auto"/>
        <w:right w:val="none" w:sz="0" w:space="0" w:color="auto"/>
      </w:divBdr>
    </w:div>
    <w:div w:id="1489980063">
      <w:bodyDiv w:val="1"/>
      <w:marLeft w:val="0"/>
      <w:marRight w:val="0"/>
      <w:marTop w:val="0"/>
      <w:marBottom w:val="0"/>
      <w:divBdr>
        <w:top w:val="none" w:sz="0" w:space="0" w:color="auto"/>
        <w:left w:val="none" w:sz="0" w:space="0" w:color="auto"/>
        <w:bottom w:val="none" w:sz="0" w:space="0" w:color="auto"/>
        <w:right w:val="none" w:sz="0" w:space="0" w:color="auto"/>
      </w:divBdr>
    </w:div>
    <w:div w:id="1490633996">
      <w:bodyDiv w:val="1"/>
      <w:marLeft w:val="0"/>
      <w:marRight w:val="0"/>
      <w:marTop w:val="0"/>
      <w:marBottom w:val="0"/>
      <w:divBdr>
        <w:top w:val="none" w:sz="0" w:space="0" w:color="auto"/>
        <w:left w:val="none" w:sz="0" w:space="0" w:color="auto"/>
        <w:bottom w:val="none" w:sz="0" w:space="0" w:color="auto"/>
        <w:right w:val="none" w:sz="0" w:space="0" w:color="auto"/>
      </w:divBdr>
    </w:div>
    <w:div w:id="1546867587">
      <w:bodyDiv w:val="1"/>
      <w:marLeft w:val="0"/>
      <w:marRight w:val="0"/>
      <w:marTop w:val="0"/>
      <w:marBottom w:val="0"/>
      <w:divBdr>
        <w:top w:val="none" w:sz="0" w:space="0" w:color="auto"/>
        <w:left w:val="none" w:sz="0" w:space="0" w:color="auto"/>
        <w:bottom w:val="none" w:sz="0" w:space="0" w:color="auto"/>
        <w:right w:val="none" w:sz="0" w:space="0" w:color="auto"/>
      </w:divBdr>
      <w:divsChild>
        <w:div w:id="53699765">
          <w:marLeft w:val="274"/>
          <w:marRight w:val="0"/>
          <w:marTop w:val="0"/>
          <w:marBottom w:val="0"/>
          <w:divBdr>
            <w:top w:val="none" w:sz="0" w:space="0" w:color="auto"/>
            <w:left w:val="none" w:sz="0" w:space="0" w:color="auto"/>
            <w:bottom w:val="none" w:sz="0" w:space="0" w:color="auto"/>
            <w:right w:val="none" w:sz="0" w:space="0" w:color="auto"/>
          </w:divBdr>
        </w:div>
        <w:div w:id="311756094">
          <w:marLeft w:val="274"/>
          <w:marRight w:val="0"/>
          <w:marTop w:val="0"/>
          <w:marBottom w:val="0"/>
          <w:divBdr>
            <w:top w:val="none" w:sz="0" w:space="0" w:color="auto"/>
            <w:left w:val="none" w:sz="0" w:space="0" w:color="auto"/>
            <w:bottom w:val="none" w:sz="0" w:space="0" w:color="auto"/>
            <w:right w:val="none" w:sz="0" w:space="0" w:color="auto"/>
          </w:divBdr>
        </w:div>
        <w:div w:id="458259224">
          <w:marLeft w:val="274"/>
          <w:marRight w:val="0"/>
          <w:marTop w:val="0"/>
          <w:marBottom w:val="0"/>
          <w:divBdr>
            <w:top w:val="none" w:sz="0" w:space="0" w:color="auto"/>
            <w:left w:val="none" w:sz="0" w:space="0" w:color="auto"/>
            <w:bottom w:val="none" w:sz="0" w:space="0" w:color="auto"/>
            <w:right w:val="none" w:sz="0" w:space="0" w:color="auto"/>
          </w:divBdr>
        </w:div>
        <w:div w:id="626005350">
          <w:marLeft w:val="274"/>
          <w:marRight w:val="0"/>
          <w:marTop w:val="0"/>
          <w:marBottom w:val="0"/>
          <w:divBdr>
            <w:top w:val="none" w:sz="0" w:space="0" w:color="auto"/>
            <w:left w:val="none" w:sz="0" w:space="0" w:color="auto"/>
            <w:bottom w:val="none" w:sz="0" w:space="0" w:color="auto"/>
            <w:right w:val="none" w:sz="0" w:space="0" w:color="auto"/>
          </w:divBdr>
        </w:div>
        <w:div w:id="631180388">
          <w:marLeft w:val="274"/>
          <w:marRight w:val="0"/>
          <w:marTop w:val="0"/>
          <w:marBottom w:val="0"/>
          <w:divBdr>
            <w:top w:val="none" w:sz="0" w:space="0" w:color="auto"/>
            <w:left w:val="none" w:sz="0" w:space="0" w:color="auto"/>
            <w:bottom w:val="none" w:sz="0" w:space="0" w:color="auto"/>
            <w:right w:val="none" w:sz="0" w:space="0" w:color="auto"/>
          </w:divBdr>
        </w:div>
        <w:div w:id="900143062">
          <w:marLeft w:val="274"/>
          <w:marRight w:val="0"/>
          <w:marTop w:val="0"/>
          <w:marBottom w:val="0"/>
          <w:divBdr>
            <w:top w:val="none" w:sz="0" w:space="0" w:color="auto"/>
            <w:left w:val="none" w:sz="0" w:space="0" w:color="auto"/>
            <w:bottom w:val="none" w:sz="0" w:space="0" w:color="auto"/>
            <w:right w:val="none" w:sz="0" w:space="0" w:color="auto"/>
          </w:divBdr>
        </w:div>
        <w:div w:id="1019434191">
          <w:marLeft w:val="274"/>
          <w:marRight w:val="0"/>
          <w:marTop w:val="0"/>
          <w:marBottom w:val="0"/>
          <w:divBdr>
            <w:top w:val="none" w:sz="0" w:space="0" w:color="auto"/>
            <w:left w:val="none" w:sz="0" w:space="0" w:color="auto"/>
            <w:bottom w:val="none" w:sz="0" w:space="0" w:color="auto"/>
            <w:right w:val="none" w:sz="0" w:space="0" w:color="auto"/>
          </w:divBdr>
        </w:div>
        <w:div w:id="1055813927">
          <w:marLeft w:val="274"/>
          <w:marRight w:val="0"/>
          <w:marTop w:val="0"/>
          <w:marBottom w:val="0"/>
          <w:divBdr>
            <w:top w:val="none" w:sz="0" w:space="0" w:color="auto"/>
            <w:left w:val="none" w:sz="0" w:space="0" w:color="auto"/>
            <w:bottom w:val="none" w:sz="0" w:space="0" w:color="auto"/>
            <w:right w:val="none" w:sz="0" w:space="0" w:color="auto"/>
          </w:divBdr>
        </w:div>
        <w:div w:id="1066994424">
          <w:marLeft w:val="274"/>
          <w:marRight w:val="0"/>
          <w:marTop w:val="0"/>
          <w:marBottom w:val="0"/>
          <w:divBdr>
            <w:top w:val="none" w:sz="0" w:space="0" w:color="auto"/>
            <w:left w:val="none" w:sz="0" w:space="0" w:color="auto"/>
            <w:bottom w:val="none" w:sz="0" w:space="0" w:color="auto"/>
            <w:right w:val="none" w:sz="0" w:space="0" w:color="auto"/>
          </w:divBdr>
        </w:div>
        <w:div w:id="1083456573">
          <w:marLeft w:val="274"/>
          <w:marRight w:val="0"/>
          <w:marTop w:val="0"/>
          <w:marBottom w:val="0"/>
          <w:divBdr>
            <w:top w:val="none" w:sz="0" w:space="0" w:color="auto"/>
            <w:left w:val="none" w:sz="0" w:space="0" w:color="auto"/>
            <w:bottom w:val="none" w:sz="0" w:space="0" w:color="auto"/>
            <w:right w:val="none" w:sz="0" w:space="0" w:color="auto"/>
          </w:divBdr>
        </w:div>
        <w:div w:id="1100878242">
          <w:marLeft w:val="274"/>
          <w:marRight w:val="0"/>
          <w:marTop w:val="0"/>
          <w:marBottom w:val="0"/>
          <w:divBdr>
            <w:top w:val="none" w:sz="0" w:space="0" w:color="auto"/>
            <w:left w:val="none" w:sz="0" w:space="0" w:color="auto"/>
            <w:bottom w:val="none" w:sz="0" w:space="0" w:color="auto"/>
            <w:right w:val="none" w:sz="0" w:space="0" w:color="auto"/>
          </w:divBdr>
        </w:div>
        <w:div w:id="1237590047">
          <w:marLeft w:val="274"/>
          <w:marRight w:val="0"/>
          <w:marTop w:val="0"/>
          <w:marBottom w:val="0"/>
          <w:divBdr>
            <w:top w:val="none" w:sz="0" w:space="0" w:color="auto"/>
            <w:left w:val="none" w:sz="0" w:space="0" w:color="auto"/>
            <w:bottom w:val="none" w:sz="0" w:space="0" w:color="auto"/>
            <w:right w:val="none" w:sz="0" w:space="0" w:color="auto"/>
          </w:divBdr>
        </w:div>
        <w:div w:id="1390690664">
          <w:marLeft w:val="274"/>
          <w:marRight w:val="0"/>
          <w:marTop w:val="0"/>
          <w:marBottom w:val="0"/>
          <w:divBdr>
            <w:top w:val="none" w:sz="0" w:space="0" w:color="auto"/>
            <w:left w:val="none" w:sz="0" w:space="0" w:color="auto"/>
            <w:bottom w:val="none" w:sz="0" w:space="0" w:color="auto"/>
            <w:right w:val="none" w:sz="0" w:space="0" w:color="auto"/>
          </w:divBdr>
        </w:div>
        <w:div w:id="1442796457">
          <w:marLeft w:val="274"/>
          <w:marRight w:val="0"/>
          <w:marTop w:val="0"/>
          <w:marBottom w:val="0"/>
          <w:divBdr>
            <w:top w:val="none" w:sz="0" w:space="0" w:color="auto"/>
            <w:left w:val="none" w:sz="0" w:space="0" w:color="auto"/>
            <w:bottom w:val="none" w:sz="0" w:space="0" w:color="auto"/>
            <w:right w:val="none" w:sz="0" w:space="0" w:color="auto"/>
          </w:divBdr>
        </w:div>
        <w:div w:id="1454249948">
          <w:marLeft w:val="274"/>
          <w:marRight w:val="0"/>
          <w:marTop w:val="0"/>
          <w:marBottom w:val="0"/>
          <w:divBdr>
            <w:top w:val="none" w:sz="0" w:space="0" w:color="auto"/>
            <w:left w:val="none" w:sz="0" w:space="0" w:color="auto"/>
            <w:bottom w:val="none" w:sz="0" w:space="0" w:color="auto"/>
            <w:right w:val="none" w:sz="0" w:space="0" w:color="auto"/>
          </w:divBdr>
        </w:div>
        <w:div w:id="1575819883">
          <w:marLeft w:val="274"/>
          <w:marRight w:val="0"/>
          <w:marTop w:val="0"/>
          <w:marBottom w:val="0"/>
          <w:divBdr>
            <w:top w:val="none" w:sz="0" w:space="0" w:color="auto"/>
            <w:left w:val="none" w:sz="0" w:space="0" w:color="auto"/>
            <w:bottom w:val="none" w:sz="0" w:space="0" w:color="auto"/>
            <w:right w:val="none" w:sz="0" w:space="0" w:color="auto"/>
          </w:divBdr>
        </w:div>
        <w:div w:id="1633638403">
          <w:marLeft w:val="274"/>
          <w:marRight w:val="0"/>
          <w:marTop w:val="0"/>
          <w:marBottom w:val="0"/>
          <w:divBdr>
            <w:top w:val="none" w:sz="0" w:space="0" w:color="auto"/>
            <w:left w:val="none" w:sz="0" w:space="0" w:color="auto"/>
            <w:bottom w:val="none" w:sz="0" w:space="0" w:color="auto"/>
            <w:right w:val="none" w:sz="0" w:space="0" w:color="auto"/>
          </w:divBdr>
        </w:div>
        <w:div w:id="1658533258">
          <w:marLeft w:val="274"/>
          <w:marRight w:val="0"/>
          <w:marTop w:val="0"/>
          <w:marBottom w:val="0"/>
          <w:divBdr>
            <w:top w:val="none" w:sz="0" w:space="0" w:color="auto"/>
            <w:left w:val="none" w:sz="0" w:space="0" w:color="auto"/>
            <w:bottom w:val="none" w:sz="0" w:space="0" w:color="auto"/>
            <w:right w:val="none" w:sz="0" w:space="0" w:color="auto"/>
          </w:divBdr>
        </w:div>
        <w:div w:id="1841508594">
          <w:marLeft w:val="274"/>
          <w:marRight w:val="0"/>
          <w:marTop w:val="0"/>
          <w:marBottom w:val="0"/>
          <w:divBdr>
            <w:top w:val="none" w:sz="0" w:space="0" w:color="auto"/>
            <w:left w:val="none" w:sz="0" w:space="0" w:color="auto"/>
            <w:bottom w:val="none" w:sz="0" w:space="0" w:color="auto"/>
            <w:right w:val="none" w:sz="0" w:space="0" w:color="auto"/>
          </w:divBdr>
        </w:div>
        <w:div w:id="1842812669">
          <w:marLeft w:val="274"/>
          <w:marRight w:val="0"/>
          <w:marTop w:val="0"/>
          <w:marBottom w:val="0"/>
          <w:divBdr>
            <w:top w:val="none" w:sz="0" w:space="0" w:color="auto"/>
            <w:left w:val="none" w:sz="0" w:space="0" w:color="auto"/>
            <w:bottom w:val="none" w:sz="0" w:space="0" w:color="auto"/>
            <w:right w:val="none" w:sz="0" w:space="0" w:color="auto"/>
          </w:divBdr>
        </w:div>
        <w:div w:id="1923905268">
          <w:marLeft w:val="274"/>
          <w:marRight w:val="0"/>
          <w:marTop w:val="0"/>
          <w:marBottom w:val="0"/>
          <w:divBdr>
            <w:top w:val="none" w:sz="0" w:space="0" w:color="auto"/>
            <w:left w:val="none" w:sz="0" w:space="0" w:color="auto"/>
            <w:bottom w:val="none" w:sz="0" w:space="0" w:color="auto"/>
            <w:right w:val="none" w:sz="0" w:space="0" w:color="auto"/>
          </w:divBdr>
        </w:div>
        <w:div w:id="2002269329">
          <w:marLeft w:val="274"/>
          <w:marRight w:val="0"/>
          <w:marTop w:val="0"/>
          <w:marBottom w:val="0"/>
          <w:divBdr>
            <w:top w:val="none" w:sz="0" w:space="0" w:color="auto"/>
            <w:left w:val="none" w:sz="0" w:space="0" w:color="auto"/>
            <w:bottom w:val="none" w:sz="0" w:space="0" w:color="auto"/>
            <w:right w:val="none" w:sz="0" w:space="0" w:color="auto"/>
          </w:divBdr>
        </w:div>
        <w:div w:id="2010057376">
          <w:marLeft w:val="274"/>
          <w:marRight w:val="0"/>
          <w:marTop w:val="0"/>
          <w:marBottom w:val="0"/>
          <w:divBdr>
            <w:top w:val="none" w:sz="0" w:space="0" w:color="auto"/>
            <w:left w:val="none" w:sz="0" w:space="0" w:color="auto"/>
            <w:bottom w:val="none" w:sz="0" w:space="0" w:color="auto"/>
            <w:right w:val="none" w:sz="0" w:space="0" w:color="auto"/>
          </w:divBdr>
        </w:div>
        <w:div w:id="2053772991">
          <w:marLeft w:val="274"/>
          <w:marRight w:val="0"/>
          <w:marTop w:val="0"/>
          <w:marBottom w:val="0"/>
          <w:divBdr>
            <w:top w:val="none" w:sz="0" w:space="0" w:color="auto"/>
            <w:left w:val="none" w:sz="0" w:space="0" w:color="auto"/>
            <w:bottom w:val="none" w:sz="0" w:space="0" w:color="auto"/>
            <w:right w:val="none" w:sz="0" w:space="0" w:color="auto"/>
          </w:divBdr>
        </w:div>
      </w:divsChild>
    </w:div>
    <w:div w:id="1562213996">
      <w:bodyDiv w:val="1"/>
      <w:marLeft w:val="0"/>
      <w:marRight w:val="0"/>
      <w:marTop w:val="0"/>
      <w:marBottom w:val="0"/>
      <w:divBdr>
        <w:top w:val="none" w:sz="0" w:space="0" w:color="auto"/>
        <w:left w:val="none" w:sz="0" w:space="0" w:color="auto"/>
        <w:bottom w:val="none" w:sz="0" w:space="0" w:color="auto"/>
        <w:right w:val="none" w:sz="0" w:space="0" w:color="auto"/>
      </w:divBdr>
    </w:div>
    <w:div w:id="1606965636">
      <w:bodyDiv w:val="1"/>
      <w:marLeft w:val="0"/>
      <w:marRight w:val="0"/>
      <w:marTop w:val="0"/>
      <w:marBottom w:val="0"/>
      <w:divBdr>
        <w:top w:val="none" w:sz="0" w:space="0" w:color="auto"/>
        <w:left w:val="none" w:sz="0" w:space="0" w:color="auto"/>
        <w:bottom w:val="none" w:sz="0" w:space="0" w:color="auto"/>
        <w:right w:val="none" w:sz="0" w:space="0" w:color="auto"/>
      </w:divBdr>
    </w:div>
    <w:div w:id="1613976181">
      <w:bodyDiv w:val="1"/>
      <w:marLeft w:val="0"/>
      <w:marRight w:val="0"/>
      <w:marTop w:val="0"/>
      <w:marBottom w:val="0"/>
      <w:divBdr>
        <w:top w:val="none" w:sz="0" w:space="0" w:color="auto"/>
        <w:left w:val="none" w:sz="0" w:space="0" w:color="auto"/>
        <w:bottom w:val="none" w:sz="0" w:space="0" w:color="auto"/>
        <w:right w:val="none" w:sz="0" w:space="0" w:color="auto"/>
      </w:divBdr>
    </w:div>
    <w:div w:id="1649240235">
      <w:bodyDiv w:val="1"/>
      <w:marLeft w:val="0"/>
      <w:marRight w:val="0"/>
      <w:marTop w:val="0"/>
      <w:marBottom w:val="0"/>
      <w:divBdr>
        <w:top w:val="none" w:sz="0" w:space="0" w:color="auto"/>
        <w:left w:val="none" w:sz="0" w:space="0" w:color="auto"/>
        <w:bottom w:val="none" w:sz="0" w:space="0" w:color="auto"/>
        <w:right w:val="none" w:sz="0" w:space="0" w:color="auto"/>
      </w:divBdr>
    </w:div>
    <w:div w:id="1681658947">
      <w:bodyDiv w:val="1"/>
      <w:marLeft w:val="0"/>
      <w:marRight w:val="0"/>
      <w:marTop w:val="0"/>
      <w:marBottom w:val="0"/>
      <w:divBdr>
        <w:top w:val="none" w:sz="0" w:space="0" w:color="auto"/>
        <w:left w:val="none" w:sz="0" w:space="0" w:color="auto"/>
        <w:bottom w:val="none" w:sz="0" w:space="0" w:color="auto"/>
        <w:right w:val="none" w:sz="0" w:space="0" w:color="auto"/>
      </w:divBdr>
    </w:div>
    <w:div w:id="1749571507">
      <w:bodyDiv w:val="1"/>
      <w:marLeft w:val="0"/>
      <w:marRight w:val="0"/>
      <w:marTop w:val="0"/>
      <w:marBottom w:val="0"/>
      <w:divBdr>
        <w:top w:val="none" w:sz="0" w:space="0" w:color="auto"/>
        <w:left w:val="none" w:sz="0" w:space="0" w:color="auto"/>
        <w:bottom w:val="none" w:sz="0" w:space="0" w:color="auto"/>
        <w:right w:val="none" w:sz="0" w:space="0" w:color="auto"/>
      </w:divBdr>
    </w:div>
    <w:div w:id="1770466770">
      <w:bodyDiv w:val="1"/>
      <w:marLeft w:val="0"/>
      <w:marRight w:val="0"/>
      <w:marTop w:val="0"/>
      <w:marBottom w:val="0"/>
      <w:divBdr>
        <w:top w:val="none" w:sz="0" w:space="0" w:color="auto"/>
        <w:left w:val="none" w:sz="0" w:space="0" w:color="auto"/>
        <w:bottom w:val="none" w:sz="0" w:space="0" w:color="auto"/>
        <w:right w:val="none" w:sz="0" w:space="0" w:color="auto"/>
      </w:divBdr>
      <w:divsChild>
        <w:div w:id="181865437">
          <w:marLeft w:val="0"/>
          <w:marRight w:val="0"/>
          <w:marTop w:val="0"/>
          <w:marBottom w:val="0"/>
          <w:divBdr>
            <w:top w:val="none" w:sz="0" w:space="0" w:color="auto"/>
            <w:left w:val="none" w:sz="0" w:space="0" w:color="auto"/>
            <w:bottom w:val="none" w:sz="0" w:space="0" w:color="auto"/>
            <w:right w:val="none" w:sz="0" w:space="0" w:color="auto"/>
          </w:divBdr>
        </w:div>
        <w:div w:id="537082980">
          <w:marLeft w:val="0"/>
          <w:marRight w:val="0"/>
          <w:marTop w:val="0"/>
          <w:marBottom w:val="0"/>
          <w:divBdr>
            <w:top w:val="none" w:sz="0" w:space="0" w:color="auto"/>
            <w:left w:val="none" w:sz="0" w:space="0" w:color="auto"/>
            <w:bottom w:val="none" w:sz="0" w:space="0" w:color="auto"/>
            <w:right w:val="none" w:sz="0" w:space="0" w:color="auto"/>
          </w:divBdr>
        </w:div>
        <w:div w:id="1502891439">
          <w:marLeft w:val="0"/>
          <w:marRight w:val="0"/>
          <w:marTop w:val="0"/>
          <w:marBottom w:val="0"/>
          <w:divBdr>
            <w:top w:val="none" w:sz="0" w:space="0" w:color="auto"/>
            <w:left w:val="none" w:sz="0" w:space="0" w:color="auto"/>
            <w:bottom w:val="none" w:sz="0" w:space="0" w:color="auto"/>
            <w:right w:val="none" w:sz="0" w:space="0" w:color="auto"/>
          </w:divBdr>
        </w:div>
      </w:divsChild>
    </w:div>
    <w:div w:id="1775785646">
      <w:bodyDiv w:val="1"/>
      <w:marLeft w:val="0"/>
      <w:marRight w:val="0"/>
      <w:marTop w:val="0"/>
      <w:marBottom w:val="0"/>
      <w:divBdr>
        <w:top w:val="none" w:sz="0" w:space="0" w:color="auto"/>
        <w:left w:val="none" w:sz="0" w:space="0" w:color="auto"/>
        <w:bottom w:val="none" w:sz="0" w:space="0" w:color="auto"/>
        <w:right w:val="none" w:sz="0" w:space="0" w:color="auto"/>
      </w:divBdr>
      <w:divsChild>
        <w:div w:id="134876063">
          <w:marLeft w:val="0"/>
          <w:marRight w:val="0"/>
          <w:marTop w:val="0"/>
          <w:marBottom w:val="0"/>
          <w:divBdr>
            <w:top w:val="none" w:sz="0" w:space="0" w:color="auto"/>
            <w:left w:val="none" w:sz="0" w:space="0" w:color="auto"/>
            <w:bottom w:val="none" w:sz="0" w:space="0" w:color="auto"/>
            <w:right w:val="none" w:sz="0" w:space="0" w:color="auto"/>
          </w:divBdr>
        </w:div>
        <w:div w:id="250705042">
          <w:marLeft w:val="0"/>
          <w:marRight w:val="0"/>
          <w:marTop w:val="0"/>
          <w:marBottom w:val="0"/>
          <w:divBdr>
            <w:top w:val="none" w:sz="0" w:space="0" w:color="auto"/>
            <w:left w:val="none" w:sz="0" w:space="0" w:color="auto"/>
            <w:bottom w:val="none" w:sz="0" w:space="0" w:color="auto"/>
            <w:right w:val="none" w:sz="0" w:space="0" w:color="auto"/>
          </w:divBdr>
        </w:div>
        <w:div w:id="397897242">
          <w:marLeft w:val="0"/>
          <w:marRight w:val="0"/>
          <w:marTop w:val="0"/>
          <w:marBottom w:val="0"/>
          <w:divBdr>
            <w:top w:val="none" w:sz="0" w:space="0" w:color="auto"/>
            <w:left w:val="none" w:sz="0" w:space="0" w:color="auto"/>
            <w:bottom w:val="none" w:sz="0" w:space="0" w:color="auto"/>
            <w:right w:val="none" w:sz="0" w:space="0" w:color="auto"/>
          </w:divBdr>
        </w:div>
        <w:div w:id="722679789">
          <w:marLeft w:val="0"/>
          <w:marRight w:val="0"/>
          <w:marTop w:val="0"/>
          <w:marBottom w:val="0"/>
          <w:divBdr>
            <w:top w:val="none" w:sz="0" w:space="0" w:color="auto"/>
            <w:left w:val="none" w:sz="0" w:space="0" w:color="auto"/>
            <w:bottom w:val="none" w:sz="0" w:space="0" w:color="auto"/>
            <w:right w:val="none" w:sz="0" w:space="0" w:color="auto"/>
          </w:divBdr>
        </w:div>
        <w:div w:id="941306610">
          <w:marLeft w:val="0"/>
          <w:marRight w:val="0"/>
          <w:marTop w:val="0"/>
          <w:marBottom w:val="0"/>
          <w:divBdr>
            <w:top w:val="none" w:sz="0" w:space="0" w:color="auto"/>
            <w:left w:val="none" w:sz="0" w:space="0" w:color="auto"/>
            <w:bottom w:val="none" w:sz="0" w:space="0" w:color="auto"/>
            <w:right w:val="none" w:sz="0" w:space="0" w:color="auto"/>
          </w:divBdr>
        </w:div>
      </w:divsChild>
    </w:div>
    <w:div w:id="1778599768">
      <w:bodyDiv w:val="1"/>
      <w:marLeft w:val="0"/>
      <w:marRight w:val="0"/>
      <w:marTop w:val="0"/>
      <w:marBottom w:val="0"/>
      <w:divBdr>
        <w:top w:val="none" w:sz="0" w:space="0" w:color="auto"/>
        <w:left w:val="none" w:sz="0" w:space="0" w:color="auto"/>
        <w:bottom w:val="none" w:sz="0" w:space="0" w:color="auto"/>
        <w:right w:val="none" w:sz="0" w:space="0" w:color="auto"/>
      </w:divBdr>
    </w:div>
    <w:div w:id="1783303782">
      <w:bodyDiv w:val="1"/>
      <w:marLeft w:val="0"/>
      <w:marRight w:val="0"/>
      <w:marTop w:val="0"/>
      <w:marBottom w:val="0"/>
      <w:divBdr>
        <w:top w:val="none" w:sz="0" w:space="0" w:color="auto"/>
        <w:left w:val="none" w:sz="0" w:space="0" w:color="auto"/>
        <w:bottom w:val="none" w:sz="0" w:space="0" w:color="auto"/>
        <w:right w:val="none" w:sz="0" w:space="0" w:color="auto"/>
      </w:divBdr>
    </w:div>
    <w:div w:id="1803376167">
      <w:bodyDiv w:val="1"/>
      <w:marLeft w:val="0"/>
      <w:marRight w:val="0"/>
      <w:marTop w:val="0"/>
      <w:marBottom w:val="0"/>
      <w:divBdr>
        <w:top w:val="none" w:sz="0" w:space="0" w:color="auto"/>
        <w:left w:val="none" w:sz="0" w:space="0" w:color="auto"/>
        <w:bottom w:val="none" w:sz="0" w:space="0" w:color="auto"/>
        <w:right w:val="none" w:sz="0" w:space="0" w:color="auto"/>
      </w:divBdr>
    </w:div>
    <w:div w:id="1815640581">
      <w:bodyDiv w:val="1"/>
      <w:marLeft w:val="0"/>
      <w:marRight w:val="0"/>
      <w:marTop w:val="0"/>
      <w:marBottom w:val="0"/>
      <w:divBdr>
        <w:top w:val="none" w:sz="0" w:space="0" w:color="auto"/>
        <w:left w:val="none" w:sz="0" w:space="0" w:color="auto"/>
        <w:bottom w:val="none" w:sz="0" w:space="0" w:color="auto"/>
        <w:right w:val="none" w:sz="0" w:space="0" w:color="auto"/>
      </w:divBdr>
    </w:div>
    <w:div w:id="1918200026">
      <w:bodyDiv w:val="1"/>
      <w:marLeft w:val="0"/>
      <w:marRight w:val="0"/>
      <w:marTop w:val="0"/>
      <w:marBottom w:val="0"/>
      <w:divBdr>
        <w:top w:val="none" w:sz="0" w:space="0" w:color="auto"/>
        <w:left w:val="none" w:sz="0" w:space="0" w:color="auto"/>
        <w:bottom w:val="none" w:sz="0" w:space="0" w:color="auto"/>
        <w:right w:val="none" w:sz="0" w:space="0" w:color="auto"/>
      </w:divBdr>
    </w:div>
    <w:div w:id="1935017302">
      <w:bodyDiv w:val="1"/>
      <w:marLeft w:val="0"/>
      <w:marRight w:val="0"/>
      <w:marTop w:val="0"/>
      <w:marBottom w:val="0"/>
      <w:divBdr>
        <w:top w:val="none" w:sz="0" w:space="0" w:color="auto"/>
        <w:left w:val="none" w:sz="0" w:space="0" w:color="auto"/>
        <w:bottom w:val="none" w:sz="0" w:space="0" w:color="auto"/>
        <w:right w:val="none" w:sz="0" w:space="0" w:color="auto"/>
      </w:divBdr>
    </w:div>
    <w:div w:id="1972900508">
      <w:bodyDiv w:val="1"/>
      <w:marLeft w:val="0"/>
      <w:marRight w:val="0"/>
      <w:marTop w:val="0"/>
      <w:marBottom w:val="0"/>
      <w:divBdr>
        <w:top w:val="none" w:sz="0" w:space="0" w:color="auto"/>
        <w:left w:val="none" w:sz="0" w:space="0" w:color="auto"/>
        <w:bottom w:val="none" w:sz="0" w:space="0" w:color="auto"/>
        <w:right w:val="none" w:sz="0" w:space="0" w:color="auto"/>
      </w:divBdr>
    </w:div>
    <w:div w:id="2014718455">
      <w:bodyDiv w:val="1"/>
      <w:marLeft w:val="0"/>
      <w:marRight w:val="0"/>
      <w:marTop w:val="0"/>
      <w:marBottom w:val="0"/>
      <w:divBdr>
        <w:top w:val="none" w:sz="0" w:space="0" w:color="auto"/>
        <w:left w:val="none" w:sz="0" w:space="0" w:color="auto"/>
        <w:bottom w:val="none" w:sz="0" w:space="0" w:color="auto"/>
        <w:right w:val="none" w:sz="0" w:space="0" w:color="auto"/>
      </w:divBdr>
    </w:div>
    <w:div w:id="2024162537">
      <w:bodyDiv w:val="1"/>
      <w:marLeft w:val="0"/>
      <w:marRight w:val="0"/>
      <w:marTop w:val="0"/>
      <w:marBottom w:val="0"/>
      <w:divBdr>
        <w:top w:val="none" w:sz="0" w:space="0" w:color="auto"/>
        <w:left w:val="none" w:sz="0" w:space="0" w:color="auto"/>
        <w:bottom w:val="none" w:sz="0" w:space="0" w:color="auto"/>
        <w:right w:val="none" w:sz="0" w:space="0" w:color="auto"/>
      </w:divBdr>
    </w:div>
    <w:div w:id="2053337647">
      <w:bodyDiv w:val="1"/>
      <w:marLeft w:val="0"/>
      <w:marRight w:val="0"/>
      <w:marTop w:val="0"/>
      <w:marBottom w:val="0"/>
      <w:divBdr>
        <w:top w:val="none" w:sz="0" w:space="0" w:color="auto"/>
        <w:left w:val="none" w:sz="0" w:space="0" w:color="auto"/>
        <w:bottom w:val="none" w:sz="0" w:space="0" w:color="auto"/>
        <w:right w:val="none" w:sz="0" w:space="0" w:color="auto"/>
      </w:divBdr>
    </w:div>
    <w:div w:id="2064714901">
      <w:bodyDiv w:val="1"/>
      <w:marLeft w:val="0"/>
      <w:marRight w:val="0"/>
      <w:marTop w:val="0"/>
      <w:marBottom w:val="0"/>
      <w:divBdr>
        <w:top w:val="none" w:sz="0" w:space="0" w:color="auto"/>
        <w:left w:val="none" w:sz="0" w:space="0" w:color="auto"/>
        <w:bottom w:val="none" w:sz="0" w:space="0" w:color="auto"/>
        <w:right w:val="none" w:sz="0" w:space="0" w:color="auto"/>
      </w:divBdr>
    </w:div>
    <w:div w:id="2066486173">
      <w:bodyDiv w:val="1"/>
      <w:marLeft w:val="0"/>
      <w:marRight w:val="0"/>
      <w:marTop w:val="0"/>
      <w:marBottom w:val="0"/>
      <w:divBdr>
        <w:top w:val="none" w:sz="0" w:space="0" w:color="auto"/>
        <w:left w:val="none" w:sz="0" w:space="0" w:color="auto"/>
        <w:bottom w:val="none" w:sz="0" w:space="0" w:color="auto"/>
        <w:right w:val="none" w:sz="0" w:space="0" w:color="auto"/>
      </w:divBdr>
    </w:div>
    <w:div w:id="2074812172">
      <w:bodyDiv w:val="1"/>
      <w:marLeft w:val="0"/>
      <w:marRight w:val="0"/>
      <w:marTop w:val="0"/>
      <w:marBottom w:val="0"/>
      <w:divBdr>
        <w:top w:val="none" w:sz="0" w:space="0" w:color="auto"/>
        <w:left w:val="none" w:sz="0" w:space="0" w:color="auto"/>
        <w:bottom w:val="none" w:sz="0" w:space="0" w:color="auto"/>
        <w:right w:val="none" w:sz="0" w:space="0" w:color="auto"/>
      </w:divBdr>
    </w:div>
    <w:div w:id="2075809408">
      <w:bodyDiv w:val="1"/>
      <w:marLeft w:val="0"/>
      <w:marRight w:val="0"/>
      <w:marTop w:val="0"/>
      <w:marBottom w:val="0"/>
      <w:divBdr>
        <w:top w:val="none" w:sz="0" w:space="0" w:color="auto"/>
        <w:left w:val="none" w:sz="0" w:space="0" w:color="auto"/>
        <w:bottom w:val="none" w:sz="0" w:space="0" w:color="auto"/>
        <w:right w:val="none" w:sz="0" w:space="0" w:color="auto"/>
      </w:divBdr>
    </w:div>
    <w:div w:id="2094012604">
      <w:bodyDiv w:val="1"/>
      <w:marLeft w:val="0"/>
      <w:marRight w:val="0"/>
      <w:marTop w:val="0"/>
      <w:marBottom w:val="0"/>
      <w:divBdr>
        <w:top w:val="none" w:sz="0" w:space="0" w:color="auto"/>
        <w:left w:val="none" w:sz="0" w:space="0" w:color="auto"/>
        <w:bottom w:val="none" w:sz="0" w:space="0" w:color="auto"/>
        <w:right w:val="none" w:sz="0" w:space="0" w:color="auto"/>
      </w:divBdr>
    </w:div>
    <w:div w:id="2095665701">
      <w:bodyDiv w:val="1"/>
      <w:marLeft w:val="0"/>
      <w:marRight w:val="0"/>
      <w:marTop w:val="0"/>
      <w:marBottom w:val="0"/>
      <w:divBdr>
        <w:top w:val="none" w:sz="0" w:space="0" w:color="auto"/>
        <w:left w:val="none" w:sz="0" w:space="0" w:color="auto"/>
        <w:bottom w:val="none" w:sz="0" w:space="0" w:color="auto"/>
        <w:right w:val="none" w:sz="0" w:space="0" w:color="auto"/>
      </w:divBdr>
      <w:divsChild>
        <w:div w:id="445540701">
          <w:marLeft w:val="0"/>
          <w:marRight w:val="0"/>
          <w:marTop w:val="0"/>
          <w:marBottom w:val="0"/>
          <w:divBdr>
            <w:top w:val="none" w:sz="0" w:space="0" w:color="auto"/>
            <w:left w:val="none" w:sz="0" w:space="0" w:color="auto"/>
            <w:bottom w:val="none" w:sz="0" w:space="0" w:color="auto"/>
            <w:right w:val="none" w:sz="0" w:space="0" w:color="auto"/>
          </w:divBdr>
        </w:div>
        <w:div w:id="1309893064">
          <w:marLeft w:val="0"/>
          <w:marRight w:val="0"/>
          <w:marTop w:val="0"/>
          <w:marBottom w:val="0"/>
          <w:divBdr>
            <w:top w:val="none" w:sz="0" w:space="0" w:color="auto"/>
            <w:left w:val="none" w:sz="0" w:space="0" w:color="auto"/>
            <w:bottom w:val="none" w:sz="0" w:space="0" w:color="auto"/>
            <w:right w:val="none" w:sz="0" w:space="0" w:color="auto"/>
          </w:divBdr>
        </w:div>
        <w:div w:id="1827698026">
          <w:marLeft w:val="0"/>
          <w:marRight w:val="0"/>
          <w:marTop w:val="0"/>
          <w:marBottom w:val="0"/>
          <w:divBdr>
            <w:top w:val="none" w:sz="0" w:space="0" w:color="auto"/>
            <w:left w:val="none" w:sz="0" w:space="0" w:color="auto"/>
            <w:bottom w:val="none" w:sz="0" w:space="0" w:color="auto"/>
            <w:right w:val="none" w:sz="0" w:space="0" w:color="auto"/>
          </w:divBdr>
        </w:div>
      </w:divsChild>
    </w:div>
    <w:div w:id="2105687618">
      <w:bodyDiv w:val="1"/>
      <w:marLeft w:val="0"/>
      <w:marRight w:val="0"/>
      <w:marTop w:val="0"/>
      <w:marBottom w:val="0"/>
      <w:divBdr>
        <w:top w:val="none" w:sz="0" w:space="0" w:color="auto"/>
        <w:left w:val="none" w:sz="0" w:space="0" w:color="auto"/>
        <w:bottom w:val="none" w:sz="0" w:space="0" w:color="auto"/>
        <w:right w:val="none" w:sz="0" w:space="0" w:color="auto"/>
      </w:divBdr>
    </w:div>
    <w:div w:id="213814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yperlink" Target="mailto:media@treasury.gov.au" TargetMode="External"/><Relationship Id="rId18" Type="http://schemas.openxmlformats.org/officeDocument/2006/relationships/diagramLayout" Target="diagrams/layout1.xml"/><Relationship Id="rId26" Type="http://schemas.openxmlformats.org/officeDocument/2006/relationships/hyperlink" Target="https://regionaltechhub.org.au/" TargetMode="External"/><Relationship Id="rId3" Type="http://schemas.openxmlformats.org/officeDocument/2006/relationships/settings" Target="settings.xml"/><Relationship Id="rId21" Type="http://schemas.microsoft.com/office/2007/relationships/diagramDrawing" Target="diagrams/drawing1.xml"/><Relationship Id="rId7" Type="http://schemas.openxmlformats.org/officeDocument/2006/relationships/image" Target="media/image1.png"/><Relationship Id="rId12" Type="http://schemas.openxmlformats.org/officeDocument/2006/relationships/hyperlink" Target="http://www.pmc.gov.au/government/commonwealth-coat-arms" TargetMode="External"/><Relationship Id="rId17" Type="http://schemas.openxmlformats.org/officeDocument/2006/relationships/diagramData" Target="diagrams/data1.xml"/><Relationship Id="rId25" Type="http://schemas.openxmlformats.org/officeDocument/2006/relationships/hyperlink" Target="https://www.infrastructure.gov.au/media-communications-arts/better-connectivity-plan-regional-and-rural-australia"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diagramColors" Target="diagrams/colors1.xml"/><Relationship Id="rId29" Type="http://schemas.openxmlformats.org/officeDocument/2006/relationships/hyperlink" Target="https://melbourneinstitute.unimelb.edu.au/publications/social-indicator-repor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24" Type="http://schemas.openxmlformats.org/officeDocument/2006/relationships/hyperlink" Target="https://www.dss.gov.au/disability-and-carers-programs-services-for-people-with-disability/information-linkages-and-capacity-building-ilc-program" TargetMode="Externa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beconnected.esafety.gov.au/" TargetMode="External"/><Relationship Id="rId28" Type="http://schemas.openxmlformats.org/officeDocument/2006/relationships/hyperlink" Target="https://www.infrastructure.gov.au/media-communications-arts/first-nations-digital-inclusion" TargetMode="External"/><Relationship Id="rId10" Type="http://schemas.openxmlformats.org/officeDocument/2006/relationships/image" Target="media/image2.wmf"/><Relationship Id="rId19" Type="http://schemas.openxmlformats.org/officeDocument/2006/relationships/diagramQuickStyle" Target="diagrams/quickStyle1.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reativecommons.org/licenses/by/4.0/legalcode" TargetMode="External"/><Relationship Id="rId14" Type="http://schemas.openxmlformats.org/officeDocument/2006/relationships/image" Target="media/image3.jpg"/><Relationship Id="rId22" Type="http://schemas.openxmlformats.org/officeDocument/2006/relationships/footer" Target="footer1.xml"/><Relationship Id="rId27" Type="http://schemas.openxmlformats.org/officeDocument/2006/relationships/hyperlink" Target="https://www.digitalinclusion.gov.au/sites/default/files/documents/first-nations-digital-inclusion-advisory-group-initial-report.pdf"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abs.gov.au/articles/measuring-non-discretionary-and-discretionary-inflation" TargetMode="External"/><Relationship Id="rId2" Type="http://schemas.openxmlformats.org/officeDocument/2006/relationships/hyperlink" Target="https://www.abs.gov.au/articles/measuring-non-discretionary-and-discretionary-inflation" TargetMode="External"/><Relationship Id="rId1" Type="http://schemas.openxmlformats.org/officeDocument/2006/relationships/hyperlink" Target="https://ministers.treasury.gov.au/ministers/stephen-jones-2022/media-releases/fighting-back-against-scammer-scourge-government" TargetMode="External"/><Relationship Id="rId4" Type="http://schemas.openxmlformats.org/officeDocument/2006/relationships/hyperlink" Target="https://melbourneinstitute.unimelb.edu.au/publications/social-indicator-report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EFDEB7-53CA-423D-8271-85320D4D7250}"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AU"/>
        </a:p>
      </dgm:t>
    </dgm:pt>
    <dgm:pt modelId="{A9308883-0A39-4554-9377-4957D28580A5}">
      <dgm:prSet phldrT="[Text]" custT="1"/>
      <dgm:spPr/>
      <dgm:t>
        <a:bodyPr/>
        <a:lstStyle/>
        <a:p>
          <a:r>
            <a:rPr lang="en-AU" sz="1000"/>
            <a:t>Q4 2024</a:t>
          </a:r>
        </a:p>
      </dgm:t>
    </dgm:pt>
    <dgm:pt modelId="{D372542D-24F7-4BA9-A134-817665E7A94B}" type="parTrans" cxnId="{6A39E954-15CC-451C-9914-8F4F125244C0}">
      <dgm:prSet/>
      <dgm:spPr/>
      <dgm:t>
        <a:bodyPr/>
        <a:lstStyle/>
        <a:p>
          <a:endParaRPr lang="en-AU"/>
        </a:p>
      </dgm:t>
    </dgm:pt>
    <dgm:pt modelId="{70C4D0A3-8F90-4BF1-BB3B-13F5F4A5120C}" type="sibTrans" cxnId="{6A39E954-15CC-451C-9914-8F4F125244C0}">
      <dgm:prSet/>
      <dgm:spPr/>
      <dgm:t>
        <a:bodyPr/>
        <a:lstStyle/>
        <a:p>
          <a:endParaRPr lang="en-AU"/>
        </a:p>
      </dgm:t>
    </dgm:pt>
    <dgm:pt modelId="{623316EE-300B-48DB-8F75-02BE09CEEC6A}">
      <dgm:prSet phldrT="[Text]" custT="1"/>
      <dgm:spPr/>
      <dgm:t>
        <a:bodyPr/>
        <a:lstStyle/>
        <a:p>
          <a:pPr>
            <a:buSzPts val="1000"/>
            <a:buFont typeface="Symbol" panose="05050102010706020507" pitchFamily="18" charset="2"/>
            <a:buNone/>
          </a:pPr>
          <a:r>
            <a:rPr lang="en-AU" sz="1000" b="1" baseline="0"/>
            <a:t>Consultation on policy design</a:t>
          </a:r>
        </a:p>
      </dgm:t>
    </dgm:pt>
    <dgm:pt modelId="{357BDF3C-3516-410D-897A-5061284973F5}" type="parTrans" cxnId="{2736C5DD-656E-4EC1-B8A6-A631DF0E8022}">
      <dgm:prSet/>
      <dgm:spPr/>
      <dgm:t>
        <a:bodyPr/>
        <a:lstStyle/>
        <a:p>
          <a:endParaRPr lang="en-AU"/>
        </a:p>
      </dgm:t>
    </dgm:pt>
    <dgm:pt modelId="{1D66E62B-FF91-4BD5-808E-10640BAD9298}" type="sibTrans" cxnId="{2736C5DD-656E-4EC1-B8A6-A631DF0E8022}">
      <dgm:prSet/>
      <dgm:spPr/>
      <dgm:t>
        <a:bodyPr/>
        <a:lstStyle/>
        <a:p>
          <a:endParaRPr lang="en-AU"/>
        </a:p>
      </dgm:t>
    </dgm:pt>
    <dgm:pt modelId="{BDF6DA5B-EB50-4116-9F76-169BE9135118}">
      <dgm:prSet phldrT="[Text]" custT="1"/>
      <dgm:spPr/>
      <dgm:t>
        <a:bodyPr/>
        <a:lstStyle/>
        <a:p>
          <a:pPr>
            <a:buSzPts val="1000"/>
            <a:buFont typeface="Courier New" panose="02070309020205020404" pitchFamily="49" charset="0"/>
            <a:buNone/>
          </a:pPr>
          <a:r>
            <a:rPr lang="en-AU" sz="1000" baseline="0"/>
            <a:t>Request for feedback on the proposed cash acceptance mandate</a:t>
          </a:r>
          <a:r>
            <a:rPr lang="en-AU" sz="600"/>
            <a:t>.</a:t>
          </a:r>
        </a:p>
      </dgm:t>
    </dgm:pt>
    <dgm:pt modelId="{7E2C1312-13B8-454F-AB32-40C641AAB393}" type="parTrans" cxnId="{F4104D7E-F19F-473F-BFCF-189EDA4DC7CE}">
      <dgm:prSet/>
      <dgm:spPr/>
      <dgm:t>
        <a:bodyPr/>
        <a:lstStyle/>
        <a:p>
          <a:endParaRPr lang="en-AU"/>
        </a:p>
      </dgm:t>
    </dgm:pt>
    <dgm:pt modelId="{9B16AC66-5EAC-44B8-A3EB-4E87FDA0A290}" type="sibTrans" cxnId="{F4104D7E-F19F-473F-BFCF-189EDA4DC7CE}">
      <dgm:prSet/>
      <dgm:spPr/>
      <dgm:t>
        <a:bodyPr/>
        <a:lstStyle/>
        <a:p>
          <a:endParaRPr lang="en-AU"/>
        </a:p>
      </dgm:t>
    </dgm:pt>
    <dgm:pt modelId="{83730FE5-827A-405C-94C8-B6B9D8C475BC}">
      <dgm:prSet phldrT="[Text]" custT="1"/>
      <dgm:spPr/>
      <dgm:t>
        <a:bodyPr/>
        <a:lstStyle/>
        <a:p>
          <a:pPr>
            <a:buSzPts val="1000"/>
            <a:buFont typeface="Symbol" panose="05050102010706020507" pitchFamily="18" charset="2"/>
            <a:buNone/>
          </a:pPr>
          <a:r>
            <a:rPr lang="en-AU" sz="1000" b="1"/>
            <a:t>Consultation on Exposure Draft</a:t>
          </a:r>
          <a:r>
            <a:rPr lang="en-AU" sz="1000"/>
            <a:t> </a:t>
          </a:r>
          <a:r>
            <a:rPr lang="en-AU" sz="1000" b="1"/>
            <a:t>legislation</a:t>
          </a:r>
          <a:endParaRPr lang="en-AU" sz="1000"/>
        </a:p>
      </dgm:t>
    </dgm:pt>
    <dgm:pt modelId="{47887182-E290-4987-A004-0DAB63B2A162}" type="parTrans" cxnId="{DB77A6A3-9801-41B6-B994-B88EF315C7B6}">
      <dgm:prSet/>
      <dgm:spPr/>
      <dgm:t>
        <a:bodyPr/>
        <a:lstStyle/>
        <a:p>
          <a:endParaRPr lang="en-AU"/>
        </a:p>
      </dgm:t>
    </dgm:pt>
    <dgm:pt modelId="{2C2ECA69-414F-4A45-9ED9-6BA2C4615C2D}" type="sibTrans" cxnId="{DB77A6A3-9801-41B6-B994-B88EF315C7B6}">
      <dgm:prSet/>
      <dgm:spPr/>
      <dgm:t>
        <a:bodyPr/>
        <a:lstStyle/>
        <a:p>
          <a:endParaRPr lang="en-AU"/>
        </a:p>
      </dgm:t>
    </dgm:pt>
    <dgm:pt modelId="{F96E8740-C404-4930-9088-3834D0E1B700}">
      <dgm:prSet phldrT="[Text]" custT="1"/>
      <dgm:spPr/>
      <dgm:t>
        <a:bodyPr/>
        <a:lstStyle/>
        <a:p>
          <a:pPr>
            <a:buSzPts val="1000"/>
            <a:buFont typeface="Symbol" panose="05050102010706020507" pitchFamily="18" charset="2"/>
            <a:buNone/>
          </a:pPr>
          <a:r>
            <a:rPr lang="en-AU" sz="1000"/>
            <a:t>Release of the Exposure Draft legislation for public consultation</a:t>
          </a:r>
        </a:p>
      </dgm:t>
    </dgm:pt>
    <dgm:pt modelId="{FEE3789E-B47F-4918-802E-46AC0EFC90FD}" type="parTrans" cxnId="{6FA9DC50-F702-49F8-AB82-2E127F0FD950}">
      <dgm:prSet/>
      <dgm:spPr/>
      <dgm:t>
        <a:bodyPr/>
        <a:lstStyle/>
        <a:p>
          <a:endParaRPr lang="en-AU"/>
        </a:p>
      </dgm:t>
    </dgm:pt>
    <dgm:pt modelId="{DAEC4D46-9C76-4338-BFBD-E4D8862FFA53}" type="sibTrans" cxnId="{6FA9DC50-F702-49F8-AB82-2E127F0FD950}">
      <dgm:prSet/>
      <dgm:spPr/>
      <dgm:t>
        <a:bodyPr/>
        <a:lstStyle/>
        <a:p>
          <a:endParaRPr lang="en-AU"/>
        </a:p>
      </dgm:t>
    </dgm:pt>
    <dgm:pt modelId="{D6065DBC-1EFA-4567-83AF-B51EE0842558}">
      <dgm:prSet custT="1"/>
      <dgm:spPr/>
      <dgm:t>
        <a:bodyPr/>
        <a:lstStyle/>
        <a:p>
          <a:r>
            <a:rPr lang="en-AU" sz="1000" b="0"/>
            <a:t>Q3 2025</a:t>
          </a:r>
        </a:p>
      </dgm:t>
    </dgm:pt>
    <dgm:pt modelId="{A08821E4-4BDF-4D6A-B8F1-88DAE334D943}" type="parTrans" cxnId="{46AFD358-0C7F-4859-9B52-BA0BB4C57E2D}">
      <dgm:prSet/>
      <dgm:spPr/>
      <dgm:t>
        <a:bodyPr/>
        <a:lstStyle/>
        <a:p>
          <a:endParaRPr lang="en-AU"/>
        </a:p>
      </dgm:t>
    </dgm:pt>
    <dgm:pt modelId="{CE8E756B-3675-4A9C-AFA9-46E1B4FC0D59}" type="sibTrans" cxnId="{46AFD358-0C7F-4859-9B52-BA0BB4C57E2D}">
      <dgm:prSet/>
      <dgm:spPr/>
      <dgm:t>
        <a:bodyPr/>
        <a:lstStyle/>
        <a:p>
          <a:endParaRPr lang="en-AU"/>
        </a:p>
      </dgm:t>
    </dgm:pt>
    <dgm:pt modelId="{CF4E8469-2610-4200-A4CB-0145EF787C7D}">
      <dgm:prSet phldrT="[Text]" custT="1"/>
      <dgm:spPr/>
      <dgm:t>
        <a:bodyPr/>
        <a:lstStyle/>
        <a:p>
          <a:pPr>
            <a:buSzPts val="1000"/>
            <a:buFont typeface="Courier New" panose="02070309020205020404" pitchFamily="49" charset="0"/>
            <a:buNone/>
          </a:pPr>
          <a:r>
            <a:rPr lang="en-AU" sz="1000"/>
            <a:t>Q1 2025</a:t>
          </a:r>
        </a:p>
      </dgm:t>
    </dgm:pt>
    <dgm:pt modelId="{758AD063-2C3D-4EB0-8A35-AE6C5E8E63DB}" type="parTrans" cxnId="{BD907E68-BDEA-40CB-AA0D-FDBC66DDD0AA}">
      <dgm:prSet/>
      <dgm:spPr/>
      <dgm:t>
        <a:bodyPr/>
        <a:lstStyle/>
        <a:p>
          <a:endParaRPr lang="en-AU"/>
        </a:p>
      </dgm:t>
    </dgm:pt>
    <dgm:pt modelId="{3152A3B2-5EDF-447C-BA64-4BEFAE3E98D5}" type="sibTrans" cxnId="{BD907E68-BDEA-40CB-AA0D-FDBC66DDD0AA}">
      <dgm:prSet/>
      <dgm:spPr/>
      <dgm:t>
        <a:bodyPr/>
        <a:lstStyle/>
        <a:p>
          <a:endParaRPr lang="en-AU"/>
        </a:p>
      </dgm:t>
    </dgm:pt>
    <dgm:pt modelId="{99249932-3550-4BB7-896C-C4CAAF79FA2B}">
      <dgm:prSet phldrT="[Text]" custT="1"/>
      <dgm:spPr/>
      <dgm:t>
        <a:bodyPr/>
        <a:lstStyle/>
        <a:p>
          <a:pPr>
            <a:buSzPts val="1000"/>
            <a:buFont typeface="Courier New" panose="02070309020205020404" pitchFamily="49" charset="0"/>
            <a:buNone/>
          </a:pPr>
          <a:r>
            <a:rPr lang="en-AU" sz="1000" b="1"/>
            <a:t>Annoucement of policy deisgn</a:t>
          </a:r>
        </a:p>
      </dgm:t>
    </dgm:pt>
    <dgm:pt modelId="{9886E488-F9E9-4368-B53C-7F190C0BCB0E}" type="parTrans" cxnId="{E53B7ED9-5449-40F0-9BC1-4F044322EDD7}">
      <dgm:prSet/>
      <dgm:spPr/>
      <dgm:t>
        <a:bodyPr/>
        <a:lstStyle/>
        <a:p>
          <a:endParaRPr lang="en-AU"/>
        </a:p>
      </dgm:t>
    </dgm:pt>
    <dgm:pt modelId="{2488BF09-BFFC-47B9-BEED-748219FF0BCE}" type="sibTrans" cxnId="{E53B7ED9-5449-40F0-9BC1-4F044322EDD7}">
      <dgm:prSet/>
      <dgm:spPr/>
      <dgm:t>
        <a:bodyPr/>
        <a:lstStyle/>
        <a:p>
          <a:endParaRPr lang="en-AU"/>
        </a:p>
      </dgm:t>
    </dgm:pt>
    <dgm:pt modelId="{C30189DA-DE25-4C31-B490-D019DD3BDA2D}">
      <dgm:prSet custT="1"/>
      <dgm:spPr/>
      <dgm:t>
        <a:bodyPr/>
        <a:lstStyle/>
        <a:p>
          <a:pPr>
            <a:buSzPts val="1000"/>
            <a:buFont typeface="Courier New" panose="02070309020205020404" pitchFamily="49" charset="0"/>
            <a:buNone/>
          </a:pPr>
          <a:r>
            <a:rPr lang="en-AU" sz="1000"/>
            <a:t>Release of final cash acceptance mandate design</a:t>
          </a:r>
        </a:p>
      </dgm:t>
    </dgm:pt>
    <dgm:pt modelId="{D7D45D23-CD3F-486F-9AE2-FBB16655D227}" type="parTrans" cxnId="{EC48DC1C-B7DA-421E-9530-A51012C6DF34}">
      <dgm:prSet/>
      <dgm:spPr/>
      <dgm:t>
        <a:bodyPr/>
        <a:lstStyle/>
        <a:p>
          <a:endParaRPr lang="en-AU"/>
        </a:p>
      </dgm:t>
    </dgm:pt>
    <dgm:pt modelId="{976D998E-DC98-4A88-9EEB-DA644A6DEB2A}" type="sibTrans" cxnId="{EC48DC1C-B7DA-421E-9530-A51012C6DF34}">
      <dgm:prSet/>
      <dgm:spPr/>
      <dgm:t>
        <a:bodyPr/>
        <a:lstStyle/>
        <a:p>
          <a:endParaRPr lang="en-AU"/>
        </a:p>
      </dgm:t>
    </dgm:pt>
    <dgm:pt modelId="{7D5974FC-491C-4FF2-945E-56DB450538FB}">
      <dgm:prSet phldrT="[Text]" custT="1"/>
      <dgm:spPr/>
      <dgm:t>
        <a:bodyPr/>
        <a:lstStyle/>
        <a:p>
          <a:pPr>
            <a:buSzPts val="1000"/>
            <a:buFont typeface="Symbol" panose="05050102010706020507" pitchFamily="18" charset="2"/>
            <a:buNone/>
          </a:pPr>
          <a:r>
            <a:rPr lang="en-AU" sz="1000"/>
            <a:t>Q4 2025</a:t>
          </a:r>
        </a:p>
      </dgm:t>
    </dgm:pt>
    <dgm:pt modelId="{4391FC6C-F0A3-47D0-A203-FA2393B5C258}" type="parTrans" cxnId="{5DD0C22E-D03E-44DC-B386-8247443C166B}">
      <dgm:prSet/>
      <dgm:spPr/>
      <dgm:t>
        <a:bodyPr/>
        <a:lstStyle/>
        <a:p>
          <a:endParaRPr lang="en-AU"/>
        </a:p>
      </dgm:t>
    </dgm:pt>
    <dgm:pt modelId="{AF0CE5BF-B8D1-4682-8E76-4D16F557FDE0}" type="sibTrans" cxnId="{5DD0C22E-D03E-44DC-B386-8247443C166B}">
      <dgm:prSet/>
      <dgm:spPr/>
      <dgm:t>
        <a:bodyPr/>
        <a:lstStyle/>
        <a:p>
          <a:endParaRPr lang="en-AU"/>
        </a:p>
      </dgm:t>
    </dgm:pt>
    <dgm:pt modelId="{F3424935-ADB4-4F41-8576-DCBFB8904EFB}">
      <dgm:prSet phldrT="[Text]" custT="1"/>
      <dgm:spPr/>
      <dgm:t>
        <a:bodyPr/>
        <a:lstStyle/>
        <a:p>
          <a:pPr>
            <a:buSzPts val="1000"/>
            <a:buFont typeface="Symbol" panose="05050102010706020507" pitchFamily="18" charset="2"/>
            <a:buNone/>
          </a:pPr>
          <a:r>
            <a:rPr lang="en-AU" sz="1000" b="1"/>
            <a:t>Introduction and proposed passage of legislation by Parliament</a:t>
          </a:r>
        </a:p>
      </dgm:t>
    </dgm:pt>
    <dgm:pt modelId="{3E795AE4-F247-4AD4-9B96-691769335B4E}" type="parTrans" cxnId="{24B4D0A4-392E-4D5E-B156-635B2E491568}">
      <dgm:prSet/>
      <dgm:spPr/>
      <dgm:t>
        <a:bodyPr/>
        <a:lstStyle/>
        <a:p>
          <a:endParaRPr lang="en-AU"/>
        </a:p>
      </dgm:t>
    </dgm:pt>
    <dgm:pt modelId="{DE16E338-1495-4D17-9CDC-EF3DC0149053}" type="sibTrans" cxnId="{24B4D0A4-392E-4D5E-B156-635B2E491568}">
      <dgm:prSet/>
      <dgm:spPr/>
      <dgm:t>
        <a:bodyPr/>
        <a:lstStyle/>
        <a:p>
          <a:endParaRPr lang="en-AU"/>
        </a:p>
      </dgm:t>
    </dgm:pt>
    <dgm:pt modelId="{00451517-0E5B-4435-B314-ECC949C61622}">
      <dgm:prSet phldrT="[Text]" custT="1"/>
      <dgm:spPr/>
      <dgm:t>
        <a:bodyPr/>
        <a:lstStyle/>
        <a:p>
          <a:pPr>
            <a:buSzPts val="1000"/>
            <a:buFont typeface="Symbol" panose="05050102010706020507" pitchFamily="18" charset="2"/>
            <a:buNone/>
          </a:pPr>
          <a:r>
            <a:rPr lang="en-AU" sz="1000"/>
            <a:t>Q1 2026</a:t>
          </a:r>
        </a:p>
      </dgm:t>
    </dgm:pt>
    <dgm:pt modelId="{EE1D22C4-BC8D-4D15-8579-F615DDC9AFEF}" type="parTrans" cxnId="{7DC125DF-1071-44E2-82E0-5D37F39507E6}">
      <dgm:prSet/>
      <dgm:spPr/>
      <dgm:t>
        <a:bodyPr/>
        <a:lstStyle/>
        <a:p>
          <a:endParaRPr lang="en-AU"/>
        </a:p>
      </dgm:t>
    </dgm:pt>
    <dgm:pt modelId="{7C7242AF-8EB8-46ED-A61F-67E269B84132}" type="sibTrans" cxnId="{7DC125DF-1071-44E2-82E0-5D37F39507E6}">
      <dgm:prSet/>
      <dgm:spPr/>
      <dgm:t>
        <a:bodyPr/>
        <a:lstStyle/>
        <a:p>
          <a:endParaRPr lang="en-AU"/>
        </a:p>
      </dgm:t>
    </dgm:pt>
    <dgm:pt modelId="{0A13544C-848E-448C-9BD1-C315AAE027E0}">
      <dgm:prSet phldrT="[Text]" custT="1"/>
      <dgm:spPr/>
      <dgm:t>
        <a:bodyPr/>
        <a:lstStyle/>
        <a:p>
          <a:pPr>
            <a:buSzPts val="1000"/>
            <a:buFont typeface="Symbol" panose="05050102010706020507" pitchFamily="18" charset="2"/>
            <a:buNone/>
          </a:pPr>
          <a:r>
            <a:rPr lang="en-AU" sz="1000" b="1"/>
            <a:t>Commencement on 1 January 2026 (subject to timing of passage of legislation)</a:t>
          </a:r>
        </a:p>
      </dgm:t>
    </dgm:pt>
    <dgm:pt modelId="{F1F8FB8D-30C1-47F2-8DB5-68747099A3DA}" type="parTrans" cxnId="{3B43BF29-4B95-44BF-8631-7C3FE0400154}">
      <dgm:prSet/>
      <dgm:spPr/>
      <dgm:t>
        <a:bodyPr/>
        <a:lstStyle/>
        <a:p>
          <a:endParaRPr lang="en-AU"/>
        </a:p>
      </dgm:t>
    </dgm:pt>
    <dgm:pt modelId="{68BDE68E-9FC5-446B-B4AD-0608C078BEC0}" type="sibTrans" cxnId="{3B43BF29-4B95-44BF-8631-7C3FE0400154}">
      <dgm:prSet/>
      <dgm:spPr/>
      <dgm:t>
        <a:bodyPr/>
        <a:lstStyle/>
        <a:p>
          <a:endParaRPr lang="en-AU"/>
        </a:p>
      </dgm:t>
    </dgm:pt>
    <dgm:pt modelId="{6B0478A6-19A6-4479-A958-F2D0571AA1BB}" type="pres">
      <dgm:prSet presAssocID="{25EFDEB7-53CA-423D-8271-85320D4D7250}" presName="linearFlow" presStyleCnt="0">
        <dgm:presLayoutVars>
          <dgm:dir/>
          <dgm:animLvl val="lvl"/>
          <dgm:resizeHandles val="exact"/>
        </dgm:presLayoutVars>
      </dgm:prSet>
      <dgm:spPr/>
    </dgm:pt>
    <dgm:pt modelId="{DB8F00F4-52D7-48FC-AEC4-9634E00A683A}" type="pres">
      <dgm:prSet presAssocID="{A9308883-0A39-4554-9377-4957D28580A5}" presName="composite" presStyleCnt="0"/>
      <dgm:spPr/>
    </dgm:pt>
    <dgm:pt modelId="{CE0EE128-3F27-4F65-8263-2B5CD4F0E83D}" type="pres">
      <dgm:prSet presAssocID="{A9308883-0A39-4554-9377-4957D28580A5}" presName="parentText" presStyleLbl="alignNode1" presStyleIdx="0" presStyleCnt="5">
        <dgm:presLayoutVars>
          <dgm:chMax val="1"/>
          <dgm:bulletEnabled val="1"/>
        </dgm:presLayoutVars>
      </dgm:prSet>
      <dgm:spPr/>
    </dgm:pt>
    <dgm:pt modelId="{E5CE2364-8B88-4297-A03F-EAEFA905289F}" type="pres">
      <dgm:prSet presAssocID="{A9308883-0A39-4554-9377-4957D28580A5}" presName="descendantText" presStyleLbl="alignAcc1" presStyleIdx="0" presStyleCnt="5">
        <dgm:presLayoutVars>
          <dgm:bulletEnabled val="1"/>
        </dgm:presLayoutVars>
      </dgm:prSet>
      <dgm:spPr/>
    </dgm:pt>
    <dgm:pt modelId="{FE0842C7-3EDD-4C4C-9CDF-F6FCA31A8CB4}" type="pres">
      <dgm:prSet presAssocID="{70C4D0A3-8F90-4BF1-BB3B-13F5F4A5120C}" presName="sp" presStyleCnt="0"/>
      <dgm:spPr/>
    </dgm:pt>
    <dgm:pt modelId="{D4D89056-9D40-49AE-8CDC-B65DBFE1D502}" type="pres">
      <dgm:prSet presAssocID="{CF4E8469-2610-4200-A4CB-0145EF787C7D}" presName="composite" presStyleCnt="0"/>
      <dgm:spPr/>
    </dgm:pt>
    <dgm:pt modelId="{1415675C-39AD-429C-A2C7-AF3C2962A01E}" type="pres">
      <dgm:prSet presAssocID="{CF4E8469-2610-4200-A4CB-0145EF787C7D}" presName="parentText" presStyleLbl="alignNode1" presStyleIdx="1" presStyleCnt="5">
        <dgm:presLayoutVars>
          <dgm:chMax val="1"/>
          <dgm:bulletEnabled val="1"/>
        </dgm:presLayoutVars>
      </dgm:prSet>
      <dgm:spPr/>
    </dgm:pt>
    <dgm:pt modelId="{19FCAFF4-30D3-4ABA-8284-797589C1D11C}" type="pres">
      <dgm:prSet presAssocID="{CF4E8469-2610-4200-A4CB-0145EF787C7D}" presName="descendantText" presStyleLbl="alignAcc1" presStyleIdx="1" presStyleCnt="5">
        <dgm:presLayoutVars>
          <dgm:bulletEnabled val="1"/>
        </dgm:presLayoutVars>
      </dgm:prSet>
      <dgm:spPr/>
    </dgm:pt>
    <dgm:pt modelId="{5B422BA2-BAC0-4C3D-898F-52A4E495CAB1}" type="pres">
      <dgm:prSet presAssocID="{3152A3B2-5EDF-447C-BA64-4BEFAE3E98D5}" presName="sp" presStyleCnt="0"/>
      <dgm:spPr/>
    </dgm:pt>
    <dgm:pt modelId="{9BEF9F86-D4A9-4AD9-B551-E80C34708587}" type="pres">
      <dgm:prSet presAssocID="{D6065DBC-1EFA-4567-83AF-B51EE0842558}" presName="composite" presStyleCnt="0"/>
      <dgm:spPr/>
    </dgm:pt>
    <dgm:pt modelId="{60FF07A4-C785-4D97-8DFC-B0EA14AF13C2}" type="pres">
      <dgm:prSet presAssocID="{D6065DBC-1EFA-4567-83AF-B51EE0842558}" presName="parentText" presStyleLbl="alignNode1" presStyleIdx="2" presStyleCnt="5">
        <dgm:presLayoutVars>
          <dgm:chMax val="1"/>
          <dgm:bulletEnabled val="1"/>
        </dgm:presLayoutVars>
      </dgm:prSet>
      <dgm:spPr/>
    </dgm:pt>
    <dgm:pt modelId="{61D96B8F-41FF-4269-8226-41FABAE78CEA}" type="pres">
      <dgm:prSet presAssocID="{D6065DBC-1EFA-4567-83AF-B51EE0842558}" presName="descendantText" presStyleLbl="alignAcc1" presStyleIdx="2" presStyleCnt="5">
        <dgm:presLayoutVars>
          <dgm:bulletEnabled val="1"/>
        </dgm:presLayoutVars>
      </dgm:prSet>
      <dgm:spPr/>
    </dgm:pt>
    <dgm:pt modelId="{BC96383A-0DAB-4A4D-B45C-841C801E8255}" type="pres">
      <dgm:prSet presAssocID="{CE8E756B-3675-4A9C-AFA9-46E1B4FC0D59}" presName="sp" presStyleCnt="0"/>
      <dgm:spPr/>
    </dgm:pt>
    <dgm:pt modelId="{173CC85E-8B66-456D-BE60-9A3AC0AB26C1}" type="pres">
      <dgm:prSet presAssocID="{7D5974FC-491C-4FF2-945E-56DB450538FB}" presName="composite" presStyleCnt="0"/>
      <dgm:spPr/>
    </dgm:pt>
    <dgm:pt modelId="{3558BF7A-17F6-4066-9DE5-566504A3A20E}" type="pres">
      <dgm:prSet presAssocID="{7D5974FC-491C-4FF2-945E-56DB450538FB}" presName="parentText" presStyleLbl="alignNode1" presStyleIdx="3" presStyleCnt="5">
        <dgm:presLayoutVars>
          <dgm:chMax val="1"/>
          <dgm:bulletEnabled val="1"/>
        </dgm:presLayoutVars>
      </dgm:prSet>
      <dgm:spPr/>
    </dgm:pt>
    <dgm:pt modelId="{75C76C89-7C29-4649-8DF7-2F0C5494B4E4}" type="pres">
      <dgm:prSet presAssocID="{7D5974FC-491C-4FF2-945E-56DB450538FB}" presName="descendantText" presStyleLbl="alignAcc1" presStyleIdx="3" presStyleCnt="5">
        <dgm:presLayoutVars>
          <dgm:bulletEnabled val="1"/>
        </dgm:presLayoutVars>
      </dgm:prSet>
      <dgm:spPr/>
    </dgm:pt>
    <dgm:pt modelId="{2DDBD761-16CF-4D41-82F3-DF73BC46FD2B}" type="pres">
      <dgm:prSet presAssocID="{AF0CE5BF-B8D1-4682-8E76-4D16F557FDE0}" presName="sp" presStyleCnt="0"/>
      <dgm:spPr/>
    </dgm:pt>
    <dgm:pt modelId="{586C0C36-7CDD-4DD0-A6C8-754F79B65F04}" type="pres">
      <dgm:prSet presAssocID="{00451517-0E5B-4435-B314-ECC949C61622}" presName="composite" presStyleCnt="0"/>
      <dgm:spPr/>
    </dgm:pt>
    <dgm:pt modelId="{A832B70F-FF2A-4DC9-ACCA-31675EED2C51}" type="pres">
      <dgm:prSet presAssocID="{00451517-0E5B-4435-B314-ECC949C61622}" presName="parentText" presStyleLbl="alignNode1" presStyleIdx="4" presStyleCnt="5">
        <dgm:presLayoutVars>
          <dgm:chMax val="1"/>
          <dgm:bulletEnabled val="1"/>
        </dgm:presLayoutVars>
      </dgm:prSet>
      <dgm:spPr/>
    </dgm:pt>
    <dgm:pt modelId="{CFC16C4C-7E8C-49CA-9799-4C7D5F1F1A98}" type="pres">
      <dgm:prSet presAssocID="{00451517-0E5B-4435-B314-ECC949C61622}" presName="descendantText" presStyleLbl="alignAcc1" presStyleIdx="4" presStyleCnt="5">
        <dgm:presLayoutVars>
          <dgm:bulletEnabled val="1"/>
        </dgm:presLayoutVars>
      </dgm:prSet>
      <dgm:spPr/>
    </dgm:pt>
  </dgm:ptLst>
  <dgm:cxnLst>
    <dgm:cxn modelId="{D829F90A-D6D4-4A14-9B5C-1B757F6CD921}" type="presOf" srcId="{C30189DA-DE25-4C31-B490-D019DD3BDA2D}" destId="{19FCAFF4-30D3-4ABA-8284-797589C1D11C}" srcOrd="0" destOrd="1" presId="urn:microsoft.com/office/officeart/2005/8/layout/chevron2"/>
    <dgm:cxn modelId="{EC48DC1C-B7DA-421E-9530-A51012C6DF34}" srcId="{CF4E8469-2610-4200-A4CB-0145EF787C7D}" destId="{C30189DA-DE25-4C31-B490-D019DD3BDA2D}" srcOrd="1" destOrd="0" parTransId="{D7D45D23-CD3F-486F-9AE2-FBB16655D227}" sibTransId="{976D998E-DC98-4A88-9EEB-DA644A6DEB2A}"/>
    <dgm:cxn modelId="{27D0F927-074C-4314-8A80-DDD4FE9B01AB}" type="presOf" srcId="{0A13544C-848E-448C-9BD1-C315AAE027E0}" destId="{CFC16C4C-7E8C-49CA-9799-4C7D5F1F1A98}" srcOrd="0" destOrd="0" presId="urn:microsoft.com/office/officeart/2005/8/layout/chevron2"/>
    <dgm:cxn modelId="{B547C828-A235-44B6-9583-332B7B0001AE}" type="presOf" srcId="{BDF6DA5B-EB50-4116-9F76-169BE9135118}" destId="{E5CE2364-8B88-4297-A03F-EAEFA905289F}" srcOrd="0" destOrd="1" presId="urn:microsoft.com/office/officeart/2005/8/layout/chevron2"/>
    <dgm:cxn modelId="{3B43BF29-4B95-44BF-8631-7C3FE0400154}" srcId="{00451517-0E5B-4435-B314-ECC949C61622}" destId="{0A13544C-848E-448C-9BD1-C315AAE027E0}" srcOrd="0" destOrd="0" parTransId="{F1F8FB8D-30C1-47F2-8DB5-68747099A3DA}" sibTransId="{68BDE68E-9FC5-446B-B4AD-0608C078BEC0}"/>
    <dgm:cxn modelId="{5DD0C22E-D03E-44DC-B386-8247443C166B}" srcId="{25EFDEB7-53CA-423D-8271-85320D4D7250}" destId="{7D5974FC-491C-4FF2-945E-56DB450538FB}" srcOrd="3" destOrd="0" parTransId="{4391FC6C-F0A3-47D0-A203-FA2393B5C258}" sibTransId="{AF0CE5BF-B8D1-4682-8E76-4D16F557FDE0}"/>
    <dgm:cxn modelId="{799CA231-EDF3-408B-9139-57EAD1834120}" type="presOf" srcId="{F96E8740-C404-4930-9088-3834D0E1B700}" destId="{61D96B8F-41FF-4269-8226-41FABAE78CEA}" srcOrd="0" destOrd="1" presId="urn:microsoft.com/office/officeart/2005/8/layout/chevron2"/>
    <dgm:cxn modelId="{FE9AF35B-B2E4-45F8-9D3E-78130EDDEBDF}" type="presOf" srcId="{00451517-0E5B-4435-B314-ECC949C61622}" destId="{A832B70F-FF2A-4DC9-ACCA-31675EED2C51}" srcOrd="0" destOrd="0" presId="urn:microsoft.com/office/officeart/2005/8/layout/chevron2"/>
    <dgm:cxn modelId="{BEE10863-48C2-4FCE-9304-80648364CF0C}" type="presOf" srcId="{623316EE-300B-48DB-8F75-02BE09CEEC6A}" destId="{E5CE2364-8B88-4297-A03F-EAEFA905289F}" srcOrd="0" destOrd="0" presId="urn:microsoft.com/office/officeart/2005/8/layout/chevron2"/>
    <dgm:cxn modelId="{BD907E68-BDEA-40CB-AA0D-FDBC66DDD0AA}" srcId="{25EFDEB7-53CA-423D-8271-85320D4D7250}" destId="{CF4E8469-2610-4200-A4CB-0145EF787C7D}" srcOrd="1" destOrd="0" parTransId="{758AD063-2C3D-4EB0-8A35-AE6C5E8E63DB}" sibTransId="{3152A3B2-5EDF-447C-BA64-4BEFAE3E98D5}"/>
    <dgm:cxn modelId="{895A2A4E-E7BF-487F-9919-4F528BBEA3A8}" type="presOf" srcId="{99249932-3550-4BB7-896C-C4CAAF79FA2B}" destId="{19FCAFF4-30D3-4ABA-8284-797589C1D11C}" srcOrd="0" destOrd="0" presId="urn:microsoft.com/office/officeart/2005/8/layout/chevron2"/>
    <dgm:cxn modelId="{6FA9DC50-F702-49F8-AB82-2E127F0FD950}" srcId="{D6065DBC-1EFA-4567-83AF-B51EE0842558}" destId="{F96E8740-C404-4930-9088-3834D0E1B700}" srcOrd="1" destOrd="0" parTransId="{FEE3789E-B47F-4918-802E-46AC0EFC90FD}" sibTransId="{DAEC4D46-9C76-4338-BFBD-E4D8862FFA53}"/>
    <dgm:cxn modelId="{F5561553-1499-43CC-94BE-CC389F7F59D5}" type="presOf" srcId="{F3424935-ADB4-4F41-8576-DCBFB8904EFB}" destId="{75C76C89-7C29-4649-8DF7-2F0C5494B4E4}" srcOrd="0" destOrd="0" presId="urn:microsoft.com/office/officeart/2005/8/layout/chevron2"/>
    <dgm:cxn modelId="{6A39E954-15CC-451C-9914-8F4F125244C0}" srcId="{25EFDEB7-53CA-423D-8271-85320D4D7250}" destId="{A9308883-0A39-4554-9377-4957D28580A5}" srcOrd="0" destOrd="0" parTransId="{D372542D-24F7-4BA9-A134-817665E7A94B}" sibTransId="{70C4D0A3-8F90-4BF1-BB3B-13F5F4A5120C}"/>
    <dgm:cxn modelId="{DBC06475-02E1-4189-92E6-AAFCA2B673CD}" type="presOf" srcId="{D6065DBC-1EFA-4567-83AF-B51EE0842558}" destId="{60FF07A4-C785-4D97-8DFC-B0EA14AF13C2}" srcOrd="0" destOrd="0" presId="urn:microsoft.com/office/officeart/2005/8/layout/chevron2"/>
    <dgm:cxn modelId="{46AFD358-0C7F-4859-9B52-BA0BB4C57E2D}" srcId="{25EFDEB7-53CA-423D-8271-85320D4D7250}" destId="{D6065DBC-1EFA-4567-83AF-B51EE0842558}" srcOrd="2" destOrd="0" parTransId="{A08821E4-4BDF-4D6A-B8F1-88DAE334D943}" sibTransId="{CE8E756B-3675-4A9C-AFA9-46E1B4FC0D59}"/>
    <dgm:cxn modelId="{0EFDEC7D-DF80-4B86-9BE5-C0E5E715F58C}" type="presOf" srcId="{A9308883-0A39-4554-9377-4957D28580A5}" destId="{CE0EE128-3F27-4F65-8263-2B5CD4F0E83D}" srcOrd="0" destOrd="0" presId="urn:microsoft.com/office/officeart/2005/8/layout/chevron2"/>
    <dgm:cxn modelId="{F4104D7E-F19F-473F-BFCF-189EDA4DC7CE}" srcId="{A9308883-0A39-4554-9377-4957D28580A5}" destId="{BDF6DA5B-EB50-4116-9F76-169BE9135118}" srcOrd="1" destOrd="0" parTransId="{7E2C1312-13B8-454F-AB32-40C641AAB393}" sibTransId="{9B16AC66-5EAC-44B8-A3EB-4E87FDA0A290}"/>
    <dgm:cxn modelId="{DB77A6A3-9801-41B6-B994-B88EF315C7B6}" srcId="{D6065DBC-1EFA-4567-83AF-B51EE0842558}" destId="{83730FE5-827A-405C-94C8-B6B9D8C475BC}" srcOrd="0" destOrd="0" parTransId="{47887182-E290-4987-A004-0DAB63B2A162}" sibTransId="{2C2ECA69-414F-4A45-9ED9-6BA2C4615C2D}"/>
    <dgm:cxn modelId="{41B0D1A3-CF59-4844-8C88-7BADC3F529B1}" type="presOf" srcId="{25EFDEB7-53CA-423D-8271-85320D4D7250}" destId="{6B0478A6-19A6-4479-A958-F2D0571AA1BB}" srcOrd="0" destOrd="0" presId="urn:microsoft.com/office/officeart/2005/8/layout/chevron2"/>
    <dgm:cxn modelId="{24B4D0A4-392E-4D5E-B156-635B2E491568}" srcId="{7D5974FC-491C-4FF2-945E-56DB450538FB}" destId="{F3424935-ADB4-4F41-8576-DCBFB8904EFB}" srcOrd="0" destOrd="0" parTransId="{3E795AE4-F247-4AD4-9B96-691769335B4E}" sibTransId="{DE16E338-1495-4D17-9CDC-EF3DC0149053}"/>
    <dgm:cxn modelId="{D3FB89B6-071F-415F-B49B-3243BDBE1ED7}" type="presOf" srcId="{7D5974FC-491C-4FF2-945E-56DB450538FB}" destId="{3558BF7A-17F6-4066-9DE5-566504A3A20E}" srcOrd="0" destOrd="0" presId="urn:microsoft.com/office/officeart/2005/8/layout/chevron2"/>
    <dgm:cxn modelId="{23C35ACC-FE60-4326-ADD0-E733EF12A3FC}" type="presOf" srcId="{83730FE5-827A-405C-94C8-B6B9D8C475BC}" destId="{61D96B8F-41FF-4269-8226-41FABAE78CEA}" srcOrd="0" destOrd="0" presId="urn:microsoft.com/office/officeart/2005/8/layout/chevron2"/>
    <dgm:cxn modelId="{E53B7ED9-5449-40F0-9BC1-4F044322EDD7}" srcId="{CF4E8469-2610-4200-A4CB-0145EF787C7D}" destId="{99249932-3550-4BB7-896C-C4CAAF79FA2B}" srcOrd="0" destOrd="0" parTransId="{9886E488-F9E9-4368-B53C-7F190C0BCB0E}" sibTransId="{2488BF09-BFFC-47B9-BEED-748219FF0BCE}"/>
    <dgm:cxn modelId="{2736C5DD-656E-4EC1-B8A6-A631DF0E8022}" srcId="{A9308883-0A39-4554-9377-4957D28580A5}" destId="{623316EE-300B-48DB-8F75-02BE09CEEC6A}" srcOrd="0" destOrd="0" parTransId="{357BDF3C-3516-410D-897A-5061284973F5}" sibTransId="{1D66E62B-FF91-4BD5-808E-10640BAD9298}"/>
    <dgm:cxn modelId="{7DC125DF-1071-44E2-82E0-5D37F39507E6}" srcId="{25EFDEB7-53CA-423D-8271-85320D4D7250}" destId="{00451517-0E5B-4435-B314-ECC949C61622}" srcOrd="4" destOrd="0" parTransId="{EE1D22C4-BC8D-4D15-8579-F615DDC9AFEF}" sibTransId="{7C7242AF-8EB8-46ED-A61F-67E269B84132}"/>
    <dgm:cxn modelId="{A7EEB8E9-620F-4EC8-AFF2-86FF2F5D7F02}" type="presOf" srcId="{CF4E8469-2610-4200-A4CB-0145EF787C7D}" destId="{1415675C-39AD-429C-A2C7-AF3C2962A01E}" srcOrd="0" destOrd="0" presId="urn:microsoft.com/office/officeart/2005/8/layout/chevron2"/>
    <dgm:cxn modelId="{2DD66FE0-F462-4CD2-9E61-B13144C86D7B}" type="presParOf" srcId="{6B0478A6-19A6-4479-A958-F2D0571AA1BB}" destId="{DB8F00F4-52D7-48FC-AEC4-9634E00A683A}" srcOrd="0" destOrd="0" presId="urn:microsoft.com/office/officeart/2005/8/layout/chevron2"/>
    <dgm:cxn modelId="{D7B6DBB5-A5A9-4BCB-AE5E-623239DEE9B6}" type="presParOf" srcId="{DB8F00F4-52D7-48FC-AEC4-9634E00A683A}" destId="{CE0EE128-3F27-4F65-8263-2B5CD4F0E83D}" srcOrd="0" destOrd="0" presId="urn:microsoft.com/office/officeart/2005/8/layout/chevron2"/>
    <dgm:cxn modelId="{2AFBC5E5-74DB-4710-A0B1-AFB7B05BBF53}" type="presParOf" srcId="{DB8F00F4-52D7-48FC-AEC4-9634E00A683A}" destId="{E5CE2364-8B88-4297-A03F-EAEFA905289F}" srcOrd="1" destOrd="0" presId="urn:microsoft.com/office/officeart/2005/8/layout/chevron2"/>
    <dgm:cxn modelId="{14FA99C2-E8DD-4054-9262-BF940040CDFC}" type="presParOf" srcId="{6B0478A6-19A6-4479-A958-F2D0571AA1BB}" destId="{FE0842C7-3EDD-4C4C-9CDF-F6FCA31A8CB4}" srcOrd="1" destOrd="0" presId="urn:microsoft.com/office/officeart/2005/8/layout/chevron2"/>
    <dgm:cxn modelId="{DAE8A166-7435-47BB-94DF-B8C7414F0ADC}" type="presParOf" srcId="{6B0478A6-19A6-4479-A958-F2D0571AA1BB}" destId="{D4D89056-9D40-49AE-8CDC-B65DBFE1D502}" srcOrd="2" destOrd="0" presId="urn:microsoft.com/office/officeart/2005/8/layout/chevron2"/>
    <dgm:cxn modelId="{53E25B8D-E02C-48CA-B718-75A257741AB0}" type="presParOf" srcId="{D4D89056-9D40-49AE-8CDC-B65DBFE1D502}" destId="{1415675C-39AD-429C-A2C7-AF3C2962A01E}" srcOrd="0" destOrd="0" presId="urn:microsoft.com/office/officeart/2005/8/layout/chevron2"/>
    <dgm:cxn modelId="{0117555A-CD8A-4172-B197-9B053E6945E9}" type="presParOf" srcId="{D4D89056-9D40-49AE-8CDC-B65DBFE1D502}" destId="{19FCAFF4-30D3-4ABA-8284-797589C1D11C}" srcOrd="1" destOrd="0" presId="urn:microsoft.com/office/officeart/2005/8/layout/chevron2"/>
    <dgm:cxn modelId="{D810FB36-9BCF-45F4-B9E3-BCED6214D907}" type="presParOf" srcId="{6B0478A6-19A6-4479-A958-F2D0571AA1BB}" destId="{5B422BA2-BAC0-4C3D-898F-52A4E495CAB1}" srcOrd="3" destOrd="0" presId="urn:microsoft.com/office/officeart/2005/8/layout/chevron2"/>
    <dgm:cxn modelId="{08676042-16DF-4420-A34A-99E5631DAF61}" type="presParOf" srcId="{6B0478A6-19A6-4479-A958-F2D0571AA1BB}" destId="{9BEF9F86-D4A9-4AD9-B551-E80C34708587}" srcOrd="4" destOrd="0" presId="urn:microsoft.com/office/officeart/2005/8/layout/chevron2"/>
    <dgm:cxn modelId="{2072D4DF-8D09-40CA-8E5E-C1EF058A5C44}" type="presParOf" srcId="{9BEF9F86-D4A9-4AD9-B551-E80C34708587}" destId="{60FF07A4-C785-4D97-8DFC-B0EA14AF13C2}" srcOrd="0" destOrd="0" presId="urn:microsoft.com/office/officeart/2005/8/layout/chevron2"/>
    <dgm:cxn modelId="{AEA2950A-B9C2-4378-89BA-D03E8260CC79}" type="presParOf" srcId="{9BEF9F86-D4A9-4AD9-B551-E80C34708587}" destId="{61D96B8F-41FF-4269-8226-41FABAE78CEA}" srcOrd="1" destOrd="0" presId="urn:microsoft.com/office/officeart/2005/8/layout/chevron2"/>
    <dgm:cxn modelId="{9ABCD3D0-77E5-44A8-B61A-B5E25A5A1FD4}" type="presParOf" srcId="{6B0478A6-19A6-4479-A958-F2D0571AA1BB}" destId="{BC96383A-0DAB-4A4D-B45C-841C801E8255}" srcOrd="5" destOrd="0" presId="urn:microsoft.com/office/officeart/2005/8/layout/chevron2"/>
    <dgm:cxn modelId="{ECCC418E-DF77-42F6-AAC6-2592A5AFABCC}" type="presParOf" srcId="{6B0478A6-19A6-4479-A958-F2D0571AA1BB}" destId="{173CC85E-8B66-456D-BE60-9A3AC0AB26C1}" srcOrd="6" destOrd="0" presId="urn:microsoft.com/office/officeart/2005/8/layout/chevron2"/>
    <dgm:cxn modelId="{41DF69A5-B2B0-4ABC-8DFC-51967B7B075F}" type="presParOf" srcId="{173CC85E-8B66-456D-BE60-9A3AC0AB26C1}" destId="{3558BF7A-17F6-4066-9DE5-566504A3A20E}" srcOrd="0" destOrd="0" presId="urn:microsoft.com/office/officeart/2005/8/layout/chevron2"/>
    <dgm:cxn modelId="{BDA7798B-A102-4775-97FF-834651F1AE1B}" type="presParOf" srcId="{173CC85E-8B66-456D-BE60-9A3AC0AB26C1}" destId="{75C76C89-7C29-4649-8DF7-2F0C5494B4E4}" srcOrd="1" destOrd="0" presId="urn:microsoft.com/office/officeart/2005/8/layout/chevron2"/>
    <dgm:cxn modelId="{B72D0D65-93A2-446A-8B03-B6BB07DCB751}" type="presParOf" srcId="{6B0478A6-19A6-4479-A958-F2D0571AA1BB}" destId="{2DDBD761-16CF-4D41-82F3-DF73BC46FD2B}" srcOrd="7" destOrd="0" presId="urn:microsoft.com/office/officeart/2005/8/layout/chevron2"/>
    <dgm:cxn modelId="{4D2D529F-325A-47BE-AC5D-12B68800CD11}" type="presParOf" srcId="{6B0478A6-19A6-4479-A958-F2D0571AA1BB}" destId="{586C0C36-7CDD-4DD0-A6C8-754F79B65F04}" srcOrd="8" destOrd="0" presId="urn:microsoft.com/office/officeart/2005/8/layout/chevron2"/>
    <dgm:cxn modelId="{0838269C-AB87-41C6-92D5-5B0492ED8374}" type="presParOf" srcId="{586C0C36-7CDD-4DD0-A6C8-754F79B65F04}" destId="{A832B70F-FF2A-4DC9-ACCA-31675EED2C51}" srcOrd="0" destOrd="0" presId="urn:microsoft.com/office/officeart/2005/8/layout/chevron2"/>
    <dgm:cxn modelId="{9E7AC831-7262-45B3-B5DA-1E6E3297D7EA}" type="presParOf" srcId="{586C0C36-7CDD-4DD0-A6C8-754F79B65F04}" destId="{CFC16C4C-7E8C-49CA-9799-4C7D5F1F1A98}" srcOrd="1" destOrd="0" presId="urn:microsoft.com/office/officeart/2005/8/layout/chevron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0EE128-3F27-4F65-8263-2B5CD4F0E83D}">
      <dsp:nvSpPr>
        <dsp:cNvPr id="0" name=""/>
        <dsp:cNvSpPr/>
      </dsp:nvSpPr>
      <dsp:spPr>
        <a:xfrm rot="5400000">
          <a:off x="-96389" y="96955"/>
          <a:ext cx="642593" cy="44981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t>Q4 2024</a:t>
          </a:r>
        </a:p>
      </dsp:txBody>
      <dsp:txXfrm rot="-5400000">
        <a:off x="1" y="225474"/>
        <a:ext cx="449815" cy="192778"/>
      </dsp:txXfrm>
    </dsp:sp>
    <dsp:sp modelId="{E5CE2364-8B88-4297-A03F-EAEFA905289F}">
      <dsp:nvSpPr>
        <dsp:cNvPr id="0" name=""/>
        <dsp:cNvSpPr/>
      </dsp:nvSpPr>
      <dsp:spPr>
        <a:xfrm rot="5400000">
          <a:off x="2934524" y="-2484142"/>
          <a:ext cx="417685" cy="538710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SzPts val="1000"/>
            <a:buFont typeface="Symbol" panose="05050102010706020507" pitchFamily="18" charset="2"/>
            <a:buNone/>
          </a:pPr>
          <a:r>
            <a:rPr lang="en-AU" sz="1000" b="1" kern="1200" baseline="0"/>
            <a:t>Consultation on policy design</a:t>
          </a:r>
        </a:p>
        <a:p>
          <a:pPr marL="57150" lvl="1" indent="-57150" algn="l" defTabSz="444500">
            <a:lnSpc>
              <a:spcPct val="90000"/>
            </a:lnSpc>
            <a:spcBef>
              <a:spcPct val="0"/>
            </a:spcBef>
            <a:spcAft>
              <a:spcPct val="15000"/>
            </a:spcAft>
            <a:buSzPts val="1000"/>
            <a:buFont typeface="Courier New" panose="02070309020205020404" pitchFamily="49" charset="0"/>
            <a:buNone/>
          </a:pPr>
          <a:r>
            <a:rPr lang="en-AU" sz="1000" kern="1200" baseline="0"/>
            <a:t>Request for feedback on the proposed cash acceptance mandate</a:t>
          </a:r>
          <a:r>
            <a:rPr lang="en-AU" sz="600" kern="1200"/>
            <a:t>.</a:t>
          </a:r>
        </a:p>
      </dsp:txBody>
      <dsp:txXfrm rot="-5400000">
        <a:off x="449815" y="20957"/>
        <a:ext cx="5366714" cy="376905"/>
      </dsp:txXfrm>
    </dsp:sp>
    <dsp:sp modelId="{1415675C-39AD-429C-A2C7-AF3C2962A01E}">
      <dsp:nvSpPr>
        <dsp:cNvPr id="0" name=""/>
        <dsp:cNvSpPr/>
      </dsp:nvSpPr>
      <dsp:spPr>
        <a:xfrm rot="5400000">
          <a:off x="-96389" y="612299"/>
          <a:ext cx="642593" cy="44981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SzPts val="1000"/>
            <a:buFont typeface="Courier New" panose="02070309020205020404" pitchFamily="49" charset="0"/>
            <a:buNone/>
          </a:pPr>
          <a:r>
            <a:rPr lang="en-AU" sz="1000" kern="1200"/>
            <a:t>Q1 2025</a:t>
          </a:r>
        </a:p>
      </dsp:txBody>
      <dsp:txXfrm rot="-5400000">
        <a:off x="1" y="740818"/>
        <a:ext cx="449815" cy="192778"/>
      </dsp:txXfrm>
    </dsp:sp>
    <dsp:sp modelId="{19FCAFF4-30D3-4ABA-8284-797589C1D11C}">
      <dsp:nvSpPr>
        <dsp:cNvPr id="0" name=""/>
        <dsp:cNvSpPr/>
      </dsp:nvSpPr>
      <dsp:spPr>
        <a:xfrm rot="5400000">
          <a:off x="2934524" y="-1968799"/>
          <a:ext cx="417685" cy="538710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SzPts val="1000"/>
            <a:buFont typeface="Courier New" panose="02070309020205020404" pitchFamily="49" charset="0"/>
            <a:buNone/>
          </a:pPr>
          <a:r>
            <a:rPr lang="en-AU" sz="1000" b="1" kern="1200"/>
            <a:t>Annoucement of policy deisgn</a:t>
          </a:r>
        </a:p>
        <a:p>
          <a:pPr marL="57150" lvl="1" indent="-57150" algn="l" defTabSz="444500">
            <a:lnSpc>
              <a:spcPct val="90000"/>
            </a:lnSpc>
            <a:spcBef>
              <a:spcPct val="0"/>
            </a:spcBef>
            <a:spcAft>
              <a:spcPct val="15000"/>
            </a:spcAft>
            <a:buSzPts val="1000"/>
            <a:buFont typeface="Courier New" panose="02070309020205020404" pitchFamily="49" charset="0"/>
            <a:buNone/>
          </a:pPr>
          <a:r>
            <a:rPr lang="en-AU" sz="1000" kern="1200"/>
            <a:t>Release of final cash acceptance mandate design</a:t>
          </a:r>
        </a:p>
      </dsp:txBody>
      <dsp:txXfrm rot="-5400000">
        <a:off x="449815" y="536300"/>
        <a:ext cx="5366714" cy="376905"/>
      </dsp:txXfrm>
    </dsp:sp>
    <dsp:sp modelId="{60FF07A4-C785-4D97-8DFC-B0EA14AF13C2}">
      <dsp:nvSpPr>
        <dsp:cNvPr id="0" name=""/>
        <dsp:cNvSpPr/>
      </dsp:nvSpPr>
      <dsp:spPr>
        <a:xfrm rot="5400000">
          <a:off x="-96389" y="1127642"/>
          <a:ext cx="642593" cy="44981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b="0" kern="1200"/>
            <a:t>Q3 2025</a:t>
          </a:r>
        </a:p>
      </dsp:txBody>
      <dsp:txXfrm rot="-5400000">
        <a:off x="1" y="1256161"/>
        <a:ext cx="449815" cy="192778"/>
      </dsp:txXfrm>
    </dsp:sp>
    <dsp:sp modelId="{61D96B8F-41FF-4269-8226-41FABAE78CEA}">
      <dsp:nvSpPr>
        <dsp:cNvPr id="0" name=""/>
        <dsp:cNvSpPr/>
      </dsp:nvSpPr>
      <dsp:spPr>
        <a:xfrm rot="5400000">
          <a:off x="2934524" y="-1453456"/>
          <a:ext cx="417685" cy="538710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SzPts val="1000"/>
            <a:buFont typeface="Symbol" panose="05050102010706020507" pitchFamily="18" charset="2"/>
            <a:buNone/>
          </a:pPr>
          <a:r>
            <a:rPr lang="en-AU" sz="1000" b="1" kern="1200"/>
            <a:t>Consultation on Exposure Draft</a:t>
          </a:r>
          <a:r>
            <a:rPr lang="en-AU" sz="1000" kern="1200"/>
            <a:t> </a:t>
          </a:r>
          <a:r>
            <a:rPr lang="en-AU" sz="1000" b="1" kern="1200"/>
            <a:t>legislation</a:t>
          </a:r>
          <a:endParaRPr lang="en-AU" sz="1000" kern="1200"/>
        </a:p>
        <a:p>
          <a:pPr marL="57150" lvl="1" indent="-57150" algn="l" defTabSz="444500">
            <a:lnSpc>
              <a:spcPct val="90000"/>
            </a:lnSpc>
            <a:spcBef>
              <a:spcPct val="0"/>
            </a:spcBef>
            <a:spcAft>
              <a:spcPct val="15000"/>
            </a:spcAft>
            <a:buSzPts val="1000"/>
            <a:buFont typeface="Symbol" panose="05050102010706020507" pitchFamily="18" charset="2"/>
            <a:buNone/>
          </a:pPr>
          <a:r>
            <a:rPr lang="en-AU" sz="1000" kern="1200"/>
            <a:t>Release of the Exposure Draft legislation for public consultation</a:t>
          </a:r>
        </a:p>
      </dsp:txBody>
      <dsp:txXfrm rot="-5400000">
        <a:off x="449815" y="1051643"/>
        <a:ext cx="5366714" cy="376905"/>
      </dsp:txXfrm>
    </dsp:sp>
    <dsp:sp modelId="{3558BF7A-17F6-4066-9DE5-566504A3A20E}">
      <dsp:nvSpPr>
        <dsp:cNvPr id="0" name=""/>
        <dsp:cNvSpPr/>
      </dsp:nvSpPr>
      <dsp:spPr>
        <a:xfrm rot="5400000">
          <a:off x="-96389" y="1642985"/>
          <a:ext cx="642593" cy="44981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SzPts val="1000"/>
            <a:buFont typeface="Symbol" panose="05050102010706020507" pitchFamily="18" charset="2"/>
            <a:buNone/>
          </a:pPr>
          <a:r>
            <a:rPr lang="en-AU" sz="1000" kern="1200"/>
            <a:t>Q4 2025</a:t>
          </a:r>
        </a:p>
      </dsp:txBody>
      <dsp:txXfrm rot="-5400000">
        <a:off x="1" y="1771504"/>
        <a:ext cx="449815" cy="192778"/>
      </dsp:txXfrm>
    </dsp:sp>
    <dsp:sp modelId="{75C76C89-7C29-4649-8DF7-2F0C5494B4E4}">
      <dsp:nvSpPr>
        <dsp:cNvPr id="0" name=""/>
        <dsp:cNvSpPr/>
      </dsp:nvSpPr>
      <dsp:spPr>
        <a:xfrm rot="5400000">
          <a:off x="2934524" y="-938112"/>
          <a:ext cx="417685" cy="538710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SzPts val="1000"/>
            <a:buFont typeface="Symbol" panose="05050102010706020507" pitchFamily="18" charset="2"/>
            <a:buNone/>
          </a:pPr>
          <a:r>
            <a:rPr lang="en-AU" sz="1000" b="1" kern="1200"/>
            <a:t>Introduction and proposed passage of legislation by Parliament</a:t>
          </a:r>
        </a:p>
      </dsp:txBody>
      <dsp:txXfrm rot="-5400000">
        <a:off x="449815" y="1566987"/>
        <a:ext cx="5366714" cy="376905"/>
      </dsp:txXfrm>
    </dsp:sp>
    <dsp:sp modelId="{A832B70F-FF2A-4DC9-ACCA-31675EED2C51}">
      <dsp:nvSpPr>
        <dsp:cNvPr id="0" name=""/>
        <dsp:cNvSpPr/>
      </dsp:nvSpPr>
      <dsp:spPr>
        <a:xfrm rot="5400000">
          <a:off x="-96389" y="2158328"/>
          <a:ext cx="642593" cy="44981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SzPts val="1000"/>
            <a:buFont typeface="Symbol" panose="05050102010706020507" pitchFamily="18" charset="2"/>
            <a:buNone/>
          </a:pPr>
          <a:r>
            <a:rPr lang="en-AU" sz="1000" kern="1200"/>
            <a:t>Q1 2026</a:t>
          </a:r>
        </a:p>
      </dsp:txBody>
      <dsp:txXfrm rot="-5400000">
        <a:off x="1" y="2286847"/>
        <a:ext cx="449815" cy="192778"/>
      </dsp:txXfrm>
    </dsp:sp>
    <dsp:sp modelId="{CFC16C4C-7E8C-49CA-9799-4C7D5F1F1A98}">
      <dsp:nvSpPr>
        <dsp:cNvPr id="0" name=""/>
        <dsp:cNvSpPr/>
      </dsp:nvSpPr>
      <dsp:spPr>
        <a:xfrm rot="5400000">
          <a:off x="2934524" y="-422769"/>
          <a:ext cx="417685" cy="538710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SzPts val="1000"/>
            <a:buFont typeface="Symbol" panose="05050102010706020507" pitchFamily="18" charset="2"/>
            <a:buNone/>
          </a:pPr>
          <a:r>
            <a:rPr lang="en-AU" sz="1000" b="1" kern="1200"/>
            <a:t>Commencement on 1 January 2026 (subject to timing of passage of legislation)</a:t>
          </a:r>
        </a:p>
      </dsp:txBody>
      <dsp:txXfrm rot="-5400000">
        <a:off x="449815" y="2082330"/>
        <a:ext cx="5366714" cy="37690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11246</Words>
  <Characters>63882</Characters>
  <Application>Microsoft Office Word</Application>
  <DocSecurity>0</DocSecurity>
  <Lines>1030</Lines>
  <Paragraphs>452</Paragraphs>
  <ScaleCrop>false</ScaleCrop>
  <HeadingPairs>
    <vt:vector size="2" baseType="variant">
      <vt:variant>
        <vt:lpstr>Title</vt:lpstr>
      </vt:variant>
      <vt:variant>
        <vt:i4>1</vt:i4>
      </vt:variant>
    </vt:vector>
  </HeadingPairs>
  <TitlesOfParts>
    <vt:vector size="1" baseType="lpstr">
      <vt:lpstr>Consultation paper: Mandating cash acceptance</vt:lpstr>
    </vt:vector>
  </TitlesOfParts>
  <Company/>
  <LinksUpToDate>false</LinksUpToDate>
  <CharactersWithSpaces>74676</CharactersWithSpaces>
  <SharedDoc>false</SharedDoc>
  <HLinks>
    <vt:vector size="300" baseType="variant">
      <vt:variant>
        <vt:i4>4128819</vt:i4>
      </vt:variant>
      <vt:variant>
        <vt:i4>240</vt:i4>
      </vt:variant>
      <vt:variant>
        <vt:i4>0</vt:i4>
      </vt:variant>
      <vt:variant>
        <vt:i4>5</vt:i4>
      </vt:variant>
      <vt:variant>
        <vt:lpwstr>https://melbourneinstitute.unimelb.edu.au/publications/social-indicator-reports</vt:lpwstr>
      </vt:variant>
      <vt:variant>
        <vt:lpwstr/>
      </vt:variant>
      <vt:variant>
        <vt:i4>7798816</vt:i4>
      </vt:variant>
      <vt:variant>
        <vt:i4>237</vt:i4>
      </vt:variant>
      <vt:variant>
        <vt:i4>0</vt:i4>
      </vt:variant>
      <vt:variant>
        <vt:i4>5</vt:i4>
      </vt:variant>
      <vt:variant>
        <vt:lpwstr>https://www.infrastructure.gov.au/media-communications-arts/first-nations-digital-inclusion</vt:lpwstr>
      </vt:variant>
      <vt:variant>
        <vt:lpwstr>:~:text=Based%20on%20the%20recommendations%20in,First%20Nations%20Digital%20Support%20Hub</vt:lpwstr>
      </vt:variant>
      <vt:variant>
        <vt:i4>3276906</vt:i4>
      </vt:variant>
      <vt:variant>
        <vt:i4>234</vt:i4>
      </vt:variant>
      <vt:variant>
        <vt:i4>0</vt:i4>
      </vt:variant>
      <vt:variant>
        <vt:i4>5</vt:i4>
      </vt:variant>
      <vt:variant>
        <vt:lpwstr>https://www.digitalinclusion.gov.au/sites/default/files/documents/first-nations-digital-inclusion-advisory-group-initial-report.pdf</vt:lpwstr>
      </vt:variant>
      <vt:variant>
        <vt:lpwstr/>
      </vt:variant>
      <vt:variant>
        <vt:i4>6291503</vt:i4>
      </vt:variant>
      <vt:variant>
        <vt:i4>231</vt:i4>
      </vt:variant>
      <vt:variant>
        <vt:i4>0</vt:i4>
      </vt:variant>
      <vt:variant>
        <vt:i4>5</vt:i4>
      </vt:variant>
      <vt:variant>
        <vt:lpwstr>https://regionaltechhub.org.au/</vt:lpwstr>
      </vt:variant>
      <vt:variant>
        <vt:lpwstr/>
      </vt:variant>
      <vt:variant>
        <vt:i4>1179665</vt:i4>
      </vt:variant>
      <vt:variant>
        <vt:i4>228</vt:i4>
      </vt:variant>
      <vt:variant>
        <vt:i4>0</vt:i4>
      </vt:variant>
      <vt:variant>
        <vt:i4>5</vt:i4>
      </vt:variant>
      <vt:variant>
        <vt:lpwstr>https://www.infrastructure.gov.au/media-communications-arts/better-connectivity-plan-regional-and-rural-australia</vt:lpwstr>
      </vt:variant>
      <vt:variant>
        <vt:lpwstr/>
      </vt:variant>
      <vt:variant>
        <vt:i4>983042</vt:i4>
      </vt:variant>
      <vt:variant>
        <vt:i4>225</vt:i4>
      </vt:variant>
      <vt:variant>
        <vt:i4>0</vt:i4>
      </vt:variant>
      <vt:variant>
        <vt:i4>5</vt:i4>
      </vt:variant>
      <vt:variant>
        <vt:lpwstr>https://www.dss.gov.au/disability-and-carers-programs-services-for-people-with-disability/information-linkages-and-capacity-building-ilc-program</vt:lpwstr>
      </vt:variant>
      <vt:variant>
        <vt:lpwstr/>
      </vt:variant>
      <vt:variant>
        <vt:i4>2490418</vt:i4>
      </vt:variant>
      <vt:variant>
        <vt:i4>222</vt:i4>
      </vt:variant>
      <vt:variant>
        <vt:i4>0</vt:i4>
      </vt:variant>
      <vt:variant>
        <vt:i4>5</vt:i4>
      </vt:variant>
      <vt:variant>
        <vt:lpwstr>https://beconnected.esafety.gov.au/</vt:lpwstr>
      </vt:variant>
      <vt:variant>
        <vt:lpwstr/>
      </vt:variant>
      <vt:variant>
        <vt:i4>1638453</vt:i4>
      </vt:variant>
      <vt:variant>
        <vt:i4>215</vt:i4>
      </vt:variant>
      <vt:variant>
        <vt:i4>0</vt:i4>
      </vt:variant>
      <vt:variant>
        <vt:i4>5</vt:i4>
      </vt:variant>
      <vt:variant>
        <vt:lpwstr/>
      </vt:variant>
      <vt:variant>
        <vt:lpwstr>_Toc183137403</vt:lpwstr>
      </vt:variant>
      <vt:variant>
        <vt:i4>1638453</vt:i4>
      </vt:variant>
      <vt:variant>
        <vt:i4>209</vt:i4>
      </vt:variant>
      <vt:variant>
        <vt:i4>0</vt:i4>
      </vt:variant>
      <vt:variant>
        <vt:i4>5</vt:i4>
      </vt:variant>
      <vt:variant>
        <vt:lpwstr/>
      </vt:variant>
      <vt:variant>
        <vt:lpwstr>_Toc183137402</vt:lpwstr>
      </vt:variant>
      <vt:variant>
        <vt:i4>1638453</vt:i4>
      </vt:variant>
      <vt:variant>
        <vt:i4>203</vt:i4>
      </vt:variant>
      <vt:variant>
        <vt:i4>0</vt:i4>
      </vt:variant>
      <vt:variant>
        <vt:i4>5</vt:i4>
      </vt:variant>
      <vt:variant>
        <vt:lpwstr/>
      </vt:variant>
      <vt:variant>
        <vt:lpwstr>_Toc183137401</vt:lpwstr>
      </vt:variant>
      <vt:variant>
        <vt:i4>1638453</vt:i4>
      </vt:variant>
      <vt:variant>
        <vt:i4>197</vt:i4>
      </vt:variant>
      <vt:variant>
        <vt:i4>0</vt:i4>
      </vt:variant>
      <vt:variant>
        <vt:i4>5</vt:i4>
      </vt:variant>
      <vt:variant>
        <vt:lpwstr/>
      </vt:variant>
      <vt:variant>
        <vt:lpwstr>_Toc183137400</vt:lpwstr>
      </vt:variant>
      <vt:variant>
        <vt:i4>1048626</vt:i4>
      </vt:variant>
      <vt:variant>
        <vt:i4>191</vt:i4>
      </vt:variant>
      <vt:variant>
        <vt:i4>0</vt:i4>
      </vt:variant>
      <vt:variant>
        <vt:i4>5</vt:i4>
      </vt:variant>
      <vt:variant>
        <vt:lpwstr/>
      </vt:variant>
      <vt:variant>
        <vt:lpwstr>_Toc183137399</vt:lpwstr>
      </vt:variant>
      <vt:variant>
        <vt:i4>1048626</vt:i4>
      </vt:variant>
      <vt:variant>
        <vt:i4>185</vt:i4>
      </vt:variant>
      <vt:variant>
        <vt:i4>0</vt:i4>
      </vt:variant>
      <vt:variant>
        <vt:i4>5</vt:i4>
      </vt:variant>
      <vt:variant>
        <vt:lpwstr/>
      </vt:variant>
      <vt:variant>
        <vt:lpwstr>_Toc183137398</vt:lpwstr>
      </vt:variant>
      <vt:variant>
        <vt:i4>1048626</vt:i4>
      </vt:variant>
      <vt:variant>
        <vt:i4>179</vt:i4>
      </vt:variant>
      <vt:variant>
        <vt:i4>0</vt:i4>
      </vt:variant>
      <vt:variant>
        <vt:i4>5</vt:i4>
      </vt:variant>
      <vt:variant>
        <vt:lpwstr/>
      </vt:variant>
      <vt:variant>
        <vt:lpwstr>_Toc183137397</vt:lpwstr>
      </vt:variant>
      <vt:variant>
        <vt:i4>1048626</vt:i4>
      </vt:variant>
      <vt:variant>
        <vt:i4>173</vt:i4>
      </vt:variant>
      <vt:variant>
        <vt:i4>0</vt:i4>
      </vt:variant>
      <vt:variant>
        <vt:i4>5</vt:i4>
      </vt:variant>
      <vt:variant>
        <vt:lpwstr/>
      </vt:variant>
      <vt:variant>
        <vt:lpwstr>_Toc183137396</vt:lpwstr>
      </vt:variant>
      <vt:variant>
        <vt:i4>1048626</vt:i4>
      </vt:variant>
      <vt:variant>
        <vt:i4>167</vt:i4>
      </vt:variant>
      <vt:variant>
        <vt:i4>0</vt:i4>
      </vt:variant>
      <vt:variant>
        <vt:i4>5</vt:i4>
      </vt:variant>
      <vt:variant>
        <vt:lpwstr/>
      </vt:variant>
      <vt:variant>
        <vt:lpwstr>_Toc183137395</vt:lpwstr>
      </vt:variant>
      <vt:variant>
        <vt:i4>1048626</vt:i4>
      </vt:variant>
      <vt:variant>
        <vt:i4>161</vt:i4>
      </vt:variant>
      <vt:variant>
        <vt:i4>0</vt:i4>
      </vt:variant>
      <vt:variant>
        <vt:i4>5</vt:i4>
      </vt:variant>
      <vt:variant>
        <vt:lpwstr/>
      </vt:variant>
      <vt:variant>
        <vt:lpwstr>_Toc183137394</vt:lpwstr>
      </vt:variant>
      <vt:variant>
        <vt:i4>1048626</vt:i4>
      </vt:variant>
      <vt:variant>
        <vt:i4>155</vt:i4>
      </vt:variant>
      <vt:variant>
        <vt:i4>0</vt:i4>
      </vt:variant>
      <vt:variant>
        <vt:i4>5</vt:i4>
      </vt:variant>
      <vt:variant>
        <vt:lpwstr/>
      </vt:variant>
      <vt:variant>
        <vt:lpwstr>_Toc183137393</vt:lpwstr>
      </vt:variant>
      <vt:variant>
        <vt:i4>1048626</vt:i4>
      </vt:variant>
      <vt:variant>
        <vt:i4>149</vt:i4>
      </vt:variant>
      <vt:variant>
        <vt:i4>0</vt:i4>
      </vt:variant>
      <vt:variant>
        <vt:i4>5</vt:i4>
      </vt:variant>
      <vt:variant>
        <vt:lpwstr/>
      </vt:variant>
      <vt:variant>
        <vt:lpwstr>_Toc183137392</vt:lpwstr>
      </vt:variant>
      <vt:variant>
        <vt:i4>1048626</vt:i4>
      </vt:variant>
      <vt:variant>
        <vt:i4>143</vt:i4>
      </vt:variant>
      <vt:variant>
        <vt:i4>0</vt:i4>
      </vt:variant>
      <vt:variant>
        <vt:i4>5</vt:i4>
      </vt:variant>
      <vt:variant>
        <vt:lpwstr/>
      </vt:variant>
      <vt:variant>
        <vt:lpwstr>_Toc183137391</vt:lpwstr>
      </vt:variant>
      <vt:variant>
        <vt:i4>1048626</vt:i4>
      </vt:variant>
      <vt:variant>
        <vt:i4>137</vt:i4>
      </vt:variant>
      <vt:variant>
        <vt:i4>0</vt:i4>
      </vt:variant>
      <vt:variant>
        <vt:i4>5</vt:i4>
      </vt:variant>
      <vt:variant>
        <vt:lpwstr/>
      </vt:variant>
      <vt:variant>
        <vt:lpwstr>_Toc183137390</vt:lpwstr>
      </vt:variant>
      <vt:variant>
        <vt:i4>1114162</vt:i4>
      </vt:variant>
      <vt:variant>
        <vt:i4>131</vt:i4>
      </vt:variant>
      <vt:variant>
        <vt:i4>0</vt:i4>
      </vt:variant>
      <vt:variant>
        <vt:i4>5</vt:i4>
      </vt:variant>
      <vt:variant>
        <vt:lpwstr/>
      </vt:variant>
      <vt:variant>
        <vt:lpwstr>_Toc183137389</vt:lpwstr>
      </vt:variant>
      <vt:variant>
        <vt:i4>1114162</vt:i4>
      </vt:variant>
      <vt:variant>
        <vt:i4>125</vt:i4>
      </vt:variant>
      <vt:variant>
        <vt:i4>0</vt:i4>
      </vt:variant>
      <vt:variant>
        <vt:i4>5</vt:i4>
      </vt:variant>
      <vt:variant>
        <vt:lpwstr/>
      </vt:variant>
      <vt:variant>
        <vt:lpwstr>_Toc183137388</vt:lpwstr>
      </vt:variant>
      <vt:variant>
        <vt:i4>1114162</vt:i4>
      </vt:variant>
      <vt:variant>
        <vt:i4>119</vt:i4>
      </vt:variant>
      <vt:variant>
        <vt:i4>0</vt:i4>
      </vt:variant>
      <vt:variant>
        <vt:i4>5</vt:i4>
      </vt:variant>
      <vt:variant>
        <vt:lpwstr/>
      </vt:variant>
      <vt:variant>
        <vt:lpwstr>_Toc183137387</vt:lpwstr>
      </vt:variant>
      <vt:variant>
        <vt:i4>1114162</vt:i4>
      </vt:variant>
      <vt:variant>
        <vt:i4>113</vt:i4>
      </vt:variant>
      <vt:variant>
        <vt:i4>0</vt:i4>
      </vt:variant>
      <vt:variant>
        <vt:i4>5</vt:i4>
      </vt:variant>
      <vt:variant>
        <vt:lpwstr/>
      </vt:variant>
      <vt:variant>
        <vt:lpwstr>_Toc183137386</vt:lpwstr>
      </vt:variant>
      <vt:variant>
        <vt:i4>1114162</vt:i4>
      </vt:variant>
      <vt:variant>
        <vt:i4>107</vt:i4>
      </vt:variant>
      <vt:variant>
        <vt:i4>0</vt:i4>
      </vt:variant>
      <vt:variant>
        <vt:i4>5</vt:i4>
      </vt:variant>
      <vt:variant>
        <vt:lpwstr/>
      </vt:variant>
      <vt:variant>
        <vt:lpwstr>_Toc183137385</vt:lpwstr>
      </vt:variant>
      <vt:variant>
        <vt:i4>1114162</vt:i4>
      </vt:variant>
      <vt:variant>
        <vt:i4>101</vt:i4>
      </vt:variant>
      <vt:variant>
        <vt:i4>0</vt:i4>
      </vt:variant>
      <vt:variant>
        <vt:i4>5</vt:i4>
      </vt:variant>
      <vt:variant>
        <vt:lpwstr/>
      </vt:variant>
      <vt:variant>
        <vt:lpwstr>_Toc183137384</vt:lpwstr>
      </vt:variant>
      <vt:variant>
        <vt:i4>1114162</vt:i4>
      </vt:variant>
      <vt:variant>
        <vt:i4>95</vt:i4>
      </vt:variant>
      <vt:variant>
        <vt:i4>0</vt:i4>
      </vt:variant>
      <vt:variant>
        <vt:i4>5</vt:i4>
      </vt:variant>
      <vt:variant>
        <vt:lpwstr/>
      </vt:variant>
      <vt:variant>
        <vt:lpwstr>_Toc183137383</vt:lpwstr>
      </vt:variant>
      <vt:variant>
        <vt:i4>1114162</vt:i4>
      </vt:variant>
      <vt:variant>
        <vt:i4>89</vt:i4>
      </vt:variant>
      <vt:variant>
        <vt:i4>0</vt:i4>
      </vt:variant>
      <vt:variant>
        <vt:i4>5</vt:i4>
      </vt:variant>
      <vt:variant>
        <vt:lpwstr/>
      </vt:variant>
      <vt:variant>
        <vt:lpwstr>_Toc183137382</vt:lpwstr>
      </vt:variant>
      <vt:variant>
        <vt:i4>1114162</vt:i4>
      </vt:variant>
      <vt:variant>
        <vt:i4>83</vt:i4>
      </vt:variant>
      <vt:variant>
        <vt:i4>0</vt:i4>
      </vt:variant>
      <vt:variant>
        <vt:i4>5</vt:i4>
      </vt:variant>
      <vt:variant>
        <vt:lpwstr/>
      </vt:variant>
      <vt:variant>
        <vt:lpwstr>_Toc183137381</vt:lpwstr>
      </vt:variant>
      <vt:variant>
        <vt:i4>1114162</vt:i4>
      </vt:variant>
      <vt:variant>
        <vt:i4>77</vt:i4>
      </vt:variant>
      <vt:variant>
        <vt:i4>0</vt:i4>
      </vt:variant>
      <vt:variant>
        <vt:i4>5</vt:i4>
      </vt:variant>
      <vt:variant>
        <vt:lpwstr/>
      </vt:variant>
      <vt:variant>
        <vt:lpwstr>_Toc183137380</vt:lpwstr>
      </vt:variant>
      <vt:variant>
        <vt:i4>1966130</vt:i4>
      </vt:variant>
      <vt:variant>
        <vt:i4>71</vt:i4>
      </vt:variant>
      <vt:variant>
        <vt:i4>0</vt:i4>
      </vt:variant>
      <vt:variant>
        <vt:i4>5</vt:i4>
      </vt:variant>
      <vt:variant>
        <vt:lpwstr/>
      </vt:variant>
      <vt:variant>
        <vt:lpwstr>_Toc183137379</vt:lpwstr>
      </vt:variant>
      <vt:variant>
        <vt:i4>1966130</vt:i4>
      </vt:variant>
      <vt:variant>
        <vt:i4>65</vt:i4>
      </vt:variant>
      <vt:variant>
        <vt:i4>0</vt:i4>
      </vt:variant>
      <vt:variant>
        <vt:i4>5</vt:i4>
      </vt:variant>
      <vt:variant>
        <vt:lpwstr/>
      </vt:variant>
      <vt:variant>
        <vt:lpwstr>_Toc183137378</vt:lpwstr>
      </vt:variant>
      <vt:variant>
        <vt:i4>1966130</vt:i4>
      </vt:variant>
      <vt:variant>
        <vt:i4>59</vt:i4>
      </vt:variant>
      <vt:variant>
        <vt:i4>0</vt:i4>
      </vt:variant>
      <vt:variant>
        <vt:i4>5</vt:i4>
      </vt:variant>
      <vt:variant>
        <vt:lpwstr/>
      </vt:variant>
      <vt:variant>
        <vt:lpwstr>_Toc183137377</vt:lpwstr>
      </vt:variant>
      <vt:variant>
        <vt:i4>1966130</vt:i4>
      </vt:variant>
      <vt:variant>
        <vt:i4>53</vt:i4>
      </vt:variant>
      <vt:variant>
        <vt:i4>0</vt:i4>
      </vt:variant>
      <vt:variant>
        <vt:i4>5</vt:i4>
      </vt:variant>
      <vt:variant>
        <vt:lpwstr/>
      </vt:variant>
      <vt:variant>
        <vt:lpwstr>_Toc183137376</vt:lpwstr>
      </vt:variant>
      <vt:variant>
        <vt:i4>1966130</vt:i4>
      </vt:variant>
      <vt:variant>
        <vt:i4>47</vt:i4>
      </vt:variant>
      <vt:variant>
        <vt:i4>0</vt:i4>
      </vt:variant>
      <vt:variant>
        <vt:i4>5</vt:i4>
      </vt:variant>
      <vt:variant>
        <vt:lpwstr/>
      </vt:variant>
      <vt:variant>
        <vt:lpwstr>_Toc183137375</vt:lpwstr>
      </vt:variant>
      <vt:variant>
        <vt:i4>1966130</vt:i4>
      </vt:variant>
      <vt:variant>
        <vt:i4>41</vt:i4>
      </vt:variant>
      <vt:variant>
        <vt:i4>0</vt:i4>
      </vt:variant>
      <vt:variant>
        <vt:i4>5</vt:i4>
      </vt:variant>
      <vt:variant>
        <vt:lpwstr/>
      </vt:variant>
      <vt:variant>
        <vt:lpwstr>_Toc183137374</vt:lpwstr>
      </vt:variant>
      <vt:variant>
        <vt:i4>1966130</vt:i4>
      </vt:variant>
      <vt:variant>
        <vt:i4>35</vt:i4>
      </vt:variant>
      <vt:variant>
        <vt:i4>0</vt:i4>
      </vt:variant>
      <vt:variant>
        <vt:i4>5</vt:i4>
      </vt:variant>
      <vt:variant>
        <vt:lpwstr/>
      </vt:variant>
      <vt:variant>
        <vt:lpwstr>_Toc183137373</vt:lpwstr>
      </vt:variant>
      <vt:variant>
        <vt:i4>1966130</vt:i4>
      </vt:variant>
      <vt:variant>
        <vt:i4>29</vt:i4>
      </vt:variant>
      <vt:variant>
        <vt:i4>0</vt:i4>
      </vt:variant>
      <vt:variant>
        <vt:i4>5</vt:i4>
      </vt:variant>
      <vt:variant>
        <vt:lpwstr/>
      </vt:variant>
      <vt:variant>
        <vt:lpwstr>_Toc183137372</vt:lpwstr>
      </vt:variant>
      <vt:variant>
        <vt:i4>1966130</vt:i4>
      </vt:variant>
      <vt:variant>
        <vt:i4>23</vt:i4>
      </vt:variant>
      <vt:variant>
        <vt:i4>0</vt:i4>
      </vt:variant>
      <vt:variant>
        <vt:i4>5</vt:i4>
      </vt:variant>
      <vt:variant>
        <vt:lpwstr/>
      </vt:variant>
      <vt:variant>
        <vt:lpwstr>_Toc183137371</vt:lpwstr>
      </vt:variant>
      <vt:variant>
        <vt:i4>1966130</vt:i4>
      </vt:variant>
      <vt:variant>
        <vt:i4>17</vt:i4>
      </vt:variant>
      <vt:variant>
        <vt:i4>0</vt:i4>
      </vt:variant>
      <vt:variant>
        <vt:i4>5</vt:i4>
      </vt:variant>
      <vt:variant>
        <vt:lpwstr/>
      </vt:variant>
      <vt:variant>
        <vt:lpwstr>_Toc183137370</vt:lpwstr>
      </vt:variant>
      <vt:variant>
        <vt:i4>105</vt:i4>
      </vt:variant>
      <vt:variant>
        <vt:i4>12</vt:i4>
      </vt:variant>
      <vt:variant>
        <vt:i4>0</vt:i4>
      </vt:variant>
      <vt:variant>
        <vt:i4>5</vt:i4>
      </vt:variant>
      <vt:variant>
        <vt:lpwstr>mailto:media@treasury.gov.au</vt:lpwstr>
      </vt:variant>
      <vt:variant>
        <vt:lpwstr/>
      </vt:variant>
      <vt:variant>
        <vt:i4>2818104</vt:i4>
      </vt:variant>
      <vt:variant>
        <vt:i4>9</vt:i4>
      </vt:variant>
      <vt:variant>
        <vt:i4>0</vt:i4>
      </vt:variant>
      <vt:variant>
        <vt:i4>5</vt:i4>
      </vt:variant>
      <vt:variant>
        <vt:lpwstr>http://www.pmc.gov.au/government/commonwealth-coat-arms</vt:lpwstr>
      </vt:variant>
      <vt:variant>
        <vt:lpwstr/>
      </vt:variant>
      <vt:variant>
        <vt:i4>5308424</vt:i4>
      </vt:variant>
      <vt:variant>
        <vt:i4>6</vt:i4>
      </vt:variant>
      <vt:variant>
        <vt:i4>0</vt:i4>
      </vt:variant>
      <vt:variant>
        <vt:i4>5</vt:i4>
      </vt:variant>
      <vt:variant>
        <vt:lpwstr>https://creativecommons.org/licenses/by/4.0/</vt:lpwstr>
      </vt:variant>
      <vt:variant>
        <vt:lpwstr/>
      </vt:variant>
      <vt:variant>
        <vt:i4>917578</vt:i4>
      </vt:variant>
      <vt:variant>
        <vt:i4>3</vt:i4>
      </vt:variant>
      <vt:variant>
        <vt:i4>0</vt:i4>
      </vt:variant>
      <vt:variant>
        <vt:i4>5</vt:i4>
      </vt:variant>
      <vt:variant>
        <vt:lpwstr>http://creativecommons.org/licenses/by/4.0/legalcode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ariant>
        <vt:i4>4128819</vt:i4>
      </vt:variant>
      <vt:variant>
        <vt:i4>9</vt:i4>
      </vt:variant>
      <vt:variant>
        <vt:i4>0</vt:i4>
      </vt:variant>
      <vt:variant>
        <vt:i4>5</vt:i4>
      </vt:variant>
      <vt:variant>
        <vt:lpwstr>https://melbourneinstitute.unimelb.edu.au/publications/social-indicator-reports</vt:lpwstr>
      </vt:variant>
      <vt:variant>
        <vt:lpwstr/>
      </vt:variant>
      <vt:variant>
        <vt:i4>3342460</vt:i4>
      </vt:variant>
      <vt:variant>
        <vt:i4>6</vt:i4>
      </vt:variant>
      <vt:variant>
        <vt:i4>0</vt:i4>
      </vt:variant>
      <vt:variant>
        <vt:i4>5</vt:i4>
      </vt:variant>
      <vt:variant>
        <vt:lpwstr>https://www.abs.gov.au/articles/measuring-non-discretionary-and-discretionary-inflation</vt:lpwstr>
      </vt:variant>
      <vt:variant>
        <vt:lpwstr/>
      </vt:variant>
      <vt:variant>
        <vt:i4>3342460</vt:i4>
      </vt:variant>
      <vt:variant>
        <vt:i4>3</vt:i4>
      </vt:variant>
      <vt:variant>
        <vt:i4>0</vt:i4>
      </vt:variant>
      <vt:variant>
        <vt:i4>5</vt:i4>
      </vt:variant>
      <vt:variant>
        <vt:lpwstr>https://www.abs.gov.au/articles/measuring-non-discretionary-and-discretionary-inflation</vt:lpwstr>
      </vt:variant>
      <vt:variant>
        <vt:lpwstr/>
      </vt:variant>
      <vt:variant>
        <vt:i4>7864419</vt:i4>
      </vt:variant>
      <vt:variant>
        <vt:i4>0</vt:i4>
      </vt:variant>
      <vt:variant>
        <vt:i4>0</vt:i4>
      </vt:variant>
      <vt:variant>
        <vt:i4>5</vt:i4>
      </vt:variant>
      <vt:variant>
        <vt:lpwstr>https://ministers.treasury.gov.au/ministers/stephen-jones-2022/media-releases/fighting-back-against-scammer-scourge-government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Mandating cash acceptance</dc:title>
  <dc:subject/>
  <dc:creator/>
  <cp:keywords/>
  <dc:description/>
  <cp:lastModifiedBy/>
  <cp:revision>1</cp:revision>
  <dcterms:created xsi:type="dcterms:W3CDTF">2024-12-19T04:06:00Z</dcterms:created>
  <dcterms:modified xsi:type="dcterms:W3CDTF">2024-12-19T04:07:00Z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2024-12-19T04:07:45Z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0fe05109-cb97-42f4-adc2-8670a306039b</vt:lpwstr>
  </property>
  <property fmtid="{D5CDD505-2E9C-101B-9397-08002B2CF9AE}" pid="8" name="MSIP_Label_4f932d64-9ab1-4d9b-81d2-a3a8b82dd47d_ContentBits">
    <vt:lpwstr>0</vt:lpwstr>
  </property>
</Properties>
</file>