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EF20" w14:textId="1847E540" w:rsidR="00DA10EC" w:rsidRPr="008C7D87" w:rsidRDefault="00DA10EC" w:rsidP="00DA10EC">
      <w:pPr>
        <w:pStyle w:val="PlainParagraph"/>
        <w:pBdr>
          <w:top w:val="single" w:sz="12" w:space="1" w:color="D5DCE4" w:themeColor="text2" w:themeTint="33"/>
        </w:pBdr>
        <w:rPr>
          <w:rFonts w:eastAsia="Arial"/>
          <w:b/>
          <w:lang w:val="en-US" w:eastAsia="en-US"/>
        </w:rPr>
      </w:pPr>
      <w:bookmarkStart w:id="0" w:name="_Toc53663211"/>
      <w:bookmarkStart w:id="1" w:name="_Toc53669082"/>
      <w:bookmarkStart w:id="2" w:name="_Toc55921131"/>
      <w:bookmarkStart w:id="3" w:name="_Toc56086856"/>
      <w:bookmarkStart w:id="4" w:name="_Toc56087884"/>
      <w:bookmarkStart w:id="5" w:name="_Toc56152943"/>
      <w:bookmarkStart w:id="6" w:name="_Toc56156540"/>
      <w:bookmarkStart w:id="7" w:name="_Toc56175724"/>
      <w:r w:rsidRPr="008C7D87">
        <w:rPr>
          <w:rFonts w:eastAsia="Arial"/>
          <w:b/>
          <w:noProof/>
          <w:sz w:val="26"/>
          <w:szCs w:val="26"/>
        </w:rPr>
        <w:drawing>
          <wp:anchor distT="0" distB="0" distL="114300" distR="114300" simplePos="0" relativeHeight="251658240" behindDoc="0" locked="0" layoutInCell="1" allowOverlap="1" wp14:anchorId="4BF84135" wp14:editId="65EF6DBE">
            <wp:simplePos x="0" y="0"/>
            <wp:positionH relativeFrom="margin">
              <wp:posOffset>4635500</wp:posOffset>
            </wp:positionH>
            <wp:positionV relativeFrom="paragraph">
              <wp:posOffset>-528955</wp:posOffset>
            </wp:positionV>
            <wp:extent cx="1005205" cy="855980"/>
            <wp:effectExtent l="0" t="0" r="444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mall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205" cy="855980"/>
                    </a:xfrm>
                    <a:prstGeom prst="rect">
                      <a:avLst/>
                    </a:prstGeom>
                  </pic:spPr>
                </pic:pic>
              </a:graphicData>
            </a:graphic>
            <wp14:sizeRelH relativeFrom="page">
              <wp14:pctWidth>0</wp14:pctWidth>
            </wp14:sizeRelH>
            <wp14:sizeRelV relativeFrom="page">
              <wp14:pctHeight>0</wp14:pctHeight>
            </wp14:sizeRelV>
          </wp:anchor>
        </w:drawing>
      </w:r>
      <w:r w:rsidRPr="008C7D87">
        <w:rPr>
          <w:rFonts w:eastAsia="Arial"/>
          <w:b/>
          <w:sz w:val="26"/>
          <w:szCs w:val="26"/>
          <w:lang w:val="en-US" w:eastAsia="en-US"/>
        </w:rPr>
        <w:t xml:space="preserve">Prepared for </w:t>
      </w:r>
      <w:r>
        <w:rPr>
          <w:rFonts w:eastAsia="Arial"/>
          <w:b/>
          <w:sz w:val="26"/>
          <w:szCs w:val="26"/>
          <w:lang w:val="en-US" w:eastAsia="en-US"/>
        </w:rPr>
        <w:t>The Treasury</w:t>
      </w:r>
      <w:r w:rsidRPr="00EB1CEF">
        <w:rPr>
          <w:rFonts w:eastAsia="Arial"/>
          <w:lang w:val="en-US" w:eastAsia="en-US"/>
        </w:rPr>
        <w:br/>
      </w:r>
      <w:bookmarkEnd w:id="0"/>
      <w:bookmarkEnd w:id="1"/>
      <w:bookmarkEnd w:id="2"/>
      <w:bookmarkEnd w:id="3"/>
      <w:bookmarkEnd w:id="4"/>
      <w:bookmarkEnd w:id="5"/>
      <w:bookmarkEnd w:id="6"/>
      <w:bookmarkEnd w:id="7"/>
      <w:r w:rsidR="00B12416">
        <w:rPr>
          <w:b/>
        </w:rPr>
        <w:t>11</w:t>
      </w:r>
      <w:r w:rsidR="00BF7FD0">
        <w:rPr>
          <w:b/>
        </w:rPr>
        <w:t xml:space="preserve"> June</w:t>
      </w:r>
      <w:r w:rsidR="00C176D5">
        <w:rPr>
          <w:b/>
        </w:rPr>
        <w:t xml:space="preserve"> </w:t>
      </w:r>
      <w:r>
        <w:rPr>
          <w:b/>
        </w:rPr>
        <w:t>2024</w:t>
      </w:r>
    </w:p>
    <w:p w14:paraId="61DC7C82" w14:textId="77777777" w:rsidR="00DA10EC" w:rsidRDefault="00DA10EC" w:rsidP="00DA10EC">
      <w:pPr>
        <w:pStyle w:val="NumberLevel1"/>
        <w:numPr>
          <w:ilvl w:val="0"/>
          <w:numId w:val="0"/>
        </w:numPr>
        <w:rPr>
          <w:color w:val="2F5496" w:themeColor="accent1" w:themeShade="BF"/>
          <w:sz w:val="30"/>
          <w:szCs w:val="30"/>
        </w:rPr>
      </w:pPr>
      <w:r>
        <w:rPr>
          <w:noProof/>
        </w:rPr>
        <w:drawing>
          <wp:anchor distT="0" distB="0" distL="114300" distR="114300" simplePos="0" relativeHeight="251658241" behindDoc="1" locked="0" layoutInCell="1" allowOverlap="1" wp14:anchorId="7596C7A7" wp14:editId="347654A5">
            <wp:simplePos x="0" y="0"/>
            <wp:positionH relativeFrom="margin">
              <wp:align>left</wp:align>
            </wp:positionH>
            <wp:positionV relativeFrom="paragraph">
              <wp:posOffset>9525</wp:posOffset>
            </wp:positionV>
            <wp:extent cx="5731510" cy="109156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eep graph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91565"/>
                    </a:xfrm>
                    <a:prstGeom prst="rect">
                      <a:avLst/>
                    </a:prstGeom>
                  </pic:spPr>
                </pic:pic>
              </a:graphicData>
            </a:graphic>
          </wp:anchor>
        </w:drawing>
      </w:r>
    </w:p>
    <w:p w14:paraId="62A177EB" w14:textId="77777777" w:rsidR="00DA10EC" w:rsidRDefault="00DA10EC" w:rsidP="00DA10EC">
      <w:pPr>
        <w:pStyle w:val="NumberLevel2"/>
        <w:numPr>
          <w:ilvl w:val="0"/>
          <w:numId w:val="0"/>
        </w:numPr>
      </w:pPr>
    </w:p>
    <w:p w14:paraId="67825367" w14:textId="77777777" w:rsidR="00DA10EC" w:rsidRPr="00F323E1" w:rsidRDefault="00DA10EC" w:rsidP="00DA10EC">
      <w:pPr>
        <w:pStyle w:val="NumberLevel2"/>
        <w:numPr>
          <w:ilvl w:val="0"/>
          <w:numId w:val="0"/>
        </w:numPr>
      </w:pPr>
    </w:p>
    <w:p w14:paraId="0DC678E1" w14:textId="77777777" w:rsidR="00DA10EC" w:rsidRPr="00F323E1" w:rsidRDefault="00DA10EC" w:rsidP="00DA10EC">
      <w:pPr>
        <w:pStyle w:val="NumberLevel2"/>
        <w:numPr>
          <w:ilvl w:val="0"/>
          <w:numId w:val="0"/>
        </w:numPr>
      </w:pPr>
    </w:p>
    <w:p w14:paraId="1217F6C7" w14:textId="0C1EF6E2" w:rsidR="00DA10EC" w:rsidRPr="00A748A4" w:rsidRDefault="00DA10EC" w:rsidP="00DA10EC">
      <w:pPr>
        <w:pStyle w:val="AdviceTitlePara"/>
        <w:spacing w:before="360"/>
      </w:pPr>
      <w:r w:rsidRPr="00A748A4">
        <w:rPr>
          <w:noProof/>
        </w:rPr>
        <mc:AlternateContent>
          <mc:Choice Requires="wpg">
            <w:drawing>
              <wp:anchor distT="0" distB="0" distL="114300" distR="114300" simplePos="0" relativeHeight="251658242" behindDoc="1" locked="0" layoutInCell="1" allowOverlap="1" wp14:anchorId="3A9A04E6" wp14:editId="41BAC5EB">
                <wp:simplePos x="0" y="0"/>
                <wp:positionH relativeFrom="margin">
                  <wp:align>left</wp:align>
                </wp:positionH>
                <wp:positionV relativeFrom="paragraph">
                  <wp:posOffset>9525</wp:posOffset>
                </wp:positionV>
                <wp:extent cx="5643880" cy="2794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3880" cy="27940"/>
                          <a:chOff x="0" y="0"/>
                          <a:chExt cx="8888" cy="44"/>
                        </a:xfrm>
                      </wpg:grpSpPr>
                      <wps:wsp>
                        <wps:cNvPr id="33" name="Line 24"/>
                        <wps:cNvCnPr>
                          <a:cxnSpLocks noChangeShapeType="1"/>
                        </wps:cNvCnPr>
                        <wps:spPr bwMode="auto">
                          <a:xfrm>
                            <a:off x="22" y="22"/>
                            <a:ext cx="8844" cy="0"/>
                          </a:xfrm>
                          <a:prstGeom prst="line">
                            <a:avLst/>
                          </a:prstGeom>
                          <a:noFill/>
                          <a:ln w="27432">
                            <a:solidFill>
                              <a:srgbClr val="365F91"/>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928D26E" id="Group 32" o:spid="_x0000_s1026" style="position:absolute;margin-left:0;margin-top:.75pt;width:444.4pt;height:2.2pt;z-index:-251658238;mso-position-horizontal:left;mso-position-horizontal-relative:margin" coordsize="88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">
                <v:line id="Line 24" o:spid="_x0000_s1027" style="position:absolute;visibility:visible;mso-wrap-style:square" from="22,22" to="88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" strokecolor="#365f91" strokeweight="2.16pt"/>
                <w10:wrap anchorx="margin"/>
              </v:group>
            </w:pict>
          </mc:Fallback>
        </mc:AlternateContent>
      </w:r>
      <w:r>
        <w:t xml:space="preserve">Beneficial Ownership </w:t>
      </w:r>
      <w:r w:rsidR="0071441F">
        <w:t>Policy</w:t>
      </w:r>
    </w:p>
    <w:p w14:paraId="3C62FC1F" w14:textId="77777777" w:rsidR="00DA10EC" w:rsidRDefault="00DA10EC" w:rsidP="00DA10EC">
      <w:pPr>
        <w:pStyle w:val="AdviceTitlePara"/>
      </w:pPr>
      <w:r>
        <w:t>Privacy Impact Assessment</w:t>
      </w:r>
    </w:p>
    <w:p w14:paraId="3F1D61A7" w14:textId="77777777" w:rsidR="00DA10EC" w:rsidRDefault="00DA10EC" w:rsidP="00DA10EC">
      <w:pPr>
        <w:pStyle w:val="TitlePageAddressBlock"/>
        <w:jc w:val="center"/>
      </w:pPr>
    </w:p>
    <w:p w14:paraId="65382A51" w14:textId="77777777" w:rsidR="00DA10EC" w:rsidRDefault="00DA10EC" w:rsidP="00DA10EC">
      <w:pPr>
        <w:pStyle w:val="TitlePageAddressBlock"/>
        <w:jc w:val="center"/>
      </w:pPr>
    </w:p>
    <w:p w14:paraId="36BC5FC9" w14:textId="77777777" w:rsidR="00DA10EC" w:rsidRDefault="00DA10EC" w:rsidP="00DA10EC">
      <w:pPr>
        <w:pStyle w:val="TitlePageAddressBlock"/>
        <w:jc w:val="center"/>
      </w:pPr>
    </w:p>
    <w:p w14:paraId="73B36D3F" w14:textId="77777777" w:rsidR="00DA10EC" w:rsidRDefault="00DA10EC" w:rsidP="00DA10EC">
      <w:pPr>
        <w:pStyle w:val="TitlePageAddressBlock"/>
        <w:jc w:val="center"/>
      </w:pPr>
    </w:p>
    <w:p w14:paraId="4572F1D0" w14:textId="77777777" w:rsidR="00DA10EC" w:rsidRDefault="00DA10EC" w:rsidP="00DA10EC">
      <w:pPr>
        <w:pStyle w:val="TitlePageAddressBlock"/>
        <w:jc w:val="center"/>
      </w:pPr>
    </w:p>
    <w:p w14:paraId="65B39000" w14:textId="00CB3D02" w:rsidR="00DA10EC" w:rsidRDefault="00DA10EC" w:rsidP="00DA10EC">
      <w:pPr>
        <w:pStyle w:val="TitlePageAddressBlock"/>
        <w:jc w:val="center"/>
      </w:pPr>
    </w:p>
    <w:p w14:paraId="0FF0222A" w14:textId="2807D2FF" w:rsidR="00495597" w:rsidRDefault="00495597" w:rsidP="00DA10EC">
      <w:pPr>
        <w:pStyle w:val="TitlePageAddressBlock"/>
        <w:jc w:val="center"/>
      </w:pPr>
    </w:p>
    <w:p w14:paraId="4F36566E" w14:textId="1D51931E" w:rsidR="00495597" w:rsidRDefault="00495597" w:rsidP="00DA10EC">
      <w:pPr>
        <w:pStyle w:val="TitlePageAddressBlock"/>
        <w:jc w:val="center"/>
      </w:pPr>
    </w:p>
    <w:p w14:paraId="5D85A4B0" w14:textId="6B0BD604" w:rsidR="00495597" w:rsidRDefault="00495597" w:rsidP="00DA10EC">
      <w:pPr>
        <w:pStyle w:val="TitlePageAddressBlock"/>
        <w:jc w:val="center"/>
      </w:pPr>
    </w:p>
    <w:p w14:paraId="401E4EBD" w14:textId="65BF8917" w:rsidR="00495597" w:rsidRDefault="00495597" w:rsidP="00DA10EC">
      <w:pPr>
        <w:pStyle w:val="TitlePageAddressBlock"/>
        <w:jc w:val="center"/>
      </w:pPr>
    </w:p>
    <w:p w14:paraId="7FFB2ECA" w14:textId="623EE9C0" w:rsidR="00495597" w:rsidRDefault="00495597" w:rsidP="00DA10EC">
      <w:pPr>
        <w:pStyle w:val="TitlePageAddressBlock"/>
        <w:jc w:val="center"/>
      </w:pPr>
    </w:p>
    <w:p w14:paraId="229A5A05" w14:textId="167C418B" w:rsidR="00495597" w:rsidRDefault="00495597" w:rsidP="00DA10EC">
      <w:pPr>
        <w:pStyle w:val="TitlePageAddressBlock"/>
        <w:jc w:val="center"/>
      </w:pPr>
    </w:p>
    <w:p w14:paraId="37EB2F2A" w14:textId="547D248A" w:rsidR="00495597" w:rsidRDefault="00495597" w:rsidP="00DA10EC">
      <w:pPr>
        <w:pStyle w:val="TitlePageAddressBlock"/>
        <w:jc w:val="center"/>
      </w:pPr>
    </w:p>
    <w:p w14:paraId="5FEFAA82" w14:textId="086D180B" w:rsidR="00495597" w:rsidRDefault="00495597" w:rsidP="00DA10EC">
      <w:pPr>
        <w:pStyle w:val="TitlePageAddressBlock"/>
        <w:jc w:val="center"/>
      </w:pPr>
    </w:p>
    <w:p w14:paraId="5C40172A" w14:textId="21C596CD" w:rsidR="00495597" w:rsidRDefault="00495597" w:rsidP="00DA10EC">
      <w:pPr>
        <w:pStyle w:val="TitlePageAddressBlock"/>
        <w:jc w:val="center"/>
      </w:pPr>
    </w:p>
    <w:p w14:paraId="34370992" w14:textId="3E76EA60" w:rsidR="00495597" w:rsidRDefault="00495597" w:rsidP="00DA10EC">
      <w:pPr>
        <w:pStyle w:val="TitlePageAddressBlock"/>
        <w:jc w:val="center"/>
      </w:pPr>
    </w:p>
    <w:p w14:paraId="730A3186" w14:textId="691ADAE9" w:rsidR="00495597" w:rsidRDefault="00495597" w:rsidP="00DA10EC">
      <w:pPr>
        <w:pStyle w:val="TitlePageAddressBlock"/>
        <w:jc w:val="center"/>
      </w:pPr>
    </w:p>
    <w:p w14:paraId="464D18F3" w14:textId="16C3093B" w:rsidR="00495597" w:rsidRDefault="00495597" w:rsidP="00DA10EC">
      <w:pPr>
        <w:pStyle w:val="TitlePageAddressBlock"/>
        <w:jc w:val="center"/>
      </w:pPr>
    </w:p>
    <w:p w14:paraId="5345E5F0" w14:textId="3B93094C" w:rsidR="00495597" w:rsidRDefault="00495597" w:rsidP="00DA10EC">
      <w:pPr>
        <w:pStyle w:val="TitlePageAddressBlock"/>
        <w:jc w:val="center"/>
      </w:pPr>
    </w:p>
    <w:p w14:paraId="12D86BAC" w14:textId="13A76EC4" w:rsidR="00495597" w:rsidRDefault="00495597" w:rsidP="00DA10EC">
      <w:pPr>
        <w:pStyle w:val="TitlePageAddressBlock"/>
        <w:jc w:val="center"/>
      </w:pPr>
    </w:p>
    <w:p w14:paraId="19512168" w14:textId="587B6234" w:rsidR="00495597" w:rsidRDefault="00495597" w:rsidP="00DA10EC">
      <w:pPr>
        <w:pStyle w:val="TitlePageAddressBlock"/>
        <w:jc w:val="center"/>
      </w:pPr>
    </w:p>
    <w:p w14:paraId="1073536A" w14:textId="3353B9EA" w:rsidR="00495597" w:rsidRDefault="00495597" w:rsidP="00DA10EC">
      <w:pPr>
        <w:pStyle w:val="TitlePageAddressBlock"/>
        <w:jc w:val="center"/>
      </w:pPr>
    </w:p>
    <w:p w14:paraId="2E100686" w14:textId="37D70538" w:rsidR="00495597" w:rsidRDefault="00495597" w:rsidP="00DA10EC">
      <w:pPr>
        <w:pStyle w:val="TitlePageAddressBlock"/>
        <w:jc w:val="center"/>
      </w:pPr>
    </w:p>
    <w:p w14:paraId="4EEFF435" w14:textId="66787E4D" w:rsidR="00495597" w:rsidRDefault="00495597" w:rsidP="00DA10EC">
      <w:pPr>
        <w:pStyle w:val="TitlePageAddressBlock"/>
        <w:jc w:val="center"/>
      </w:pPr>
    </w:p>
    <w:p w14:paraId="37924323" w14:textId="01267687" w:rsidR="00495597" w:rsidRDefault="00495597" w:rsidP="00DA10EC">
      <w:pPr>
        <w:pStyle w:val="TitlePageAddressBlock"/>
        <w:jc w:val="center"/>
      </w:pPr>
    </w:p>
    <w:p w14:paraId="3B9DC03B" w14:textId="2DE47133" w:rsidR="00495597" w:rsidRDefault="00495597" w:rsidP="00DA10EC">
      <w:pPr>
        <w:pStyle w:val="TitlePageAddressBlock"/>
        <w:jc w:val="center"/>
      </w:pPr>
    </w:p>
    <w:p w14:paraId="2FD787B2" w14:textId="7A7D8D27" w:rsidR="00495597" w:rsidRDefault="00495597" w:rsidP="00DA10EC">
      <w:pPr>
        <w:pStyle w:val="TitlePageAddressBlock"/>
        <w:jc w:val="center"/>
      </w:pPr>
    </w:p>
    <w:p w14:paraId="3D9D1B09" w14:textId="4F230A80" w:rsidR="00495597" w:rsidRDefault="00495597" w:rsidP="00DA10EC">
      <w:pPr>
        <w:pStyle w:val="TitlePageAddressBlock"/>
        <w:jc w:val="center"/>
      </w:pPr>
    </w:p>
    <w:p w14:paraId="0E56AF5D" w14:textId="2E92349D" w:rsidR="00495597" w:rsidRDefault="00495597" w:rsidP="00DA10EC">
      <w:pPr>
        <w:pStyle w:val="TitlePageAddressBlock"/>
        <w:jc w:val="center"/>
      </w:pPr>
    </w:p>
    <w:p w14:paraId="39F93CDC" w14:textId="29A084E3" w:rsidR="00495597" w:rsidRDefault="00495597" w:rsidP="00DA10EC">
      <w:pPr>
        <w:pStyle w:val="TitlePageAddressBlock"/>
        <w:jc w:val="center"/>
      </w:pPr>
    </w:p>
    <w:p w14:paraId="0E16BE74" w14:textId="19950E48" w:rsidR="00495597" w:rsidRDefault="00495597" w:rsidP="00DA10EC">
      <w:pPr>
        <w:pStyle w:val="TitlePageAddressBlock"/>
        <w:jc w:val="center"/>
      </w:pPr>
    </w:p>
    <w:p w14:paraId="0651A518" w14:textId="5E7C4D3B" w:rsidR="00495597" w:rsidRDefault="00495597" w:rsidP="00DA10EC">
      <w:pPr>
        <w:pStyle w:val="TitlePageAddressBlock"/>
        <w:jc w:val="center"/>
      </w:pPr>
    </w:p>
    <w:p w14:paraId="1C487253" w14:textId="0CCAAB2C" w:rsidR="00495597" w:rsidRDefault="00495597" w:rsidP="00DA10EC">
      <w:pPr>
        <w:pStyle w:val="TitlePageAddressBlock"/>
        <w:jc w:val="center"/>
      </w:pPr>
    </w:p>
    <w:p w14:paraId="56157300" w14:textId="1DDD45DD" w:rsidR="00495597" w:rsidRDefault="00495597" w:rsidP="00DA10EC">
      <w:pPr>
        <w:pStyle w:val="TitlePageAddressBlock"/>
        <w:jc w:val="center"/>
      </w:pPr>
    </w:p>
    <w:p w14:paraId="4CCDF3D8" w14:textId="093CC2F7" w:rsidR="00495597" w:rsidRDefault="00495597" w:rsidP="00DA10EC">
      <w:pPr>
        <w:pStyle w:val="TitlePageAddressBlock"/>
        <w:jc w:val="center"/>
      </w:pPr>
    </w:p>
    <w:p w14:paraId="7B10395F" w14:textId="77777777" w:rsidR="00495597" w:rsidRDefault="00495597" w:rsidP="00DA10EC">
      <w:pPr>
        <w:pStyle w:val="TitlePageAddressBlock"/>
        <w:jc w:val="center"/>
      </w:pPr>
    </w:p>
    <w:p w14:paraId="03155101" w14:textId="77777777" w:rsidR="00DA10EC" w:rsidRDefault="00DA10EC" w:rsidP="00DA10EC">
      <w:pPr>
        <w:pStyle w:val="TitlePageAddressBlock"/>
        <w:jc w:val="center"/>
      </w:pPr>
    </w:p>
    <w:p w14:paraId="63D146C3" w14:textId="77777777" w:rsidR="00DA10EC" w:rsidRDefault="00DA10EC" w:rsidP="00DA10EC">
      <w:pPr>
        <w:pStyle w:val="TitlePageAddressBlock"/>
        <w:jc w:val="center"/>
      </w:pPr>
    </w:p>
    <w:p w14:paraId="6E9497E8" w14:textId="77777777" w:rsidR="00DA10EC" w:rsidRDefault="00DA10EC" w:rsidP="00DA10EC">
      <w:pPr>
        <w:pStyle w:val="TitlePageAddressBlock"/>
        <w:jc w:val="center"/>
      </w:pPr>
    </w:p>
    <w:tbl>
      <w:tblPr>
        <w:tblStyle w:val="TableGrid"/>
        <w:tblW w:w="4116"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1843"/>
      </w:tblGrid>
      <w:tr w:rsidR="00DA10EC" w:rsidRPr="00106F9F" w14:paraId="434ACCB5" w14:textId="77777777" w:rsidTr="00C4383D">
        <w:trPr>
          <w:cantSplit/>
          <w:trHeight w:val="340"/>
        </w:trPr>
        <w:tc>
          <w:tcPr>
            <w:tcW w:w="2273" w:type="dxa"/>
          </w:tcPr>
          <w:p w14:paraId="508862C3" w14:textId="77777777" w:rsidR="00DA10EC" w:rsidRPr="00106F9F" w:rsidRDefault="00DA10EC" w:rsidP="00EE0A3E">
            <w:pPr>
              <w:pStyle w:val="TitlePageAddressBlock"/>
            </w:pPr>
            <w:r w:rsidRPr="00106F9F">
              <w:t>Matter number</w:t>
            </w:r>
          </w:p>
        </w:tc>
        <w:tc>
          <w:tcPr>
            <w:tcW w:w="1843" w:type="dxa"/>
          </w:tcPr>
          <w:p w14:paraId="1B41B85F" w14:textId="77777777" w:rsidR="00DA10EC" w:rsidRPr="00050BFC" w:rsidRDefault="00DA10EC" w:rsidP="00EE0A3E">
            <w:pPr>
              <w:pStyle w:val="TitlePageAddressBlock"/>
              <w:jc w:val="left"/>
            </w:pPr>
            <w:r>
              <w:t>24000778</w:t>
            </w:r>
          </w:p>
        </w:tc>
      </w:tr>
    </w:tbl>
    <w:p w14:paraId="10955D56" w14:textId="77777777" w:rsidR="00DA10EC" w:rsidRDefault="00DA10EC">
      <w:pPr>
        <w:sectPr w:rsidR="00DA10EC" w:rsidSect="003F53CD">
          <w:headerReference w:type="default" r:id="rId10"/>
          <w:footerReference w:type="default" r:id="rId11"/>
          <w:pgSz w:w="11906" w:h="16838"/>
          <w:pgMar w:top="1134" w:right="1418" w:bottom="1701" w:left="2268" w:header="708" w:footer="708" w:gutter="0"/>
          <w:cols w:space="708"/>
          <w:docGrid w:linePitch="360"/>
        </w:sectPr>
      </w:pPr>
    </w:p>
    <w:p w14:paraId="4D2A69C2" w14:textId="2A74EED2" w:rsidR="00DA10EC" w:rsidRPr="00B35C8B" w:rsidRDefault="00E94643" w:rsidP="00DA10EC">
      <w:pPr>
        <w:pStyle w:val="AdviceTitlePara"/>
      </w:pPr>
      <w:r>
        <w:lastRenderedPageBreak/>
        <w:t xml:space="preserve">Treasury – Beneficial Ownership </w:t>
      </w:r>
      <w:r w:rsidR="0071441F">
        <w:t>Policy</w:t>
      </w:r>
      <w:r w:rsidR="00DA10EC" w:rsidRPr="00B35C8B">
        <w:br/>
      </w:r>
      <w:r w:rsidR="00DA10EC" w:rsidRPr="00B35C8B">
        <w:rPr>
          <w:color w:val="1F4E79" w:themeColor="accent5" w:themeShade="80"/>
        </w:rPr>
        <w:t>Privacy Impact Assessment</w:t>
      </w:r>
    </w:p>
    <w:p w14:paraId="6F28162F" w14:textId="77777777" w:rsidR="00DA10EC" w:rsidRPr="002D70FF" w:rsidRDefault="00DA10EC" w:rsidP="002D70FF">
      <w:pPr>
        <w:pStyle w:val="PlainParagraph"/>
        <w:pBdr>
          <w:top w:val="single" w:sz="18" w:space="1" w:color="auto"/>
        </w:pBdr>
        <w:spacing w:before="240" w:after="120" w:line="240" w:lineRule="atLeast"/>
        <w:rPr>
          <w:b/>
          <w:sz w:val="30"/>
          <w:szCs w:val="30"/>
        </w:rPr>
      </w:pPr>
      <w:bookmarkStart w:id="8" w:name="_Toc53759930"/>
      <w:bookmarkStart w:id="9" w:name="_Toc55921132"/>
      <w:bookmarkStart w:id="10" w:name="_Toc56086857"/>
      <w:bookmarkStart w:id="11" w:name="_Toc56087885"/>
      <w:bookmarkStart w:id="12" w:name="_Toc56175725"/>
      <w:bookmarkStart w:id="13" w:name="_Toc160444080"/>
      <w:r w:rsidRPr="002D70FF">
        <w:rPr>
          <w:b/>
          <w:sz w:val="30"/>
          <w:szCs w:val="30"/>
        </w:rPr>
        <w:t>Executive Summary</w:t>
      </w:r>
      <w:bookmarkEnd w:id="8"/>
      <w:bookmarkEnd w:id="9"/>
      <w:bookmarkEnd w:id="10"/>
      <w:bookmarkEnd w:id="11"/>
      <w:bookmarkEnd w:id="12"/>
      <w:bookmarkEnd w:id="13"/>
    </w:p>
    <w:p w14:paraId="37A12DC6" w14:textId="53D22752" w:rsidR="003F53CD" w:rsidRDefault="003F53CD" w:rsidP="009812C6">
      <w:pPr>
        <w:pStyle w:val="NumberLevel1"/>
      </w:pPr>
      <w:r>
        <w:t>The Department of the Treasury (</w:t>
      </w:r>
      <w:r w:rsidRPr="003F53CD">
        <w:rPr>
          <w:b/>
        </w:rPr>
        <w:t>Treasury</w:t>
      </w:r>
      <w:r>
        <w:t>) has commissioned AGS to complete a Privacy Impact Assessment (</w:t>
      </w:r>
      <w:r w:rsidRPr="7F478FD1">
        <w:rPr>
          <w:b/>
          <w:bCs/>
        </w:rPr>
        <w:t>PIA</w:t>
      </w:r>
      <w:r>
        <w:t xml:space="preserve">) to consider the potential privacy impacts of the implementation of the Beneficial Ownership </w:t>
      </w:r>
      <w:r w:rsidR="0071441F">
        <w:t xml:space="preserve">Policy </w:t>
      </w:r>
      <w:r>
        <w:t>(</w:t>
      </w:r>
      <w:r>
        <w:rPr>
          <w:b/>
        </w:rPr>
        <w:t xml:space="preserve">BO </w:t>
      </w:r>
      <w:r w:rsidR="0071441F">
        <w:rPr>
          <w:b/>
        </w:rPr>
        <w:t>Policy</w:t>
      </w:r>
      <w:r>
        <w:t>).</w:t>
      </w:r>
    </w:p>
    <w:p w14:paraId="3D65CB5D" w14:textId="77777777" w:rsidR="003F53CD" w:rsidRPr="000A5230" w:rsidRDefault="003F53CD" w:rsidP="002D70FF">
      <w:pPr>
        <w:pStyle w:val="PlainParagraph"/>
        <w:pBdr>
          <w:top w:val="single" w:sz="12" w:space="1" w:color="C4DDEA"/>
        </w:pBdr>
        <w:spacing w:before="240"/>
        <w:rPr>
          <w:b/>
          <w:sz w:val="26"/>
          <w:szCs w:val="26"/>
        </w:rPr>
      </w:pPr>
      <w:r>
        <w:rPr>
          <w:b/>
          <w:sz w:val="26"/>
          <w:szCs w:val="26"/>
        </w:rPr>
        <w:t>Purpose of this PI</w:t>
      </w:r>
      <w:r w:rsidRPr="000A5230">
        <w:rPr>
          <w:b/>
          <w:sz w:val="26"/>
          <w:szCs w:val="26"/>
        </w:rPr>
        <w:t>A</w:t>
      </w:r>
    </w:p>
    <w:p w14:paraId="05377EBD" w14:textId="1955211E" w:rsidR="003F53CD" w:rsidRDefault="003F53CD" w:rsidP="009812C6">
      <w:pPr>
        <w:pStyle w:val="NumberLevel1"/>
      </w:pPr>
      <w:r>
        <w:t>Australian Privacy Principle (</w:t>
      </w:r>
      <w:r>
        <w:rPr>
          <w:b/>
        </w:rPr>
        <w:t>APP</w:t>
      </w:r>
      <w:r>
        <w:t>) 1.2 requires agencies such as the Treasury to take reasonable steps to implement practices, procedures and systems that will:</w:t>
      </w:r>
    </w:p>
    <w:p w14:paraId="3D05C4DE" w14:textId="77777777" w:rsidR="003F53CD" w:rsidRPr="003F53CD" w:rsidRDefault="003F53CD" w:rsidP="009812C6">
      <w:pPr>
        <w:pStyle w:val="NumberLevel2"/>
        <w:rPr>
          <w:rStyle w:val="Hyperlink"/>
          <w:color w:val="auto"/>
          <w:u w:val="none"/>
        </w:rPr>
      </w:pPr>
      <w:r w:rsidRPr="003F53CD">
        <w:t xml:space="preserve">ensure compliance with the APPs and the </w:t>
      </w:r>
      <w:r w:rsidRPr="003F53CD">
        <w:rPr>
          <w:i/>
        </w:rPr>
        <w:t>Australian Government Agencies Privacy Code</w:t>
      </w:r>
      <w:r w:rsidRPr="003F53CD">
        <w:t xml:space="preserve"> </w:t>
      </w:r>
      <w:r w:rsidRPr="003F53CD">
        <w:rPr>
          <w:rStyle w:val="Hyperlink"/>
          <w:color w:val="auto"/>
          <w:u w:val="none"/>
        </w:rPr>
        <w:t>(</w:t>
      </w:r>
      <w:r w:rsidRPr="003F53CD">
        <w:rPr>
          <w:rStyle w:val="Hyperlink"/>
          <w:b/>
          <w:color w:val="auto"/>
          <w:u w:val="none"/>
        </w:rPr>
        <w:t>Privacy Code</w:t>
      </w:r>
      <w:r w:rsidRPr="003F53CD">
        <w:rPr>
          <w:rStyle w:val="Hyperlink"/>
          <w:color w:val="auto"/>
          <w:u w:val="none"/>
        </w:rPr>
        <w:t>)</w:t>
      </w:r>
    </w:p>
    <w:p w14:paraId="215E58EF" w14:textId="42FCB81E" w:rsidR="003F53CD" w:rsidRDefault="003F53CD" w:rsidP="009812C6">
      <w:pPr>
        <w:pStyle w:val="NumberLevel2"/>
      </w:pPr>
      <w:r>
        <w:t xml:space="preserve">enable the </w:t>
      </w:r>
      <w:r w:rsidR="00492B75">
        <w:t xml:space="preserve">Commonwealth </w:t>
      </w:r>
      <w:r>
        <w:t>to deal with enquiries and complaints about compliance with the APPs and the Privacy Code.</w:t>
      </w:r>
    </w:p>
    <w:p w14:paraId="3B868BF6" w14:textId="5FCB5BFC" w:rsidR="003F53CD" w:rsidRDefault="003F53CD" w:rsidP="009812C6">
      <w:pPr>
        <w:pStyle w:val="NumberLevel1"/>
      </w:pPr>
      <w:r>
        <w:t>The BO</w:t>
      </w:r>
      <w:r w:rsidR="0071441F">
        <w:t xml:space="preserve"> Policy</w:t>
      </w:r>
      <w:r>
        <w:t xml:space="preserve"> is a </w:t>
      </w:r>
      <w:r w:rsidRPr="00A13659">
        <w:t>‘high risk’ project</w:t>
      </w:r>
      <w:r>
        <w:rPr>
          <w:rStyle w:val="FootnoteReference"/>
        </w:rPr>
        <w:footnoteReference w:id="2"/>
      </w:r>
      <w:r>
        <w:t xml:space="preserve"> due to the potential collection, use and disclosure of a significant amount of personal information about owners of various kinds of entities. This PIA is a key part of the activities undertaken by the Treasury to identify possible privacy impacts of the BO </w:t>
      </w:r>
      <w:r w:rsidR="0071441F">
        <w:t xml:space="preserve">Policy </w:t>
      </w:r>
      <w:r>
        <w:t xml:space="preserve">and its associated </w:t>
      </w:r>
      <w:proofErr w:type="gramStart"/>
      <w:r>
        <w:t>activities, and</w:t>
      </w:r>
      <w:proofErr w:type="gramEnd"/>
      <w:r>
        <w:t xml:space="preserve"> implement solutions to minimise or eradicate any privacy risks.</w:t>
      </w:r>
    </w:p>
    <w:p w14:paraId="06C20194" w14:textId="77777777" w:rsidR="00216D75" w:rsidRPr="002D70FF" w:rsidRDefault="00216D75" w:rsidP="002D70FF">
      <w:pPr>
        <w:pStyle w:val="PlainParagraph"/>
        <w:pBdr>
          <w:top w:val="single" w:sz="12" w:space="1" w:color="C4DDEA"/>
        </w:pBdr>
        <w:spacing w:before="240"/>
        <w:rPr>
          <w:b/>
          <w:sz w:val="26"/>
          <w:szCs w:val="26"/>
        </w:rPr>
      </w:pPr>
      <w:bookmarkStart w:id="14" w:name="_Toc55921133"/>
      <w:bookmarkStart w:id="15" w:name="_Toc56086858"/>
      <w:bookmarkStart w:id="16" w:name="_Toc56087886"/>
      <w:bookmarkStart w:id="17" w:name="_Toc56175726"/>
      <w:bookmarkStart w:id="18" w:name="_Toc160444081"/>
      <w:r w:rsidRPr="002D70FF">
        <w:rPr>
          <w:b/>
          <w:sz w:val="26"/>
          <w:szCs w:val="26"/>
        </w:rPr>
        <w:t>Summary of findings</w:t>
      </w:r>
      <w:bookmarkEnd w:id="14"/>
      <w:bookmarkEnd w:id="15"/>
      <w:bookmarkEnd w:id="16"/>
      <w:bookmarkEnd w:id="17"/>
      <w:bookmarkEnd w:id="18"/>
    </w:p>
    <w:p w14:paraId="32E5E631" w14:textId="70A76791" w:rsidR="005F3255" w:rsidRDefault="005F3255" w:rsidP="005F3255">
      <w:pPr>
        <w:pStyle w:val="NumberLevel1"/>
      </w:pPr>
      <w:bookmarkStart w:id="19" w:name="_Toc370215559"/>
      <w:bookmarkStart w:id="20" w:name="_Toc370215596"/>
      <w:bookmarkStart w:id="21" w:name="_Toc370215754"/>
      <w:bookmarkStart w:id="22" w:name="_Toc370215799"/>
      <w:bookmarkStart w:id="23" w:name="_Toc370216109"/>
      <w:bookmarkStart w:id="24" w:name="_Toc370216256"/>
      <w:bookmarkStart w:id="25" w:name="_Toc376764234"/>
      <w:bookmarkStart w:id="26" w:name="_Toc376765424"/>
      <w:bookmarkStart w:id="27" w:name="_Toc376766544"/>
      <w:bookmarkStart w:id="28" w:name="_Toc377122335"/>
      <w:bookmarkStart w:id="29" w:name="_Toc426093159"/>
      <w:bookmarkStart w:id="30" w:name="_Toc426537194"/>
      <w:bookmarkStart w:id="31" w:name="_Toc426537351"/>
      <w:bookmarkStart w:id="32" w:name="_Toc426537380"/>
      <w:bookmarkStart w:id="33" w:name="_Toc466874304"/>
      <w:bookmarkStart w:id="34" w:name="_Toc485104955"/>
      <w:bookmarkStart w:id="35" w:name="_Toc45511354"/>
      <w:bookmarkStart w:id="36" w:name="_Toc48292740"/>
      <w:r>
        <w:t xml:space="preserve">The BO Policy contemplates </w:t>
      </w:r>
      <w:r w:rsidRPr="00C8722C">
        <w:t xml:space="preserve">the creation of a </w:t>
      </w:r>
      <w:r>
        <w:t>Beneficial Ownership Register</w:t>
      </w:r>
      <w:r w:rsidRPr="00C8722C">
        <w:t xml:space="preserve"> for unlisted regulated entities via a staged approach, with the goal being the implementation</w:t>
      </w:r>
      <w:r>
        <w:t xml:space="preserve"> of a Public Commonwealth Beneficial Ownership Register (</w:t>
      </w:r>
      <w:r w:rsidRPr="00DD37F9">
        <w:rPr>
          <w:b/>
        </w:rPr>
        <w:t>PCBOR</w:t>
      </w:r>
      <w:r>
        <w:t xml:space="preserve">) </w:t>
      </w:r>
      <w:r w:rsidRPr="00DD37F9">
        <w:t>maintained</w:t>
      </w:r>
      <w:r>
        <w:t xml:space="preserve"> by a Responsible Commonwealth Agency (the </w:t>
      </w:r>
      <w:r>
        <w:rPr>
          <w:b/>
        </w:rPr>
        <w:t>RCA</w:t>
      </w:r>
      <w:r>
        <w:t xml:space="preserve">). </w:t>
      </w:r>
    </w:p>
    <w:p w14:paraId="01BD9C3F" w14:textId="6014FF9B" w:rsidR="00DE5AA6" w:rsidRDefault="00DE5AA6" w:rsidP="00DE5AA6">
      <w:pPr>
        <w:pStyle w:val="NumberLevel1"/>
        <w:rPr>
          <w:lang w:eastAsia="en-US"/>
        </w:rPr>
      </w:pPr>
      <w:r>
        <w:rPr>
          <w:lang w:eastAsia="en-US"/>
        </w:rPr>
        <w:t xml:space="preserve">On balance, we think that the privacy impacts of the BO Policy are proportional to the public benefit of the scheme.  Nonetheless, it involves substantial, and mandatory, collection, use and disclosure of personal information. Although existing measures provide for some strong privacy protections, </w:t>
      </w:r>
      <w:r w:rsidR="009812C6">
        <w:rPr>
          <w:lang w:eastAsia="en-US"/>
        </w:rPr>
        <w:t>this PIA</w:t>
      </w:r>
      <w:r>
        <w:rPr>
          <w:lang w:eastAsia="en-US"/>
        </w:rPr>
        <w:t xml:space="preserve"> </w:t>
      </w:r>
      <w:r w:rsidR="009812C6">
        <w:rPr>
          <w:lang w:eastAsia="en-US"/>
        </w:rPr>
        <w:t xml:space="preserve">identifies </w:t>
      </w:r>
      <w:r>
        <w:rPr>
          <w:lang w:eastAsia="en-US"/>
        </w:rPr>
        <w:t>additional protections</w:t>
      </w:r>
      <w:r w:rsidR="009812C6">
        <w:rPr>
          <w:lang w:eastAsia="en-US"/>
        </w:rPr>
        <w:t xml:space="preserve"> which the BO Policy could include</w:t>
      </w:r>
      <w:r>
        <w:rPr>
          <w:lang w:eastAsia="en-US"/>
        </w:rPr>
        <w:t xml:space="preserve"> to appropriately protect the privacy of beneficial owners.</w:t>
      </w:r>
    </w:p>
    <w:p w14:paraId="38BCA81D" w14:textId="77777777" w:rsidR="005F3255" w:rsidRPr="009812C6" w:rsidRDefault="005F3255" w:rsidP="001D5B1E">
      <w:pPr>
        <w:pStyle w:val="AdvicePP"/>
        <w:pBdr>
          <w:top w:val="single" w:sz="12" w:space="1" w:color="auto"/>
        </w:pBdr>
        <w:spacing w:before="240"/>
        <w:rPr>
          <w:b/>
        </w:rPr>
      </w:pPr>
      <w:r w:rsidRPr="009812C6">
        <w:rPr>
          <w:b/>
        </w:rPr>
        <w:t>Purposes of the Beneficial Ownership Policy</w:t>
      </w:r>
    </w:p>
    <w:p w14:paraId="388A30DC" w14:textId="77777777" w:rsidR="005F3255" w:rsidRDefault="005F3255" w:rsidP="005F3255">
      <w:pPr>
        <w:pStyle w:val="NumberLevel1"/>
        <w:rPr>
          <w:lang w:eastAsia="en-US"/>
        </w:rPr>
      </w:pPr>
      <w:r>
        <w:rPr>
          <w:lang w:eastAsia="en-US"/>
        </w:rPr>
        <w:t xml:space="preserve">Australia does not have a systematic framework for collecting, verifying, and recording beneficial ownership information for unlisted corporations. This gives rise to a lack of corporate transparency, potential gaps in regulatory coverage, and creates opportunities for exploitation. </w:t>
      </w:r>
    </w:p>
    <w:p w14:paraId="288136F9" w14:textId="77777777" w:rsidR="005F3255" w:rsidRDefault="005F3255" w:rsidP="005F3255">
      <w:pPr>
        <w:pStyle w:val="NumberLevel1"/>
        <w:rPr>
          <w:lang w:eastAsia="en-US"/>
        </w:rPr>
      </w:pPr>
      <w:r>
        <w:rPr>
          <w:lang w:eastAsia="en-US"/>
        </w:rPr>
        <w:t>Promoting corporate transparency provides the following benefits:</w:t>
      </w:r>
    </w:p>
    <w:p w14:paraId="0026BA24" w14:textId="77777777" w:rsidR="005F3255" w:rsidRDefault="005F3255" w:rsidP="005F3255">
      <w:pPr>
        <w:pStyle w:val="NumberLevel2"/>
        <w:rPr>
          <w:lang w:eastAsia="en-US"/>
        </w:rPr>
      </w:pPr>
      <w:r>
        <w:rPr>
          <w:lang w:eastAsia="en-US"/>
        </w:rPr>
        <w:t>For markets, transparency reduces information asymmetry, reduces barriers to entry for new businesses, and promotes competition and innovation.</w:t>
      </w:r>
    </w:p>
    <w:p w14:paraId="68BF95B9" w14:textId="77777777" w:rsidR="005F3255" w:rsidRDefault="005F3255" w:rsidP="005F3255">
      <w:pPr>
        <w:pStyle w:val="NumberLevel2"/>
        <w:rPr>
          <w:lang w:eastAsia="en-US"/>
        </w:rPr>
      </w:pPr>
      <w:r>
        <w:rPr>
          <w:lang w:eastAsia="en-US"/>
        </w:rPr>
        <w:t>For regulators and law enforcement, transparency facilitates investigations into illicit activity such as tax evasion, money laundering, and terrorism financing.</w:t>
      </w:r>
    </w:p>
    <w:p w14:paraId="18DFBF37" w14:textId="77777777" w:rsidR="005F3255" w:rsidRDefault="005F3255" w:rsidP="005F3255">
      <w:pPr>
        <w:pStyle w:val="NumberLevel2"/>
        <w:rPr>
          <w:lang w:eastAsia="en-US"/>
        </w:rPr>
      </w:pPr>
      <w:r>
        <w:rPr>
          <w:lang w:eastAsia="en-US"/>
        </w:rPr>
        <w:t>For businesses, transparency addresses market failures arising from information asymmetries, facilitates the undertaking of comprehensive due diligence processes, and addresses that companies may currently have no mechanism to determine their own beneficial ownership.</w:t>
      </w:r>
    </w:p>
    <w:p w14:paraId="5AB75D26" w14:textId="77777777" w:rsidR="005F3255" w:rsidRDefault="005F3255" w:rsidP="005F3255">
      <w:pPr>
        <w:pStyle w:val="NumberLevel2"/>
        <w:rPr>
          <w:lang w:eastAsia="en-US"/>
        </w:rPr>
      </w:pPr>
      <w:r>
        <w:rPr>
          <w:lang w:eastAsia="en-US"/>
        </w:rPr>
        <w:t xml:space="preserve">For individuals, transparency facilitates individuals to undertake a comprehensive assessment of financial and non-financial risks, and reduces the likelihood that individuals are exposed to fraud, losses, or inadvertent dealings with individuals or organisations participating in illicit activity. </w:t>
      </w:r>
    </w:p>
    <w:p w14:paraId="477D4F2C" w14:textId="77777777" w:rsidR="005F3255" w:rsidRDefault="005F3255" w:rsidP="005F3255">
      <w:pPr>
        <w:pStyle w:val="NumberLevel1"/>
        <w:rPr>
          <w:lang w:eastAsia="en-US"/>
        </w:rPr>
      </w:pPr>
      <w:r>
        <w:rPr>
          <w:lang w:eastAsia="en-US"/>
        </w:rPr>
        <w:t xml:space="preserve">A lack of transparency around beneficial ownership gives rise to opportunities to: </w:t>
      </w:r>
    </w:p>
    <w:p w14:paraId="2D53390E" w14:textId="77777777" w:rsidR="005F3255" w:rsidRDefault="005F3255" w:rsidP="005F3255">
      <w:pPr>
        <w:pStyle w:val="NumberLevel2"/>
        <w:rPr>
          <w:lang w:eastAsia="en-US"/>
        </w:rPr>
      </w:pPr>
      <w:r>
        <w:rPr>
          <w:lang w:eastAsia="en-US"/>
        </w:rPr>
        <w:t>Conceal ownership of assets.</w:t>
      </w:r>
    </w:p>
    <w:p w14:paraId="6CC0A167" w14:textId="77777777" w:rsidR="005F3255" w:rsidRDefault="005F3255" w:rsidP="005F3255">
      <w:pPr>
        <w:pStyle w:val="NumberLevel2"/>
        <w:rPr>
          <w:lang w:eastAsia="en-US"/>
        </w:rPr>
      </w:pPr>
      <w:r>
        <w:rPr>
          <w:lang w:eastAsia="en-US"/>
        </w:rPr>
        <w:t xml:space="preserve">Evade tax liabilities, </w:t>
      </w:r>
      <w:proofErr w:type="gramStart"/>
      <w:r>
        <w:rPr>
          <w:lang w:eastAsia="en-US"/>
        </w:rPr>
        <w:t>debts</w:t>
      </w:r>
      <w:proofErr w:type="gramEnd"/>
      <w:r>
        <w:rPr>
          <w:lang w:eastAsia="en-US"/>
        </w:rPr>
        <w:t xml:space="preserve"> and sanctions enforcement.</w:t>
      </w:r>
    </w:p>
    <w:p w14:paraId="34FCEC06" w14:textId="77777777" w:rsidR="005F3255" w:rsidRDefault="005F3255" w:rsidP="005F3255">
      <w:pPr>
        <w:pStyle w:val="NumberLevel2"/>
        <w:rPr>
          <w:lang w:eastAsia="en-US"/>
        </w:rPr>
      </w:pPr>
      <w:r>
        <w:rPr>
          <w:lang w:eastAsia="en-US"/>
        </w:rPr>
        <w:t>Launder money and conceal the acquisition of assets through illegal means.</w:t>
      </w:r>
    </w:p>
    <w:p w14:paraId="65F7628B" w14:textId="77777777" w:rsidR="005F3255" w:rsidRDefault="005F3255" w:rsidP="005F3255">
      <w:pPr>
        <w:pStyle w:val="NumberLevel2"/>
        <w:rPr>
          <w:lang w:eastAsia="en-US"/>
        </w:rPr>
      </w:pPr>
      <w:r>
        <w:rPr>
          <w:lang w:eastAsia="en-US"/>
        </w:rPr>
        <w:t xml:space="preserve">Conceal related-party transactions and other dealings which are not at arm’s length. </w:t>
      </w:r>
    </w:p>
    <w:p w14:paraId="5E8C4975" w14:textId="77777777" w:rsidR="005F3255" w:rsidRDefault="005F3255" w:rsidP="005F3255">
      <w:pPr>
        <w:pStyle w:val="NumberLevel1"/>
        <w:rPr>
          <w:lang w:eastAsia="en-US"/>
        </w:rPr>
      </w:pPr>
      <w:r>
        <w:rPr>
          <w:lang w:eastAsia="en-US"/>
        </w:rPr>
        <w:t>The weaknesses in Australia’s beneficial owner identification regime also threatens Australia’s standing in the international community, because our regulation of the financial system does not reflect best practice.</w:t>
      </w:r>
    </w:p>
    <w:p w14:paraId="46EAFAF9" w14:textId="77777777" w:rsidR="005F3255" w:rsidRPr="009812C6" w:rsidRDefault="005F3255" w:rsidP="001D5B1E">
      <w:pPr>
        <w:pStyle w:val="AdvicePP"/>
        <w:pBdr>
          <w:top w:val="single" w:sz="12" w:space="1" w:color="auto"/>
        </w:pBdr>
        <w:spacing w:before="240"/>
        <w:rPr>
          <w:b/>
        </w:rPr>
      </w:pPr>
      <w:r w:rsidRPr="009812C6">
        <w:rPr>
          <w:b/>
        </w:rPr>
        <w:t>Operation of the Beneficial Ownership Policy</w:t>
      </w:r>
    </w:p>
    <w:p w14:paraId="3FAB0AC2" w14:textId="77777777" w:rsidR="005F3255" w:rsidRDefault="005F3255" w:rsidP="005F3255">
      <w:pPr>
        <w:pStyle w:val="NumberLevel1"/>
        <w:spacing w:before="120" w:after="120"/>
      </w:pPr>
      <w:r>
        <w:t>The BO Policy will define a ‘beneficial owner’ as someone who:</w:t>
      </w:r>
    </w:p>
    <w:p w14:paraId="1FC88853" w14:textId="77777777" w:rsidR="005F3255" w:rsidRDefault="005F3255" w:rsidP="005F3255">
      <w:pPr>
        <w:pStyle w:val="NumberLevel2"/>
        <w:tabs>
          <w:tab w:val="clear" w:pos="709"/>
          <w:tab w:val="num" w:pos="1702"/>
        </w:tabs>
        <w:spacing w:before="120" w:after="120"/>
        <w:ind w:left="993"/>
      </w:pPr>
      <w:r>
        <w:t>holds, directly or indirectly, 25 per cent of the shares of an in-scope company (</w:t>
      </w:r>
      <w:r w:rsidRPr="00586630">
        <w:rPr>
          <w:b/>
        </w:rPr>
        <w:t>limb 1</w:t>
      </w:r>
      <w:r>
        <w:t>)</w:t>
      </w:r>
    </w:p>
    <w:p w14:paraId="6B229571" w14:textId="77777777" w:rsidR="005F3255" w:rsidRDefault="005F3255" w:rsidP="005F3255">
      <w:pPr>
        <w:pStyle w:val="NumberLevel2"/>
        <w:tabs>
          <w:tab w:val="clear" w:pos="709"/>
          <w:tab w:val="num" w:pos="1702"/>
        </w:tabs>
        <w:spacing w:before="120" w:after="120"/>
        <w:ind w:left="993"/>
      </w:pPr>
      <w:r>
        <w:t>holds, directly or indirectly, 25 per cent of the voting rights in an in-scope company (</w:t>
      </w:r>
      <w:r w:rsidRPr="00586630">
        <w:rPr>
          <w:b/>
        </w:rPr>
        <w:t>limb 2</w:t>
      </w:r>
      <w:r>
        <w:t>)</w:t>
      </w:r>
    </w:p>
    <w:p w14:paraId="28CC0038" w14:textId="77777777" w:rsidR="005F3255" w:rsidRDefault="005F3255" w:rsidP="005F3255">
      <w:pPr>
        <w:pStyle w:val="NumberLevel2"/>
        <w:tabs>
          <w:tab w:val="clear" w:pos="709"/>
          <w:tab w:val="num" w:pos="1702"/>
        </w:tabs>
        <w:spacing w:before="120" w:after="120"/>
        <w:ind w:left="993"/>
      </w:pPr>
      <w:r>
        <w:t xml:space="preserve">holds the right, directly or indirectly, to appoint or remove </w:t>
      </w:r>
      <w:proofErr w:type="gramStart"/>
      <w:r>
        <w:t>a majority of</w:t>
      </w:r>
      <w:proofErr w:type="gramEnd"/>
      <w:r>
        <w:t xml:space="preserve"> the board of directors of an in-scope company (</w:t>
      </w:r>
      <w:r w:rsidRPr="00586630">
        <w:rPr>
          <w:b/>
        </w:rPr>
        <w:t>limb</w:t>
      </w:r>
      <w:r>
        <w:t xml:space="preserve"> </w:t>
      </w:r>
      <w:r w:rsidRPr="00586630">
        <w:rPr>
          <w:b/>
        </w:rPr>
        <w:t>3</w:t>
      </w:r>
      <w:r>
        <w:t>)</w:t>
      </w:r>
    </w:p>
    <w:p w14:paraId="35313B09" w14:textId="77777777" w:rsidR="005F3255" w:rsidRDefault="005F3255" w:rsidP="005F3255">
      <w:pPr>
        <w:pStyle w:val="NumberLevel2"/>
        <w:tabs>
          <w:tab w:val="clear" w:pos="709"/>
          <w:tab w:val="num" w:pos="1702"/>
        </w:tabs>
        <w:spacing w:before="120" w:after="120"/>
        <w:ind w:left="993"/>
      </w:pPr>
      <w:r>
        <w:t xml:space="preserve">has the right to exercise, or </w:t>
      </w:r>
      <w:proofErr w:type="gramStart"/>
      <w:r>
        <w:t>actually exercises</w:t>
      </w:r>
      <w:proofErr w:type="gramEnd"/>
      <w:r>
        <w:t>, significant influence or control over an in-scope company (</w:t>
      </w:r>
      <w:r w:rsidRPr="00586630">
        <w:rPr>
          <w:b/>
        </w:rPr>
        <w:t>limb</w:t>
      </w:r>
      <w:r>
        <w:t xml:space="preserve"> </w:t>
      </w:r>
      <w:r w:rsidRPr="00586630">
        <w:rPr>
          <w:b/>
        </w:rPr>
        <w:t>4</w:t>
      </w:r>
      <w:r>
        <w:t>).</w:t>
      </w:r>
    </w:p>
    <w:p w14:paraId="3CB2A82E" w14:textId="77777777" w:rsidR="005F3255" w:rsidRDefault="005F3255" w:rsidP="005F3255">
      <w:pPr>
        <w:pStyle w:val="NumberLevel1"/>
        <w:spacing w:before="120" w:after="120"/>
      </w:pPr>
      <w:r>
        <w:t xml:space="preserve">The BO Policy will come into effect in a two-staged rollout. In </w:t>
      </w:r>
      <w:r w:rsidRPr="007759F0">
        <w:rPr>
          <w:b/>
        </w:rPr>
        <w:t>Stage 1</w:t>
      </w:r>
      <w:r>
        <w:t>, individual in-scope companies will collect beneficial ownership information (</w:t>
      </w:r>
      <w:r>
        <w:rPr>
          <w:b/>
        </w:rPr>
        <w:t>BOI</w:t>
      </w:r>
      <w:r>
        <w:t>) and maintain individual BORs. Members of the public and regulators/law enforcement agencies will contact in-scope companies directly to seek access to a BOR, and in-scope companies will be responsible for granting or refusing these requests.</w:t>
      </w:r>
    </w:p>
    <w:p w14:paraId="2CEAB35F" w14:textId="77777777" w:rsidR="005F3255" w:rsidRDefault="005F3255" w:rsidP="005F3255">
      <w:pPr>
        <w:pStyle w:val="NumberLevel1"/>
        <w:spacing w:before="120" w:after="120"/>
      </w:pPr>
      <w:r>
        <w:t xml:space="preserve">In </w:t>
      </w:r>
      <w:r w:rsidRPr="007759F0">
        <w:rPr>
          <w:b/>
        </w:rPr>
        <w:t>Stage 2</w:t>
      </w:r>
      <w:r>
        <w:t xml:space="preserve"> of the BO Policy, the RCA will collect and hold BOI about beneficial owners in the PCBOR. It will collect BOI directly from both beneficial owners and in-scope companies. It is proposed that when the PCBOR goes live, in-scope companies will be required to input the information kept in their BORs into the PCBOR directly.</w:t>
      </w:r>
    </w:p>
    <w:p w14:paraId="42F00201" w14:textId="77777777" w:rsidR="005F3255" w:rsidRDefault="005F3255" w:rsidP="005F3255">
      <w:pPr>
        <w:pStyle w:val="NumberLevel1"/>
        <w:spacing w:before="120" w:after="120"/>
      </w:pPr>
      <w:r>
        <w:t>Different rules regarding the collection and disclosure of BOI will apply depending on whether the beneficial owner is a natural person, or what type of legal entity they are. As an example, in Stage 1, the BO Policy will require an in-scope company that is an unlisted proprietary company to collect the following information about each of its natural person beneficial owners:</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418"/>
        <w:gridCol w:w="2977"/>
        <w:gridCol w:w="1577"/>
        <w:gridCol w:w="2250"/>
      </w:tblGrid>
      <w:tr w:rsidR="005F3255" w:rsidRPr="00121519" w14:paraId="17C81073" w14:textId="77777777" w:rsidTr="009812C6">
        <w:trPr>
          <w:cantSplit/>
          <w:tblHeader/>
        </w:trPr>
        <w:tc>
          <w:tcPr>
            <w:tcW w:w="8222" w:type="dxa"/>
            <w:gridSpan w:val="4"/>
            <w:tcBorders>
              <w:top w:val="single" w:sz="12" w:space="0" w:color="auto"/>
              <w:bottom w:val="single" w:sz="12" w:space="0" w:color="204558"/>
            </w:tcBorders>
            <w:shd w:val="clear" w:color="auto" w:fill="C4DDEA"/>
            <w:vAlign w:val="top"/>
          </w:tcPr>
          <w:p w14:paraId="0C89A693" w14:textId="77777777" w:rsidR="005F3255" w:rsidRPr="00121519" w:rsidRDefault="005F3255" w:rsidP="00C176D5">
            <w:pPr>
              <w:pStyle w:val="TableHeading2"/>
            </w:pPr>
            <w:r>
              <w:t>BOI</w:t>
            </w:r>
          </w:p>
        </w:tc>
      </w:tr>
      <w:tr w:rsidR="005F3255" w:rsidRPr="00121519" w14:paraId="5EE4A2A3" w14:textId="77777777" w:rsidTr="009812C6">
        <w:tc>
          <w:tcPr>
            <w:tcW w:w="1418" w:type="dxa"/>
            <w:tcBorders>
              <w:top w:val="single" w:sz="12" w:space="0" w:color="204558"/>
              <w:bottom w:val="single" w:sz="12" w:space="0" w:color="204558"/>
            </w:tcBorders>
            <w:vAlign w:val="top"/>
          </w:tcPr>
          <w:p w14:paraId="712BC458" w14:textId="77777777" w:rsidR="005F3255" w:rsidRPr="00121519" w:rsidRDefault="005F3255" w:rsidP="009812C6">
            <w:pPr>
              <w:pStyle w:val="TablePlainParagraph"/>
              <w:rPr>
                <w:b/>
              </w:rPr>
            </w:pPr>
            <w:r w:rsidRPr="004F09D8">
              <w:t>Full name</w:t>
            </w:r>
          </w:p>
        </w:tc>
        <w:tc>
          <w:tcPr>
            <w:tcW w:w="2977" w:type="dxa"/>
            <w:tcBorders>
              <w:top w:val="single" w:sz="12" w:space="0" w:color="204558"/>
              <w:bottom w:val="single" w:sz="12" w:space="0" w:color="204558"/>
            </w:tcBorders>
            <w:vAlign w:val="top"/>
          </w:tcPr>
          <w:p w14:paraId="3718697E" w14:textId="77777777" w:rsidR="005F3255" w:rsidRPr="00121519" w:rsidRDefault="005F3255" w:rsidP="009812C6">
            <w:pPr>
              <w:pStyle w:val="TablePlainParagraph"/>
            </w:pPr>
            <w:r w:rsidRPr="004F09D8">
              <w:t xml:space="preserve">Addresses for communication </w:t>
            </w:r>
            <w:r>
              <w:t xml:space="preserve">and </w:t>
            </w:r>
            <w:r w:rsidRPr="004F09D8">
              <w:t>service</w:t>
            </w:r>
          </w:p>
        </w:tc>
        <w:tc>
          <w:tcPr>
            <w:tcW w:w="1577" w:type="dxa"/>
            <w:tcBorders>
              <w:top w:val="single" w:sz="12" w:space="0" w:color="204558"/>
              <w:bottom w:val="single" w:sz="12" w:space="0" w:color="204558"/>
            </w:tcBorders>
            <w:vAlign w:val="top"/>
          </w:tcPr>
          <w:p w14:paraId="3E93D4A0" w14:textId="77777777" w:rsidR="005F3255" w:rsidRPr="00121519" w:rsidRDefault="005F3255" w:rsidP="009812C6">
            <w:pPr>
              <w:pStyle w:val="TablePlainParagraph"/>
            </w:pPr>
            <w:r w:rsidRPr="004F09D8">
              <w:t>Nationality</w:t>
            </w:r>
          </w:p>
        </w:tc>
        <w:tc>
          <w:tcPr>
            <w:tcW w:w="2250" w:type="dxa"/>
            <w:tcBorders>
              <w:top w:val="single" w:sz="12" w:space="0" w:color="204558"/>
              <w:bottom w:val="single" w:sz="12" w:space="0" w:color="204558"/>
            </w:tcBorders>
            <w:vAlign w:val="top"/>
          </w:tcPr>
          <w:p w14:paraId="4850CD66" w14:textId="77777777" w:rsidR="005F3255" w:rsidRPr="00121519" w:rsidRDefault="005F3255" w:rsidP="009812C6">
            <w:pPr>
              <w:pStyle w:val="TablePlainParagraph"/>
            </w:pPr>
            <w:r w:rsidRPr="004F09D8">
              <w:t>Nature of control or influence</w:t>
            </w:r>
          </w:p>
        </w:tc>
      </w:tr>
      <w:tr w:rsidR="005F3255" w:rsidRPr="00121519" w14:paraId="4F5C6EDD" w14:textId="77777777" w:rsidTr="009812C6">
        <w:tc>
          <w:tcPr>
            <w:tcW w:w="1418" w:type="dxa"/>
            <w:tcBorders>
              <w:top w:val="single" w:sz="12" w:space="0" w:color="204558"/>
              <w:bottom w:val="single" w:sz="12" w:space="0" w:color="auto"/>
            </w:tcBorders>
            <w:vAlign w:val="top"/>
          </w:tcPr>
          <w:p w14:paraId="0440263A" w14:textId="77777777" w:rsidR="005F3255" w:rsidRPr="007759F0" w:rsidRDefault="005F3255" w:rsidP="009812C6">
            <w:pPr>
              <w:pStyle w:val="NumberLevel2"/>
              <w:numPr>
                <w:ilvl w:val="0"/>
                <w:numId w:val="0"/>
              </w:numPr>
              <w:spacing w:before="60" w:after="60"/>
            </w:pPr>
            <w:r w:rsidRPr="004F09D8">
              <w:t>Date of birth</w:t>
            </w:r>
          </w:p>
        </w:tc>
        <w:tc>
          <w:tcPr>
            <w:tcW w:w="2977" w:type="dxa"/>
            <w:tcBorders>
              <w:top w:val="single" w:sz="12" w:space="0" w:color="204558"/>
              <w:bottom w:val="single" w:sz="12" w:space="0" w:color="auto"/>
            </w:tcBorders>
            <w:vAlign w:val="top"/>
          </w:tcPr>
          <w:p w14:paraId="2C073ED6" w14:textId="77777777" w:rsidR="005F3255" w:rsidRPr="00121519" w:rsidRDefault="005F3255" w:rsidP="009812C6">
            <w:pPr>
              <w:pStyle w:val="TablePlainParagraph"/>
            </w:pPr>
            <w:r w:rsidRPr="004F09D8">
              <w:t>Residential address</w:t>
            </w:r>
          </w:p>
        </w:tc>
        <w:tc>
          <w:tcPr>
            <w:tcW w:w="3827" w:type="dxa"/>
            <w:gridSpan w:val="2"/>
            <w:tcBorders>
              <w:top w:val="single" w:sz="12" w:space="0" w:color="204558"/>
              <w:bottom w:val="single" w:sz="12" w:space="0" w:color="auto"/>
            </w:tcBorders>
            <w:vAlign w:val="top"/>
          </w:tcPr>
          <w:p w14:paraId="2D026153" w14:textId="77777777" w:rsidR="005F3255" w:rsidRPr="00121519" w:rsidRDefault="005F3255" w:rsidP="009812C6">
            <w:pPr>
              <w:pStyle w:val="TablePlainParagraph"/>
            </w:pPr>
            <w:r w:rsidRPr="004F09D8">
              <w:t>Date the person became or ceased to be a beneficial owner</w:t>
            </w:r>
          </w:p>
        </w:tc>
      </w:tr>
    </w:tbl>
    <w:p w14:paraId="2815F997" w14:textId="77777777" w:rsidR="005F3255" w:rsidRPr="001D5B1E" w:rsidRDefault="005F3255" w:rsidP="001D5B1E">
      <w:pPr>
        <w:pStyle w:val="PlainParagraph"/>
        <w:pBdr>
          <w:top w:val="single" w:sz="12" w:space="1" w:color="C4DDEA"/>
        </w:pBdr>
        <w:spacing w:before="240"/>
        <w:rPr>
          <w:b/>
          <w:sz w:val="26"/>
          <w:szCs w:val="26"/>
        </w:rPr>
      </w:pPr>
      <w:r w:rsidRPr="001D5B1E">
        <w:rPr>
          <w:b/>
          <w:sz w:val="26"/>
          <w:szCs w:val="26"/>
        </w:rPr>
        <w:t>Summary of protections</w:t>
      </w:r>
    </w:p>
    <w:p w14:paraId="6E14DF82" w14:textId="77777777" w:rsidR="005F3255" w:rsidRDefault="005F3255" w:rsidP="005F3255">
      <w:pPr>
        <w:pStyle w:val="NumberLevel1"/>
        <w:spacing w:before="120" w:after="120"/>
      </w:pPr>
      <w:r>
        <w:t>The design of the BO Policy has involved extensive review of similar projects established in other jurisdictions and engagement with stakeholders. The BO Policy incorporates significant privacy protections informed by this consultation and result.</w:t>
      </w:r>
    </w:p>
    <w:p w14:paraId="31CF6D46" w14:textId="77777777" w:rsidR="005F3255" w:rsidRDefault="005F3255" w:rsidP="005F3255">
      <w:pPr>
        <w:pStyle w:val="NumberLevel1"/>
        <w:spacing w:before="120" w:after="120"/>
      </w:pPr>
      <w:r>
        <w:t xml:space="preserve">As a starting point, while to-be-determined regulators and law enforcement agencies will be able to access the full register maintained by an in-scope company or by the RCA, members of the </w:t>
      </w:r>
      <w:proofErr w:type="gramStart"/>
      <w:r>
        <w:t>general public</w:t>
      </w:r>
      <w:proofErr w:type="gramEnd"/>
      <w:r>
        <w:t xml:space="preserve"> will only be able to request access to a smaller subset of BOI. Members of the public will not be able to access a person’s full date of birth, residential address, or address for communication.</w:t>
      </w:r>
    </w:p>
    <w:p w14:paraId="7D9FD165" w14:textId="77777777" w:rsidR="005F3255" w:rsidRDefault="005F3255" w:rsidP="005F3255">
      <w:pPr>
        <w:pStyle w:val="NumberLevel1"/>
        <w:spacing w:before="120" w:after="120"/>
      </w:pPr>
      <w:r>
        <w:t xml:space="preserve">Additionally, members of the public will need to pass a ‘test’ before an in-scope </w:t>
      </w:r>
      <w:proofErr w:type="gramStart"/>
      <w:r>
        <w:t>company</w:t>
      </w:r>
      <w:proofErr w:type="gramEnd"/>
      <w:r>
        <w:t xml:space="preserve"> or the RCA will grant them access to BOI. The test is that, before granting a person access to BOI, the in-scope company or RCA must be satisfied that the person does not seek access to the BOI for an ‘improper purpose’. </w:t>
      </w:r>
      <w:r w:rsidRPr="005B7A3A">
        <w:t xml:space="preserve">The improper purposes for access will be aligned with the improper purposes for seeking a copy of a company’s register outlined in reg 2C.1.03 of the </w:t>
      </w:r>
      <w:r w:rsidRPr="005B7A3A">
        <w:rPr>
          <w:i/>
        </w:rPr>
        <w:t>Corporations Regulation 2001</w:t>
      </w:r>
      <w:r w:rsidRPr="005B7A3A">
        <w:t xml:space="preserve"> (</w:t>
      </w:r>
      <w:proofErr w:type="spellStart"/>
      <w:r w:rsidRPr="005B7A3A">
        <w:t>Cth</w:t>
      </w:r>
      <w:proofErr w:type="spellEnd"/>
      <w:r w:rsidRPr="005B7A3A">
        <w:t>).</w:t>
      </w:r>
      <w:r>
        <w:t xml:space="preserve"> These improper purposes including soliciting a donation from a member of a </w:t>
      </w:r>
      <w:proofErr w:type="gramStart"/>
      <w:r>
        <w:t>company, and</w:t>
      </w:r>
      <w:proofErr w:type="gramEnd"/>
      <w:r>
        <w:t xml:space="preserve"> </w:t>
      </w:r>
      <w:r w:rsidRPr="005B7A3A">
        <w:t>gathering information about the personal wealth of a member of a company</w:t>
      </w:r>
      <w:r>
        <w:t>.</w:t>
      </w:r>
    </w:p>
    <w:p w14:paraId="77310E04" w14:textId="05A28A6F" w:rsidR="005F3255" w:rsidRDefault="005F3255" w:rsidP="005F3255">
      <w:pPr>
        <w:pStyle w:val="NumberLevel1"/>
        <w:spacing w:before="120" w:after="120"/>
      </w:pPr>
      <w:r>
        <w:t>Importantly, certain categories of beneficial owners will be able to apply for suppression of information about them within a BOR or the PCBOR.</w:t>
      </w:r>
      <w:r w:rsidR="009812C6">
        <w:t xml:space="preserve"> Information will be suppressed in the following circumstances.</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605"/>
        <w:gridCol w:w="7615"/>
      </w:tblGrid>
      <w:tr w:rsidR="005F3255" w:rsidRPr="00121519" w14:paraId="5E6851A7" w14:textId="77777777" w:rsidTr="00C176D5">
        <w:trPr>
          <w:cantSplit/>
          <w:tblHeader/>
        </w:trPr>
        <w:tc>
          <w:tcPr>
            <w:tcW w:w="368" w:type="pct"/>
            <w:shd w:val="clear" w:color="auto" w:fill="C4DDEA"/>
            <w:vAlign w:val="top"/>
          </w:tcPr>
          <w:p w14:paraId="2FF3B93F" w14:textId="77777777" w:rsidR="005F3255" w:rsidRPr="00121519" w:rsidRDefault="005F3255" w:rsidP="00C176D5">
            <w:pPr>
              <w:pStyle w:val="TableHeading2"/>
              <w:ind w:left="176" w:hanging="176"/>
            </w:pPr>
            <w:r>
              <w:t>No.</w:t>
            </w:r>
          </w:p>
        </w:tc>
        <w:tc>
          <w:tcPr>
            <w:tcW w:w="4632" w:type="pct"/>
            <w:shd w:val="clear" w:color="auto" w:fill="C4DDEA"/>
            <w:vAlign w:val="top"/>
          </w:tcPr>
          <w:p w14:paraId="3416813A" w14:textId="77777777" w:rsidR="005F3255" w:rsidRPr="00121519" w:rsidRDefault="005F3255" w:rsidP="00C176D5">
            <w:pPr>
              <w:pStyle w:val="TableHeading2"/>
            </w:pPr>
            <w:r>
              <w:t>Factual circumstance requiring suppression of BOI</w:t>
            </w:r>
          </w:p>
        </w:tc>
      </w:tr>
      <w:tr w:rsidR="005F3255" w:rsidRPr="00121519" w14:paraId="7CE73EED" w14:textId="77777777" w:rsidTr="00C176D5">
        <w:tc>
          <w:tcPr>
            <w:tcW w:w="368" w:type="pct"/>
            <w:vAlign w:val="top"/>
          </w:tcPr>
          <w:p w14:paraId="63116DB9" w14:textId="77777777" w:rsidR="005F3255" w:rsidRPr="00121519" w:rsidRDefault="005F3255" w:rsidP="00C176D5">
            <w:pPr>
              <w:pStyle w:val="TablePlainParagraph"/>
              <w:rPr>
                <w:b/>
              </w:rPr>
            </w:pPr>
            <w:r>
              <w:rPr>
                <w:b/>
              </w:rPr>
              <w:t>1.</w:t>
            </w:r>
          </w:p>
        </w:tc>
        <w:tc>
          <w:tcPr>
            <w:tcW w:w="4632" w:type="pct"/>
            <w:vAlign w:val="top"/>
          </w:tcPr>
          <w:p w14:paraId="2EAB4E4A" w14:textId="77777777" w:rsidR="005F3255" w:rsidRPr="00121519" w:rsidRDefault="005F3255" w:rsidP="00C176D5">
            <w:pPr>
              <w:pStyle w:val="TablePlainParagraph"/>
            </w:pPr>
            <w:r>
              <w:rPr>
                <w:lang w:eastAsia="en-US"/>
              </w:rPr>
              <w:t xml:space="preserve">Beneficial owners who are </w:t>
            </w:r>
            <w:r w:rsidRPr="004F09D8">
              <w:rPr>
                <w:lang w:eastAsia="en-US"/>
              </w:rPr>
              <w:t>in the process of applying for suppression with ASIC</w:t>
            </w:r>
          </w:p>
        </w:tc>
      </w:tr>
      <w:tr w:rsidR="005F3255" w:rsidRPr="00121519" w14:paraId="15724FDF" w14:textId="77777777" w:rsidTr="00C176D5">
        <w:tc>
          <w:tcPr>
            <w:tcW w:w="368" w:type="pct"/>
            <w:vAlign w:val="top"/>
          </w:tcPr>
          <w:p w14:paraId="4E660654" w14:textId="77777777" w:rsidR="005F3255" w:rsidRPr="00121519" w:rsidRDefault="005F3255" w:rsidP="00C176D5">
            <w:pPr>
              <w:pStyle w:val="TablePlainParagraph"/>
              <w:rPr>
                <w:b/>
              </w:rPr>
            </w:pPr>
            <w:r>
              <w:rPr>
                <w:b/>
              </w:rPr>
              <w:t>2.</w:t>
            </w:r>
          </w:p>
        </w:tc>
        <w:tc>
          <w:tcPr>
            <w:tcW w:w="4632" w:type="pct"/>
            <w:vAlign w:val="top"/>
          </w:tcPr>
          <w:p w14:paraId="3B0DA4A6" w14:textId="77777777" w:rsidR="005F3255" w:rsidRPr="00121519" w:rsidRDefault="005F3255" w:rsidP="00C176D5">
            <w:pPr>
              <w:pStyle w:val="TablePlainParagraph"/>
            </w:pPr>
            <w:r>
              <w:rPr>
                <w:lang w:eastAsia="en-US"/>
              </w:rPr>
              <w:t>A</w:t>
            </w:r>
            <w:r w:rsidRPr="00863020">
              <w:rPr>
                <w:lang w:eastAsia="en-US"/>
              </w:rPr>
              <w:t xml:space="preserve"> beneficial owner </w:t>
            </w:r>
            <w:r>
              <w:rPr>
                <w:lang w:eastAsia="en-US"/>
              </w:rPr>
              <w:t xml:space="preserve">who </w:t>
            </w:r>
            <w:r w:rsidRPr="00863020">
              <w:rPr>
                <w:lang w:eastAsia="en-US"/>
              </w:rPr>
              <w:t>is under 18 years of age</w:t>
            </w:r>
          </w:p>
        </w:tc>
      </w:tr>
      <w:tr w:rsidR="005F3255" w:rsidRPr="00121519" w14:paraId="7ECFDEFC" w14:textId="77777777" w:rsidTr="00C176D5">
        <w:tc>
          <w:tcPr>
            <w:tcW w:w="368" w:type="pct"/>
            <w:vAlign w:val="top"/>
          </w:tcPr>
          <w:p w14:paraId="5D6ED023" w14:textId="77777777" w:rsidR="005F3255" w:rsidRPr="00121519" w:rsidRDefault="005F3255" w:rsidP="00C176D5">
            <w:pPr>
              <w:pStyle w:val="TablePlainParagraph"/>
              <w:rPr>
                <w:b/>
              </w:rPr>
            </w:pPr>
            <w:r>
              <w:rPr>
                <w:b/>
              </w:rPr>
              <w:t>3.</w:t>
            </w:r>
          </w:p>
        </w:tc>
        <w:tc>
          <w:tcPr>
            <w:tcW w:w="4632" w:type="pct"/>
            <w:vAlign w:val="top"/>
          </w:tcPr>
          <w:p w14:paraId="7F33BC68" w14:textId="77777777" w:rsidR="005F3255" w:rsidRPr="00121519" w:rsidRDefault="005F3255" w:rsidP="00C176D5">
            <w:pPr>
              <w:pStyle w:val="TablePlainParagraph"/>
            </w:pPr>
            <w:r>
              <w:rPr>
                <w:lang w:eastAsia="en-US"/>
              </w:rPr>
              <w:t xml:space="preserve">A </w:t>
            </w:r>
            <w:r w:rsidRPr="00863020">
              <w:rPr>
                <w:lang w:eastAsia="en-US"/>
              </w:rPr>
              <w:t>beneficial owner is a silent voter on the electoral role</w:t>
            </w:r>
          </w:p>
        </w:tc>
      </w:tr>
      <w:tr w:rsidR="005F3255" w:rsidRPr="00121519" w14:paraId="35DA472C" w14:textId="77777777" w:rsidTr="00C176D5">
        <w:tc>
          <w:tcPr>
            <w:tcW w:w="368" w:type="pct"/>
            <w:vAlign w:val="top"/>
          </w:tcPr>
          <w:p w14:paraId="07AA5778" w14:textId="77777777" w:rsidR="005F3255" w:rsidRPr="00121519" w:rsidRDefault="005F3255" w:rsidP="00C176D5">
            <w:pPr>
              <w:pStyle w:val="TablePlainParagraph"/>
              <w:rPr>
                <w:b/>
              </w:rPr>
            </w:pPr>
            <w:r>
              <w:rPr>
                <w:b/>
              </w:rPr>
              <w:t>4.</w:t>
            </w:r>
          </w:p>
        </w:tc>
        <w:tc>
          <w:tcPr>
            <w:tcW w:w="4632" w:type="pct"/>
            <w:vAlign w:val="top"/>
          </w:tcPr>
          <w:p w14:paraId="2CEA5C0E" w14:textId="4E7CEDB8" w:rsidR="005F3255" w:rsidRPr="00121519" w:rsidRDefault="005F3255" w:rsidP="00C176D5">
            <w:pPr>
              <w:pStyle w:val="TablePlainParagraph"/>
            </w:pPr>
            <w:r w:rsidRPr="00863020">
              <w:rPr>
                <w:lang w:eastAsia="en-US"/>
              </w:rPr>
              <w:t>ASIC has approved the suppression application</w:t>
            </w:r>
            <w:r w:rsidR="009812C6">
              <w:rPr>
                <w:lang w:eastAsia="en-US"/>
              </w:rPr>
              <w:t xml:space="preserve"> </w:t>
            </w:r>
            <w:proofErr w:type="gramStart"/>
            <w:r w:rsidR="009812C6">
              <w:rPr>
                <w:lang w:eastAsia="en-US"/>
              </w:rPr>
              <w:t>on the basis of</w:t>
            </w:r>
            <w:proofErr w:type="gramEnd"/>
            <w:r w:rsidR="009812C6">
              <w:rPr>
                <w:lang w:eastAsia="en-US"/>
              </w:rPr>
              <w:t xml:space="preserve"> a risk of harm or a risk to safety</w:t>
            </w:r>
          </w:p>
        </w:tc>
      </w:tr>
    </w:tbl>
    <w:p w14:paraId="11E944C5" w14:textId="5E3D3F71" w:rsidR="005F3255" w:rsidRDefault="005F3255" w:rsidP="005F3255">
      <w:pPr>
        <w:pStyle w:val="NumberLevel1"/>
        <w:spacing w:before="120" w:after="120"/>
      </w:pPr>
      <w:r>
        <w:t xml:space="preserve">In scope companies must notify beneficial owners of the right to have their information suppressed from the register so that they are aware of the right and </w:t>
      </w:r>
      <w:proofErr w:type="gramStart"/>
      <w:r>
        <w:t>have the opportunity to</w:t>
      </w:r>
      <w:proofErr w:type="gramEnd"/>
      <w:r>
        <w:t xml:space="preserve"> prevent public disclosure.</w:t>
      </w:r>
      <w:r w:rsidR="00736B86">
        <w:t xml:space="preserve"> </w:t>
      </w:r>
      <w:r>
        <w:t xml:space="preserve">Only ASIC will be able to approve an application for suppression </w:t>
      </w:r>
      <w:proofErr w:type="gramStart"/>
      <w:r>
        <w:t>on the basis of</w:t>
      </w:r>
      <w:proofErr w:type="gramEnd"/>
      <w:r>
        <w:t xml:space="preserve"> a risk to personal safety. The BOI of a beneficial owner making such an application will be suppressed until the determination of the application and any subsequent review processes. If an application for suppression is approved, the beneficial owner’s BOI will be suppressed permanently.</w:t>
      </w:r>
    </w:p>
    <w:p w14:paraId="3CFFEE9E" w14:textId="77777777" w:rsidR="005F3255" w:rsidRDefault="005F3255" w:rsidP="005F3255">
      <w:pPr>
        <w:pStyle w:val="NumberLevel1"/>
        <w:spacing w:before="120" w:after="120"/>
      </w:pPr>
      <w:r>
        <w:t>We consider that these protections address the most immediate privacy risks associated with the BO Policy. Nonetheless, there are further opportunities for the BO Policy to minimise or mitigate privacy impacts.</w:t>
      </w:r>
    </w:p>
    <w:p w14:paraId="4171EDF4" w14:textId="77777777" w:rsidR="005F3255" w:rsidRPr="001D5B1E" w:rsidRDefault="005F3255" w:rsidP="001D5B1E">
      <w:pPr>
        <w:pStyle w:val="PlainParagraph"/>
        <w:pBdr>
          <w:top w:val="single" w:sz="12" w:space="1" w:color="C4DDEA"/>
        </w:pBdr>
        <w:spacing w:before="240"/>
        <w:rPr>
          <w:b/>
          <w:sz w:val="26"/>
          <w:szCs w:val="26"/>
        </w:rPr>
      </w:pPr>
      <w:r w:rsidRPr="001D5B1E">
        <w:rPr>
          <w:b/>
          <w:sz w:val="26"/>
          <w:szCs w:val="26"/>
        </w:rPr>
        <w:t>Summary of privacy impacts and issues</w:t>
      </w:r>
    </w:p>
    <w:p w14:paraId="4AC27937" w14:textId="25F97B49" w:rsidR="005F3255" w:rsidRDefault="005F3255" w:rsidP="005F3255">
      <w:pPr>
        <w:pStyle w:val="NumberLevel1"/>
        <w:spacing w:before="120" w:after="120"/>
      </w:pPr>
      <w:r>
        <w:t xml:space="preserve">At a fundamental level, the BO Policy involves a significant interference with the privacy of beneficial owners. </w:t>
      </w:r>
      <w:proofErr w:type="gramStart"/>
      <w:r>
        <w:t>Each individual</w:t>
      </w:r>
      <w:proofErr w:type="gramEnd"/>
      <w:r>
        <w:t xml:space="preserve"> must identify and disclose personal information about themselves. This information may become publicly available, which the individual may never have intended to become publicly known. There is a clear loss of choice and control</w:t>
      </w:r>
      <w:r w:rsidR="009812C6">
        <w:t xml:space="preserve"> over the handling of their personal information</w:t>
      </w:r>
      <w:r>
        <w:t xml:space="preserve"> for beneficial owners.</w:t>
      </w:r>
    </w:p>
    <w:p w14:paraId="21B10913" w14:textId="77777777" w:rsidR="005F3255" w:rsidRDefault="005F3255" w:rsidP="005F3255">
      <w:pPr>
        <w:pStyle w:val="NumberLevel1"/>
        <w:spacing w:before="120" w:after="120"/>
      </w:pPr>
      <w:r>
        <w:t>There are also risks inherent in requiring in-scope companies to create and maintain their own BORs. Although ASIC will have an audit function, in Stage 1, the Commonwealth will have limited day-to-day oversight of the personal information about beneficial owners that in-scope companies are handling to comply with the BO Policy. Although guidance will be provided, the risk of overcollection, data quality and/or security issues will exist.</w:t>
      </w:r>
    </w:p>
    <w:p w14:paraId="1FB5EC6E" w14:textId="77777777" w:rsidR="005F3255" w:rsidRDefault="005F3255" w:rsidP="005F3255">
      <w:pPr>
        <w:pStyle w:val="NumberLevel1"/>
        <w:spacing w:before="120" w:after="120"/>
      </w:pPr>
      <w:r>
        <w:t xml:space="preserve">Additionally, in Stage 2, the accumulation of individual BORs within a central registry presents an additional risk. The PCBOR will present an attractive honey pot for malicious individuals seeking to access high value personal information. </w:t>
      </w:r>
    </w:p>
    <w:p w14:paraId="213BF93A" w14:textId="77777777" w:rsidR="005F3255" w:rsidRDefault="005F3255" w:rsidP="005F3255">
      <w:pPr>
        <w:pStyle w:val="NumberLevel1"/>
        <w:spacing w:before="120" w:after="120"/>
      </w:pPr>
      <w:r>
        <w:t xml:space="preserve">More generally, access to BOI may expose personal information to data scrapers, data brokers, identity thieves or other criminals, either for use alone or in combination with other information. </w:t>
      </w:r>
    </w:p>
    <w:p w14:paraId="14D4E191" w14:textId="47A584C3" w:rsidR="005F3255" w:rsidRDefault="005F3255" w:rsidP="005F3255">
      <w:pPr>
        <w:pStyle w:val="NumberLevel1"/>
        <w:spacing w:before="120" w:after="120"/>
      </w:pPr>
      <w:r>
        <w:t xml:space="preserve">In summary, the BO </w:t>
      </w:r>
      <w:r w:rsidR="009812C6">
        <w:t>P</w:t>
      </w:r>
      <w:r>
        <w:t xml:space="preserve">olicy may expose beneficial owners to disproportionate harm including financial, reputational, </w:t>
      </w:r>
      <w:proofErr w:type="gramStart"/>
      <w:r>
        <w:t>physical</w:t>
      </w:r>
      <w:proofErr w:type="gramEnd"/>
      <w:r>
        <w:t xml:space="preserve"> or emotional harm.</w:t>
      </w:r>
    </w:p>
    <w:p w14:paraId="45DE33B1" w14:textId="77777777" w:rsidR="005F3255" w:rsidRPr="001D5B1E" w:rsidRDefault="005F3255" w:rsidP="001D5B1E">
      <w:pPr>
        <w:pStyle w:val="AdvicePP"/>
        <w:pBdr>
          <w:top w:val="single" w:sz="12" w:space="1" w:color="auto"/>
        </w:pBdr>
        <w:spacing w:before="240"/>
        <w:rPr>
          <w:b/>
        </w:rPr>
      </w:pPr>
      <w:r w:rsidRPr="001D5B1E">
        <w:rPr>
          <w:b/>
        </w:rPr>
        <w:t xml:space="preserve">Privacy risks and recommendations </w:t>
      </w:r>
    </w:p>
    <w:p w14:paraId="7871FA18" w14:textId="77777777" w:rsidR="005F3255" w:rsidRDefault="005F3255" w:rsidP="005F3255">
      <w:pPr>
        <w:pStyle w:val="NumberLevel1"/>
      </w:pPr>
      <w:r>
        <w:t xml:space="preserve">Australia is a signatory to the </w:t>
      </w:r>
      <w:r w:rsidRPr="00495597">
        <w:rPr>
          <w:i/>
        </w:rPr>
        <w:t xml:space="preserve">International Covenant on Civil and Political Rights </w:t>
      </w:r>
      <w:r>
        <w:t xml:space="preserve">(the </w:t>
      </w:r>
      <w:r w:rsidRPr="0073002E">
        <w:rPr>
          <w:b/>
        </w:rPr>
        <w:t>ICCPR</w:t>
      </w:r>
      <w:r>
        <w:t xml:space="preserve">) </w:t>
      </w:r>
      <w:r w:rsidRPr="0073002E">
        <w:t>which</w:t>
      </w:r>
      <w:r>
        <w:t xml:space="preserve"> protects against ‘arbitrary or unlawful interference with privacy’: Article 17.</w:t>
      </w:r>
      <w:r>
        <w:rPr>
          <w:rStyle w:val="FootnoteReference"/>
        </w:rPr>
        <w:footnoteReference w:id="3"/>
      </w:r>
      <w:r>
        <w:t xml:space="preserve"> </w:t>
      </w:r>
    </w:p>
    <w:p w14:paraId="47946108" w14:textId="77777777" w:rsidR="005F3255" w:rsidRDefault="005F3255" w:rsidP="005F3255">
      <w:pPr>
        <w:pStyle w:val="NumberLevel1"/>
      </w:pPr>
      <w:r>
        <w:t>Importantly, not every interference with privacy will be inconsistent with the right to privacy. The concept of ‘arbitrariness’ is ‘intended to guarantee that even interference provided for by law should be in accordance with the provisions, aims and objectives of the ICCPR and should be, in any event, reasonable in the particular circumstances.’</w:t>
      </w:r>
      <w:r>
        <w:rPr>
          <w:rStyle w:val="FootnoteReference"/>
        </w:rPr>
        <w:footnoteReference w:id="4"/>
      </w:r>
      <w:r>
        <w:t xml:space="preserve"> </w:t>
      </w:r>
    </w:p>
    <w:p w14:paraId="225B428E" w14:textId="77777777" w:rsidR="005F3255" w:rsidRDefault="005F3255" w:rsidP="005F3255">
      <w:pPr>
        <w:pStyle w:val="NumberLevel1"/>
      </w:pPr>
      <w:r>
        <w:t xml:space="preserve">As the BO Policy will introduce new legislation which will impact on the privacy of individuals, the PIA examined whether the policy settings are reasonable, </w:t>
      </w:r>
      <w:proofErr w:type="gramStart"/>
      <w:r>
        <w:t>necessary</w:t>
      </w:r>
      <w:proofErr w:type="gramEnd"/>
      <w:r>
        <w:t xml:space="preserve"> and proportionate. </w:t>
      </w:r>
    </w:p>
    <w:p w14:paraId="2215027A" w14:textId="3A7672E7" w:rsidR="005F3255" w:rsidRDefault="005F3255" w:rsidP="005F3255">
      <w:pPr>
        <w:pStyle w:val="AdviceNumLevel1"/>
      </w:pPr>
      <w:r>
        <w:t xml:space="preserve">We also examined whether the BO Policy will enable the handling of personal information in accordance with the </w:t>
      </w:r>
      <w:r w:rsidRPr="00F703F3">
        <w:rPr>
          <w:i/>
        </w:rPr>
        <w:t>Privacy Act</w:t>
      </w:r>
      <w:r w:rsidR="00F703F3">
        <w:t xml:space="preserve"> </w:t>
      </w:r>
      <w:r w:rsidR="00F703F3" w:rsidRPr="00F703F3">
        <w:rPr>
          <w:i/>
        </w:rPr>
        <w:t>1958</w:t>
      </w:r>
      <w:r w:rsidR="00F703F3">
        <w:t xml:space="preserve"> (</w:t>
      </w:r>
      <w:proofErr w:type="spellStart"/>
      <w:r w:rsidR="00F703F3">
        <w:t>Cth</w:t>
      </w:r>
      <w:proofErr w:type="spellEnd"/>
      <w:r w:rsidR="00F703F3">
        <w:t xml:space="preserve">) (the </w:t>
      </w:r>
      <w:r w:rsidR="00F703F3">
        <w:rPr>
          <w:b/>
        </w:rPr>
        <w:t>Privacy Act</w:t>
      </w:r>
      <w:r w:rsidR="00F703F3">
        <w:t>)</w:t>
      </w:r>
      <w:r>
        <w:t>, which codifies the right to information privacy in the ICCPR into Australian law.</w:t>
      </w:r>
    </w:p>
    <w:p w14:paraId="1B0CC156" w14:textId="77777777" w:rsidR="005F3255" w:rsidRDefault="005F3255" w:rsidP="005F3255">
      <w:pPr>
        <w:pStyle w:val="NumberLevel1"/>
        <w:spacing w:before="120" w:after="120"/>
      </w:pPr>
      <w:r>
        <w:t xml:space="preserve">Following is a high-level summary of the findings of the PIA and our recommendations. </w:t>
      </w:r>
    </w:p>
    <w:p w14:paraId="5361D0DD" w14:textId="77777777" w:rsidR="005F3255" w:rsidRPr="001D5B1E" w:rsidRDefault="005F3255" w:rsidP="001D5B1E">
      <w:pPr>
        <w:pStyle w:val="AdvicePP"/>
        <w:spacing w:before="200"/>
        <w:rPr>
          <w:b/>
          <w:sz w:val="20"/>
          <w:szCs w:val="20"/>
        </w:rPr>
      </w:pPr>
      <w:r w:rsidRPr="001D5B1E">
        <w:rPr>
          <w:b/>
          <w:color w:val="1F4E79" w:themeColor="accent5" w:themeShade="80"/>
          <w:sz w:val="20"/>
          <w:szCs w:val="20"/>
        </w:rPr>
        <w:t>‘Improper purpose’ test less effective than a ‘legitimate interest’ test</w:t>
      </w:r>
    </w:p>
    <w:p w14:paraId="6A969935" w14:textId="77777777" w:rsidR="005F3255" w:rsidRDefault="005F3255" w:rsidP="005F3255">
      <w:pPr>
        <w:pStyle w:val="NumberLevel1"/>
        <w:spacing w:before="120" w:after="120"/>
      </w:pPr>
      <w:r>
        <w:t>The PIA found that public access must be conditioned to effectively protect privacy.</w:t>
      </w:r>
    </w:p>
    <w:p w14:paraId="2E8067D0" w14:textId="77777777" w:rsidR="005F3255" w:rsidRDefault="005F3255" w:rsidP="005F3255">
      <w:pPr>
        <w:pStyle w:val="NumberLevel1"/>
        <w:spacing w:before="120" w:after="120"/>
      </w:pPr>
      <w:proofErr w:type="gramStart"/>
      <w:r>
        <w:t>In order to</w:t>
      </w:r>
      <w:proofErr w:type="gramEnd"/>
      <w:r>
        <w:t xml:space="preserve"> strike the right balance, AGS recommends that the BO Policy limit access to individuals that:  </w:t>
      </w:r>
    </w:p>
    <w:p w14:paraId="0F1B5D13" w14:textId="77777777" w:rsidR="005F3255" w:rsidRDefault="005F3255" w:rsidP="005F3255">
      <w:pPr>
        <w:pStyle w:val="NumberLevel2"/>
        <w:tabs>
          <w:tab w:val="clear" w:pos="709"/>
          <w:tab w:val="num" w:pos="1702"/>
        </w:tabs>
        <w:spacing w:before="120" w:after="120"/>
      </w:pPr>
      <w:r>
        <w:t>positively demonstrate a ‘legitimate interest’ in accessing BOI</w:t>
      </w:r>
    </w:p>
    <w:p w14:paraId="27CE5275" w14:textId="77777777" w:rsidR="005F3255" w:rsidRDefault="005F3255" w:rsidP="005F3255">
      <w:pPr>
        <w:pStyle w:val="NumberLevel2"/>
        <w:tabs>
          <w:tab w:val="clear" w:pos="709"/>
          <w:tab w:val="num" w:pos="1702"/>
        </w:tabs>
        <w:spacing w:before="120" w:after="120"/>
      </w:pPr>
      <w:r>
        <w:t xml:space="preserve">pay a small fee, not exceeding the administrative </w:t>
      </w:r>
      <w:r>
        <w:rPr>
          <w:lang w:eastAsia="en-US"/>
        </w:rPr>
        <w:t>cost of making the information available (except for persons who will be exempt from paying the fee, such as journalists and academics) (</w:t>
      </w:r>
      <w:r w:rsidRPr="000E431E">
        <w:rPr>
          <w:b/>
        </w:rPr>
        <w:t>Recommendation 1</w:t>
      </w:r>
      <w:r>
        <w:t xml:space="preserve">). </w:t>
      </w:r>
    </w:p>
    <w:p w14:paraId="313E20F4" w14:textId="77777777" w:rsidR="005F3255" w:rsidRDefault="005F3255" w:rsidP="005F3255">
      <w:pPr>
        <w:pStyle w:val="NumberLevel1"/>
        <w:spacing w:before="120" w:after="120"/>
      </w:pPr>
      <w:r>
        <w:t xml:space="preserve">AGS prefers a ‘legitimate interest’ standard over an ‘improper purpose’ test for </w:t>
      </w:r>
      <w:proofErr w:type="gramStart"/>
      <w:r>
        <w:t>a number of</w:t>
      </w:r>
      <w:proofErr w:type="gramEnd"/>
      <w:r>
        <w:t xml:space="preserve"> reasons, including that it is more in-line with the international standards, may be more difficult for malicious actors to successfully deceive, and better protects the privacy of beneficial owners. </w:t>
      </w:r>
    </w:p>
    <w:p w14:paraId="3783114D" w14:textId="77777777" w:rsidR="005F3255" w:rsidRPr="001D5B1E" w:rsidRDefault="005F3255" w:rsidP="001D5B1E">
      <w:pPr>
        <w:pStyle w:val="AdvicePP"/>
        <w:spacing w:before="200"/>
        <w:rPr>
          <w:b/>
          <w:color w:val="1F4E79" w:themeColor="accent5" w:themeShade="80"/>
          <w:sz w:val="20"/>
          <w:szCs w:val="20"/>
        </w:rPr>
      </w:pPr>
      <w:r w:rsidRPr="001D5B1E">
        <w:rPr>
          <w:b/>
          <w:color w:val="1F4E79" w:themeColor="accent5" w:themeShade="80"/>
          <w:sz w:val="20"/>
          <w:szCs w:val="20"/>
        </w:rPr>
        <w:t>Conditions on access to BOI</w:t>
      </w:r>
    </w:p>
    <w:p w14:paraId="3A3B7696" w14:textId="3EE03525" w:rsidR="005F3255" w:rsidRDefault="005F3255" w:rsidP="005F3255">
      <w:pPr>
        <w:pStyle w:val="NumberLevel1"/>
        <w:spacing w:before="120" w:after="120"/>
      </w:pPr>
      <w:r>
        <w:t>The purposes behind making BOI available to members of the public who do not have an improper purpose are sound. However, at present, there are no restrictions on what a person can do with BOI once received. There is a risk that people who access BOI for one purpose may use or disclose the information for secondary improper purposes.</w:t>
      </w:r>
    </w:p>
    <w:p w14:paraId="16413A80" w14:textId="3A63932D" w:rsidR="005F3255" w:rsidRDefault="005F3255" w:rsidP="005F3255">
      <w:pPr>
        <w:pStyle w:val="NumberLevel1"/>
        <w:spacing w:before="120" w:after="120"/>
      </w:pPr>
      <w:r>
        <w:t xml:space="preserve">We recommend that, when seeking access to BOI, the BO </w:t>
      </w:r>
      <w:r w:rsidR="009812C6">
        <w:t>P</w:t>
      </w:r>
      <w:r>
        <w:t>olicy require applicants to declare (1) the purpose for which they are making their request, and (2) that they will only use or disclose the BOI for the declared purpose (</w:t>
      </w:r>
      <w:r>
        <w:rPr>
          <w:b/>
        </w:rPr>
        <w:t>Recommendation 2</w:t>
      </w:r>
      <w:r>
        <w:t>)</w:t>
      </w:r>
    </w:p>
    <w:p w14:paraId="5F6E0A74" w14:textId="77777777" w:rsidR="005F3255" w:rsidRDefault="005F3255" w:rsidP="005F3255">
      <w:pPr>
        <w:pStyle w:val="NumberLevel1"/>
        <w:spacing w:before="120" w:after="120"/>
      </w:pPr>
      <w:r>
        <w:t>Additionally, the BO Policy should give the RCA power to impose conditions on how people who access data contained in the PCBOR may use or disclose this data (</w:t>
      </w:r>
      <w:r>
        <w:rPr>
          <w:b/>
        </w:rPr>
        <w:t>Recommendation 2</w:t>
      </w:r>
      <w:r>
        <w:t>).</w:t>
      </w:r>
      <w:r w:rsidRPr="00CD1F07">
        <w:t xml:space="preserve"> </w:t>
      </w:r>
      <w:r w:rsidRPr="005248A5">
        <w:t>Conditions could include permitting the use of the BOI for certain activities</w:t>
      </w:r>
      <w:r>
        <w:t xml:space="preserve"> only</w:t>
      </w:r>
      <w:r w:rsidRPr="005248A5">
        <w:t xml:space="preserve"> (e.g. marketing)</w:t>
      </w:r>
      <w:r>
        <w:t xml:space="preserve"> where the access application specifies a broad purpose</w:t>
      </w:r>
      <w:r w:rsidRPr="005248A5">
        <w:t>.</w:t>
      </w:r>
    </w:p>
    <w:p w14:paraId="1B93E8B2" w14:textId="77777777" w:rsidR="005F3255" w:rsidRPr="001D5B1E" w:rsidRDefault="005F3255" w:rsidP="001D5B1E">
      <w:pPr>
        <w:pStyle w:val="AdvicePP"/>
        <w:spacing w:before="200"/>
        <w:rPr>
          <w:b/>
          <w:color w:val="1F4E79" w:themeColor="accent5" w:themeShade="80"/>
          <w:sz w:val="20"/>
          <w:szCs w:val="20"/>
        </w:rPr>
      </w:pPr>
      <w:r w:rsidRPr="001D5B1E">
        <w:rPr>
          <w:b/>
          <w:color w:val="1F4E79" w:themeColor="accent5" w:themeShade="80"/>
          <w:sz w:val="20"/>
          <w:szCs w:val="20"/>
        </w:rPr>
        <w:t>Minimising ‘function creep’</w:t>
      </w:r>
    </w:p>
    <w:p w14:paraId="1452C55D" w14:textId="77777777" w:rsidR="005F3255" w:rsidRDefault="005F3255" w:rsidP="005F3255">
      <w:pPr>
        <w:pStyle w:val="NumberLevel1"/>
        <w:spacing w:before="120" w:after="120"/>
      </w:pPr>
      <w:r>
        <w:t>We expect that the public may be concerned about the significant amount of personal information which in-scope entities, ASIC and the RCA will handle under the BO Policy. To give comfort to the public, and to ensure any changes or additional impacts of the BO Policy are subject to Parliamentary scrutiny, we recommend setting out specifics of the BO Policy in primary legislation to the greatest extent possible (</w:t>
      </w:r>
      <w:r>
        <w:rPr>
          <w:b/>
        </w:rPr>
        <w:t>Recommendation 3</w:t>
      </w:r>
      <w:r>
        <w:t xml:space="preserve">). </w:t>
      </w:r>
    </w:p>
    <w:p w14:paraId="466A4C50" w14:textId="1911EACF" w:rsidR="005F3255" w:rsidRDefault="005F3255" w:rsidP="005F3255">
      <w:pPr>
        <w:pStyle w:val="NumberLevel1"/>
        <w:spacing w:before="120" w:after="120"/>
      </w:pPr>
      <w:r>
        <w:t xml:space="preserve">Details that could be set out in </w:t>
      </w:r>
      <w:r w:rsidR="001D5B1E">
        <w:t xml:space="preserve">primary </w:t>
      </w:r>
      <w:r>
        <w:t xml:space="preserve">legislation include the types of </w:t>
      </w:r>
      <w:proofErr w:type="gramStart"/>
      <w:r>
        <w:t>BOI</w:t>
      </w:r>
      <w:proofErr w:type="gramEnd"/>
      <w:r>
        <w:t xml:space="preserve"> for inclusion in the BOR / PCBOR, the law enforcement agencies and regulators who will have unlimited access to BOI, and the ‘improper purposes’ for which access to BOI can be refused.</w:t>
      </w:r>
    </w:p>
    <w:p w14:paraId="76FE767F" w14:textId="37DB2051" w:rsidR="005F3255" w:rsidRPr="001D5B1E" w:rsidRDefault="005F3255" w:rsidP="001D5B1E">
      <w:pPr>
        <w:pStyle w:val="AdvicePP"/>
        <w:spacing w:before="200"/>
        <w:rPr>
          <w:b/>
          <w:color w:val="1F4E79" w:themeColor="accent5" w:themeShade="80"/>
          <w:sz w:val="20"/>
          <w:szCs w:val="20"/>
        </w:rPr>
      </w:pPr>
      <w:r w:rsidRPr="001D5B1E">
        <w:rPr>
          <w:b/>
          <w:color w:val="1F4E79" w:themeColor="accent5" w:themeShade="80"/>
          <w:sz w:val="20"/>
          <w:szCs w:val="20"/>
        </w:rPr>
        <w:t>Application of the Privacy Act to in-scope companies</w:t>
      </w:r>
    </w:p>
    <w:p w14:paraId="1B14D362" w14:textId="1CDEB342" w:rsidR="005F3255" w:rsidRDefault="005F3255" w:rsidP="005F3255">
      <w:pPr>
        <w:pStyle w:val="NumberLevel1"/>
        <w:spacing w:before="120" w:after="120"/>
      </w:pPr>
      <w:r>
        <w:t xml:space="preserve">The BO Policy will impose a range of new obligations on in-scope companies. In-scope companies that are APP entities as defined in the </w:t>
      </w:r>
      <w:r w:rsidR="00F703F3" w:rsidRPr="00F703F3">
        <w:t>Privacy Act</w:t>
      </w:r>
      <w:r>
        <w:t xml:space="preserve"> will be required to comply with the </w:t>
      </w:r>
      <w:r w:rsidR="001D5B1E">
        <w:t xml:space="preserve">Privacy </w:t>
      </w:r>
      <w:r>
        <w:t xml:space="preserve">Act when handling personal information. </w:t>
      </w:r>
    </w:p>
    <w:p w14:paraId="08FE2A26" w14:textId="37C984CF" w:rsidR="005F3255" w:rsidRDefault="005F3255" w:rsidP="005F3255">
      <w:pPr>
        <w:pStyle w:val="NumberLevel1"/>
        <w:spacing w:before="100" w:after="100"/>
      </w:pPr>
      <w:r>
        <w:t>At present, the Privacy Act does not apply to small business operators (</w:t>
      </w:r>
      <w:r w:rsidRPr="00227CEA">
        <w:rPr>
          <w:b/>
        </w:rPr>
        <w:t>SBO</w:t>
      </w:r>
      <w:r>
        <w:t xml:space="preserve">s), which is generally an </w:t>
      </w:r>
      <w:hyperlink r:id="rId12" w:anchor="individual" w:history="1">
        <w:r w:rsidRPr="00C8722C">
          <w:t>individual</w:t>
        </w:r>
      </w:hyperlink>
      <w:r w:rsidRPr="00C8722C">
        <w:t xml:space="preserve">, body corporate, partnership, unincorporated association or trust </w:t>
      </w:r>
      <w:r>
        <w:t>with a turnover of less than $3 million per year (</w:t>
      </w:r>
      <w:r w:rsidRPr="00C8722C">
        <w:rPr>
          <w:b/>
        </w:rPr>
        <w:t>SBO exception</w:t>
      </w:r>
      <w:r>
        <w:t>): s 6D(1) of the Privacy Act.</w:t>
      </w:r>
      <w:r>
        <w:rPr>
          <w:rStyle w:val="FootnoteReference"/>
        </w:rPr>
        <w:footnoteReference w:id="5"/>
      </w:r>
      <w:r>
        <w:t xml:space="preserve"> Treasury instructs that many in-scope companies are SBOs.</w:t>
      </w:r>
    </w:p>
    <w:p w14:paraId="19A3BB97" w14:textId="77777777" w:rsidR="005F3255" w:rsidRDefault="005F3255" w:rsidP="005F3255">
      <w:pPr>
        <w:pStyle w:val="NumberLevel1"/>
        <w:spacing w:before="100" w:after="100"/>
      </w:pPr>
      <w:r>
        <w:t xml:space="preserve">If an amendment recommended by a recent review of the Privacy Act passes into law, the SBO exception will be removed, and most in-scope companies will become APP entities. If this change does not occur, we recommend that the BO Policy should exclude in-scope companies from the SBO exception (or at least in-scope companies which are not director-owner companies). This policy setting would align with the existing setting under s 6E(1A) of the Privacy Act which provides that the SBO exception does not apply to an entity for the purposes of, or in connection with, activities relating to the </w:t>
      </w:r>
      <w:r>
        <w:rPr>
          <w:i/>
        </w:rPr>
        <w:t xml:space="preserve">Anti Money Laundering and Counter Terrorism Funding Act 2006 </w:t>
      </w:r>
      <w:r>
        <w:t>(</w:t>
      </w:r>
      <w:r w:rsidRPr="00CB7ECD">
        <w:rPr>
          <w:b/>
        </w:rPr>
        <w:t>AML/CTF Act</w:t>
      </w:r>
      <w:r>
        <w:t>).</w:t>
      </w:r>
    </w:p>
    <w:p w14:paraId="396043C8" w14:textId="77777777" w:rsidR="005F3255" w:rsidRPr="001D5B1E" w:rsidRDefault="005F3255" w:rsidP="001D5B1E">
      <w:pPr>
        <w:pStyle w:val="AdvicePP"/>
        <w:spacing w:before="200"/>
        <w:rPr>
          <w:b/>
          <w:color w:val="1F4E79" w:themeColor="accent5" w:themeShade="80"/>
          <w:sz w:val="20"/>
          <w:szCs w:val="20"/>
        </w:rPr>
      </w:pPr>
      <w:r w:rsidRPr="001D5B1E">
        <w:rPr>
          <w:b/>
          <w:color w:val="1F4E79" w:themeColor="accent5" w:themeShade="80"/>
          <w:sz w:val="20"/>
          <w:szCs w:val="20"/>
        </w:rPr>
        <w:t xml:space="preserve">Helping in-scope companies comply with their privacy </w:t>
      </w:r>
      <w:proofErr w:type="gramStart"/>
      <w:r w:rsidRPr="001D5B1E">
        <w:rPr>
          <w:b/>
          <w:color w:val="1F4E79" w:themeColor="accent5" w:themeShade="80"/>
          <w:sz w:val="20"/>
          <w:szCs w:val="20"/>
        </w:rPr>
        <w:t>obligations</w:t>
      </w:r>
      <w:proofErr w:type="gramEnd"/>
    </w:p>
    <w:p w14:paraId="3D1524C6" w14:textId="77777777" w:rsidR="005F3255" w:rsidRDefault="005F3255" w:rsidP="005F3255">
      <w:pPr>
        <w:pStyle w:val="NumberLevel1"/>
        <w:spacing w:before="120" w:after="120"/>
      </w:pPr>
      <w:r w:rsidRPr="00AD6666">
        <w:t xml:space="preserve">To promote a ‘privacy by design’ approach, the Commonwealth </w:t>
      </w:r>
      <w:r>
        <w:t xml:space="preserve">should </w:t>
      </w:r>
      <w:r w:rsidRPr="00AD6666">
        <w:t xml:space="preserve">develop guidance for in-scope companies on appropriate </w:t>
      </w:r>
      <w:r>
        <w:t>content for</w:t>
      </w:r>
      <w:r w:rsidRPr="00AD6666">
        <w:t xml:space="preserve"> entity privacy policies, and necessary practices, </w:t>
      </w:r>
      <w:proofErr w:type="gramStart"/>
      <w:r w:rsidRPr="00AD6666">
        <w:t>procedures</w:t>
      </w:r>
      <w:proofErr w:type="gramEnd"/>
      <w:r w:rsidRPr="00AD6666">
        <w:t xml:space="preserve"> and systems that entities should implement to comply with </w:t>
      </w:r>
      <w:r>
        <w:t>the APPs in relation to BORs (</w:t>
      </w:r>
      <w:r>
        <w:rPr>
          <w:b/>
        </w:rPr>
        <w:t>Recommendation 4</w:t>
      </w:r>
      <w:r>
        <w:t>). Guidance should encourage in-scope entities which are not APP entities to comply with the guidance.</w:t>
      </w:r>
    </w:p>
    <w:p w14:paraId="6F30A6F4" w14:textId="77777777" w:rsidR="005F3255" w:rsidRDefault="005F3255" w:rsidP="005F3255">
      <w:pPr>
        <w:pStyle w:val="NumberLevel1"/>
        <w:spacing w:before="120" w:after="120"/>
      </w:pPr>
      <w:r>
        <w:t>To minimise risks of overcollection or receipt of unsolicited personal information by in-scope companies, we recommend that ASIC develop approved formats for providing information. These formats or ‘data standards’ should include guidance to beneficial owners on the kinds of information they must supply, as well as guidance on other kinds of information that are not needed or should not be supplied (</w:t>
      </w:r>
      <w:r>
        <w:rPr>
          <w:b/>
        </w:rPr>
        <w:t>Recommendation 5</w:t>
      </w:r>
      <w:r>
        <w:t>).</w:t>
      </w:r>
    </w:p>
    <w:p w14:paraId="3881D57A" w14:textId="77777777" w:rsidR="005F3255" w:rsidRPr="001D5B1E" w:rsidRDefault="005F3255" w:rsidP="001D5B1E">
      <w:pPr>
        <w:pStyle w:val="AdvicePP"/>
        <w:spacing w:before="200"/>
        <w:rPr>
          <w:b/>
          <w:color w:val="1F4E79" w:themeColor="accent5" w:themeShade="80"/>
          <w:sz w:val="20"/>
          <w:szCs w:val="20"/>
        </w:rPr>
      </w:pPr>
      <w:r w:rsidRPr="001D5B1E">
        <w:rPr>
          <w:b/>
          <w:color w:val="1F4E79" w:themeColor="accent5" w:themeShade="80"/>
          <w:sz w:val="20"/>
          <w:szCs w:val="20"/>
        </w:rPr>
        <w:t>Notifying individuals of the collection of their personal information</w:t>
      </w:r>
    </w:p>
    <w:p w14:paraId="67E78674" w14:textId="5F69C949" w:rsidR="005F3255" w:rsidRDefault="005F3255" w:rsidP="005F3255">
      <w:pPr>
        <w:pStyle w:val="NumberLevel1"/>
        <w:spacing w:before="120" w:after="120"/>
      </w:pPr>
      <w:r>
        <w:t xml:space="preserve">Although the BO </w:t>
      </w:r>
      <w:r w:rsidR="009812C6">
        <w:t>P</w:t>
      </w:r>
      <w:r>
        <w:t>olicy will require in-scope companies, the RCA and ASIC to collect personal information from beneficial owners, the Privacy Act will require these entities to notify beneficial owners of the collection of their personal information. This is a protective measure that ensures an individual is aware of the handling of their personal information, which facilitates choice and control.</w:t>
      </w:r>
    </w:p>
    <w:p w14:paraId="381E07E0" w14:textId="77777777" w:rsidR="005F3255" w:rsidRDefault="005F3255" w:rsidP="005F3255">
      <w:pPr>
        <w:pStyle w:val="NumberLevel1"/>
        <w:spacing w:before="120" w:after="120"/>
      </w:pPr>
      <w:r>
        <w:t>Under Australian Privacy Principle (</w:t>
      </w:r>
      <w:r w:rsidRPr="00F16FA8">
        <w:rPr>
          <w:b/>
        </w:rPr>
        <w:t>APP</w:t>
      </w:r>
      <w:r>
        <w:t>) 5.2, notification must include matters such as:</w:t>
      </w:r>
    </w:p>
    <w:p w14:paraId="73210040" w14:textId="77777777" w:rsidR="005F3255" w:rsidRDefault="005F3255" w:rsidP="005F3255">
      <w:pPr>
        <w:pStyle w:val="NumberLevel2"/>
        <w:tabs>
          <w:tab w:val="clear" w:pos="709"/>
          <w:tab w:val="num" w:pos="1702"/>
        </w:tabs>
        <w:spacing w:before="120" w:after="120"/>
      </w:pPr>
      <w:r>
        <w:t xml:space="preserve">the identity and contact details of the notifying entity, </w:t>
      </w:r>
    </w:p>
    <w:p w14:paraId="54139C52" w14:textId="77777777" w:rsidR="005F3255" w:rsidRDefault="005F3255" w:rsidP="005F3255">
      <w:pPr>
        <w:pStyle w:val="NumberLevel2"/>
        <w:tabs>
          <w:tab w:val="clear" w:pos="709"/>
          <w:tab w:val="num" w:pos="1702"/>
        </w:tabs>
        <w:spacing w:before="120" w:after="120"/>
      </w:pPr>
      <w:r>
        <w:t xml:space="preserve">the fact that collection is required or authorised under law, </w:t>
      </w:r>
    </w:p>
    <w:p w14:paraId="0F60E669" w14:textId="77777777" w:rsidR="005F3255" w:rsidRDefault="005F3255" w:rsidP="005F3255">
      <w:pPr>
        <w:pStyle w:val="NumberLevel2"/>
        <w:tabs>
          <w:tab w:val="clear" w:pos="709"/>
          <w:tab w:val="num" w:pos="1702"/>
        </w:tabs>
        <w:spacing w:before="120" w:after="120"/>
      </w:pPr>
      <w:r>
        <w:t xml:space="preserve">the purposes for which the notifying entity collects the information, and </w:t>
      </w:r>
    </w:p>
    <w:p w14:paraId="1373FDD9" w14:textId="77777777" w:rsidR="005F3255" w:rsidRDefault="005F3255" w:rsidP="005F3255">
      <w:pPr>
        <w:pStyle w:val="NumberLevel2"/>
        <w:tabs>
          <w:tab w:val="clear" w:pos="709"/>
          <w:tab w:val="num" w:pos="1702"/>
        </w:tabs>
        <w:spacing w:before="120" w:after="120"/>
      </w:pPr>
      <w:r>
        <w:t>the consequences if the beneficial owner does not provide the requested information.</w:t>
      </w:r>
    </w:p>
    <w:p w14:paraId="63DE2E0B" w14:textId="785BD74C" w:rsidR="005F3255" w:rsidRDefault="005F3255" w:rsidP="005F3255">
      <w:pPr>
        <w:pStyle w:val="NumberLevel1"/>
        <w:spacing w:before="120" w:after="120"/>
      </w:pPr>
      <w:r>
        <w:t>Accordingly, we recommend that i</w:t>
      </w:r>
      <w:r w:rsidRPr="00626F19">
        <w:t>n-scope companies</w:t>
      </w:r>
      <w:r w:rsidR="001D5B1E">
        <w:t xml:space="preserve"> subject to the Privacy Act</w:t>
      </w:r>
      <w:r w:rsidRPr="00626F19">
        <w:t xml:space="preserve">, </w:t>
      </w:r>
      <w:r>
        <w:t xml:space="preserve">the RCA and </w:t>
      </w:r>
      <w:r w:rsidRPr="00626F19">
        <w:t xml:space="preserve">ASIC provide collection notices addressing the matters outlined at </w:t>
      </w:r>
      <w:r>
        <w:t>APP</w:t>
      </w:r>
      <w:r w:rsidR="001D5B1E">
        <w:t> </w:t>
      </w:r>
      <w:r>
        <w:t>5.2</w:t>
      </w:r>
      <w:r w:rsidRPr="00626F19">
        <w:t>, before, or as soon as practicable after, they collect personal information</w:t>
      </w:r>
      <w:r>
        <w:t xml:space="preserve"> (</w:t>
      </w:r>
      <w:r>
        <w:rPr>
          <w:b/>
        </w:rPr>
        <w:t>Recommendation 6</w:t>
      </w:r>
      <w:r>
        <w:t>)</w:t>
      </w:r>
      <w:r w:rsidRPr="00626F19">
        <w:t>.</w:t>
      </w:r>
    </w:p>
    <w:p w14:paraId="5D994F62" w14:textId="77777777" w:rsidR="005F3255" w:rsidRPr="001D5B1E" w:rsidRDefault="005F3255" w:rsidP="001D5B1E">
      <w:pPr>
        <w:pStyle w:val="AdvicePP"/>
        <w:pBdr>
          <w:top w:val="single" w:sz="12" w:space="1" w:color="auto"/>
        </w:pBdr>
        <w:spacing w:before="240"/>
        <w:rPr>
          <w:b/>
        </w:rPr>
      </w:pPr>
      <w:r w:rsidRPr="001D5B1E">
        <w:rPr>
          <w:b/>
        </w:rPr>
        <w:t xml:space="preserve">Protecting beneficial owners who are eligible for, or seeking access to, the suppression </w:t>
      </w:r>
      <w:proofErr w:type="gramStart"/>
      <w:r w:rsidRPr="001D5B1E">
        <w:rPr>
          <w:b/>
        </w:rPr>
        <w:t>regime</w:t>
      </w:r>
      <w:proofErr w:type="gramEnd"/>
    </w:p>
    <w:p w14:paraId="5D875850" w14:textId="77777777" w:rsidR="005F3255" w:rsidRDefault="005F3255" w:rsidP="005F3255">
      <w:pPr>
        <w:pStyle w:val="NumberLevel1"/>
        <w:spacing w:before="120" w:after="120"/>
        <w:rPr>
          <w:lang w:eastAsia="en-US"/>
        </w:rPr>
      </w:pPr>
      <w:r>
        <w:rPr>
          <w:lang w:eastAsia="en-US"/>
        </w:rPr>
        <w:t>The BO Policy will put significant responsibilities on in-scope companies in relation to the protection of BOI for beneficial owners who are eligible for, or seeking access to, the suppression regime. Beneficial owners must suppress personal information, potentially for long periods of time, and avoid inadvertently disclosing suppressed personal information while otherwise facilitating requests to access a BOR.</w:t>
      </w:r>
    </w:p>
    <w:p w14:paraId="2C53DC9D" w14:textId="77777777" w:rsidR="005F3255" w:rsidRDefault="005F3255" w:rsidP="005F3255">
      <w:pPr>
        <w:pStyle w:val="NumberLevel1"/>
        <w:spacing w:before="120" w:after="120"/>
      </w:pPr>
      <w:r>
        <w:rPr>
          <w:lang w:eastAsia="en-US"/>
        </w:rPr>
        <w:t>We anticipate that many, if not most, in-scope companies will be unsophisticated in suppressing personal information. To assist in-scope companies to comply with their obligations, thereby protecting beneficial owners who are entitled to the suppression of their BOI, we recommend that:</w:t>
      </w:r>
    </w:p>
    <w:p w14:paraId="28434DED" w14:textId="77777777" w:rsidR="005F3255" w:rsidRDefault="005F3255" w:rsidP="005F3255">
      <w:pPr>
        <w:pStyle w:val="NumberLevel2"/>
        <w:tabs>
          <w:tab w:val="clear" w:pos="709"/>
          <w:tab w:val="num" w:pos="1702"/>
        </w:tabs>
        <w:spacing w:before="120" w:after="120"/>
      </w:pPr>
      <w:r>
        <w:t xml:space="preserve">in-scope companies keep BOI suppressed for 28 days after receiving notice of the beneficial owner’s intent to apply for suppression, and </w:t>
      </w:r>
    </w:p>
    <w:p w14:paraId="39113D3D" w14:textId="77777777" w:rsidR="005F3255" w:rsidRDefault="005F3255" w:rsidP="005F3255">
      <w:pPr>
        <w:pStyle w:val="NumberLevel2"/>
        <w:tabs>
          <w:tab w:val="clear" w:pos="709"/>
          <w:tab w:val="num" w:pos="1702"/>
        </w:tabs>
        <w:spacing w:before="120" w:after="120"/>
      </w:pPr>
      <w:r>
        <w:t>ASIC notify in-scope companies of the receipt and outcome of a suppression application (</w:t>
      </w:r>
      <w:r w:rsidRPr="00720897">
        <w:rPr>
          <w:b/>
        </w:rPr>
        <w:t>Recommendation 7</w:t>
      </w:r>
      <w:r>
        <w:t>).</w:t>
      </w:r>
    </w:p>
    <w:p w14:paraId="65671337" w14:textId="77777777" w:rsidR="005F3255" w:rsidRDefault="005F3255" w:rsidP="005F3255">
      <w:pPr>
        <w:pStyle w:val="NumberLevel1"/>
        <w:spacing w:before="120" w:after="120"/>
      </w:pPr>
      <w:r>
        <w:t>To help beneficial owners make decisions about whether to apply for suppression, to help ASIC assess suppression applications, and to reduce instances of collecting unsolicited personal information, we recommend that the Commonwealth develop:</w:t>
      </w:r>
    </w:p>
    <w:p w14:paraId="3E591ED0" w14:textId="77777777" w:rsidR="005F3255" w:rsidRDefault="005F3255" w:rsidP="005F3255">
      <w:pPr>
        <w:pStyle w:val="NumberLevel2"/>
        <w:tabs>
          <w:tab w:val="clear" w:pos="709"/>
          <w:tab w:val="num" w:pos="1702"/>
        </w:tabs>
        <w:spacing w:before="120" w:after="120"/>
      </w:pPr>
      <w:r>
        <w:t xml:space="preserve">guidance for beneficial owners on the kinds of circumstances and evidence which might support a suppression </w:t>
      </w:r>
      <w:proofErr w:type="gramStart"/>
      <w:r>
        <w:t>application</w:t>
      </w:r>
      <w:proofErr w:type="gramEnd"/>
    </w:p>
    <w:p w14:paraId="7BFFF8BC" w14:textId="77777777" w:rsidR="005F3255" w:rsidRPr="00626F19" w:rsidRDefault="005F3255" w:rsidP="005F3255">
      <w:pPr>
        <w:pStyle w:val="NumberLevel2"/>
        <w:tabs>
          <w:tab w:val="clear" w:pos="709"/>
          <w:tab w:val="num" w:pos="1702"/>
        </w:tabs>
        <w:spacing w:before="120" w:after="120"/>
      </w:pPr>
      <w:r>
        <w:t>an approved format to supply information in support of a suppression application (</w:t>
      </w:r>
      <w:r>
        <w:rPr>
          <w:b/>
        </w:rPr>
        <w:t>Recommendation 8</w:t>
      </w:r>
      <w:r>
        <w:t>).</w:t>
      </w:r>
    </w:p>
    <w:p w14:paraId="25F64912" w14:textId="6E6D52C6" w:rsidR="005F3255" w:rsidRPr="001D5B1E" w:rsidRDefault="005F3255" w:rsidP="001D5B1E">
      <w:pPr>
        <w:pStyle w:val="AdvicePP"/>
        <w:pBdr>
          <w:top w:val="single" w:sz="12" w:space="1" w:color="auto"/>
        </w:pBdr>
        <w:spacing w:before="240"/>
        <w:rPr>
          <w:b/>
        </w:rPr>
      </w:pPr>
      <w:r w:rsidRPr="001D5B1E">
        <w:rPr>
          <w:b/>
        </w:rPr>
        <w:t>Quality of personal information</w:t>
      </w:r>
    </w:p>
    <w:p w14:paraId="745E0C48" w14:textId="77777777" w:rsidR="005F3255" w:rsidRDefault="005F3255" w:rsidP="005F3255">
      <w:pPr>
        <w:pStyle w:val="NumberLevel1"/>
        <w:rPr>
          <w:lang w:eastAsia="en-US"/>
        </w:rPr>
      </w:pPr>
      <w:r>
        <w:t>The BO Policy will require in-scope companies to be reasonably satisfied of the identity of their beneficial owners. This is a privacy enhancing measures that will promote the accuracy, currency and completeness of BOI included in a register.</w:t>
      </w:r>
    </w:p>
    <w:p w14:paraId="570A10B4" w14:textId="765F8062" w:rsidR="005F3255" w:rsidRDefault="005F3255" w:rsidP="005F3255">
      <w:pPr>
        <w:pStyle w:val="NumberLevel1"/>
      </w:pPr>
      <w:r>
        <w:t xml:space="preserve">However, </w:t>
      </w:r>
      <w:r>
        <w:rPr>
          <w:lang w:eastAsia="en-US"/>
        </w:rPr>
        <w:t xml:space="preserve">in-scope companies are likely to vary widely in terms of their level of sophistication in verifying identity. We recommend BO </w:t>
      </w:r>
      <w:r w:rsidR="009812C6">
        <w:rPr>
          <w:lang w:eastAsia="en-US"/>
        </w:rPr>
        <w:t>P</w:t>
      </w:r>
      <w:r>
        <w:rPr>
          <w:lang w:eastAsia="en-US"/>
        </w:rPr>
        <w:t>olicy guidance encourage in-scope companies to engage the services of professional identity verification service providers (</w:t>
      </w:r>
      <w:r w:rsidRPr="00E230A1">
        <w:rPr>
          <w:b/>
          <w:lang w:eastAsia="en-US"/>
        </w:rPr>
        <w:t>Recommendation 9</w:t>
      </w:r>
      <w:r>
        <w:rPr>
          <w:lang w:eastAsia="en-US"/>
        </w:rPr>
        <w:t xml:space="preserve">). In addition to promoting the quality of data, this will minimise the collection and storage of identity documents by in-scope companies, reducing the risk of identity theft or other criminal activity in the event of a data breach. </w:t>
      </w:r>
    </w:p>
    <w:p w14:paraId="382FAE9F" w14:textId="77777777" w:rsidR="005F3255" w:rsidRDefault="005F3255" w:rsidP="005F3255">
      <w:pPr>
        <w:pStyle w:val="NumberLevel1"/>
        <w:spacing w:before="120" w:after="120"/>
      </w:pPr>
      <w:r>
        <w:t xml:space="preserve">We also consider that, left to their own devices, in-scope companies may create and maintain their BORs in idiosyncratic and inconsistent formats. This may lead to the collection of incomplete </w:t>
      </w:r>
      <w:proofErr w:type="gramStart"/>
      <w:r>
        <w:t>data, and</w:t>
      </w:r>
      <w:proofErr w:type="gramEnd"/>
      <w:r>
        <w:t xml:space="preserve"> make it difficult to transition to Stage 2 of the PCBOR. To avoid these issues, we recommend the Commonwealth develop and promote a template or format for creating and maintaining a BOR (</w:t>
      </w:r>
      <w:r>
        <w:rPr>
          <w:b/>
        </w:rPr>
        <w:t>Recommendation 10</w:t>
      </w:r>
      <w:r>
        <w:t>).</w:t>
      </w:r>
    </w:p>
    <w:p w14:paraId="184ACC73" w14:textId="77777777" w:rsidR="005F3255" w:rsidRPr="001D5B1E" w:rsidRDefault="005F3255" w:rsidP="001D5B1E">
      <w:pPr>
        <w:pStyle w:val="AdvicePP"/>
        <w:pBdr>
          <w:top w:val="single" w:sz="12" w:space="1" w:color="auto"/>
        </w:pBdr>
        <w:spacing w:before="240"/>
        <w:rPr>
          <w:b/>
        </w:rPr>
      </w:pPr>
      <w:r w:rsidRPr="001D5B1E">
        <w:rPr>
          <w:b/>
        </w:rPr>
        <w:t xml:space="preserve">Storage, </w:t>
      </w:r>
      <w:proofErr w:type="gramStart"/>
      <w:r w:rsidRPr="001D5B1E">
        <w:rPr>
          <w:b/>
        </w:rPr>
        <w:t>correction</w:t>
      </w:r>
      <w:proofErr w:type="gramEnd"/>
      <w:r w:rsidRPr="001D5B1E">
        <w:rPr>
          <w:b/>
        </w:rPr>
        <w:t xml:space="preserve"> and destruction of personal information</w:t>
      </w:r>
    </w:p>
    <w:p w14:paraId="08922495" w14:textId="77777777" w:rsidR="005F3255" w:rsidRDefault="005F3255" w:rsidP="005F3255">
      <w:pPr>
        <w:pStyle w:val="NumberLevel1"/>
        <w:spacing w:before="120" w:after="120"/>
        <w:rPr>
          <w:lang w:eastAsia="en-US"/>
        </w:rPr>
      </w:pPr>
      <w:r>
        <w:rPr>
          <w:lang w:eastAsia="en-US"/>
        </w:rPr>
        <w:t>Under the BO Policy, in-scope entities must retain relevant records for 7 years. Under the Privacy Act, APP 11.2 requires an APP entity to destroy any personal information the entity no longer requires for a business purpose.</w:t>
      </w:r>
    </w:p>
    <w:p w14:paraId="69922292" w14:textId="77777777" w:rsidR="005F3255" w:rsidRDefault="005F3255" w:rsidP="005F3255">
      <w:pPr>
        <w:pStyle w:val="NumberLevel1"/>
        <w:spacing w:before="120" w:after="120"/>
        <w:rPr>
          <w:lang w:eastAsia="en-US"/>
        </w:rPr>
      </w:pPr>
      <w:r w:rsidRPr="00714185">
        <w:rPr>
          <w:lang w:eastAsia="en-US"/>
        </w:rPr>
        <w:t xml:space="preserve">Where </w:t>
      </w:r>
      <w:r>
        <w:rPr>
          <w:lang w:eastAsia="en-US"/>
        </w:rPr>
        <w:t xml:space="preserve">an in-scope entity updates </w:t>
      </w:r>
      <w:r w:rsidRPr="00714185">
        <w:rPr>
          <w:lang w:eastAsia="en-US"/>
        </w:rPr>
        <w:t>incorrect information</w:t>
      </w:r>
      <w:r>
        <w:rPr>
          <w:lang w:eastAsia="en-US"/>
        </w:rPr>
        <w:t xml:space="preserve"> in its BOR,</w:t>
      </w:r>
      <w:r w:rsidRPr="00714185">
        <w:rPr>
          <w:lang w:eastAsia="en-US"/>
        </w:rPr>
        <w:t xml:space="preserve"> the obligation to retain records for 7 years may conflict with the</w:t>
      </w:r>
      <w:r>
        <w:rPr>
          <w:lang w:eastAsia="en-US"/>
        </w:rPr>
        <w:t xml:space="preserve"> obligation </w:t>
      </w:r>
      <w:r w:rsidRPr="00714185">
        <w:rPr>
          <w:lang w:eastAsia="en-US"/>
        </w:rPr>
        <w:t>under APP 11.2</w:t>
      </w:r>
      <w:r>
        <w:rPr>
          <w:lang w:eastAsia="en-US"/>
        </w:rPr>
        <w:t>.</w:t>
      </w:r>
    </w:p>
    <w:p w14:paraId="26452EF4" w14:textId="00655DF8" w:rsidR="005F3255" w:rsidRPr="00714185" w:rsidRDefault="005F3255" w:rsidP="005F3255">
      <w:pPr>
        <w:pStyle w:val="NumberLevel1"/>
        <w:spacing w:before="120" w:after="120"/>
        <w:rPr>
          <w:lang w:eastAsia="en-US"/>
        </w:rPr>
      </w:pPr>
      <w:r>
        <w:t>Where an in-scope entity alters a record to correct an error, the incorrect records should be destroyed or de-identified. However, where this occurs, the in-scope entity should retain records of these changes (</w:t>
      </w:r>
      <w:r w:rsidR="00736B86">
        <w:rPr>
          <w:b/>
        </w:rPr>
        <w:t>Recommendation</w:t>
      </w:r>
      <w:r>
        <w:rPr>
          <w:b/>
        </w:rPr>
        <w:t xml:space="preserve"> 11</w:t>
      </w:r>
      <w:r>
        <w:t xml:space="preserve">). We anticipate information about the correction of records would serve </w:t>
      </w:r>
      <w:r w:rsidR="001D5B1E">
        <w:t>to</w:t>
      </w:r>
      <w:r>
        <w:t xml:space="preserve"> benefit law enforcement agencies or regulators.</w:t>
      </w:r>
    </w:p>
    <w:p w14:paraId="47272068" w14:textId="77777777" w:rsidR="005F3255" w:rsidRPr="001D5B1E" w:rsidRDefault="005F3255" w:rsidP="001D5B1E">
      <w:pPr>
        <w:pStyle w:val="PlainParagraph"/>
        <w:pBdr>
          <w:top w:val="single" w:sz="12" w:space="1" w:color="C4DDEA"/>
        </w:pBdr>
        <w:spacing w:before="240"/>
        <w:rPr>
          <w:b/>
          <w:sz w:val="26"/>
          <w:szCs w:val="26"/>
        </w:rPr>
      </w:pPr>
      <w:r w:rsidRPr="001D5B1E">
        <w:rPr>
          <w:b/>
          <w:sz w:val="26"/>
          <w:szCs w:val="26"/>
        </w:rPr>
        <w:t>Table of recommendations</w:t>
      </w:r>
    </w:p>
    <w:p w14:paraId="4313007C" w14:textId="77777777" w:rsidR="005F3255" w:rsidRPr="003A7FB7" w:rsidRDefault="005F3255" w:rsidP="005F3255">
      <w:pPr>
        <w:pStyle w:val="NumberLevel1"/>
        <w:spacing w:before="120" w:after="120"/>
      </w:pPr>
      <w:r>
        <w:t xml:space="preserve">The 11 recommendations made within the PIA are summarised in the table below. </w:t>
      </w:r>
      <w:bookmarkStart w:id="37" w:name="_Toc142044710"/>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439"/>
        <w:gridCol w:w="3889"/>
        <w:gridCol w:w="3892"/>
      </w:tblGrid>
      <w:tr w:rsidR="005F3255" w:rsidRPr="00F91EBA" w14:paraId="7EA317F7" w14:textId="77777777" w:rsidTr="001D5B1E">
        <w:trPr>
          <w:trHeight w:val="269"/>
          <w:tblHeader/>
        </w:trPr>
        <w:tc>
          <w:tcPr>
            <w:tcW w:w="200" w:type="pct"/>
            <w:shd w:val="clear" w:color="auto" w:fill="C4DDEA"/>
            <w:vAlign w:val="top"/>
            <w:hideMark/>
          </w:tcPr>
          <w:p w14:paraId="4B06728F" w14:textId="77777777" w:rsidR="005F3255" w:rsidRPr="00F91EBA" w:rsidRDefault="005F3255" w:rsidP="001D5B1E">
            <w:pPr>
              <w:pStyle w:val="TableHeading2"/>
              <w:keepNext w:val="0"/>
              <w:keepLines w:val="0"/>
              <w:spacing w:after="60"/>
              <w:rPr>
                <w:b w:val="0"/>
                <w:bCs/>
              </w:rPr>
            </w:pPr>
            <w:r w:rsidRPr="00F91EBA">
              <w:rPr>
                <w:bCs/>
              </w:rPr>
              <w:t>#</w:t>
            </w:r>
          </w:p>
        </w:tc>
        <w:tc>
          <w:tcPr>
            <w:tcW w:w="2399" w:type="pct"/>
            <w:shd w:val="clear" w:color="auto" w:fill="C4DDEA"/>
            <w:vAlign w:val="top"/>
          </w:tcPr>
          <w:p w14:paraId="5165A5CD" w14:textId="77777777" w:rsidR="005F3255" w:rsidRPr="00F91EBA" w:rsidRDefault="005F3255" w:rsidP="001D5B1E">
            <w:pPr>
              <w:pStyle w:val="TableHeading2"/>
              <w:keepNext w:val="0"/>
              <w:keepLines w:val="0"/>
              <w:spacing w:after="60"/>
              <w:rPr>
                <w:bCs/>
              </w:rPr>
            </w:pPr>
            <w:r w:rsidRPr="00F91EBA">
              <w:rPr>
                <w:bCs/>
              </w:rPr>
              <w:t>Issue</w:t>
            </w:r>
          </w:p>
        </w:tc>
        <w:tc>
          <w:tcPr>
            <w:tcW w:w="2400" w:type="pct"/>
            <w:shd w:val="clear" w:color="auto" w:fill="C4DDEA"/>
            <w:vAlign w:val="top"/>
            <w:hideMark/>
          </w:tcPr>
          <w:p w14:paraId="439678BF" w14:textId="77777777" w:rsidR="005F3255" w:rsidRPr="00F91EBA" w:rsidRDefault="005F3255" w:rsidP="001D5B1E">
            <w:pPr>
              <w:pStyle w:val="TableHeading2"/>
              <w:keepNext w:val="0"/>
              <w:keepLines w:val="0"/>
              <w:spacing w:after="60"/>
              <w:rPr>
                <w:b w:val="0"/>
                <w:bCs/>
              </w:rPr>
            </w:pPr>
            <w:r w:rsidRPr="00F91EBA">
              <w:rPr>
                <w:bCs/>
              </w:rPr>
              <w:t>Recommendation</w:t>
            </w:r>
          </w:p>
        </w:tc>
      </w:tr>
      <w:tr w:rsidR="005F3255" w:rsidRPr="00F91EBA" w14:paraId="3CF453DB" w14:textId="77777777" w:rsidTr="001D5B1E">
        <w:trPr>
          <w:cantSplit/>
          <w:trHeight w:val="269"/>
        </w:trPr>
        <w:tc>
          <w:tcPr>
            <w:tcW w:w="200" w:type="pct"/>
            <w:shd w:val="clear" w:color="auto" w:fill="auto"/>
            <w:vAlign w:val="top"/>
          </w:tcPr>
          <w:p w14:paraId="51DB641A" w14:textId="77777777" w:rsidR="005F3255" w:rsidRPr="00F91EBA" w:rsidRDefault="005F3255" w:rsidP="001D5B1E">
            <w:pPr>
              <w:pStyle w:val="TableHeading2"/>
              <w:keepNext w:val="0"/>
              <w:keepLines w:val="0"/>
              <w:spacing w:after="60"/>
              <w:ind w:left="-57"/>
            </w:pPr>
            <w:r>
              <w:t>1</w:t>
            </w:r>
          </w:p>
        </w:tc>
        <w:tc>
          <w:tcPr>
            <w:tcW w:w="2399" w:type="pct"/>
            <w:vAlign w:val="top"/>
          </w:tcPr>
          <w:p w14:paraId="689C1F92" w14:textId="77777777" w:rsidR="005F3255" w:rsidRPr="00AD5216" w:rsidRDefault="005F3255" w:rsidP="001D5B1E">
            <w:pPr>
              <w:pStyle w:val="TableHeading2"/>
              <w:keepNext w:val="0"/>
              <w:keepLines w:val="0"/>
              <w:spacing w:after="60"/>
              <w:rPr>
                <w:b w:val="0"/>
                <w:sz w:val="22"/>
                <w:szCs w:val="22"/>
              </w:rPr>
            </w:pPr>
            <w:r w:rsidRPr="00AD5216">
              <w:rPr>
                <w:b w:val="0"/>
                <w:sz w:val="22"/>
                <w:szCs w:val="22"/>
              </w:rPr>
              <w:t xml:space="preserve">The intrusion into personal privacy caused by permitting public access to BOI will be proportionate to the benefits if appropriate measures are implemented to protect BOI. </w:t>
            </w:r>
          </w:p>
          <w:p w14:paraId="487413FB" w14:textId="77777777" w:rsidR="005F3255" w:rsidRPr="00AD5216" w:rsidRDefault="005F3255" w:rsidP="001D5B1E">
            <w:pPr>
              <w:pStyle w:val="TableHeading2"/>
              <w:keepNext w:val="0"/>
              <w:keepLines w:val="0"/>
              <w:spacing w:after="60"/>
              <w:rPr>
                <w:b w:val="0"/>
                <w:sz w:val="22"/>
                <w:szCs w:val="22"/>
              </w:rPr>
            </w:pPr>
            <w:r w:rsidRPr="00AD5216">
              <w:rPr>
                <w:b w:val="0"/>
                <w:sz w:val="22"/>
                <w:szCs w:val="22"/>
              </w:rPr>
              <w:t>Limiting access to BOI to individuals who do not seek access for an improper purpose may be a difficult test to administer. It also does not align with international standards.</w:t>
            </w:r>
          </w:p>
          <w:p w14:paraId="282F6C43" w14:textId="77777777" w:rsidR="005F3255" w:rsidRPr="00AD5216" w:rsidRDefault="005F3255" w:rsidP="001D5B1E">
            <w:pPr>
              <w:pStyle w:val="TableHeading2"/>
              <w:keepNext w:val="0"/>
              <w:keepLines w:val="0"/>
              <w:spacing w:after="60"/>
              <w:rPr>
                <w:b w:val="0"/>
                <w:sz w:val="22"/>
                <w:szCs w:val="22"/>
              </w:rPr>
            </w:pPr>
            <w:r w:rsidRPr="00AD5216">
              <w:rPr>
                <w:b w:val="0"/>
                <w:sz w:val="22"/>
                <w:szCs w:val="22"/>
              </w:rPr>
              <w:t>We consider that a small fee, and a requirement that a person has a ‘legitimate interest’ in being granted access, are the reasonable and appropriate conditions / protections.</w:t>
            </w:r>
          </w:p>
        </w:tc>
        <w:tc>
          <w:tcPr>
            <w:tcW w:w="2400" w:type="pct"/>
            <w:shd w:val="clear" w:color="auto" w:fill="auto"/>
            <w:vAlign w:val="top"/>
          </w:tcPr>
          <w:p w14:paraId="3E590548" w14:textId="77777777" w:rsidR="005F3255" w:rsidRPr="00AD5216" w:rsidRDefault="005F3255" w:rsidP="001D5B1E">
            <w:pPr>
              <w:pStyle w:val="TableHeading2"/>
              <w:spacing w:after="60"/>
              <w:rPr>
                <w:b w:val="0"/>
                <w:sz w:val="22"/>
                <w:szCs w:val="22"/>
              </w:rPr>
            </w:pPr>
            <w:proofErr w:type="gramStart"/>
            <w:r w:rsidRPr="00AD5216">
              <w:rPr>
                <w:b w:val="0"/>
                <w:sz w:val="22"/>
                <w:szCs w:val="22"/>
              </w:rPr>
              <w:t>Treasury</w:t>
            </w:r>
            <w:proofErr w:type="gramEnd"/>
            <w:r w:rsidRPr="00AD5216">
              <w:rPr>
                <w:b w:val="0"/>
                <w:sz w:val="22"/>
                <w:szCs w:val="22"/>
              </w:rPr>
              <w:t xml:space="preserve"> amend the BO Policy to limit access to the BORs in Stage 1 and the PCBOR in Stage 2 to persons and groups who:</w:t>
            </w:r>
          </w:p>
          <w:p w14:paraId="782C64CF" w14:textId="77777777" w:rsidR="005F3255" w:rsidRPr="00AD5216" w:rsidRDefault="005F3255" w:rsidP="001D5B1E">
            <w:pPr>
              <w:pStyle w:val="NumberLevel2"/>
              <w:numPr>
                <w:ilvl w:val="0"/>
                <w:numId w:val="47"/>
              </w:numPr>
              <w:spacing w:before="60" w:after="60" w:line="240" w:lineRule="atLeast"/>
              <w:ind w:left="357" w:hanging="357"/>
              <w:rPr>
                <w:sz w:val="22"/>
                <w:szCs w:val="22"/>
                <w:lang w:eastAsia="en-US"/>
              </w:rPr>
            </w:pPr>
            <w:r w:rsidRPr="00AD5216">
              <w:rPr>
                <w:sz w:val="22"/>
                <w:szCs w:val="22"/>
                <w:lang w:eastAsia="en-US"/>
              </w:rPr>
              <w:t xml:space="preserve">pay a fee not exceeding the administrative cost of making the information available (except for persons who will be exempt from paying the fee, such as journalists and academics), </w:t>
            </w:r>
            <w:r w:rsidRPr="00AD5216">
              <w:rPr>
                <w:sz w:val="22"/>
                <w:szCs w:val="22"/>
                <w:u w:val="single"/>
                <w:lang w:eastAsia="en-US"/>
              </w:rPr>
              <w:t>and</w:t>
            </w:r>
          </w:p>
          <w:p w14:paraId="5A24483E" w14:textId="77777777" w:rsidR="005F3255" w:rsidRPr="00AD5216" w:rsidRDefault="005F3255" w:rsidP="001D5B1E">
            <w:pPr>
              <w:pStyle w:val="NumberLevel2"/>
              <w:numPr>
                <w:ilvl w:val="0"/>
                <w:numId w:val="47"/>
              </w:numPr>
              <w:spacing w:before="60" w:after="60" w:line="240" w:lineRule="atLeast"/>
              <w:ind w:left="357" w:hanging="357"/>
              <w:rPr>
                <w:sz w:val="22"/>
                <w:szCs w:val="22"/>
                <w:lang w:eastAsia="en-US"/>
              </w:rPr>
            </w:pPr>
            <w:r w:rsidRPr="00AD5216">
              <w:rPr>
                <w:sz w:val="22"/>
                <w:szCs w:val="22"/>
                <w:lang w:eastAsia="en-US"/>
              </w:rPr>
              <w:t>demonstrate a legitimate interest in accessing the information.</w:t>
            </w:r>
          </w:p>
        </w:tc>
      </w:tr>
      <w:tr w:rsidR="005F3255" w:rsidRPr="00F91EBA" w14:paraId="7A28FCA4" w14:textId="77777777" w:rsidTr="001D5B1E">
        <w:trPr>
          <w:cantSplit/>
          <w:trHeight w:val="269"/>
        </w:trPr>
        <w:tc>
          <w:tcPr>
            <w:tcW w:w="200" w:type="pct"/>
            <w:shd w:val="clear" w:color="auto" w:fill="auto"/>
            <w:vAlign w:val="top"/>
          </w:tcPr>
          <w:p w14:paraId="0441D087" w14:textId="77777777" w:rsidR="005F3255" w:rsidRPr="00F91EBA" w:rsidRDefault="005F3255" w:rsidP="001D5B1E">
            <w:pPr>
              <w:pStyle w:val="TableHeading2"/>
              <w:keepNext w:val="0"/>
              <w:keepLines w:val="0"/>
              <w:spacing w:after="60"/>
            </w:pPr>
            <w:r>
              <w:t>2</w:t>
            </w:r>
          </w:p>
        </w:tc>
        <w:tc>
          <w:tcPr>
            <w:tcW w:w="2399" w:type="pct"/>
            <w:vAlign w:val="top"/>
          </w:tcPr>
          <w:p w14:paraId="6BE987F5" w14:textId="77777777" w:rsidR="005F3255" w:rsidRPr="00AD5216" w:rsidRDefault="005F3255" w:rsidP="001D5B1E">
            <w:pPr>
              <w:pStyle w:val="TablePlainParagraph"/>
              <w:rPr>
                <w:sz w:val="22"/>
                <w:szCs w:val="22"/>
              </w:rPr>
            </w:pPr>
            <w:r w:rsidRPr="00AD5216">
              <w:rPr>
                <w:sz w:val="22"/>
                <w:szCs w:val="22"/>
              </w:rPr>
              <w:t>Interference with privacy may occur if individuals or groups that access BOI for a legitimate purpose use or disclose the data for a different purpose.</w:t>
            </w:r>
          </w:p>
        </w:tc>
        <w:tc>
          <w:tcPr>
            <w:tcW w:w="2400" w:type="pct"/>
            <w:shd w:val="clear" w:color="auto" w:fill="auto"/>
            <w:vAlign w:val="top"/>
          </w:tcPr>
          <w:p w14:paraId="7911B5B1" w14:textId="77777777" w:rsidR="005F3255" w:rsidRPr="00AD5216" w:rsidRDefault="005F3255" w:rsidP="001D5B1E">
            <w:pPr>
              <w:pStyle w:val="TableHeading2"/>
              <w:spacing w:after="60"/>
              <w:rPr>
                <w:b w:val="0"/>
                <w:sz w:val="22"/>
                <w:szCs w:val="22"/>
              </w:rPr>
            </w:pPr>
            <w:r w:rsidRPr="00AD5216">
              <w:rPr>
                <w:b w:val="0"/>
                <w:sz w:val="22"/>
                <w:szCs w:val="22"/>
              </w:rPr>
              <w:t>The BO Policy:</w:t>
            </w:r>
          </w:p>
          <w:p w14:paraId="37743286" w14:textId="77777777" w:rsidR="005F3255" w:rsidRPr="00AD5216" w:rsidRDefault="005F3255" w:rsidP="001D5B1E">
            <w:pPr>
              <w:pStyle w:val="TableHeading2"/>
              <w:numPr>
                <w:ilvl w:val="0"/>
                <w:numId w:val="69"/>
              </w:numPr>
              <w:spacing w:after="60"/>
              <w:rPr>
                <w:b w:val="0"/>
                <w:sz w:val="22"/>
                <w:lang w:eastAsia="en-US"/>
              </w:rPr>
            </w:pPr>
            <w:r w:rsidRPr="00AD5216">
              <w:rPr>
                <w:b w:val="0"/>
                <w:sz w:val="22"/>
                <w:szCs w:val="22"/>
                <w:lang w:eastAsia="en-US"/>
              </w:rPr>
              <w:t xml:space="preserve">require access applicants in Stages 1 and/or 2 to declare the purposes for which they seek access, and require, as a condition of access, that they undertake to only use or disclose received BOI for the declared </w:t>
            </w:r>
            <w:proofErr w:type="gramStart"/>
            <w:r w:rsidRPr="00AD5216">
              <w:rPr>
                <w:b w:val="0"/>
                <w:sz w:val="22"/>
                <w:szCs w:val="22"/>
                <w:lang w:eastAsia="en-US"/>
              </w:rPr>
              <w:t>purposes</w:t>
            </w:r>
            <w:proofErr w:type="gramEnd"/>
          </w:p>
          <w:p w14:paraId="7FC315D1" w14:textId="79D4286E" w:rsidR="005F3255" w:rsidRPr="00AD5216" w:rsidRDefault="005F3255" w:rsidP="001D5B1E">
            <w:pPr>
              <w:pStyle w:val="TableHeading2"/>
              <w:numPr>
                <w:ilvl w:val="0"/>
                <w:numId w:val="69"/>
              </w:numPr>
              <w:spacing w:after="60"/>
              <w:rPr>
                <w:b w:val="0"/>
                <w:sz w:val="22"/>
                <w:lang w:eastAsia="en-US"/>
              </w:rPr>
            </w:pPr>
            <w:r w:rsidRPr="00AD5216">
              <w:rPr>
                <w:b w:val="0"/>
                <w:sz w:val="22"/>
              </w:rPr>
              <w:t xml:space="preserve">authorise the </w:t>
            </w:r>
            <w:r w:rsidR="00736B86">
              <w:rPr>
                <w:b w:val="0"/>
                <w:sz w:val="22"/>
              </w:rPr>
              <w:t>RCA</w:t>
            </w:r>
            <w:r w:rsidRPr="00AD5216">
              <w:rPr>
                <w:b w:val="0"/>
                <w:sz w:val="22"/>
              </w:rPr>
              <w:t xml:space="preserve"> to impose conditions on how persons who access data in the PCBOR may use or disclose the data.</w:t>
            </w:r>
          </w:p>
        </w:tc>
      </w:tr>
      <w:tr w:rsidR="005F3255" w:rsidRPr="00F91EBA" w14:paraId="0E778CB0" w14:textId="77777777" w:rsidTr="001D5B1E">
        <w:trPr>
          <w:cantSplit/>
          <w:trHeight w:val="269"/>
        </w:trPr>
        <w:tc>
          <w:tcPr>
            <w:tcW w:w="200" w:type="pct"/>
            <w:shd w:val="clear" w:color="auto" w:fill="auto"/>
            <w:vAlign w:val="top"/>
          </w:tcPr>
          <w:p w14:paraId="11711A64" w14:textId="77777777" w:rsidR="005F3255" w:rsidRPr="00F91EBA" w:rsidRDefault="005F3255" w:rsidP="001D5B1E">
            <w:pPr>
              <w:pStyle w:val="TableHeading2"/>
              <w:keepNext w:val="0"/>
              <w:keepLines w:val="0"/>
              <w:spacing w:after="60"/>
            </w:pPr>
            <w:r>
              <w:t>3</w:t>
            </w:r>
          </w:p>
        </w:tc>
        <w:tc>
          <w:tcPr>
            <w:tcW w:w="2399" w:type="pct"/>
            <w:vAlign w:val="top"/>
          </w:tcPr>
          <w:p w14:paraId="3B0E16B7" w14:textId="77777777" w:rsidR="005F3255" w:rsidRPr="00AD5216" w:rsidRDefault="005F3255" w:rsidP="001D5B1E">
            <w:pPr>
              <w:pStyle w:val="TablePlainParagraph"/>
              <w:rPr>
                <w:sz w:val="22"/>
                <w:szCs w:val="22"/>
              </w:rPr>
            </w:pPr>
            <w:r w:rsidRPr="00AD5216">
              <w:rPr>
                <w:sz w:val="22"/>
                <w:szCs w:val="22"/>
              </w:rPr>
              <w:t xml:space="preserve">Prescribing the detail of the BO Policy in delegated legislation risks later ‘function creep’, i.e. expansion of the policy to collect additional personal </w:t>
            </w:r>
            <w:proofErr w:type="gramStart"/>
            <w:r w:rsidRPr="00AD5216">
              <w:rPr>
                <w:sz w:val="22"/>
                <w:szCs w:val="22"/>
              </w:rPr>
              <w:t>information, or</w:t>
            </w:r>
            <w:proofErr w:type="gramEnd"/>
            <w:r w:rsidRPr="00AD5216">
              <w:rPr>
                <w:sz w:val="22"/>
                <w:szCs w:val="22"/>
              </w:rPr>
              <w:t xml:space="preserve"> permit the use/disclosure of BOI for unanticipated purposes.</w:t>
            </w:r>
          </w:p>
        </w:tc>
        <w:tc>
          <w:tcPr>
            <w:tcW w:w="2400" w:type="pct"/>
            <w:shd w:val="clear" w:color="auto" w:fill="auto"/>
            <w:vAlign w:val="top"/>
          </w:tcPr>
          <w:p w14:paraId="268A40A6" w14:textId="77777777" w:rsidR="005F3255" w:rsidRPr="00AD5216" w:rsidRDefault="005F3255" w:rsidP="001D5B1E">
            <w:pPr>
              <w:pStyle w:val="TableHeading2"/>
              <w:keepNext w:val="0"/>
              <w:keepLines w:val="0"/>
              <w:spacing w:after="60"/>
              <w:rPr>
                <w:b w:val="0"/>
                <w:sz w:val="22"/>
                <w:szCs w:val="22"/>
              </w:rPr>
            </w:pPr>
            <w:proofErr w:type="gramStart"/>
            <w:r w:rsidRPr="00AD5216">
              <w:rPr>
                <w:b w:val="0"/>
                <w:sz w:val="22"/>
                <w:szCs w:val="22"/>
              </w:rPr>
              <w:t>Treasury</w:t>
            </w:r>
            <w:proofErr w:type="gramEnd"/>
            <w:r w:rsidRPr="00AD5216">
              <w:rPr>
                <w:b w:val="0"/>
                <w:sz w:val="22"/>
                <w:szCs w:val="22"/>
              </w:rPr>
              <w:t xml:space="preserve"> prescribe the core elements of the BO Policy in primary legislation, including:</w:t>
            </w:r>
          </w:p>
          <w:p w14:paraId="20DEF5CD" w14:textId="77777777" w:rsidR="005F3255" w:rsidRPr="00AD5216" w:rsidRDefault="005F3255" w:rsidP="001D5B1E">
            <w:pPr>
              <w:pStyle w:val="NumberLevel2"/>
              <w:numPr>
                <w:ilvl w:val="0"/>
                <w:numId w:val="47"/>
              </w:numPr>
              <w:spacing w:before="60" w:after="60"/>
              <w:rPr>
                <w:sz w:val="22"/>
                <w:szCs w:val="22"/>
              </w:rPr>
            </w:pPr>
            <w:r w:rsidRPr="00AD5216">
              <w:rPr>
                <w:sz w:val="22"/>
                <w:szCs w:val="22"/>
              </w:rPr>
              <w:t xml:space="preserve">the types of </w:t>
            </w:r>
            <w:proofErr w:type="gramStart"/>
            <w:r w:rsidRPr="00AD5216">
              <w:rPr>
                <w:sz w:val="22"/>
                <w:szCs w:val="22"/>
              </w:rPr>
              <w:t>BOI</w:t>
            </w:r>
            <w:proofErr w:type="gramEnd"/>
            <w:r w:rsidRPr="00AD5216">
              <w:rPr>
                <w:sz w:val="22"/>
                <w:szCs w:val="22"/>
              </w:rPr>
              <w:t>,</w:t>
            </w:r>
          </w:p>
          <w:p w14:paraId="2488769E" w14:textId="77777777" w:rsidR="005F3255" w:rsidRPr="00AD5216" w:rsidRDefault="005F3255" w:rsidP="001D5B1E">
            <w:pPr>
              <w:pStyle w:val="NumberLevel2"/>
              <w:numPr>
                <w:ilvl w:val="0"/>
                <w:numId w:val="47"/>
              </w:numPr>
              <w:spacing w:before="60" w:after="60"/>
              <w:rPr>
                <w:sz w:val="22"/>
                <w:szCs w:val="22"/>
              </w:rPr>
            </w:pPr>
            <w:r w:rsidRPr="00AD5216">
              <w:rPr>
                <w:sz w:val="22"/>
                <w:szCs w:val="22"/>
              </w:rPr>
              <w:t>the law enforcement agencies and regulators who will have unlimited access to BOI,</w:t>
            </w:r>
          </w:p>
          <w:p w14:paraId="223B4745" w14:textId="77777777" w:rsidR="005F3255" w:rsidRPr="00AD5216" w:rsidRDefault="005F3255" w:rsidP="001D5B1E">
            <w:pPr>
              <w:pStyle w:val="NumberLevel2"/>
              <w:numPr>
                <w:ilvl w:val="0"/>
                <w:numId w:val="47"/>
              </w:numPr>
              <w:spacing w:before="60" w:after="60"/>
              <w:rPr>
                <w:sz w:val="22"/>
                <w:szCs w:val="22"/>
              </w:rPr>
            </w:pPr>
            <w:r w:rsidRPr="00AD5216">
              <w:rPr>
                <w:sz w:val="22"/>
                <w:szCs w:val="22"/>
              </w:rPr>
              <w:t xml:space="preserve">the purposes for which law enforcement agencies and regulators can seek unlimited access to </w:t>
            </w:r>
            <w:proofErr w:type="gramStart"/>
            <w:r w:rsidRPr="00AD5216">
              <w:rPr>
                <w:sz w:val="22"/>
                <w:szCs w:val="22"/>
              </w:rPr>
              <w:t>BOI</w:t>
            </w:r>
            <w:proofErr w:type="gramEnd"/>
          </w:p>
          <w:p w14:paraId="5729DA90" w14:textId="77777777" w:rsidR="005F3255" w:rsidRPr="00AD5216" w:rsidRDefault="005F3255" w:rsidP="001D5B1E">
            <w:pPr>
              <w:pStyle w:val="NumberLevel2"/>
              <w:numPr>
                <w:ilvl w:val="0"/>
                <w:numId w:val="47"/>
              </w:numPr>
              <w:spacing w:before="60" w:after="60"/>
              <w:rPr>
                <w:sz w:val="22"/>
                <w:szCs w:val="22"/>
              </w:rPr>
            </w:pPr>
            <w:r w:rsidRPr="00AD5216">
              <w:rPr>
                <w:sz w:val="22"/>
                <w:szCs w:val="22"/>
              </w:rPr>
              <w:t>the scope of ASIC’s enforcement powers,</w:t>
            </w:r>
          </w:p>
          <w:p w14:paraId="7BB29E80" w14:textId="77777777" w:rsidR="005F3255" w:rsidRPr="00AD5216" w:rsidRDefault="005F3255" w:rsidP="001D5B1E">
            <w:pPr>
              <w:pStyle w:val="NumberLevel2"/>
              <w:numPr>
                <w:ilvl w:val="0"/>
                <w:numId w:val="47"/>
              </w:numPr>
              <w:spacing w:before="60" w:after="60" w:line="240" w:lineRule="atLeast"/>
              <w:rPr>
                <w:sz w:val="22"/>
                <w:szCs w:val="22"/>
              </w:rPr>
            </w:pPr>
            <w:r w:rsidRPr="00AD5216">
              <w:rPr>
                <w:sz w:val="22"/>
                <w:szCs w:val="22"/>
              </w:rPr>
              <w:t>the reasons for which a person seeking to access BOR may have an ‘improper purpose’.</w:t>
            </w:r>
          </w:p>
        </w:tc>
      </w:tr>
      <w:tr w:rsidR="005F3255" w:rsidRPr="00F91EBA" w14:paraId="16DED8A9" w14:textId="77777777" w:rsidTr="001D5B1E">
        <w:trPr>
          <w:cantSplit/>
          <w:trHeight w:val="269"/>
        </w:trPr>
        <w:tc>
          <w:tcPr>
            <w:tcW w:w="200" w:type="pct"/>
            <w:shd w:val="clear" w:color="auto" w:fill="auto"/>
            <w:vAlign w:val="top"/>
          </w:tcPr>
          <w:p w14:paraId="1B5CFCE7" w14:textId="77777777" w:rsidR="005F3255" w:rsidRPr="00F91EBA" w:rsidRDefault="005F3255" w:rsidP="001D5B1E">
            <w:pPr>
              <w:pStyle w:val="TableHeading2"/>
              <w:keepNext w:val="0"/>
              <w:keepLines w:val="0"/>
              <w:spacing w:after="60"/>
            </w:pPr>
            <w:r>
              <w:t>4</w:t>
            </w:r>
          </w:p>
        </w:tc>
        <w:tc>
          <w:tcPr>
            <w:tcW w:w="2399" w:type="pct"/>
            <w:vAlign w:val="top"/>
          </w:tcPr>
          <w:p w14:paraId="595EEFE6" w14:textId="77777777" w:rsidR="005F3255" w:rsidRPr="00AD5216" w:rsidRDefault="005F3255" w:rsidP="001D5B1E">
            <w:pPr>
              <w:pStyle w:val="TablePlainParagraph"/>
              <w:rPr>
                <w:sz w:val="22"/>
                <w:szCs w:val="22"/>
              </w:rPr>
            </w:pPr>
            <w:r w:rsidRPr="00AD5216">
              <w:rPr>
                <w:sz w:val="22"/>
                <w:szCs w:val="22"/>
              </w:rPr>
              <w:t>The introduction of the BO Policy will require in-scope companies to prepare or update policies (including privacy policies where they have chosen or are required to have a privacy policy) and implement new practices to collect, store, use and disclose BOI that is personal information.</w:t>
            </w:r>
          </w:p>
        </w:tc>
        <w:tc>
          <w:tcPr>
            <w:tcW w:w="2400" w:type="pct"/>
            <w:shd w:val="clear" w:color="auto" w:fill="auto"/>
            <w:vAlign w:val="top"/>
          </w:tcPr>
          <w:p w14:paraId="2A263D6C" w14:textId="48732970" w:rsidR="005F3255" w:rsidRPr="00AD5216" w:rsidRDefault="005F3255" w:rsidP="001D5B1E">
            <w:pPr>
              <w:pStyle w:val="TableHeading2"/>
              <w:spacing w:after="60"/>
              <w:rPr>
                <w:b w:val="0"/>
                <w:sz w:val="22"/>
                <w:szCs w:val="22"/>
              </w:rPr>
            </w:pPr>
            <w:r w:rsidRPr="00AD5216">
              <w:rPr>
                <w:b w:val="0"/>
                <w:sz w:val="22"/>
                <w:szCs w:val="22"/>
              </w:rPr>
              <w:t xml:space="preserve">To promote a ‘privacy by design’ approach, the Commonwealth develop guidance for in-scope companies on appropriate content for entity privacy policies, and necessary practices, </w:t>
            </w:r>
            <w:proofErr w:type="gramStart"/>
            <w:r w:rsidRPr="00AD5216">
              <w:rPr>
                <w:b w:val="0"/>
                <w:sz w:val="22"/>
                <w:szCs w:val="22"/>
              </w:rPr>
              <w:t>procedures</w:t>
            </w:r>
            <w:proofErr w:type="gramEnd"/>
            <w:r w:rsidRPr="00AD5216">
              <w:rPr>
                <w:b w:val="0"/>
                <w:sz w:val="22"/>
                <w:szCs w:val="22"/>
              </w:rPr>
              <w:t xml:space="preserve"> and systems that entities should implement to comply with the APPs in </w:t>
            </w:r>
            <w:hyperlink w:anchor="AnnexureA" w:history="1">
              <w:r w:rsidRPr="00AD5216">
                <w:rPr>
                  <w:rStyle w:val="Hyperlink"/>
                  <w:b w:val="0"/>
                  <w:sz w:val="22"/>
                  <w:szCs w:val="22"/>
                </w:rPr>
                <w:t>Annexure A</w:t>
              </w:r>
            </w:hyperlink>
            <w:r w:rsidRPr="00AD5216">
              <w:rPr>
                <w:b w:val="0"/>
                <w:sz w:val="22"/>
                <w:szCs w:val="22"/>
              </w:rPr>
              <w:t>.</w:t>
            </w:r>
          </w:p>
          <w:p w14:paraId="180F1D2C" w14:textId="77777777" w:rsidR="005F3255" w:rsidRPr="00AD5216" w:rsidRDefault="005F3255" w:rsidP="001D5B1E">
            <w:pPr>
              <w:pStyle w:val="TablePlainParagraph"/>
              <w:rPr>
                <w:sz w:val="22"/>
                <w:szCs w:val="22"/>
              </w:rPr>
            </w:pPr>
            <w:r w:rsidRPr="00AD5216">
              <w:rPr>
                <w:sz w:val="22"/>
                <w:szCs w:val="22"/>
              </w:rPr>
              <w:t>To promote a ‘privacy by design’ approach, in-scope companies who are not subject to the APPs should be encouraged to voluntarily comply with the APPs in their handling of BOI that is personal information.</w:t>
            </w:r>
          </w:p>
        </w:tc>
      </w:tr>
      <w:tr w:rsidR="005F3255" w:rsidRPr="00F91EBA" w14:paraId="4D5A009F" w14:textId="77777777" w:rsidTr="001D5B1E">
        <w:trPr>
          <w:cantSplit/>
          <w:trHeight w:val="269"/>
        </w:trPr>
        <w:tc>
          <w:tcPr>
            <w:tcW w:w="200" w:type="pct"/>
            <w:shd w:val="clear" w:color="auto" w:fill="auto"/>
            <w:vAlign w:val="top"/>
          </w:tcPr>
          <w:p w14:paraId="7E2A7D4B" w14:textId="77777777" w:rsidR="005F3255" w:rsidRPr="00F91EBA" w:rsidRDefault="005F3255" w:rsidP="001D5B1E">
            <w:pPr>
              <w:pStyle w:val="TableHeading2"/>
              <w:keepNext w:val="0"/>
              <w:keepLines w:val="0"/>
              <w:spacing w:after="60"/>
            </w:pPr>
            <w:r>
              <w:t>5</w:t>
            </w:r>
          </w:p>
        </w:tc>
        <w:tc>
          <w:tcPr>
            <w:tcW w:w="2399" w:type="pct"/>
            <w:vAlign w:val="top"/>
          </w:tcPr>
          <w:p w14:paraId="3F15A566" w14:textId="456CDF43" w:rsidR="005F3255" w:rsidRPr="00AD5216" w:rsidRDefault="005F3255" w:rsidP="001D5B1E">
            <w:pPr>
              <w:pStyle w:val="TablePlainParagraph"/>
              <w:rPr>
                <w:sz w:val="22"/>
                <w:szCs w:val="22"/>
              </w:rPr>
            </w:pPr>
            <w:r w:rsidRPr="00AD5216">
              <w:rPr>
                <w:sz w:val="22"/>
                <w:szCs w:val="22"/>
              </w:rPr>
              <w:t>Beneficial owners may over-provide personal information when supplying BOI, such as additional documents demonstrating their status as a beneficial owner, or a submission in support of an application to suppress their BOI (which they should provide to ASIC only, not in-scope companies).</w:t>
            </w:r>
          </w:p>
        </w:tc>
        <w:tc>
          <w:tcPr>
            <w:tcW w:w="2400" w:type="pct"/>
            <w:shd w:val="clear" w:color="auto" w:fill="auto"/>
            <w:vAlign w:val="top"/>
          </w:tcPr>
          <w:p w14:paraId="3C771D56" w14:textId="77777777" w:rsidR="005F3255" w:rsidRPr="00AD5216" w:rsidRDefault="005F3255" w:rsidP="001D5B1E">
            <w:pPr>
              <w:pStyle w:val="TableHeading2"/>
              <w:spacing w:after="60"/>
              <w:rPr>
                <w:b w:val="0"/>
                <w:sz w:val="22"/>
                <w:szCs w:val="22"/>
              </w:rPr>
            </w:pPr>
            <w:r w:rsidRPr="00AD5216">
              <w:rPr>
                <w:b w:val="0"/>
                <w:sz w:val="22"/>
                <w:szCs w:val="22"/>
              </w:rPr>
              <w:t>The approved format should include guidance to beneficial owners explaining:</w:t>
            </w:r>
          </w:p>
          <w:p w14:paraId="40AD3992" w14:textId="77777777" w:rsidR="005F3255" w:rsidRPr="00AD5216" w:rsidRDefault="005F3255" w:rsidP="001D5B1E">
            <w:pPr>
              <w:pStyle w:val="TableHeading2"/>
              <w:numPr>
                <w:ilvl w:val="0"/>
                <w:numId w:val="47"/>
              </w:numPr>
              <w:spacing w:after="60"/>
              <w:rPr>
                <w:b w:val="0"/>
                <w:sz w:val="22"/>
                <w:szCs w:val="22"/>
              </w:rPr>
            </w:pPr>
            <w:r w:rsidRPr="00AD5216">
              <w:rPr>
                <w:b w:val="0"/>
                <w:sz w:val="22"/>
                <w:szCs w:val="22"/>
              </w:rPr>
              <w:t xml:space="preserve">the categories of information they must supply, </w:t>
            </w:r>
          </w:p>
          <w:p w14:paraId="50865AE6" w14:textId="3C1120AA" w:rsidR="005F3255" w:rsidRPr="00AD5216" w:rsidRDefault="005F3255" w:rsidP="001D5B1E">
            <w:pPr>
              <w:pStyle w:val="NumberLevel2"/>
              <w:numPr>
                <w:ilvl w:val="0"/>
                <w:numId w:val="47"/>
              </w:numPr>
              <w:spacing w:before="60" w:after="60" w:line="240" w:lineRule="atLeast"/>
              <w:rPr>
                <w:sz w:val="22"/>
                <w:szCs w:val="22"/>
              </w:rPr>
            </w:pPr>
            <w:r w:rsidRPr="00AD5216">
              <w:rPr>
                <w:sz w:val="22"/>
                <w:szCs w:val="22"/>
              </w:rPr>
              <w:t xml:space="preserve">other kinds of information </w:t>
            </w:r>
            <w:r w:rsidR="00E0066E">
              <w:rPr>
                <w:sz w:val="22"/>
                <w:szCs w:val="22"/>
              </w:rPr>
              <w:t xml:space="preserve">that </w:t>
            </w:r>
            <w:r w:rsidRPr="00AD5216">
              <w:rPr>
                <w:sz w:val="22"/>
                <w:szCs w:val="22"/>
              </w:rPr>
              <w:t xml:space="preserve">are not </w:t>
            </w:r>
            <w:proofErr w:type="gramStart"/>
            <w:r w:rsidRPr="00AD5216">
              <w:rPr>
                <w:sz w:val="22"/>
                <w:szCs w:val="22"/>
              </w:rPr>
              <w:t>needed, and</w:t>
            </w:r>
            <w:proofErr w:type="gramEnd"/>
            <w:r w:rsidRPr="00AD5216">
              <w:rPr>
                <w:sz w:val="22"/>
                <w:szCs w:val="22"/>
              </w:rPr>
              <w:t xml:space="preserve"> should not be supplied.</w:t>
            </w:r>
          </w:p>
        </w:tc>
      </w:tr>
      <w:tr w:rsidR="005F3255" w:rsidRPr="00F91EBA" w14:paraId="200F9681" w14:textId="77777777" w:rsidTr="001D5B1E">
        <w:trPr>
          <w:cantSplit/>
          <w:trHeight w:val="269"/>
        </w:trPr>
        <w:tc>
          <w:tcPr>
            <w:tcW w:w="200" w:type="pct"/>
            <w:shd w:val="clear" w:color="auto" w:fill="auto"/>
            <w:vAlign w:val="top"/>
          </w:tcPr>
          <w:p w14:paraId="10D6B027" w14:textId="77777777" w:rsidR="005F3255" w:rsidRPr="00F91EBA" w:rsidRDefault="005F3255" w:rsidP="001D5B1E">
            <w:pPr>
              <w:pStyle w:val="TableHeading2"/>
              <w:keepNext w:val="0"/>
              <w:keepLines w:val="0"/>
              <w:spacing w:after="60"/>
            </w:pPr>
            <w:r>
              <w:t>6</w:t>
            </w:r>
          </w:p>
        </w:tc>
        <w:tc>
          <w:tcPr>
            <w:tcW w:w="2399" w:type="pct"/>
            <w:vAlign w:val="top"/>
          </w:tcPr>
          <w:p w14:paraId="17307A39" w14:textId="77777777" w:rsidR="005F3255" w:rsidRPr="00AD5216" w:rsidRDefault="005F3255" w:rsidP="001D5B1E">
            <w:pPr>
              <w:pStyle w:val="TablePlainParagraph"/>
              <w:rPr>
                <w:sz w:val="22"/>
                <w:szCs w:val="22"/>
              </w:rPr>
            </w:pPr>
            <w:r w:rsidRPr="00AD5216">
              <w:rPr>
                <w:sz w:val="22"/>
                <w:szCs w:val="22"/>
              </w:rPr>
              <w:t>APP entities must, before or as soon as practicable after collecting personal information, notify the individual of prescribed matters, or otherwise ensure that they are aware of such matters.</w:t>
            </w:r>
          </w:p>
        </w:tc>
        <w:tc>
          <w:tcPr>
            <w:tcW w:w="2400" w:type="pct"/>
            <w:shd w:val="clear" w:color="auto" w:fill="auto"/>
            <w:vAlign w:val="top"/>
          </w:tcPr>
          <w:p w14:paraId="39CD9D12" w14:textId="050979F8" w:rsidR="005F3255" w:rsidRPr="00AD5216" w:rsidRDefault="005F3255" w:rsidP="001D5B1E">
            <w:pPr>
              <w:pStyle w:val="TablePlainParagraph"/>
              <w:rPr>
                <w:sz w:val="22"/>
                <w:szCs w:val="22"/>
              </w:rPr>
            </w:pPr>
            <w:r w:rsidRPr="00AD5216">
              <w:rPr>
                <w:sz w:val="22"/>
                <w:szCs w:val="22"/>
              </w:rPr>
              <w:t xml:space="preserve">In-scope companies, ASIC and the RCA provide collection notices addressing the matters outlined at </w:t>
            </w:r>
            <w:bookmarkStart w:id="38" w:name="_Hlk168652903"/>
            <w:r>
              <w:rPr>
                <w:rStyle w:val="Hyperlink"/>
                <w:sz w:val="22"/>
              </w:rPr>
              <w:fldChar w:fldCharType="begin"/>
            </w:r>
            <w:r>
              <w:rPr>
                <w:rStyle w:val="Hyperlink"/>
                <w:sz w:val="22"/>
                <w:szCs w:val="22"/>
              </w:rPr>
              <w:instrText xml:space="preserve"> HYPERLINK  \l "AnnexureA" </w:instrText>
            </w:r>
            <w:r>
              <w:rPr>
                <w:rStyle w:val="Hyperlink"/>
                <w:sz w:val="22"/>
              </w:rPr>
            </w:r>
            <w:r>
              <w:rPr>
                <w:rStyle w:val="Hyperlink"/>
                <w:sz w:val="22"/>
              </w:rPr>
              <w:fldChar w:fldCharType="separate"/>
            </w:r>
            <w:r w:rsidRPr="005F3255">
              <w:rPr>
                <w:rStyle w:val="Hyperlink"/>
                <w:sz w:val="22"/>
                <w:szCs w:val="22"/>
              </w:rPr>
              <w:t>Annexure A</w:t>
            </w:r>
            <w:bookmarkEnd w:id="38"/>
            <w:r>
              <w:rPr>
                <w:rStyle w:val="Hyperlink"/>
                <w:sz w:val="22"/>
              </w:rPr>
              <w:fldChar w:fldCharType="end"/>
            </w:r>
            <w:r w:rsidRPr="00AD5216">
              <w:rPr>
                <w:sz w:val="22"/>
                <w:szCs w:val="22"/>
              </w:rPr>
              <w:t>, before, or as soon as practicable after, they collect personal information</w:t>
            </w:r>
            <w:r w:rsidRPr="00AD5216">
              <w:rPr>
                <w:rStyle w:val="Hyperlink"/>
                <w:sz w:val="22"/>
                <w:szCs w:val="22"/>
              </w:rPr>
              <w:t>.</w:t>
            </w:r>
          </w:p>
        </w:tc>
      </w:tr>
      <w:tr w:rsidR="005F3255" w:rsidRPr="00F91EBA" w14:paraId="6468678D" w14:textId="77777777" w:rsidTr="001D5B1E">
        <w:trPr>
          <w:cantSplit/>
          <w:trHeight w:val="269"/>
        </w:trPr>
        <w:tc>
          <w:tcPr>
            <w:tcW w:w="200" w:type="pct"/>
            <w:shd w:val="clear" w:color="auto" w:fill="auto"/>
            <w:vAlign w:val="top"/>
          </w:tcPr>
          <w:p w14:paraId="110D99F9" w14:textId="77777777" w:rsidR="005F3255" w:rsidRPr="00F91EBA" w:rsidRDefault="005F3255" w:rsidP="001D5B1E">
            <w:pPr>
              <w:pStyle w:val="TableHeading2"/>
              <w:keepNext w:val="0"/>
              <w:keepLines w:val="0"/>
              <w:spacing w:after="60"/>
            </w:pPr>
            <w:r>
              <w:t>7</w:t>
            </w:r>
          </w:p>
        </w:tc>
        <w:tc>
          <w:tcPr>
            <w:tcW w:w="2399" w:type="pct"/>
            <w:vAlign w:val="top"/>
          </w:tcPr>
          <w:p w14:paraId="51D8A765" w14:textId="77777777" w:rsidR="005F3255" w:rsidRPr="00AD5216" w:rsidRDefault="005F3255" w:rsidP="001D5B1E">
            <w:pPr>
              <w:pStyle w:val="TablePlainParagraph"/>
              <w:rPr>
                <w:sz w:val="22"/>
                <w:szCs w:val="22"/>
              </w:rPr>
            </w:pPr>
            <w:r w:rsidRPr="00AD5216">
              <w:rPr>
                <w:sz w:val="22"/>
                <w:szCs w:val="22"/>
              </w:rPr>
              <w:t>Unless ASIC notifies an in-scope company about the receipt and outcome of a suppression application, the in-scope company may not know whether a suppression entitlement exists, or when the entitlement ends (e.g. if ASIC refuses the application or a review is unsuccessful).</w:t>
            </w:r>
          </w:p>
        </w:tc>
        <w:tc>
          <w:tcPr>
            <w:tcW w:w="2400" w:type="pct"/>
            <w:shd w:val="clear" w:color="auto" w:fill="auto"/>
            <w:vAlign w:val="top"/>
          </w:tcPr>
          <w:p w14:paraId="7F9AA188" w14:textId="77777777" w:rsidR="005F3255" w:rsidRPr="00AD5216" w:rsidRDefault="005F3255" w:rsidP="001D5B1E">
            <w:pPr>
              <w:pStyle w:val="TableHeading2"/>
              <w:numPr>
                <w:ilvl w:val="0"/>
                <w:numId w:val="49"/>
              </w:numPr>
              <w:spacing w:after="60"/>
              <w:ind w:left="357" w:hanging="357"/>
              <w:rPr>
                <w:b w:val="0"/>
                <w:sz w:val="22"/>
                <w:szCs w:val="22"/>
              </w:rPr>
            </w:pPr>
            <w:r w:rsidRPr="00AD5216">
              <w:rPr>
                <w:b w:val="0"/>
                <w:sz w:val="22"/>
                <w:szCs w:val="22"/>
              </w:rPr>
              <w:t>ASIC notify in-scope companies of the receipt and outcome of a suppression application.</w:t>
            </w:r>
          </w:p>
          <w:p w14:paraId="6A33E86C" w14:textId="77777777" w:rsidR="005F3255" w:rsidRPr="00AD5216" w:rsidRDefault="005F3255" w:rsidP="001D5B1E">
            <w:pPr>
              <w:pStyle w:val="TablePlainParagraph"/>
              <w:numPr>
                <w:ilvl w:val="0"/>
                <w:numId w:val="49"/>
              </w:numPr>
              <w:rPr>
                <w:sz w:val="22"/>
                <w:szCs w:val="22"/>
              </w:rPr>
            </w:pPr>
            <w:r w:rsidRPr="00AD5216">
              <w:rPr>
                <w:sz w:val="22"/>
                <w:szCs w:val="22"/>
              </w:rPr>
              <w:t xml:space="preserve">In-scope companies suppress BOI from the register for 28 days after receiving notice of a beneficial owner’s intent to apply for suppression, or after they receive notice of an application until they receive a negative </w:t>
            </w:r>
            <w:proofErr w:type="gramStart"/>
            <w:r w:rsidRPr="00AD5216">
              <w:rPr>
                <w:sz w:val="22"/>
                <w:szCs w:val="22"/>
              </w:rPr>
              <w:t>final outcome</w:t>
            </w:r>
            <w:proofErr w:type="gramEnd"/>
            <w:r w:rsidRPr="00AD5216">
              <w:rPr>
                <w:sz w:val="22"/>
                <w:szCs w:val="22"/>
              </w:rPr>
              <w:t xml:space="preserve"> notice.</w:t>
            </w:r>
          </w:p>
        </w:tc>
      </w:tr>
      <w:tr w:rsidR="005F3255" w:rsidRPr="00F91EBA" w14:paraId="3B129170" w14:textId="77777777" w:rsidTr="001D5B1E">
        <w:trPr>
          <w:cantSplit/>
          <w:trHeight w:val="269"/>
        </w:trPr>
        <w:tc>
          <w:tcPr>
            <w:tcW w:w="200" w:type="pct"/>
            <w:shd w:val="clear" w:color="auto" w:fill="auto"/>
            <w:vAlign w:val="top"/>
          </w:tcPr>
          <w:p w14:paraId="145970C8" w14:textId="77777777" w:rsidR="005F3255" w:rsidRPr="00F91EBA" w:rsidRDefault="005F3255" w:rsidP="001D5B1E">
            <w:pPr>
              <w:pStyle w:val="TableHeading2"/>
              <w:keepNext w:val="0"/>
              <w:keepLines w:val="0"/>
              <w:spacing w:after="60"/>
            </w:pPr>
            <w:r>
              <w:t>8</w:t>
            </w:r>
          </w:p>
        </w:tc>
        <w:tc>
          <w:tcPr>
            <w:tcW w:w="2399" w:type="pct"/>
            <w:vAlign w:val="top"/>
          </w:tcPr>
          <w:p w14:paraId="464852FE" w14:textId="77777777" w:rsidR="005F3255" w:rsidRPr="00AD5216" w:rsidRDefault="005F3255" w:rsidP="001D5B1E">
            <w:pPr>
              <w:pStyle w:val="TablePlainParagraph"/>
              <w:rPr>
                <w:sz w:val="22"/>
                <w:szCs w:val="22"/>
              </w:rPr>
            </w:pPr>
            <w:r w:rsidRPr="00AD5216">
              <w:rPr>
                <w:sz w:val="22"/>
                <w:szCs w:val="22"/>
              </w:rPr>
              <w:t xml:space="preserve">Any uncertainty over the operation of the suppression regime may impact the privacy of beneficial owners, for example, if they believe they are ineligible for suppression and fail to </w:t>
            </w:r>
            <w:proofErr w:type="gramStart"/>
            <w:r w:rsidRPr="00AD5216">
              <w:rPr>
                <w:sz w:val="22"/>
                <w:szCs w:val="22"/>
              </w:rPr>
              <w:t>apply, or</w:t>
            </w:r>
            <w:proofErr w:type="gramEnd"/>
            <w:r w:rsidRPr="00AD5216">
              <w:rPr>
                <w:sz w:val="22"/>
                <w:szCs w:val="22"/>
              </w:rPr>
              <w:t xml:space="preserve"> over-provide information supporting their suppression application.</w:t>
            </w:r>
          </w:p>
        </w:tc>
        <w:tc>
          <w:tcPr>
            <w:tcW w:w="2400" w:type="pct"/>
            <w:shd w:val="clear" w:color="auto" w:fill="auto"/>
            <w:vAlign w:val="top"/>
          </w:tcPr>
          <w:p w14:paraId="5FA4A5CD" w14:textId="77777777" w:rsidR="005F3255" w:rsidRPr="00AD5216" w:rsidRDefault="005F3255" w:rsidP="001D5B1E">
            <w:pPr>
              <w:pStyle w:val="TableHeading2"/>
              <w:spacing w:after="60"/>
              <w:rPr>
                <w:b w:val="0"/>
                <w:sz w:val="22"/>
                <w:szCs w:val="22"/>
              </w:rPr>
            </w:pPr>
            <w:r w:rsidRPr="00AD5216">
              <w:rPr>
                <w:b w:val="0"/>
                <w:sz w:val="22"/>
                <w:szCs w:val="22"/>
              </w:rPr>
              <w:t xml:space="preserve">The Commonwealth develop: </w:t>
            </w:r>
          </w:p>
          <w:p w14:paraId="4A7986E8" w14:textId="77777777" w:rsidR="005F3255" w:rsidRPr="00AD5216" w:rsidRDefault="005F3255" w:rsidP="001D5B1E">
            <w:pPr>
              <w:pStyle w:val="ListParagraph"/>
              <w:numPr>
                <w:ilvl w:val="0"/>
                <w:numId w:val="49"/>
              </w:numPr>
              <w:spacing w:before="60" w:after="60"/>
              <w:ind w:left="357" w:hanging="357"/>
              <w:rPr>
                <w:sz w:val="22"/>
                <w:szCs w:val="22"/>
              </w:rPr>
            </w:pPr>
            <w:r w:rsidRPr="00AD5216">
              <w:rPr>
                <w:sz w:val="22"/>
                <w:szCs w:val="22"/>
              </w:rPr>
              <w:t xml:space="preserve">guidance for beneficial owners on the kinds of circumstances where it will grant a suppression application, as well as the types of information an individual could supply to substantiate a suppression </w:t>
            </w:r>
            <w:proofErr w:type="gramStart"/>
            <w:r w:rsidRPr="00AD5216">
              <w:rPr>
                <w:sz w:val="22"/>
                <w:szCs w:val="22"/>
              </w:rPr>
              <w:t>application</w:t>
            </w:r>
            <w:proofErr w:type="gramEnd"/>
          </w:p>
          <w:p w14:paraId="33395F87" w14:textId="77777777" w:rsidR="005F3255" w:rsidRPr="00AD5216" w:rsidRDefault="005F3255" w:rsidP="001D5B1E">
            <w:pPr>
              <w:pStyle w:val="TablePlainParagraph"/>
              <w:numPr>
                <w:ilvl w:val="0"/>
                <w:numId w:val="49"/>
              </w:numPr>
              <w:rPr>
                <w:sz w:val="22"/>
                <w:szCs w:val="22"/>
              </w:rPr>
            </w:pPr>
            <w:r w:rsidRPr="00AD5216">
              <w:rPr>
                <w:sz w:val="22"/>
                <w:szCs w:val="22"/>
              </w:rPr>
              <w:t>an approved format to supply information in support of a suppression application.</w:t>
            </w:r>
          </w:p>
        </w:tc>
      </w:tr>
      <w:tr w:rsidR="005F3255" w:rsidRPr="00F91EBA" w14:paraId="38D5E279" w14:textId="77777777" w:rsidTr="001D5B1E">
        <w:trPr>
          <w:cantSplit/>
          <w:trHeight w:val="269"/>
        </w:trPr>
        <w:tc>
          <w:tcPr>
            <w:tcW w:w="200" w:type="pct"/>
            <w:shd w:val="clear" w:color="auto" w:fill="auto"/>
            <w:vAlign w:val="top"/>
          </w:tcPr>
          <w:p w14:paraId="526255E5" w14:textId="77777777" w:rsidR="005F3255" w:rsidRPr="00F91EBA" w:rsidRDefault="005F3255" w:rsidP="001D5B1E">
            <w:pPr>
              <w:pStyle w:val="TableHeading2"/>
              <w:keepNext w:val="0"/>
              <w:keepLines w:val="0"/>
              <w:spacing w:after="60"/>
            </w:pPr>
            <w:r>
              <w:t>9</w:t>
            </w:r>
          </w:p>
        </w:tc>
        <w:tc>
          <w:tcPr>
            <w:tcW w:w="2399" w:type="pct"/>
            <w:vAlign w:val="top"/>
          </w:tcPr>
          <w:p w14:paraId="218614B9" w14:textId="77777777" w:rsidR="005F3255" w:rsidRPr="00AD5216" w:rsidRDefault="005F3255" w:rsidP="001D5B1E">
            <w:pPr>
              <w:pStyle w:val="TablePlainParagraph"/>
              <w:rPr>
                <w:sz w:val="22"/>
                <w:szCs w:val="22"/>
              </w:rPr>
            </w:pPr>
            <w:r w:rsidRPr="00AD5216">
              <w:rPr>
                <w:sz w:val="22"/>
                <w:szCs w:val="22"/>
              </w:rPr>
              <w:t>Many in-scope companies will have limited experience in identity verification. This may cause harm to beneficial owners, e.g. if in-scope companies over collect and/or fail to delete identity documents after verifying identity (e.g. in the event of a data breach).</w:t>
            </w:r>
          </w:p>
        </w:tc>
        <w:tc>
          <w:tcPr>
            <w:tcW w:w="2400" w:type="pct"/>
            <w:shd w:val="clear" w:color="auto" w:fill="auto"/>
            <w:vAlign w:val="top"/>
          </w:tcPr>
          <w:p w14:paraId="2FD5D194" w14:textId="77777777" w:rsidR="005F3255" w:rsidRPr="00AD5216" w:rsidRDefault="005F3255" w:rsidP="001D5B1E">
            <w:pPr>
              <w:pStyle w:val="TablePlainParagraph"/>
              <w:rPr>
                <w:sz w:val="22"/>
                <w:szCs w:val="22"/>
              </w:rPr>
            </w:pPr>
            <w:r w:rsidRPr="00AD5216">
              <w:rPr>
                <w:sz w:val="22"/>
                <w:szCs w:val="22"/>
              </w:rPr>
              <w:t>The Commonwealth encourage in-scope companies to engage professional identity verification service providers.</w:t>
            </w:r>
          </w:p>
        </w:tc>
      </w:tr>
      <w:tr w:rsidR="005F3255" w:rsidRPr="00F91EBA" w14:paraId="413FD555" w14:textId="77777777" w:rsidTr="001D5B1E">
        <w:trPr>
          <w:cantSplit/>
          <w:trHeight w:val="269"/>
        </w:trPr>
        <w:tc>
          <w:tcPr>
            <w:tcW w:w="200" w:type="pct"/>
            <w:shd w:val="clear" w:color="auto" w:fill="auto"/>
            <w:vAlign w:val="top"/>
          </w:tcPr>
          <w:p w14:paraId="005E0F48" w14:textId="77777777" w:rsidR="005F3255" w:rsidRPr="00F91EBA" w:rsidRDefault="005F3255" w:rsidP="001D5B1E">
            <w:pPr>
              <w:pStyle w:val="TableHeading2"/>
              <w:keepNext w:val="0"/>
              <w:keepLines w:val="0"/>
              <w:spacing w:after="60"/>
            </w:pPr>
            <w:r>
              <w:t>10</w:t>
            </w:r>
          </w:p>
        </w:tc>
        <w:tc>
          <w:tcPr>
            <w:tcW w:w="2399" w:type="pct"/>
            <w:vAlign w:val="top"/>
          </w:tcPr>
          <w:p w14:paraId="337CF009" w14:textId="77777777" w:rsidR="005F3255" w:rsidRPr="00AD5216" w:rsidRDefault="005F3255" w:rsidP="001D5B1E">
            <w:pPr>
              <w:pStyle w:val="TablePlainParagraph"/>
              <w:rPr>
                <w:sz w:val="22"/>
                <w:szCs w:val="22"/>
              </w:rPr>
            </w:pPr>
            <w:r w:rsidRPr="00AD5216">
              <w:rPr>
                <w:sz w:val="22"/>
                <w:szCs w:val="22"/>
              </w:rPr>
              <w:t>Allowing in-scope companies to create and maintain BORs in idiosyncratic formats risks recording BOI in inconsistent formats. This may cause data quality issues in Stage 2 and/or risk unauthorised disclosure in Stage 1.</w:t>
            </w:r>
          </w:p>
        </w:tc>
        <w:tc>
          <w:tcPr>
            <w:tcW w:w="2400" w:type="pct"/>
            <w:shd w:val="clear" w:color="auto" w:fill="auto"/>
            <w:vAlign w:val="top"/>
          </w:tcPr>
          <w:p w14:paraId="5B11498F" w14:textId="57E4418D" w:rsidR="005F3255" w:rsidRPr="00AD5216" w:rsidRDefault="005F3255" w:rsidP="001D5B1E">
            <w:pPr>
              <w:pStyle w:val="TablePlainParagraph"/>
              <w:rPr>
                <w:sz w:val="22"/>
                <w:szCs w:val="22"/>
              </w:rPr>
            </w:pPr>
            <w:r w:rsidRPr="00AD5216">
              <w:rPr>
                <w:sz w:val="22"/>
                <w:szCs w:val="22"/>
              </w:rPr>
              <w:t>The Commonwealth prescribe or promote a template or format for in-scope companies to use to create and maintain their BORs. For example, a document or workbook with locked, defined formatting rules presents the most significant benefits.</w:t>
            </w:r>
          </w:p>
        </w:tc>
      </w:tr>
      <w:tr w:rsidR="005F3255" w:rsidRPr="00F91EBA" w14:paraId="4ECD2D83" w14:textId="77777777" w:rsidTr="0052152B">
        <w:trPr>
          <w:cantSplit/>
          <w:trHeight w:val="1906"/>
        </w:trPr>
        <w:tc>
          <w:tcPr>
            <w:tcW w:w="200" w:type="pct"/>
            <w:shd w:val="clear" w:color="auto" w:fill="auto"/>
            <w:vAlign w:val="top"/>
          </w:tcPr>
          <w:p w14:paraId="48E7E450" w14:textId="77777777" w:rsidR="005F3255" w:rsidRPr="00F91EBA" w:rsidRDefault="005F3255" w:rsidP="001D5B1E">
            <w:pPr>
              <w:pStyle w:val="TableHeading2"/>
              <w:keepNext w:val="0"/>
              <w:keepLines w:val="0"/>
              <w:spacing w:after="60"/>
            </w:pPr>
            <w:r>
              <w:t>11</w:t>
            </w:r>
          </w:p>
        </w:tc>
        <w:tc>
          <w:tcPr>
            <w:tcW w:w="2399" w:type="pct"/>
            <w:vAlign w:val="top"/>
          </w:tcPr>
          <w:p w14:paraId="032EA104" w14:textId="1FA2A6E1" w:rsidR="005F3255" w:rsidRPr="00AD5216" w:rsidRDefault="005F3255" w:rsidP="001D5B1E">
            <w:pPr>
              <w:pStyle w:val="TablePlainParagraph"/>
              <w:rPr>
                <w:sz w:val="22"/>
                <w:szCs w:val="22"/>
              </w:rPr>
            </w:pPr>
            <w:r w:rsidRPr="00AD5216">
              <w:rPr>
                <w:sz w:val="22"/>
                <w:szCs w:val="22"/>
              </w:rPr>
              <w:t>Where incorrect information</w:t>
            </w:r>
            <w:r w:rsidR="00E0066E">
              <w:rPr>
                <w:sz w:val="22"/>
                <w:szCs w:val="22"/>
              </w:rPr>
              <w:t xml:space="preserve"> in a BOR</w:t>
            </w:r>
            <w:r w:rsidRPr="00AD5216">
              <w:rPr>
                <w:sz w:val="22"/>
                <w:szCs w:val="22"/>
              </w:rPr>
              <w:t xml:space="preserve"> is updated, the obligation to retain records for 7 years may conflict with the need, under APP 11.2, to destroy personal information an entity no longer requires for a purpose under the APPs.</w:t>
            </w:r>
          </w:p>
        </w:tc>
        <w:tc>
          <w:tcPr>
            <w:tcW w:w="2400" w:type="pct"/>
            <w:shd w:val="clear" w:color="auto" w:fill="auto"/>
            <w:vAlign w:val="top"/>
          </w:tcPr>
          <w:p w14:paraId="2EE3C2AA" w14:textId="417C9093" w:rsidR="005F3255" w:rsidRPr="00AD5216" w:rsidRDefault="005F3255" w:rsidP="001D5B1E">
            <w:pPr>
              <w:pStyle w:val="TableHeading2"/>
              <w:spacing w:after="60"/>
              <w:rPr>
                <w:b w:val="0"/>
                <w:sz w:val="22"/>
                <w:szCs w:val="22"/>
              </w:rPr>
            </w:pPr>
            <w:r w:rsidRPr="00AD5216">
              <w:rPr>
                <w:b w:val="0"/>
                <w:sz w:val="22"/>
                <w:szCs w:val="22"/>
              </w:rPr>
              <w:t xml:space="preserve">The BO Policy </w:t>
            </w:r>
            <w:proofErr w:type="gramStart"/>
            <w:r w:rsidRPr="00AD5216">
              <w:rPr>
                <w:b w:val="0"/>
                <w:sz w:val="22"/>
                <w:szCs w:val="22"/>
              </w:rPr>
              <w:t>require</w:t>
            </w:r>
            <w:proofErr w:type="gramEnd"/>
            <w:r w:rsidRPr="00AD5216">
              <w:rPr>
                <w:b w:val="0"/>
                <w:sz w:val="22"/>
                <w:szCs w:val="22"/>
              </w:rPr>
              <w:t xml:space="preserve"> in-scope companies who correct incorrect personal information </w:t>
            </w:r>
            <w:r w:rsidR="00E0066E">
              <w:rPr>
                <w:b w:val="0"/>
                <w:sz w:val="22"/>
                <w:szCs w:val="22"/>
              </w:rPr>
              <w:t xml:space="preserve">in a BOR </w:t>
            </w:r>
            <w:r w:rsidRPr="00AD5216">
              <w:rPr>
                <w:b w:val="0"/>
                <w:sz w:val="22"/>
                <w:szCs w:val="22"/>
              </w:rPr>
              <w:t>to:</w:t>
            </w:r>
          </w:p>
          <w:p w14:paraId="72AFADAD" w14:textId="7CBDEB72" w:rsidR="005F3255" w:rsidRPr="00AD5216" w:rsidRDefault="005F3255" w:rsidP="001D5B1E">
            <w:pPr>
              <w:pStyle w:val="TablePlainParagraph"/>
              <w:numPr>
                <w:ilvl w:val="0"/>
                <w:numId w:val="53"/>
              </w:numPr>
              <w:rPr>
                <w:sz w:val="22"/>
                <w:szCs w:val="22"/>
              </w:rPr>
            </w:pPr>
            <w:r w:rsidRPr="00AD5216">
              <w:rPr>
                <w:sz w:val="22"/>
                <w:szCs w:val="22"/>
              </w:rPr>
              <w:t xml:space="preserve">delete/destroy or de-identify any </w:t>
            </w:r>
            <w:r w:rsidR="00E0066E">
              <w:rPr>
                <w:sz w:val="22"/>
                <w:szCs w:val="22"/>
              </w:rPr>
              <w:t xml:space="preserve">BOR </w:t>
            </w:r>
            <w:r w:rsidRPr="00AD5216">
              <w:rPr>
                <w:sz w:val="22"/>
                <w:szCs w:val="22"/>
              </w:rPr>
              <w:t xml:space="preserve">altered to correct typographical </w:t>
            </w:r>
            <w:proofErr w:type="gramStart"/>
            <w:r w:rsidRPr="00AD5216">
              <w:rPr>
                <w:sz w:val="22"/>
                <w:szCs w:val="22"/>
              </w:rPr>
              <w:t>errors</w:t>
            </w:r>
            <w:proofErr w:type="gramEnd"/>
          </w:p>
          <w:p w14:paraId="58A6C659" w14:textId="11696AEE" w:rsidR="005F3255" w:rsidRPr="00AD5216" w:rsidRDefault="005F3255" w:rsidP="001D5B1E">
            <w:pPr>
              <w:pStyle w:val="TablePlainParagraph"/>
              <w:numPr>
                <w:ilvl w:val="0"/>
                <w:numId w:val="53"/>
              </w:numPr>
              <w:rPr>
                <w:sz w:val="22"/>
                <w:szCs w:val="22"/>
              </w:rPr>
            </w:pPr>
            <w:r w:rsidRPr="00AD5216">
              <w:rPr>
                <w:sz w:val="22"/>
                <w:szCs w:val="22"/>
              </w:rPr>
              <w:t>keep a record of correct</w:t>
            </w:r>
            <w:r w:rsidR="00E0066E">
              <w:rPr>
                <w:sz w:val="22"/>
                <w:szCs w:val="22"/>
              </w:rPr>
              <w:t>ions to the BOR</w:t>
            </w:r>
            <w:r w:rsidRPr="00AD5216">
              <w:rPr>
                <w:sz w:val="22"/>
                <w:szCs w:val="22"/>
              </w:rPr>
              <w:t xml:space="preserve"> for 7 years as per recording keeping </w:t>
            </w:r>
            <w:proofErr w:type="gramStart"/>
            <w:r w:rsidRPr="00AD5216">
              <w:rPr>
                <w:sz w:val="22"/>
                <w:szCs w:val="22"/>
              </w:rPr>
              <w:t>obligations</w:t>
            </w:r>
            <w:proofErr w:type="gramEnd"/>
          </w:p>
          <w:p w14:paraId="111431F5" w14:textId="4045F876" w:rsidR="005F3255" w:rsidRPr="00AD5216" w:rsidRDefault="005F3255" w:rsidP="001D5B1E">
            <w:pPr>
              <w:pStyle w:val="TablePlainParagraph"/>
              <w:numPr>
                <w:ilvl w:val="0"/>
                <w:numId w:val="53"/>
              </w:numPr>
              <w:rPr>
                <w:sz w:val="22"/>
                <w:szCs w:val="22"/>
              </w:rPr>
            </w:pPr>
            <w:r w:rsidRPr="00AD5216">
              <w:rPr>
                <w:sz w:val="22"/>
                <w:szCs w:val="22"/>
              </w:rPr>
              <w:t>keep a central log of corrections to personal information</w:t>
            </w:r>
            <w:r w:rsidR="00E0066E">
              <w:rPr>
                <w:sz w:val="22"/>
                <w:szCs w:val="22"/>
              </w:rPr>
              <w:t xml:space="preserve"> within a BOR</w:t>
            </w:r>
            <w:r w:rsidRPr="00AD5216">
              <w:rPr>
                <w:sz w:val="22"/>
                <w:szCs w:val="22"/>
              </w:rPr>
              <w:t>.</w:t>
            </w:r>
          </w:p>
        </w:tc>
      </w:t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tbl>
    <w:p w14:paraId="05EB0F96" w14:textId="5EEF06D9" w:rsidR="00DF58FC" w:rsidRDefault="00DF58FC">
      <w:pPr>
        <w:rPr>
          <w:b/>
        </w:rPr>
      </w:pPr>
    </w:p>
    <w:p w14:paraId="0F9403EB" w14:textId="77777777" w:rsidR="00DF58FC" w:rsidRDefault="00DF58FC">
      <w:pPr>
        <w:rPr>
          <w:b/>
        </w:rPr>
      </w:pPr>
    </w:p>
    <w:p w14:paraId="22BA7DF8" w14:textId="77777777" w:rsidR="00E94643" w:rsidRDefault="00E94643">
      <w:pPr>
        <w:rPr>
          <w:b/>
        </w:rPr>
      </w:pPr>
    </w:p>
    <w:p w14:paraId="677F510F" w14:textId="77777777" w:rsidR="00E94643" w:rsidRDefault="00E94643">
      <w:pPr>
        <w:rPr>
          <w:b/>
        </w:rPr>
        <w:sectPr w:rsidR="00E94643" w:rsidSect="003F53CD">
          <w:pgSz w:w="11906" w:h="16838"/>
          <w:pgMar w:top="1134" w:right="1418" w:bottom="1701" w:left="2268" w:header="708" w:footer="708" w:gutter="0"/>
          <w:cols w:space="708"/>
          <w:docGrid w:linePitch="360"/>
        </w:sectPr>
      </w:pPr>
    </w:p>
    <w:p w14:paraId="1A558E9C" w14:textId="77777777" w:rsidR="00E94643" w:rsidRPr="00B35C8B" w:rsidRDefault="00E94643" w:rsidP="002D70FF">
      <w:pPr>
        <w:pStyle w:val="PlainParagraph"/>
        <w:pBdr>
          <w:top w:val="single" w:sz="18" w:space="1" w:color="auto"/>
        </w:pBdr>
        <w:spacing w:before="0" w:after="120" w:line="240" w:lineRule="atLeast"/>
        <w:rPr>
          <w:b/>
          <w:sz w:val="30"/>
          <w:szCs w:val="30"/>
        </w:rPr>
      </w:pPr>
      <w:r w:rsidRPr="00B35C8B">
        <w:rPr>
          <w:b/>
          <w:sz w:val="30"/>
          <w:szCs w:val="30"/>
        </w:rPr>
        <w:t>Table of contents</w:t>
      </w:r>
    </w:p>
    <w:sdt>
      <w:sdtPr>
        <w:rPr>
          <w:sz w:val="22"/>
        </w:rPr>
        <w:id w:val="482275124"/>
        <w:docPartObj>
          <w:docPartGallery w:val="Table of Contents"/>
          <w:docPartUnique/>
        </w:docPartObj>
      </w:sdtPr>
      <w:sdtEndPr>
        <w:rPr>
          <w:noProof/>
          <w:sz w:val="20"/>
        </w:rPr>
      </w:sdtEndPr>
      <w:sdtContent>
        <w:p w14:paraId="5D311416" w14:textId="12E8D950" w:rsidR="001D5B1E" w:rsidRDefault="001D5B1E">
          <w:pPr>
            <w:pStyle w:val="TOC1"/>
            <w:rPr>
              <w:rFonts w:asciiTheme="minorHAnsi" w:eastAsiaTheme="minorEastAsia" w:hAnsiTheme="minorHAnsi" w:cstheme="minorBidi"/>
              <w:b w:val="0"/>
              <w:noProof/>
              <w:sz w:val="22"/>
            </w:rPr>
          </w:pPr>
          <w:r>
            <w:rPr>
              <w:bCs/>
              <w:noProof/>
            </w:rPr>
            <w:fldChar w:fldCharType="begin"/>
          </w:r>
          <w:r>
            <w:rPr>
              <w:bCs/>
              <w:noProof/>
            </w:rPr>
            <w:instrText xml:space="preserve"> TOC \o "1-2" \h \z \u </w:instrText>
          </w:r>
          <w:r>
            <w:rPr>
              <w:bCs/>
              <w:noProof/>
            </w:rPr>
            <w:fldChar w:fldCharType="separate"/>
          </w:r>
          <w:hyperlink w:anchor="_Toc168942734" w:history="1">
            <w:r w:rsidRPr="00530ED2">
              <w:rPr>
                <w:rStyle w:val="Hyperlink"/>
                <w:noProof/>
              </w:rPr>
              <w:t>Part 1 – Background</w:t>
            </w:r>
            <w:r>
              <w:rPr>
                <w:noProof/>
                <w:webHidden/>
              </w:rPr>
              <w:tab/>
            </w:r>
            <w:r>
              <w:rPr>
                <w:noProof/>
                <w:webHidden/>
              </w:rPr>
              <w:fldChar w:fldCharType="begin"/>
            </w:r>
            <w:r>
              <w:rPr>
                <w:noProof/>
                <w:webHidden/>
              </w:rPr>
              <w:instrText xml:space="preserve"> PAGEREF _Toc168942734 \h </w:instrText>
            </w:r>
            <w:r>
              <w:rPr>
                <w:noProof/>
                <w:webHidden/>
              </w:rPr>
            </w:r>
            <w:r>
              <w:rPr>
                <w:noProof/>
                <w:webHidden/>
              </w:rPr>
              <w:fldChar w:fldCharType="separate"/>
            </w:r>
            <w:r w:rsidR="00C14F0B">
              <w:rPr>
                <w:noProof/>
                <w:webHidden/>
              </w:rPr>
              <w:t>14</w:t>
            </w:r>
            <w:r>
              <w:rPr>
                <w:noProof/>
                <w:webHidden/>
              </w:rPr>
              <w:fldChar w:fldCharType="end"/>
            </w:r>
          </w:hyperlink>
        </w:p>
        <w:p w14:paraId="3EDC6BB4" w14:textId="2A684913" w:rsidR="001D5B1E" w:rsidRDefault="0014727E">
          <w:pPr>
            <w:pStyle w:val="TOC2"/>
            <w:rPr>
              <w:rFonts w:asciiTheme="minorHAnsi" w:eastAsiaTheme="minorEastAsia" w:hAnsiTheme="minorHAnsi" w:cstheme="minorBidi"/>
              <w:noProof/>
              <w:sz w:val="22"/>
            </w:rPr>
          </w:pPr>
          <w:hyperlink w:anchor="_Toc168942735" w:history="1">
            <w:r w:rsidR="001D5B1E" w:rsidRPr="00530ED2">
              <w:rPr>
                <w:rStyle w:val="Hyperlink"/>
                <w:noProof/>
              </w:rPr>
              <w:t>Treasury’s functions</w:t>
            </w:r>
            <w:r w:rsidR="001D5B1E">
              <w:rPr>
                <w:noProof/>
                <w:webHidden/>
              </w:rPr>
              <w:tab/>
            </w:r>
            <w:r w:rsidR="001D5B1E">
              <w:rPr>
                <w:noProof/>
                <w:webHidden/>
              </w:rPr>
              <w:fldChar w:fldCharType="begin"/>
            </w:r>
            <w:r w:rsidR="001D5B1E">
              <w:rPr>
                <w:noProof/>
                <w:webHidden/>
              </w:rPr>
              <w:instrText xml:space="preserve"> PAGEREF _Toc168942735 \h </w:instrText>
            </w:r>
            <w:r w:rsidR="001D5B1E">
              <w:rPr>
                <w:noProof/>
                <w:webHidden/>
              </w:rPr>
            </w:r>
            <w:r w:rsidR="001D5B1E">
              <w:rPr>
                <w:noProof/>
                <w:webHidden/>
              </w:rPr>
              <w:fldChar w:fldCharType="separate"/>
            </w:r>
            <w:r w:rsidR="00C14F0B">
              <w:rPr>
                <w:noProof/>
                <w:webHidden/>
              </w:rPr>
              <w:t>14</w:t>
            </w:r>
            <w:r w:rsidR="001D5B1E">
              <w:rPr>
                <w:noProof/>
                <w:webHidden/>
              </w:rPr>
              <w:fldChar w:fldCharType="end"/>
            </w:r>
          </w:hyperlink>
        </w:p>
        <w:p w14:paraId="291CBED2" w14:textId="038B3729" w:rsidR="001D5B1E" w:rsidRDefault="0014727E">
          <w:pPr>
            <w:pStyle w:val="TOC2"/>
            <w:rPr>
              <w:rFonts w:asciiTheme="minorHAnsi" w:eastAsiaTheme="minorEastAsia" w:hAnsiTheme="minorHAnsi" w:cstheme="minorBidi"/>
              <w:noProof/>
              <w:sz w:val="22"/>
            </w:rPr>
          </w:pPr>
          <w:hyperlink w:anchor="_Toc168942736" w:history="1">
            <w:r w:rsidR="001D5B1E" w:rsidRPr="00530ED2">
              <w:rPr>
                <w:rStyle w:val="Hyperlink"/>
                <w:noProof/>
              </w:rPr>
              <w:t>Beneficial Ownership Register</w:t>
            </w:r>
            <w:r w:rsidR="001D5B1E">
              <w:rPr>
                <w:noProof/>
                <w:webHidden/>
              </w:rPr>
              <w:tab/>
            </w:r>
            <w:r w:rsidR="001D5B1E">
              <w:rPr>
                <w:noProof/>
                <w:webHidden/>
              </w:rPr>
              <w:fldChar w:fldCharType="begin"/>
            </w:r>
            <w:r w:rsidR="001D5B1E">
              <w:rPr>
                <w:noProof/>
                <w:webHidden/>
              </w:rPr>
              <w:instrText xml:space="preserve"> PAGEREF _Toc168942736 \h </w:instrText>
            </w:r>
            <w:r w:rsidR="001D5B1E">
              <w:rPr>
                <w:noProof/>
                <w:webHidden/>
              </w:rPr>
            </w:r>
            <w:r w:rsidR="001D5B1E">
              <w:rPr>
                <w:noProof/>
                <w:webHidden/>
              </w:rPr>
              <w:fldChar w:fldCharType="separate"/>
            </w:r>
            <w:r w:rsidR="00C14F0B">
              <w:rPr>
                <w:noProof/>
                <w:webHidden/>
              </w:rPr>
              <w:t>14</w:t>
            </w:r>
            <w:r w:rsidR="001D5B1E">
              <w:rPr>
                <w:noProof/>
                <w:webHidden/>
              </w:rPr>
              <w:fldChar w:fldCharType="end"/>
            </w:r>
          </w:hyperlink>
        </w:p>
        <w:p w14:paraId="4ED13D61" w14:textId="530156CF" w:rsidR="001D5B1E" w:rsidRDefault="0014727E">
          <w:pPr>
            <w:pStyle w:val="TOC2"/>
            <w:rPr>
              <w:rFonts w:asciiTheme="minorHAnsi" w:eastAsiaTheme="minorEastAsia" w:hAnsiTheme="minorHAnsi" w:cstheme="minorBidi"/>
              <w:noProof/>
              <w:sz w:val="22"/>
            </w:rPr>
          </w:pPr>
          <w:hyperlink w:anchor="_Toc168942737" w:history="1">
            <w:r w:rsidR="001D5B1E" w:rsidRPr="00530ED2">
              <w:rPr>
                <w:rStyle w:val="Hyperlink"/>
                <w:noProof/>
              </w:rPr>
              <w:t>Why is privacy relevant?</w:t>
            </w:r>
            <w:r w:rsidR="001D5B1E">
              <w:rPr>
                <w:noProof/>
                <w:webHidden/>
              </w:rPr>
              <w:tab/>
            </w:r>
            <w:r w:rsidR="001D5B1E">
              <w:rPr>
                <w:noProof/>
                <w:webHidden/>
              </w:rPr>
              <w:fldChar w:fldCharType="begin"/>
            </w:r>
            <w:r w:rsidR="001D5B1E">
              <w:rPr>
                <w:noProof/>
                <w:webHidden/>
              </w:rPr>
              <w:instrText xml:space="preserve"> PAGEREF _Toc168942737 \h </w:instrText>
            </w:r>
            <w:r w:rsidR="001D5B1E">
              <w:rPr>
                <w:noProof/>
                <w:webHidden/>
              </w:rPr>
            </w:r>
            <w:r w:rsidR="001D5B1E">
              <w:rPr>
                <w:noProof/>
                <w:webHidden/>
              </w:rPr>
              <w:fldChar w:fldCharType="separate"/>
            </w:r>
            <w:r w:rsidR="00C14F0B">
              <w:rPr>
                <w:noProof/>
                <w:webHidden/>
              </w:rPr>
              <w:t>18</w:t>
            </w:r>
            <w:r w:rsidR="001D5B1E">
              <w:rPr>
                <w:noProof/>
                <w:webHidden/>
              </w:rPr>
              <w:fldChar w:fldCharType="end"/>
            </w:r>
          </w:hyperlink>
        </w:p>
        <w:p w14:paraId="4C2C89D4" w14:textId="4F2A1FBC" w:rsidR="001D5B1E" w:rsidRDefault="0014727E">
          <w:pPr>
            <w:pStyle w:val="TOC2"/>
            <w:rPr>
              <w:rFonts w:asciiTheme="minorHAnsi" w:eastAsiaTheme="minorEastAsia" w:hAnsiTheme="minorHAnsi" w:cstheme="minorBidi"/>
              <w:noProof/>
              <w:sz w:val="22"/>
            </w:rPr>
          </w:pPr>
          <w:hyperlink w:anchor="_Toc168942738" w:history="1">
            <w:r w:rsidR="001D5B1E" w:rsidRPr="00530ED2">
              <w:rPr>
                <w:rStyle w:val="Hyperlink"/>
                <w:noProof/>
              </w:rPr>
              <w:t>The role of the Privacy Act</w:t>
            </w:r>
            <w:r w:rsidR="001D5B1E">
              <w:rPr>
                <w:noProof/>
                <w:webHidden/>
              </w:rPr>
              <w:tab/>
            </w:r>
            <w:r w:rsidR="001D5B1E">
              <w:rPr>
                <w:noProof/>
                <w:webHidden/>
              </w:rPr>
              <w:fldChar w:fldCharType="begin"/>
            </w:r>
            <w:r w:rsidR="001D5B1E">
              <w:rPr>
                <w:noProof/>
                <w:webHidden/>
              </w:rPr>
              <w:instrText xml:space="preserve"> PAGEREF _Toc168942738 \h </w:instrText>
            </w:r>
            <w:r w:rsidR="001D5B1E">
              <w:rPr>
                <w:noProof/>
                <w:webHidden/>
              </w:rPr>
            </w:r>
            <w:r w:rsidR="001D5B1E">
              <w:rPr>
                <w:noProof/>
                <w:webHidden/>
              </w:rPr>
              <w:fldChar w:fldCharType="separate"/>
            </w:r>
            <w:r w:rsidR="00C14F0B">
              <w:rPr>
                <w:noProof/>
                <w:webHidden/>
              </w:rPr>
              <w:t>19</w:t>
            </w:r>
            <w:r w:rsidR="001D5B1E">
              <w:rPr>
                <w:noProof/>
                <w:webHidden/>
              </w:rPr>
              <w:fldChar w:fldCharType="end"/>
            </w:r>
          </w:hyperlink>
        </w:p>
        <w:p w14:paraId="63B070D1" w14:textId="74B27447" w:rsidR="001D5B1E" w:rsidRDefault="0014727E">
          <w:pPr>
            <w:pStyle w:val="TOC2"/>
            <w:rPr>
              <w:rFonts w:asciiTheme="minorHAnsi" w:eastAsiaTheme="minorEastAsia" w:hAnsiTheme="minorHAnsi" w:cstheme="minorBidi"/>
              <w:noProof/>
              <w:sz w:val="22"/>
            </w:rPr>
          </w:pPr>
          <w:hyperlink w:anchor="_Toc168942739" w:history="1">
            <w:r w:rsidR="001D5B1E" w:rsidRPr="00530ED2">
              <w:rPr>
                <w:rStyle w:val="Hyperlink"/>
                <w:noProof/>
              </w:rPr>
              <w:t>Why prepare a PIA?</w:t>
            </w:r>
            <w:r w:rsidR="001D5B1E">
              <w:rPr>
                <w:noProof/>
                <w:webHidden/>
              </w:rPr>
              <w:tab/>
            </w:r>
            <w:r w:rsidR="001D5B1E">
              <w:rPr>
                <w:noProof/>
                <w:webHidden/>
              </w:rPr>
              <w:fldChar w:fldCharType="begin"/>
            </w:r>
            <w:r w:rsidR="001D5B1E">
              <w:rPr>
                <w:noProof/>
                <w:webHidden/>
              </w:rPr>
              <w:instrText xml:space="preserve"> PAGEREF _Toc168942739 \h </w:instrText>
            </w:r>
            <w:r w:rsidR="001D5B1E">
              <w:rPr>
                <w:noProof/>
                <w:webHidden/>
              </w:rPr>
            </w:r>
            <w:r w:rsidR="001D5B1E">
              <w:rPr>
                <w:noProof/>
                <w:webHidden/>
              </w:rPr>
              <w:fldChar w:fldCharType="separate"/>
            </w:r>
            <w:r w:rsidR="00C14F0B">
              <w:rPr>
                <w:noProof/>
                <w:webHidden/>
              </w:rPr>
              <w:t>21</w:t>
            </w:r>
            <w:r w:rsidR="001D5B1E">
              <w:rPr>
                <w:noProof/>
                <w:webHidden/>
              </w:rPr>
              <w:fldChar w:fldCharType="end"/>
            </w:r>
          </w:hyperlink>
        </w:p>
        <w:p w14:paraId="02E4E3DC" w14:textId="5DCB3544" w:rsidR="001D5B1E" w:rsidRDefault="0014727E">
          <w:pPr>
            <w:pStyle w:val="TOC2"/>
            <w:rPr>
              <w:rFonts w:asciiTheme="minorHAnsi" w:eastAsiaTheme="minorEastAsia" w:hAnsiTheme="minorHAnsi" w:cstheme="minorBidi"/>
              <w:noProof/>
              <w:sz w:val="22"/>
            </w:rPr>
          </w:pPr>
          <w:hyperlink w:anchor="_Toc168942740" w:history="1">
            <w:r w:rsidR="001D5B1E" w:rsidRPr="00530ED2">
              <w:rPr>
                <w:rStyle w:val="Hyperlink"/>
                <w:noProof/>
              </w:rPr>
              <w:t>Scope of this PIA</w:t>
            </w:r>
            <w:r w:rsidR="001D5B1E">
              <w:rPr>
                <w:noProof/>
                <w:webHidden/>
              </w:rPr>
              <w:tab/>
            </w:r>
            <w:r w:rsidR="001D5B1E">
              <w:rPr>
                <w:noProof/>
                <w:webHidden/>
              </w:rPr>
              <w:fldChar w:fldCharType="begin"/>
            </w:r>
            <w:r w:rsidR="001D5B1E">
              <w:rPr>
                <w:noProof/>
                <w:webHidden/>
              </w:rPr>
              <w:instrText xml:space="preserve"> PAGEREF _Toc168942740 \h </w:instrText>
            </w:r>
            <w:r w:rsidR="001D5B1E">
              <w:rPr>
                <w:noProof/>
                <w:webHidden/>
              </w:rPr>
            </w:r>
            <w:r w:rsidR="001D5B1E">
              <w:rPr>
                <w:noProof/>
                <w:webHidden/>
              </w:rPr>
              <w:fldChar w:fldCharType="separate"/>
            </w:r>
            <w:r w:rsidR="00C14F0B">
              <w:rPr>
                <w:noProof/>
                <w:webHidden/>
              </w:rPr>
              <w:t>21</w:t>
            </w:r>
            <w:r w:rsidR="001D5B1E">
              <w:rPr>
                <w:noProof/>
                <w:webHidden/>
              </w:rPr>
              <w:fldChar w:fldCharType="end"/>
            </w:r>
          </w:hyperlink>
        </w:p>
        <w:p w14:paraId="220631E9" w14:textId="157B9038" w:rsidR="001D5B1E" w:rsidRDefault="0014727E">
          <w:pPr>
            <w:pStyle w:val="TOC1"/>
            <w:rPr>
              <w:rFonts w:asciiTheme="minorHAnsi" w:eastAsiaTheme="minorEastAsia" w:hAnsiTheme="minorHAnsi" w:cstheme="minorBidi"/>
              <w:b w:val="0"/>
              <w:noProof/>
              <w:sz w:val="22"/>
            </w:rPr>
          </w:pPr>
          <w:hyperlink w:anchor="_Toc168942741" w:history="1">
            <w:r w:rsidR="001D5B1E" w:rsidRPr="00530ED2">
              <w:rPr>
                <w:rStyle w:val="Hyperlink"/>
                <w:noProof/>
              </w:rPr>
              <w:t>Part 2 – Information Flows</w:t>
            </w:r>
            <w:r w:rsidR="001D5B1E">
              <w:rPr>
                <w:noProof/>
                <w:webHidden/>
              </w:rPr>
              <w:tab/>
            </w:r>
            <w:r w:rsidR="001D5B1E">
              <w:rPr>
                <w:noProof/>
                <w:webHidden/>
              </w:rPr>
              <w:fldChar w:fldCharType="begin"/>
            </w:r>
            <w:r w:rsidR="001D5B1E">
              <w:rPr>
                <w:noProof/>
                <w:webHidden/>
              </w:rPr>
              <w:instrText xml:space="preserve"> PAGEREF _Toc168942741 \h </w:instrText>
            </w:r>
            <w:r w:rsidR="001D5B1E">
              <w:rPr>
                <w:noProof/>
                <w:webHidden/>
              </w:rPr>
            </w:r>
            <w:r w:rsidR="001D5B1E">
              <w:rPr>
                <w:noProof/>
                <w:webHidden/>
              </w:rPr>
              <w:fldChar w:fldCharType="separate"/>
            </w:r>
            <w:r w:rsidR="00C14F0B">
              <w:rPr>
                <w:noProof/>
                <w:webHidden/>
              </w:rPr>
              <w:t>23</w:t>
            </w:r>
            <w:r w:rsidR="001D5B1E">
              <w:rPr>
                <w:noProof/>
                <w:webHidden/>
              </w:rPr>
              <w:fldChar w:fldCharType="end"/>
            </w:r>
          </w:hyperlink>
        </w:p>
        <w:p w14:paraId="62B579F5" w14:textId="1DF20E2A" w:rsidR="001D5B1E" w:rsidRDefault="0014727E">
          <w:pPr>
            <w:pStyle w:val="TOC2"/>
            <w:rPr>
              <w:rFonts w:asciiTheme="minorHAnsi" w:eastAsiaTheme="minorEastAsia" w:hAnsiTheme="minorHAnsi" w:cstheme="minorBidi"/>
              <w:noProof/>
              <w:sz w:val="22"/>
            </w:rPr>
          </w:pPr>
          <w:hyperlink w:anchor="_Toc168942742" w:history="1">
            <w:r w:rsidR="001D5B1E" w:rsidRPr="00530ED2">
              <w:rPr>
                <w:rStyle w:val="Hyperlink"/>
                <w:noProof/>
              </w:rPr>
              <w:t>Activity 1 – In-scope company issues request to suspected beneficial owners</w:t>
            </w:r>
            <w:r w:rsidR="001D5B1E">
              <w:rPr>
                <w:noProof/>
                <w:webHidden/>
              </w:rPr>
              <w:tab/>
            </w:r>
            <w:r w:rsidR="001D5B1E">
              <w:rPr>
                <w:noProof/>
                <w:webHidden/>
              </w:rPr>
              <w:fldChar w:fldCharType="begin"/>
            </w:r>
            <w:r w:rsidR="001D5B1E">
              <w:rPr>
                <w:noProof/>
                <w:webHidden/>
              </w:rPr>
              <w:instrText xml:space="preserve"> PAGEREF _Toc168942742 \h </w:instrText>
            </w:r>
            <w:r w:rsidR="001D5B1E">
              <w:rPr>
                <w:noProof/>
                <w:webHidden/>
              </w:rPr>
            </w:r>
            <w:r w:rsidR="001D5B1E">
              <w:rPr>
                <w:noProof/>
                <w:webHidden/>
              </w:rPr>
              <w:fldChar w:fldCharType="separate"/>
            </w:r>
            <w:r w:rsidR="00C14F0B">
              <w:rPr>
                <w:noProof/>
                <w:webHidden/>
              </w:rPr>
              <w:t>23</w:t>
            </w:r>
            <w:r w:rsidR="001D5B1E">
              <w:rPr>
                <w:noProof/>
                <w:webHidden/>
              </w:rPr>
              <w:fldChar w:fldCharType="end"/>
            </w:r>
          </w:hyperlink>
        </w:p>
        <w:p w14:paraId="67149354" w14:textId="70874F87" w:rsidR="001D5B1E" w:rsidRDefault="0014727E">
          <w:pPr>
            <w:pStyle w:val="TOC2"/>
            <w:rPr>
              <w:rFonts w:asciiTheme="minorHAnsi" w:eastAsiaTheme="minorEastAsia" w:hAnsiTheme="minorHAnsi" w:cstheme="minorBidi"/>
              <w:noProof/>
              <w:sz w:val="22"/>
            </w:rPr>
          </w:pPr>
          <w:hyperlink w:anchor="_Toc168942743" w:history="1">
            <w:r w:rsidR="001D5B1E" w:rsidRPr="00530ED2">
              <w:rPr>
                <w:rStyle w:val="Hyperlink"/>
                <w:noProof/>
              </w:rPr>
              <w:t>Activity 2A – Collection by in-scope companies of BOI from beneficial owners</w:t>
            </w:r>
            <w:r w:rsidR="001D5B1E">
              <w:rPr>
                <w:noProof/>
                <w:webHidden/>
              </w:rPr>
              <w:tab/>
            </w:r>
            <w:r w:rsidR="001D5B1E">
              <w:rPr>
                <w:noProof/>
                <w:webHidden/>
              </w:rPr>
              <w:fldChar w:fldCharType="begin"/>
            </w:r>
            <w:r w:rsidR="001D5B1E">
              <w:rPr>
                <w:noProof/>
                <w:webHidden/>
              </w:rPr>
              <w:instrText xml:space="preserve"> PAGEREF _Toc168942743 \h </w:instrText>
            </w:r>
            <w:r w:rsidR="001D5B1E">
              <w:rPr>
                <w:noProof/>
                <w:webHidden/>
              </w:rPr>
            </w:r>
            <w:r w:rsidR="001D5B1E">
              <w:rPr>
                <w:noProof/>
                <w:webHidden/>
              </w:rPr>
              <w:fldChar w:fldCharType="separate"/>
            </w:r>
            <w:r w:rsidR="00C14F0B">
              <w:rPr>
                <w:noProof/>
                <w:webHidden/>
              </w:rPr>
              <w:t>24</w:t>
            </w:r>
            <w:r w:rsidR="001D5B1E">
              <w:rPr>
                <w:noProof/>
                <w:webHidden/>
              </w:rPr>
              <w:fldChar w:fldCharType="end"/>
            </w:r>
          </w:hyperlink>
        </w:p>
        <w:p w14:paraId="1B64E9DD" w14:textId="1604B26E" w:rsidR="001D5B1E" w:rsidRDefault="0014727E">
          <w:pPr>
            <w:pStyle w:val="TOC2"/>
            <w:rPr>
              <w:rFonts w:asciiTheme="minorHAnsi" w:eastAsiaTheme="minorEastAsia" w:hAnsiTheme="minorHAnsi" w:cstheme="minorBidi"/>
              <w:noProof/>
              <w:sz w:val="22"/>
            </w:rPr>
          </w:pPr>
          <w:hyperlink w:anchor="_Toc168942744" w:history="1">
            <w:r w:rsidR="001D5B1E" w:rsidRPr="00530ED2">
              <w:rPr>
                <w:rStyle w:val="Hyperlink"/>
                <w:noProof/>
              </w:rPr>
              <w:t>Activity 2B – Collection by in-scope companies of BOI when the beneficial owner is a trustee of a trust</w:t>
            </w:r>
            <w:r w:rsidR="001D5B1E">
              <w:rPr>
                <w:noProof/>
                <w:webHidden/>
              </w:rPr>
              <w:tab/>
            </w:r>
            <w:r w:rsidR="001D5B1E">
              <w:rPr>
                <w:noProof/>
                <w:webHidden/>
              </w:rPr>
              <w:fldChar w:fldCharType="begin"/>
            </w:r>
            <w:r w:rsidR="001D5B1E">
              <w:rPr>
                <w:noProof/>
                <w:webHidden/>
              </w:rPr>
              <w:instrText xml:space="preserve"> PAGEREF _Toc168942744 \h </w:instrText>
            </w:r>
            <w:r w:rsidR="001D5B1E">
              <w:rPr>
                <w:noProof/>
                <w:webHidden/>
              </w:rPr>
            </w:r>
            <w:r w:rsidR="001D5B1E">
              <w:rPr>
                <w:noProof/>
                <w:webHidden/>
              </w:rPr>
              <w:fldChar w:fldCharType="separate"/>
            </w:r>
            <w:r w:rsidR="00C14F0B">
              <w:rPr>
                <w:noProof/>
                <w:webHidden/>
              </w:rPr>
              <w:t>25</w:t>
            </w:r>
            <w:r w:rsidR="001D5B1E">
              <w:rPr>
                <w:noProof/>
                <w:webHidden/>
              </w:rPr>
              <w:fldChar w:fldCharType="end"/>
            </w:r>
          </w:hyperlink>
        </w:p>
        <w:p w14:paraId="096C8FCA" w14:textId="58DF8E74" w:rsidR="001D5B1E" w:rsidRDefault="0014727E">
          <w:pPr>
            <w:pStyle w:val="TOC2"/>
            <w:rPr>
              <w:rFonts w:asciiTheme="minorHAnsi" w:eastAsiaTheme="minorEastAsia" w:hAnsiTheme="minorHAnsi" w:cstheme="minorBidi"/>
              <w:noProof/>
              <w:sz w:val="22"/>
            </w:rPr>
          </w:pPr>
          <w:hyperlink w:anchor="_Toc168942745" w:history="1">
            <w:r w:rsidR="001D5B1E" w:rsidRPr="00530ED2">
              <w:rPr>
                <w:rStyle w:val="Hyperlink"/>
                <w:noProof/>
              </w:rPr>
              <w:t>Activity 2C – Collection by in-scope companies of BOI when the entity has different requirements</w:t>
            </w:r>
            <w:r w:rsidR="001D5B1E">
              <w:rPr>
                <w:noProof/>
                <w:webHidden/>
              </w:rPr>
              <w:tab/>
            </w:r>
            <w:r w:rsidR="001D5B1E">
              <w:rPr>
                <w:noProof/>
                <w:webHidden/>
              </w:rPr>
              <w:fldChar w:fldCharType="begin"/>
            </w:r>
            <w:r w:rsidR="001D5B1E">
              <w:rPr>
                <w:noProof/>
                <w:webHidden/>
              </w:rPr>
              <w:instrText xml:space="preserve"> PAGEREF _Toc168942745 \h </w:instrText>
            </w:r>
            <w:r w:rsidR="001D5B1E">
              <w:rPr>
                <w:noProof/>
                <w:webHidden/>
              </w:rPr>
            </w:r>
            <w:r w:rsidR="001D5B1E">
              <w:rPr>
                <w:noProof/>
                <w:webHidden/>
              </w:rPr>
              <w:fldChar w:fldCharType="separate"/>
            </w:r>
            <w:r w:rsidR="00C14F0B">
              <w:rPr>
                <w:noProof/>
                <w:webHidden/>
              </w:rPr>
              <w:t>26</w:t>
            </w:r>
            <w:r w:rsidR="001D5B1E">
              <w:rPr>
                <w:noProof/>
                <w:webHidden/>
              </w:rPr>
              <w:fldChar w:fldCharType="end"/>
            </w:r>
          </w:hyperlink>
        </w:p>
        <w:p w14:paraId="24D4FD52" w14:textId="38A82C35" w:rsidR="001D5B1E" w:rsidRDefault="0014727E">
          <w:pPr>
            <w:pStyle w:val="TOC2"/>
            <w:rPr>
              <w:rFonts w:asciiTheme="minorHAnsi" w:eastAsiaTheme="minorEastAsia" w:hAnsiTheme="minorHAnsi" w:cstheme="minorBidi"/>
              <w:noProof/>
              <w:sz w:val="22"/>
            </w:rPr>
          </w:pPr>
          <w:hyperlink w:anchor="_Toc168942746" w:history="1">
            <w:r w:rsidR="001D5B1E" w:rsidRPr="00530ED2">
              <w:rPr>
                <w:rStyle w:val="Hyperlink"/>
                <w:noProof/>
              </w:rPr>
              <w:t>Activity 3 – In-scope company verifies identity of natural person beneficial owner</w:t>
            </w:r>
            <w:r w:rsidR="001D5B1E">
              <w:rPr>
                <w:noProof/>
                <w:webHidden/>
              </w:rPr>
              <w:tab/>
            </w:r>
            <w:r w:rsidR="001D5B1E">
              <w:rPr>
                <w:noProof/>
                <w:webHidden/>
              </w:rPr>
              <w:fldChar w:fldCharType="begin"/>
            </w:r>
            <w:r w:rsidR="001D5B1E">
              <w:rPr>
                <w:noProof/>
                <w:webHidden/>
              </w:rPr>
              <w:instrText xml:space="preserve"> PAGEREF _Toc168942746 \h </w:instrText>
            </w:r>
            <w:r w:rsidR="001D5B1E">
              <w:rPr>
                <w:noProof/>
                <w:webHidden/>
              </w:rPr>
            </w:r>
            <w:r w:rsidR="001D5B1E">
              <w:rPr>
                <w:noProof/>
                <w:webHidden/>
              </w:rPr>
              <w:fldChar w:fldCharType="separate"/>
            </w:r>
            <w:r w:rsidR="00C14F0B">
              <w:rPr>
                <w:noProof/>
                <w:webHidden/>
              </w:rPr>
              <w:t>28</w:t>
            </w:r>
            <w:r w:rsidR="001D5B1E">
              <w:rPr>
                <w:noProof/>
                <w:webHidden/>
              </w:rPr>
              <w:fldChar w:fldCharType="end"/>
            </w:r>
          </w:hyperlink>
        </w:p>
        <w:p w14:paraId="1A06EA77" w14:textId="0038560B" w:rsidR="001D5B1E" w:rsidRDefault="0014727E">
          <w:pPr>
            <w:pStyle w:val="TOC2"/>
            <w:rPr>
              <w:rFonts w:asciiTheme="minorHAnsi" w:eastAsiaTheme="minorEastAsia" w:hAnsiTheme="minorHAnsi" w:cstheme="minorBidi"/>
              <w:noProof/>
              <w:sz w:val="22"/>
            </w:rPr>
          </w:pPr>
          <w:hyperlink w:anchor="_Toc168942747" w:history="1">
            <w:r w:rsidR="001D5B1E" w:rsidRPr="00530ED2">
              <w:rPr>
                <w:rStyle w:val="Hyperlink"/>
                <w:noProof/>
              </w:rPr>
              <w:t>Activity 4 – Applications to suppress personal information</w:t>
            </w:r>
            <w:r w:rsidR="001D5B1E">
              <w:rPr>
                <w:noProof/>
                <w:webHidden/>
              </w:rPr>
              <w:tab/>
            </w:r>
            <w:r w:rsidR="001D5B1E">
              <w:rPr>
                <w:noProof/>
                <w:webHidden/>
              </w:rPr>
              <w:fldChar w:fldCharType="begin"/>
            </w:r>
            <w:r w:rsidR="001D5B1E">
              <w:rPr>
                <w:noProof/>
                <w:webHidden/>
              </w:rPr>
              <w:instrText xml:space="preserve"> PAGEREF _Toc168942747 \h </w:instrText>
            </w:r>
            <w:r w:rsidR="001D5B1E">
              <w:rPr>
                <w:noProof/>
                <w:webHidden/>
              </w:rPr>
            </w:r>
            <w:r w:rsidR="001D5B1E">
              <w:rPr>
                <w:noProof/>
                <w:webHidden/>
              </w:rPr>
              <w:fldChar w:fldCharType="separate"/>
            </w:r>
            <w:r w:rsidR="00C14F0B">
              <w:rPr>
                <w:noProof/>
                <w:webHidden/>
              </w:rPr>
              <w:t>29</w:t>
            </w:r>
            <w:r w:rsidR="001D5B1E">
              <w:rPr>
                <w:noProof/>
                <w:webHidden/>
              </w:rPr>
              <w:fldChar w:fldCharType="end"/>
            </w:r>
          </w:hyperlink>
        </w:p>
        <w:p w14:paraId="165D8923" w14:textId="7B8A4E0E" w:rsidR="001D5B1E" w:rsidRDefault="0014727E">
          <w:pPr>
            <w:pStyle w:val="TOC2"/>
            <w:rPr>
              <w:rFonts w:asciiTheme="minorHAnsi" w:eastAsiaTheme="minorEastAsia" w:hAnsiTheme="minorHAnsi" w:cstheme="minorBidi"/>
              <w:noProof/>
              <w:sz w:val="22"/>
            </w:rPr>
          </w:pPr>
          <w:hyperlink w:anchor="_Toc168942748" w:history="1">
            <w:r w:rsidR="001D5B1E" w:rsidRPr="00530ED2">
              <w:rPr>
                <w:rStyle w:val="Hyperlink"/>
                <w:noProof/>
              </w:rPr>
              <w:t>Activity 5 – Creation and maintenance of the BOR</w:t>
            </w:r>
            <w:r w:rsidR="001D5B1E">
              <w:rPr>
                <w:noProof/>
                <w:webHidden/>
              </w:rPr>
              <w:tab/>
            </w:r>
            <w:r w:rsidR="001D5B1E">
              <w:rPr>
                <w:noProof/>
                <w:webHidden/>
              </w:rPr>
              <w:fldChar w:fldCharType="begin"/>
            </w:r>
            <w:r w:rsidR="001D5B1E">
              <w:rPr>
                <w:noProof/>
                <w:webHidden/>
              </w:rPr>
              <w:instrText xml:space="preserve"> PAGEREF _Toc168942748 \h </w:instrText>
            </w:r>
            <w:r w:rsidR="001D5B1E">
              <w:rPr>
                <w:noProof/>
                <w:webHidden/>
              </w:rPr>
            </w:r>
            <w:r w:rsidR="001D5B1E">
              <w:rPr>
                <w:noProof/>
                <w:webHidden/>
              </w:rPr>
              <w:fldChar w:fldCharType="separate"/>
            </w:r>
            <w:r w:rsidR="00C14F0B">
              <w:rPr>
                <w:noProof/>
                <w:webHidden/>
              </w:rPr>
              <w:t>31</w:t>
            </w:r>
            <w:r w:rsidR="001D5B1E">
              <w:rPr>
                <w:noProof/>
                <w:webHidden/>
              </w:rPr>
              <w:fldChar w:fldCharType="end"/>
            </w:r>
          </w:hyperlink>
        </w:p>
        <w:p w14:paraId="1D62B625" w14:textId="776622FF" w:rsidR="001D5B1E" w:rsidRDefault="0014727E">
          <w:pPr>
            <w:pStyle w:val="TOC2"/>
            <w:rPr>
              <w:rFonts w:asciiTheme="minorHAnsi" w:eastAsiaTheme="minorEastAsia" w:hAnsiTheme="minorHAnsi" w:cstheme="minorBidi"/>
              <w:noProof/>
              <w:sz w:val="22"/>
            </w:rPr>
          </w:pPr>
          <w:hyperlink w:anchor="_Toc168942749" w:history="1">
            <w:r w:rsidR="001D5B1E" w:rsidRPr="00530ED2">
              <w:rPr>
                <w:rStyle w:val="Hyperlink"/>
                <w:noProof/>
              </w:rPr>
              <w:t>Activity 6 – Update beneficial ownership information</w:t>
            </w:r>
            <w:r w:rsidR="001D5B1E">
              <w:rPr>
                <w:noProof/>
                <w:webHidden/>
              </w:rPr>
              <w:tab/>
            </w:r>
            <w:r w:rsidR="001D5B1E">
              <w:rPr>
                <w:noProof/>
                <w:webHidden/>
              </w:rPr>
              <w:fldChar w:fldCharType="begin"/>
            </w:r>
            <w:r w:rsidR="001D5B1E">
              <w:rPr>
                <w:noProof/>
                <w:webHidden/>
              </w:rPr>
              <w:instrText xml:space="preserve"> PAGEREF _Toc168942749 \h </w:instrText>
            </w:r>
            <w:r w:rsidR="001D5B1E">
              <w:rPr>
                <w:noProof/>
                <w:webHidden/>
              </w:rPr>
            </w:r>
            <w:r w:rsidR="001D5B1E">
              <w:rPr>
                <w:noProof/>
                <w:webHidden/>
              </w:rPr>
              <w:fldChar w:fldCharType="separate"/>
            </w:r>
            <w:r w:rsidR="00C14F0B">
              <w:rPr>
                <w:noProof/>
                <w:webHidden/>
              </w:rPr>
              <w:t>32</w:t>
            </w:r>
            <w:r w:rsidR="001D5B1E">
              <w:rPr>
                <w:noProof/>
                <w:webHidden/>
              </w:rPr>
              <w:fldChar w:fldCharType="end"/>
            </w:r>
          </w:hyperlink>
        </w:p>
        <w:p w14:paraId="6EF26648" w14:textId="18EB92E4" w:rsidR="001D5B1E" w:rsidRDefault="0014727E">
          <w:pPr>
            <w:pStyle w:val="TOC2"/>
            <w:rPr>
              <w:rFonts w:asciiTheme="minorHAnsi" w:eastAsiaTheme="minorEastAsia" w:hAnsiTheme="minorHAnsi" w:cstheme="minorBidi"/>
              <w:noProof/>
              <w:sz w:val="22"/>
            </w:rPr>
          </w:pPr>
          <w:hyperlink w:anchor="_Toc168942750" w:history="1">
            <w:r w:rsidR="001D5B1E" w:rsidRPr="00530ED2">
              <w:rPr>
                <w:rStyle w:val="Hyperlink"/>
                <w:noProof/>
              </w:rPr>
              <w:t>Activity 7 – Consideration and fulfilment of BOI access requests</w:t>
            </w:r>
            <w:r w:rsidR="001D5B1E">
              <w:rPr>
                <w:noProof/>
                <w:webHidden/>
              </w:rPr>
              <w:tab/>
            </w:r>
            <w:r w:rsidR="001D5B1E">
              <w:rPr>
                <w:noProof/>
                <w:webHidden/>
              </w:rPr>
              <w:fldChar w:fldCharType="begin"/>
            </w:r>
            <w:r w:rsidR="001D5B1E">
              <w:rPr>
                <w:noProof/>
                <w:webHidden/>
              </w:rPr>
              <w:instrText xml:space="preserve"> PAGEREF _Toc168942750 \h </w:instrText>
            </w:r>
            <w:r w:rsidR="001D5B1E">
              <w:rPr>
                <w:noProof/>
                <w:webHidden/>
              </w:rPr>
            </w:r>
            <w:r w:rsidR="001D5B1E">
              <w:rPr>
                <w:noProof/>
                <w:webHidden/>
              </w:rPr>
              <w:fldChar w:fldCharType="separate"/>
            </w:r>
            <w:r w:rsidR="00C14F0B">
              <w:rPr>
                <w:noProof/>
                <w:webHidden/>
              </w:rPr>
              <w:t>32</w:t>
            </w:r>
            <w:r w:rsidR="001D5B1E">
              <w:rPr>
                <w:noProof/>
                <w:webHidden/>
              </w:rPr>
              <w:fldChar w:fldCharType="end"/>
            </w:r>
          </w:hyperlink>
        </w:p>
        <w:p w14:paraId="644AC4E0" w14:textId="5A4E6472" w:rsidR="001D5B1E" w:rsidRDefault="0014727E">
          <w:pPr>
            <w:pStyle w:val="TOC2"/>
            <w:rPr>
              <w:rFonts w:asciiTheme="minorHAnsi" w:eastAsiaTheme="minorEastAsia" w:hAnsiTheme="minorHAnsi" w:cstheme="minorBidi"/>
              <w:noProof/>
              <w:sz w:val="22"/>
            </w:rPr>
          </w:pPr>
          <w:hyperlink w:anchor="_Toc168942751" w:history="1">
            <w:r w:rsidR="001D5B1E" w:rsidRPr="00530ED2">
              <w:rPr>
                <w:rStyle w:val="Hyperlink"/>
                <w:noProof/>
              </w:rPr>
              <w:t>Activity 8 – Enforcement activities by ASIC</w:t>
            </w:r>
            <w:r w:rsidR="001D5B1E">
              <w:rPr>
                <w:noProof/>
                <w:webHidden/>
              </w:rPr>
              <w:tab/>
            </w:r>
            <w:r w:rsidR="001D5B1E">
              <w:rPr>
                <w:noProof/>
                <w:webHidden/>
              </w:rPr>
              <w:fldChar w:fldCharType="begin"/>
            </w:r>
            <w:r w:rsidR="001D5B1E">
              <w:rPr>
                <w:noProof/>
                <w:webHidden/>
              </w:rPr>
              <w:instrText xml:space="preserve"> PAGEREF _Toc168942751 \h </w:instrText>
            </w:r>
            <w:r w:rsidR="001D5B1E">
              <w:rPr>
                <w:noProof/>
                <w:webHidden/>
              </w:rPr>
            </w:r>
            <w:r w:rsidR="001D5B1E">
              <w:rPr>
                <w:noProof/>
                <w:webHidden/>
              </w:rPr>
              <w:fldChar w:fldCharType="separate"/>
            </w:r>
            <w:r w:rsidR="00C14F0B">
              <w:rPr>
                <w:noProof/>
                <w:webHidden/>
              </w:rPr>
              <w:t>34</w:t>
            </w:r>
            <w:r w:rsidR="001D5B1E">
              <w:rPr>
                <w:noProof/>
                <w:webHidden/>
              </w:rPr>
              <w:fldChar w:fldCharType="end"/>
            </w:r>
          </w:hyperlink>
        </w:p>
        <w:p w14:paraId="236FB4CC" w14:textId="4BF02DD8" w:rsidR="001D5B1E" w:rsidRDefault="0014727E">
          <w:pPr>
            <w:pStyle w:val="TOC2"/>
            <w:rPr>
              <w:rFonts w:asciiTheme="minorHAnsi" w:eastAsiaTheme="minorEastAsia" w:hAnsiTheme="minorHAnsi" w:cstheme="minorBidi"/>
              <w:noProof/>
              <w:sz w:val="22"/>
            </w:rPr>
          </w:pPr>
          <w:hyperlink w:anchor="_Toc168942752" w:history="1">
            <w:r w:rsidR="001D5B1E" w:rsidRPr="00530ED2">
              <w:rPr>
                <w:rStyle w:val="Hyperlink"/>
                <w:noProof/>
              </w:rPr>
              <w:t>Activity 9 – Transition to Public Commonwealth Beneficial Ownership Register</w:t>
            </w:r>
            <w:r w:rsidR="001D5B1E">
              <w:rPr>
                <w:noProof/>
                <w:webHidden/>
              </w:rPr>
              <w:tab/>
            </w:r>
            <w:r w:rsidR="001D5B1E">
              <w:rPr>
                <w:noProof/>
                <w:webHidden/>
              </w:rPr>
              <w:fldChar w:fldCharType="begin"/>
            </w:r>
            <w:r w:rsidR="001D5B1E">
              <w:rPr>
                <w:noProof/>
                <w:webHidden/>
              </w:rPr>
              <w:instrText xml:space="preserve"> PAGEREF _Toc168942752 \h </w:instrText>
            </w:r>
            <w:r w:rsidR="001D5B1E">
              <w:rPr>
                <w:noProof/>
                <w:webHidden/>
              </w:rPr>
            </w:r>
            <w:r w:rsidR="001D5B1E">
              <w:rPr>
                <w:noProof/>
                <w:webHidden/>
              </w:rPr>
              <w:fldChar w:fldCharType="separate"/>
            </w:r>
            <w:r w:rsidR="00C14F0B">
              <w:rPr>
                <w:noProof/>
                <w:webHidden/>
              </w:rPr>
              <w:t>35</w:t>
            </w:r>
            <w:r w:rsidR="001D5B1E">
              <w:rPr>
                <w:noProof/>
                <w:webHidden/>
              </w:rPr>
              <w:fldChar w:fldCharType="end"/>
            </w:r>
          </w:hyperlink>
        </w:p>
        <w:p w14:paraId="0F77AD69" w14:textId="32D38A32" w:rsidR="001D5B1E" w:rsidRDefault="0014727E">
          <w:pPr>
            <w:pStyle w:val="TOC1"/>
            <w:rPr>
              <w:rFonts w:asciiTheme="minorHAnsi" w:eastAsiaTheme="minorEastAsia" w:hAnsiTheme="minorHAnsi" w:cstheme="minorBidi"/>
              <w:b w:val="0"/>
              <w:noProof/>
              <w:sz w:val="22"/>
            </w:rPr>
          </w:pPr>
          <w:hyperlink w:anchor="_Toc168942753" w:history="1">
            <w:r w:rsidR="001D5B1E" w:rsidRPr="00530ED2">
              <w:rPr>
                <w:rStyle w:val="Hyperlink"/>
                <w:noProof/>
              </w:rPr>
              <w:t>Part 3 – Privacy analysis</w:t>
            </w:r>
            <w:r w:rsidR="001D5B1E">
              <w:rPr>
                <w:noProof/>
                <w:webHidden/>
              </w:rPr>
              <w:tab/>
            </w:r>
            <w:r w:rsidR="001D5B1E">
              <w:rPr>
                <w:noProof/>
                <w:webHidden/>
              </w:rPr>
              <w:fldChar w:fldCharType="begin"/>
            </w:r>
            <w:r w:rsidR="001D5B1E">
              <w:rPr>
                <w:noProof/>
                <w:webHidden/>
              </w:rPr>
              <w:instrText xml:space="preserve"> PAGEREF _Toc168942753 \h </w:instrText>
            </w:r>
            <w:r w:rsidR="001D5B1E">
              <w:rPr>
                <w:noProof/>
                <w:webHidden/>
              </w:rPr>
            </w:r>
            <w:r w:rsidR="001D5B1E">
              <w:rPr>
                <w:noProof/>
                <w:webHidden/>
              </w:rPr>
              <w:fldChar w:fldCharType="separate"/>
            </w:r>
            <w:r w:rsidR="00C14F0B">
              <w:rPr>
                <w:noProof/>
                <w:webHidden/>
              </w:rPr>
              <w:t>37</w:t>
            </w:r>
            <w:r w:rsidR="001D5B1E">
              <w:rPr>
                <w:noProof/>
                <w:webHidden/>
              </w:rPr>
              <w:fldChar w:fldCharType="end"/>
            </w:r>
          </w:hyperlink>
        </w:p>
        <w:p w14:paraId="7D444A91" w14:textId="7D5B597F" w:rsidR="001D5B1E" w:rsidRDefault="0014727E">
          <w:pPr>
            <w:pStyle w:val="TOC2"/>
            <w:rPr>
              <w:rFonts w:asciiTheme="minorHAnsi" w:eastAsiaTheme="minorEastAsia" w:hAnsiTheme="minorHAnsi" w:cstheme="minorBidi"/>
              <w:noProof/>
              <w:sz w:val="22"/>
            </w:rPr>
          </w:pPr>
          <w:hyperlink w:anchor="_Toc168942754" w:history="1">
            <w:r w:rsidR="001D5B1E" w:rsidRPr="00530ED2">
              <w:rPr>
                <w:rStyle w:val="Hyperlink"/>
                <w:noProof/>
              </w:rPr>
              <w:t>Obligations under the International Covenant on Civil and Political Rights</w:t>
            </w:r>
            <w:r w:rsidR="001D5B1E">
              <w:rPr>
                <w:noProof/>
                <w:webHidden/>
              </w:rPr>
              <w:tab/>
            </w:r>
            <w:r w:rsidR="001D5B1E">
              <w:rPr>
                <w:noProof/>
                <w:webHidden/>
              </w:rPr>
              <w:fldChar w:fldCharType="begin"/>
            </w:r>
            <w:r w:rsidR="001D5B1E">
              <w:rPr>
                <w:noProof/>
                <w:webHidden/>
              </w:rPr>
              <w:instrText xml:space="preserve"> PAGEREF _Toc168942754 \h </w:instrText>
            </w:r>
            <w:r w:rsidR="001D5B1E">
              <w:rPr>
                <w:noProof/>
                <w:webHidden/>
              </w:rPr>
            </w:r>
            <w:r w:rsidR="001D5B1E">
              <w:rPr>
                <w:noProof/>
                <w:webHidden/>
              </w:rPr>
              <w:fldChar w:fldCharType="separate"/>
            </w:r>
            <w:r w:rsidR="00C14F0B">
              <w:rPr>
                <w:noProof/>
                <w:webHidden/>
              </w:rPr>
              <w:t>37</w:t>
            </w:r>
            <w:r w:rsidR="001D5B1E">
              <w:rPr>
                <w:noProof/>
                <w:webHidden/>
              </w:rPr>
              <w:fldChar w:fldCharType="end"/>
            </w:r>
          </w:hyperlink>
        </w:p>
        <w:p w14:paraId="3FED8A12" w14:textId="77FC4B26" w:rsidR="001D5B1E" w:rsidRDefault="0014727E">
          <w:pPr>
            <w:pStyle w:val="TOC2"/>
            <w:rPr>
              <w:rFonts w:asciiTheme="minorHAnsi" w:eastAsiaTheme="minorEastAsia" w:hAnsiTheme="minorHAnsi" w:cstheme="minorBidi"/>
              <w:noProof/>
              <w:sz w:val="22"/>
            </w:rPr>
          </w:pPr>
          <w:hyperlink w:anchor="_Toc168942755" w:history="1">
            <w:r w:rsidR="001D5B1E" w:rsidRPr="00530ED2">
              <w:rPr>
                <w:rStyle w:val="Hyperlink"/>
                <w:noProof/>
              </w:rPr>
              <w:t>Privacy – a balancing exercise</w:t>
            </w:r>
            <w:r w:rsidR="001D5B1E">
              <w:rPr>
                <w:noProof/>
                <w:webHidden/>
              </w:rPr>
              <w:tab/>
            </w:r>
            <w:r w:rsidR="001D5B1E">
              <w:rPr>
                <w:noProof/>
                <w:webHidden/>
              </w:rPr>
              <w:fldChar w:fldCharType="begin"/>
            </w:r>
            <w:r w:rsidR="001D5B1E">
              <w:rPr>
                <w:noProof/>
                <w:webHidden/>
              </w:rPr>
              <w:instrText xml:space="preserve"> PAGEREF _Toc168942755 \h </w:instrText>
            </w:r>
            <w:r w:rsidR="001D5B1E">
              <w:rPr>
                <w:noProof/>
                <w:webHidden/>
              </w:rPr>
            </w:r>
            <w:r w:rsidR="001D5B1E">
              <w:rPr>
                <w:noProof/>
                <w:webHidden/>
              </w:rPr>
              <w:fldChar w:fldCharType="separate"/>
            </w:r>
            <w:r w:rsidR="00C14F0B">
              <w:rPr>
                <w:noProof/>
                <w:webHidden/>
              </w:rPr>
              <w:t>37</w:t>
            </w:r>
            <w:r w:rsidR="001D5B1E">
              <w:rPr>
                <w:noProof/>
                <w:webHidden/>
              </w:rPr>
              <w:fldChar w:fldCharType="end"/>
            </w:r>
          </w:hyperlink>
        </w:p>
        <w:p w14:paraId="16D6B5E0" w14:textId="21417383" w:rsidR="001D5B1E" w:rsidRDefault="0014727E">
          <w:pPr>
            <w:pStyle w:val="TOC2"/>
            <w:rPr>
              <w:rFonts w:asciiTheme="minorHAnsi" w:eastAsiaTheme="minorEastAsia" w:hAnsiTheme="minorHAnsi" w:cstheme="minorBidi"/>
              <w:noProof/>
              <w:sz w:val="22"/>
            </w:rPr>
          </w:pPr>
          <w:hyperlink w:anchor="_Toc168942756" w:history="1">
            <w:r w:rsidR="001D5B1E" w:rsidRPr="00530ED2">
              <w:rPr>
                <w:rStyle w:val="Hyperlink"/>
                <w:noProof/>
              </w:rPr>
              <w:t>APP 1 – Open and transparent handling of personal information</w:t>
            </w:r>
            <w:r w:rsidR="001D5B1E">
              <w:rPr>
                <w:noProof/>
                <w:webHidden/>
              </w:rPr>
              <w:tab/>
            </w:r>
            <w:r w:rsidR="001D5B1E">
              <w:rPr>
                <w:noProof/>
                <w:webHidden/>
              </w:rPr>
              <w:fldChar w:fldCharType="begin"/>
            </w:r>
            <w:r w:rsidR="001D5B1E">
              <w:rPr>
                <w:noProof/>
                <w:webHidden/>
              </w:rPr>
              <w:instrText xml:space="preserve"> PAGEREF _Toc168942756 \h </w:instrText>
            </w:r>
            <w:r w:rsidR="001D5B1E">
              <w:rPr>
                <w:noProof/>
                <w:webHidden/>
              </w:rPr>
            </w:r>
            <w:r w:rsidR="001D5B1E">
              <w:rPr>
                <w:noProof/>
                <w:webHidden/>
              </w:rPr>
              <w:fldChar w:fldCharType="separate"/>
            </w:r>
            <w:r w:rsidR="00C14F0B">
              <w:rPr>
                <w:noProof/>
                <w:webHidden/>
              </w:rPr>
              <w:t>53</w:t>
            </w:r>
            <w:r w:rsidR="001D5B1E">
              <w:rPr>
                <w:noProof/>
                <w:webHidden/>
              </w:rPr>
              <w:fldChar w:fldCharType="end"/>
            </w:r>
          </w:hyperlink>
        </w:p>
        <w:p w14:paraId="460C03FA" w14:textId="00D885C5" w:rsidR="001D5B1E" w:rsidRDefault="0014727E">
          <w:pPr>
            <w:pStyle w:val="TOC2"/>
            <w:rPr>
              <w:rFonts w:asciiTheme="minorHAnsi" w:eastAsiaTheme="minorEastAsia" w:hAnsiTheme="minorHAnsi" w:cstheme="minorBidi"/>
              <w:noProof/>
              <w:sz w:val="22"/>
            </w:rPr>
          </w:pPr>
          <w:hyperlink w:anchor="_Toc168942757" w:history="1">
            <w:r w:rsidR="001D5B1E" w:rsidRPr="00530ED2">
              <w:rPr>
                <w:rStyle w:val="Hyperlink"/>
                <w:noProof/>
              </w:rPr>
              <w:t>APP 2 – Anonymity and pseudonymity</w:t>
            </w:r>
            <w:r w:rsidR="001D5B1E">
              <w:rPr>
                <w:noProof/>
                <w:webHidden/>
              </w:rPr>
              <w:tab/>
            </w:r>
            <w:r w:rsidR="001D5B1E">
              <w:rPr>
                <w:noProof/>
                <w:webHidden/>
              </w:rPr>
              <w:fldChar w:fldCharType="begin"/>
            </w:r>
            <w:r w:rsidR="001D5B1E">
              <w:rPr>
                <w:noProof/>
                <w:webHidden/>
              </w:rPr>
              <w:instrText xml:space="preserve"> PAGEREF _Toc168942757 \h </w:instrText>
            </w:r>
            <w:r w:rsidR="001D5B1E">
              <w:rPr>
                <w:noProof/>
                <w:webHidden/>
              </w:rPr>
            </w:r>
            <w:r w:rsidR="001D5B1E">
              <w:rPr>
                <w:noProof/>
                <w:webHidden/>
              </w:rPr>
              <w:fldChar w:fldCharType="separate"/>
            </w:r>
            <w:r w:rsidR="00C14F0B">
              <w:rPr>
                <w:noProof/>
                <w:webHidden/>
              </w:rPr>
              <w:t>55</w:t>
            </w:r>
            <w:r w:rsidR="001D5B1E">
              <w:rPr>
                <w:noProof/>
                <w:webHidden/>
              </w:rPr>
              <w:fldChar w:fldCharType="end"/>
            </w:r>
          </w:hyperlink>
        </w:p>
        <w:p w14:paraId="56017119" w14:textId="7D267880" w:rsidR="001D5B1E" w:rsidRDefault="0014727E">
          <w:pPr>
            <w:pStyle w:val="TOC2"/>
            <w:rPr>
              <w:rFonts w:asciiTheme="minorHAnsi" w:eastAsiaTheme="minorEastAsia" w:hAnsiTheme="minorHAnsi" w:cstheme="minorBidi"/>
              <w:noProof/>
              <w:sz w:val="22"/>
            </w:rPr>
          </w:pPr>
          <w:hyperlink w:anchor="_Toc168942758" w:history="1">
            <w:r w:rsidR="001D5B1E" w:rsidRPr="00530ED2">
              <w:rPr>
                <w:rStyle w:val="Hyperlink"/>
                <w:noProof/>
              </w:rPr>
              <w:t>APP 3 – Collection of personal information</w:t>
            </w:r>
            <w:r w:rsidR="001D5B1E">
              <w:rPr>
                <w:noProof/>
                <w:webHidden/>
              </w:rPr>
              <w:tab/>
            </w:r>
            <w:r w:rsidR="001D5B1E">
              <w:rPr>
                <w:noProof/>
                <w:webHidden/>
              </w:rPr>
              <w:fldChar w:fldCharType="begin"/>
            </w:r>
            <w:r w:rsidR="001D5B1E">
              <w:rPr>
                <w:noProof/>
                <w:webHidden/>
              </w:rPr>
              <w:instrText xml:space="preserve"> PAGEREF _Toc168942758 \h </w:instrText>
            </w:r>
            <w:r w:rsidR="001D5B1E">
              <w:rPr>
                <w:noProof/>
                <w:webHidden/>
              </w:rPr>
            </w:r>
            <w:r w:rsidR="001D5B1E">
              <w:rPr>
                <w:noProof/>
                <w:webHidden/>
              </w:rPr>
              <w:fldChar w:fldCharType="separate"/>
            </w:r>
            <w:r w:rsidR="00C14F0B">
              <w:rPr>
                <w:noProof/>
                <w:webHidden/>
              </w:rPr>
              <w:t>57</w:t>
            </w:r>
            <w:r w:rsidR="001D5B1E">
              <w:rPr>
                <w:noProof/>
                <w:webHidden/>
              </w:rPr>
              <w:fldChar w:fldCharType="end"/>
            </w:r>
          </w:hyperlink>
        </w:p>
        <w:p w14:paraId="105CBFC6" w14:textId="705193D3" w:rsidR="001D5B1E" w:rsidRDefault="0014727E">
          <w:pPr>
            <w:pStyle w:val="TOC2"/>
            <w:rPr>
              <w:rFonts w:asciiTheme="minorHAnsi" w:eastAsiaTheme="minorEastAsia" w:hAnsiTheme="minorHAnsi" w:cstheme="minorBidi"/>
              <w:noProof/>
              <w:sz w:val="22"/>
            </w:rPr>
          </w:pPr>
          <w:hyperlink w:anchor="_Toc168942759" w:history="1">
            <w:r w:rsidR="001D5B1E" w:rsidRPr="00530ED2">
              <w:rPr>
                <w:rStyle w:val="Hyperlink"/>
                <w:noProof/>
              </w:rPr>
              <w:t>APP 4 – Unsolicited personal information</w:t>
            </w:r>
            <w:r w:rsidR="001D5B1E">
              <w:rPr>
                <w:noProof/>
                <w:webHidden/>
              </w:rPr>
              <w:tab/>
            </w:r>
            <w:r w:rsidR="001D5B1E">
              <w:rPr>
                <w:noProof/>
                <w:webHidden/>
              </w:rPr>
              <w:fldChar w:fldCharType="begin"/>
            </w:r>
            <w:r w:rsidR="001D5B1E">
              <w:rPr>
                <w:noProof/>
                <w:webHidden/>
              </w:rPr>
              <w:instrText xml:space="preserve"> PAGEREF _Toc168942759 \h </w:instrText>
            </w:r>
            <w:r w:rsidR="001D5B1E">
              <w:rPr>
                <w:noProof/>
                <w:webHidden/>
              </w:rPr>
            </w:r>
            <w:r w:rsidR="001D5B1E">
              <w:rPr>
                <w:noProof/>
                <w:webHidden/>
              </w:rPr>
              <w:fldChar w:fldCharType="separate"/>
            </w:r>
            <w:r w:rsidR="00C14F0B">
              <w:rPr>
                <w:noProof/>
                <w:webHidden/>
              </w:rPr>
              <w:t>64</w:t>
            </w:r>
            <w:r w:rsidR="001D5B1E">
              <w:rPr>
                <w:noProof/>
                <w:webHidden/>
              </w:rPr>
              <w:fldChar w:fldCharType="end"/>
            </w:r>
          </w:hyperlink>
        </w:p>
        <w:p w14:paraId="5135D3CA" w14:textId="2D037B6B" w:rsidR="001D5B1E" w:rsidRDefault="0014727E">
          <w:pPr>
            <w:pStyle w:val="TOC2"/>
            <w:rPr>
              <w:rFonts w:asciiTheme="minorHAnsi" w:eastAsiaTheme="minorEastAsia" w:hAnsiTheme="minorHAnsi" w:cstheme="minorBidi"/>
              <w:noProof/>
              <w:sz w:val="22"/>
            </w:rPr>
          </w:pPr>
          <w:hyperlink w:anchor="_Toc168942760" w:history="1">
            <w:r w:rsidR="001D5B1E" w:rsidRPr="00530ED2">
              <w:rPr>
                <w:rStyle w:val="Hyperlink"/>
                <w:noProof/>
              </w:rPr>
              <w:t>APP 5 – Notice of collection</w:t>
            </w:r>
            <w:r w:rsidR="001D5B1E">
              <w:rPr>
                <w:noProof/>
                <w:webHidden/>
              </w:rPr>
              <w:tab/>
            </w:r>
            <w:r w:rsidR="001D5B1E">
              <w:rPr>
                <w:noProof/>
                <w:webHidden/>
              </w:rPr>
              <w:fldChar w:fldCharType="begin"/>
            </w:r>
            <w:r w:rsidR="001D5B1E">
              <w:rPr>
                <w:noProof/>
                <w:webHidden/>
              </w:rPr>
              <w:instrText xml:space="preserve"> PAGEREF _Toc168942760 \h </w:instrText>
            </w:r>
            <w:r w:rsidR="001D5B1E">
              <w:rPr>
                <w:noProof/>
                <w:webHidden/>
              </w:rPr>
            </w:r>
            <w:r w:rsidR="001D5B1E">
              <w:rPr>
                <w:noProof/>
                <w:webHidden/>
              </w:rPr>
              <w:fldChar w:fldCharType="separate"/>
            </w:r>
            <w:r w:rsidR="00C14F0B">
              <w:rPr>
                <w:noProof/>
                <w:webHidden/>
              </w:rPr>
              <w:t>65</w:t>
            </w:r>
            <w:r w:rsidR="001D5B1E">
              <w:rPr>
                <w:noProof/>
                <w:webHidden/>
              </w:rPr>
              <w:fldChar w:fldCharType="end"/>
            </w:r>
          </w:hyperlink>
        </w:p>
        <w:p w14:paraId="190AC374" w14:textId="6A138370" w:rsidR="001D5B1E" w:rsidRDefault="0014727E">
          <w:pPr>
            <w:pStyle w:val="TOC2"/>
            <w:rPr>
              <w:rFonts w:asciiTheme="minorHAnsi" w:eastAsiaTheme="minorEastAsia" w:hAnsiTheme="minorHAnsi" w:cstheme="minorBidi"/>
              <w:noProof/>
              <w:sz w:val="22"/>
            </w:rPr>
          </w:pPr>
          <w:hyperlink w:anchor="_Toc168942761" w:history="1">
            <w:r w:rsidR="001D5B1E" w:rsidRPr="00530ED2">
              <w:rPr>
                <w:rStyle w:val="Hyperlink"/>
                <w:noProof/>
              </w:rPr>
              <w:t>APP 6 – Use or disclosure of personal information</w:t>
            </w:r>
            <w:r w:rsidR="001D5B1E">
              <w:rPr>
                <w:noProof/>
                <w:webHidden/>
              </w:rPr>
              <w:tab/>
            </w:r>
            <w:r w:rsidR="001D5B1E">
              <w:rPr>
                <w:noProof/>
                <w:webHidden/>
              </w:rPr>
              <w:fldChar w:fldCharType="begin"/>
            </w:r>
            <w:r w:rsidR="001D5B1E">
              <w:rPr>
                <w:noProof/>
                <w:webHidden/>
              </w:rPr>
              <w:instrText xml:space="preserve"> PAGEREF _Toc168942761 \h </w:instrText>
            </w:r>
            <w:r w:rsidR="001D5B1E">
              <w:rPr>
                <w:noProof/>
                <w:webHidden/>
              </w:rPr>
            </w:r>
            <w:r w:rsidR="001D5B1E">
              <w:rPr>
                <w:noProof/>
                <w:webHidden/>
              </w:rPr>
              <w:fldChar w:fldCharType="separate"/>
            </w:r>
            <w:r w:rsidR="00C14F0B">
              <w:rPr>
                <w:noProof/>
                <w:webHidden/>
              </w:rPr>
              <w:t>66</w:t>
            </w:r>
            <w:r w:rsidR="001D5B1E">
              <w:rPr>
                <w:noProof/>
                <w:webHidden/>
              </w:rPr>
              <w:fldChar w:fldCharType="end"/>
            </w:r>
          </w:hyperlink>
        </w:p>
        <w:p w14:paraId="4CF8EF2A" w14:textId="4B8EE3F8" w:rsidR="001D5B1E" w:rsidRDefault="0014727E">
          <w:pPr>
            <w:pStyle w:val="TOC2"/>
            <w:rPr>
              <w:rFonts w:asciiTheme="minorHAnsi" w:eastAsiaTheme="minorEastAsia" w:hAnsiTheme="minorHAnsi" w:cstheme="minorBidi"/>
              <w:noProof/>
              <w:sz w:val="22"/>
            </w:rPr>
          </w:pPr>
          <w:hyperlink w:anchor="_Toc168942762" w:history="1">
            <w:r w:rsidR="001D5B1E" w:rsidRPr="00530ED2">
              <w:rPr>
                <w:rStyle w:val="Hyperlink"/>
                <w:noProof/>
                <w:lang w:eastAsia="en-US"/>
              </w:rPr>
              <w:t>APP 7 – Direct marketing</w:t>
            </w:r>
            <w:r w:rsidR="001D5B1E">
              <w:rPr>
                <w:noProof/>
                <w:webHidden/>
              </w:rPr>
              <w:tab/>
            </w:r>
            <w:r w:rsidR="001D5B1E">
              <w:rPr>
                <w:noProof/>
                <w:webHidden/>
              </w:rPr>
              <w:fldChar w:fldCharType="begin"/>
            </w:r>
            <w:r w:rsidR="001D5B1E">
              <w:rPr>
                <w:noProof/>
                <w:webHidden/>
              </w:rPr>
              <w:instrText xml:space="preserve"> PAGEREF _Toc168942762 \h </w:instrText>
            </w:r>
            <w:r w:rsidR="001D5B1E">
              <w:rPr>
                <w:noProof/>
                <w:webHidden/>
              </w:rPr>
            </w:r>
            <w:r w:rsidR="001D5B1E">
              <w:rPr>
                <w:noProof/>
                <w:webHidden/>
              </w:rPr>
              <w:fldChar w:fldCharType="separate"/>
            </w:r>
            <w:r w:rsidR="00C14F0B">
              <w:rPr>
                <w:noProof/>
                <w:webHidden/>
              </w:rPr>
              <w:t>71</w:t>
            </w:r>
            <w:r w:rsidR="001D5B1E">
              <w:rPr>
                <w:noProof/>
                <w:webHidden/>
              </w:rPr>
              <w:fldChar w:fldCharType="end"/>
            </w:r>
          </w:hyperlink>
        </w:p>
        <w:p w14:paraId="04FBF6AD" w14:textId="1832E1E0" w:rsidR="001D5B1E" w:rsidRDefault="0014727E">
          <w:pPr>
            <w:pStyle w:val="TOC2"/>
            <w:rPr>
              <w:rFonts w:asciiTheme="minorHAnsi" w:eastAsiaTheme="minorEastAsia" w:hAnsiTheme="minorHAnsi" w:cstheme="minorBidi"/>
              <w:noProof/>
              <w:sz w:val="22"/>
            </w:rPr>
          </w:pPr>
          <w:hyperlink w:anchor="_Toc168942763" w:history="1">
            <w:r w:rsidR="001D5B1E" w:rsidRPr="00530ED2">
              <w:rPr>
                <w:rStyle w:val="Hyperlink"/>
                <w:noProof/>
                <w:lang w:eastAsia="en-US"/>
              </w:rPr>
              <w:t>APP 8 – Cross-border disclosure of personal information</w:t>
            </w:r>
            <w:r w:rsidR="001D5B1E">
              <w:rPr>
                <w:noProof/>
                <w:webHidden/>
              </w:rPr>
              <w:tab/>
            </w:r>
            <w:r w:rsidR="001D5B1E">
              <w:rPr>
                <w:noProof/>
                <w:webHidden/>
              </w:rPr>
              <w:fldChar w:fldCharType="begin"/>
            </w:r>
            <w:r w:rsidR="001D5B1E">
              <w:rPr>
                <w:noProof/>
                <w:webHidden/>
              </w:rPr>
              <w:instrText xml:space="preserve"> PAGEREF _Toc168942763 \h </w:instrText>
            </w:r>
            <w:r w:rsidR="001D5B1E">
              <w:rPr>
                <w:noProof/>
                <w:webHidden/>
              </w:rPr>
            </w:r>
            <w:r w:rsidR="001D5B1E">
              <w:rPr>
                <w:noProof/>
                <w:webHidden/>
              </w:rPr>
              <w:fldChar w:fldCharType="separate"/>
            </w:r>
            <w:r w:rsidR="00C14F0B">
              <w:rPr>
                <w:noProof/>
                <w:webHidden/>
              </w:rPr>
              <w:t>71</w:t>
            </w:r>
            <w:r w:rsidR="001D5B1E">
              <w:rPr>
                <w:noProof/>
                <w:webHidden/>
              </w:rPr>
              <w:fldChar w:fldCharType="end"/>
            </w:r>
          </w:hyperlink>
        </w:p>
        <w:p w14:paraId="51330B36" w14:textId="4B207777" w:rsidR="001D5B1E" w:rsidRDefault="0014727E">
          <w:pPr>
            <w:pStyle w:val="TOC2"/>
            <w:rPr>
              <w:rFonts w:asciiTheme="minorHAnsi" w:eastAsiaTheme="minorEastAsia" w:hAnsiTheme="minorHAnsi" w:cstheme="minorBidi"/>
              <w:noProof/>
              <w:sz w:val="22"/>
            </w:rPr>
          </w:pPr>
          <w:hyperlink w:anchor="_Toc168942764" w:history="1">
            <w:r w:rsidR="001D5B1E" w:rsidRPr="00530ED2">
              <w:rPr>
                <w:rStyle w:val="Hyperlink"/>
                <w:noProof/>
                <w:lang w:eastAsia="en-US"/>
              </w:rPr>
              <w:t>APP 9 – Adoption, use or disclosure of government related identifiers</w:t>
            </w:r>
            <w:r w:rsidR="001D5B1E">
              <w:rPr>
                <w:noProof/>
                <w:webHidden/>
              </w:rPr>
              <w:tab/>
            </w:r>
            <w:r w:rsidR="001D5B1E">
              <w:rPr>
                <w:noProof/>
                <w:webHidden/>
              </w:rPr>
              <w:fldChar w:fldCharType="begin"/>
            </w:r>
            <w:r w:rsidR="001D5B1E">
              <w:rPr>
                <w:noProof/>
                <w:webHidden/>
              </w:rPr>
              <w:instrText xml:space="preserve"> PAGEREF _Toc168942764 \h </w:instrText>
            </w:r>
            <w:r w:rsidR="001D5B1E">
              <w:rPr>
                <w:noProof/>
                <w:webHidden/>
              </w:rPr>
            </w:r>
            <w:r w:rsidR="001D5B1E">
              <w:rPr>
                <w:noProof/>
                <w:webHidden/>
              </w:rPr>
              <w:fldChar w:fldCharType="separate"/>
            </w:r>
            <w:r w:rsidR="00C14F0B">
              <w:rPr>
                <w:noProof/>
                <w:webHidden/>
              </w:rPr>
              <w:t>72</w:t>
            </w:r>
            <w:r w:rsidR="001D5B1E">
              <w:rPr>
                <w:noProof/>
                <w:webHidden/>
              </w:rPr>
              <w:fldChar w:fldCharType="end"/>
            </w:r>
          </w:hyperlink>
        </w:p>
        <w:p w14:paraId="2E41F195" w14:textId="42E8EACB" w:rsidR="001D5B1E" w:rsidRDefault="0014727E">
          <w:pPr>
            <w:pStyle w:val="TOC2"/>
            <w:rPr>
              <w:rFonts w:asciiTheme="minorHAnsi" w:eastAsiaTheme="minorEastAsia" w:hAnsiTheme="minorHAnsi" w:cstheme="minorBidi"/>
              <w:noProof/>
              <w:sz w:val="22"/>
            </w:rPr>
          </w:pPr>
          <w:hyperlink w:anchor="_Toc168942765" w:history="1">
            <w:r w:rsidR="001D5B1E" w:rsidRPr="00530ED2">
              <w:rPr>
                <w:rStyle w:val="Hyperlink"/>
                <w:noProof/>
              </w:rPr>
              <w:t>APP 10 - Quality of personal information</w:t>
            </w:r>
            <w:r w:rsidR="001D5B1E">
              <w:rPr>
                <w:noProof/>
                <w:webHidden/>
              </w:rPr>
              <w:tab/>
            </w:r>
            <w:r w:rsidR="001D5B1E">
              <w:rPr>
                <w:noProof/>
                <w:webHidden/>
              </w:rPr>
              <w:fldChar w:fldCharType="begin"/>
            </w:r>
            <w:r w:rsidR="001D5B1E">
              <w:rPr>
                <w:noProof/>
                <w:webHidden/>
              </w:rPr>
              <w:instrText xml:space="preserve"> PAGEREF _Toc168942765 \h </w:instrText>
            </w:r>
            <w:r w:rsidR="001D5B1E">
              <w:rPr>
                <w:noProof/>
                <w:webHidden/>
              </w:rPr>
            </w:r>
            <w:r w:rsidR="001D5B1E">
              <w:rPr>
                <w:noProof/>
                <w:webHidden/>
              </w:rPr>
              <w:fldChar w:fldCharType="separate"/>
            </w:r>
            <w:r w:rsidR="00C14F0B">
              <w:rPr>
                <w:noProof/>
                <w:webHidden/>
              </w:rPr>
              <w:t>73</w:t>
            </w:r>
            <w:r w:rsidR="001D5B1E">
              <w:rPr>
                <w:noProof/>
                <w:webHidden/>
              </w:rPr>
              <w:fldChar w:fldCharType="end"/>
            </w:r>
          </w:hyperlink>
        </w:p>
        <w:p w14:paraId="32DDA83D" w14:textId="7AF748EF" w:rsidR="001D5B1E" w:rsidRDefault="0014727E">
          <w:pPr>
            <w:pStyle w:val="TOC2"/>
            <w:rPr>
              <w:rFonts w:asciiTheme="minorHAnsi" w:eastAsiaTheme="minorEastAsia" w:hAnsiTheme="minorHAnsi" w:cstheme="minorBidi"/>
              <w:noProof/>
              <w:sz w:val="22"/>
            </w:rPr>
          </w:pPr>
          <w:hyperlink w:anchor="_Toc168942766" w:history="1">
            <w:r w:rsidR="001D5B1E" w:rsidRPr="00530ED2">
              <w:rPr>
                <w:rStyle w:val="Hyperlink"/>
                <w:noProof/>
              </w:rPr>
              <w:t>APP 11 – Security of personal information</w:t>
            </w:r>
            <w:r w:rsidR="001D5B1E">
              <w:rPr>
                <w:noProof/>
                <w:webHidden/>
              </w:rPr>
              <w:tab/>
            </w:r>
            <w:r w:rsidR="001D5B1E">
              <w:rPr>
                <w:noProof/>
                <w:webHidden/>
              </w:rPr>
              <w:fldChar w:fldCharType="begin"/>
            </w:r>
            <w:r w:rsidR="001D5B1E">
              <w:rPr>
                <w:noProof/>
                <w:webHidden/>
              </w:rPr>
              <w:instrText xml:space="preserve"> PAGEREF _Toc168942766 \h </w:instrText>
            </w:r>
            <w:r w:rsidR="001D5B1E">
              <w:rPr>
                <w:noProof/>
                <w:webHidden/>
              </w:rPr>
            </w:r>
            <w:r w:rsidR="001D5B1E">
              <w:rPr>
                <w:noProof/>
                <w:webHidden/>
              </w:rPr>
              <w:fldChar w:fldCharType="separate"/>
            </w:r>
            <w:r w:rsidR="00C14F0B">
              <w:rPr>
                <w:noProof/>
                <w:webHidden/>
              </w:rPr>
              <w:t>78</w:t>
            </w:r>
            <w:r w:rsidR="001D5B1E">
              <w:rPr>
                <w:noProof/>
                <w:webHidden/>
              </w:rPr>
              <w:fldChar w:fldCharType="end"/>
            </w:r>
          </w:hyperlink>
        </w:p>
        <w:p w14:paraId="7C8BEE18" w14:textId="101C47EA" w:rsidR="001D5B1E" w:rsidRDefault="0014727E">
          <w:pPr>
            <w:pStyle w:val="TOC2"/>
            <w:rPr>
              <w:rFonts w:asciiTheme="minorHAnsi" w:eastAsiaTheme="minorEastAsia" w:hAnsiTheme="minorHAnsi" w:cstheme="minorBidi"/>
              <w:noProof/>
              <w:sz w:val="22"/>
            </w:rPr>
          </w:pPr>
          <w:hyperlink w:anchor="_Toc168942767" w:history="1">
            <w:r w:rsidR="001D5B1E" w:rsidRPr="00530ED2">
              <w:rPr>
                <w:rStyle w:val="Hyperlink"/>
                <w:noProof/>
              </w:rPr>
              <w:t>APP 12 – Access to personal information</w:t>
            </w:r>
            <w:r w:rsidR="001D5B1E">
              <w:rPr>
                <w:noProof/>
                <w:webHidden/>
              </w:rPr>
              <w:tab/>
            </w:r>
            <w:r w:rsidR="001D5B1E">
              <w:rPr>
                <w:noProof/>
                <w:webHidden/>
              </w:rPr>
              <w:fldChar w:fldCharType="begin"/>
            </w:r>
            <w:r w:rsidR="001D5B1E">
              <w:rPr>
                <w:noProof/>
                <w:webHidden/>
              </w:rPr>
              <w:instrText xml:space="preserve"> PAGEREF _Toc168942767 \h </w:instrText>
            </w:r>
            <w:r w:rsidR="001D5B1E">
              <w:rPr>
                <w:noProof/>
                <w:webHidden/>
              </w:rPr>
            </w:r>
            <w:r w:rsidR="001D5B1E">
              <w:rPr>
                <w:noProof/>
                <w:webHidden/>
              </w:rPr>
              <w:fldChar w:fldCharType="separate"/>
            </w:r>
            <w:r w:rsidR="00C14F0B">
              <w:rPr>
                <w:noProof/>
                <w:webHidden/>
              </w:rPr>
              <w:t>80</w:t>
            </w:r>
            <w:r w:rsidR="001D5B1E">
              <w:rPr>
                <w:noProof/>
                <w:webHidden/>
              </w:rPr>
              <w:fldChar w:fldCharType="end"/>
            </w:r>
          </w:hyperlink>
        </w:p>
        <w:p w14:paraId="1F3A08EE" w14:textId="10926C58" w:rsidR="001D5B1E" w:rsidRDefault="0014727E">
          <w:pPr>
            <w:pStyle w:val="TOC2"/>
            <w:rPr>
              <w:rFonts w:asciiTheme="minorHAnsi" w:eastAsiaTheme="minorEastAsia" w:hAnsiTheme="minorHAnsi" w:cstheme="minorBidi"/>
              <w:noProof/>
              <w:sz w:val="22"/>
            </w:rPr>
          </w:pPr>
          <w:hyperlink w:anchor="_Toc168942768" w:history="1">
            <w:r w:rsidR="001D5B1E" w:rsidRPr="00530ED2">
              <w:rPr>
                <w:rStyle w:val="Hyperlink"/>
                <w:noProof/>
              </w:rPr>
              <w:t>APP 13 – Correction of personal information</w:t>
            </w:r>
            <w:r w:rsidR="001D5B1E">
              <w:rPr>
                <w:noProof/>
                <w:webHidden/>
              </w:rPr>
              <w:tab/>
            </w:r>
            <w:r w:rsidR="001D5B1E">
              <w:rPr>
                <w:noProof/>
                <w:webHidden/>
              </w:rPr>
              <w:fldChar w:fldCharType="begin"/>
            </w:r>
            <w:r w:rsidR="001D5B1E">
              <w:rPr>
                <w:noProof/>
                <w:webHidden/>
              </w:rPr>
              <w:instrText xml:space="preserve"> PAGEREF _Toc168942768 \h </w:instrText>
            </w:r>
            <w:r w:rsidR="001D5B1E">
              <w:rPr>
                <w:noProof/>
                <w:webHidden/>
              </w:rPr>
            </w:r>
            <w:r w:rsidR="001D5B1E">
              <w:rPr>
                <w:noProof/>
                <w:webHidden/>
              </w:rPr>
              <w:fldChar w:fldCharType="separate"/>
            </w:r>
            <w:r w:rsidR="00C14F0B">
              <w:rPr>
                <w:noProof/>
                <w:webHidden/>
              </w:rPr>
              <w:t>81</w:t>
            </w:r>
            <w:r w:rsidR="001D5B1E">
              <w:rPr>
                <w:noProof/>
                <w:webHidden/>
              </w:rPr>
              <w:fldChar w:fldCharType="end"/>
            </w:r>
          </w:hyperlink>
        </w:p>
        <w:p w14:paraId="10754FD5" w14:textId="7E8ACBD2" w:rsidR="001D5B1E" w:rsidRDefault="0014727E">
          <w:pPr>
            <w:pStyle w:val="TOC1"/>
            <w:rPr>
              <w:rFonts w:asciiTheme="minorHAnsi" w:eastAsiaTheme="minorEastAsia" w:hAnsiTheme="minorHAnsi" w:cstheme="minorBidi"/>
              <w:b w:val="0"/>
              <w:noProof/>
              <w:sz w:val="22"/>
            </w:rPr>
          </w:pPr>
          <w:hyperlink w:anchor="_Toc168942769" w:history="1">
            <w:r w:rsidR="001D5B1E" w:rsidRPr="00530ED2">
              <w:rPr>
                <w:rStyle w:val="Hyperlink"/>
                <w:noProof/>
              </w:rPr>
              <w:t>Annexure A – Guidance to provide to in-scope companies</w:t>
            </w:r>
            <w:r w:rsidR="001D5B1E">
              <w:rPr>
                <w:noProof/>
                <w:webHidden/>
              </w:rPr>
              <w:tab/>
            </w:r>
            <w:r w:rsidR="001D5B1E">
              <w:rPr>
                <w:noProof/>
                <w:webHidden/>
              </w:rPr>
              <w:fldChar w:fldCharType="begin"/>
            </w:r>
            <w:r w:rsidR="001D5B1E">
              <w:rPr>
                <w:noProof/>
                <w:webHidden/>
              </w:rPr>
              <w:instrText xml:space="preserve"> PAGEREF _Toc168942769 \h </w:instrText>
            </w:r>
            <w:r w:rsidR="001D5B1E">
              <w:rPr>
                <w:noProof/>
                <w:webHidden/>
              </w:rPr>
            </w:r>
            <w:r w:rsidR="001D5B1E">
              <w:rPr>
                <w:noProof/>
                <w:webHidden/>
              </w:rPr>
              <w:fldChar w:fldCharType="separate"/>
            </w:r>
            <w:r w:rsidR="00C14F0B">
              <w:rPr>
                <w:noProof/>
                <w:webHidden/>
              </w:rPr>
              <w:t>83</w:t>
            </w:r>
            <w:r w:rsidR="001D5B1E">
              <w:rPr>
                <w:noProof/>
                <w:webHidden/>
              </w:rPr>
              <w:fldChar w:fldCharType="end"/>
            </w:r>
          </w:hyperlink>
        </w:p>
        <w:p w14:paraId="7F8448C9" w14:textId="5B153859" w:rsidR="001D5B1E" w:rsidRDefault="0014727E">
          <w:pPr>
            <w:pStyle w:val="TOC1"/>
            <w:rPr>
              <w:rFonts w:asciiTheme="minorHAnsi" w:eastAsiaTheme="minorEastAsia" w:hAnsiTheme="minorHAnsi" w:cstheme="minorBidi"/>
              <w:b w:val="0"/>
              <w:noProof/>
              <w:sz w:val="22"/>
            </w:rPr>
          </w:pPr>
          <w:hyperlink w:anchor="_Toc168942770" w:history="1">
            <w:r w:rsidR="001D5B1E" w:rsidRPr="00530ED2">
              <w:rPr>
                <w:rStyle w:val="Hyperlink"/>
                <w:noProof/>
              </w:rPr>
              <w:t>Annexure B – Matters to be included in collection notices</w:t>
            </w:r>
            <w:r w:rsidR="001D5B1E">
              <w:rPr>
                <w:noProof/>
                <w:webHidden/>
              </w:rPr>
              <w:tab/>
            </w:r>
            <w:r w:rsidR="001D5B1E">
              <w:rPr>
                <w:noProof/>
                <w:webHidden/>
              </w:rPr>
              <w:fldChar w:fldCharType="begin"/>
            </w:r>
            <w:r w:rsidR="001D5B1E">
              <w:rPr>
                <w:noProof/>
                <w:webHidden/>
              </w:rPr>
              <w:instrText xml:space="preserve"> PAGEREF _Toc168942770 \h </w:instrText>
            </w:r>
            <w:r w:rsidR="001D5B1E">
              <w:rPr>
                <w:noProof/>
                <w:webHidden/>
              </w:rPr>
            </w:r>
            <w:r w:rsidR="001D5B1E">
              <w:rPr>
                <w:noProof/>
                <w:webHidden/>
              </w:rPr>
              <w:fldChar w:fldCharType="separate"/>
            </w:r>
            <w:r w:rsidR="00C14F0B">
              <w:rPr>
                <w:noProof/>
                <w:webHidden/>
              </w:rPr>
              <w:t>86</w:t>
            </w:r>
            <w:r w:rsidR="001D5B1E">
              <w:rPr>
                <w:noProof/>
                <w:webHidden/>
              </w:rPr>
              <w:fldChar w:fldCharType="end"/>
            </w:r>
          </w:hyperlink>
        </w:p>
        <w:p w14:paraId="10E93FE2" w14:textId="4EA35B8A" w:rsidR="001D5B1E" w:rsidRDefault="0014727E">
          <w:pPr>
            <w:pStyle w:val="TOC1"/>
            <w:rPr>
              <w:rFonts w:asciiTheme="minorHAnsi" w:eastAsiaTheme="minorEastAsia" w:hAnsiTheme="minorHAnsi" w:cstheme="minorBidi"/>
              <w:b w:val="0"/>
              <w:noProof/>
              <w:sz w:val="22"/>
            </w:rPr>
          </w:pPr>
          <w:hyperlink w:anchor="_Toc168942771" w:history="1">
            <w:r w:rsidR="001D5B1E" w:rsidRPr="00530ED2">
              <w:rPr>
                <w:rStyle w:val="Hyperlink"/>
                <w:noProof/>
              </w:rPr>
              <w:t>Appendix 1 – Exclusions</w:t>
            </w:r>
            <w:r w:rsidR="001D5B1E">
              <w:rPr>
                <w:noProof/>
                <w:webHidden/>
              </w:rPr>
              <w:tab/>
            </w:r>
            <w:r w:rsidR="001D5B1E">
              <w:rPr>
                <w:noProof/>
                <w:webHidden/>
              </w:rPr>
              <w:fldChar w:fldCharType="begin"/>
            </w:r>
            <w:r w:rsidR="001D5B1E">
              <w:rPr>
                <w:noProof/>
                <w:webHidden/>
              </w:rPr>
              <w:instrText xml:space="preserve"> PAGEREF _Toc168942771 \h </w:instrText>
            </w:r>
            <w:r w:rsidR="001D5B1E">
              <w:rPr>
                <w:noProof/>
                <w:webHidden/>
              </w:rPr>
            </w:r>
            <w:r w:rsidR="001D5B1E">
              <w:rPr>
                <w:noProof/>
                <w:webHidden/>
              </w:rPr>
              <w:fldChar w:fldCharType="separate"/>
            </w:r>
            <w:r w:rsidR="00C14F0B">
              <w:rPr>
                <w:noProof/>
                <w:webHidden/>
              </w:rPr>
              <w:t>88</w:t>
            </w:r>
            <w:r w:rsidR="001D5B1E">
              <w:rPr>
                <w:noProof/>
                <w:webHidden/>
              </w:rPr>
              <w:fldChar w:fldCharType="end"/>
            </w:r>
          </w:hyperlink>
        </w:p>
        <w:p w14:paraId="5F447420" w14:textId="316AD722" w:rsidR="001D5B1E" w:rsidRDefault="0014727E">
          <w:pPr>
            <w:pStyle w:val="TOC1"/>
            <w:rPr>
              <w:rFonts w:asciiTheme="minorHAnsi" w:eastAsiaTheme="minorEastAsia" w:hAnsiTheme="minorHAnsi" w:cstheme="minorBidi"/>
              <w:b w:val="0"/>
              <w:noProof/>
              <w:sz w:val="22"/>
            </w:rPr>
          </w:pPr>
          <w:hyperlink w:anchor="_Toc168942772" w:history="1">
            <w:r w:rsidR="001D5B1E" w:rsidRPr="00530ED2">
              <w:rPr>
                <w:rStyle w:val="Hyperlink"/>
                <w:noProof/>
              </w:rPr>
              <w:t>Appendix 2 – Material considered in this PIA</w:t>
            </w:r>
            <w:r w:rsidR="001D5B1E">
              <w:rPr>
                <w:noProof/>
                <w:webHidden/>
              </w:rPr>
              <w:tab/>
            </w:r>
            <w:r w:rsidR="001D5B1E">
              <w:rPr>
                <w:noProof/>
                <w:webHidden/>
              </w:rPr>
              <w:fldChar w:fldCharType="begin"/>
            </w:r>
            <w:r w:rsidR="001D5B1E">
              <w:rPr>
                <w:noProof/>
                <w:webHidden/>
              </w:rPr>
              <w:instrText xml:space="preserve"> PAGEREF _Toc168942772 \h </w:instrText>
            </w:r>
            <w:r w:rsidR="001D5B1E">
              <w:rPr>
                <w:noProof/>
                <w:webHidden/>
              </w:rPr>
            </w:r>
            <w:r w:rsidR="001D5B1E">
              <w:rPr>
                <w:noProof/>
                <w:webHidden/>
              </w:rPr>
              <w:fldChar w:fldCharType="separate"/>
            </w:r>
            <w:r w:rsidR="00C14F0B">
              <w:rPr>
                <w:noProof/>
                <w:webHidden/>
              </w:rPr>
              <w:t>88</w:t>
            </w:r>
            <w:r w:rsidR="001D5B1E">
              <w:rPr>
                <w:noProof/>
                <w:webHidden/>
              </w:rPr>
              <w:fldChar w:fldCharType="end"/>
            </w:r>
          </w:hyperlink>
        </w:p>
        <w:p w14:paraId="6027E436" w14:textId="30C6E69D" w:rsidR="001D5B1E" w:rsidRDefault="0014727E">
          <w:pPr>
            <w:pStyle w:val="TOC1"/>
            <w:rPr>
              <w:rFonts w:asciiTheme="minorHAnsi" w:eastAsiaTheme="minorEastAsia" w:hAnsiTheme="minorHAnsi" w:cstheme="minorBidi"/>
              <w:b w:val="0"/>
              <w:noProof/>
              <w:sz w:val="22"/>
            </w:rPr>
          </w:pPr>
          <w:hyperlink w:anchor="_Toc168942773" w:history="1">
            <w:r w:rsidR="001D5B1E" w:rsidRPr="00530ED2">
              <w:rPr>
                <w:rStyle w:val="Hyperlink"/>
                <w:noProof/>
              </w:rPr>
              <w:t>Appendix 3 – Glossary</w:t>
            </w:r>
            <w:r w:rsidR="001D5B1E">
              <w:rPr>
                <w:noProof/>
                <w:webHidden/>
              </w:rPr>
              <w:tab/>
            </w:r>
            <w:r w:rsidR="001D5B1E">
              <w:rPr>
                <w:noProof/>
                <w:webHidden/>
              </w:rPr>
              <w:fldChar w:fldCharType="begin"/>
            </w:r>
            <w:r w:rsidR="001D5B1E">
              <w:rPr>
                <w:noProof/>
                <w:webHidden/>
              </w:rPr>
              <w:instrText xml:space="preserve"> PAGEREF _Toc168942773 \h </w:instrText>
            </w:r>
            <w:r w:rsidR="001D5B1E">
              <w:rPr>
                <w:noProof/>
                <w:webHidden/>
              </w:rPr>
            </w:r>
            <w:r w:rsidR="001D5B1E">
              <w:rPr>
                <w:noProof/>
                <w:webHidden/>
              </w:rPr>
              <w:fldChar w:fldCharType="separate"/>
            </w:r>
            <w:r w:rsidR="00C14F0B">
              <w:rPr>
                <w:noProof/>
                <w:webHidden/>
              </w:rPr>
              <w:t>91</w:t>
            </w:r>
            <w:r w:rsidR="001D5B1E">
              <w:rPr>
                <w:noProof/>
                <w:webHidden/>
              </w:rPr>
              <w:fldChar w:fldCharType="end"/>
            </w:r>
          </w:hyperlink>
        </w:p>
        <w:p w14:paraId="5449BC38" w14:textId="3F895A45" w:rsidR="00E94643" w:rsidRPr="002D70FF" w:rsidRDefault="001D5B1E" w:rsidP="001D5B1E">
          <w:pPr>
            <w:pStyle w:val="TOC1"/>
          </w:pPr>
          <w:r>
            <w:rPr>
              <w:bCs/>
              <w:noProof/>
            </w:rPr>
            <w:fldChar w:fldCharType="end"/>
          </w:r>
        </w:p>
      </w:sdtContent>
    </w:sdt>
    <w:p w14:paraId="2BC69712" w14:textId="77777777" w:rsidR="00E94643" w:rsidRDefault="00E94643">
      <w:pPr>
        <w:rPr>
          <w:b/>
        </w:rPr>
        <w:sectPr w:rsidR="00E94643" w:rsidSect="003F53CD">
          <w:pgSz w:w="11906" w:h="16838"/>
          <w:pgMar w:top="1134" w:right="1418" w:bottom="1701" w:left="2268" w:header="708" w:footer="708" w:gutter="0"/>
          <w:cols w:space="708"/>
          <w:docGrid w:linePitch="360"/>
        </w:sectPr>
      </w:pPr>
    </w:p>
    <w:p w14:paraId="24B1A9A5" w14:textId="77777777" w:rsidR="007F5A1E" w:rsidRDefault="007F5A1E" w:rsidP="007F5A1E">
      <w:pPr>
        <w:pStyle w:val="Heading1"/>
      </w:pPr>
      <w:bookmarkStart w:id="39" w:name="_Toc55921134"/>
      <w:bookmarkStart w:id="40" w:name="_Toc56086860"/>
      <w:bookmarkStart w:id="41" w:name="_Toc132359631"/>
      <w:bookmarkStart w:id="42" w:name="_Toc160444082"/>
      <w:bookmarkStart w:id="43" w:name="_Toc168942734"/>
      <w:r w:rsidRPr="00E54DD8">
        <w:t>Part 1 – Background</w:t>
      </w:r>
      <w:bookmarkEnd w:id="39"/>
      <w:bookmarkEnd w:id="40"/>
      <w:bookmarkEnd w:id="41"/>
      <w:bookmarkEnd w:id="42"/>
      <w:bookmarkEnd w:id="43"/>
    </w:p>
    <w:p w14:paraId="4EC5E73F" w14:textId="2D3AFEEF" w:rsidR="007F5A1E" w:rsidRDefault="007F5A1E" w:rsidP="007F5A1E">
      <w:pPr>
        <w:pStyle w:val="NumberLevel1"/>
      </w:pPr>
      <w:r w:rsidRPr="007F5A1E">
        <w:t>On 29 January 2024</w:t>
      </w:r>
      <w:r>
        <w:t xml:space="preserve">, Treasury requested that AGS undertake a </w:t>
      </w:r>
      <w:r w:rsidR="00DD37F9">
        <w:t>Privacy Impact Assessment (</w:t>
      </w:r>
      <w:r w:rsidR="00DD37F9">
        <w:rPr>
          <w:b/>
        </w:rPr>
        <w:t>PIA</w:t>
      </w:r>
      <w:r w:rsidR="00DD37F9">
        <w:t>)</w:t>
      </w:r>
      <w:r>
        <w:t xml:space="preserve"> to evaluate the potential privacy impacts of the implementation of the </w:t>
      </w:r>
      <w:r w:rsidR="0071441F">
        <w:t>BO</w:t>
      </w:r>
      <w:r w:rsidR="00DD37F9">
        <w:t xml:space="preserve"> </w:t>
      </w:r>
      <w:r w:rsidR="0071441F">
        <w:t>Policy</w:t>
      </w:r>
      <w:r>
        <w:t xml:space="preserve">. The scope of this PIA is generally limited to analysing these impacts. A full list of exclusions is set </w:t>
      </w:r>
      <w:r w:rsidRPr="00974092">
        <w:t xml:space="preserve">out in </w:t>
      </w:r>
      <w:hyperlink w:anchor="_Appendix_1_–_1" w:history="1">
        <w:r w:rsidRPr="00974092">
          <w:rPr>
            <w:rStyle w:val="Hyperlink"/>
            <w:b/>
          </w:rPr>
          <w:t>Appendix 1</w:t>
        </w:r>
      </w:hyperlink>
      <w:r w:rsidRPr="00974092">
        <w:t xml:space="preserve"> to this</w:t>
      </w:r>
      <w:r>
        <w:t xml:space="preserve"> report.</w:t>
      </w:r>
    </w:p>
    <w:p w14:paraId="19454098" w14:textId="7CA69804" w:rsidR="007F5A1E" w:rsidRDefault="007F5A1E" w:rsidP="000A52BB">
      <w:pPr>
        <w:pStyle w:val="Heading2"/>
      </w:pPr>
      <w:bookmarkStart w:id="44" w:name="_Toc160444083"/>
      <w:bookmarkStart w:id="45" w:name="_Toc168942735"/>
      <w:r w:rsidRPr="000A52BB">
        <w:t>Treasury’s</w:t>
      </w:r>
      <w:r>
        <w:t xml:space="preserve"> functions</w:t>
      </w:r>
      <w:bookmarkEnd w:id="44"/>
      <w:bookmarkEnd w:id="45"/>
    </w:p>
    <w:p w14:paraId="10CBBF7E" w14:textId="1BA1A387" w:rsidR="007F5A1E" w:rsidRDefault="007F5A1E" w:rsidP="007F5A1E">
      <w:pPr>
        <w:pStyle w:val="NumberLevel1"/>
      </w:pPr>
      <w:r>
        <w:t xml:space="preserve">Treasury is a Commonwealth government department tasked with developing, </w:t>
      </w:r>
      <w:proofErr w:type="gramStart"/>
      <w:r>
        <w:t>delivering</w:t>
      </w:r>
      <w:proofErr w:type="gramEnd"/>
      <w:r>
        <w:t xml:space="preserve"> and implementing economic policy.</w:t>
      </w:r>
      <w:r w:rsidR="003F53CD">
        <w:rPr>
          <w:rStyle w:val="FootnoteReference"/>
        </w:rPr>
        <w:footnoteReference w:id="6"/>
      </w:r>
      <w:r>
        <w:t xml:space="preserve"> </w:t>
      </w:r>
    </w:p>
    <w:p w14:paraId="737E080E" w14:textId="0C12B95B" w:rsidR="007F5A1E" w:rsidRDefault="007F5A1E" w:rsidP="007F5A1E">
      <w:pPr>
        <w:pStyle w:val="NumberLevel1"/>
      </w:pPr>
      <w:r>
        <w:t xml:space="preserve">Treasury’s role in developing policy on taxation, the financial sector and foreign investment is relevant to this PIA. Treasury is currently developing the design of the </w:t>
      </w:r>
      <w:r w:rsidR="009041EE" w:rsidRPr="00C8722C">
        <w:t>beneficial ownership register (</w:t>
      </w:r>
      <w:r w:rsidR="009041EE" w:rsidRPr="00C8722C">
        <w:rPr>
          <w:b/>
        </w:rPr>
        <w:t>BOR</w:t>
      </w:r>
      <w:r w:rsidR="009041EE" w:rsidRPr="00C8722C">
        <w:t xml:space="preserve">) </w:t>
      </w:r>
      <w:r>
        <w:t xml:space="preserve">and considering proposed amendments to the </w:t>
      </w:r>
      <w:r>
        <w:rPr>
          <w:i/>
        </w:rPr>
        <w:t xml:space="preserve">Corporations Act 2001 </w:t>
      </w:r>
      <w:r>
        <w:t>(</w:t>
      </w:r>
      <w:proofErr w:type="spellStart"/>
      <w:r>
        <w:t>Cth</w:t>
      </w:r>
      <w:proofErr w:type="spellEnd"/>
      <w:r>
        <w:t>)</w:t>
      </w:r>
      <w:r w:rsidR="00DD37F9">
        <w:t xml:space="preserve"> (</w:t>
      </w:r>
      <w:r w:rsidR="00DD37F9">
        <w:rPr>
          <w:b/>
        </w:rPr>
        <w:t>Corporations Act</w:t>
      </w:r>
      <w:r w:rsidR="00DD37F9">
        <w:t>)</w:t>
      </w:r>
      <w:r w:rsidR="008A14DF">
        <w:t xml:space="preserve"> to implement the BO</w:t>
      </w:r>
      <w:r w:rsidR="0071441F">
        <w:t xml:space="preserve"> Policy</w:t>
      </w:r>
      <w:r>
        <w:t>.</w:t>
      </w:r>
    </w:p>
    <w:p w14:paraId="450805A2" w14:textId="6698E12E" w:rsidR="007F5A1E" w:rsidRDefault="007F5A1E" w:rsidP="000A52BB">
      <w:pPr>
        <w:pStyle w:val="Heading2"/>
      </w:pPr>
      <w:bookmarkStart w:id="46" w:name="_Toc160444084"/>
      <w:bookmarkStart w:id="47" w:name="_Toc168942736"/>
      <w:r>
        <w:t>Beneficial Ownership Register</w:t>
      </w:r>
      <w:bookmarkEnd w:id="46"/>
      <w:bookmarkEnd w:id="47"/>
    </w:p>
    <w:p w14:paraId="6F6BF4B1" w14:textId="19065A21" w:rsidR="00642B5E" w:rsidRDefault="007F5A1E" w:rsidP="00CF2EE3">
      <w:pPr>
        <w:pStyle w:val="NumberLevel1"/>
      </w:pPr>
      <w:r>
        <w:t>The BO</w:t>
      </w:r>
      <w:r w:rsidR="0071441F">
        <w:t xml:space="preserve"> Policy</w:t>
      </w:r>
      <w:r>
        <w:t xml:space="preserve"> contemplates </w:t>
      </w:r>
      <w:r w:rsidR="00CF2EE3" w:rsidRPr="00C8722C">
        <w:t xml:space="preserve">the creation of a </w:t>
      </w:r>
      <w:r w:rsidR="009041EE">
        <w:t>BOR</w:t>
      </w:r>
      <w:r w:rsidR="00CF2EE3" w:rsidRPr="00C8722C">
        <w:t xml:space="preserve"> for unlisted regulated entities via a staged approach, with the goal being the implementation</w:t>
      </w:r>
      <w:r w:rsidR="00CF2EE3">
        <w:t xml:space="preserve"> </w:t>
      </w:r>
      <w:r>
        <w:t xml:space="preserve">of </w:t>
      </w:r>
      <w:r w:rsidR="00736B86">
        <w:t>the PCBOR</w:t>
      </w:r>
      <w:r w:rsidR="00DD37F9">
        <w:t xml:space="preserve"> </w:t>
      </w:r>
      <w:r w:rsidRPr="00DD37F9">
        <w:t>maintained</w:t>
      </w:r>
      <w:r>
        <w:t xml:space="preserve"> by the Commonwealth. </w:t>
      </w:r>
    </w:p>
    <w:p w14:paraId="4E4C1FBD" w14:textId="5BFA114E" w:rsidR="00B4745D" w:rsidRDefault="00B4745D" w:rsidP="00B4745D">
      <w:pPr>
        <w:pStyle w:val="Heading3"/>
      </w:pPr>
      <w:r>
        <w:t>Purposes of the BO Policy</w:t>
      </w:r>
    </w:p>
    <w:p w14:paraId="796BABBD" w14:textId="7BAD31E2" w:rsidR="00B4745D" w:rsidRDefault="00B4745D" w:rsidP="00B4745D">
      <w:pPr>
        <w:pStyle w:val="NumberLevel1"/>
        <w:rPr>
          <w:lang w:eastAsia="en-US"/>
        </w:rPr>
      </w:pPr>
      <w:r>
        <w:rPr>
          <w:lang w:eastAsia="en-US"/>
        </w:rPr>
        <w:t xml:space="preserve">Australia does not have a systematic framework for collecting, verifying, and recording beneficial ownership information for unlisted corporations. This gives rise to a lack of corporate transparency, potential gaps in regulatory coverage, and creates opportunities for exploitation. </w:t>
      </w:r>
    </w:p>
    <w:p w14:paraId="553473AA" w14:textId="6F420BA8" w:rsidR="007169E3" w:rsidRDefault="007169E3" w:rsidP="007169E3">
      <w:pPr>
        <w:pStyle w:val="NumberLevel1"/>
        <w:rPr>
          <w:lang w:eastAsia="en-US"/>
        </w:rPr>
      </w:pPr>
      <w:r w:rsidRPr="007169E3">
        <w:rPr>
          <w:lang w:eastAsia="en-US"/>
        </w:rPr>
        <w:t>Existing compliance around disclosure of the ownership of unlisted entities is confined to private unlisted companies and extends only as far as the top 20 legal shareholders. For unlisted public companies, no disclosure is required. Both private and unlisted public companies are required to maintain legal shareholder registers as a record of legal shareholder ownership; however, they only provide this information upon request.</w:t>
      </w:r>
    </w:p>
    <w:p w14:paraId="4F5CD1DA" w14:textId="28A0BFE2" w:rsidR="00E11A16" w:rsidRDefault="00DA3371" w:rsidP="00B4745D">
      <w:pPr>
        <w:pStyle w:val="NumberLevel1"/>
        <w:rPr>
          <w:lang w:eastAsia="en-US"/>
        </w:rPr>
      </w:pPr>
      <w:r>
        <w:rPr>
          <w:lang w:eastAsia="en-US"/>
        </w:rPr>
        <w:t>Promoting c</w:t>
      </w:r>
      <w:r w:rsidR="00FE3C64">
        <w:rPr>
          <w:lang w:eastAsia="en-US"/>
        </w:rPr>
        <w:t xml:space="preserve">orporate transparency </w:t>
      </w:r>
      <w:r>
        <w:rPr>
          <w:lang w:eastAsia="en-US"/>
        </w:rPr>
        <w:t xml:space="preserve">provides the </w:t>
      </w:r>
      <w:r w:rsidR="00FE3C64">
        <w:rPr>
          <w:lang w:eastAsia="en-US"/>
        </w:rPr>
        <w:t>following benefits:</w:t>
      </w:r>
    </w:p>
    <w:p w14:paraId="78A6D7AC" w14:textId="6240149A" w:rsidR="00FE3C64" w:rsidRDefault="00DA3371" w:rsidP="00FE3C64">
      <w:pPr>
        <w:pStyle w:val="NumberLevel2"/>
        <w:rPr>
          <w:lang w:eastAsia="en-US"/>
        </w:rPr>
      </w:pPr>
      <w:r>
        <w:rPr>
          <w:lang w:eastAsia="en-US"/>
        </w:rPr>
        <w:t xml:space="preserve">For markets, </w:t>
      </w:r>
      <w:r w:rsidR="00D709AD">
        <w:rPr>
          <w:lang w:eastAsia="en-US"/>
        </w:rPr>
        <w:t>transparency reduces information asymmetry, reduces barriers to entry for new businesses, and p</w:t>
      </w:r>
      <w:r w:rsidR="00245B4B">
        <w:rPr>
          <w:lang w:eastAsia="en-US"/>
        </w:rPr>
        <w:t>romotes competition and innovation</w:t>
      </w:r>
      <w:r w:rsidR="000F6AD7">
        <w:rPr>
          <w:lang w:eastAsia="en-US"/>
        </w:rPr>
        <w:t>.</w:t>
      </w:r>
    </w:p>
    <w:p w14:paraId="48B550DE" w14:textId="3535900A" w:rsidR="00245B4B" w:rsidRDefault="00D709AD" w:rsidP="00FE3C64">
      <w:pPr>
        <w:pStyle w:val="NumberLevel2"/>
        <w:rPr>
          <w:lang w:eastAsia="en-US"/>
        </w:rPr>
      </w:pPr>
      <w:r>
        <w:rPr>
          <w:lang w:eastAsia="en-US"/>
        </w:rPr>
        <w:t xml:space="preserve">For </w:t>
      </w:r>
      <w:r w:rsidR="00A775DF">
        <w:rPr>
          <w:lang w:eastAsia="en-US"/>
        </w:rPr>
        <w:t xml:space="preserve">regulators and law enforcement, </w:t>
      </w:r>
      <w:r w:rsidR="004305AD">
        <w:rPr>
          <w:lang w:eastAsia="en-US"/>
        </w:rPr>
        <w:t xml:space="preserve">transparency facilitates investigations into </w:t>
      </w:r>
      <w:r w:rsidR="000013FC">
        <w:rPr>
          <w:lang w:eastAsia="en-US"/>
        </w:rPr>
        <w:t xml:space="preserve">illicit activity such as </w:t>
      </w:r>
      <w:r w:rsidR="004305AD">
        <w:rPr>
          <w:lang w:eastAsia="en-US"/>
        </w:rPr>
        <w:t>tax evasion, money laundering, and terrorism financing</w:t>
      </w:r>
      <w:r w:rsidR="000F6AD7">
        <w:rPr>
          <w:lang w:eastAsia="en-US"/>
        </w:rPr>
        <w:t>.</w:t>
      </w:r>
    </w:p>
    <w:p w14:paraId="5592F0F5" w14:textId="14FD4C12" w:rsidR="000013FC" w:rsidRDefault="000013FC" w:rsidP="00FE3C64">
      <w:pPr>
        <w:pStyle w:val="NumberLevel2"/>
        <w:rPr>
          <w:lang w:eastAsia="en-US"/>
        </w:rPr>
      </w:pPr>
      <w:r>
        <w:rPr>
          <w:lang w:eastAsia="en-US"/>
        </w:rPr>
        <w:t xml:space="preserve">For businesses, </w:t>
      </w:r>
      <w:r w:rsidR="009961EC">
        <w:rPr>
          <w:lang w:eastAsia="en-US"/>
        </w:rPr>
        <w:t xml:space="preserve">transparency </w:t>
      </w:r>
      <w:r w:rsidR="000F6AD7">
        <w:rPr>
          <w:lang w:eastAsia="en-US"/>
        </w:rPr>
        <w:t xml:space="preserve">addresses market failures arising from information asymmetries, </w:t>
      </w:r>
      <w:r w:rsidR="002555F2">
        <w:rPr>
          <w:lang w:eastAsia="en-US"/>
        </w:rPr>
        <w:t>facilitates</w:t>
      </w:r>
      <w:r w:rsidR="003E17F7">
        <w:rPr>
          <w:lang w:eastAsia="en-US"/>
        </w:rPr>
        <w:t xml:space="preserve"> the </w:t>
      </w:r>
      <w:r w:rsidR="000F6AD7">
        <w:rPr>
          <w:lang w:eastAsia="en-US"/>
        </w:rPr>
        <w:t>undertaking</w:t>
      </w:r>
      <w:r w:rsidR="003E17F7">
        <w:rPr>
          <w:lang w:eastAsia="en-US"/>
        </w:rPr>
        <w:t xml:space="preserve"> of </w:t>
      </w:r>
      <w:r w:rsidR="002555F2">
        <w:rPr>
          <w:lang w:eastAsia="en-US"/>
        </w:rPr>
        <w:t>comprehensive due diligence</w:t>
      </w:r>
      <w:r w:rsidR="000F6AD7">
        <w:rPr>
          <w:lang w:eastAsia="en-US"/>
        </w:rPr>
        <w:t xml:space="preserve"> processes</w:t>
      </w:r>
      <w:r w:rsidR="002555F2">
        <w:rPr>
          <w:lang w:eastAsia="en-US"/>
        </w:rPr>
        <w:t xml:space="preserve">, and </w:t>
      </w:r>
      <w:r w:rsidR="005C5D50">
        <w:rPr>
          <w:lang w:eastAsia="en-US"/>
        </w:rPr>
        <w:t>addresses th</w:t>
      </w:r>
      <w:r w:rsidR="000F6AD7">
        <w:rPr>
          <w:lang w:eastAsia="en-US"/>
        </w:rPr>
        <w:t>at companies</w:t>
      </w:r>
      <w:r w:rsidR="003E17F7">
        <w:rPr>
          <w:lang w:eastAsia="en-US"/>
        </w:rPr>
        <w:t xml:space="preserve"> may</w:t>
      </w:r>
      <w:r w:rsidR="00633A47">
        <w:rPr>
          <w:lang w:eastAsia="en-US"/>
        </w:rPr>
        <w:t xml:space="preserve"> </w:t>
      </w:r>
      <w:r w:rsidR="000F6AD7">
        <w:rPr>
          <w:lang w:eastAsia="en-US"/>
        </w:rPr>
        <w:t>currently hav</w:t>
      </w:r>
      <w:r w:rsidR="005C5D50">
        <w:rPr>
          <w:lang w:eastAsia="en-US"/>
        </w:rPr>
        <w:t>e</w:t>
      </w:r>
      <w:r w:rsidR="000F6AD7">
        <w:rPr>
          <w:lang w:eastAsia="en-US"/>
        </w:rPr>
        <w:t xml:space="preserve"> no </w:t>
      </w:r>
      <w:r w:rsidR="00413B42">
        <w:rPr>
          <w:lang w:eastAsia="en-US"/>
        </w:rPr>
        <w:t>mechanism to determine</w:t>
      </w:r>
      <w:r w:rsidR="003E17F7">
        <w:rPr>
          <w:lang w:eastAsia="en-US"/>
        </w:rPr>
        <w:t xml:space="preserve"> their own </w:t>
      </w:r>
      <w:r w:rsidR="00413B42">
        <w:rPr>
          <w:lang w:eastAsia="en-US"/>
        </w:rPr>
        <w:t>beneficial ownership</w:t>
      </w:r>
      <w:r w:rsidR="000F6AD7">
        <w:rPr>
          <w:lang w:eastAsia="en-US"/>
        </w:rPr>
        <w:t>.</w:t>
      </w:r>
    </w:p>
    <w:p w14:paraId="5CA33535" w14:textId="1CDEAB8F" w:rsidR="00BA260A" w:rsidRDefault="007169E3" w:rsidP="000F6AD7">
      <w:pPr>
        <w:pStyle w:val="NumberLevel2"/>
        <w:rPr>
          <w:lang w:eastAsia="en-US"/>
        </w:rPr>
      </w:pPr>
      <w:r>
        <w:rPr>
          <w:lang w:eastAsia="en-US"/>
        </w:rPr>
        <w:t xml:space="preserve">For individuals, transparency </w:t>
      </w:r>
      <w:r w:rsidR="00875612">
        <w:rPr>
          <w:lang w:eastAsia="en-US"/>
        </w:rPr>
        <w:t xml:space="preserve">facilitates individuals to undertake a comprehensive assessment of financial and non-financial risks, and </w:t>
      </w:r>
      <w:r w:rsidR="009D7CE8">
        <w:rPr>
          <w:lang w:eastAsia="en-US"/>
        </w:rPr>
        <w:t xml:space="preserve">reduces the likelihood that individuals are exposed to fraud, losses, or inadvertent dealings with </w:t>
      </w:r>
      <w:r w:rsidR="00875612">
        <w:rPr>
          <w:lang w:eastAsia="en-US"/>
        </w:rPr>
        <w:t xml:space="preserve">individuals or organisations </w:t>
      </w:r>
      <w:r w:rsidR="000F6AD7">
        <w:rPr>
          <w:lang w:eastAsia="en-US"/>
        </w:rPr>
        <w:t xml:space="preserve">participating in </w:t>
      </w:r>
      <w:r w:rsidR="005C5D50">
        <w:rPr>
          <w:lang w:eastAsia="en-US"/>
        </w:rPr>
        <w:t xml:space="preserve">illicit activity. </w:t>
      </w:r>
    </w:p>
    <w:p w14:paraId="32A86BA5" w14:textId="494684FC" w:rsidR="00B4745D" w:rsidRDefault="00B4745D" w:rsidP="00B4745D">
      <w:pPr>
        <w:pStyle w:val="NumberLevel1"/>
        <w:rPr>
          <w:lang w:eastAsia="en-US"/>
        </w:rPr>
      </w:pPr>
      <w:r>
        <w:rPr>
          <w:lang w:eastAsia="en-US"/>
        </w:rPr>
        <w:t xml:space="preserve">A lack of transparency around beneficial ownership gives rise to opportunities to: </w:t>
      </w:r>
    </w:p>
    <w:p w14:paraId="023667B2" w14:textId="77777777" w:rsidR="00B4745D" w:rsidRDefault="00B4745D" w:rsidP="00BF7FD0">
      <w:pPr>
        <w:pStyle w:val="NumberLevel2"/>
        <w:rPr>
          <w:lang w:eastAsia="en-US"/>
        </w:rPr>
      </w:pPr>
      <w:r>
        <w:rPr>
          <w:lang w:eastAsia="en-US"/>
        </w:rPr>
        <w:t>Conceal ownership of assets.</w:t>
      </w:r>
    </w:p>
    <w:p w14:paraId="7C34C777" w14:textId="77777777" w:rsidR="00B4745D" w:rsidRDefault="00B4745D" w:rsidP="00BF7FD0">
      <w:pPr>
        <w:pStyle w:val="NumberLevel2"/>
        <w:rPr>
          <w:lang w:eastAsia="en-US"/>
        </w:rPr>
      </w:pPr>
      <w:r>
        <w:rPr>
          <w:lang w:eastAsia="en-US"/>
        </w:rPr>
        <w:t xml:space="preserve">Evade tax liabilities, </w:t>
      </w:r>
      <w:proofErr w:type="gramStart"/>
      <w:r>
        <w:rPr>
          <w:lang w:eastAsia="en-US"/>
        </w:rPr>
        <w:t>debts</w:t>
      </w:r>
      <w:proofErr w:type="gramEnd"/>
      <w:r>
        <w:rPr>
          <w:lang w:eastAsia="en-US"/>
        </w:rPr>
        <w:t xml:space="preserve"> and sanctions enforcement.</w:t>
      </w:r>
    </w:p>
    <w:p w14:paraId="0FD51C18" w14:textId="77777777" w:rsidR="00B4745D" w:rsidRDefault="00B4745D" w:rsidP="00BF7FD0">
      <w:pPr>
        <w:pStyle w:val="NumberLevel2"/>
        <w:rPr>
          <w:lang w:eastAsia="en-US"/>
        </w:rPr>
      </w:pPr>
      <w:r>
        <w:rPr>
          <w:lang w:eastAsia="en-US"/>
        </w:rPr>
        <w:t>Launder money and conceal the acquisition of assets through illegal means.</w:t>
      </w:r>
    </w:p>
    <w:p w14:paraId="7DA3727F" w14:textId="77777777" w:rsidR="00B4745D" w:rsidRDefault="00B4745D" w:rsidP="00BF7FD0">
      <w:pPr>
        <w:pStyle w:val="NumberLevel2"/>
        <w:rPr>
          <w:lang w:eastAsia="en-US"/>
        </w:rPr>
      </w:pPr>
      <w:r>
        <w:rPr>
          <w:lang w:eastAsia="en-US"/>
        </w:rPr>
        <w:t xml:space="preserve">Conceal related-party transactions and other dealings which are not at arm’s length. </w:t>
      </w:r>
    </w:p>
    <w:p w14:paraId="026C71AB" w14:textId="77777777" w:rsidR="00B4745D" w:rsidRDefault="00B4745D" w:rsidP="00B4745D">
      <w:pPr>
        <w:pStyle w:val="NumberLevel1"/>
        <w:rPr>
          <w:lang w:eastAsia="en-US"/>
        </w:rPr>
      </w:pPr>
      <w:r>
        <w:rPr>
          <w:lang w:eastAsia="en-US"/>
        </w:rPr>
        <w:t>The weaknesses in Australia’s beneficial owner identification regime also threaten Australia’s standing in the international community, because our regulation of the financial system does not reflect best practice.</w:t>
      </w:r>
    </w:p>
    <w:p w14:paraId="423DDE8F" w14:textId="22A0BDAD" w:rsidR="00B4745D" w:rsidRDefault="00B4745D" w:rsidP="002B030D">
      <w:pPr>
        <w:pStyle w:val="Heading3"/>
        <w:spacing w:after="100"/>
      </w:pPr>
      <w:r>
        <w:t>Two-stage process</w:t>
      </w:r>
    </w:p>
    <w:p w14:paraId="563E0F81" w14:textId="1CD46A28" w:rsidR="007F5A1E" w:rsidRDefault="007F5A1E" w:rsidP="002B030D">
      <w:pPr>
        <w:pStyle w:val="NumberLevel1"/>
        <w:spacing w:before="100" w:after="100"/>
      </w:pPr>
      <w:r>
        <w:t xml:space="preserve">The BO </w:t>
      </w:r>
      <w:r w:rsidR="0071441F">
        <w:t xml:space="preserve">Policy </w:t>
      </w:r>
      <w:r>
        <w:t>is currently in the legislative design phase. Treasury is planning to implement the BO</w:t>
      </w:r>
      <w:r w:rsidR="0071441F">
        <w:t xml:space="preserve"> Policy </w:t>
      </w:r>
      <w:r>
        <w:t xml:space="preserve">across </w:t>
      </w:r>
      <w:r w:rsidR="006111F5">
        <w:t xml:space="preserve">two </w:t>
      </w:r>
      <w:r w:rsidR="006B1E27">
        <w:t>stages</w:t>
      </w:r>
      <w:r>
        <w:t>:</w:t>
      </w:r>
    </w:p>
    <w:tbl>
      <w:tblPr>
        <w:tblStyle w:val="TableGrid"/>
        <w:tblW w:w="8364"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134"/>
        <w:gridCol w:w="7230"/>
      </w:tblGrid>
      <w:tr w:rsidR="006111F5" w:rsidRPr="00121519" w14:paraId="248F5D4A" w14:textId="77777777" w:rsidTr="006111F5">
        <w:trPr>
          <w:cantSplit/>
          <w:tblHeader/>
        </w:trPr>
        <w:tc>
          <w:tcPr>
            <w:tcW w:w="1134" w:type="dxa"/>
            <w:shd w:val="clear" w:color="auto" w:fill="C4DDEA"/>
            <w:vAlign w:val="top"/>
          </w:tcPr>
          <w:p w14:paraId="186ACD10" w14:textId="4DC7E070" w:rsidR="006111F5" w:rsidRPr="00121519" w:rsidRDefault="006111F5" w:rsidP="0071441F">
            <w:pPr>
              <w:pStyle w:val="TableHeading2"/>
              <w:ind w:left="176" w:hanging="176"/>
            </w:pPr>
            <w:r>
              <w:t>Stage</w:t>
            </w:r>
          </w:p>
        </w:tc>
        <w:tc>
          <w:tcPr>
            <w:tcW w:w="7230" w:type="dxa"/>
            <w:shd w:val="clear" w:color="auto" w:fill="C4DDEA"/>
            <w:vAlign w:val="top"/>
          </w:tcPr>
          <w:p w14:paraId="54498C11" w14:textId="595CA1B3" w:rsidR="006111F5" w:rsidRPr="00121519" w:rsidRDefault="006111F5" w:rsidP="0071441F">
            <w:pPr>
              <w:pStyle w:val="TableHeading2"/>
            </w:pPr>
            <w:r>
              <w:t>Description</w:t>
            </w:r>
          </w:p>
        </w:tc>
      </w:tr>
      <w:tr w:rsidR="006111F5" w:rsidRPr="00121519" w14:paraId="425AAF7C" w14:textId="77777777" w:rsidTr="006111F5">
        <w:tc>
          <w:tcPr>
            <w:tcW w:w="1134" w:type="dxa"/>
            <w:vAlign w:val="top"/>
          </w:tcPr>
          <w:p w14:paraId="2AFAB60D" w14:textId="1544C2FD" w:rsidR="006111F5" w:rsidRPr="00121519" w:rsidRDefault="006111F5" w:rsidP="0071441F">
            <w:pPr>
              <w:pStyle w:val="TablePlainParagraph"/>
              <w:rPr>
                <w:b/>
              </w:rPr>
            </w:pPr>
            <w:r>
              <w:rPr>
                <w:b/>
              </w:rPr>
              <w:t>Stage 1</w:t>
            </w:r>
          </w:p>
        </w:tc>
        <w:tc>
          <w:tcPr>
            <w:tcW w:w="7230" w:type="dxa"/>
            <w:vAlign w:val="top"/>
          </w:tcPr>
          <w:p w14:paraId="6D177EE1" w14:textId="0C5FE59C" w:rsidR="006111F5" w:rsidRDefault="006111F5" w:rsidP="0071441F">
            <w:pPr>
              <w:pStyle w:val="TablePlainParagraph"/>
            </w:pPr>
            <w:r>
              <w:t xml:space="preserve">The initial stage focusses on </w:t>
            </w:r>
            <w:r w:rsidR="00CC23CB">
              <w:t xml:space="preserve">requiring </w:t>
            </w:r>
            <w:r>
              <w:t xml:space="preserve">in-scope entities </w:t>
            </w:r>
            <w:r w:rsidRPr="00F61354">
              <w:t>to</w:t>
            </w:r>
            <w:r>
              <w:t xml:space="preserve"> collect, record and verify beneficial ownership information. </w:t>
            </w:r>
          </w:p>
          <w:p w14:paraId="149921A1" w14:textId="77777777" w:rsidR="006111F5" w:rsidRDefault="006111F5" w:rsidP="0071441F">
            <w:pPr>
              <w:pStyle w:val="TablePlainParagraph"/>
            </w:pPr>
            <w:r>
              <w:t>Key aspects of this stage include:</w:t>
            </w:r>
          </w:p>
          <w:p w14:paraId="0A18336B" w14:textId="325E1ED4" w:rsidR="006111F5" w:rsidRDefault="006111F5" w:rsidP="00804008">
            <w:pPr>
              <w:pStyle w:val="TablePlainParagraph"/>
              <w:numPr>
                <w:ilvl w:val="0"/>
                <w:numId w:val="36"/>
              </w:numPr>
            </w:pPr>
            <w:r>
              <w:t>legislating a definition of beneficial ownership</w:t>
            </w:r>
          </w:p>
          <w:p w14:paraId="0C479CFC" w14:textId="5A7F3C68" w:rsidR="006111F5" w:rsidRDefault="006111F5" w:rsidP="00804008">
            <w:pPr>
              <w:pStyle w:val="TablePlainParagraph"/>
              <w:numPr>
                <w:ilvl w:val="0"/>
                <w:numId w:val="36"/>
              </w:numPr>
            </w:pPr>
            <w:r>
              <w:t>imposing requirements on in-scope companies to maintain individual registers</w:t>
            </w:r>
            <w:r w:rsidR="00CF2EE3">
              <w:t xml:space="preserve"> </w:t>
            </w:r>
            <w:r>
              <w:t xml:space="preserve">containing </w:t>
            </w:r>
            <w:proofErr w:type="gramStart"/>
            <w:r w:rsidR="00736B86">
              <w:t>BOI</w:t>
            </w:r>
            <w:proofErr w:type="gramEnd"/>
          </w:p>
          <w:p w14:paraId="35751E3B" w14:textId="5239971D" w:rsidR="006111F5" w:rsidRDefault="006111F5" w:rsidP="006111F5">
            <w:pPr>
              <w:pStyle w:val="TablePlainParagraph"/>
            </w:pPr>
            <w:r>
              <w:t xml:space="preserve">Information from individual registers would be available on request to </w:t>
            </w:r>
            <w:r w:rsidR="16FC07C1">
              <w:t xml:space="preserve">specified </w:t>
            </w:r>
            <w:r>
              <w:t xml:space="preserve">regulators and law enforcement agencies. </w:t>
            </w:r>
          </w:p>
          <w:p w14:paraId="0979A230" w14:textId="770BDA8D" w:rsidR="006111F5" w:rsidRDefault="006111F5" w:rsidP="006111F5">
            <w:pPr>
              <w:pStyle w:val="TablePlainParagraph"/>
            </w:pPr>
            <w:r>
              <w:t xml:space="preserve">Public access to </w:t>
            </w:r>
            <w:r w:rsidR="00CC23CB">
              <w:t xml:space="preserve">a sub-set of </w:t>
            </w:r>
            <w:r>
              <w:t xml:space="preserve">this information </w:t>
            </w:r>
            <w:r w:rsidR="001A37A2">
              <w:t>(with some identifying details redacted)</w:t>
            </w:r>
            <w:r w:rsidR="00AF5987">
              <w:t xml:space="preserve"> </w:t>
            </w:r>
            <w:r w:rsidR="0012097C">
              <w:t xml:space="preserve">must </w:t>
            </w:r>
            <w:r>
              <w:t>be granted on request</w:t>
            </w:r>
            <w:r w:rsidR="00332DF0">
              <w:t>.</w:t>
            </w:r>
            <w:r w:rsidR="00332DF0" w:rsidDel="00332DF0">
              <w:t xml:space="preserve"> </w:t>
            </w:r>
          </w:p>
          <w:p w14:paraId="6F26E637" w14:textId="3E2BB4CF" w:rsidR="00470D86" w:rsidRPr="00121519" w:rsidRDefault="00470D86" w:rsidP="006111F5">
            <w:pPr>
              <w:pStyle w:val="TablePlainParagraph"/>
            </w:pPr>
            <w:r>
              <w:t>Some exceptions apply where beneficial owners are eligible to have their identity suppressed.</w:t>
            </w:r>
          </w:p>
        </w:tc>
      </w:tr>
      <w:tr w:rsidR="006111F5" w:rsidRPr="00121519" w14:paraId="2108F2DC" w14:textId="77777777" w:rsidTr="006111F5">
        <w:tc>
          <w:tcPr>
            <w:tcW w:w="1134" w:type="dxa"/>
            <w:vAlign w:val="top"/>
          </w:tcPr>
          <w:p w14:paraId="2C0B0A48" w14:textId="2462DE75" w:rsidR="006111F5" w:rsidRPr="00121519" w:rsidRDefault="006111F5" w:rsidP="0071441F">
            <w:pPr>
              <w:pStyle w:val="TablePlainParagraph"/>
              <w:rPr>
                <w:b/>
              </w:rPr>
            </w:pPr>
            <w:r>
              <w:rPr>
                <w:b/>
              </w:rPr>
              <w:t>Stage 2</w:t>
            </w:r>
          </w:p>
        </w:tc>
        <w:tc>
          <w:tcPr>
            <w:tcW w:w="7230" w:type="dxa"/>
            <w:vAlign w:val="top"/>
          </w:tcPr>
          <w:p w14:paraId="15AFBAB2" w14:textId="3C66FAC2" w:rsidR="006111F5" w:rsidRDefault="006111F5" w:rsidP="0071441F">
            <w:pPr>
              <w:pStyle w:val="TablePlainParagraph"/>
            </w:pPr>
            <w:r>
              <w:t xml:space="preserve">The second stage involves the upload by in-scope </w:t>
            </w:r>
            <w:r w:rsidR="002D2AF9">
              <w:t xml:space="preserve">companies </w:t>
            </w:r>
            <w:r>
              <w:t>of BOI to a</w:t>
            </w:r>
            <w:r w:rsidR="00A80CFD">
              <w:t xml:space="preserve"> </w:t>
            </w:r>
            <w:r>
              <w:rPr>
                <w:b/>
              </w:rPr>
              <w:t>PCBOR</w:t>
            </w:r>
            <w:r w:rsidR="00183CCC" w:rsidRPr="00AA3C5A">
              <w:t>, maintaine</w:t>
            </w:r>
            <w:r w:rsidR="00183CCC">
              <w:t xml:space="preserve">d by </w:t>
            </w:r>
            <w:r w:rsidR="00736B86">
              <w:t>the RCA</w:t>
            </w:r>
            <w:r>
              <w:t xml:space="preserve">. </w:t>
            </w:r>
          </w:p>
          <w:p w14:paraId="3E9624A7" w14:textId="00766EE6" w:rsidR="006111F5" w:rsidRPr="00121519" w:rsidRDefault="00B6424D" w:rsidP="002D70FF">
            <w:pPr>
              <w:pStyle w:val="TablePlainParagraph"/>
            </w:pPr>
            <w:r>
              <w:t>A sub-set of</w:t>
            </w:r>
            <w:r w:rsidR="002D2AF9">
              <w:t xml:space="preserve"> </w:t>
            </w:r>
            <w:proofErr w:type="gramStart"/>
            <w:r w:rsidR="006111F5">
              <w:t>BOI</w:t>
            </w:r>
            <w:proofErr w:type="gramEnd"/>
            <w:r w:rsidR="006111F5">
              <w:t xml:space="preserve"> stored on the PCBOR </w:t>
            </w:r>
            <w:r>
              <w:t>must be accessible</w:t>
            </w:r>
            <w:r w:rsidR="006111F5">
              <w:t xml:space="preserve"> to the public</w:t>
            </w:r>
            <w:r w:rsidR="002D2AF9">
              <w:t xml:space="preserve"> </w:t>
            </w:r>
            <w:r>
              <w:t>on request</w:t>
            </w:r>
            <w:r w:rsidR="006111F5">
              <w:t xml:space="preserve">, with some identifying details </w:t>
            </w:r>
            <w:r w:rsidR="00183CCC">
              <w:t>excluded</w:t>
            </w:r>
            <w:r w:rsidR="006111F5">
              <w:t>.</w:t>
            </w:r>
            <w:r w:rsidR="00183CCC">
              <w:t xml:space="preserve"> Some exceptions will continue to apply for beneficial owners who are eligible to have their identity suppressed. </w:t>
            </w:r>
            <w:r w:rsidR="006111F5">
              <w:t xml:space="preserve"> </w:t>
            </w:r>
          </w:p>
        </w:tc>
      </w:tr>
    </w:tbl>
    <w:p w14:paraId="3ECF7E75" w14:textId="232F4671" w:rsidR="007F5A1E" w:rsidRDefault="007F5A1E" w:rsidP="002B030D">
      <w:pPr>
        <w:pStyle w:val="Heading3"/>
        <w:spacing w:after="100"/>
      </w:pPr>
      <w:r>
        <w:t xml:space="preserve">Entities and </w:t>
      </w:r>
      <w:r w:rsidR="002A7C02">
        <w:t>beneficial owners</w:t>
      </w:r>
      <w:r>
        <w:t xml:space="preserve"> impacted by the BO</w:t>
      </w:r>
      <w:r w:rsidR="002A7C02">
        <w:t xml:space="preserve"> </w:t>
      </w:r>
      <w:r w:rsidR="00CF2EE3">
        <w:t>Policy</w:t>
      </w:r>
    </w:p>
    <w:p w14:paraId="3933146A" w14:textId="5A892CB8" w:rsidR="007F5A1E" w:rsidRDefault="007F5A1E" w:rsidP="002B030D">
      <w:pPr>
        <w:pStyle w:val="NumberLevel1"/>
        <w:spacing w:before="100" w:after="100"/>
      </w:pPr>
      <w:bookmarkStart w:id="48" w:name="_Ref167715556"/>
      <w:r>
        <w:t xml:space="preserve">The scope of entities proposed to be subject to the new obligations </w:t>
      </w:r>
      <w:r w:rsidR="00A97E31" w:rsidRPr="00A97E31">
        <w:t xml:space="preserve">to </w:t>
      </w:r>
      <w:r w:rsidR="00A97E31">
        <w:t xml:space="preserve">maintain a </w:t>
      </w:r>
      <w:r w:rsidR="004D5E99">
        <w:t>BOR</w:t>
      </w:r>
      <w:r w:rsidR="00A97E31">
        <w:t xml:space="preserve"> </w:t>
      </w:r>
      <w:r>
        <w:t>is set out below:</w:t>
      </w:r>
      <w:bookmarkEnd w:id="48"/>
    </w:p>
    <w:tbl>
      <w:tblPr>
        <w:tblStyle w:val="TableGrid"/>
        <w:tblW w:w="9026" w:type="dxa"/>
        <w:jc w:val="center"/>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4111"/>
        <w:gridCol w:w="2457"/>
        <w:gridCol w:w="2458"/>
      </w:tblGrid>
      <w:tr w:rsidR="00FB4906" w:rsidRPr="00121519" w14:paraId="68B54456" w14:textId="77777777" w:rsidTr="00EF011F">
        <w:trPr>
          <w:cantSplit/>
          <w:tblHeader/>
          <w:jc w:val="center"/>
        </w:trPr>
        <w:tc>
          <w:tcPr>
            <w:tcW w:w="4111" w:type="dxa"/>
            <w:shd w:val="clear" w:color="auto" w:fill="C4DDEA"/>
          </w:tcPr>
          <w:p w14:paraId="3BC34D69" w14:textId="77777777" w:rsidR="00FB4906" w:rsidRPr="00121519" w:rsidRDefault="00FB4906">
            <w:pPr>
              <w:pStyle w:val="TableHeading2"/>
              <w:ind w:left="176" w:hanging="176"/>
            </w:pPr>
            <w:r>
              <w:t>Entity type</w:t>
            </w:r>
          </w:p>
        </w:tc>
        <w:tc>
          <w:tcPr>
            <w:tcW w:w="2457" w:type="dxa"/>
            <w:shd w:val="clear" w:color="auto" w:fill="C4DDEA"/>
          </w:tcPr>
          <w:p w14:paraId="4E7D82EB" w14:textId="22836817" w:rsidR="00FB4906" w:rsidRPr="00121519" w:rsidRDefault="00FB4906">
            <w:pPr>
              <w:pStyle w:val="TableHeading2"/>
            </w:pPr>
            <w:r>
              <w:t>Is entity required to collect and report beneficial ownership information under Stage 1?</w:t>
            </w:r>
          </w:p>
        </w:tc>
        <w:tc>
          <w:tcPr>
            <w:tcW w:w="2458" w:type="dxa"/>
            <w:shd w:val="clear" w:color="auto" w:fill="C4DDEA"/>
          </w:tcPr>
          <w:p w14:paraId="4014600A" w14:textId="77777777" w:rsidR="00FB4906" w:rsidRDefault="00FB4906">
            <w:pPr>
              <w:pStyle w:val="TableHeading2"/>
            </w:pPr>
            <w:r>
              <w:t>Is in-scope company required to trace through entity to beneficial owner?</w:t>
            </w:r>
          </w:p>
        </w:tc>
      </w:tr>
      <w:tr w:rsidR="00FB4906" w:rsidRPr="00121519" w14:paraId="0B21E5FE" w14:textId="77777777" w:rsidTr="00EF011F">
        <w:trPr>
          <w:jc w:val="center"/>
        </w:trPr>
        <w:tc>
          <w:tcPr>
            <w:tcW w:w="4111" w:type="dxa"/>
          </w:tcPr>
          <w:p w14:paraId="0D0B75E1" w14:textId="77777777" w:rsidR="00FB4906" w:rsidRPr="00A66B21" w:rsidRDefault="00FB4906">
            <w:pPr>
              <w:pStyle w:val="TablePlainParagraph"/>
              <w:rPr>
                <w:bCs/>
              </w:rPr>
            </w:pPr>
            <w:r w:rsidRPr="00A66B21">
              <w:rPr>
                <w:bCs/>
              </w:rPr>
              <w:t>Proprietary company (except as defined by any category below)</w:t>
            </w:r>
          </w:p>
        </w:tc>
        <w:tc>
          <w:tcPr>
            <w:tcW w:w="2457" w:type="dxa"/>
          </w:tcPr>
          <w:p w14:paraId="0BB5FC07" w14:textId="77777777" w:rsidR="00FB4906" w:rsidRPr="00121519" w:rsidRDefault="00FB4906">
            <w:pPr>
              <w:pStyle w:val="TablePlainParagraph"/>
              <w:jc w:val="center"/>
            </w:pPr>
            <w:r>
              <w:t>Yes</w:t>
            </w:r>
          </w:p>
        </w:tc>
        <w:tc>
          <w:tcPr>
            <w:tcW w:w="2458" w:type="dxa"/>
          </w:tcPr>
          <w:p w14:paraId="5F92505D" w14:textId="77777777" w:rsidR="00FB4906" w:rsidRPr="00121519" w:rsidRDefault="00FB4906">
            <w:pPr>
              <w:pStyle w:val="TablePlainParagraph"/>
              <w:jc w:val="center"/>
            </w:pPr>
            <w:r>
              <w:t>No</w:t>
            </w:r>
          </w:p>
        </w:tc>
      </w:tr>
      <w:tr w:rsidR="00FB4906" w:rsidRPr="00121519" w14:paraId="3A73BEB1" w14:textId="77777777" w:rsidTr="00EF011F">
        <w:trPr>
          <w:jc w:val="center"/>
        </w:trPr>
        <w:tc>
          <w:tcPr>
            <w:tcW w:w="4111" w:type="dxa"/>
            <w:vAlign w:val="top"/>
          </w:tcPr>
          <w:p w14:paraId="2E80EB76" w14:textId="77777777" w:rsidR="00FB4906" w:rsidRDefault="00FB4906">
            <w:pPr>
              <w:pStyle w:val="TablePlainParagraph"/>
              <w:rPr>
                <w:bCs/>
              </w:rPr>
            </w:pPr>
            <w:r>
              <w:rPr>
                <w:bCs/>
              </w:rPr>
              <w:t>Unlisted public companies, including:</w:t>
            </w:r>
          </w:p>
          <w:p w14:paraId="22D5CB76" w14:textId="77777777" w:rsidR="00FB4906" w:rsidRPr="008F108D" w:rsidRDefault="00FB4906" w:rsidP="00804008">
            <w:pPr>
              <w:pStyle w:val="TablePlainParagraph"/>
              <w:numPr>
                <w:ilvl w:val="0"/>
                <w:numId w:val="36"/>
              </w:numPr>
            </w:pPr>
            <w:r w:rsidRPr="006111F5">
              <w:t>Unlimited liability companies</w:t>
            </w:r>
          </w:p>
          <w:p w14:paraId="7EEB2D2E" w14:textId="77777777" w:rsidR="00FB4906" w:rsidRPr="008F108D" w:rsidRDefault="00FB4906" w:rsidP="00804008">
            <w:pPr>
              <w:pStyle w:val="TablePlainParagraph"/>
              <w:numPr>
                <w:ilvl w:val="0"/>
                <w:numId w:val="36"/>
              </w:numPr>
            </w:pPr>
            <w:r w:rsidRPr="006111F5">
              <w:t xml:space="preserve">No liability </w:t>
            </w:r>
            <w:proofErr w:type="gramStart"/>
            <w:r w:rsidRPr="006111F5">
              <w:t>companies</w:t>
            </w:r>
            <w:proofErr w:type="gramEnd"/>
          </w:p>
          <w:p w14:paraId="1F312A36" w14:textId="77777777" w:rsidR="00FB4906" w:rsidRPr="008F108D" w:rsidRDefault="00FB4906" w:rsidP="00804008">
            <w:pPr>
              <w:pStyle w:val="TablePlainParagraph"/>
              <w:numPr>
                <w:ilvl w:val="0"/>
                <w:numId w:val="36"/>
              </w:numPr>
            </w:pPr>
            <w:r w:rsidRPr="006111F5">
              <w:t xml:space="preserve">Hybrid companies limited by shares and </w:t>
            </w:r>
            <w:proofErr w:type="gramStart"/>
            <w:r w:rsidRPr="006111F5">
              <w:t>guarantees</w:t>
            </w:r>
            <w:proofErr w:type="gramEnd"/>
          </w:p>
          <w:p w14:paraId="3C2D0DB1" w14:textId="77777777" w:rsidR="00FB4906" w:rsidRPr="00E77C0A" w:rsidRDefault="00FB4906" w:rsidP="00804008">
            <w:pPr>
              <w:pStyle w:val="TablePlainParagraph"/>
              <w:numPr>
                <w:ilvl w:val="0"/>
                <w:numId w:val="36"/>
              </w:numPr>
              <w:rPr>
                <w:b/>
              </w:rPr>
            </w:pPr>
            <w:r>
              <w:t>C</w:t>
            </w:r>
            <w:r w:rsidRPr="006111F5">
              <w:t>ompan</w:t>
            </w:r>
            <w:r>
              <w:t>y</w:t>
            </w:r>
            <w:r w:rsidRPr="006111F5">
              <w:t xml:space="preserve"> limited by guarantee</w:t>
            </w:r>
            <w:r>
              <w:t xml:space="preserve"> which can distribute dividends</w:t>
            </w:r>
          </w:p>
        </w:tc>
        <w:tc>
          <w:tcPr>
            <w:tcW w:w="2457" w:type="dxa"/>
          </w:tcPr>
          <w:p w14:paraId="2773225C" w14:textId="77777777" w:rsidR="00FB4906" w:rsidRDefault="00FB4906">
            <w:pPr>
              <w:pStyle w:val="TablePlainParagraph"/>
              <w:jc w:val="center"/>
            </w:pPr>
            <w:r>
              <w:t>Yes</w:t>
            </w:r>
          </w:p>
        </w:tc>
        <w:tc>
          <w:tcPr>
            <w:tcW w:w="2458" w:type="dxa"/>
          </w:tcPr>
          <w:p w14:paraId="06F9DBD9" w14:textId="77777777" w:rsidR="00FB4906" w:rsidRDefault="00FB4906">
            <w:pPr>
              <w:pStyle w:val="TablePlainParagraph"/>
              <w:jc w:val="center"/>
            </w:pPr>
            <w:r>
              <w:t>No</w:t>
            </w:r>
          </w:p>
        </w:tc>
      </w:tr>
      <w:tr w:rsidR="00FB4906" w:rsidRPr="00121519" w14:paraId="6D2A0FC2" w14:textId="77777777" w:rsidTr="00EF011F">
        <w:trPr>
          <w:jc w:val="center"/>
        </w:trPr>
        <w:tc>
          <w:tcPr>
            <w:tcW w:w="4111" w:type="dxa"/>
            <w:vAlign w:val="top"/>
          </w:tcPr>
          <w:p w14:paraId="0567623F" w14:textId="77777777" w:rsidR="00FB4906" w:rsidRDefault="00FB4906">
            <w:pPr>
              <w:pStyle w:val="TablePlainParagraph"/>
              <w:rPr>
                <w:bCs/>
              </w:rPr>
            </w:pPr>
            <w:r>
              <w:rPr>
                <w:bCs/>
              </w:rPr>
              <w:t>Publicly listed companies</w:t>
            </w:r>
          </w:p>
        </w:tc>
        <w:tc>
          <w:tcPr>
            <w:tcW w:w="2457" w:type="dxa"/>
          </w:tcPr>
          <w:p w14:paraId="6A30CB79" w14:textId="77777777" w:rsidR="00FB4906" w:rsidRDefault="00FB4906">
            <w:pPr>
              <w:pStyle w:val="TablePlainParagraph"/>
              <w:jc w:val="center"/>
            </w:pPr>
            <w:r>
              <w:t>No</w:t>
            </w:r>
          </w:p>
        </w:tc>
        <w:tc>
          <w:tcPr>
            <w:tcW w:w="2458" w:type="dxa"/>
          </w:tcPr>
          <w:p w14:paraId="6CFAD0D3" w14:textId="77777777" w:rsidR="00FB4906" w:rsidRDefault="00FB4906">
            <w:pPr>
              <w:pStyle w:val="TablePlainParagraph"/>
              <w:jc w:val="center"/>
            </w:pPr>
            <w:r>
              <w:t>No</w:t>
            </w:r>
          </w:p>
        </w:tc>
      </w:tr>
      <w:tr w:rsidR="00FB4906" w:rsidRPr="00121519" w14:paraId="39080B41" w14:textId="77777777" w:rsidTr="00EF011F">
        <w:trPr>
          <w:jc w:val="center"/>
        </w:trPr>
        <w:tc>
          <w:tcPr>
            <w:tcW w:w="4111" w:type="dxa"/>
            <w:vAlign w:val="top"/>
          </w:tcPr>
          <w:p w14:paraId="01AB6EE8" w14:textId="77777777" w:rsidR="00FB4906" w:rsidRPr="00A66B21" w:rsidRDefault="00FB4906">
            <w:pPr>
              <w:pStyle w:val="TablePlainParagraph"/>
              <w:rPr>
                <w:bCs/>
              </w:rPr>
            </w:pPr>
            <w:r>
              <w:rPr>
                <w:bCs/>
              </w:rPr>
              <w:t>A registered foreign company in Australia</w:t>
            </w:r>
          </w:p>
        </w:tc>
        <w:tc>
          <w:tcPr>
            <w:tcW w:w="2457" w:type="dxa"/>
          </w:tcPr>
          <w:p w14:paraId="28CA5D46" w14:textId="77777777" w:rsidR="00FB4906" w:rsidRDefault="00FB4906">
            <w:pPr>
              <w:pStyle w:val="TablePlainParagraph"/>
              <w:jc w:val="center"/>
            </w:pPr>
            <w:r>
              <w:t>Yes</w:t>
            </w:r>
          </w:p>
        </w:tc>
        <w:tc>
          <w:tcPr>
            <w:tcW w:w="2458" w:type="dxa"/>
          </w:tcPr>
          <w:p w14:paraId="76691999" w14:textId="77777777" w:rsidR="00FB4906" w:rsidRDefault="00FB4906">
            <w:pPr>
              <w:pStyle w:val="TablePlainParagraph"/>
              <w:jc w:val="center"/>
            </w:pPr>
            <w:r>
              <w:t>No</w:t>
            </w:r>
          </w:p>
        </w:tc>
      </w:tr>
      <w:tr w:rsidR="00FB4906" w:rsidRPr="00121519" w14:paraId="6B9C847D" w14:textId="77777777" w:rsidTr="00EF011F">
        <w:trPr>
          <w:jc w:val="center"/>
        </w:trPr>
        <w:tc>
          <w:tcPr>
            <w:tcW w:w="4111" w:type="dxa"/>
            <w:vAlign w:val="top"/>
          </w:tcPr>
          <w:p w14:paraId="04A47C15" w14:textId="77777777" w:rsidR="00FB4906" w:rsidRPr="00A66B21" w:rsidRDefault="00FB4906">
            <w:pPr>
              <w:pStyle w:val="TablePlainParagraph"/>
              <w:rPr>
                <w:bCs/>
              </w:rPr>
            </w:pPr>
            <w:r>
              <w:rPr>
                <w:bCs/>
              </w:rPr>
              <w:t>A foreign company not registered in Australia</w:t>
            </w:r>
          </w:p>
        </w:tc>
        <w:tc>
          <w:tcPr>
            <w:tcW w:w="2457" w:type="dxa"/>
          </w:tcPr>
          <w:p w14:paraId="3538DF56" w14:textId="77777777" w:rsidR="00FB4906" w:rsidRDefault="00FB4906">
            <w:pPr>
              <w:pStyle w:val="TablePlainParagraph"/>
              <w:jc w:val="center"/>
            </w:pPr>
            <w:r>
              <w:t>No</w:t>
            </w:r>
          </w:p>
        </w:tc>
        <w:tc>
          <w:tcPr>
            <w:tcW w:w="2458" w:type="dxa"/>
          </w:tcPr>
          <w:p w14:paraId="61DCB870" w14:textId="77777777" w:rsidR="00FB4906" w:rsidRDefault="00FB4906">
            <w:pPr>
              <w:pStyle w:val="TablePlainParagraph"/>
              <w:jc w:val="center"/>
            </w:pPr>
            <w:r>
              <w:t>Yes (unless foreign jurisdiction has equivalent beneficial ownership regime)</w:t>
            </w:r>
          </w:p>
        </w:tc>
      </w:tr>
      <w:tr w:rsidR="00FB4906" w:rsidRPr="00121519" w14:paraId="0C99D5C1" w14:textId="77777777" w:rsidTr="00EF011F">
        <w:trPr>
          <w:jc w:val="center"/>
        </w:trPr>
        <w:tc>
          <w:tcPr>
            <w:tcW w:w="4111" w:type="dxa"/>
            <w:vAlign w:val="top"/>
          </w:tcPr>
          <w:p w14:paraId="6E93AD83" w14:textId="77777777" w:rsidR="00FB4906" w:rsidRPr="00A66B21" w:rsidRDefault="00FB4906">
            <w:pPr>
              <w:pStyle w:val="TablePlainParagraph"/>
              <w:rPr>
                <w:bCs/>
              </w:rPr>
            </w:pPr>
            <w:r>
              <w:rPr>
                <w:bCs/>
              </w:rPr>
              <w:t>Corporate trustee of Managed Investment Scheme</w:t>
            </w:r>
          </w:p>
        </w:tc>
        <w:tc>
          <w:tcPr>
            <w:tcW w:w="2457" w:type="dxa"/>
          </w:tcPr>
          <w:p w14:paraId="32746F67" w14:textId="77777777" w:rsidR="00FB4906" w:rsidRDefault="00FB4906">
            <w:pPr>
              <w:pStyle w:val="TablePlainParagraph"/>
              <w:jc w:val="center"/>
            </w:pPr>
            <w:r>
              <w:t>Yes</w:t>
            </w:r>
          </w:p>
        </w:tc>
        <w:tc>
          <w:tcPr>
            <w:tcW w:w="2458" w:type="dxa"/>
          </w:tcPr>
          <w:p w14:paraId="37E2A327" w14:textId="77777777" w:rsidR="00FB4906" w:rsidRDefault="00FB4906">
            <w:pPr>
              <w:pStyle w:val="TablePlainParagraph"/>
              <w:jc w:val="center"/>
            </w:pPr>
            <w:r>
              <w:t>No</w:t>
            </w:r>
          </w:p>
        </w:tc>
      </w:tr>
      <w:tr w:rsidR="00FB4906" w:rsidRPr="00121519" w14:paraId="00832181" w14:textId="77777777" w:rsidTr="00EF011F">
        <w:trPr>
          <w:jc w:val="center"/>
        </w:trPr>
        <w:tc>
          <w:tcPr>
            <w:tcW w:w="4111" w:type="dxa"/>
            <w:vAlign w:val="top"/>
          </w:tcPr>
          <w:p w14:paraId="04AA04A4" w14:textId="77777777" w:rsidR="00FB4906" w:rsidRDefault="00FB4906">
            <w:pPr>
              <w:pStyle w:val="TablePlainParagraph"/>
              <w:rPr>
                <w:bCs/>
              </w:rPr>
            </w:pPr>
            <w:r>
              <w:rPr>
                <w:bCs/>
              </w:rPr>
              <w:t>Managed Investment Scheme</w:t>
            </w:r>
          </w:p>
        </w:tc>
        <w:tc>
          <w:tcPr>
            <w:tcW w:w="2457" w:type="dxa"/>
          </w:tcPr>
          <w:p w14:paraId="0980AB8C" w14:textId="77777777" w:rsidR="00FB4906" w:rsidRDefault="00FB4906">
            <w:pPr>
              <w:pStyle w:val="TablePlainParagraph"/>
              <w:jc w:val="center"/>
            </w:pPr>
            <w:r>
              <w:t>No</w:t>
            </w:r>
          </w:p>
        </w:tc>
        <w:tc>
          <w:tcPr>
            <w:tcW w:w="2458" w:type="dxa"/>
          </w:tcPr>
          <w:p w14:paraId="2841D488" w14:textId="77777777" w:rsidR="00FB4906" w:rsidRDefault="00FB4906">
            <w:pPr>
              <w:pStyle w:val="TablePlainParagraph"/>
              <w:jc w:val="center"/>
            </w:pPr>
            <w:r>
              <w:t>No</w:t>
            </w:r>
          </w:p>
        </w:tc>
      </w:tr>
      <w:tr w:rsidR="00FB4906" w:rsidRPr="00121519" w14:paraId="039718DB" w14:textId="77777777" w:rsidTr="00EF011F">
        <w:trPr>
          <w:jc w:val="center"/>
        </w:trPr>
        <w:tc>
          <w:tcPr>
            <w:tcW w:w="4111" w:type="dxa"/>
            <w:vAlign w:val="top"/>
          </w:tcPr>
          <w:p w14:paraId="41A8F8E7" w14:textId="77777777" w:rsidR="00FB4906" w:rsidRDefault="00FB4906">
            <w:pPr>
              <w:pStyle w:val="TablePlainParagraph"/>
              <w:rPr>
                <w:bCs/>
              </w:rPr>
            </w:pPr>
            <w:r>
              <w:rPr>
                <w:bCs/>
              </w:rPr>
              <w:t>Corporate Responsible Entity of Corporate Collective Investment Vehicle</w:t>
            </w:r>
          </w:p>
        </w:tc>
        <w:tc>
          <w:tcPr>
            <w:tcW w:w="2457" w:type="dxa"/>
          </w:tcPr>
          <w:p w14:paraId="0A6181C0" w14:textId="77777777" w:rsidR="00FB4906" w:rsidRDefault="00FB4906">
            <w:pPr>
              <w:pStyle w:val="TablePlainParagraph"/>
              <w:jc w:val="center"/>
            </w:pPr>
            <w:r>
              <w:t>Yes</w:t>
            </w:r>
          </w:p>
        </w:tc>
        <w:tc>
          <w:tcPr>
            <w:tcW w:w="2458" w:type="dxa"/>
          </w:tcPr>
          <w:p w14:paraId="59BB5ACC" w14:textId="77777777" w:rsidR="00FB4906" w:rsidRDefault="00FB4906">
            <w:pPr>
              <w:pStyle w:val="TablePlainParagraph"/>
              <w:jc w:val="center"/>
            </w:pPr>
            <w:r>
              <w:t>No</w:t>
            </w:r>
          </w:p>
        </w:tc>
      </w:tr>
      <w:tr w:rsidR="00FB4906" w:rsidRPr="00121519" w14:paraId="18E751FF" w14:textId="77777777" w:rsidTr="00EF011F">
        <w:trPr>
          <w:jc w:val="center"/>
        </w:trPr>
        <w:tc>
          <w:tcPr>
            <w:tcW w:w="4111" w:type="dxa"/>
            <w:vAlign w:val="top"/>
          </w:tcPr>
          <w:p w14:paraId="56A14DBE" w14:textId="77777777" w:rsidR="00FB4906" w:rsidRDefault="00FB4906">
            <w:pPr>
              <w:pStyle w:val="TablePlainParagraph"/>
              <w:rPr>
                <w:bCs/>
              </w:rPr>
            </w:pPr>
            <w:r>
              <w:rPr>
                <w:bCs/>
              </w:rPr>
              <w:t>Corporate Collective Investment Vehicle</w:t>
            </w:r>
          </w:p>
        </w:tc>
        <w:tc>
          <w:tcPr>
            <w:tcW w:w="2457" w:type="dxa"/>
          </w:tcPr>
          <w:p w14:paraId="0530571B" w14:textId="77777777" w:rsidR="00FB4906" w:rsidRDefault="00FB4906">
            <w:pPr>
              <w:pStyle w:val="TablePlainParagraph"/>
              <w:jc w:val="center"/>
            </w:pPr>
            <w:r>
              <w:t>No</w:t>
            </w:r>
          </w:p>
        </w:tc>
        <w:tc>
          <w:tcPr>
            <w:tcW w:w="2458" w:type="dxa"/>
          </w:tcPr>
          <w:p w14:paraId="2A8A5B8F" w14:textId="77777777" w:rsidR="00FB4906" w:rsidRDefault="00FB4906">
            <w:pPr>
              <w:pStyle w:val="TablePlainParagraph"/>
              <w:jc w:val="center"/>
            </w:pPr>
            <w:r>
              <w:t>No</w:t>
            </w:r>
          </w:p>
        </w:tc>
      </w:tr>
      <w:tr w:rsidR="00FB4906" w:rsidRPr="00121519" w14:paraId="0F2A77DF" w14:textId="77777777" w:rsidTr="00EF011F">
        <w:trPr>
          <w:jc w:val="center"/>
        </w:trPr>
        <w:tc>
          <w:tcPr>
            <w:tcW w:w="4111" w:type="dxa"/>
            <w:vAlign w:val="top"/>
          </w:tcPr>
          <w:p w14:paraId="7D415D54" w14:textId="77777777" w:rsidR="00FB4906" w:rsidRDefault="00FB4906">
            <w:pPr>
              <w:pStyle w:val="TablePlainParagraph"/>
              <w:rPr>
                <w:bCs/>
              </w:rPr>
            </w:pPr>
            <w:r>
              <w:rPr>
                <w:bCs/>
              </w:rPr>
              <w:t>Registrable Superannuation Entity licensee</w:t>
            </w:r>
          </w:p>
        </w:tc>
        <w:tc>
          <w:tcPr>
            <w:tcW w:w="2457" w:type="dxa"/>
          </w:tcPr>
          <w:p w14:paraId="4FA65A79" w14:textId="77777777" w:rsidR="00FB4906" w:rsidRDefault="00FB4906">
            <w:pPr>
              <w:pStyle w:val="TablePlainParagraph"/>
              <w:jc w:val="center"/>
            </w:pPr>
            <w:r>
              <w:t>Yes</w:t>
            </w:r>
          </w:p>
        </w:tc>
        <w:tc>
          <w:tcPr>
            <w:tcW w:w="2458" w:type="dxa"/>
          </w:tcPr>
          <w:p w14:paraId="3BE9B0A5" w14:textId="77777777" w:rsidR="00FB4906" w:rsidRDefault="00FB4906">
            <w:pPr>
              <w:pStyle w:val="TablePlainParagraph"/>
              <w:jc w:val="center"/>
            </w:pPr>
            <w:r>
              <w:t>No</w:t>
            </w:r>
          </w:p>
        </w:tc>
      </w:tr>
      <w:tr w:rsidR="00FB4906" w:rsidRPr="00121519" w14:paraId="1C2F590D" w14:textId="77777777" w:rsidTr="00EF011F">
        <w:trPr>
          <w:jc w:val="center"/>
        </w:trPr>
        <w:tc>
          <w:tcPr>
            <w:tcW w:w="4111" w:type="dxa"/>
            <w:vAlign w:val="top"/>
          </w:tcPr>
          <w:p w14:paraId="6B4555E3" w14:textId="77777777" w:rsidR="00FB4906" w:rsidRDefault="00FB4906">
            <w:pPr>
              <w:pStyle w:val="TablePlainParagraph"/>
              <w:rPr>
                <w:bCs/>
              </w:rPr>
            </w:pPr>
            <w:r>
              <w:rPr>
                <w:bCs/>
              </w:rPr>
              <w:t>Registrable Superannuation Entity</w:t>
            </w:r>
          </w:p>
        </w:tc>
        <w:tc>
          <w:tcPr>
            <w:tcW w:w="2457" w:type="dxa"/>
          </w:tcPr>
          <w:p w14:paraId="5DFCE84A" w14:textId="77777777" w:rsidR="00FB4906" w:rsidRDefault="00FB4906">
            <w:pPr>
              <w:pStyle w:val="TablePlainParagraph"/>
              <w:jc w:val="center"/>
            </w:pPr>
            <w:r>
              <w:t>No</w:t>
            </w:r>
          </w:p>
        </w:tc>
        <w:tc>
          <w:tcPr>
            <w:tcW w:w="2458" w:type="dxa"/>
          </w:tcPr>
          <w:p w14:paraId="4A683E6B" w14:textId="77777777" w:rsidR="00FB4906" w:rsidRDefault="00FB4906">
            <w:pPr>
              <w:pStyle w:val="TablePlainParagraph"/>
              <w:jc w:val="center"/>
            </w:pPr>
            <w:r>
              <w:t>No</w:t>
            </w:r>
          </w:p>
        </w:tc>
      </w:tr>
      <w:tr w:rsidR="00FB4906" w:rsidRPr="00121519" w14:paraId="4E9A312A" w14:textId="77777777" w:rsidTr="00EF011F">
        <w:trPr>
          <w:jc w:val="center"/>
        </w:trPr>
        <w:tc>
          <w:tcPr>
            <w:tcW w:w="4111" w:type="dxa"/>
            <w:vAlign w:val="top"/>
          </w:tcPr>
          <w:p w14:paraId="5F781AD1" w14:textId="77777777" w:rsidR="00FB4906" w:rsidRDefault="00FB4906">
            <w:pPr>
              <w:pStyle w:val="TablePlainParagraph"/>
              <w:rPr>
                <w:bCs/>
              </w:rPr>
            </w:pPr>
            <w:r w:rsidRPr="00E77C0A">
              <w:rPr>
                <w:bCs/>
              </w:rPr>
              <w:t>Self-Managed Superannuation Funds and Small APRA Funds</w:t>
            </w:r>
          </w:p>
        </w:tc>
        <w:tc>
          <w:tcPr>
            <w:tcW w:w="2457" w:type="dxa"/>
          </w:tcPr>
          <w:p w14:paraId="1DA9AEA0" w14:textId="77777777" w:rsidR="00FB4906" w:rsidRDefault="00FB4906">
            <w:pPr>
              <w:pStyle w:val="TablePlainParagraph"/>
              <w:jc w:val="center"/>
            </w:pPr>
            <w:r>
              <w:t>No</w:t>
            </w:r>
          </w:p>
        </w:tc>
        <w:tc>
          <w:tcPr>
            <w:tcW w:w="2458" w:type="dxa"/>
          </w:tcPr>
          <w:p w14:paraId="119CFCC8" w14:textId="77777777" w:rsidR="00FB4906" w:rsidRDefault="00FB4906">
            <w:pPr>
              <w:pStyle w:val="TablePlainParagraph"/>
              <w:jc w:val="center"/>
            </w:pPr>
            <w:r>
              <w:t>Yes</w:t>
            </w:r>
          </w:p>
        </w:tc>
      </w:tr>
      <w:tr w:rsidR="00FB4906" w:rsidRPr="00121519" w14:paraId="35A39324" w14:textId="77777777" w:rsidTr="00EF011F">
        <w:trPr>
          <w:jc w:val="center"/>
        </w:trPr>
        <w:tc>
          <w:tcPr>
            <w:tcW w:w="4111" w:type="dxa"/>
            <w:vAlign w:val="top"/>
          </w:tcPr>
          <w:p w14:paraId="0C5CEE0E" w14:textId="77777777" w:rsidR="00FB4906" w:rsidRPr="00E77C0A" w:rsidRDefault="00FB4906">
            <w:pPr>
              <w:pStyle w:val="TablePlainParagraph"/>
              <w:rPr>
                <w:bCs/>
              </w:rPr>
            </w:pPr>
            <w:r w:rsidRPr="00E77C0A">
              <w:rPr>
                <w:bCs/>
              </w:rPr>
              <w:t>Indigenous corporations registered under the Corporations (Aboriginal and Torres Strait Islander) Act 2006</w:t>
            </w:r>
          </w:p>
        </w:tc>
        <w:tc>
          <w:tcPr>
            <w:tcW w:w="2457" w:type="dxa"/>
          </w:tcPr>
          <w:p w14:paraId="642541BC" w14:textId="77777777" w:rsidR="00FB4906" w:rsidRDefault="00FB4906">
            <w:pPr>
              <w:pStyle w:val="TablePlainParagraph"/>
              <w:jc w:val="center"/>
            </w:pPr>
            <w:r>
              <w:t>No</w:t>
            </w:r>
          </w:p>
        </w:tc>
        <w:tc>
          <w:tcPr>
            <w:tcW w:w="2458" w:type="dxa"/>
          </w:tcPr>
          <w:p w14:paraId="0457C169" w14:textId="77777777" w:rsidR="00FB4906" w:rsidRDefault="00FB4906">
            <w:pPr>
              <w:pStyle w:val="TablePlainParagraph"/>
              <w:jc w:val="center"/>
            </w:pPr>
            <w:r>
              <w:t>No</w:t>
            </w:r>
          </w:p>
        </w:tc>
      </w:tr>
      <w:tr w:rsidR="00FB4906" w:rsidRPr="00121519" w14:paraId="4477469C" w14:textId="77777777" w:rsidTr="00EF011F">
        <w:trPr>
          <w:jc w:val="center"/>
        </w:trPr>
        <w:tc>
          <w:tcPr>
            <w:tcW w:w="4111" w:type="dxa"/>
            <w:vAlign w:val="top"/>
          </w:tcPr>
          <w:p w14:paraId="5F50962E" w14:textId="77777777" w:rsidR="00FB4906" w:rsidRPr="00E77C0A" w:rsidRDefault="00FB4906">
            <w:pPr>
              <w:pStyle w:val="TablePlainParagraph"/>
              <w:rPr>
                <w:bCs/>
              </w:rPr>
            </w:pPr>
            <w:r>
              <w:rPr>
                <w:bCs/>
              </w:rPr>
              <w:t>Charities registered with ACNC</w:t>
            </w:r>
          </w:p>
        </w:tc>
        <w:tc>
          <w:tcPr>
            <w:tcW w:w="2457" w:type="dxa"/>
          </w:tcPr>
          <w:p w14:paraId="319E5534" w14:textId="77777777" w:rsidR="00FB4906" w:rsidRDefault="00FB4906">
            <w:pPr>
              <w:pStyle w:val="TablePlainParagraph"/>
              <w:jc w:val="center"/>
            </w:pPr>
            <w:r>
              <w:t>No</w:t>
            </w:r>
          </w:p>
        </w:tc>
        <w:tc>
          <w:tcPr>
            <w:tcW w:w="2458" w:type="dxa"/>
          </w:tcPr>
          <w:p w14:paraId="22377459" w14:textId="77777777" w:rsidR="00FB4906" w:rsidRDefault="00FB4906">
            <w:pPr>
              <w:pStyle w:val="TablePlainParagraph"/>
              <w:jc w:val="center"/>
            </w:pPr>
            <w:r>
              <w:t>No</w:t>
            </w:r>
          </w:p>
        </w:tc>
      </w:tr>
      <w:tr w:rsidR="00FB4906" w:rsidRPr="00121519" w14:paraId="146574D6" w14:textId="77777777" w:rsidTr="00EF011F">
        <w:trPr>
          <w:jc w:val="center"/>
        </w:trPr>
        <w:tc>
          <w:tcPr>
            <w:tcW w:w="4111" w:type="dxa"/>
            <w:vAlign w:val="top"/>
          </w:tcPr>
          <w:p w14:paraId="2EDCA511" w14:textId="77777777" w:rsidR="00FB4906" w:rsidRDefault="00FB4906">
            <w:pPr>
              <w:pStyle w:val="TablePlainParagraph"/>
              <w:rPr>
                <w:bCs/>
              </w:rPr>
            </w:pPr>
            <w:r>
              <w:rPr>
                <w:bCs/>
              </w:rPr>
              <w:t>Not-for-profit entity registered as a company with ASIC and operates outside Australia</w:t>
            </w:r>
          </w:p>
        </w:tc>
        <w:tc>
          <w:tcPr>
            <w:tcW w:w="2457" w:type="dxa"/>
          </w:tcPr>
          <w:p w14:paraId="61B54135" w14:textId="77777777" w:rsidR="00FB4906" w:rsidRDefault="00FB4906">
            <w:pPr>
              <w:pStyle w:val="TablePlainParagraph"/>
              <w:jc w:val="center"/>
            </w:pPr>
            <w:r>
              <w:t>Yes</w:t>
            </w:r>
          </w:p>
        </w:tc>
        <w:tc>
          <w:tcPr>
            <w:tcW w:w="2458" w:type="dxa"/>
          </w:tcPr>
          <w:p w14:paraId="01938BC3" w14:textId="77777777" w:rsidR="00FB4906" w:rsidRDefault="00FB4906">
            <w:pPr>
              <w:pStyle w:val="TablePlainParagraph"/>
              <w:jc w:val="center"/>
            </w:pPr>
            <w:r>
              <w:t>No</w:t>
            </w:r>
          </w:p>
        </w:tc>
      </w:tr>
      <w:tr w:rsidR="00FB4906" w:rsidRPr="00121519" w14:paraId="28F1D8E8" w14:textId="77777777" w:rsidTr="00EF011F">
        <w:trPr>
          <w:jc w:val="center"/>
        </w:trPr>
        <w:tc>
          <w:tcPr>
            <w:tcW w:w="4111" w:type="dxa"/>
            <w:vAlign w:val="top"/>
          </w:tcPr>
          <w:p w14:paraId="133FE3AD" w14:textId="77777777" w:rsidR="00FB4906" w:rsidRDefault="00FB4906">
            <w:pPr>
              <w:pStyle w:val="TablePlainParagraph"/>
              <w:rPr>
                <w:bCs/>
              </w:rPr>
            </w:pPr>
            <w:r>
              <w:rPr>
                <w:bCs/>
              </w:rPr>
              <w:t>Not-for-profit entity registered as a company with ASIC and does not operate outside Australia</w:t>
            </w:r>
          </w:p>
        </w:tc>
        <w:tc>
          <w:tcPr>
            <w:tcW w:w="2457" w:type="dxa"/>
          </w:tcPr>
          <w:p w14:paraId="150E3017" w14:textId="77777777" w:rsidR="00FB4906" w:rsidRDefault="00FB4906">
            <w:pPr>
              <w:pStyle w:val="TablePlainParagraph"/>
              <w:jc w:val="center"/>
            </w:pPr>
            <w:r>
              <w:t>No</w:t>
            </w:r>
          </w:p>
        </w:tc>
        <w:tc>
          <w:tcPr>
            <w:tcW w:w="2458" w:type="dxa"/>
          </w:tcPr>
          <w:p w14:paraId="5C57A215" w14:textId="77777777" w:rsidR="00FB4906" w:rsidRDefault="00FB4906">
            <w:pPr>
              <w:pStyle w:val="TablePlainParagraph"/>
              <w:jc w:val="center"/>
            </w:pPr>
            <w:r>
              <w:t>No</w:t>
            </w:r>
          </w:p>
        </w:tc>
      </w:tr>
      <w:tr w:rsidR="00FB4906" w:rsidRPr="00121519" w14:paraId="13E9AA4D" w14:textId="77777777" w:rsidTr="00EF011F">
        <w:trPr>
          <w:jc w:val="center"/>
        </w:trPr>
        <w:tc>
          <w:tcPr>
            <w:tcW w:w="4111" w:type="dxa"/>
            <w:vAlign w:val="top"/>
          </w:tcPr>
          <w:p w14:paraId="611B1332" w14:textId="77777777" w:rsidR="00FB4906" w:rsidRDefault="00FB4906">
            <w:pPr>
              <w:pStyle w:val="TablePlainParagraph"/>
              <w:rPr>
                <w:bCs/>
              </w:rPr>
            </w:pPr>
            <w:r>
              <w:rPr>
                <w:bCs/>
              </w:rPr>
              <w:t>Not-for-profit entity not registered as a company</w:t>
            </w:r>
          </w:p>
        </w:tc>
        <w:tc>
          <w:tcPr>
            <w:tcW w:w="2457" w:type="dxa"/>
          </w:tcPr>
          <w:p w14:paraId="66BC59FA" w14:textId="77777777" w:rsidR="00FB4906" w:rsidRDefault="00FB4906">
            <w:pPr>
              <w:pStyle w:val="TablePlainParagraph"/>
              <w:jc w:val="center"/>
            </w:pPr>
            <w:r>
              <w:t>No</w:t>
            </w:r>
          </w:p>
        </w:tc>
        <w:tc>
          <w:tcPr>
            <w:tcW w:w="2458" w:type="dxa"/>
          </w:tcPr>
          <w:p w14:paraId="62D4AC7A" w14:textId="77777777" w:rsidR="00FB4906" w:rsidRDefault="00FB4906">
            <w:pPr>
              <w:pStyle w:val="TablePlainParagraph"/>
              <w:jc w:val="center"/>
            </w:pPr>
            <w:r>
              <w:t>Yes</w:t>
            </w:r>
          </w:p>
        </w:tc>
      </w:tr>
      <w:tr w:rsidR="00FB4906" w:rsidRPr="00121519" w14:paraId="441936F3" w14:textId="77777777" w:rsidTr="00EF011F">
        <w:trPr>
          <w:jc w:val="center"/>
        </w:trPr>
        <w:tc>
          <w:tcPr>
            <w:tcW w:w="4111" w:type="dxa"/>
            <w:vAlign w:val="top"/>
          </w:tcPr>
          <w:p w14:paraId="0637079F" w14:textId="77777777" w:rsidR="00FB4906" w:rsidRDefault="00FB4906">
            <w:pPr>
              <w:pStyle w:val="TablePlainParagraph"/>
              <w:rPr>
                <w:bCs/>
              </w:rPr>
            </w:pPr>
            <w:r>
              <w:rPr>
                <w:bCs/>
              </w:rPr>
              <w:t>Director-owner companies</w:t>
            </w:r>
          </w:p>
        </w:tc>
        <w:tc>
          <w:tcPr>
            <w:tcW w:w="2457" w:type="dxa"/>
          </w:tcPr>
          <w:p w14:paraId="082C025B" w14:textId="77777777" w:rsidR="00FB4906" w:rsidRDefault="00FB4906">
            <w:pPr>
              <w:pStyle w:val="TablePlainParagraph"/>
              <w:jc w:val="center"/>
            </w:pPr>
            <w:r>
              <w:t>Yes – certification</w:t>
            </w:r>
          </w:p>
        </w:tc>
        <w:tc>
          <w:tcPr>
            <w:tcW w:w="2458" w:type="dxa"/>
          </w:tcPr>
          <w:p w14:paraId="1B631B40" w14:textId="77777777" w:rsidR="00FB4906" w:rsidRDefault="00FB4906">
            <w:pPr>
              <w:pStyle w:val="TablePlainParagraph"/>
              <w:jc w:val="center"/>
            </w:pPr>
            <w:r>
              <w:t>No</w:t>
            </w:r>
          </w:p>
        </w:tc>
      </w:tr>
      <w:tr w:rsidR="00FB4906" w:rsidRPr="00121519" w14:paraId="6F743F75" w14:textId="77777777" w:rsidTr="00EF011F">
        <w:trPr>
          <w:jc w:val="center"/>
        </w:trPr>
        <w:tc>
          <w:tcPr>
            <w:tcW w:w="4111" w:type="dxa"/>
            <w:vAlign w:val="top"/>
          </w:tcPr>
          <w:p w14:paraId="165DD3CF" w14:textId="77777777" w:rsidR="00FB4906" w:rsidRDefault="00FB4906">
            <w:pPr>
              <w:pStyle w:val="TablePlainParagraph"/>
              <w:rPr>
                <w:bCs/>
              </w:rPr>
            </w:pPr>
            <w:r>
              <w:rPr>
                <w:bCs/>
              </w:rPr>
              <w:t xml:space="preserve">Company Limited </w:t>
            </w:r>
            <w:proofErr w:type="gramStart"/>
            <w:r>
              <w:rPr>
                <w:bCs/>
              </w:rPr>
              <w:t>By</w:t>
            </w:r>
            <w:proofErr w:type="gramEnd"/>
            <w:r>
              <w:rPr>
                <w:bCs/>
              </w:rPr>
              <w:t xml:space="preserve"> Guarantee which cannot distribute dividends</w:t>
            </w:r>
          </w:p>
        </w:tc>
        <w:tc>
          <w:tcPr>
            <w:tcW w:w="2457" w:type="dxa"/>
          </w:tcPr>
          <w:p w14:paraId="28936346" w14:textId="3EDE22FB" w:rsidR="00FB4906" w:rsidRDefault="00FB4906">
            <w:pPr>
              <w:pStyle w:val="TablePlainParagraph"/>
              <w:jc w:val="center"/>
            </w:pPr>
            <w:r>
              <w:t>Yes –</w:t>
            </w:r>
            <w:r w:rsidR="008C01FB">
              <w:t xml:space="preserve"> </w:t>
            </w:r>
            <w:r>
              <w:t>certification</w:t>
            </w:r>
          </w:p>
        </w:tc>
        <w:tc>
          <w:tcPr>
            <w:tcW w:w="2458" w:type="dxa"/>
          </w:tcPr>
          <w:p w14:paraId="39543B50" w14:textId="77777777" w:rsidR="00FB4906" w:rsidRDefault="00FB4906">
            <w:pPr>
              <w:pStyle w:val="TablePlainParagraph"/>
              <w:jc w:val="center"/>
            </w:pPr>
            <w:r>
              <w:t>No</w:t>
            </w:r>
          </w:p>
        </w:tc>
      </w:tr>
      <w:tr w:rsidR="00FB4906" w:rsidRPr="00121519" w14:paraId="04B8F78F" w14:textId="77777777" w:rsidTr="00EF011F">
        <w:trPr>
          <w:jc w:val="center"/>
        </w:trPr>
        <w:tc>
          <w:tcPr>
            <w:tcW w:w="4111" w:type="dxa"/>
            <w:vAlign w:val="top"/>
          </w:tcPr>
          <w:p w14:paraId="59B34BB6" w14:textId="77777777" w:rsidR="00FB4906" w:rsidRDefault="00FB4906">
            <w:pPr>
              <w:pStyle w:val="TablePlainParagraph"/>
              <w:rPr>
                <w:bCs/>
              </w:rPr>
            </w:pPr>
            <w:r w:rsidRPr="006F67E5">
              <w:rPr>
                <w:bCs/>
              </w:rPr>
              <w:t>Wholly owned subsidiaries of listed entities</w:t>
            </w:r>
          </w:p>
        </w:tc>
        <w:tc>
          <w:tcPr>
            <w:tcW w:w="2457" w:type="dxa"/>
          </w:tcPr>
          <w:p w14:paraId="4E6C67A6" w14:textId="77777777" w:rsidR="00FB4906" w:rsidRDefault="00FB4906">
            <w:pPr>
              <w:pStyle w:val="TablePlainParagraph"/>
              <w:jc w:val="center"/>
            </w:pPr>
            <w:r>
              <w:t>Yes</w:t>
            </w:r>
          </w:p>
        </w:tc>
        <w:tc>
          <w:tcPr>
            <w:tcW w:w="2458" w:type="dxa"/>
          </w:tcPr>
          <w:p w14:paraId="2FD11FAD" w14:textId="77777777" w:rsidR="00FB4906" w:rsidRDefault="00FB4906">
            <w:pPr>
              <w:pStyle w:val="TablePlainParagraph"/>
              <w:jc w:val="center"/>
            </w:pPr>
            <w:r>
              <w:t>No</w:t>
            </w:r>
          </w:p>
        </w:tc>
      </w:tr>
      <w:tr w:rsidR="00FB4906" w:rsidRPr="00121519" w14:paraId="383F7017" w14:textId="77777777" w:rsidTr="00EF011F">
        <w:trPr>
          <w:jc w:val="center"/>
        </w:trPr>
        <w:tc>
          <w:tcPr>
            <w:tcW w:w="4111" w:type="dxa"/>
            <w:vAlign w:val="top"/>
          </w:tcPr>
          <w:p w14:paraId="46FDD5E8" w14:textId="77777777" w:rsidR="00FB4906" w:rsidRPr="006F67E5" w:rsidRDefault="00FB4906">
            <w:pPr>
              <w:pStyle w:val="TablePlainParagraph"/>
              <w:rPr>
                <w:bCs/>
              </w:rPr>
            </w:pPr>
            <w:r>
              <w:rPr>
                <w:bCs/>
              </w:rPr>
              <w:t>Wholly owned subsidiaries of in-scope companies</w:t>
            </w:r>
          </w:p>
        </w:tc>
        <w:tc>
          <w:tcPr>
            <w:tcW w:w="2457" w:type="dxa"/>
          </w:tcPr>
          <w:p w14:paraId="1303FE86" w14:textId="77777777" w:rsidR="00FB4906" w:rsidRDefault="00FB4906">
            <w:pPr>
              <w:pStyle w:val="TablePlainParagraph"/>
              <w:jc w:val="center"/>
            </w:pPr>
            <w:r>
              <w:t>Yes – but can provide consolidated register for the corporate group</w:t>
            </w:r>
          </w:p>
        </w:tc>
        <w:tc>
          <w:tcPr>
            <w:tcW w:w="2458" w:type="dxa"/>
          </w:tcPr>
          <w:p w14:paraId="1B481AF9" w14:textId="77777777" w:rsidR="00FB4906" w:rsidRDefault="00FB4906">
            <w:pPr>
              <w:pStyle w:val="TablePlainParagraph"/>
              <w:jc w:val="center"/>
            </w:pPr>
            <w:r>
              <w:t>No</w:t>
            </w:r>
          </w:p>
        </w:tc>
      </w:tr>
      <w:tr w:rsidR="00813181" w:rsidRPr="00121519" w14:paraId="4320CCF8" w14:textId="77777777" w:rsidTr="00EF011F">
        <w:trPr>
          <w:jc w:val="center"/>
        </w:trPr>
        <w:tc>
          <w:tcPr>
            <w:tcW w:w="4111" w:type="dxa"/>
            <w:vAlign w:val="top"/>
          </w:tcPr>
          <w:p w14:paraId="2DDEF53F" w14:textId="24AE633C" w:rsidR="00813181" w:rsidRDefault="00813181">
            <w:pPr>
              <w:pStyle w:val="TablePlainParagraph"/>
              <w:rPr>
                <w:bCs/>
              </w:rPr>
            </w:pPr>
            <w:r>
              <w:rPr>
                <w:bCs/>
              </w:rPr>
              <w:t>Partnerships</w:t>
            </w:r>
          </w:p>
        </w:tc>
        <w:tc>
          <w:tcPr>
            <w:tcW w:w="2457" w:type="dxa"/>
          </w:tcPr>
          <w:p w14:paraId="5D734009" w14:textId="75B63053" w:rsidR="00813181" w:rsidRDefault="00813181">
            <w:pPr>
              <w:pStyle w:val="TablePlainParagraph"/>
              <w:jc w:val="center"/>
            </w:pPr>
            <w:r>
              <w:t>No</w:t>
            </w:r>
          </w:p>
        </w:tc>
        <w:tc>
          <w:tcPr>
            <w:tcW w:w="2458" w:type="dxa"/>
          </w:tcPr>
          <w:p w14:paraId="296C846B" w14:textId="629688BC" w:rsidR="00813181" w:rsidRDefault="00813181">
            <w:pPr>
              <w:pStyle w:val="TablePlainParagraph"/>
              <w:jc w:val="center"/>
            </w:pPr>
            <w:r>
              <w:t>Yes</w:t>
            </w:r>
          </w:p>
        </w:tc>
      </w:tr>
      <w:tr w:rsidR="00813181" w:rsidRPr="00121519" w14:paraId="5B6D82DF" w14:textId="77777777" w:rsidTr="00EF011F">
        <w:trPr>
          <w:jc w:val="center"/>
        </w:trPr>
        <w:tc>
          <w:tcPr>
            <w:tcW w:w="4111" w:type="dxa"/>
            <w:vAlign w:val="top"/>
          </w:tcPr>
          <w:p w14:paraId="02837958" w14:textId="01C0178E" w:rsidR="00813181" w:rsidRDefault="00813181">
            <w:pPr>
              <w:pStyle w:val="TablePlainParagraph"/>
              <w:rPr>
                <w:bCs/>
              </w:rPr>
            </w:pPr>
            <w:r>
              <w:rPr>
                <w:bCs/>
              </w:rPr>
              <w:t>Incorporated associations</w:t>
            </w:r>
          </w:p>
        </w:tc>
        <w:tc>
          <w:tcPr>
            <w:tcW w:w="2457" w:type="dxa"/>
          </w:tcPr>
          <w:p w14:paraId="08D2D60D" w14:textId="3B0826BA" w:rsidR="00813181" w:rsidRDefault="00813181">
            <w:pPr>
              <w:pStyle w:val="TablePlainParagraph"/>
              <w:jc w:val="center"/>
            </w:pPr>
            <w:r>
              <w:t>No</w:t>
            </w:r>
          </w:p>
        </w:tc>
        <w:tc>
          <w:tcPr>
            <w:tcW w:w="2458" w:type="dxa"/>
          </w:tcPr>
          <w:p w14:paraId="1B6A633B" w14:textId="25CB8527" w:rsidR="00813181" w:rsidRDefault="00813181">
            <w:pPr>
              <w:pStyle w:val="TablePlainParagraph"/>
              <w:jc w:val="center"/>
            </w:pPr>
            <w:r>
              <w:t>Yes</w:t>
            </w:r>
          </w:p>
        </w:tc>
      </w:tr>
      <w:tr w:rsidR="00813181" w:rsidRPr="00121519" w14:paraId="63B50E37" w14:textId="77777777" w:rsidTr="00EF011F">
        <w:trPr>
          <w:jc w:val="center"/>
        </w:trPr>
        <w:tc>
          <w:tcPr>
            <w:tcW w:w="4111" w:type="dxa"/>
            <w:vAlign w:val="top"/>
          </w:tcPr>
          <w:p w14:paraId="4099EDF3" w14:textId="57A3DBFA" w:rsidR="00813181" w:rsidRDefault="00813181">
            <w:pPr>
              <w:pStyle w:val="TablePlainParagraph"/>
              <w:rPr>
                <w:bCs/>
              </w:rPr>
            </w:pPr>
            <w:r>
              <w:rPr>
                <w:bCs/>
              </w:rPr>
              <w:t>Unincorporated associations</w:t>
            </w:r>
          </w:p>
        </w:tc>
        <w:tc>
          <w:tcPr>
            <w:tcW w:w="2457" w:type="dxa"/>
          </w:tcPr>
          <w:p w14:paraId="6C4A6BA6" w14:textId="0FE441C6" w:rsidR="00813181" w:rsidRDefault="00813181">
            <w:pPr>
              <w:pStyle w:val="TablePlainParagraph"/>
              <w:jc w:val="center"/>
            </w:pPr>
            <w:r>
              <w:t>No</w:t>
            </w:r>
          </w:p>
        </w:tc>
        <w:tc>
          <w:tcPr>
            <w:tcW w:w="2458" w:type="dxa"/>
          </w:tcPr>
          <w:p w14:paraId="7E10C07A" w14:textId="66EED17D" w:rsidR="00813181" w:rsidRDefault="00813181">
            <w:pPr>
              <w:pStyle w:val="TablePlainParagraph"/>
              <w:jc w:val="center"/>
            </w:pPr>
            <w:r>
              <w:t>Yes</w:t>
            </w:r>
          </w:p>
        </w:tc>
      </w:tr>
      <w:tr w:rsidR="00813181" w:rsidRPr="00121519" w14:paraId="1080C4CA" w14:textId="77777777" w:rsidTr="00EF011F">
        <w:trPr>
          <w:jc w:val="center"/>
        </w:trPr>
        <w:tc>
          <w:tcPr>
            <w:tcW w:w="4111" w:type="dxa"/>
            <w:vAlign w:val="top"/>
          </w:tcPr>
          <w:p w14:paraId="461A29E1" w14:textId="52EC7F3C" w:rsidR="00813181" w:rsidRDefault="00460A00">
            <w:pPr>
              <w:pStyle w:val="TablePlainParagraph"/>
              <w:rPr>
                <w:bCs/>
              </w:rPr>
            </w:pPr>
            <w:r>
              <w:rPr>
                <w:bCs/>
              </w:rPr>
              <w:t>Registered co-operatives</w:t>
            </w:r>
          </w:p>
        </w:tc>
        <w:tc>
          <w:tcPr>
            <w:tcW w:w="2457" w:type="dxa"/>
          </w:tcPr>
          <w:p w14:paraId="74C56BDC" w14:textId="0A936328" w:rsidR="00813181" w:rsidRDefault="00460A00">
            <w:pPr>
              <w:pStyle w:val="TablePlainParagraph"/>
              <w:jc w:val="center"/>
            </w:pPr>
            <w:r>
              <w:t>No</w:t>
            </w:r>
          </w:p>
        </w:tc>
        <w:tc>
          <w:tcPr>
            <w:tcW w:w="2458" w:type="dxa"/>
          </w:tcPr>
          <w:p w14:paraId="54C7CFEE" w14:textId="05F8381D" w:rsidR="00813181" w:rsidRDefault="00460A00">
            <w:pPr>
              <w:pStyle w:val="TablePlainParagraph"/>
              <w:jc w:val="center"/>
            </w:pPr>
            <w:r>
              <w:t>Yes</w:t>
            </w:r>
          </w:p>
        </w:tc>
      </w:tr>
    </w:tbl>
    <w:p w14:paraId="3050998C" w14:textId="022A83AB" w:rsidR="007F5A1E" w:rsidRDefault="007F5A1E" w:rsidP="002B030D">
      <w:pPr>
        <w:pStyle w:val="NumberLevel1"/>
        <w:spacing w:before="100" w:after="100"/>
      </w:pPr>
      <w:r>
        <w:t xml:space="preserve">In-scope </w:t>
      </w:r>
      <w:r w:rsidR="006B1E27">
        <w:t>companies</w:t>
      </w:r>
      <w:r>
        <w:t xml:space="preserve"> may also be required to ‘trace through’ non-in-scope </w:t>
      </w:r>
      <w:r w:rsidR="00D67C85">
        <w:t xml:space="preserve">entities </w:t>
      </w:r>
      <w:r>
        <w:t xml:space="preserve">to identify a </w:t>
      </w:r>
      <w:r w:rsidR="006B1E27">
        <w:t>beneficial owner</w:t>
      </w:r>
      <w:r>
        <w:t xml:space="preserve"> in the following circumstances:</w:t>
      </w:r>
    </w:p>
    <w:p w14:paraId="1F1F4DFA" w14:textId="4C191113" w:rsidR="007F5A1E" w:rsidRDefault="007F5A1E" w:rsidP="002B030D">
      <w:pPr>
        <w:pStyle w:val="NumberLevel2"/>
        <w:spacing w:before="100" w:after="100"/>
      </w:pPr>
      <w:r>
        <w:t xml:space="preserve">Tracing through a foreign company not registered in </w:t>
      </w:r>
      <w:proofErr w:type="gramStart"/>
      <w:r>
        <w:t>Australi</w:t>
      </w:r>
      <w:r w:rsidR="006111F5">
        <w:t>a</w:t>
      </w:r>
      <w:proofErr w:type="gramEnd"/>
      <w:r>
        <w:t xml:space="preserve"> </w:t>
      </w:r>
    </w:p>
    <w:p w14:paraId="611E8358" w14:textId="78B0F6BE" w:rsidR="00574067" w:rsidRDefault="007F5A1E" w:rsidP="002B030D">
      <w:pPr>
        <w:pStyle w:val="NumberLevel2"/>
        <w:spacing w:before="100" w:after="100"/>
      </w:pPr>
      <w:r>
        <w:t>Tracing through Self-Managed Superannuation Funds and Small APRA Funds</w:t>
      </w:r>
    </w:p>
    <w:p w14:paraId="0EFF398E" w14:textId="5A20EC6D" w:rsidR="007F5A1E" w:rsidRDefault="00574067" w:rsidP="002B030D">
      <w:pPr>
        <w:pStyle w:val="NumberLevel2"/>
        <w:spacing w:before="100" w:after="100"/>
      </w:pPr>
      <w:r>
        <w:t xml:space="preserve">Tracing through </w:t>
      </w:r>
      <w:r w:rsidR="00AF78C5">
        <w:t>other non-company entity types including partnerships and associations</w:t>
      </w:r>
      <w:r w:rsidR="007F5A1E">
        <w:t>.</w:t>
      </w:r>
    </w:p>
    <w:p w14:paraId="3BE61DE3" w14:textId="13373809" w:rsidR="002A7C02" w:rsidRDefault="002A7C02" w:rsidP="002B030D">
      <w:pPr>
        <w:pStyle w:val="NumberLevel1"/>
        <w:spacing w:before="100" w:after="100"/>
      </w:pPr>
      <w:bookmarkStart w:id="49" w:name="_Ref160442721"/>
      <w:r>
        <w:t xml:space="preserve">A beneficial owner will be defined as any </w:t>
      </w:r>
      <w:r w:rsidR="00416ED3">
        <w:t xml:space="preserve">natural </w:t>
      </w:r>
      <w:r>
        <w:t xml:space="preserve">person </w:t>
      </w:r>
      <w:r w:rsidR="00416ED3">
        <w:t xml:space="preserve">or legal person </w:t>
      </w:r>
      <w:r>
        <w:t>who:</w:t>
      </w:r>
      <w:bookmarkEnd w:id="49"/>
    </w:p>
    <w:p w14:paraId="06155E8B" w14:textId="77777777" w:rsidR="002A7C02" w:rsidRDefault="002A7C02" w:rsidP="002B030D">
      <w:pPr>
        <w:pStyle w:val="NumberLevel2"/>
        <w:spacing w:before="100" w:after="100"/>
      </w:pPr>
      <w:r>
        <w:t>holds, directly or indirectly, 25 per cent of the shares of an in-scope company (</w:t>
      </w:r>
      <w:r>
        <w:rPr>
          <w:b/>
        </w:rPr>
        <w:t>limb 1</w:t>
      </w:r>
      <w:r>
        <w:t>)</w:t>
      </w:r>
    </w:p>
    <w:p w14:paraId="7CD89C23" w14:textId="77777777" w:rsidR="002A7C02" w:rsidRDefault="002A7C02" w:rsidP="002B030D">
      <w:pPr>
        <w:pStyle w:val="NumberLevel2"/>
        <w:spacing w:before="100" w:after="100"/>
      </w:pPr>
      <w:r>
        <w:t>holds, directly or indirectly, 25 per cent of the voting rights in an in-scope company (</w:t>
      </w:r>
      <w:r>
        <w:rPr>
          <w:b/>
        </w:rPr>
        <w:t>limb 2</w:t>
      </w:r>
      <w:r>
        <w:t>)</w:t>
      </w:r>
    </w:p>
    <w:p w14:paraId="1CEAD9E9" w14:textId="77777777" w:rsidR="002A7C02" w:rsidRDefault="002A7C02" w:rsidP="002B030D">
      <w:pPr>
        <w:pStyle w:val="NumberLevel2"/>
        <w:spacing w:before="100" w:after="100"/>
      </w:pPr>
      <w:r>
        <w:t xml:space="preserve">holds the right, directly or indirectly, to appoint or remove </w:t>
      </w:r>
      <w:proofErr w:type="gramStart"/>
      <w:r>
        <w:t>a majority of</w:t>
      </w:r>
      <w:proofErr w:type="gramEnd"/>
      <w:r>
        <w:t xml:space="preserve"> the board of directors of an in-scope company (</w:t>
      </w:r>
      <w:r>
        <w:rPr>
          <w:b/>
        </w:rPr>
        <w:t>limb 3</w:t>
      </w:r>
      <w:r>
        <w:t>)</w:t>
      </w:r>
    </w:p>
    <w:p w14:paraId="78B68866" w14:textId="77777777" w:rsidR="002A7C02" w:rsidRDefault="002A7C02" w:rsidP="002B030D">
      <w:pPr>
        <w:pStyle w:val="NumberLevel2"/>
        <w:spacing w:before="100" w:after="100"/>
      </w:pPr>
      <w:r>
        <w:t xml:space="preserve">has the right to exercise, or </w:t>
      </w:r>
      <w:proofErr w:type="gramStart"/>
      <w:r>
        <w:t>actually exercises</w:t>
      </w:r>
      <w:proofErr w:type="gramEnd"/>
      <w:r>
        <w:t>, significant influence or control over an in-scope company (</w:t>
      </w:r>
      <w:r>
        <w:rPr>
          <w:b/>
        </w:rPr>
        <w:t>limb 4</w:t>
      </w:r>
      <w:r>
        <w:t>).</w:t>
      </w:r>
    </w:p>
    <w:p w14:paraId="279888B1" w14:textId="7B230C9F" w:rsidR="007F5A1E" w:rsidRDefault="002A7C02" w:rsidP="002B030D">
      <w:pPr>
        <w:pStyle w:val="NumberLevel1"/>
        <w:spacing w:before="100" w:after="100"/>
      </w:pPr>
      <w:r>
        <w:t>In-scope companies</w:t>
      </w:r>
      <w:r w:rsidR="007F5A1E">
        <w:t xml:space="preserve"> will be required to comply with additional obligations to protect the BOI of vulnerable </w:t>
      </w:r>
      <w:r>
        <w:t>beneficial owners</w:t>
      </w:r>
      <w:r w:rsidR="00401180">
        <w:t xml:space="preserve"> </w:t>
      </w:r>
      <w:r w:rsidR="00FE0DF2">
        <w:t>whose safety is threatened by being on the register</w:t>
      </w:r>
      <w:r w:rsidR="007F5A1E">
        <w:t xml:space="preserve">. These obligations include de-identifying BOI of vulnerable </w:t>
      </w:r>
      <w:r>
        <w:t xml:space="preserve">beneficial owners </w:t>
      </w:r>
      <w:r w:rsidR="007F5A1E">
        <w:t xml:space="preserve">before releasing it to the public. </w:t>
      </w:r>
      <w:r w:rsidR="006111F5">
        <w:t>However, c</w:t>
      </w:r>
      <w:r>
        <w:t>ertain</w:t>
      </w:r>
      <w:r w:rsidR="007F5A1E">
        <w:t xml:space="preserve"> regulators will be able to access the complete record of BOI.  </w:t>
      </w:r>
    </w:p>
    <w:p w14:paraId="21C0A753" w14:textId="77777777" w:rsidR="007F5A1E" w:rsidRDefault="007F5A1E" w:rsidP="005157ED">
      <w:pPr>
        <w:pStyle w:val="Heading3"/>
        <w:spacing w:after="100"/>
      </w:pPr>
      <w:r>
        <w:t xml:space="preserve">Information constituting </w:t>
      </w:r>
      <w:proofErr w:type="gramStart"/>
      <w:r>
        <w:t>BOI</w:t>
      </w:r>
      <w:proofErr w:type="gramEnd"/>
    </w:p>
    <w:p w14:paraId="76DFD764" w14:textId="5B856D67" w:rsidR="007F5A1E" w:rsidRDefault="007F5A1E" w:rsidP="005157ED">
      <w:pPr>
        <w:pStyle w:val="NumberLevel1"/>
        <w:spacing w:before="100" w:after="100"/>
      </w:pPr>
      <w:bookmarkStart w:id="50" w:name="_Ref160096938"/>
      <w:r>
        <w:t>The</w:t>
      </w:r>
      <w:r w:rsidR="007945C2">
        <w:t xml:space="preserve"> legislative framework will require</w:t>
      </w:r>
      <w:r>
        <w:t xml:space="preserve"> in-scope </w:t>
      </w:r>
      <w:r w:rsidR="00344AE4">
        <w:t xml:space="preserve">companies </w:t>
      </w:r>
      <w:r>
        <w:t>to collect, record and verify BOI from person</w:t>
      </w:r>
      <w:r w:rsidR="0031423B">
        <w:t>s</w:t>
      </w:r>
      <w:r w:rsidR="00C01022">
        <w:t xml:space="preserve"> (including legal persons)</w:t>
      </w:r>
      <w:r>
        <w:t xml:space="preserve"> </w:t>
      </w:r>
      <w:r w:rsidR="00AD5E63">
        <w:t xml:space="preserve">who </w:t>
      </w:r>
      <w:r>
        <w:t xml:space="preserve">satisfy the definition of a </w:t>
      </w:r>
      <w:r w:rsidR="002A7C02">
        <w:t>beneficial owner</w:t>
      </w:r>
      <w:r w:rsidR="00AD5E63">
        <w:t xml:space="preserve"> and </w:t>
      </w:r>
      <w:r w:rsidR="00935CFB">
        <w:t>need to be recorded on a company’s register</w:t>
      </w:r>
      <w:r>
        <w:t xml:space="preserve">. BOI is proposed to include the following information about </w:t>
      </w:r>
      <w:r w:rsidR="00D74557">
        <w:t>beneficial owners</w:t>
      </w:r>
      <w:r>
        <w:t xml:space="preserve">, depending on the nature of the </w:t>
      </w:r>
      <w:r w:rsidR="002A7C02">
        <w:t>beneficial owner</w:t>
      </w:r>
      <w:r>
        <w:t>:</w:t>
      </w:r>
      <w:bookmarkEnd w:id="50"/>
    </w:p>
    <w:tbl>
      <w:tblPr>
        <w:tblStyle w:val="TableClassic3"/>
        <w:tblW w:w="8844" w:type="dxa"/>
        <w:tblInd w:w="-284" w:type="dxa"/>
        <w:tblBorders>
          <w:top w:val="none" w:sz="0" w:space="0" w:color="auto"/>
          <w:left w:val="none" w:sz="0" w:space="0" w:color="auto"/>
          <w:bottom w:val="none" w:sz="0" w:space="0" w:color="auto"/>
          <w:right w:val="none" w:sz="0" w:space="0" w:color="auto"/>
          <w:insideH w:val="single" w:sz="12" w:space="0" w:color="000000"/>
          <w:insideV w:val="single" w:sz="12" w:space="0" w:color="000000"/>
        </w:tblBorders>
        <w:tblLook w:val="04A0" w:firstRow="1" w:lastRow="0" w:firstColumn="1" w:lastColumn="0" w:noHBand="0" w:noVBand="1"/>
      </w:tblPr>
      <w:tblGrid>
        <w:gridCol w:w="2608"/>
        <w:gridCol w:w="3118"/>
        <w:gridCol w:w="3118"/>
      </w:tblGrid>
      <w:tr w:rsidR="00483461" w14:paraId="6B979F33" w14:textId="77777777" w:rsidTr="002B0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shd w:val="clear" w:color="auto" w:fill="C4DDEA"/>
          </w:tcPr>
          <w:p w14:paraId="04571908" w14:textId="77777777" w:rsidR="007F5A1E" w:rsidRPr="006111F5" w:rsidRDefault="007F5A1E" w:rsidP="006111F5">
            <w:pPr>
              <w:pStyle w:val="TableHeading2"/>
              <w:ind w:firstLine="22"/>
              <w:rPr>
                <w:b/>
                <w:i w:val="0"/>
                <w:color w:val="auto"/>
              </w:rPr>
            </w:pPr>
            <w:r w:rsidRPr="006111F5">
              <w:rPr>
                <w:b/>
                <w:i w:val="0"/>
                <w:color w:val="auto"/>
              </w:rPr>
              <w:t>Natural persons</w:t>
            </w:r>
          </w:p>
        </w:tc>
        <w:tc>
          <w:tcPr>
            <w:tcW w:w="3118" w:type="dxa"/>
            <w:shd w:val="clear" w:color="auto" w:fill="C4DDEA"/>
          </w:tcPr>
          <w:p w14:paraId="1C680B92" w14:textId="77777777" w:rsidR="007F5A1E" w:rsidRPr="006111F5" w:rsidRDefault="007F5A1E" w:rsidP="006111F5">
            <w:pPr>
              <w:pStyle w:val="TableHeading2"/>
              <w:ind w:firstLine="22"/>
              <w:cnfStyle w:val="100000000000" w:firstRow="1" w:lastRow="0" w:firstColumn="0" w:lastColumn="0" w:oddVBand="0" w:evenVBand="0" w:oddHBand="0" w:evenHBand="0" w:firstRowFirstColumn="0" w:firstRowLastColumn="0" w:lastRowFirstColumn="0" w:lastRowLastColumn="0"/>
              <w:rPr>
                <w:b/>
                <w:i w:val="0"/>
                <w:color w:val="auto"/>
              </w:rPr>
            </w:pPr>
            <w:r w:rsidRPr="006111F5">
              <w:rPr>
                <w:b/>
                <w:i w:val="0"/>
                <w:color w:val="auto"/>
              </w:rPr>
              <w:t xml:space="preserve">Companies, Registered MISs and CCIVs  </w:t>
            </w:r>
          </w:p>
        </w:tc>
        <w:tc>
          <w:tcPr>
            <w:tcW w:w="3118" w:type="dxa"/>
            <w:shd w:val="clear" w:color="auto" w:fill="C4DDEA"/>
          </w:tcPr>
          <w:p w14:paraId="5E909456" w14:textId="77777777" w:rsidR="007F5A1E" w:rsidRPr="006111F5" w:rsidRDefault="007F5A1E" w:rsidP="006111F5">
            <w:pPr>
              <w:pStyle w:val="TableHeading2"/>
              <w:ind w:firstLine="22"/>
              <w:cnfStyle w:val="100000000000" w:firstRow="1" w:lastRow="0" w:firstColumn="0" w:lastColumn="0" w:oddVBand="0" w:evenVBand="0" w:oddHBand="0" w:evenHBand="0" w:firstRowFirstColumn="0" w:firstRowLastColumn="0" w:lastRowFirstColumn="0" w:lastRowLastColumn="0"/>
              <w:rPr>
                <w:b/>
                <w:i w:val="0"/>
                <w:color w:val="auto"/>
              </w:rPr>
            </w:pPr>
            <w:r w:rsidRPr="006111F5">
              <w:rPr>
                <w:b/>
                <w:i w:val="0"/>
                <w:color w:val="auto"/>
              </w:rPr>
              <w:t>Trusts</w:t>
            </w:r>
          </w:p>
        </w:tc>
      </w:tr>
      <w:tr w:rsidR="00AB3401" w14:paraId="4B3B231F" w14:textId="77777777" w:rsidTr="002B030D">
        <w:tc>
          <w:tcPr>
            <w:cnfStyle w:val="001000000000" w:firstRow="0" w:lastRow="0" w:firstColumn="1" w:lastColumn="0" w:oddVBand="0" w:evenVBand="0" w:oddHBand="0" w:evenHBand="0" w:firstRowFirstColumn="0" w:firstRowLastColumn="0" w:lastRowFirstColumn="0" w:lastRowLastColumn="0"/>
            <w:tcW w:w="2608" w:type="dxa"/>
            <w:shd w:val="clear" w:color="auto" w:fill="auto"/>
          </w:tcPr>
          <w:p w14:paraId="32C36050" w14:textId="77777777" w:rsidR="007F5A1E" w:rsidRPr="002B030D" w:rsidRDefault="007F5A1E" w:rsidP="00804008">
            <w:pPr>
              <w:pStyle w:val="TablePlainParagraph"/>
              <w:numPr>
                <w:ilvl w:val="0"/>
                <w:numId w:val="36"/>
              </w:numPr>
              <w:rPr>
                <w:b w:val="0"/>
                <w:color w:val="auto"/>
              </w:rPr>
            </w:pPr>
            <w:r w:rsidRPr="002B030D">
              <w:rPr>
                <w:b w:val="0"/>
                <w:color w:val="auto"/>
              </w:rPr>
              <w:t>Full name</w:t>
            </w:r>
          </w:p>
          <w:p w14:paraId="0C52AF6A" w14:textId="77777777" w:rsidR="007F5A1E" w:rsidRPr="002B030D" w:rsidRDefault="007F5A1E" w:rsidP="00804008">
            <w:pPr>
              <w:pStyle w:val="TablePlainParagraph"/>
              <w:numPr>
                <w:ilvl w:val="0"/>
                <w:numId w:val="36"/>
              </w:numPr>
              <w:rPr>
                <w:b w:val="0"/>
                <w:color w:val="auto"/>
              </w:rPr>
            </w:pPr>
            <w:r w:rsidRPr="002B030D">
              <w:rPr>
                <w:b w:val="0"/>
                <w:color w:val="auto"/>
              </w:rPr>
              <w:t>Addresses for communication and service</w:t>
            </w:r>
          </w:p>
          <w:p w14:paraId="5B201A85" w14:textId="639719E5" w:rsidR="007F5A1E" w:rsidRPr="002B030D" w:rsidRDefault="007F5A1E" w:rsidP="00804008">
            <w:pPr>
              <w:pStyle w:val="TablePlainParagraph"/>
              <w:numPr>
                <w:ilvl w:val="0"/>
                <w:numId w:val="36"/>
              </w:numPr>
              <w:rPr>
                <w:b w:val="0"/>
                <w:color w:val="auto"/>
              </w:rPr>
            </w:pPr>
            <w:r w:rsidRPr="002B030D">
              <w:rPr>
                <w:b w:val="0"/>
                <w:color w:val="auto"/>
              </w:rPr>
              <w:t>Nationality</w:t>
            </w:r>
          </w:p>
          <w:p w14:paraId="79A6562D" w14:textId="77777777" w:rsidR="007F5A1E" w:rsidRPr="002B030D" w:rsidRDefault="007F5A1E" w:rsidP="00804008">
            <w:pPr>
              <w:pStyle w:val="TablePlainParagraph"/>
              <w:numPr>
                <w:ilvl w:val="0"/>
                <w:numId w:val="36"/>
              </w:numPr>
              <w:rPr>
                <w:b w:val="0"/>
                <w:color w:val="auto"/>
              </w:rPr>
            </w:pPr>
            <w:r w:rsidRPr="002B030D">
              <w:rPr>
                <w:b w:val="0"/>
                <w:color w:val="auto"/>
              </w:rPr>
              <w:t>Nature of control or influence</w:t>
            </w:r>
          </w:p>
          <w:p w14:paraId="7D44F1D5" w14:textId="4F1F7949" w:rsidR="007F5A1E" w:rsidRPr="002B030D" w:rsidRDefault="007F5A1E" w:rsidP="00804008">
            <w:pPr>
              <w:pStyle w:val="TablePlainParagraph"/>
              <w:numPr>
                <w:ilvl w:val="0"/>
                <w:numId w:val="36"/>
              </w:numPr>
              <w:rPr>
                <w:b w:val="0"/>
                <w:color w:val="auto"/>
              </w:rPr>
            </w:pPr>
            <w:r w:rsidRPr="002B030D">
              <w:rPr>
                <w:b w:val="0"/>
                <w:color w:val="auto"/>
              </w:rPr>
              <w:t xml:space="preserve">Date the person became or ceased to be a </w:t>
            </w:r>
            <w:r w:rsidR="002A7C02" w:rsidRPr="002B030D">
              <w:rPr>
                <w:b w:val="0"/>
                <w:color w:val="auto"/>
              </w:rPr>
              <w:t xml:space="preserve">beneficial </w:t>
            </w:r>
            <w:proofErr w:type="gramStart"/>
            <w:r w:rsidR="002A7C02" w:rsidRPr="002B030D">
              <w:rPr>
                <w:b w:val="0"/>
                <w:color w:val="auto"/>
              </w:rPr>
              <w:t>owner</w:t>
            </w:r>
            <w:proofErr w:type="gramEnd"/>
          </w:p>
          <w:p w14:paraId="58FE7163" w14:textId="77777777" w:rsidR="007F5A1E" w:rsidRPr="002B030D" w:rsidRDefault="007F5A1E" w:rsidP="00804008">
            <w:pPr>
              <w:pStyle w:val="TablePlainParagraph"/>
              <w:numPr>
                <w:ilvl w:val="0"/>
                <w:numId w:val="36"/>
              </w:numPr>
              <w:rPr>
                <w:b w:val="0"/>
                <w:color w:val="auto"/>
              </w:rPr>
            </w:pPr>
            <w:r w:rsidRPr="002B030D">
              <w:rPr>
                <w:b w:val="0"/>
                <w:color w:val="auto"/>
              </w:rPr>
              <w:t>Date of birth (full date of birth collected but only month and year publicly available)</w:t>
            </w:r>
          </w:p>
          <w:p w14:paraId="3450CA4B" w14:textId="2DAA5E03" w:rsidR="0071752F" w:rsidRPr="002B030D" w:rsidRDefault="007F5A1E" w:rsidP="00804008">
            <w:pPr>
              <w:pStyle w:val="TablePlainParagraph"/>
              <w:numPr>
                <w:ilvl w:val="0"/>
                <w:numId w:val="36"/>
              </w:numPr>
              <w:rPr>
                <w:b w:val="0"/>
                <w:color w:val="auto"/>
              </w:rPr>
            </w:pPr>
            <w:r w:rsidRPr="002B030D">
              <w:rPr>
                <w:b w:val="0"/>
                <w:color w:val="auto"/>
              </w:rPr>
              <w:t>Residential address (only country of residence publicly available)</w:t>
            </w:r>
          </w:p>
        </w:tc>
        <w:tc>
          <w:tcPr>
            <w:tcW w:w="3118" w:type="dxa"/>
            <w:shd w:val="clear" w:color="auto" w:fill="auto"/>
          </w:tcPr>
          <w:p w14:paraId="1A6D653B"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Company / Managed Investment Scheme (</w:t>
            </w:r>
            <w:r w:rsidRPr="002B030D">
              <w:rPr>
                <w:b/>
                <w:color w:val="auto"/>
              </w:rPr>
              <w:t>MIS</w:t>
            </w:r>
            <w:r w:rsidRPr="002B030D">
              <w:rPr>
                <w:color w:val="auto"/>
              </w:rPr>
              <w:t>) / Corporate Collective Investment Vehicle (</w:t>
            </w:r>
            <w:r w:rsidRPr="002B030D">
              <w:rPr>
                <w:b/>
                <w:color w:val="auto"/>
              </w:rPr>
              <w:t>CCIV</w:t>
            </w:r>
            <w:r w:rsidRPr="002B030D">
              <w:rPr>
                <w:color w:val="auto"/>
              </w:rPr>
              <w:t>) name</w:t>
            </w:r>
          </w:p>
          <w:p w14:paraId="71D154EF"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 xml:space="preserve">Registered office address of Company, Responsible Entity of </w:t>
            </w:r>
            <w:proofErr w:type="gramStart"/>
            <w:r w:rsidRPr="002B030D">
              <w:rPr>
                <w:color w:val="auto"/>
              </w:rPr>
              <w:t>MIS</w:t>
            </w:r>
            <w:proofErr w:type="gramEnd"/>
            <w:r w:rsidRPr="002B030D">
              <w:rPr>
                <w:color w:val="auto"/>
              </w:rPr>
              <w:t xml:space="preserve"> or Company Director of CCIV</w:t>
            </w:r>
          </w:p>
          <w:p w14:paraId="06B44020"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Electronic address</w:t>
            </w:r>
          </w:p>
          <w:p w14:paraId="4C0CC34C"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Entity type</w:t>
            </w:r>
          </w:p>
          <w:p w14:paraId="20AD12E1"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Date of registration</w:t>
            </w:r>
          </w:p>
          <w:p w14:paraId="2AB9F42B"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Country of registration</w:t>
            </w:r>
          </w:p>
          <w:p w14:paraId="3AD8D277"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 xml:space="preserve">Registration number </w:t>
            </w:r>
          </w:p>
          <w:p w14:paraId="2B0EE597"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 xml:space="preserve">Nature of control or influence </w:t>
            </w:r>
          </w:p>
          <w:p w14:paraId="758A9AD5" w14:textId="486E193A"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 xml:space="preserve">Date the </w:t>
            </w:r>
            <w:r w:rsidR="0054122F" w:rsidRPr="002B030D">
              <w:rPr>
                <w:color w:val="auto"/>
              </w:rPr>
              <w:t xml:space="preserve">entity </w:t>
            </w:r>
            <w:r w:rsidRPr="002B030D">
              <w:rPr>
                <w:color w:val="auto"/>
              </w:rPr>
              <w:t>obtained or ceased to have control or influence</w:t>
            </w:r>
          </w:p>
        </w:tc>
        <w:tc>
          <w:tcPr>
            <w:tcW w:w="3118" w:type="dxa"/>
            <w:shd w:val="clear" w:color="auto" w:fill="auto"/>
          </w:tcPr>
          <w:p w14:paraId="6162DA6F"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Name of trust / legal arrangement</w:t>
            </w:r>
          </w:p>
          <w:p w14:paraId="2862B44F"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Unique Superannuation Identifier (if applicable)</w:t>
            </w:r>
          </w:p>
          <w:p w14:paraId="6DAC0853"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Date of creation</w:t>
            </w:r>
          </w:p>
          <w:p w14:paraId="7BC838E2" w14:textId="77777777" w:rsidR="007F5A1E" w:rsidRPr="002B030D" w:rsidRDefault="007F5A1E"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Information on trustees, beneficiaries, appointors, settlors, and any other member of the trust</w:t>
            </w:r>
          </w:p>
        </w:tc>
      </w:tr>
      <w:tr w:rsidR="00483461" w14:paraId="00323E5E" w14:textId="77777777" w:rsidTr="002B030D">
        <w:tc>
          <w:tcPr>
            <w:cnfStyle w:val="001000000000" w:firstRow="0" w:lastRow="0" w:firstColumn="1" w:lastColumn="0" w:oddVBand="0" w:evenVBand="0" w:oddHBand="0" w:evenHBand="0" w:firstRowFirstColumn="0" w:firstRowLastColumn="0" w:lastRowFirstColumn="0" w:lastRowLastColumn="0"/>
            <w:tcW w:w="2608" w:type="dxa"/>
            <w:shd w:val="clear" w:color="auto" w:fill="C4DDEA"/>
          </w:tcPr>
          <w:p w14:paraId="62AF94E2" w14:textId="234AA685" w:rsidR="00155D3D" w:rsidRPr="002B030D" w:rsidRDefault="00155D3D" w:rsidP="00155D3D">
            <w:pPr>
              <w:pStyle w:val="TablePlainParagraph"/>
              <w:rPr>
                <w:b w:val="0"/>
                <w:color w:val="auto"/>
              </w:rPr>
            </w:pPr>
            <w:r w:rsidRPr="002B030D">
              <w:rPr>
                <w:rFonts w:cstheme="minorHAnsi"/>
                <w:color w:val="auto"/>
              </w:rPr>
              <w:t>Partner(s) in a partnership</w:t>
            </w:r>
          </w:p>
        </w:tc>
        <w:tc>
          <w:tcPr>
            <w:tcW w:w="3118" w:type="dxa"/>
            <w:shd w:val="clear" w:color="auto" w:fill="C4DDEA"/>
          </w:tcPr>
          <w:p w14:paraId="04EF99EA" w14:textId="1865A4AE" w:rsidR="00155D3D" w:rsidRPr="002B030D" w:rsidRDefault="00155D3D" w:rsidP="00155D3D">
            <w:pPr>
              <w:pStyle w:val="TablePlainParagraph"/>
              <w:cnfStyle w:val="000000000000" w:firstRow="0" w:lastRow="0" w:firstColumn="0" w:lastColumn="0" w:oddVBand="0" w:evenVBand="0" w:oddHBand="0" w:evenHBand="0" w:firstRowFirstColumn="0" w:firstRowLastColumn="0" w:lastRowFirstColumn="0" w:lastRowLastColumn="0"/>
              <w:rPr>
                <w:b/>
                <w:color w:val="auto"/>
              </w:rPr>
            </w:pPr>
            <w:r w:rsidRPr="002B030D">
              <w:rPr>
                <w:rFonts w:cstheme="minorHAnsi"/>
                <w:b/>
                <w:color w:val="auto"/>
              </w:rPr>
              <w:t>Incorporated and unincorporated association</w:t>
            </w:r>
          </w:p>
        </w:tc>
        <w:tc>
          <w:tcPr>
            <w:tcW w:w="3118" w:type="dxa"/>
            <w:shd w:val="clear" w:color="auto" w:fill="C4DDEA"/>
          </w:tcPr>
          <w:p w14:paraId="76F06A7D" w14:textId="70F0795D" w:rsidR="00155D3D" w:rsidRPr="002B030D" w:rsidRDefault="00155D3D" w:rsidP="00155D3D">
            <w:pPr>
              <w:pStyle w:val="TablePlainParagraph"/>
              <w:cnfStyle w:val="000000000000" w:firstRow="0" w:lastRow="0" w:firstColumn="0" w:lastColumn="0" w:oddVBand="0" w:evenVBand="0" w:oddHBand="0" w:evenHBand="0" w:firstRowFirstColumn="0" w:firstRowLastColumn="0" w:lastRowFirstColumn="0" w:lastRowLastColumn="0"/>
              <w:rPr>
                <w:b/>
                <w:color w:val="auto"/>
              </w:rPr>
            </w:pPr>
            <w:r w:rsidRPr="002B030D">
              <w:rPr>
                <w:rFonts w:cstheme="minorHAnsi"/>
                <w:b/>
                <w:color w:val="auto"/>
              </w:rPr>
              <w:t>Registered co-operative</w:t>
            </w:r>
          </w:p>
        </w:tc>
      </w:tr>
      <w:tr w:rsidR="00AB3401" w14:paraId="38321DB9" w14:textId="77777777" w:rsidTr="002B030D">
        <w:tc>
          <w:tcPr>
            <w:cnfStyle w:val="001000000000" w:firstRow="0" w:lastRow="0" w:firstColumn="1" w:lastColumn="0" w:oddVBand="0" w:evenVBand="0" w:oddHBand="0" w:evenHBand="0" w:firstRowFirstColumn="0" w:firstRowLastColumn="0" w:lastRowFirstColumn="0" w:lastRowLastColumn="0"/>
            <w:tcW w:w="2608" w:type="dxa"/>
            <w:shd w:val="clear" w:color="auto" w:fill="auto"/>
          </w:tcPr>
          <w:p w14:paraId="6BA292DC" w14:textId="77777777" w:rsidR="00155D3D" w:rsidRPr="002B030D" w:rsidRDefault="0071752F" w:rsidP="00804008">
            <w:pPr>
              <w:pStyle w:val="TablePlainParagraph"/>
              <w:numPr>
                <w:ilvl w:val="0"/>
                <w:numId w:val="36"/>
              </w:numPr>
              <w:rPr>
                <w:b w:val="0"/>
                <w:color w:val="auto"/>
              </w:rPr>
            </w:pPr>
            <w:r w:rsidRPr="002B030D">
              <w:rPr>
                <w:b w:val="0"/>
                <w:color w:val="auto"/>
              </w:rPr>
              <w:t>Full name of the partnership (including any former legal names)</w:t>
            </w:r>
          </w:p>
          <w:p w14:paraId="0405D550" w14:textId="42F9A613" w:rsidR="0071752F" w:rsidRPr="002B030D" w:rsidRDefault="0071752F" w:rsidP="00804008">
            <w:pPr>
              <w:pStyle w:val="TablePlainParagraph"/>
              <w:numPr>
                <w:ilvl w:val="0"/>
                <w:numId w:val="36"/>
              </w:numPr>
              <w:rPr>
                <w:b w:val="0"/>
                <w:color w:val="auto"/>
              </w:rPr>
            </w:pPr>
            <w:r w:rsidRPr="002B030D">
              <w:rPr>
                <w:b w:val="0"/>
                <w:color w:val="auto"/>
              </w:rPr>
              <w:t>Full business name under State / Territory law (incl former names)</w:t>
            </w:r>
          </w:p>
          <w:p w14:paraId="3E97870B" w14:textId="77777777" w:rsidR="0071752F" w:rsidRPr="002B030D" w:rsidRDefault="0071752F" w:rsidP="00804008">
            <w:pPr>
              <w:pStyle w:val="TablePlainParagraph"/>
              <w:numPr>
                <w:ilvl w:val="0"/>
                <w:numId w:val="36"/>
              </w:numPr>
              <w:rPr>
                <w:b w:val="0"/>
                <w:color w:val="auto"/>
              </w:rPr>
            </w:pPr>
            <w:r w:rsidRPr="002B030D">
              <w:rPr>
                <w:b w:val="0"/>
                <w:color w:val="auto"/>
              </w:rPr>
              <w:t xml:space="preserve">Date and country of </w:t>
            </w:r>
            <w:proofErr w:type="gramStart"/>
            <w:r w:rsidRPr="002B030D">
              <w:rPr>
                <w:b w:val="0"/>
                <w:color w:val="auto"/>
              </w:rPr>
              <w:t>establishment</w:t>
            </w:r>
            <w:proofErr w:type="gramEnd"/>
          </w:p>
          <w:p w14:paraId="25CE2317" w14:textId="77777777" w:rsidR="0071752F" w:rsidRPr="002B030D" w:rsidRDefault="0071752F" w:rsidP="00804008">
            <w:pPr>
              <w:pStyle w:val="TablePlainParagraph"/>
              <w:numPr>
                <w:ilvl w:val="0"/>
                <w:numId w:val="36"/>
              </w:numPr>
              <w:rPr>
                <w:b w:val="0"/>
                <w:color w:val="auto"/>
              </w:rPr>
            </w:pPr>
            <w:r w:rsidRPr="002B030D">
              <w:rPr>
                <w:b w:val="0"/>
                <w:color w:val="auto"/>
              </w:rPr>
              <w:t>Registered business address</w:t>
            </w:r>
          </w:p>
          <w:p w14:paraId="670165F2" w14:textId="347F1CC1" w:rsidR="0071752F" w:rsidRPr="002B030D" w:rsidRDefault="0071752F" w:rsidP="00804008">
            <w:pPr>
              <w:pStyle w:val="TablePlainParagraph"/>
              <w:numPr>
                <w:ilvl w:val="0"/>
                <w:numId w:val="36"/>
              </w:numPr>
              <w:rPr>
                <w:b w:val="0"/>
                <w:color w:val="auto"/>
              </w:rPr>
            </w:pPr>
            <w:r w:rsidRPr="002B030D">
              <w:rPr>
                <w:b w:val="0"/>
                <w:color w:val="auto"/>
              </w:rPr>
              <w:t>ABN</w:t>
            </w:r>
          </w:p>
          <w:p w14:paraId="01FF6804" w14:textId="27F2F058" w:rsidR="0071752F" w:rsidRPr="002B030D" w:rsidRDefault="005157ED" w:rsidP="00804008">
            <w:pPr>
              <w:pStyle w:val="TablePlainParagraph"/>
              <w:numPr>
                <w:ilvl w:val="0"/>
                <w:numId w:val="36"/>
              </w:numPr>
              <w:rPr>
                <w:b w:val="0"/>
                <w:color w:val="auto"/>
              </w:rPr>
            </w:pPr>
            <w:r w:rsidRPr="002B030D">
              <w:rPr>
                <w:b w:val="0"/>
                <w:color w:val="auto"/>
              </w:rPr>
              <w:t>BOI of all partners</w:t>
            </w:r>
          </w:p>
        </w:tc>
        <w:tc>
          <w:tcPr>
            <w:tcW w:w="3118" w:type="dxa"/>
            <w:shd w:val="clear" w:color="auto" w:fill="auto"/>
          </w:tcPr>
          <w:p w14:paraId="567CCBCA" w14:textId="77777777" w:rsidR="00155D3D" w:rsidRPr="002B030D" w:rsidRDefault="0071752F"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Full name of the association (including former legal names)</w:t>
            </w:r>
          </w:p>
          <w:p w14:paraId="27F9EB7A" w14:textId="3126CB59" w:rsidR="0071752F" w:rsidRPr="002B030D" w:rsidRDefault="0071752F"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Address of principal place of administration or registered office</w:t>
            </w:r>
          </w:p>
          <w:p w14:paraId="2726F31C" w14:textId="0B24E8D7" w:rsidR="0071752F" w:rsidRPr="002B030D" w:rsidRDefault="0071752F"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Any unique identifier under State</w:t>
            </w:r>
            <w:r w:rsidR="005157ED" w:rsidRPr="002B030D">
              <w:rPr>
                <w:color w:val="auto"/>
              </w:rPr>
              <w:t>/</w:t>
            </w:r>
            <w:r w:rsidRPr="002B030D">
              <w:rPr>
                <w:color w:val="auto"/>
              </w:rPr>
              <w:t>Territory</w:t>
            </w:r>
            <w:r w:rsidR="005157ED" w:rsidRPr="002B030D">
              <w:rPr>
                <w:color w:val="auto"/>
              </w:rPr>
              <w:t xml:space="preserve">/overseas </w:t>
            </w:r>
            <w:r w:rsidRPr="002B030D">
              <w:rPr>
                <w:color w:val="auto"/>
              </w:rPr>
              <w:t>law</w:t>
            </w:r>
          </w:p>
          <w:p w14:paraId="3E460AAA" w14:textId="27546B91" w:rsidR="0071752F" w:rsidRPr="002B030D" w:rsidRDefault="0071752F"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 xml:space="preserve">BOI about </w:t>
            </w:r>
            <w:r w:rsidR="005157ED" w:rsidRPr="002B030D">
              <w:rPr>
                <w:color w:val="auto"/>
              </w:rPr>
              <w:t xml:space="preserve">(A) </w:t>
            </w:r>
            <w:r w:rsidRPr="002B030D">
              <w:rPr>
                <w:color w:val="auto"/>
              </w:rPr>
              <w:t xml:space="preserve">Chair, secretary, treasurer (at least </w:t>
            </w:r>
            <w:r w:rsidR="005157ED" w:rsidRPr="002B030D">
              <w:rPr>
                <w:color w:val="auto"/>
              </w:rPr>
              <w:t>one</w:t>
            </w:r>
            <w:r w:rsidRPr="002B030D">
              <w:rPr>
                <w:color w:val="auto"/>
              </w:rPr>
              <w:t>)</w:t>
            </w:r>
            <w:r w:rsidR="005157ED" w:rsidRPr="002B030D">
              <w:rPr>
                <w:color w:val="auto"/>
              </w:rPr>
              <w:t>, (B) Person entitled to exercise 25% of voting right or (C) receive 25% of property on dissolution.</w:t>
            </w:r>
          </w:p>
        </w:tc>
        <w:tc>
          <w:tcPr>
            <w:tcW w:w="3118" w:type="dxa"/>
            <w:shd w:val="clear" w:color="auto" w:fill="auto"/>
          </w:tcPr>
          <w:p w14:paraId="42567240" w14:textId="26374309" w:rsidR="005157ED" w:rsidRPr="002B030D" w:rsidRDefault="005157ED"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Full name of the co-operative (including former legal names)</w:t>
            </w:r>
          </w:p>
          <w:p w14:paraId="0969CF41" w14:textId="3EA04E32" w:rsidR="005157ED" w:rsidRPr="002B030D" w:rsidRDefault="005157ED"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Address of principal place of operation or registered office</w:t>
            </w:r>
          </w:p>
          <w:p w14:paraId="7DC36C62" w14:textId="77777777" w:rsidR="005157ED" w:rsidRPr="002B030D" w:rsidRDefault="005157ED"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Any unique identifier under State/Territory/overseas law</w:t>
            </w:r>
          </w:p>
          <w:p w14:paraId="2013F1DB" w14:textId="15348B02" w:rsidR="00155D3D" w:rsidRPr="002B030D" w:rsidRDefault="005157ED" w:rsidP="00804008">
            <w:pPr>
              <w:pStyle w:val="TablePlainParagraph"/>
              <w:numPr>
                <w:ilvl w:val="0"/>
                <w:numId w:val="36"/>
              </w:numPr>
              <w:cnfStyle w:val="000000000000" w:firstRow="0" w:lastRow="0" w:firstColumn="0" w:lastColumn="0" w:oddVBand="0" w:evenVBand="0" w:oddHBand="0" w:evenHBand="0" w:firstRowFirstColumn="0" w:firstRowLastColumn="0" w:lastRowFirstColumn="0" w:lastRowLastColumn="0"/>
              <w:rPr>
                <w:color w:val="auto"/>
              </w:rPr>
            </w:pPr>
            <w:r w:rsidRPr="002B030D">
              <w:rPr>
                <w:color w:val="auto"/>
              </w:rPr>
              <w:t>BOI about (A) Chair, secretary, treasurer (at least one), (B) Person entitled to exercise 25% of voting right or (C) receive 25% of property on dissolution.</w:t>
            </w:r>
          </w:p>
        </w:tc>
      </w:tr>
    </w:tbl>
    <w:p w14:paraId="2372A482" w14:textId="4D189D77" w:rsidR="007F5A1E" w:rsidRDefault="006111F5" w:rsidP="000A52BB">
      <w:pPr>
        <w:pStyle w:val="Heading2"/>
      </w:pPr>
      <w:bookmarkStart w:id="51" w:name="_Toc160444085"/>
      <w:bookmarkStart w:id="52" w:name="_Toc168942737"/>
      <w:r>
        <w:t>W</w:t>
      </w:r>
      <w:r w:rsidR="007F5A1E">
        <w:t xml:space="preserve">hy is </w:t>
      </w:r>
      <w:r w:rsidR="00AA68D7">
        <w:t>p</w:t>
      </w:r>
      <w:r w:rsidR="007F5A1E">
        <w:t>rivacy relevant?</w:t>
      </w:r>
      <w:bookmarkEnd w:id="51"/>
      <w:bookmarkEnd w:id="52"/>
    </w:p>
    <w:p w14:paraId="2EEF5E2F" w14:textId="3B762833" w:rsidR="00AA68D7" w:rsidRDefault="00AA68D7" w:rsidP="00AA68D7">
      <w:pPr>
        <w:pStyle w:val="NumberLevel1"/>
      </w:pPr>
      <w:r>
        <w:t xml:space="preserve">Australia is a signatory to the </w:t>
      </w:r>
      <w:r w:rsidR="00D207CC">
        <w:t>ICCPR</w:t>
      </w:r>
      <w:r>
        <w:t xml:space="preserve"> which protects against ‘arbitrary or unlawful interference with privacy’.</w:t>
      </w:r>
      <w:r w:rsidR="00D207CC">
        <w:t xml:space="preserve"> </w:t>
      </w:r>
      <w:r>
        <w:t>Not every interference with privacy will be inconsistent with the right to privacy. The concept of ‘arbitrariness’ is ‘intended to guarantee that even interference provided for by law should be in accordance with the provisions, aims and objectives of the Covenant and should be, in any event, reasonable in the particular circumstances.’</w:t>
      </w:r>
    </w:p>
    <w:p w14:paraId="227FA8AC" w14:textId="67A9B96C" w:rsidR="00AA68D7" w:rsidRDefault="00AA68D7" w:rsidP="00AA68D7">
      <w:pPr>
        <w:pStyle w:val="NumberLevel1"/>
      </w:pPr>
      <w:r>
        <w:t>While the Parliament has codified the information privacy aspects of the ICCPR into Australia law via the Privacy Act, care must be taken to ensure that new legislation, such as amendments to the Corporations Act proposed to introduce the BOR, align with the aims and object of the covenant, and are reasonable in the circumstances.</w:t>
      </w:r>
    </w:p>
    <w:p w14:paraId="2FFCF749" w14:textId="2DE94084" w:rsidR="00AA68D7" w:rsidRDefault="00AA68D7" w:rsidP="00AA68D7">
      <w:pPr>
        <w:pStyle w:val="NumberLevel1"/>
      </w:pPr>
      <w:r>
        <w:t>The UN Human Rights Committee has interpreted the concept of reasonableness to indicate that ‘any interference with privacy must be proportional to the end sought and be necessary in the circumstances of any given case’.</w:t>
      </w:r>
      <w:r>
        <w:rPr>
          <w:rStyle w:val="FootnoteReference"/>
        </w:rPr>
        <w:footnoteReference w:id="7"/>
      </w:r>
      <w:r>
        <w:t xml:space="preserve"> Relevant legislation must specify in detail the precise circumstances in which such interferences may be permitted.</w:t>
      </w:r>
      <w:r>
        <w:rPr>
          <w:rStyle w:val="FootnoteReference"/>
        </w:rPr>
        <w:footnoteReference w:id="8"/>
      </w:r>
      <w:r>
        <w:t xml:space="preserve"> Effective measures </w:t>
      </w:r>
      <w:r w:rsidR="00774E9C">
        <w:t>must</w:t>
      </w:r>
      <w:r>
        <w:t xml:space="preserve"> be taken by signatories to ensure that:</w:t>
      </w:r>
    </w:p>
    <w:p w14:paraId="16A76691" w14:textId="3EF0ED91" w:rsidR="00AA68D7" w:rsidRDefault="00AA68D7" w:rsidP="00AA68D7">
      <w:pPr>
        <w:pStyle w:val="NumberLevel2"/>
      </w:pPr>
      <w:r>
        <w:t xml:space="preserve">information concerning a person’s private life does not reach the hands of persons who are not authorised by law to receive, process and use it, and is never used for purposes incompatible with the </w:t>
      </w:r>
      <w:proofErr w:type="gramStart"/>
      <w:r w:rsidR="00D207CC">
        <w:t>ICCPR</w:t>
      </w:r>
      <w:proofErr w:type="gramEnd"/>
    </w:p>
    <w:p w14:paraId="2F16813F" w14:textId="77777777" w:rsidR="00AA68D7" w:rsidRDefault="00AA68D7" w:rsidP="00AA68D7">
      <w:pPr>
        <w:pStyle w:val="NumberLevel2"/>
      </w:pPr>
      <w:r>
        <w:t>individuals have the right to access and correct personal data.</w:t>
      </w:r>
      <w:r>
        <w:rPr>
          <w:rStyle w:val="FootnoteReference"/>
        </w:rPr>
        <w:footnoteReference w:id="9"/>
      </w:r>
    </w:p>
    <w:p w14:paraId="20379A53" w14:textId="478CED9B" w:rsidR="00AA68D7" w:rsidRDefault="00AA68D7" w:rsidP="002B030D">
      <w:pPr>
        <w:pStyle w:val="Heading2"/>
        <w:keepNext/>
        <w:keepLines/>
      </w:pPr>
      <w:bookmarkStart w:id="53" w:name="_Toc160444086"/>
      <w:bookmarkStart w:id="54" w:name="_Toc168942738"/>
      <w:r>
        <w:t>The role of the Privacy Act</w:t>
      </w:r>
      <w:bookmarkEnd w:id="53"/>
      <w:bookmarkEnd w:id="54"/>
    </w:p>
    <w:p w14:paraId="001DE5FF" w14:textId="3E38E0DD" w:rsidR="007F5A1E" w:rsidRDefault="007F5A1E" w:rsidP="00CB7ECD">
      <w:pPr>
        <w:pStyle w:val="NumberLevel1"/>
        <w:keepNext/>
        <w:keepLines/>
        <w:spacing w:before="100" w:after="100"/>
      </w:pPr>
      <w:r>
        <w:t xml:space="preserve">The </w:t>
      </w:r>
      <w:r w:rsidRPr="00EC6F0B">
        <w:rPr>
          <w:bCs/>
        </w:rPr>
        <w:t>Privacy Act</w:t>
      </w:r>
      <w:r>
        <w:t xml:space="preserve"> seeks to provide nationally consistent regulation of privacy and handling of personal information. To achieve this objective, </w:t>
      </w:r>
      <w:r w:rsidR="00A92392">
        <w:t xml:space="preserve">APP entities </w:t>
      </w:r>
      <w:r>
        <w:t>are required to comply with the APPs in Sch 1 to the Privacy Act: see s 15.</w:t>
      </w:r>
    </w:p>
    <w:p w14:paraId="530C55E3" w14:textId="1A61A1B0" w:rsidR="00A92392" w:rsidRDefault="00A92392" w:rsidP="00CB7ECD">
      <w:pPr>
        <w:pStyle w:val="NumberLevel1"/>
        <w:spacing w:before="100" w:after="100"/>
      </w:pPr>
      <w:r>
        <w:t>There are two types of APP entities: (1) Organisations, and (2) Agencies, which includes Commonwealth government departments such as Treasury.</w:t>
      </w:r>
    </w:p>
    <w:p w14:paraId="74D87FD6" w14:textId="7213198D" w:rsidR="000C2A96" w:rsidRDefault="00AA68D7" w:rsidP="00CB7ECD">
      <w:pPr>
        <w:pStyle w:val="NumberLevel1"/>
        <w:spacing w:before="100" w:after="100"/>
      </w:pPr>
      <w:r>
        <w:t xml:space="preserve">While </w:t>
      </w:r>
      <w:r w:rsidR="00A92392">
        <w:t>an Agency</w:t>
      </w:r>
      <w:r>
        <w:t xml:space="preserve"> will handle the PCBOR as part of Stage 2, </w:t>
      </w:r>
      <w:r w:rsidR="000C2A96">
        <w:t xml:space="preserve">for the most part, </w:t>
      </w:r>
      <w:r w:rsidR="00A92392">
        <w:t xml:space="preserve">in-scope </w:t>
      </w:r>
      <w:r>
        <w:t>entities will handle personal information as part of Stage</w:t>
      </w:r>
      <w:r w:rsidR="000C2A96">
        <w:t> </w:t>
      </w:r>
      <w:r>
        <w:t>1.</w:t>
      </w:r>
      <w:r w:rsidR="000C2A96">
        <w:t xml:space="preserve"> We understand all in-scope entities</w:t>
      </w:r>
      <w:r w:rsidR="00344F8B">
        <w:t xml:space="preserve">, except for </w:t>
      </w:r>
      <w:r w:rsidR="00736B86">
        <w:t>SBOs</w:t>
      </w:r>
      <w:r w:rsidR="00344F8B">
        <w:t>,</w:t>
      </w:r>
      <w:r w:rsidR="000C2A96">
        <w:t xml:space="preserve"> will be an ‘organisation</w:t>
      </w:r>
      <w:r w:rsidR="00736B86">
        <w:t>s</w:t>
      </w:r>
      <w:r w:rsidR="000C2A96">
        <w:t>’ for the purposes of the Privacy Act, which is defined in s 6</w:t>
      </w:r>
      <w:r w:rsidR="00A92392">
        <w:t>C</w:t>
      </w:r>
      <w:r w:rsidR="000C2A96">
        <w:t xml:space="preserve"> to mean:</w:t>
      </w:r>
    </w:p>
    <w:p w14:paraId="0C897283" w14:textId="77777777" w:rsidR="000C2A96" w:rsidRDefault="000C2A96" w:rsidP="00AA3C5A">
      <w:pPr>
        <w:pStyle w:val="Quotation2"/>
        <w:spacing w:after="100"/>
      </w:pPr>
      <w:r>
        <w:t>(a)</w:t>
      </w:r>
      <w:r>
        <w:tab/>
        <w:t>an individual; or</w:t>
      </w:r>
    </w:p>
    <w:p w14:paraId="4EF793C9" w14:textId="77777777" w:rsidR="000C2A96" w:rsidRDefault="000C2A96" w:rsidP="00AA3C5A">
      <w:pPr>
        <w:pStyle w:val="Quotation2"/>
        <w:spacing w:after="100"/>
      </w:pPr>
      <w:r>
        <w:t>(b)</w:t>
      </w:r>
      <w:r>
        <w:tab/>
        <w:t>a body corporate; or</w:t>
      </w:r>
    </w:p>
    <w:p w14:paraId="53FC9CA1" w14:textId="0D367187" w:rsidR="000C2A96" w:rsidRDefault="000C2A96" w:rsidP="00AA3C5A">
      <w:pPr>
        <w:pStyle w:val="Quotation2"/>
        <w:spacing w:after="100"/>
      </w:pPr>
      <w:r>
        <w:t>(c)</w:t>
      </w:r>
      <w:r>
        <w:tab/>
        <w:t>a partnership; or</w:t>
      </w:r>
    </w:p>
    <w:p w14:paraId="16CDD9A4" w14:textId="72C55ABB" w:rsidR="000C2A96" w:rsidRDefault="000C2A96" w:rsidP="00AA3C5A">
      <w:pPr>
        <w:pStyle w:val="Quotation2"/>
        <w:spacing w:after="100"/>
      </w:pPr>
      <w:r>
        <w:t>(d)</w:t>
      </w:r>
      <w:r>
        <w:tab/>
        <w:t>any other unincorporated association; or</w:t>
      </w:r>
    </w:p>
    <w:p w14:paraId="53137938" w14:textId="5ABC2EDB" w:rsidR="000C2A96" w:rsidRDefault="000C2A96" w:rsidP="00AA3C5A">
      <w:pPr>
        <w:pStyle w:val="Quotation2"/>
        <w:spacing w:after="100"/>
      </w:pPr>
      <w:r>
        <w:t>(e)</w:t>
      </w:r>
      <w:r>
        <w:tab/>
        <w:t>a trust.</w:t>
      </w:r>
      <w:r w:rsidR="00AA68D7">
        <w:t xml:space="preserve"> </w:t>
      </w:r>
    </w:p>
    <w:p w14:paraId="005E7722" w14:textId="53770625" w:rsidR="00A92392" w:rsidRDefault="00A92392" w:rsidP="00AA3C5A">
      <w:pPr>
        <w:pStyle w:val="Quotation2"/>
        <w:spacing w:after="100"/>
      </w:pPr>
      <w:r w:rsidRPr="00A92392">
        <w:t>that is not a </w:t>
      </w:r>
      <w:r w:rsidR="00344F8B">
        <w:t>SBO</w:t>
      </w:r>
      <w:r w:rsidRPr="00A92392">
        <w:t>, a </w:t>
      </w:r>
      <w:hyperlink r:id="rId13" w:anchor="registered_political_party" w:history="1">
        <w:r w:rsidRPr="00A92392">
          <w:t>registered political party</w:t>
        </w:r>
      </w:hyperlink>
      <w:r w:rsidRPr="00A92392">
        <w:t>, an </w:t>
      </w:r>
      <w:hyperlink r:id="rId14" w:anchor="agency" w:history="1">
        <w:r w:rsidRPr="00A92392">
          <w:t>agency</w:t>
        </w:r>
      </w:hyperlink>
      <w:r w:rsidRPr="00A92392">
        <w:t>, a </w:t>
      </w:r>
      <w:hyperlink r:id="rId15" w:anchor="state_or_territory_authority" w:history="1">
        <w:r w:rsidRPr="00A92392">
          <w:t>State or Territory authority</w:t>
        </w:r>
      </w:hyperlink>
      <w:r w:rsidRPr="00A92392">
        <w:t> or a prescribed instrumentality of a </w:t>
      </w:r>
      <w:hyperlink r:id="rId16" w:anchor="state" w:history="1">
        <w:r w:rsidRPr="00A92392">
          <w:t>State</w:t>
        </w:r>
      </w:hyperlink>
      <w:r w:rsidRPr="00A92392">
        <w:t> or Territory.</w:t>
      </w:r>
    </w:p>
    <w:p w14:paraId="51A49660" w14:textId="1833A02C" w:rsidR="00A92392" w:rsidRDefault="00A92392" w:rsidP="00CB7ECD">
      <w:pPr>
        <w:pStyle w:val="NumberLevel1"/>
        <w:spacing w:before="100" w:after="100"/>
      </w:pPr>
      <w:r>
        <w:t xml:space="preserve">Generally, </w:t>
      </w:r>
      <w:r w:rsidR="00736B86">
        <w:t xml:space="preserve">under the SBO exception, </w:t>
      </w:r>
      <w:r>
        <w:t xml:space="preserve">an SBO is </w:t>
      </w:r>
      <w:bookmarkStart w:id="55" w:name="_Hlk168635314"/>
      <w:r>
        <w:t xml:space="preserve">an </w:t>
      </w:r>
      <w:hyperlink r:id="rId17" w:anchor="individual" w:history="1">
        <w:r w:rsidRPr="00C8722C">
          <w:t>individual</w:t>
        </w:r>
      </w:hyperlink>
      <w:r w:rsidRPr="00C8722C">
        <w:t xml:space="preserve">, body corporate, partnership, unincorporated association or trust </w:t>
      </w:r>
      <w:r w:rsidR="000C2A96">
        <w:t xml:space="preserve">with a turnover of </w:t>
      </w:r>
      <w:r>
        <w:t xml:space="preserve">less </w:t>
      </w:r>
      <w:r w:rsidR="000C2A96">
        <w:t>than $3 million per year</w:t>
      </w:r>
      <w:r>
        <w:t>: s 6D(1) of the Privacy Act.</w:t>
      </w:r>
      <w:r>
        <w:rPr>
          <w:rStyle w:val="FootnoteReference"/>
        </w:rPr>
        <w:footnoteReference w:id="10"/>
      </w:r>
      <w:r>
        <w:t xml:space="preserve"> </w:t>
      </w:r>
      <w:r w:rsidR="00344AE4">
        <w:t>Treasury instructs that many in-scope companies are SBOs.</w:t>
      </w:r>
    </w:p>
    <w:bookmarkEnd w:id="55"/>
    <w:p w14:paraId="59A14C81" w14:textId="0F946C96" w:rsidR="002B030D" w:rsidRDefault="00A92392" w:rsidP="00CB7ECD">
      <w:pPr>
        <w:pStyle w:val="NumberLevel1"/>
        <w:spacing w:before="100" w:after="100"/>
      </w:pPr>
      <w:r>
        <w:t xml:space="preserve">Importantly, </w:t>
      </w:r>
      <w:r w:rsidR="000C2A96">
        <w:t xml:space="preserve">the recent Review of the Privacy Act recommended amending the </w:t>
      </w:r>
      <w:r>
        <w:t>Privacy A</w:t>
      </w:r>
      <w:r w:rsidR="000C2A96">
        <w:t>ct to remove the SBO exception.</w:t>
      </w:r>
      <w:r w:rsidR="000F51FD">
        <w:rPr>
          <w:rStyle w:val="FootnoteReference"/>
        </w:rPr>
        <w:footnoteReference w:id="11"/>
      </w:r>
      <w:r w:rsidR="000C2A96">
        <w:t xml:space="preserve"> </w:t>
      </w:r>
      <w:r w:rsidR="001F6692">
        <w:t xml:space="preserve">Presently, most in-scope companies are not APP entities, and so are not required to comply with the APPs. However, </w:t>
      </w:r>
      <w:proofErr w:type="gramStart"/>
      <w:r w:rsidR="001F6692">
        <w:t>I</w:t>
      </w:r>
      <w:r>
        <w:t>f</w:t>
      </w:r>
      <w:proofErr w:type="gramEnd"/>
      <w:r>
        <w:t xml:space="preserve"> </w:t>
      </w:r>
      <w:r w:rsidR="00344F8B">
        <w:t>these amendments to the Privacy Act pass into law</w:t>
      </w:r>
      <w:r>
        <w:t>, all in-scope entities will be APP</w:t>
      </w:r>
      <w:r w:rsidR="004B4337">
        <w:t> </w:t>
      </w:r>
      <w:r>
        <w:t>entities which must comply with the APPs.</w:t>
      </w:r>
      <w:r w:rsidR="001F6692">
        <w:t xml:space="preserve"> This PIA proceeds on the basis that the SBO exception will be removed, and that most in-scope companies will become APP entities.</w:t>
      </w:r>
      <w:r w:rsidR="004976FB">
        <w:t xml:space="preserve"> Our assessment of privacy impacts in </w:t>
      </w:r>
      <w:hyperlink w:anchor="_Part_3_–" w:history="1">
        <w:r w:rsidR="004976FB" w:rsidRPr="004976FB">
          <w:rPr>
            <w:rStyle w:val="Hyperlink"/>
            <w:b/>
          </w:rPr>
          <w:t>Part 3</w:t>
        </w:r>
      </w:hyperlink>
      <w:r w:rsidR="004976FB">
        <w:t xml:space="preserve"> proceeds on this basis.</w:t>
      </w:r>
      <w:r w:rsidR="001F6692">
        <w:t xml:space="preserve"> </w:t>
      </w:r>
    </w:p>
    <w:p w14:paraId="5FF16C89" w14:textId="12BB875E" w:rsidR="00CB7ECD" w:rsidRDefault="004B4337" w:rsidP="00CB7ECD">
      <w:pPr>
        <w:pStyle w:val="NumberLevel1"/>
        <w:spacing w:before="100" w:after="100"/>
      </w:pPr>
      <w:r>
        <w:t>If this change does not occur</w:t>
      </w:r>
      <w:r w:rsidR="002B030D">
        <w:t xml:space="preserve">, </w:t>
      </w:r>
      <w:r>
        <w:t xml:space="preserve">reforms introducing the BO Policy should exclude in-scope </w:t>
      </w:r>
      <w:r w:rsidR="00C17F22">
        <w:t>companies</w:t>
      </w:r>
      <w:r>
        <w:t xml:space="preserve"> from the SBO exception</w:t>
      </w:r>
      <w:r w:rsidR="00C17F22">
        <w:t>, or at least exclude in-scope companies which are not director-owner companies (see [</w:t>
      </w:r>
      <w:r w:rsidR="00C17F22">
        <w:fldChar w:fldCharType="begin"/>
      </w:r>
      <w:r w:rsidR="00C17F22">
        <w:instrText xml:space="preserve"> REF _Ref168631230 \r \h </w:instrText>
      </w:r>
      <w:r w:rsidR="00C17F22">
        <w:fldChar w:fldCharType="separate"/>
      </w:r>
      <w:r w:rsidR="00C14F0B">
        <w:t>118</w:t>
      </w:r>
      <w:r w:rsidR="00C17F22">
        <w:fldChar w:fldCharType="end"/>
      </w:r>
      <w:r w:rsidR="00C17F22">
        <w:t>] below)</w:t>
      </w:r>
      <w:r>
        <w:t xml:space="preserve">. </w:t>
      </w:r>
      <w:r w:rsidR="00CB7ECD">
        <w:t>As discussed in detail below, in-scope companies will handle detailed and potentially sensitive personal information about beneficial owners. While individuals may not choose to be subject to the BO Policy, the protections with the Privacy Act will limit collection, use and disclosure; promote notice about the handling of their personal information and require steps to secure personal information.</w:t>
      </w:r>
    </w:p>
    <w:p w14:paraId="10BED0A1" w14:textId="76C531FA" w:rsidR="00AA68D7" w:rsidRDefault="00CB7ECD" w:rsidP="00CB7ECD">
      <w:pPr>
        <w:pStyle w:val="NumberLevel1"/>
        <w:spacing w:before="100" w:after="100"/>
      </w:pPr>
      <w:r>
        <w:t xml:space="preserve">Additionally, this policy </w:t>
      </w:r>
      <w:bookmarkStart w:id="56" w:name="_Hlk168635538"/>
      <w:r>
        <w:t xml:space="preserve">setting would </w:t>
      </w:r>
      <w:r w:rsidR="002B030D">
        <w:t>align with the existing setting under s 6E(1A) of the Privacy Act which provides that the SBO exception does not apply to an entity for the purposes of, or in connection with, activities relating to th</w:t>
      </w:r>
      <w:r w:rsidR="00736B86">
        <w:t>e AML/CTF Act</w:t>
      </w:r>
      <w:r w:rsidR="002B030D">
        <w:t>.</w:t>
      </w:r>
      <w:r>
        <w:t xml:space="preserve"> </w:t>
      </w:r>
      <w:bookmarkEnd w:id="56"/>
    </w:p>
    <w:p w14:paraId="62035B61" w14:textId="366F1631" w:rsidR="00A92392" w:rsidRDefault="0054122F" w:rsidP="00C8722C">
      <w:pPr>
        <w:pStyle w:val="Heading3"/>
      </w:pPr>
      <w:r>
        <w:t>Most</w:t>
      </w:r>
      <w:r w:rsidR="00A92392">
        <w:t xml:space="preserve"> BOI </w:t>
      </w:r>
      <w:r>
        <w:t>will comprise</w:t>
      </w:r>
      <w:r w:rsidR="00A92392">
        <w:t xml:space="preserve"> personal </w:t>
      </w:r>
      <w:proofErr w:type="gramStart"/>
      <w:r w:rsidR="00A92392">
        <w:t>information</w:t>
      </w:r>
      <w:proofErr w:type="gramEnd"/>
    </w:p>
    <w:p w14:paraId="160D2827" w14:textId="07E99C8A" w:rsidR="007F5A1E" w:rsidRDefault="007F5A1E" w:rsidP="007F5A1E">
      <w:pPr>
        <w:pStyle w:val="NumberLevel1"/>
      </w:pPr>
      <w:bookmarkStart w:id="57" w:name="_Ref160357754"/>
      <w:r>
        <w:t xml:space="preserve">The term personal information is defined in the </w:t>
      </w:r>
      <w:r w:rsidRPr="00B536C6">
        <w:rPr>
          <w:i/>
        </w:rPr>
        <w:t>Privacy Act</w:t>
      </w:r>
      <w:r w:rsidR="00B536C6">
        <w:t xml:space="preserve"> </w:t>
      </w:r>
      <w:r w:rsidR="00B536C6" w:rsidRPr="00B536C6">
        <w:rPr>
          <w:i/>
        </w:rPr>
        <w:t>19</w:t>
      </w:r>
      <w:r w:rsidR="00B536C6">
        <w:t xml:space="preserve">88 </w:t>
      </w:r>
      <w:r w:rsidR="00B536C6" w:rsidRPr="00B536C6">
        <w:t>(</w:t>
      </w:r>
      <w:r w:rsidR="00B536C6">
        <w:t xml:space="preserve">the </w:t>
      </w:r>
      <w:r w:rsidR="00B536C6">
        <w:rPr>
          <w:b/>
        </w:rPr>
        <w:t>Privacy Act</w:t>
      </w:r>
      <w:r w:rsidR="00B536C6">
        <w:t>)</w:t>
      </w:r>
      <w:r w:rsidRPr="002A7C02">
        <w:t xml:space="preserve"> (see </w:t>
      </w:r>
      <w:r w:rsidRPr="002A7C02">
        <w:rPr>
          <w:b/>
          <w:u w:color="0000FF"/>
        </w:rPr>
        <w:t>Glossary</w:t>
      </w:r>
      <w:r w:rsidRPr="002A7C02">
        <w:t>) and only applies to information a</w:t>
      </w:r>
      <w:r w:rsidR="00333692">
        <w:t>bout a</w:t>
      </w:r>
      <w:r w:rsidRPr="002A7C02">
        <w:t>n ‘individual’ which is defined to mean a ‘natural’ (i.e. living) person. As a result, information about deceased individuals is not personal information for the purposes of the Privacy Act.</w:t>
      </w:r>
      <w:bookmarkEnd w:id="57"/>
      <w:r w:rsidRPr="002A7C02">
        <w:t xml:space="preserve"> </w:t>
      </w:r>
    </w:p>
    <w:p w14:paraId="11CA22B5" w14:textId="560E756B" w:rsidR="007F5A1E" w:rsidRPr="002A7C02" w:rsidRDefault="007F5A1E" w:rsidP="007F5A1E">
      <w:pPr>
        <w:pStyle w:val="NumberLevel1"/>
      </w:pPr>
      <w:r w:rsidRPr="002A7C02">
        <w:t xml:space="preserve">The APPs detail how personal information must be handled over the life cycle of the information. This includes how personal information should be collected, stored, used, disclosed, accessed, </w:t>
      </w:r>
      <w:proofErr w:type="gramStart"/>
      <w:r w:rsidRPr="002A7C02">
        <w:t>corrected</w:t>
      </w:r>
      <w:proofErr w:type="gramEnd"/>
      <w:r w:rsidRPr="002A7C02">
        <w:t xml:space="preserve"> and destroyed. The APPs also impose higher protections for personal information which come</w:t>
      </w:r>
      <w:r w:rsidR="00883013">
        <w:t>s</w:t>
      </w:r>
      <w:r w:rsidRPr="002A7C02">
        <w:t xml:space="preserve"> within the definition of sensitive information (see </w:t>
      </w:r>
      <w:r w:rsidRPr="002A7C02">
        <w:rPr>
          <w:b/>
          <w:u w:color="0000FF"/>
        </w:rPr>
        <w:t>Glossary</w:t>
      </w:r>
      <w:r w:rsidRPr="002A7C02">
        <w:t>).</w:t>
      </w:r>
    </w:p>
    <w:p w14:paraId="5D96034D" w14:textId="6D83E2E5" w:rsidR="0054122F" w:rsidRDefault="007F5A1E" w:rsidP="00333692">
      <w:pPr>
        <w:pStyle w:val="NumberLevel1"/>
      </w:pPr>
      <w:bookmarkStart w:id="58" w:name="_Ref160357756"/>
      <w:r>
        <w:t xml:space="preserve">The BOI collected by </w:t>
      </w:r>
      <w:r w:rsidR="002A7C02">
        <w:t>in-scope companies</w:t>
      </w:r>
      <w:r>
        <w:t xml:space="preserve"> to fulfil their obligations under the BO</w:t>
      </w:r>
      <w:r w:rsidR="00CF2EE3">
        <w:t xml:space="preserve"> Policy</w:t>
      </w:r>
      <w:r>
        <w:t xml:space="preserve"> framework </w:t>
      </w:r>
      <w:r w:rsidR="0054122F">
        <w:t xml:space="preserve">will </w:t>
      </w:r>
      <w:r>
        <w:t>include</w:t>
      </w:r>
      <w:r w:rsidR="00333692">
        <w:t xml:space="preserve"> personal information</w:t>
      </w:r>
      <w:r w:rsidR="0054122F">
        <w:t>, e.g.</w:t>
      </w:r>
      <w:r w:rsidR="00333692">
        <w:t xml:space="preserve"> </w:t>
      </w:r>
    </w:p>
    <w:p w14:paraId="2508256D" w14:textId="5CC857F2" w:rsidR="0054122F" w:rsidRDefault="0054122F" w:rsidP="0054122F">
      <w:pPr>
        <w:pStyle w:val="NumberLevel2"/>
      </w:pPr>
      <w:r>
        <w:t>all BOI regarding</w:t>
      </w:r>
      <w:r w:rsidR="00333692">
        <w:t xml:space="preserve"> natural persons </w:t>
      </w:r>
      <w:r>
        <w:t>(as this will say something about an individual)</w:t>
      </w:r>
    </w:p>
    <w:p w14:paraId="38178357" w14:textId="603880DD" w:rsidR="0054122F" w:rsidRDefault="0054122F" w:rsidP="0054122F">
      <w:pPr>
        <w:pStyle w:val="NumberLevel2"/>
      </w:pPr>
      <w:r>
        <w:t>some BOI regarding companies, registered MISs and CCIVs (e.g. where the registered or electronic address of a company is a person’s address)</w:t>
      </w:r>
    </w:p>
    <w:p w14:paraId="0CE2D441" w14:textId="0E8ED054" w:rsidR="0054122F" w:rsidRDefault="0054122F" w:rsidP="008C3D99">
      <w:pPr>
        <w:pStyle w:val="NumberLevel2"/>
      </w:pPr>
      <w:r>
        <w:t>some BOI about trusts</w:t>
      </w:r>
      <w:r w:rsidR="008C3D99">
        <w:t xml:space="preserve">, partners in a partnership, incorporated and </w:t>
      </w:r>
      <w:r w:rsidR="003D5A02">
        <w:t>u</w:t>
      </w:r>
      <w:r w:rsidR="008C3D99">
        <w:t>nincorporated associations and registered co-operatives</w:t>
      </w:r>
      <w:r>
        <w:t xml:space="preserve"> (e.g. information on trustees, beneficiaries, appointors, settlors</w:t>
      </w:r>
      <w:r w:rsidR="008C3D99">
        <w:t>, partners, office holders</w:t>
      </w:r>
      <w:r>
        <w:t xml:space="preserve"> etc)</w:t>
      </w:r>
      <w:r w:rsidR="008C3D99">
        <w:t>.</w:t>
      </w:r>
    </w:p>
    <w:bookmarkEnd w:id="58"/>
    <w:p w14:paraId="12A246FD" w14:textId="33DC4F9E" w:rsidR="007F5A1E" w:rsidRDefault="00A71E15" w:rsidP="00AA68D7">
      <w:pPr>
        <w:pStyle w:val="NumberLevel1"/>
      </w:pPr>
      <w:r>
        <w:t xml:space="preserve">BOI which comprises personal information must be handled in accordance with the APPs by an APP entity. </w:t>
      </w:r>
      <w:r w:rsidR="00333692">
        <w:t xml:space="preserve">This PIA proceeds on the basis that </w:t>
      </w:r>
      <w:r w:rsidR="0054122F">
        <w:t xml:space="preserve">most </w:t>
      </w:r>
      <w:r w:rsidR="00333692">
        <w:t xml:space="preserve">BOI </w:t>
      </w:r>
      <w:r w:rsidR="0054122F">
        <w:t>would</w:t>
      </w:r>
      <w:r w:rsidR="00333692">
        <w:t xml:space="preserve"> be personal information</w:t>
      </w:r>
      <w:r w:rsidR="00AA68D7">
        <w:t xml:space="preserve">, but that </w:t>
      </w:r>
      <w:r w:rsidR="007945C2">
        <w:t>BOI</w:t>
      </w:r>
      <w:r w:rsidR="00AA68D7">
        <w:t xml:space="preserve"> is unlikely to </w:t>
      </w:r>
      <w:r w:rsidR="007945C2">
        <w:t>comprise</w:t>
      </w:r>
      <w:r w:rsidR="00AA68D7">
        <w:t xml:space="preserve"> sensitive information</w:t>
      </w:r>
      <w:r>
        <w:t xml:space="preserve"> as defined in s 6 of the Privacy Act</w:t>
      </w:r>
      <w:r w:rsidR="00AA68D7">
        <w:t xml:space="preserve">. </w:t>
      </w:r>
    </w:p>
    <w:p w14:paraId="3F55B8A3" w14:textId="433A1AC6" w:rsidR="00A71E15" w:rsidRDefault="00A71E15" w:rsidP="00AA68D7">
      <w:pPr>
        <w:pStyle w:val="NumberLevel1"/>
      </w:pPr>
      <w:r>
        <w:t xml:space="preserve">Although BOI is unlikely to comprise sensitive information as defined in the Privacy Act, it reveals detailed information about a beneficial owner’s financial </w:t>
      </w:r>
      <w:proofErr w:type="gramStart"/>
      <w:r>
        <w:t>holdings, and</w:t>
      </w:r>
      <w:proofErr w:type="gramEnd"/>
      <w:r>
        <w:t xml:space="preserve"> will therefore be sensitive in the general sense of the word. Accordingly, it </w:t>
      </w:r>
      <w:r w:rsidR="00C54F0E">
        <w:t>is</w:t>
      </w:r>
      <w:r>
        <w:t xml:space="preserve"> necessary to ensure strong privacy protection</w:t>
      </w:r>
      <w:r w:rsidR="00C54F0E">
        <w:t>s are in place to mitigate the privacy impact to people affected by the regime to the greatest extent possible.</w:t>
      </w:r>
    </w:p>
    <w:p w14:paraId="2BA04F1D" w14:textId="1B164359" w:rsidR="007F5A1E" w:rsidRPr="006111F5" w:rsidRDefault="007F5A1E" w:rsidP="000A52BB">
      <w:pPr>
        <w:pStyle w:val="Heading2"/>
      </w:pPr>
      <w:bookmarkStart w:id="59" w:name="_Toc160444087"/>
      <w:bookmarkStart w:id="60" w:name="_Toc168942739"/>
      <w:r>
        <w:t>Why prepare a PIA?</w:t>
      </w:r>
      <w:bookmarkEnd w:id="59"/>
      <w:bookmarkEnd w:id="60"/>
    </w:p>
    <w:p w14:paraId="4007E779" w14:textId="77777777" w:rsidR="007F5A1E" w:rsidRDefault="007F5A1E" w:rsidP="008C3D99">
      <w:pPr>
        <w:pStyle w:val="NumberLevel1"/>
        <w:keepNext/>
        <w:spacing w:before="100" w:after="100"/>
      </w:pPr>
      <w:r w:rsidRPr="0023383C">
        <w:t>A PIA is an important tool for assessing the privacy risk of any project. Privacy risk is more than just potential non-compliance with the privacy laws</w:t>
      </w:r>
      <w:r>
        <w:t>. It</w:t>
      </w:r>
      <w:r w:rsidRPr="0023383C">
        <w:t xml:space="preserve"> extends to any risk that the project will not meet community </w:t>
      </w:r>
      <w:proofErr w:type="gramStart"/>
      <w:r w:rsidRPr="0023383C">
        <w:t>expectations,</w:t>
      </w:r>
      <w:r>
        <w:t xml:space="preserve"> </w:t>
      </w:r>
      <w:r w:rsidRPr="0023383C">
        <w:t>or</w:t>
      </w:r>
      <w:proofErr w:type="gramEnd"/>
      <w:r w:rsidRPr="0023383C">
        <w:t xml:space="preserve"> have unmitigated or unnecessary privacy impacts on individuals.</w:t>
      </w:r>
    </w:p>
    <w:p w14:paraId="0A47E1EE" w14:textId="77777777" w:rsidR="007F5A1E" w:rsidRDefault="007F5A1E" w:rsidP="008C3D99">
      <w:pPr>
        <w:pStyle w:val="NumberLevel1"/>
        <w:keepNext/>
        <w:spacing w:before="100" w:after="100"/>
      </w:pPr>
      <w:r w:rsidRPr="0023383C">
        <w:t xml:space="preserve">When a PIA is conducted at the start of a project, privacy safeguards can be </w:t>
      </w:r>
      <w:r>
        <w:t>in-</w:t>
      </w:r>
      <w:r w:rsidRPr="0023383C">
        <w:t>built, and any potential privacy impacts addressed in the project’s design or legal framework. This strategy can be characterised as ‘privacy by design’. Privacy by design is critical to ensure that a project will be established and maintained in line with community expectations and attitudes toward privacy.</w:t>
      </w:r>
    </w:p>
    <w:p w14:paraId="2FEB534A" w14:textId="63C237F2" w:rsidR="006E6136" w:rsidRDefault="007F5A1E" w:rsidP="008C3D99">
      <w:pPr>
        <w:pStyle w:val="NumberLevel1"/>
        <w:spacing w:before="100" w:after="100"/>
      </w:pPr>
      <w:bookmarkStart w:id="61" w:name="_Hlk144148149"/>
      <w:r>
        <w:t xml:space="preserve">The </w:t>
      </w:r>
      <w:r w:rsidR="006E6136">
        <w:t xml:space="preserve">2023 </w:t>
      </w:r>
      <w:hyperlink r:id="rId18" w:history="1">
        <w:r w:rsidR="006E6136">
          <w:rPr>
            <w:rStyle w:val="Hyperlink"/>
          </w:rPr>
          <w:t>Australian Community Attitudes to Privacy Survey</w:t>
        </w:r>
      </w:hyperlink>
      <w:r w:rsidR="006E6136">
        <w:t xml:space="preserve"> shows that Australians are increasingly concerned about privacy risks, against the backdrop of the ongoing development of new technologies like AI and facial recognition, and recent high</w:t>
      </w:r>
      <w:r w:rsidR="006E6136">
        <w:noBreakHyphen/>
        <w:t>profile data breaches. About 62% of those surveyed see the protection of their own personal information as a major concern.</w:t>
      </w:r>
    </w:p>
    <w:p w14:paraId="02B31A31" w14:textId="32F898B3" w:rsidR="007F5A1E" w:rsidRDefault="006E6136" w:rsidP="008C3D99">
      <w:pPr>
        <w:pStyle w:val="NumberLevel1"/>
        <w:tabs>
          <w:tab w:val="clear" w:pos="709"/>
        </w:tabs>
        <w:spacing w:before="100" w:after="100"/>
        <w:ind w:hanging="567"/>
      </w:pPr>
      <w:r>
        <w:t>Australians continue to see federal</w:t>
      </w:r>
      <w:r w:rsidR="007F5A1E">
        <w:t xml:space="preserve"> government </w:t>
      </w:r>
      <w:r>
        <w:t xml:space="preserve">agencies as more trustworthy than </w:t>
      </w:r>
      <w:r w:rsidR="007F5A1E">
        <w:t xml:space="preserve">businesses </w:t>
      </w:r>
      <w:r>
        <w:t>when it comes to how they protect and use personal information. This year, there was a reversal in the declining trust in government in</w:t>
      </w:r>
      <w:r w:rsidR="007F5A1E">
        <w:t xml:space="preserve"> this </w:t>
      </w:r>
      <w:r>
        <w:t>area</w:t>
      </w:r>
      <w:r w:rsidR="007F5A1E">
        <w:t xml:space="preserve"> since 2007</w:t>
      </w:r>
      <w:r>
        <w:t xml:space="preserve"> (67% compared to 50% in 2020).</w:t>
      </w:r>
      <w:r w:rsidR="007F5A1E">
        <w:t xml:space="preserve"> </w:t>
      </w:r>
      <w:r w:rsidR="00774E9C">
        <w:t>Most</w:t>
      </w:r>
      <w:r w:rsidR="007F5A1E">
        <w:t xml:space="preserve"> Australians </w:t>
      </w:r>
      <w:r>
        <w:t xml:space="preserve">(89%) </w:t>
      </w:r>
      <w:r w:rsidR="007F5A1E">
        <w:t>would like government to do more to protect the privacy of their data</w:t>
      </w:r>
      <w:r>
        <w:t>.</w:t>
      </w:r>
      <w:bookmarkEnd w:id="61"/>
    </w:p>
    <w:p w14:paraId="2C007C27" w14:textId="77777777" w:rsidR="007F5A1E" w:rsidRDefault="007F5A1E" w:rsidP="008C3D99">
      <w:pPr>
        <w:pStyle w:val="AdviceNumLevel1"/>
        <w:spacing w:before="100" w:after="100"/>
      </w:pPr>
      <w:bookmarkStart w:id="62" w:name="_Ref486222717"/>
      <w:r w:rsidRPr="003935C9">
        <w:t xml:space="preserve">A PIA </w:t>
      </w:r>
      <w:r>
        <w:t xml:space="preserve">is a written assessment which </w:t>
      </w:r>
      <w:r w:rsidRPr="003935C9">
        <w:t xml:space="preserve">examines the lifecycle of personal information handled by a system or project to identify any potential or actual privacy issues. </w:t>
      </w:r>
      <w:r>
        <w:t>The PIA report will identify any potential privacy impacts an activity will have on the privacy of individuals and make recommendations on how to manage, minimise or eliminate that impact.</w:t>
      </w:r>
      <w:r>
        <w:rPr>
          <w:rStyle w:val="FootnoteReference"/>
        </w:rPr>
        <w:footnoteReference w:id="12"/>
      </w:r>
      <w:r>
        <w:t xml:space="preserve"> </w:t>
      </w:r>
    </w:p>
    <w:p w14:paraId="29A7C069" w14:textId="732FD22D" w:rsidR="007F5A1E" w:rsidRDefault="007F5A1E" w:rsidP="008C3D99">
      <w:pPr>
        <w:pStyle w:val="AdviceNumLevel1"/>
        <w:spacing w:before="100" w:after="100"/>
      </w:pPr>
      <w:r>
        <w:t>Where an a</w:t>
      </w:r>
      <w:r w:rsidRPr="00E87533">
        <w:t>gency</w:t>
      </w:r>
      <w:r>
        <w:t xml:space="preserve"> subsequently implements the recommended practices, this will enable compliance with </w:t>
      </w:r>
      <w:r w:rsidRPr="008A5598">
        <w:t>APP</w:t>
      </w:r>
      <w:r>
        <w:t xml:space="preserve"> 1.2, which requires an agency to take reasonable steps to implement practices, procedures and systems that ensure compliance with the APPs and enable the agency to deal with enquiries and complaints about APP compliance.</w:t>
      </w:r>
      <w:bookmarkEnd w:id="62"/>
    </w:p>
    <w:p w14:paraId="238D3744" w14:textId="473952C8" w:rsidR="007F5A1E" w:rsidRDefault="007F5A1E" w:rsidP="000A52BB">
      <w:pPr>
        <w:pStyle w:val="Heading2"/>
      </w:pPr>
      <w:bookmarkStart w:id="63" w:name="_Toc160444088"/>
      <w:bookmarkStart w:id="64" w:name="_Toc168942740"/>
      <w:r>
        <w:t>Scope of this PIA</w:t>
      </w:r>
      <w:bookmarkEnd w:id="63"/>
      <w:bookmarkEnd w:id="64"/>
    </w:p>
    <w:p w14:paraId="7B8DEB3D" w14:textId="41AA1852" w:rsidR="007F5A1E" w:rsidRDefault="007F5A1E" w:rsidP="007F5A1E">
      <w:pPr>
        <w:pStyle w:val="NumberLevel1"/>
      </w:pPr>
      <w:bookmarkStart w:id="65" w:name="_Ref160357292"/>
      <w:r>
        <w:t>This PIA examines the privacy impacts arising from the impl</w:t>
      </w:r>
      <w:r w:rsidR="004A1363">
        <w:t>ement</w:t>
      </w:r>
      <w:r>
        <w:t>ation of the BO</w:t>
      </w:r>
      <w:r w:rsidR="00CF2EE3">
        <w:t xml:space="preserve"> Policy</w:t>
      </w:r>
      <w:r>
        <w:t xml:space="preserve">. </w:t>
      </w:r>
      <w:r w:rsidR="00794061">
        <w:t>It assess</w:t>
      </w:r>
      <w:r w:rsidR="00D207CC">
        <w:t>es</w:t>
      </w:r>
      <w:r w:rsidR="00794061">
        <w:t xml:space="preserve"> the privacy risks associated with the following activities.</w:t>
      </w:r>
      <w:bookmarkEnd w:id="65"/>
    </w:p>
    <w:tbl>
      <w:tblPr>
        <w:tblStyle w:val="TableGrid"/>
        <w:tblW w:w="8364"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134"/>
        <w:gridCol w:w="7230"/>
      </w:tblGrid>
      <w:tr w:rsidR="00794061" w:rsidRPr="00121519" w14:paraId="4269CC58" w14:textId="77777777" w:rsidTr="0071441F">
        <w:trPr>
          <w:cantSplit/>
          <w:tblHeader/>
        </w:trPr>
        <w:tc>
          <w:tcPr>
            <w:tcW w:w="1134" w:type="dxa"/>
            <w:shd w:val="clear" w:color="auto" w:fill="C4DDEA"/>
            <w:vAlign w:val="top"/>
          </w:tcPr>
          <w:p w14:paraId="493D16DA" w14:textId="77777777" w:rsidR="00794061" w:rsidRPr="00121519" w:rsidRDefault="00794061" w:rsidP="0071441F">
            <w:pPr>
              <w:pStyle w:val="TableHeading2"/>
              <w:ind w:left="176" w:hanging="176"/>
            </w:pPr>
            <w:r>
              <w:t>Stage</w:t>
            </w:r>
          </w:p>
        </w:tc>
        <w:tc>
          <w:tcPr>
            <w:tcW w:w="7230" w:type="dxa"/>
            <w:shd w:val="clear" w:color="auto" w:fill="C4DDEA"/>
            <w:vAlign w:val="top"/>
          </w:tcPr>
          <w:p w14:paraId="47A28F8C" w14:textId="55770F6B" w:rsidR="00794061" w:rsidRPr="00121519" w:rsidRDefault="00794061" w:rsidP="0071441F">
            <w:pPr>
              <w:pStyle w:val="TableHeading2"/>
            </w:pPr>
            <w:r>
              <w:t>Description</w:t>
            </w:r>
          </w:p>
        </w:tc>
      </w:tr>
      <w:tr w:rsidR="00794061" w:rsidRPr="00121519" w14:paraId="3C314E5F" w14:textId="77777777" w:rsidTr="0071441F">
        <w:tc>
          <w:tcPr>
            <w:tcW w:w="1134" w:type="dxa"/>
            <w:vAlign w:val="top"/>
          </w:tcPr>
          <w:p w14:paraId="6FD127AE" w14:textId="77777777" w:rsidR="00794061" w:rsidRPr="00121519" w:rsidRDefault="00794061" w:rsidP="0071441F">
            <w:pPr>
              <w:pStyle w:val="TablePlainParagraph"/>
              <w:rPr>
                <w:b/>
              </w:rPr>
            </w:pPr>
            <w:r>
              <w:rPr>
                <w:b/>
              </w:rPr>
              <w:t>Stage 1</w:t>
            </w:r>
          </w:p>
        </w:tc>
        <w:tc>
          <w:tcPr>
            <w:tcW w:w="7230" w:type="dxa"/>
            <w:vAlign w:val="top"/>
          </w:tcPr>
          <w:p w14:paraId="186C8B8D" w14:textId="77777777" w:rsidR="00794061" w:rsidRDefault="00794061" w:rsidP="00804008">
            <w:pPr>
              <w:pStyle w:val="TablePlainParagraph"/>
              <w:numPr>
                <w:ilvl w:val="0"/>
                <w:numId w:val="36"/>
              </w:numPr>
            </w:pPr>
            <w:r>
              <w:t>the collection and storage of BOI by in-scope companies on individual registers</w:t>
            </w:r>
          </w:p>
          <w:p w14:paraId="3EAFACBB" w14:textId="14BE3B9F" w:rsidR="00794061" w:rsidRDefault="00794061" w:rsidP="00804008">
            <w:pPr>
              <w:pStyle w:val="TablePlainParagraph"/>
              <w:numPr>
                <w:ilvl w:val="0"/>
                <w:numId w:val="36"/>
              </w:numPr>
            </w:pPr>
            <w:r w:rsidRPr="00794061">
              <w:t>the ability of regulators</w:t>
            </w:r>
            <w:r w:rsidR="000A4B78">
              <w:t xml:space="preserve"> and</w:t>
            </w:r>
            <w:r w:rsidRPr="00794061">
              <w:t xml:space="preserve"> law enforcement agencies to access BOI</w:t>
            </w:r>
            <w:r w:rsidR="005D2ADF">
              <w:t xml:space="preserve"> </w:t>
            </w:r>
            <w:r w:rsidRPr="00794061">
              <w:t xml:space="preserve">within </w:t>
            </w:r>
            <w:r w:rsidR="00CF2EE3">
              <w:t xml:space="preserve">individual </w:t>
            </w:r>
            <w:proofErr w:type="gramStart"/>
            <w:r w:rsidRPr="00794061">
              <w:t>BORs</w:t>
            </w:r>
            <w:proofErr w:type="gramEnd"/>
          </w:p>
          <w:p w14:paraId="2A2A84B1" w14:textId="5BAC18C2" w:rsidR="000A4B78" w:rsidRPr="00794061" w:rsidRDefault="000A4B78" w:rsidP="00804008">
            <w:pPr>
              <w:pStyle w:val="TablePlainParagraph"/>
              <w:numPr>
                <w:ilvl w:val="0"/>
                <w:numId w:val="36"/>
              </w:numPr>
            </w:pPr>
            <w:r>
              <w:t xml:space="preserve">the ability of </w:t>
            </w:r>
            <w:r w:rsidRPr="00794061">
              <w:t>the public</w:t>
            </w:r>
            <w:r>
              <w:t xml:space="preserve"> to access a subset of BOI within individual BORs</w:t>
            </w:r>
          </w:p>
        </w:tc>
      </w:tr>
      <w:tr w:rsidR="00794061" w:rsidRPr="00121519" w14:paraId="5E872A89" w14:textId="77777777" w:rsidTr="0071441F">
        <w:tc>
          <w:tcPr>
            <w:tcW w:w="1134" w:type="dxa"/>
            <w:vAlign w:val="top"/>
          </w:tcPr>
          <w:p w14:paraId="4A9864B5" w14:textId="77777777" w:rsidR="00794061" w:rsidRPr="00121519" w:rsidRDefault="00794061" w:rsidP="0071441F">
            <w:pPr>
              <w:pStyle w:val="TablePlainParagraph"/>
              <w:rPr>
                <w:b/>
              </w:rPr>
            </w:pPr>
            <w:r>
              <w:rPr>
                <w:b/>
              </w:rPr>
              <w:t>Stage 2</w:t>
            </w:r>
          </w:p>
        </w:tc>
        <w:tc>
          <w:tcPr>
            <w:tcW w:w="7230" w:type="dxa"/>
            <w:vAlign w:val="top"/>
          </w:tcPr>
          <w:p w14:paraId="165A0266" w14:textId="77777777" w:rsidR="00794061" w:rsidRDefault="00794061" w:rsidP="00804008">
            <w:pPr>
              <w:pStyle w:val="TablePlainParagraph"/>
              <w:numPr>
                <w:ilvl w:val="0"/>
                <w:numId w:val="36"/>
              </w:numPr>
            </w:pPr>
            <w:r>
              <w:t>the upload and publication of BOI on the PCBOR</w:t>
            </w:r>
          </w:p>
          <w:p w14:paraId="1593B4AE" w14:textId="1B33EB06" w:rsidR="00794061" w:rsidRPr="00121519" w:rsidRDefault="00794061" w:rsidP="00804008">
            <w:pPr>
              <w:pStyle w:val="TablePlainParagraph"/>
              <w:numPr>
                <w:ilvl w:val="0"/>
                <w:numId w:val="36"/>
              </w:numPr>
            </w:pPr>
            <w:r>
              <w:t>the ability for regulators, law enforcement agencies and the public to access published BOI through the PCBOR</w:t>
            </w:r>
          </w:p>
        </w:tc>
      </w:tr>
      <w:tr w:rsidR="00794061" w:rsidRPr="00121519" w14:paraId="60D4999E" w14:textId="77777777" w:rsidTr="0071441F">
        <w:tc>
          <w:tcPr>
            <w:tcW w:w="1134" w:type="dxa"/>
            <w:vAlign w:val="top"/>
          </w:tcPr>
          <w:p w14:paraId="4B4134F6" w14:textId="07A603AB" w:rsidR="00794061" w:rsidRDefault="00794061" w:rsidP="0071441F">
            <w:pPr>
              <w:pStyle w:val="TablePlainParagraph"/>
              <w:rPr>
                <w:b/>
              </w:rPr>
            </w:pPr>
            <w:r>
              <w:rPr>
                <w:b/>
              </w:rPr>
              <w:t>Both Stages</w:t>
            </w:r>
          </w:p>
        </w:tc>
        <w:tc>
          <w:tcPr>
            <w:tcW w:w="7230" w:type="dxa"/>
            <w:vAlign w:val="top"/>
          </w:tcPr>
          <w:p w14:paraId="1F998D76" w14:textId="0A1AEDDD" w:rsidR="00794061" w:rsidRPr="00794061" w:rsidRDefault="00794061" w:rsidP="00804008">
            <w:pPr>
              <w:pStyle w:val="TablePlainParagraph"/>
              <w:numPr>
                <w:ilvl w:val="0"/>
                <w:numId w:val="36"/>
              </w:numPr>
            </w:pPr>
            <w:r>
              <w:t>expanded enforcement and compulsion powers of ASIC in relation to the maintenance of BORs.</w:t>
            </w:r>
          </w:p>
        </w:tc>
      </w:tr>
    </w:tbl>
    <w:p w14:paraId="0B96E3FA" w14:textId="7B8A5A1E" w:rsidR="007F5A1E" w:rsidRDefault="00794061" w:rsidP="00794061">
      <w:pPr>
        <w:pStyle w:val="NumberLevel1"/>
      </w:pPr>
      <w:r>
        <w:t>In respect of any privacy risks, this PIA will i</w:t>
      </w:r>
      <w:r w:rsidR="007F5A1E">
        <w:t xml:space="preserve">dentify measures to manage or lower the risk of unnecessary privacy </w:t>
      </w:r>
      <w:r w:rsidR="00774E9C">
        <w:t>impacts.</w:t>
      </w:r>
    </w:p>
    <w:p w14:paraId="195C63F4" w14:textId="2CE92292" w:rsidR="008C3D99" w:rsidRDefault="00794061" w:rsidP="008C3D99">
      <w:pPr>
        <w:pStyle w:val="NumberLevel1"/>
      </w:pPr>
      <w:r>
        <w:t xml:space="preserve">A list of matters outside the scope of this PIA is set out at </w:t>
      </w:r>
      <w:hyperlink w:anchor="_Appendix_1_–" w:history="1">
        <w:r w:rsidRPr="00C8722C">
          <w:rPr>
            <w:rStyle w:val="Hyperlink"/>
            <w:b/>
          </w:rPr>
          <w:t>Appendix 1</w:t>
        </w:r>
      </w:hyperlink>
      <w:r>
        <w:t>.</w:t>
      </w:r>
    </w:p>
    <w:p w14:paraId="6E296A3D" w14:textId="06E004D9" w:rsidR="00E94643" w:rsidRDefault="007F5A1E" w:rsidP="008C3D99">
      <w:pPr>
        <w:pStyle w:val="NumberLevel1"/>
      </w:pPr>
      <w:r>
        <w:t xml:space="preserve">A glossary of terms and acronyms used in this PIA is set out at </w:t>
      </w:r>
      <w:hyperlink r:id="rId19" w:anchor="_Appendix_4_–" w:history="1">
        <w:r w:rsidRPr="008C3D99">
          <w:rPr>
            <w:rStyle w:val="Hyperlink"/>
            <w:b/>
          </w:rPr>
          <w:t>Appendix 3</w:t>
        </w:r>
      </w:hyperlink>
      <w:r>
        <w:t>.</w:t>
      </w:r>
    </w:p>
    <w:p w14:paraId="45DD9FFE" w14:textId="77777777" w:rsidR="00E94643" w:rsidRDefault="00E94643" w:rsidP="00E94643">
      <w:pPr>
        <w:pStyle w:val="NumberLevel1"/>
        <w:numPr>
          <w:ilvl w:val="0"/>
          <w:numId w:val="0"/>
        </w:numPr>
        <w:sectPr w:rsidR="00E94643" w:rsidSect="003F53CD">
          <w:pgSz w:w="11906" w:h="16838"/>
          <w:pgMar w:top="1134" w:right="1418" w:bottom="1701" w:left="2268" w:header="708" w:footer="708" w:gutter="0"/>
          <w:cols w:space="708"/>
          <w:docGrid w:linePitch="360"/>
        </w:sectPr>
      </w:pPr>
    </w:p>
    <w:p w14:paraId="624FBA99" w14:textId="318B7A31" w:rsidR="00E94643" w:rsidRDefault="00E94643" w:rsidP="0077488C">
      <w:pPr>
        <w:pStyle w:val="Heading1"/>
      </w:pPr>
      <w:bookmarkStart w:id="66" w:name="_Part_2_–"/>
      <w:bookmarkStart w:id="67" w:name="_Toc160444089"/>
      <w:bookmarkStart w:id="68" w:name="_Toc168942741"/>
      <w:bookmarkEnd w:id="66"/>
      <w:r>
        <w:t>Part 2 – Information Flows</w:t>
      </w:r>
      <w:bookmarkEnd w:id="67"/>
      <w:bookmarkEnd w:id="68"/>
    </w:p>
    <w:p w14:paraId="63F704B8" w14:textId="1B5FFE79" w:rsidR="008A14DF" w:rsidRDefault="008A03E2" w:rsidP="008A03E2">
      <w:pPr>
        <w:pStyle w:val="NumberLevel1"/>
      </w:pPr>
      <w:r>
        <w:t xml:space="preserve">This part of the PIA </w:t>
      </w:r>
      <w:r w:rsidR="00E261C8">
        <w:t>examines</w:t>
      </w:r>
      <w:r>
        <w:t xml:space="preserve"> </w:t>
      </w:r>
      <w:r w:rsidR="00E261C8">
        <w:t>how personal information will be collected, used, disclosed, and otherwise handled as part of the BO</w:t>
      </w:r>
      <w:r w:rsidR="00D207CC">
        <w:t xml:space="preserve"> Policy</w:t>
      </w:r>
      <w:r w:rsidR="00E261C8">
        <w:t>.</w:t>
      </w:r>
    </w:p>
    <w:p w14:paraId="57BBE9A8" w14:textId="18F761F9" w:rsidR="0054122F" w:rsidRDefault="0054122F" w:rsidP="0054122F">
      <w:pPr>
        <w:pStyle w:val="NumberLevel1"/>
      </w:pPr>
      <w:r>
        <w:t xml:space="preserve">As set out above, the kinds of BOI contained within a BOR will depend on the nature of the </w:t>
      </w:r>
      <w:r w:rsidR="00D207CC">
        <w:t>beneficial owner</w:t>
      </w:r>
      <w:r>
        <w:t xml:space="preserve"> (e.g. if a natural person, company etc). </w:t>
      </w:r>
      <w:r w:rsidR="00417A84">
        <w:t>BOI about natural persons and some BOI about companies, registered MISs, CCIVs</w:t>
      </w:r>
      <w:r w:rsidR="000A4B78">
        <w:t>,</w:t>
      </w:r>
      <w:r w:rsidR="00417A84">
        <w:t xml:space="preserve"> trusts</w:t>
      </w:r>
      <w:r w:rsidR="000A4B78">
        <w:t>, partnerships, associations and registered co-operatives</w:t>
      </w:r>
      <w:r w:rsidR="00417A84">
        <w:t xml:space="preserve"> will comprise personal information</w:t>
      </w:r>
      <w:r>
        <w:t>: see [</w:t>
      </w:r>
      <w:r>
        <w:fldChar w:fldCharType="begin"/>
      </w:r>
      <w:r>
        <w:instrText xml:space="preserve"> REF _Ref160357754 \r \h </w:instrText>
      </w:r>
      <w:r>
        <w:fldChar w:fldCharType="separate"/>
      </w:r>
      <w:r w:rsidR="00C14F0B">
        <w:t>81</w:t>
      </w:r>
      <w:r>
        <w:fldChar w:fldCharType="end"/>
      </w:r>
      <w:r>
        <w:t>]-[</w:t>
      </w:r>
      <w:r>
        <w:fldChar w:fldCharType="begin"/>
      </w:r>
      <w:r>
        <w:instrText xml:space="preserve"> REF _Ref160357756 \r \h </w:instrText>
      </w:r>
      <w:r>
        <w:fldChar w:fldCharType="separate"/>
      </w:r>
      <w:r w:rsidR="00C14F0B">
        <w:t>83</w:t>
      </w:r>
      <w:r>
        <w:fldChar w:fldCharType="end"/>
      </w:r>
      <w:r>
        <w:t>].</w:t>
      </w:r>
    </w:p>
    <w:p w14:paraId="33EF874B" w14:textId="07E186D2" w:rsidR="008A14DF" w:rsidRDefault="00D207CC" w:rsidP="008A03E2">
      <w:pPr>
        <w:pStyle w:val="NumberLevel1"/>
      </w:pPr>
      <w:r>
        <w:t>The BO Policy will involve n</w:t>
      </w:r>
      <w:r w:rsidR="008A14DF">
        <w:t xml:space="preserve">ine activities </w:t>
      </w:r>
      <w:r>
        <w:t xml:space="preserve">that </w:t>
      </w:r>
      <w:r w:rsidR="008A14DF">
        <w:t>will handl</w:t>
      </w:r>
      <w:r>
        <w:t>e</w:t>
      </w:r>
      <w:r w:rsidR="006C6289">
        <w:t xml:space="preserve"> </w:t>
      </w:r>
      <w:r w:rsidR="008A14DF">
        <w:t>personal information.</w:t>
      </w:r>
    </w:p>
    <w:tbl>
      <w:tblPr>
        <w:tblStyle w:val="TableGrid"/>
        <w:tblW w:w="8364"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560"/>
        <w:gridCol w:w="6804"/>
      </w:tblGrid>
      <w:tr w:rsidR="008A14DF" w:rsidRPr="00121519" w14:paraId="6CB0D745" w14:textId="77777777" w:rsidTr="00360682">
        <w:trPr>
          <w:cantSplit/>
          <w:tblHeader/>
        </w:trPr>
        <w:tc>
          <w:tcPr>
            <w:tcW w:w="1560" w:type="dxa"/>
            <w:shd w:val="clear" w:color="auto" w:fill="C4DDEA"/>
            <w:vAlign w:val="top"/>
          </w:tcPr>
          <w:p w14:paraId="212E3475" w14:textId="071FBA00" w:rsidR="008A14DF" w:rsidRPr="00121519" w:rsidRDefault="008A14DF" w:rsidP="0071441F">
            <w:pPr>
              <w:pStyle w:val="TableHeading2"/>
              <w:ind w:left="176" w:hanging="176"/>
            </w:pPr>
            <w:r>
              <w:t>Activity</w:t>
            </w:r>
          </w:p>
        </w:tc>
        <w:tc>
          <w:tcPr>
            <w:tcW w:w="6804" w:type="dxa"/>
            <w:tcBorders>
              <w:bottom w:val="single" w:sz="4" w:space="0" w:color="auto"/>
            </w:tcBorders>
            <w:shd w:val="clear" w:color="auto" w:fill="C4DDEA"/>
            <w:vAlign w:val="top"/>
          </w:tcPr>
          <w:p w14:paraId="049F41ED" w14:textId="66A8DF6E" w:rsidR="008A14DF" w:rsidRPr="00121519" w:rsidRDefault="008A14DF" w:rsidP="0071441F">
            <w:pPr>
              <w:pStyle w:val="TableHeading2"/>
            </w:pPr>
            <w:r>
              <w:t>Description</w:t>
            </w:r>
          </w:p>
        </w:tc>
      </w:tr>
      <w:tr w:rsidR="008A14DF" w:rsidRPr="00794061" w14:paraId="71441CC6" w14:textId="77777777" w:rsidTr="00360682">
        <w:tc>
          <w:tcPr>
            <w:tcW w:w="1560" w:type="dxa"/>
            <w:vAlign w:val="top"/>
          </w:tcPr>
          <w:p w14:paraId="573F586B" w14:textId="2EC9CACA" w:rsidR="008A14DF" w:rsidRPr="00121519" w:rsidRDefault="008A14DF" w:rsidP="0071441F">
            <w:pPr>
              <w:pStyle w:val="TablePlainParagraph"/>
              <w:rPr>
                <w:b/>
              </w:rPr>
            </w:pPr>
            <w:r>
              <w:rPr>
                <w:b/>
              </w:rPr>
              <w:t>Activity 1</w:t>
            </w:r>
          </w:p>
        </w:tc>
        <w:tc>
          <w:tcPr>
            <w:tcW w:w="6804" w:type="dxa"/>
            <w:tcBorders>
              <w:top w:val="single" w:sz="4" w:space="0" w:color="auto"/>
              <w:bottom w:val="single" w:sz="12" w:space="0" w:color="204558"/>
            </w:tcBorders>
            <w:vAlign w:val="top"/>
          </w:tcPr>
          <w:p w14:paraId="2B9E4184" w14:textId="01DC5ECD" w:rsidR="008A14DF" w:rsidRPr="00794061" w:rsidRDefault="00417A84" w:rsidP="008A14DF">
            <w:pPr>
              <w:pStyle w:val="TablePlainParagraph"/>
            </w:pPr>
            <w:r>
              <w:t xml:space="preserve">In-scope company issues </w:t>
            </w:r>
            <w:r w:rsidR="00D803BF">
              <w:t xml:space="preserve">request </w:t>
            </w:r>
            <w:r>
              <w:t>to suspected beneficial owners</w:t>
            </w:r>
          </w:p>
        </w:tc>
      </w:tr>
      <w:tr w:rsidR="008A14DF" w:rsidRPr="00121519" w14:paraId="13F14DE8" w14:textId="77777777" w:rsidTr="00360682">
        <w:tc>
          <w:tcPr>
            <w:tcW w:w="1560" w:type="dxa"/>
            <w:vAlign w:val="top"/>
          </w:tcPr>
          <w:p w14:paraId="5D10BE21" w14:textId="5C8F5F8C" w:rsidR="008A14DF" w:rsidRPr="00121519" w:rsidRDefault="008A14DF" w:rsidP="0071441F">
            <w:pPr>
              <w:pStyle w:val="TablePlainParagraph"/>
              <w:rPr>
                <w:b/>
              </w:rPr>
            </w:pPr>
            <w:r>
              <w:rPr>
                <w:b/>
              </w:rPr>
              <w:t>Activity 2</w:t>
            </w:r>
            <w:r w:rsidR="00602637">
              <w:rPr>
                <w:b/>
              </w:rPr>
              <w:t>A</w:t>
            </w:r>
          </w:p>
        </w:tc>
        <w:tc>
          <w:tcPr>
            <w:tcW w:w="6804" w:type="dxa"/>
            <w:tcBorders>
              <w:top w:val="single" w:sz="12" w:space="0" w:color="204558"/>
              <w:bottom w:val="single" w:sz="12" w:space="0" w:color="204558"/>
            </w:tcBorders>
            <w:vAlign w:val="top"/>
          </w:tcPr>
          <w:p w14:paraId="498BD182" w14:textId="037BA386" w:rsidR="008A14DF" w:rsidRPr="00121519" w:rsidRDefault="00CC3CA8" w:rsidP="008A14DF">
            <w:pPr>
              <w:pStyle w:val="TablePlainParagraph"/>
            </w:pPr>
            <w:r>
              <w:t>Collection by in-scope companies of beneficial ownership information from beneficial owners</w:t>
            </w:r>
          </w:p>
        </w:tc>
      </w:tr>
      <w:tr w:rsidR="006C2A70" w:rsidRPr="00121519" w14:paraId="65479C70" w14:textId="77777777" w:rsidTr="00360682">
        <w:tc>
          <w:tcPr>
            <w:tcW w:w="1560" w:type="dxa"/>
            <w:vAlign w:val="top"/>
          </w:tcPr>
          <w:p w14:paraId="692EA155" w14:textId="1A7EE936" w:rsidR="006C2A70" w:rsidRDefault="00602637" w:rsidP="0071441F">
            <w:pPr>
              <w:pStyle w:val="TablePlainParagraph"/>
              <w:rPr>
                <w:b/>
              </w:rPr>
            </w:pPr>
            <w:r>
              <w:rPr>
                <w:b/>
              </w:rPr>
              <w:t>Activity 2B</w:t>
            </w:r>
          </w:p>
        </w:tc>
        <w:tc>
          <w:tcPr>
            <w:tcW w:w="6804" w:type="dxa"/>
            <w:tcBorders>
              <w:top w:val="single" w:sz="12" w:space="0" w:color="204558"/>
              <w:bottom w:val="single" w:sz="12" w:space="0" w:color="204558"/>
            </w:tcBorders>
            <w:vAlign w:val="top"/>
          </w:tcPr>
          <w:p w14:paraId="3CF02EFE" w14:textId="51E752A1" w:rsidR="006C2A70" w:rsidRDefault="00602637" w:rsidP="008A14DF">
            <w:pPr>
              <w:pStyle w:val="TablePlainParagraph"/>
            </w:pPr>
            <w:r>
              <w:t>Collection by in-scope companies of beneficial ownership information when the beneficial owner is a trustee of a trust</w:t>
            </w:r>
          </w:p>
        </w:tc>
      </w:tr>
      <w:tr w:rsidR="006C2A70" w:rsidRPr="00121519" w14:paraId="4D0ABAC3" w14:textId="77777777" w:rsidTr="00360682">
        <w:tc>
          <w:tcPr>
            <w:tcW w:w="1560" w:type="dxa"/>
            <w:vAlign w:val="top"/>
          </w:tcPr>
          <w:p w14:paraId="71B01C7C" w14:textId="5D9B5384" w:rsidR="006C2A70" w:rsidRDefault="00602637" w:rsidP="0071441F">
            <w:pPr>
              <w:pStyle w:val="TablePlainParagraph"/>
              <w:rPr>
                <w:b/>
              </w:rPr>
            </w:pPr>
            <w:r>
              <w:rPr>
                <w:b/>
              </w:rPr>
              <w:t>Activity 2C</w:t>
            </w:r>
          </w:p>
        </w:tc>
        <w:tc>
          <w:tcPr>
            <w:tcW w:w="6804" w:type="dxa"/>
            <w:tcBorders>
              <w:top w:val="single" w:sz="12" w:space="0" w:color="204558"/>
              <w:bottom w:val="single" w:sz="12" w:space="0" w:color="204558"/>
            </w:tcBorders>
            <w:vAlign w:val="top"/>
          </w:tcPr>
          <w:p w14:paraId="0C41A2AF" w14:textId="4A313AD5" w:rsidR="006C2A70" w:rsidRDefault="00602637" w:rsidP="00602637">
            <w:pPr>
              <w:pStyle w:val="TablePlainParagraph"/>
              <w:pBdr>
                <w:top w:val="single" w:sz="12" w:space="1" w:color="C4DDEA"/>
              </w:pBdr>
            </w:pPr>
            <w:r>
              <w:t>Collection by in-scope companies of beneficial ownership information when the entity has different requirements</w:t>
            </w:r>
          </w:p>
        </w:tc>
      </w:tr>
      <w:tr w:rsidR="008A14DF" w:rsidRPr="00794061" w14:paraId="7E9D4DF7" w14:textId="77777777" w:rsidTr="00360682">
        <w:tc>
          <w:tcPr>
            <w:tcW w:w="1560" w:type="dxa"/>
            <w:vAlign w:val="top"/>
          </w:tcPr>
          <w:p w14:paraId="2B46836A" w14:textId="6F8F0FDC" w:rsidR="008A14DF" w:rsidRDefault="008A14DF" w:rsidP="0071441F">
            <w:pPr>
              <w:pStyle w:val="TablePlainParagraph"/>
              <w:rPr>
                <w:b/>
              </w:rPr>
            </w:pPr>
            <w:r>
              <w:rPr>
                <w:b/>
              </w:rPr>
              <w:t>Activity 3</w:t>
            </w:r>
          </w:p>
        </w:tc>
        <w:tc>
          <w:tcPr>
            <w:tcW w:w="6804" w:type="dxa"/>
            <w:tcBorders>
              <w:top w:val="single" w:sz="12" w:space="0" w:color="204558"/>
              <w:bottom w:val="single" w:sz="12" w:space="0" w:color="204558"/>
            </w:tcBorders>
            <w:vAlign w:val="top"/>
          </w:tcPr>
          <w:p w14:paraId="4B2C53F2" w14:textId="317FC3F9" w:rsidR="008A14DF" w:rsidRPr="00794061" w:rsidRDefault="00CC3CA8" w:rsidP="008A14DF">
            <w:pPr>
              <w:pStyle w:val="TablePlainParagraph"/>
            </w:pPr>
            <w:r>
              <w:t>In-scope company verifies identify of natural person beneficial owner</w:t>
            </w:r>
          </w:p>
        </w:tc>
      </w:tr>
      <w:tr w:rsidR="008A14DF" w:rsidRPr="00794061" w14:paraId="3A19C7D3" w14:textId="77777777" w:rsidTr="00360682">
        <w:tc>
          <w:tcPr>
            <w:tcW w:w="1560" w:type="dxa"/>
            <w:vAlign w:val="top"/>
          </w:tcPr>
          <w:p w14:paraId="48068B7D" w14:textId="514813B9" w:rsidR="008A14DF" w:rsidRDefault="008A14DF" w:rsidP="0071441F">
            <w:pPr>
              <w:pStyle w:val="TablePlainParagraph"/>
              <w:rPr>
                <w:b/>
              </w:rPr>
            </w:pPr>
            <w:r>
              <w:rPr>
                <w:b/>
              </w:rPr>
              <w:t>Activity 4</w:t>
            </w:r>
          </w:p>
        </w:tc>
        <w:tc>
          <w:tcPr>
            <w:tcW w:w="6804" w:type="dxa"/>
            <w:tcBorders>
              <w:top w:val="single" w:sz="12" w:space="0" w:color="204558"/>
              <w:bottom w:val="single" w:sz="12" w:space="0" w:color="204558"/>
            </w:tcBorders>
            <w:vAlign w:val="top"/>
          </w:tcPr>
          <w:p w14:paraId="3E2204AA" w14:textId="77777777" w:rsidR="008A14DF" w:rsidRPr="00794061" w:rsidRDefault="00CC3CA8" w:rsidP="008A14DF">
            <w:pPr>
              <w:pStyle w:val="TablePlainParagraph"/>
            </w:pPr>
            <w:r>
              <w:t>Applications to suppress personal information</w:t>
            </w:r>
          </w:p>
        </w:tc>
      </w:tr>
      <w:tr w:rsidR="008A14DF" w:rsidRPr="00794061" w14:paraId="6CCD3FA6" w14:textId="77777777" w:rsidTr="00360682">
        <w:tc>
          <w:tcPr>
            <w:tcW w:w="1560" w:type="dxa"/>
            <w:vAlign w:val="top"/>
          </w:tcPr>
          <w:p w14:paraId="16D98352" w14:textId="0C0032A7" w:rsidR="008A14DF" w:rsidRDefault="008A14DF" w:rsidP="0071441F">
            <w:pPr>
              <w:pStyle w:val="TablePlainParagraph"/>
              <w:rPr>
                <w:b/>
              </w:rPr>
            </w:pPr>
            <w:r>
              <w:rPr>
                <w:b/>
              </w:rPr>
              <w:t>Activity 5</w:t>
            </w:r>
          </w:p>
        </w:tc>
        <w:tc>
          <w:tcPr>
            <w:tcW w:w="6804" w:type="dxa"/>
            <w:tcBorders>
              <w:top w:val="single" w:sz="12" w:space="0" w:color="204558"/>
              <w:bottom w:val="single" w:sz="12" w:space="0" w:color="204558"/>
            </w:tcBorders>
            <w:vAlign w:val="top"/>
          </w:tcPr>
          <w:p w14:paraId="318F982A" w14:textId="77777777" w:rsidR="008A14DF" w:rsidRPr="00794061" w:rsidRDefault="00CC3CA8" w:rsidP="008A14DF">
            <w:pPr>
              <w:pStyle w:val="TablePlainParagraph"/>
            </w:pPr>
            <w:r>
              <w:t>Creation and maintenance of the BOR</w:t>
            </w:r>
          </w:p>
        </w:tc>
      </w:tr>
      <w:tr w:rsidR="008A14DF" w:rsidRPr="00794061" w14:paraId="0AA2764C" w14:textId="77777777" w:rsidTr="00360682">
        <w:tc>
          <w:tcPr>
            <w:tcW w:w="1560" w:type="dxa"/>
            <w:vAlign w:val="top"/>
          </w:tcPr>
          <w:p w14:paraId="17E00C1B" w14:textId="2B62FEDE" w:rsidR="008A14DF" w:rsidRDefault="008A14DF" w:rsidP="0071441F">
            <w:pPr>
              <w:pStyle w:val="TablePlainParagraph"/>
              <w:rPr>
                <w:b/>
              </w:rPr>
            </w:pPr>
            <w:r>
              <w:rPr>
                <w:b/>
              </w:rPr>
              <w:t>Activity 6</w:t>
            </w:r>
          </w:p>
        </w:tc>
        <w:tc>
          <w:tcPr>
            <w:tcW w:w="6804" w:type="dxa"/>
            <w:tcBorders>
              <w:top w:val="single" w:sz="12" w:space="0" w:color="204558"/>
              <w:bottom w:val="single" w:sz="12" w:space="0" w:color="204558"/>
            </w:tcBorders>
            <w:vAlign w:val="top"/>
          </w:tcPr>
          <w:p w14:paraId="093D2AE0" w14:textId="77777777" w:rsidR="008A14DF" w:rsidRPr="00794061" w:rsidRDefault="00CC3CA8" w:rsidP="008A14DF">
            <w:pPr>
              <w:pStyle w:val="TablePlainParagraph"/>
            </w:pPr>
            <w:r>
              <w:t>Update beneficial ownership information</w:t>
            </w:r>
          </w:p>
        </w:tc>
      </w:tr>
      <w:tr w:rsidR="008A14DF" w:rsidRPr="00794061" w14:paraId="11211A14" w14:textId="77777777" w:rsidTr="00360682">
        <w:tc>
          <w:tcPr>
            <w:tcW w:w="1560" w:type="dxa"/>
            <w:vAlign w:val="top"/>
          </w:tcPr>
          <w:p w14:paraId="0A15B286" w14:textId="765F0465" w:rsidR="008A14DF" w:rsidRDefault="008A14DF" w:rsidP="0071441F">
            <w:pPr>
              <w:pStyle w:val="TablePlainParagraph"/>
              <w:rPr>
                <w:b/>
              </w:rPr>
            </w:pPr>
            <w:r>
              <w:rPr>
                <w:b/>
              </w:rPr>
              <w:t>Activity 7</w:t>
            </w:r>
          </w:p>
        </w:tc>
        <w:tc>
          <w:tcPr>
            <w:tcW w:w="6804" w:type="dxa"/>
            <w:tcBorders>
              <w:top w:val="single" w:sz="12" w:space="0" w:color="204558"/>
              <w:bottom w:val="single" w:sz="12" w:space="0" w:color="204558"/>
            </w:tcBorders>
            <w:vAlign w:val="top"/>
          </w:tcPr>
          <w:p w14:paraId="7D6E723A" w14:textId="77777777" w:rsidR="008A14DF" w:rsidRPr="00794061" w:rsidRDefault="00CC3CA8" w:rsidP="008A14DF">
            <w:pPr>
              <w:pStyle w:val="TablePlainParagraph"/>
            </w:pPr>
            <w:r>
              <w:t>Consideration and fulfilment of BOI access requests</w:t>
            </w:r>
          </w:p>
        </w:tc>
      </w:tr>
      <w:tr w:rsidR="008A14DF" w:rsidRPr="00794061" w14:paraId="33A4EB9D" w14:textId="77777777" w:rsidTr="00360682">
        <w:tc>
          <w:tcPr>
            <w:tcW w:w="1560" w:type="dxa"/>
            <w:vAlign w:val="top"/>
          </w:tcPr>
          <w:p w14:paraId="1367D12F" w14:textId="35BCF9FC" w:rsidR="008A14DF" w:rsidRDefault="008A14DF" w:rsidP="0071441F">
            <w:pPr>
              <w:pStyle w:val="TablePlainParagraph"/>
              <w:rPr>
                <w:b/>
              </w:rPr>
            </w:pPr>
            <w:r>
              <w:rPr>
                <w:b/>
              </w:rPr>
              <w:t>Activity 8</w:t>
            </w:r>
          </w:p>
        </w:tc>
        <w:tc>
          <w:tcPr>
            <w:tcW w:w="6804" w:type="dxa"/>
            <w:tcBorders>
              <w:top w:val="single" w:sz="12" w:space="0" w:color="204558"/>
              <w:bottom w:val="single" w:sz="12" w:space="0" w:color="204558"/>
            </w:tcBorders>
            <w:vAlign w:val="top"/>
          </w:tcPr>
          <w:p w14:paraId="10D0C1BB" w14:textId="77777777" w:rsidR="008A14DF" w:rsidRPr="00794061" w:rsidRDefault="00CC3CA8" w:rsidP="008A14DF">
            <w:pPr>
              <w:pStyle w:val="TablePlainParagraph"/>
            </w:pPr>
            <w:r>
              <w:t>Enforcement activities by ASIC</w:t>
            </w:r>
          </w:p>
        </w:tc>
      </w:tr>
      <w:tr w:rsidR="008A14DF" w:rsidRPr="00794061" w14:paraId="05BC7755" w14:textId="77777777" w:rsidTr="00360682">
        <w:tc>
          <w:tcPr>
            <w:tcW w:w="1560" w:type="dxa"/>
            <w:vAlign w:val="top"/>
          </w:tcPr>
          <w:p w14:paraId="4B079A91" w14:textId="21154657" w:rsidR="008A14DF" w:rsidRDefault="008A14DF" w:rsidP="0071441F">
            <w:pPr>
              <w:pStyle w:val="TablePlainParagraph"/>
              <w:rPr>
                <w:b/>
              </w:rPr>
            </w:pPr>
            <w:r>
              <w:rPr>
                <w:b/>
              </w:rPr>
              <w:t>Activity 9</w:t>
            </w:r>
          </w:p>
        </w:tc>
        <w:tc>
          <w:tcPr>
            <w:tcW w:w="6804" w:type="dxa"/>
            <w:tcBorders>
              <w:top w:val="single" w:sz="12" w:space="0" w:color="204558"/>
              <w:bottom w:val="nil"/>
            </w:tcBorders>
            <w:vAlign w:val="top"/>
          </w:tcPr>
          <w:p w14:paraId="7DC18FF4" w14:textId="77777777" w:rsidR="008A14DF" w:rsidRPr="00794061" w:rsidRDefault="00CC3CA8" w:rsidP="008A14DF">
            <w:pPr>
              <w:pStyle w:val="TablePlainParagraph"/>
            </w:pPr>
            <w:r>
              <w:t>Transition to Public Commonwealth Beneficial Ownership Register</w:t>
            </w:r>
          </w:p>
        </w:tc>
      </w:tr>
    </w:tbl>
    <w:p w14:paraId="00774306" w14:textId="71FDCEF9" w:rsidR="008E3448" w:rsidRDefault="008E3448" w:rsidP="008A03E2">
      <w:pPr>
        <w:pStyle w:val="NumberLevel1"/>
      </w:pPr>
      <w:r w:rsidRPr="00C8722C">
        <w:rPr>
          <w:b/>
        </w:rPr>
        <w:t>Activities 1</w:t>
      </w:r>
      <w:r w:rsidR="002D5956">
        <w:rPr>
          <w:b/>
        </w:rPr>
        <w:t>-</w:t>
      </w:r>
      <w:r w:rsidRPr="00C8722C">
        <w:rPr>
          <w:b/>
        </w:rPr>
        <w:t>8</w:t>
      </w:r>
      <w:r>
        <w:t xml:space="preserve"> address the flow of information under </w:t>
      </w:r>
      <w:r w:rsidR="006B2557">
        <w:rPr>
          <w:b/>
        </w:rPr>
        <w:t>Stage</w:t>
      </w:r>
      <w:r>
        <w:rPr>
          <w:b/>
        </w:rPr>
        <w:t xml:space="preserve"> 1 </w:t>
      </w:r>
      <w:r>
        <w:t>of the BO</w:t>
      </w:r>
      <w:r w:rsidR="00D207CC">
        <w:t xml:space="preserve"> Policy</w:t>
      </w:r>
      <w:r>
        <w:t xml:space="preserve">, in which each </w:t>
      </w:r>
      <w:r w:rsidR="000B11BB">
        <w:t>in-scope company</w:t>
      </w:r>
      <w:r>
        <w:t xml:space="preserve"> maintains its own BOR.</w:t>
      </w:r>
      <w:r w:rsidR="00DD013E">
        <w:t xml:space="preserve"> All activities except for </w:t>
      </w:r>
      <w:r w:rsidR="006C2A70" w:rsidRPr="006C2A70">
        <w:rPr>
          <w:b/>
        </w:rPr>
        <w:t>A</w:t>
      </w:r>
      <w:r w:rsidR="00DD013E" w:rsidRPr="006C2A70">
        <w:rPr>
          <w:b/>
        </w:rPr>
        <w:t>ctivities 5 and 7</w:t>
      </w:r>
      <w:r w:rsidR="00DD013E">
        <w:t xml:space="preserve"> will continue in Stage 2, however record keeping obligations persist for </w:t>
      </w:r>
      <w:r w:rsidR="006C2A70" w:rsidRPr="006C2A70">
        <w:rPr>
          <w:b/>
        </w:rPr>
        <w:t>A</w:t>
      </w:r>
      <w:r w:rsidR="00DD013E" w:rsidRPr="006C2A70">
        <w:rPr>
          <w:b/>
        </w:rPr>
        <w:t>ctivity 5</w:t>
      </w:r>
      <w:r w:rsidR="00DD013E">
        <w:t>.</w:t>
      </w:r>
    </w:p>
    <w:p w14:paraId="09460F9C" w14:textId="30FA1880" w:rsidR="008E3448" w:rsidRDefault="002D5956" w:rsidP="008A03E2">
      <w:pPr>
        <w:pStyle w:val="NumberLevel1"/>
      </w:pPr>
      <w:r>
        <w:t xml:space="preserve">Additionally, </w:t>
      </w:r>
      <w:r w:rsidR="008E3448" w:rsidRPr="00C8722C">
        <w:rPr>
          <w:b/>
        </w:rPr>
        <w:t>Activit</w:t>
      </w:r>
      <w:r w:rsidR="0099005F" w:rsidRPr="00C8722C">
        <w:rPr>
          <w:b/>
        </w:rPr>
        <w:t>y</w:t>
      </w:r>
      <w:r w:rsidR="008E3448" w:rsidRPr="00C8722C">
        <w:rPr>
          <w:b/>
        </w:rPr>
        <w:t xml:space="preserve"> 9</w:t>
      </w:r>
      <w:r w:rsidR="008E3448">
        <w:t xml:space="preserve"> address</w:t>
      </w:r>
      <w:r>
        <w:t>es</w:t>
      </w:r>
      <w:r w:rsidR="008E3448">
        <w:t xml:space="preserve"> the flow of information under </w:t>
      </w:r>
      <w:r w:rsidR="006B2557">
        <w:rPr>
          <w:b/>
        </w:rPr>
        <w:t xml:space="preserve">Stage </w:t>
      </w:r>
      <w:r w:rsidR="008E3448">
        <w:rPr>
          <w:b/>
        </w:rPr>
        <w:t>2</w:t>
      </w:r>
      <w:r w:rsidR="008E3448">
        <w:t xml:space="preserve"> of the BO</w:t>
      </w:r>
      <w:r w:rsidR="00D207CC">
        <w:t xml:space="preserve"> Policy</w:t>
      </w:r>
      <w:r w:rsidR="008E3448">
        <w:t xml:space="preserve">, during which BOI will be </w:t>
      </w:r>
      <w:r w:rsidR="008A14DF">
        <w:t>collected and stored in</w:t>
      </w:r>
      <w:r w:rsidR="002C1A02">
        <w:t xml:space="preserve"> </w:t>
      </w:r>
      <w:r w:rsidR="006B1E27">
        <w:t>the PCBOR.</w:t>
      </w:r>
      <w:r>
        <w:t xml:space="preserve"> </w:t>
      </w:r>
    </w:p>
    <w:p w14:paraId="2B99EF37" w14:textId="151D554A" w:rsidR="002E7783" w:rsidRDefault="002E7783" w:rsidP="000A52BB">
      <w:pPr>
        <w:pStyle w:val="Heading2"/>
      </w:pPr>
      <w:bookmarkStart w:id="69" w:name="_Activity_1_–"/>
      <w:bookmarkStart w:id="70" w:name="_Toc160444090"/>
      <w:bookmarkStart w:id="71" w:name="_Toc168942742"/>
      <w:bookmarkStart w:id="72" w:name="_Toc160444091"/>
      <w:bookmarkEnd w:id="69"/>
      <w:r>
        <w:t xml:space="preserve">Activity 1 – In-scope company issues request to suspected beneficial </w:t>
      </w:r>
      <w:proofErr w:type="gramStart"/>
      <w:r>
        <w:t>owners</w:t>
      </w:r>
      <w:bookmarkEnd w:id="70"/>
      <w:bookmarkEnd w:id="71"/>
      <w:proofErr w:type="gramEnd"/>
    </w:p>
    <w:p w14:paraId="4B7ADF5B" w14:textId="17799697" w:rsidR="002E7783" w:rsidRDefault="002E7783" w:rsidP="002E7783">
      <w:pPr>
        <w:pStyle w:val="NumberLevel1"/>
      </w:pPr>
      <w:r>
        <w:t>The legislative framework will require in-scope companies to</w:t>
      </w:r>
      <w:r w:rsidRPr="00F00801">
        <w:t xml:space="preserve"> </w:t>
      </w:r>
      <w:r>
        <w:t>take reasonable steps to identify their beneficial owners. R</w:t>
      </w:r>
      <w:r w:rsidRPr="00ED5678">
        <w:t xml:space="preserve">easonable steps might include identifying individuals suspected to be beneficial owners using the </w:t>
      </w:r>
      <w:r>
        <w:t>in-scope company’s</w:t>
      </w:r>
      <w:r w:rsidRPr="00ED5678">
        <w:t xml:space="preserve"> existing registers and constitution</w:t>
      </w:r>
      <w:r>
        <w:t xml:space="preserve">. </w:t>
      </w:r>
    </w:p>
    <w:p w14:paraId="43D78B40" w14:textId="512F0DDF" w:rsidR="002E7783" w:rsidRDefault="002E7783" w:rsidP="002E7783">
      <w:pPr>
        <w:pStyle w:val="NumberLevel1"/>
      </w:pPr>
      <w:r>
        <w:t>To facilitate compliance with this requirement, in-scope companies will be required to obtain information from persons (whether natural or legal) who</w:t>
      </w:r>
      <w:r w:rsidR="004324D3">
        <w:t>m</w:t>
      </w:r>
      <w:r>
        <w:t xml:space="preserve"> they identify as a potential beneficial owner, or whom they suspect have had a change in their ownership or control. Issuing a request will involve the</w:t>
      </w:r>
      <w:r w:rsidR="00492B75">
        <w:t xml:space="preserve"> use and</w:t>
      </w:r>
      <w:r>
        <w:t xml:space="preserve"> disclosure of personal information </w:t>
      </w:r>
      <w:r w:rsidR="00185509">
        <w:t xml:space="preserve">already </w:t>
      </w:r>
      <w:r>
        <w:t>held by the in-scope company (e.g. the beneficial owner’s name, email or mailing address).</w:t>
      </w:r>
      <w:r w:rsidR="00A4565E">
        <w:t xml:space="preserve"> It will also involve a further collection of the personal information by the in-scope company.</w:t>
      </w:r>
    </w:p>
    <w:p w14:paraId="6D44D4BC" w14:textId="6A8A92A3" w:rsidR="00884612" w:rsidRDefault="002E7783" w:rsidP="00884612">
      <w:pPr>
        <w:pStyle w:val="NumberLevel1"/>
      </w:pPr>
      <w:r w:rsidRPr="00795C7D">
        <w:t xml:space="preserve">The </w:t>
      </w:r>
      <w:r>
        <w:t xml:space="preserve">request </w:t>
      </w:r>
      <w:r w:rsidRPr="00795C7D">
        <w:t>would require the individual</w:t>
      </w:r>
      <w:r>
        <w:t xml:space="preserve"> or entity</w:t>
      </w:r>
      <w:r w:rsidRPr="00795C7D">
        <w:t xml:space="preserve"> to provide to the </w:t>
      </w:r>
      <w:r>
        <w:t>in-scope company</w:t>
      </w:r>
      <w:r w:rsidR="00884612">
        <w:t xml:space="preserve"> their BOI, as well as the </w:t>
      </w:r>
      <w:r w:rsidR="00884612" w:rsidRPr="00884612">
        <w:t>name, address and any other contact information of other individuals or entities that they have reasonable grounds to suspect are also beneficial owners of the same shareholding.</w:t>
      </w:r>
      <w:r w:rsidR="00884612">
        <w:t xml:space="preserve"> This obligation will not extend to disclosing details about beneficial owners of other shareholdings. For example, </w:t>
      </w:r>
      <w:r w:rsidR="00884612" w:rsidRPr="00884612">
        <w:t xml:space="preserve">a person who has legal ownership of 25% of the shares, but who receives instructions </w:t>
      </w:r>
      <w:r w:rsidR="008356C0">
        <w:t>about those shares</w:t>
      </w:r>
      <w:r w:rsidR="00884612" w:rsidRPr="00884612">
        <w:t xml:space="preserve"> from a second person, needs to disclose the second person’s name, </w:t>
      </w:r>
      <w:proofErr w:type="gramStart"/>
      <w:r w:rsidR="00884612" w:rsidRPr="00884612">
        <w:t>address</w:t>
      </w:r>
      <w:proofErr w:type="gramEnd"/>
      <w:r w:rsidR="00884612" w:rsidRPr="00884612">
        <w:t xml:space="preserve"> and other contact information. They do not need to disclose any information about people who might be issuing instructions to their fellow shareholders in relation to the remaining 75%.</w:t>
      </w:r>
    </w:p>
    <w:p w14:paraId="3F05E8AC" w14:textId="61285639" w:rsidR="002E7783" w:rsidRDefault="00CC5B80" w:rsidP="002E7783">
      <w:pPr>
        <w:pStyle w:val="NumberLevel1"/>
      </w:pPr>
      <w:r>
        <w:t xml:space="preserve">The request </w:t>
      </w:r>
      <w:r w:rsidR="002E7783" w:rsidRPr="00795C7D">
        <w:t>must be issued b</w:t>
      </w:r>
      <w:r w:rsidR="002E7783">
        <w:t>y</w:t>
      </w:r>
      <w:r w:rsidR="002E7783" w:rsidRPr="00795C7D">
        <w:t xml:space="preserve"> the </w:t>
      </w:r>
      <w:r w:rsidR="002E7783">
        <w:t xml:space="preserve">in-scope company </w:t>
      </w:r>
      <w:r w:rsidR="002E7783" w:rsidRPr="00795C7D">
        <w:t>within 14 days of identifying the potential beneficial owner.</w:t>
      </w:r>
      <w:r w:rsidR="002E7783">
        <w:t xml:space="preserve"> Once an in-scope company receives new BOI from a beneficial owner, it must update its beneficial ownership register within 28 days to include this information.</w:t>
      </w:r>
    </w:p>
    <w:p w14:paraId="60BBE0D4" w14:textId="1464F265" w:rsidR="002E7783" w:rsidRDefault="002E7783" w:rsidP="002E7783">
      <w:pPr>
        <w:pStyle w:val="NumberLevel1"/>
      </w:pPr>
      <w:r>
        <w:t>The Australian Securities &amp; Investments Commission (</w:t>
      </w:r>
      <w:r>
        <w:rPr>
          <w:b/>
        </w:rPr>
        <w:t>ASIC</w:t>
      </w:r>
      <w:r>
        <w:t>) will be given statutory power to approve a range of form</w:t>
      </w:r>
      <w:r w:rsidR="0093402D">
        <w:t>at</w:t>
      </w:r>
      <w:r>
        <w:t>s</w:t>
      </w:r>
      <w:r w:rsidR="0093402D">
        <w:t xml:space="preserve"> and methods for collecting information</w:t>
      </w:r>
      <w:r>
        <w:t xml:space="preserve">, including a </w:t>
      </w:r>
      <w:r w:rsidR="00400F2A">
        <w:t xml:space="preserve">notice </w:t>
      </w:r>
      <w:r>
        <w:t xml:space="preserve">that in-scope companies may issue to suspected beneficial owners. The proposed </w:t>
      </w:r>
      <w:r w:rsidR="00400F2A">
        <w:t xml:space="preserve">notice </w:t>
      </w:r>
      <w:r>
        <w:t xml:space="preserve">would notify suspected beneficial owners of their obligation to provide the in-scope company their </w:t>
      </w:r>
      <w:proofErr w:type="gramStart"/>
      <w:r>
        <w:t>BOI, and</w:t>
      </w:r>
      <w:proofErr w:type="gramEnd"/>
      <w:r>
        <w:t xml:space="preserve"> be a fillable form to be returned to the in-scope company upon completion.</w:t>
      </w:r>
    </w:p>
    <w:p w14:paraId="22AD16C2" w14:textId="2A5133E0" w:rsidR="002E7783" w:rsidRDefault="002E7783" w:rsidP="002E7783">
      <w:pPr>
        <w:pStyle w:val="NumberLevel1"/>
      </w:pPr>
      <w:r w:rsidRPr="00ED5678">
        <w:t xml:space="preserve">Where </w:t>
      </w:r>
      <w:r>
        <w:t xml:space="preserve">an in-scope company </w:t>
      </w:r>
      <w:r w:rsidRPr="00ED5678">
        <w:t xml:space="preserve">wrongly identifies an individual </w:t>
      </w:r>
      <w:r w:rsidR="00604BB0">
        <w:t xml:space="preserve">or entity </w:t>
      </w:r>
      <w:r w:rsidRPr="00ED5678">
        <w:t xml:space="preserve">as a beneficial owner and errantly sends an information </w:t>
      </w:r>
      <w:r>
        <w:t xml:space="preserve">request </w:t>
      </w:r>
      <w:r w:rsidRPr="00ED5678">
        <w:t>to that individual</w:t>
      </w:r>
      <w:r w:rsidR="00604BB0">
        <w:t xml:space="preserve"> or entity</w:t>
      </w:r>
      <w:r w:rsidRPr="00ED5678">
        <w:t xml:space="preserve">, </w:t>
      </w:r>
      <w:r>
        <w:t xml:space="preserve">it is anticipated that the recipient will either respond, advising the in-scope company that they are not a beneficial owner, or ignore the request. </w:t>
      </w:r>
    </w:p>
    <w:p w14:paraId="654EDFF9" w14:textId="77777777" w:rsidR="002E7783" w:rsidRDefault="002E7783" w:rsidP="002E7783">
      <w:pPr>
        <w:pStyle w:val="NumberLevel1"/>
      </w:pPr>
      <w:r>
        <w:t xml:space="preserve">As discussed under </w:t>
      </w:r>
      <w:r w:rsidRPr="00C8722C">
        <w:rPr>
          <w:b/>
        </w:rPr>
        <w:t>Activity 8</w:t>
      </w:r>
      <w:r w:rsidRPr="003354A3">
        <w:t>,</w:t>
      </w:r>
      <w:r>
        <w:t xml:space="preserve"> non-response by a suspected beneficial owner may lead to the in-scope company referring the person to ASIC. However, pending the outcome of the enforcement activities outlined in </w:t>
      </w:r>
      <w:r>
        <w:rPr>
          <w:b/>
          <w:bCs/>
        </w:rPr>
        <w:t xml:space="preserve">Activity </w:t>
      </w:r>
      <w:r w:rsidRPr="005C667C">
        <w:rPr>
          <w:b/>
          <w:bCs/>
        </w:rPr>
        <w:t>8</w:t>
      </w:r>
      <w:r>
        <w:t xml:space="preserve">, </w:t>
      </w:r>
      <w:r w:rsidRPr="005C667C">
        <w:t>if</w:t>
      </w:r>
      <w:r>
        <w:t xml:space="preserve"> a request is ignored, or a person confirms that they are not a beneficial owner, the in-scope company will not populate its register with BOI related to that person.</w:t>
      </w:r>
      <w:r w:rsidRPr="001971AC">
        <w:t xml:space="preserve"> </w:t>
      </w:r>
    </w:p>
    <w:p w14:paraId="348E4AE1" w14:textId="4F26A548" w:rsidR="005A10E3" w:rsidRDefault="005A10E3" w:rsidP="000A52BB">
      <w:pPr>
        <w:pStyle w:val="Heading2"/>
      </w:pPr>
      <w:bookmarkStart w:id="73" w:name="_Toc168942743"/>
      <w:r>
        <w:t xml:space="preserve">Activity </w:t>
      </w:r>
      <w:r w:rsidR="00795C7D">
        <w:t>2</w:t>
      </w:r>
      <w:r w:rsidR="0099005F">
        <w:t>A</w:t>
      </w:r>
      <w:r>
        <w:t xml:space="preserve"> – Collection by </w:t>
      </w:r>
      <w:r w:rsidR="000B11BB">
        <w:t>in-scope companies</w:t>
      </w:r>
      <w:r>
        <w:t xml:space="preserve"> of </w:t>
      </w:r>
      <w:r w:rsidR="001D5B1E">
        <w:t>BOI</w:t>
      </w:r>
      <w:r w:rsidR="00450CFA">
        <w:t xml:space="preserve"> from beneficial owners</w:t>
      </w:r>
      <w:bookmarkEnd w:id="72"/>
      <w:bookmarkEnd w:id="73"/>
      <w:r w:rsidR="00EE0A3E">
        <w:t xml:space="preserve"> </w:t>
      </w:r>
    </w:p>
    <w:p w14:paraId="7FD69E94" w14:textId="22967ED2" w:rsidR="007E5ECD" w:rsidRDefault="005A10E3" w:rsidP="00A64C15">
      <w:pPr>
        <w:pStyle w:val="NumberLevel1"/>
        <w:spacing w:before="120" w:after="120"/>
      </w:pPr>
      <w:r>
        <w:t xml:space="preserve">Because there will be an obligation both on an </w:t>
      </w:r>
      <w:r w:rsidR="000B11BB">
        <w:t>in-scope company</w:t>
      </w:r>
      <w:r>
        <w:t xml:space="preserve"> to collect BOI, and on a beneficial owner to provide BOI, the exchange of information may happen in two ways. Specifically</w:t>
      </w:r>
      <w:r w:rsidR="007E5ECD">
        <w:t>:</w:t>
      </w:r>
    </w:p>
    <w:p w14:paraId="424A7EE1" w14:textId="3DB7B14A" w:rsidR="007E5ECD" w:rsidRDefault="005A10E3" w:rsidP="00A64C15">
      <w:pPr>
        <w:pStyle w:val="NumberLevel2"/>
        <w:spacing w:before="120" w:after="120"/>
      </w:pPr>
      <w:r>
        <w:t>a</w:t>
      </w:r>
      <w:r w:rsidR="00C27EF6">
        <w:t xml:space="preserve">s described above, a beneficial owner may provide BOI in response to a request from an </w:t>
      </w:r>
      <w:r w:rsidR="000B11BB">
        <w:t>in-scope company</w:t>
      </w:r>
      <w:r w:rsidR="00C27EF6">
        <w:t xml:space="preserve"> to do so, or </w:t>
      </w:r>
    </w:p>
    <w:p w14:paraId="5CD03355" w14:textId="0E7C2F8E" w:rsidR="005A10E3" w:rsidRDefault="00C27EF6" w:rsidP="00C8722C">
      <w:pPr>
        <w:pStyle w:val="NumberLevel2"/>
      </w:pPr>
      <w:r>
        <w:t>a</w:t>
      </w:r>
      <w:r w:rsidR="005A10E3">
        <w:t xml:space="preserve"> beneficial owner may voluntarily identify </w:t>
      </w:r>
      <w:r w:rsidR="006C2A70">
        <w:t xml:space="preserve">as a beneficial owner </w:t>
      </w:r>
      <w:r w:rsidR="005A10E3">
        <w:t xml:space="preserve">and provide their BOI to the </w:t>
      </w:r>
      <w:r w:rsidR="000B11BB">
        <w:t>in-scope company</w:t>
      </w:r>
      <w:r w:rsidR="005A10E3">
        <w:t xml:space="preserve"> on their own motion</w:t>
      </w:r>
      <w:r>
        <w:t>.</w:t>
      </w:r>
      <w:r w:rsidR="005A10E3">
        <w:t xml:space="preserve"> </w:t>
      </w:r>
    </w:p>
    <w:p w14:paraId="57DDBAB8" w14:textId="4627E730" w:rsidR="00C27EF6" w:rsidRDefault="00C27EF6" w:rsidP="005A10E3">
      <w:pPr>
        <w:pStyle w:val="NumberLevel1"/>
      </w:pPr>
      <w:r>
        <w:t xml:space="preserve">In either case, </w:t>
      </w:r>
      <w:r w:rsidR="000B11BB">
        <w:t>in-scope companies</w:t>
      </w:r>
      <w:r>
        <w:t xml:space="preserve"> </w:t>
      </w:r>
      <w:r w:rsidR="006C2A70">
        <w:t xml:space="preserve">may receive BOI </w:t>
      </w:r>
      <w:r>
        <w:t>using a form</w:t>
      </w:r>
      <w:r w:rsidR="00860DE5">
        <w:t>at</w:t>
      </w:r>
      <w:r>
        <w:t xml:space="preserve"> </w:t>
      </w:r>
      <w:r w:rsidR="006C2A70">
        <w:t xml:space="preserve">approved </w:t>
      </w:r>
      <w:r>
        <w:t>by ASIC</w:t>
      </w:r>
      <w:r w:rsidR="00C4588D">
        <w:t xml:space="preserve"> </w:t>
      </w:r>
      <w:r w:rsidR="00AA6C17">
        <w:t>or through another means of communication.</w:t>
      </w:r>
    </w:p>
    <w:p w14:paraId="0BB148DF" w14:textId="73DB2C48" w:rsidR="00884612" w:rsidRPr="00884612" w:rsidRDefault="00884612" w:rsidP="00884612">
      <w:pPr>
        <w:pStyle w:val="NumberLevel1"/>
      </w:pPr>
      <w:r w:rsidRPr="00884612">
        <w:t xml:space="preserve">Where a beneficial owner </w:t>
      </w:r>
      <w:proofErr w:type="gramStart"/>
      <w:r w:rsidRPr="00884612">
        <w:t>is, or</w:t>
      </w:r>
      <w:proofErr w:type="gramEnd"/>
      <w:r w:rsidRPr="00884612">
        <w:t xml:space="preserve"> holds their beneficial ownership interest on behalf of</w:t>
      </w:r>
      <w:r w:rsidR="00403CC0">
        <w:t xml:space="preserve"> a business structure such as</w:t>
      </w:r>
      <w:r w:rsidRPr="00884612">
        <w:t xml:space="preserve"> a partnership, incorporated association, unincorporated association, or registered co-operative, that beneficial owner will have to provide information about the business structure.</w:t>
      </w:r>
    </w:p>
    <w:p w14:paraId="3BACC7FE" w14:textId="06101234" w:rsidR="000B4FD7" w:rsidRPr="00E261C8" w:rsidRDefault="00EE0A3E" w:rsidP="00C8722C">
      <w:pPr>
        <w:pStyle w:val="NumberLevel1"/>
      </w:pPr>
      <w:bookmarkStart w:id="74" w:name="_Ref159942816"/>
      <w:r>
        <w:t>A</w:t>
      </w:r>
      <w:r w:rsidR="00450CFA">
        <w:t xml:space="preserve">n </w:t>
      </w:r>
      <w:r w:rsidR="000B11BB">
        <w:t>in-scope company</w:t>
      </w:r>
      <w:r w:rsidR="00450CFA">
        <w:t xml:space="preserve"> is required to collect the </w:t>
      </w:r>
      <w:bookmarkEnd w:id="74"/>
      <w:r w:rsidR="007E5ECD">
        <w:t>BOI set out in the table at [</w:t>
      </w:r>
      <w:r w:rsidR="007E5ECD">
        <w:fldChar w:fldCharType="begin"/>
      </w:r>
      <w:r w:rsidR="007E5ECD">
        <w:instrText xml:space="preserve"> REF _Ref160096938 \r \h </w:instrText>
      </w:r>
      <w:r w:rsidR="007E5ECD">
        <w:fldChar w:fldCharType="separate"/>
      </w:r>
      <w:r w:rsidR="00C14F0B">
        <w:t>70</w:t>
      </w:r>
      <w:r w:rsidR="007E5ECD">
        <w:fldChar w:fldCharType="end"/>
      </w:r>
      <w:r w:rsidR="007E5ECD">
        <w:t>].</w:t>
      </w:r>
    </w:p>
    <w:p w14:paraId="797A1DA5" w14:textId="05F89FF3" w:rsidR="005A10E3" w:rsidRDefault="0093586E" w:rsidP="000A52BB">
      <w:pPr>
        <w:pStyle w:val="Heading2"/>
      </w:pPr>
      <w:bookmarkStart w:id="75" w:name="_Toc160444092"/>
      <w:bookmarkStart w:id="76" w:name="_Toc168942744"/>
      <w:r>
        <w:t xml:space="preserve">Activity </w:t>
      </w:r>
      <w:r w:rsidR="0099005F">
        <w:t>2B</w:t>
      </w:r>
      <w:r>
        <w:t xml:space="preserve"> – Collection by </w:t>
      </w:r>
      <w:r w:rsidR="000B11BB">
        <w:t>in-scope companies</w:t>
      </w:r>
      <w:r>
        <w:t xml:space="preserve"> of </w:t>
      </w:r>
      <w:r w:rsidR="001D5B1E">
        <w:t xml:space="preserve">BOI </w:t>
      </w:r>
      <w:r>
        <w:t>when the beneficial owner is a trust</w:t>
      </w:r>
      <w:bookmarkEnd w:id="75"/>
      <w:r w:rsidR="00455BC6">
        <w:t xml:space="preserve">ee of a </w:t>
      </w:r>
      <w:proofErr w:type="gramStart"/>
      <w:r w:rsidR="00455BC6">
        <w:t>trust</w:t>
      </w:r>
      <w:bookmarkEnd w:id="76"/>
      <w:proofErr w:type="gramEnd"/>
    </w:p>
    <w:p w14:paraId="4292CBB9" w14:textId="59B9B28C" w:rsidR="0093586E" w:rsidRDefault="000A5DC8" w:rsidP="00602637">
      <w:pPr>
        <w:pStyle w:val="NumberLevel1"/>
        <w:keepNext/>
        <w:keepLines/>
        <w:spacing w:before="120" w:after="120"/>
      </w:pPr>
      <w:r w:rsidRPr="000A5DC8">
        <w:t>Where an individual or entity triggers the definition of a beneficial owner, but does so in the</w:t>
      </w:r>
      <w:r>
        <w:t>ir</w:t>
      </w:r>
      <w:r w:rsidRPr="000A5DC8">
        <w:t xml:space="preserve"> capacity as a trustee, special disclosure obligations</w:t>
      </w:r>
      <w:r w:rsidR="00651E7E">
        <w:t xml:space="preserve"> will apply</w:t>
      </w:r>
      <w:r w:rsidRPr="000A5DC8">
        <w:t xml:space="preserve">. These </w:t>
      </w:r>
      <w:r w:rsidR="00804D8B">
        <w:t xml:space="preserve">obligations </w:t>
      </w:r>
      <w:r w:rsidRPr="000A5DC8">
        <w:t xml:space="preserve">are fundamental in capturing </w:t>
      </w:r>
      <w:r>
        <w:t xml:space="preserve">and recording the BOI of the full </w:t>
      </w:r>
      <w:r w:rsidRPr="000A5DC8">
        <w:t xml:space="preserve">beneficial </w:t>
      </w:r>
      <w:proofErr w:type="gramStart"/>
      <w:r w:rsidRPr="000A5DC8">
        <w:t>owners</w:t>
      </w:r>
      <w:r>
        <w:t xml:space="preserve">, </w:t>
      </w:r>
      <w:r w:rsidR="00804D8B">
        <w:t>and</w:t>
      </w:r>
      <w:proofErr w:type="gramEnd"/>
      <w:r w:rsidR="00804D8B">
        <w:t xml:space="preserve"> will </w:t>
      </w:r>
      <w:r>
        <w:t xml:space="preserve">protect against people using complex corporate </w:t>
      </w:r>
      <w:r w:rsidR="00AF04E9">
        <w:t xml:space="preserve">ownership </w:t>
      </w:r>
      <w:r>
        <w:t xml:space="preserve">structures to obfuscate their status as beneficial owners of </w:t>
      </w:r>
      <w:r w:rsidR="000B11BB">
        <w:t>in-scope companies</w:t>
      </w:r>
      <w:r>
        <w:t>.</w:t>
      </w:r>
    </w:p>
    <w:p w14:paraId="4C81639A" w14:textId="16D74433" w:rsidR="000A5DC8" w:rsidRDefault="000A5DC8" w:rsidP="00602637">
      <w:pPr>
        <w:pStyle w:val="NumberLevel1"/>
        <w:spacing w:before="120" w:after="120"/>
      </w:pPr>
      <w:r>
        <w:t xml:space="preserve">Trustees of fixed trusts, unit trusts, discretionary trusts, and </w:t>
      </w:r>
      <w:r w:rsidR="00171360">
        <w:t>hybrid</w:t>
      </w:r>
      <w:r>
        <w:t xml:space="preserve"> trusts will have </w:t>
      </w:r>
      <w:r w:rsidR="00171360">
        <w:t xml:space="preserve">specific obligations. The types of </w:t>
      </w:r>
      <w:proofErr w:type="gramStart"/>
      <w:r w:rsidR="00171360">
        <w:t>BOI</w:t>
      </w:r>
      <w:proofErr w:type="gramEnd"/>
      <w:r w:rsidR="00171360">
        <w:t xml:space="preserve"> that must be provided to the </w:t>
      </w:r>
      <w:r w:rsidR="000B11BB">
        <w:t>in-scope company</w:t>
      </w:r>
      <w:r w:rsidR="00171360">
        <w:t xml:space="preserve"> by the trustee will vary depending on the type of trust.</w:t>
      </w:r>
    </w:p>
    <w:p w14:paraId="11F83969" w14:textId="77777777" w:rsidR="00804D8B" w:rsidRDefault="00804D8B" w:rsidP="00602637">
      <w:pPr>
        <w:pStyle w:val="NumberLevel1"/>
        <w:spacing w:before="120" w:after="120"/>
      </w:pPr>
      <w:r>
        <w:t>All trustees must provide the following information about the relevant trust:</w:t>
      </w:r>
    </w:p>
    <w:p w14:paraId="7ABF1EFF" w14:textId="335370B9" w:rsidR="00804D8B" w:rsidDel="00804D8B" w:rsidRDefault="00804D8B" w:rsidP="00602637">
      <w:pPr>
        <w:pStyle w:val="NumberLevel2"/>
        <w:spacing w:before="120" w:after="120"/>
      </w:pPr>
      <w:r w:rsidDel="00804D8B">
        <w:t>The name of the trust/legal arrangement</w:t>
      </w:r>
      <w:r w:rsidR="00C55741">
        <w:t xml:space="preserve"> (where applicable)</w:t>
      </w:r>
      <w:r w:rsidDel="00804D8B">
        <w:t>,</w:t>
      </w:r>
    </w:p>
    <w:p w14:paraId="11152323" w14:textId="0FE0DB20" w:rsidR="00804D8B" w:rsidDel="00804D8B" w:rsidRDefault="00804D8B" w:rsidP="00602637">
      <w:pPr>
        <w:pStyle w:val="NumberLevel2"/>
        <w:spacing w:before="120" w:after="120"/>
      </w:pPr>
      <w:r w:rsidDel="00804D8B">
        <w:t xml:space="preserve">The </w:t>
      </w:r>
      <w:r w:rsidR="00D7449C">
        <w:t xml:space="preserve">BOI </w:t>
      </w:r>
      <w:r w:rsidDel="00804D8B">
        <w:t xml:space="preserve">of </w:t>
      </w:r>
      <w:r w:rsidR="00D7449C">
        <w:t xml:space="preserve">each </w:t>
      </w:r>
      <w:r w:rsidDel="00804D8B">
        <w:t>trustee</w:t>
      </w:r>
      <w:r w:rsidR="00D7449C">
        <w:t xml:space="preserve"> and other members of the trust</w:t>
      </w:r>
      <w:r w:rsidDel="00804D8B">
        <w:t>,</w:t>
      </w:r>
    </w:p>
    <w:p w14:paraId="72F1AAFC" w14:textId="77777777" w:rsidR="00804D8B" w:rsidDel="00804D8B" w:rsidRDefault="00804D8B" w:rsidP="00602637">
      <w:pPr>
        <w:pStyle w:val="NumberLevel2"/>
        <w:spacing w:before="120" w:after="120"/>
      </w:pPr>
      <w:r w:rsidDel="00804D8B">
        <w:t>The date that the trust was created, and</w:t>
      </w:r>
    </w:p>
    <w:p w14:paraId="3C398B5F" w14:textId="4EDADDA4" w:rsidR="00804D8B" w:rsidDel="00804D8B" w:rsidRDefault="00804D8B" w:rsidP="00602637">
      <w:pPr>
        <w:pStyle w:val="NumberLevel2"/>
        <w:spacing w:before="120" w:after="120"/>
      </w:pPr>
      <w:r w:rsidDel="00804D8B">
        <w:t>The trust’s Unique Superannuation Identifier</w:t>
      </w:r>
      <w:r w:rsidR="00E02125">
        <w:t xml:space="preserve"> and ABN</w:t>
      </w:r>
      <w:r w:rsidDel="00804D8B">
        <w:t xml:space="preserve"> (where</w:t>
      </w:r>
      <w:r w:rsidR="00590A89">
        <w:t xml:space="preserve"> applicable/</w:t>
      </w:r>
      <w:r w:rsidDel="00804D8B">
        <w:t>available)</w:t>
      </w:r>
      <w:r w:rsidR="00640A75">
        <w:t>.</w:t>
      </w:r>
    </w:p>
    <w:p w14:paraId="5B601884" w14:textId="4CFE4E78" w:rsidR="00804D8B" w:rsidRDefault="00804D8B" w:rsidP="00602637">
      <w:pPr>
        <w:pStyle w:val="NumberLevel1"/>
        <w:spacing w:before="120" w:after="120"/>
      </w:pPr>
      <w:r>
        <w:t>Trustees must provide other information depending on the nature of the trust.</w:t>
      </w:r>
    </w:p>
    <w:tbl>
      <w:tblPr>
        <w:tblStyle w:val="TableGrid"/>
        <w:tblW w:w="8647" w:type="dxa"/>
        <w:tblInd w:w="-14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495"/>
        <w:gridCol w:w="3041"/>
        <w:gridCol w:w="4111"/>
      </w:tblGrid>
      <w:tr w:rsidR="00483461" w:rsidRPr="00121519" w14:paraId="60395FD3" w14:textId="77777777" w:rsidTr="00A64C15">
        <w:trPr>
          <w:cantSplit/>
          <w:tblHeader/>
        </w:trPr>
        <w:tc>
          <w:tcPr>
            <w:tcW w:w="1495" w:type="dxa"/>
            <w:shd w:val="clear" w:color="auto" w:fill="C4DDEA"/>
            <w:vAlign w:val="top"/>
          </w:tcPr>
          <w:p w14:paraId="48B056CD" w14:textId="5B9B264D" w:rsidR="00804D8B" w:rsidRPr="00121519" w:rsidRDefault="00804D8B" w:rsidP="007945C2">
            <w:pPr>
              <w:pStyle w:val="TableHeading2"/>
              <w:ind w:left="176" w:hanging="176"/>
            </w:pPr>
            <w:r>
              <w:t>Type</w:t>
            </w:r>
          </w:p>
        </w:tc>
        <w:tc>
          <w:tcPr>
            <w:tcW w:w="3041" w:type="dxa"/>
            <w:shd w:val="clear" w:color="auto" w:fill="C4DDEA"/>
            <w:vAlign w:val="top"/>
          </w:tcPr>
          <w:p w14:paraId="0A3DA725" w14:textId="73EE461C" w:rsidR="00804D8B" w:rsidRDefault="00804D8B" w:rsidP="007945C2">
            <w:pPr>
              <w:pStyle w:val="TableHeading2"/>
            </w:pPr>
            <w:r>
              <w:t>Description</w:t>
            </w:r>
          </w:p>
        </w:tc>
        <w:tc>
          <w:tcPr>
            <w:tcW w:w="4111" w:type="dxa"/>
            <w:shd w:val="clear" w:color="auto" w:fill="C4DDEA"/>
            <w:vAlign w:val="top"/>
          </w:tcPr>
          <w:p w14:paraId="2FFEE239" w14:textId="54BBA5BA" w:rsidR="00804D8B" w:rsidRPr="00121519" w:rsidRDefault="00804D8B" w:rsidP="007945C2">
            <w:pPr>
              <w:pStyle w:val="TableHeading2"/>
            </w:pPr>
            <w:r>
              <w:t>Trust specific information</w:t>
            </w:r>
          </w:p>
        </w:tc>
      </w:tr>
      <w:tr w:rsidR="00AB3401" w:rsidRPr="00121519" w14:paraId="77C26496" w14:textId="77777777" w:rsidTr="00A64C15">
        <w:tc>
          <w:tcPr>
            <w:tcW w:w="1495" w:type="dxa"/>
            <w:vAlign w:val="top"/>
          </w:tcPr>
          <w:p w14:paraId="6B1605B4" w14:textId="7941F198" w:rsidR="00804D8B" w:rsidRPr="00121519" w:rsidRDefault="00804D8B" w:rsidP="007945C2">
            <w:pPr>
              <w:pStyle w:val="TablePlainParagraph"/>
              <w:rPr>
                <w:b/>
              </w:rPr>
            </w:pPr>
            <w:r>
              <w:rPr>
                <w:b/>
              </w:rPr>
              <w:t>Fixed trust</w:t>
            </w:r>
          </w:p>
        </w:tc>
        <w:tc>
          <w:tcPr>
            <w:tcW w:w="3041" w:type="dxa"/>
            <w:vAlign w:val="top"/>
          </w:tcPr>
          <w:p w14:paraId="143ADE27" w14:textId="7CA5EE69" w:rsidR="00804D8B" w:rsidRPr="00804D8B" w:rsidRDefault="00804D8B" w:rsidP="007945C2">
            <w:pPr>
              <w:pStyle w:val="TablePlainParagraph"/>
            </w:pPr>
            <w:r>
              <w:t>A</w:t>
            </w:r>
            <w:r w:rsidRPr="002F1B20">
              <w:t xml:space="preserve"> trust in which persons </w:t>
            </w:r>
            <w:proofErr w:type="gramStart"/>
            <w:r w:rsidRPr="002F1B20">
              <w:t>have fixed entitlements to all of the income and capital of the trust at all times</w:t>
            </w:r>
            <w:proofErr w:type="gramEnd"/>
            <w:r w:rsidRPr="002F1B20">
              <w:t xml:space="preserve"> during the income year. The trustee is bound to make a distribution to the beneficiaries in a fixed or predetermined manner, as set out in the trust deed.</w:t>
            </w:r>
            <w:r w:rsidRPr="00C8722C">
              <w:t xml:space="preserve"> </w:t>
            </w:r>
          </w:p>
        </w:tc>
        <w:tc>
          <w:tcPr>
            <w:tcW w:w="4111" w:type="dxa"/>
            <w:vAlign w:val="top"/>
          </w:tcPr>
          <w:p w14:paraId="4BA03294" w14:textId="17C0270C" w:rsidR="00804D8B" w:rsidRDefault="00804D8B" w:rsidP="00804008">
            <w:pPr>
              <w:pStyle w:val="TablePlainParagraph"/>
              <w:numPr>
                <w:ilvl w:val="0"/>
                <w:numId w:val="36"/>
              </w:numPr>
            </w:pPr>
            <w:r>
              <w:t>All beneficiaries named in the trust deed.</w:t>
            </w:r>
          </w:p>
          <w:p w14:paraId="46E5C4F9" w14:textId="35B79A17" w:rsidR="00804D8B" w:rsidRPr="00804D8B" w:rsidRDefault="00804D8B" w:rsidP="00804008">
            <w:pPr>
              <w:pStyle w:val="TablePlainParagraph"/>
              <w:numPr>
                <w:ilvl w:val="0"/>
                <w:numId w:val="36"/>
              </w:numPr>
              <w:ind w:left="357" w:hanging="357"/>
            </w:pPr>
            <w:r>
              <w:t xml:space="preserve">All persons </w:t>
            </w:r>
            <w:r w:rsidRPr="00450CFA">
              <w:t>who, pursuant to the trust instrument, ha</w:t>
            </w:r>
            <w:r>
              <w:t>ve</w:t>
            </w:r>
            <w:r w:rsidRPr="00450CFA">
              <w:t xml:space="preserve"> the power (either alone or together with other persons) to remove or appoint a trustee</w:t>
            </w:r>
            <w:r>
              <w:t xml:space="preserve"> (</w:t>
            </w:r>
            <w:r w:rsidRPr="00C8722C">
              <w:t>appointors</w:t>
            </w:r>
            <w:r>
              <w:t>)</w:t>
            </w:r>
            <w:r w:rsidRPr="00450CFA">
              <w:t xml:space="preserve">. </w:t>
            </w:r>
          </w:p>
        </w:tc>
      </w:tr>
      <w:tr w:rsidR="00AB3401" w:rsidRPr="00794061" w14:paraId="645883EE" w14:textId="77777777" w:rsidTr="00A64C15">
        <w:tc>
          <w:tcPr>
            <w:tcW w:w="1495" w:type="dxa"/>
            <w:vAlign w:val="top"/>
          </w:tcPr>
          <w:p w14:paraId="7799D06A" w14:textId="454AAB1F" w:rsidR="00804D8B" w:rsidRDefault="00804D8B" w:rsidP="007945C2">
            <w:pPr>
              <w:pStyle w:val="TablePlainParagraph"/>
              <w:rPr>
                <w:b/>
              </w:rPr>
            </w:pPr>
            <w:r>
              <w:rPr>
                <w:b/>
              </w:rPr>
              <w:t>Unit trust</w:t>
            </w:r>
          </w:p>
        </w:tc>
        <w:tc>
          <w:tcPr>
            <w:tcW w:w="3041" w:type="dxa"/>
            <w:vAlign w:val="top"/>
          </w:tcPr>
          <w:p w14:paraId="2B0CDF57" w14:textId="72C3C7DD" w:rsidR="00804D8B" w:rsidRPr="00794061" w:rsidRDefault="00804D8B" w:rsidP="007945C2">
            <w:pPr>
              <w:pStyle w:val="TablePlainParagraph"/>
            </w:pPr>
            <w:r>
              <w:t>A</w:t>
            </w:r>
            <w:r w:rsidRPr="00257E8A">
              <w:t xml:space="preserve"> trust where entitlement to capital and income of the trust is according to the units held by the beneficiary. Distributions are made on a pro-rata basis according to the proportion of units held.</w:t>
            </w:r>
          </w:p>
        </w:tc>
        <w:tc>
          <w:tcPr>
            <w:tcW w:w="4111" w:type="dxa"/>
            <w:vAlign w:val="top"/>
          </w:tcPr>
          <w:p w14:paraId="7C7CF06D" w14:textId="1683932C" w:rsidR="00804D8B" w:rsidRDefault="00640A75" w:rsidP="00804008">
            <w:pPr>
              <w:pStyle w:val="TablePlainParagraph"/>
              <w:numPr>
                <w:ilvl w:val="0"/>
                <w:numId w:val="36"/>
              </w:numPr>
            </w:pPr>
            <w:r>
              <w:t>A</w:t>
            </w:r>
            <w:r w:rsidR="00804D8B">
              <w:t>ll beneficiaries named in the trust deed</w:t>
            </w:r>
            <w:r>
              <w:t>.</w:t>
            </w:r>
          </w:p>
          <w:p w14:paraId="602070AB" w14:textId="4F59C509" w:rsidR="00804D8B" w:rsidRDefault="00640A75" w:rsidP="00804008">
            <w:pPr>
              <w:pStyle w:val="TablePlainParagraph"/>
              <w:numPr>
                <w:ilvl w:val="0"/>
                <w:numId w:val="36"/>
              </w:numPr>
            </w:pPr>
            <w:r>
              <w:t>A</w:t>
            </w:r>
            <w:r w:rsidR="00804D8B">
              <w:t>ll appointors</w:t>
            </w:r>
            <w:r>
              <w:t>.</w:t>
            </w:r>
          </w:p>
          <w:p w14:paraId="578F3FB0" w14:textId="41E8BDD1" w:rsidR="00804D8B" w:rsidRDefault="00640A75" w:rsidP="00804008">
            <w:pPr>
              <w:pStyle w:val="TablePlainParagraph"/>
              <w:numPr>
                <w:ilvl w:val="0"/>
                <w:numId w:val="36"/>
              </w:numPr>
            </w:pPr>
            <w:r>
              <w:t>A</w:t>
            </w:r>
            <w:r w:rsidR="00804D8B">
              <w:t>ll beneficiaries who either:</w:t>
            </w:r>
          </w:p>
          <w:p w14:paraId="2D8B2E89" w14:textId="77777777" w:rsidR="00804D8B" w:rsidRDefault="00804D8B" w:rsidP="00804008">
            <w:pPr>
              <w:pStyle w:val="TablePlainParagraph"/>
              <w:numPr>
                <w:ilvl w:val="1"/>
                <w:numId w:val="36"/>
              </w:numPr>
              <w:ind w:left="717"/>
            </w:pPr>
            <w:r>
              <w:t>hold, directly or indirectly, 25 per cent of the units in the trust, or</w:t>
            </w:r>
          </w:p>
          <w:p w14:paraId="62DD7182" w14:textId="18C6C2B6" w:rsidR="00804D8B" w:rsidRPr="00804D8B" w:rsidRDefault="00804D8B" w:rsidP="00804008">
            <w:pPr>
              <w:pStyle w:val="TablePlainParagraph"/>
              <w:numPr>
                <w:ilvl w:val="1"/>
                <w:numId w:val="36"/>
              </w:numPr>
              <w:ind w:left="717"/>
            </w:pPr>
            <w:r>
              <w:t>hold, directly or indirectly, 25 per cent of the voting rights in the trust.</w:t>
            </w:r>
          </w:p>
        </w:tc>
      </w:tr>
      <w:tr w:rsidR="00AB3401" w:rsidRPr="00794061" w14:paraId="6C7E79C0" w14:textId="77777777" w:rsidTr="00A64C15">
        <w:tc>
          <w:tcPr>
            <w:tcW w:w="1495" w:type="dxa"/>
            <w:vAlign w:val="top"/>
          </w:tcPr>
          <w:p w14:paraId="7FFD9C3F" w14:textId="034D964A" w:rsidR="00804D8B" w:rsidRDefault="00804D8B" w:rsidP="007945C2">
            <w:pPr>
              <w:pStyle w:val="TablePlainParagraph"/>
              <w:rPr>
                <w:b/>
              </w:rPr>
            </w:pPr>
            <w:r>
              <w:rPr>
                <w:b/>
              </w:rPr>
              <w:t>Discretionary trust</w:t>
            </w:r>
          </w:p>
        </w:tc>
        <w:tc>
          <w:tcPr>
            <w:tcW w:w="3041" w:type="dxa"/>
            <w:vAlign w:val="top"/>
          </w:tcPr>
          <w:p w14:paraId="3F600C15" w14:textId="30B66DB3" w:rsidR="00804D8B" w:rsidRDefault="00804D8B" w:rsidP="007945C2">
            <w:pPr>
              <w:pStyle w:val="TablePlainParagraph"/>
            </w:pPr>
            <w:r>
              <w:t xml:space="preserve">a trust </w:t>
            </w:r>
            <w:r w:rsidRPr="001022E3">
              <w:t xml:space="preserve">where </w:t>
            </w:r>
            <w:r>
              <w:t xml:space="preserve">the </w:t>
            </w:r>
            <w:r w:rsidRPr="001022E3">
              <w:t xml:space="preserve">trustee has ultimate discretion. </w:t>
            </w:r>
            <w:r>
              <w:t xml:space="preserve">Beneficiaries </w:t>
            </w:r>
            <w:r w:rsidRPr="001022E3">
              <w:t xml:space="preserve">can be described individually, or </w:t>
            </w:r>
            <w:r>
              <w:t xml:space="preserve">as people </w:t>
            </w:r>
            <w:r w:rsidRPr="001022E3">
              <w:t>within a defined class</w:t>
            </w:r>
            <w:r>
              <w:t xml:space="preserve"> (for example, as members of a certain family).</w:t>
            </w:r>
          </w:p>
        </w:tc>
        <w:tc>
          <w:tcPr>
            <w:tcW w:w="4111" w:type="dxa"/>
            <w:vAlign w:val="top"/>
          </w:tcPr>
          <w:p w14:paraId="0DF136E7" w14:textId="0DC19EC9" w:rsidR="00804D8B" w:rsidRDefault="00640A75" w:rsidP="00804008">
            <w:pPr>
              <w:pStyle w:val="TablePlainParagraph"/>
              <w:numPr>
                <w:ilvl w:val="0"/>
                <w:numId w:val="36"/>
              </w:numPr>
            </w:pPr>
            <w:r>
              <w:t>A</w:t>
            </w:r>
            <w:r w:rsidR="00804D8B">
              <w:t>ll beneficiaries named in the trust deed</w:t>
            </w:r>
            <w:r>
              <w:t>.</w:t>
            </w:r>
          </w:p>
          <w:p w14:paraId="79D3F47C" w14:textId="73A80746" w:rsidR="00804D8B" w:rsidRDefault="00640A75" w:rsidP="00804008">
            <w:pPr>
              <w:pStyle w:val="TablePlainParagraph"/>
              <w:numPr>
                <w:ilvl w:val="0"/>
                <w:numId w:val="36"/>
              </w:numPr>
            </w:pPr>
            <w:r>
              <w:t>A</w:t>
            </w:r>
            <w:r w:rsidR="00804D8B">
              <w:t>ll appointors</w:t>
            </w:r>
            <w:r>
              <w:t>.</w:t>
            </w:r>
          </w:p>
          <w:p w14:paraId="62BC4A62" w14:textId="034B8C80" w:rsidR="00804D8B" w:rsidRPr="00640A75" w:rsidRDefault="00640A75" w:rsidP="00804008">
            <w:pPr>
              <w:pStyle w:val="TablePlainParagraph"/>
              <w:numPr>
                <w:ilvl w:val="0"/>
                <w:numId w:val="36"/>
              </w:numPr>
            </w:pPr>
            <w:r>
              <w:t>A</w:t>
            </w:r>
            <w:r w:rsidR="00804D8B">
              <w:t>ny natural person or entity that the trustee reasonably believes would receive a distribution from the trust.</w:t>
            </w:r>
          </w:p>
        </w:tc>
      </w:tr>
      <w:tr w:rsidR="00AB3401" w:rsidRPr="00794061" w14:paraId="5E0F23E5" w14:textId="77777777" w:rsidTr="00A64C15">
        <w:tc>
          <w:tcPr>
            <w:tcW w:w="1495" w:type="dxa"/>
            <w:vAlign w:val="top"/>
          </w:tcPr>
          <w:p w14:paraId="2FAB9652" w14:textId="78D49DE4" w:rsidR="00804D8B" w:rsidRDefault="00804D8B" w:rsidP="007945C2">
            <w:pPr>
              <w:pStyle w:val="TablePlainParagraph"/>
              <w:rPr>
                <w:b/>
              </w:rPr>
            </w:pPr>
            <w:r>
              <w:rPr>
                <w:b/>
              </w:rPr>
              <w:t>Hybrid trust</w:t>
            </w:r>
          </w:p>
        </w:tc>
        <w:tc>
          <w:tcPr>
            <w:tcW w:w="3041" w:type="dxa"/>
            <w:vAlign w:val="top"/>
          </w:tcPr>
          <w:p w14:paraId="1B775E83" w14:textId="77777777" w:rsidR="00640A75" w:rsidRDefault="00804D8B" w:rsidP="007945C2">
            <w:pPr>
              <w:pStyle w:val="TablePlainParagraph"/>
            </w:pPr>
            <w:r w:rsidRPr="0010405B">
              <w:t xml:space="preserve">Hybrid Trusts have elements of different kinds of trust arrangements. </w:t>
            </w:r>
          </w:p>
          <w:p w14:paraId="64B2A3F3" w14:textId="45E2A2FF" w:rsidR="00804D8B" w:rsidRPr="00804D8B" w:rsidRDefault="00804D8B" w:rsidP="007945C2">
            <w:pPr>
              <w:pStyle w:val="TablePlainParagraph"/>
            </w:pPr>
            <w:r w:rsidRPr="0010405B">
              <w:t xml:space="preserve">For example, a hybrid trust may provide discretion to the trustee to distribute income as they see fit, but any remainder of trust income or capital is to be distributed among beneficiaries on a unitised basis. </w:t>
            </w:r>
          </w:p>
        </w:tc>
        <w:tc>
          <w:tcPr>
            <w:tcW w:w="4111" w:type="dxa"/>
            <w:vAlign w:val="top"/>
          </w:tcPr>
          <w:p w14:paraId="34488B27" w14:textId="0E0605A9" w:rsidR="00804D8B" w:rsidRPr="00804D8B" w:rsidRDefault="00640A75" w:rsidP="00804008">
            <w:pPr>
              <w:pStyle w:val="NumberLevel1"/>
              <w:numPr>
                <w:ilvl w:val="0"/>
                <w:numId w:val="36"/>
              </w:numPr>
              <w:spacing w:before="60" w:after="60" w:line="240" w:lineRule="atLeast"/>
              <w:ind w:left="357" w:hanging="357"/>
            </w:pPr>
            <w:r>
              <w:t>T</w:t>
            </w:r>
            <w:r w:rsidR="00804D8B" w:rsidRPr="0010405B">
              <w:t xml:space="preserve">he trustee </w:t>
            </w:r>
            <w:r w:rsidR="00804D8B">
              <w:t xml:space="preserve">must provide BOI to the in-scope company </w:t>
            </w:r>
            <w:r w:rsidR="00804D8B" w:rsidRPr="0010405B">
              <w:t>according to the above rules for each portion of the trust</w:t>
            </w:r>
            <w:r w:rsidR="00804D8B">
              <w:t>.</w:t>
            </w:r>
            <w:r w:rsidR="00804D8B" w:rsidRPr="0010405B">
              <w:t xml:space="preserve"> </w:t>
            </w:r>
            <w:r w:rsidR="00804D8B">
              <w:t>U</w:t>
            </w:r>
            <w:r w:rsidR="00804D8B" w:rsidRPr="0010405B">
              <w:t xml:space="preserve">sing the </w:t>
            </w:r>
            <w:r w:rsidR="00804D8B">
              <w:t xml:space="preserve">current </w:t>
            </w:r>
            <w:r w:rsidR="00804D8B" w:rsidRPr="0010405B">
              <w:t>example</w:t>
            </w:r>
            <w:r w:rsidR="00804D8B">
              <w:t>, this would mean following the disclosure rules</w:t>
            </w:r>
            <w:r w:rsidR="00804D8B" w:rsidRPr="0010405B">
              <w:t xml:space="preserve"> for discretionary tr</w:t>
            </w:r>
            <w:r w:rsidR="00804D8B">
              <w:t>u</w:t>
            </w:r>
            <w:r w:rsidR="00804D8B" w:rsidRPr="0010405B">
              <w:t>sts for the discretionary element</w:t>
            </w:r>
            <w:r w:rsidR="00804D8B">
              <w:t>,</w:t>
            </w:r>
            <w:r w:rsidR="00804D8B" w:rsidRPr="0010405B">
              <w:t xml:space="preserve"> and then </w:t>
            </w:r>
            <w:r w:rsidR="00804D8B">
              <w:t xml:space="preserve">following </w:t>
            </w:r>
            <w:r w:rsidR="00804D8B" w:rsidRPr="0010405B">
              <w:t>the rules for unit trusts for the unitised elements</w:t>
            </w:r>
          </w:p>
        </w:tc>
      </w:tr>
    </w:tbl>
    <w:p w14:paraId="5CA3CA90" w14:textId="617E3F5C" w:rsidR="003B50B5" w:rsidRDefault="003B50B5" w:rsidP="000A52BB">
      <w:pPr>
        <w:pStyle w:val="Heading2"/>
      </w:pPr>
      <w:bookmarkStart w:id="77" w:name="_Toc160444093"/>
      <w:bookmarkStart w:id="78" w:name="_Toc168942745"/>
      <w:r>
        <w:t xml:space="preserve">Activity </w:t>
      </w:r>
      <w:r w:rsidR="0099005F">
        <w:t>2C</w:t>
      </w:r>
      <w:r>
        <w:t xml:space="preserve"> – Collection </w:t>
      </w:r>
      <w:r w:rsidR="0025754E">
        <w:t xml:space="preserve">by in-scope companies of </w:t>
      </w:r>
      <w:r w:rsidR="001D5B1E">
        <w:t>BOI</w:t>
      </w:r>
      <w:r w:rsidR="0025754E">
        <w:t xml:space="preserve"> when the entity has different </w:t>
      </w:r>
      <w:proofErr w:type="gramStart"/>
      <w:r w:rsidR="0025754E">
        <w:t>requirements</w:t>
      </w:r>
      <w:bookmarkEnd w:id="77"/>
      <w:bookmarkEnd w:id="78"/>
      <w:proofErr w:type="gramEnd"/>
    </w:p>
    <w:p w14:paraId="143376C0" w14:textId="3B4D6337" w:rsidR="0025754E" w:rsidRDefault="0025754E" w:rsidP="007945C2">
      <w:pPr>
        <w:pStyle w:val="NumberLevel1"/>
        <w:keepNext/>
        <w:keepLines/>
      </w:pPr>
      <w:r>
        <w:t>Some entity types that would otherwise be defined as in-scope companies will have different requirements to reduce the regulatory burden for these entities in accordance with the level of risk these entities pose.</w:t>
      </w:r>
    </w:p>
    <w:p w14:paraId="35419AC9" w14:textId="43E6F035" w:rsidR="002C64D8" w:rsidRDefault="002C64D8" w:rsidP="00D7449C">
      <w:pPr>
        <w:pStyle w:val="Heading3"/>
      </w:pPr>
      <w:r>
        <w:t>Wholly owned subsidiaries</w:t>
      </w:r>
    </w:p>
    <w:p w14:paraId="22E3FA71" w14:textId="2F53E55C" w:rsidR="002C64D8" w:rsidRDefault="002C64D8" w:rsidP="002C64D8">
      <w:pPr>
        <w:pStyle w:val="NumberLevel1"/>
        <w:keepNext/>
        <w:keepLines/>
      </w:pPr>
      <w:r>
        <w:t>Wholly owned subsidiaries in corporate groups will be authorised to use a consolidated register for the corporate group. The wholly owned subsidiary will not need to maintain a separate register to that of its parent company beneficial owner.</w:t>
      </w:r>
    </w:p>
    <w:p w14:paraId="155F58BA" w14:textId="77777777" w:rsidR="0025754E" w:rsidRDefault="0025754E" w:rsidP="00D7449C">
      <w:pPr>
        <w:pStyle w:val="Heading3"/>
      </w:pPr>
      <w:r>
        <w:t>Director-owner companies</w:t>
      </w:r>
    </w:p>
    <w:p w14:paraId="05DB9B29" w14:textId="7FB3C0C3" w:rsidR="0025754E" w:rsidRDefault="0025754E" w:rsidP="0025754E">
      <w:pPr>
        <w:pStyle w:val="NumberLevel1"/>
      </w:pPr>
      <w:bookmarkStart w:id="79" w:name="_Ref168631230"/>
      <w:r>
        <w:t xml:space="preserve">Proprietary limited companies where the only members of the company are the directors of the company, and those members are also the sole beneficial owners, will be able to satisfy their requirements under this regime by certifying </w:t>
      </w:r>
      <w:r w:rsidR="006C409F">
        <w:t>using</w:t>
      </w:r>
      <w:r>
        <w:t xml:space="preserve"> an approved form</w:t>
      </w:r>
      <w:r w:rsidR="006C409F">
        <w:t>at</w:t>
      </w:r>
      <w:r>
        <w:t xml:space="preserve"> that:</w:t>
      </w:r>
      <w:bookmarkEnd w:id="79"/>
    </w:p>
    <w:p w14:paraId="54DC213A" w14:textId="01C293AA" w:rsidR="0025754E" w:rsidRDefault="0025754E" w:rsidP="0025754E">
      <w:pPr>
        <w:pStyle w:val="NumberLevel2"/>
      </w:pPr>
      <w:r>
        <w:t xml:space="preserve">the information about directors displayed on </w:t>
      </w:r>
      <w:r w:rsidR="000B4CD1">
        <w:t>ASIC’s</w:t>
      </w:r>
      <w:r>
        <w:t xml:space="preserve"> Companies Register </w:t>
      </w:r>
      <w:r w:rsidR="000B4CD1">
        <w:t>(</w:t>
      </w:r>
      <w:r w:rsidR="000B4CD1">
        <w:rPr>
          <w:b/>
        </w:rPr>
        <w:t xml:space="preserve">Companies </w:t>
      </w:r>
      <w:r w:rsidR="000B4CD1" w:rsidRPr="000B4CD1">
        <w:rPr>
          <w:b/>
        </w:rPr>
        <w:t>Register</w:t>
      </w:r>
      <w:r w:rsidR="000B4CD1">
        <w:t xml:space="preserve">) </w:t>
      </w:r>
      <w:r>
        <w:t xml:space="preserve">represents an accurate and complete record of the entity’s beneficial </w:t>
      </w:r>
      <w:proofErr w:type="gramStart"/>
      <w:r>
        <w:t>owners</w:t>
      </w:r>
      <w:proofErr w:type="gramEnd"/>
    </w:p>
    <w:p w14:paraId="1BF383CA" w14:textId="0CC3B1D2" w:rsidR="0025754E" w:rsidRDefault="0025754E" w:rsidP="0025754E">
      <w:pPr>
        <w:pStyle w:val="NumberLevel2"/>
      </w:pPr>
      <w:r>
        <w:t>no other individual or entity than those directors displayed on the Companies Register satisfies limbs one and two of the criteria for registration as a beneficial owner</w:t>
      </w:r>
      <w:r w:rsidR="000B4CD1">
        <w:t xml:space="preserve"> as set out at paragraph [</w:t>
      </w:r>
      <w:r w:rsidR="000B4CD1">
        <w:fldChar w:fldCharType="begin"/>
      </w:r>
      <w:r w:rsidR="000B4CD1">
        <w:instrText xml:space="preserve"> REF _Ref160442721 \r \h </w:instrText>
      </w:r>
      <w:r w:rsidR="000B4CD1">
        <w:fldChar w:fldCharType="separate"/>
      </w:r>
      <w:r w:rsidR="00C14F0B">
        <w:t>68</w:t>
      </w:r>
      <w:r w:rsidR="000B4CD1">
        <w:fldChar w:fldCharType="end"/>
      </w:r>
      <w:r w:rsidR="000B4CD1">
        <w:t>]</w:t>
      </w:r>
    </w:p>
    <w:p w14:paraId="6813AE6D" w14:textId="174C847B" w:rsidR="0025754E" w:rsidRDefault="0025754E" w:rsidP="0025754E">
      <w:pPr>
        <w:pStyle w:val="NumberLevel2"/>
      </w:pPr>
      <w:r>
        <w:t>no individual or entity satisfies limbs three and four of the criteria for registration as a beneficial owner</w:t>
      </w:r>
      <w:r w:rsidR="000B4CD1">
        <w:t xml:space="preserve"> as set out at paragraph [</w:t>
      </w:r>
      <w:r w:rsidR="000B4CD1">
        <w:fldChar w:fldCharType="begin"/>
      </w:r>
      <w:r w:rsidR="000B4CD1">
        <w:instrText xml:space="preserve"> REF _Ref160442721 \r \h </w:instrText>
      </w:r>
      <w:r w:rsidR="000B4CD1">
        <w:fldChar w:fldCharType="separate"/>
      </w:r>
      <w:r w:rsidR="00C14F0B">
        <w:t>68</w:t>
      </w:r>
      <w:r w:rsidR="000B4CD1">
        <w:fldChar w:fldCharType="end"/>
      </w:r>
      <w:r w:rsidR="000B4CD1">
        <w:t>]</w:t>
      </w:r>
      <w:r>
        <w:t>.</w:t>
      </w:r>
    </w:p>
    <w:p w14:paraId="5FC2AFFF" w14:textId="0188B6D2" w:rsidR="0025754E" w:rsidRDefault="0025754E" w:rsidP="0025754E">
      <w:pPr>
        <w:pStyle w:val="NumberLevel1"/>
      </w:pPr>
      <w:r>
        <w:t xml:space="preserve">Although </w:t>
      </w:r>
      <w:r w:rsidR="00722A64">
        <w:t>yet to be finalised</w:t>
      </w:r>
      <w:r>
        <w:t xml:space="preserve">, </w:t>
      </w:r>
      <w:r w:rsidR="00722A64">
        <w:t xml:space="preserve">the BO Policy may require </w:t>
      </w:r>
      <w:r w:rsidR="00072C5D">
        <w:t>directors</w:t>
      </w:r>
      <w:r w:rsidR="00D31DF7">
        <w:t xml:space="preserve"> of companies which </w:t>
      </w:r>
      <w:r w:rsidR="00C32055">
        <w:t>make use of the certification process</w:t>
      </w:r>
      <w:r w:rsidR="00072C5D">
        <w:t xml:space="preserve"> to provide their director identification number (</w:t>
      </w:r>
      <w:r w:rsidR="00072C5D">
        <w:rPr>
          <w:b/>
          <w:bCs/>
        </w:rPr>
        <w:t>director ID</w:t>
      </w:r>
      <w:r w:rsidR="00072C5D" w:rsidRPr="000A4B78">
        <w:t>)</w:t>
      </w:r>
      <w:r w:rsidR="00072C5D" w:rsidRPr="006337A6">
        <w:rPr>
          <w:bCs/>
        </w:rPr>
        <w:t xml:space="preserve"> </w:t>
      </w:r>
      <w:r w:rsidR="00264A41" w:rsidRPr="006337A6">
        <w:rPr>
          <w:bCs/>
        </w:rPr>
        <w:t>and</w:t>
      </w:r>
      <w:r w:rsidR="00264A41">
        <w:rPr>
          <w:b/>
          <w:bCs/>
        </w:rPr>
        <w:t xml:space="preserve"> </w:t>
      </w:r>
      <w:r>
        <w:t>such companies to make this certification</w:t>
      </w:r>
      <w:r w:rsidR="005848B4">
        <w:t xml:space="preserve"> </w:t>
      </w:r>
      <w:r w:rsidR="00DD0ACB">
        <w:t xml:space="preserve">annually, </w:t>
      </w:r>
      <w:r w:rsidR="005848B4">
        <w:t>and</w:t>
      </w:r>
      <w:r>
        <w:t xml:space="preserve"> whenever </w:t>
      </w:r>
      <w:r w:rsidR="00722A64">
        <w:t>any information about the directors on the Companies Register changes</w:t>
      </w:r>
      <w:r>
        <w:t>. The exemption would cease if at any time the entity ceases to meet any of the above requirements.</w:t>
      </w:r>
    </w:p>
    <w:p w14:paraId="4AE6BDA0" w14:textId="77777777" w:rsidR="0025754E" w:rsidRDefault="0025754E" w:rsidP="00D7449C">
      <w:pPr>
        <w:pStyle w:val="Heading3"/>
      </w:pPr>
      <w:r>
        <w:t xml:space="preserve">Companies limited by </w:t>
      </w:r>
      <w:proofErr w:type="gramStart"/>
      <w:r>
        <w:t>guarantee</w:t>
      </w:r>
      <w:proofErr w:type="gramEnd"/>
      <w:r>
        <w:t xml:space="preserve"> </w:t>
      </w:r>
    </w:p>
    <w:p w14:paraId="110583DC" w14:textId="56B6F4A4" w:rsidR="0025754E" w:rsidRDefault="0025754E" w:rsidP="0025754E">
      <w:pPr>
        <w:pStyle w:val="NumberLevel1"/>
      </w:pPr>
      <w:r>
        <w:t>Companies limited by guarantee (</w:t>
      </w:r>
      <w:r w:rsidRPr="0025754E">
        <w:rPr>
          <w:b/>
        </w:rPr>
        <w:t>CLBG</w:t>
      </w:r>
      <w:r>
        <w:t xml:space="preserve">) which were registered after 28 June 2010, or can prove they are not authorised to pay dividends under their constitution, will be authorised to satisfy their requirements under this regime by providing the </w:t>
      </w:r>
      <w:r w:rsidR="00722A64">
        <w:t>d</w:t>
      </w:r>
      <w:r>
        <w:t>irector</w:t>
      </w:r>
      <w:r w:rsidR="00722A64">
        <w:t> </w:t>
      </w:r>
      <w:r>
        <w:t xml:space="preserve">ID of all directors, and certifying </w:t>
      </w:r>
      <w:r w:rsidR="0023264F">
        <w:t>using</w:t>
      </w:r>
      <w:r>
        <w:t xml:space="preserve"> an approved form</w:t>
      </w:r>
      <w:r w:rsidR="0023264F">
        <w:t>at</w:t>
      </w:r>
      <w:r>
        <w:t xml:space="preserve"> that:</w:t>
      </w:r>
    </w:p>
    <w:p w14:paraId="1BA05582" w14:textId="58F3EE5C" w:rsidR="0025754E" w:rsidRDefault="0025754E" w:rsidP="0025754E">
      <w:pPr>
        <w:pStyle w:val="NumberLevel2"/>
      </w:pPr>
      <w:r>
        <w:t xml:space="preserve">the information about directors displayed on the Companies Register represents an accurate and complete record of the entity’s beneficial </w:t>
      </w:r>
      <w:proofErr w:type="gramStart"/>
      <w:r>
        <w:t>owners</w:t>
      </w:r>
      <w:proofErr w:type="gramEnd"/>
    </w:p>
    <w:p w14:paraId="70FD13BF" w14:textId="210C1EE2" w:rsidR="0025754E" w:rsidRDefault="0025754E" w:rsidP="0025754E">
      <w:pPr>
        <w:pStyle w:val="NumberLevel2"/>
      </w:pPr>
      <w:r>
        <w:t xml:space="preserve">no other individual or entity than those directors displayed on the Companies Register satisfies limbs one and two of the criteria for registration as a beneficial </w:t>
      </w:r>
      <w:proofErr w:type="gramStart"/>
      <w:r>
        <w:t>owner</w:t>
      </w:r>
      <w:proofErr w:type="gramEnd"/>
    </w:p>
    <w:p w14:paraId="37EB7714" w14:textId="77777777" w:rsidR="0025754E" w:rsidRDefault="0025754E" w:rsidP="0025754E">
      <w:pPr>
        <w:pStyle w:val="NumberLevel2"/>
      </w:pPr>
      <w:r>
        <w:t>no individual or entity satisfies limbs three and four of the criteria for registration as a beneficial owner.</w:t>
      </w:r>
    </w:p>
    <w:p w14:paraId="52D81510" w14:textId="44BC610A" w:rsidR="0025754E" w:rsidRDefault="00FD5759" w:rsidP="0025754E">
      <w:pPr>
        <w:pStyle w:val="NumberLevel1"/>
      </w:pPr>
      <w:r>
        <w:t xml:space="preserve">CLBGs </w:t>
      </w:r>
      <w:r w:rsidR="0025754E">
        <w:t xml:space="preserve">may </w:t>
      </w:r>
      <w:r>
        <w:t xml:space="preserve">be </w:t>
      </w:r>
      <w:r w:rsidR="0025754E">
        <w:t>require</w:t>
      </w:r>
      <w:r>
        <w:t>d</w:t>
      </w:r>
      <w:r w:rsidR="0025754E">
        <w:t xml:space="preserve"> to submit this certification annually</w:t>
      </w:r>
      <w:r w:rsidR="006A0864">
        <w:t xml:space="preserve"> and whenever any information about the directors on the Companies Register changes. </w:t>
      </w:r>
      <w:r w:rsidR="0025754E">
        <w:t>This exemption would cease if at any time a CLBG ceases to meet any of the above requirements.</w:t>
      </w:r>
    </w:p>
    <w:p w14:paraId="46ACFA94" w14:textId="4790EB63" w:rsidR="0025754E" w:rsidRDefault="0025754E" w:rsidP="0025754E">
      <w:pPr>
        <w:pStyle w:val="Heading4"/>
      </w:pPr>
      <w:r>
        <w:t>Not-for-profit entities</w:t>
      </w:r>
    </w:p>
    <w:p w14:paraId="7515CB97" w14:textId="28AE6EBC" w:rsidR="0025754E" w:rsidRDefault="0025754E" w:rsidP="0025754E">
      <w:pPr>
        <w:pStyle w:val="NumberLevel1"/>
      </w:pPr>
      <w:r>
        <w:t>Not-for-profit (</w:t>
      </w:r>
      <w:r w:rsidRPr="0025754E">
        <w:rPr>
          <w:b/>
        </w:rPr>
        <w:t>NFP</w:t>
      </w:r>
      <w:r>
        <w:t xml:space="preserve">) entities would be subject to beneficial ownership disclosure requirements if they are registered as a company with ASIC and operate outside Australia. </w:t>
      </w:r>
    </w:p>
    <w:p w14:paraId="6030592A" w14:textId="4E4EF7A7" w:rsidR="0025754E" w:rsidRDefault="0025754E" w:rsidP="0025754E">
      <w:pPr>
        <w:pStyle w:val="NumberLevel1"/>
      </w:pPr>
      <w:r>
        <w:t>NFPs</w:t>
      </w:r>
      <w:r w:rsidR="00694CF5">
        <w:t xml:space="preserve"> </w:t>
      </w:r>
      <w:r w:rsidR="00005CB5">
        <w:t>that</w:t>
      </w:r>
      <w:r w:rsidR="00694CF5">
        <w:t xml:space="preserve"> </w:t>
      </w:r>
      <w:r w:rsidR="00795FEE">
        <w:t>would be subject to beneficial ownership disclosure requirements and are</w:t>
      </w:r>
      <w:r>
        <w:t xml:space="preserve"> incorporated as CLBGs would be authorised to meet their requirements following the method set out above for CLBGs. </w:t>
      </w:r>
    </w:p>
    <w:p w14:paraId="5B9484A7" w14:textId="2BAB3FC6" w:rsidR="0025754E" w:rsidRDefault="0025754E" w:rsidP="00D7449C">
      <w:pPr>
        <w:pStyle w:val="Heading3"/>
      </w:pPr>
      <w:r>
        <w:t>Exempt entities</w:t>
      </w:r>
    </w:p>
    <w:p w14:paraId="63BA4EEB" w14:textId="0E273397" w:rsidR="0025754E" w:rsidRDefault="0025754E" w:rsidP="002E2617">
      <w:pPr>
        <w:pStyle w:val="NumberLevel1"/>
        <w:spacing w:before="100" w:after="100"/>
      </w:pPr>
      <w:r w:rsidRPr="0025754E">
        <w:t>Certain types of entities will be exempt, or otherwise not subject to, the requirements to collect and maintain information on their beneficial owners</w:t>
      </w:r>
      <w:r w:rsidR="005D3D4E">
        <w:t xml:space="preserve"> (for example, NFPs)</w:t>
      </w:r>
      <w:r>
        <w:t>.</w:t>
      </w:r>
    </w:p>
    <w:p w14:paraId="1D31CF35" w14:textId="54252A6D" w:rsidR="0025754E" w:rsidRDefault="0025754E" w:rsidP="002E2617">
      <w:pPr>
        <w:pStyle w:val="NumberLevel1"/>
        <w:spacing w:before="100" w:after="100"/>
      </w:pPr>
      <w:r w:rsidRPr="0025754E">
        <w:t xml:space="preserve">For in-scope companies with multiple structures in the </w:t>
      </w:r>
      <w:r w:rsidR="0099005F">
        <w:t>corporate</w:t>
      </w:r>
      <w:r w:rsidRPr="0025754E">
        <w:t xml:space="preserve"> chain, a level of ‘trace through’ may be required to identify natural person beneficial owner</w:t>
      </w:r>
      <w:r w:rsidR="0099005F">
        <w:t>s</w:t>
      </w:r>
      <w:r w:rsidRPr="0025754E">
        <w:t xml:space="preserve">. </w:t>
      </w:r>
      <w:r w:rsidR="00A64C15">
        <w:t>However, t</w:t>
      </w:r>
      <w:r w:rsidRPr="0025754E">
        <w:t>racing through is not necessary i</w:t>
      </w:r>
      <w:r w:rsidR="00A64C15">
        <w:t xml:space="preserve">n all circumstances. The legislative framework will impose trace through requirements </w:t>
      </w:r>
      <w:r w:rsidR="005D3D4E">
        <w:t xml:space="preserve">based on risk, including having regard to whether </w:t>
      </w:r>
      <w:r w:rsidR="0099005F">
        <w:t>every</w:t>
      </w:r>
      <w:r w:rsidRPr="0025754E">
        <w:t xml:space="preserve"> structure in the chain has equivalent transparency requirements in Australia or is a</w:t>
      </w:r>
      <w:r w:rsidR="0099005F">
        <w:t xml:space="preserve"> registrable superannuation fund</w:t>
      </w:r>
      <w:r w:rsidRPr="0025754E">
        <w:t>.</w:t>
      </w:r>
      <w:r w:rsidR="001836CD">
        <w:t xml:space="preserve"> </w:t>
      </w:r>
    </w:p>
    <w:p w14:paraId="04FD5E15" w14:textId="5AE45E52" w:rsidR="005D3D4E" w:rsidRDefault="005D3D4E" w:rsidP="002E2617">
      <w:pPr>
        <w:pStyle w:val="NumberLevel1"/>
        <w:spacing w:before="100" w:after="100"/>
      </w:pPr>
      <w:r>
        <w:t xml:space="preserve">The table </w:t>
      </w:r>
      <w:r w:rsidR="00D07A7F">
        <w:t>at paragraph [</w:t>
      </w:r>
      <w:r w:rsidR="00D07A7F">
        <w:fldChar w:fldCharType="begin"/>
      </w:r>
      <w:r w:rsidR="00D07A7F">
        <w:instrText xml:space="preserve"> REF _Ref167715556 \r \h </w:instrText>
      </w:r>
      <w:r w:rsidR="00D07A7F">
        <w:fldChar w:fldCharType="separate"/>
      </w:r>
      <w:r w:rsidR="00C14F0B">
        <w:t>66</w:t>
      </w:r>
      <w:r w:rsidR="00D07A7F">
        <w:fldChar w:fldCharType="end"/>
      </w:r>
      <w:r w:rsidR="00D07A7F">
        <w:t xml:space="preserve">] of this PIA </w:t>
      </w:r>
      <w:r>
        <w:t>identifies which entities:</w:t>
      </w:r>
    </w:p>
    <w:p w14:paraId="3AE0B929" w14:textId="3866D5A5" w:rsidR="005D3D4E" w:rsidRDefault="00D07A7F" w:rsidP="002E2617">
      <w:pPr>
        <w:pStyle w:val="NumberLevel2"/>
        <w:spacing w:before="100" w:after="100"/>
      </w:pPr>
      <w:r>
        <w:t xml:space="preserve">are </w:t>
      </w:r>
      <w:r w:rsidR="005D3D4E">
        <w:t>in-scope for Stage 1</w:t>
      </w:r>
      <w:r>
        <w:t xml:space="preserve">, and/or </w:t>
      </w:r>
    </w:p>
    <w:p w14:paraId="70942927" w14:textId="6F46EB2A" w:rsidR="0099005F" w:rsidRDefault="005D3D4E" w:rsidP="002E2617">
      <w:pPr>
        <w:pStyle w:val="NumberLevel2"/>
        <w:spacing w:before="100" w:after="100"/>
      </w:pPr>
      <w:r>
        <w:t xml:space="preserve">must comply with </w:t>
      </w:r>
      <w:r w:rsidR="0099005F" w:rsidRPr="004E56D2">
        <w:t>trac</w:t>
      </w:r>
      <w:r>
        <w:t>e</w:t>
      </w:r>
      <w:r w:rsidR="0099005F" w:rsidRPr="004E56D2">
        <w:t xml:space="preserve"> through </w:t>
      </w:r>
      <w:r>
        <w:t>requirements.</w:t>
      </w:r>
    </w:p>
    <w:p w14:paraId="74D2C9A8" w14:textId="363D75E1" w:rsidR="002F3792" w:rsidRDefault="002F3792" w:rsidP="005D3D4E">
      <w:pPr>
        <w:pStyle w:val="NumberLevel1"/>
        <w:spacing w:before="100" w:after="100"/>
      </w:pPr>
      <w:bookmarkStart w:id="80" w:name="_Toc160444094"/>
      <w:r>
        <w:t xml:space="preserve">Although the administrative burden on exempt entities will be lesser when compared with in-scope companies, we consider that the privacy impact on most natural person beneficial owners will be identical. This is because the BOI of the natural person beneficial owners will still need to be recorded in the BOR of an </w:t>
      </w:r>
      <w:r w:rsidR="003967B6">
        <w:t>entity somewhere in the exempt entity’s corporate structure.</w:t>
      </w:r>
    </w:p>
    <w:p w14:paraId="6EE00FE1" w14:textId="469ED6CF" w:rsidR="003967B6" w:rsidRPr="00912A88" w:rsidRDefault="003967B6" w:rsidP="005D3D4E">
      <w:pPr>
        <w:pStyle w:val="NumberLevel1"/>
        <w:spacing w:before="100" w:after="100"/>
      </w:pPr>
      <w:r>
        <w:t>There will be no additional privacy impacts on the beneficial owners of c</w:t>
      </w:r>
      <w:r w:rsidRPr="003967B6">
        <w:t>harities registered with the ACNC</w:t>
      </w:r>
      <w:r>
        <w:t xml:space="preserve">, </w:t>
      </w:r>
      <w:r w:rsidRPr="003967B6">
        <w:t>NFP Entities which do not operate outside Australia</w:t>
      </w:r>
      <w:r>
        <w:t xml:space="preserve">, and </w:t>
      </w:r>
      <w:r w:rsidRPr="003967B6">
        <w:t xml:space="preserve">Indigenous corporations registered under the </w:t>
      </w:r>
      <w:r w:rsidRPr="00AA3C5A">
        <w:rPr>
          <w:i/>
        </w:rPr>
        <w:t>Corporations (Aboriginal and Torres Strait Islander) Act 2006</w:t>
      </w:r>
      <w:r>
        <w:t>, each of which will remain subject to the requirements set by their individual regulators.</w:t>
      </w:r>
    </w:p>
    <w:p w14:paraId="430523EE" w14:textId="0EB89123" w:rsidR="00635829" w:rsidRDefault="00635829" w:rsidP="000A52BB">
      <w:pPr>
        <w:pStyle w:val="Heading2"/>
      </w:pPr>
      <w:bookmarkStart w:id="81" w:name="_Toc168942746"/>
      <w:r>
        <w:t xml:space="preserve">Activity </w:t>
      </w:r>
      <w:r w:rsidR="002D5956">
        <w:t>3</w:t>
      </w:r>
      <w:r>
        <w:t xml:space="preserve"> – </w:t>
      </w:r>
      <w:r w:rsidR="00CD4022">
        <w:t>I</w:t>
      </w:r>
      <w:r w:rsidR="000B11BB">
        <w:t>n-scope compan</w:t>
      </w:r>
      <w:r w:rsidR="002D5956">
        <w:t>y</w:t>
      </w:r>
      <w:r>
        <w:t xml:space="preserve"> verif</w:t>
      </w:r>
      <w:r w:rsidR="002D5956">
        <w:t>ies</w:t>
      </w:r>
      <w:r>
        <w:t xml:space="preserve"> </w:t>
      </w:r>
      <w:r w:rsidR="00263DD7">
        <w:t xml:space="preserve">identity </w:t>
      </w:r>
      <w:r>
        <w:t xml:space="preserve">of natural person beneficial </w:t>
      </w:r>
      <w:proofErr w:type="gramStart"/>
      <w:r>
        <w:t>owner</w:t>
      </w:r>
      <w:bookmarkEnd w:id="80"/>
      <w:bookmarkEnd w:id="81"/>
      <w:proofErr w:type="gramEnd"/>
    </w:p>
    <w:p w14:paraId="4428F281" w14:textId="3632CE36" w:rsidR="00635829" w:rsidRDefault="002D5956" w:rsidP="002C4DE5">
      <w:pPr>
        <w:pStyle w:val="NumberLevel1"/>
      </w:pPr>
      <w:r>
        <w:t>T</w:t>
      </w:r>
      <w:r w:rsidR="00635829">
        <w:t xml:space="preserve">he </w:t>
      </w:r>
      <w:r w:rsidR="00635829" w:rsidRPr="00EE2E1F">
        <w:t>legislati</w:t>
      </w:r>
      <w:r w:rsidR="003B0A83">
        <w:t>ve framework</w:t>
      </w:r>
      <w:r>
        <w:t xml:space="preserve"> will require</w:t>
      </w:r>
      <w:r w:rsidR="00635829" w:rsidRPr="00EE2E1F">
        <w:t xml:space="preserve"> </w:t>
      </w:r>
      <w:r w:rsidR="000B11BB" w:rsidRPr="00EE2E1F">
        <w:t>in-scope companies</w:t>
      </w:r>
      <w:r w:rsidR="00635829" w:rsidRPr="00EE2E1F">
        <w:t xml:space="preserve"> to be </w:t>
      </w:r>
      <w:r w:rsidR="00635829" w:rsidRPr="00EE2E1F">
        <w:rPr>
          <w:rFonts w:eastAsia="Calibri Light"/>
        </w:rPr>
        <w:t>reasonably assured of the identit</w:t>
      </w:r>
      <w:r>
        <w:rPr>
          <w:rFonts w:eastAsia="Calibri Light"/>
        </w:rPr>
        <w:t>y</w:t>
      </w:r>
      <w:r w:rsidR="00635829" w:rsidRPr="00EE2E1F">
        <w:rPr>
          <w:rFonts w:eastAsia="Calibri Light"/>
        </w:rPr>
        <w:t xml:space="preserve"> of their beneficial owners.</w:t>
      </w:r>
      <w:r w:rsidR="00635829" w:rsidRPr="00EE2E1F">
        <w:t xml:space="preserve"> This requirement will </w:t>
      </w:r>
      <w:r>
        <w:t xml:space="preserve">implement </w:t>
      </w:r>
      <w:r w:rsidR="00635829" w:rsidRPr="00EE2E1F">
        <w:t>a principle-based, ‘reasonableness’ requirement</w:t>
      </w:r>
      <w:r w:rsidR="00290D01">
        <w:t xml:space="preserve">, with any required steps determined by </w:t>
      </w:r>
      <w:r w:rsidR="00635829">
        <w:t>the</w:t>
      </w:r>
      <w:r w:rsidR="00290D01">
        <w:t xml:space="preserve"> nature of the</w:t>
      </w:r>
      <w:r w:rsidR="00635829">
        <w:t xml:space="preserve"> relationship between the beneficial owner and the </w:t>
      </w:r>
      <w:r w:rsidR="000B11BB">
        <w:t>in-scope company</w:t>
      </w:r>
      <w:r w:rsidR="00635829">
        <w:t xml:space="preserve">. </w:t>
      </w:r>
      <w:r w:rsidR="008B7E3A">
        <w:t>There will be two options for verifying information in Stage 1 (</w:t>
      </w:r>
      <w:r w:rsidR="008B7E3A" w:rsidRPr="00C8722C">
        <w:rPr>
          <w:b/>
        </w:rPr>
        <w:t xml:space="preserve">Image </w:t>
      </w:r>
      <w:r w:rsidR="00D12D3A">
        <w:rPr>
          <w:b/>
        </w:rPr>
        <w:t>1</w:t>
      </w:r>
      <w:r w:rsidR="008B7E3A">
        <w:t>).</w:t>
      </w:r>
    </w:p>
    <w:p w14:paraId="02C92DCF" w14:textId="61AA2E5D" w:rsidR="008B7E3A" w:rsidRDefault="008B7E3A" w:rsidP="00C8722C">
      <w:pPr>
        <w:pStyle w:val="NumberLevel1"/>
        <w:numPr>
          <w:ilvl w:val="0"/>
          <w:numId w:val="0"/>
        </w:numPr>
        <w:spacing w:after="0"/>
        <w:ind w:left="-709"/>
      </w:pPr>
      <w:r>
        <w:rPr>
          <w:noProof/>
        </w:rPr>
        <w:drawing>
          <wp:inline distT="0" distB="0" distL="0" distR="0" wp14:anchorId="06B59C6B" wp14:editId="0E60AB94">
            <wp:extent cx="5943600" cy="332754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9600" cy="3330908"/>
                    </a:xfrm>
                    <a:prstGeom prst="rect">
                      <a:avLst/>
                    </a:prstGeom>
                  </pic:spPr>
                </pic:pic>
              </a:graphicData>
            </a:graphic>
          </wp:inline>
        </w:drawing>
      </w:r>
    </w:p>
    <w:p w14:paraId="58C18A0A" w14:textId="3A13CE4E" w:rsidR="008B7E3A" w:rsidRDefault="008B7E3A" w:rsidP="00C8722C">
      <w:pPr>
        <w:pStyle w:val="Quotation1"/>
      </w:pPr>
      <w:r>
        <w:t xml:space="preserve">Image </w:t>
      </w:r>
      <w:r w:rsidR="00D12D3A">
        <w:t>1</w:t>
      </w:r>
      <w:r>
        <w:t>: Verification options</w:t>
      </w:r>
    </w:p>
    <w:p w14:paraId="29B006AF" w14:textId="354C9A9F" w:rsidR="002C4DE5" w:rsidRDefault="008B7E3A" w:rsidP="00635829">
      <w:pPr>
        <w:pStyle w:val="NumberLevel1"/>
      </w:pPr>
      <w:r>
        <w:t>Under option 1</w:t>
      </w:r>
      <w:r w:rsidR="00635829">
        <w:t xml:space="preserve">, where an </w:t>
      </w:r>
      <w:r w:rsidR="000B11BB">
        <w:t>in-scope company</w:t>
      </w:r>
      <w:r w:rsidR="00635829">
        <w:t xml:space="preserve"> is familiar with one of its beneficial owners, the </w:t>
      </w:r>
      <w:r w:rsidR="000B11BB">
        <w:t>in-scope company</w:t>
      </w:r>
      <w:r w:rsidR="00635829">
        <w:t xml:space="preserve"> </w:t>
      </w:r>
      <w:r w:rsidR="00290D01">
        <w:t xml:space="preserve">would need </w:t>
      </w:r>
      <w:r w:rsidR="00635829">
        <w:t>to take few or no steps to verify the identity of beneficial owners</w:t>
      </w:r>
      <w:r w:rsidR="002C4DE5">
        <w:t xml:space="preserve">. This may include circumstances such as where the beneficial owner is a director of the </w:t>
      </w:r>
      <w:r w:rsidR="000B11BB">
        <w:t>in-scope company</w:t>
      </w:r>
      <w:r w:rsidR="002C4DE5">
        <w:t xml:space="preserve">, who holds a </w:t>
      </w:r>
      <w:r w:rsidR="00290D01">
        <w:t>d</w:t>
      </w:r>
      <w:r w:rsidR="002C4DE5">
        <w:t>irector</w:t>
      </w:r>
      <w:r w:rsidR="00290D01">
        <w:t xml:space="preserve"> </w:t>
      </w:r>
      <w:r w:rsidR="002C4DE5">
        <w:t>ID. Alternatively, the beneficial owner may be the spouse of a director.</w:t>
      </w:r>
      <w:r w:rsidR="00F71EC4">
        <w:t xml:space="preserve"> It is expected that this will be the case for </w:t>
      </w:r>
      <w:r w:rsidR="00774E9C">
        <w:t>most</w:t>
      </w:r>
      <w:r w:rsidR="00F71EC4">
        <w:t xml:space="preserve"> </w:t>
      </w:r>
      <w:r w:rsidR="000B11BB">
        <w:t xml:space="preserve">in-scope </w:t>
      </w:r>
      <w:proofErr w:type="gramStart"/>
      <w:r w:rsidR="000B11BB">
        <w:t>companies</w:t>
      </w:r>
      <w:r w:rsidR="00F71EC4">
        <w:t>, because</w:t>
      </w:r>
      <w:proofErr w:type="gramEnd"/>
      <w:r w:rsidR="00F71EC4">
        <w:t xml:space="preserve"> directors of companies are the only beneficial owner of </w:t>
      </w:r>
      <w:r w:rsidR="00774E9C">
        <w:t>most</w:t>
      </w:r>
      <w:r w:rsidR="00F71EC4">
        <w:t xml:space="preserve"> </w:t>
      </w:r>
      <w:r w:rsidR="000B11BB">
        <w:t>in-scope companies</w:t>
      </w:r>
      <w:r w:rsidR="00F71EC4">
        <w:t xml:space="preserve"> (1.8</w:t>
      </w:r>
      <w:r w:rsidR="00290D01">
        <w:t> </w:t>
      </w:r>
      <w:r w:rsidR="00F71EC4">
        <w:t xml:space="preserve">million out of approximately 3 million </w:t>
      </w:r>
      <w:r w:rsidR="000B11BB">
        <w:t>in-scope companies</w:t>
      </w:r>
      <w:r w:rsidR="00F71EC4">
        <w:t xml:space="preserve"> total).</w:t>
      </w:r>
    </w:p>
    <w:p w14:paraId="651C8E12" w14:textId="043D0791" w:rsidR="002C4DE5" w:rsidRPr="002C4DE5" w:rsidRDefault="008B7E3A" w:rsidP="00F71EC4">
      <w:pPr>
        <w:pStyle w:val="NumberLevel1"/>
      </w:pPr>
      <w:r>
        <w:t>Under option 2</w:t>
      </w:r>
      <w:r w:rsidR="002C4DE5">
        <w:t xml:space="preserve">, if </w:t>
      </w:r>
      <w:r w:rsidR="001D76A7">
        <w:t>for example</w:t>
      </w:r>
      <w:r w:rsidR="00D12D3A">
        <w:t>,</w:t>
      </w:r>
      <w:r w:rsidR="001D76A7">
        <w:t xml:space="preserve"> </w:t>
      </w:r>
      <w:r w:rsidR="002C4DE5">
        <w:t xml:space="preserve">a beneficial owner is not personally known to the </w:t>
      </w:r>
      <w:r w:rsidR="000B11BB">
        <w:t>in-scope company</w:t>
      </w:r>
      <w:r w:rsidR="002C4DE5">
        <w:t xml:space="preserve">, the </w:t>
      </w:r>
      <w:r w:rsidR="000B11BB">
        <w:t>in-scope company</w:t>
      </w:r>
      <w:r w:rsidR="002C4DE5">
        <w:t xml:space="preserve"> would </w:t>
      </w:r>
      <w:r w:rsidR="00290D01">
        <w:t>need</w:t>
      </w:r>
      <w:r w:rsidR="002C4DE5">
        <w:t xml:space="preserve"> to take additional steps to verify the beneficial owner’s identity</w:t>
      </w:r>
      <w:r w:rsidR="0064702D">
        <w:t xml:space="preserve"> (beyond using what information they already have)</w:t>
      </w:r>
      <w:r w:rsidR="002C4DE5">
        <w:t>. Th</w:t>
      </w:r>
      <w:r w:rsidR="00290D01">
        <w:t>is</w:t>
      </w:r>
      <w:r w:rsidR="002C4DE5">
        <w:t xml:space="preserve"> might include utilising the services of an identity verification service provider</w:t>
      </w:r>
      <w:r w:rsidR="0064702D">
        <w:t xml:space="preserve"> or using an </w:t>
      </w:r>
      <w:r w:rsidR="00D15976">
        <w:t>i</w:t>
      </w:r>
      <w:r w:rsidR="0064702D">
        <w:t>nternal Know Your Customer</w:t>
      </w:r>
      <w:r w:rsidR="0051577F">
        <w:t xml:space="preserve"> (KYC)</w:t>
      </w:r>
      <w:r w:rsidR="0064702D">
        <w:t xml:space="preserve"> verification</w:t>
      </w:r>
      <w:r w:rsidR="002C4DE5">
        <w:t xml:space="preserve">. Such an approach would minimise the collection of personal information by </w:t>
      </w:r>
      <w:r w:rsidR="000B11BB">
        <w:t>in-scope companies</w:t>
      </w:r>
      <w:r w:rsidR="002C4DE5">
        <w:t>, thereby minimising privacy risks.</w:t>
      </w:r>
      <w:r w:rsidR="00290D01">
        <w:t xml:space="preserve"> </w:t>
      </w:r>
      <w:r w:rsidR="005934C8">
        <w:t xml:space="preserve">Where a beneficial owner is a natural person, </w:t>
      </w:r>
      <w:r w:rsidR="00290D01">
        <w:t xml:space="preserve">verification will involve the </w:t>
      </w:r>
      <w:proofErr w:type="gramStart"/>
      <w:r w:rsidR="008E0CA1">
        <w:t xml:space="preserve">collection </w:t>
      </w:r>
      <w:r w:rsidR="002E2617">
        <w:t>,</w:t>
      </w:r>
      <w:proofErr w:type="gramEnd"/>
      <w:r w:rsidR="002E2617">
        <w:t xml:space="preserve"> </w:t>
      </w:r>
      <w:r w:rsidR="00290D01">
        <w:t xml:space="preserve">use </w:t>
      </w:r>
      <w:r w:rsidR="002E2617">
        <w:t>and/</w:t>
      </w:r>
      <w:r w:rsidR="00290D01">
        <w:t>or disclosure of personal information.</w:t>
      </w:r>
      <w:r w:rsidR="002E2617">
        <w:t xml:space="preserve"> It may also involve the collection of personal information about the staff of in-scope companies.</w:t>
      </w:r>
    </w:p>
    <w:p w14:paraId="04B09C59" w14:textId="1B93186D" w:rsidR="002C4DE5" w:rsidRDefault="002C4DE5" w:rsidP="002C4DE5">
      <w:pPr>
        <w:pStyle w:val="NumberLevel1"/>
      </w:pPr>
      <w:r>
        <w:t>If the beneficial owner resides in a high-risk country,</w:t>
      </w:r>
      <w:r>
        <w:rPr>
          <w:rStyle w:val="FootnoteReference"/>
        </w:rPr>
        <w:footnoteReference w:id="13"/>
      </w:r>
      <w:r>
        <w:t xml:space="preserve"> it is likely that the requirement to be reasonably assured </w:t>
      </w:r>
      <w:r w:rsidR="00E914B8">
        <w:t xml:space="preserve">of their identity </w:t>
      </w:r>
      <w:r>
        <w:t xml:space="preserve">would involve taking </w:t>
      </w:r>
      <w:r w:rsidR="003C25E8">
        <w:t>additional</w:t>
      </w:r>
      <w:r>
        <w:t xml:space="preserve"> steps </w:t>
      </w:r>
      <w:r w:rsidR="004D1B11">
        <w:t xml:space="preserve">compared </w:t>
      </w:r>
      <w:r w:rsidR="00774E9C">
        <w:t>to if</w:t>
      </w:r>
      <w:r>
        <w:t xml:space="preserve"> the beneficial owner resided in Australia.</w:t>
      </w:r>
    </w:p>
    <w:p w14:paraId="1F5FFC07" w14:textId="34D44EA3" w:rsidR="00884612" w:rsidRPr="0064702D" w:rsidRDefault="00884612" w:rsidP="0064702D">
      <w:pPr>
        <w:pStyle w:val="NumberLevel1"/>
      </w:pPr>
      <w:r>
        <w:t xml:space="preserve">The legislative framework will require in-scope companies </w:t>
      </w:r>
      <w:r w:rsidRPr="0064702D">
        <w:t xml:space="preserve">to indicate, on their beneficial ownership register, whether </w:t>
      </w:r>
      <w:r>
        <w:t>they verified a</w:t>
      </w:r>
      <w:r w:rsidRPr="0064702D">
        <w:t xml:space="preserve"> beneficial owner’s </w:t>
      </w:r>
      <w:r w:rsidR="0068396C">
        <w:t xml:space="preserve">identity </w:t>
      </w:r>
      <w:r>
        <w:t>via option 1 or option 2.</w:t>
      </w:r>
      <w:r w:rsidR="0064702D">
        <w:t xml:space="preserve"> An in-scope company must also include information about suspected beneficial owners on their register even if</w:t>
      </w:r>
      <w:r w:rsidR="0057445B">
        <w:t xml:space="preserve"> it</w:t>
      </w:r>
      <w:r w:rsidR="0064702D">
        <w:t xml:space="preserve"> has been unable to verify the person’s identity. The in-scope company would mark the entry in the register as ‘unverified’ but retain an ongoing obligation to verify the individual’s identity.</w:t>
      </w:r>
    </w:p>
    <w:p w14:paraId="671E5536" w14:textId="1FAE62F1" w:rsidR="00F71EC4" w:rsidRPr="00F71EC4" w:rsidRDefault="00884612" w:rsidP="00884612">
      <w:pPr>
        <w:pStyle w:val="NumberLevel1"/>
        <w:rPr>
          <w:b/>
        </w:rPr>
      </w:pPr>
      <w:r>
        <w:t>Additionally, t</w:t>
      </w:r>
      <w:r w:rsidR="00290D01">
        <w:t>he legislati</w:t>
      </w:r>
      <w:r w:rsidR="003B0A83">
        <w:t>ve framework</w:t>
      </w:r>
      <w:r w:rsidR="00290D01">
        <w:t xml:space="preserve"> will require i</w:t>
      </w:r>
      <w:r w:rsidR="000B11BB">
        <w:t>n-scope companies</w:t>
      </w:r>
      <w:r w:rsidR="00F71EC4">
        <w:t xml:space="preserve"> to retain</w:t>
      </w:r>
      <w:r w:rsidR="008E0CA1">
        <w:t xml:space="preserve"> (hold) </w:t>
      </w:r>
      <w:r w:rsidR="00F71EC4">
        <w:t xml:space="preserve">records of their identity verification procedures in line with broader record keeping requirements in the Corporations Act and under the </w:t>
      </w:r>
      <w:r w:rsidR="00290D01">
        <w:t xml:space="preserve">BO </w:t>
      </w:r>
      <w:r w:rsidR="00935223">
        <w:t xml:space="preserve">Policy </w:t>
      </w:r>
      <w:r w:rsidR="00290D01">
        <w:t>(</w:t>
      </w:r>
      <w:r w:rsidR="00F71EC4">
        <w:t xml:space="preserve">contained in either </w:t>
      </w:r>
      <w:r w:rsidR="00A64887">
        <w:t>primary</w:t>
      </w:r>
      <w:r w:rsidR="00014118">
        <w:t xml:space="preserve"> </w:t>
      </w:r>
      <w:r w:rsidR="00F71EC4">
        <w:t>legislation or subordinate legislation</w:t>
      </w:r>
      <w:r w:rsidR="00290D01">
        <w:t>). R</w:t>
      </w:r>
      <w:r w:rsidR="00F71EC4">
        <w:t xml:space="preserve">egulatory guidance, </w:t>
      </w:r>
      <w:r w:rsidR="00774E9C">
        <w:t>like</w:t>
      </w:r>
      <w:r w:rsidR="00F71EC4">
        <w:t xml:space="preserve"> what is currently published by AUSTRAC</w:t>
      </w:r>
      <w:r w:rsidR="00290D01">
        <w:t xml:space="preserve">, will </w:t>
      </w:r>
      <w:proofErr w:type="gramStart"/>
      <w:r w:rsidR="00290D01">
        <w:t>support</w:t>
      </w:r>
      <w:proofErr w:type="gramEnd"/>
      <w:r w:rsidR="00290D01">
        <w:t xml:space="preserve"> and facilitate compliance with these requirements</w:t>
      </w:r>
      <w:r w:rsidR="00F71EC4">
        <w:t>.</w:t>
      </w:r>
      <w:r w:rsidR="00290D01">
        <w:t xml:space="preserve"> </w:t>
      </w:r>
    </w:p>
    <w:p w14:paraId="75A70A38" w14:textId="44B5A138" w:rsidR="004720C4" w:rsidRDefault="004720C4" w:rsidP="000A52BB">
      <w:pPr>
        <w:pStyle w:val="Heading2"/>
      </w:pPr>
      <w:bookmarkStart w:id="82" w:name="_Toc160444095"/>
      <w:bookmarkStart w:id="83" w:name="_Toc168942747"/>
      <w:r>
        <w:t xml:space="preserve">Activity </w:t>
      </w:r>
      <w:r w:rsidR="00290D01">
        <w:t>4</w:t>
      </w:r>
      <w:r>
        <w:t xml:space="preserve"> – </w:t>
      </w:r>
      <w:r w:rsidR="00290D01">
        <w:t>A</w:t>
      </w:r>
      <w:r>
        <w:t xml:space="preserve">pplications to </w:t>
      </w:r>
      <w:r w:rsidR="000B4CD1">
        <w:t>suppress</w:t>
      </w:r>
      <w:r>
        <w:t xml:space="preserve"> personal </w:t>
      </w:r>
      <w:proofErr w:type="gramStart"/>
      <w:r>
        <w:t>information</w:t>
      </w:r>
      <w:bookmarkEnd w:id="82"/>
      <w:bookmarkEnd w:id="83"/>
      <w:proofErr w:type="gramEnd"/>
      <w:r>
        <w:t xml:space="preserve"> </w:t>
      </w:r>
    </w:p>
    <w:p w14:paraId="311EA46C" w14:textId="7A229A09" w:rsidR="004720C4" w:rsidRDefault="00290D01" w:rsidP="004720C4">
      <w:pPr>
        <w:pStyle w:val="NumberLevel1"/>
      </w:pPr>
      <w:r>
        <w:t>The legislati</w:t>
      </w:r>
      <w:r w:rsidR="003B0A83">
        <w:t>ve framework</w:t>
      </w:r>
      <w:r>
        <w:t xml:space="preserve"> will contain a suppression regime for i</w:t>
      </w:r>
      <w:r w:rsidR="004720C4" w:rsidRPr="00784B4F">
        <w:t xml:space="preserve">ndividuals who believe </w:t>
      </w:r>
      <w:r w:rsidR="004720C4">
        <w:t xml:space="preserve">making </w:t>
      </w:r>
      <w:r w:rsidR="004720C4" w:rsidRPr="00784B4F">
        <w:t xml:space="preserve">their </w:t>
      </w:r>
      <w:r w:rsidR="004720C4">
        <w:t>BOI</w:t>
      </w:r>
      <w:r w:rsidR="004720C4" w:rsidRPr="00784B4F">
        <w:t xml:space="preserve"> </w:t>
      </w:r>
      <w:r w:rsidR="004720C4">
        <w:t xml:space="preserve">available </w:t>
      </w:r>
      <w:r w:rsidR="004720C4" w:rsidRPr="00784B4F">
        <w:t xml:space="preserve">to the public exposes themselves or their family to a risk </w:t>
      </w:r>
      <w:r w:rsidR="24AB93EA">
        <w:t>to</w:t>
      </w:r>
      <w:r w:rsidR="0057326B">
        <w:t xml:space="preserve"> </w:t>
      </w:r>
      <w:r w:rsidR="7FFDDEBA">
        <w:t xml:space="preserve">safety or </w:t>
      </w:r>
      <w:r w:rsidR="00A3075D">
        <w:t xml:space="preserve">of </w:t>
      </w:r>
      <w:r w:rsidR="00157582" w:rsidRPr="00784B4F">
        <w:t>harm</w:t>
      </w:r>
      <w:r w:rsidR="004720C4" w:rsidRPr="00784B4F">
        <w:t>.</w:t>
      </w:r>
      <w:r w:rsidR="004720C4">
        <w:t xml:space="preserve"> If an individual is included in the suppression regime, an </w:t>
      </w:r>
      <w:r w:rsidR="000B11BB">
        <w:t>in-scope company</w:t>
      </w:r>
      <w:r w:rsidR="004720C4">
        <w:t xml:space="preserve"> must redact </w:t>
      </w:r>
      <w:r w:rsidR="00702787">
        <w:t xml:space="preserve">identifying information fields from </w:t>
      </w:r>
      <w:r w:rsidR="004720C4">
        <w:t>their BOI before providing it to members of the public</w:t>
      </w:r>
      <w:r>
        <w:t>.</w:t>
      </w:r>
      <w:r w:rsidR="5926A655">
        <w:t xml:space="preserve"> </w:t>
      </w:r>
      <w:r w:rsidR="0009058E">
        <w:t>A</w:t>
      </w:r>
      <w:r w:rsidR="5926A655" w:rsidRPr="0009058E">
        <w:t>ccess</w:t>
      </w:r>
      <w:r w:rsidR="5926A655" w:rsidRPr="0009058E">
        <w:rPr>
          <w:rFonts w:eastAsiaTheme="minorEastAsia"/>
        </w:rPr>
        <w:t xml:space="preserve"> to </w:t>
      </w:r>
      <w:r w:rsidR="0009058E">
        <w:t>the information contained on an in-scope company’s</w:t>
      </w:r>
      <w:r w:rsidR="5926A655" w:rsidRPr="0009058E">
        <w:rPr>
          <w:rFonts w:eastAsiaTheme="minorEastAsia"/>
        </w:rPr>
        <w:t xml:space="preserve"> </w:t>
      </w:r>
      <w:r w:rsidR="00935223">
        <w:rPr>
          <w:rFonts w:eastAsiaTheme="minorEastAsia"/>
        </w:rPr>
        <w:t>BOR</w:t>
      </w:r>
      <w:r w:rsidR="009B518C">
        <w:rPr>
          <w:rFonts w:eastAsiaTheme="minorEastAsia"/>
        </w:rPr>
        <w:t>, including the information of individuals assessed as eligible for suppression</w:t>
      </w:r>
      <w:r w:rsidR="00E60AFD">
        <w:rPr>
          <w:rFonts w:eastAsiaTheme="minorEastAsia"/>
        </w:rPr>
        <w:t>,</w:t>
      </w:r>
      <w:r w:rsidR="5926A655" w:rsidRPr="0009058E">
        <w:rPr>
          <w:rFonts w:eastAsiaTheme="minorEastAsia"/>
        </w:rPr>
        <w:t xml:space="preserve"> </w:t>
      </w:r>
      <w:r w:rsidR="00F57526">
        <w:t>will be</w:t>
      </w:r>
      <w:r w:rsidR="5926A655" w:rsidRPr="0009058E">
        <w:t xml:space="preserve"> </w:t>
      </w:r>
      <w:r w:rsidR="5926A655" w:rsidRPr="0009058E">
        <w:rPr>
          <w:rFonts w:eastAsiaTheme="minorEastAsia"/>
        </w:rPr>
        <w:t>available to specified regulators and law enforcement agencies.</w:t>
      </w:r>
    </w:p>
    <w:p w14:paraId="1411414B" w14:textId="77777777" w:rsidR="0064702D" w:rsidRDefault="0064702D" w:rsidP="0064702D">
      <w:pPr>
        <w:pStyle w:val="NumberLevel1"/>
      </w:pPr>
      <w:r>
        <w:t>The legislative framework will require in-scope companies to inform beneficial owners of the opportunity to apply for suppression when:</w:t>
      </w:r>
    </w:p>
    <w:p w14:paraId="46E20387" w14:textId="6B1BEE45" w:rsidR="0064702D" w:rsidRPr="0064702D" w:rsidRDefault="0064702D" w:rsidP="0064702D">
      <w:pPr>
        <w:pStyle w:val="NumberLevel2"/>
      </w:pPr>
      <w:r>
        <w:rPr>
          <w:rFonts w:eastAsia="Calibri"/>
        </w:rPr>
        <w:t xml:space="preserve">they request </w:t>
      </w:r>
      <w:r w:rsidRPr="0064702D">
        <w:rPr>
          <w:rFonts w:eastAsia="Calibri"/>
        </w:rPr>
        <w:t xml:space="preserve">information from a suspected beneficial </w:t>
      </w:r>
      <w:proofErr w:type="gramStart"/>
      <w:r w:rsidRPr="0064702D">
        <w:rPr>
          <w:rFonts w:eastAsia="Calibri"/>
        </w:rPr>
        <w:t>owner</w:t>
      </w:r>
      <w:proofErr w:type="gramEnd"/>
    </w:p>
    <w:p w14:paraId="334EC489" w14:textId="1959C715" w:rsidR="0064702D" w:rsidRDefault="0064702D" w:rsidP="0064702D">
      <w:pPr>
        <w:pStyle w:val="NumberLevel2"/>
      </w:pPr>
      <w:r>
        <w:t>when a beneficial owner provides BOI, if they self-identify as a beneficial owner.</w:t>
      </w:r>
    </w:p>
    <w:p w14:paraId="243742AD" w14:textId="15489AB6" w:rsidR="0064702D" w:rsidRPr="0064702D" w:rsidRDefault="0064702D" w:rsidP="005D3D4E">
      <w:pPr>
        <w:pStyle w:val="NumberLevel1"/>
      </w:pPr>
      <w:r>
        <w:t xml:space="preserve">An in-scope company must retain written records documenting the way in which they informed the beneficial owner of the opportunity to apply for suppression. For example, by retaining a copy of the email </w:t>
      </w:r>
      <w:r w:rsidR="00FE45F7">
        <w:t>the in-scope company sent to the beneficial owner asking for BOI and indicating the suppression options.</w:t>
      </w:r>
    </w:p>
    <w:p w14:paraId="4F2B7938" w14:textId="1CA958D5" w:rsidR="00987B0E" w:rsidRDefault="00987B0E" w:rsidP="00987B0E">
      <w:pPr>
        <w:pStyle w:val="NumberLevel1"/>
      </w:pPr>
      <w:r>
        <w:t>The ASIC approved form</w:t>
      </w:r>
      <w:r w:rsidR="0023264F">
        <w:t>at</w:t>
      </w:r>
      <w:r>
        <w:t xml:space="preserve"> completed by a beneficial owner</w:t>
      </w:r>
      <w:r w:rsidR="00FE45F7">
        <w:t xml:space="preserve"> providing their BOI</w:t>
      </w:r>
      <w:r>
        <w:t xml:space="preserve"> will ask the individual to indicate if they seek suppression of their BOI and the basis upon which they are eligible for suppression. Additionally, an individual who provides a response in a different way can seek suppression of their BOI. </w:t>
      </w:r>
    </w:p>
    <w:p w14:paraId="57884334" w14:textId="30F4B980" w:rsidR="004720C4" w:rsidRDefault="00135864" w:rsidP="00135864">
      <w:pPr>
        <w:pStyle w:val="NumberLevel1"/>
      </w:pPr>
      <w:r>
        <w:t xml:space="preserve">The in-scope company must redact </w:t>
      </w:r>
      <w:r w:rsidR="00410B28">
        <w:t xml:space="preserve">personal </w:t>
      </w:r>
      <w:r>
        <w:t xml:space="preserve">BOI if the individual is under 18 years of </w:t>
      </w:r>
      <w:proofErr w:type="gramStart"/>
      <w:r>
        <w:t>age</w:t>
      </w:r>
      <w:proofErr w:type="gramEnd"/>
      <w:r>
        <w:t xml:space="preserve"> or they receive </w:t>
      </w:r>
      <w:r w:rsidR="00935223">
        <w:t>the following</w:t>
      </w:r>
      <w:r>
        <w:t>:</w:t>
      </w:r>
    </w:p>
    <w:p w14:paraId="183FCD94" w14:textId="37D8AD6E" w:rsidR="004720C4" w:rsidRDefault="00AD6E6C" w:rsidP="004720C4">
      <w:pPr>
        <w:pStyle w:val="NumberLevel2"/>
      </w:pPr>
      <w:bookmarkStart w:id="84" w:name="_Ref163382554"/>
      <w:r>
        <w:t xml:space="preserve">a letter from the Australian Electoral Commission </w:t>
      </w:r>
      <w:r w:rsidR="00AB65E5">
        <w:t>(</w:t>
      </w:r>
      <w:r w:rsidR="00AB65E5" w:rsidRPr="1F17389F">
        <w:rPr>
          <w:b/>
          <w:bCs/>
        </w:rPr>
        <w:t>AEC</w:t>
      </w:r>
      <w:r w:rsidR="00AB65E5">
        <w:t>)</w:t>
      </w:r>
      <w:r w:rsidR="00135864">
        <w:t xml:space="preserve"> evidencing that the individual does not have an address shown on the electoral roll (</w:t>
      </w:r>
      <w:r w:rsidR="00135864" w:rsidRPr="1F17389F">
        <w:rPr>
          <w:b/>
          <w:bCs/>
        </w:rPr>
        <w:t>silent electors</w:t>
      </w:r>
      <w:r w:rsidR="00135864">
        <w:t>)</w:t>
      </w:r>
      <w:r w:rsidR="00135864">
        <w:rPr>
          <w:rStyle w:val="FootnoteReference"/>
        </w:rPr>
        <w:footnoteReference w:id="14"/>
      </w:r>
      <w:bookmarkEnd w:id="84"/>
    </w:p>
    <w:p w14:paraId="2551837B" w14:textId="014550AA" w:rsidR="00033B71" w:rsidRDefault="00135864" w:rsidP="004720C4">
      <w:pPr>
        <w:pStyle w:val="NumberLevel2"/>
      </w:pPr>
      <w:bookmarkStart w:id="85" w:name="_Ref163382542"/>
      <w:r>
        <w:t xml:space="preserve">evidence that the individual has successfully applied to ASIC to </w:t>
      </w:r>
      <w:r w:rsidR="5D07FDF0">
        <w:t>suppress</w:t>
      </w:r>
      <w:r>
        <w:t xml:space="preserve"> their address</w:t>
      </w:r>
      <w:r w:rsidR="5D07FDF0">
        <w:t xml:space="preserve"> </w:t>
      </w:r>
      <w:r w:rsidR="29EA5E52">
        <w:t xml:space="preserve">from the </w:t>
      </w:r>
      <w:r w:rsidR="68E197C7">
        <w:t>company</w:t>
      </w:r>
      <w:r w:rsidR="29EA5E52">
        <w:t xml:space="preserve"> </w:t>
      </w:r>
      <w:proofErr w:type="gramStart"/>
      <w:r w:rsidR="29EA5E52">
        <w:t>register</w:t>
      </w:r>
      <w:bookmarkEnd w:id="85"/>
      <w:proofErr w:type="gramEnd"/>
    </w:p>
    <w:p w14:paraId="111123B7" w14:textId="5003A91D" w:rsidR="004720C4" w:rsidRDefault="00135864" w:rsidP="00987B0E">
      <w:pPr>
        <w:pStyle w:val="NumberLevel2"/>
      </w:pPr>
      <w:r>
        <w:t xml:space="preserve">evidence that </w:t>
      </w:r>
      <w:r w:rsidR="004720C4">
        <w:t xml:space="preserve">ASIC </w:t>
      </w:r>
      <w:r>
        <w:t xml:space="preserve">accepts the individual </w:t>
      </w:r>
      <w:r w:rsidR="004720C4">
        <w:t xml:space="preserve">as having a valid basis for suppressing their </w:t>
      </w:r>
      <w:r w:rsidR="005779C6">
        <w:t>personal</w:t>
      </w:r>
      <w:r w:rsidR="004720C4">
        <w:t xml:space="preserve"> BOI</w:t>
      </w:r>
      <w:r w:rsidR="1169E031">
        <w:t xml:space="preserve"> </w:t>
      </w:r>
      <w:r w:rsidR="524B04A4">
        <w:t xml:space="preserve">due to </w:t>
      </w:r>
      <w:r w:rsidR="1169E031">
        <w:t xml:space="preserve">a </w:t>
      </w:r>
      <w:r w:rsidR="00A00C82">
        <w:t>‘</w:t>
      </w:r>
      <w:r w:rsidR="1169E031">
        <w:t xml:space="preserve">risk </w:t>
      </w:r>
      <w:r w:rsidR="002C7890">
        <w:t xml:space="preserve">to </w:t>
      </w:r>
      <w:r w:rsidR="1169E031">
        <w:t>safety</w:t>
      </w:r>
      <w:r w:rsidR="00A00C82">
        <w:t>’ or ‘risk of harm’</w:t>
      </w:r>
      <w:r w:rsidR="0043024A">
        <w:t>.</w:t>
      </w:r>
      <w:r w:rsidR="00A00C82">
        <w:rPr>
          <w:rStyle w:val="FootnoteReference"/>
        </w:rPr>
        <w:footnoteReference w:id="15"/>
      </w:r>
    </w:p>
    <w:p w14:paraId="30F5E157" w14:textId="7D18BB0C" w:rsidR="004E2DB9" w:rsidRDefault="00A00C82" w:rsidP="00D207CC">
      <w:pPr>
        <w:pStyle w:val="NumberLevel1"/>
      </w:pPr>
      <w:r>
        <w:t xml:space="preserve">If an individual seeks suppression of their BOI, </w:t>
      </w:r>
      <w:r w:rsidR="00931FE7">
        <w:t>i</w:t>
      </w:r>
      <w:r w:rsidR="00931FE7" w:rsidRPr="00931FE7">
        <w:t xml:space="preserve">n-scope companies </w:t>
      </w:r>
      <w:r w:rsidR="00931FE7">
        <w:t xml:space="preserve">must </w:t>
      </w:r>
      <w:r w:rsidR="00931FE7" w:rsidRPr="00931FE7">
        <w:t xml:space="preserve">suppress BOI from the register for 28 days after receiving notice of a beneficial owner’s intent to apply for suppression, or after they receive notice of an application until they receive a negative </w:t>
      </w:r>
      <w:proofErr w:type="gramStart"/>
      <w:r w:rsidR="00931FE7" w:rsidRPr="00931FE7">
        <w:t>final outcome</w:t>
      </w:r>
      <w:proofErr w:type="gramEnd"/>
      <w:r w:rsidR="00931FE7" w:rsidRPr="00931FE7">
        <w:t xml:space="preserve"> notice</w:t>
      </w:r>
      <w:r w:rsidR="008E39DD">
        <w:t>.</w:t>
      </w:r>
    </w:p>
    <w:p w14:paraId="1E3BE2CE" w14:textId="377D1E8B" w:rsidR="0043024A" w:rsidRDefault="00ED5800" w:rsidP="001F6833">
      <w:pPr>
        <w:pStyle w:val="NumberLevel1"/>
      </w:pPr>
      <w:r>
        <w:t>E</w:t>
      </w:r>
      <w:r w:rsidR="00CD4022">
        <w:t>vidence to substantiate a suppression claim, will involve a collection of personal information by the in-scope entity.</w:t>
      </w:r>
      <w:r w:rsidR="003B0A83">
        <w:t xml:space="preserve"> </w:t>
      </w:r>
    </w:p>
    <w:p w14:paraId="54AA6860" w14:textId="5ACF38E8" w:rsidR="00C930EB" w:rsidRDefault="00135864" w:rsidP="00AA3C5A">
      <w:pPr>
        <w:pStyle w:val="Heading3"/>
      </w:pPr>
      <w:r>
        <w:t>A</w:t>
      </w:r>
      <w:r w:rsidR="00C930EB">
        <w:t xml:space="preserve">pplication for suppression </w:t>
      </w:r>
      <w:r w:rsidR="00774E9C">
        <w:t>based on</w:t>
      </w:r>
      <w:r w:rsidR="00C930EB">
        <w:t xml:space="preserve"> a risk to safety or </w:t>
      </w:r>
      <w:proofErr w:type="gramStart"/>
      <w:r w:rsidR="00C930EB">
        <w:t>harm</w:t>
      </w:r>
      <w:proofErr w:type="gramEnd"/>
    </w:p>
    <w:p w14:paraId="1EBC4A24" w14:textId="28292947" w:rsidR="00CD4022" w:rsidRDefault="004720C4" w:rsidP="004720C4">
      <w:pPr>
        <w:pStyle w:val="NumberLevel1"/>
      </w:pPr>
      <w:r w:rsidRPr="004720C4">
        <w:t xml:space="preserve">If </w:t>
      </w:r>
      <w:r w:rsidR="0043024A">
        <w:t>the</w:t>
      </w:r>
      <w:r w:rsidR="003B0A83">
        <w:t xml:space="preserve"> </w:t>
      </w:r>
      <w:r w:rsidR="0043024A">
        <w:t>individual want</w:t>
      </w:r>
      <w:r w:rsidR="00ED5800">
        <w:t>s</w:t>
      </w:r>
      <w:r w:rsidR="0043024A">
        <w:t xml:space="preserve"> to suppress publication of their BOI </w:t>
      </w:r>
      <w:r w:rsidRPr="004720C4">
        <w:t xml:space="preserve">on grounds of risk </w:t>
      </w:r>
      <w:r w:rsidR="006C2E99">
        <w:t>to</w:t>
      </w:r>
      <w:r w:rsidRPr="004720C4">
        <w:t xml:space="preserve"> safety or harm</w:t>
      </w:r>
      <w:r w:rsidR="00ED5800">
        <w:t xml:space="preserve"> and do not supply the in-scope company with </w:t>
      </w:r>
      <w:r w:rsidR="00135864">
        <w:t>supporting evidence of the kinds in [</w:t>
      </w:r>
      <w:r w:rsidR="00135864">
        <w:fldChar w:fldCharType="begin"/>
      </w:r>
      <w:r w:rsidR="00135864">
        <w:instrText xml:space="preserve"> REF _Ref163382554 \r \h </w:instrText>
      </w:r>
      <w:r w:rsidR="00135864">
        <w:fldChar w:fldCharType="separate"/>
      </w:r>
      <w:r w:rsidR="00C14F0B">
        <w:t>139.1</w:t>
      </w:r>
      <w:r w:rsidR="00135864">
        <w:fldChar w:fldCharType="end"/>
      </w:r>
      <w:r w:rsidR="00135864">
        <w:t>] or [</w:t>
      </w:r>
      <w:r w:rsidR="00135864">
        <w:fldChar w:fldCharType="begin"/>
      </w:r>
      <w:r w:rsidR="00135864">
        <w:instrText xml:space="preserve"> REF _Ref163382542 \r \h </w:instrText>
      </w:r>
      <w:r w:rsidR="00135864">
        <w:fldChar w:fldCharType="separate"/>
      </w:r>
      <w:r w:rsidR="00C14F0B">
        <w:t>139.2</w:t>
      </w:r>
      <w:r w:rsidR="00135864">
        <w:fldChar w:fldCharType="end"/>
      </w:r>
      <w:r w:rsidR="00135864">
        <w:t>]</w:t>
      </w:r>
      <w:r w:rsidRPr="004720C4">
        <w:t xml:space="preserve">, </w:t>
      </w:r>
      <w:r w:rsidR="0043024A">
        <w:t>the</w:t>
      </w:r>
      <w:r w:rsidR="00FE45F7">
        <w:t xml:space="preserve"> individual must </w:t>
      </w:r>
      <w:r w:rsidR="00225855">
        <w:t xml:space="preserve">apply </w:t>
      </w:r>
      <w:r w:rsidR="00ED5800">
        <w:t xml:space="preserve">for suppression. They must apply </w:t>
      </w:r>
      <w:r w:rsidR="00A00C82">
        <w:t>for an independent assessment</w:t>
      </w:r>
      <w:r w:rsidR="00ED5800">
        <w:t xml:space="preserve"> by ASIC using a format prescribed by ASIC</w:t>
      </w:r>
      <w:r w:rsidR="00A00C82">
        <w:t>.</w:t>
      </w:r>
      <w:r w:rsidR="00C930EB">
        <w:t xml:space="preserve"> </w:t>
      </w:r>
      <w:r w:rsidR="00CD4022">
        <w:t xml:space="preserve">This will involve a </w:t>
      </w:r>
      <w:r w:rsidR="00FE45F7">
        <w:t xml:space="preserve">collection </w:t>
      </w:r>
      <w:r w:rsidR="00CD4022">
        <w:t xml:space="preserve">of personal information by </w:t>
      </w:r>
      <w:r w:rsidR="00FE45F7">
        <w:t>ASIC</w:t>
      </w:r>
      <w:r w:rsidR="00CD4022">
        <w:t>.</w:t>
      </w:r>
      <w:r w:rsidR="00A00C82">
        <w:t xml:space="preserve"> </w:t>
      </w:r>
    </w:p>
    <w:p w14:paraId="519A9088" w14:textId="240AE431" w:rsidR="00AB65E5" w:rsidRDefault="00AB65E5" w:rsidP="004720C4">
      <w:pPr>
        <w:pStyle w:val="NumberLevel1"/>
      </w:pPr>
      <w:r>
        <w:t>ASIC will then proceed to</w:t>
      </w:r>
      <w:r w:rsidR="004720C4" w:rsidRPr="004720C4">
        <w:t xml:space="preserve"> make an independent decision </w:t>
      </w:r>
      <w:r>
        <w:t>on the request</w:t>
      </w:r>
      <w:r w:rsidR="00D30B7B">
        <w:t>, a process that may involve liaising directly with the individual</w:t>
      </w:r>
      <w:r w:rsidR="004720C4" w:rsidRPr="004720C4">
        <w:t xml:space="preserve">. </w:t>
      </w:r>
      <w:r w:rsidRPr="00AB65E5">
        <w:t>Based on this approach, the regulated entity will have no information as to the</w:t>
      </w:r>
      <w:r w:rsidR="000164BE">
        <w:t xml:space="preserve"> nature of the</w:t>
      </w:r>
      <w:r w:rsidRPr="00AB65E5">
        <w:t xml:space="preserve"> risk to the beneficial owner’s safety, and no discretion to determine the validity of the request; only ASIC will </w:t>
      </w:r>
      <w:r w:rsidR="0043024A">
        <w:t xml:space="preserve">receive </w:t>
      </w:r>
      <w:r w:rsidRPr="00AB65E5">
        <w:t>evidence to substantiate the request</w:t>
      </w:r>
      <w:r>
        <w:t xml:space="preserve">. </w:t>
      </w:r>
    </w:p>
    <w:p w14:paraId="1D804FBB" w14:textId="479AFCB7" w:rsidR="00AD6E6C" w:rsidRDefault="00AD6E6C" w:rsidP="004720C4">
      <w:pPr>
        <w:pStyle w:val="NumberLevel1"/>
      </w:pPr>
      <w:r>
        <w:t>If ASIC decides that the individual’s BOI should not be suppressed, they must notify the individual of the outcome of their request</w:t>
      </w:r>
      <w:r w:rsidR="0043024A">
        <w:t>. T</w:t>
      </w:r>
      <w:r>
        <w:t>he individual will have a 28-day period to apply for review of ASIC’s decision by the Administrative Appeals Tribunal</w:t>
      </w:r>
      <w:r w:rsidR="00DD570F">
        <w:t xml:space="preserve"> (</w:t>
      </w:r>
      <w:r w:rsidR="00DD570F" w:rsidRPr="00C930EB">
        <w:rPr>
          <w:b/>
        </w:rPr>
        <w:t>AAT</w:t>
      </w:r>
      <w:r w:rsidR="00DD570F">
        <w:t>)</w:t>
      </w:r>
      <w:r w:rsidR="00FE45F7">
        <w:t xml:space="preserve"> (noting this body will soon become the Administrative Review Tribunal)</w:t>
      </w:r>
      <w:r>
        <w:t xml:space="preserve">. </w:t>
      </w:r>
      <w:r w:rsidR="12EE8793">
        <w:t xml:space="preserve">In-scope companies must continue to suppress BOI until </w:t>
      </w:r>
      <w:r w:rsidR="00FE45F7">
        <w:t xml:space="preserve">after the AAT decision </w:t>
      </w:r>
      <w:r w:rsidR="00FE45F7" w:rsidRPr="008E0CA1">
        <w:rPr>
          <w:u w:val="single"/>
        </w:rPr>
        <w:t>and</w:t>
      </w:r>
      <w:r w:rsidR="00FE45F7">
        <w:t xml:space="preserve"> they receive a final written outcome of the suppression application from ASIC (even if the outcome of the AAT decision is known). </w:t>
      </w:r>
    </w:p>
    <w:p w14:paraId="55C19BF6" w14:textId="2C19F28F" w:rsidR="00AD6E6C" w:rsidRDefault="00AD6E6C" w:rsidP="004720C4">
      <w:pPr>
        <w:pStyle w:val="NumberLevel1"/>
      </w:pPr>
      <w:r>
        <w:t xml:space="preserve">If the individual does not appeal ASIC’s decision, the </w:t>
      </w:r>
      <w:r w:rsidR="000B11BB">
        <w:t>in-scope company</w:t>
      </w:r>
      <w:r>
        <w:t xml:space="preserve"> </w:t>
      </w:r>
      <w:r w:rsidR="01C64E75">
        <w:t>must</w:t>
      </w:r>
      <w:r>
        <w:t xml:space="preserve"> cease </w:t>
      </w:r>
      <w:r w:rsidR="0043024A">
        <w:t>suppressing</w:t>
      </w:r>
      <w:r>
        <w:t xml:space="preserve"> their BOI after </w:t>
      </w:r>
      <w:r w:rsidR="2D9D8A2E">
        <w:t>being notified by ASIC</w:t>
      </w:r>
      <w:r>
        <w:t xml:space="preserve">. If the individual does seek review, the </w:t>
      </w:r>
      <w:r w:rsidR="000B11BB">
        <w:t>in-scope company</w:t>
      </w:r>
      <w:r>
        <w:t xml:space="preserve"> must continue to redact their BOI until </w:t>
      </w:r>
      <w:r w:rsidR="00487947">
        <w:t xml:space="preserve">informed by ASIC about the outcome of the application process or </w:t>
      </w:r>
      <w:r w:rsidR="0043024A">
        <w:t>AAT</w:t>
      </w:r>
      <w:r>
        <w:t xml:space="preserve"> review.</w:t>
      </w:r>
      <w:r w:rsidR="00CD4022">
        <w:t xml:space="preserve"> The processing of the suppression application will involve the collection, use and disclosure of personal information by ASIC.</w:t>
      </w:r>
    </w:p>
    <w:p w14:paraId="4A5207CD" w14:textId="2C0A561A" w:rsidR="00AD6E6C" w:rsidRDefault="00B34E0B" w:rsidP="004720C4">
      <w:pPr>
        <w:pStyle w:val="NumberLevel1"/>
      </w:pPr>
      <w:r>
        <w:t xml:space="preserve">It is proposed that, where an individual </w:t>
      </w:r>
      <w:r w:rsidR="3290AF73">
        <w:t xml:space="preserve">is </w:t>
      </w:r>
      <w:r w:rsidR="00487947">
        <w:t xml:space="preserve">either (1) </w:t>
      </w:r>
      <w:r w:rsidR="3290AF73">
        <w:t xml:space="preserve">under the age of 18 </w:t>
      </w:r>
      <w:r w:rsidR="001109F6">
        <w:t xml:space="preserve">or </w:t>
      </w:r>
      <w:r w:rsidR="00487947">
        <w:t xml:space="preserve">(2) </w:t>
      </w:r>
      <w:r w:rsidR="3290AF73">
        <w:t xml:space="preserve">has </w:t>
      </w:r>
      <w:r>
        <w:t>successfully applie</w:t>
      </w:r>
      <w:r w:rsidR="147424EF">
        <w:t>d</w:t>
      </w:r>
      <w:r>
        <w:t xml:space="preserve"> for suppression</w:t>
      </w:r>
      <w:r w:rsidR="00487947">
        <w:t xml:space="preserve"> due to a risk to safety or risk of harm</w:t>
      </w:r>
      <w:r>
        <w:t>, the BOR will disclose that there is a suppressed beneficial owner, the nature of their control or influence over the company, and the date the individual became/ceased to be a beneficial owner</w:t>
      </w:r>
      <w:r w:rsidR="0043024A">
        <w:t xml:space="preserve"> only</w:t>
      </w:r>
      <w:r>
        <w:t>.</w:t>
      </w:r>
    </w:p>
    <w:p w14:paraId="3EE145A1" w14:textId="77777777" w:rsidR="008E0CA1" w:rsidRDefault="00D07A7F" w:rsidP="008E0CA1">
      <w:pPr>
        <w:pStyle w:val="NumberLevel1"/>
      </w:pPr>
      <w:r>
        <w:t xml:space="preserve">ASIC has received funding to develop guidance to support compliance with the beneficial ownership regime, including information sheets and regulatory guidance to support beneficial owners' and companies' understanding of and compliance with obligations and responsibilities. </w:t>
      </w:r>
    </w:p>
    <w:p w14:paraId="5AD9513B" w14:textId="7E9F6295" w:rsidR="00B34E0B" w:rsidRDefault="00B34E0B" w:rsidP="000A52BB">
      <w:pPr>
        <w:pStyle w:val="Heading2"/>
      </w:pPr>
      <w:bookmarkStart w:id="86" w:name="_Toc160444096"/>
      <w:bookmarkStart w:id="87" w:name="_Toc168942748"/>
      <w:r>
        <w:t xml:space="preserve">Activity </w:t>
      </w:r>
      <w:r w:rsidR="00412D15">
        <w:t>5</w:t>
      </w:r>
      <w:r>
        <w:t xml:space="preserve"> – Creation and maintenance of the BOR</w:t>
      </w:r>
      <w:bookmarkEnd w:id="86"/>
      <w:bookmarkEnd w:id="87"/>
    </w:p>
    <w:p w14:paraId="79363528" w14:textId="5FDB3793" w:rsidR="008648A6" w:rsidRDefault="008648A6" w:rsidP="007945C2">
      <w:pPr>
        <w:pStyle w:val="NumberLevel1"/>
        <w:keepNext/>
      </w:pPr>
      <w:r>
        <w:t>An in-scope company must create and store a BOR. This will involve the</w:t>
      </w:r>
      <w:r w:rsidR="00ED5800">
        <w:t xml:space="preserve"> collection, </w:t>
      </w:r>
      <w:r>
        <w:t>use and storage of personal information.</w:t>
      </w:r>
    </w:p>
    <w:p w14:paraId="794B2369" w14:textId="12AEBDE6" w:rsidR="00B34E0B" w:rsidRDefault="00412D15" w:rsidP="00B34E0B">
      <w:pPr>
        <w:pStyle w:val="NumberLevel1"/>
      </w:pPr>
      <w:r>
        <w:t xml:space="preserve">If </w:t>
      </w:r>
      <w:r w:rsidR="00B34E0B">
        <w:t xml:space="preserve">an </w:t>
      </w:r>
      <w:r w:rsidR="000B11BB">
        <w:t>in-scope company</w:t>
      </w:r>
      <w:r w:rsidR="00B34E0B">
        <w:t xml:space="preserve"> receive</w:t>
      </w:r>
      <w:r>
        <w:t>s</w:t>
      </w:r>
      <w:r w:rsidR="00B34E0B">
        <w:t xml:space="preserve"> new or updated BOI, it </w:t>
      </w:r>
      <w:r>
        <w:t xml:space="preserve">must </w:t>
      </w:r>
      <w:r w:rsidR="00B34E0B">
        <w:t>update its BOR</w:t>
      </w:r>
      <w:r w:rsidR="00A173AB">
        <w:t xml:space="preserve"> to reflect the new information</w:t>
      </w:r>
      <w:r>
        <w:t xml:space="preserve"> within </w:t>
      </w:r>
      <w:r w:rsidR="002D3E0A">
        <w:t xml:space="preserve">14 </w:t>
      </w:r>
      <w:r>
        <w:t>days</w:t>
      </w:r>
      <w:r w:rsidR="00A173AB">
        <w:t>.</w:t>
      </w:r>
      <w:r w:rsidR="008648A6">
        <w:t xml:space="preserve"> This will involve the </w:t>
      </w:r>
      <w:r w:rsidR="00ED5800">
        <w:t xml:space="preserve">collection and </w:t>
      </w:r>
      <w:r w:rsidR="008648A6">
        <w:t>use of personal information.</w:t>
      </w:r>
    </w:p>
    <w:p w14:paraId="30B88BD1" w14:textId="1CFAFE1F" w:rsidR="00A173AB" w:rsidRPr="00635829" w:rsidRDefault="00412D15" w:rsidP="00A173AB">
      <w:pPr>
        <w:pStyle w:val="NumberLevel1"/>
      </w:pPr>
      <w:r>
        <w:t xml:space="preserve">If </w:t>
      </w:r>
      <w:r w:rsidR="00A173AB">
        <w:t xml:space="preserve">a beneficial owner ceases to be a beneficial owner, the </w:t>
      </w:r>
      <w:r w:rsidR="000B11BB">
        <w:t>in-scope company</w:t>
      </w:r>
      <w:r w:rsidR="00A173AB">
        <w:t xml:space="preserve"> </w:t>
      </w:r>
      <w:r>
        <w:t>must</w:t>
      </w:r>
      <w:r w:rsidR="00A173AB">
        <w:t xml:space="preserve"> maintain a record of their identity and the date they ceased to be a beneficial owner for 7 years. This is in line with record keeping require</w:t>
      </w:r>
      <w:r w:rsidR="00A173AB" w:rsidRPr="00A173AB">
        <w:t xml:space="preserve">ments in Chapter 2C.1 of the </w:t>
      </w:r>
      <w:r w:rsidR="00A173AB" w:rsidRPr="007311C1">
        <w:t>Corporations Act</w:t>
      </w:r>
      <w:r w:rsidR="00A173AB" w:rsidRPr="00A173AB">
        <w:rPr>
          <w:iCs/>
        </w:rPr>
        <w:t>.</w:t>
      </w:r>
      <w:r w:rsidR="00ED5800">
        <w:rPr>
          <w:iCs/>
        </w:rPr>
        <w:t xml:space="preserve"> This will involve the collection, use and storage of personal information.</w:t>
      </w:r>
    </w:p>
    <w:p w14:paraId="1AFE8171" w14:textId="5DFEDBF7" w:rsidR="00A173AB" w:rsidRDefault="00A173AB" w:rsidP="00B34E0B">
      <w:pPr>
        <w:pStyle w:val="NumberLevel1"/>
      </w:pPr>
      <w:r>
        <w:t xml:space="preserve">If information included in a BOR is found to be factually incorrect </w:t>
      </w:r>
      <w:r w:rsidRPr="00A173AB">
        <w:t>(</w:t>
      </w:r>
      <w:proofErr w:type="spellStart"/>
      <w:r w:rsidRPr="00A173AB">
        <w:t>eg</w:t>
      </w:r>
      <w:proofErr w:type="spellEnd"/>
      <w:r>
        <w:t>:</w:t>
      </w:r>
      <w:r w:rsidRPr="00A173AB">
        <w:t xml:space="preserve"> misspelling of name, day and month of year in wrong order)</w:t>
      </w:r>
      <w:r>
        <w:t>,</w:t>
      </w:r>
      <w:r w:rsidR="005613F3">
        <w:t xml:space="preserve"> an</w:t>
      </w:r>
      <w:r>
        <w:t xml:space="preserve"> </w:t>
      </w:r>
      <w:r w:rsidR="000B11BB">
        <w:t xml:space="preserve">in-scope </w:t>
      </w:r>
      <w:r w:rsidR="005613F3">
        <w:t xml:space="preserve">company </w:t>
      </w:r>
      <w:r w:rsidR="00412D15">
        <w:t xml:space="preserve">will need </w:t>
      </w:r>
      <w:r>
        <w:t xml:space="preserve">to </w:t>
      </w:r>
      <w:r w:rsidR="00B34C2E">
        <w:t>correct the information</w:t>
      </w:r>
      <w:r w:rsidR="004D6474">
        <w:t xml:space="preserve"> on its own </w:t>
      </w:r>
      <w:proofErr w:type="gramStart"/>
      <w:r w:rsidR="004D6474">
        <w:t>initiative</w:t>
      </w:r>
      <w:r w:rsidR="00B34C2E">
        <w:t>, or</w:t>
      </w:r>
      <w:proofErr w:type="gramEnd"/>
      <w:r w:rsidR="00B34C2E">
        <w:t xml:space="preserve"> </w:t>
      </w:r>
      <w:r>
        <w:t xml:space="preserve">provide beneficial owners </w:t>
      </w:r>
      <w:r w:rsidR="00412D15">
        <w:t xml:space="preserve">with </w:t>
      </w:r>
      <w:r>
        <w:t xml:space="preserve">the opportunity to correct the error. Where </w:t>
      </w:r>
      <w:r w:rsidR="00412D15">
        <w:t>a correctio</w:t>
      </w:r>
      <w:r w:rsidR="008648A6">
        <w:t>n</w:t>
      </w:r>
      <w:r w:rsidR="00412D15">
        <w:t xml:space="preserve"> occurs</w:t>
      </w:r>
      <w:r>
        <w:t xml:space="preserve">, </w:t>
      </w:r>
      <w:r w:rsidR="000358C7">
        <w:t>in-scope companies</w:t>
      </w:r>
      <w:r>
        <w:t xml:space="preserve"> will </w:t>
      </w:r>
      <w:r w:rsidR="00412D15">
        <w:t xml:space="preserve">need </w:t>
      </w:r>
      <w:r>
        <w:t xml:space="preserve">to delete the </w:t>
      </w:r>
      <w:r w:rsidR="000358C7">
        <w:t xml:space="preserve">incorrect </w:t>
      </w:r>
      <w:r>
        <w:t>information.</w:t>
      </w:r>
      <w:r w:rsidR="008648A6">
        <w:t xml:space="preserve"> This process will involve the collection, use and disclosure of personal information.</w:t>
      </w:r>
    </w:p>
    <w:p w14:paraId="184373CA" w14:textId="2C54495C" w:rsidR="00F04FEF" w:rsidRPr="007244F4" w:rsidRDefault="00412D15" w:rsidP="00D55053">
      <w:pPr>
        <w:pStyle w:val="NumberLevel1"/>
      </w:pPr>
      <w:r>
        <w:t>If</w:t>
      </w:r>
      <w:r w:rsidR="00F04FEF">
        <w:t xml:space="preserve"> an </w:t>
      </w:r>
      <w:r w:rsidR="000B11BB">
        <w:t>in-scope company</w:t>
      </w:r>
      <w:r w:rsidR="00F04FEF">
        <w:t xml:space="preserve"> </w:t>
      </w:r>
      <w:r>
        <w:t xml:space="preserve">cannot </w:t>
      </w:r>
      <w:r w:rsidR="009A28AC">
        <w:t xml:space="preserve">identify any </w:t>
      </w:r>
      <w:r w:rsidR="00F04FEF">
        <w:t>beneficial owners</w:t>
      </w:r>
      <w:r w:rsidR="009A28AC">
        <w:t xml:space="preserve"> after taking reasonable steps</w:t>
      </w:r>
      <w:r w:rsidR="00F04FEF">
        <w:t xml:space="preserve">, and no beneficial owners have come forward, </w:t>
      </w:r>
      <w:r>
        <w:t xml:space="preserve">its </w:t>
      </w:r>
      <w:r w:rsidR="00F04FEF">
        <w:t xml:space="preserve">BOR must </w:t>
      </w:r>
      <w:r w:rsidR="00F04FEF" w:rsidRPr="007244F4">
        <w:t xml:space="preserve">display a statement </w:t>
      </w:r>
      <w:r w:rsidR="00F04FEF">
        <w:t xml:space="preserve">to the effect </w:t>
      </w:r>
      <w:r w:rsidR="00F04FEF" w:rsidRPr="007244F4">
        <w:t xml:space="preserve">that </w:t>
      </w:r>
      <w:r>
        <w:t xml:space="preserve">the in-scope company has not identified any </w:t>
      </w:r>
      <w:r w:rsidR="00F04FEF" w:rsidRPr="007244F4">
        <w:t xml:space="preserve">beneficial </w:t>
      </w:r>
      <w:proofErr w:type="gramStart"/>
      <w:r w:rsidR="00F04FEF" w:rsidRPr="007244F4">
        <w:t>owners</w:t>
      </w:r>
      <w:r w:rsidR="00F04FEF">
        <w:t>,</w:t>
      </w:r>
      <w:r w:rsidR="00F04FEF" w:rsidRPr="007244F4">
        <w:t xml:space="preserve"> and</w:t>
      </w:r>
      <w:proofErr w:type="gramEnd"/>
      <w:r w:rsidR="00F04FEF" w:rsidRPr="007244F4">
        <w:t xml:space="preserve"> </w:t>
      </w:r>
      <w:r w:rsidR="00F04FEF">
        <w:t xml:space="preserve">refer to the ASIC companies register for </w:t>
      </w:r>
      <w:r w:rsidR="00E61753">
        <w:t>details of the directors of the company</w:t>
      </w:r>
      <w:r w:rsidR="007728E5">
        <w:t>.</w:t>
      </w:r>
    </w:p>
    <w:p w14:paraId="4DDA4C02" w14:textId="45050AF4" w:rsidR="00A173AB" w:rsidRDefault="00412D15" w:rsidP="00B34E0B">
      <w:pPr>
        <w:pStyle w:val="NumberLevel1"/>
      </w:pPr>
      <w:r>
        <w:t>S</w:t>
      </w:r>
      <w:r w:rsidR="00A173AB">
        <w:t xml:space="preserve">ecurity arrangements for storage of information contained in BORs </w:t>
      </w:r>
      <w:r>
        <w:t>remain un</w:t>
      </w:r>
      <w:r w:rsidR="00A173AB">
        <w:t>decided.</w:t>
      </w:r>
    </w:p>
    <w:p w14:paraId="4D8C92FF" w14:textId="51A71A22" w:rsidR="00F04FEF" w:rsidRDefault="00F04FEF" w:rsidP="00B34E0B">
      <w:pPr>
        <w:pStyle w:val="NumberLevel1"/>
      </w:pPr>
      <w:r>
        <w:t xml:space="preserve">Once the </w:t>
      </w:r>
      <w:r w:rsidR="00412D15">
        <w:t>P</w:t>
      </w:r>
      <w:r>
        <w:t xml:space="preserve">CBOR is established, </w:t>
      </w:r>
      <w:r w:rsidR="00412D15">
        <w:t xml:space="preserve">the regime will not require </w:t>
      </w:r>
      <w:r w:rsidR="000B11BB">
        <w:t>in-scope companies</w:t>
      </w:r>
      <w:r>
        <w:t xml:space="preserve"> </w:t>
      </w:r>
      <w:r w:rsidR="00412D15">
        <w:t xml:space="preserve">to </w:t>
      </w:r>
      <w:r>
        <w:t xml:space="preserve">maintain an individual BOR. However, they will need to retain records to substantiate the information </w:t>
      </w:r>
      <w:r w:rsidR="00412D15">
        <w:t xml:space="preserve">provided to </w:t>
      </w:r>
      <w:r>
        <w:t xml:space="preserve">the </w:t>
      </w:r>
      <w:r w:rsidR="00412D15">
        <w:t>P</w:t>
      </w:r>
      <w:r>
        <w:t>CBOR.</w:t>
      </w:r>
    </w:p>
    <w:p w14:paraId="559CD2EB" w14:textId="6C8FBD55" w:rsidR="002D5956" w:rsidRDefault="002D5956" w:rsidP="00B0403F">
      <w:pPr>
        <w:pStyle w:val="Heading2"/>
        <w:keepNext/>
        <w:keepLines/>
      </w:pPr>
      <w:bookmarkStart w:id="88" w:name="_Toc160444097"/>
      <w:bookmarkStart w:id="89" w:name="_Toc168942749"/>
      <w:r>
        <w:t xml:space="preserve">Activity 6 – Update beneficial ownership </w:t>
      </w:r>
      <w:proofErr w:type="gramStart"/>
      <w:r>
        <w:t>information</w:t>
      </w:r>
      <w:bookmarkEnd w:id="88"/>
      <w:bookmarkEnd w:id="89"/>
      <w:proofErr w:type="gramEnd"/>
      <w:r>
        <w:t xml:space="preserve"> </w:t>
      </w:r>
    </w:p>
    <w:p w14:paraId="7C545955" w14:textId="0DA56A13" w:rsidR="002D5956" w:rsidRDefault="002D5956" w:rsidP="00B0403F">
      <w:pPr>
        <w:pStyle w:val="NumberLevel1"/>
        <w:keepNext/>
        <w:keepLines/>
      </w:pPr>
      <w:r>
        <w:t xml:space="preserve">The BOR maintained by each in-scope company will be a living document. Beneficial owners will </w:t>
      </w:r>
      <w:r w:rsidR="00412D15">
        <w:t>need</w:t>
      </w:r>
      <w:r>
        <w:t xml:space="preserve"> to notify in-scope companies of both:</w:t>
      </w:r>
    </w:p>
    <w:p w14:paraId="4AF41B86" w14:textId="1DE30B4F" w:rsidR="002D5956" w:rsidRDefault="002D5956" w:rsidP="002D5956">
      <w:pPr>
        <w:pStyle w:val="NumberLevel2"/>
      </w:pPr>
      <w:r>
        <w:t xml:space="preserve">changes to their </w:t>
      </w:r>
      <w:r>
        <w:rPr>
          <w:i/>
        </w:rPr>
        <w:t xml:space="preserve">status </w:t>
      </w:r>
      <w:r>
        <w:t>as beneficial owner of the in-scope company</w:t>
      </w:r>
    </w:p>
    <w:p w14:paraId="11D0B115" w14:textId="77777777" w:rsidR="002D5956" w:rsidRDefault="002D5956" w:rsidP="002D5956">
      <w:pPr>
        <w:pStyle w:val="NumberLevel2"/>
      </w:pPr>
      <w:r>
        <w:t>any change to their BOI as recorded on the in-scope company’s BOR.</w:t>
      </w:r>
    </w:p>
    <w:p w14:paraId="0E263E76" w14:textId="5A21341D" w:rsidR="002D5956" w:rsidRDefault="002D5956" w:rsidP="002D5956">
      <w:pPr>
        <w:pStyle w:val="NumberLevel1"/>
      </w:pPr>
      <w:r>
        <w:t xml:space="preserve">Beneficial owners must make such notifications within 28 days of becoming aware of the change, </w:t>
      </w:r>
      <w:r w:rsidRPr="0062549D">
        <w:t>or</w:t>
      </w:r>
      <w:r>
        <w:rPr>
          <w:i/>
        </w:rPr>
        <w:t xml:space="preserve"> </w:t>
      </w:r>
      <w:r>
        <w:t>within 28 days of the date they should reasonably have become aware of the change.</w:t>
      </w:r>
      <w:r w:rsidR="008648A6">
        <w:t xml:space="preserve"> This will involve the collection of personal information</w:t>
      </w:r>
      <w:r w:rsidR="00ED5800">
        <w:t xml:space="preserve"> by in-scope companies</w:t>
      </w:r>
      <w:r w:rsidR="008648A6">
        <w:t>.</w:t>
      </w:r>
    </w:p>
    <w:p w14:paraId="6C36E172" w14:textId="02E9E362" w:rsidR="002D5956" w:rsidRDefault="002D5956" w:rsidP="002D5956">
      <w:pPr>
        <w:pStyle w:val="NumberLevel1"/>
      </w:pPr>
      <w:r>
        <w:t>If an in-scope company becomes aware of a change to a beneficial owner’s status or BOI prior to being notified of such by the beneficial owner, it must issue a request for BOI to the beneficial owner within 14 days of learning of the change.</w:t>
      </w:r>
      <w:r w:rsidR="008648A6">
        <w:t xml:space="preserve"> This will involve the disclosure and subsequent collection of personal information.</w:t>
      </w:r>
    </w:p>
    <w:p w14:paraId="0D22FC82" w14:textId="06DF11E1" w:rsidR="00F04FEF" w:rsidRDefault="00F04FEF" w:rsidP="000A52BB">
      <w:pPr>
        <w:pStyle w:val="Heading2"/>
      </w:pPr>
      <w:bookmarkStart w:id="90" w:name="_Toc160444098"/>
      <w:bookmarkStart w:id="91" w:name="_Toc168942750"/>
      <w:r>
        <w:t xml:space="preserve">Activity </w:t>
      </w:r>
      <w:r w:rsidR="0099005F">
        <w:t>7</w:t>
      </w:r>
      <w:r>
        <w:t xml:space="preserve"> – Consideration and fulfilment of </w:t>
      </w:r>
      <w:r w:rsidR="008648A6">
        <w:t xml:space="preserve">BOI access </w:t>
      </w:r>
      <w:r>
        <w:t>requests</w:t>
      </w:r>
      <w:bookmarkEnd w:id="90"/>
      <w:bookmarkEnd w:id="91"/>
    </w:p>
    <w:p w14:paraId="25F32824" w14:textId="456F48B2" w:rsidR="00F04FEF" w:rsidRDefault="008648A6" w:rsidP="00C8722C">
      <w:pPr>
        <w:pStyle w:val="NumberLevel1"/>
        <w:keepNext/>
      </w:pPr>
      <w:r>
        <w:t>As a starting principle, b</w:t>
      </w:r>
      <w:r w:rsidR="00C369F6">
        <w:t>oth</w:t>
      </w:r>
      <w:r w:rsidR="00925FED">
        <w:t xml:space="preserve"> the </w:t>
      </w:r>
      <w:r w:rsidR="00774E9C">
        <w:t>public</w:t>
      </w:r>
      <w:r w:rsidR="00925FED">
        <w:t xml:space="preserve"> and relevant law enforcement agencies and regulators </w:t>
      </w:r>
      <w:r>
        <w:t xml:space="preserve">may request </w:t>
      </w:r>
      <w:r w:rsidR="00925FED">
        <w:t xml:space="preserve">access </w:t>
      </w:r>
      <w:r>
        <w:t xml:space="preserve">to </w:t>
      </w:r>
      <w:r w:rsidR="00925FED">
        <w:t xml:space="preserve">an </w:t>
      </w:r>
      <w:r w:rsidR="000B11BB">
        <w:t>in-scope company</w:t>
      </w:r>
      <w:r w:rsidR="00925FED">
        <w:t>’s BOR</w:t>
      </w:r>
      <w:r>
        <w:t xml:space="preserve">. However, </w:t>
      </w:r>
      <w:r w:rsidR="00925FED">
        <w:t xml:space="preserve">limitations on both the </w:t>
      </w:r>
      <w:r>
        <w:t xml:space="preserve">(1) </w:t>
      </w:r>
      <w:r w:rsidR="00925FED">
        <w:t xml:space="preserve">extent of information the public can inspect, and </w:t>
      </w:r>
      <w:r>
        <w:t xml:space="preserve">(2) </w:t>
      </w:r>
      <w:r w:rsidR="00925FED">
        <w:t>the reasons for request</w:t>
      </w:r>
      <w:r>
        <w:t>ing</w:t>
      </w:r>
      <w:r w:rsidR="00925FED">
        <w:t xml:space="preserve"> access</w:t>
      </w:r>
      <w:r>
        <w:t xml:space="preserve"> will apply</w:t>
      </w:r>
      <w:r w:rsidR="00925FED">
        <w:t>.</w:t>
      </w:r>
    </w:p>
    <w:p w14:paraId="18D41A17" w14:textId="08D11B8A" w:rsidR="00925FED" w:rsidRDefault="001F6833" w:rsidP="00F04FEF">
      <w:pPr>
        <w:pStyle w:val="NumberLevel1"/>
      </w:pPr>
      <w:r>
        <w:t>The legislati</w:t>
      </w:r>
      <w:r w:rsidR="003B0A83">
        <w:t>ve framework</w:t>
      </w:r>
      <w:r>
        <w:t xml:space="preserve"> will </w:t>
      </w:r>
      <w:r w:rsidR="004D6474">
        <w:t>enable in-scope companies to request</w:t>
      </w:r>
      <w:r w:rsidR="00AF51DD">
        <w:t xml:space="preserve"> </w:t>
      </w:r>
      <w:r>
        <w:t>m</w:t>
      </w:r>
      <w:r w:rsidR="00925FED">
        <w:t xml:space="preserve">embers of the public </w:t>
      </w:r>
      <w:r>
        <w:t>to pay</w:t>
      </w:r>
      <w:r w:rsidR="008648A6">
        <w:t xml:space="preserve"> </w:t>
      </w:r>
      <w:r w:rsidR="004D6474">
        <w:t xml:space="preserve">an amount up to </w:t>
      </w:r>
      <w:r w:rsidR="008648A6">
        <w:t xml:space="preserve">a prescribed fee before </w:t>
      </w:r>
      <w:r w:rsidR="00925FED">
        <w:t>inspect</w:t>
      </w:r>
      <w:r w:rsidR="008648A6">
        <w:t>ing</w:t>
      </w:r>
      <w:r w:rsidR="00925FED">
        <w:t xml:space="preserve"> an </w:t>
      </w:r>
      <w:r w:rsidR="000B11BB">
        <w:t>in-scope company</w:t>
      </w:r>
      <w:r w:rsidR="00925FED">
        <w:t>’s BOR</w:t>
      </w:r>
      <w:r w:rsidR="00AF51DD">
        <w:t>. This is</w:t>
      </w:r>
      <w:r w:rsidR="008648A6">
        <w:t xml:space="preserve"> consistent with</w:t>
      </w:r>
      <w:r w:rsidR="00925FED">
        <w:t xml:space="preserve"> existing </w:t>
      </w:r>
      <w:r w:rsidR="008648A6">
        <w:t xml:space="preserve">payment models </w:t>
      </w:r>
      <w:r w:rsidR="00925FED">
        <w:t xml:space="preserve">under Chapter 2C of the Corporations Act. </w:t>
      </w:r>
      <w:r w:rsidR="008648A6">
        <w:t xml:space="preserve">Some entities </w:t>
      </w:r>
      <w:r>
        <w:t>will be exempt from paying the fee, such as</w:t>
      </w:r>
      <w:r w:rsidR="008648A6">
        <w:t xml:space="preserve"> </w:t>
      </w:r>
      <w:r w:rsidR="00925FED">
        <w:t xml:space="preserve">journalists </w:t>
      </w:r>
      <w:r w:rsidR="00481BC7">
        <w:t>and</w:t>
      </w:r>
      <w:r w:rsidR="00925FED">
        <w:t xml:space="preserve"> academics</w:t>
      </w:r>
      <w:r w:rsidR="00E62A06">
        <w:t>.</w:t>
      </w:r>
      <w:r w:rsidR="0037204C">
        <w:t xml:space="preserve"> </w:t>
      </w:r>
      <w:r w:rsidR="00E62A06">
        <w:t>B</w:t>
      </w:r>
      <w:r w:rsidR="0037204C">
        <w:t xml:space="preserve">eneficial owners </w:t>
      </w:r>
      <w:r w:rsidR="00E62A06">
        <w:t>will not be required to pay a fee for access to the BOR of in-scope companies for which they</w:t>
      </w:r>
      <w:r w:rsidR="0037204C">
        <w:t xml:space="preserve"> appear on the register.</w:t>
      </w:r>
      <w:r w:rsidR="008F5430">
        <w:t xml:space="preserve"> </w:t>
      </w:r>
    </w:p>
    <w:p w14:paraId="41D7E6F9" w14:textId="7CBC3E8C" w:rsidR="00DC298D" w:rsidRDefault="00925FED" w:rsidP="00F04FEF">
      <w:pPr>
        <w:pStyle w:val="NumberLevel1"/>
      </w:pPr>
      <w:r>
        <w:t xml:space="preserve">When requesting access to a BOR, a person will </w:t>
      </w:r>
      <w:r w:rsidR="001F6833">
        <w:t>need</w:t>
      </w:r>
      <w:r>
        <w:t xml:space="preserve"> to declare the purpose for which they seek access. </w:t>
      </w:r>
      <w:r w:rsidR="001F6833">
        <w:t xml:space="preserve">An </w:t>
      </w:r>
      <w:r w:rsidR="000B11BB">
        <w:t>in-scope company</w:t>
      </w:r>
      <w:r>
        <w:t xml:space="preserve"> </w:t>
      </w:r>
      <w:r w:rsidR="001F6833">
        <w:t xml:space="preserve">must </w:t>
      </w:r>
      <w:r>
        <w:t>refuse to grant a member of the public access to their BOR if the request is made for</w:t>
      </w:r>
      <w:r w:rsidR="001F6833">
        <w:t xml:space="preserve"> an</w:t>
      </w:r>
      <w:r>
        <w:t xml:space="preserve"> improper </w:t>
      </w:r>
      <w:r w:rsidR="00FA4E33">
        <w:t>purpose</w:t>
      </w:r>
      <w:r>
        <w:t xml:space="preserve">. </w:t>
      </w:r>
    </w:p>
    <w:p w14:paraId="0E46BC1A" w14:textId="6991C366" w:rsidR="00925FED" w:rsidRDefault="00925FED" w:rsidP="00F04FEF">
      <w:pPr>
        <w:pStyle w:val="NumberLevel1"/>
      </w:pPr>
      <w:r>
        <w:t xml:space="preserve">It is anticipated that the range of </w:t>
      </w:r>
      <w:r w:rsidR="002E79D7">
        <w:t>im</w:t>
      </w:r>
      <w:r>
        <w:t xml:space="preserve">proper purposes will mirror the improper purposes for seeking to obtain a copy of a </w:t>
      </w:r>
      <w:r w:rsidR="001F6833">
        <w:t>C</w:t>
      </w:r>
      <w:r>
        <w:t xml:space="preserve">ompany </w:t>
      </w:r>
      <w:r w:rsidR="001F6833">
        <w:t>R</w:t>
      </w:r>
      <w:r>
        <w:t>egister, as set out in reg</w:t>
      </w:r>
      <w:r w:rsidR="00216AF4">
        <w:t> </w:t>
      </w:r>
      <w:r>
        <w:t xml:space="preserve">2C.1.03 of the </w:t>
      </w:r>
      <w:r>
        <w:rPr>
          <w:i/>
        </w:rPr>
        <w:t xml:space="preserve">Corporations Regulations 2001 </w:t>
      </w:r>
      <w:r>
        <w:t>(</w:t>
      </w:r>
      <w:proofErr w:type="spellStart"/>
      <w:r>
        <w:t>Cth</w:t>
      </w:r>
      <w:proofErr w:type="spellEnd"/>
      <w:r>
        <w:t xml:space="preserve">). </w:t>
      </w:r>
      <w:r w:rsidR="00DC298D">
        <w:t>These</w:t>
      </w:r>
      <w:r>
        <w:t xml:space="preserve"> are:</w:t>
      </w:r>
    </w:p>
    <w:p w14:paraId="42DE8D0F" w14:textId="02144F93" w:rsidR="00DC298D" w:rsidRDefault="00DC298D" w:rsidP="008E0CA1">
      <w:pPr>
        <w:pStyle w:val="Quotation1"/>
        <w:tabs>
          <w:tab w:val="clear" w:pos="425"/>
          <w:tab w:val="num" w:pos="851"/>
        </w:tabs>
        <w:ind w:left="851" w:hanging="426"/>
      </w:pPr>
      <w:r>
        <w:t xml:space="preserve">(a)  </w:t>
      </w:r>
      <w:r w:rsidR="00216AF4">
        <w:tab/>
      </w:r>
      <w:r>
        <w:t xml:space="preserve">soliciting a donation from a member of a </w:t>
      </w:r>
      <w:proofErr w:type="gramStart"/>
      <w:r>
        <w:t>company;</w:t>
      </w:r>
      <w:proofErr w:type="gramEnd"/>
    </w:p>
    <w:p w14:paraId="2DCC81D1" w14:textId="603D663C" w:rsidR="00DC298D" w:rsidRDefault="00DC298D" w:rsidP="008E0CA1">
      <w:pPr>
        <w:pStyle w:val="Quotation1"/>
        <w:tabs>
          <w:tab w:val="clear" w:pos="425"/>
          <w:tab w:val="num" w:pos="851"/>
        </w:tabs>
        <w:ind w:left="851" w:hanging="426"/>
      </w:pPr>
      <w:r>
        <w:t xml:space="preserve">(b)  </w:t>
      </w:r>
      <w:r w:rsidR="00216AF4">
        <w:tab/>
      </w:r>
      <w:r>
        <w:t xml:space="preserve">soliciting a member of a company by a person who is authorised to assume or use the word stockbroker or sharebroker in accordance with section 923B of the </w:t>
      </w:r>
      <w:r>
        <w:rPr>
          <w:i/>
        </w:rPr>
        <w:t xml:space="preserve">Corporations Act </w:t>
      </w:r>
      <w:proofErr w:type="gramStart"/>
      <w:r>
        <w:rPr>
          <w:i/>
        </w:rPr>
        <w:t>2001</w:t>
      </w:r>
      <w:r>
        <w:t>;</w:t>
      </w:r>
      <w:proofErr w:type="gramEnd"/>
    </w:p>
    <w:p w14:paraId="3677AF1F" w14:textId="2E87EF9B" w:rsidR="00DC298D" w:rsidRDefault="00DC298D" w:rsidP="008E0CA1">
      <w:pPr>
        <w:pStyle w:val="Quotation1"/>
        <w:tabs>
          <w:tab w:val="clear" w:pos="425"/>
          <w:tab w:val="num" w:pos="851"/>
        </w:tabs>
        <w:ind w:left="851" w:hanging="426"/>
      </w:pPr>
      <w:r>
        <w:t xml:space="preserve">(c)  </w:t>
      </w:r>
      <w:r w:rsidR="00216AF4">
        <w:tab/>
      </w:r>
      <w:r>
        <w:t xml:space="preserve">gathering information about the personal wealth of a member of a </w:t>
      </w:r>
      <w:proofErr w:type="gramStart"/>
      <w:r>
        <w:t>company;</w:t>
      </w:r>
      <w:proofErr w:type="gramEnd"/>
    </w:p>
    <w:p w14:paraId="375DA48E" w14:textId="2FFFD5B1" w:rsidR="00DC298D" w:rsidRDefault="00DC298D" w:rsidP="008E0CA1">
      <w:pPr>
        <w:pStyle w:val="Quotation1"/>
        <w:tabs>
          <w:tab w:val="clear" w:pos="425"/>
          <w:tab w:val="num" w:pos="851"/>
        </w:tabs>
        <w:ind w:left="851" w:hanging="426"/>
      </w:pPr>
      <w:r>
        <w:t xml:space="preserve">(d)  </w:t>
      </w:r>
      <w:r w:rsidR="00216AF4">
        <w:tab/>
      </w:r>
      <w:r>
        <w:t xml:space="preserve">making an offer that satisfies paragraphs 1019D(1)(a) to (d) of the </w:t>
      </w:r>
      <w:r>
        <w:rPr>
          <w:i/>
        </w:rPr>
        <w:t>Corporations Act 2001</w:t>
      </w:r>
      <w:r>
        <w:t>;</w:t>
      </w:r>
      <w:r>
        <w:rPr>
          <w:rStyle w:val="FootnoteReference"/>
        </w:rPr>
        <w:footnoteReference w:id="16"/>
      </w:r>
    </w:p>
    <w:p w14:paraId="7BEDABC5" w14:textId="04B5AC9D" w:rsidR="00925FED" w:rsidRDefault="00DC298D" w:rsidP="008E0CA1">
      <w:pPr>
        <w:pStyle w:val="Quotation1"/>
        <w:tabs>
          <w:tab w:val="clear" w:pos="425"/>
          <w:tab w:val="num" w:pos="851"/>
        </w:tabs>
        <w:ind w:left="851" w:hanging="426"/>
      </w:pPr>
      <w:r>
        <w:t xml:space="preserve">(e)  </w:t>
      </w:r>
      <w:r w:rsidR="00216AF4">
        <w:tab/>
      </w:r>
      <w:r>
        <w:t xml:space="preserve">making an invitation that, were it an offer to purchase a financial product, would be an offer that satisfies paragraphs 1019D(1)(a) to (d) of the </w:t>
      </w:r>
      <w:r>
        <w:rPr>
          <w:i/>
        </w:rPr>
        <w:t>Corporations Act 2001</w:t>
      </w:r>
      <w:r>
        <w:t>.</w:t>
      </w:r>
      <w:r>
        <w:rPr>
          <w:rStyle w:val="FootnoteReference"/>
        </w:rPr>
        <w:footnoteReference w:id="17"/>
      </w:r>
    </w:p>
    <w:p w14:paraId="1D79BE94" w14:textId="78B855B6" w:rsidR="00DC298D" w:rsidRDefault="00DC298D" w:rsidP="00DC298D">
      <w:pPr>
        <w:pStyle w:val="NumberLevel1"/>
      </w:pPr>
      <w:r>
        <w:t xml:space="preserve">Further, members of the public will not </w:t>
      </w:r>
      <w:r w:rsidR="001F6833">
        <w:t xml:space="preserve">receive access to </w:t>
      </w:r>
      <w:r>
        <w:t>the full suite of BOI contained on the BOR about a beneficial owner. The</w:t>
      </w:r>
      <w:r w:rsidR="001F6833">
        <w:t xml:space="preserve">y will not receive </w:t>
      </w:r>
      <w:r w:rsidR="00846E09">
        <w:t>a beneficial owner’s</w:t>
      </w:r>
      <w:r>
        <w:t>:</w:t>
      </w:r>
    </w:p>
    <w:p w14:paraId="5B3E04A2" w14:textId="3EC818E2" w:rsidR="00DC298D" w:rsidRDefault="00846E09" w:rsidP="00DC298D">
      <w:pPr>
        <w:pStyle w:val="NumberLevel2"/>
      </w:pPr>
      <w:r>
        <w:t>full date of birth</w:t>
      </w:r>
      <w:r w:rsidR="001F6833">
        <w:t xml:space="preserve"> (</w:t>
      </w:r>
      <w:r w:rsidR="00DC298D">
        <w:t>only the month and year</w:t>
      </w:r>
      <w:r w:rsidR="001F6833">
        <w:t xml:space="preserve"> of birth)</w:t>
      </w:r>
    </w:p>
    <w:p w14:paraId="22C8775A" w14:textId="5579F57E" w:rsidR="00846E09" w:rsidRDefault="00846E09" w:rsidP="00DC298D">
      <w:pPr>
        <w:pStyle w:val="NumberLevel2"/>
      </w:pPr>
      <w:r>
        <w:t>residential address</w:t>
      </w:r>
      <w:r w:rsidR="001F6833">
        <w:t xml:space="preserve"> (</w:t>
      </w:r>
      <w:r>
        <w:t>only their country of residence</w:t>
      </w:r>
      <w:r w:rsidR="001F6833">
        <w:t>)</w:t>
      </w:r>
    </w:p>
    <w:p w14:paraId="69417B35" w14:textId="42CBBC63" w:rsidR="00846E09" w:rsidRDefault="00846E09" w:rsidP="00DC298D">
      <w:pPr>
        <w:pStyle w:val="NumberLevel2"/>
      </w:pPr>
      <w:r>
        <w:t>electronic address</w:t>
      </w:r>
      <w:r w:rsidR="001F6833">
        <w:t>.</w:t>
      </w:r>
    </w:p>
    <w:p w14:paraId="0F52F930" w14:textId="2318471C" w:rsidR="00846E09" w:rsidRDefault="00487947" w:rsidP="00846E09">
      <w:pPr>
        <w:pStyle w:val="NumberLevel1"/>
      </w:pPr>
      <w:r>
        <w:t>In Stage 1, r</w:t>
      </w:r>
      <w:r w:rsidR="00846E09">
        <w:t xml:space="preserve">egulators and law enforcement agencies will not </w:t>
      </w:r>
      <w:r w:rsidR="001F6833">
        <w:t>need</w:t>
      </w:r>
      <w:r w:rsidR="00846E09">
        <w:t xml:space="preserve"> to identify the purpose of their request</w:t>
      </w:r>
      <w:r w:rsidR="001F6833">
        <w:t xml:space="preserve">. Further, </w:t>
      </w:r>
      <w:r w:rsidR="000B11BB">
        <w:t>in-scope companies</w:t>
      </w:r>
      <w:r w:rsidR="00846E09">
        <w:t xml:space="preserve"> </w:t>
      </w:r>
      <w:r w:rsidR="001F6833">
        <w:t>must</w:t>
      </w:r>
      <w:r w:rsidR="00846E09">
        <w:t xml:space="preserve"> provide </w:t>
      </w:r>
      <w:r w:rsidR="001F6833">
        <w:t xml:space="preserve">the regulator or law enforcement agency with </w:t>
      </w:r>
      <w:r w:rsidR="00846E09">
        <w:t xml:space="preserve">all </w:t>
      </w:r>
      <w:r w:rsidR="00B02062">
        <w:t>BOI</w:t>
      </w:r>
      <w:r w:rsidR="00E7356B">
        <w:t xml:space="preserve"> </w:t>
      </w:r>
      <w:r w:rsidR="00846E09">
        <w:t xml:space="preserve">held on the BOR about the beneficial owner the subject of the request. This will include the full, unredacted BOI for </w:t>
      </w:r>
      <w:r w:rsidR="001F6833">
        <w:t xml:space="preserve">the </w:t>
      </w:r>
      <w:r w:rsidR="00846E09">
        <w:t>beneficial owner</w:t>
      </w:r>
      <w:r w:rsidR="008B4DD4">
        <w:t>.</w:t>
      </w:r>
    </w:p>
    <w:p w14:paraId="6314FB5E" w14:textId="00ABCC69" w:rsidR="00846E09" w:rsidRDefault="00846E09" w:rsidP="00846E09">
      <w:pPr>
        <w:pStyle w:val="NumberLevel1"/>
      </w:pPr>
      <w:r>
        <w:t>During consultation, regulators and law enforcement agencies advised that a beneficial owner</w:t>
      </w:r>
      <w:r w:rsidR="00A71C3B">
        <w:t>’</w:t>
      </w:r>
      <w:r>
        <w:t xml:space="preserve">s full date of birth is valuable to ensure they have access to </w:t>
      </w:r>
      <w:r w:rsidR="00774E9C">
        <w:t>enough</w:t>
      </w:r>
      <w:r>
        <w:t xml:space="preserve"> information to match identities when investigating individuals.</w:t>
      </w:r>
    </w:p>
    <w:p w14:paraId="5BB5630D" w14:textId="7242B167" w:rsidR="00C54F0E" w:rsidRDefault="00C54F0E" w:rsidP="00846E09">
      <w:pPr>
        <w:pStyle w:val="NumberLevel1"/>
      </w:pPr>
      <w:r>
        <w:t xml:space="preserve">We consider that the requirement for in-scope companies to collect a beneficial owner’s full date of birth, residential </w:t>
      </w:r>
      <w:proofErr w:type="gramStart"/>
      <w:r>
        <w:t>address</w:t>
      </w:r>
      <w:proofErr w:type="gramEnd"/>
      <w:r>
        <w:t xml:space="preserve"> and electronic address, but only disclose it to regulators and law enforcement agencies appropriately mitigates the risk to beneficial owners of identity theft or fraud perpetrated by malicious actors.</w:t>
      </w:r>
    </w:p>
    <w:p w14:paraId="1428DC56" w14:textId="6C3CA60A" w:rsidR="003B0A83" w:rsidRPr="007311C1" w:rsidRDefault="00846E09" w:rsidP="007311C1">
      <w:pPr>
        <w:pStyle w:val="NumberLevel1"/>
      </w:pPr>
      <w:bookmarkStart w:id="92" w:name="_Ref163382839"/>
      <w:r>
        <w:t>The law enforcement agencies and regulators that will have access to unrestricted BOI are</w:t>
      </w:r>
      <w:r w:rsidR="003B0A83">
        <w:t xml:space="preserve"> set out below</w:t>
      </w:r>
      <w:r>
        <w:t>:</w:t>
      </w:r>
      <w:bookmarkEnd w:id="92"/>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843"/>
        <w:gridCol w:w="6379"/>
      </w:tblGrid>
      <w:tr w:rsidR="003B0A83" w14:paraId="657B058F" w14:textId="77777777" w:rsidTr="008E0CA1">
        <w:trPr>
          <w:cantSplit/>
          <w:tblHeader/>
        </w:trPr>
        <w:tc>
          <w:tcPr>
            <w:tcW w:w="1843" w:type="dxa"/>
            <w:shd w:val="clear" w:color="auto" w:fill="C4DDEA"/>
            <w:vAlign w:val="top"/>
          </w:tcPr>
          <w:p w14:paraId="7E999094" w14:textId="77777777" w:rsidR="003B0A83" w:rsidRPr="007311C1" w:rsidRDefault="003B0A83" w:rsidP="008E0CA1">
            <w:pPr>
              <w:pStyle w:val="TableHeading2"/>
              <w:keepNext w:val="0"/>
              <w:keepLines w:val="0"/>
              <w:ind w:left="176" w:hanging="176"/>
            </w:pPr>
            <w:r w:rsidRPr="007311C1">
              <w:t>Regulator</w:t>
            </w:r>
          </w:p>
        </w:tc>
        <w:tc>
          <w:tcPr>
            <w:tcW w:w="6379" w:type="dxa"/>
            <w:shd w:val="clear" w:color="auto" w:fill="C4DDEA"/>
            <w:vAlign w:val="top"/>
          </w:tcPr>
          <w:p w14:paraId="644C7D97" w14:textId="77777777" w:rsidR="003B0A83" w:rsidRPr="007311C1" w:rsidRDefault="003B0A83" w:rsidP="008E0CA1">
            <w:pPr>
              <w:pStyle w:val="TableHeading2"/>
              <w:keepNext w:val="0"/>
              <w:keepLines w:val="0"/>
            </w:pPr>
            <w:r w:rsidRPr="007311C1">
              <w:t>Purpose for access</w:t>
            </w:r>
          </w:p>
        </w:tc>
      </w:tr>
      <w:tr w:rsidR="003B0A83" w14:paraId="61F12A71" w14:textId="77777777" w:rsidTr="008E0CA1">
        <w:tc>
          <w:tcPr>
            <w:tcW w:w="1843" w:type="dxa"/>
          </w:tcPr>
          <w:p w14:paraId="3B913AE2" w14:textId="77777777" w:rsidR="003B0A83" w:rsidRPr="007311C1" w:rsidRDefault="003B0A83" w:rsidP="008E0CA1">
            <w:pPr>
              <w:pStyle w:val="TablePlainParagraph"/>
              <w:rPr>
                <w:b/>
              </w:rPr>
            </w:pPr>
            <w:r w:rsidRPr="007311C1">
              <w:t>ASIC</w:t>
            </w:r>
          </w:p>
        </w:tc>
        <w:tc>
          <w:tcPr>
            <w:tcW w:w="6379" w:type="dxa"/>
          </w:tcPr>
          <w:p w14:paraId="4D8CB436" w14:textId="77777777" w:rsidR="003B0A83" w:rsidRPr="007311C1" w:rsidRDefault="003B0A83" w:rsidP="008E0CA1">
            <w:pPr>
              <w:pStyle w:val="CABParagraph"/>
              <w:spacing w:before="60" w:after="60"/>
            </w:pPr>
            <w:r w:rsidRPr="007311C1">
              <w:t>Regulation of the:</w:t>
            </w:r>
          </w:p>
          <w:p w14:paraId="29EA59BB" w14:textId="77777777" w:rsidR="003B0A83" w:rsidRPr="007311C1" w:rsidRDefault="003B0A83" w:rsidP="00804008">
            <w:pPr>
              <w:pStyle w:val="Bullet"/>
              <w:numPr>
                <w:ilvl w:val="0"/>
                <w:numId w:val="36"/>
              </w:numPr>
              <w:spacing w:before="60" w:after="60" w:line="240" w:lineRule="auto"/>
              <w:rPr>
                <w:i/>
              </w:rPr>
            </w:pPr>
            <w:r w:rsidRPr="007311C1">
              <w:t>Corporations Act</w:t>
            </w:r>
          </w:p>
          <w:p w14:paraId="1E8113CE" w14:textId="77777777" w:rsidR="003B0A83" w:rsidRPr="007311C1" w:rsidRDefault="003B0A83" w:rsidP="00804008">
            <w:pPr>
              <w:pStyle w:val="Bullet"/>
              <w:numPr>
                <w:ilvl w:val="0"/>
                <w:numId w:val="36"/>
              </w:numPr>
              <w:spacing w:before="60" w:after="60" w:line="240" w:lineRule="auto"/>
              <w:rPr>
                <w:i/>
              </w:rPr>
            </w:pPr>
            <w:r w:rsidRPr="007311C1">
              <w:rPr>
                <w:i/>
              </w:rPr>
              <w:t>ASIC Act 2001</w:t>
            </w:r>
          </w:p>
          <w:p w14:paraId="58E19A81" w14:textId="77777777" w:rsidR="003B0A83" w:rsidRPr="007311C1" w:rsidRDefault="003B0A83" w:rsidP="00804008">
            <w:pPr>
              <w:pStyle w:val="TablePlainParagraph"/>
              <w:numPr>
                <w:ilvl w:val="0"/>
                <w:numId w:val="36"/>
              </w:numPr>
            </w:pPr>
            <w:r w:rsidRPr="007311C1">
              <w:t>Associated subordinate legislation</w:t>
            </w:r>
          </w:p>
        </w:tc>
      </w:tr>
      <w:tr w:rsidR="003B0A83" w14:paraId="4C6F2A40" w14:textId="77777777" w:rsidTr="008E0CA1">
        <w:tc>
          <w:tcPr>
            <w:tcW w:w="1843" w:type="dxa"/>
          </w:tcPr>
          <w:p w14:paraId="7BF61A3F" w14:textId="77777777" w:rsidR="003B0A83" w:rsidRPr="007311C1" w:rsidRDefault="003B0A83" w:rsidP="008E0CA1">
            <w:pPr>
              <w:pStyle w:val="TablePlainParagraph"/>
            </w:pPr>
            <w:r w:rsidRPr="007311C1">
              <w:t>ATO</w:t>
            </w:r>
          </w:p>
        </w:tc>
        <w:tc>
          <w:tcPr>
            <w:tcW w:w="6379" w:type="dxa"/>
          </w:tcPr>
          <w:p w14:paraId="2B59E3FD" w14:textId="77777777" w:rsidR="003B0A83" w:rsidRPr="007311C1" w:rsidRDefault="003B0A83" w:rsidP="008E0CA1">
            <w:pPr>
              <w:pStyle w:val="CABParagraph"/>
              <w:spacing w:before="60" w:after="60"/>
            </w:pPr>
            <w:r w:rsidRPr="007311C1">
              <w:t>Regulation of the:</w:t>
            </w:r>
          </w:p>
          <w:p w14:paraId="328C398D" w14:textId="77777777" w:rsidR="003B0A83" w:rsidRPr="007311C1" w:rsidRDefault="003B0A83" w:rsidP="00804008">
            <w:pPr>
              <w:pStyle w:val="Bullet"/>
              <w:numPr>
                <w:ilvl w:val="0"/>
                <w:numId w:val="36"/>
              </w:numPr>
              <w:spacing w:before="60" w:after="60" w:line="240" w:lineRule="auto"/>
              <w:rPr>
                <w:i/>
              </w:rPr>
            </w:pPr>
            <w:r w:rsidRPr="007311C1">
              <w:rPr>
                <w:i/>
              </w:rPr>
              <w:t>Income Tax Assessment Act 1936</w:t>
            </w:r>
          </w:p>
          <w:p w14:paraId="4888AB7E" w14:textId="77777777" w:rsidR="003B0A83" w:rsidRPr="007311C1" w:rsidRDefault="003B0A83" w:rsidP="00804008">
            <w:pPr>
              <w:pStyle w:val="Bullet"/>
              <w:numPr>
                <w:ilvl w:val="0"/>
                <w:numId w:val="36"/>
              </w:numPr>
              <w:spacing w:before="60" w:after="60" w:line="240" w:lineRule="auto"/>
              <w:rPr>
                <w:i/>
              </w:rPr>
            </w:pPr>
            <w:r w:rsidRPr="007311C1">
              <w:rPr>
                <w:i/>
              </w:rPr>
              <w:t>Income Tax Assessment Act 1997</w:t>
            </w:r>
          </w:p>
          <w:p w14:paraId="3E27CF60" w14:textId="77777777" w:rsidR="003B0A83" w:rsidRPr="007311C1" w:rsidRDefault="003B0A83" w:rsidP="00804008">
            <w:pPr>
              <w:pStyle w:val="Bullet"/>
              <w:numPr>
                <w:ilvl w:val="0"/>
                <w:numId w:val="36"/>
              </w:numPr>
              <w:spacing w:before="60" w:after="60" w:line="240" w:lineRule="auto"/>
              <w:rPr>
                <w:i/>
              </w:rPr>
            </w:pPr>
            <w:r w:rsidRPr="007311C1">
              <w:rPr>
                <w:i/>
              </w:rPr>
              <w:t>Tax Administration Act 1953</w:t>
            </w:r>
          </w:p>
          <w:p w14:paraId="184B5E1C" w14:textId="77777777" w:rsidR="003B0A83" w:rsidRPr="007311C1" w:rsidRDefault="003B0A83" w:rsidP="00804008">
            <w:pPr>
              <w:pStyle w:val="Bullet"/>
              <w:numPr>
                <w:ilvl w:val="0"/>
                <w:numId w:val="36"/>
              </w:numPr>
              <w:spacing w:before="60" w:after="60" w:line="240" w:lineRule="auto"/>
            </w:pPr>
            <w:r w:rsidRPr="007311C1">
              <w:t xml:space="preserve">Other relevant Acts related to the administration of </w:t>
            </w:r>
            <w:proofErr w:type="gramStart"/>
            <w:r w:rsidRPr="007311C1">
              <w:t>taxation</w:t>
            </w:r>
            <w:proofErr w:type="gramEnd"/>
          </w:p>
          <w:p w14:paraId="1E660F8C" w14:textId="77777777" w:rsidR="003B0A83" w:rsidRPr="007311C1" w:rsidRDefault="003B0A83" w:rsidP="00804008">
            <w:pPr>
              <w:pStyle w:val="CABParagraph"/>
              <w:numPr>
                <w:ilvl w:val="0"/>
                <w:numId w:val="36"/>
              </w:numPr>
              <w:spacing w:before="60" w:after="60"/>
            </w:pPr>
            <w:r w:rsidRPr="007311C1">
              <w:t>Associated subordinate legislation</w:t>
            </w:r>
          </w:p>
        </w:tc>
      </w:tr>
      <w:tr w:rsidR="003B0A83" w14:paraId="30BF5A69" w14:textId="77777777" w:rsidTr="008E0CA1">
        <w:tc>
          <w:tcPr>
            <w:tcW w:w="1843" w:type="dxa"/>
          </w:tcPr>
          <w:p w14:paraId="5FB4C286" w14:textId="77777777" w:rsidR="003B0A83" w:rsidRPr="007311C1" w:rsidRDefault="003B0A83" w:rsidP="008E0CA1">
            <w:pPr>
              <w:pStyle w:val="TablePlainParagraph"/>
            </w:pPr>
            <w:r w:rsidRPr="007311C1">
              <w:t>AUSTRAC</w:t>
            </w:r>
          </w:p>
        </w:tc>
        <w:tc>
          <w:tcPr>
            <w:tcW w:w="6379" w:type="dxa"/>
          </w:tcPr>
          <w:p w14:paraId="34977063" w14:textId="591A4001" w:rsidR="003B0A83" w:rsidRPr="007311C1" w:rsidRDefault="003B0A83" w:rsidP="008E0CA1">
            <w:pPr>
              <w:pStyle w:val="CABParagraph"/>
              <w:spacing w:before="60" w:after="60"/>
            </w:pPr>
            <w:r w:rsidRPr="007311C1">
              <w:t xml:space="preserve">Regulation of the </w:t>
            </w:r>
            <w:r w:rsidR="008E0CA1" w:rsidRPr="007B3A1C">
              <w:t>AML/CTF Act</w:t>
            </w:r>
          </w:p>
        </w:tc>
      </w:tr>
      <w:tr w:rsidR="003B0A83" w14:paraId="7E167C05" w14:textId="77777777" w:rsidTr="008E0CA1">
        <w:tc>
          <w:tcPr>
            <w:tcW w:w="1843" w:type="dxa"/>
          </w:tcPr>
          <w:p w14:paraId="37FC3CD2" w14:textId="77777777" w:rsidR="003B0A83" w:rsidRPr="007311C1" w:rsidRDefault="003B0A83" w:rsidP="008E0CA1">
            <w:pPr>
              <w:pStyle w:val="TablePlainParagraph"/>
            </w:pPr>
            <w:r w:rsidRPr="007311C1">
              <w:t>AFP</w:t>
            </w:r>
          </w:p>
        </w:tc>
        <w:tc>
          <w:tcPr>
            <w:tcW w:w="6379" w:type="dxa"/>
          </w:tcPr>
          <w:p w14:paraId="62B6137D" w14:textId="77777777" w:rsidR="003B0A83" w:rsidRPr="007311C1" w:rsidRDefault="003B0A83" w:rsidP="008E0CA1">
            <w:pPr>
              <w:pStyle w:val="CABParagraph"/>
              <w:spacing w:before="60" w:after="60"/>
            </w:pPr>
            <w:r w:rsidRPr="007311C1">
              <w:t xml:space="preserve">Regulation of the </w:t>
            </w:r>
            <w:r w:rsidRPr="007311C1">
              <w:rPr>
                <w:i/>
              </w:rPr>
              <w:t>Crimes Act 1914</w:t>
            </w:r>
          </w:p>
        </w:tc>
      </w:tr>
      <w:tr w:rsidR="003B0A83" w14:paraId="3C8D981D" w14:textId="77777777" w:rsidTr="008E0CA1">
        <w:tc>
          <w:tcPr>
            <w:tcW w:w="1843" w:type="dxa"/>
          </w:tcPr>
          <w:p w14:paraId="3FA0D54F" w14:textId="77777777" w:rsidR="003B0A83" w:rsidRPr="007311C1" w:rsidRDefault="003B0A83" w:rsidP="008E0CA1">
            <w:pPr>
              <w:pStyle w:val="TablePlainParagraph"/>
            </w:pPr>
            <w:r w:rsidRPr="007311C1">
              <w:t>DFAT</w:t>
            </w:r>
          </w:p>
        </w:tc>
        <w:tc>
          <w:tcPr>
            <w:tcW w:w="6379" w:type="dxa"/>
          </w:tcPr>
          <w:p w14:paraId="18241D88" w14:textId="77777777" w:rsidR="003B0A83" w:rsidRPr="007311C1" w:rsidRDefault="003B0A83" w:rsidP="008E0CA1">
            <w:pPr>
              <w:pStyle w:val="CABParagraph"/>
              <w:spacing w:before="60" w:after="60"/>
            </w:pPr>
            <w:r w:rsidRPr="007311C1">
              <w:t xml:space="preserve">Regulation of the </w:t>
            </w:r>
            <w:r w:rsidRPr="007311C1">
              <w:rPr>
                <w:i/>
              </w:rPr>
              <w:t>Autonomous Sanctions Act 2011</w:t>
            </w:r>
          </w:p>
        </w:tc>
      </w:tr>
      <w:tr w:rsidR="003B0A83" w14:paraId="639BC166" w14:textId="77777777" w:rsidTr="008E0CA1">
        <w:tc>
          <w:tcPr>
            <w:tcW w:w="1843" w:type="dxa"/>
          </w:tcPr>
          <w:p w14:paraId="1F1162BC" w14:textId="77777777" w:rsidR="003B0A83" w:rsidRPr="007311C1" w:rsidRDefault="003B0A83" w:rsidP="008E0CA1">
            <w:pPr>
              <w:pStyle w:val="TablePlainParagraph"/>
            </w:pPr>
            <w:r w:rsidRPr="007311C1">
              <w:t>Treasury</w:t>
            </w:r>
          </w:p>
        </w:tc>
        <w:tc>
          <w:tcPr>
            <w:tcW w:w="6379" w:type="dxa"/>
          </w:tcPr>
          <w:p w14:paraId="790583BC" w14:textId="77777777" w:rsidR="003B0A83" w:rsidRPr="007311C1" w:rsidRDefault="003B0A83" w:rsidP="008E0CA1">
            <w:pPr>
              <w:pStyle w:val="CABParagraph"/>
              <w:spacing w:before="60" w:after="60"/>
            </w:pPr>
            <w:r w:rsidRPr="007311C1">
              <w:t xml:space="preserve">Regulation of the </w:t>
            </w:r>
            <w:r w:rsidRPr="007311C1">
              <w:rPr>
                <w:i/>
              </w:rPr>
              <w:t xml:space="preserve">Foreign Acquisitions and Takeovers Act 1975 </w:t>
            </w:r>
            <w:r w:rsidRPr="007311C1">
              <w:t>and associated subordinate legislation.</w:t>
            </w:r>
          </w:p>
        </w:tc>
      </w:tr>
      <w:tr w:rsidR="003B0A83" w14:paraId="2D61B151" w14:textId="77777777" w:rsidTr="008E0CA1">
        <w:tc>
          <w:tcPr>
            <w:tcW w:w="1843" w:type="dxa"/>
          </w:tcPr>
          <w:p w14:paraId="69575ADE" w14:textId="77777777" w:rsidR="003B0A83" w:rsidRPr="007311C1" w:rsidRDefault="003B0A83" w:rsidP="008E0CA1">
            <w:pPr>
              <w:pStyle w:val="TablePlainParagraph"/>
            </w:pPr>
            <w:r w:rsidRPr="007311C1">
              <w:t>CDPP</w:t>
            </w:r>
          </w:p>
        </w:tc>
        <w:tc>
          <w:tcPr>
            <w:tcW w:w="6379" w:type="dxa"/>
          </w:tcPr>
          <w:p w14:paraId="5745D74E" w14:textId="77777777" w:rsidR="003B0A83" w:rsidRPr="007311C1" w:rsidRDefault="003B0A83" w:rsidP="008E0CA1">
            <w:pPr>
              <w:pStyle w:val="CABParagraph"/>
              <w:spacing w:before="60" w:after="60"/>
            </w:pPr>
            <w:r w:rsidRPr="007311C1">
              <w:t>TBD</w:t>
            </w:r>
          </w:p>
        </w:tc>
      </w:tr>
      <w:tr w:rsidR="003B0A83" w14:paraId="58825E53" w14:textId="77777777" w:rsidTr="008E0CA1">
        <w:tc>
          <w:tcPr>
            <w:tcW w:w="1843" w:type="dxa"/>
          </w:tcPr>
          <w:p w14:paraId="17DC2C12" w14:textId="77777777" w:rsidR="003B0A83" w:rsidRPr="007311C1" w:rsidRDefault="003B0A83" w:rsidP="008E0CA1">
            <w:pPr>
              <w:pStyle w:val="TablePlainParagraph"/>
            </w:pPr>
            <w:r w:rsidRPr="007311C1">
              <w:t>National Security agencies</w:t>
            </w:r>
          </w:p>
        </w:tc>
        <w:tc>
          <w:tcPr>
            <w:tcW w:w="6379" w:type="dxa"/>
          </w:tcPr>
          <w:p w14:paraId="7493787E" w14:textId="77777777" w:rsidR="003B0A83" w:rsidRPr="007311C1" w:rsidRDefault="003B0A83" w:rsidP="008E0CA1">
            <w:pPr>
              <w:pStyle w:val="CABParagraph"/>
              <w:spacing w:before="60" w:after="60"/>
            </w:pPr>
            <w:r w:rsidRPr="007311C1">
              <w:t>TBD</w:t>
            </w:r>
          </w:p>
        </w:tc>
      </w:tr>
    </w:tbl>
    <w:p w14:paraId="5EE7C7BE" w14:textId="364E0D02" w:rsidR="001F6833" w:rsidRDefault="001F6833" w:rsidP="008E0CA1">
      <w:pPr>
        <w:pStyle w:val="NumberLevel1"/>
        <w:keepNext/>
        <w:keepLines/>
        <w:spacing w:before="100" w:after="100"/>
      </w:pPr>
      <w:r>
        <w:t>Activity 7 will involve the collection and use of personal information about access applicants, and the disclosure of personal information about beneficial owners.</w:t>
      </w:r>
    </w:p>
    <w:p w14:paraId="1E26DDC8" w14:textId="7E84AB91" w:rsidR="000B11BB" w:rsidRDefault="000B11BB" w:rsidP="001B3051">
      <w:pPr>
        <w:pStyle w:val="Heading2"/>
        <w:keepNext/>
        <w:keepLines/>
      </w:pPr>
      <w:bookmarkStart w:id="93" w:name="_Toc160444099"/>
      <w:bookmarkStart w:id="94" w:name="_Toc168942751"/>
      <w:r>
        <w:t xml:space="preserve">Activity </w:t>
      </w:r>
      <w:r w:rsidR="0099005F">
        <w:t>8</w:t>
      </w:r>
      <w:r>
        <w:t xml:space="preserve"> – Enforcement activities by ASIC</w:t>
      </w:r>
      <w:bookmarkEnd w:id="93"/>
      <w:bookmarkEnd w:id="94"/>
    </w:p>
    <w:p w14:paraId="5C4ADCB0" w14:textId="42396F73" w:rsidR="001F6833" w:rsidRPr="000B11BB" w:rsidRDefault="001F6833" w:rsidP="008E0CA1">
      <w:pPr>
        <w:pStyle w:val="NumberLevel1"/>
        <w:keepNext/>
        <w:keepLines/>
        <w:spacing w:before="100" w:after="100"/>
      </w:pPr>
      <w:r>
        <w:t>The new legislation will implement a</w:t>
      </w:r>
      <w:r w:rsidR="000B11BB" w:rsidRPr="000B11BB">
        <w:t xml:space="preserve"> penalty regime that applies to both in-scope companies and </w:t>
      </w:r>
      <w:r w:rsidR="000B11BB">
        <w:t xml:space="preserve">beneficial owners who </w:t>
      </w:r>
      <w:r w:rsidR="000B11BB" w:rsidRPr="000B11BB">
        <w:t>fail to comply</w:t>
      </w:r>
      <w:r w:rsidR="000B11BB">
        <w:t xml:space="preserve"> with their obligations</w:t>
      </w:r>
      <w:r w:rsidR="000B11BB" w:rsidRPr="000B11BB">
        <w:t>.</w:t>
      </w:r>
      <w:r>
        <w:t xml:space="preserve"> </w:t>
      </w:r>
      <w:r w:rsidR="004D6474">
        <w:t xml:space="preserve">This regime encompasses criminal and civil penalties and ASIC may also make administrative orders. </w:t>
      </w:r>
    </w:p>
    <w:p w14:paraId="16FAA7DB" w14:textId="6F96E3A7" w:rsidR="006B2557" w:rsidRDefault="006B2557" w:rsidP="008E0CA1">
      <w:pPr>
        <w:pStyle w:val="NumberLevel1"/>
        <w:spacing w:before="100" w:after="100"/>
        <w:rPr>
          <w:rFonts w:eastAsia="Calibri Light"/>
        </w:rPr>
      </w:pPr>
      <w:r>
        <w:rPr>
          <w:rFonts w:eastAsia="Calibri Light"/>
        </w:rPr>
        <w:t>As the regulator charged with auditing compliance with the beneficial ownership disclosure requirements, ASIC will have access to a range of investigative and enforcement powers, including civil penalties, infringement notices, and requests for information. Although not yet finally determined, it is expected that the range of penalties available will align with penalties for failures to respond to notices under ss</w:t>
      </w:r>
      <w:r w:rsidR="001F6833">
        <w:rPr>
          <w:rFonts w:eastAsia="Calibri Light"/>
        </w:rPr>
        <w:t> </w:t>
      </w:r>
      <w:r>
        <w:rPr>
          <w:rFonts w:eastAsia="Calibri Light"/>
        </w:rPr>
        <w:t xml:space="preserve">671B and 672B </w:t>
      </w:r>
      <w:r w:rsidR="001F6833">
        <w:rPr>
          <w:rFonts w:eastAsia="Calibri Light"/>
        </w:rPr>
        <w:t xml:space="preserve">of the </w:t>
      </w:r>
      <w:r>
        <w:rPr>
          <w:rFonts w:eastAsia="Calibri Light"/>
        </w:rPr>
        <w:t xml:space="preserve">Corporations Act. </w:t>
      </w:r>
    </w:p>
    <w:p w14:paraId="170AC14C" w14:textId="5FD21926" w:rsidR="006B2557" w:rsidRDefault="006B2557" w:rsidP="008E0CA1">
      <w:pPr>
        <w:pStyle w:val="NumberLevel1"/>
        <w:spacing w:before="100" w:after="100"/>
      </w:pPr>
      <w:r w:rsidRPr="006B2557">
        <w:t xml:space="preserve">ASIC will also </w:t>
      </w:r>
      <w:r w:rsidR="001F6833">
        <w:t>have</w:t>
      </w:r>
      <w:r w:rsidRPr="006B2557">
        <w:t xml:space="preserve"> new powers to issue ‘freezing’ or ‘restrictions’ notices either following an investigation arising from a report to ASIC from an in-scope company under the notification regime, or of its own volition. These powers would be modelled on similar powers currently granted to ASIC under ss 72 and 73 ASIC Act. </w:t>
      </w:r>
    </w:p>
    <w:p w14:paraId="24756D0E" w14:textId="2983D3DE" w:rsidR="006B2557" w:rsidRDefault="006B2557" w:rsidP="008E0CA1">
      <w:pPr>
        <w:pStyle w:val="NumberLevel1"/>
        <w:spacing w:before="100" w:after="100"/>
      </w:pPr>
      <w:r w:rsidRPr="006B2557">
        <w:t xml:space="preserve">ASIC’s freezing </w:t>
      </w:r>
      <w:r>
        <w:t>and</w:t>
      </w:r>
      <w:r w:rsidRPr="006B2557">
        <w:t xml:space="preserve"> restriction powers are intended to be an interim procedure to incentivise compliance from beneficial owners</w:t>
      </w:r>
      <w:r>
        <w:t>.</w:t>
      </w:r>
      <w:r w:rsidRPr="006B2557">
        <w:t xml:space="preserve"> </w:t>
      </w:r>
      <w:r>
        <w:t>F</w:t>
      </w:r>
      <w:r w:rsidRPr="006B2557">
        <w:t xml:space="preserve">inal determinations regarding the rights of individuals </w:t>
      </w:r>
      <w:r>
        <w:t>and</w:t>
      </w:r>
      <w:r w:rsidRPr="006B2557">
        <w:t xml:space="preserve"> shareholders will be made by a court. </w:t>
      </w:r>
    </w:p>
    <w:p w14:paraId="20F53FD1" w14:textId="4F4DDB7B" w:rsidR="000B11BB" w:rsidRPr="000B11BB" w:rsidRDefault="000B11BB" w:rsidP="008E0CA1">
      <w:pPr>
        <w:pStyle w:val="NumberLevel1"/>
        <w:spacing w:before="100" w:after="100"/>
      </w:pPr>
      <w:r>
        <w:t xml:space="preserve">It is envisioned that compliance action </w:t>
      </w:r>
      <w:r w:rsidR="003777CA">
        <w:t xml:space="preserve">resulting in the application of a restrictions notice </w:t>
      </w:r>
      <w:r>
        <w:t xml:space="preserve">by ASIC will involve four stages, </w:t>
      </w:r>
      <w:r w:rsidR="006B2557">
        <w:t xml:space="preserve">some of which will be conducted by an in-scope company prior to notify ASIC, </w:t>
      </w:r>
      <w:r>
        <w:t xml:space="preserve">as </w:t>
      </w:r>
      <w:r w:rsidR="000D0737">
        <w:t>set out in the table below</w:t>
      </w:r>
      <w:r>
        <w:t>:</w:t>
      </w:r>
    </w:p>
    <w:tbl>
      <w:tblPr>
        <w:tblStyle w:val="TableGrid"/>
        <w:tblW w:w="5105"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762"/>
        <w:gridCol w:w="2075"/>
        <w:gridCol w:w="5556"/>
      </w:tblGrid>
      <w:tr w:rsidR="00776AE8" w:rsidRPr="00121519" w14:paraId="2A706C06" w14:textId="77777777" w:rsidTr="008E0CA1">
        <w:trPr>
          <w:cantSplit/>
          <w:tblHeader/>
        </w:trPr>
        <w:tc>
          <w:tcPr>
            <w:tcW w:w="454" w:type="pct"/>
            <w:shd w:val="clear" w:color="auto" w:fill="C4DDEA"/>
            <w:vAlign w:val="top"/>
          </w:tcPr>
          <w:p w14:paraId="0DA329CC" w14:textId="218C4978" w:rsidR="00776AE8" w:rsidRPr="00121519" w:rsidRDefault="00776AE8" w:rsidP="00776AE8">
            <w:pPr>
              <w:pStyle w:val="TableHeading2"/>
              <w:ind w:left="176" w:hanging="176"/>
            </w:pPr>
            <w:r>
              <w:t>Stage</w:t>
            </w:r>
          </w:p>
        </w:tc>
        <w:tc>
          <w:tcPr>
            <w:tcW w:w="1236" w:type="pct"/>
            <w:shd w:val="clear" w:color="auto" w:fill="C4DDEA"/>
          </w:tcPr>
          <w:p w14:paraId="6BECD15D" w14:textId="0E22B646" w:rsidR="00776AE8" w:rsidRDefault="00776AE8" w:rsidP="00776AE8">
            <w:pPr>
              <w:pStyle w:val="TableHeading2"/>
            </w:pPr>
            <w:r>
              <w:t>Compliance action</w:t>
            </w:r>
          </w:p>
        </w:tc>
        <w:tc>
          <w:tcPr>
            <w:tcW w:w="3310" w:type="pct"/>
            <w:shd w:val="clear" w:color="auto" w:fill="C4DDEA"/>
            <w:vAlign w:val="top"/>
          </w:tcPr>
          <w:p w14:paraId="47873E5E" w14:textId="2DF52989" w:rsidR="00776AE8" w:rsidRPr="00121519" w:rsidRDefault="00776AE8" w:rsidP="00776AE8">
            <w:pPr>
              <w:pStyle w:val="TableHeading2"/>
            </w:pPr>
            <w:r>
              <w:t>Description of compliance action</w:t>
            </w:r>
          </w:p>
        </w:tc>
      </w:tr>
      <w:tr w:rsidR="00776AE8" w14:paraId="275B0927" w14:textId="77777777" w:rsidTr="008E0CA1">
        <w:tc>
          <w:tcPr>
            <w:tcW w:w="454" w:type="pct"/>
          </w:tcPr>
          <w:p w14:paraId="35ECEDC9" w14:textId="2FC00D12" w:rsidR="00776AE8" w:rsidRDefault="00776AE8" w:rsidP="00804008">
            <w:pPr>
              <w:pStyle w:val="TablePlainParagraph"/>
              <w:numPr>
                <w:ilvl w:val="0"/>
                <w:numId w:val="37"/>
              </w:numPr>
              <w:rPr>
                <w:b/>
              </w:rPr>
            </w:pPr>
          </w:p>
        </w:tc>
        <w:tc>
          <w:tcPr>
            <w:tcW w:w="1236" w:type="pct"/>
          </w:tcPr>
          <w:p w14:paraId="75ACE7EA" w14:textId="0D3D4F9F" w:rsidR="00776AE8" w:rsidRPr="000D0737" w:rsidRDefault="00776AE8" w:rsidP="00776AE8">
            <w:pPr>
              <w:pStyle w:val="CABParagraph"/>
              <w:spacing w:before="0"/>
              <w:rPr>
                <w:rFonts w:cs="Arial"/>
                <w:b/>
              </w:rPr>
            </w:pPr>
            <w:r w:rsidRPr="000D0737">
              <w:rPr>
                <w:rFonts w:cs="Arial"/>
                <w:b/>
              </w:rPr>
              <w:t xml:space="preserve">Initial </w:t>
            </w:r>
            <w:r w:rsidR="00DF747E">
              <w:rPr>
                <w:rFonts w:cs="Arial"/>
                <w:b/>
              </w:rPr>
              <w:t>request</w:t>
            </w:r>
          </w:p>
        </w:tc>
        <w:tc>
          <w:tcPr>
            <w:tcW w:w="3310" w:type="pct"/>
          </w:tcPr>
          <w:p w14:paraId="0FF439D3" w14:textId="2482831B" w:rsidR="00776AE8" w:rsidRDefault="000D0737" w:rsidP="000D0737">
            <w:pPr>
              <w:pStyle w:val="TablePlainParagraph"/>
            </w:pPr>
            <w:r w:rsidRPr="000B11BB">
              <w:t xml:space="preserve">An in-scope company may issue a </w:t>
            </w:r>
            <w:r w:rsidR="004F65EA">
              <w:t>request</w:t>
            </w:r>
            <w:r w:rsidR="00DF747E">
              <w:t xml:space="preserve"> for information</w:t>
            </w:r>
            <w:r w:rsidR="004F65EA" w:rsidRPr="000B11BB">
              <w:t xml:space="preserve"> </w:t>
            </w:r>
            <w:r w:rsidRPr="000B11BB">
              <w:t xml:space="preserve">to a person it suspects to be a beneficial owner. The </w:t>
            </w:r>
            <w:r w:rsidR="00347BDA">
              <w:t>request</w:t>
            </w:r>
            <w:r w:rsidR="00347BDA" w:rsidRPr="000B11BB">
              <w:t xml:space="preserve"> </w:t>
            </w:r>
            <w:r w:rsidRPr="000B11BB">
              <w:t>will request that the person provides beneficial ownership information.</w:t>
            </w:r>
          </w:p>
        </w:tc>
      </w:tr>
      <w:tr w:rsidR="00776AE8" w14:paraId="10B45A73" w14:textId="77777777" w:rsidTr="008E0CA1">
        <w:tc>
          <w:tcPr>
            <w:tcW w:w="454" w:type="pct"/>
          </w:tcPr>
          <w:p w14:paraId="64650107" w14:textId="77777777" w:rsidR="00776AE8" w:rsidRDefault="00776AE8" w:rsidP="00804008">
            <w:pPr>
              <w:pStyle w:val="TablePlainParagraph"/>
              <w:numPr>
                <w:ilvl w:val="0"/>
                <w:numId w:val="37"/>
              </w:numPr>
              <w:rPr>
                <w:b/>
              </w:rPr>
            </w:pPr>
          </w:p>
        </w:tc>
        <w:tc>
          <w:tcPr>
            <w:tcW w:w="1236" w:type="pct"/>
          </w:tcPr>
          <w:p w14:paraId="11E54662" w14:textId="4C14562D" w:rsidR="00776AE8" w:rsidRPr="000D0737" w:rsidRDefault="00776AE8" w:rsidP="00776AE8">
            <w:pPr>
              <w:pStyle w:val="CABParagraph"/>
              <w:spacing w:before="0"/>
              <w:rPr>
                <w:rFonts w:cs="Arial"/>
                <w:b/>
              </w:rPr>
            </w:pPr>
            <w:r w:rsidRPr="000D0737">
              <w:rPr>
                <w:rFonts w:cs="Arial"/>
                <w:b/>
              </w:rPr>
              <w:t>Warning notice</w:t>
            </w:r>
          </w:p>
        </w:tc>
        <w:tc>
          <w:tcPr>
            <w:tcW w:w="3310" w:type="pct"/>
          </w:tcPr>
          <w:p w14:paraId="5790EB50" w14:textId="58AC1E83" w:rsidR="00776AE8" w:rsidRDefault="000D0737" w:rsidP="000D0737">
            <w:pPr>
              <w:pStyle w:val="TablePlainParagraph"/>
            </w:pPr>
            <w:r w:rsidRPr="000B11BB">
              <w:t xml:space="preserve">The in-scope company </w:t>
            </w:r>
            <w:r w:rsidR="00BA2F9E">
              <w:t>must</w:t>
            </w:r>
            <w:r w:rsidR="00BA2F9E" w:rsidRPr="000B11BB">
              <w:t xml:space="preserve"> </w:t>
            </w:r>
            <w:r w:rsidRPr="000B11BB">
              <w:t>issue a ‘warning notice’ if</w:t>
            </w:r>
            <w:r w:rsidR="00FE45F7">
              <w:t>,</w:t>
            </w:r>
            <w:r w:rsidRPr="000B11BB">
              <w:t xml:space="preserve"> within 28 days</w:t>
            </w:r>
            <w:r w:rsidR="00FE45F7">
              <w:t>:</w:t>
            </w:r>
          </w:p>
          <w:p w14:paraId="55D9F654" w14:textId="2BA74817" w:rsidR="00FE45F7" w:rsidRDefault="000A24F9" w:rsidP="00804008">
            <w:pPr>
              <w:pStyle w:val="TablePlainParagraph"/>
              <w:numPr>
                <w:ilvl w:val="0"/>
                <w:numId w:val="59"/>
              </w:numPr>
            </w:pPr>
            <w:r>
              <w:t xml:space="preserve">the person has not </w:t>
            </w:r>
            <w:r w:rsidR="00FE45F7">
              <w:t xml:space="preserve">provided a </w:t>
            </w:r>
            <w:proofErr w:type="gramStart"/>
            <w:r w:rsidR="00FE45F7">
              <w:t>response</w:t>
            </w:r>
            <w:proofErr w:type="gramEnd"/>
          </w:p>
          <w:p w14:paraId="661AE3B8" w14:textId="37CB1CC2" w:rsidR="00FE45F7" w:rsidRDefault="000A24F9" w:rsidP="00804008">
            <w:pPr>
              <w:pStyle w:val="TablePlainParagraph"/>
              <w:numPr>
                <w:ilvl w:val="0"/>
                <w:numId w:val="59"/>
              </w:numPr>
            </w:pPr>
            <w:r>
              <w:t xml:space="preserve">the person has </w:t>
            </w:r>
            <w:r w:rsidR="00FE45F7">
              <w:t>provided a</w:t>
            </w:r>
            <w:r>
              <w:t>n</w:t>
            </w:r>
            <w:r w:rsidR="00FE45F7">
              <w:t xml:space="preserve"> </w:t>
            </w:r>
            <w:r>
              <w:t xml:space="preserve">empty or incomplete </w:t>
            </w:r>
            <w:proofErr w:type="gramStart"/>
            <w:r w:rsidR="00FE45F7">
              <w:t>response</w:t>
            </w:r>
            <w:proofErr w:type="gramEnd"/>
            <w:r w:rsidR="00FE45F7">
              <w:t xml:space="preserve"> </w:t>
            </w:r>
          </w:p>
          <w:p w14:paraId="4F91276F" w14:textId="19A8BE2C" w:rsidR="00FE45F7" w:rsidRDefault="000A24F9" w:rsidP="00804008">
            <w:pPr>
              <w:pStyle w:val="TablePlainParagraph"/>
              <w:numPr>
                <w:ilvl w:val="0"/>
                <w:numId w:val="59"/>
              </w:numPr>
            </w:pPr>
            <w:r>
              <w:t xml:space="preserve">the person includes information which the in-scope company believes, on reasonable grounds, is </w:t>
            </w:r>
            <w:proofErr w:type="gramStart"/>
            <w:r>
              <w:t>false</w:t>
            </w:r>
            <w:proofErr w:type="gramEnd"/>
          </w:p>
          <w:p w14:paraId="23C9D31A" w14:textId="7B774F22" w:rsidR="000A24F9" w:rsidRDefault="000A24F9" w:rsidP="00804008">
            <w:pPr>
              <w:pStyle w:val="TablePlainParagraph"/>
              <w:numPr>
                <w:ilvl w:val="0"/>
                <w:numId w:val="59"/>
              </w:numPr>
            </w:pPr>
            <w:r>
              <w:t>the in-scope company is unable to verify the identity of the person.</w:t>
            </w:r>
          </w:p>
        </w:tc>
      </w:tr>
      <w:tr w:rsidR="00776AE8" w14:paraId="1BC98955" w14:textId="77777777" w:rsidTr="008E0CA1">
        <w:tc>
          <w:tcPr>
            <w:tcW w:w="454" w:type="pct"/>
          </w:tcPr>
          <w:p w14:paraId="708B0FCE" w14:textId="77777777" w:rsidR="00776AE8" w:rsidRDefault="00776AE8" w:rsidP="00804008">
            <w:pPr>
              <w:pStyle w:val="TablePlainParagraph"/>
              <w:numPr>
                <w:ilvl w:val="0"/>
                <w:numId w:val="37"/>
              </w:numPr>
              <w:rPr>
                <w:b/>
              </w:rPr>
            </w:pPr>
          </w:p>
        </w:tc>
        <w:tc>
          <w:tcPr>
            <w:tcW w:w="1236" w:type="pct"/>
          </w:tcPr>
          <w:p w14:paraId="21EA5590" w14:textId="1E58DC9B" w:rsidR="00776AE8" w:rsidRPr="000D0737" w:rsidRDefault="00776AE8" w:rsidP="00776AE8">
            <w:pPr>
              <w:pStyle w:val="CABParagraph"/>
              <w:spacing w:before="0"/>
              <w:rPr>
                <w:rFonts w:cs="Arial"/>
                <w:b/>
              </w:rPr>
            </w:pPr>
            <w:r w:rsidRPr="000D0737">
              <w:rPr>
                <w:rFonts w:cs="Arial"/>
                <w:b/>
              </w:rPr>
              <w:t>Report to regulator</w:t>
            </w:r>
          </w:p>
        </w:tc>
        <w:tc>
          <w:tcPr>
            <w:tcW w:w="3310" w:type="pct"/>
          </w:tcPr>
          <w:p w14:paraId="35E13561" w14:textId="58F1BC55" w:rsidR="00776AE8" w:rsidRDefault="000D0737" w:rsidP="000D0737">
            <w:pPr>
              <w:pStyle w:val="TablePlainParagraph"/>
            </w:pPr>
            <w:r w:rsidRPr="000B11BB">
              <w:t xml:space="preserve">The in-scope company </w:t>
            </w:r>
            <w:r w:rsidR="004F65EA" w:rsidRPr="000B11BB">
              <w:t>m</w:t>
            </w:r>
            <w:r w:rsidR="004F65EA">
              <w:t>ust</w:t>
            </w:r>
            <w:r w:rsidRPr="000B11BB">
              <w:t xml:space="preserve"> report non-compliance by the person to ASIC if the person has not responded to, or adequately addressed, a valid warning notice within 28 days</w:t>
            </w:r>
          </w:p>
        </w:tc>
      </w:tr>
      <w:tr w:rsidR="00776AE8" w14:paraId="467817AF" w14:textId="77777777" w:rsidTr="008E0CA1">
        <w:tc>
          <w:tcPr>
            <w:tcW w:w="454" w:type="pct"/>
          </w:tcPr>
          <w:p w14:paraId="110A8389" w14:textId="77777777" w:rsidR="00776AE8" w:rsidRDefault="00776AE8" w:rsidP="00804008">
            <w:pPr>
              <w:pStyle w:val="TablePlainParagraph"/>
              <w:numPr>
                <w:ilvl w:val="0"/>
                <w:numId w:val="37"/>
              </w:numPr>
              <w:rPr>
                <w:b/>
              </w:rPr>
            </w:pPr>
          </w:p>
        </w:tc>
        <w:tc>
          <w:tcPr>
            <w:tcW w:w="1236" w:type="pct"/>
          </w:tcPr>
          <w:p w14:paraId="5B64D77D" w14:textId="4A6C0FA8" w:rsidR="00776AE8" w:rsidRPr="000D0737" w:rsidRDefault="000D0737" w:rsidP="00776AE8">
            <w:pPr>
              <w:pStyle w:val="CABParagraph"/>
              <w:spacing w:before="0"/>
              <w:rPr>
                <w:rFonts w:cs="Arial"/>
                <w:b/>
              </w:rPr>
            </w:pPr>
            <w:r w:rsidRPr="000D0737">
              <w:rPr>
                <w:rFonts w:cs="Arial"/>
                <w:b/>
              </w:rPr>
              <w:t>Decision by ASIC</w:t>
            </w:r>
          </w:p>
        </w:tc>
        <w:tc>
          <w:tcPr>
            <w:tcW w:w="3310" w:type="pct"/>
          </w:tcPr>
          <w:p w14:paraId="46ABC381" w14:textId="193FE665" w:rsidR="00776AE8" w:rsidRDefault="000D0737" w:rsidP="000D0737">
            <w:pPr>
              <w:pStyle w:val="TablePlainParagraph"/>
            </w:pPr>
            <w:r w:rsidRPr="000B11BB">
              <w:t xml:space="preserve">ASIC may issue a notice to the person, requesting that the person provide </w:t>
            </w:r>
            <w:r>
              <w:t>BOI</w:t>
            </w:r>
            <w:r w:rsidR="00487088">
              <w:t xml:space="preserve"> to the in-scope company</w:t>
            </w:r>
            <w:r w:rsidRPr="000B11BB">
              <w:t xml:space="preserve">. If disclosure obligations are not met, ASIC may impose restrictions on the person. ASIC will be required to consider impacts on third party rights when </w:t>
            </w:r>
            <w:proofErr w:type="gramStart"/>
            <w:r w:rsidRPr="000B11BB">
              <w:t>making a decision</w:t>
            </w:r>
            <w:proofErr w:type="gramEnd"/>
            <w:r w:rsidRPr="000B11BB">
              <w:t xml:space="preserve"> about imposing restrictions.</w:t>
            </w:r>
          </w:p>
        </w:tc>
      </w:tr>
    </w:tbl>
    <w:p w14:paraId="2228EDEB" w14:textId="6C1D5D3C" w:rsidR="001F6833" w:rsidRDefault="006B2557" w:rsidP="008E0CA1">
      <w:pPr>
        <w:pStyle w:val="NumberLevel1"/>
        <w:spacing w:before="100" w:after="100"/>
      </w:pPr>
      <w:r>
        <w:t xml:space="preserve">In addition to </w:t>
      </w:r>
      <w:proofErr w:type="gramStart"/>
      <w:r>
        <w:t>taking action</w:t>
      </w:r>
      <w:proofErr w:type="gramEnd"/>
      <w:r>
        <w:t xml:space="preserve"> when suspected beneficial owners are not complying with their obligations, ASIC will regularly audit compliance by in-scope companies with their obligations under this regime.</w:t>
      </w:r>
      <w:r w:rsidR="001F6833">
        <w:t xml:space="preserve"> Activity 8 will involve:</w:t>
      </w:r>
    </w:p>
    <w:p w14:paraId="0B207FC9" w14:textId="77777777" w:rsidR="001F6833" w:rsidRDefault="001F6833" w:rsidP="008E0CA1">
      <w:pPr>
        <w:pStyle w:val="NumberLevel2"/>
        <w:spacing w:before="100" w:after="100"/>
      </w:pPr>
      <w:r>
        <w:t>the disclosure of personal information by in-scope entities to ASIC</w:t>
      </w:r>
    </w:p>
    <w:p w14:paraId="07D792A1" w14:textId="78D2F8CA" w:rsidR="000B11BB" w:rsidRPr="000B11BB" w:rsidRDefault="001F6833" w:rsidP="008E0CA1">
      <w:pPr>
        <w:pStyle w:val="NumberLevel2"/>
        <w:spacing w:before="100" w:after="100"/>
      </w:pPr>
      <w:r>
        <w:t>the collection, use and disclosure of personal information by ASIC.</w:t>
      </w:r>
    </w:p>
    <w:p w14:paraId="1B2E5FC1" w14:textId="7F227DD2" w:rsidR="00DC298D" w:rsidRDefault="006B2557" w:rsidP="000A52BB">
      <w:pPr>
        <w:pStyle w:val="Heading2"/>
      </w:pPr>
      <w:bookmarkStart w:id="95" w:name="_Toc160444100"/>
      <w:bookmarkStart w:id="96" w:name="_Toc168942752"/>
      <w:r>
        <w:t xml:space="preserve">Activity </w:t>
      </w:r>
      <w:r w:rsidR="0099005F">
        <w:t>9</w:t>
      </w:r>
      <w:r>
        <w:t xml:space="preserve"> – Transition to </w:t>
      </w:r>
      <w:r w:rsidR="00F7349F">
        <w:t xml:space="preserve">Public </w:t>
      </w:r>
      <w:r>
        <w:t>Commonwealth Beneficial Ownership Register</w:t>
      </w:r>
      <w:bookmarkEnd w:id="95"/>
      <w:bookmarkEnd w:id="96"/>
    </w:p>
    <w:p w14:paraId="1A9F2A5F" w14:textId="3D346E9A" w:rsidR="00985BD6" w:rsidRDefault="003B50B5" w:rsidP="008E0CA1">
      <w:pPr>
        <w:pStyle w:val="NumberLevel1"/>
        <w:spacing w:before="100" w:after="100"/>
      </w:pPr>
      <w:r>
        <w:t xml:space="preserve">Under Stage 2, </w:t>
      </w:r>
      <w:r w:rsidR="00985BD6">
        <w:t>a Commonwealth agency</w:t>
      </w:r>
      <w:r w:rsidR="00183CCC">
        <w:t xml:space="preserve"> (the </w:t>
      </w:r>
      <w:r w:rsidR="00183CCC">
        <w:rPr>
          <w:b/>
        </w:rPr>
        <w:t>Responsible Commonwealth Agency</w:t>
      </w:r>
      <w:r w:rsidR="00183CCC">
        <w:t xml:space="preserve">, or </w:t>
      </w:r>
      <w:r w:rsidR="00183CCC">
        <w:rPr>
          <w:b/>
        </w:rPr>
        <w:t>RCA</w:t>
      </w:r>
      <w:r w:rsidR="00183CCC">
        <w:t>)</w:t>
      </w:r>
      <w:r w:rsidR="00985BD6">
        <w:t xml:space="preserve"> will maintain a central PCBOR. While in-scope companies will continue to collect and verify details of beneficial owners, including requests for suppression of their BOI (Activities 1-4), an obligation to maintain a BOR will no longer apply.</w:t>
      </w:r>
    </w:p>
    <w:p w14:paraId="35B25176" w14:textId="5EB30C36" w:rsidR="00985BD6" w:rsidRDefault="003B50B5" w:rsidP="008E0CA1">
      <w:pPr>
        <w:pStyle w:val="NumberLevel1"/>
        <w:spacing w:before="100" w:after="100"/>
      </w:pPr>
      <w:r>
        <w:t>I</w:t>
      </w:r>
      <w:r w:rsidR="00985BD6">
        <w:t>nstead, i</w:t>
      </w:r>
      <w:r>
        <w:t xml:space="preserve">n-scope companies will </w:t>
      </w:r>
      <w:r w:rsidR="00985BD6">
        <w:t>need</w:t>
      </w:r>
      <w:r>
        <w:t xml:space="preserve"> to</w:t>
      </w:r>
      <w:r w:rsidR="00985BD6">
        <w:t>:</w:t>
      </w:r>
    </w:p>
    <w:p w14:paraId="7F9C2F20" w14:textId="13577EAC" w:rsidR="003B50B5" w:rsidRDefault="00985BD6" w:rsidP="008E0CA1">
      <w:pPr>
        <w:pStyle w:val="NumberLevel2"/>
        <w:spacing w:before="100" w:after="100"/>
      </w:pPr>
      <w:r>
        <w:t xml:space="preserve">transfer </w:t>
      </w:r>
      <w:r w:rsidR="003B50B5">
        <w:t>the information contained in their</w:t>
      </w:r>
      <w:r>
        <w:t xml:space="preserve"> existing</w:t>
      </w:r>
      <w:r w:rsidR="003B50B5">
        <w:t xml:space="preserve"> individual BORs into the </w:t>
      </w:r>
      <w:r>
        <w:t>P</w:t>
      </w:r>
      <w:r w:rsidR="003B50B5">
        <w:t>CBOR</w:t>
      </w:r>
    </w:p>
    <w:p w14:paraId="6A63344E" w14:textId="6824381E" w:rsidR="00985BD6" w:rsidRDefault="00985BD6" w:rsidP="008E0CA1">
      <w:pPr>
        <w:pStyle w:val="NumberLevel2"/>
        <w:spacing w:before="100" w:after="100"/>
      </w:pPr>
      <w:r>
        <w:t>update and maintain information about beneficial owners in the PCBOR, instead of in their individual BOR (</w:t>
      </w:r>
      <w:r w:rsidRPr="00C8722C">
        <w:rPr>
          <w:b/>
        </w:rPr>
        <w:t>Activity 6</w:t>
      </w:r>
      <w:r>
        <w:t>).</w:t>
      </w:r>
    </w:p>
    <w:p w14:paraId="6BDC9FCA" w14:textId="79EB04FA" w:rsidR="008B7E3A" w:rsidRDefault="008B7E3A" w:rsidP="008E0CA1">
      <w:pPr>
        <w:pStyle w:val="NumberLevel1"/>
        <w:numPr>
          <w:ilvl w:val="0"/>
          <w:numId w:val="0"/>
        </w:numPr>
        <w:spacing w:before="0" w:after="0"/>
        <w:ind w:left="-284"/>
        <w:jc w:val="center"/>
      </w:pPr>
      <w:r>
        <w:rPr>
          <w:noProof/>
        </w:rPr>
        <w:drawing>
          <wp:inline distT="0" distB="0" distL="0" distR="0" wp14:anchorId="638A3286" wp14:editId="3792985E">
            <wp:extent cx="5447399" cy="3053724"/>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60862" cy="3061271"/>
                    </a:xfrm>
                    <a:prstGeom prst="rect">
                      <a:avLst/>
                    </a:prstGeom>
                  </pic:spPr>
                </pic:pic>
              </a:graphicData>
            </a:graphic>
          </wp:inline>
        </w:drawing>
      </w:r>
    </w:p>
    <w:p w14:paraId="482AE39B" w14:textId="7B239A18" w:rsidR="008B7E3A" w:rsidRDefault="008B7E3A" w:rsidP="00C8722C">
      <w:pPr>
        <w:pStyle w:val="Quotation1"/>
      </w:pPr>
      <w:r>
        <w:t>Image 2: Information flows and verification</w:t>
      </w:r>
    </w:p>
    <w:p w14:paraId="4E5C4D7F" w14:textId="77777777" w:rsidR="008E0CA1" w:rsidRDefault="008E0CA1" w:rsidP="008E0CA1">
      <w:pPr>
        <w:pStyle w:val="NumberLevel1"/>
      </w:pPr>
      <w:r>
        <w:t>The process by which this will occur is not yet established (</w:t>
      </w:r>
      <w:r w:rsidRPr="00C8722C">
        <w:rPr>
          <w:b/>
        </w:rPr>
        <w:t>Image 2</w:t>
      </w:r>
      <w:r>
        <w:t xml:space="preserve">). However, </w:t>
      </w:r>
      <w:r w:rsidRPr="00C8722C">
        <w:t xml:space="preserve">records or registers maintained by </w:t>
      </w:r>
      <w:r>
        <w:t>in-scope companies</w:t>
      </w:r>
      <w:r w:rsidRPr="00C8722C">
        <w:t xml:space="preserve"> could be integrated</w:t>
      </w:r>
      <w:r>
        <w:t xml:space="preserve"> </w:t>
      </w:r>
      <w:r w:rsidRPr="00C8722C">
        <w:t xml:space="preserve">into the new register incrementally, to check consistency, reliability, and functionality of the new register. </w:t>
      </w:r>
    </w:p>
    <w:p w14:paraId="4615CDDD" w14:textId="6E5C5A5A" w:rsidR="008E0CA1" w:rsidRDefault="008E0CA1" w:rsidP="008E0CA1">
      <w:pPr>
        <w:pStyle w:val="NumberLevel1"/>
      </w:pPr>
      <w:r>
        <w:t>Members of the public will no longer make BOI access requests to an in-scope company (</w:t>
      </w:r>
      <w:r w:rsidRPr="00C8722C">
        <w:rPr>
          <w:b/>
        </w:rPr>
        <w:t>Activity 7</w:t>
      </w:r>
      <w:r>
        <w:t>). Instead, a</w:t>
      </w:r>
      <w:r w:rsidRPr="003B50B5">
        <w:t xml:space="preserve">ny member of the public </w:t>
      </w:r>
      <w:r>
        <w:t>may</w:t>
      </w:r>
      <w:r w:rsidR="00360682">
        <w:t xml:space="preserve"> apply to the RCA for </w:t>
      </w:r>
      <w:r w:rsidRPr="003B50B5">
        <w:t xml:space="preserve">access </w:t>
      </w:r>
      <w:r w:rsidR="00360682">
        <w:t xml:space="preserve">to </w:t>
      </w:r>
      <w:r>
        <w:t xml:space="preserve">the PCBOR. Unless suppression applies, </w:t>
      </w:r>
      <w:r w:rsidR="00ED5800">
        <w:t xml:space="preserve">members of the public may access </w:t>
      </w:r>
      <w:r>
        <w:t xml:space="preserve">all BOI </w:t>
      </w:r>
      <w:r w:rsidRPr="003B50B5">
        <w:t>except for a beneficial owner’s full date of birth</w:t>
      </w:r>
      <w:r>
        <w:t>,</w:t>
      </w:r>
      <w:r w:rsidRPr="003B50B5">
        <w:t xml:space="preserve"> residential </w:t>
      </w:r>
      <w:proofErr w:type="gramStart"/>
      <w:r w:rsidRPr="003B50B5">
        <w:t>address</w:t>
      </w:r>
      <w:proofErr w:type="gramEnd"/>
      <w:r>
        <w:t xml:space="preserve"> and electronic address</w:t>
      </w:r>
      <w:r w:rsidRPr="00985BD6">
        <w:t xml:space="preserve">. </w:t>
      </w:r>
      <w:r>
        <w:t>Prescribed r</w:t>
      </w:r>
      <w:r w:rsidRPr="00985BD6">
        <w:t xml:space="preserve">egulators and law enforcement agencies </w:t>
      </w:r>
      <w:r>
        <w:t>(summarised in the table at [</w:t>
      </w:r>
      <w:r>
        <w:fldChar w:fldCharType="begin"/>
      </w:r>
      <w:r>
        <w:instrText xml:space="preserve"> REF _Ref163382839 \r \h </w:instrText>
      </w:r>
      <w:r>
        <w:fldChar w:fldCharType="separate"/>
      </w:r>
      <w:r w:rsidR="00C14F0B">
        <w:t>166</w:t>
      </w:r>
      <w:r>
        <w:fldChar w:fldCharType="end"/>
      </w:r>
      <w:r>
        <w:t xml:space="preserve">] above) </w:t>
      </w:r>
      <w:r w:rsidRPr="00985BD6">
        <w:t>may separately apply for access to the full BOI.</w:t>
      </w:r>
    </w:p>
    <w:p w14:paraId="5D6997CE" w14:textId="2DC03CBC" w:rsidR="00985BD6" w:rsidRDefault="003B50B5" w:rsidP="00C8722C">
      <w:pPr>
        <w:pStyle w:val="NumberLevel1"/>
      </w:pPr>
      <w:r w:rsidRPr="00985BD6">
        <w:t>BOI will continue to be restricted as necessary for individuals who are included in the suppression regime. It is still be</w:t>
      </w:r>
      <w:r w:rsidR="00CD0F26">
        <w:t>ing</w:t>
      </w:r>
      <w:r w:rsidRPr="00985BD6">
        <w:t xml:space="preserve"> considered whether beneficial owners who have successfully applied for suppression under Stage 1 will be required to re-apply for suppression in Stage 2.</w:t>
      </w:r>
    </w:p>
    <w:p w14:paraId="03CDB73B" w14:textId="77777777" w:rsidR="00960E60" w:rsidRDefault="00960E60">
      <w:pPr>
        <w:rPr>
          <w:b/>
        </w:rPr>
        <w:sectPr w:rsidR="00960E60" w:rsidSect="003F53CD">
          <w:pgSz w:w="11906" w:h="16838"/>
          <w:pgMar w:top="1134" w:right="1418" w:bottom="1701" w:left="2268" w:header="708" w:footer="708" w:gutter="0"/>
          <w:cols w:space="708"/>
          <w:docGrid w:linePitch="360"/>
        </w:sectPr>
      </w:pPr>
    </w:p>
    <w:p w14:paraId="05FAFBAF" w14:textId="5B0AE360" w:rsidR="00960E60" w:rsidRDefault="00960E60" w:rsidP="00960E60">
      <w:pPr>
        <w:pStyle w:val="Heading1"/>
      </w:pPr>
      <w:bookmarkStart w:id="97" w:name="_Part_3_–"/>
      <w:bookmarkStart w:id="98" w:name="_Toc160444101"/>
      <w:bookmarkStart w:id="99" w:name="_Toc168942753"/>
      <w:bookmarkEnd w:id="97"/>
      <w:r>
        <w:t>Part 3 – Privacy analysis</w:t>
      </w:r>
      <w:bookmarkEnd w:id="98"/>
      <w:bookmarkEnd w:id="99"/>
    </w:p>
    <w:p w14:paraId="1C0732C6" w14:textId="2D397A28" w:rsidR="007E2E00" w:rsidRDefault="007E2E00" w:rsidP="007E2E00">
      <w:pPr>
        <w:pStyle w:val="NumberLevel1"/>
      </w:pPr>
      <w:r w:rsidRPr="0001465C">
        <w:t xml:space="preserve">This part of the PIA examines privacy issues raised by </w:t>
      </w:r>
      <w:r>
        <w:t>the BO Policy.</w:t>
      </w:r>
      <w:r w:rsidRPr="00136BF2">
        <w:t xml:space="preserve"> </w:t>
      </w:r>
      <w:r w:rsidR="00774E9C">
        <w:t>It</w:t>
      </w:r>
      <w:r>
        <w:t xml:space="preserve"> examines:</w:t>
      </w:r>
    </w:p>
    <w:p w14:paraId="5B33873B" w14:textId="77777777" w:rsidR="007E2E00" w:rsidRDefault="007E2E00" w:rsidP="007E2E00">
      <w:pPr>
        <w:pStyle w:val="NumberLevel2"/>
      </w:pPr>
      <w:r>
        <w:t xml:space="preserve">the potential privacy </w:t>
      </w:r>
      <w:r w:rsidRPr="00B00C55">
        <w:t>impacts</w:t>
      </w:r>
      <w:r>
        <w:t xml:space="preserve"> and any harm that might be </w:t>
      </w:r>
      <w:proofErr w:type="gramStart"/>
      <w:r>
        <w:t>caused</w:t>
      </w:r>
      <w:proofErr w:type="gramEnd"/>
    </w:p>
    <w:p w14:paraId="4BC1CC24" w14:textId="4D070853" w:rsidR="007E2E00" w:rsidRDefault="007E2E00" w:rsidP="007E2E00">
      <w:pPr>
        <w:pStyle w:val="NumberLevel2"/>
      </w:pPr>
      <w:r>
        <w:t>recommendations to eradicate, mitigate or minimise these impacts.</w:t>
      </w:r>
    </w:p>
    <w:p w14:paraId="20D9F8D0" w14:textId="77777777" w:rsidR="001F5464" w:rsidRDefault="001F5464" w:rsidP="000A52BB">
      <w:pPr>
        <w:pStyle w:val="Heading2"/>
      </w:pPr>
      <w:bookmarkStart w:id="100" w:name="_Toc168942754"/>
      <w:r>
        <w:t>Obligations under the International Covenant on Civil and Political Rights</w:t>
      </w:r>
      <w:bookmarkEnd w:id="100"/>
    </w:p>
    <w:p w14:paraId="6AF145B5" w14:textId="2DD9D8B7" w:rsidR="001F5464" w:rsidRDefault="00ED5800" w:rsidP="00B0403F">
      <w:pPr>
        <w:pStyle w:val="NumberLevel1"/>
      </w:pPr>
      <w:bookmarkStart w:id="101" w:name="_Hlk168634020"/>
      <w:r>
        <w:t xml:space="preserve">As set out above, </w:t>
      </w:r>
      <w:r w:rsidR="001F5464">
        <w:t xml:space="preserve">Australia is a signatory to the </w:t>
      </w:r>
      <w:r w:rsidR="00736B86">
        <w:t>ICCPR</w:t>
      </w:r>
      <w:r w:rsidR="001F5464">
        <w:t xml:space="preserve"> </w:t>
      </w:r>
      <w:r w:rsidR="001F5464" w:rsidRPr="0073002E">
        <w:t>which</w:t>
      </w:r>
      <w:r w:rsidR="001F5464">
        <w:t xml:space="preserve"> protects against ‘arbitrary or unlawful interference with privacy’</w:t>
      </w:r>
      <w:r w:rsidR="00B163E2">
        <w:t>: Article 17</w:t>
      </w:r>
      <w:r w:rsidR="001F5464">
        <w:t xml:space="preserve">. </w:t>
      </w:r>
      <w:r>
        <w:t xml:space="preserve">The protection against </w:t>
      </w:r>
      <w:r w:rsidR="001F5464">
        <w:t>‘arbitrariness’ is ‘intended to guarantee that even interference provided for by law should be reasonable in the particular circumstances.’</w:t>
      </w:r>
      <w:r w:rsidR="001F5464">
        <w:rPr>
          <w:rStyle w:val="FootnoteReference"/>
        </w:rPr>
        <w:footnoteReference w:id="18"/>
      </w:r>
      <w:r>
        <w:t xml:space="preserve"> Interference will be reasonable when it is ‘</w:t>
      </w:r>
      <w:bookmarkEnd w:id="101"/>
      <w:r w:rsidR="001F5464">
        <w:t>proportional to the end sought and be necessary in the circumstances of any given case’.</w:t>
      </w:r>
      <w:r w:rsidR="001F5464">
        <w:rPr>
          <w:rStyle w:val="FootnoteReference"/>
        </w:rPr>
        <w:footnoteReference w:id="19"/>
      </w:r>
      <w:r w:rsidR="001F5464">
        <w:t xml:space="preserve"> </w:t>
      </w:r>
    </w:p>
    <w:p w14:paraId="450C148F" w14:textId="0BCACD51" w:rsidR="001F5464" w:rsidRDefault="001F5464">
      <w:pPr>
        <w:pStyle w:val="AdviceNumLevel1"/>
      </w:pPr>
      <w:r w:rsidRPr="0073002E">
        <w:t xml:space="preserve">We have had regard to these matters in our review of the </w:t>
      </w:r>
      <w:r w:rsidR="00E62A06">
        <w:t>BO Policy</w:t>
      </w:r>
      <w:r w:rsidR="00ED5800">
        <w:t xml:space="preserve">. </w:t>
      </w:r>
      <w:bookmarkStart w:id="102" w:name="_Hlk168634246"/>
      <w:r w:rsidR="00233494">
        <w:t xml:space="preserve">We have also examined whether the </w:t>
      </w:r>
      <w:r w:rsidR="00E62A06">
        <w:t>BO Policy</w:t>
      </w:r>
      <w:r w:rsidR="00233494">
        <w:t xml:space="preserve"> will enable the handling of personal information in accordance with the Privacy Act, which codifies the right to information privacy in the ICCPR into Australian law.</w:t>
      </w:r>
    </w:p>
    <w:p w14:paraId="3AD8A716" w14:textId="206721F1" w:rsidR="00591C3C" w:rsidRDefault="00591C3C" w:rsidP="000A52BB">
      <w:pPr>
        <w:pStyle w:val="Heading2"/>
      </w:pPr>
      <w:bookmarkStart w:id="103" w:name="_Toc168942755"/>
      <w:bookmarkEnd w:id="102"/>
      <w:r>
        <w:t>Privacy – a balancing exercise</w:t>
      </w:r>
      <w:bookmarkEnd w:id="103"/>
    </w:p>
    <w:p w14:paraId="248ED135" w14:textId="57DDAE65" w:rsidR="00591C3C" w:rsidRDefault="00591C3C" w:rsidP="00591C3C">
      <w:pPr>
        <w:pStyle w:val="AdviceNumLevel1"/>
      </w:pPr>
      <w:r w:rsidRPr="002A3C00">
        <w:t>Intrinsic to the Privacy Act is the balance that is sought to be achieved between the interests of the individuals and those of the entities the legislation regulates. This is reflected in the objects of the Privacy Act which recognise that the protection of the privacy of individuals is to be balanced with the interests of entities to be able to carry out their functions or activities: see s 2A(b).</w:t>
      </w:r>
    </w:p>
    <w:p w14:paraId="4BF31C7D" w14:textId="77777777" w:rsidR="001F5464" w:rsidRDefault="001F5464" w:rsidP="000962C3">
      <w:pPr>
        <w:pStyle w:val="Heading3"/>
      </w:pPr>
      <w:r>
        <w:t>Purpose of the BO Policy</w:t>
      </w:r>
    </w:p>
    <w:p w14:paraId="4898BACE" w14:textId="77777777" w:rsidR="001F5464" w:rsidRDefault="001F5464" w:rsidP="001F5464">
      <w:pPr>
        <w:pStyle w:val="NumberLevel1"/>
      </w:pPr>
      <w:r w:rsidRPr="00D94EA6">
        <w:t xml:space="preserve">Under the </w:t>
      </w:r>
      <w:r>
        <w:t xml:space="preserve">BO </w:t>
      </w:r>
      <w:r w:rsidRPr="00D94EA6">
        <w:t xml:space="preserve">Policy, the Government is introducing a public register of beneficial ownership information to record who ultimately owns, controls, and receives benefits from a company or legal vehicle operating in Australia. </w:t>
      </w:r>
    </w:p>
    <w:p w14:paraId="704447B7" w14:textId="6850629E" w:rsidR="00640FE0" w:rsidRDefault="001F5464" w:rsidP="00640FE0">
      <w:pPr>
        <w:pStyle w:val="NumberLevel1"/>
      </w:pPr>
      <w:r>
        <w:t xml:space="preserve">The </w:t>
      </w:r>
      <w:r w:rsidR="008E0CA1">
        <w:t>mechanisms by which the Government proposes to achiev</w:t>
      </w:r>
      <w:r>
        <w:t>e the BO</w:t>
      </w:r>
      <w:r w:rsidR="008E0CA1">
        <w:t> </w:t>
      </w:r>
      <w:r>
        <w:t xml:space="preserve">Policy </w:t>
      </w:r>
      <w:r w:rsidR="00640FE0">
        <w:t>include</w:t>
      </w:r>
      <w:r>
        <w:t>:</w:t>
      </w:r>
    </w:p>
    <w:p w14:paraId="7F88F586" w14:textId="77777777" w:rsidR="001F5464" w:rsidRDefault="001F5464" w:rsidP="001F5464">
      <w:pPr>
        <w:pStyle w:val="NumberLevel2"/>
      </w:pPr>
      <w:r>
        <w:t>introduce requirements for unlisted public and proprietary limited companies registered in Australia to collect and maintain information on their beneficial owners, being those who ultimately own, control, and/or receive benefits from these entities operating in Australia,</w:t>
      </w:r>
    </w:p>
    <w:p w14:paraId="4440106A" w14:textId="77777777" w:rsidR="001F5464" w:rsidRDefault="001F5464" w:rsidP="001F5464">
      <w:pPr>
        <w:pStyle w:val="NumberLevel2"/>
      </w:pPr>
      <w:r>
        <w:t>introduce requirements for beneficial owners of in-scope companies to identify themselves to the company, and</w:t>
      </w:r>
    </w:p>
    <w:p w14:paraId="68C27A5D" w14:textId="1BF8CBBF" w:rsidR="001F5464" w:rsidRDefault="001F5464" w:rsidP="001F5464">
      <w:pPr>
        <w:pStyle w:val="NumberLevel2"/>
      </w:pPr>
      <w:r>
        <w:t>provide a pathway for the implementation of a Commonwealth BOR in the future that provides central access to this information.</w:t>
      </w:r>
    </w:p>
    <w:p w14:paraId="07DD230C" w14:textId="77777777" w:rsidR="001F5464" w:rsidRDefault="001F5464" w:rsidP="001F5464">
      <w:pPr>
        <w:pStyle w:val="NumberLevel1"/>
      </w:pPr>
      <w:r>
        <w:t>This will be achieved by:</w:t>
      </w:r>
    </w:p>
    <w:p w14:paraId="49962DFE" w14:textId="42E6B510" w:rsidR="001F5464" w:rsidRDefault="001F5464" w:rsidP="001F5464">
      <w:pPr>
        <w:pStyle w:val="NumberLevel2"/>
      </w:pPr>
      <w:r>
        <w:t xml:space="preserve">establishing a beneficial ownership regime that imposes new requirements on </w:t>
      </w:r>
      <w:r w:rsidR="000E5212">
        <w:t>in-</w:t>
      </w:r>
      <w:r>
        <w:t>scope companies and their beneficial owners,</w:t>
      </w:r>
    </w:p>
    <w:p w14:paraId="216F50AD" w14:textId="38FFAA01" w:rsidR="001F5464" w:rsidRDefault="001F5464" w:rsidP="001F5464">
      <w:pPr>
        <w:pStyle w:val="NumberLevel2"/>
      </w:pPr>
      <w:r>
        <w:t>providing appropriate penalties and enforcement powers to ASIC to enforce this new regime, and</w:t>
      </w:r>
    </w:p>
    <w:p w14:paraId="4676C9CD" w14:textId="4329B551" w:rsidR="001F5464" w:rsidRPr="00D94EA6" w:rsidRDefault="001F5464" w:rsidP="001F5464">
      <w:pPr>
        <w:pStyle w:val="NumberLevel2"/>
      </w:pPr>
      <w:r>
        <w:t xml:space="preserve">establishing a pathway towards the creation of a public Commonwealth BOR. </w:t>
      </w:r>
    </w:p>
    <w:p w14:paraId="562885DA" w14:textId="4557D7CC" w:rsidR="001F5464" w:rsidRPr="00D94EA6" w:rsidRDefault="001F5464" w:rsidP="001F5464">
      <w:pPr>
        <w:pStyle w:val="NumberLevel1"/>
      </w:pPr>
      <w:r>
        <w:t>The BO Policy will address a gap in Australia’s existing framework</w:t>
      </w:r>
      <w:r w:rsidRPr="00D94EA6">
        <w:t xml:space="preserve"> for the systematic collection of </w:t>
      </w:r>
      <w:proofErr w:type="gramStart"/>
      <w:r>
        <w:t>BOI</w:t>
      </w:r>
      <w:proofErr w:type="gramEnd"/>
      <w:r w:rsidRPr="00D94EA6">
        <w:t xml:space="preserve"> by unlisted corporate entities and the storage of that information on a </w:t>
      </w:r>
      <w:r>
        <w:t>BOR</w:t>
      </w:r>
      <w:r w:rsidRPr="00D94EA6">
        <w:t>. While companies are key drivers of investment and growth in the economy, they may also be used to hide the beneficial owners who ultimately own, control and receive benefits from those entities.</w:t>
      </w:r>
      <w:r>
        <w:t xml:space="preserve"> The BO Policy will address the risks occasioned by a</w:t>
      </w:r>
      <w:r w:rsidRPr="00D94EA6">
        <w:t xml:space="preserve"> lack of transparency </w:t>
      </w:r>
      <w:r>
        <w:t xml:space="preserve">in this area, including that a lack of transparency </w:t>
      </w:r>
      <w:r w:rsidRPr="00D94EA6">
        <w:t xml:space="preserve">gives rise to opportunities to: </w:t>
      </w:r>
    </w:p>
    <w:p w14:paraId="6BA3E7DD" w14:textId="77777777" w:rsidR="001F5464" w:rsidRPr="00D94EA6" w:rsidRDefault="001F5464" w:rsidP="001F5464">
      <w:pPr>
        <w:pStyle w:val="NumberLevel2"/>
      </w:pPr>
      <w:r>
        <w:t>l</w:t>
      </w:r>
      <w:r w:rsidRPr="00D94EA6">
        <w:t>aunder money, and disguise the true ownership of assets acquired with illegally</w:t>
      </w:r>
      <w:r>
        <w:t xml:space="preserve"> </w:t>
      </w:r>
      <w:r w:rsidRPr="00D94EA6">
        <w:t xml:space="preserve">obtained </w:t>
      </w:r>
      <w:proofErr w:type="gramStart"/>
      <w:r w:rsidRPr="00D94EA6">
        <w:t>wealth</w:t>
      </w:r>
      <w:proofErr w:type="gramEnd"/>
    </w:p>
    <w:p w14:paraId="0A030A2A" w14:textId="77777777" w:rsidR="001F5464" w:rsidRPr="00D94EA6" w:rsidRDefault="001F5464" w:rsidP="001F5464">
      <w:pPr>
        <w:pStyle w:val="NumberLevel2"/>
      </w:pPr>
      <w:r w:rsidRPr="00D94EA6">
        <w:t>conceal ownership of assets through overseas companies or trusts to evade tax</w:t>
      </w:r>
      <w:r>
        <w:t xml:space="preserve"> </w:t>
      </w:r>
      <w:r w:rsidRPr="00D94EA6">
        <w:t xml:space="preserve">liabilities or </w:t>
      </w:r>
      <w:proofErr w:type="gramStart"/>
      <w:r w:rsidRPr="00D94EA6">
        <w:t>debts</w:t>
      </w:r>
      <w:proofErr w:type="gramEnd"/>
    </w:p>
    <w:p w14:paraId="31A9B0EB" w14:textId="3CC02A6B" w:rsidR="001F5464" w:rsidRPr="00D94EA6" w:rsidRDefault="001F5464" w:rsidP="001F5464">
      <w:pPr>
        <w:pStyle w:val="NumberLevel2"/>
      </w:pPr>
      <w:r w:rsidRPr="00D94EA6">
        <w:t>conceal related party transactions and other dealings which are not at arm’s length.</w:t>
      </w:r>
    </w:p>
    <w:p w14:paraId="55F50209" w14:textId="77777777" w:rsidR="001F5464" w:rsidRDefault="001F5464" w:rsidP="001F5464">
      <w:pPr>
        <w:pStyle w:val="NumberLevel1"/>
      </w:pPr>
      <w:r>
        <w:t xml:space="preserve">The BO Policy will achieve its purposes by </w:t>
      </w:r>
      <w:r w:rsidRPr="00D94EA6">
        <w:t>build</w:t>
      </w:r>
      <w:r>
        <w:t>ing</w:t>
      </w:r>
      <w:r w:rsidRPr="00D94EA6">
        <w:t xml:space="preserve"> on existing provisions in Commonwealth legislation concerning the disclosure of listed entity beneficial ownership information. It would establish a standardised, cohesive framework across Australia for the collection and disclosure of beneficial ownership information for unlisted companies. </w:t>
      </w:r>
    </w:p>
    <w:p w14:paraId="335BE4DE" w14:textId="3CB569AF" w:rsidR="001F5464" w:rsidRDefault="001F5464" w:rsidP="000962C3">
      <w:pPr>
        <w:pStyle w:val="NumberLevel1"/>
        <w:spacing w:before="100" w:after="100"/>
      </w:pPr>
      <w:r>
        <w:t xml:space="preserve">The </w:t>
      </w:r>
      <w:r w:rsidR="00E62A06">
        <w:t>BO Policy</w:t>
      </w:r>
      <w:r>
        <w:t xml:space="preserve"> also serves the purpose of responding to the recommendations of the Financial Action Task Force (</w:t>
      </w:r>
      <w:r>
        <w:rPr>
          <w:b/>
        </w:rPr>
        <w:t>FATF</w:t>
      </w:r>
      <w:r>
        <w:t xml:space="preserve">), a global money laundering and terrorist financing watchdog, which Australia is a member </w:t>
      </w:r>
      <w:r w:rsidR="00FF1AEB">
        <w:t>of</w:t>
      </w:r>
      <w:r>
        <w:t xml:space="preserve">. In particular, the BO Policy is an effort by Australia to action Recommendation 24 of the FATF’s </w:t>
      </w:r>
      <w:hyperlink r:id="rId22" w:history="1">
        <w:r w:rsidRPr="001F5464">
          <w:rPr>
            <w:rStyle w:val="Hyperlink"/>
            <w:i/>
          </w:rPr>
          <w:t>International Standards on Combating Money Laundering and the Financing of Terrorism &amp; Proliferation</w:t>
        </w:r>
      </w:hyperlink>
      <w:r w:rsidR="003D299A">
        <w:rPr>
          <w:i/>
        </w:rPr>
        <w:t xml:space="preserve"> </w:t>
      </w:r>
      <w:r w:rsidR="003D299A">
        <w:t>(</w:t>
      </w:r>
      <w:r w:rsidR="003D299A" w:rsidRPr="000962C3">
        <w:rPr>
          <w:b/>
        </w:rPr>
        <w:t>International Standards</w:t>
      </w:r>
      <w:r w:rsidR="003D299A">
        <w:t>)</w:t>
      </w:r>
      <w:r>
        <w:t>. Recommendation 24 provides, in part, as follows:</w:t>
      </w:r>
    </w:p>
    <w:p w14:paraId="6767EB11" w14:textId="0EFE13B0" w:rsidR="001F5464" w:rsidRDefault="001F5464" w:rsidP="000962C3">
      <w:pPr>
        <w:pStyle w:val="Quotation1"/>
        <w:spacing w:before="100" w:after="60"/>
      </w:pPr>
      <w:r>
        <w:t xml:space="preserve">Countries should assess the risks of misuse of legal persons for money laundering or terrorist </w:t>
      </w:r>
      <w:proofErr w:type="gramStart"/>
      <w:r>
        <w:t>financing, and</w:t>
      </w:r>
      <w:proofErr w:type="gramEnd"/>
      <w:r>
        <w:t xml:space="preserve"> take measures to prevent their misuse. Countries should ensure that there is adequate, accurate and up-to-date information on the beneficial ownership and control of legal persons that can be obtained or accessed rapidly and efficiently by competent authorities, through either a register of beneficial ownership or an alternative mechanism.</w:t>
      </w:r>
    </w:p>
    <w:p w14:paraId="7B8046D7" w14:textId="4445FB3D" w:rsidR="001F5464" w:rsidRDefault="001F5464">
      <w:pPr>
        <w:pStyle w:val="NumberLevel1"/>
        <w:spacing w:before="100" w:after="100"/>
        <w:rPr>
          <w:lang w:eastAsia="en-US"/>
        </w:rPr>
      </w:pPr>
      <w:r w:rsidRPr="009F0606">
        <w:rPr>
          <w:lang w:eastAsia="en-US"/>
        </w:rPr>
        <w:t xml:space="preserve">The Government expects the </w:t>
      </w:r>
      <w:r>
        <w:rPr>
          <w:lang w:eastAsia="en-US"/>
        </w:rPr>
        <w:t>BO Policy</w:t>
      </w:r>
      <w:r w:rsidRPr="009F0606">
        <w:rPr>
          <w:lang w:eastAsia="en-US"/>
        </w:rPr>
        <w:t xml:space="preserve"> </w:t>
      </w:r>
      <w:r>
        <w:rPr>
          <w:lang w:eastAsia="en-US"/>
        </w:rPr>
        <w:t xml:space="preserve">will </w:t>
      </w:r>
      <w:r w:rsidRPr="009F0606">
        <w:rPr>
          <w:lang w:eastAsia="en-US"/>
        </w:rPr>
        <w:t>give rise to significant community benefits including by facilitating public scrutiny of commercial arrangements and enhancing the effectiveness of regulatory actions relating to tax evasion and other financial crimes. This would strengthen trust, integrity and confidence in Australia’s economy and legal and tax systems, promoting greater investment and growth.</w:t>
      </w:r>
    </w:p>
    <w:p w14:paraId="158FEA08" w14:textId="16A42ED3" w:rsidR="00531B80" w:rsidRPr="007B3A1C" w:rsidRDefault="00531B80">
      <w:pPr>
        <w:pStyle w:val="NumberLevel1"/>
        <w:spacing w:before="100" w:after="100"/>
        <w:rPr>
          <w:i/>
          <w:lang w:eastAsia="en-US"/>
        </w:rPr>
      </w:pPr>
      <w:r>
        <w:rPr>
          <w:lang w:eastAsia="en-US"/>
        </w:rPr>
        <w:t xml:space="preserve">A key benefit of the </w:t>
      </w:r>
      <w:r w:rsidR="00E62A06">
        <w:rPr>
          <w:lang w:eastAsia="en-US"/>
        </w:rPr>
        <w:t>BO Policy</w:t>
      </w:r>
      <w:r w:rsidR="005771AF">
        <w:rPr>
          <w:lang w:eastAsia="en-US"/>
        </w:rPr>
        <w:t xml:space="preserve"> is that it will reduce the administrative burden on entities subject to the Know Your Customer (</w:t>
      </w:r>
      <w:r w:rsidR="005771AF">
        <w:rPr>
          <w:b/>
          <w:lang w:eastAsia="en-US"/>
        </w:rPr>
        <w:t>KYC</w:t>
      </w:r>
      <w:r w:rsidR="005771AF">
        <w:rPr>
          <w:lang w:eastAsia="en-US"/>
        </w:rPr>
        <w:t>) requirements set out in</w:t>
      </w:r>
      <w:r w:rsidR="00DA1301">
        <w:rPr>
          <w:lang w:eastAsia="en-US"/>
        </w:rPr>
        <w:t xml:space="preserve"> the</w:t>
      </w:r>
      <w:r w:rsidR="005771AF">
        <w:rPr>
          <w:lang w:eastAsia="en-US"/>
        </w:rPr>
        <w:t xml:space="preserve"> </w:t>
      </w:r>
      <w:hyperlink r:id="rId23" w:history="1">
        <w:r w:rsidR="00DA1301">
          <w:rPr>
            <w:rStyle w:val="Hyperlink"/>
            <w:i/>
          </w:rPr>
          <w:t>Anti-Money Laundering and Counter-Terrorism Financing Rules Instrument 2007 (No. 1)</w:t>
        </w:r>
      </w:hyperlink>
      <w:r w:rsidR="005771AF">
        <w:rPr>
          <w:lang w:eastAsia="en-US"/>
        </w:rPr>
        <w:t xml:space="preserve"> (the </w:t>
      </w:r>
      <w:r w:rsidR="005771AF">
        <w:rPr>
          <w:b/>
          <w:lang w:eastAsia="en-US"/>
        </w:rPr>
        <w:t>AML/CTF Rules</w:t>
      </w:r>
      <w:r w:rsidR="005771AF">
        <w:rPr>
          <w:lang w:eastAsia="en-US"/>
        </w:rPr>
        <w:t xml:space="preserve">). The KYC requirements apply to entities who conduct certain business activities in the </w:t>
      </w:r>
      <w:r w:rsidR="005771AF" w:rsidRPr="005771AF">
        <w:rPr>
          <w:lang w:eastAsia="en-US"/>
        </w:rPr>
        <w:t xml:space="preserve">financial services, bullion, </w:t>
      </w:r>
      <w:proofErr w:type="gramStart"/>
      <w:r w:rsidR="005771AF" w:rsidRPr="005771AF">
        <w:rPr>
          <w:lang w:eastAsia="en-US"/>
        </w:rPr>
        <w:t>gambling</w:t>
      </w:r>
      <w:proofErr w:type="gramEnd"/>
      <w:r w:rsidR="005771AF" w:rsidRPr="005771AF">
        <w:rPr>
          <w:lang w:eastAsia="en-US"/>
        </w:rPr>
        <w:t xml:space="preserve"> and digital currency exchange sectors</w:t>
      </w:r>
      <w:r w:rsidR="005771AF">
        <w:rPr>
          <w:lang w:eastAsia="en-US"/>
        </w:rPr>
        <w:t xml:space="preserve"> (</w:t>
      </w:r>
      <w:r w:rsidR="00832404">
        <w:rPr>
          <w:b/>
          <w:lang w:eastAsia="en-US"/>
        </w:rPr>
        <w:t xml:space="preserve">AML/CTF </w:t>
      </w:r>
      <w:r w:rsidR="005771AF">
        <w:rPr>
          <w:b/>
          <w:lang w:eastAsia="en-US"/>
        </w:rPr>
        <w:t>reporting entities</w:t>
      </w:r>
      <w:r w:rsidR="005771AF">
        <w:rPr>
          <w:lang w:eastAsia="en-US"/>
        </w:rPr>
        <w:t>)</w:t>
      </w:r>
      <w:r w:rsidR="005771AF" w:rsidRPr="005771AF">
        <w:rPr>
          <w:lang w:eastAsia="en-US"/>
        </w:rPr>
        <w:t>.</w:t>
      </w:r>
      <w:r w:rsidR="000962C3">
        <w:rPr>
          <w:rStyle w:val="FootnoteReference"/>
          <w:lang w:eastAsia="en-US"/>
        </w:rPr>
        <w:footnoteReference w:id="20"/>
      </w:r>
    </w:p>
    <w:p w14:paraId="0ED098D4" w14:textId="0B677193" w:rsidR="00721B3C" w:rsidRPr="004A2D52" w:rsidRDefault="005771AF">
      <w:pPr>
        <w:pStyle w:val="NumberLevel1"/>
        <w:spacing w:before="100" w:after="100"/>
        <w:rPr>
          <w:i/>
          <w:lang w:eastAsia="en-US"/>
        </w:rPr>
      </w:pPr>
      <w:r>
        <w:rPr>
          <w:lang w:eastAsia="en-US"/>
        </w:rPr>
        <w:t xml:space="preserve">KYC reporting entities are required to apply customer identification procedures to </w:t>
      </w:r>
      <w:r w:rsidR="00774E9C">
        <w:rPr>
          <w:lang w:eastAsia="en-US"/>
        </w:rPr>
        <w:t>all</w:t>
      </w:r>
      <w:r>
        <w:rPr>
          <w:lang w:eastAsia="en-US"/>
        </w:rPr>
        <w:t xml:space="preserve"> their customers, proportionate to the level of money laundering</w:t>
      </w:r>
      <w:r w:rsidR="00495597">
        <w:rPr>
          <w:lang w:eastAsia="en-US"/>
        </w:rPr>
        <w:t xml:space="preserve"> and</w:t>
      </w:r>
      <w:r>
        <w:rPr>
          <w:lang w:eastAsia="en-US"/>
        </w:rPr>
        <w:t>/</w:t>
      </w:r>
      <w:r w:rsidR="00495597">
        <w:rPr>
          <w:lang w:eastAsia="en-US"/>
        </w:rPr>
        <w:t xml:space="preserve">or </w:t>
      </w:r>
      <w:r>
        <w:rPr>
          <w:lang w:eastAsia="en-US"/>
        </w:rPr>
        <w:t>terror financing risk of the specific customer.</w:t>
      </w:r>
      <w:r w:rsidR="000962C3">
        <w:rPr>
          <w:rStyle w:val="FootnoteReference"/>
          <w:lang w:eastAsia="en-US"/>
        </w:rPr>
        <w:footnoteReference w:id="21"/>
      </w:r>
      <w:r>
        <w:rPr>
          <w:lang w:eastAsia="en-US"/>
        </w:rPr>
        <w:t xml:space="preserve"> For customers who are not natural persons,</w:t>
      </w:r>
      <w:r w:rsidR="00090A5B">
        <w:rPr>
          <w:lang w:eastAsia="en-US"/>
        </w:rPr>
        <w:t xml:space="preserve"> and subject to some exemptions,</w:t>
      </w:r>
      <w:r>
        <w:rPr>
          <w:lang w:eastAsia="en-US"/>
        </w:rPr>
        <w:t xml:space="preserve"> </w:t>
      </w:r>
      <w:r w:rsidR="00832404">
        <w:rPr>
          <w:lang w:eastAsia="en-US"/>
        </w:rPr>
        <w:t>AML/CTF</w:t>
      </w:r>
      <w:r>
        <w:rPr>
          <w:lang w:eastAsia="en-US"/>
        </w:rPr>
        <w:t xml:space="preserve"> reporting entities must collect and take reasonable measures to verify the full name, date of birth, and full residential address of all natural person beneficial owners of the</w:t>
      </w:r>
      <w:r w:rsidR="006B518D">
        <w:rPr>
          <w:lang w:eastAsia="en-US"/>
        </w:rPr>
        <w:t>ir</w:t>
      </w:r>
      <w:r>
        <w:rPr>
          <w:lang w:eastAsia="en-US"/>
        </w:rPr>
        <w:t xml:space="preserve"> </w:t>
      </w:r>
      <w:r w:rsidR="00F06CDF">
        <w:rPr>
          <w:lang w:eastAsia="en-US"/>
        </w:rPr>
        <w:t>customer</w:t>
      </w:r>
      <w:r w:rsidR="006B518D">
        <w:rPr>
          <w:lang w:eastAsia="en-US"/>
        </w:rPr>
        <w:t>s</w:t>
      </w:r>
      <w:r>
        <w:rPr>
          <w:lang w:eastAsia="en-US"/>
        </w:rPr>
        <w:t>.</w:t>
      </w:r>
      <w:r w:rsidR="00765F2D">
        <w:rPr>
          <w:rStyle w:val="FootnoteReference"/>
          <w:lang w:eastAsia="en-US"/>
        </w:rPr>
        <w:footnoteReference w:id="22"/>
      </w:r>
      <w:r>
        <w:rPr>
          <w:lang w:eastAsia="en-US"/>
        </w:rPr>
        <w:t xml:space="preserve"> </w:t>
      </w:r>
    </w:p>
    <w:p w14:paraId="46CCF5DE" w14:textId="40D60B5C" w:rsidR="00832404" w:rsidRPr="00D2497E" w:rsidRDefault="00495597" w:rsidP="00832404">
      <w:pPr>
        <w:pStyle w:val="NumberLevel1"/>
        <w:spacing w:before="100" w:after="100"/>
        <w:rPr>
          <w:i/>
          <w:lang w:eastAsia="en-US"/>
        </w:rPr>
      </w:pPr>
      <w:r>
        <w:rPr>
          <w:lang w:eastAsia="en-US"/>
        </w:rPr>
        <w:t xml:space="preserve">Although </w:t>
      </w:r>
      <w:r w:rsidR="00832404">
        <w:rPr>
          <w:lang w:eastAsia="en-US"/>
        </w:rPr>
        <w:t>AML/CTF</w:t>
      </w:r>
      <w:r w:rsidR="00AD7C19">
        <w:rPr>
          <w:lang w:eastAsia="en-US"/>
        </w:rPr>
        <w:t xml:space="preserve"> reporting</w:t>
      </w:r>
      <w:r>
        <w:rPr>
          <w:lang w:eastAsia="en-US"/>
        </w:rPr>
        <w:t xml:space="preserve"> entities will need to obtain beneficial ownership information from their customers at first instance (including non-publicly available information such as each natural person owner’s date of birth and residential address), the BOR policy will assist </w:t>
      </w:r>
      <w:r w:rsidR="00832404">
        <w:rPr>
          <w:lang w:eastAsia="en-US"/>
        </w:rPr>
        <w:t>AML/CTF</w:t>
      </w:r>
      <w:r w:rsidR="002C75B6">
        <w:rPr>
          <w:lang w:eastAsia="en-US"/>
        </w:rPr>
        <w:t xml:space="preserve"> </w:t>
      </w:r>
      <w:r w:rsidR="00721B3C">
        <w:rPr>
          <w:lang w:eastAsia="en-US"/>
        </w:rPr>
        <w:t xml:space="preserve">reporting entities </w:t>
      </w:r>
      <w:r>
        <w:rPr>
          <w:lang w:eastAsia="en-US"/>
        </w:rPr>
        <w:t xml:space="preserve">to verify </w:t>
      </w:r>
      <w:r w:rsidR="00721B3C">
        <w:rPr>
          <w:lang w:eastAsia="en-US"/>
        </w:rPr>
        <w:t>the beneficial owners</w:t>
      </w:r>
      <w:r>
        <w:rPr>
          <w:lang w:eastAsia="en-US"/>
        </w:rPr>
        <w:t xml:space="preserve"> of </w:t>
      </w:r>
      <w:r w:rsidR="00721B3C">
        <w:rPr>
          <w:lang w:eastAsia="en-US"/>
        </w:rPr>
        <w:t>in-scope compan</w:t>
      </w:r>
      <w:r>
        <w:rPr>
          <w:lang w:eastAsia="en-US"/>
        </w:rPr>
        <w:t>ies</w:t>
      </w:r>
      <w:r w:rsidR="002C75B6">
        <w:rPr>
          <w:lang w:eastAsia="en-US"/>
        </w:rPr>
        <w:t xml:space="preserve"> that they are proposing to provide designated services to</w:t>
      </w:r>
      <w:r>
        <w:rPr>
          <w:lang w:eastAsia="en-US"/>
        </w:rPr>
        <w:t>.</w:t>
      </w:r>
      <w:r w:rsidR="00721B3C">
        <w:rPr>
          <w:lang w:eastAsia="en-US"/>
        </w:rPr>
        <w:t xml:space="preserve"> </w:t>
      </w:r>
    </w:p>
    <w:p w14:paraId="082D825E" w14:textId="6E7E8DE1" w:rsidR="00832404" w:rsidRPr="000962C3" w:rsidRDefault="00832404" w:rsidP="00832404">
      <w:pPr>
        <w:pStyle w:val="NumberLevel1"/>
        <w:spacing w:before="100" w:after="100"/>
        <w:rPr>
          <w:i/>
          <w:lang w:eastAsia="en-US"/>
        </w:rPr>
      </w:pPr>
      <w:r>
        <w:rPr>
          <w:lang w:eastAsia="en-US"/>
        </w:rPr>
        <w:t xml:space="preserve">Treasury is pursuing amendments that would enable AML/CTF reporting entities to use information obtained from the BORs of in-scope companies to help fulfil their requirements under Part 4.12 of the AML/CTF Rules. </w:t>
      </w:r>
      <w:r w:rsidRPr="00832404">
        <w:rPr>
          <w:lang w:eastAsia="en-US"/>
        </w:rPr>
        <w:t>This use will be constrained to circumstances in which a</w:t>
      </w:r>
      <w:r>
        <w:rPr>
          <w:lang w:eastAsia="en-US"/>
        </w:rPr>
        <w:t>n in-scope company</w:t>
      </w:r>
      <w:r w:rsidRPr="00832404">
        <w:rPr>
          <w:lang w:eastAsia="en-US"/>
        </w:rPr>
        <w:t xml:space="preserve"> is receiving or requesting a designated service from an AML/CTF reporting entity</w:t>
      </w:r>
      <w:r>
        <w:rPr>
          <w:lang w:eastAsia="en-US"/>
        </w:rPr>
        <w:t>. It is intended that the amendments would authorise the in-scope company to provide the AML/CTF reporting entity their full register.</w:t>
      </w:r>
    </w:p>
    <w:p w14:paraId="6D5A99BD" w14:textId="0D4F4034" w:rsidR="00721B3C" w:rsidRPr="004A2D52" w:rsidRDefault="00D2497E">
      <w:pPr>
        <w:pStyle w:val="NumberLevel1"/>
        <w:spacing w:before="100" w:after="100"/>
        <w:rPr>
          <w:i/>
          <w:lang w:eastAsia="en-US"/>
        </w:rPr>
      </w:pPr>
      <w:r>
        <w:rPr>
          <w:lang w:eastAsia="en-US"/>
        </w:rPr>
        <w:t>T</w:t>
      </w:r>
      <w:r w:rsidR="00765F2D">
        <w:rPr>
          <w:lang w:eastAsia="en-US"/>
        </w:rPr>
        <w:t xml:space="preserve">here </w:t>
      </w:r>
      <w:r w:rsidR="00585EF9">
        <w:rPr>
          <w:lang w:eastAsia="en-US"/>
        </w:rPr>
        <w:t>is</w:t>
      </w:r>
      <w:r w:rsidR="00765F2D">
        <w:rPr>
          <w:lang w:eastAsia="en-US"/>
        </w:rPr>
        <w:t xml:space="preserve"> some overlap</w:t>
      </w:r>
      <w:r w:rsidR="004A2D52">
        <w:rPr>
          <w:lang w:eastAsia="en-US"/>
        </w:rPr>
        <w:t xml:space="preserve"> between these regimes</w:t>
      </w:r>
      <w:r w:rsidR="00765F2D">
        <w:rPr>
          <w:lang w:eastAsia="en-US"/>
        </w:rPr>
        <w:t xml:space="preserve">, </w:t>
      </w:r>
      <w:r>
        <w:rPr>
          <w:lang w:eastAsia="en-US"/>
        </w:rPr>
        <w:t xml:space="preserve">in that AML/CTF reporting entities are required to collect largely the same information about individuals, with the addition of ‘nationality’ under the BO Policy. While the overlap of information minimises privacy intrusion for beneficial owners who are also customers of AML/CTF reporting entities, </w:t>
      </w:r>
      <w:r w:rsidR="00721B3C">
        <w:rPr>
          <w:lang w:eastAsia="en-US"/>
        </w:rPr>
        <w:t xml:space="preserve">the regulated populations are </w:t>
      </w:r>
      <w:r w:rsidR="00C454ED">
        <w:rPr>
          <w:lang w:eastAsia="en-US"/>
        </w:rPr>
        <w:t>not identical</w:t>
      </w:r>
      <w:r>
        <w:rPr>
          <w:lang w:eastAsia="en-US"/>
        </w:rPr>
        <w:t>.</w:t>
      </w:r>
      <w:r w:rsidR="00721B3C">
        <w:rPr>
          <w:lang w:eastAsia="en-US"/>
        </w:rPr>
        <w:t xml:space="preserve"> </w:t>
      </w:r>
      <w:r>
        <w:rPr>
          <w:lang w:eastAsia="en-US"/>
        </w:rPr>
        <w:t xml:space="preserve">Ultimately, </w:t>
      </w:r>
      <w:r w:rsidR="004A2D52">
        <w:rPr>
          <w:lang w:eastAsia="en-US"/>
        </w:rPr>
        <w:t>both requirements are necessary to prevent money laundering and /</w:t>
      </w:r>
      <w:r>
        <w:rPr>
          <w:lang w:eastAsia="en-US"/>
        </w:rPr>
        <w:t xml:space="preserve"> </w:t>
      </w:r>
      <w:r w:rsidR="004A2D52">
        <w:rPr>
          <w:lang w:eastAsia="en-US"/>
        </w:rPr>
        <w:t xml:space="preserve">or terrorism funding. To the extent any </w:t>
      </w:r>
      <w:r w:rsidR="00721B3C">
        <w:rPr>
          <w:lang w:eastAsia="en-US"/>
        </w:rPr>
        <w:t xml:space="preserve">privacy impact arises from </w:t>
      </w:r>
      <w:r w:rsidR="00765F2D">
        <w:rPr>
          <w:lang w:eastAsia="en-US"/>
        </w:rPr>
        <w:t xml:space="preserve">the </w:t>
      </w:r>
      <w:r w:rsidR="00721B3C">
        <w:rPr>
          <w:lang w:eastAsia="en-US"/>
        </w:rPr>
        <w:t xml:space="preserve">regimes requiring </w:t>
      </w:r>
      <w:r w:rsidR="00765F2D">
        <w:rPr>
          <w:lang w:eastAsia="en-US"/>
        </w:rPr>
        <w:t xml:space="preserve">both </w:t>
      </w:r>
      <w:r w:rsidR="00C52C08">
        <w:rPr>
          <w:lang w:eastAsia="en-US"/>
        </w:rPr>
        <w:t>A</w:t>
      </w:r>
      <w:r w:rsidR="00061E1C">
        <w:rPr>
          <w:lang w:eastAsia="en-US"/>
        </w:rPr>
        <w:t>ML/CTF</w:t>
      </w:r>
      <w:r w:rsidR="00765F2D">
        <w:rPr>
          <w:lang w:eastAsia="en-US"/>
        </w:rPr>
        <w:t xml:space="preserve"> reporting entities and in-scope companies to </w:t>
      </w:r>
      <w:r w:rsidR="00721B3C">
        <w:rPr>
          <w:lang w:eastAsia="en-US"/>
        </w:rPr>
        <w:t>verify the identity of beneficial owners</w:t>
      </w:r>
      <w:r w:rsidR="004A2D52">
        <w:rPr>
          <w:lang w:eastAsia="en-US"/>
        </w:rPr>
        <w:t xml:space="preserve">, these impacts are reasonable, </w:t>
      </w:r>
      <w:proofErr w:type="gramStart"/>
      <w:r w:rsidR="004A2D52">
        <w:rPr>
          <w:lang w:eastAsia="en-US"/>
        </w:rPr>
        <w:t>necessary</w:t>
      </w:r>
      <w:proofErr w:type="gramEnd"/>
      <w:r w:rsidR="004A2D52">
        <w:rPr>
          <w:lang w:eastAsia="en-US"/>
        </w:rPr>
        <w:t xml:space="preserve"> and proportionate to the purpose of both regimes</w:t>
      </w:r>
      <w:r w:rsidR="00721B3C">
        <w:rPr>
          <w:lang w:eastAsia="en-US"/>
        </w:rPr>
        <w:t>.</w:t>
      </w:r>
    </w:p>
    <w:p w14:paraId="15FCAC68" w14:textId="287E5556" w:rsidR="00591C3C" w:rsidRDefault="00591C3C" w:rsidP="00591C3C">
      <w:pPr>
        <w:pStyle w:val="Heading3"/>
      </w:pPr>
      <w:r>
        <w:t>Privacy impacts</w:t>
      </w:r>
    </w:p>
    <w:p w14:paraId="4C2A48C6" w14:textId="7CF165AA" w:rsidR="00591C3C" w:rsidRPr="009F0606" w:rsidRDefault="00591C3C" w:rsidP="000962C3">
      <w:pPr>
        <w:pStyle w:val="NumberLevel1"/>
        <w:spacing w:before="100" w:after="100"/>
        <w:rPr>
          <w:lang w:eastAsia="en-US"/>
        </w:rPr>
      </w:pPr>
      <w:r>
        <w:rPr>
          <w:lang w:eastAsia="en-US"/>
        </w:rPr>
        <w:t>The BO Policy involves a significant impact on the privacy of beneficial owners</w:t>
      </w:r>
      <w:r w:rsidR="003709DC">
        <w:rPr>
          <w:lang w:eastAsia="en-US"/>
        </w:rPr>
        <w:t>. Because of these impacts</w:t>
      </w:r>
      <w:r>
        <w:rPr>
          <w:lang w:eastAsia="en-US"/>
        </w:rPr>
        <w:t>, it is foreseeable that a meaningful portion of beneficial owners will not welcome the introduction of the BO Policy</w:t>
      </w:r>
      <w:r w:rsidR="003709DC">
        <w:rPr>
          <w:lang w:eastAsia="en-US"/>
        </w:rPr>
        <w:t>. D</w:t>
      </w:r>
      <w:r>
        <w:rPr>
          <w:lang w:eastAsia="en-US"/>
        </w:rPr>
        <w:t xml:space="preserve">ue to the wide-scale nature of the privacy impacts, it is necessary to </w:t>
      </w:r>
      <w:r w:rsidR="003709DC">
        <w:rPr>
          <w:lang w:eastAsia="en-US"/>
        </w:rPr>
        <w:t xml:space="preserve">identify and weigh the privacy impacts of each stage against </w:t>
      </w:r>
      <w:r>
        <w:rPr>
          <w:lang w:eastAsia="en-US"/>
        </w:rPr>
        <w:t>the benefits presented by the BO Policy</w:t>
      </w:r>
      <w:r w:rsidR="003709DC">
        <w:rPr>
          <w:lang w:eastAsia="en-US"/>
        </w:rPr>
        <w:t>. An overview of potential privacy impacts at each stage is as set out below</w:t>
      </w:r>
      <w:r>
        <w:rPr>
          <w:lang w:eastAsia="en-US"/>
        </w:rPr>
        <w:t>.</w:t>
      </w:r>
    </w:p>
    <w:p w14:paraId="0D36B471" w14:textId="692E55D2" w:rsidR="00591C3C" w:rsidRDefault="003709DC" w:rsidP="000962C3">
      <w:pPr>
        <w:pStyle w:val="Heading4"/>
        <w:spacing w:after="120"/>
      </w:pPr>
      <w:r>
        <w:t xml:space="preserve">Potential privacy impacts – both </w:t>
      </w:r>
      <w:r w:rsidR="00591C3C">
        <w:t>Stage 1</w:t>
      </w:r>
      <w:r w:rsidR="00E97014">
        <w:t xml:space="preserve"> and Stage 2</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702"/>
        <w:gridCol w:w="6518"/>
      </w:tblGrid>
      <w:tr w:rsidR="009C7FDE" w:rsidRPr="00121519" w14:paraId="485FF5E6" w14:textId="77777777" w:rsidTr="000962C3">
        <w:trPr>
          <w:cantSplit/>
          <w:tblHeader/>
        </w:trPr>
        <w:tc>
          <w:tcPr>
            <w:tcW w:w="1035" w:type="pct"/>
            <w:shd w:val="clear" w:color="auto" w:fill="C4DDEA"/>
          </w:tcPr>
          <w:p w14:paraId="065F491D" w14:textId="580CF334" w:rsidR="009C7FDE" w:rsidRDefault="009C7FDE" w:rsidP="004424D6">
            <w:pPr>
              <w:pStyle w:val="TableHeading2"/>
            </w:pPr>
            <w:r>
              <w:t>Impact</w:t>
            </w:r>
          </w:p>
        </w:tc>
        <w:tc>
          <w:tcPr>
            <w:tcW w:w="3965" w:type="pct"/>
            <w:shd w:val="clear" w:color="auto" w:fill="C4DDEA"/>
            <w:vAlign w:val="top"/>
          </w:tcPr>
          <w:p w14:paraId="10848E9E" w14:textId="72E08A3D" w:rsidR="009C7FDE" w:rsidRPr="00121519" w:rsidRDefault="009C7FDE" w:rsidP="004424D6">
            <w:pPr>
              <w:pStyle w:val="TableHeading2"/>
            </w:pPr>
            <w:r>
              <w:t xml:space="preserve">Description </w:t>
            </w:r>
          </w:p>
        </w:tc>
      </w:tr>
      <w:tr w:rsidR="009C7FDE" w14:paraId="08ABFB58" w14:textId="77777777" w:rsidTr="000962C3">
        <w:tc>
          <w:tcPr>
            <w:tcW w:w="1035" w:type="pct"/>
            <w:vAlign w:val="top"/>
          </w:tcPr>
          <w:p w14:paraId="246962BB" w14:textId="377AE7A1" w:rsidR="009C7FDE" w:rsidRPr="000D0737" w:rsidRDefault="009C7FDE" w:rsidP="000962C3">
            <w:pPr>
              <w:pStyle w:val="CABParagraph"/>
              <w:spacing w:before="60" w:after="60"/>
              <w:rPr>
                <w:rFonts w:cs="Arial"/>
                <w:b/>
              </w:rPr>
            </w:pPr>
            <w:r>
              <w:rPr>
                <w:rFonts w:cs="Arial"/>
                <w:b/>
              </w:rPr>
              <w:t>Loss of choice and control</w:t>
            </w:r>
          </w:p>
        </w:tc>
        <w:tc>
          <w:tcPr>
            <w:tcW w:w="3965" w:type="pct"/>
            <w:vAlign w:val="top"/>
          </w:tcPr>
          <w:p w14:paraId="5327D4E7" w14:textId="56157230" w:rsidR="009C7FDE" w:rsidRDefault="009C7FDE" w:rsidP="009C7FDE">
            <w:pPr>
              <w:pStyle w:val="TablePlainParagraph"/>
            </w:pPr>
            <w:r>
              <w:t>Beneficial owners must disclose</w:t>
            </w:r>
            <w:r w:rsidR="00E97014">
              <w:t xml:space="preserve"> detailed</w:t>
            </w:r>
            <w:r>
              <w:t xml:space="preserve"> BOI</w:t>
            </w:r>
            <w:r w:rsidR="00E97014">
              <w:t xml:space="preserve"> comprising personal information</w:t>
            </w:r>
            <w:r>
              <w:t xml:space="preserve"> to in-scope companies for which they are a beneficial owner.</w:t>
            </w:r>
            <w:r w:rsidR="00E97014">
              <w:t xml:space="preserve"> Consent is not required.</w:t>
            </w:r>
            <w:r>
              <w:t xml:space="preserve"> </w:t>
            </w:r>
          </w:p>
          <w:p w14:paraId="3FE152BF" w14:textId="3A1976A1" w:rsidR="00E97014" w:rsidRDefault="003709DC" w:rsidP="009C7FDE">
            <w:pPr>
              <w:pStyle w:val="TablePlainParagraph"/>
            </w:pPr>
            <w:r>
              <w:t>By default, a</w:t>
            </w:r>
            <w:r w:rsidR="00E97014">
              <w:t>n individual cannot control who can see or use BOI:</w:t>
            </w:r>
          </w:p>
          <w:p w14:paraId="77D0FEA2" w14:textId="7CE7754D" w:rsidR="00E97014" w:rsidRDefault="00A80BDB" w:rsidP="00804008">
            <w:pPr>
              <w:pStyle w:val="TablePlainParagraph"/>
              <w:numPr>
                <w:ilvl w:val="0"/>
                <w:numId w:val="39"/>
              </w:numPr>
            </w:pPr>
            <w:r>
              <w:t>Specified r</w:t>
            </w:r>
            <w:r w:rsidR="00E97014">
              <w:t>egulators and law enforcement agencies can access BOI.</w:t>
            </w:r>
          </w:p>
          <w:p w14:paraId="79FD622B" w14:textId="52625407" w:rsidR="009C7FDE" w:rsidRPr="00E97014" w:rsidRDefault="00E97014" w:rsidP="00804008">
            <w:pPr>
              <w:pStyle w:val="TablePlainParagraph"/>
              <w:numPr>
                <w:ilvl w:val="0"/>
                <w:numId w:val="39"/>
              </w:numPr>
            </w:pPr>
            <w:r>
              <w:t>I</w:t>
            </w:r>
            <w:r w:rsidR="009C7FDE" w:rsidRPr="00E97014">
              <w:t xml:space="preserve">ndividuals </w:t>
            </w:r>
            <w:r>
              <w:t>can</w:t>
            </w:r>
            <w:r w:rsidR="009C7FDE" w:rsidRPr="00E97014">
              <w:t xml:space="preserve"> </w:t>
            </w:r>
            <w:r>
              <w:t xml:space="preserve">apply to </w:t>
            </w:r>
            <w:r w:rsidR="009C7FDE" w:rsidRPr="00E97014">
              <w:t>access a subset of BOI</w:t>
            </w:r>
            <w:r w:rsidR="00487947">
              <w:t xml:space="preserve">, </w:t>
            </w:r>
            <w:proofErr w:type="gramStart"/>
            <w:r w:rsidR="00487947">
              <w:t>as long as</w:t>
            </w:r>
            <w:proofErr w:type="gramEnd"/>
            <w:r w:rsidR="00487947">
              <w:t xml:space="preserve"> this is not for an improper purpose</w:t>
            </w:r>
            <w:r w:rsidR="009C7FDE" w:rsidRPr="00E97014">
              <w:t>.</w:t>
            </w:r>
            <w:r w:rsidRPr="00E97014">
              <w:t xml:space="preserve"> </w:t>
            </w:r>
          </w:p>
        </w:tc>
      </w:tr>
      <w:tr w:rsidR="009C7FDE" w14:paraId="2660CC01" w14:textId="77777777" w:rsidTr="000962C3">
        <w:tc>
          <w:tcPr>
            <w:tcW w:w="1035" w:type="pct"/>
            <w:vAlign w:val="top"/>
          </w:tcPr>
          <w:p w14:paraId="48D60BDA" w14:textId="6FAD26F0" w:rsidR="009C7FDE" w:rsidRPr="000D0737" w:rsidRDefault="00E97014" w:rsidP="000962C3">
            <w:pPr>
              <w:pStyle w:val="CABParagraph"/>
              <w:spacing w:before="60" w:after="60"/>
              <w:rPr>
                <w:rFonts w:cs="Arial"/>
                <w:b/>
              </w:rPr>
            </w:pPr>
            <w:r>
              <w:rPr>
                <w:rFonts w:cs="Arial"/>
                <w:b/>
              </w:rPr>
              <w:t>Overcollection</w:t>
            </w:r>
          </w:p>
        </w:tc>
        <w:tc>
          <w:tcPr>
            <w:tcW w:w="3965" w:type="pct"/>
            <w:vAlign w:val="top"/>
          </w:tcPr>
          <w:p w14:paraId="56917C77" w14:textId="795C8E8B" w:rsidR="009C7FDE" w:rsidRDefault="00E97014" w:rsidP="009C7FDE">
            <w:pPr>
              <w:pStyle w:val="TablePlainParagraph"/>
            </w:pPr>
            <w:r>
              <w:t>Unnecessary collection of personal information may unreasonably interfere with the privacy of an individual. E.g. if in-scope companies collect unnecessary data to verify identity</w:t>
            </w:r>
            <w:r w:rsidR="00AE48C9">
              <w:t>.</w:t>
            </w:r>
            <w:r>
              <w:t xml:space="preserve"> </w:t>
            </w:r>
          </w:p>
        </w:tc>
      </w:tr>
      <w:tr w:rsidR="00E97014" w14:paraId="541EF8BA" w14:textId="77777777" w:rsidTr="000962C3">
        <w:tc>
          <w:tcPr>
            <w:tcW w:w="1035" w:type="pct"/>
            <w:vAlign w:val="top"/>
          </w:tcPr>
          <w:p w14:paraId="6D30195D" w14:textId="06976EEF" w:rsidR="00E97014" w:rsidRDefault="00E97014" w:rsidP="009C7FDE">
            <w:pPr>
              <w:pStyle w:val="CABParagraph"/>
              <w:spacing w:before="60" w:after="60"/>
              <w:rPr>
                <w:rFonts w:cs="Arial"/>
                <w:b/>
              </w:rPr>
            </w:pPr>
            <w:r>
              <w:rPr>
                <w:rFonts w:cs="Arial"/>
                <w:b/>
              </w:rPr>
              <w:t>Data quality issues</w:t>
            </w:r>
          </w:p>
        </w:tc>
        <w:tc>
          <w:tcPr>
            <w:tcW w:w="3965" w:type="pct"/>
            <w:vAlign w:val="top"/>
          </w:tcPr>
          <w:p w14:paraId="6949ED3C" w14:textId="1557858F" w:rsidR="00E97014" w:rsidRDefault="00E97014" w:rsidP="009C7FDE">
            <w:pPr>
              <w:pStyle w:val="TablePlainParagraph"/>
            </w:pPr>
            <w:r>
              <w:t xml:space="preserve">If an in-scope company fails to maintain accurate, </w:t>
            </w:r>
            <w:proofErr w:type="gramStart"/>
            <w:r>
              <w:t>up-to-date</w:t>
            </w:r>
            <w:proofErr w:type="gramEnd"/>
            <w:r>
              <w:t xml:space="preserve"> and complete information, regulators, law enforcement agencies and individuals that access </w:t>
            </w:r>
            <w:r w:rsidR="003709DC">
              <w:t xml:space="preserve">a BOR </w:t>
            </w:r>
            <w:r>
              <w:t>may rely on inaccurate, out-of-date or incomplete personal information. This may cause harm, e.g. if someone is mistakenly sued as a beneficial owner after their ownership has ceased</w:t>
            </w:r>
            <w:r w:rsidR="003709DC">
              <w:t>, or subject to ASIC enforcement action</w:t>
            </w:r>
            <w:r>
              <w:t>.</w:t>
            </w:r>
          </w:p>
        </w:tc>
      </w:tr>
      <w:tr w:rsidR="00E97014" w14:paraId="02AF181F" w14:textId="77777777" w:rsidTr="000962C3">
        <w:tc>
          <w:tcPr>
            <w:tcW w:w="1035" w:type="pct"/>
            <w:vAlign w:val="top"/>
          </w:tcPr>
          <w:p w14:paraId="1D57665A" w14:textId="2531BF59" w:rsidR="00E97014" w:rsidRDefault="00E97014" w:rsidP="00E97014">
            <w:pPr>
              <w:pStyle w:val="CABParagraph"/>
              <w:spacing w:before="60" w:after="60"/>
              <w:rPr>
                <w:rFonts w:cs="Arial"/>
                <w:b/>
              </w:rPr>
            </w:pPr>
            <w:r>
              <w:rPr>
                <w:rFonts w:cs="Arial"/>
                <w:b/>
              </w:rPr>
              <w:t>Risk of data breach</w:t>
            </w:r>
          </w:p>
        </w:tc>
        <w:tc>
          <w:tcPr>
            <w:tcW w:w="3965" w:type="pct"/>
            <w:vAlign w:val="top"/>
          </w:tcPr>
          <w:p w14:paraId="3CFE4BCF" w14:textId="4034CD65" w:rsidR="00E97014" w:rsidRDefault="00E97014" w:rsidP="00E97014">
            <w:pPr>
              <w:pStyle w:val="TablePlainParagraph"/>
            </w:pPr>
            <w:r>
              <w:t xml:space="preserve">Unauthorised access or disclosure of BOI could cause emotional, financial, </w:t>
            </w:r>
            <w:proofErr w:type="gramStart"/>
            <w:r>
              <w:t>reputational</w:t>
            </w:r>
            <w:proofErr w:type="gramEnd"/>
            <w:r>
              <w:t xml:space="preserve"> or physical harm to the individual</w:t>
            </w:r>
            <w:r w:rsidR="007445A6">
              <w:t xml:space="preserve"> (described in more detail below) </w:t>
            </w:r>
          </w:p>
        </w:tc>
      </w:tr>
    </w:tbl>
    <w:p w14:paraId="1CD52967" w14:textId="254E80C1" w:rsidR="00591C3C" w:rsidRDefault="00A02338" w:rsidP="00D2497E">
      <w:pPr>
        <w:pStyle w:val="Heading4"/>
        <w:spacing w:after="120"/>
      </w:pPr>
      <w:r>
        <w:t xml:space="preserve">Potential privacy impacts – </w:t>
      </w:r>
      <w:r w:rsidR="00591C3C">
        <w:t>Stage 2</w:t>
      </w:r>
      <w:r>
        <w:t xml:space="preserve"> only</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805"/>
        <w:gridCol w:w="6415"/>
      </w:tblGrid>
      <w:tr w:rsidR="009C7FDE" w:rsidRPr="00121519" w14:paraId="423A16D0" w14:textId="77777777" w:rsidTr="00DC5E72">
        <w:trPr>
          <w:cantSplit/>
          <w:tblHeader/>
        </w:trPr>
        <w:tc>
          <w:tcPr>
            <w:tcW w:w="863" w:type="pct"/>
            <w:shd w:val="clear" w:color="auto" w:fill="C4DDEA"/>
          </w:tcPr>
          <w:p w14:paraId="7B325869" w14:textId="77777777" w:rsidR="009C7FDE" w:rsidRDefault="009C7FDE" w:rsidP="00D2497E">
            <w:pPr>
              <w:pStyle w:val="TableHeading2"/>
            </w:pPr>
            <w:r>
              <w:t>Impact</w:t>
            </w:r>
          </w:p>
        </w:tc>
        <w:tc>
          <w:tcPr>
            <w:tcW w:w="4137" w:type="pct"/>
            <w:shd w:val="clear" w:color="auto" w:fill="C4DDEA"/>
            <w:vAlign w:val="top"/>
          </w:tcPr>
          <w:p w14:paraId="55769B8B" w14:textId="77777777" w:rsidR="009C7FDE" w:rsidRPr="00121519" w:rsidRDefault="009C7FDE" w:rsidP="00D2497E">
            <w:pPr>
              <w:pStyle w:val="TableHeading2"/>
            </w:pPr>
            <w:r>
              <w:t xml:space="preserve">Description </w:t>
            </w:r>
          </w:p>
        </w:tc>
      </w:tr>
      <w:tr w:rsidR="009C7FDE" w14:paraId="2676E339" w14:textId="77777777" w:rsidTr="00DC5E72">
        <w:tc>
          <w:tcPr>
            <w:tcW w:w="863" w:type="pct"/>
            <w:vAlign w:val="top"/>
          </w:tcPr>
          <w:p w14:paraId="4989F1F1" w14:textId="17FBF943" w:rsidR="009C7FDE" w:rsidRPr="000D0737" w:rsidRDefault="009C7FDE" w:rsidP="00D2497E">
            <w:pPr>
              <w:pStyle w:val="CABParagraph"/>
              <w:keepNext/>
              <w:keepLines/>
              <w:spacing w:before="60" w:after="60"/>
              <w:rPr>
                <w:rFonts w:cs="Arial"/>
                <w:b/>
              </w:rPr>
            </w:pPr>
            <w:r>
              <w:rPr>
                <w:rFonts w:cs="Arial"/>
                <w:b/>
              </w:rPr>
              <w:t>Data accumulation</w:t>
            </w:r>
          </w:p>
        </w:tc>
        <w:tc>
          <w:tcPr>
            <w:tcW w:w="4137" w:type="pct"/>
            <w:vAlign w:val="top"/>
          </w:tcPr>
          <w:p w14:paraId="4C139639" w14:textId="761268FD" w:rsidR="009C7FDE" w:rsidRDefault="00461D9F" w:rsidP="00D2497E">
            <w:pPr>
              <w:pStyle w:val="TablePlainParagraph"/>
              <w:keepNext/>
              <w:keepLines/>
            </w:pPr>
            <w:r>
              <w:t>The Commonwealth will collate individual BORs in a central register (</w:t>
            </w:r>
            <w:r w:rsidRPr="000962C3">
              <w:rPr>
                <w:b/>
              </w:rPr>
              <w:t>PCBOR</w:t>
            </w:r>
            <w:r>
              <w:t xml:space="preserve">). This will present an attractive honey pot </w:t>
            </w:r>
            <w:bookmarkStart w:id="104" w:name="_Hlk168633032"/>
            <w:r>
              <w:t>for malicious individuals seeking to access high value personal information</w:t>
            </w:r>
            <w:bookmarkEnd w:id="104"/>
            <w:r>
              <w:t>, as compared with individual BORs maintained by individual in-scope companies.</w:t>
            </w:r>
          </w:p>
        </w:tc>
      </w:tr>
      <w:tr w:rsidR="009C7FDE" w14:paraId="5E8FDA28" w14:textId="77777777" w:rsidTr="00DC5E72">
        <w:tc>
          <w:tcPr>
            <w:tcW w:w="863" w:type="pct"/>
            <w:vAlign w:val="top"/>
          </w:tcPr>
          <w:p w14:paraId="39F7C55E" w14:textId="6D902BF9" w:rsidR="009C7FDE" w:rsidRPr="000D0737" w:rsidRDefault="009C7FDE" w:rsidP="004424D6">
            <w:pPr>
              <w:pStyle w:val="CABParagraph"/>
              <w:spacing w:before="60" w:after="60"/>
              <w:rPr>
                <w:rFonts w:cs="Arial"/>
                <w:b/>
              </w:rPr>
            </w:pPr>
            <w:r>
              <w:rPr>
                <w:rFonts w:cs="Arial"/>
                <w:b/>
              </w:rPr>
              <w:t>Unreasonable or disproportionate disclosure</w:t>
            </w:r>
          </w:p>
        </w:tc>
        <w:tc>
          <w:tcPr>
            <w:tcW w:w="4137" w:type="pct"/>
            <w:vAlign w:val="top"/>
          </w:tcPr>
          <w:p w14:paraId="6599C7AD" w14:textId="1F8C5BD2" w:rsidR="007445A6" w:rsidRDefault="00826983" w:rsidP="004424D6">
            <w:pPr>
              <w:pStyle w:val="TablePlainParagraph"/>
            </w:pPr>
            <w:r>
              <w:t>T</w:t>
            </w:r>
            <w:r w:rsidR="00461D9F">
              <w:t>he</w:t>
            </w:r>
            <w:r w:rsidR="00360682">
              <w:t xml:space="preserve"> RCA will grant access to </w:t>
            </w:r>
            <w:r w:rsidR="00461D9F">
              <w:t>details about the personal and financial affairs of beneficial owners</w:t>
            </w:r>
            <w:r w:rsidR="00360682">
              <w:t xml:space="preserve"> within the PCBOR</w:t>
            </w:r>
            <w:r w:rsidR="001141E3">
              <w:t>.</w:t>
            </w:r>
            <w:r w:rsidR="00461D9F">
              <w:t xml:space="preserve"> </w:t>
            </w:r>
            <w:r w:rsidR="002C1A02">
              <w:t xml:space="preserve">Although access will be conditioned on a requirement to have no improper purpose for seeking access, it is possible that malicious actors will still get access to BOI kept on the PCBOR through fraudulent means. </w:t>
            </w:r>
            <w:bookmarkStart w:id="105" w:name="_Hlk168633091"/>
            <w:r w:rsidR="00461D9F">
              <w:t>This may expose personal information to data scrapers, data brokers</w:t>
            </w:r>
            <w:r w:rsidR="002C1A02">
              <w:t>,</w:t>
            </w:r>
            <w:r w:rsidR="00461D9F">
              <w:t xml:space="preserve"> and</w:t>
            </w:r>
            <w:r w:rsidR="00C70065">
              <w:t xml:space="preserve"> identity thieves</w:t>
            </w:r>
            <w:r w:rsidR="00461D9F">
              <w:t>, either for use alone or in combination with other information.</w:t>
            </w:r>
            <w:bookmarkEnd w:id="105"/>
            <w:r w:rsidR="00461D9F">
              <w:t xml:space="preserve"> </w:t>
            </w:r>
            <w:r w:rsidR="002C1A02">
              <w:t>In turn, t</w:t>
            </w:r>
            <w:r w:rsidR="00C70065">
              <w:t>his may expose beneficial owners</w:t>
            </w:r>
            <w:r w:rsidR="005819B6">
              <w:t xml:space="preserve"> to risks</w:t>
            </w:r>
            <w:r w:rsidR="00C70065">
              <w:t xml:space="preserve"> </w:t>
            </w:r>
            <w:r w:rsidR="007445A6">
              <w:t>including:</w:t>
            </w:r>
          </w:p>
          <w:p w14:paraId="2997B87A" w14:textId="670A262C" w:rsidR="007445A6" w:rsidRDefault="007445A6" w:rsidP="00804008">
            <w:pPr>
              <w:pStyle w:val="TablePlainParagraph"/>
              <w:numPr>
                <w:ilvl w:val="0"/>
                <w:numId w:val="40"/>
              </w:numPr>
            </w:pPr>
            <w:r>
              <w:t>f</w:t>
            </w:r>
            <w:r w:rsidR="00C70065">
              <w:t>inancial</w:t>
            </w:r>
            <w:r>
              <w:t xml:space="preserve"> and</w:t>
            </w:r>
            <w:r w:rsidR="00C70065">
              <w:t xml:space="preserve"> reputational </w:t>
            </w:r>
            <w:r>
              <w:t xml:space="preserve">harm, e.g. where name, address and ownership details are exploited to perpetrate identity and/or financial </w:t>
            </w:r>
            <w:proofErr w:type="gramStart"/>
            <w:r>
              <w:t>fraud</w:t>
            </w:r>
            <w:proofErr w:type="gramEnd"/>
          </w:p>
          <w:p w14:paraId="715B81CF" w14:textId="7415D1E6" w:rsidR="007445A6" w:rsidRPr="007445A6" w:rsidRDefault="00C70065" w:rsidP="00804008">
            <w:pPr>
              <w:pStyle w:val="TablePlainParagraph"/>
              <w:numPr>
                <w:ilvl w:val="0"/>
                <w:numId w:val="40"/>
              </w:numPr>
            </w:pPr>
            <w:r>
              <w:t xml:space="preserve">physical </w:t>
            </w:r>
            <w:r w:rsidR="007445A6">
              <w:t xml:space="preserve">or emotional harm, if publication of </w:t>
            </w:r>
            <w:r w:rsidR="00155D3D">
              <w:t>BOI generally</w:t>
            </w:r>
            <w:r w:rsidR="007445A6">
              <w:t xml:space="preserve"> </w:t>
            </w:r>
            <w:r w:rsidR="00EB4675">
              <w:t>jeopardises</w:t>
            </w:r>
            <w:r w:rsidR="007445A6">
              <w:t xml:space="preserve"> the safety and security of beneficial owners (e.g. if they become the target of assault, kidnapping, </w:t>
            </w:r>
            <w:proofErr w:type="gramStart"/>
            <w:r w:rsidR="007445A6">
              <w:t>extortion</w:t>
            </w:r>
            <w:proofErr w:type="gramEnd"/>
            <w:r w:rsidR="007445A6">
              <w:t xml:space="preserve"> or theft).</w:t>
            </w:r>
          </w:p>
        </w:tc>
      </w:tr>
    </w:tbl>
    <w:p w14:paraId="02BF6EA0" w14:textId="2CDA43F2" w:rsidR="001808D4" w:rsidRDefault="001808D4" w:rsidP="001808D4">
      <w:pPr>
        <w:pStyle w:val="Heading3"/>
      </w:pPr>
      <w:r>
        <w:t xml:space="preserve">Protections in the </w:t>
      </w:r>
      <w:r w:rsidR="00E62A06">
        <w:t>BO Policy</w:t>
      </w:r>
    </w:p>
    <w:p w14:paraId="33300493" w14:textId="4C6D6AF0" w:rsidR="001808D4" w:rsidRDefault="00EB4675" w:rsidP="001808D4">
      <w:pPr>
        <w:pStyle w:val="NumberLevel1"/>
        <w:rPr>
          <w:lang w:eastAsia="en-US"/>
        </w:rPr>
      </w:pPr>
      <w:r>
        <w:rPr>
          <w:lang w:eastAsia="en-US"/>
        </w:rPr>
        <w:t xml:space="preserve">The </w:t>
      </w:r>
      <w:r w:rsidR="00E62A06">
        <w:rPr>
          <w:lang w:eastAsia="en-US"/>
        </w:rPr>
        <w:t>BO Policy</w:t>
      </w:r>
      <w:r>
        <w:rPr>
          <w:lang w:eastAsia="en-US"/>
        </w:rPr>
        <w:t xml:space="preserve"> includes </w:t>
      </w:r>
      <w:r w:rsidR="00774E9C">
        <w:rPr>
          <w:lang w:eastAsia="en-US"/>
        </w:rPr>
        <w:t>several</w:t>
      </w:r>
      <w:r>
        <w:rPr>
          <w:lang w:eastAsia="en-US"/>
        </w:rPr>
        <w:t xml:space="preserve"> measures to </w:t>
      </w:r>
      <w:r w:rsidR="006D1AE9">
        <w:rPr>
          <w:lang w:eastAsia="en-US"/>
        </w:rPr>
        <w:t xml:space="preserve">mitigate </w:t>
      </w:r>
      <w:r>
        <w:rPr>
          <w:lang w:eastAsia="en-US"/>
        </w:rPr>
        <w:t>the privacy impact on beneficial owners. Three of the key measures are set out in the table below.</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560"/>
        <w:gridCol w:w="6660"/>
      </w:tblGrid>
      <w:tr w:rsidR="00EB4675" w:rsidRPr="00121519" w14:paraId="28BA0D3E" w14:textId="77777777" w:rsidTr="00DC5E72">
        <w:trPr>
          <w:cantSplit/>
          <w:tblHeader/>
        </w:trPr>
        <w:tc>
          <w:tcPr>
            <w:tcW w:w="949" w:type="pct"/>
            <w:shd w:val="clear" w:color="auto" w:fill="C4DDEA"/>
          </w:tcPr>
          <w:p w14:paraId="1EA3BAA1" w14:textId="2BA30ADA" w:rsidR="00EB4675" w:rsidRDefault="00EB4675" w:rsidP="00682AB3">
            <w:pPr>
              <w:pStyle w:val="TableHeading2"/>
            </w:pPr>
            <w:r>
              <w:t>Protection</w:t>
            </w:r>
          </w:p>
        </w:tc>
        <w:tc>
          <w:tcPr>
            <w:tcW w:w="4051" w:type="pct"/>
            <w:shd w:val="clear" w:color="auto" w:fill="C4DDEA"/>
            <w:vAlign w:val="top"/>
          </w:tcPr>
          <w:p w14:paraId="0A3B8716" w14:textId="77777777" w:rsidR="00EB4675" w:rsidRPr="00121519" w:rsidRDefault="00EB4675" w:rsidP="00682AB3">
            <w:pPr>
              <w:pStyle w:val="TableHeading2"/>
            </w:pPr>
            <w:r>
              <w:t xml:space="preserve">Description </w:t>
            </w:r>
          </w:p>
        </w:tc>
      </w:tr>
      <w:tr w:rsidR="00EB4675" w14:paraId="34ECC772" w14:textId="77777777" w:rsidTr="00DC5E72">
        <w:tc>
          <w:tcPr>
            <w:tcW w:w="949" w:type="pct"/>
            <w:vAlign w:val="top"/>
          </w:tcPr>
          <w:p w14:paraId="049ACA7C" w14:textId="5528B1F5" w:rsidR="00EB4675" w:rsidRPr="000D0737" w:rsidRDefault="00EB4675" w:rsidP="00682AB3">
            <w:pPr>
              <w:pStyle w:val="CABParagraph"/>
              <w:spacing w:before="60" w:after="60"/>
              <w:rPr>
                <w:rFonts w:cs="Arial"/>
                <w:b/>
              </w:rPr>
            </w:pPr>
            <w:r>
              <w:rPr>
                <w:rFonts w:cs="Arial"/>
                <w:b/>
              </w:rPr>
              <w:t>Limiting BOI available to the public</w:t>
            </w:r>
          </w:p>
        </w:tc>
        <w:tc>
          <w:tcPr>
            <w:tcW w:w="4051" w:type="pct"/>
            <w:vAlign w:val="top"/>
          </w:tcPr>
          <w:p w14:paraId="4156AB0C" w14:textId="1CAC52BB" w:rsidR="00EB4675" w:rsidRDefault="00014281" w:rsidP="00682AB3">
            <w:pPr>
              <w:pStyle w:val="TablePlainParagraph"/>
            </w:pPr>
            <w:r>
              <w:t xml:space="preserve">The </w:t>
            </w:r>
            <w:r w:rsidR="00E62A06">
              <w:t>BO Policy</w:t>
            </w:r>
            <w:r>
              <w:t xml:space="preserve"> will not require in-scope companies or the RCA to provide access to the public to the full date of birth (only month and year of birth), address for communication, or residential address (only country of residence) to members of the public who are granted access to a BOR.</w:t>
            </w:r>
          </w:p>
        </w:tc>
      </w:tr>
      <w:tr w:rsidR="00EB4675" w:rsidRPr="007445A6" w14:paraId="234C3A4E" w14:textId="77777777" w:rsidTr="00DC5E72">
        <w:tc>
          <w:tcPr>
            <w:tcW w:w="949" w:type="pct"/>
            <w:vAlign w:val="top"/>
          </w:tcPr>
          <w:p w14:paraId="7AAC4351" w14:textId="19EE85BC" w:rsidR="00EB4675" w:rsidRPr="000D0737" w:rsidRDefault="0039781E" w:rsidP="00682AB3">
            <w:pPr>
              <w:pStyle w:val="CABParagraph"/>
              <w:spacing w:before="60" w:after="60"/>
              <w:rPr>
                <w:rFonts w:cs="Arial"/>
                <w:b/>
              </w:rPr>
            </w:pPr>
            <w:r>
              <w:rPr>
                <w:rFonts w:cs="Arial"/>
                <w:b/>
              </w:rPr>
              <w:t>L</w:t>
            </w:r>
            <w:r w:rsidR="00014281">
              <w:rPr>
                <w:rFonts w:cs="Arial"/>
                <w:b/>
              </w:rPr>
              <w:t>imiting access to people who do not have an improper purpose</w:t>
            </w:r>
          </w:p>
        </w:tc>
        <w:tc>
          <w:tcPr>
            <w:tcW w:w="4051" w:type="pct"/>
            <w:vAlign w:val="top"/>
          </w:tcPr>
          <w:p w14:paraId="67B4EF46" w14:textId="50488AF0" w:rsidR="00EB4675" w:rsidRPr="00014281" w:rsidRDefault="0039781E" w:rsidP="002F6EFA">
            <w:pPr>
              <w:pStyle w:val="TablePlainParagraph"/>
            </w:pPr>
            <w:r>
              <w:t>I</w:t>
            </w:r>
            <w:r w:rsidR="00014281">
              <w:t>n-scope companies</w:t>
            </w:r>
            <w:r>
              <w:t>, and the RCA,</w:t>
            </w:r>
            <w:r w:rsidR="00014281">
              <w:t xml:space="preserve"> </w:t>
            </w:r>
            <w:r>
              <w:t xml:space="preserve">will be </w:t>
            </w:r>
            <w:r w:rsidR="00014281">
              <w:t xml:space="preserve">prohibited from providing access to </w:t>
            </w:r>
            <w:r>
              <w:t xml:space="preserve">BOI </w:t>
            </w:r>
            <w:r w:rsidR="00014281">
              <w:t xml:space="preserve">to members of the public who seek access for an improper purpose. The improper purposes for access will be aligned with the improper purposes for seeking a copy of a company’s register outlined in reg 2C.1.03 of the </w:t>
            </w:r>
            <w:r w:rsidR="00014281">
              <w:rPr>
                <w:i/>
              </w:rPr>
              <w:t xml:space="preserve">Corporations Regulation 2001 </w:t>
            </w:r>
            <w:r w:rsidR="00014281" w:rsidRPr="002F6EFA">
              <w:t>(</w:t>
            </w:r>
            <w:proofErr w:type="spellStart"/>
            <w:r w:rsidR="00014281" w:rsidRPr="002F6EFA">
              <w:t>Cth</w:t>
            </w:r>
            <w:proofErr w:type="spellEnd"/>
            <w:r w:rsidR="00014281" w:rsidRPr="002F6EFA">
              <w:t>)</w:t>
            </w:r>
            <w:r w:rsidR="006112CF">
              <w:t>.</w:t>
            </w:r>
          </w:p>
        </w:tc>
      </w:tr>
      <w:tr w:rsidR="00014281" w:rsidRPr="007445A6" w14:paraId="0001E6F4" w14:textId="77777777" w:rsidTr="00DC5E72">
        <w:tc>
          <w:tcPr>
            <w:tcW w:w="949" w:type="pct"/>
            <w:vAlign w:val="top"/>
          </w:tcPr>
          <w:p w14:paraId="71BCB9DE" w14:textId="6061119B" w:rsidR="00014281" w:rsidRDefault="00014281" w:rsidP="00682AB3">
            <w:pPr>
              <w:pStyle w:val="CABParagraph"/>
              <w:spacing w:before="60" w:after="60"/>
              <w:rPr>
                <w:rFonts w:cs="Arial"/>
                <w:b/>
              </w:rPr>
            </w:pPr>
            <w:r>
              <w:rPr>
                <w:rFonts w:cs="Arial"/>
                <w:b/>
              </w:rPr>
              <w:t>Suppression regime</w:t>
            </w:r>
          </w:p>
        </w:tc>
        <w:tc>
          <w:tcPr>
            <w:tcW w:w="4051" w:type="pct"/>
            <w:vAlign w:val="top"/>
          </w:tcPr>
          <w:p w14:paraId="29E43288" w14:textId="0A06EADD" w:rsidR="00014281" w:rsidRDefault="00014281" w:rsidP="00014281">
            <w:pPr>
              <w:pStyle w:val="TablePlainParagraph"/>
            </w:pPr>
            <w:r>
              <w:t>T</w:t>
            </w:r>
            <w:r w:rsidRPr="00014281">
              <w:t>he</w:t>
            </w:r>
            <w:r w:rsidR="009B00A0">
              <w:t xml:space="preserve"> </w:t>
            </w:r>
            <w:r w:rsidR="00E62A06">
              <w:t>BO Policy</w:t>
            </w:r>
            <w:r w:rsidR="009B00A0">
              <w:t xml:space="preserve"> will contain</w:t>
            </w:r>
            <w:r w:rsidRPr="00014281">
              <w:t xml:space="preserve"> mechanisms to protect the public information of vulnerable individuals</w:t>
            </w:r>
            <w:r>
              <w:t>. Certain BOI of individuals who meet one of the following criteria will not be disclosed to members of the public:</w:t>
            </w:r>
          </w:p>
          <w:p w14:paraId="54ADD44B" w14:textId="4B411A4D" w:rsidR="00014281" w:rsidRDefault="00014281" w:rsidP="00804008">
            <w:pPr>
              <w:pStyle w:val="TablePlainParagraph"/>
              <w:numPr>
                <w:ilvl w:val="0"/>
                <w:numId w:val="45"/>
              </w:numPr>
            </w:pPr>
            <w:r>
              <w:t>under the age of 18 or</w:t>
            </w:r>
          </w:p>
          <w:p w14:paraId="2BB62FC4" w14:textId="0307DF10" w:rsidR="00014281" w:rsidRDefault="00014281" w:rsidP="00804008">
            <w:pPr>
              <w:pStyle w:val="TablePlainParagraph"/>
              <w:numPr>
                <w:ilvl w:val="0"/>
                <w:numId w:val="45"/>
              </w:numPr>
            </w:pPr>
            <w:r>
              <w:t xml:space="preserve">have the status of a silent voter as endorsed by the </w:t>
            </w:r>
            <w:proofErr w:type="gramStart"/>
            <w:r>
              <w:t>AEC</w:t>
            </w:r>
            <w:proofErr w:type="gramEnd"/>
            <w:r>
              <w:t xml:space="preserve"> </w:t>
            </w:r>
          </w:p>
          <w:p w14:paraId="075348F9" w14:textId="71CB3B6E" w:rsidR="00014281" w:rsidRDefault="00014281" w:rsidP="00804008">
            <w:pPr>
              <w:pStyle w:val="TablePlainParagraph"/>
              <w:numPr>
                <w:ilvl w:val="0"/>
                <w:numId w:val="45"/>
              </w:numPr>
            </w:pPr>
            <w:r>
              <w:t>have evidence from ASIC they are considered a ‘suppressed beneficial owner’ or</w:t>
            </w:r>
          </w:p>
          <w:p w14:paraId="212338F9" w14:textId="078BFA56" w:rsidR="00014281" w:rsidRDefault="00014281" w:rsidP="00804008">
            <w:pPr>
              <w:pStyle w:val="TablePlainParagraph"/>
              <w:numPr>
                <w:ilvl w:val="0"/>
                <w:numId w:val="45"/>
              </w:numPr>
            </w:pPr>
            <w:r>
              <w:t xml:space="preserve">are in the process of applying for suppression with </w:t>
            </w:r>
            <w:proofErr w:type="gramStart"/>
            <w:r>
              <w:t>ASIC</w:t>
            </w:r>
            <w:proofErr w:type="gramEnd"/>
          </w:p>
          <w:p w14:paraId="70336DA3" w14:textId="1B0DA5DF" w:rsidR="00014281" w:rsidRPr="007445A6" w:rsidRDefault="00014281" w:rsidP="002F6EFA">
            <w:pPr>
              <w:pStyle w:val="TablePlainParagraph"/>
            </w:pPr>
            <w:r>
              <w:t>A</w:t>
            </w:r>
            <w:r w:rsidR="009B00A0">
              <w:t>SIC will only approve a</w:t>
            </w:r>
            <w:r>
              <w:t xml:space="preserve">pplications for suppression </w:t>
            </w:r>
            <w:r w:rsidR="009B00A0">
              <w:t xml:space="preserve">if the </w:t>
            </w:r>
            <w:r>
              <w:t xml:space="preserve">individual or their family will be exposed to a risk </w:t>
            </w:r>
            <w:r w:rsidR="00DD0067">
              <w:t xml:space="preserve">to safety or </w:t>
            </w:r>
            <w:r>
              <w:t>of harm by the provision of their BOI to the public.</w:t>
            </w:r>
          </w:p>
        </w:tc>
      </w:tr>
    </w:tbl>
    <w:p w14:paraId="169F9815" w14:textId="4D59A298" w:rsidR="000F360A" w:rsidRDefault="000F360A" w:rsidP="000F360A">
      <w:pPr>
        <w:pStyle w:val="Heading3"/>
      </w:pPr>
      <w:r>
        <w:t>International experience</w:t>
      </w:r>
    </w:p>
    <w:p w14:paraId="04FFE87C" w14:textId="62F1EC3B" w:rsidR="0051664E" w:rsidRDefault="000F360A" w:rsidP="000F360A">
      <w:pPr>
        <w:pStyle w:val="NumberLevel1"/>
        <w:rPr>
          <w:lang w:eastAsia="en-US"/>
        </w:rPr>
      </w:pPr>
      <w:r>
        <w:rPr>
          <w:lang w:eastAsia="en-US"/>
        </w:rPr>
        <w:t xml:space="preserve">Australia will not be the first FATF member country to </w:t>
      </w:r>
      <w:r w:rsidR="003D299A">
        <w:rPr>
          <w:lang w:eastAsia="en-US"/>
        </w:rPr>
        <w:t xml:space="preserve">implement </w:t>
      </w:r>
      <w:r w:rsidR="00826983">
        <w:rPr>
          <w:lang w:eastAsia="en-US"/>
        </w:rPr>
        <w:t>R</w:t>
      </w:r>
      <w:r>
        <w:rPr>
          <w:lang w:eastAsia="en-US"/>
        </w:rPr>
        <w:t>ecommendation 24</w:t>
      </w:r>
      <w:r w:rsidR="003D299A">
        <w:rPr>
          <w:lang w:eastAsia="en-US"/>
        </w:rPr>
        <w:t xml:space="preserve"> of the International Standards</w:t>
      </w:r>
      <w:r>
        <w:rPr>
          <w:lang w:eastAsia="en-US"/>
        </w:rPr>
        <w:t xml:space="preserve"> by introduci</w:t>
      </w:r>
      <w:r w:rsidR="003D299A">
        <w:rPr>
          <w:lang w:eastAsia="en-US"/>
        </w:rPr>
        <w:t>ng</w:t>
      </w:r>
      <w:r>
        <w:rPr>
          <w:lang w:eastAsia="en-US"/>
        </w:rPr>
        <w:t xml:space="preserve"> new laws to </w:t>
      </w:r>
      <w:r w:rsidR="0051664E">
        <w:rPr>
          <w:lang w:eastAsia="en-US"/>
        </w:rPr>
        <w:t>ensure that there is:</w:t>
      </w:r>
    </w:p>
    <w:p w14:paraId="59487CB3" w14:textId="7EC14C12" w:rsidR="0051664E" w:rsidRDefault="0051664E" w:rsidP="009B00A0">
      <w:pPr>
        <w:pStyle w:val="Quotation1"/>
        <w:rPr>
          <w:lang w:eastAsia="en-US"/>
        </w:rPr>
      </w:pPr>
      <w:r>
        <w:rPr>
          <w:lang w:eastAsia="en-US"/>
        </w:rPr>
        <w:t>…</w:t>
      </w:r>
      <w:r>
        <w:t>adequate, accurate and up-to-date information on the beneficial ownership and control of legal persons that can be obtained or accessed rapidly and efficiently by competent authorities,</w:t>
      </w:r>
    </w:p>
    <w:p w14:paraId="039A0F16" w14:textId="00C906BC" w:rsidR="000F360A" w:rsidRDefault="00EE15A3" w:rsidP="00914E07">
      <w:pPr>
        <w:pStyle w:val="NumberLevel1"/>
        <w:rPr>
          <w:lang w:eastAsia="en-US"/>
        </w:rPr>
      </w:pPr>
      <w:r>
        <w:rPr>
          <w:lang w:eastAsia="en-US"/>
        </w:rPr>
        <w:t>Countries including t</w:t>
      </w:r>
      <w:r w:rsidR="000F360A">
        <w:rPr>
          <w:lang w:eastAsia="en-US"/>
        </w:rPr>
        <w:t>he United Kingdom (</w:t>
      </w:r>
      <w:r w:rsidR="000F360A" w:rsidRPr="00155D3D">
        <w:rPr>
          <w:lang w:eastAsia="en-US"/>
        </w:rPr>
        <w:t>UK</w:t>
      </w:r>
      <w:r w:rsidR="000F360A">
        <w:rPr>
          <w:lang w:eastAsia="en-US"/>
        </w:rPr>
        <w:t>), Singapore, France</w:t>
      </w:r>
      <w:r w:rsidR="00C81A6A">
        <w:rPr>
          <w:lang w:eastAsia="en-US"/>
        </w:rPr>
        <w:t>, and Luxembourg</w:t>
      </w:r>
      <w:r w:rsidR="000F360A">
        <w:rPr>
          <w:lang w:eastAsia="en-US"/>
        </w:rPr>
        <w:t xml:space="preserve"> have introduced frameworks for this purpose.</w:t>
      </w:r>
      <w:r w:rsidR="00155D3D">
        <w:rPr>
          <w:lang w:eastAsia="en-US"/>
        </w:rPr>
        <w:t xml:space="preserve"> As </w:t>
      </w:r>
      <w:proofErr w:type="gramStart"/>
      <w:r w:rsidR="00155D3D">
        <w:rPr>
          <w:lang w:eastAsia="en-US"/>
        </w:rPr>
        <w:t>at</w:t>
      </w:r>
      <w:proofErr w:type="gramEnd"/>
      <w:r w:rsidR="00155D3D">
        <w:rPr>
          <w:lang w:eastAsia="en-US"/>
        </w:rPr>
        <w:t xml:space="preserve"> 22 February 2022, of the 200 jurisdictions that have committed to the FATF recommendations, 60 countries were rated as 'largely compliant' or 'compliant' against FATF Recommendation 24, and 48</w:t>
      </w:r>
      <w:r w:rsidR="001B3051">
        <w:rPr>
          <w:lang w:eastAsia="en-US"/>
        </w:rPr>
        <w:t> </w:t>
      </w:r>
      <w:r w:rsidR="00155D3D">
        <w:rPr>
          <w:lang w:eastAsia="en-US"/>
        </w:rPr>
        <w:t xml:space="preserve">countries had beneficial ownership registers. </w:t>
      </w:r>
    </w:p>
    <w:p w14:paraId="7472EFFA" w14:textId="1C9E0535" w:rsidR="000F360A" w:rsidRDefault="000F360A" w:rsidP="000F360A">
      <w:pPr>
        <w:pStyle w:val="Heading4"/>
      </w:pPr>
      <w:r>
        <w:t>United Kingdom</w:t>
      </w:r>
    </w:p>
    <w:p w14:paraId="753A91E6" w14:textId="76006CF8" w:rsidR="000F360A" w:rsidRDefault="000F360A" w:rsidP="000F360A">
      <w:pPr>
        <w:pStyle w:val="NumberLevel1"/>
      </w:pPr>
      <w:r w:rsidRPr="000F360A">
        <w:t xml:space="preserve">In 2015, the </w:t>
      </w:r>
      <w:r w:rsidR="00826983">
        <w:t>UK</w:t>
      </w:r>
      <w:r w:rsidRPr="000F360A">
        <w:t xml:space="preserve"> introduced requirements for companies to identify and collect information about ‘Persons with Significant Control’ (</w:t>
      </w:r>
      <w:r w:rsidRPr="009B00A0">
        <w:rPr>
          <w:b/>
        </w:rPr>
        <w:t>PSC</w:t>
      </w:r>
      <w:r w:rsidRPr="000F360A">
        <w:t>)</w:t>
      </w:r>
      <w:r>
        <w:t xml:space="preserve">. The criteria for a PSC and for a beneficial owner are almost </w:t>
      </w:r>
      <w:r w:rsidR="00875D90">
        <w:t>identical</w:t>
      </w:r>
      <w:r>
        <w:t>, although a PSC also expressly includes someone w</w:t>
      </w:r>
      <w:r w:rsidR="0051664E">
        <w:t>ith</w:t>
      </w:r>
      <w:r>
        <w:t xml:space="preserve"> </w:t>
      </w:r>
      <w:r w:rsidR="00875D90" w:rsidRPr="00875D90">
        <w:t xml:space="preserve">the right to exercise, or </w:t>
      </w:r>
      <w:proofErr w:type="gramStart"/>
      <w:r w:rsidR="00875D90" w:rsidRPr="00875D90">
        <w:t>actually exercising</w:t>
      </w:r>
      <w:proofErr w:type="gramEnd"/>
      <w:r w:rsidR="00875D90" w:rsidRPr="00875D90">
        <w:t xml:space="preserve">, significant influence or control over the activities of a </w:t>
      </w:r>
      <w:r w:rsidR="00875D90" w:rsidRPr="007E2E00">
        <w:rPr>
          <w:u w:val="single"/>
        </w:rPr>
        <w:t>trust or a firm</w:t>
      </w:r>
      <w:r w:rsidR="00875D90" w:rsidRPr="00875D90">
        <w:t xml:space="preserve">, which in turn satisfies any of the </w:t>
      </w:r>
      <w:r w:rsidR="00875D90">
        <w:t>other criteria</w:t>
      </w:r>
      <w:r w:rsidR="00875D90" w:rsidRPr="00875D90">
        <w:t>.</w:t>
      </w:r>
      <w:r w:rsidR="008A4F55">
        <w:t xml:space="preserve"> The information on the register is publicly accessible, free of charge</w:t>
      </w:r>
      <w:r w:rsidR="00337B2F">
        <w:t>.</w:t>
      </w:r>
    </w:p>
    <w:p w14:paraId="4245E72B" w14:textId="33A51CBC" w:rsidR="00903D51" w:rsidRDefault="00903D51" w:rsidP="00903D51">
      <w:pPr>
        <w:pStyle w:val="NumberLevel1"/>
      </w:pPr>
      <w:r>
        <w:t xml:space="preserve">In March 2019, the UK Department for Business, Energy &amp; Industrial Strategy released the </w:t>
      </w:r>
      <w:hyperlink r:id="rId24" w:history="1">
        <w:r w:rsidRPr="00903D51">
          <w:rPr>
            <w:rStyle w:val="Hyperlink"/>
          </w:rPr>
          <w:t>‘Review of the implementation of the PSC Register’</w:t>
        </w:r>
      </w:hyperlink>
      <w:r>
        <w:t xml:space="preserve"> (the </w:t>
      </w:r>
      <w:r w:rsidR="00CC3A9C">
        <w:rPr>
          <w:b/>
        </w:rPr>
        <w:t>PSC review</w:t>
      </w:r>
      <w:r w:rsidR="00CC3A9C">
        <w:t xml:space="preserve">). Key findings from the PSC review </w:t>
      </w:r>
      <w:r w:rsidR="00640FE0">
        <w:t>are set out in the table below.</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567"/>
        <w:gridCol w:w="7653"/>
      </w:tblGrid>
      <w:tr w:rsidR="00640FE0" w:rsidRPr="00121519" w14:paraId="2A59B396" w14:textId="77777777" w:rsidTr="008F368F">
        <w:trPr>
          <w:cantSplit/>
          <w:tblHeader/>
        </w:trPr>
        <w:tc>
          <w:tcPr>
            <w:tcW w:w="345" w:type="pct"/>
            <w:shd w:val="clear" w:color="auto" w:fill="C4DDEA"/>
            <w:vAlign w:val="top"/>
          </w:tcPr>
          <w:p w14:paraId="7063761B" w14:textId="090D5F2A" w:rsidR="00640FE0" w:rsidRPr="00121519" w:rsidRDefault="00640FE0" w:rsidP="00640FE0">
            <w:pPr>
              <w:pStyle w:val="TableHeading2"/>
              <w:ind w:left="176" w:hanging="176"/>
            </w:pPr>
            <w:r>
              <w:t>No.</w:t>
            </w:r>
          </w:p>
        </w:tc>
        <w:tc>
          <w:tcPr>
            <w:tcW w:w="4655" w:type="pct"/>
            <w:shd w:val="clear" w:color="auto" w:fill="C4DDEA"/>
          </w:tcPr>
          <w:p w14:paraId="40FD8374" w14:textId="229C291B" w:rsidR="00640FE0" w:rsidRPr="00121519" w:rsidRDefault="00640FE0" w:rsidP="00640FE0">
            <w:pPr>
              <w:pStyle w:val="TableHeading2"/>
            </w:pPr>
            <w:r>
              <w:t>Finding</w:t>
            </w:r>
          </w:p>
        </w:tc>
      </w:tr>
      <w:tr w:rsidR="00640FE0" w:rsidRPr="00121519" w14:paraId="3799CAAE" w14:textId="77777777" w:rsidTr="008F368F">
        <w:tc>
          <w:tcPr>
            <w:tcW w:w="345" w:type="pct"/>
            <w:vAlign w:val="top"/>
          </w:tcPr>
          <w:p w14:paraId="4E4B41EE" w14:textId="5C5C81EB" w:rsidR="00640FE0" w:rsidRPr="00121519" w:rsidRDefault="00640FE0" w:rsidP="00640FE0">
            <w:pPr>
              <w:pStyle w:val="TablePlainParagraph"/>
              <w:rPr>
                <w:b/>
              </w:rPr>
            </w:pPr>
            <w:r>
              <w:rPr>
                <w:b/>
              </w:rPr>
              <w:t>1.</w:t>
            </w:r>
          </w:p>
        </w:tc>
        <w:tc>
          <w:tcPr>
            <w:tcW w:w="4655" w:type="pct"/>
            <w:vAlign w:val="top"/>
          </w:tcPr>
          <w:p w14:paraId="60483221" w14:textId="79E208EC" w:rsidR="00640FE0" w:rsidRPr="00121519" w:rsidRDefault="00640FE0" w:rsidP="00640FE0">
            <w:pPr>
              <w:pStyle w:val="TablePlainParagraph"/>
            </w:pPr>
            <w:r w:rsidRPr="004157B6">
              <w:t>Two thirds of businesses kept records of their beneficial owners before the PSC Register was introduced.</w:t>
            </w:r>
          </w:p>
        </w:tc>
      </w:tr>
      <w:tr w:rsidR="00640FE0" w:rsidRPr="00121519" w14:paraId="798D5569" w14:textId="77777777" w:rsidTr="008F368F">
        <w:tc>
          <w:tcPr>
            <w:tcW w:w="345" w:type="pct"/>
            <w:vAlign w:val="top"/>
          </w:tcPr>
          <w:p w14:paraId="22013786" w14:textId="2C5FA5C2" w:rsidR="00640FE0" w:rsidRPr="00121519" w:rsidRDefault="00640FE0" w:rsidP="00640FE0">
            <w:pPr>
              <w:pStyle w:val="TablePlainParagraph"/>
              <w:rPr>
                <w:b/>
              </w:rPr>
            </w:pPr>
            <w:r>
              <w:rPr>
                <w:b/>
              </w:rPr>
              <w:t>2.</w:t>
            </w:r>
          </w:p>
        </w:tc>
        <w:tc>
          <w:tcPr>
            <w:tcW w:w="4655" w:type="pct"/>
            <w:vAlign w:val="top"/>
          </w:tcPr>
          <w:p w14:paraId="4AAEBD0C" w14:textId="1AB49F29" w:rsidR="00640FE0" w:rsidRPr="00121519" w:rsidRDefault="00640FE0" w:rsidP="00640FE0">
            <w:pPr>
              <w:pStyle w:val="TablePlainParagraph"/>
            </w:pPr>
            <w:r w:rsidRPr="004157B6">
              <w:t>92% of businesses surveyed had PSCs; 43% had one PSC, 3</w:t>
            </w:r>
            <w:r w:rsidR="004A0B35">
              <w:t>7</w:t>
            </w:r>
            <w:r w:rsidRPr="004157B6">
              <w:t>% had two and only 13% of businesses had three or more.</w:t>
            </w:r>
          </w:p>
        </w:tc>
      </w:tr>
      <w:tr w:rsidR="00640FE0" w:rsidRPr="00121519" w14:paraId="3A211540" w14:textId="77777777" w:rsidTr="008F368F">
        <w:tc>
          <w:tcPr>
            <w:tcW w:w="345" w:type="pct"/>
            <w:vAlign w:val="top"/>
          </w:tcPr>
          <w:p w14:paraId="6D414461" w14:textId="3D966884" w:rsidR="00640FE0" w:rsidRPr="00121519" w:rsidRDefault="00640FE0" w:rsidP="00640FE0">
            <w:pPr>
              <w:pStyle w:val="TablePlainParagraph"/>
              <w:rPr>
                <w:b/>
              </w:rPr>
            </w:pPr>
            <w:r>
              <w:rPr>
                <w:b/>
              </w:rPr>
              <w:t>3.</w:t>
            </w:r>
          </w:p>
        </w:tc>
        <w:tc>
          <w:tcPr>
            <w:tcW w:w="4655" w:type="pct"/>
            <w:vAlign w:val="top"/>
          </w:tcPr>
          <w:p w14:paraId="7BE92443" w14:textId="305EC310" w:rsidR="00640FE0" w:rsidRPr="00121519" w:rsidRDefault="00640FE0" w:rsidP="00640FE0">
            <w:pPr>
              <w:pStyle w:val="TablePlainParagraph"/>
            </w:pPr>
            <w:r w:rsidRPr="004157B6">
              <w:t>67% of business reported having the same number of PSCs as listed on the PSC register. 25% reported having more PSCs than were listed on the PSC register, and 8% reported having fewer PSCs than were listed on the PSC register</w:t>
            </w:r>
          </w:p>
        </w:tc>
      </w:tr>
      <w:tr w:rsidR="00640FE0" w:rsidRPr="00121519" w14:paraId="0305BEAA" w14:textId="77777777" w:rsidTr="008F368F">
        <w:tc>
          <w:tcPr>
            <w:tcW w:w="345" w:type="pct"/>
            <w:vAlign w:val="top"/>
          </w:tcPr>
          <w:p w14:paraId="5E8FFD10" w14:textId="4D18D36A" w:rsidR="00640FE0" w:rsidRPr="00121519" w:rsidRDefault="00640FE0" w:rsidP="00640FE0">
            <w:pPr>
              <w:pStyle w:val="TablePlainParagraph"/>
              <w:rPr>
                <w:b/>
              </w:rPr>
            </w:pPr>
            <w:r>
              <w:rPr>
                <w:b/>
              </w:rPr>
              <w:t>4.</w:t>
            </w:r>
          </w:p>
        </w:tc>
        <w:tc>
          <w:tcPr>
            <w:tcW w:w="4655" w:type="pct"/>
            <w:vAlign w:val="top"/>
          </w:tcPr>
          <w:p w14:paraId="54EC29A0" w14:textId="42E31E74" w:rsidR="00640FE0" w:rsidRPr="00121519" w:rsidRDefault="00640FE0" w:rsidP="00640FE0">
            <w:pPr>
              <w:pStyle w:val="TablePlainParagraph"/>
            </w:pPr>
            <w:r w:rsidRPr="004157B6">
              <w:t>The median overall cost of compliance with the PSC register was £125.</w:t>
            </w:r>
            <w:r w:rsidRPr="004157B6">
              <w:rPr>
                <w:rStyle w:val="FootnoteReference"/>
              </w:rPr>
              <w:footnoteReference w:id="23"/>
            </w:r>
          </w:p>
        </w:tc>
      </w:tr>
      <w:tr w:rsidR="00640FE0" w:rsidRPr="00121519" w14:paraId="092F4EDF" w14:textId="77777777" w:rsidTr="008F368F">
        <w:tc>
          <w:tcPr>
            <w:tcW w:w="345" w:type="pct"/>
            <w:vAlign w:val="top"/>
          </w:tcPr>
          <w:p w14:paraId="6007B6D6" w14:textId="04BF3C17" w:rsidR="00640FE0" w:rsidRPr="00121519" w:rsidRDefault="00640FE0" w:rsidP="00640FE0">
            <w:pPr>
              <w:pStyle w:val="TablePlainParagraph"/>
              <w:rPr>
                <w:b/>
              </w:rPr>
            </w:pPr>
            <w:r>
              <w:rPr>
                <w:b/>
              </w:rPr>
              <w:t>5.</w:t>
            </w:r>
          </w:p>
        </w:tc>
        <w:tc>
          <w:tcPr>
            <w:tcW w:w="4655" w:type="pct"/>
            <w:vAlign w:val="top"/>
          </w:tcPr>
          <w:p w14:paraId="22FE19C5" w14:textId="06AD3D3F" w:rsidR="00640FE0" w:rsidRPr="00121519" w:rsidRDefault="00640FE0" w:rsidP="00640FE0">
            <w:pPr>
              <w:pStyle w:val="TablePlainParagraph"/>
            </w:pPr>
            <w:r w:rsidRPr="004157B6">
              <w:t>The main source of cost was the initial submission of PSC information.</w:t>
            </w:r>
          </w:p>
        </w:tc>
      </w:tr>
      <w:tr w:rsidR="00640FE0" w:rsidRPr="00121519" w14:paraId="0E562950" w14:textId="77777777" w:rsidTr="008F368F">
        <w:tc>
          <w:tcPr>
            <w:tcW w:w="345" w:type="pct"/>
            <w:vAlign w:val="top"/>
          </w:tcPr>
          <w:p w14:paraId="746ACC0B" w14:textId="02E34B17" w:rsidR="00640FE0" w:rsidRPr="00121519" w:rsidRDefault="00640FE0" w:rsidP="00640FE0">
            <w:pPr>
              <w:pStyle w:val="TablePlainParagraph"/>
              <w:rPr>
                <w:b/>
              </w:rPr>
            </w:pPr>
            <w:r>
              <w:rPr>
                <w:b/>
              </w:rPr>
              <w:t>6.</w:t>
            </w:r>
          </w:p>
        </w:tc>
        <w:tc>
          <w:tcPr>
            <w:tcW w:w="4655" w:type="pct"/>
            <w:vAlign w:val="top"/>
          </w:tcPr>
          <w:p w14:paraId="4022B3BD" w14:textId="3F134798" w:rsidR="00640FE0" w:rsidRPr="00121519" w:rsidRDefault="00640FE0" w:rsidP="00640FE0">
            <w:pPr>
              <w:pStyle w:val="TablePlainParagraph"/>
            </w:pPr>
            <w:r w:rsidRPr="004157B6">
              <w:t>95% of business reported they felt the PSC register had no impact at all on the way their business operated.</w:t>
            </w:r>
          </w:p>
        </w:tc>
      </w:tr>
      <w:tr w:rsidR="00640FE0" w:rsidRPr="00121519" w14:paraId="7BA8173A" w14:textId="77777777" w:rsidTr="008F368F">
        <w:tc>
          <w:tcPr>
            <w:tcW w:w="345" w:type="pct"/>
            <w:vAlign w:val="top"/>
          </w:tcPr>
          <w:p w14:paraId="280DA187" w14:textId="5C7CDB24" w:rsidR="00640FE0" w:rsidRPr="00121519" w:rsidRDefault="00640FE0" w:rsidP="00640FE0">
            <w:pPr>
              <w:pStyle w:val="TablePlainParagraph"/>
              <w:rPr>
                <w:b/>
              </w:rPr>
            </w:pPr>
            <w:r>
              <w:rPr>
                <w:b/>
              </w:rPr>
              <w:t>7.</w:t>
            </w:r>
          </w:p>
        </w:tc>
        <w:tc>
          <w:tcPr>
            <w:tcW w:w="4655" w:type="pct"/>
            <w:vAlign w:val="top"/>
          </w:tcPr>
          <w:p w14:paraId="2DFA7004" w14:textId="61AE646A" w:rsidR="00640FE0" w:rsidRPr="00121519" w:rsidRDefault="00640FE0" w:rsidP="00640FE0">
            <w:pPr>
              <w:pStyle w:val="TablePlainParagraph"/>
            </w:pPr>
            <w:r w:rsidRPr="004157B6">
              <w:t>All law enforcement organisations spoken to reported using the PSC register to inform criminal investigations, with most reporting using it at least weekly.</w:t>
            </w:r>
          </w:p>
        </w:tc>
      </w:tr>
      <w:tr w:rsidR="00640FE0" w:rsidRPr="00121519" w14:paraId="432C6719" w14:textId="77777777" w:rsidTr="008F368F">
        <w:tc>
          <w:tcPr>
            <w:tcW w:w="345" w:type="pct"/>
            <w:vAlign w:val="top"/>
          </w:tcPr>
          <w:p w14:paraId="23DDF35E" w14:textId="568AA43E" w:rsidR="00640FE0" w:rsidRPr="00121519" w:rsidRDefault="00640FE0" w:rsidP="00640FE0">
            <w:pPr>
              <w:pStyle w:val="TablePlainParagraph"/>
              <w:rPr>
                <w:b/>
              </w:rPr>
            </w:pPr>
            <w:r>
              <w:rPr>
                <w:b/>
              </w:rPr>
              <w:t>8.</w:t>
            </w:r>
          </w:p>
        </w:tc>
        <w:tc>
          <w:tcPr>
            <w:tcW w:w="4655" w:type="pct"/>
            <w:vAlign w:val="top"/>
          </w:tcPr>
          <w:p w14:paraId="14CE2349" w14:textId="7A4F1A4F" w:rsidR="00640FE0" w:rsidRPr="00121519" w:rsidRDefault="00640FE0" w:rsidP="00640FE0">
            <w:pPr>
              <w:pStyle w:val="TablePlainParagraph"/>
            </w:pPr>
            <w:r w:rsidRPr="004157B6">
              <w:t>Stakeholder organisations generally considered the PSC register to be useful, typically because it made the process of obtaining information about beneficial owners more efficient.</w:t>
            </w:r>
          </w:p>
        </w:tc>
      </w:tr>
      <w:tr w:rsidR="00640FE0" w:rsidRPr="00121519" w14:paraId="236E845F" w14:textId="77777777" w:rsidTr="008F368F">
        <w:tc>
          <w:tcPr>
            <w:tcW w:w="345" w:type="pct"/>
            <w:vAlign w:val="top"/>
          </w:tcPr>
          <w:p w14:paraId="15F26365" w14:textId="645B85BE" w:rsidR="00640FE0" w:rsidRPr="00121519" w:rsidRDefault="00640FE0" w:rsidP="00640FE0">
            <w:pPr>
              <w:pStyle w:val="TablePlainParagraph"/>
              <w:rPr>
                <w:b/>
              </w:rPr>
            </w:pPr>
            <w:r>
              <w:rPr>
                <w:b/>
              </w:rPr>
              <w:t>9.</w:t>
            </w:r>
          </w:p>
        </w:tc>
        <w:tc>
          <w:tcPr>
            <w:tcW w:w="4655" w:type="pct"/>
            <w:vAlign w:val="top"/>
          </w:tcPr>
          <w:p w14:paraId="0EDBDB08" w14:textId="47B146CE" w:rsidR="00640FE0" w:rsidRPr="00121519" w:rsidRDefault="00640FE0" w:rsidP="00640FE0">
            <w:pPr>
              <w:pStyle w:val="TablePlainParagraph"/>
            </w:pPr>
            <w:r w:rsidRPr="004157B6">
              <w:t>Some stakeholders felt they could not rely on the PSC register as a source of information due to concerns about data quality.</w:t>
            </w:r>
          </w:p>
        </w:tc>
      </w:tr>
      <w:tr w:rsidR="00640FE0" w:rsidRPr="00121519" w14:paraId="0352DE06" w14:textId="77777777" w:rsidTr="008F368F">
        <w:tc>
          <w:tcPr>
            <w:tcW w:w="345" w:type="pct"/>
            <w:vAlign w:val="top"/>
          </w:tcPr>
          <w:p w14:paraId="3E6EBF11" w14:textId="09435193" w:rsidR="00640FE0" w:rsidRPr="00121519" w:rsidRDefault="00640FE0" w:rsidP="00640FE0">
            <w:pPr>
              <w:pStyle w:val="TablePlainParagraph"/>
              <w:rPr>
                <w:b/>
              </w:rPr>
            </w:pPr>
            <w:r>
              <w:rPr>
                <w:b/>
              </w:rPr>
              <w:t>10.</w:t>
            </w:r>
          </w:p>
        </w:tc>
        <w:tc>
          <w:tcPr>
            <w:tcW w:w="4655" w:type="pct"/>
            <w:vAlign w:val="top"/>
          </w:tcPr>
          <w:p w14:paraId="39A4D381" w14:textId="76F61B48" w:rsidR="00640FE0" w:rsidRPr="00121519" w:rsidRDefault="00640FE0" w:rsidP="00640FE0">
            <w:pPr>
              <w:pStyle w:val="TablePlainParagraph"/>
            </w:pPr>
            <w:r w:rsidRPr="004157B6">
              <w:t>To improve the PSC register, stakeholders suggested introducing information validation and identity verification processes, as well as giving a unique ID for individuals listed on the register.</w:t>
            </w:r>
          </w:p>
        </w:tc>
      </w:tr>
      <w:tr w:rsidR="00640FE0" w:rsidRPr="00121519" w14:paraId="5D1BFBB1" w14:textId="77777777" w:rsidTr="008F368F">
        <w:tc>
          <w:tcPr>
            <w:tcW w:w="345" w:type="pct"/>
            <w:vAlign w:val="top"/>
          </w:tcPr>
          <w:p w14:paraId="1F32E5A1" w14:textId="04214AA8" w:rsidR="00640FE0" w:rsidRPr="00121519" w:rsidRDefault="00640FE0" w:rsidP="00640FE0">
            <w:pPr>
              <w:pStyle w:val="TablePlainParagraph"/>
              <w:rPr>
                <w:b/>
              </w:rPr>
            </w:pPr>
            <w:r>
              <w:rPr>
                <w:b/>
              </w:rPr>
              <w:t>11</w:t>
            </w:r>
          </w:p>
        </w:tc>
        <w:tc>
          <w:tcPr>
            <w:tcW w:w="4655" w:type="pct"/>
            <w:vAlign w:val="top"/>
          </w:tcPr>
          <w:p w14:paraId="7EA00CE7" w14:textId="5A81A02D" w:rsidR="00640FE0" w:rsidRPr="00121519" w:rsidRDefault="00640FE0" w:rsidP="00640FE0">
            <w:pPr>
              <w:pStyle w:val="TablePlainParagraph"/>
            </w:pPr>
            <w:r w:rsidRPr="004157B6">
              <w:t xml:space="preserve">The relevant regulator considered that the equivalent suppressions regime was fulfilling its </w:t>
            </w:r>
            <w:proofErr w:type="gramStart"/>
            <w:r w:rsidRPr="004157B6">
              <w:t>purpose, but</w:t>
            </w:r>
            <w:proofErr w:type="gramEnd"/>
            <w:r w:rsidRPr="004157B6">
              <w:t xml:space="preserve"> could be improved by covering a wider range of risks and by digitalising the process of applying for protection.</w:t>
            </w:r>
          </w:p>
        </w:tc>
      </w:tr>
    </w:tbl>
    <w:p w14:paraId="178A5A7E" w14:textId="78F75F6B" w:rsidR="00875D90" w:rsidRDefault="00875D90" w:rsidP="000F360A">
      <w:pPr>
        <w:pStyle w:val="NumberLevel1"/>
      </w:pPr>
      <w:r w:rsidRPr="00875D90">
        <w:t xml:space="preserve">In 2022, the </w:t>
      </w:r>
      <w:r w:rsidR="00826983">
        <w:t>UK</w:t>
      </w:r>
      <w:r w:rsidRPr="00875D90">
        <w:t xml:space="preserve"> introduced requirements for overseas entities seeking to buy, sell or transfer property or land in the United Kingdom to register on a publicly accessible Register of Overseas Entities maintained by Companies House.</w:t>
      </w:r>
      <w:r>
        <w:t xml:space="preserve"> </w:t>
      </w:r>
      <w:r w:rsidRPr="00875D90">
        <w:t xml:space="preserve">The register seeks to prevent and combat overseas entities’ use of land in the United Kingdom to launder money or invest illicit funds, and to increase transparency and public trust in overseas entities engaged in land ownership in the </w:t>
      </w:r>
      <w:r w:rsidR="00826983">
        <w:t>UK</w:t>
      </w:r>
      <w:r w:rsidR="006A0046">
        <w:t>.</w:t>
      </w:r>
    </w:p>
    <w:p w14:paraId="77273839" w14:textId="604C2818" w:rsidR="00640FE0" w:rsidRDefault="006A0046" w:rsidP="000F360A">
      <w:pPr>
        <w:pStyle w:val="NumberLevel1"/>
      </w:pPr>
      <w:r>
        <w:t xml:space="preserve">In 2023, </w:t>
      </w:r>
      <w:r w:rsidR="00C45566">
        <w:t xml:space="preserve">the </w:t>
      </w:r>
      <w:hyperlink r:id="rId25" w:history="1">
        <w:r w:rsidR="00C45566" w:rsidRPr="00C45566">
          <w:rPr>
            <w:rStyle w:val="Hyperlink"/>
            <w:i/>
          </w:rPr>
          <w:t xml:space="preserve">Economic Crime and Corporate Transparency Act 2023 </w:t>
        </w:r>
        <w:r w:rsidR="00C45566" w:rsidRPr="00C45566">
          <w:rPr>
            <w:rStyle w:val="Hyperlink"/>
          </w:rPr>
          <w:t>(UK)</w:t>
        </w:r>
      </w:hyperlink>
      <w:r w:rsidR="00C45566">
        <w:t xml:space="preserve"> (the </w:t>
      </w:r>
      <w:r w:rsidR="00C45566">
        <w:rPr>
          <w:b/>
        </w:rPr>
        <w:t xml:space="preserve">UK </w:t>
      </w:r>
      <w:r w:rsidR="00C45566" w:rsidRPr="003E328D">
        <w:rPr>
          <w:b/>
        </w:rPr>
        <w:t>ECCTA</w:t>
      </w:r>
      <w:r w:rsidR="00C45566">
        <w:t xml:space="preserve">) </w:t>
      </w:r>
      <w:r w:rsidR="00C45566" w:rsidRPr="003E328D">
        <w:t>was</w:t>
      </w:r>
      <w:r w:rsidR="00C45566">
        <w:t xml:space="preserve"> passed into law. The UK ECCTA introduced</w:t>
      </w:r>
      <w:r w:rsidR="00640FE0">
        <w:t xml:space="preserve"> measures including those set out in the table below.</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605"/>
        <w:gridCol w:w="7615"/>
      </w:tblGrid>
      <w:tr w:rsidR="00640FE0" w:rsidRPr="00121519" w14:paraId="6F2CE7FD" w14:textId="77777777" w:rsidTr="00640FE0">
        <w:trPr>
          <w:cantSplit/>
          <w:tblHeader/>
        </w:trPr>
        <w:tc>
          <w:tcPr>
            <w:tcW w:w="368" w:type="pct"/>
            <w:shd w:val="clear" w:color="auto" w:fill="C4DDEA"/>
            <w:vAlign w:val="top"/>
          </w:tcPr>
          <w:p w14:paraId="36A4D068" w14:textId="7BC3B311" w:rsidR="00640FE0" w:rsidRPr="00121519" w:rsidRDefault="00640FE0" w:rsidP="00640FE0">
            <w:pPr>
              <w:pStyle w:val="TableHeading2"/>
              <w:ind w:left="176" w:hanging="176"/>
            </w:pPr>
            <w:r>
              <w:t>No.</w:t>
            </w:r>
          </w:p>
        </w:tc>
        <w:tc>
          <w:tcPr>
            <w:tcW w:w="4632" w:type="pct"/>
            <w:shd w:val="clear" w:color="auto" w:fill="C4DDEA"/>
            <w:vAlign w:val="top"/>
          </w:tcPr>
          <w:p w14:paraId="6BDBED56" w14:textId="6065F91A" w:rsidR="00640FE0" w:rsidRPr="00121519" w:rsidRDefault="00640FE0" w:rsidP="00640FE0">
            <w:pPr>
              <w:pStyle w:val="TableHeading2"/>
            </w:pPr>
            <w:r>
              <w:t>Measure</w:t>
            </w:r>
          </w:p>
        </w:tc>
      </w:tr>
      <w:tr w:rsidR="00640FE0" w:rsidRPr="00121519" w14:paraId="696B661F" w14:textId="77777777" w:rsidTr="00640FE0">
        <w:tc>
          <w:tcPr>
            <w:tcW w:w="368" w:type="pct"/>
            <w:vAlign w:val="top"/>
          </w:tcPr>
          <w:p w14:paraId="28CCB68B" w14:textId="093019CB" w:rsidR="00640FE0" w:rsidRPr="00121519" w:rsidRDefault="00640FE0" w:rsidP="00640FE0">
            <w:pPr>
              <w:pStyle w:val="TablePlainParagraph"/>
              <w:rPr>
                <w:b/>
              </w:rPr>
            </w:pPr>
            <w:r>
              <w:rPr>
                <w:b/>
              </w:rPr>
              <w:t>1.</w:t>
            </w:r>
          </w:p>
        </w:tc>
        <w:tc>
          <w:tcPr>
            <w:tcW w:w="4632" w:type="pct"/>
            <w:vAlign w:val="top"/>
          </w:tcPr>
          <w:p w14:paraId="5083C00C" w14:textId="2D0B92BE" w:rsidR="00640FE0" w:rsidRPr="00121519" w:rsidRDefault="00640FE0" w:rsidP="00640FE0">
            <w:pPr>
              <w:pStyle w:val="TablePlainParagraph"/>
            </w:pPr>
            <w:r>
              <w:t xml:space="preserve">An </w:t>
            </w:r>
            <w:r w:rsidRPr="009F326D">
              <w:t xml:space="preserve">option for a company to provide a statement to the PSC register that it had verified the identity of a PSC, </w:t>
            </w:r>
          </w:p>
        </w:tc>
      </w:tr>
      <w:tr w:rsidR="00640FE0" w:rsidRPr="00121519" w14:paraId="69DAC264" w14:textId="77777777" w:rsidTr="00640FE0">
        <w:tc>
          <w:tcPr>
            <w:tcW w:w="368" w:type="pct"/>
            <w:vAlign w:val="top"/>
          </w:tcPr>
          <w:p w14:paraId="5839A454" w14:textId="3F367007" w:rsidR="00640FE0" w:rsidRPr="00121519" w:rsidRDefault="00640FE0" w:rsidP="00640FE0">
            <w:pPr>
              <w:pStyle w:val="TablePlainParagraph"/>
              <w:rPr>
                <w:b/>
              </w:rPr>
            </w:pPr>
            <w:r>
              <w:rPr>
                <w:b/>
              </w:rPr>
              <w:t>2.</w:t>
            </w:r>
          </w:p>
        </w:tc>
        <w:tc>
          <w:tcPr>
            <w:tcW w:w="4632" w:type="pct"/>
            <w:vAlign w:val="top"/>
          </w:tcPr>
          <w:p w14:paraId="36620807" w14:textId="72929813" w:rsidR="00640FE0" w:rsidRPr="00121519" w:rsidRDefault="00640FE0" w:rsidP="00640FE0">
            <w:pPr>
              <w:pStyle w:val="TablePlainParagraph"/>
            </w:pPr>
            <w:r>
              <w:t>A</w:t>
            </w:r>
            <w:r w:rsidRPr="009F326D">
              <w:t xml:space="preserve"> power for the Registrar to direct PSCs to provide a statement confirming identity verification within 14 days, or within an extended period. It also abolished the requirement for companies to keep individual PSC registers,</w:t>
            </w:r>
          </w:p>
        </w:tc>
      </w:tr>
      <w:tr w:rsidR="00640FE0" w:rsidRPr="00121519" w14:paraId="63810076" w14:textId="77777777" w:rsidTr="00640FE0">
        <w:tc>
          <w:tcPr>
            <w:tcW w:w="368" w:type="pct"/>
            <w:vAlign w:val="top"/>
          </w:tcPr>
          <w:p w14:paraId="6CBEF5D9" w14:textId="6CB191AD" w:rsidR="00640FE0" w:rsidRPr="00121519" w:rsidRDefault="00640FE0" w:rsidP="00640FE0">
            <w:pPr>
              <w:pStyle w:val="TablePlainParagraph"/>
              <w:rPr>
                <w:b/>
              </w:rPr>
            </w:pPr>
            <w:r>
              <w:rPr>
                <w:b/>
              </w:rPr>
              <w:t>3.</w:t>
            </w:r>
          </w:p>
        </w:tc>
        <w:tc>
          <w:tcPr>
            <w:tcW w:w="4632" w:type="pct"/>
            <w:vAlign w:val="top"/>
          </w:tcPr>
          <w:p w14:paraId="74EA81C3" w14:textId="60011A13" w:rsidR="00640FE0" w:rsidRPr="00121519" w:rsidRDefault="00640FE0" w:rsidP="00640FE0">
            <w:pPr>
              <w:pStyle w:val="TablePlainParagraph"/>
            </w:pPr>
            <w:r>
              <w:t>A</w:t>
            </w:r>
            <w:r w:rsidRPr="009F326D">
              <w:t xml:space="preserve"> duty on companies to take reasonable steps to identify PSCs, including a duty to give notice to individuals they know or have cause to believe are PSCs,</w:t>
            </w:r>
          </w:p>
        </w:tc>
      </w:tr>
      <w:tr w:rsidR="00640FE0" w:rsidRPr="00121519" w14:paraId="221D0381" w14:textId="77777777" w:rsidTr="00640FE0">
        <w:tc>
          <w:tcPr>
            <w:tcW w:w="368" w:type="pct"/>
            <w:vAlign w:val="top"/>
          </w:tcPr>
          <w:p w14:paraId="08687150" w14:textId="660E295D" w:rsidR="00640FE0" w:rsidRPr="00121519" w:rsidRDefault="00640FE0" w:rsidP="00640FE0">
            <w:pPr>
              <w:pStyle w:val="TablePlainParagraph"/>
              <w:rPr>
                <w:b/>
              </w:rPr>
            </w:pPr>
            <w:r>
              <w:rPr>
                <w:b/>
              </w:rPr>
              <w:t>4.</w:t>
            </w:r>
          </w:p>
        </w:tc>
        <w:tc>
          <w:tcPr>
            <w:tcW w:w="4632" w:type="pct"/>
            <w:vAlign w:val="top"/>
          </w:tcPr>
          <w:p w14:paraId="29CFC09D" w14:textId="5BB45A8E" w:rsidR="00640FE0" w:rsidRPr="00121519" w:rsidRDefault="00640FE0" w:rsidP="00640FE0">
            <w:pPr>
              <w:pStyle w:val="TablePlainParagraph"/>
            </w:pPr>
            <w:r>
              <w:t>A</w:t>
            </w:r>
            <w:r w:rsidRPr="009F326D">
              <w:t xml:space="preserve"> duty on companies to notify the registrar of individuals they know or have cause to believe are PSCs, but where they have not yet received confirmation of this,</w:t>
            </w:r>
          </w:p>
        </w:tc>
      </w:tr>
      <w:tr w:rsidR="00640FE0" w:rsidRPr="00121519" w14:paraId="3221710E" w14:textId="77777777" w:rsidTr="00640FE0">
        <w:tc>
          <w:tcPr>
            <w:tcW w:w="368" w:type="pct"/>
            <w:vAlign w:val="top"/>
          </w:tcPr>
          <w:p w14:paraId="4E33107D" w14:textId="5A36D045" w:rsidR="00640FE0" w:rsidRPr="00121519" w:rsidRDefault="00640FE0" w:rsidP="00640FE0">
            <w:pPr>
              <w:pStyle w:val="TablePlainParagraph"/>
              <w:rPr>
                <w:b/>
              </w:rPr>
            </w:pPr>
            <w:r>
              <w:rPr>
                <w:b/>
              </w:rPr>
              <w:t>5.</w:t>
            </w:r>
          </w:p>
        </w:tc>
        <w:tc>
          <w:tcPr>
            <w:tcW w:w="4632" w:type="pct"/>
            <w:vAlign w:val="top"/>
          </w:tcPr>
          <w:p w14:paraId="180C7CEE" w14:textId="57A069CC" w:rsidR="00640FE0" w:rsidRPr="00121519" w:rsidRDefault="00640FE0" w:rsidP="00640FE0">
            <w:pPr>
              <w:pStyle w:val="TablePlainParagraph"/>
            </w:pPr>
            <w:r>
              <w:t>A</w:t>
            </w:r>
            <w:r w:rsidRPr="009F326D">
              <w:t xml:space="preserve"> duty to notify the registrar when a PSC ceases to have significant control,</w:t>
            </w:r>
          </w:p>
        </w:tc>
      </w:tr>
      <w:tr w:rsidR="00640FE0" w:rsidRPr="00121519" w14:paraId="1F2A1C4E" w14:textId="77777777" w:rsidTr="00640FE0">
        <w:tc>
          <w:tcPr>
            <w:tcW w:w="368" w:type="pct"/>
            <w:vAlign w:val="top"/>
          </w:tcPr>
          <w:p w14:paraId="35B9908D" w14:textId="5F5E2113" w:rsidR="00640FE0" w:rsidRPr="00121519" w:rsidRDefault="00640FE0" w:rsidP="00640FE0">
            <w:pPr>
              <w:pStyle w:val="TablePlainParagraph"/>
              <w:rPr>
                <w:b/>
              </w:rPr>
            </w:pPr>
            <w:r>
              <w:rPr>
                <w:b/>
              </w:rPr>
              <w:t>6.</w:t>
            </w:r>
          </w:p>
        </w:tc>
        <w:tc>
          <w:tcPr>
            <w:tcW w:w="4632" w:type="pct"/>
            <w:vAlign w:val="top"/>
          </w:tcPr>
          <w:p w14:paraId="2AEB47B1" w14:textId="014FDDEA" w:rsidR="00640FE0" w:rsidRPr="00121519" w:rsidRDefault="00640FE0" w:rsidP="00640FE0">
            <w:pPr>
              <w:pStyle w:val="TablePlainParagraph"/>
            </w:pPr>
            <w:r>
              <w:t>A</w:t>
            </w:r>
            <w:r w:rsidRPr="009F326D">
              <w:t>n offence for companies who fail to comply with PSC requirements.</w:t>
            </w:r>
          </w:p>
        </w:tc>
      </w:tr>
    </w:tbl>
    <w:p w14:paraId="410D1B8A" w14:textId="359FCFC2" w:rsidR="00DC16C1" w:rsidRDefault="00DC16C1">
      <w:pPr>
        <w:pStyle w:val="Heading4"/>
      </w:pPr>
      <w:r>
        <w:t>Luxembourg</w:t>
      </w:r>
    </w:p>
    <w:p w14:paraId="2EE65B9E" w14:textId="64AB0BB7" w:rsidR="00DC16C1" w:rsidRDefault="00DC16C1" w:rsidP="00DC16C1">
      <w:pPr>
        <w:pStyle w:val="NumberLevel1"/>
      </w:pPr>
      <w:r>
        <w:t xml:space="preserve">Luxembourg implemented its publicly accessible register in accordance with </w:t>
      </w:r>
      <w:hyperlink r:id="rId26" w:history="1">
        <w:r w:rsidRPr="00F36835">
          <w:rPr>
            <w:rStyle w:val="Hyperlink"/>
          </w:rPr>
          <w:t>Directive 2015/849 of the European Parliament of 20 May 2015</w:t>
        </w:r>
      </w:hyperlink>
      <w:r>
        <w:t xml:space="preserve"> (the </w:t>
      </w:r>
      <w:r>
        <w:rPr>
          <w:b/>
        </w:rPr>
        <w:t>Directive</w:t>
      </w:r>
      <w:r>
        <w:t xml:space="preserve">), under which all Member States were required to take steps to prevent use of the financial system for the purposes of money laundering or terrorist financing. </w:t>
      </w:r>
    </w:p>
    <w:p w14:paraId="5655981C" w14:textId="79477A23" w:rsidR="00DC16C1" w:rsidRDefault="00DC16C1" w:rsidP="00DC16C1">
      <w:pPr>
        <w:pStyle w:val="NumberLevel1"/>
      </w:pPr>
      <w:r>
        <w:t xml:space="preserve">Paragraph 14 to the foreword of that Directive requires Member States to make the information on beneficial ownership registers available to, among others, any member of the </w:t>
      </w:r>
      <w:r w:rsidR="00774E9C">
        <w:t>public</w:t>
      </w:r>
      <w:r>
        <w:t xml:space="preserve">. Such information was said to include </w:t>
      </w:r>
      <w:r w:rsidRPr="00F36835">
        <w:t>adequate, accurate and current information on their beneficial ownership, in addition to basic information such as the company name and address and proof of incorporation and legal ownership.</w:t>
      </w:r>
      <w:r>
        <w:t xml:space="preserve"> </w:t>
      </w:r>
    </w:p>
    <w:p w14:paraId="2CB9509A" w14:textId="6EDD6C30" w:rsidR="00DC16C1" w:rsidRDefault="00DC16C1" w:rsidP="00DC16C1">
      <w:pPr>
        <w:pStyle w:val="NumberLevel1"/>
      </w:pPr>
      <w:r>
        <w:t xml:space="preserve">In addition to relevant Financial Intelligence Units and competent law enforcement authorities, paragraph 14 of the Directive </w:t>
      </w:r>
      <w:proofErr w:type="gramStart"/>
      <w:r>
        <w:t>provided that</w:t>
      </w:r>
      <w:proofErr w:type="gramEnd"/>
      <w:r>
        <w:t xml:space="preserve"> a</w:t>
      </w:r>
      <w:r w:rsidR="004C2380">
        <w:t>cc</w:t>
      </w:r>
      <w:r>
        <w:t>ess to a beneficial ownership register should be given to members of the public who were able to demonstrate ‘</w:t>
      </w:r>
      <w:r w:rsidRPr="00F36835">
        <w:t>legitimate interest with respect to money laundering, terrorist financing, and the associated predicate offences, such as corruption, tax</w:t>
      </w:r>
      <w:r>
        <w:t xml:space="preserve"> </w:t>
      </w:r>
      <w:r w:rsidRPr="00F36835">
        <w:t>crimes and fraud</w:t>
      </w:r>
      <w:r>
        <w:t>.</w:t>
      </w:r>
    </w:p>
    <w:p w14:paraId="5C55E309" w14:textId="46259018" w:rsidR="00DC16C1" w:rsidRDefault="00DC16C1" w:rsidP="00DC16C1">
      <w:pPr>
        <w:pStyle w:val="NumberLevel1"/>
      </w:pPr>
      <w:r>
        <w:t xml:space="preserve">As a member of the European Union (the </w:t>
      </w:r>
      <w:r>
        <w:rPr>
          <w:b/>
        </w:rPr>
        <w:t>EU</w:t>
      </w:r>
      <w:r>
        <w:t xml:space="preserve">), Luxembourg operates in a different legislative framework than Australia. </w:t>
      </w:r>
      <w:proofErr w:type="gramStart"/>
      <w:r>
        <w:t>In particular, a</w:t>
      </w:r>
      <w:proofErr w:type="gramEnd"/>
      <w:r>
        <w:t xml:space="preserve"> legislated comprehensive personal data protection regime, the General Data Protection Regulation (</w:t>
      </w:r>
      <w:r>
        <w:rPr>
          <w:b/>
        </w:rPr>
        <w:t>GDPR</w:t>
      </w:r>
      <w:r>
        <w:t>)</w:t>
      </w:r>
      <w:r w:rsidR="0051664E">
        <w:t>, applies to EU states</w:t>
      </w:r>
      <w:r>
        <w:t>. The GDPR goes further than the Australian Privacy Act in how it extends and enforces the rights of EU citizens to protect their personal data.</w:t>
      </w:r>
    </w:p>
    <w:p w14:paraId="35492927" w14:textId="7BBC931C" w:rsidR="001B4771" w:rsidRDefault="00DC16C1" w:rsidP="00F928A1">
      <w:pPr>
        <w:pStyle w:val="NumberLevel1"/>
      </w:pPr>
      <w:r>
        <w:t>In 2022,</w:t>
      </w:r>
      <w:r w:rsidR="00F928A1">
        <w:t xml:space="preserve"> in the simultaneously heard cases</w:t>
      </w:r>
      <w:r w:rsidR="00640FE0">
        <w:t xml:space="preserve"> of</w:t>
      </w:r>
      <w:r w:rsidR="00F928A1">
        <w:t xml:space="preserve"> </w:t>
      </w:r>
      <w:hyperlink r:id="rId27" w:history="1">
        <w:proofErr w:type="spellStart"/>
        <w:r w:rsidR="00640FE0">
          <w:rPr>
            <w:rStyle w:val="Hyperlink"/>
            <w:i/>
            <w:iCs/>
          </w:rPr>
          <w:t>Sovim</w:t>
        </w:r>
        <w:proofErr w:type="spellEnd"/>
        <w:r w:rsidR="00640FE0">
          <w:rPr>
            <w:rStyle w:val="Hyperlink"/>
            <w:i/>
            <w:iCs/>
          </w:rPr>
          <w:t xml:space="preserve"> SA v. Luxembourg Business Registers, C-601/20 and WM v. Luxembourg Business Registers, C-37/20</w:t>
        </w:r>
      </w:hyperlink>
      <w:r w:rsidR="00F928A1">
        <w:rPr>
          <w:i/>
          <w:iCs/>
        </w:rPr>
        <w:t xml:space="preserve"> </w:t>
      </w:r>
      <w:r w:rsidR="00F928A1">
        <w:rPr>
          <w:iCs/>
        </w:rPr>
        <w:t xml:space="preserve">(the </w:t>
      </w:r>
      <w:r w:rsidR="00F928A1">
        <w:rPr>
          <w:b/>
          <w:iCs/>
        </w:rPr>
        <w:t>Luxembourg Cases</w:t>
      </w:r>
      <w:r w:rsidR="00F928A1">
        <w:rPr>
          <w:iCs/>
        </w:rPr>
        <w:t>),</w:t>
      </w:r>
      <w:r>
        <w:t xml:space="preserve"> the European Court of Justice (the </w:t>
      </w:r>
      <w:r w:rsidRPr="00F928A1">
        <w:rPr>
          <w:b/>
        </w:rPr>
        <w:t>ECJ</w:t>
      </w:r>
      <w:r>
        <w:t xml:space="preserve">) considered whether the Luxembourgish regime </w:t>
      </w:r>
      <w:r w:rsidR="00B163E2">
        <w:t xml:space="preserve">infringed Articles 7 and 8 of the </w:t>
      </w:r>
      <w:r w:rsidRPr="00F928A1">
        <w:rPr>
          <w:i/>
        </w:rPr>
        <w:t>Charter of Fundamental Rights of the European Union</w:t>
      </w:r>
      <w:r w:rsidRPr="00F36835">
        <w:t xml:space="preserve"> (the </w:t>
      </w:r>
      <w:r w:rsidRPr="00F928A1">
        <w:rPr>
          <w:b/>
        </w:rPr>
        <w:t>Charter</w:t>
      </w:r>
      <w:r w:rsidRPr="00F36835">
        <w:t>).</w:t>
      </w:r>
      <w:r w:rsidR="00B163E2">
        <w:rPr>
          <w:rStyle w:val="FootnoteReference"/>
        </w:rPr>
        <w:footnoteReference w:id="24"/>
      </w:r>
      <w:r>
        <w:t xml:space="preserve"> </w:t>
      </w:r>
      <w:r w:rsidR="00B163E2" w:rsidRPr="009B00A0">
        <w:t xml:space="preserve"> Relevantly, Article 8 seeks to protect </w:t>
      </w:r>
      <w:hyperlink r:id="rId28" w:history="1">
        <w:r w:rsidR="00B163E2" w:rsidRPr="009B00A0">
          <w:t>personal data</w:t>
        </w:r>
      </w:hyperlink>
      <w:r w:rsidR="00B163E2">
        <w:t>, by requiring data to be ‘</w:t>
      </w:r>
      <w:r w:rsidR="00B163E2" w:rsidRPr="009B00A0">
        <w:t>processed fairly and for specified purposes and on the basis of consent or some other lawful basis</w:t>
      </w:r>
      <w:r w:rsidR="00B163E2">
        <w:t>’</w:t>
      </w:r>
      <w:r w:rsidR="00B163E2" w:rsidRPr="009B00A0">
        <w:t>.</w:t>
      </w:r>
    </w:p>
    <w:p w14:paraId="25D3808F" w14:textId="1E9F4797" w:rsidR="00181E7A" w:rsidRDefault="00181E7A" w:rsidP="00181E7A">
      <w:pPr>
        <w:pStyle w:val="NumberLevel1"/>
      </w:pPr>
      <w:r>
        <w:t xml:space="preserve">The ECJ accepted that the objective of preventing money laundering and terrorist financing by creating an environment of increased transparency </w:t>
      </w:r>
      <w:r w:rsidR="00774E9C">
        <w:t>can justify</w:t>
      </w:r>
      <w:r>
        <w:t xml:space="preserve"> even serious interferences with the fundamental rights enshrined in Articles 7 and 8 of the Charter.</w:t>
      </w:r>
      <w:r>
        <w:rPr>
          <w:rStyle w:val="FootnoteReference"/>
        </w:rPr>
        <w:footnoteReference w:id="25"/>
      </w:r>
      <w:r>
        <w:t xml:space="preserve"> The ECJ described this objective as an </w:t>
      </w:r>
      <w:r>
        <w:rPr>
          <w:b/>
        </w:rPr>
        <w:t>objective of general interest</w:t>
      </w:r>
      <w:r>
        <w:t>.</w:t>
      </w:r>
    </w:p>
    <w:p w14:paraId="56B9E9C9" w14:textId="452D5636" w:rsidR="00F928A1" w:rsidRDefault="00F928A1" w:rsidP="00DC16C1">
      <w:pPr>
        <w:pStyle w:val="NumberLevel1"/>
      </w:pPr>
      <w:bookmarkStart w:id="106" w:name="_Ref163140772"/>
      <w:r>
        <w:t>The ECJ found that a publicly accessible BOI register made it possible to draw up profiles of beneficial owners concerning their wealth and the economic sectors, countries, and specific undertakings in which they had invested.</w:t>
      </w:r>
      <w:r>
        <w:rPr>
          <w:rStyle w:val="FootnoteReference"/>
        </w:rPr>
        <w:footnoteReference w:id="26"/>
      </w:r>
      <w:r w:rsidR="00181E7A">
        <w:t xml:space="preserve"> It found that an inherent consequence of making BOI publicly accessible was that it would be accessed by people seeking to find out about </w:t>
      </w:r>
      <w:r w:rsidR="00181E7A" w:rsidRPr="00181E7A">
        <w:t>the material and financial situation of a beneficial owner</w:t>
      </w:r>
      <w:r w:rsidR="00181E7A">
        <w:t>, for reasons unrelated to the purposes for which the register was created.</w:t>
      </w:r>
      <w:r w:rsidR="00181E7A">
        <w:rPr>
          <w:rStyle w:val="FootnoteReference"/>
        </w:rPr>
        <w:footnoteReference w:id="27"/>
      </w:r>
      <w:r w:rsidR="00181E7A">
        <w:t xml:space="preserve"> The ECJ considered that, given publicly available information can be freely retained and disseminated, it would become increasingly difficult or even ‘illusory’ for beneficial owners to defend themselves effectively against abuse.</w:t>
      </w:r>
      <w:r w:rsidR="00181E7A">
        <w:rPr>
          <w:rStyle w:val="FootnoteReference"/>
        </w:rPr>
        <w:footnoteReference w:id="28"/>
      </w:r>
      <w:bookmarkEnd w:id="106"/>
    </w:p>
    <w:p w14:paraId="19259D0F" w14:textId="69D24D36" w:rsidR="004A5707" w:rsidRDefault="0051664E" w:rsidP="00DC16C1">
      <w:pPr>
        <w:pStyle w:val="NumberLevel1"/>
      </w:pPr>
      <w:r>
        <w:t>Additionally, t</w:t>
      </w:r>
      <w:r w:rsidR="004A5707">
        <w:t xml:space="preserve">he ECJ </w:t>
      </w:r>
      <w:r w:rsidR="0084511A">
        <w:t xml:space="preserve">referred to the Directive’s recital which states that </w:t>
      </w:r>
      <w:r w:rsidR="004A5707">
        <w:t>the general public</w:t>
      </w:r>
      <w:r w:rsidR="0084511A">
        <w:t>’s</w:t>
      </w:r>
      <w:r w:rsidR="004A5707">
        <w:t xml:space="preserve"> access to beneficial ownership information</w:t>
      </w:r>
      <w:r w:rsidR="0084511A">
        <w:t xml:space="preserve"> allows greater scrutiny by civil society, in particular by individuals that transact with relevant companies, as well as the press, civil society organisations, financial institutions or authorities involved in preventing or combatting money laundering and terrorist funding</w:t>
      </w:r>
      <w:r w:rsidR="00181E7A">
        <w:t>.</w:t>
      </w:r>
      <w:r w:rsidR="00181E7A">
        <w:rPr>
          <w:rStyle w:val="FootnoteReference"/>
        </w:rPr>
        <w:footnoteReference w:id="29"/>
      </w:r>
      <w:r w:rsidR="004A5707">
        <w:t xml:space="preserve"> </w:t>
      </w:r>
      <w:r w:rsidR="0084511A">
        <w:t>The ECJ found that providing access to each of these groups was necessary to give effect to the purpose of the Directive, b</w:t>
      </w:r>
      <w:r w:rsidR="00D814C3">
        <w:t>ut</w:t>
      </w:r>
      <w:r w:rsidR="0084511A">
        <w:t xml:space="preserve"> </w:t>
      </w:r>
      <w:r w:rsidR="004A5707">
        <w:t xml:space="preserve">that </w:t>
      </w:r>
      <w:r w:rsidR="00D814C3">
        <w:t xml:space="preserve">granting public access </w:t>
      </w:r>
      <w:r w:rsidR="004A5707">
        <w:t>was not strictly necessary to prevent money laundering and terrorist funding</w:t>
      </w:r>
      <w:r w:rsidR="00D814C3">
        <w:t>, and therefore</w:t>
      </w:r>
      <w:r w:rsidR="00316F72">
        <w:t xml:space="preserve"> that the</w:t>
      </w:r>
      <w:r w:rsidR="00FB1C42">
        <w:t xml:space="preserve"> Directive</w:t>
      </w:r>
      <w:r w:rsidR="00316F72">
        <w:t xml:space="preserve"> </w:t>
      </w:r>
      <w:r w:rsidR="00774E9C">
        <w:t>interfered</w:t>
      </w:r>
      <w:r w:rsidR="00316F72">
        <w:t xml:space="preserve"> with the privacy rights guaranteed in Articles 8.</w:t>
      </w:r>
      <w:r w:rsidR="00D814C3">
        <w:rPr>
          <w:rStyle w:val="FootnoteReference"/>
        </w:rPr>
        <w:footnoteReference w:id="30"/>
      </w:r>
    </w:p>
    <w:p w14:paraId="01B41CCA" w14:textId="5EF21D10" w:rsidR="00316F72" w:rsidRDefault="00D814C3" w:rsidP="00E55457">
      <w:pPr>
        <w:pStyle w:val="NumberLevel1"/>
      </w:pPr>
      <w:r>
        <w:t>The ECJ found that the increased interference with privacy in having a public BOI register was incapable of being offset by any benefits in terms of combating money laundering and terrorist financing when compared against a framework that required a legitimate interest before access to BOI was granted.</w:t>
      </w:r>
      <w:r>
        <w:rPr>
          <w:rStyle w:val="FootnoteReference"/>
        </w:rPr>
        <w:footnoteReference w:id="31"/>
      </w:r>
      <w:r>
        <w:t xml:space="preserve"> </w:t>
      </w:r>
      <w:r w:rsidR="00316F72">
        <w:t xml:space="preserve">The ECJ also found that even if access by the general public to </w:t>
      </w:r>
      <w:r w:rsidR="00FB1C42">
        <w:t xml:space="preserve">a subset of </w:t>
      </w:r>
      <w:r w:rsidR="00316F72">
        <w:t>BOI was mitigated by the</w:t>
      </w:r>
      <w:r w:rsidR="00FB1C42">
        <w:t xml:space="preserve"> </w:t>
      </w:r>
      <w:r w:rsidR="00316F72">
        <w:t>precondition of online registration, and beneficial owners were able to apply for exemptions</w:t>
      </w:r>
      <w:r w:rsidR="00FB1C42">
        <w:t xml:space="preserve"> to restrict publication</w:t>
      </w:r>
      <w:r w:rsidR="00316F72">
        <w:t>, the proper balance between the benefits proffered by a public register and the interferences with Articles 7 and 8 was not necessarily struck.</w:t>
      </w:r>
      <w:r w:rsidR="00316F72">
        <w:rPr>
          <w:rStyle w:val="FootnoteReference"/>
        </w:rPr>
        <w:footnoteReference w:id="32"/>
      </w:r>
      <w:r w:rsidR="00316F72">
        <w:t xml:space="preserve"> </w:t>
      </w:r>
    </w:p>
    <w:p w14:paraId="65F3A7DC" w14:textId="76E3C282" w:rsidR="00DC16C1" w:rsidRDefault="00D814C3" w:rsidP="00D814C3">
      <w:pPr>
        <w:pStyle w:val="NumberLevel1"/>
      </w:pPr>
      <w:r>
        <w:t>Although not required to expressly find on the issue, the ECJ indicated</w:t>
      </w:r>
      <w:r w:rsidR="00DC16C1" w:rsidRPr="00F36835">
        <w:t xml:space="preserve"> that it would be more appropriate to restrict general access to those with a ‘legitimate interest’ in preventing money laundering and terrorism financing, such as regulators or enforcement agencies</w:t>
      </w:r>
      <w:r w:rsidR="00E55457">
        <w:t>, and individuals capable of demonstrating such an interest.</w:t>
      </w:r>
      <w:r w:rsidR="00E55457">
        <w:rPr>
          <w:rStyle w:val="FootnoteReference"/>
        </w:rPr>
        <w:footnoteReference w:id="33"/>
      </w:r>
    </w:p>
    <w:p w14:paraId="6A966956" w14:textId="0951DE62" w:rsidR="00E55457" w:rsidRDefault="00E55457" w:rsidP="00DC16C1">
      <w:pPr>
        <w:pStyle w:val="NumberLevel1"/>
      </w:pPr>
      <w:r>
        <w:t xml:space="preserve">Ultimately, the ECJ found that the Directive was invalid insofar as it </w:t>
      </w:r>
      <w:proofErr w:type="gramStart"/>
      <w:r>
        <w:t>provided that</w:t>
      </w:r>
      <w:proofErr w:type="gramEnd"/>
      <w:r>
        <w:t xml:space="preserve"> EU Member States </w:t>
      </w:r>
      <w:r w:rsidRPr="00E55457">
        <w:t xml:space="preserve">must ensure that information on the beneficial ownership of companies and of other legal entities incorporated within their territory is accessible in all cases to any member of the </w:t>
      </w:r>
      <w:r w:rsidR="00774E9C" w:rsidRPr="00E55457">
        <w:t>public</w:t>
      </w:r>
      <w:r w:rsidRPr="00E55457">
        <w:t>.</w:t>
      </w:r>
      <w:r>
        <w:rPr>
          <w:rStyle w:val="FootnoteReference"/>
        </w:rPr>
        <w:footnoteReference w:id="34"/>
      </w:r>
    </w:p>
    <w:p w14:paraId="4F7B89B9" w14:textId="773DFCAE" w:rsidR="00DC16C1" w:rsidRPr="007E2E00" w:rsidRDefault="00DC16C1" w:rsidP="00DC16C1">
      <w:pPr>
        <w:pStyle w:val="NumberLevel1"/>
      </w:pPr>
      <w:r w:rsidRPr="00F36835">
        <w:t xml:space="preserve">Following the </w:t>
      </w:r>
      <w:r>
        <w:t>ECJ’s</w:t>
      </w:r>
      <w:r w:rsidRPr="00F36835">
        <w:t xml:space="preserve"> decision</w:t>
      </w:r>
      <w:r w:rsidR="00490A39">
        <w:t xml:space="preserve"> (the </w:t>
      </w:r>
      <w:r w:rsidR="00490A39">
        <w:rPr>
          <w:b/>
        </w:rPr>
        <w:t>ECJ decision</w:t>
      </w:r>
      <w:r w:rsidR="00490A39">
        <w:t>)</w:t>
      </w:r>
      <w:r w:rsidRPr="00F36835">
        <w:t xml:space="preserve">, several EU Member States, including Luxembourg, the Netherlands, </w:t>
      </w:r>
      <w:proofErr w:type="gramStart"/>
      <w:r w:rsidRPr="00F36835">
        <w:t>Ireland</w:t>
      </w:r>
      <w:proofErr w:type="gramEnd"/>
      <w:r w:rsidRPr="00F36835">
        <w:t xml:space="preserve"> and Austria removed </w:t>
      </w:r>
      <w:r>
        <w:t xml:space="preserve">the requirement to grant </w:t>
      </w:r>
      <w:r w:rsidRPr="00F36835">
        <w:t xml:space="preserve">public access from their beneficial ownership </w:t>
      </w:r>
      <w:r>
        <w:t>regimes</w:t>
      </w:r>
      <w:r w:rsidRPr="00F36835">
        <w:t xml:space="preserve">. </w:t>
      </w:r>
      <w:r w:rsidR="00490A39">
        <w:t>Also following the judgment, Germany determined that members of the public must justify their request by demonstrating a legitimate interest in inspecting the German Transparency Register.</w:t>
      </w:r>
    </w:p>
    <w:p w14:paraId="55EDFA93" w14:textId="77777777" w:rsidR="00DC16C1" w:rsidRPr="006158A0" w:rsidRDefault="00DC16C1" w:rsidP="00DC16C1">
      <w:pPr>
        <w:pStyle w:val="Heading4"/>
      </w:pPr>
      <w:r>
        <w:t>France</w:t>
      </w:r>
    </w:p>
    <w:p w14:paraId="25B2AA67" w14:textId="77777777" w:rsidR="00DC16C1" w:rsidRDefault="00DC16C1" w:rsidP="00DC16C1">
      <w:pPr>
        <w:pStyle w:val="NumberLevel1"/>
      </w:pPr>
      <w:r w:rsidRPr="00EE15A3">
        <w:t>In 2017, France introduced requirements for certain entities – including unlisted companies, collective investment vehicles, associations, foundations, endowment funds, sustainability funds and certain trusts – to make a declaration to the Trade and Companies Register on their beneficial owners.</w:t>
      </w:r>
    </w:p>
    <w:p w14:paraId="523FF274" w14:textId="77777777" w:rsidR="00DC16C1" w:rsidRDefault="00DC16C1" w:rsidP="00DC16C1">
      <w:pPr>
        <w:pStyle w:val="NumberLevel1"/>
      </w:pPr>
      <w:r>
        <w:t>Failure to comply with registration requirements can result in significant penalties, including fines and administrative sanctions. French authorities have the power to conduct audits and enforce compliance, emphasizing the requirements of accurate and timely maintenance of the register.</w:t>
      </w:r>
    </w:p>
    <w:p w14:paraId="7A453F74" w14:textId="0C6496D5" w:rsidR="00DC16C1" w:rsidRDefault="00DC16C1" w:rsidP="00DC16C1">
      <w:pPr>
        <w:pStyle w:val="NumberLevel1"/>
      </w:pPr>
      <w:r>
        <w:t xml:space="preserve">The French Trade Registry </w:t>
      </w:r>
      <w:hyperlink r:id="rId29" w:history="1">
        <w:r w:rsidRPr="00E416AA">
          <w:rPr>
            <w:rStyle w:val="Hyperlink"/>
          </w:rPr>
          <w:t>actively encourages</w:t>
        </w:r>
      </w:hyperlink>
      <w:r>
        <w:t xml:space="preserve"> periodic review of ownership and control structures, maintaining documentary evidence supporting the identification of beneficial owners, and seeking professional advice to ensure effective compliance with legal requirements.</w:t>
      </w:r>
    </w:p>
    <w:p w14:paraId="2984315E" w14:textId="1C5C4897" w:rsidR="000D43BC" w:rsidRDefault="0073743F" w:rsidP="006070C2">
      <w:pPr>
        <w:pStyle w:val="NumberLevel1"/>
      </w:pPr>
      <w:r>
        <w:t xml:space="preserve">As </w:t>
      </w:r>
      <w:r w:rsidR="000D43BC">
        <w:t xml:space="preserve">of March 2023, </w:t>
      </w:r>
      <w:r w:rsidR="002E79D7">
        <w:t xml:space="preserve">BOI declared by </w:t>
      </w:r>
      <w:r w:rsidR="000D43BC">
        <w:t xml:space="preserve">companies and legal entities was freely accessible via a website managed by the French Trademark and Patent Office, commonly known by the acronym ‘INPI’. </w:t>
      </w:r>
    </w:p>
    <w:p w14:paraId="7E67B7BD" w14:textId="19AB665F" w:rsidR="00DC16C1" w:rsidRDefault="000D43BC" w:rsidP="0051664E">
      <w:pPr>
        <w:pStyle w:val="NumberLevel1"/>
      </w:pPr>
      <w:r>
        <w:t xml:space="preserve">Following the ECJ judgment, the French central register regarding beneficial ownership was suspended on January 1, 2023. </w:t>
      </w:r>
      <w:r w:rsidR="002E79D7">
        <w:t>Whether publication of BOI will occur in the future remains undecided.</w:t>
      </w:r>
    </w:p>
    <w:p w14:paraId="1537F629" w14:textId="7DFDE08A" w:rsidR="003E328D" w:rsidRDefault="003E328D" w:rsidP="003E328D">
      <w:pPr>
        <w:pStyle w:val="Heading4"/>
      </w:pPr>
      <w:r>
        <w:t>Singapore</w:t>
      </w:r>
    </w:p>
    <w:p w14:paraId="2F2B56CE" w14:textId="08FCEAA7" w:rsidR="000D43BC" w:rsidRDefault="003E328D" w:rsidP="000D43BC">
      <w:pPr>
        <w:pStyle w:val="NumberLevel1"/>
      </w:pPr>
      <w:r w:rsidRPr="003E328D">
        <w:t>In 2017, Singapore introduced requirements for certain entities – including companies and foreign companies – to maintain a ‘register of registrable controllers’ (</w:t>
      </w:r>
      <w:r w:rsidRPr="009B00A0">
        <w:rPr>
          <w:b/>
        </w:rPr>
        <w:t>RORC</w:t>
      </w:r>
      <w:r w:rsidRPr="003E328D">
        <w:t>). Since 2020, entities are further required to lodge the information in their RORCs with Singapore’s central RORC, maintained by the Accounting and Corporate Regulatory Authority</w:t>
      </w:r>
      <w:r>
        <w:t xml:space="preserve"> (</w:t>
      </w:r>
      <w:r>
        <w:rPr>
          <w:b/>
        </w:rPr>
        <w:t>ACRA</w:t>
      </w:r>
      <w:r w:rsidRPr="007E2E00">
        <w:t>)</w:t>
      </w:r>
      <w:r w:rsidRPr="003E328D">
        <w:t>.</w:t>
      </w:r>
      <w:r>
        <w:t xml:space="preserve"> Failing to lodge RORC information can lead to prosecution for an offence, and the offender may face a fine of up to $5,000.</w:t>
      </w:r>
      <w:r w:rsidR="00097924">
        <w:rPr>
          <w:rStyle w:val="FootnoteReference"/>
        </w:rPr>
        <w:footnoteReference w:id="35"/>
      </w:r>
      <w:r w:rsidR="000D43BC">
        <w:t xml:space="preserve"> Singapore’s central RORC is not accessible by the public.</w:t>
      </w:r>
    </w:p>
    <w:p w14:paraId="5F3FE231" w14:textId="427E41C3" w:rsidR="003E328D" w:rsidRDefault="003E328D" w:rsidP="003E328D">
      <w:pPr>
        <w:pStyle w:val="NumberLevel1"/>
      </w:pPr>
      <w:r>
        <w:t>In addition to the criteria contemplated by the BO Policy, the RORC regime covered individuals who have a right to share in more than 25% of the profits of the company.</w:t>
      </w:r>
    </w:p>
    <w:p w14:paraId="00ADB30E" w14:textId="20E3E5D4" w:rsidR="00C70065" w:rsidRDefault="00C70065" w:rsidP="00C70065">
      <w:pPr>
        <w:pStyle w:val="Heading4"/>
      </w:pPr>
      <w:r>
        <w:t>United States</w:t>
      </w:r>
    </w:p>
    <w:p w14:paraId="15DEF755" w14:textId="4D4E194E" w:rsidR="008A4F55" w:rsidRPr="001808D4" w:rsidRDefault="008A4F55" w:rsidP="00682AB3">
      <w:pPr>
        <w:pStyle w:val="NumberLevel1"/>
      </w:pPr>
      <w:r w:rsidRPr="009B00A0">
        <w:t>The United States (</w:t>
      </w:r>
      <w:r w:rsidRPr="009B00A0">
        <w:rPr>
          <w:b/>
        </w:rPr>
        <w:t>US</w:t>
      </w:r>
      <w:r w:rsidRPr="009B00A0">
        <w:t xml:space="preserve">) passed the </w:t>
      </w:r>
      <w:r w:rsidRPr="009B00A0">
        <w:rPr>
          <w:i/>
        </w:rPr>
        <w:t xml:space="preserve">Corporate Transparency Act 2001 </w:t>
      </w:r>
      <w:r w:rsidRPr="009B00A0">
        <w:t xml:space="preserve">(US) (the </w:t>
      </w:r>
      <w:r w:rsidRPr="009B00A0">
        <w:rPr>
          <w:b/>
        </w:rPr>
        <w:t>CTA</w:t>
      </w:r>
      <w:r w:rsidRPr="009B00A0">
        <w:t>).</w:t>
      </w:r>
      <w:r w:rsidRPr="009B00A0">
        <w:rPr>
          <w:rStyle w:val="FootnoteReference"/>
        </w:rPr>
        <w:footnoteReference w:id="36"/>
      </w:r>
      <w:r w:rsidRPr="009B00A0">
        <w:t xml:space="preserve"> The CTA </w:t>
      </w:r>
      <w:r w:rsidR="001808D4" w:rsidRPr="001808D4">
        <w:t>requires certain types of corporations, limited liability companies, and other similar entities incorporated in the US or incorporated in another country but registered to do business in the US to file a beneficial ownership information report with the Financial Crimes Enforcement Network (</w:t>
      </w:r>
      <w:r w:rsidR="001808D4" w:rsidRPr="009B00A0">
        <w:rPr>
          <w:b/>
        </w:rPr>
        <w:t>FinCEN</w:t>
      </w:r>
      <w:r w:rsidR="001808D4" w:rsidRPr="001808D4">
        <w:t>).</w:t>
      </w:r>
    </w:p>
    <w:p w14:paraId="482DAE63" w14:textId="406E254D" w:rsidR="001808D4" w:rsidRPr="009B00A0" w:rsidRDefault="001808D4" w:rsidP="00682AB3">
      <w:pPr>
        <w:pStyle w:val="NumberLevel1"/>
      </w:pPr>
      <w:r w:rsidRPr="009B00A0">
        <w:t xml:space="preserve">The new rule is effective from </w:t>
      </w:r>
      <w:r w:rsidR="00826983">
        <w:t xml:space="preserve">1 </w:t>
      </w:r>
      <w:r w:rsidRPr="009B00A0">
        <w:t xml:space="preserve">January 2024, however reporting companies created or registered before </w:t>
      </w:r>
      <w:r w:rsidR="00826983">
        <w:t xml:space="preserve">1 </w:t>
      </w:r>
      <w:r w:rsidRPr="009B00A0">
        <w:t>January</w:t>
      </w:r>
      <w:r w:rsidR="00826983">
        <w:t xml:space="preserve"> </w:t>
      </w:r>
      <w:r w:rsidRPr="009B00A0">
        <w:t xml:space="preserve">2024, will have one year (until </w:t>
      </w:r>
      <w:r w:rsidR="009B00A0">
        <w:t xml:space="preserve">1 </w:t>
      </w:r>
      <w:r w:rsidRPr="009B00A0">
        <w:t xml:space="preserve">January 2025) to file their initial reports, while reporting companies created or registered after </w:t>
      </w:r>
      <w:r w:rsidR="009B00A0">
        <w:t xml:space="preserve">1 </w:t>
      </w:r>
      <w:r w:rsidRPr="009B00A0">
        <w:t>January 2024, will have 30 days after creation or registration to file their initial reports.</w:t>
      </w:r>
    </w:p>
    <w:p w14:paraId="69A87FC9" w14:textId="3387893C" w:rsidR="001808D4" w:rsidRPr="009B00A0" w:rsidRDefault="001808D4" w:rsidP="00682AB3">
      <w:pPr>
        <w:pStyle w:val="NumberLevel1"/>
      </w:pPr>
      <w:r w:rsidRPr="009B00A0">
        <w:t>If a reporting company has no persons who directly own or control more than 25% of the company, that company would not be required to report its beneficial owners, but it would nevertheless be required to report people who exercise substantial control over the company, being people who:</w:t>
      </w:r>
    </w:p>
    <w:p w14:paraId="4B9E8862" w14:textId="60DE786E" w:rsidR="001808D4" w:rsidRPr="009B00A0" w:rsidRDefault="001808D4" w:rsidP="001808D4">
      <w:pPr>
        <w:pStyle w:val="NumberLevel2"/>
      </w:pPr>
      <w:r w:rsidRPr="009B00A0">
        <w:t xml:space="preserve">provide services as a senior officer of a reporting company, </w:t>
      </w:r>
    </w:p>
    <w:p w14:paraId="71A887E1" w14:textId="77C1B77A" w:rsidR="001808D4" w:rsidRPr="009B00A0" w:rsidRDefault="001808D4" w:rsidP="009B00A0">
      <w:pPr>
        <w:pStyle w:val="NumberLevel2"/>
      </w:pPr>
      <w:r w:rsidRPr="009B00A0">
        <w:t xml:space="preserve">have authority over the appointment or removal of any senior officer or </w:t>
      </w:r>
      <w:proofErr w:type="gramStart"/>
      <w:r w:rsidRPr="009B00A0">
        <w:t>a majority of</w:t>
      </w:r>
      <w:proofErr w:type="gramEnd"/>
      <w:r w:rsidRPr="009B00A0">
        <w:t xml:space="preserve"> the board of directors (or similar body) of the reporting company,</w:t>
      </w:r>
    </w:p>
    <w:p w14:paraId="3338B35F" w14:textId="6D9A9BD4" w:rsidR="001808D4" w:rsidRPr="009B00A0" w:rsidRDefault="001808D4" w:rsidP="001808D4">
      <w:pPr>
        <w:pStyle w:val="NumberLevel2"/>
      </w:pPr>
      <w:r w:rsidRPr="009B00A0">
        <w:t xml:space="preserve">direct, </w:t>
      </w:r>
      <w:r w:rsidR="00774E9C" w:rsidRPr="00774E9C">
        <w:t>determine</w:t>
      </w:r>
      <w:r w:rsidRPr="009B00A0">
        <w:t xml:space="preserve"> or have substantial influence over important matters of the reporting company, such as, for example, the reorganization, dissolution or merger of the reporting company, the selection or termination of business lines or ventures of the reporting company and the amendment of any governance documents of the reporting company. </w:t>
      </w:r>
    </w:p>
    <w:p w14:paraId="4964DC28" w14:textId="44183602" w:rsidR="001808D4" w:rsidRDefault="001808D4" w:rsidP="009B00A0">
      <w:pPr>
        <w:pStyle w:val="NumberLevel2"/>
      </w:pPr>
      <w:r w:rsidRPr="009B00A0">
        <w:t>have any other form of substantial control over the reporting company.</w:t>
      </w:r>
    </w:p>
    <w:p w14:paraId="58C0432B" w14:textId="156EDCFA" w:rsidR="009B00A0" w:rsidRPr="009B00A0" w:rsidRDefault="009B00A0" w:rsidP="009B00A0">
      <w:pPr>
        <w:pStyle w:val="NumberLevel1"/>
      </w:pPr>
      <w:r>
        <w:t>FinCEN will not make available a public register of beneficial ownership information.</w:t>
      </w:r>
    </w:p>
    <w:p w14:paraId="044449EA" w14:textId="13E97361" w:rsidR="006070C2" w:rsidRDefault="006070C2" w:rsidP="006070C2">
      <w:pPr>
        <w:pStyle w:val="Heading4"/>
      </w:pPr>
      <w:r>
        <w:t>Canada</w:t>
      </w:r>
    </w:p>
    <w:p w14:paraId="7DFC0476" w14:textId="0E981BB8" w:rsidR="006070C2" w:rsidRDefault="006070C2" w:rsidP="006070C2">
      <w:pPr>
        <w:pStyle w:val="NumberLevel1"/>
      </w:pPr>
      <w:r>
        <w:t>Since June 2019, Canada has required businesses to maintain registers of individuals with significant control (</w:t>
      </w:r>
      <w:r>
        <w:rPr>
          <w:b/>
        </w:rPr>
        <w:t>ISC</w:t>
      </w:r>
      <w:r>
        <w:t>) of them.</w:t>
      </w:r>
      <w:r w:rsidR="009B00A0">
        <w:rPr>
          <w:rStyle w:val="FootnoteReference"/>
        </w:rPr>
        <w:footnoteReference w:id="37"/>
      </w:r>
      <w:r>
        <w:t xml:space="preserve"> </w:t>
      </w:r>
      <w:r w:rsidRPr="006070C2">
        <w:t xml:space="preserve">As of </w:t>
      </w:r>
      <w:r w:rsidR="00097924">
        <w:t xml:space="preserve">22 </w:t>
      </w:r>
      <w:r w:rsidRPr="006070C2">
        <w:t>January 2024, all business corporations under the Canada Business Corporations Act (</w:t>
      </w:r>
      <w:r w:rsidRPr="009B00A0">
        <w:rPr>
          <w:b/>
        </w:rPr>
        <w:t>CBCA</w:t>
      </w:r>
      <w:r w:rsidRPr="006070C2">
        <w:t>) are required to file beneficial ownership information with Corporations Canada.</w:t>
      </w:r>
    </w:p>
    <w:p w14:paraId="513B0994" w14:textId="1E782C22" w:rsidR="006070C2" w:rsidRDefault="006070C2" w:rsidP="006070C2">
      <w:pPr>
        <w:pStyle w:val="NumberLevel1"/>
      </w:pPr>
      <w:r>
        <w:t xml:space="preserve">The database of ISCs is expected to take more than a year to be populated. The information </w:t>
      </w:r>
      <w:r w:rsidR="00640FE0">
        <w:t xml:space="preserve">about ISCs set out in the table below </w:t>
      </w:r>
      <w:r>
        <w:t>will be available to the public</w:t>
      </w:r>
      <w:r w:rsidR="00640FE0">
        <w:t>.</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605"/>
        <w:gridCol w:w="7615"/>
      </w:tblGrid>
      <w:tr w:rsidR="00640FE0" w:rsidRPr="00121519" w14:paraId="6F17AB70" w14:textId="77777777" w:rsidTr="00640FE0">
        <w:trPr>
          <w:cantSplit/>
          <w:tblHeader/>
        </w:trPr>
        <w:tc>
          <w:tcPr>
            <w:tcW w:w="368" w:type="pct"/>
            <w:shd w:val="clear" w:color="auto" w:fill="C4DDEA"/>
            <w:vAlign w:val="top"/>
          </w:tcPr>
          <w:p w14:paraId="5F2F7D71" w14:textId="04711044" w:rsidR="00640FE0" w:rsidRPr="00121519" w:rsidRDefault="00640FE0" w:rsidP="00640FE0">
            <w:pPr>
              <w:pStyle w:val="TableHeading2"/>
              <w:ind w:left="176" w:hanging="176"/>
            </w:pPr>
            <w:r>
              <w:t>No.</w:t>
            </w:r>
          </w:p>
        </w:tc>
        <w:tc>
          <w:tcPr>
            <w:tcW w:w="4632" w:type="pct"/>
            <w:shd w:val="clear" w:color="auto" w:fill="C4DDEA"/>
            <w:vAlign w:val="top"/>
          </w:tcPr>
          <w:p w14:paraId="3BEC30C4" w14:textId="5453E16E" w:rsidR="00640FE0" w:rsidRPr="00121519" w:rsidRDefault="00640FE0" w:rsidP="00640FE0">
            <w:pPr>
              <w:pStyle w:val="TableHeading2"/>
            </w:pPr>
            <w:r>
              <w:t>Type of information</w:t>
            </w:r>
          </w:p>
        </w:tc>
      </w:tr>
      <w:tr w:rsidR="00640FE0" w:rsidRPr="00121519" w14:paraId="3F54E71F" w14:textId="77777777" w:rsidTr="00640FE0">
        <w:tc>
          <w:tcPr>
            <w:tcW w:w="368" w:type="pct"/>
            <w:vAlign w:val="top"/>
          </w:tcPr>
          <w:p w14:paraId="7A18D887" w14:textId="02530DA5" w:rsidR="00640FE0" w:rsidRPr="00121519" w:rsidRDefault="00640FE0" w:rsidP="00640FE0">
            <w:pPr>
              <w:pStyle w:val="TablePlainParagraph"/>
              <w:rPr>
                <w:b/>
              </w:rPr>
            </w:pPr>
            <w:r>
              <w:rPr>
                <w:b/>
              </w:rPr>
              <w:t>1.</w:t>
            </w:r>
          </w:p>
        </w:tc>
        <w:tc>
          <w:tcPr>
            <w:tcW w:w="4632" w:type="pct"/>
            <w:vAlign w:val="top"/>
          </w:tcPr>
          <w:p w14:paraId="2637A22A" w14:textId="29D083B4" w:rsidR="00640FE0" w:rsidRPr="00121519" w:rsidRDefault="00640FE0" w:rsidP="00640FE0">
            <w:pPr>
              <w:pStyle w:val="TablePlainParagraph"/>
            </w:pPr>
            <w:r w:rsidRPr="00433B95">
              <w:t>Full legal name,</w:t>
            </w:r>
          </w:p>
        </w:tc>
      </w:tr>
      <w:tr w:rsidR="00640FE0" w:rsidRPr="00121519" w14:paraId="4C7C91BA" w14:textId="77777777" w:rsidTr="00640FE0">
        <w:tc>
          <w:tcPr>
            <w:tcW w:w="368" w:type="pct"/>
            <w:vAlign w:val="top"/>
          </w:tcPr>
          <w:p w14:paraId="1A6A2C44" w14:textId="5E8073B9" w:rsidR="00640FE0" w:rsidRPr="00121519" w:rsidRDefault="00640FE0" w:rsidP="00640FE0">
            <w:pPr>
              <w:pStyle w:val="TablePlainParagraph"/>
              <w:rPr>
                <w:b/>
              </w:rPr>
            </w:pPr>
            <w:r>
              <w:rPr>
                <w:b/>
              </w:rPr>
              <w:t>2.</w:t>
            </w:r>
          </w:p>
        </w:tc>
        <w:tc>
          <w:tcPr>
            <w:tcW w:w="4632" w:type="pct"/>
            <w:vAlign w:val="top"/>
          </w:tcPr>
          <w:p w14:paraId="7630E2E0" w14:textId="3F594777" w:rsidR="00640FE0" w:rsidRPr="00121519" w:rsidRDefault="00640FE0" w:rsidP="00640FE0">
            <w:pPr>
              <w:pStyle w:val="TablePlainParagraph"/>
            </w:pPr>
            <w:r w:rsidRPr="00433B95">
              <w:t>Date the individual became an ISC and ceased to be an ISC, as applicable,</w:t>
            </w:r>
          </w:p>
        </w:tc>
      </w:tr>
      <w:tr w:rsidR="00640FE0" w:rsidRPr="00121519" w14:paraId="68D10109" w14:textId="77777777" w:rsidTr="00640FE0">
        <w:tc>
          <w:tcPr>
            <w:tcW w:w="368" w:type="pct"/>
            <w:vAlign w:val="top"/>
          </w:tcPr>
          <w:p w14:paraId="0058F352" w14:textId="770C9F80" w:rsidR="00640FE0" w:rsidRPr="00121519" w:rsidRDefault="00640FE0" w:rsidP="00640FE0">
            <w:pPr>
              <w:pStyle w:val="TablePlainParagraph"/>
              <w:rPr>
                <w:b/>
              </w:rPr>
            </w:pPr>
            <w:r>
              <w:rPr>
                <w:b/>
              </w:rPr>
              <w:t>3.</w:t>
            </w:r>
          </w:p>
        </w:tc>
        <w:tc>
          <w:tcPr>
            <w:tcW w:w="4632" w:type="pct"/>
            <w:vAlign w:val="top"/>
          </w:tcPr>
          <w:p w14:paraId="6F7B50A0" w14:textId="5F17671C" w:rsidR="00640FE0" w:rsidRPr="00121519" w:rsidRDefault="00640FE0" w:rsidP="00640FE0">
            <w:pPr>
              <w:pStyle w:val="TablePlainParagraph"/>
            </w:pPr>
            <w:r w:rsidRPr="00433B95">
              <w:t>Description of the ISC's significant control,</w:t>
            </w:r>
          </w:p>
        </w:tc>
      </w:tr>
      <w:tr w:rsidR="00640FE0" w:rsidRPr="00121519" w14:paraId="314A2A97" w14:textId="77777777" w:rsidTr="00640FE0">
        <w:tc>
          <w:tcPr>
            <w:tcW w:w="368" w:type="pct"/>
            <w:vAlign w:val="top"/>
          </w:tcPr>
          <w:p w14:paraId="2FAF0AFF" w14:textId="2452223F" w:rsidR="00640FE0" w:rsidRPr="00121519" w:rsidRDefault="00640FE0" w:rsidP="00640FE0">
            <w:pPr>
              <w:pStyle w:val="TablePlainParagraph"/>
              <w:rPr>
                <w:b/>
              </w:rPr>
            </w:pPr>
            <w:r>
              <w:rPr>
                <w:b/>
              </w:rPr>
              <w:t>4.</w:t>
            </w:r>
          </w:p>
        </w:tc>
        <w:tc>
          <w:tcPr>
            <w:tcW w:w="4632" w:type="pct"/>
            <w:vAlign w:val="top"/>
          </w:tcPr>
          <w:p w14:paraId="6945AEA7" w14:textId="1FDB96EF" w:rsidR="00640FE0" w:rsidRPr="00121519" w:rsidRDefault="00640FE0" w:rsidP="00640FE0">
            <w:pPr>
              <w:pStyle w:val="TablePlainParagraph"/>
            </w:pPr>
            <w:r w:rsidRPr="00433B95">
              <w:t>Residential address (will be made public if no address for service is provided),</w:t>
            </w:r>
          </w:p>
        </w:tc>
      </w:tr>
      <w:tr w:rsidR="00640FE0" w:rsidRPr="00121519" w14:paraId="48587E34" w14:textId="77777777" w:rsidTr="00640FE0">
        <w:tc>
          <w:tcPr>
            <w:tcW w:w="368" w:type="pct"/>
            <w:vAlign w:val="top"/>
          </w:tcPr>
          <w:p w14:paraId="37335D24" w14:textId="42989600" w:rsidR="00640FE0" w:rsidRPr="00121519" w:rsidRDefault="00640FE0" w:rsidP="00640FE0">
            <w:pPr>
              <w:pStyle w:val="TablePlainParagraph"/>
              <w:rPr>
                <w:b/>
              </w:rPr>
            </w:pPr>
            <w:r>
              <w:rPr>
                <w:b/>
              </w:rPr>
              <w:t>5.</w:t>
            </w:r>
          </w:p>
        </w:tc>
        <w:tc>
          <w:tcPr>
            <w:tcW w:w="4632" w:type="pct"/>
            <w:vAlign w:val="top"/>
          </w:tcPr>
          <w:p w14:paraId="4888EF7E" w14:textId="463A08AB" w:rsidR="00640FE0" w:rsidRPr="00121519" w:rsidRDefault="00640FE0" w:rsidP="00640FE0">
            <w:pPr>
              <w:pStyle w:val="TablePlainParagraph"/>
            </w:pPr>
            <w:r w:rsidRPr="00433B95">
              <w:t>Address for service (if one is provided).</w:t>
            </w:r>
          </w:p>
        </w:tc>
      </w:tr>
    </w:tbl>
    <w:p w14:paraId="150B61D7" w14:textId="5C99DB54" w:rsidR="006070C2" w:rsidRPr="006070C2" w:rsidRDefault="006070C2" w:rsidP="006070C2">
      <w:pPr>
        <w:pStyle w:val="NumberLevel1"/>
      </w:pPr>
      <w:r>
        <w:t>Canada’s requirement to make an address for service public, and willingness to make an ISC’s residential address public if they do not provide an address for service, is notably more intrusive than what is proposed under the BO policy.</w:t>
      </w:r>
      <w:r w:rsidR="00097924">
        <w:t xml:space="preserve"> </w:t>
      </w:r>
    </w:p>
    <w:p w14:paraId="6BEC31EA" w14:textId="77777777" w:rsidR="00591C3C" w:rsidRDefault="00591C3C" w:rsidP="00591C3C">
      <w:pPr>
        <w:pStyle w:val="Heading3"/>
      </w:pPr>
      <w:r>
        <w:t>Community expectations</w:t>
      </w:r>
    </w:p>
    <w:p w14:paraId="5F43BDD7" w14:textId="09FB0E06" w:rsidR="00591C3C" w:rsidRDefault="00F36835" w:rsidP="00591C3C">
      <w:pPr>
        <w:pStyle w:val="NumberLevel1"/>
      </w:pPr>
      <w:r>
        <w:t xml:space="preserve">A </w:t>
      </w:r>
      <w:r w:rsidR="00591C3C">
        <w:t xml:space="preserve">key aspect to </w:t>
      </w:r>
      <w:r>
        <w:t xml:space="preserve">the </w:t>
      </w:r>
      <w:r w:rsidR="00591C3C">
        <w:t xml:space="preserve">balancing exercise involves consideration of community attitudes and expectations. Consistent with the objects of the Privacy Act, the Australian community expects that the benefits of any new measure will outweigh any intrusion, and that the risks of harm from the measure will be limited. Additionally, in the </w:t>
      </w:r>
      <w:hyperlink r:id="rId30" w:history="1">
        <w:r w:rsidR="00591C3C" w:rsidRPr="00AD1724">
          <w:rPr>
            <w:rStyle w:val="Hyperlink"/>
          </w:rPr>
          <w:t>2023 Australian Community Attitudes to Privacy Survey</w:t>
        </w:r>
      </w:hyperlink>
      <w:r w:rsidR="00591C3C">
        <w:t xml:space="preserve">, participants overwhelmingly stated that they would like both businesses and government to do more to protect their data (p 42). </w:t>
      </w:r>
    </w:p>
    <w:p w14:paraId="44D6C73C" w14:textId="68169AA9" w:rsidR="00591C3C" w:rsidRDefault="00591C3C" w:rsidP="00591C3C">
      <w:pPr>
        <w:pStyle w:val="NumberLevel1"/>
        <w:rPr>
          <w:lang w:eastAsia="en-US"/>
        </w:rPr>
      </w:pPr>
      <w:r>
        <w:rPr>
          <w:lang w:eastAsia="en-US"/>
        </w:rPr>
        <w:t>In November 2022, Treasury released a consultation paper entitled ‘</w:t>
      </w:r>
      <w:r w:rsidRPr="00A238CE">
        <w:rPr>
          <w:lang w:eastAsia="en-US"/>
        </w:rPr>
        <w:t>Multinational tax integrity: Public Beneficial Ownership Register</w:t>
      </w:r>
      <w:r>
        <w:rPr>
          <w:lang w:eastAsia="en-US"/>
        </w:rPr>
        <w:t>’. The consultation period ran from 7</w:t>
      </w:r>
      <w:r w:rsidR="00097924">
        <w:rPr>
          <w:lang w:eastAsia="en-US"/>
        </w:rPr>
        <w:t> </w:t>
      </w:r>
      <w:r>
        <w:rPr>
          <w:lang w:eastAsia="en-US"/>
        </w:rPr>
        <w:t>November 2022 to 16 December 2022. Public submissions were received from 31</w:t>
      </w:r>
      <w:r w:rsidR="00097924">
        <w:rPr>
          <w:lang w:eastAsia="en-US"/>
        </w:rPr>
        <w:t> </w:t>
      </w:r>
      <w:r>
        <w:rPr>
          <w:lang w:eastAsia="en-US"/>
        </w:rPr>
        <w:t>agencies, organisations, and individuals.</w:t>
      </w:r>
    </w:p>
    <w:p w14:paraId="7EA6125F" w14:textId="790A367E" w:rsidR="00591C3C" w:rsidRDefault="00774E9C" w:rsidP="00591C3C">
      <w:pPr>
        <w:pStyle w:val="NumberLevel1"/>
        <w:rPr>
          <w:lang w:eastAsia="en-US"/>
        </w:rPr>
      </w:pPr>
      <w:r>
        <w:rPr>
          <w:lang w:eastAsia="en-US"/>
        </w:rPr>
        <w:t>Several</w:t>
      </w:r>
      <w:r w:rsidR="00591C3C">
        <w:rPr>
          <w:lang w:eastAsia="en-US"/>
        </w:rPr>
        <w:t xml:space="preserve"> concerns held by the public were identified through the consultation process. </w:t>
      </w:r>
      <w:r w:rsidR="00097924">
        <w:rPr>
          <w:lang w:eastAsia="en-US"/>
        </w:rPr>
        <w:t xml:space="preserve">Relevantly, </w:t>
      </w:r>
      <w:r w:rsidR="00640FE0">
        <w:rPr>
          <w:lang w:eastAsia="en-US"/>
        </w:rPr>
        <w:t xml:space="preserve">the community identified the </w:t>
      </w:r>
      <w:r w:rsidR="00097924">
        <w:rPr>
          <w:lang w:eastAsia="en-US"/>
        </w:rPr>
        <w:t xml:space="preserve">privacy </w:t>
      </w:r>
      <w:r w:rsidR="00640FE0">
        <w:rPr>
          <w:lang w:eastAsia="en-US"/>
        </w:rPr>
        <w:t xml:space="preserve">related </w:t>
      </w:r>
      <w:r w:rsidR="00097924">
        <w:rPr>
          <w:lang w:eastAsia="en-US"/>
        </w:rPr>
        <w:t>c</w:t>
      </w:r>
      <w:r w:rsidR="00591C3C">
        <w:rPr>
          <w:lang w:eastAsia="en-US"/>
        </w:rPr>
        <w:t xml:space="preserve">oncerns </w:t>
      </w:r>
      <w:r w:rsidR="00640FE0">
        <w:rPr>
          <w:lang w:eastAsia="en-US"/>
        </w:rPr>
        <w:t xml:space="preserve">set out in the table below. </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605"/>
        <w:gridCol w:w="7615"/>
      </w:tblGrid>
      <w:tr w:rsidR="00640FE0" w:rsidRPr="00121519" w14:paraId="33CD3CDC" w14:textId="77777777" w:rsidTr="00640FE0">
        <w:trPr>
          <w:cantSplit/>
          <w:tblHeader/>
        </w:trPr>
        <w:tc>
          <w:tcPr>
            <w:tcW w:w="368" w:type="pct"/>
            <w:shd w:val="clear" w:color="auto" w:fill="C4DDEA"/>
            <w:vAlign w:val="top"/>
          </w:tcPr>
          <w:p w14:paraId="3E438D98" w14:textId="0589C7C5" w:rsidR="00640FE0" w:rsidRPr="00121519" w:rsidRDefault="00640FE0" w:rsidP="00640FE0">
            <w:pPr>
              <w:pStyle w:val="TableHeading2"/>
              <w:ind w:left="176" w:hanging="176"/>
            </w:pPr>
            <w:r>
              <w:t>No.</w:t>
            </w:r>
          </w:p>
        </w:tc>
        <w:tc>
          <w:tcPr>
            <w:tcW w:w="4632" w:type="pct"/>
            <w:shd w:val="clear" w:color="auto" w:fill="C4DDEA"/>
            <w:vAlign w:val="top"/>
          </w:tcPr>
          <w:p w14:paraId="409BCB26" w14:textId="3C3027C1" w:rsidR="00640FE0" w:rsidRPr="00121519" w:rsidRDefault="00640FE0" w:rsidP="00640FE0">
            <w:pPr>
              <w:pStyle w:val="TableHeading2"/>
            </w:pPr>
            <w:r>
              <w:t>Privacy concern</w:t>
            </w:r>
          </w:p>
        </w:tc>
      </w:tr>
      <w:tr w:rsidR="00640FE0" w:rsidRPr="00121519" w14:paraId="1EA5F384" w14:textId="77777777" w:rsidTr="00640FE0">
        <w:tc>
          <w:tcPr>
            <w:tcW w:w="368" w:type="pct"/>
            <w:vAlign w:val="top"/>
          </w:tcPr>
          <w:p w14:paraId="63A48568" w14:textId="09507F00" w:rsidR="00640FE0" w:rsidRPr="00121519" w:rsidRDefault="00640FE0" w:rsidP="00640FE0">
            <w:pPr>
              <w:pStyle w:val="TablePlainParagraph"/>
              <w:rPr>
                <w:b/>
              </w:rPr>
            </w:pPr>
            <w:r>
              <w:rPr>
                <w:b/>
              </w:rPr>
              <w:t>1.</w:t>
            </w:r>
          </w:p>
        </w:tc>
        <w:tc>
          <w:tcPr>
            <w:tcW w:w="4632" w:type="pct"/>
            <w:vAlign w:val="top"/>
          </w:tcPr>
          <w:p w14:paraId="399EDD8B" w14:textId="158015FC" w:rsidR="00640FE0" w:rsidRPr="00121519" w:rsidRDefault="00640FE0" w:rsidP="00640FE0">
            <w:pPr>
              <w:pStyle w:val="TablePlainParagraph"/>
            </w:pPr>
            <w:r>
              <w:rPr>
                <w:lang w:eastAsia="en-US"/>
              </w:rPr>
              <w:t>S</w:t>
            </w:r>
            <w:r w:rsidRPr="0046366F">
              <w:rPr>
                <w:lang w:eastAsia="en-US"/>
              </w:rPr>
              <w:t>everal stakeholders opposed the two-stage approach to implementing the BO</w:t>
            </w:r>
            <w:r w:rsidR="009812C6">
              <w:rPr>
                <w:lang w:eastAsia="en-US"/>
              </w:rPr>
              <w:t> P</w:t>
            </w:r>
            <w:r w:rsidRPr="0046366F">
              <w:rPr>
                <w:lang w:eastAsia="en-US"/>
              </w:rPr>
              <w:t>olicy, on the basis that the benefits of the BO would only meaningfully crystallise in Stage 2</w:t>
            </w:r>
          </w:p>
        </w:tc>
      </w:tr>
      <w:tr w:rsidR="00640FE0" w:rsidRPr="00121519" w14:paraId="0FC588C3" w14:textId="77777777" w:rsidTr="00640FE0">
        <w:tc>
          <w:tcPr>
            <w:tcW w:w="368" w:type="pct"/>
            <w:vAlign w:val="top"/>
          </w:tcPr>
          <w:p w14:paraId="7B475489" w14:textId="50F1503B" w:rsidR="00640FE0" w:rsidRPr="00121519" w:rsidRDefault="00640FE0" w:rsidP="00640FE0">
            <w:pPr>
              <w:pStyle w:val="TablePlainParagraph"/>
              <w:rPr>
                <w:b/>
              </w:rPr>
            </w:pPr>
            <w:r>
              <w:rPr>
                <w:b/>
              </w:rPr>
              <w:t>2.</w:t>
            </w:r>
          </w:p>
        </w:tc>
        <w:tc>
          <w:tcPr>
            <w:tcW w:w="4632" w:type="pct"/>
            <w:vAlign w:val="top"/>
          </w:tcPr>
          <w:p w14:paraId="7A83078C" w14:textId="6DE44648" w:rsidR="00640FE0" w:rsidRPr="00121519" w:rsidRDefault="00640FE0" w:rsidP="00640FE0">
            <w:pPr>
              <w:pStyle w:val="TablePlainParagraph"/>
            </w:pPr>
            <w:r w:rsidRPr="0046366F">
              <w:rPr>
                <w:lang w:eastAsia="en-US"/>
              </w:rPr>
              <w:t>BOI obtained through tracing notices should be held in a centralised register maintained by ASIC or the ATO, with access subject to privacy and materiality thresholds</w:t>
            </w:r>
          </w:p>
        </w:tc>
      </w:tr>
      <w:tr w:rsidR="00640FE0" w:rsidRPr="00121519" w14:paraId="698F11D1" w14:textId="77777777" w:rsidTr="00640FE0">
        <w:tc>
          <w:tcPr>
            <w:tcW w:w="368" w:type="pct"/>
            <w:vAlign w:val="top"/>
          </w:tcPr>
          <w:p w14:paraId="19F70B1B" w14:textId="12EB47E5" w:rsidR="00640FE0" w:rsidRPr="00121519" w:rsidRDefault="00640FE0" w:rsidP="00640FE0">
            <w:pPr>
              <w:pStyle w:val="TablePlainParagraph"/>
              <w:rPr>
                <w:b/>
              </w:rPr>
            </w:pPr>
            <w:r>
              <w:rPr>
                <w:b/>
              </w:rPr>
              <w:t>3.</w:t>
            </w:r>
          </w:p>
        </w:tc>
        <w:tc>
          <w:tcPr>
            <w:tcW w:w="4632" w:type="pct"/>
            <w:vAlign w:val="top"/>
          </w:tcPr>
          <w:p w14:paraId="3571CB3F" w14:textId="34743043" w:rsidR="00640FE0" w:rsidRPr="00121519" w:rsidRDefault="00640FE0" w:rsidP="00640FE0">
            <w:pPr>
              <w:pStyle w:val="TablePlainParagraph"/>
            </w:pPr>
            <w:r>
              <w:rPr>
                <w:lang w:eastAsia="en-US"/>
              </w:rPr>
              <w:t>T</w:t>
            </w:r>
            <w:r w:rsidRPr="0046366F">
              <w:rPr>
                <w:lang w:eastAsia="en-US"/>
              </w:rPr>
              <w:t>he loss of personal privacy for beneficial owners, including a resultant risk of BOI being used to enable fraud, identity theft, cybercrime, and extortion</w:t>
            </w:r>
          </w:p>
        </w:tc>
      </w:tr>
      <w:tr w:rsidR="00640FE0" w:rsidRPr="00121519" w14:paraId="037CC819" w14:textId="77777777" w:rsidTr="00640FE0">
        <w:tc>
          <w:tcPr>
            <w:tcW w:w="368" w:type="pct"/>
            <w:vAlign w:val="top"/>
          </w:tcPr>
          <w:p w14:paraId="46119222" w14:textId="7C746ABD" w:rsidR="00640FE0" w:rsidRPr="00121519" w:rsidRDefault="00640FE0" w:rsidP="00640FE0">
            <w:pPr>
              <w:pStyle w:val="TablePlainParagraph"/>
              <w:rPr>
                <w:b/>
              </w:rPr>
            </w:pPr>
            <w:r>
              <w:rPr>
                <w:b/>
              </w:rPr>
              <w:t>4.</w:t>
            </w:r>
          </w:p>
        </w:tc>
        <w:tc>
          <w:tcPr>
            <w:tcW w:w="4632" w:type="pct"/>
            <w:vAlign w:val="top"/>
          </w:tcPr>
          <w:p w14:paraId="2B1FF167" w14:textId="6E55B25A" w:rsidR="00640FE0" w:rsidRPr="00121519" w:rsidRDefault="00640FE0" w:rsidP="00640FE0">
            <w:pPr>
              <w:pStyle w:val="TablePlainParagraph"/>
            </w:pPr>
            <w:r>
              <w:rPr>
                <w:lang w:eastAsia="en-US"/>
              </w:rPr>
              <w:t>T</w:t>
            </w:r>
            <w:r w:rsidRPr="0046366F">
              <w:rPr>
                <w:lang w:eastAsia="en-US"/>
              </w:rPr>
              <w:t>he practical challenges of the requirement to identify and verify the identity of some trust beneficiaries</w:t>
            </w:r>
          </w:p>
        </w:tc>
      </w:tr>
      <w:tr w:rsidR="00640FE0" w:rsidRPr="00121519" w14:paraId="34A642A9" w14:textId="77777777" w:rsidTr="00640FE0">
        <w:tc>
          <w:tcPr>
            <w:tcW w:w="368" w:type="pct"/>
            <w:vAlign w:val="top"/>
          </w:tcPr>
          <w:p w14:paraId="300FC491" w14:textId="5A9E78B0" w:rsidR="00640FE0" w:rsidRPr="00121519" w:rsidRDefault="00640FE0" w:rsidP="00640FE0">
            <w:pPr>
              <w:pStyle w:val="TablePlainParagraph"/>
              <w:rPr>
                <w:b/>
              </w:rPr>
            </w:pPr>
            <w:r>
              <w:rPr>
                <w:b/>
              </w:rPr>
              <w:t>5.</w:t>
            </w:r>
          </w:p>
        </w:tc>
        <w:tc>
          <w:tcPr>
            <w:tcW w:w="4632" w:type="pct"/>
            <w:vAlign w:val="top"/>
          </w:tcPr>
          <w:p w14:paraId="67F4C7EA" w14:textId="31846922" w:rsidR="00640FE0" w:rsidRPr="00121519" w:rsidRDefault="00640FE0" w:rsidP="00640FE0">
            <w:pPr>
              <w:pStyle w:val="TablePlainParagraph"/>
            </w:pPr>
            <w:r>
              <w:rPr>
                <w:lang w:eastAsia="en-US"/>
              </w:rPr>
              <w:t>T</w:t>
            </w:r>
            <w:r w:rsidRPr="0046366F">
              <w:rPr>
                <w:lang w:eastAsia="en-US"/>
              </w:rPr>
              <w:t>he broad definition of needing to take ‘reasonable steps’ to be ‘reasonably assured’ of a beneficial owner’s identity could be used as a loophole</w:t>
            </w:r>
          </w:p>
        </w:tc>
      </w:tr>
      <w:tr w:rsidR="00640FE0" w:rsidRPr="00121519" w14:paraId="3996BBD9" w14:textId="77777777" w:rsidTr="00640FE0">
        <w:tc>
          <w:tcPr>
            <w:tcW w:w="368" w:type="pct"/>
            <w:vAlign w:val="top"/>
          </w:tcPr>
          <w:p w14:paraId="79526382" w14:textId="4294375B" w:rsidR="00640FE0" w:rsidRPr="00121519" w:rsidRDefault="00640FE0" w:rsidP="00640FE0">
            <w:pPr>
              <w:pStyle w:val="TablePlainParagraph"/>
              <w:rPr>
                <w:b/>
              </w:rPr>
            </w:pPr>
            <w:r>
              <w:rPr>
                <w:b/>
              </w:rPr>
              <w:t>6.</w:t>
            </w:r>
          </w:p>
        </w:tc>
        <w:tc>
          <w:tcPr>
            <w:tcW w:w="4632" w:type="pct"/>
            <w:vAlign w:val="top"/>
          </w:tcPr>
          <w:p w14:paraId="68C07007" w14:textId="0E6133FE" w:rsidR="00640FE0" w:rsidRPr="00121519" w:rsidRDefault="00640FE0" w:rsidP="00640FE0">
            <w:pPr>
              <w:pStyle w:val="TablePlainParagraph"/>
            </w:pPr>
            <w:r>
              <w:rPr>
                <w:lang w:eastAsia="en-US"/>
              </w:rPr>
              <w:t>H</w:t>
            </w:r>
            <w:r w:rsidRPr="0046366F">
              <w:rPr>
                <w:lang w:eastAsia="en-US"/>
              </w:rPr>
              <w:t>igh risk of non-compliance due to the unsophisticated nature of the regulated population, and the desire to avoid public scrutiny by those who engage in illicit activity</w:t>
            </w:r>
          </w:p>
        </w:tc>
      </w:tr>
      <w:tr w:rsidR="00640FE0" w:rsidRPr="00121519" w14:paraId="448BD2F4" w14:textId="77777777" w:rsidTr="00640FE0">
        <w:tc>
          <w:tcPr>
            <w:tcW w:w="368" w:type="pct"/>
            <w:vAlign w:val="top"/>
          </w:tcPr>
          <w:p w14:paraId="176D60E6" w14:textId="1DC908E2" w:rsidR="00640FE0" w:rsidRPr="00121519" w:rsidRDefault="00640FE0" w:rsidP="00640FE0">
            <w:pPr>
              <w:pStyle w:val="TablePlainParagraph"/>
              <w:rPr>
                <w:b/>
              </w:rPr>
            </w:pPr>
            <w:r>
              <w:rPr>
                <w:b/>
              </w:rPr>
              <w:t>7.</w:t>
            </w:r>
          </w:p>
        </w:tc>
        <w:tc>
          <w:tcPr>
            <w:tcW w:w="4632" w:type="pct"/>
            <w:vAlign w:val="top"/>
          </w:tcPr>
          <w:p w14:paraId="5A2B2734" w14:textId="6DD830AC" w:rsidR="00640FE0" w:rsidRPr="00121519" w:rsidRDefault="002212C6" w:rsidP="00640FE0">
            <w:pPr>
              <w:pStyle w:val="TablePlainParagraph"/>
            </w:pPr>
            <w:r>
              <w:rPr>
                <w:lang w:eastAsia="en-US"/>
              </w:rPr>
              <w:t>T</w:t>
            </w:r>
            <w:r w:rsidR="00640FE0" w:rsidRPr="0046366F">
              <w:rPr>
                <w:lang w:eastAsia="en-US"/>
              </w:rPr>
              <w:t>he significant cost and complexity of the proposed regime for regulated entities, particularly for small companies and businesses, family-owned or operated entities, NFPs, and CLBGs.</w:t>
            </w:r>
          </w:p>
        </w:tc>
      </w:tr>
    </w:tbl>
    <w:p w14:paraId="1A230C09" w14:textId="2EC36592" w:rsidR="00591C3C" w:rsidRDefault="00591C3C" w:rsidP="00C70065">
      <w:pPr>
        <w:pStyle w:val="NumberLevel1"/>
        <w:rPr>
          <w:lang w:eastAsia="en-US"/>
        </w:rPr>
      </w:pPr>
      <w:r>
        <w:rPr>
          <w:lang w:eastAsia="en-US"/>
        </w:rPr>
        <w:t xml:space="preserve">This list is not exhaustive, and </w:t>
      </w:r>
      <w:r w:rsidR="00774E9C">
        <w:rPr>
          <w:lang w:eastAsia="en-US"/>
        </w:rPr>
        <w:t>several</w:t>
      </w:r>
      <w:r>
        <w:rPr>
          <w:lang w:eastAsia="en-US"/>
        </w:rPr>
        <w:t xml:space="preserve"> other concerns were raised by stakeholders during the consultation process. Treasury has listened to </w:t>
      </w:r>
      <w:proofErr w:type="gramStart"/>
      <w:r>
        <w:rPr>
          <w:lang w:eastAsia="en-US"/>
        </w:rPr>
        <w:t>stakeholders, and</w:t>
      </w:r>
      <w:proofErr w:type="gramEnd"/>
      <w:r>
        <w:rPr>
          <w:lang w:eastAsia="en-US"/>
        </w:rPr>
        <w:t xml:space="preserve"> made </w:t>
      </w:r>
      <w:r w:rsidR="00774E9C">
        <w:rPr>
          <w:lang w:eastAsia="en-US"/>
        </w:rPr>
        <w:t>several</w:t>
      </w:r>
      <w:r>
        <w:rPr>
          <w:lang w:eastAsia="en-US"/>
        </w:rPr>
        <w:t xml:space="preserve"> changes to the BO Policy </w:t>
      </w:r>
      <w:r w:rsidR="00774E9C">
        <w:rPr>
          <w:lang w:eastAsia="en-US"/>
        </w:rPr>
        <w:t>because of</w:t>
      </w:r>
      <w:r>
        <w:rPr>
          <w:lang w:eastAsia="en-US"/>
        </w:rPr>
        <w:t xml:space="preserve"> feedback received in the consultation process</w:t>
      </w:r>
      <w:r w:rsidR="00C70065">
        <w:rPr>
          <w:lang w:eastAsia="en-US"/>
        </w:rPr>
        <w:t xml:space="preserve">, which </w:t>
      </w:r>
      <w:r>
        <w:rPr>
          <w:lang w:eastAsia="en-US"/>
        </w:rPr>
        <w:t>include</w:t>
      </w:r>
      <w:r w:rsidR="002212C6">
        <w:rPr>
          <w:lang w:eastAsia="en-US"/>
        </w:rPr>
        <w:t xml:space="preserve"> those set out in the table below.</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605"/>
        <w:gridCol w:w="7615"/>
      </w:tblGrid>
      <w:tr w:rsidR="002212C6" w:rsidRPr="00121519" w14:paraId="16372F30" w14:textId="77777777" w:rsidTr="0065241F">
        <w:trPr>
          <w:cantSplit/>
          <w:tblHeader/>
        </w:trPr>
        <w:tc>
          <w:tcPr>
            <w:tcW w:w="368" w:type="pct"/>
            <w:shd w:val="clear" w:color="auto" w:fill="C4DDEA"/>
            <w:vAlign w:val="top"/>
          </w:tcPr>
          <w:p w14:paraId="37FD57D8" w14:textId="3C277BAC" w:rsidR="002212C6" w:rsidRPr="00121519" w:rsidRDefault="002212C6" w:rsidP="0065241F">
            <w:pPr>
              <w:pStyle w:val="TableHeading2"/>
              <w:ind w:left="176" w:hanging="176"/>
            </w:pPr>
            <w:r>
              <w:t>No.</w:t>
            </w:r>
          </w:p>
        </w:tc>
        <w:tc>
          <w:tcPr>
            <w:tcW w:w="4632" w:type="pct"/>
            <w:shd w:val="clear" w:color="auto" w:fill="C4DDEA"/>
            <w:vAlign w:val="top"/>
          </w:tcPr>
          <w:p w14:paraId="0D1FC0E1" w14:textId="466CD350" w:rsidR="002212C6" w:rsidRPr="00121519" w:rsidRDefault="002212C6" w:rsidP="0065241F">
            <w:pPr>
              <w:pStyle w:val="TableHeading2"/>
            </w:pPr>
            <w:r>
              <w:t xml:space="preserve">Changes made to </w:t>
            </w:r>
            <w:r w:rsidR="00E62A06">
              <w:t>BO Policy</w:t>
            </w:r>
            <w:r>
              <w:t xml:space="preserve"> in response to stakeholder feedback</w:t>
            </w:r>
          </w:p>
        </w:tc>
      </w:tr>
      <w:tr w:rsidR="002212C6" w:rsidRPr="00121519" w14:paraId="4025A66C" w14:textId="77777777" w:rsidTr="0065241F">
        <w:tc>
          <w:tcPr>
            <w:tcW w:w="368" w:type="pct"/>
            <w:vAlign w:val="top"/>
          </w:tcPr>
          <w:p w14:paraId="5E1A07CC" w14:textId="4D8722C9" w:rsidR="002212C6" w:rsidRPr="00121519" w:rsidRDefault="002212C6" w:rsidP="002212C6">
            <w:pPr>
              <w:pStyle w:val="TablePlainParagraph"/>
              <w:rPr>
                <w:b/>
              </w:rPr>
            </w:pPr>
            <w:r>
              <w:rPr>
                <w:b/>
              </w:rPr>
              <w:t>1.</w:t>
            </w:r>
          </w:p>
        </w:tc>
        <w:tc>
          <w:tcPr>
            <w:tcW w:w="4632" w:type="pct"/>
            <w:vAlign w:val="top"/>
          </w:tcPr>
          <w:p w14:paraId="27AA0244" w14:textId="28DAE6FC" w:rsidR="002212C6" w:rsidRPr="00121519" w:rsidRDefault="002212C6" w:rsidP="002212C6">
            <w:pPr>
              <w:pStyle w:val="TablePlainParagraph"/>
            </w:pPr>
            <w:r>
              <w:rPr>
                <w:lang w:eastAsia="en-US"/>
              </w:rPr>
              <w:t>T</w:t>
            </w:r>
            <w:r w:rsidRPr="001B4AC7">
              <w:rPr>
                <w:lang w:eastAsia="en-US"/>
              </w:rPr>
              <w:t xml:space="preserve">he proposed threshold of 20% of share ownership or voting rights to qualify as a beneficial owner was increased to 25%, to align with the definition of beneficial owner under the </w:t>
            </w:r>
            <w:r w:rsidRPr="00B0403F">
              <w:rPr>
                <w:lang w:eastAsia="en-US"/>
              </w:rPr>
              <w:t>KYC</w:t>
            </w:r>
            <w:r w:rsidRPr="001B4AC7">
              <w:rPr>
                <w:lang w:eastAsia="en-US"/>
              </w:rPr>
              <w:t xml:space="preserve"> requirements in the </w:t>
            </w:r>
            <w:r w:rsidRPr="00B0403F">
              <w:t>AML/CTF Act</w:t>
            </w:r>
            <w:r w:rsidR="00826983">
              <w:t>.</w:t>
            </w:r>
          </w:p>
        </w:tc>
      </w:tr>
      <w:tr w:rsidR="002212C6" w:rsidRPr="00121519" w14:paraId="6D16AE17" w14:textId="77777777" w:rsidTr="0065241F">
        <w:tc>
          <w:tcPr>
            <w:tcW w:w="368" w:type="pct"/>
            <w:vAlign w:val="top"/>
          </w:tcPr>
          <w:p w14:paraId="5AE7487A" w14:textId="5BBF343D" w:rsidR="002212C6" w:rsidRPr="00121519" w:rsidRDefault="002212C6" w:rsidP="002212C6">
            <w:pPr>
              <w:pStyle w:val="TablePlainParagraph"/>
              <w:rPr>
                <w:b/>
              </w:rPr>
            </w:pPr>
            <w:r>
              <w:rPr>
                <w:b/>
              </w:rPr>
              <w:t>2.</w:t>
            </w:r>
          </w:p>
        </w:tc>
        <w:tc>
          <w:tcPr>
            <w:tcW w:w="4632" w:type="pct"/>
            <w:vAlign w:val="top"/>
          </w:tcPr>
          <w:p w14:paraId="75D4503A" w14:textId="2DE7C451" w:rsidR="002212C6" w:rsidRPr="00121519" w:rsidRDefault="002212C6" w:rsidP="002212C6">
            <w:pPr>
              <w:pStyle w:val="TablePlainParagraph"/>
            </w:pPr>
            <w:r>
              <w:rPr>
                <w:lang w:eastAsia="en-US"/>
              </w:rPr>
              <w:t>N</w:t>
            </w:r>
            <w:r w:rsidRPr="001B4AC7">
              <w:rPr>
                <w:lang w:eastAsia="en-US"/>
              </w:rPr>
              <w:t xml:space="preserve">o longer requiring Indigenous Corporations </w:t>
            </w:r>
            <w:r w:rsidR="00155D3D">
              <w:rPr>
                <w:lang w:eastAsia="en-US"/>
              </w:rPr>
              <w:t xml:space="preserve">or charities </w:t>
            </w:r>
            <w:r w:rsidRPr="001B4AC7">
              <w:rPr>
                <w:lang w:eastAsia="en-US"/>
              </w:rPr>
              <w:t>to disclose BOI, on the basis that Indigenous Corporations are already subject to significant oversight by the Officer of the Registrar of Indigenous Corporations</w:t>
            </w:r>
          </w:p>
        </w:tc>
      </w:tr>
      <w:tr w:rsidR="002212C6" w:rsidRPr="00121519" w14:paraId="589A8A68" w14:textId="77777777" w:rsidTr="0065241F">
        <w:tc>
          <w:tcPr>
            <w:tcW w:w="368" w:type="pct"/>
            <w:vAlign w:val="top"/>
          </w:tcPr>
          <w:p w14:paraId="7548C7D1" w14:textId="374728E2" w:rsidR="002212C6" w:rsidRPr="00121519" w:rsidRDefault="002212C6" w:rsidP="002212C6">
            <w:pPr>
              <w:pStyle w:val="TablePlainParagraph"/>
              <w:rPr>
                <w:b/>
              </w:rPr>
            </w:pPr>
            <w:r>
              <w:rPr>
                <w:b/>
              </w:rPr>
              <w:t>3.</w:t>
            </w:r>
          </w:p>
        </w:tc>
        <w:tc>
          <w:tcPr>
            <w:tcW w:w="4632" w:type="pct"/>
            <w:vAlign w:val="top"/>
          </w:tcPr>
          <w:p w14:paraId="04269E7B" w14:textId="25FAB46B" w:rsidR="002212C6" w:rsidRPr="00121519" w:rsidRDefault="002212C6" w:rsidP="002212C6">
            <w:pPr>
              <w:pStyle w:val="TablePlainParagraph"/>
            </w:pPr>
            <w:r>
              <w:rPr>
                <w:lang w:eastAsia="en-US"/>
              </w:rPr>
              <w:t>A</w:t>
            </w:r>
            <w:r w:rsidRPr="001B4AC7">
              <w:rPr>
                <w:lang w:eastAsia="en-US"/>
              </w:rPr>
              <w:t xml:space="preserve"> beneficial owner’s address for communication and service will be available to regulators and enforcement agencies only</w:t>
            </w:r>
          </w:p>
        </w:tc>
      </w:tr>
      <w:tr w:rsidR="002212C6" w:rsidRPr="00121519" w14:paraId="6D31B8E0" w14:textId="77777777" w:rsidTr="0065241F">
        <w:tc>
          <w:tcPr>
            <w:tcW w:w="368" w:type="pct"/>
            <w:vAlign w:val="top"/>
          </w:tcPr>
          <w:p w14:paraId="7F6E4E27" w14:textId="3240EC25" w:rsidR="002212C6" w:rsidRPr="00121519" w:rsidRDefault="002212C6" w:rsidP="002212C6">
            <w:pPr>
              <w:pStyle w:val="TablePlainParagraph"/>
              <w:rPr>
                <w:b/>
              </w:rPr>
            </w:pPr>
            <w:r>
              <w:rPr>
                <w:b/>
              </w:rPr>
              <w:t>4.</w:t>
            </w:r>
          </w:p>
        </w:tc>
        <w:tc>
          <w:tcPr>
            <w:tcW w:w="4632" w:type="pct"/>
            <w:vAlign w:val="top"/>
          </w:tcPr>
          <w:p w14:paraId="45B934F7" w14:textId="627B99AE" w:rsidR="002212C6" w:rsidRPr="00121519" w:rsidRDefault="0039781E" w:rsidP="002212C6">
            <w:pPr>
              <w:pStyle w:val="TablePlainParagraph"/>
            </w:pPr>
            <w:r>
              <w:rPr>
                <w:lang w:eastAsia="en-US"/>
              </w:rPr>
              <w:t>A</w:t>
            </w:r>
            <w:r w:rsidR="002212C6" w:rsidRPr="001B4AC7">
              <w:rPr>
                <w:lang w:eastAsia="en-US"/>
              </w:rPr>
              <w:t>n in-scope company</w:t>
            </w:r>
            <w:r>
              <w:rPr>
                <w:lang w:eastAsia="en-US"/>
              </w:rPr>
              <w:t>, and the RCA in stage 2,</w:t>
            </w:r>
            <w:r w:rsidR="002212C6" w:rsidRPr="001B4AC7">
              <w:rPr>
                <w:lang w:eastAsia="en-US"/>
              </w:rPr>
              <w:t xml:space="preserve"> </w:t>
            </w:r>
            <w:r>
              <w:rPr>
                <w:lang w:eastAsia="en-US"/>
              </w:rPr>
              <w:t xml:space="preserve">must </w:t>
            </w:r>
            <w:r w:rsidR="002212C6" w:rsidRPr="001B4AC7">
              <w:rPr>
                <w:lang w:eastAsia="en-US"/>
              </w:rPr>
              <w:t xml:space="preserve">reject an application to access </w:t>
            </w:r>
            <w:r>
              <w:rPr>
                <w:lang w:eastAsia="en-US"/>
              </w:rPr>
              <w:t>BOI</w:t>
            </w:r>
            <w:r w:rsidR="002212C6" w:rsidRPr="001B4AC7">
              <w:rPr>
                <w:lang w:eastAsia="en-US"/>
              </w:rPr>
              <w:t xml:space="preserve"> if it suspects it will be used for an improper purpose</w:t>
            </w:r>
          </w:p>
        </w:tc>
      </w:tr>
      <w:tr w:rsidR="0062448D" w:rsidRPr="00121519" w14:paraId="615A4C27" w14:textId="77777777" w:rsidTr="0065241F">
        <w:tc>
          <w:tcPr>
            <w:tcW w:w="368" w:type="pct"/>
            <w:vAlign w:val="top"/>
          </w:tcPr>
          <w:p w14:paraId="5E277FB0" w14:textId="396E86C5" w:rsidR="00155D3D" w:rsidRDefault="00155D3D" w:rsidP="002212C6">
            <w:pPr>
              <w:pStyle w:val="TablePlainParagraph"/>
              <w:rPr>
                <w:b/>
              </w:rPr>
            </w:pPr>
            <w:r>
              <w:rPr>
                <w:b/>
              </w:rPr>
              <w:t>5</w:t>
            </w:r>
          </w:p>
        </w:tc>
        <w:tc>
          <w:tcPr>
            <w:tcW w:w="4632" w:type="pct"/>
            <w:vAlign w:val="top"/>
          </w:tcPr>
          <w:p w14:paraId="2C5A6A0A" w14:textId="23E35250" w:rsidR="00155D3D" w:rsidRDefault="0049483A" w:rsidP="002212C6">
            <w:pPr>
              <w:pStyle w:val="TablePlainParagraph"/>
              <w:rPr>
                <w:lang w:eastAsia="en-US"/>
              </w:rPr>
            </w:pPr>
            <w:r>
              <w:rPr>
                <w:lang w:eastAsia="en-US"/>
              </w:rPr>
              <w:t>Permitting ‘director-owner’ to certify the membership of an in-scope company instead of maintaining a BOR.</w:t>
            </w:r>
          </w:p>
        </w:tc>
      </w:tr>
    </w:tbl>
    <w:p w14:paraId="5E6113D3" w14:textId="6B2E7F28" w:rsidR="00BF650E" w:rsidRDefault="00BF650E" w:rsidP="00BF650E">
      <w:pPr>
        <w:pStyle w:val="Heading3"/>
      </w:pPr>
      <w:r>
        <w:t>Opinion</w:t>
      </w:r>
    </w:p>
    <w:p w14:paraId="061572F9" w14:textId="7E54A55C" w:rsidR="0039781E" w:rsidRDefault="00591C3C" w:rsidP="00591C3C">
      <w:pPr>
        <w:pStyle w:val="NumberLevel1"/>
        <w:rPr>
          <w:lang w:eastAsia="en-US"/>
        </w:rPr>
      </w:pPr>
      <w:r>
        <w:rPr>
          <w:lang w:eastAsia="en-US"/>
        </w:rPr>
        <w:t>On balance, we think</w:t>
      </w:r>
      <w:r w:rsidR="009B00A0">
        <w:rPr>
          <w:lang w:eastAsia="en-US"/>
        </w:rPr>
        <w:t xml:space="preserve"> </w:t>
      </w:r>
      <w:r w:rsidR="00C65503">
        <w:rPr>
          <w:lang w:eastAsia="en-US"/>
        </w:rPr>
        <w:t xml:space="preserve">that the privacy </w:t>
      </w:r>
      <w:r w:rsidR="009B00A0">
        <w:rPr>
          <w:lang w:eastAsia="en-US"/>
        </w:rPr>
        <w:t xml:space="preserve">impacts of the </w:t>
      </w:r>
      <w:r w:rsidR="00E62A06">
        <w:rPr>
          <w:lang w:eastAsia="en-US"/>
        </w:rPr>
        <w:t>BO Policy</w:t>
      </w:r>
      <w:r w:rsidR="009B00A0">
        <w:rPr>
          <w:lang w:eastAsia="en-US"/>
        </w:rPr>
        <w:t xml:space="preserve"> are proportional to the </w:t>
      </w:r>
      <w:r w:rsidR="0020238C">
        <w:rPr>
          <w:lang w:eastAsia="en-US"/>
        </w:rPr>
        <w:t xml:space="preserve">public benefit of the scheme. </w:t>
      </w:r>
    </w:p>
    <w:p w14:paraId="74D61E57" w14:textId="77DE6D4C" w:rsidR="00C65503" w:rsidRDefault="0039781E" w:rsidP="00591C3C">
      <w:pPr>
        <w:pStyle w:val="NumberLevel1"/>
        <w:rPr>
          <w:lang w:eastAsia="en-US"/>
        </w:rPr>
      </w:pPr>
      <w:proofErr w:type="gramStart"/>
      <w:r>
        <w:rPr>
          <w:lang w:eastAsia="en-US"/>
        </w:rPr>
        <w:t>In particular,</w:t>
      </w:r>
      <w:r w:rsidR="00C65503">
        <w:rPr>
          <w:lang w:eastAsia="en-US"/>
        </w:rPr>
        <w:t xml:space="preserve"> </w:t>
      </w:r>
      <w:r>
        <w:rPr>
          <w:lang w:eastAsia="en-US"/>
        </w:rPr>
        <w:t>we</w:t>
      </w:r>
      <w:proofErr w:type="gramEnd"/>
      <w:r>
        <w:rPr>
          <w:lang w:eastAsia="en-US"/>
        </w:rPr>
        <w:t xml:space="preserve"> consider that the amendment to Stage 2 of the BO Policy, such that members of the public will not</w:t>
      </w:r>
      <w:r w:rsidR="00360682">
        <w:rPr>
          <w:lang w:eastAsia="en-US"/>
        </w:rPr>
        <w:t xml:space="preserve"> have automatic and unlimited access </w:t>
      </w:r>
      <w:r>
        <w:rPr>
          <w:lang w:eastAsia="en-US"/>
        </w:rPr>
        <w:t xml:space="preserve">to </w:t>
      </w:r>
      <w:r w:rsidR="009E068C">
        <w:rPr>
          <w:lang w:eastAsia="en-US"/>
        </w:rPr>
        <w:t>the PCBOR</w:t>
      </w:r>
      <w:r w:rsidR="00360682">
        <w:rPr>
          <w:lang w:eastAsia="en-US"/>
        </w:rPr>
        <w:t>, but must apply to</w:t>
      </w:r>
      <w:r>
        <w:rPr>
          <w:lang w:eastAsia="en-US"/>
        </w:rPr>
        <w:t xml:space="preserve"> the RCA, represents a strong protection</w:t>
      </w:r>
      <w:r w:rsidR="009E068C">
        <w:rPr>
          <w:lang w:eastAsia="en-US"/>
        </w:rPr>
        <w:t>.</w:t>
      </w:r>
      <w:r>
        <w:rPr>
          <w:lang w:eastAsia="en-US"/>
        </w:rPr>
        <w:t xml:space="preserve"> </w:t>
      </w:r>
    </w:p>
    <w:p w14:paraId="2DB2D470" w14:textId="30E0CAD4" w:rsidR="009E068C" w:rsidRDefault="009E068C" w:rsidP="00591C3C">
      <w:pPr>
        <w:pStyle w:val="NumberLevel1"/>
        <w:rPr>
          <w:lang w:eastAsia="en-US"/>
        </w:rPr>
      </w:pPr>
      <w:proofErr w:type="gramStart"/>
      <w:r>
        <w:rPr>
          <w:lang w:eastAsia="en-US"/>
        </w:rPr>
        <w:t>For the reasons that</w:t>
      </w:r>
      <w:proofErr w:type="gramEnd"/>
      <w:r>
        <w:rPr>
          <w:lang w:eastAsia="en-US"/>
        </w:rPr>
        <w:t xml:space="preserve"> follow, although we think that conditioning public access to the PCBOR on whether or not the person has an improper purpose for seeking access protects privacy to an acceptable level, we think that a test requiring a person to positively display a ‘legitimate interest’ would be a stronger protection.</w:t>
      </w:r>
    </w:p>
    <w:p w14:paraId="21672A14" w14:textId="09B63934" w:rsidR="009E068C" w:rsidRDefault="009E068C" w:rsidP="00DC5E72">
      <w:pPr>
        <w:pStyle w:val="Heading4"/>
        <w:rPr>
          <w:lang w:eastAsia="en-US"/>
        </w:rPr>
      </w:pPr>
      <w:r>
        <w:rPr>
          <w:lang w:eastAsia="en-US"/>
        </w:rPr>
        <w:t xml:space="preserve">Public access to BOI must be conditioned to effectively protect </w:t>
      </w:r>
      <w:proofErr w:type="gramStart"/>
      <w:r>
        <w:rPr>
          <w:lang w:eastAsia="en-US"/>
        </w:rPr>
        <w:t>privacy</w:t>
      </w:r>
      <w:proofErr w:type="gramEnd"/>
    </w:p>
    <w:p w14:paraId="22111BC7" w14:textId="2944CB9E" w:rsidR="009E068C" w:rsidRDefault="009E068C" w:rsidP="002C1A02">
      <w:pPr>
        <w:pStyle w:val="NumberLevel1"/>
        <w:rPr>
          <w:lang w:eastAsia="en-US"/>
        </w:rPr>
      </w:pPr>
      <w:r>
        <w:rPr>
          <w:lang w:eastAsia="en-US"/>
        </w:rPr>
        <w:t>The BO Policy originally envisioned, in Stage 2, granting the public free, unlimited access to the BOI kept on the PCBOR. We do not consider that it would be proportionate to offer the public free, unlimited access to the personal information of beneficial owners via the PCBOR.</w:t>
      </w:r>
    </w:p>
    <w:p w14:paraId="2C4416AE" w14:textId="5D983A63" w:rsidR="008F7368" w:rsidRDefault="00490A39" w:rsidP="00591C3C">
      <w:pPr>
        <w:pStyle w:val="NumberLevel1"/>
        <w:rPr>
          <w:lang w:eastAsia="en-US"/>
        </w:rPr>
      </w:pPr>
      <w:r>
        <w:rPr>
          <w:lang w:eastAsia="en-US"/>
        </w:rPr>
        <w:t>In reaching this view, the ECJ decision looms large.</w:t>
      </w:r>
      <w:r w:rsidR="001B4771">
        <w:rPr>
          <w:lang w:eastAsia="en-US"/>
        </w:rPr>
        <w:t xml:space="preserve"> </w:t>
      </w:r>
      <w:r w:rsidR="00774E9C">
        <w:rPr>
          <w:lang w:eastAsia="en-US"/>
        </w:rPr>
        <w:t>We</w:t>
      </w:r>
      <w:r w:rsidR="00E55457">
        <w:rPr>
          <w:lang w:eastAsia="en-US"/>
        </w:rPr>
        <w:t xml:space="preserve"> agree that the risks identified </w:t>
      </w:r>
      <w:r w:rsidR="00CD3188">
        <w:rPr>
          <w:lang w:eastAsia="en-US"/>
        </w:rPr>
        <w:t xml:space="preserve">by the ECJ </w:t>
      </w:r>
      <w:r w:rsidR="00E55457">
        <w:rPr>
          <w:lang w:eastAsia="en-US"/>
        </w:rPr>
        <w:t>to beneficial owners of having their BOI publicly available (discussed at para [</w:t>
      </w:r>
      <w:r w:rsidR="00CD3188">
        <w:rPr>
          <w:lang w:eastAsia="en-US"/>
        </w:rPr>
        <w:fldChar w:fldCharType="begin"/>
      </w:r>
      <w:r w:rsidR="00CD3188">
        <w:rPr>
          <w:lang w:eastAsia="en-US"/>
        </w:rPr>
        <w:instrText xml:space="preserve"> REF _Ref163140772 \r \h </w:instrText>
      </w:r>
      <w:r w:rsidR="00CD3188">
        <w:rPr>
          <w:lang w:eastAsia="en-US"/>
        </w:rPr>
      </w:r>
      <w:r w:rsidR="00CD3188">
        <w:rPr>
          <w:lang w:eastAsia="en-US"/>
        </w:rPr>
        <w:fldChar w:fldCharType="separate"/>
      </w:r>
      <w:r w:rsidR="00C14F0B">
        <w:rPr>
          <w:lang w:eastAsia="en-US"/>
        </w:rPr>
        <w:t>209</w:t>
      </w:r>
      <w:r w:rsidR="00CD3188">
        <w:rPr>
          <w:lang w:eastAsia="en-US"/>
        </w:rPr>
        <w:fldChar w:fldCharType="end"/>
      </w:r>
      <w:r w:rsidR="00E55457">
        <w:rPr>
          <w:lang w:eastAsia="en-US"/>
        </w:rPr>
        <w:t>]</w:t>
      </w:r>
      <w:r w:rsidR="00CD3188">
        <w:rPr>
          <w:lang w:eastAsia="en-US"/>
        </w:rPr>
        <w:t xml:space="preserve"> above) are significant</w:t>
      </w:r>
      <w:r w:rsidR="00F71958">
        <w:rPr>
          <w:lang w:eastAsia="en-US"/>
        </w:rPr>
        <w:t xml:space="preserve"> and may expose the beneficial owner to disproportionate risk</w:t>
      </w:r>
      <w:r w:rsidR="008F7368">
        <w:rPr>
          <w:lang w:eastAsia="en-US"/>
        </w:rPr>
        <w:t xml:space="preserve"> of harm including:</w:t>
      </w:r>
    </w:p>
    <w:p w14:paraId="6777C008" w14:textId="444ED576" w:rsidR="008F7368" w:rsidRDefault="00F71958" w:rsidP="008F7368">
      <w:pPr>
        <w:pStyle w:val="NumberLevel2"/>
        <w:rPr>
          <w:lang w:eastAsia="en-US"/>
        </w:rPr>
      </w:pPr>
      <w:bookmarkStart w:id="107" w:name="_Hlk168633754"/>
      <w:r>
        <w:rPr>
          <w:lang w:eastAsia="en-US"/>
        </w:rPr>
        <w:t xml:space="preserve">financial or </w:t>
      </w:r>
      <w:r w:rsidR="008F7368">
        <w:rPr>
          <w:lang w:eastAsia="en-US"/>
        </w:rPr>
        <w:t xml:space="preserve">reputation harm, e.g. </w:t>
      </w:r>
      <w:r w:rsidR="00774E9C">
        <w:rPr>
          <w:lang w:eastAsia="en-US"/>
        </w:rPr>
        <w:t>because of</w:t>
      </w:r>
      <w:r w:rsidR="008F7368">
        <w:rPr>
          <w:lang w:eastAsia="en-US"/>
        </w:rPr>
        <w:t xml:space="preserve"> financial or </w:t>
      </w:r>
      <w:r>
        <w:rPr>
          <w:lang w:eastAsia="en-US"/>
        </w:rPr>
        <w:t xml:space="preserve">identity fraud, </w:t>
      </w:r>
    </w:p>
    <w:p w14:paraId="6E65D1C3" w14:textId="1F5FD8C6" w:rsidR="00F71958" w:rsidRDefault="00F71958" w:rsidP="0020238C">
      <w:pPr>
        <w:pStyle w:val="NumberLevel2"/>
        <w:rPr>
          <w:lang w:eastAsia="en-US"/>
        </w:rPr>
      </w:pPr>
      <w:r>
        <w:rPr>
          <w:lang w:eastAsia="en-US"/>
        </w:rPr>
        <w:t xml:space="preserve">emotional or physical harm such as kidnapping, blackmail, extortion, harassment, </w:t>
      </w:r>
      <w:proofErr w:type="gramStart"/>
      <w:r>
        <w:rPr>
          <w:lang w:eastAsia="en-US"/>
        </w:rPr>
        <w:t>violence</w:t>
      </w:r>
      <w:proofErr w:type="gramEnd"/>
      <w:r>
        <w:rPr>
          <w:lang w:eastAsia="en-US"/>
        </w:rPr>
        <w:t xml:space="preserve"> or intimidation.</w:t>
      </w:r>
    </w:p>
    <w:bookmarkEnd w:id="107"/>
    <w:p w14:paraId="1B6A00ED" w14:textId="35C503FD" w:rsidR="00D11034" w:rsidRDefault="0020238C" w:rsidP="00781B40">
      <w:pPr>
        <w:pStyle w:val="NumberLevel1"/>
        <w:rPr>
          <w:lang w:eastAsia="en-US"/>
        </w:rPr>
      </w:pPr>
      <w:r>
        <w:rPr>
          <w:lang w:eastAsia="en-US"/>
        </w:rPr>
        <w:t>P</w:t>
      </w:r>
      <w:r w:rsidR="0027263E">
        <w:rPr>
          <w:lang w:eastAsia="en-US"/>
        </w:rPr>
        <w:t xml:space="preserve">aragraph </w:t>
      </w:r>
      <w:r w:rsidR="00C77066">
        <w:rPr>
          <w:lang w:eastAsia="en-US"/>
        </w:rPr>
        <w:t>11</w:t>
      </w:r>
      <w:r w:rsidR="0027263E">
        <w:rPr>
          <w:lang w:eastAsia="en-US"/>
        </w:rPr>
        <w:t xml:space="preserve"> of</w:t>
      </w:r>
      <w:r w:rsidR="008F7368">
        <w:rPr>
          <w:lang w:eastAsia="en-US"/>
        </w:rPr>
        <w:t xml:space="preserve"> the </w:t>
      </w:r>
      <w:r w:rsidR="00C77066">
        <w:rPr>
          <w:lang w:eastAsia="en-US"/>
        </w:rPr>
        <w:t>interpretative note to</w:t>
      </w:r>
      <w:r w:rsidR="0027263E">
        <w:rPr>
          <w:lang w:eastAsia="en-US"/>
        </w:rPr>
        <w:t xml:space="preserve"> </w:t>
      </w:r>
      <w:r w:rsidR="00826983">
        <w:rPr>
          <w:lang w:eastAsia="en-US"/>
        </w:rPr>
        <w:t>R</w:t>
      </w:r>
      <w:r w:rsidR="0027263E">
        <w:rPr>
          <w:lang w:eastAsia="en-US"/>
        </w:rPr>
        <w:t>ecommendation 24</w:t>
      </w:r>
      <w:r w:rsidR="00C77066">
        <w:rPr>
          <w:lang w:eastAsia="en-US"/>
        </w:rPr>
        <w:t xml:space="preserve"> in the International Standards</w:t>
      </w:r>
      <w:r w:rsidR="0027263E">
        <w:rPr>
          <w:lang w:eastAsia="en-US"/>
        </w:rPr>
        <w:t xml:space="preserve"> </w:t>
      </w:r>
      <w:r w:rsidR="00252F46">
        <w:rPr>
          <w:lang w:eastAsia="en-US"/>
        </w:rPr>
        <w:t>suggests</w:t>
      </w:r>
      <w:r w:rsidR="0027263E">
        <w:rPr>
          <w:lang w:eastAsia="en-US"/>
        </w:rPr>
        <w:t xml:space="preserve"> that BOI </w:t>
      </w:r>
      <w:r w:rsidR="00C77066" w:rsidRPr="0020238C">
        <w:rPr>
          <w:i/>
          <w:lang w:eastAsia="en-US"/>
        </w:rPr>
        <w:t>c</w:t>
      </w:r>
      <w:r w:rsidR="0027263E" w:rsidRPr="0020238C">
        <w:rPr>
          <w:i/>
          <w:lang w:eastAsia="en-US"/>
        </w:rPr>
        <w:t>ould</w:t>
      </w:r>
      <w:r w:rsidR="0027263E">
        <w:rPr>
          <w:lang w:eastAsia="en-US"/>
        </w:rPr>
        <w:t xml:space="preserve"> be </w:t>
      </w:r>
      <w:r w:rsidR="00C77066">
        <w:rPr>
          <w:lang w:eastAsia="en-US"/>
        </w:rPr>
        <w:t xml:space="preserve">made </w:t>
      </w:r>
      <w:r w:rsidR="0027263E">
        <w:rPr>
          <w:lang w:eastAsia="en-US"/>
        </w:rPr>
        <w:t xml:space="preserve">publicly available. </w:t>
      </w:r>
      <w:r w:rsidR="00C77066">
        <w:rPr>
          <w:lang w:eastAsia="en-US"/>
        </w:rPr>
        <w:t>This approach is confirmed</w:t>
      </w:r>
      <w:r w:rsidR="0027263E">
        <w:rPr>
          <w:lang w:eastAsia="en-US"/>
        </w:rPr>
        <w:t xml:space="preserve"> in </w:t>
      </w:r>
      <w:r w:rsidR="00C77066">
        <w:rPr>
          <w:lang w:eastAsia="en-US"/>
        </w:rPr>
        <w:t xml:space="preserve">the FATF </w:t>
      </w:r>
      <w:r w:rsidR="0027263E" w:rsidRPr="00D11034">
        <w:rPr>
          <w:i/>
          <w:lang w:eastAsia="en-US"/>
        </w:rPr>
        <w:t xml:space="preserve">Guidance on Beneficial Ownership for Legal Persons </w:t>
      </w:r>
      <w:r w:rsidR="0027263E">
        <w:rPr>
          <w:lang w:eastAsia="en-US"/>
        </w:rPr>
        <w:t>publication,</w:t>
      </w:r>
      <w:r w:rsidR="00C77066">
        <w:rPr>
          <w:lang w:eastAsia="en-US"/>
        </w:rPr>
        <w:t xml:space="preserve"> published after the ECJ decision, which</w:t>
      </w:r>
      <w:r w:rsidR="00CD3188">
        <w:rPr>
          <w:lang w:eastAsia="en-US"/>
        </w:rPr>
        <w:t xml:space="preserve"> expressly contemplates limitations being placed on the public’s access to a central register.</w:t>
      </w:r>
      <w:r w:rsidR="00CD3188">
        <w:rPr>
          <w:rStyle w:val="FootnoteReference"/>
          <w:lang w:eastAsia="en-US"/>
        </w:rPr>
        <w:footnoteReference w:id="38"/>
      </w:r>
      <w:r w:rsidR="00CD3188">
        <w:rPr>
          <w:lang w:eastAsia="en-US"/>
        </w:rPr>
        <w:t xml:space="preserve"> At paragraph [</w:t>
      </w:r>
      <w:r w:rsidR="00C77066">
        <w:rPr>
          <w:lang w:eastAsia="en-US"/>
        </w:rPr>
        <w:t>87</w:t>
      </w:r>
      <w:r w:rsidR="00CD3188">
        <w:rPr>
          <w:lang w:eastAsia="en-US"/>
        </w:rPr>
        <w:t>]</w:t>
      </w:r>
      <w:r w:rsidR="0027263E">
        <w:rPr>
          <w:lang w:eastAsia="en-US"/>
        </w:rPr>
        <w:t>,</w:t>
      </w:r>
      <w:r w:rsidR="00CD3188">
        <w:rPr>
          <w:lang w:eastAsia="en-US"/>
        </w:rPr>
        <w:t xml:space="preserve"> </w:t>
      </w:r>
      <w:r w:rsidR="00D11034">
        <w:rPr>
          <w:lang w:eastAsia="en-US"/>
        </w:rPr>
        <w:t>it states that:</w:t>
      </w:r>
    </w:p>
    <w:p w14:paraId="4CB25578" w14:textId="2B947C2A" w:rsidR="00D11034" w:rsidRDefault="00D11034" w:rsidP="00D11034">
      <w:pPr>
        <w:pStyle w:val="Quotation1"/>
        <w:rPr>
          <w:lang w:eastAsia="en-US"/>
        </w:rPr>
      </w:pPr>
      <w:r>
        <w:t xml:space="preserve">Recommendation 24 allows countries to consider facilitating public access to beneficial ownership information. Countries should seek to strike a balance between the </w:t>
      </w:r>
      <w:r w:rsidR="00774E9C">
        <w:t>public</w:t>
      </w:r>
      <w:r>
        <w:t xml:space="preserve"> interest in disclosing the data to prevent money laundering and terrorist financing, and the beneficial owners’ fundamental rights (such as personal data protection concerns and relevant legal requirements). To that end, countries may consider a tiered approach to disclosure of the information.</w:t>
      </w:r>
    </w:p>
    <w:p w14:paraId="557B50DF" w14:textId="6236D4AE" w:rsidR="00826983" w:rsidRDefault="00D11034" w:rsidP="00D11034">
      <w:pPr>
        <w:pStyle w:val="NumberLevel1"/>
        <w:rPr>
          <w:lang w:eastAsia="en-US"/>
        </w:rPr>
      </w:pPr>
      <w:r>
        <w:rPr>
          <w:lang w:eastAsia="en-US"/>
        </w:rPr>
        <w:t>Additionally, the Guidance suggests at [109] that p</w:t>
      </w:r>
      <w:r>
        <w:t xml:space="preserve">ublic access to this information can enable civil society, other </w:t>
      </w:r>
      <w:proofErr w:type="gramStart"/>
      <w:r>
        <w:t>organisations</w:t>
      </w:r>
      <w:proofErr w:type="gramEnd"/>
      <w:r>
        <w:t xml:space="preserve"> and individuals to cross check the information, which may in turn help to</w:t>
      </w:r>
      <w:r w:rsidR="00826983">
        <w:t>:</w:t>
      </w:r>
      <w:r>
        <w:t xml:space="preserve"> </w:t>
      </w:r>
    </w:p>
    <w:p w14:paraId="491D60AD" w14:textId="77777777" w:rsidR="00826983" w:rsidRDefault="00D11034" w:rsidP="00826983">
      <w:pPr>
        <w:pStyle w:val="NumberLevel2"/>
        <w:rPr>
          <w:lang w:eastAsia="en-US"/>
        </w:rPr>
      </w:pPr>
      <w:r>
        <w:t>ensure that information is accurate, adequate, and up-to-date</w:t>
      </w:r>
      <w:r w:rsidR="00826983">
        <w:t>,</w:t>
      </w:r>
      <w:r>
        <w:t xml:space="preserve"> and </w:t>
      </w:r>
    </w:p>
    <w:p w14:paraId="4DC5496C" w14:textId="5219F6C9" w:rsidR="00D11034" w:rsidRDefault="00D11034" w:rsidP="00B0403F">
      <w:pPr>
        <w:pStyle w:val="NumberLevel2"/>
        <w:rPr>
          <w:lang w:eastAsia="en-US"/>
        </w:rPr>
      </w:pPr>
      <w:r>
        <w:t>to identify potential misuse of legal persons (e.g., in tax evasion, fraud, or corruption schemes).</w:t>
      </w:r>
    </w:p>
    <w:p w14:paraId="7A814842" w14:textId="54E31FCB" w:rsidR="001733F9" w:rsidRDefault="001733F9" w:rsidP="001733F9">
      <w:pPr>
        <w:pStyle w:val="NumberLevel1"/>
        <w:rPr>
          <w:lang w:eastAsia="en-US"/>
        </w:rPr>
      </w:pPr>
      <w:r>
        <w:rPr>
          <w:lang w:eastAsia="en-US"/>
        </w:rPr>
        <w:t xml:space="preserve">Similarly, there may be genuine benefit in the convenience afforded to businesses seeking to transact with an in-scope entity in being able to quickly look up the BOI of another business in a freely available PCBOR. However, we do not think providing access to members of the public for either of these purposes is necessary to prevent and combat money laundering and terrorism financing. </w:t>
      </w:r>
    </w:p>
    <w:p w14:paraId="4EEA78B4" w14:textId="4308B7F2" w:rsidR="00752B54" w:rsidRDefault="00752B54" w:rsidP="00C77066">
      <w:pPr>
        <w:pStyle w:val="NumberLevel1"/>
        <w:rPr>
          <w:lang w:eastAsia="en-US"/>
        </w:rPr>
      </w:pPr>
      <w:r>
        <w:rPr>
          <w:lang w:eastAsia="en-US"/>
        </w:rPr>
        <w:t xml:space="preserve">FATF suggests </w:t>
      </w:r>
      <w:r w:rsidR="001733F9">
        <w:rPr>
          <w:lang w:eastAsia="en-US"/>
        </w:rPr>
        <w:t xml:space="preserve">at [109] of the Guidance </w:t>
      </w:r>
      <w:r>
        <w:rPr>
          <w:lang w:eastAsia="en-US"/>
        </w:rPr>
        <w:t xml:space="preserve">that in </w:t>
      </w:r>
      <w:r w:rsidR="0027263E">
        <w:rPr>
          <w:lang w:eastAsia="en-US"/>
        </w:rPr>
        <w:t>determining</w:t>
      </w:r>
      <w:r>
        <w:rPr>
          <w:lang w:eastAsia="en-US"/>
        </w:rPr>
        <w:t xml:space="preserve"> the extent and arrangement of public access, countries should consider ‘</w:t>
      </w:r>
      <w:r w:rsidRPr="00752B54">
        <w:rPr>
          <w:lang w:eastAsia="en-US"/>
        </w:rPr>
        <w:t>applying a tiered approach to information disclosure (basic to detailed information), e.g., based on legitimate interest</w:t>
      </w:r>
      <w:r>
        <w:rPr>
          <w:lang w:eastAsia="en-US"/>
        </w:rPr>
        <w:t>’.</w:t>
      </w:r>
    </w:p>
    <w:p w14:paraId="3B564426" w14:textId="0F94F198" w:rsidR="00CD3188" w:rsidRDefault="00752B54" w:rsidP="00CD3188">
      <w:pPr>
        <w:pStyle w:val="NumberLevel1"/>
        <w:rPr>
          <w:lang w:eastAsia="en-US"/>
        </w:rPr>
      </w:pPr>
      <w:r>
        <w:rPr>
          <w:lang w:eastAsia="en-US"/>
        </w:rPr>
        <w:t xml:space="preserve">It goes on to </w:t>
      </w:r>
      <w:r w:rsidR="00CD3188">
        <w:rPr>
          <w:lang w:eastAsia="en-US"/>
        </w:rPr>
        <w:t>recommend</w:t>
      </w:r>
      <w:r>
        <w:rPr>
          <w:lang w:eastAsia="en-US"/>
        </w:rPr>
        <w:t xml:space="preserve"> at [110],</w:t>
      </w:r>
      <w:r w:rsidR="00CD3188">
        <w:rPr>
          <w:lang w:eastAsia="en-US"/>
        </w:rPr>
        <w:t xml:space="preserve"> that any fee structure </w:t>
      </w:r>
      <w:r w:rsidR="0027263E">
        <w:rPr>
          <w:lang w:eastAsia="en-US"/>
        </w:rPr>
        <w:t xml:space="preserve">associated with access </w:t>
      </w:r>
      <w:r w:rsidR="00CD3188">
        <w:rPr>
          <w:lang w:eastAsia="en-US"/>
        </w:rPr>
        <w:t>should:</w:t>
      </w:r>
    </w:p>
    <w:p w14:paraId="4B3DFFED" w14:textId="202FB9DF" w:rsidR="00CD3188" w:rsidRDefault="00CD3188" w:rsidP="00CD3188">
      <w:pPr>
        <w:pStyle w:val="NumberLevel2"/>
        <w:rPr>
          <w:lang w:eastAsia="en-US"/>
        </w:rPr>
      </w:pPr>
      <w:r>
        <w:rPr>
          <w:lang w:eastAsia="en-US"/>
        </w:rPr>
        <w:t>not create unnecessary delays for competent authorities,</w:t>
      </w:r>
    </w:p>
    <w:p w14:paraId="5DD0961F" w14:textId="2B3C43AE" w:rsidR="00CD3188" w:rsidRDefault="0027263E" w:rsidP="00CD3188">
      <w:pPr>
        <w:pStyle w:val="NumberLevel2"/>
        <w:rPr>
          <w:lang w:eastAsia="en-US"/>
        </w:rPr>
      </w:pPr>
      <w:r>
        <w:rPr>
          <w:lang w:eastAsia="en-US"/>
        </w:rPr>
        <w:t>a</w:t>
      </w:r>
      <w:r w:rsidR="00CD3188">
        <w:rPr>
          <w:lang w:eastAsia="en-US"/>
        </w:rPr>
        <w:t xml:space="preserve">bsent a compelling case, ensure that competent </w:t>
      </w:r>
      <w:r w:rsidR="00752B54">
        <w:rPr>
          <w:lang w:eastAsia="en-US"/>
        </w:rPr>
        <w:t>authorities can access BOI free of charge,</w:t>
      </w:r>
    </w:p>
    <w:p w14:paraId="408511F8" w14:textId="19405A13" w:rsidR="00752B54" w:rsidRDefault="0027263E" w:rsidP="008F7368">
      <w:pPr>
        <w:pStyle w:val="NumberLevel2"/>
        <w:rPr>
          <w:lang w:eastAsia="en-US"/>
        </w:rPr>
      </w:pPr>
      <w:r>
        <w:rPr>
          <w:lang w:eastAsia="en-US"/>
        </w:rPr>
        <w:t>n</w:t>
      </w:r>
      <w:r w:rsidR="00752B54">
        <w:rPr>
          <w:lang w:eastAsia="en-US"/>
        </w:rPr>
        <w:t xml:space="preserve">ot exceed the administrative </w:t>
      </w:r>
      <w:r w:rsidR="00752B54" w:rsidRPr="00752B54">
        <w:rPr>
          <w:lang w:eastAsia="en-US"/>
        </w:rPr>
        <w:t>costs of making the information available, including costs of maintenance and future developments of the register or alternative mechanism.</w:t>
      </w:r>
    </w:p>
    <w:p w14:paraId="54CC4353" w14:textId="4BE06A9D" w:rsidR="00BE7858" w:rsidRDefault="00BE7858" w:rsidP="00BE7858">
      <w:pPr>
        <w:pStyle w:val="NumberLevel1"/>
        <w:rPr>
          <w:lang w:eastAsia="en-US"/>
        </w:rPr>
      </w:pPr>
      <w:r>
        <w:rPr>
          <w:lang w:eastAsia="en-US"/>
        </w:rPr>
        <w:t>Treasury propose</w:t>
      </w:r>
      <w:r w:rsidR="00B4197B">
        <w:rPr>
          <w:lang w:eastAsia="en-US"/>
        </w:rPr>
        <w:t>s</w:t>
      </w:r>
      <w:r>
        <w:rPr>
          <w:lang w:eastAsia="en-US"/>
        </w:rPr>
        <w:t xml:space="preserve"> that any fee structure within the BO Policy take a similar approach to reg 1.1.01 of table items 1 and 3 in Sch 4 to the </w:t>
      </w:r>
      <w:r>
        <w:rPr>
          <w:i/>
          <w:lang w:eastAsia="en-US"/>
        </w:rPr>
        <w:t xml:space="preserve">Corporations Regulations </w:t>
      </w:r>
      <w:proofErr w:type="gramStart"/>
      <w:r w:rsidRPr="007B3A1C">
        <w:rPr>
          <w:lang w:eastAsia="en-US"/>
        </w:rPr>
        <w:t>2001</w:t>
      </w:r>
      <w:r>
        <w:rPr>
          <w:lang w:eastAsia="en-US"/>
        </w:rPr>
        <w:t>,</w:t>
      </w:r>
      <w:r w:rsidRPr="00BE7858">
        <w:rPr>
          <w:lang w:eastAsia="en-US"/>
        </w:rPr>
        <w:t>which</w:t>
      </w:r>
      <w:proofErr w:type="gramEnd"/>
      <w:r>
        <w:rPr>
          <w:lang w:eastAsia="en-US"/>
        </w:rPr>
        <w:t xml:space="preserve"> prescribes amounts for tracing notice register fees as per the table below.</w:t>
      </w:r>
    </w:p>
    <w:tbl>
      <w:tblPr>
        <w:tblStyle w:val="TableGrid"/>
        <w:tblW w:w="4828"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277"/>
        <w:gridCol w:w="3119"/>
        <w:gridCol w:w="3541"/>
      </w:tblGrid>
      <w:tr w:rsidR="00456E08" w:rsidRPr="00121519" w14:paraId="012B2AB1" w14:textId="5D27AAFE" w:rsidTr="00B0403F">
        <w:trPr>
          <w:cantSplit/>
          <w:tblHeader/>
        </w:trPr>
        <w:tc>
          <w:tcPr>
            <w:tcW w:w="804" w:type="pct"/>
            <w:shd w:val="clear" w:color="auto" w:fill="C4DDEA"/>
            <w:vAlign w:val="top"/>
          </w:tcPr>
          <w:p w14:paraId="06FDEAB9" w14:textId="44143536" w:rsidR="00456E08" w:rsidRPr="00121519" w:rsidRDefault="00456E08" w:rsidP="00456E08">
            <w:pPr>
              <w:pStyle w:val="TableHeading2"/>
              <w:ind w:left="176" w:hanging="176"/>
            </w:pPr>
          </w:p>
        </w:tc>
        <w:tc>
          <w:tcPr>
            <w:tcW w:w="1965" w:type="pct"/>
            <w:shd w:val="clear" w:color="auto" w:fill="C4DDEA"/>
            <w:vAlign w:val="top"/>
          </w:tcPr>
          <w:p w14:paraId="56226936" w14:textId="1E8FAFE2" w:rsidR="00456E08" w:rsidRPr="00121519" w:rsidRDefault="00456E08" w:rsidP="00456E08">
            <w:pPr>
              <w:pStyle w:val="TableHeading2"/>
            </w:pPr>
            <w:r>
              <w:rPr>
                <w:rFonts w:eastAsiaTheme="minorHAnsi"/>
              </w:rPr>
              <w:t>Fee for copy (where applicable)</w:t>
            </w:r>
          </w:p>
        </w:tc>
        <w:tc>
          <w:tcPr>
            <w:tcW w:w="2231" w:type="pct"/>
            <w:shd w:val="clear" w:color="auto" w:fill="C4DDEA"/>
            <w:vAlign w:val="top"/>
          </w:tcPr>
          <w:p w14:paraId="55D7C3CA" w14:textId="095B4639" w:rsidR="00456E08" w:rsidRPr="00121519" w:rsidRDefault="00456E08" w:rsidP="00456E08">
            <w:pPr>
              <w:pStyle w:val="TableHeading2"/>
            </w:pPr>
            <w:r>
              <w:rPr>
                <w:rFonts w:eastAsiaTheme="minorHAnsi"/>
              </w:rPr>
              <w:t>Fee for inspection (where applicable)</w:t>
            </w:r>
          </w:p>
        </w:tc>
      </w:tr>
      <w:tr w:rsidR="00456E08" w:rsidRPr="00121519" w14:paraId="7E7BB63E" w14:textId="517EFD57" w:rsidTr="00B0403F">
        <w:tc>
          <w:tcPr>
            <w:tcW w:w="804" w:type="pct"/>
            <w:shd w:val="clear" w:color="auto" w:fill="D9D9D9" w:themeFill="background1" w:themeFillShade="D9"/>
            <w:vAlign w:val="top"/>
          </w:tcPr>
          <w:p w14:paraId="70117541" w14:textId="0DA1B960" w:rsidR="00456E08" w:rsidRPr="00121519" w:rsidRDefault="00456E08" w:rsidP="00456E08">
            <w:pPr>
              <w:pStyle w:val="TablePlainParagraph"/>
              <w:rPr>
                <w:b/>
              </w:rPr>
            </w:pPr>
            <w:r>
              <w:rPr>
                <w:rFonts w:eastAsiaTheme="minorHAnsi"/>
              </w:rPr>
              <w:t>Register kept on a computer</w:t>
            </w:r>
          </w:p>
        </w:tc>
        <w:tc>
          <w:tcPr>
            <w:tcW w:w="1965" w:type="pct"/>
            <w:vAlign w:val="top"/>
          </w:tcPr>
          <w:p w14:paraId="68CC3E37" w14:textId="105141FD" w:rsidR="00456E08" w:rsidRPr="00121519" w:rsidRDefault="00456E08" w:rsidP="00456E08">
            <w:pPr>
              <w:pStyle w:val="TablePlainParagraph"/>
            </w:pPr>
            <w:r>
              <w:rPr>
                <w:rFonts w:eastAsiaTheme="minorHAnsi"/>
              </w:rPr>
              <w:t>A reasonable amount that does not exceed the marginal cost to the entity of providing a copy.</w:t>
            </w:r>
          </w:p>
        </w:tc>
        <w:tc>
          <w:tcPr>
            <w:tcW w:w="2231" w:type="pct"/>
            <w:vAlign w:val="top"/>
          </w:tcPr>
          <w:p w14:paraId="0FC9CE19" w14:textId="185D3D89" w:rsidR="00456E08" w:rsidRPr="00121519" w:rsidRDefault="00456E08" w:rsidP="00456E08">
            <w:pPr>
              <w:pStyle w:val="TablePlainParagraph"/>
            </w:pPr>
            <w:r>
              <w:rPr>
                <w:rFonts w:eastAsiaTheme="minorHAnsi"/>
              </w:rPr>
              <w:t>A reasonable amount that does not exceed the marginal cost to the entity of providing an inspection</w:t>
            </w:r>
          </w:p>
        </w:tc>
      </w:tr>
      <w:tr w:rsidR="00456E08" w:rsidRPr="00121519" w14:paraId="012782E2" w14:textId="4BF4403E" w:rsidTr="00B0403F">
        <w:tc>
          <w:tcPr>
            <w:tcW w:w="804" w:type="pct"/>
            <w:shd w:val="clear" w:color="auto" w:fill="D9D9D9" w:themeFill="background1" w:themeFillShade="D9"/>
            <w:vAlign w:val="top"/>
          </w:tcPr>
          <w:p w14:paraId="6B0B68CC" w14:textId="4C0E7434" w:rsidR="00456E08" w:rsidRPr="00121519" w:rsidRDefault="00456E08" w:rsidP="00456E08">
            <w:pPr>
              <w:pStyle w:val="TablePlainParagraph"/>
              <w:rPr>
                <w:b/>
              </w:rPr>
            </w:pPr>
            <w:r>
              <w:rPr>
                <w:rFonts w:eastAsiaTheme="minorHAnsi"/>
              </w:rPr>
              <w:t>Register not kept on a computer</w:t>
            </w:r>
          </w:p>
        </w:tc>
        <w:tc>
          <w:tcPr>
            <w:tcW w:w="1965" w:type="pct"/>
            <w:vAlign w:val="top"/>
          </w:tcPr>
          <w:p w14:paraId="2FC0591D" w14:textId="618CDB03" w:rsidR="00456E08" w:rsidRPr="00121519" w:rsidRDefault="00456E08" w:rsidP="00456E08">
            <w:pPr>
              <w:pStyle w:val="TablePlainParagraph"/>
            </w:pPr>
            <w:r>
              <w:rPr>
                <w:rFonts w:eastAsiaTheme="minorHAnsi"/>
              </w:rPr>
              <w:t>$0.50 for each page, or part of a page, not exceeding international sheet size A4 of the copy supplied or, at the option of the supplier, for each 100 words or part of 100 words.</w:t>
            </w:r>
          </w:p>
        </w:tc>
        <w:tc>
          <w:tcPr>
            <w:tcW w:w="2231" w:type="pct"/>
            <w:vAlign w:val="top"/>
          </w:tcPr>
          <w:p w14:paraId="745155F9" w14:textId="73BAE00C" w:rsidR="00456E08" w:rsidRPr="00121519" w:rsidRDefault="00456E08" w:rsidP="00456E08">
            <w:pPr>
              <w:pStyle w:val="TablePlainParagraph"/>
            </w:pPr>
            <w:r>
              <w:rPr>
                <w:rFonts w:eastAsiaTheme="minorHAnsi"/>
              </w:rPr>
              <w:t>$5 per inspection</w:t>
            </w:r>
          </w:p>
        </w:tc>
      </w:tr>
    </w:tbl>
    <w:p w14:paraId="24B01F6C" w14:textId="2DB67291" w:rsidR="0020238C" w:rsidRDefault="0020238C" w:rsidP="0020238C">
      <w:pPr>
        <w:pStyle w:val="Heading4"/>
        <w:rPr>
          <w:lang w:eastAsia="en-US"/>
        </w:rPr>
      </w:pPr>
      <w:r>
        <w:rPr>
          <w:lang w:eastAsia="en-US"/>
        </w:rPr>
        <w:t>Limiting access to BOI to persons or groups with a legitimate interest</w:t>
      </w:r>
    </w:p>
    <w:p w14:paraId="142512F6" w14:textId="28451D5D" w:rsidR="00C5713D" w:rsidRDefault="0020238C" w:rsidP="0020238C">
      <w:pPr>
        <w:pStyle w:val="NumberLevel1"/>
        <w:rPr>
          <w:lang w:eastAsia="en-US"/>
        </w:rPr>
      </w:pPr>
      <w:r>
        <w:rPr>
          <w:lang w:eastAsia="en-US"/>
        </w:rPr>
        <w:t>The BO Policy already proposes a range of privacy enhancing measures to minimise potential harms, including</w:t>
      </w:r>
      <w:r w:rsidR="00C5713D">
        <w:rPr>
          <w:lang w:eastAsia="en-US"/>
        </w:rPr>
        <w:t>:</w:t>
      </w:r>
    </w:p>
    <w:p w14:paraId="3A64B4D1" w14:textId="5A5CC0FE" w:rsidR="001141E3" w:rsidRDefault="0020238C" w:rsidP="00C5713D">
      <w:pPr>
        <w:pStyle w:val="NumberLevel2"/>
        <w:rPr>
          <w:lang w:eastAsia="en-US"/>
        </w:rPr>
      </w:pPr>
      <w:r>
        <w:rPr>
          <w:lang w:eastAsia="en-US"/>
        </w:rPr>
        <w:t>limiting public access to a subset of BOI</w:t>
      </w:r>
      <w:r w:rsidR="00C5713D">
        <w:rPr>
          <w:lang w:eastAsia="en-US"/>
        </w:rPr>
        <w:t>,</w:t>
      </w:r>
    </w:p>
    <w:p w14:paraId="4CF2EA6E" w14:textId="3E7657C5" w:rsidR="00C5713D" w:rsidRDefault="001141E3" w:rsidP="00C5713D">
      <w:pPr>
        <w:pStyle w:val="NumberLevel2"/>
        <w:rPr>
          <w:lang w:eastAsia="en-US"/>
        </w:rPr>
      </w:pPr>
      <w:r>
        <w:rPr>
          <w:lang w:eastAsia="en-US"/>
        </w:rPr>
        <w:t>limiting public access to persons who do not seek access for an improper purpose</w:t>
      </w:r>
      <w:r w:rsidR="00C65503">
        <w:rPr>
          <w:lang w:eastAsia="en-US"/>
        </w:rPr>
        <w:t>,</w:t>
      </w:r>
    </w:p>
    <w:p w14:paraId="28E9EE41" w14:textId="43536925" w:rsidR="00C5713D" w:rsidRDefault="0020238C" w:rsidP="00C5713D">
      <w:pPr>
        <w:pStyle w:val="NumberLevel2"/>
        <w:rPr>
          <w:lang w:eastAsia="en-US"/>
        </w:rPr>
      </w:pPr>
      <w:r>
        <w:rPr>
          <w:lang w:eastAsia="en-US"/>
        </w:rPr>
        <w:t xml:space="preserve">a suppression regime where an individual substantiates a risk to security or risk of harm if publication </w:t>
      </w:r>
      <w:proofErr w:type="gramStart"/>
      <w:r>
        <w:rPr>
          <w:lang w:eastAsia="en-US"/>
        </w:rPr>
        <w:t>occurs</w:t>
      </w:r>
      <w:proofErr w:type="gramEnd"/>
    </w:p>
    <w:p w14:paraId="0F867FEC" w14:textId="28E92842" w:rsidR="0020238C" w:rsidRDefault="00C5713D" w:rsidP="004B4337">
      <w:pPr>
        <w:pStyle w:val="NumberLevel2"/>
        <w:rPr>
          <w:lang w:eastAsia="en-US"/>
        </w:rPr>
      </w:pPr>
      <w:r>
        <w:rPr>
          <w:lang w:eastAsia="en-US"/>
        </w:rPr>
        <w:t xml:space="preserve">requiring in-scope entities to notify beneficial owners of their right to have their information suppressed from the register, so that individuals are aware of the right and </w:t>
      </w:r>
      <w:proofErr w:type="gramStart"/>
      <w:r>
        <w:rPr>
          <w:lang w:eastAsia="en-US"/>
        </w:rPr>
        <w:t>have the opportunity to</w:t>
      </w:r>
      <w:proofErr w:type="gramEnd"/>
      <w:r>
        <w:rPr>
          <w:lang w:eastAsia="en-US"/>
        </w:rPr>
        <w:t xml:space="preserve"> prevent public disclosure</w:t>
      </w:r>
      <w:r w:rsidR="0020238C">
        <w:rPr>
          <w:lang w:eastAsia="en-US"/>
        </w:rPr>
        <w:t>.</w:t>
      </w:r>
    </w:p>
    <w:p w14:paraId="2EDB4B9F" w14:textId="003C0090" w:rsidR="0027263E" w:rsidRDefault="0020238C" w:rsidP="00826983">
      <w:pPr>
        <w:pStyle w:val="NumberLevel1"/>
        <w:rPr>
          <w:lang w:eastAsia="en-US"/>
        </w:rPr>
      </w:pPr>
      <w:r>
        <w:rPr>
          <w:lang w:eastAsia="en-US"/>
        </w:rPr>
        <w:t>However, t</w:t>
      </w:r>
      <w:r w:rsidR="0027263E">
        <w:rPr>
          <w:lang w:eastAsia="en-US"/>
        </w:rPr>
        <w:t>o strike the appropriate balance, we recommend that access to BOI</w:t>
      </w:r>
      <w:r w:rsidR="001141E3">
        <w:rPr>
          <w:lang w:eastAsia="en-US"/>
        </w:rPr>
        <w:t>, in both Stage 1 and Stage 2,</w:t>
      </w:r>
      <w:r w:rsidR="0027263E">
        <w:rPr>
          <w:lang w:eastAsia="en-US"/>
        </w:rPr>
        <w:t xml:space="preserve"> should be conditioned on:</w:t>
      </w:r>
    </w:p>
    <w:p w14:paraId="707B1506" w14:textId="7BAB1C54" w:rsidR="0027263E" w:rsidRDefault="0027263E" w:rsidP="0027263E">
      <w:pPr>
        <w:pStyle w:val="NumberLevel2"/>
        <w:rPr>
          <w:lang w:eastAsia="en-US"/>
        </w:rPr>
      </w:pPr>
      <w:bookmarkStart w:id="108" w:name="_Hlk163206316"/>
      <w:r>
        <w:rPr>
          <w:lang w:eastAsia="en-US"/>
        </w:rPr>
        <w:t>payment of a fee not exceeding the administrative</w:t>
      </w:r>
      <w:bookmarkStart w:id="109" w:name="_Hlk168634519"/>
      <w:r>
        <w:rPr>
          <w:lang w:eastAsia="en-US"/>
        </w:rPr>
        <w:t xml:space="preserve"> cost of making the information available</w:t>
      </w:r>
      <w:r w:rsidR="008573E4">
        <w:rPr>
          <w:lang w:eastAsia="en-US"/>
        </w:rPr>
        <w:t xml:space="preserve"> (except for persons who will be exempt from paying the fee, such as journalists and academics)</w:t>
      </w:r>
      <w:r>
        <w:rPr>
          <w:lang w:eastAsia="en-US"/>
        </w:rPr>
        <w:t xml:space="preserve">, </w:t>
      </w:r>
      <w:bookmarkEnd w:id="109"/>
      <w:r>
        <w:rPr>
          <w:u w:val="single"/>
          <w:lang w:eastAsia="en-US"/>
        </w:rPr>
        <w:t>and</w:t>
      </w:r>
    </w:p>
    <w:p w14:paraId="4F07FF0D" w14:textId="1C9D450F" w:rsidR="0027263E" w:rsidRDefault="0020238C">
      <w:pPr>
        <w:pStyle w:val="NumberLevel2"/>
        <w:rPr>
          <w:lang w:eastAsia="en-US"/>
        </w:rPr>
      </w:pPr>
      <w:r>
        <w:rPr>
          <w:lang w:eastAsia="en-US"/>
        </w:rPr>
        <w:t xml:space="preserve">requiring the person requesting access to demonstrate </w:t>
      </w:r>
      <w:r w:rsidR="0043086C">
        <w:rPr>
          <w:lang w:eastAsia="en-US"/>
        </w:rPr>
        <w:t>a legitimate interest in accessing the information</w:t>
      </w:r>
      <w:r w:rsidR="0027263E">
        <w:rPr>
          <w:lang w:eastAsia="en-US"/>
        </w:rPr>
        <w:t>.</w:t>
      </w:r>
    </w:p>
    <w:p w14:paraId="4CC14C44" w14:textId="18EE4D56" w:rsidR="00216AF4" w:rsidRDefault="0043086C" w:rsidP="00216AF4">
      <w:pPr>
        <w:pStyle w:val="NumberLevel1"/>
        <w:rPr>
          <w:lang w:eastAsia="en-US"/>
        </w:rPr>
      </w:pPr>
      <w:r>
        <w:rPr>
          <w:lang w:eastAsia="en-US"/>
        </w:rPr>
        <w:t xml:space="preserve">We consider that requiring a person to positively demonstrate that they have a legitimate interest in accessing BOI is preferable to </w:t>
      </w:r>
      <w:r w:rsidR="00675FE9">
        <w:rPr>
          <w:lang w:eastAsia="en-US"/>
        </w:rPr>
        <w:t xml:space="preserve">the test within Ch 2C of the Corporations Act </w:t>
      </w:r>
      <w:r w:rsidR="00216AF4">
        <w:rPr>
          <w:lang w:eastAsia="en-US"/>
        </w:rPr>
        <w:t>which denies access if the person seeks access for one of 5 ‘</w:t>
      </w:r>
      <w:r>
        <w:rPr>
          <w:lang w:eastAsia="en-US"/>
        </w:rPr>
        <w:t>improper</w:t>
      </w:r>
      <w:r w:rsidR="00216AF4">
        <w:rPr>
          <w:lang w:eastAsia="en-US"/>
        </w:rPr>
        <w:t>’</w:t>
      </w:r>
      <w:r>
        <w:rPr>
          <w:lang w:eastAsia="en-US"/>
        </w:rPr>
        <w:t xml:space="preserve"> purpose</w:t>
      </w:r>
      <w:r w:rsidR="00216AF4">
        <w:rPr>
          <w:lang w:eastAsia="en-US"/>
        </w:rPr>
        <w:t xml:space="preserve">s in </w:t>
      </w:r>
      <w:r w:rsidR="00216AF4">
        <w:t xml:space="preserve">reg 2C.1.03 of the </w:t>
      </w:r>
      <w:r w:rsidR="00216AF4">
        <w:rPr>
          <w:i/>
        </w:rPr>
        <w:t>Corporations Regulations 2001</w:t>
      </w:r>
      <w:r w:rsidR="00216AF4">
        <w:t xml:space="preserve">. By limiting the ability to deny access to these 5 purposes, there is a risk that the legislative framework will permit access for other improper purposes which are not prescribed (e.g. scraping data for inclusion in an online service, see, for example </w:t>
      </w:r>
      <w:r w:rsidR="00216AF4" w:rsidRPr="00216AF4">
        <w:rPr>
          <w:i/>
        </w:rPr>
        <w:t xml:space="preserve">‘AHM’ and ‘JFA’ Pty Ltd t/a Court Data Australia </w:t>
      </w:r>
      <w:r w:rsidR="00216AF4">
        <w:t xml:space="preserve">(Privacy) [2024] </w:t>
      </w:r>
      <w:proofErr w:type="spellStart"/>
      <w:r w:rsidR="00216AF4">
        <w:t>AICmr</w:t>
      </w:r>
      <w:proofErr w:type="spellEnd"/>
      <w:r w:rsidR="00216AF4">
        <w:t xml:space="preserve"> 29.</w:t>
      </w:r>
    </w:p>
    <w:p w14:paraId="16F009BF" w14:textId="05CFA283" w:rsidR="00216AF4" w:rsidRDefault="00216AF4" w:rsidP="00216AF4">
      <w:pPr>
        <w:pStyle w:val="NumberLevel1"/>
        <w:rPr>
          <w:lang w:eastAsia="en-US"/>
        </w:rPr>
      </w:pPr>
      <w:r>
        <w:rPr>
          <w:lang w:eastAsia="en-US"/>
        </w:rPr>
        <w:t xml:space="preserve">While this could be remedied by prescribing additional improper purposes, we are conscious that technology and malicious behaviour may evolve faster than a regulator’s ability to identify and prescribe additional purposes in subordinate legislation. </w:t>
      </w:r>
      <w:r w:rsidR="00D3745A">
        <w:rPr>
          <w:lang w:eastAsia="en-US"/>
        </w:rPr>
        <w:t>Alternatively, the legislative framework could permit refusal where one of the prescribed improper purposes exist, or the in-scope company is reasonably satisfied that access is sought for an improper purpose.</w:t>
      </w:r>
    </w:p>
    <w:p w14:paraId="184BF8B3" w14:textId="2EA73AE3" w:rsidR="0043086C" w:rsidRDefault="00D3745A" w:rsidP="0020238C">
      <w:pPr>
        <w:pStyle w:val="NumberLevel1"/>
        <w:rPr>
          <w:lang w:eastAsia="en-US"/>
        </w:rPr>
      </w:pPr>
      <w:r>
        <w:rPr>
          <w:lang w:eastAsia="en-US"/>
        </w:rPr>
        <w:t>Ultimately, f</w:t>
      </w:r>
      <w:r w:rsidR="00216AF4">
        <w:rPr>
          <w:lang w:eastAsia="en-US"/>
        </w:rPr>
        <w:t>or the reasons below, w</w:t>
      </w:r>
      <w:r w:rsidR="006A2B13">
        <w:rPr>
          <w:lang w:eastAsia="en-US"/>
        </w:rPr>
        <w:t xml:space="preserve">e think that legitimate interest is the preferable standard for access in both Stage 1 and 2. </w:t>
      </w:r>
      <w:r w:rsidR="0020238C">
        <w:rPr>
          <w:lang w:eastAsia="en-US"/>
        </w:rPr>
        <w:t>T</w:t>
      </w:r>
      <w:r w:rsidR="0043086C">
        <w:rPr>
          <w:lang w:eastAsia="en-US"/>
        </w:rPr>
        <w:t>he following matters</w:t>
      </w:r>
      <w:r w:rsidR="006A2B13">
        <w:rPr>
          <w:lang w:eastAsia="en-US"/>
        </w:rPr>
        <w:t xml:space="preserve"> </w:t>
      </w:r>
      <w:r w:rsidR="002212C6">
        <w:rPr>
          <w:lang w:eastAsia="en-US"/>
        </w:rPr>
        <w:t xml:space="preserve">set out in the table below </w:t>
      </w:r>
      <w:r w:rsidR="006A2B13">
        <w:rPr>
          <w:lang w:eastAsia="en-US"/>
        </w:rPr>
        <w:t>support this position</w:t>
      </w:r>
      <w:r w:rsidR="002212C6">
        <w:rPr>
          <w:lang w:eastAsia="en-US"/>
        </w:rPr>
        <w:t>.</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605"/>
        <w:gridCol w:w="7615"/>
      </w:tblGrid>
      <w:tr w:rsidR="002212C6" w:rsidRPr="00121519" w14:paraId="5D12E8B6" w14:textId="77777777" w:rsidTr="0065241F">
        <w:trPr>
          <w:cantSplit/>
          <w:tblHeader/>
        </w:trPr>
        <w:tc>
          <w:tcPr>
            <w:tcW w:w="368" w:type="pct"/>
            <w:shd w:val="clear" w:color="auto" w:fill="C4DDEA"/>
            <w:vAlign w:val="top"/>
          </w:tcPr>
          <w:p w14:paraId="3F5D37C5" w14:textId="507E7717" w:rsidR="002212C6" w:rsidRPr="00121519" w:rsidRDefault="002212C6" w:rsidP="0065241F">
            <w:pPr>
              <w:pStyle w:val="TableHeading2"/>
              <w:ind w:left="176" w:hanging="176"/>
            </w:pPr>
            <w:r>
              <w:t>No.</w:t>
            </w:r>
          </w:p>
        </w:tc>
        <w:tc>
          <w:tcPr>
            <w:tcW w:w="4632" w:type="pct"/>
            <w:shd w:val="clear" w:color="auto" w:fill="C4DDEA"/>
            <w:vAlign w:val="top"/>
          </w:tcPr>
          <w:p w14:paraId="76315190" w14:textId="0FA6CBE5" w:rsidR="002212C6" w:rsidRPr="00121519" w:rsidRDefault="002212C6" w:rsidP="0065241F">
            <w:pPr>
              <w:pStyle w:val="TableHeading2"/>
            </w:pPr>
            <w:r>
              <w:t>Matter favouring adoption of ‘legitimate interest’ standard</w:t>
            </w:r>
          </w:p>
        </w:tc>
      </w:tr>
      <w:tr w:rsidR="002212C6" w:rsidRPr="00121519" w14:paraId="2CDBB010" w14:textId="77777777" w:rsidTr="0065241F">
        <w:tc>
          <w:tcPr>
            <w:tcW w:w="368" w:type="pct"/>
            <w:vAlign w:val="top"/>
          </w:tcPr>
          <w:p w14:paraId="3976816F" w14:textId="2CA80B69" w:rsidR="002212C6" w:rsidRPr="00121519" w:rsidRDefault="002212C6" w:rsidP="002212C6">
            <w:pPr>
              <w:pStyle w:val="TablePlainParagraph"/>
              <w:rPr>
                <w:b/>
              </w:rPr>
            </w:pPr>
            <w:r>
              <w:rPr>
                <w:b/>
              </w:rPr>
              <w:t>1.</w:t>
            </w:r>
          </w:p>
        </w:tc>
        <w:tc>
          <w:tcPr>
            <w:tcW w:w="4632" w:type="pct"/>
            <w:vAlign w:val="top"/>
          </w:tcPr>
          <w:p w14:paraId="125047B5" w14:textId="502B9E09" w:rsidR="002212C6" w:rsidRPr="00121519" w:rsidRDefault="002212C6" w:rsidP="002212C6">
            <w:pPr>
              <w:pStyle w:val="TablePlainParagraph"/>
            </w:pPr>
            <w:r>
              <w:rPr>
                <w:lang w:eastAsia="en-US"/>
              </w:rPr>
              <w:t>T</w:t>
            </w:r>
            <w:r w:rsidRPr="0081792A">
              <w:rPr>
                <w:lang w:eastAsia="en-US"/>
              </w:rPr>
              <w:t>he example contemplated by the FATF of a condition that could be placed on access to BOI is a test of legitimate interest</w:t>
            </w:r>
            <w:r w:rsidRPr="0081792A">
              <w:rPr>
                <w:rStyle w:val="FootnoteReference"/>
                <w:lang w:eastAsia="en-US"/>
              </w:rPr>
              <w:footnoteReference w:id="39"/>
            </w:r>
          </w:p>
        </w:tc>
      </w:tr>
      <w:tr w:rsidR="002212C6" w:rsidRPr="00121519" w14:paraId="39F288B4" w14:textId="77777777" w:rsidTr="0065241F">
        <w:tc>
          <w:tcPr>
            <w:tcW w:w="368" w:type="pct"/>
            <w:vAlign w:val="top"/>
          </w:tcPr>
          <w:p w14:paraId="087737D2" w14:textId="0566B462" w:rsidR="002212C6" w:rsidRPr="00121519" w:rsidRDefault="002212C6" w:rsidP="002212C6">
            <w:pPr>
              <w:pStyle w:val="TablePlainParagraph"/>
              <w:rPr>
                <w:b/>
              </w:rPr>
            </w:pPr>
            <w:r>
              <w:rPr>
                <w:b/>
              </w:rPr>
              <w:t>2.</w:t>
            </w:r>
          </w:p>
        </w:tc>
        <w:tc>
          <w:tcPr>
            <w:tcW w:w="4632" w:type="pct"/>
            <w:vAlign w:val="top"/>
          </w:tcPr>
          <w:p w14:paraId="60A52112" w14:textId="20E05525" w:rsidR="002212C6" w:rsidRPr="00121519" w:rsidRDefault="002212C6" w:rsidP="002212C6">
            <w:pPr>
              <w:pStyle w:val="TablePlainParagraph"/>
            </w:pPr>
            <w:r>
              <w:rPr>
                <w:lang w:eastAsia="en-US"/>
              </w:rPr>
              <w:t>L</w:t>
            </w:r>
            <w:r w:rsidRPr="0081792A">
              <w:rPr>
                <w:lang w:eastAsia="en-US"/>
              </w:rPr>
              <w:t>egitimate interest is the standard contemplated by Article 49 of the GDPR for transfers of personal data to a third country or international organisation</w:t>
            </w:r>
          </w:p>
        </w:tc>
      </w:tr>
      <w:tr w:rsidR="002212C6" w:rsidRPr="00121519" w14:paraId="151E05A7" w14:textId="77777777" w:rsidTr="0065241F">
        <w:tc>
          <w:tcPr>
            <w:tcW w:w="368" w:type="pct"/>
            <w:vAlign w:val="top"/>
          </w:tcPr>
          <w:p w14:paraId="1C81E0AC" w14:textId="1AB60FF4" w:rsidR="002212C6" w:rsidRPr="00121519" w:rsidRDefault="002212C6" w:rsidP="002212C6">
            <w:pPr>
              <w:pStyle w:val="TablePlainParagraph"/>
              <w:rPr>
                <w:b/>
              </w:rPr>
            </w:pPr>
            <w:r>
              <w:rPr>
                <w:b/>
              </w:rPr>
              <w:t>3.</w:t>
            </w:r>
          </w:p>
        </w:tc>
        <w:tc>
          <w:tcPr>
            <w:tcW w:w="4632" w:type="pct"/>
            <w:vAlign w:val="top"/>
          </w:tcPr>
          <w:p w14:paraId="3D94EB92" w14:textId="5B3BD17B" w:rsidR="002212C6" w:rsidRPr="00121519" w:rsidRDefault="002212C6" w:rsidP="002212C6">
            <w:pPr>
              <w:pStyle w:val="TablePlainParagraph"/>
            </w:pPr>
            <w:r>
              <w:rPr>
                <w:lang w:eastAsia="en-US"/>
              </w:rPr>
              <w:t>I</w:t>
            </w:r>
            <w:r w:rsidRPr="0081792A">
              <w:rPr>
                <w:lang w:eastAsia="en-US"/>
              </w:rPr>
              <w:t>t may be more difficult for malicious actors to fabricate a legitimate interest than to declare that they are not seeking access based on an improper purpose</w:t>
            </w:r>
          </w:p>
        </w:tc>
      </w:tr>
      <w:tr w:rsidR="002212C6" w:rsidRPr="00121519" w14:paraId="614E9591" w14:textId="77777777" w:rsidTr="0065241F">
        <w:tc>
          <w:tcPr>
            <w:tcW w:w="368" w:type="pct"/>
            <w:vAlign w:val="top"/>
          </w:tcPr>
          <w:p w14:paraId="29F1EE40" w14:textId="5EAC5039" w:rsidR="002212C6" w:rsidRPr="00121519" w:rsidRDefault="002212C6" w:rsidP="002212C6">
            <w:pPr>
              <w:pStyle w:val="TablePlainParagraph"/>
              <w:rPr>
                <w:b/>
              </w:rPr>
            </w:pPr>
            <w:r>
              <w:rPr>
                <w:b/>
              </w:rPr>
              <w:t>4.</w:t>
            </w:r>
          </w:p>
        </w:tc>
        <w:tc>
          <w:tcPr>
            <w:tcW w:w="4632" w:type="pct"/>
            <w:vAlign w:val="top"/>
          </w:tcPr>
          <w:p w14:paraId="414DD0C3" w14:textId="3BDE53A6" w:rsidR="002212C6" w:rsidRPr="00121519" w:rsidRDefault="002212C6" w:rsidP="002212C6">
            <w:pPr>
              <w:pStyle w:val="TablePlainParagraph"/>
            </w:pPr>
            <w:r>
              <w:rPr>
                <w:lang w:eastAsia="en-US"/>
              </w:rPr>
              <w:t>F</w:t>
            </w:r>
            <w:r w:rsidRPr="0081792A">
              <w:rPr>
                <w:lang w:eastAsia="en-US"/>
              </w:rPr>
              <w:t>urther information to substantiate a legitimate interest could be readily identified by in-scope companies and the RCA, whereas it is more difficult to identify information that would prove a negative, being that there is no improper purpose</w:t>
            </w:r>
          </w:p>
        </w:tc>
      </w:tr>
      <w:tr w:rsidR="002212C6" w:rsidRPr="00121519" w14:paraId="74FC9B76" w14:textId="77777777" w:rsidTr="0065241F">
        <w:tc>
          <w:tcPr>
            <w:tcW w:w="368" w:type="pct"/>
            <w:vAlign w:val="top"/>
          </w:tcPr>
          <w:p w14:paraId="280D8584" w14:textId="6004F7E3" w:rsidR="002212C6" w:rsidRPr="00121519" w:rsidRDefault="002212C6" w:rsidP="002212C6">
            <w:pPr>
              <w:pStyle w:val="TablePlainParagraph"/>
              <w:rPr>
                <w:b/>
              </w:rPr>
            </w:pPr>
            <w:r>
              <w:rPr>
                <w:b/>
              </w:rPr>
              <w:t>5.</w:t>
            </w:r>
          </w:p>
        </w:tc>
        <w:tc>
          <w:tcPr>
            <w:tcW w:w="4632" w:type="pct"/>
            <w:vAlign w:val="top"/>
          </w:tcPr>
          <w:p w14:paraId="29C7E72E" w14:textId="65EF3329" w:rsidR="002212C6" w:rsidRPr="00121519" w:rsidRDefault="002212C6" w:rsidP="002212C6">
            <w:pPr>
              <w:pStyle w:val="TablePlainParagraph"/>
            </w:pPr>
            <w:r>
              <w:rPr>
                <w:lang w:eastAsia="en-US"/>
              </w:rPr>
              <w:t>P</w:t>
            </w:r>
            <w:r w:rsidRPr="0081792A">
              <w:rPr>
                <w:lang w:eastAsia="en-US"/>
              </w:rPr>
              <w:t xml:space="preserve">eople with legitimate interests, such as </w:t>
            </w:r>
            <w:r w:rsidR="001C7BFD">
              <w:rPr>
                <w:lang w:eastAsia="en-US"/>
              </w:rPr>
              <w:t>AUSTRAC</w:t>
            </w:r>
            <w:r w:rsidRPr="0081792A">
              <w:rPr>
                <w:lang w:eastAsia="en-US"/>
              </w:rPr>
              <w:t xml:space="preserve"> reporting entities, journalists, academics, civil society organisations, and people seeking to transact with in-scope companies should be able to readily demonstrate a legitimate interest</w:t>
            </w:r>
          </w:p>
        </w:tc>
      </w:tr>
      <w:tr w:rsidR="002212C6" w:rsidRPr="00121519" w14:paraId="1E23B65A" w14:textId="77777777" w:rsidTr="0065241F">
        <w:tc>
          <w:tcPr>
            <w:tcW w:w="368" w:type="pct"/>
            <w:vAlign w:val="top"/>
          </w:tcPr>
          <w:p w14:paraId="72C48CF9" w14:textId="46F81B25" w:rsidR="002212C6" w:rsidRPr="00121519" w:rsidRDefault="002212C6" w:rsidP="002212C6">
            <w:pPr>
              <w:pStyle w:val="TablePlainParagraph"/>
              <w:rPr>
                <w:b/>
              </w:rPr>
            </w:pPr>
            <w:r>
              <w:rPr>
                <w:b/>
              </w:rPr>
              <w:t>6.</w:t>
            </w:r>
          </w:p>
        </w:tc>
        <w:tc>
          <w:tcPr>
            <w:tcW w:w="4632" w:type="pct"/>
            <w:vAlign w:val="top"/>
          </w:tcPr>
          <w:p w14:paraId="7961205E" w14:textId="32F9A4A5" w:rsidR="002212C6" w:rsidRPr="00121519" w:rsidRDefault="002212C6" w:rsidP="002212C6">
            <w:pPr>
              <w:pStyle w:val="TablePlainParagraph"/>
            </w:pPr>
            <w:r>
              <w:rPr>
                <w:lang w:eastAsia="en-US"/>
              </w:rPr>
              <w:t>G</w:t>
            </w:r>
            <w:r w:rsidRPr="0081792A">
              <w:rPr>
                <w:lang w:eastAsia="en-US"/>
              </w:rPr>
              <w:t>ranting access to BOI has significant impacts on beneficial owners</w:t>
            </w:r>
          </w:p>
        </w:tc>
      </w:tr>
      <w:tr w:rsidR="002212C6" w:rsidRPr="00121519" w14:paraId="09A8FB04" w14:textId="77777777" w:rsidTr="0065241F">
        <w:tc>
          <w:tcPr>
            <w:tcW w:w="368" w:type="pct"/>
            <w:vAlign w:val="top"/>
          </w:tcPr>
          <w:p w14:paraId="02FE3054" w14:textId="37F323A3" w:rsidR="002212C6" w:rsidRPr="00121519" w:rsidRDefault="002212C6" w:rsidP="002212C6">
            <w:pPr>
              <w:pStyle w:val="TablePlainParagraph"/>
              <w:rPr>
                <w:b/>
              </w:rPr>
            </w:pPr>
            <w:r>
              <w:rPr>
                <w:b/>
              </w:rPr>
              <w:t>7.</w:t>
            </w:r>
          </w:p>
        </w:tc>
        <w:tc>
          <w:tcPr>
            <w:tcW w:w="4632" w:type="pct"/>
            <w:vAlign w:val="top"/>
          </w:tcPr>
          <w:p w14:paraId="6C90CA2C" w14:textId="1BBCBF0A" w:rsidR="002212C6" w:rsidRPr="00121519" w:rsidRDefault="002212C6" w:rsidP="002212C6">
            <w:pPr>
              <w:pStyle w:val="TablePlainParagraph"/>
            </w:pPr>
            <w:r>
              <w:rPr>
                <w:lang w:eastAsia="en-US"/>
              </w:rPr>
              <w:t>L</w:t>
            </w:r>
            <w:r w:rsidRPr="0081792A">
              <w:rPr>
                <w:lang w:eastAsia="en-US"/>
              </w:rPr>
              <w:t xml:space="preserve">egitimate interest is a higher standard, and protects beneficial owners from unnecessary disclosure of their BOI more effectively </w:t>
            </w:r>
          </w:p>
        </w:tc>
      </w:tr>
    </w:tbl>
    <w:p w14:paraId="671CEA9E" w14:textId="1FCFA481" w:rsidR="00E2459F" w:rsidRDefault="00D3745A" w:rsidP="00272B4B">
      <w:pPr>
        <w:pStyle w:val="NumberLevel1"/>
      </w:pPr>
      <w:r>
        <w:rPr>
          <w:lang w:eastAsia="en-US"/>
        </w:rPr>
        <w:t>Weighing against this</w:t>
      </w:r>
      <w:r w:rsidR="00A02A9A">
        <w:rPr>
          <w:lang w:eastAsia="en-US"/>
        </w:rPr>
        <w:t xml:space="preserve"> are </w:t>
      </w:r>
      <w:r>
        <w:rPr>
          <w:lang w:eastAsia="en-US"/>
        </w:rPr>
        <w:t xml:space="preserve">the </w:t>
      </w:r>
      <w:r w:rsidR="00A02A9A">
        <w:rPr>
          <w:lang w:eastAsia="en-US"/>
        </w:rPr>
        <w:t>simplicity benefits in aligning requirements for access with those under the Corporations Regulations</w:t>
      </w:r>
      <w:r w:rsidR="00885CC6">
        <w:rPr>
          <w:lang w:eastAsia="en-US"/>
        </w:rPr>
        <w:t>. However</w:t>
      </w:r>
      <w:r w:rsidR="00A02A9A">
        <w:rPr>
          <w:lang w:eastAsia="en-US"/>
        </w:rPr>
        <w:t>, those requirements were introduced in their own specific context. We consider that protecting the privacy of beneficial owners to the greatest extent possible should take precedence over these benefits.</w:t>
      </w:r>
      <w:r w:rsidR="00E2459F">
        <w:t xml:space="preserve"> </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72228B" w:rsidRPr="004B51FC" w14:paraId="13366D3E" w14:textId="77777777" w:rsidTr="008F368F">
        <w:trPr>
          <w:trHeight w:val="332"/>
          <w:tblHeader/>
        </w:trPr>
        <w:tc>
          <w:tcPr>
            <w:tcW w:w="8222" w:type="dxa"/>
            <w:gridSpan w:val="2"/>
            <w:tcBorders>
              <w:top w:val="single" w:sz="12" w:space="0" w:color="000000" w:themeColor="text1"/>
              <w:bottom w:val="single" w:sz="12" w:space="0" w:color="204558"/>
            </w:tcBorders>
            <w:shd w:val="clear" w:color="auto" w:fill="C4DDEA"/>
          </w:tcPr>
          <w:p w14:paraId="1EB4A54E" w14:textId="517E6110" w:rsidR="0072228B" w:rsidRPr="004B51FC" w:rsidRDefault="00DE4139" w:rsidP="00DE4139">
            <w:pPr>
              <w:pStyle w:val="TableHeading2"/>
              <w:spacing w:before="200" w:after="120"/>
            </w:pPr>
            <w:bookmarkStart w:id="110" w:name="Recommendation1" w:colFirst="0" w:colLast="1"/>
            <w:bookmarkEnd w:id="108"/>
            <w:r>
              <w:t>Recommendation 1</w:t>
            </w:r>
            <w:r w:rsidR="00ED23D1">
              <w:t xml:space="preserve"> </w:t>
            </w:r>
            <w:r w:rsidR="0072228B">
              <w:t xml:space="preserve">– </w:t>
            </w:r>
            <w:r w:rsidR="00ED23D1">
              <w:t>Limit</w:t>
            </w:r>
            <w:r w:rsidR="0072228B">
              <w:t xml:space="preserve"> public access to </w:t>
            </w:r>
            <w:r w:rsidR="004976FB">
              <w:t xml:space="preserve">BORs in Stage 1 and </w:t>
            </w:r>
            <w:r w:rsidR="0072228B">
              <w:t>PCBOR</w:t>
            </w:r>
            <w:r w:rsidR="00ED23D1">
              <w:t xml:space="preserve"> in Stage 2</w:t>
            </w:r>
          </w:p>
        </w:tc>
      </w:tr>
      <w:tr w:rsidR="00DE4139" w:rsidRPr="004B51FC" w14:paraId="56FB7CCD" w14:textId="77777777" w:rsidTr="008F368F">
        <w:trPr>
          <w:trHeight w:val="332"/>
        </w:trPr>
        <w:tc>
          <w:tcPr>
            <w:tcW w:w="8222" w:type="dxa"/>
            <w:gridSpan w:val="2"/>
            <w:tcBorders>
              <w:top w:val="single" w:sz="12" w:space="0" w:color="204558"/>
              <w:bottom w:val="single" w:sz="12" w:space="0" w:color="204558"/>
            </w:tcBorders>
            <w:shd w:val="clear" w:color="auto" w:fill="DEEAF6" w:themeFill="accent5" w:themeFillTint="33"/>
          </w:tcPr>
          <w:p w14:paraId="1F913680" w14:textId="2BFA2038" w:rsidR="001A0DAD" w:rsidRDefault="00DE4139" w:rsidP="001A0DAD">
            <w:pPr>
              <w:pStyle w:val="TableHeading2"/>
              <w:keepNext w:val="0"/>
              <w:keepLines w:val="0"/>
              <w:spacing w:before="120" w:after="120"/>
              <w:rPr>
                <w:b w:val="0"/>
              </w:rPr>
            </w:pPr>
            <w:r w:rsidRPr="00DE4139">
              <w:t>Issue:</w:t>
            </w:r>
            <w:r>
              <w:rPr>
                <w:b w:val="0"/>
              </w:rPr>
              <w:t xml:space="preserve"> </w:t>
            </w:r>
            <w:r w:rsidR="001A0DAD">
              <w:rPr>
                <w:b w:val="0"/>
              </w:rPr>
              <w:t>T</w:t>
            </w:r>
            <w:r w:rsidR="001A0DAD" w:rsidRPr="00B36B53">
              <w:rPr>
                <w:b w:val="0"/>
              </w:rPr>
              <w:t xml:space="preserve">he intrusion into personal privacy </w:t>
            </w:r>
            <w:r w:rsidR="001A0DAD">
              <w:rPr>
                <w:b w:val="0"/>
              </w:rPr>
              <w:t xml:space="preserve">caused </w:t>
            </w:r>
            <w:r w:rsidR="001A0DAD" w:rsidRPr="00B36B53">
              <w:rPr>
                <w:b w:val="0"/>
              </w:rPr>
              <w:t xml:space="preserve">by </w:t>
            </w:r>
            <w:r w:rsidR="001A0DAD">
              <w:rPr>
                <w:b w:val="0"/>
              </w:rPr>
              <w:t xml:space="preserve">permitting </w:t>
            </w:r>
            <w:r w:rsidR="001A0DAD" w:rsidRPr="00B36B53">
              <w:rPr>
                <w:b w:val="0"/>
              </w:rPr>
              <w:t xml:space="preserve">public </w:t>
            </w:r>
            <w:r w:rsidR="001A0DAD">
              <w:rPr>
                <w:b w:val="0"/>
              </w:rPr>
              <w:t xml:space="preserve">access to BOI will be proportionate to the benefits if appropriate measures are implemented to protect BOI. </w:t>
            </w:r>
          </w:p>
          <w:p w14:paraId="6EF8B9C4" w14:textId="002F504F" w:rsidR="00DE4139" w:rsidRPr="00C56D18" w:rsidRDefault="004976FB" w:rsidP="00B0403F">
            <w:pPr>
              <w:pStyle w:val="TableHeading2"/>
              <w:spacing w:after="60"/>
            </w:pPr>
            <w:r>
              <w:rPr>
                <w:b w:val="0"/>
              </w:rPr>
              <w:t>Limiting access to BO</w:t>
            </w:r>
            <w:r w:rsidR="00546458">
              <w:rPr>
                <w:b w:val="0"/>
              </w:rPr>
              <w:t>I</w:t>
            </w:r>
            <w:r>
              <w:rPr>
                <w:b w:val="0"/>
              </w:rPr>
              <w:t xml:space="preserve"> to individuals who do not seek access for an improper purpose may be a difficult test to administer. It also does not align with international standards</w:t>
            </w:r>
            <w:r w:rsidR="008E39DD">
              <w:rPr>
                <w:b w:val="0"/>
              </w:rPr>
              <w:t>.</w:t>
            </w:r>
          </w:p>
        </w:tc>
      </w:tr>
      <w:tr w:rsidR="00DE4139" w:rsidRPr="004B51FC" w14:paraId="031D85C5" w14:textId="77777777" w:rsidTr="00DE64AD">
        <w:trPr>
          <w:trHeight w:val="332"/>
        </w:trPr>
        <w:tc>
          <w:tcPr>
            <w:tcW w:w="8222" w:type="dxa"/>
            <w:gridSpan w:val="2"/>
            <w:tcBorders>
              <w:top w:val="single" w:sz="12" w:space="0" w:color="204558"/>
              <w:bottom w:val="single" w:sz="12" w:space="0" w:color="204558"/>
            </w:tcBorders>
            <w:shd w:val="clear" w:color="auto" w:fill="EDF5F9"/>
          </w:tcPr>
          <w:p w14:paraId="5DB6C559" w14:textId="33C80C80" w:rsidR="00DE4139" w:rsidRPr="001733F9" w:rsidRDefault="00DE4139" w:rsidP="00764CE0">
            <w:pPr>
              <w:pStyle w:val="TableHeading2"/>
              <w:spacing w:before="120" w:after="60"/>
              <w:rPr>
                <w:b w:val="0"/>
              </w:rPr>
            </w:pPr>
            <w:r w:rsidRPr="00DE4139">
              <w:t>AGS Recommendation:</w:t>
            </w:r>
            <w:r>
              <w:rPr>
                <w:b w:val="0"/>
              </w:rPr>
              <w:t xml:space="preserve"> </w:t>
            </w:r>
            <w:r w:rsidRPr="001733F9">
              <w:rPr>
                <w:b w:val="0"/>
              </w:rPr>
              <w:t xml:space="preserve">Treasury amend the </w:t>
            </w:r>
            <w:r w:rsidR="00E62A06">
              <w:rPr>
                <w:b w:val="0"/>
              </w:rPr>
              <w:t>BO Policy</w:t>
            </w:r>
            <w:r w:rsidRPr="001733F9">
              <w:rPr>
                <w:b w:val="0"/>
              </w:rPr>
              <w:t xml:space="preserve"> to</w:t>
            </w:r>
            <w:r>
              <w:rPr>
                <w:b w:val="0"/>
              </w:rPr>
              <w:t xml:space="preserve"> limit access to the </w:t>
            </w:r>
            <w:r w:rsidR="004976FB">
              <w:rPr>
                <w:b w:val="0"/>
              </w:rPr>
              <w:t xml:space="preserve">BORs in Stage 1 and the </w:t>
            </w:r>
            <w:r w:rsidRPr="001733F9">
              <w:rPr>
                <w:b w:val="0"/>
              </w:rPr>
              <w:t xml:space="preserve">PCBOR </w:t>
            </w:r>
            <w:r w:rsidR="004976FB">
              <w:rPr>
                <w:b w:val="0"/>
              </w:rPr>
              <w:t xml:space="preserve">in Stage 2 </w:t>
            </w:r>
            <w:r>
              <w:rPr>
                <w:b w:val="0"/>
              </w:rPr>
              <w:t>to persons and groups who</w:t>
            </w:r>
            <w:r w:rsidRPr="001733F9">
              <w:rPr>
                <w:b w:val="0"/>
              </w:rPr>
              <w:t>:</w:t>
            </w:r>
          </w:p>
          <w:p w14:paraId="28CFEAB7" w14:textId="03A56A58" w:rsidR="00DE4139" w:rsidRPr="001733F9" w:rsidRDefault="00DE4139" w:rsidP="00804008">
            <w:pPr>
              <w:pStyle w:val="NumberLevel2"/>
              <w:numPr>
                <w:ilvl w:val="0"/>
                <w:numId w:val="47"/>
              </w:numPr>
              <w:spacing w:before="60" w:after="60" w:line="240" w:lineRule="atLeast"/>
              <w:ind w:left="357" w:hanging="357"/>
              <w:rPr>
                <w:lang w:eastAsia="en-US"/>
              </w:rPr>
            </w:pPr>
            <w:r w:rsidRPr="001733F9">
              <w:rPr>
                <w:lang w:eastAsia="en-US"/>
              </w:rPr>
              <w:t>pay a fee not exceeding the administrative cost of making the information available</w:t>
            </w:r>
            <w:r w:rsidR="008573E4">
              <w:rPr>
                <w:lang w:eastAsia="en-US"/>
              </w:rPr>
              <w:t xml:space="preserve"> (except for persons who will be exempt from paying the fee, such as journalists and academics)</w:t>
            </w:r>
            <w:r w:rsidRPr="001733F9">
              <w:rPr>
                <w:lang w:eastAsia="en-US"/>
              </w:rPr>
              <w:t xml:space="preserve">, </w:t>
            </w:r>
            <w:r w:rsidRPr="001733F9">
              <w:rPr>
                <w:u w:val="single"/>
                <w:lang w:eastAsia="en-US"/>
              </w:rPr>
              <w:t>and</w:t>
            </w:r>
          </w:p>
          <w:p w14:paraId="4CF58C8B" w14:textId="3E296C45" w:rsidR="00DE4139" w:rsidRPr="00B36B53" w:rsidRDefault="00DE4139" w:rsidP="00804008">
            <w:pPr>
              <w:pStyle w:val="NumberLevel2"/>
              <w:numPr>
                <w:ilvl w:val="0"/>
                <w:numId w:val="47"/>
              </w:numPr>
              <w:spacing w:before="60" w:after="120" w:line="240" w:lineRule="atLeast"/>
              <w:ind w:left="357" w:hanging="357"/>
              <w:rPr>
                <w:lang w:eastAsia="en-US"/>
              </w:rPr>
            </w:pPr>
            <w:r w:rsidRPr="00B36B53">
              <w:rPr>
                <w:lang w:eastAsia="en-US"/>
              </w:rPr>
              <w:t>demonstrate a legitimate interest in accessing the information.</w:t>
            </w:r>
          </w:p>
        </w:tc>
      </w:tr>
      <w:tr w:rsidR="0072228B" w:rsidRPr="00B83500" w14:paraId="3D8719EA" w14:textId="77777777" w:rsidTr="0072228B">
        <w:trPr>
          <w:trHeight w:val="269"/>
        </w:trPr>
        <w:tc>
          <w:tcPr>
            <w:tcW w:w="1276" w:type="dxa"/>
            <w:tcBorders>
              <w:top w:val="single" w:sz="12" w:space="0" w:color="204558"/>
              <w:bottom w:val="single" w:sz="12" w:space="0" w:color="000000" w:themeColor="text1"/>
            </w:tcBorders>
            <w:shd w:val="clear" w:color="auto" w:fill="auto"/>
          </w:tcPr>
          <w:p w14:paraId="1EA17ECE" w14:textId="77777777" w:rsidR="0072228B" w:rsidRPr="004B51FC" w:rsidRDefault="0072228B" w:rsidP="0072228B">
            <w:pPr>
              <w:pStyle w:val="NumberLevel1"/>
              <w:numPr>
                <w:ilvl w:val="0"/>
                <w:numId w:val="0"/>
              </w:numPr>
              <w:spacing w:before="120" w:after="120"/>
              <w:rPr>
                <w:b/>
              </w:rPr>
            </w:pPr>
            <w:r w:rsidRPr="004B51FC">
              <w:rPr>
                <w:b/>
              </w:rPr>
              <w:t>Response:</w:t>
            </w:r>
          </w:p>
        </w:tc>
        <w:tc>
          <w:tcPr>
            <w:tcW w:w="6946" w:type="dxa"/>
            <w:tcBorders>
              <w:top w:val="single" w:sz="12" w:space="0" w:color="204558"/>
              <w:bottom w:val="single" w:sz="12" w:space="0" w:color="000000" w:themeColor="text1"/>
            </w:tcBorders>
            <w:shd w:val="clear" w:color="auto" w:fill="auto"/>
          </w:tcPr>
          <w:p w14:paraId="348A6D12" w14:textId="77777777" w:rsidR="0072228B" w:rsidRPr="00B83500" w:rsidRDefault="0072228B" w:rsidP="0072228B">
            <w:pPr>
              <w:pStyle w:val="TableHeading2"/>
              <w:spacing w:before="200" w:after="120"/>
              <w:rPr>
                <w:b w:val="0"/>
              </w:rPr>
            </w:pPr>
          </w:p>
        </w:tc>
      </w:tr>
    </w:tbl>
    <w:bookmarkEnd w:id="110"/>
    <w:p w14:paraId="3CC8760C" w14:textId="77777777" w:rsidR="001A0DAD" w:rsidRDefault="00C56D18" w:rsidP="00C56D18">
      <w:pPr>
        <w:pStyle w:val="NumberLevel1"/>
      </w:pPr>
      <w:r>
        <w:t xml:space="preserve">Additionally, we suggest </w:t>
      </w:r>
      <w:r w:rsidR="001A0DAD">
        <w:t>for Stage 1, Treasury consider a requirement that persons seeking access must:</w:t>
      </w:r>
    </w:p>
    <w:p w14:paraId="1A67F395" w14:textId="7AC94848" w:rsidR="001A0DAD" w:rsidRDefault="001A0DAD" w:rsidP="001A0DAD">
      <w:pPr>
        <w:pStyle w:val="NumberLevel2"/>
      </w:pPr>
      <w:r>
        <w:t xml:space="preserve">declare on their access application the purpose or purposes for which they require access to information within a </w:t>
      </w:r>
      <w:proofErr w:type="gramStart"/>
      <w:r>
        <w:t>BOR</w:t>
      </w:r>
      <w:proofErr w:type="gramEnd"/>
    </w:p>
    <w:p w14:paraId="16E6DAE9" w14:textId="2BB48181" w:rsidR="001A0DAD" w:rsidRDefault="00506714" w:rsidP="00506714">
      <w:pPr>
        <w:pStyle w:val="NumberLevel2"/>
      </w:pPr>
      <w:r>
        <w:t xml:space="preserve">undertake to </w:t>
      </w:r>
      <w:r w:rsidR="001A0DAD">
        <w:t xml:space="preserve">use or disclose the information provided to them for the purpose </w:t>
      </w:r>
      <w:r>
        <w:t xml:space="preserve">or purposes </w:t>
      </w:r>
      <w:r w:rsidR="001A0DAD">
        <w:t>stated in their access application</w:t>
      </w:r>
      <w:r>
        <w:t xml:space="preserve"> only (</w:t>
      </w:r>
      <w:r w:rsidRPr="00506714">
        <w:rPr>
          <w:b/>
        </w:rPr>
        <w:t>declared purposes</w:t>
      </w:r>
      <w:r>
        <w:t>)</w:t>
      </w:r>
      <w:r w:rsidR="001A0DAD">
        <w:t>.</w:t>
      </w:r>
    </w:p>
    <w:p w14:paraId="696BE4D4" w14:textId="1F26E182" w:rsidR="00826983" w:rsidRDefault="00506714" w:rsidP="00C56D18">
      <w:pPr>
        <w:pStyle w:val="NumberLevel1"/>
      </w:pPr>
      <w:r>
        <w:t>Further, i</w:t>
      </w:r>
      <w:r w:rsidR="001A0DAD">
        <w:t xml:space="preserve">n Stage 2, </w:t>
      </w:r>
      <w:r w:rsidR="00C56D18" w:rsidRPr="005248A5">
        <w:t xml:space="preserve">Treasury </w:t>
      </w:r>
      <w:r w:rsidR="001A0DAD">
        <w:t xml:space="preserve">should consider the same requirement and/or </w:t>
      </w:r>
      <w:r w:rsidR="00C56D18" w:rsidRPr="005248A5">
        <w:t xml:space="preserve">consider providing the RCA with powers to impose conditions on how persons who access data contained in </w:t>
      </w:r>
      <w:r w:rsidR="001A0DAD">
        <w:t xml:space="preserve">the </w:t>
      </w:r>
      <w:r w:rsidR="00C56D18" w:rsidRPr="005248A5">
        <w:t>PCBOR may use this data. Conditions could include</w:t>
      </w:r>
      <w:r w:rsidR="00826983">
        <w:t>:</w:t>
      </w:r>
    </w:p>
    <w:p w14:paraId="27295A9F" w14:textId="47EB0C0F" w:rsidR="00826983" w:rsidRDefault="00C56D18" w:rsidP="00826983">
      <w:pPr>
        <w:pStyle w:val="NumberLevel2"/>
      </w:pPr>
      <w:r w:rsidRPr="005248A5">
        <w:t xml:space="preserve">permitting the use of the BOI only for the </w:t>
      </w:r>
      <w:r w:rsidR="0056196C">
        <w:t xml:space="preserve">application </w:t>
      </w:r>
      <w:r w:rsidRPr="005248A5">
        <w:t>purpose</w:t>
      </w:r>
      <w:r w:rsidR="0056196C">
        <w:t xml:space="preserve"> or purposes</w:t>
      </w:r>
      <w:r w:rsidRPr="005248A5">
        <w:t>, or</w:t>
      </w:r>
      <w:r w:rsidR="0056196C">
        <w:t xml:space="preserve"> </w:t>
      </w:r>
    </w:p>
    <w:p w14:paraId="0DA9589F" w14:textId="34FE9F13" w:rsidR="00C56D18" w:rsidRPr="005248A5" w:rsidRDefault="0056196C" w:rsidP="00B0403F">
      <w:pPr>
        <w:pStyle w:val="NumberLevel2"/>
      </w:pPr>
      <w:r>
        <w:t>where an application specifies a broad purpose,</w:t>
      </w:r>
      <w:r w:rsidR="00C56D18" w:rsidRPr="005248A5">
        <w:t xml:space="preserve"> prohibiting use of the data for certain activities (e.g. marketing).</w:t>
      </w:r>
    </w:p>
    <w:p w14:paraId="34B97C9E" w14:textId="43326702" w:rsidR="00C56D18" w:rsidRDefault="00C56D18" w:rsidP="00C56D18">
      <w:pPr>
        <w:pStyle w:val="NumberLevel1"/>
      </w:pPr>
      <w:r w:rsidRPr="005248A5">
        <w:t xml:space="preserve">Section 176B of the </w:t>
      </w:r>
      <w:r w:rsidRPr="005248A5">
        <w:rPr>
          <w:i/>
        </w:rPr>
        <w:t xml:space="preserve">Personal Property Securities Act 2009 </w:t>
      </w:r>
      <w:r w:rsidRPr="005248A5">
        <w:t>(</w:t>
      </w:r>
      <w:proofErr w:type="spellStart"/>
      <w:r w:rsidRPr="005248A5">
        <w:t>Cth</w:t>
      </w:r>
      <w:proofErr w:type="spellEnd"/>
      <w:r w:rsidRPr="005248A5">
        <w:t>) provides an example of such a provision. This section enables the imposition of registered data conditions in relation to some interactions with the Personal Property Securities Register.</w:t>
      </w:r>
      <w:r>
        <w:t xml:space="preserve"> </w:t>
      </w:r>
    </w:p>
    <w:p w14:paraId="7FA69B3A" w14:textId="141CC1DE" w:rsidR="00F36571" w:rsidRDefault="00F36571" w:rsidP="00C56D18">
      <w:pPr>
        <w:pStyle w:val="NumberLevel1"/>
      </w:pPr>
      <w:r>
        <w:t>Similarly, s 177 of the Corporations Act prohibits certain use or disclose of information obtained by a person from a public register.</w:t>
      </w:r>
    </w:p>
    <w:p w14:paraId="76C80403" w14:textId="57619DE3" w:rsidR="00C56D18" w:rsidRDefault="00C56D18" w:rsidP="00C56D18">
      <w:pPr>
        <w:pStyle w:val="NumberLevel1"/>
      </w:pPr>
      <w:r>
        <w:t>Where an entity accessing BOI is not subject to other restrictions on their handling of any personal information (e.g. the APPs if an APP entity), imposing conditions would be a proportionate measure to protect the privacy of beneficial owners.</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C56D18" w:rsidRPr="004B51FC" w14:paraId="1AB429F1" w14:textId="77777777" w:rsidTr="00E276BE">
        <w:trPr>
          <w:trHeight w:val="332"/>
        </w:trPr>
        <w:tc>
          <w:tcPr>
            <w:tcW w:w="8222" w:type="dxa"/>
            <w:gridSpan w:val="2"/>
            <w:tcBorders>
              <w:top w:val="single" w:sz="12" w:space="0" w:color="000000" w:themeColor="text1"/>
              <w:bottom w:val="single" w:sz="12" w:space="0" w:color="204558"/>
            </w:tcBorders>
            <w:shd w:val="clear" w:color="auto" w:fill="C4DDEA"/>
          </w:tcPr>
          <w:p w14:paraId="1EAE2AFF" w14:textId="3F28CF7F" w:rsidR="00C56D18" w:rsidRPr="004B51FC" w:rsidRDefault="00DE4139" w:rsidP="00DE4139">
            <w:pPr>
              <w:pStyle w:val="TableHeading2"/>
              <w:spacing w:before="200" w:after="120"/>
            </w:pPr>
            <w:bookmarkStart w:id="111" w:name="Recommendation2" w:colFirst="0" w:colLast="1"/>
            <w:r>
              <w:t xml:space="preserve">Recommendation 2 </w:t>
            </w:r>
            <w:r w:rsidR="00C56D18">
              <w:t>– Impose conditions on access to BOI</w:t>
            </w:r>
          </w:p>
        </w:tc>
      </w:tr>
      <w:tr w:rsidR="0065241F" w:rsidRPr="00C56D18" w14:paraId="751397AB" w14:textId="77777777" w:rsidTr="008F368F">
        <w:trPr>
          <w:trHeight w:val="332"/>
        </w:trPr>
        <w:tc>
          <w:tcPr>
            <w:tcW w:w="8222" w:type="dxa"/>
            <w:gridSpan w:val="2"/>
            <w:tcBorders>
              <w:top w:val="single" w:sz="12" w:space="0" w:color="204558"/>
              <w:bottom w:val="single" w:sz="12" w:space="0" w:color="204558"/>
            </w:tcBorders>
            <w:shd w:val="clear" w:color="auto" w:fill="DEEAF6" w:themeFill="accent5" w:themeFillTint="33"/>
          </w:tcPr>
          <w:p w14:paraId="766AAA49" w14:textId="77DCE032" w:rsidR="0065241F" w:rsidRPr="0065241F" w:rsidRDefault="0065241F" w:rsidP="008F368F">
            <w:pPr>
              <w:pStyle w:val="TableHeading2"/>
              <w:spacing w:before="120" w:after="120"/>
              <w:rPr>
                <w:noProof/>
                <w:color w:val="2B579A"/>
                <w:shd w:val="clear" w:color="auto" w:fill="E6E6E6"/>
              </w:rPr>
            </w:pPr>
            <w:r>
              <w:t xml:space="preserve">Issue: </w:t>
            </w:r>
            <w:r>
              <w:rPr>
                <w:b w:val="0"/>
              </w:rPr>
              <w:t xml:space="preserve">Interference with privacy </w:t>
            </w:r>
            <w:r w:rsidRPr="00C56D18">
              <w:rPr>
                <w:b w:val="0"/>
              </w:rPr>
              <w:t xml:space="preserve">may occur if individuals or groups that access BOI </w:t>
            </w:r>
            <w:r>
              <w:rPr>
                <w:b w:val="0"/>
              </w:rPr>
              <w:t xml:space="preserve">for a legitimate purpose </w:t>
            </w:r>
            <w:r w:rsidRPr="00C56D18">
              <w:rPr>
                <w:b w:val="0"/>
              </w:rPr>
              <w:t xml:space="preserve">use or disclose the data for </w:t>
            </w:r>
            <w:r>
              <w:rPr>
                <w:b w:val="0"/>
              </w:rPr>
              <w:t xml:space="preserve">a </w:t>
            </w:r>
            <w:r w:rsidRPr="00C56D18">
              <w:rPr>
                <w:b w:val="0"/>
              </w:rPr>
              <w:t xml:space="preserve">different purpose. </w:t>
            </w:r>
          </w:p>
        </w:tc>
      </w:tr>
      <w:tr w:rsidR="0065241F" w:rsidRPr="00B36B53" w14:paraId="22EFEBFE" w14:textId="77777777" w:rsidTr="0065241F">
        <w:trPr>
          <w:trHeight w:val="332"/>
        </w:trPr>
        <w:tc>
          <w:tcPr>
            <w:tcW w:w="8222" w:type="dxa"/>
            <w:gridSpan w:val="2"/>
            <w:tcBorders>
              <w:top w:val="single" w:sz="12" w:space="0" w:color="204558"/>
              <w:bottom w:val="single" w:sz="12" w:space="0" w:color="204558"/>
            </w:tcBorders>
            <w:shd w:val="clear" w:color="auto" w:fill="EDF5F9"/>
          </w:tcPr>
          <w:p w14:paraId="1EE719A8" w14:textId="21142529" w:rsidR="00506714" w:rsidRDefault="0065241F" w:rsidP="005248A5">
            <w:pPr>
              <w:pStyle w:val="TableHeading2"/>
              <w:spacing w:before="120" w:after="120"/>
              <w:rPr>
                <w:b w:val="0"/>
              </w:rPr>
            </w:pPr>
            <w:r>
              <w:t xml:space="preserve">AGS Recommendation: </w:t>
            </w:r>
            <w:r>
              <w:rPr>
                <w:b w:val="0"/>
              </w:rPr>
              <w:t>The BO Policy</w:t>
            </w:r>
            <w:r w:rsidR="00506714">
              <w:rPr>
                <w:b w:val="0"/>
              </w:rPr>
              <w:t>:</w:t>
            </w:r>
          </w:p>
          <w:p w14:paraId="7CDDD5FE" w14:textId="696285B7" w:rsidR="00506714" w:rsidRPr="00B0403F" w:rsidRDefault="00506714" w:rsidP="00506714">
            <w:pPr>
              <w:pStyle w:val="TableHeading2"/>
              <w:numPr>
                <w:ilvl w:val="0"/>
                <w:numId w:val="69"/>
              </w:numPr>
              <w:spacing w:before="120" w:after="120"/>
              <w:rPr>
                <w:b w:val="0"/>
                <w:lang w:eastAsia="en-US"/>
              </w:rPr>
            </w:pPr>
            <w:r>
              <w:rPr>
                <w:b w:val="0"/>
                <w:lang w:eastAsia="en-US"/>
              </w:rPr>
              <w:t>r</w:t>
            </w:r>
            <w:r w:rsidRPr="00B0403F">
              <w:rPr>
                <w:b w:val="0"/>
                <w:lang w:eastAsia="en-US"/>
              </w:rPr>
              <w:t>equire</w:t>
            </w:r>
            <w:r>
              <w:rPr>
                <w:b w:val="0"/>
                <w:lang w:eastAsia="en-US"/>
              </w:rPr>
              <w:t xml:space="preserve"> access applicants in Stages 1 and/or 2 to declare the purposes for which they seek access, and require, as a condition of access, that they undertake to only use or disclose received BOI for the declared </w:t>
            </w:r>
            <w:proofErr w:type="gramStart"/>
            <w:r>
              <w:rPr>
                <w:b w:val="0"/>
                <w:lang w:eastAsia="en-US"/>
              </w:rPr>
              <w:t>purposes</w:t>
            </w:r>
            <w:proofErr w:type="gramEnd"/>
          </w:p>
          <w:p w14:paraId="4A00FCD2" w14:textId="43DB70A8" w:rsidR="0065241F" w:rsidRPr="00B36B53" w:rsidRDefault="0065241F" w:rsidP="00B0403F">
            <w:pPr>
              <w:pStyle w:val="TableHeading2"/>
              <w:numPr>
                <w:ilvl w:val="0"/>
                <w:numId w:val="69"/>
              </w:numPr>
              <w:spacing w:before="120" w:after="120"/>
              <w:rPr>
                <w:lang w:eastAsia="en-US"/>
              </w:rPr>
            </w:pPr>
            <w:r>
              <w:rPr>
                <w:b w:val="0"/>
              </w:rPr>
              <w:t xml:space="preserve">authorise the </w:t>
            </w:r>
            <w:r w:rsidR="00736B86">
              <w:rPr>
                <w:b w:val="0"/>
              </w:rPr>
              <w:t>RCA</w:t>
            </w:r>
            <w:r>
              <w:rPr>
                <w:b w:val="0"/>
              </w:rPr>
              <w:t xml:space="preserve"> to impose conditions on how persons who access data in the PCBOR may use or disclose the data.</w:t>
            </w:r>
          </w:p>
        </w:tc>
      </w:tr>
      <w:tr w:rsidR="00C56D18" w:rsidRPr="00B83500" w14:paraId="6DBF4FC1" w14:textId="77777777" w:rsidTr="004B4337">
        <w:trPr>
          <w:trHeight w:val="269"/>
        </w:trPr>
        <w:tc>
          <w:tcPr>
            <w:tcW w:w="1276" w:type="dxa"/>
            <w:tcBorders>
              <w:top w:val="single" w:sz="12" w:space="0" w:color="204558"/>
              <w:bottom w:val="single" w:sz="12" w:space="0" w:color="000000" w:themeColor="text1"/>
            </w:tcBorders>
            <w:shd w:val="clear" w:color="auto" w:fill="auto"/>
          </w:tcPr>
          <w:p w14:paraId="693D31BC" w14:textId="77777777" w:rsidR="00C56D18" w:rsidRPr="004B51FC" w:rsidRDefault="00C56D18" w:rsidP="00E276BE">
            <w:pPr>
              <w:pStyle w:val="NumberLevel1"/>
              <w:numPr>
                <w:ilvl w:val="0"/>
                <w:numId w:val="0"/>
              </w:numPr>
              <w:spacing w:before="120" w:after="120"/>
              <w:rPr>
                <w:b/>
              </w:rPr>
            </w:pPr>
            <w:r w:rsidRPr="004B51FC">
              <w:rPr>
                <w:b/>
              </w:rPr>
              <w:t>Response:</w:t>
            </w:r>
          </w:p>
        </w:tc>
        <w:tc>
          <w:tcPr>
            <w:tcW w:w="6946" w:type="dxa"/>
            <w:tcBorders>
              <w:top w:val="single" w:sz="12" w:space="0" w:color="204558"/>
              <w:bottom w:val="single" w:sz="12" w:space="0" w:color="1F3864" w:themeColor="accent1" w:themeShade="80"/>
            </w:tcBorders>
            <w:shd w:val="clear" w:color="auto" w:fill="auto"/>
          </w:tcPr>
          <w:p w14:paraId="6BA9D78E" w14:textId="77777777" w:rsidR="00C56D18" w:rsidRPr="00B83500" w:rsidRDefault="00C56D18" w:rsidP="00E276BE">
            <w:pPr>
              <w:pStyle w:val="TableHeading2"/>
              <w:spacing w:before="200" w:after="120"/>
              <w:rPr>
                <w:b w:val="0"/>
              </w:rPr>
            </w:pPr>
          </w:p>
        </w:tc>
      </w:tr>
    </w:tbl>
    <w:bookmarkEnd w:id="111"/>
    <w:p w14:paraId="3B4777AF" w14:textId="518DAC8C" w:rsidR="00E93F16" w:rsidRDefault="00E93F16" w:rsidP="00E93F16">
      <w:pPr>
        <w:pStyle w:val="Heading4"/>
      </w:pPr>
      <w:r>
        <w:t>Minimising ‘function creep’</w:t>
      </w:r>
    </w:p>
    <w:p w14:paraId="6CCDBD4E" w14:textId="10754674" w:rsidR="00A7765E" w:rsidRDefault="00C54F0E" w:rsidP="00B36B53">
      <w:pPr>
        <w:pStyle w:val="NumberLevel1"/>
        <w:spacing w:before="100" w:after="100"/>
      </w:pPr>
      <w:r>
        <w:t xml:space="preserve">Further, because of the </w:t>
      </w:r>
      <w:r w:rsidR="00A7765E">
        <w:t xml:space="preserve">significant </w:t>
      </w:r>
      <w:r w:rsidR="00E93F16">
        <w:t>volume</w:t>
      </w:r>
      <w:r w:rsidR="00A7765E">
        <w:t xml:space="preserve"> of </w:t>
      </w:r>
      <w:r w:rsidR="00E93F16">
        <w:t xml:space="preserve">new </w:t>
      </w:r>
      <w:r w:rsidR="00A7765E">
        <w:t xml:space="preserve">personal information </w:t>
      </w:r>
      <w:r w:rsidR="00E93F16">
        <w:t xml:space="preserve">the </w:t>
      </w:r>
      <w:r w:rsidR="00E62A06">
        <w:t>BO</w:t>
      </w:r>
      <w:r w:rsidR="004B4337">
        <w:t> </w:t>
      </w:r>
      <w:r w:rsidR="00E62A06">
        <w:t>Policy</w:t>
      </w:r>
      <w:r w:rsidR="00E93F16">
        <w:t xml:space="preserve"> will cause in-scope entities and government to collect, </w:t>
      </w:r>
      <w:r w:rsidR="00A7765E">
        <w:t>we think it is important to take precautions at an early stage to reduce the risk of</w:t>
      </w:r>
      <w:r w:rsidR="00E93F16">
        <w:t xml:space="preserve"> expansion of the policy to collect additional </w:t>
      </w:r>
      <w:r w:rsidR="00A7765E">
        <w:t xml:space="preserve">personal </w:t>
      </w:r>
      <w:proofErr w:type="gramStart"/>
      <w:r w:rsidR="00A7765E">
        <w:t>information</w:t>
      </w:r>
      <w:r w:rsidR="00E93F16">
        <w:t>, or</w:t>
      </w:r>
      <w:proofErr w:type="gramEnd"/>
      <w:r w:rsidR="00E93F16">
        <w:t xml:space="preserve"> permit the use or disclosure of BOI </w:t>
      </w:r>
      <w:r w:rsidR="00A7765E">
        <w:t xml:space="preserve">for unanticipated future </w:t>
      </w:r>
      <w:r w:rsidR="00E93F16">
        <w:t>purposes</w:t>
      </w:r>
      <w:r w:rsidR="00A7765E">
        <w:t xml:space="preserve">. </w:t>
      </w:r>
    </w:p>
    <w:p w14:paraId="45888334" w14:textId="4EDF351C" w:rsidR="00A7765E" w:rsidRDefault="00A7765E" w:rsidP="00B36B53">
      <w:pPr>
        <w:pStyle w:val="NumberLevel1"/>
        <w:spacing w:before="100" w:after="100"/>
      </w:pPr>
      <w:r>
        <w:t xml:space="preserve">To the greatest extent possible, we consider that </w:t>
      </w:r>
      <w:r w:rsidR="00E93F16">
        <w:t xml:space="preserve">Treasury should set out </w:t>
      </w:r>
      <w:r>
        <w:t xml:space="preserve">several aspects of the </w:t>
      </w:r>
      <w:r w:rsidR="00E62A06">
        <w:t>BO Policy</w:t>
      </w:r>
      <w:r>
        <w:t xml:space="preserve"> in </w:t>
      </w:r>
      <w:r w:rsidR="00170C47">
        <w:t>primary legislation</w:t>
      </w:r>
      <w:r>
        <w:t xml:space="preserve">, rather than delegated legislation. This is because delegated legislation is more easily updated, subject to less oversight by </w:t>
      </w:r>
      <w:r w:rsidR="00826983">
        <w:t xml:space="preserve">the </w:t>
      </w:r>
      <w:r>
        <w:t xml:space="preserve">Parliament, and changes to delegated legislation may be subject to less scrutiny by the public. </w:t>
      </w:r>
    </w:p>
    <w:p w14:paraId="2CFC0FEB" w14:textId="4C04A46F" w:rsidR="00912A88" w:rsidRDefault="00A7765E" w:rsidP="00B36B53">
      <w:pPr>
        <w:pStyle w:val="NumberLevel1"/>
        <w:spacing w:before="100" w:after="100"/>
      </w:pPr>
      <w:r>
        <w:t xml:space="preserve">Aspects of the </w:t>
      </w:r>
      <w:r w:rsidR="00E62A06">
        <w:t>BO Policy</w:t>
      </w:r>
      <w:r>
        <w:t xml:space="preserve"> </w:t>
      </w:r>
      <w:r w:rsidR="00E93F16">
        <w:t xml:space="preserve">that Treasury should </w:t>
      </w:r>
      <w:r w:rsidR="00912A88">
        <w:t>set out</w:t>
      </w:r>
      <w:r>
        <w:t xml:space="preserve"> in</w:t>
      </w:r>
      <w:r w:rsidR="00912A88">
        <w:t xml:space="preserve"> </w:t>
      </w:r>
      <w:r w:rsidR="00170C47">
        <w:t>primary legislation</w:t>
      </w:r>
      <w:r w:rsidR="00912A88">
        <w:t xml:space="preserve"> </w:t>
      </w:r>
      <w:r w:rsidR="00B36B53">
        <w:t>are set out in Recommendation</w:t>
      </w:r>
      <w:r w:rsidR="0065241F">
        <w:t xml:space="preserve"> 3 below.</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912A88" w:rsidRPr="004B51FC" w14:paraId="01CA732B" w14:textId="77777777" w:rsidTr="004B4337">
        <w:trPr>
          <w:trHeight w:val="332"/>
          <w:tblHeader/>
        </w:trPr>
        <w:tc>
          <w:tcPr>
            <w:tcW w:w="8222" w:type="dxa"/>
            <w:gridSpan w:val="2"/>
            <w:tcBorders>
              <w:top w:val="single" w:sz="12" w:space="0" w:color="000000" w:themeColor="text1"/>
              <w:bottom w:val="single" w:sz="12" w:space="0" w:color="204558"/>
            </w:tcBorders>
            <w:shd w:val="clear" w:color="auto" w:fill="C4DDEA"/>
          </w:tcPr>
          <w:p w14:paraId="6E064679" w14:textId="176F0FFC" w:rsidR="00912A88" w:rsidRPr="004B51FC" w:rsidRDefault="00DE4139" w:rsidP="00DE4139">
            <w:pPr>
              <w:pStyle w:val="TableHeading2"/>
              <w:keepNext w:val="0"/>
              <w:keepLines w:val="0"/>
              <w:spacing w:before="200" w:after="120"/>
            </w:pPr>
            <w:bookmarkStart w:id="112" w:name="Recommendation3" w:colFirst="0" w:colLast="1"/>
            <w:r>
              <w:t>Recommendation 3</w:t>
            </w:r>
            <w:r w:rsidR="0033212A">
              <w:t xml:space="preserve"> </w:t>
            </w:r>
            <w:r w:rsidR="00912A88">
              <w:t xml:space="preserve">– </w:t>
            </w:r>
            <w:r w:rsidR="00E93F16">
              <w:t xml:space="preserve">Prescribe details </w:t>
            </w:r>
            <w:r w:rsidR="00912A88">
              <w:t xml:space="preserve">of the </w:t>
            </w:r>
            <w:r w:rsidR="00E62A06">
              <w:t>BO Policy</w:t>
            </w:r>
            <w:r w:rsidR="00912A88">
              <w:t xml:space="preserve"> in </w:t>
            </w:r>
            <w:r w:rsidR="00170C47">
              <w:t>primary legislation</w:t>
            </w:r>
          </w:p>
        </w:tc>
      </w:tr>
      <w:tr w:rsidR="0065241F" w:rsidRPr="004B51FC" w14:paraId="2533EB03" w14:textId="77777777" w:rsidTr="008F368F">
        <w:trPr>
          <w:trHeight w:val="332"/>
        </w:trPr>
        <w:tc>
          <w:tcPr>
            <w:tcW w:w="8222" w:type="dxa"/>
            <w:gridSpan w:val="2"/>
            <w:tcBorders>
              <w:top w:val="single" w:sz="12" w:space="0" w:color="204558"/>
              <w:bottom w:val="single" w:sz="12" w:space="0" w:color="204558"/>
            </w:tcBorders>
            <w:shd w:val="clear" w:color="auto" w:fill="DEEAF6" w:themeFill="accent5" w:themeFillTint="33"/>
          </w:tcPr>
          <w:p w14:paraId="66494DA0" w14:textId="1E83846E" w:rsidR="0065241F" w:rsidRPr="00B36B53" w:rsidRDefault="0065241F" w:rsidP="00843D14">
            <w:pPr>
              <w:pStyle w:val="TableHeading2"/>
              <w:keepNext w:val="0"/>
              <w:keepLines w:val="0"/>
              <w:spacing w:before="120" w:after="120"/>
              <w:rPr>
                <w:b w:val="0"/>
              </w:rPr>
            </w:pPr>
            <w:r>
              <w:t xml:space="preserve">Issue: </w:t>
            </w:r>
            <w:r w:rsidRPr="00843D14">
              <w:rPr>
                <w:b w:val="0"/>
              </w:rPr>
              <w:t xml:space="preserve">Prescribing the detail of the BO Policy in delegated legislation risks later ‘function creep’, i.e. expansion of the policy to collect additional personal </w:t>
            </w:r>
            <w:proofErr w:type="gramStart"/>
            <w:r w:rsidRPr="00843D14">
              <w:rPr>
                <w:b w:val="0"/>
              </w:rPr>
              <w:t>information, or</w:t>
            </w:r>
            <w:proofErr w:type="gramEnd"/>
            <w:r w:rsidRPr="00843D14">
              <w:rPr>
                <w:b w:val="0"/>
              </w:rPr>
              <w:t xml:space="preserve"> permit the use/disclosure of BOI for unanticipated purposes.</w:t>
            </w:r>
            <w:r>
              <w:t xml:space="preserve"> </w:t>
            </w:r>
          </w:p>
        </w:tc>
      </w:tr>
      <w:tr w:rsidR="0065241F" w:rsidRPr="004B51FC" w14:paraId="612FECEE" w14:textId="77777777" w:rsidTr="0065241F">
        <w:trPr>
          <w:trHeight w:val="332"/>
        </w:trPr>
        <w:tc>
          <w:tcPr>
            <w:tcW w:w="8222" w:type="dxa"/>
            <w:gridSpan w:val="2"/>
            <w:tcBorders>
              <w:top w:val="single" w:sz="12" w:space="0" w:color="204558"/>
              <w:bottom w:val="single" w:sz="12" w:space="0" w:color="204558"/>
            </w:tcBorders>
            <w:shd w:val="clear" w:color="auto" w:fill="EDF5F9"/>
          </w:tcPr>
          <w:p w14:paraId="137831FD" w14:textId="1AC500F4" w:rsidR="0065241F" w:rsidRDefault="0065241F" w:rsidP="00843D14">
            <w:pPr>
              <w:pStyle w:val="TableHeading2"/>
              <w:keepNext w:val="0"/>
              <w:keepLines w:val="0"/>
              <w:spacing w:before="120" w:after="60"/>
              <w:rPr>
                <w:b w:val="0"/>
              </w:rPr>
            </w:pPr>
            <w:r>
              <w:t xml:space="preserve">AGS </w:t>
            </w:r>
            <w:r w:rsidRPr="0065241F">
              <w:t>recommendation</w:t>
            </w:r>
            <w:r>
              <w:rPr>
                <w:b w:val="0"/>
              </w:rPr>
              <w:t xml:space="preserve">: </w:t>
            </w:r>
            <w:r w:rsidRPr="0065241F">
              <w:rPr>
                <w:b w:val="0"/>
              </w:rPr>
              <w:t>Treasury</w:t>
            </w:r>
            <w:r>
              <w:rPr>
                <w:b w:val="0"/>
              </w:rPr>
              <w:t xml:space="preserve"> prescribe the core elements of the BO Policy in </w:t>
            </w:r>
            <w:r w:rsidR="00170C47">
              <w:rPr>
                <w:b w:val="0"/>
              </w:rPr>
              <w:t>primary legislation</w:t>
            </w:r>
            <w:r>
              <w:rPr>
                <w:b w:val="0"/>
              </w:rPr>
              <w:t>, including:</w:t>
            </w:r>
          </w:p>
          <w:p w14:paraId="5D0234DB" w14:textId="77777777" w:rsidR="0065241F" w:rsidRDefault="0065241F" w:rsidP="00804008">
            <w:pPr>
              <w:pStyle w:val="NumberLevel2"/>
              <w:numPr>
                <w:ilvl w:val="0"/>
                <w:numId w:val="46"/>
              </w:numPr>
              <w:spacing w:before="60" w:after="60"/>
            </w:pPr>
            <w:r>
              <w:t xml:space="preserve">the types of </w:t>
            </w:r>
            <w:proofErr w:type="gramStart"/>
            <w:r>
              <w:t>BOI</w:t>
            </w:r>
            <w:proofErr w:type="gramEnd"/>
            <w:r>
              <w:t>,</w:t>
            </w:r>
          </w:p>
          <w:p w14:paraId="38B29E75" w14:textId="77777777" w:rsidR="0065241F" w:rsidRDefault="0065241F" w:rsidP="00804008">
            <w:pPr>
              <w:pStyle w:val="NumberLevel2"/>
              <w:numPr>
                <w:ilvl w:val="0"/>
                <w:numId w:val="46"/>
              </w:numPr>
              <w:spacing w:before="60" w:after="60"/>
            </w:pPr>
            <w:r>
              <w:t>the law enforcement agencies and regulators who will have unlimited access to BOI,</w:t>
            </w:r>
          </w:p>
          <w:p w14:paraId="3775D3BC" w14:textId="77777777" w:rsidR="0065241F" w:rsidRDefault="0065241F" w:rsidP="00804008">
            <w:pPr>
              <w:pStyle w:val="NumberLevel2"/>
              <w:numPr>
                <w:ilvl w:val="0"/>
                <w:numId w:val="46"/>
              </w:numPr>
              <w:spacing w:before="60" w:after="60"/>
            </w:pPr>
            <w:r>
              <w:t xml:space="preserve">the purposes for which law enforcement agencies and regulators can seek unlimited access to </w:t>
            </w:r>
            <w:proofErr w:type="gramStart"/>
            <w:r>
              <w:t>BOI</w:t>
            </w:r>
            <w:proofErr w:type="gramEnd"/>
          </w:p>
          <w:p w14:paraId="3E4895FC" w14:textId="77777777" w:rsidR="0065241F" w:rsidRDefault="0065241F" w:rsidP="00804008">
            <w:pPr>
              <w:pStyle w:val="NumberLevel2"/>
              <w:numPr>
                <w:ilvl w:val="0"/>
                <w:numId w:val="46"/>
              </w:numPr>
              <w:spacing w:before="60" w:after="60"/>
            </w:pPr>
            <w:r>
              <w:t>the scope of ASIC’s enforcement powers,</w:t>
            </w:r>
          </w:p>
          <w:p w14:paraId="7172EE61" w14:textId="17D2B950" w:rsidR="0065241F" w:rsidRPr="00B36B53" w:rsidRDefault="00A75B0C" w:rsidP="00804008">
            <w:pPr>
              <w:pStyle w:val="TablePlainParagraph"/>
              <w:numPr>
                <w:ilvl w:val="0"/>
                <w:numId w:val="46"/>
              </w:numPr>
              <w:spacing w:after="120"/>
            </w:pPr>
            <w:r>
              <w:t xml:space="preserve">the </w:t>
            </w:r>
            <w:r w:rsidR="0065241F">
              <w:t>reasons for which a person seeking to access BOR may have a</w:t>
            </w:r>
            <w:r>
              <w:t>n</w:t>
            </w:r>
            <w:r w:rsidR="0065241F">
              <w:t xml:space="preserve"> ‘</w:t>
            </w:r>
            <w:r>
              <w:t>improper purpose</w:t>
            </w:r>
            <w:r w:rsidR="0065241F">
              <w:t>’.</w:t>
            </w:r>
          </w:p>
        </w:tc>
      </w:tr>
      <w:tr w:rsidR="00912A88" w:rsidRPr="00B83500" w14:paraId="632F1EB9" w14:textId="77777777" w:rsidTr="001C2531">
        <w:trPr>
          <w:trHeight w:val="269"/>
        </w:trPr>
        <w:tc>
          <w:tcPr>
            <w:tcW w:w="1276" w:type="dxa"/>
            <w:tcBorders>
              <w:top w:val="single" w:sz="12" w:space="0" w:color="204558"/>
              <w:bottom w:val="single" w:sz="12" w:space="0" w:color="000000" w:themeColor="text1"/>
            </w:tcBorders>
            <w:shd w:val="clear" w:color="auto" w:fill="auto"/>
          </w:tcPr>
          <w:p w14:paraId="06A163AC" w14:textId="77777777" w:rsidR="00912A88" w:rsidRPr="004B51FC" w:rsidRDefault="00912A88" w:rsidP="00B36B53">
            <w:pPr>
              <w:pStyle w:val="NumberLevel1"/>
              <w:numPr>
                <w:ilvl w:val="0"/>
                <w:numId w:val="0"/>
              </w:numPr>
              <w:spacing w:before="120" w:after="120"/>
              <w:rPr>
                <w:b/>
              </w:rPr>
            </w:pPr>
            <w:r w:rsidRPr="004B51FC">
              <w:rPr>
                <w:b/>
              </w:rPr>
              <w:t>Response:</w:t>
            </w:r>
          </w:p>
        </w:tc>
        <w:tc>
          <w:tcPr>
            <w:tcW w:w="6946" w:type="dxa"/>
            <w:tcBorders>
              <w:top w:val="single" w:sz="12" w:space="0" w:color="204558"/>
              <w:bottom w:val="single" w:sz="12" w:space="0" w:color="000000" w:themeColor="text1"/>
            </w:tcBorders>
            <w:shd w:val="clear" w:color="auto" w:fill="auto"/>
          </w:tcPr>
          <w:p w14:paraId="78795E99" w14:textId="77777777" w:rsidR="00912A88" w:rsidRPr="00B83500" w:rsidRDefault="00912A88" w:rsidP="00843D14">
            <w:pPr>
              <w:pStyle w:val="TableHeading2"/>
              <w:keepNext w:val="0"/>
              <w:keepLines w:val="0"/>
              <w:spacing w:before="200" w:after="120"/>
              <w:rPr>
                <w:b w:val="0"/>
              </w:rPr>
            </w:pPr>
          </w:p>
        </w:tc>
      </w:tr>
    </w:tbl>
    <w:p w14:paraId="3BEE7B72" w14:textId="59F73C40" w:rsidR="00B776DA" w:rsidRPr="00933F16" w:rsidRDefault="00B776DA" w:rsidP="000A52BB">
      <w:pPr>
        <w:pStyle w:val="Heading2"/>
      </w:pPr>
      <w:bookmarkStart w:id="113" w:name="_Toc168942756"/>
      <w:bookmarkEnd w:id="112"/>
      <w:r>
        <w:t>APP 1 – Open and transparent handling of personal information</w:t>
      </w:r>
      <w:bookmarkEnd w:id="113"/>
    </w:p>
    <w:p w14:paraId="47029EB4" w14:textId="77777777" w:rsidR="00B776DA" w:rsidRDefault="00B776DA" w:rsidP="00B776DA">
      <w:pPr>
        <w:pStyle w:val="NumberLevel1"/>
      </w:pPr>
      <w:r>
        <w:t>The declared object of APP 1.1 is ‘to ensure that APP entities manage personal information in an open and transparent way’. As the APP Guidelines recognise, management of personal information in this way not only increases accountability but can build community trust and confidence in those practices.</w:t>
      </w:r>
      <w:r>
        <w:rPr>
          <w:rStyle w:val="FootnoteReference"/>
        </w:rPr>
        <w:footnoteReference w:id="40"/>
      </w:r>
    </w:p>
    <w:p w14:paraId="4A8F3482" w14:textId="77777777" w:rsidR="00B776DA" w:rsidRDefault="00B776DA" w:rsidP="00B776DA">
      <w:pPr>
        <w:pStyle w:val="Heading3"/>
      </w:pPr>
      <w:r>
        <w:t>APP 1.2 – Privacy Code</w:t>
      </w:r>
    </w:p>
    <w:p w14:paraId="72DE4640" w14:textId="77777777" w:rsidR="00B776DA" w:rsidRPr="00340E76" w:rsidRDefault="00B776DA" w:rsidP="00B776DA">
      <w:pPr>
        <w:pStyle w:val="NumberLevel1"/>
        <w:spacing w:before="100" w:after="100"/>
        <w:rPr>
          <w:color w:val="000000" w:themeColor="text1"/>
        </w:rPr>
      </w:pPr>
      <w:r w:rsidRPr="00340E76">
        <w:rPr>
          <w:color w:val="000000" w:themeColor="text1"/>
        </w:rPr>
        <w:t xml:space="preserve">APP 1.2 relevantly requires the implementation of practices, </w:t>
      </w:r>
      <w:proofErr w:type="gramStart"/>
      <w:r w:rsidRPr="00340E76">
        <w:rPr>
          <w:color w:val="000000" w:themeColor="text1"/>
        </w:rPr>
        <w:t>procedures</w:t>
      </w:r>
      <w:proofErr w:type="gramEnd"/>
      <w:r w:rsidRPr="00340E76">
        <w:rPr>
          <w:color w:val="000000" w:themeColor="text1"/>
        </w:rPr>
        <w:t xml:space="preserve"> and systems to ensure compliance with the APPs and any registered APP Code. Relevant to</w:t>
      </w:r>
      <w:r>
        <w:rPr>
          <w:color w:val="000000" w:themeColor="text1"/>
        </w:rPr>
        <w:t xml:space="preserve"> Treasury</w:t>
      </w:r>
      <w:r w:rsidRPr="00340E76">
        <w:rPr>
          <w:color w:val="000000" w:themeColor="text1"/>
        </w:rPr>
        <w:t xml:space="preserve">, it must satisfy the requirements of Part 2 to 4 of the Privacy Code </w:t>
      </w:r>
      <w:proofErr w:type="gramStart"/>
      <w:r w:rsidRPr="00340E76">
        <w:rPr>
          <w:color w:val="000000" w:themeColor="text1"/>
        </w:rPr>
        <w:t>in order to</w:t>
      </w:r>
      <w:proofErr w:type="gramEnd"/>
      <w:r w:rsidRPr="00340E76">
        <w:rPr>
          <w:color w:val="000000" w:themeColor="text1"/>
        </w:rPr>
        <w:t xml:space="preserve"> meet APP 1.2: see s 8 of the Privacy Code. </w:t>
      </w:r>
    </w:p>
    <w:p w14:paraId="5439FC16" w14:textId="77777777" w:rsidR="00B776DA" w:rsidRDefault="00B776DA" w:rsidP="00B776DA">
      <w:pPr>
        <w:pStyle w:val="NumberLevel1"/>
        <w:spacing w:before="100" w:after="100"/>
        <w:rPr>
          <w:color w:val="000000" w:themeColor="text1"/>
        </w:rPr>
      </w:pPr>
      <w:r w:rsidRPr="00340E76">
        <w:rPr>
          <w:color w:val="000000" w:themeColor="text1"/>
        </w:rPr>
        <w:t>Part 3 of the Privacy Code includes the requirement in s 12(1) to conduct a PIA for all ‘high risk’ projects. This term is defined in s 12(2) to encompass any changed or new way of handling personal information that are likely to have a significant impact on the privacy of individuals.</w:t>
      </w:r>
    </w:p>
    <w:p w14:paraId="4F88B521" w14:textId="77777777" w:rsidR="00B776DA" w:rsidRPr="00066870" w:rsidRDefault="00B776DA" w:rsidP="00B776DA">
      <w:pPr>
        <w:pStyle w:val="NumberLevel1"/>
        <w:rPr>
          <w:b/>
        </w:rPr>
      </w:pPr>
      <w:r>
        <w:t xml:space="preserve">Implementation of the BO Policy is a ‘high risk’ project. In-scope companies will be required to collect and record a significant amount of BOI, most of which is personal information. This new collection of personal information is likely to have a significant impact on individuals’ privacy as beneficial owners’ BOI will be accessible to regulators, enforcement agencies, and at a minimum, sections of the public. </w:t>
      </w:r>
    </w:p>
    <w:p w14:paraId="4A99845C" w14:textId="77777777" w:rsidR="00B776DA" w:rsidRPr="000C377C" w:rsidRDefault="00B776DA" w:rsidP="00B776DA">
      <w:pPr>
        <w:pStyle w:val="NumberLevel1"/>
        <w:rPr>
          <w:b/>
        </w:rPr>
      </w:pPr>
      <w:r>
        <w:t>Conducting a PIA ensures that the BO Policy is implemented using a privacy by design approach. This process includes a thorough review of the BO Policy and development of recommendations to safeguard personal privacy.</w:t>
      </w:r>
    </w:p>
    <w:p w14:paraId="7E77A14C" w14:textId="77777777" w:rsidR="00B776DA" w:rsidRPr="00BA1717" w:rsidRDefault="00B776DA" w:rsidP="00B776DA">
      <w:pPr>
        <w:pStyle w:val="NumberLevel1"/>
        <w:spacing w:before="120" w:after="120"/>
      </w:pPr>
      <w:r w:rsidRPr="00BA1717">
        <w:t>In conformity with s 15 of the Privacy Code, this PIA must be listed in the register of PIAs kept by Treasury.</w:t>
      </w:r>
    </w:p>
    <w:p w14:paraId="4E73E5AE" w14:textId="77777777" w:rsidR="00B776DA" w:rsidRPr="00BA1717" w:rsidRDefault="00B776DA" w:rsidP="00B776DA">
      <w:pPr>
        <w:pStyle w:val="NumberLevel1"/>
        <w:spacing w:before="120" w:after="120"/>
      </w:pPr>
      <w:r w:rsidRPr="00BA1717">
        <w:t>Optionally, Treasury may wish to publish this PIA, or a summary version or edited copy, on its website or otherwise make it available on request: see s 13 of the Privacy Code.</w:t>
      </w:r>
    </w:p>
    <w:p w14:paraId="4F3F34D4" w14:textId="77777777" w:rsidR="00B776DA" w:rsidRDefault="00B776DA" w:rsidP="00B776DA">
      <w:pPr>
        <w:pStyle w:val="Heading3"/>
      </w:pPr>
      <w:r>
        <w:t xml:space="preserve">APP 1.3 – Privacy Policy </w:t>
      </w:r>
    </w:p>
    <w:p w14:paraId="46DA8314" w14:textId="14CFBE29" w:rsidR="00B776DA" w:rsidRPr="00261656" w:rsidRDefault="00B776DA" w:rsidP="00B776DA">
      <w:pPr>
        <w:pStyle w:val="NumberLevel1"/>
        <w:rPr>
          <w:b/>
        </w:rPr>
      </w:pPr>
      <w:r>
        <w:t>In-scope companies, as APP entities, must have a clearly express</w:t>
      </w:r>
      <w:r w:rsidR="00FC6BB1">
        <w:t>ed</w:t>
      </w:r>
      <w:r>
        <w:t xml:space="preserve"> and up-to-date privacy policy. Privacy policies must contain the information detailed in APP 1.4:</w:t>
      </w:r>
    </w:p>
    <w:tbl>
      <w:tblPr>
        <w:tblStyle w:val="TableGrid"/>
        <w:tblW w:w="8237" w:type="dxa"/>
        <w:tblInd w:w="-15" w:type="dxa"/>
        <w:tblBorders>
          <w:top w:val="none" w:sz="0" w:space="0" w:color="auto"/>
          <w:left w:val="none" w:sz="0" w:space="0" w:color="auto"/>
          <w:bottom w:val="none" w:sz="0" w:space="0" w:color="auto"/>
          <w:right w:val="none" w:sz="0" w:space="0" w:color="auto"/>
          <w:insideH w:val="single" w:sz="12" w:space="0" w:color="000000" w:themeColor="text1"/>
          <w:insideV w:val="single" w:sz="12" w:space="0" w:color="000000" w:themeColor="text1"/>
        </w:tblBorders>
        <w:tblLook w:val="04A0" w:firstRow="1" w:lastRow="0" w:firstColumn="1" w:lastColumn="0" w:noHBand="0" w:noVBand="1"/>
      </w:tblPr>
      <w:tblGrid>
        <w:gridCol w:w="1433"/>
        <w:gridCol w:w="6804"/>
      </w:tblGrid>
      <w:tr w:rsidR="00025931" w:rsidRPr="001D141B" w14:paraId="1712D27D" w14:textId="77777777" w:rsidTr="00495597">
        <w:trPr>
          <w:cantSplit/>
          <w:tblHeader/>
        </w:trPr>
        <w:tc>
          <w:tcPr>
            <w:tcW w:w="1433" w:type="dxa"/>
            <w:shd w:val="clear" w:color="auto" w:fill="C4DDEA"/>
            <w:hideMark/>
          </w:tcPr>
          <w:p w14:paraId="47E37CD8" w14:textId="77777777" w:rsidR="00B776DA" w:rsidRPr="00DF0998" w:rsidRDefault="00B776DA" w:rsidP="00495597">
            <w:pPr>
              <w:pStyle w:val="TableHeading2"/>
            </w:pPr>
            <w:r w:rsidRPr="00DF0998">
              <w:t>Para</w:t>
            </w:r>
          </w:p>
        </w:tc>
        <w:tc>
          <w:tcPr>
            <w:tcW w:w="6804" w:type="dxa"/>
            <w:shd w:val="clear" w:color="auto" w:fill="C4DDEA"/>
            <w:hideMark/>
          </w:tcPr>
          <w:p w14:paraId="7D39377E" w14:textId="77777777" w:rsidR="00B776DA" w:rsidRPr="00DF0998" w:rsidRDefault="00B776DA" w:rsidP="00495597">
            <w:pPr>
              <w:pStyle w:val="TableHeading2"/>
            </w:pPr>
            <w:r w:rsidRPr="00DF0998">
              <w:t>Requirement</w:t>
            </w:r>
          </w:p>
        </w:tc>
      </w:tr>
      <w:tr w:rsidR="00D96B2A" w:rsidRPr="001D141B" w14:paraId="00C769FE" w14:textId="77777777" w:rsidTr="00495597">
        <w:trPr>
          <w:cantSplit/>
        </w:trPr>
        <w:tc>
          <w:tcPr>
            <w:tcW w:w="1433" w:type="dxa"/>
            <w:vAlign w:val="top"/>
            <w:hideMark/>
          </w:tcPr>
          <w:p w14:paraId="4821C6AC" w14:textId="77777777" w:rsidR="00B776DA" w:rsidRPr="00DF0998" w:rsidRDefault="00B776DA" w:rsidP="00495597">
            <w:pPr>
              <w:pStyle w:val="TablePlainParagraph"/>
              <w:rPr>
                <w:b/>
              </w:rPr>
            </w:pPr>
            <w:r w:rsidRPr="00DF0998">
              <w:rPr>
                <w:b/>
              </w:rPr>
              <w:t>APP 1.4(a)</w:t>
            </w:r>
          </w:p>
        </w:tc>
        <w:tc>
          <w:tcPr>
            <w:tcW w:w="6804" w:type="dxa"/>
            <w:vAlign w:val="top"/>
            <w:hideMark/>
          </w:tcPr>
          <w:p w14:paraId="52CF9657" w14:textId="77777777" w:rsidR="00B776DA" w:rsidRPr="00DF0998" w:rsidRDefault="00B776DA" w:rsidP="00495597">
            <w:pPr>
              <w:pStyle w:val="TablePlainParagraph"/>
            </w:pPr>
            <w:r w:rsidRPr="00DF0998">
              <w:t>Kinds of personal information the entity collects and holds</w:t>
            </w:r>
          </w:p>
        </w:tc>
      </w:tr>
      <w:tr w:rsidR="00AB3401" w:rsidRPr="001D141B" w14:paraId="3F24F58E" w14:textId="77777777" w:rsidTr="00495597">
        <w:tc>
          <w:tcPr>
            <w:tcW w:w="1433" w:type="dxa"/>
            <w:vAlign w:val="top"/>
            <w:hideMark/>
          </w:tcPr>
          <w:p w14:paraId="7D39D557" w14:textId="77777777" w:rsidR="00B776DA" w:rsidRPr="00DF0998" w:rsidRDefault="00B776DA" w:rsidP="00495597">
            <w:pPr>
              <w:pStyle w:val="TablePlainParagraph"/>
            </w:pPr>
            <w:r w:rsidRPr="00DF0998">
              <w:rPr>
                <w:b/>
              </w:rPr>
              <w:t>APP 1.4(b)</w:t>
            </w:r>
          </w:p>
        </w:tc>
        <w:tc>
          <w:tcPr>
            <w:tcW w:w="6804" w:type="dxa"/>
            <w:vAlign w:val="top"/>
            <w:hideMark/>
          </w:tcPr>
          <w:p w14:paraId="2EBA60EB" w14:textId="77777777" w:rsidR="00B776DA" w:rsidRPr="00DF0998" w:rsidRDefault="00B776DA" w:rsidP="00495597">
            <w:pPr>
              <w:pStyle w:val="TablePlainParagraph"/>
            </w:pPr>
            <w:r w:rsidRPr="00DF0998">
              <w:t>How the entity collects and holds personal information</w:t>
            </w:r>
          </w:p>
        </w:tc>
      </w:tr>
      <w:tr w:rsidR="00AB3401" w:rsidRPr="001D141B" w14:paraId="05244D6B" w14:textId="77777777" w:rsidTr="00495597">
        <w:tc>
          <w:tcPr>
            <w:tcW w:w="1433" w:type="dxa"/>
            <w:vAlign w:val="top"/>
            <w:hideMark/>
          </w:tcPr>
          <w:p w14:paraId="07ED2ECB" w14:textId="77777777" w:rsidR="00B776DA" w:rsidRPr="00DF0998" w:rsidRDefault="00B776DA" w:rsidP="00495597">
            <w:pPr>
              <w:pStyle w:val="TablePlainParagraph"/>
              <w:rPr>
                <w:b/>
              </w:rPr>
            </w:pPr>
            <w:r w:rsidRPr="00DF0998">
              <w:rPr>
                <w:b/>
              </w:rPr>
              <w:t>APP 1.4(c)</w:t>
            </w:r>
          </w:p>
        </w:tc>
        <w:tc>
          <w:tcPr>
            <w:tcW w:w="6804" w:type="dxa"/>
            <w:vAlign w:val="top"/>
            <w:hideMark/>
          </w:tcPr>
          <w:p w14:paraId="3128CBEF" w14:textId="77777777" w:rsidR="00B776DA" w:rsidRPr="00DF0998" w:rsidRDefault="00B776DA" w:rsidP="00495597">
            <w:pPr>
              <w:pStyle w:val="TablePlainParagraph"/>
            </w:pPr>
            <w:r w:rsidRPr="00DF0998">
              <w:t xml:space="preserve">The purposes for which the entity collects, holds, </w:t>
            </w:r>
            <w:proofErr w:type="gramStart"/>
            <w:r w:rsidRPr="00DF0998">
              <w:t>uses</w:t>
            </w:r>
            <w:proofErr w:type="gramEnd"/>
            <w:r w:rsidRPr="00DF0998">
              <w:t xml:space="preserve"> and discloses personal information</w:t>
            </w:r>
          </w:p>
        </w:tc>
      </w:tr>
      <w:tr w:rsidR="00AB3401" w:rsidRPr="001D141B" w14:paraId="162BFF7B" w14:textId="77777777" w:rsidTr="00495597">
        <w:tc>
          <w:tcPr>
            <w:tcW w:w="1433" w:type="dxa"/>
            <w:vAlign w:val="top"/>
            <w:hideMark/>
          </w:tcPr>
          <w:p w14:paraId="5CBAC12F" w14:textId="77777777" w:rsidR="00B776DA" w:rsidRPr="00DF0998" w:rsidRDefault="00B776DA" w:rsidP="00495597">
            <w:pPr>
              <w:pStyle w:val="TablePlainParagraph"/>
              <w:rPr>
                <w:b/>
              </w:rPr>
            </w:pPr>
            <w:r w:rsidRPr="00DF0998">
              <w:rPr>
                <w:b/>
              </w:rPr>
              <w:t>APP 1.4(d)</w:t>
            </w:r>
            <w:r w:rsidRPr="00DF0998">
              <w:rPr>
                <w:b/>
              </w:rPr>
              <w:br/>
              <w:t>APP 1.4(e)</w:t>
            </w:r>
          </w:p>
        </w:tc>
        <w:tc>
          <w:tcPr>
            <w:tcW w:w="6804" w:type="dxa"/>
            <w:vAlign w:val="top"/>
            <w:hideMark/>
          </w:tcPr>
          <w:p w14:paraId="03921493" w14:textId="77777777" w:rsidR="00B776DA" w:rsidRPr="00DF0998" w:rsidRDefault="00B776DA" w:rsidP="00495597">
            <w:pPr>
              <w:pStyle w:val="TablePlainParagraph"/>
            </w:pPr>
            <w:r w:rsidRPr="00DF0998">
              <w:t>The APP entity’s privacy policy contains information about how to request access, correction or make a complaint.</w:t>
            </w:r>
          </w:p>
        </w:tc>
      </w:tr>
      <w:tr w:rsidR="00AB3401" w:rsidRPr="001D141B" w14:paraId="5DFE7F9E" w14:textId="77777777" w:rsidTr="00495597">
        <w:tc>
          <w:tcPr>
            <w:tcW w:w="1433" w:type="dxa"/>
            <w:vAlign w:val="top"/>
            <w:hideMark/>
          </w:tcPr>
          <w:p w14:paraId="30F4CE60" w14:textId="77777777" w:rsidR="00B776DA" w:rsidRPr="00DF0998" w:rsidRDefault="00B776DA" w:rsidP="00495597">
            <w:pPr>
              <w:pStyle w:val="TablePlainParagraph"/>
              <w:rPr>
                <w:b/>
              </w:rPr>
            </w:pPr>
            <w:r w:rsidRPr="00DF0998">
              <w:rPr>
                <w:b/>
              </w:rPr>
              <w:t>APP 1.4(f)</w:t>
            </w:r>
            <w:r w:rsidRPr="00DF0998">
              <w:rPr>
                <w:b/>
              </w:rPr>
              <w:br/>
              <w:t>APP 1.4(g)</w:t>
            </w:r>
          </w:p>
        </w:tc>
        <w:tc>
          <w:tcPr>
            <w:tcW w:w="6804" w:type="dxa"/>
            <w:vAlign w:val="top"/>
            <w:hideMark/>
          </w:tcPr>
          <w:p w14:paraId="3A9E17A9" w14:textId="77777777" w:rsidR="00B776DA" w:rsidRPr="00DF0998" w:rsidRDefault="00B776DA" w:rsidP="00495597">
            <w:pPr>
              <w:pStyle w:val="TablePlainParagraph"/>
            </w:pPr>
            <w:r w:rsidRPr="00DF0998">
              <w:t>Whether the APP entity is likely to disclose personal information to overseas recipients and the countries of such recipients.</w:t>
            </w:r>
          </w:p>
        </w:tc>
      </w:tr>
    </w:tbl>
    <w:p w14:paraId="0772A658" w14:textId="1A8D36C2" w:rsidR="00B776DA" w:rsidRDefault="00FC6BB1" w:rsidP="00B776DA">
      <w:pPr>
        <w:pStyle w:val="NumberLevel1"/>
        <w:rPr>
          <w:b/>
        </w:rPr>
      </w:pPr>
      <w:r>
        <w:t xml:space="preserve">APP entities </w:t>
      </w:r>
      <w:r w:rsidR="00B776DA">
        <w:t xml:space="preserve">must take reasonable steps to ensure their APP privacy policy is available free of charge and in such form as is appropriate: APP 1.5. </w:t>
      </w:r>
      <w:r>
        <w:t xml:space="preserve">APP entities </w:t>
      </w:r>
      <w:r w:rsidR="00B776DA">
        <w:t>must also take reasonable steps to provide their APP privacy policy to a person or body in a particular form if requested to do so: APP 1.6.</w:t>
      </w:r>
    </w:p>
    <w:p w14:paraId="54643E8E" w14:textId="77777777" w:rsidR="00B776DA" w:rsidRDefault="00B776DA" w:rsidP="00B776DA">
      <w:pPr>
        <w:pStyle w:val="Heading4"/>
      </w:pPr>
      <w:r>
        <w:t xml:space="preserve">Privacy policies, practices, </w:t>
      </w:r>
      <w:proofErr w:type="gramStart"/>
      <w:r>
        <w:t>procedures</w:t>
      </w:r>
      <w:proofErr w:type="gramEnd"/>
      <w:r>
        <w:t xml:space="preserve"> and systems for in-scope companies </w:t>
      </w:r>
    </w:p>
    <w:p w14:paraId="1130EC40" w14:textId="4D116A0B" w:rsidR="00B776DA" w:rsidRPr="00843D14" w:rsidRDefault="00B776DA" w:rsidP="00843D14">
      <w:pPr>
        <w:pStyle w:val="NumberLevel1"/>
        <w:rPr>
          <w:b/>
        </w:rPr>
      </w:pPr>
      <w:r>
        <w:t xml:space="preserve">In-scope companies who are APP entities </w:t>
      </w:r>
      <w:r w:rsidR="00843D14">
        <w:t xml:space="preserve">must </w:t>
      </w:r>
      <w:r>
        <w:t xml:space="preserve">comply with APP 1 when handling BOI. </w:t>
      </w:r>
      <w:r w:rsidR="00843D14">
        <w:t xml:space="preserve">This may require amending the in-scope company’s privacy policy </w:t>
      </w:r>
      <w:r>
        <w:t>to reflect the collection, storage</w:t>
      </w:r>
      <w:r w:rsidR="00843D14">
        <w:t>, use</w:t>
      </w:r>
      <w:r>
        <w:t xml:space="preserve"> and disclosure of BOI to conf</w:t>
      </w:r>
      <w:r w:rsidR="00843D14">
        <w:t>o</w:t>
      </w:r>
      <w:r>
        <w:t xml:space="preserve">rm with APPs 1.3 and 1.4. </w:t>
      </w:r>
    </w:p>
    <w:p w14:paraId="756E5785" w14:textId="44917B50" w:rsidR="00506714" w:rsidRPr="00B0403F" w:rsidRDefault="00B776DA" w:rsidP="00B776DA">
      <w:pPr>
        <w:pStyle w:val="NumberLevel1"/>
        <w:rPr>
          <w:b/>
        </w:rPr>
      </w:pPr>
      <w:r>
        <w:t xml:space="preserve">Additionally, </w:t>
      </w:r>
      <w:r w:rsidR="00506714">
        <w:t xml:space="preserve">in-scope companies that are currently SBOs may need to develop privacy policies depending on the modification of the </w:t>
      </w:r>
      <w:r w:rsidR="00C17F22">
        <w:t xml:space="preserve">SBO </w:t>
      </w:r>
      <w:r w:rsidR="00506714">
        <w:t>exception in the Privacy Act – either as part of the general Privacy Act reforms or to introduce an equivalent to s 6E for the BO Policy.</w:t>
      </w:r>
    </w:p>
    <w:p w14:paraId="1CE41650" w14:textId="2A2492F8" w:rsidR="00B776DA" w:rsidRPr="002F23D4" w:rsidRDefault="00C17F22" w:rsidP="00B776DA">
      <w:pPr>
        <w:pStyle w:val="NumberLevel1"/>
        <w:rPr>
          <w:b/>
        </w:rPr>
      </w:pPr>
      <w:r>
        <w:t>Further</w:t>
      </w:r>
      <w:r w:rsidR="00506714">
        <w:t>, i</w:t>
      </w:r>
      <w:r w:rsidR="00B776DA">
        <w:t xml:space="preserve">n-scope companies </w:t>
      </w:r>
      <w:r w:rsidR="00506714">
        <w:t xml:space="preserve">subject to the Privacy Act in relation to the BO Policy </w:t>
      </w:r>
      <w:r w:rsidR="00B776DA">
        <w:t xml:space="preserve">will need to develop practices, </w:t>
      </w:r>
      <w:proofErr w:type="gramStart"/>
      <w:r w:rsidR="00B776DA">
        <w:t>procedures</w:t>
      </w:r>
      <w:proofErr w:type="gramEnd"/>
      <w:r w:rsidR="00B776DA">
        <w:t xml:space="preserve"> and systems to ensure effective compliance with the APPs and to facilitate responding to any privacy complaint, or request to access or amend personal information: APP 1.2. </w:t>
      </w:r>
    </w:p>
    <w:p w14:paraId="7538C457" w14:textId="367A6BD2" w:rsidR="00B776DA" w:rsidRPr="000C377C" w:rsidRDefault="00FC6BB1" w:rsidP="00B776DA">
      <w:pPr>
        <w:pStyle w:val="NumberLevel1"/>
        <w:rPr>
          <w:b/>
        </w:rPr>
      </w:pPr>
      <w:r>
        <w:t>For example, t</w:t>
      </w:r>
      <w:r w:rsidR="00B776DA">
        <w:t xml:space="preserve">he BO Policy will require in-scope companies to collect personal information, applying principles of data minimisation.  </w:t>
      </w:r>
    </w:p>
    <w:p w14:paraId="1DD1302C" w14:textId="77777777" w:rsidR="00B776DA" w:rsidRPr="000C377C" w:rsidRDefault="00B776DA" w:rsidP="00B776DA">
      <w:pPr>
        <w:pStyle w:val="NumberLevel1"/>
        <w:rPr>
          <w:b/>
        </w:rPr>
      </w:pPr>
      <w:r>
        <w:t xml:space="preserve">Additionally, in-scope companies must verify information collected from natural person beneficial owners such that they are reasonably satisfied of the identity of a beneficial owner. The extent of verification necessary to reach this state of satisfaction will vary across in-scope companies based on the nature of their base of beneficial owners. </w:t>
      </w:r>
    </w:p>
    <w:p w14:paraId="7D31D77B" w14:textId="71DEEE18" w:rsidR="00B776DA" w:rsidRPr="000C377C" w:rsidRDefault="00843D14" w:rsidP="00B776DA">
      <w:pPr>
        <w:pStyle w:val="NumberLevel1"/>
        <w:rPr>
          <w:b/>
        </w:rPr>
      </w:pPr>
      <w:r>
        <w:t>Further, in Stage 1, i</w:t>
      </w:r>
      <w:r w:rsidR="00B776DA">
        <w:t>n-scope companies will process requests to access information contained on their registers</w:t>
      </w:r>
      <w:r>
        <w:t>.</w:t>
      </w:r>
      <w:r w:rsidR="00B776DA">
        <w:t xml:space="preserve"> </w:t>
      </w:r>
    </w:p>
    <w:p w14:paraId="1F2F8DA2" w14:textId="09A599FA" w:rsidR="00B776DA" w:rsidRPr="00DE4139" w:rsidRDefault="00B776DA" w:rsidP="00B776DA">
      <w:pPr>
        <w:pStyle w:val="NumberLevel1"/>
        <w:rPr>
          <w:b/>
        </w:rPr>
      </w:pPr>
      <w:r>
        <w:t>This PIA does not consider the change</w:t>
      </w:r>
      <w:r w:rsidR="00843D14">
        <w:t>s</w:t>
      </w:r>
      <w:r>
        <w:t xml:space="preserve"> that in-scope companies may need to make to their privacy policies or their privacy practices, </w:t>
      </w:r>
      <w:proofErr w:type="gramStart"/>
      <w:r>
        <w:t>procedures</w:t>
      </w:r>
      <w:proofErr w:type="gramEnd"/>
      <w:r>
        <w:t xml:space="preserve"> and systems</w:t>
      </w:r>
      <w:r w:rsidR="00843D14">
        <w:t xml:space="preserve"> upon commencement of the BO Policy</w:t>
      </w:r>
      <w:r>
        <w:t>. However, to facilitate a privacy by design approach to implement</w:t>
      </w:r>
      <w:r w:rsidR="00FC6BB1">
        <w:t>ing the BO Policy</w:t>
      </w:r>
      <w:r>
        <w:t>, we recommend the development and publication of guidance for in-scope entities about how to comply with their obligations under the APPs in maintaining a BOR.</w:t>
      </w:r>
    </w:p>
    <w:p w14:paraId="0DE55FE3" w14:textId="3EDCE0BC" w:rsidR="00C17F22" w:rsidRPr="00506714" w:rsidRDefault="00C17F22" w:rsidP="00C17F22">
      <w:pPr>
        <w:pStyle w:val="NumberLevel1"/>
        <w:rPr>
          <w:b/>
        </w:rPr>
      </w:pPr>
      <w:r w:rsidRPr="008E39DD">
        <w:t>I</w:t>
      </w:r>
      <w:r>
        <w:t>f at the time the BO Policy commences, the SBO exception still applies, we consider in-scope companies should nonetheless be encouraged within the guidance to voluntarily comply with the APPs.</w:t>
      </w:r>
    </w:p>
    <w:p w14:paraId="46C1FA39" w14:textId="361ADBCE" w:rsidR="00170C47" w:rsidRPr="00B0403F" w:rsidRDefault="002212C6" w:rsidP="00C17F22">
      <w:pPr>
        <w:pStyle w:val="NumberLevel1"/>
      </w:pPr>
      <w:r w:rsidRPr="008F368F">
        <w:t xml:space="preserve">The matters for which we consider guidance should be provided to in-scope companies are set out in the table at </w:t>
      </w:r>
      <w:hyperlink w:anchor="_Annexure_A_–" w:history="1">
        <w:r w:rsidRPr="008F368F">
          <w:rPr>
            <w:rStyle w:val="Hyperlink"/>
          </w:rPr>
          <w:t>Annexure A</w:t>
        </w:r>
      </w:hyperlink>
      <w:r w:rsidRPr="008F368F">
        <w:t>.</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33212A" w:rsidRPr="004B51FC" w14:paraId="09E14C9A" w14:textId="77777777" w:rsidTr="00E276BE">
        <w:trPr>
          <w:trHeight w:val="332"/>
        </w:trPr>
        <w:tc>
          <w:tcPr>
            <w:tcW w:w="8222" w:type="dxa"/>
            <w:gridSpan w:val="2"/>
            <w:tcBorders>
              <w:top w:val="single" w:sz="12" w:space="0" w:color="000000" w:themeColor="text1"/>
              <w:bottom w:val="single" w:sz="12" w:space="0" w:color="204558"/>
            </w:tcBorders>
            <w:shd w:val="clear" w:color="auto" w:fill="C4DDEA"/>
          </w:tcPr>
          <w:p w14:paraId="78B9C5AC" w14:textId="7D5EE01E" w:rsidR="0033212A" w:rsidRPr="004B51FC" w:rsidRDefault="00DE4139" w:rsidP="00506714">
            <w:pPr>
              <w:pStyle w:val="TableHeading2"/>
              <w:spacing w:before="200" w:after="120"/>
            </w:pPr>
            <w:bookmarkStart w:id="114" w:name="Recommendation4" w:colFirst="0" w:colLast="1"/>
            <w:r>
              <w:t xml:space="preserve">Recommendation 4 </w:t>
            </w:r>
            <w:r w:rsidR="0033212A">
              <w:t>– Develop guidance to support in-scope companies to comply with privacy obligations</w:t>
            </w:r>
          </w:p>
        </w:tc>
      </w:tr>
      <w:tr w:rsidR="0065241F" w:rsidRPr="00B36B53" w14:paraId="204D7DEC" w14:textId="77777777" w:rsidTr="008F368F">
        <w:trPr>
          <w:trHeight w:val="332"/>
        </w:trPr>
        <w:tc>
          <w:tcPr>
            <w:tcW w:w="8222" w:type="dxa"/>
            <w:gridSpan w:val="2"/>
            <w:tcBorders>
              <w:top w:val="single" w:sz="12" w:space="0" w:color="204558"/>
              <w:bottom w:val="single" w:sz="12" w:space="0" w:color="204558"/>
            </w:tcBorders>
            <w:shd w:val="clear" w:color="auto" w:fill="DEEAF6" w:themeFill="accent5" w:themeFillTint="33"/>
          </w:tcPr>
          <w:p w14:paraId="111CFE1E" w14:textId="0CBB8624" w:rsidR="0065241F" w:rsidRPr="0033212A" w:rsidRDefault="0065241F" w:rsidP="00506714">
            <w:pPr>
              <w:pStyle w:val="TableHeading2"/>
              <w:spacing w:before="120" w:after="120"/>
              <w:rPr>
                <w:b w:val="0"/>
              </w:rPr>
            </w:pPr>
            <w:r>
              <w:t xml:space="preserve">Issue: </w:t>
            </w:r>
            <w:r w:rsidRPr="0033212A">
              <w:rPr>
                <w:b w:val="0"/>
              </w:rPr>
              <w:t xml:space="preserve">The introduction of the </w:t>
            </w:r>
            <w:r w:rsidR="00E62A06">
              <w:rPr>
                <w:b w:val="0"/>
              </w:rPr>
              <w:t>BO Policy</w:t>
            </w:r>
            <w:r w:rsidRPr="0033212A">
              <w:rPr>
                <w:b w:val="0"/>
              </w:rPr>
              <w:t xml:space="preserve"> will require in-scope companies to </w:t>
            </w:r>
            <w:r w:rsidR="004B5900">
              <w:rPr>
                <w:b w:val="0"/>
              </w:rPr>
              <w:t xml:space="preserve">prepare or </w:t>
            </w:r>
            <w:r w:rsidRPr="0033212A">
              <w:rPr>
                <w:b w:val="0"/>
              </w:rPr>
              <w:t>update policies</w:t>
            </w:r>
            <w:r w:rsidR="00170C47">
              <w:rPr>
                <w:b w:val="0"/>
              </w:rPr>
              <w:t xml:space="preserve"> (including privacy policies where they have chosen or are required to have a privacy policy)</w:t>
            </w:r>
            <w:r w:rsidRPr="0033212A">
              <w:rPr>
                <w:b w:val="0"/>
              </w:rPr>
              <w:t xml:space="preserve"> and implement new practices to collect, store, use and disclose BOI that is personal information.</w:t>
            </w:r>
          </w:p>
        </w:tc>
      </w:tr>
      <w:tr w:rsidR="0065241F" w:rsidRPr="00B36B53" w14:paraId="2DD09494" w14:textId="77777777" w:rsidTr="0065241F">
        <w:trPr>
          <w:trHeight w:val="332"/>
        </w:trPr>
        <w:tc>
          <w:tcPr>
            <w:tcW w:w="8222" w:type="dxa"/>
            <w:gridSpan w:val="2"/>
            <w:tcBorders>
              <w:top w:val="single" w:sz="12" w:space="0" w:color="204558"/>
              <w:bottom w:val="single" w:sz="12" w:space="0" w:color="204558"/>
            </w:tcBorders>
            <w:shd w:val="clear" w:color="auto" w:fill="EDF5F9"/>
          </w:tcPr>
          <w:p w14:paraId="61A077FD" w14:textId="3F6F474D" w:rsidR="0065241F" w:rsidRDefault="0065241F" w:rsidP="00B0403F">
            <w:pPr>
              <w:pStyle w:val="TableHeading2"/>
              <w:spacing w:before="120" w:after="120"/>
              <w:rPr>
                <w:b w:val="0"/>
              </w:rPr>
            </w:pPr>
            <w:r>
              <w:t>AGS Recommendation:</w:t>
            </w:r>
            <w:r>
              <w:rPr>
                <w:b w:val="0"/>
              </w:rPr>
              <w:t xml:space="preserve"> To promote a ‘privacy by design’ approach, </w:t>
            </w:r>
            <w:r w:rsidR="00885CC6">
              <w:rPr>
                <w:b w:val="0"/>
              </w:rPr>
              <w:t>the Commonwealth</w:t>
            </w:r>
            <w:r>
              <w:rPr>
                <w:b w:val="0"/>
              </w:rPr>
              <w:t xml:space="preserve"> develop guidance for in-scope companies on appropriate </w:t>
            </w:r>
            <w:r w:rsidR="004B5900">
              <w:rPr>
                <w:b w:val="0"/>
              </w:rPr>
              <w:t xml:space="preserve">content for </w:t>
            </w:r>
            <w:r>
              <w:rPr>
                <w:b w:val="0"/>
              </w:rPr>
              <w:t xml:space="preserve">entity privacy policies, and necessary practices, </w:t>
            </w:r>
            <w:proofErr w:type="gramStart"/>
            <w:r>
              <w:rPr>
                <w:b w:val="0"/>
              </w:rPr>
              <w:t>procedures</w:t>
            </w:r>
            <w:proofErr w:type="gramEnd"/>
            <w:r>
              <w:rPr>
                <w:b w:val="0"/>
              </w:rPr>
              <w:t xml:space="preserve"> and systems that entities should implement to comply with the APPs in </w:t>
            </w:r>
            <w:hyperlink w:anchor="_Annexure_A_–" w:history="1">
              <w:r w:rsidRPr="008F368F">
                <w:rPr>
                  <w:rStyle w:val="Hyperlink"/>
                  <w:b w:val="0"/>
                </w:rPr>
                <w:t>Annexure A</w:t>
              </w:r>
            </w:hyperlink>
            <w:r w:rsidRPr="002212C6">
              <w:rPr>
                <w:b w:val="0"/>
              </w:rPr>
              <w:t>.</w:t>
            </w:r>
          </w:p>
          <w:p w14:paraId="319149FF" w14:textId="6427FDD9" w:rsidR="00170C47" w:rsidRPr="00170C47" w:rsidRDefault="00170C47" w:rsidP="00B0403F">
            <w:pPr>
              <w:pStyle w:val="TablePlainParagraph"/>
              <w:keepNext/>
              <w:keepLines/>
              <w:spacing w:before="120" w:after="120"/>
            </w:pPr>
            <w:r w:rsidRPr="0042355A">
              <w:t xml:space="preserve">To promote a ‘privacy by design’ approach, </w:t>
            </w:r>
            <w:r>
              <w:t>in-scope companies who are not subject to the APPs should be encouraged to voluntarily comply with the APPs in their handling of BOI that is personal information.</w:t>
            </w:r>
          </w:p>
        </w:tc>
      </w:tr>
      <w:tr w:rsidR="0033212A" w:rsidRPr="00B83500" w14:paraId="7401B48C" w14:textId="77777777" w:rsidTr="00E276BE">
        <w:trPr>
          <w:trHeight w:val="269"/>
        </w:trPr>
        <w:tc>
          <w:tcPr>
            <w:tcW w:w="1276" w:type="dxa"/>
            <w:tcBorders>
              <w:top w:val="single" w:sz="12" w:space="0" w:color="204558"/>
              <w:bottom w:val="single" w:sz="12" w:space="0" w:color="000000" w:themeColor="text1"/>
            </w:tcBorders>
            <w:shd w:val="clear" w:color="auto" w:fill="auto"/>
          </w:tcPr>
          <w:p w14:paraId="35E0BC8C" w14:textId="77777777" w:rsidR="0033212A" w:rsidRPr="004B51FC" w:rsidRDefault="0033212A" w:rsidP="00B0403F">
            <w:pPr>
              <w:pStyle w:val="NumberLevel1"/>
              <w:keepNext/>
              <w:keepLines/>
              <w:numPr>
                <w:ilvl w:val="0"/>
                <w:numId w:val="0"/>
              </w:numPr>
              <w:spacing w:before="120" w:after="120"/>
              <w:rPr>
                <w:b/>
              </w:rPr>
            </w:pPr>
            <w:r w:rsidRPr="004B51FC">
              <w:rPr>
                <w:b/>
              </w:rPr>
              <w:t>Response:</w:t>
            </w:r>
          </w:p>
        </w:tc>
        <w:tc>
          <w:tcPr>
            <w:tcW w:w="6946" w:type="dxa"/>
            <w:tcBorders>
              <w:top w:val="single" w:sz="12" w:space="0" w:color="204558"/>
              <w:bottom w:val="single" w:sz="12" w:space="0" w:color="000000" w:themeColor="text1"/>
            </w:tcBorders>
            <w:shd w:val="clear" w:color="auto" w:fill="auto"/>
          </w:tcPr>
          <w:p w14:paraId="09AE04FB" w14:textId="77777777" w:rsidR="0033212A" w:rsidRPr="00B83500" w:rsidRDefault="0033212A" w:rsidP="00B0403F">
            <w:pPr>
              <w:pStyle w:val="TableHeading2"/>
              <w:spacing w:before="200" w:after="120"/>
              <w:rPr>
                <w:b w:val="0"/>
              </w:rPr>
            </w:pPr>
          </w:p>
        </w:tc>
      </w:tr>
    </w:tbl>
    <w:bookmarkEnd w:id="114"/>
    <w:p w14:paraId="4324E00B" w14:textId="155DCC6D" w:rsidR="00B776DA" w:rsidRDefault="00B776DA" w:rsidP="00B776DA">
      <w:pPr>
        <w:pStyle w:val="Heading4"/>
      </w:pPr>
      <w:r>
        <w:t>Privacy policy for RCA</w:t>
      </w:r>
    </w:p>
    <w:p w14:paraId="78B3CE00" w14:textId="5A578914" w:rsidR="00B776DA" w:rsidRPr="000C377C" w:rsidRDefault="00425077" w:rsidP="00B776DA">
      <w:pPr>
        <w:pStyle w:val="NumberLevel1"/>
        <w:rPr>
          <w:b/>
        </w:rPr>
      </w:pPr>
      <w:r>
        <w:t>In Stage 2, t</w:t>
      </w:r>
      <w:r w:rsidR="00B776DA">
        <w:t xml:space="preserve">he RCA will collect, hold, </w:t>
      </w:r>
      <w:proofErr w:type="gramStart"/>
      <w:r w:rsidR="00B776DA">
        <w:t>use</w:t>
      </w:r>
      <w:proofErr w:type="gramEnd"/>
      <w:r w:rsidR="00B776DA">
        <w:t xml:space="preserve"> and disclose BOI to fulfil its responsibility to administer the PCBOR. As it is currently unclear as to whether this agency will be ASIC, the Australian Business </w:t>
      </w:r>
      <w:proofErr w:type="gramStart"/>
      <w:r w:rsidR="00B776DA">
        <w:t>Registrar</w:t>
      </w:r>
      <w:proofErr w:type="gramEnd"/>
      <w:r w:rsidR="00B776DA">
        <w:t xml:space="preserve"> or another agency, we cannot advise on the suitability of the agency’s privacy policy for the handling of BOI. </w:t>
      </w:r>
    </w:p>
    <w:p w14:paraId="24F2C532" w14:textId="43F74C78" w:rsidR="00B776DA" w:rsidRPr="000C377C" w:rsidRDefault="00EA763C" w:rsidP="00B776DA">
      <w:pPr>
        <w:pStyle w:val="NumberLevel1"/>
        <w:rPr>
          <w:b/>
        </w:rPr>
      </w:pPr>
      <w:r>
        <w:t>However, t</w:t>
      </w:r>
      <w:r w:rsidR="00B776DA">
        <w:t xml:space="preserve">he </w:t>
      </w:r>
      <w:r>
        <w:t xml:space="preserve">RCA will </w:t>
      </w:r>
      <w:r w:rsidR="00B776DA">
        <w:t>need to ensure that</w:t>
      </w:r>
      <w:r>
        <w:t xml:space="preserve"> its privacy policy reflects how the agency handles</w:t>
      </w:r>
      <w:r w:rsidR="00B776DA">
        <w:t xml:space="preserve"> BOI in accordance with the APPs. This may require updates to the agency’s privacy policy closer to the implementation of the PCBOR.  </w:t>
      </w:r>
    </w:p>
    <w:p w14:paraId="5674EC96" w14:textId="04797CD6" w:rsidR="00B776DA" w:rsidRDefault="00B776DA" w:rsidP="000A52BB">
      <w:pPr>
        <w:pStyle w:val="Heading2"/>
      </w:pPr>
      <w:bookmarkStart w:id="115" w:name="_Toc168942757"/>
      <w:r>
        <w:t>APP 2 – Anonymity and pseudonymity</w:t>
      </w:r>
      <w:bookmarkEnd w:id="115"/>
      <w:r>
        <w:t xml:space="preserve"> </w:t>
      </w:r>
    </w:p>
    <w:p w14:paraId="5EA52263" w14:textId="77777777" w:rsidR="00B776DA" w:rsidRPr="000C377C" w:rsidRDefault="00B776DA" w:rsidP="00B776DA">
      <w:pPr>
        <w:pStyle w:val="NumberLevel1"/>
        <w:rPr>
          <w:b/>
        </w:rPr>
      </w:pPr>
      <w:r>
        <w:t>APP 2 is intended to minimise arbitrary interference with personal privacy that can result from unnecessary requirements for individuals to identify themselves when interacting with APP entities.</w:t>
      </w:r>
    </w:p>
    <w:p w14:paraId="00251F63" w14:textId="42EB76A0" w:rsidR="00B776DA" w:rsidRPr="008C0A52" w:rsidRDefault="00B776DA" w:rsidP="00B776DA">
      <w:pPr>
        <w:pStyle w:val="NumberLevel1"/>
        <w:rPr>
          <w:b/>
        </w:rPr>
      </w:pPr>
      <w:r>
        <w:t xml:space="preserve">APP 2.1 details that ‘individuals must have the option of not identifying themselves, or of using a pseudonym, when dealing with an APP entity in relation to a particular matter’. APP 2.1 does not apply if </w:t>
      </w:r>
      <w:r w:rsidR="00FC6BB1">
        <w:t>either</w:t>
      </w:r>
      <w:r>
        <w:t xml:space="preserve"> exception in APP 2.2 applies:</w:t>
      </w:r>
    </w:p>
    <w:p w14:paraId="2B31D043" w14:textId="77777777" w:rsidR="00B776DA" w:rsidRDefault="00B776DA" w:rsidP="00B776DA">
      <w:pPr>
        <w:pStyle w:val="Quotation2"/>
      </w:pPr>
      <w:r>
        <w:t>(a) the APP entity is required or authorised by or under an Australian law, or a court/tribunal order, to deal with individuals who have identified themselves; or</w:t>
      </w:r>
    </w:p>
    <w:p w14:paraId="310F7621" w14:textId="77777777" w:rsidR="00B776DA" w:rsidRDefault="00B776DA" w:rsidP="00B776DA">
      <w:pPr>
        <w:pStyle w:val="Quotation2"/>
      </w:pPr>
      <w:r>
        <w:t>(b) it is impracticable for the APP entity to deal with individuals who have not identified themselves or who have used a pseudonym.</w:t>
      </w:r>
    </w:p>
    <w:p w14:paraId="3933A568" w14:textId="77777777" w:rsidR="00B776DA" w:rsidRPr="008C0A52" w:rsidRDefault="00B776DA" w:rsidP="00B776DA">
      <w:pPr>
        <w:pStyle w:val="Heading3"/>
      </w:pPr>
      <w:r>
        <w:t xml:space="preserve">Collection of BOI by in-scope companies </w:t>
      </w:r>
    </w:p>
    <w:p w14:paraId="0D5D6352" w14:textId="77777777" w:rsidR="00B776DA" w:rsidRPr="000C377C" w:rsidRDefault="00B776DA" w:rsidP="00B776DA">
      <w:pPr>
        <w:pStyle w:val="NumberLevel1"/>
        <w:rPr>
          <w:b/>
        </w:rPr>
      </w:pPr>
      <w:r>
        <w:t xml:space="preserve">The BO Policy is aimed at minimising practices such as tax evasion and money </w:t>
      </w:r>
      <w:proofErr w:type="gramStart"/>
      <w:r>
        <w:t>laundering, and</w:t>
      </w:r>
      <w:proofErr w:type="gramEnd"/>
      <w:r>
        <w:t xml:space="preserve"> requires beneficial owners to identify themselves to practically achieve this purpose. Identifying beneficial owners is therefore reasonable, </w:t>
      </w:r>
      <w:proofErr w:type="gramStart"/>
      <w:r>
        <w:t>necessary</w:t>
      </w:r>
      <w:proofErr w:type="gramEnd"/>
      <w:r>
        <w:t xml:space="preserve"> and proportionate to achieving the BO Policy’s goals.</w:t>
      </w:r>
    </w:p>
    <w:p w14:paraId="52B800C7" w14:textId="4ECEE7CC" w:rsidR="00B776DA" w:rsidRPr="00D2548E" w:rsidRDefault="00B776DA" w:rsidP="00B776DA">
      <w:pPr>
        <w:pStyle w:val="NumberLevel1"/>
        <w:rPr>
          <w:b/>
        </w:rPr>
      </w:pPr>
      <w:r>
        <w:t>As the BO Policy will oblige in-scope companies to sufficiently verify the identity of beneficial owners</w:t>
      </w:r>
      <w:r w:rsidR="006D78F4">
        <w:t>,</w:t>
      </w:r>
      <w:r>
        <w:t xml:space="preserve"> the exception in APP 2.2(b) will apply to in-scope companies when collecting BOI from beneficial owners. It would be impossible for in-scope companies to fulfil their obligations to verify the identity of information collected from natural person beneficial owners if beneficial owners could remain anonymous or use a pseudonym.</w:t>
      </w:r>
    </w:p>
    <w:p w14:paraId="7802B0C6" w14:textId="7C05C36A" w:rsidR="00B776DA" w:rsidRPr="00B0403F" w:rsidRDefault="00B776DA" w:rsidP="00B776DA">
      <w:pPr>
        <w:pStyle w:val="NumberLevel1"/>
        <w:rPr>
          <w:b/>
        </w:rPr>
      </w:pPr>
      <w:r>
        <w:t xml:space="preserve">The verification requirements are necessary to prevent fraud and to ensure that BOI is accurate, complete and </w:t>
      </w:r>
      <w:proofErr w:type="gramStart"/>
      <w:r>
        <w:t>up-to-date</w:t>
      </w:r>
      <w:proofErr w:type="gramEnd"/>
      <w:r>
        <w:t>. Interacting with identifiable beneficial owners also enables in-scope companies to ensure that beneficial owners are aware of the potential publication of their information and informed of their options to prevent publication of their information.</w:t>
      </w:r>
    </w:p>
    <w:p w14:paraId="3B23958A" w14:textId="7C7FAC74" w:rsidR="0092506F" w:rsidRPr="00B0403F" w:rsidRDefault="0092506F" w:rsidP="00FC6BB1">
      <w:pPr>
        <w:pStyle w:val="NumberLevel1"/>
        <w:rPr>
          <w:lang w:eastAsia="en-US"/>
        </w:rPr>
      </w:pPr>
      <w:r w:rsidRPr="0092506F">
        <w:t xml:space="preserve">Where the legislation enacting the BO Policy requires identification of a beneficial owner, this will modify the operation of APP 2. For the reasons explained above, the modification will be reasonable, </w:t>
      </w:r>
      <w:proofErr w:type="gramStart"/>
      <w:r w:rsidRPr="0092506F">
        <w:t>necessary</w:t>
      </w:r>
      <w:proofErr w:type="gramEnd"/>
      <w:r w:rsidRPr="0092506F">
        <w:t xml:space="preserve"> and proportionate to achieve the purposes of the BO Policy</w:t>
      </w:r>
      <w:r>
        <w:t>.</w:t>
      </w:r>
    </w:p>
    <w:p w14:paraId="1A449E02" w14:textId="6D45958B" w:rsidR="00B776DA" w:rsidRDefault="00B776DA" w:rsidP="00B776DA">
      <w:pPr>
        <w:pStyle w:val="Heading3"/>
      </w:pPr>
      <w:r>
        <w:t xml:space="preserve">Public access to </w:t>
      </w:r>
      <w:r w:rsidR="00546458">
        <w:t>BORs and the PCBOR</w:t>
      </w:r>
    </w:p>
    <w:p w14:paraId="556E72CA" w14:textId="3E0B7D47" w:rsidR="00B776DA" w:rsidRPr="008C0A52" w:rsidRDefault="00B776DA" w:rsidP="00B776DA">
      <w:pPr>
        <w:pStyle w:val="NumberLevel1"/>
        <w:rPr>
          <w:b/>
        </w:rPr>
      </w:pPr>
      <w:r>
        <w:t>Treasury currently intends to design the access framework for beneficial ownership registers similar</w:t>
      </w:r>
      <w:r w:rsidR="00F759C4">
        <w:t>ly</w:t>
      </w:r>
      <w:r>
        <w:t xml:space="preserve"> to the access arrangements in Chapter 2C.1 of the </w:t>
      </w:r>
      <w:r>
        <w:rPr>
          <w:i/>
        </w:rPr>
        <w:t xml:space="preserve">Corporations Act 2001 </w:t>
      </w:r>
      <w:r>
        <w:t>(</w:t>
      </w:r>
      <w:proofErr w:type="spellStart"/>
      <w:r>
        <w:t>Cth</w:t>
      </w:r>
      <w:proofErr w:type="spellEnd"/>
      <w:r>
        <w:t>) (</w:t>
      </w:r>
      <w:r w:rsidRPr="006524AA">
        <w:rPr>
          <w:b/>
        </w:rPr>
        <w:t>CA</w:t>
      </w:r>
      <w:r>
        <w:t>). This framework restricts the ability for members of the public to remain anonymous or use a pseudonym when requesting access to registers under section 173 of the CA.</w:t>
      </w:r>
    </w:p>
    <w:p w14:paraId="093694D7" w14:textId="45B1D18F" w:rsidR="00B776DA" w:rsidRPr="004D4EF6" w:rsidRDefault="00B776DA" w:rsidP="007A1310">
      <w:pPr>
        <w:pStyle w:val="NumberLevel1"/>
        <w:rPr>
          <w:b/>
        </w:rPr>
      </w:pPr>
      <w:r>
        <w:t xml:space="preserve">The </w:t>
      </w:r>
      <w:r w:rsidRPr="004D4EF6">
        <w:rPr>
          <w:i/>
        </w:rPr>
        <w:t xml:space="preserve">Corporations Regulations 2001 </w:t>
      </w:r>
      <w:r>
        <w:t>(</w:t>
      </w:r>
      <w:proofErr w:type="spellStart"/>
      <w:r>
        <w:t>Cth</w:t>
      </w:r>
      <w:proofErr w:type="spellEnd"/>
      <w:r>
        <w:t>) (</w:t>
      </w:r>
      <w:r w:rsidRPr="004D4EF6">
        <w:rPr>
          <w:b/>
        </w:rPr>
        <w:t>CR</w:t>
      </w:r>
      <w:r>
        <w:t xml:space="preserve">) </w:t>
      </w:r>
      <w:r w:rsidR="00013BFE">
        <w:t>prescribe</w:t>
      </w:r>
      <w:r>
        <w:t xml:space="preserve"> ‘</w:t>
      </w:r>
      <w:r w:rsidR="00013BFE">
        <w:t xml:space="preserve">improper </w:t>
      </w:r>
      <w:r>
        <w:t>purpose</w:t>
      </w:r>
      <w:r w:rsidR="00013BFE">
        <w:t>s</w:t>
      </w:r>
      <w:r>
        <w:t>’ for the purposes of s 173</w:t>
      </w:r>
      <w:r w:rsidR="00013BFE">
        <w:t>(3</w:t>
      </w:r>
      <w:proofErr w:type="gramStart"/>
      <w:r w:rsidR="00013BFE">
        <w:t>A)(</w:t>
      </w:r>
      <w:proofErr w:type="gramEnd"/>
      <w:r w:rsidR="00013BFE">
        <w:t>b)</w:t>
      </w:r>
      <w:r>
        <w:t xml:space="preserve"> of the CA and the ‘form requirements’</w:t>
      </w:r>
      <w:r w:rsidR="00013BFE">
        <w:t xml:space="preserve"> for s 173(3A)(c)</w:t>
      </w:r>
      <w:r>
        <w:t xml:space="preserve">. </w:t>
      </w:r>
      <w:r w:rsidR="00013BFE">
        <w:t>R</w:t>
      </w:r>
      <w:r>
        <w:t>eg</w:t>
      </w:r>
      <w:r w:rsidR="00013BFE">
        <w:t>ulation</w:t>
      </w:r>
      <w:r>
        <w:t xml:space="preserve"> 2C.1.04 requires an application to contain the name and address of the applicant applying for access to a register. </w:t>
      </w:r>
    </w:p>
    <w:p w14:paraId="0DF8AD56" w14:textId="3E63AA76" w:rsidR="00B776DA" w:rsidRPr="000C377C" w:rsidRDefault="00B776DA" w:rsidP="00B776DA">
      <w:pPr>
        <w:pStyle w:val="NumberLevel1"/>
        <w:rPr>
          <w:b/>
        </w:rPr>
      </w:pPr>
      <w:r>
        <w:t>The</w:t>
      </w:r>
      <w:r w:rsidR="00013BFE">
        <w:t>se</w:t>
      </w:r>
      <w:r>
        <w:t xml:space="preserve"> requirement</w:t>
      </w:r>
      <w:r w:rsidR="00013BFE">
        <w:t>s</w:t>
      </w:r>
      <w:r>
        <w:t xml:space="preserve"> </w:t>
      </w:r>
      <w:r w:rsidR="00013BFE">
        <w:t xml:space="preserve">were </w:t>
      </w:r>
      <w:r>
        <w:t xml:space="preserve">introduced in the </w:t>
      </w:r>
      <w:r>
        <w:rPr>
          <w:i/>
        </w:rPr>
        <w:t xml:space="preserve">Corporations Amendment Regulations 2010 (No 10) </w:t>
      </w:r>
      <w:r>
        <w:t>(</w:t>
      </w:r>
      <w:proofErr w:type="spellStart"/>
      <w:r>
        <w:t>Cth</w:t>
      </w:r>
      <w:proofErr w:type="spellEnd"/>
      <w:r>
        <w:t>) to protect</w:t>
      </w:r>
      <w:r w:rsidR="00013BFE">
        <w:t xml:space="preserve"> the privacy of</w:t>
      </w:r>
      <w:r>
        <w:t xml:space="preserve"> shareholders</w:t>
      </w:r>
      <w:r w:rsidR="00013BFE">
        <w:t>, including</w:t>
      </w:r>
      <w:r>
        <w:t xml:space="preserve"> against unsolicited below-value off-market offers.</w:t>
      </w:r>
      <w:r>
        <w:rPr>
          <w:rStyle w:val="FootnoteReference"/>
        </w:rPr>
        <w:footnoteReference w:id="41"/>
      </w:r>
      <w:r>
        <w:t xml:space="preserve"> </w:t>
      </w:r>
    </w:p>
    <w:p w14:paraId="181E7CAF" w14:textId="2B0F2A2B" w:rsidR="00B776DA" w:rsidRPr="00CA1523" w:rsidRDefault="00013BFE" w:rsidP="00B776DA">
      <w:pPr>
        <w:pStyle w:val="NumberLevel1"/>
        <w:rPr>
          <w:b/>
        </w:rPr>
      </w:pPr>
      <w:r>
        <w:t xml:space="preserve">The 2010 amendment to the </w:t>
      </w:r>
      <w:r>
        <w:rPr>
          <w:i/>
        </w:rPr>
        <w:t xml:space="preserve">Corporations Act </w:t>
      </w:r>
      <w:r>
        <w:t>demonstrates the real risk of information on public registers being misused for illegitimate purposes. However, c</w:t>
      </w:r>
      <w:r w:rsidR="00B776DA">
        <w:t xml:space="preserve">onsistent with </w:t>
      </w:r>
      <w:hyperlink w:anchor="Recommendation1" w:history="1">
        <w:r w:rsidR="00B776DA" w:rsidRPr="00AA3C5A">
          <w:rPr>
            <w:rStyle w:val="Hyperlink"/>
          </w:rPr>
          <w:t>Recommendation 1</w:t>
        </w:r>
      </w:hyperlink>
      <w:r w:rsidR="00B776DA" w:rsidRPr="00DE122A">
        <w:t>,</w:t>
      </w:r>
      <w:r w:rsidR="00B776DA">
        <w:t xml:space="preserve"> Treasury should consider whether implementing an ‘improper purpose’ approach sufficiently protects the privacy of beneficial owners. A threshold of requiring individuals requesting access to BORs to have a ‘legitimate interest’ in accessing the BOI contained on the BOI may be more effective in protecting the privacy of beneficial owners from unreasonable interference. </w:t>
      </w:r>
    </w:p>
    <w:p w14:paraId="433EF173" w14:textId="2186F8D9" w:rsidR="00E36CBC" w:rsidRPr="00E36CBC" w:rsidRDefault="00E36CBC" w:rsidP="00E36CBC">
      <w:pPr>
        <w:pStyle w:val="NumberLevel1"/>
        <w:rPr>
          <w:b/>
        </w:rPr>
      </w:pPr>
      <w:r>
        <w:t>I</w:t>
      </w:r>
      <w:r w:rsidR="00B776DA">
        <w:t>f th</w:t>
      </w:r>
      <w:r>
        <w:t>e requirement to provide a name and address to access a BOR</w:t>
      </w:r>
      <w:r w:rsidR="00B776DA">
        <w:t xml:space="preserve"> is </w:t>
      </w:r>
      <w:r>
        <w:t xml:space="preserve">replicated in the </w:t>
      </w:r>
      <w:r w:rsidR="00E62A06">
        <w:t>BO Policy</w:t>
      </w:r>
      <w:r>
        <w:t>,</w:t>
      </w:r>
      <w:r w:rsidR="00B776DA">
        <w:t xml:space="preserve"> </w:t>
      </w:r>
      <w:r>
        <w:t xml:space="preserve">the APP 2.2(a) exception would apply </w:t>
      </w:r>
      <w:r w:rsidR="00B776DA">
        <w:t>as in-scope companies would be required under Australian law to only deal with members of the public who have identified themselves when requesting access to beneficial ownership registers.</w:t>
      </w:r>
      <w:r>
        <w:t xml:space="preserve"> </w:t>
      </w:r>
    </w:p>
    <w:p w14:paraId="3612AB6E" w14:textId="0539B418" w:rsidR="00B776DA" w:rsidRPr="00DC5E72" w:rsidRDefault="00E36CBC" w:rsidP="00E36CBC">
      <w:pPr>
        <w:pStyle w:val="NumberLevel1"/>
        <w:rPr>
          <w:b/>
        </w:rPr>
      </w:pPr>
      <w:r>
        <w:t xml:space="preserve">Similarly, the APP 2.2(a) exception would apply to any action to </w:t>
      </w:r>
      <w:r w:rsidR="00B776DA">
        <w:t xml:space="preserve">verify the identity of individuals seeking access to their own information or seeking a waiver of any prescribed fee. </w:t>
      </w:r>
    </w:p>
    <w:p w14:paraId="11BEB91D" w14:textId="0E910B27" w:rsidR="00546458" w:rsidRDefault="00546458" w:rsidP="00E36CBC">
      <w:pPr>
        <w:pStyle w:val="NumberLevel1"/>
      </w:pPr>
      <w:proofErr w:type="gramStart"/>
      <w:r w:rsidRPr="00DC5E72">
        <w:t>Assuming that</w:t>
      </w:r>
      <w:proofErr w:type="gramEnd"/>
      <w:r w:rsidRPr="00DC5E72">
        <w:t xml:space="preserve"> applications for access to the PCBOR</w:t>
      </w:r>
      <w:r>
        <w:t xml:space="preserve"> will also require an individual to provide a name and address, the exception in APP 2.2(a) will also apply in Stage</w:t>
      </w:r>
      <w:r w:rsidR="00360682">
        <w:t> </w:t>
      </w:r>
      <w:r>
        <w:t>2.</w:t>
      </w:r>
      <w:r w:rsidR="005D2962">
        <w:t xml:space="preserve"> </w:t>
      </w:r>
    </w:p>
    <w:p w14:paraId="6D658CAA" w14:textId="6E39F4DA" w:rsidR="005D2962" w:rsidRPr="00DC5E72" w:rsidRDefault="005D2962" w:rsidP="00E36CBC">
      <w:pPr>
        <w:pStyle w:val="NumberLevel1"/>
      </w:pPr>
      <w:r>
        <w:t xml:space="preserve">To the extent that the BO Policy will require identification of an access application, this measure will be reasonable, </w:t>
      </w:r>
      <w:proofErr w:type="gramStart"/>
      <w:r>
        <w:t>necessary</w:t>
      </w:r>
      <w:proofErr w:type="gramEnd"/>
      <w:r>
        <w:t xml:space="preserve"> and proportionate to achieve the purposes of the BO Policy.</w:t>
      </w:r>
    </w:p>
    <w:p w14:paraId="08962EF9" w14:textId="5248CB05" w:rsidR="00960E60" w:rsidRPr="008A14DF" w:rsidRDefault="00DC319A" w:rsidP="000A52BB">
      <w:pPr>
        <w:pStyle w:val="Heading2"/>
      </w:pPr>
      <w:bookmarkStart w:id="116" w:name="_Toc168942758"/>
      <w:r>
        <w:t xml:space="preserve">APP 3 – </w:t>
      </w:r>
      <w:r w:rsidR="00A350D8">
        <w:t>Collection of personal information</w:t>
      </w:r>
      <w:bookmarkEnd w:id="116"/>
    </w:p>
    <w:p w14:paraId="6BC9A74E" w14:textId="77777777" w:rsidR="00A350D8" w:rsidRPr="00181DD5" w:rsidRDefault="00A350D8" w:rsidP="00A350D8">
      <w:pPr>
        <w:pStyle w:val="NumberLevel1"/>
      </w:pPr>
      <w:r w:rsidRPr="00181DD5">
        <w:t xml:space="preserve">APP 3 applies where an APP entity seeks to collect personal information. </w:t>
      </w:r>
    </w:p>
    <w:p w14:paraId="32244403" w14:textId="5EE7B811" w:rsidR="00A350D8" w:rsidRDefault="00A350D8" w:rsidP="00A350D8">
      <w:pPr>
        <w:pStyle w:val="NumberLevel1"/>
      </w:pPr>
      <w:r w:rsidRPr="00181DD5">
        <w:t>A collection will occur when an APP entity ‘collects’ the information for inclusion in a record or generally available publication: s 6 of the Privacy Act.</w:t>
      </w:r>
    </w:p>
    <w:p w14:paraId="1D2EB52D" w14:textId="6C076214" w:rsidR="00A350D8" w:rsidRDefault="00A350D8" w:rsidP="00A350D8">
      <w:pPr>
        <w:pStyle w:val="Heading3"/>
      </w:pPr>
      <w:r w:rsidRPr="00181DD5">
        <w:t>Kinds of personal information for collection</w:t>
      </w:r>
    </w:p>
    <w:p w14:paraId="724A87DB" w14:textId="5141AD91" w:rsidR="004D5E99" w:rsidRPr="00E276BE" w:rsidRDefault="004D5E99" w:rsidP="00912A88">
      <w:pPr>
        <w:pStyle w:val="Heading4"/>
      </w:pPr>
      <w:r w:rsidRPr="00E276BE">
        <w:t>Collection of personal information by in-scope companies regarding suspected beneficial owners</w:t>
      </w:r>
    </w:p>
    <w:p w14:paraId="649D28D2" w14:textId="168CA1D2" w:rsidR="00325860" w:rsidRDefault="004D5E99" w:rsidP="004D5E99">
      <w:pPr>
        <w:pStyle w:val="NumberLevel1"/>
        <w:rPr>
          <w:lang w:eastAsia="en-US"/>
        </w:rPr>
      </w:pPr>
      <w:r>
        <w:rPr>
          <w:lang w:eastAsia="en-US"/>
        </w:rPr>
        <w:t xml:space="preserve">In-scope companies will need to collect personal information about </w:t>
      </w:r>
      <w:r w:rsidR="00E276BE">
        <w:rPr>
          <w:lang w:eastAsia="en-US"/>
        </w:rPr>
        <w:t xml:space="preserve">suspected beneficial owners before </w:t>
      </w:r>
      <w:r>
        <w:rPr>
          <w:lang w:eastAsia="en-US"/>
        </w:rPr>
        <w:t xml:space="preserve">reaching </w:t>
      </w:r>
      <w:r w:rsidR="00E276BE">
        <w:rPr>
          <w:lang w:eastAsia="en-US"/>
        </w:rPr>
        <w:t xml:space="preserve">a decision to </w:t>
      </w:r>
      <w:r>
        <w:rPr>
          <w:lang w:eastAsia="en-US"/>
        </w:rPr>
        <w:t>issue a request for BOI.</w:t>
      </w:r>
      <w:r w:rsidR="00325860">
        <w:rPr>
          <w:lang w:eastAsia="en-US"/>
        </w:rPr>
        <w:t xml:space="preserve"> The range of circumstances and information that an in-scope company will rely on in reaching this view may vary widely depending on the structure and size of the in-scope company. </w:t>
      </w:r>
      <w:r w:rsidR="00016E93">
        <w:rPr>
          <w:lang w:eastAsia="en-US"/>
        </w:rPr>
        <w:t>Common steps may include consulting the company’s existing registers, constitution, and organisational structure, or making enquiries of the directors of the in-scope company.</w:t>
      </w:r>
    </w:p>
    <w:p w14:paraId="5B691D82" w14:textId="227238F8" w:rsidR="004E62BD" w:rsidRDefault="00325860" w:rsidP="00E276BE">
      <w:pPr>
        <w:pStyle w:val="NumberLevel1"/>
      </w:pPr>
      <w:bookmarkStart w:id="117" w:name="_Ref163838111"/>
      <w:r>
        <w:rPr>
          <w:lang w:eastAsia="en-US"/>
        </w:rPr>
        <w:t xml:space="preserve">In-scope companies </w:t>
      </w:r>
      <w:r w:rsidR="004E62BD">
        <w:rPr>
          <w:lang w:eastAsia="en-US"/>
        </w:rPr>
        <w:t>may</w:t>
      </w:r>
      <w:r>
        <w:rPr>
          <w:lang w:eastAsia="en-US"/>
        </w:rPr>
        <w:t xml:space="preserve"> collect personal information about suspected beneficial owner who are not in fact beneficial owners.</w:t>
      </w:r>
      <w:r w:rsidR="004E62BD">
        <w:rPr>
          <w:lang w:eastAsia="en-US"/>
        </w:rPr>
        <w:t xml:space="preserve"> In-scope companies will need to implement practices to minimise collection of this information, and/or destroy or delete this information upon deciding the individual is not a beneficial owner.</w:t>
      </w:r>
      <w:r>
        <w:rPr>
          <w:lang w:eastAsia="en-US"/>
        </w:rPr>
        <w:t xml:space="preserve"> </w:t>
      </w:r>
      <w:r w:rsidR="007A1310">
        <w:rPr>
          <w:lang w:eastAsia="en-US"/>
        </w:rPr>
        <w:t xml:space="preserve">Guidance produced by </w:t>
      </w:r>
      <w:r w:rsidR="008417CE">
        <w:rPr>
          <w:lang w:eastAsia="en-US"/>
        </w:rPr>
        <w:t xml:space="preserve">the Commonwealth </w:t>
      </w:r>
      <w:r w:rsidR="007A1310">
        <w:rPr>
          <w:lang w:eastAsia="en-US"/>
        </w:rPr>
        <w:t xml:space="preserve">as part of </w:t>
      </w:r>
      <w:hyperlink w:anchor="Recommendation4" w:history="1">
        <w:r w:rsidR="00EF011F">
          <w:rPr>
            <w:rStyle w:val="Hyperlink"/>
            <w:lang w:eastAsia="en-US"/>
          </w:rPr>
          <w:t>Recommendation 4</w:t>
        </w:r>
      </w:hyperlink>
      <w:r w:rsidR="007A1310">
        <w:rPr>
          <w:lang w:eastAsia="en-US"/>
        </w:rPr>
        <w:t xml:space="preserve"> should outline protective measures.</w:t>
      </w:r>
      <w:r w:rsidR="00865C63">
        <w:rPr>
          <w:lang w:eastAsia="en-US"/>
        </w:rPr>
        <w:t xml:space="preserve"> We suggest matters to be addressed in the table at </w:t>
      </w:r>
      <w:hyperlink w:anchor="_Appendix_1_–" w:history="1">
        <w:r w:rsidR="00865C63" w:rsidRPr="00865C63">
          <w:rPr>
            <w:rStyle w:val="Hyperlink"/>
            <w:lang w:eastAsia="en-US"/>
          </w:rPr>
          <w:t>Annexure</w:t>
        </w:r>
        <w:r w:rsidR="00BA1717">
          <w:rPr>
            <w:rStyle w:val="Hyperlink"/>
            <w:lang w:eastAsia="en-US"/>
          </w:rPr>
          <w:t> </w:t>
        </w:r>
        <w:r w:rsidR="00865C63" w:rsidRPr="00865C63">
          <w:rPr>
            <w:rStyle w:val="Hyperlink"/>
            <w:lang w:eastAsia="en-US"/>
          </w:rPr>
          <w:t>A</w:t>
        </w:r>
      </w:hyperlink>
      <w:r w:rsidR="00865C63">
        <w:rPr>
          <w:lang w:eastAsia="en-US"/>
        </w:rPr>
        <w:t>.</w:t>
      </w:r>
      <w:bookmarkEnd w:id="117"/>
    </w:p>
    <w:p w14:paraId="54DA26B1" w14:textId="118CBD88" w:rsidR="00BC321D" w:rsidRPr="00495597" w:rsidRDefault="00325860" w:rsidP="00E276BE">
      <w:pPr>
        <w:pStyle w:val="NumberLevel1"/>
      </w:pPr>
      <w:r>
        <w:rPr>
          <w:lang w:eastAsia="en-US"/>
        </w:rPr>
        <w:t xml:space="preserve">Each request for BOI issued to a suspected beneficial owner, </w:t>
      </w:r>
      <w:proofErr w:type="gramStart"/>
      <w:r>
        <w:rPr>
          <w:lang w:eastAsia="en-US"/>
        </w:rPr>
        <w:t>whether or not</w:t>
      </w:r>
      <w:proofErr w:type="gramEnd"/>
      <w:r>
        <w:rPr>
          <w:lang w:eastAsia="en-US"/>
        </w:rPr>
        <w:t xml:space="preserve"> they are actually a beneficial owner, will </w:t>
      </w:r>
      <w:r w:rsidR="004E62BD">
        <w:rPr>
          <w:lang w:eastAsia="en-US"/>
        </w:rPr>
        <w:t xml:space="preserve">comprise </w:t>
      </w:r>
      <w:r>
        <w:rPr>
          <w:lang w:eastAsia="en-US"/>
        </w:rPr>
        <w:t>a collection</w:t>
      </w:r>
      <w:r w:rsidR="00E75FB1">
        <w:rPr>
          <w:lang w:eastAsia="en-US"/>
        </w:rPr>
        <w:t xml:space="preserve"> of personal information about</w:t>
      </w:r>
      <w:r w:rsidR="00F0417B">
        <w:rPr>
          <w:lang w:eastAsia="en-US"/>
        </w:rPr>
        <w:t>,</w:t>
      </w:r>
      <w:r w:rsidR="00B6274E">
        <w:rPr>
          <w:lang w:eastAsia="en-US"/>
        </w:rPr>
        <w:t xml:space="preserve"> </w:t>
      </w:r>
      <w:r>
        <w:rPr>
          <w:lang w:eastAsia="en-US"/>
        </w:rPr>
        <w:t>and disclosure of personal information to</w:t>
      </w:r>
      <w:r w:rsidR="00F0417B">
        <w:rPr>
          <w:lang w:eastAsia="en-US"/>
        </w:rPr>
        <w:t>,</w:t>
      </w:r>
      <w:r>
        <w:rPr>
          <w:lang w:eastAsia="en-US"/>
        </w:rPr>
        <w:t xml:space="preserve"> the suspected beneficial owner.</w:t>
      </w:r>
      <w:r w:rsidR="00DF08AB">
        <w:rPr>
          <w:lang w:eastAsia="en-US"/>
        </w:rPr>
        <w:t xml:space="preserve"> New collections and disclosures will occur when a</w:t>
      </w:r>
      <w:r w:rsidR="00E75FB1">
        <w:rPr>
          <w:lang w:eastAsia="en-US"/>
        </w:rPr>
        <w:t xml:space="preserve">n in-scope company </w:t>
      </w:r>
      <w:r w:rsidR="00DF08AB">
        <w:rPr>
          <w:lang w:eastAsia="en-US"/>
        </w:rPr>
        <w:t>sends compliance notices.</w:t>
      </w:r>
    </w:p>
    <w:p w14:paraId="33F0E811" w14:textId="513B53B7" w:rsidR="00E94643" w:rsidRDefault="00A350D8" w:rsidP="00A350D8">
      <w:pPr>
        <w:pStyle w:val="Heading4"/>
      </w:pPr>
      <w:r>
        <w:t>Collection of personal information by in-scope companies</w:t>
      </w:r>
      <w:r w:rsidR="004D5E99">
        <w:t xml:space="preserve"> from beneficial owners</w:t>
      </w:r>
    </w:p>
    <w:p w14:paraId="08A13115" w14:textId="57420893" w:rsidR="00A350D8" w:rsidRDefault="00A350D8" w:rsidP="00A350D8">
      <w:pPr>
        <w:pStyle w:val="NumberLevel1"/>
      </w:pPr>
      <w:bookmarkStart w:id="118" w:name="_Ref163214869"/>
      <w:r>
        <w:t>The following categories of BOI will always be the personal information of a</w:t>
      </w:r>
      <w:r w:rsidR="007D4AFD">
        <w:t>n individual</w:t>
      </w:r>
      <w:r>
        <w:t xml:space="preserve"> beneficial owner:</w:t>
      </w:r>
      <w:bookmarkEnd w:id="118"/>
    </w:p>
    <w:tbl>
      <w:tblPr>
        <w:tblStyle w:val="TableGrid"/>
        <w:tblW w:w="8237" w:type="dxa"/>
        <w:tblInd w:w="-15" w:type="dxa"/>
        <w:tblBorders>
          <w:top w:val="none" w:sz="0" w:space="0" w:color="auto"/>
          <w:left w:val="none" w:sz="0" w:space="0" w:color="auto"/>
          <w:bottom w:val="none" w:sz="0" w:space="0" w:color="auto"/>
          <w:right w:val="none" w:sz="0" w:space="0" w:color="auto"/>
          <w:insideH w:val="single" w:sz="12" w:space="0" w:color="000000" w:themeColor="text1"/>
          <w:insideV w:val="single" w:sz="12" w:space="0" w:color="000000" w:themeColor="text1"/>
        </w:tblBorders>
        <w:tblLook w:val="04A0" w:firstRow="1" w:lastRow="0" w:firstColumn="1" w:lastColumn="0" w:noHBand="0" w:noVBand="1"/>
      </w:tblPr>
      <w:tblGrid>
        <w:gridCol w:w="3984"/>
        <w:gridCol w:w="4253"/>
      </w:tblGrid>
      <w:tr w:rsidR="00483461" w:rsidRPr="00DF0998" w14:paraId="2A6FC8E0" w14:textId="77777777" w:rsidTr="0065241F">
        <w:trPr>
          <w:cantSplit/>
          <w:tblHeader/>
        </w:trPr>
        <w:tc>
          <w:tcPr>
            <w:tcW w:w="8237" w:type="dxa"/>
            <w:gridSpan w:val="2"/>
            <w:shd w:val="clear" w:color="auto" w:fill="C4DDEA"/>
            <w:hideMark/>
          </w:tcPr>
          <w:p w14:paraId="7DFB3D68" w14:textId="25379465" w:rsidR="002212C6" w:rsidRPr="00DF0998" w:rsidRDefault="002212C6" w:rsidP="003A0EB1">
            <w:pPr>
              <w:pStyle w:val="TableHeading2"/>
            </w:pPr>
            <w:r>
              <w:t>Category of personal information</w:t>
            </w:r>
          </w:p>
        </w:tc>
      </w:tr>
      <w:tr w:rsidR="00AB3401" w:rsidRPr="00DF0998" w14:paraId="5CBBB0DB" w14:textId="77777777" w:rsidTr="004E62BD">
        <w:tc>
          <w:tcPr>
            <w:tcW w:w="3984" w:type="dxa"/>
            <w:vAlign w:val="top"/>
          </w:tcPr>
          <w:p w14:paraId="24CC4805" w14:textId="41B04C50" w:rsidR="004E62BD" w:rsidRPr="004E62BD" w:rsidRDefault="004E62BD" w:rsidP="004E62BD">
            <w:pPr>
              <w:pStyle w:val="TablePlainParagraph"/>
            </w:pPr>
            <w:r w:rsidRPr="004E62BD">
              <w:t>Full name</w:t>
            </w:r>
          </w:p>
        </w:tc>
        <w:tc>
          <w:tcPr>
            <w:tcW w:w="4253" w:type="dxa"/>
            <w:vAlign w:val="top"/>
          </w:tcPr>
          <w:p w14:paraId="4BF3A2DC" w14:textId="2C289553" w:rsidR="004E62BD" w:rsidRPr="004E62BD" w:rsidRDefault="004E62BD" w:rsidP="004E62BD">
            <w:pPr>
              <w:pStyle w:val="TablePlainParagraph"/>
            </w:pPr>
            <w:r w:rsidRPr="004E62BD">
              <w:t>Nature of control or influence</w:t>
            </w:r>
          </w:p>
        </w:tc>
      </w:tr>
      <w:tr w:rsidR="00AB3401" w:rsidRPr="00DF0998" w14:paraId="5235300A" w14:textId="77777777" w:rsidTr="004E62BD">
        <w:tc>
          <w:tcPr>
            <w:tcW w:w="3984" w:type="dxa"/>
            <w:vAlign w:val="top"/>
          </w:tcPr>
          <w:p w14:paraId="2721FB6B" w14:textId="236C790C" w:rsidR="004E62BD" w:rsidRPr="004E62BD" w:rsidRDefault="004E62BD" w:rsidP="004E62BD">
            <w:pPr>
              <w:pStyle w:val="TablePlainParagraph"/>
            </w:pPr>
            <w:r w:rsidRPr="004E62BD">
              <w:t>Addresses for communication and service</w:t>
            </w:r>
          </w:p>
        </w:tc>
        <w:tc>
          <w:tcPr>
            <w:tcW w:w="4253" w:type="dxa"/>
            <w:vAlign w:val="top"/>
          </w:tcPr>
          <w:p w14:paraId="5DB70B31" w14:textId="745486F6" w:rsidR="004E62BD" w:rsidRPr="004E62BD" w:rsidRDefault="004E62BD" w:rsidP="004E62BD">
            <w:pPr>
              <w:pStyle w:val="TablePlainParagraph"/>
            </w:pPr>
            <w:r w:rsidRPr="004E62BD">
              <w:t>Date of birth</w:t>
            </w:r>
          </w:p>
        </w:tc>
      </w:tr>
      <w:tr w:rsidR="00AB3401" w:rsidRPr="00DF0998" w14:paraId="2C00CD2F" w14:textId="77777777" w:rsidTr="004E62BD">
        <w:tc>
          <w:tcPr>
            <w:tcW w:w="3984" w:type="dxa"/>
            <w:vAlign w:val="top"/>
          </w:tcPr>
          <w:p w14:paraId="5D80D648" w14:textId="404D96D2" w:rsidR="004E62BD" w:rsidRPr="004E62BD" w:rsidRDefault="004E62BD" w:rsidP="004E62BD">
            <w:pPr>
              <w:pStyle w:val="TablePlainParagraph"/>
            </w:pPr>
            <w:r w:rsidRPr="004E62BD">
              <w:t>Nationality</w:t>
            </w:r>
          </w:p>
        </w:tc>
        <w:tc>
          <w:tcPr>
            <w:tcW w:w="4253" w:type="dxa"/>
            <w:vAlign w:val="top"/>
          </w:tcPr>
          <w:p w14:paraId="32A98284" w14:textId="4FCBAF4C" w:rsidR="004E62BD" w:rsidRPr="004E62BD" w:rsidRDefault="004E62BD" w:rsidP="004E62BD">
            <w:pPr>
              <w:pStyle w:val="TablePlainParagraph"/>
            </w:pPr>
            <w:r w:rsidRPr="004E62BD">
              <w:t>Residential address</w:t>
            </w:r>
          </w:p>
        </w:tc>
      </w:tr>
      <w:tr w:rsidR="00AB3401" w:rsidRPr="00DF0998" w14:paraId="2AF86424" w14:textId="77777777" w:rsidTr="004E62BD">
        <w:tc>
          <w:tcPr>
            <w:tcW w:w="3984" w:type="dxa"/>
            <w:vAlign w:val="top"/>
          </w:tcPr>
          <w:p w14:paraId="08594C07" w14:textId="28B5E895" w:rsidR="004E62BD" w:rsidRPr="004E62BD" w:rsidRDefault="004E62BD" w:rsidP="004E62BD">
            <w:pPr>
              <w:pStyle w:val="TablePlainParagraph"/>
            </w:pPr>
            <w:r w:rsidRPr="004E62BD">
              <w:t>Date the person became or ceased to be a beneficial owner</w:t>
            </w:r>
          </w:p>
        </w:tc>
        <w:tc>
          <w:tcPr>
            <w:tcW w:w="4253" w:type="dxa"/>
            <w:vAlign w:val="top"/>
          </w:tcPr>
          <w:p w14:paraId="64C66AB4" w14:textId="0C5F5AB3" w:rsidR="004E62BD" w:rsidRPr="004E62BD" w:rsidRDefault="004E62BD" w:rsidP="004E62BD">
            <w:pPr>
              <w:pStyle w:val="TablePlainParagraph"/>
            </w:pPr>
            <w:r w:rsidRPr="004E62BD">
              <w:t>Status as a person who</w:t>
            </w:r>
            <w:r>
              <w:t xml:space="preserve"> has applied for,</w:t>
            </w:r>
            <w:r w:rsidRPr="004E62BD">
              <w:t xml:space="preserve"> </w:t>
            </w:r>
            <w:r w:rsidR="00DF08AB">
              <w:t xml:space="preserve">or </w:t>
            </w:r>
            <w:r w:rsidRPr="004E62BD">
              <w:t>is eligible for inclusion in</w:t>
            </w:r>
            <w:r>
              <w:t>,</w:t>
            </w:r>
            <w:r w:rsidRPr="004E62BD">
              <w:t xml:space="preserve"> suppression regime</w:t>
            </w:r>
          </w:p>
        </w:tc>
      </w:tr>
    </w:tbl>
    <w:p w14:paraId="134746ED" w14:textId="73AAFC48" w:rsidR="004E62BD" w:rsidRDefault="004E62BD" w:rsidP="00AA3C5A">
      <w:pPr>
        <w:pStyle w:val="Heading4"/>
      </w:pPr>
      <w:r>
        <w:t xml:space="preserve">Collection of personal information by in-scope companies from access </w:t>
      </w:r>
      <w:r w:rsidR="00DF08AB">
        <w:t>applicants</w:t>
      </w:r>
    </w:p>
    <w:p w14:paraId="231190A9" w14:textId="696A73EC" w:rsidR="00D363DE" w:rsidRDefault="004E62BD" w:rsidP="00D363DE">
      <w:pPr>
        <w:pStyle w:val="NumberLevel1"/>
      </w:pPr>
      <w:r>
        <w:t>Additionally, i</w:t>
      </w:r>
      <w:r w:rsidR="009A7771">
        <w:t xml:space="preserve">n-scope companies will collect </w:t>
      </w:r>
      <w:r w:rsidR="002212C6">
        <w:t xml:space="preserve">and disclose </w:t>
      </w:r>
      <w:r w:rsidR="009A7771">
        <w:t>the personal information of individuals when the</w:t>
      </w:r>
      <w:r w:rsidR="0049483A">
        <w:t xml:space="preserve"> individual</w:t>
      </w:r>
      <w:r w:rsidR="006307E5">
        <w:t>s</w:t>
      </w:r>
      <w:r w:rsidR="009A7771">
        <w:t xml:space="preserve"> request access to the in-scope company’s BOR. We anticipate that this would</w:t>
      </w:r>
      <w:r w:rsidR="002212C6">
        <w:t xml:space="preserve"> include</w:t>
      </w:r>
      <w:r w:rsidR="009A7771">
        <w:t xml:space="preserve"> </w:t>
      </w:r>
      <w:r w:rsidR="002212C6">
        <w:t>the personal information set out in the table below.</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605"/>
        <w:gridCol w:w="7615"/>
      </w:tblGrid>
      <w:tr w:rsidR="002212C6" w:rsidRPr="00121519" w14:paraId="7A152FD5" w14:textId="77777777" w:rsidTr="0065241F">
        <w:trPr>
          <w:cantSplit/>
          <w:tblHeader/>
        </w:trPr>
        <w:tc>
          <w:tcPr>
            <w:tcW w:w="368" w:type="pct"/>
            <w:shd w:val="clear" w:color="auto" w:fill="C4DDEA"/>
            <w:vAlign w:val="top"/>
          </w:tcPr>
          <w:p w14:paraId="6027C93A" w14:textId="1F534421" w:rsidR="002212C6" w:rsidRPr="00121519" w:rsidRDefault="002212C6" w:rsidP="0065241F">
            <w:pPr>
              <w:pStyle w:val="TableHeading2"/>
              <w:ind w:left="176" w:hanging="176"/>
            </w:pPr>
            <w:r>
              <w:t>No.</w:t>
            </w:r>
          </w:p>
        </w:tc>
        <w:tc>
          <w:tcPr>
            <w:tcW w:w="4632" w:type="pct"/>
            <w:shd w:val="clear" w:color="auto" w:fill="C4DDEA"/>
            <w:vAlign w:val="top"/>
          </w:tcPr>
          <w:p w14:paraId="715F8F9B" w14:textId="5EC15EDF" w:rsidR="002212C6" w:rsidRPr="00121519" w:rsidRDefault="002212C6" w:rsidP="0065241F">
            <w:pPr>
              <w:pStyle w:val="TableHeading2"/>
            </w:pPr>
            <w:r>
              <w:t>Type of personal information collected in requests to access BOR</w:t>
            </w:r>
          </w:p>
        </w:tc>
      </w:tr>
      <w:tr w:rsidR="002212C6" w:rsidRPr="00121519" w14:paraId="2DEBE119" w14:textId="77777777" w:rsidTr="0065241F">
        <w:tc>
          <w:tcPr>
            <w:tcW w:w="368" w:type="pct"/>
            <w:vAlign w:val="top"/>
          </w:tcPr>
          <w:p w14:paraId="19D8E868" w14:textId="25DC6162" w:rsidR="002212C6" w:rsidRPr="00121519" w:rsidRDefault="002212C6" w:rsidP="002212C6">
            <w:pPr>
              <w:pStyle w:val="TablePlainParagraph"/>
              <w:rPr>
                <w:b/>
              </w:rPr>
            </w:pPr>
            <w:r>
              <w:rPr>
                <w:b/>
              </w:rPr>
              <w:t>1.</w:t>
            </w:r>
          </w:p>
        </w:tc>
        <w:tc>
          <w:tcPr>
            <w:tcW w:w="4632" w:type="pct"/>
            <w:vAlign w:val="top"/>
          </w:tcPr>
          <w:p w14:paraId="31589228" w14:textId="2C60A1E6" w:rsidR="002212C6" w:rsidRPr="00121519" w:rsidRDefault="002212C6" w:rsidP="002212C6">
            <w:pPr>
              <w:pStyle w:val="TablePlainParagraph"/>
            </w:pPr>
            <w:r w:rsidRPr="00173FEB">
              <w:t>Full name</w:t>
            </w:r>
          </w:p>
        </w:tc>
      </w:tr>
      <w:tr w:rsidR="002212C6" w:rsidRPr="00121519" w14:paraId="4F6DB2C2" w14:textId="77777777" w:rsidTr="0065241F">
        <w:tc>
          <w:tcPr>
            <w:tcW w:w="368" w:type="pct"/>
            <w:vAlign w:val="top"/>
          </w:tcPr>
          <w:p w14:paraId="6109FAF0" w14:textId="54341016" w:rsidR="002212C6" w:rsidRPr="00121519" w:rsidRDefault="002212C6" w:rsidP="002212C6">
            <w:pPr>
              <w:pStyle w:val="TablePlainParagraph"/>
              <w:rPr>
                <w:b/>
              </w:rPr>
            </w:pPr>
            <w:r>
              <w:rPr>
                <w:b/>
              </w:rPr>
              <w:t>2.</w:t>
            </w:r>
          </w:p>
        </w:tc>
        <w:tc>
          <w:tcPr>
            <w:tcW w:w="4632" w:type="pct"/>
            <w:vAlign w:val="top"/>
          </w:tcPr>
          <w:p w14:paraId="56ECA473" w14:textId="6644B41C" w:rsidR="002212C6" w:rsidRPr="00121519" w:rsidRDefault="002212C6" w:rsidP="002212C6">
            <w:pPr>
              <w:pStyle w:val="TablePlainParagraph"/>
            </w:pPr>
            <w:r w:rsidRPr="00173FEB">
              <w:t>Address for communication</w:t>
            </w:r>
            <w:r w:rsidR="0049483A">
              <w:t xml:space="preserve"> (e.g. email address)</w:t>
            </w:r>
          </w:p>
        </w:tc>
      </w:tr>
      <w:tr w:rsidR="002212C6" w:rsidRPr="00121519" w14:paraId="5691E6DD" w14:textId="77777777" w:rsidTr="0065241F">
        <w:tc>
          <w:tcPr>
            <w:tcW w:w="368" w:type="pct"/>
            <w:vAlign w:val="top"/>
          </w:tcPr>
          <w:p w14:paraId="576D346C" w14:textId="3F5F6DBD" w:rsidR="002212C6" w:rsidRPr="00121519" w:rsidRDefault="002212C6" w:rsidP="002212C6">
            <w:pPr>
              <w:pStyle w:val="TablePlainParagraph"/>
              <w:rPr>
                <w:b/>
              </w:rPr>
            </w:pPr>
            <w:r>
              <w:rPr>
                <w:b/>
              </w:rPr>
              <w:t>3.</w:t>
            </w:r>
          </w:p>
        </w:tc>
        <w:tc>
          <w:tcPr>
            <w:tcW w:w="4632" w:type="pct"/>
            <w:vAlign w:val="top"/>
          </w:tcPr>
          <w:p w14:paraId="1380FDB6" w14:textId="1AC1ED99" w:rsidR="002212C6" w:rsidRPr="00121519" w:rsidRDefault="002212C6" w:rsidP="002212C6">
            <w:pPr>
              <w:pStyle w:val="TablePlainParagraph"/>
            </w:pPr>
            <w:r w:rsidRPr="00173FEB">
              <w:t>Phone number</w:t>
            </w:r>
            <w:r w:rsidR="00885CC6">
              <w:t xml:space="preserve"> (may be optional)</w:t>
            </w:r>
          </w:p>
        </w:tc>
      </w:tr>
      <w:tr w:rsidR="002212C6" w:rsidRPr="00121519" w14:paraId="54DE8C02" w14:textId="77777777" w:rsidTr="0065241F">
        <w:tc>
          <w:tcPr>
            <w:tcW w:w="368" w:type="pct"/>
            <w:vAlign w:val="top"/>
          </w:tcPr>
          <w:p w14:paraId="4D274A62" w14:textId="1B64CF4F" w:rsidR="002212C6" w:rsidRPr="00121519" w:rsidRDefault="002212C6" w:rsidP="002212C6">
            <w:pPr>
              <w:pStyle w:val="TablePlainParagraph"/>
              <w:rPr>
                <w:b/>
              </w:rPr>
            </w:pPr>
            <w:r>
              <w:rPr>
                <w:b/>
              </w:rPr>
              <w:t>4.</w:t>
            </w:r>
          </w:p>
        </w:tc>
        <w:tc>
          <w:tcPr>
            <w:tcW w:w="4632" w:type="pct"/>
            <w:vAlign w:val="top"/>
          </w:tcPr>
          <w:p w14:paraId="775D6452" w14:textId="33EE1E0B" w:rsidR="002212C6" w:rsidRPr="00121519" w:rsidRDefault="003A0EB1" w:rsidP="002212C6">
            <w:pPr>
              <w:pStyle w:val="TablePlainParagraph"/>
            </w:pPr>
            <w:r>
              <w:t>T</w:t>
            </w:r>
            <w:r w:rsidR="002212C6" w:rsidRPr="00173FEB">
              <w:t>he purpose for which access to the BOR is sought</w:t>
            </w:r>
          </w:p>
        </w:tc>
      </w:tr>
    </w:tbl>
    <w:p w14:paraId="144AF89A" w14:textId="1C97961D" w:rsidR="009A7771" w:rsidRDefault="009A7771" w:rsidP="00912A88">
      <w:pPr>
        <w:pStyle w:val="Heading4"/>
      </w:pPr>
      <w:r>
        <w:t xml:space="preserve">Collection of personal information by </w:t>
      </w:r>
      <w:r w:rsidR="002E428B">
        <w:t>the RCA</w:t>
      </w:r>
    </w:p>
    <w:p w14:paraId="3B3B13D6" w14:textId="360D27B0" w:rsidR="009A7771" w:rsidRDefault="009A7771" w:rsidP="009A7771">
      <w:pPr>
        <w:pStyle w:val="NumberLevel1"/>
      </w:pPr>
      <w:r>
        <w:t xml:space="preserve">Once Stage 2 is implemented and in-scope companies are required to provide information on their beneficial owners to </w:t>
      </w:r>
      <w:r w:rsidR="002E428B">
        <w:t xml:space="preserve">the RCA </w:t>
      </w:r>
      <w:r>
        <w:t xml:space="preserve">for inclusion in the PCBOR, the </w:t>
      </w:r>
      <w:r w:rsidR="00DF08AB">
        <w:t xml:space="preserve">RCA will collect the </w:t>
      </w:r>
      <w:r>
        <w:t>personal information outlined at paragraphs [</w:t>
      </w:r>
      <w:r>
        <w:fldChar w:fldCharType="begin"/>
      </w:r>
      <w:r>
        <w:instrText xml:space="preserve"> REF _Ref163214869 \r \h </w:instrText>
      </w:r>
      <w:r>
        <w:fldChar w:fldCharType="separate"/>
      </w:r>
      <w:r w:rsidR="00C14F0B">
        <w:t>297</w:t>
      </w:r>
      <w:r>
        <w:fldChar w:fldCharType="end"/>
      </w:r>
      <w:r>
        <w:t>]</w:t>
      </w:r>
      <w:proofErr w:type="gramStart"/>
      <w:r>
        <w:t>-[</w:t>
      </w:r>
      <w:proofErr w:type="gramEnd"/>
      <w:r>
        <w:t>206].</w:t>
      </w:r>
      <w:r w:rsidR="00DF08AB">
        <w:t xml:space="preserve"> Depending on how the RCA implements the PCBOR, in-scope entities may not collect </w:t>
      </w:r>
      <w:r w:rsidR="005D2962">
        <w:t xml:space="preserve">the </w:t>
      </w:r>
      <w:r w:rsidR="00DF08AB">
        <w:t xml:space="preserve">BOI of beneficial </w:t>
      </w:r>
      <w:proofErr w:type="gramStart"/>
      <w:r w:rsidR="00DF08AB">
        <w:t>owners, but</w:t>
      </w:r>
      <w:proofErr w:type="gramEnd"/>
      <w:r w:rsidR="00DF08AB">
        <w:t xml:space="preserve"> may instead facilitate the RCA’s collection of this information in the PCBOR.</w:t>
      </w:r>
    </w:p>
    <w:p w14:paraId="74BCA8F8" w14:textId="2C33AC3B" w:rsidR="009A7771" w:rsidRDefault="009A7771" w:rsidP="009A7771">
      <w:pPr>
        <w:pStyle w:val="Heading4"/>
      </w:pPr>
      <w:r>
        <w:t>Collection of personal information by ASIC</w:t>
      </w:r>
    </w:p>
    <w:p w14:paraId="55631BE3" w14:textId="211B99F3" w:rsidR="009A7771" w:rsidRDefault="009A7771" w:rsidP="009A7771">
      <w:pPr>
        <w:pStyle w:val="NumberLevel1"/>
      </w:pPr>
      <w:r>
        <w:t>ASIC will collect personal information when in-scope companies report non-compliance by a suspected beneficial owner who has not responded to</w:t>
      </w:r>
      <w:r w:rsidR="00DF08AB">
        <w:t>,</w:t>
      </w:r>
      <w:r>
        <w:t xml:space="preserve"> or adequately addressed</w:t>
      </w:r>
      <w:r w:rsidR="00DF08AB">
        <w:t>,</w:t>
      </w:r>
      <w:r>
        <w:t xml:space="preserve"> a valid warning notice within 28 days.</w:t>
      </w:r>
    </w:p>
    <w:p w14:paraId="1B4F0CB3" w14:textId="5B854CCC" w:rsidR="009A7771" w:rsidRDefault="00DF08AB" w:rsidP="009A7771">
      <w:pPr>
        <w:pStyle w:val="NumberLevel1"/>
      </w:pPr>
      <w:r>
        <w:t>Additionally,</w:t>
      </w:r>
      <w:r w:rsidR="00F0417B">
        <w:t xml:space="preserve"> where suppression is sought </w:t>
      </w:r>
      <w:r w:rsidR="00AF2DFF">
        <w:t>by providing evidence</w:t>
      </w:r>
      <w:r w:rsidR="00A13F12">
        <w:t xml:space="preserve"> </w:t>
      </w:r>
      <w:r w:rsidR="00F0417B">
        <w:t>of a risk to personal safety,</w:t>
      </w:r>
      <w:r>
        <w:t xml:space="preserve"> </w:t>
      </w:r>
      <w:r w:rsidR="009A7771">
        <w:t xml:space="preserve">ASIC will collect personal information from individual’s </w:t>
      </w:r>
      <w:r>
        <w:t xml:space="preserve">who apply for </w:t>
      </w:r>
      <w:r w:rsidR="009A7771">
        <w:t>suppress</w:t>
      </w:r>
      <w:r>
        <w:t>ion of their BOI</w:t>
      </w:r>
      <w:r w:rsidR="009A7771">
        <w:t>. This will necessarily include the name and contact information</w:t>
      </w:r>
      <w:r>
        <w:t xml:space="preserve"> of the beneficial owner</w:t>
      </w:r>
      <w:r w:rsidR="009A7771">
        <w:t xml:space="preserve">, as well as the basis </w:t>
      </w:r>
      <w:r>
        <w:t>of their suppression application</w:t>
      </w:r>
      <w:r w:rsidR="009A7771">
        <w:t>.</w:t>
      </w:r>
    </w:p>
    <w:p w14:paraId="10278B1E" w14:textId="025DE242" w:rsidR="009A7771" w:rsidRDefault="009A7771" w:rsidP="009A7771">
      <w:pPr>
        <w:pStyle w:val="Heading3"/>
      </w:pPr>
      <w:r>
        <w:t>APP 3.1 – Reasonably necessary or directly related to functions or activities</w:t>
      </w:r>
      <w:r w:rsidR="003A1D9B">
        <w:t xml:space="preserve"> of an </w:t>
      </w:r>
      <w:proofErr w:type="gramStart"/>
      <w:r w:rsidR="003A1D9B">
        <w:t>agency</w:t>
      </w:r>
      <w:proofErr w:type="gramEnd"/>
    </w:p>
    <w:p w14:paraId="7EBB3BA3" w14:textId="3DF109E9" w:rsidR="00EB45EE" w:rsidRDefault="00EB45EE" w:rsidP="009A7771">
      <w:pPr>
        <w:pStyle w:val="NumberLevel1"/>
        <w:spacing w:before="120" w:after="120"/>
      </w:pPr>
      <w:r>
        <w:t>We have not identified any APP 3.1 issues.</w:t>
      </w:r>
    </w:p>
    <w:p w14:paraId="5810B3FF" w14:textId="3D079AF8" w:rsidR="009A7771" w:rsidRDefault="009A7771" w:rsidP="009A7771">
      <w:pPr>
        <w:pStyle w:val="NumberLevel1"/>
        <w:spacing w:before="120" w:after="120"/>
      </w:pPr>
      <w:r w:rsidRPr="003C4EAE">
        <w:t xml:space="preserve">APP 3.1 provides that an agency must not collect personal information unless the information is reasonably necessary for, or directly related to, one or more of the </w:t>
      </w:r>
      <w:r w:rsidR="00DF08AB">
        <w:t>agency’s</w:t>
      </w:r>
      <w:r w:rsidRPr="003C4EAE">
        <w:t xml:space="preserve"> functions or activities. </w:t>
      </w:r>
    </w:p>
    <w:p w14:paraId="13D61D06" w14:textId="77777777" w:rsidR="009A7771" w:rsidRDefault="009A7771" w:rsidP="009A7771">
      <w:pPr>
        <w:pStyle w:val="NumberLevel1"/>
        <w:spacing w:before="120" w:after="120"/>
      </w:pPr>
      <w:r>
        <w:t>A collection will be ‘directly related’ where there is a clear and direct connection between the information for collection and the functions of the agency.</w:t>
      </w:r>
    </w:p>
    <w:p w14:paraId="18242B6D" w14:textId="77777777" w:rsidR="009A7771" w:rsidRDefault="009A7771" w:rsidP="009A7771">
      <w:pPr>
        <w:pStyle w:val="NumberLevel1"/>
      </w:pPr>
      <w:r>
        <w:t xml:space="preserve">Whether a collection is ‘reasonably necessary’ for the organisation’s functions and activities is an objective test, assessed from the perspective of a reasonable person who is properly informed. </w:t>
      </w:r>
    </w:p>
    <w:p w14:paraId="75FAE3BF" w14:textId="77777777" w:rsidR="00DF08AB" w:rsidRDefault="009A7771" w:rsidP="009A7771">
      <w:pPr>
        <w:pStyle w:val="NumberLevel1"/>
        <w:spacing w:before="120" w:after="120"/>
      </w:pPr>
      <w:r>
        <w:t>Generally, the term ‘reasonably necessary’ suggests a connection that is less than essential or indispensable, but more than just helpful, or of some assistance or expedient.</w:t>
      </w:r>
      <w:r>
        <w:rPr>
          <w:rStyle w:val="FootnoteReference"/>
        </w:rPr>
        <w:footnoteReference w:id="42"/>
      </w:r>
      <w:r>
        <w:t xml:space="preserve"> In </w:t>
      </w:r>
      <w:r w:rsidRPr="003906E9">
        <w:rPr>
          <w:i/>
        </w:rPr>
        <w:t>Mulholland v Australian Electoral Commissioner</w:t>
      </w:r>
      <w:r w:rsidRPr="008E3983">
        <w:t xml:space="preserve"> [2004] HCA 41 at [39]</w:t>
      </w:r>
      <w:r>
        <w:t xml:space="preserve">, the term ‘reasonably necessary’ has also been equated to being ‘reasonably appropriate and adapted’. </w:t>
      </w:r>
    </w:p>
    <w:p w14:paraId="3EA2A993" w14:textId="62B5DD62" w:rsidR="009A7771" w:rsidRDefault="009A7771" w:rsidP="009A7771">
      <w:pPr>
        <w:pStyle w:val="NumberLevel1"/>
        <w:spacing w:before="120" w:after="120"/>
      </w:pPr>
      <w:r>
        <w:t xml:space="preserve">In </w:t>
      </w:r>
      <w:proofErr w:type="spellStart"/>
      <w:r>
        <w:rPr>
          <w:i/>
        </w:rPr>
        <w:t>Jurecek</w:t>
      </w:r>
      <w:proofErr w:type="spellEnd"/>
      <w:r>
        <w:rPr>
          <w:i/>
        </w:rPr>
        <w:t xml:space="preserve"> v Director, Transport Safety Victoria</w:t>
      </w:r>
      <w:r>
        <w:t xml:space="preserve"> [2016] VSC 285, Bell J noted in the context of the </w:t>
      </w:r>
      <w:r>
        <w:rPr>
          <w:i/>
        </w:rPr>
        <w:t>Information Privacy Act 2000</w:t>
      </w:r>
      <w:r>
        <w:t xml:space="preserve"> (Vic) that an evaluation of whether a collection of personal information is ‘reasonably necessary’ should include ‘balancing, in a reasonably proportionate way, the nature and importance of any legitimate purpose and the extent of the interference.’ The </w:t>
      </w:r>
      <w:proofErr w:type="spellStart"/>
      <w:r>
        <w:rPr>
          <w:i/>
        </w:rPr>
        <w:t>Jurecek</w:t>
      </w:r>
      <w:proofErr w:type="spellEnd"/>
      <w:r>
        <w:t xml:space="preserve"> decision has since been cited with approval by the Australian Information Commissioner in interpreting APP 3.</w:t>
      </w:r>
    </w:p>
    <w:p w14:paraId="18E421FF" w14:textId="62D6931B" w:rsidR="009A7771" w:rsidRDefault="00664985" w:rsidP="003844E3">
      <w:pPr>
        <w:pStyle w:val="NumberLevel1"/>
      </w:pPr>
      <w:r>
        <w:t xml:space="preserve">We understand that legislation </w:t>
      </w:r>
      <w:r w:rsidR="00DF08AB">
        <w:t xml:space="preserve">enacting the </w:t>
      </w:r>
      <w:r w:rsidR="00E62A06">
        <w:t>BO Policy</w:t>
      </w:r>
      <w:r w:rsidR="00DF08AB">
        <w:t xml:space="preserve"> </w:t>
      </w:r>
      <w:r>
        <w:t>will</w:t>
      </w:r>
      <w:r w:rsidR="003844E3">
        <w:t xml:space="preserve"> </w:t>
      </w:r>
      <w:r>
        <w:t>requir</w:t>
      </w:r>
      <w:r w:rsidR="003844E3">
        <w:t>e</w:t>
      </w:r>
      <w:r>
        <w:t xml:space="preserve"> </w:t>
      </w:r>
      <w:r w:rsidR="002E428B">
        <w:t xml:space="preserve">the RCA </w:t>
      </w:r>
      <w:r>
        <w:t xml:space="preserve">to </w:t>
      </w:r>
      <w:r w:rsidR="00DF08AB">
        <w:t xml:space="preserve">develop and </w:t>
      </w:r>
      <w:r>
        <w:t xml:space="preserve">maintain the PCBOR. </w:t>
      </w:r>
      <w:r w:rsidR="003844E3">
        <w:t xml:space="preserve">As such, </w:t>
      </w:r>
      <w:r>
        <w:t xml:space="preserve">any BOI collected by </w:t>
      </w:r>
      <w:r w:rsidR="002E428B">
        <w:t xml:space="preserve">the RCA </w:t>
      </w:r>
      <w:r>
        <w:t xml:space="preserve">in accordance with legislation will be reasonably necessary for, or directly related to, </w:t>
      </w:r>
      <w:r w:rsidR="002E428B">
        <w:t>the RCA’</w:t>
      </w:r>
      <w:r w:rsidR="005D2962">
        <w:t>s</w:t>
      </w:r>
      <w:r w:rsidR="002E428B">
        <w:t xml:space="preserve"> </w:t>
      </w:r>
      <w:r>
        <w:t>functions or activities.</w:t>
      </w:r>
    </w:p>
    <w:p w14:paraId="3332CEF1" w14:textId="16077252" w:rsidR="00DF08AB" w:rsidRDefault="00774E9C" w:rsidP="009A7771">
      <w:pPr>
        <w:pStyle w:val="NumberLevel1"/>
      </w:pPr>
      <w:r>
        <w:t>Similarly</w:t>
      </w:r>
      <w:r w:rsidR="00664985">
        <w:t xml:space="preserve">, we understand that </w:t>
      </w:r>
      <w:r w:rsidR="00DF08AB">
        <w:t xml:space="preserve">legislation requiring </w:t>
      </w:r>
      <w:r w:rsidR="00664985">
        <w:t>ASIC</w:t>
      </w:r>
      <w:r w:rsidR="00DF08AB">
        <w:t xml:space="preserve"> </w:t>
      </w:r>
      <w:r w:rsidR="00664985">
        <w:t>to</w:t>
      </w:r>
      <w:r w:rsidR="003A1D9B">
        <w:t xml:space="preserve"> enforc</w:t>
      </w:r>
      <w:r w:rsidR="003844E3">
        <w:t>e</w:t>
      </w:r>
      <w:r w:rsidR="003A1D9B">
        <w:t xml:space="preserve"> compliance with the </w:t>
      </w:r>
      <w:r w:rsidR="00E62A06">
        <w:t>BO Policy</w:t>
      </w:r>
      <w:r w:rsidR="003A1D9B">
        <w:t xml:space="preserve"> and assess eligibility for inclusion in the suppression regime</w:t>
      </w:r>
      <w:r w:rsidR="00DF08AB">
        <w:t xml:space="preserve"> will confer these functions on ASIC</w:t>
      </w:r>
      <w:r w:rsidR="003A1D9B">
        <w:t>.</w:t>
      </w:r>
      <w:r w:rsidR="00DF08AB">
        <w:t xml:space="preserve"> </w:t>
      </w:r>
    </w:p>
    <w:p w14:paraId="1200A3E8" w14:textId="36B967B7" w:rsidR="00576454" w:rsidRDefault="003844E3" w:rsidP="003844E3">
      <w:pPr>
        <w:pStyle w:val="NumberLevel1"/>
      </w:pPr>
      <w:r>
        <w:t xml:space="preserve">We have considered whether any of the categories of BOI for inclusion in the PCBOR go beyond what is reasonable and necessary to achieve the </w:t>
      </w:r>
      <w:r w:rsidR="00E62A06">
        <w:t>BO Policy</w:t>
      </w:r>
      <w:r>
        <w:t xml:space="preserve">’s purposes of combating money laundering and terrorism financing. </w:t>
      </w:r>
      <w:r w:rsidR="00576454">
        <w:t xml:space="preserve">The rationale for </w:t>
      </w:r>
      <w:r w:rsidR="00CD3B1A">
        <w:t>collecting each BOI field is set out below.</w:t>
      </w:r>
    </w:p>
    <w:tbl>
      <w:tblPr>
        <w:tblStyle w:val="TableGrid"/>
        <w:tblW w:w="5144"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2694"/>
        <w:gridCol w:w="2551"/>
        <w:gridCol w:w="1561"/>
        <w:gridCol w:w="1651"/>
      </w:tblGrid>
      <w:tr w:rsidR="00576454" w:rsidRPr="00121519" w14:paraId="6E8EE821" w14:textId="356D67A8" w:rsidTr="00CD3B1A">
        <w:trPr>
          <w:cantSplit/>
          <w:tblHeader/>
        </w:trPr>
        <w:tc>
          <w:tcPr>
            <w:tcW w:w="1593" w:type="pct"/>
            <w:shd w:val="clear" w:color="auto" w:fill="C4DDEA"/>
            <w:vAlign w:val="top"/>
          </w:tcPr>
          <w:p w14:paraId="5DF84492" w14:textId="3B9C45C7" w:rsidR="00576454" w:rsidRPr="00121519" w:rsidRDefault="00576454" w:rsidP="00CD3B1A">
            <w:pPr>
              <w:pStyle w:val="TableHeading2"/>
              <w:ind w:left="176" w:hanging="176"/>
            </w:pPr>
            <w:r>
              <w:t>Information field</w:t>
            </w:r>
          </w:p>
        </w:tc>
        <w:tc>
          <w:tcPr>
            <w:tcW w:w="1508" w:type="pct"/>
            <w:shd w:val="clear" w:color="auto" w:fill="C4DDEA"/>
            <w:vAlign w:val="top"/>
          </w:tcPr>
          <w:p w14:paraId="186B7C5E" w14:textId="2D524808" w:rsidR="00576454" w:rsidRPr="00121519" w:rsidRDefault="00576454" w:rsidP="00CD3B1A">
            <w:pPr>
              <w:pStyle w:val="TableHeading2"/>
            </w:pPr>
            <w:r>
              <w:t>Reason for collection</w:t>
            </w:r>
          </w:p>
        </w:tc>
        <w:tc>
          <w:tcPr>
            <w:tcW w:w="923" w:type="pct"/>
            <w:shd w:val="clear" w:color="auto" w:fill="C4DDEA"/>
            <w:vAlign w:val="top"/>
          </w:tcPr>
          <w:p w14:paraId="0E33E138" w14:textId="63845090" w:rsidR="00576454" w:rsidRPr="00121519" w:rsidRDefault="00576454" w:rsidP="00CD3B1A">
            <w:pPr>
              <w:pStyle w:val="TableHeading2"/>
            </w:pPr>
            <w:r>
              <w:t>Available to the public?</w:t>
            </w:r>
          </w:p>
        </w:tc>
        <w:tc>
          <w:tcPr>
            <w:tcW w:w="976" w:type="pct"/>
            <w:shd w:val="clear" w:color="auto" w:fill="C4DDEA"/>
            <w:vAlign w:val="top"/>
          </w:tcPr>
          <w:p w14:paraId="412E5F37" w14:textId="195B3361" w:rsidR="00576454" w:rsidRPr="00121519" w:rsidRDefault="00576454" w:rsidP="00CD3B1A">
            <w:pPr>
              <w:pStyle w:val="TableHeading2"/>
            </w:pPr>
            <w:r>
              <w:t>Reason for public access</w:t>
            </w:r>
          </w:p>
        </w:tc>
      </w:tr>
      <w:tr w:rsidR="00576454" w:rsidRPr="00121519" w14:paraId="5760A9C1" w14:textId="2B0789E3" w:rsidTr="00CD3B1A">
        <w:trPr>
          <w:cantSplit/>
        </w:trPr>
        <w:tc>
          <w:tcPr>
            <w:tcW w:w="5000" w:type="pct"/>
            <w:gridSpan w:val="4"/>
            <w:shd w:val="clear" w:color="auto" w:fill="E7E6E6" w:themeFill="background2"/>
            <w:vAlign w:val="top"/>
          </w:tcPr>
          <w:p w14:paraId="5B419930" w14:textId="5E1ECC77" w:rsidR="00576454" w:rsidRPr="00CD3B1A" w:rsidRDefault="00576454" w:rsidP="00CD3B1A">
            <w:pPr>
              <w:pStyle w:val="TablePlainParagraph"/>
              <w:rPr>
                <w:b/>
              </w:rPr>
            </w:pPr>
            <w:r w:rsidRPr="00CD3B1A">
              <w:rPr>
                <w:b/>
              </w:rPr>
              <w:t>Beneficial Owners (Natural Person)</w:t>
            </w:r>
          </w:p>
        </w:tc>
      </w:tr>
      <w:tr w:rsidR="00576454" w:rsidRPr="00121519" w14:paraId="55A355FD" w14:textId="77777777" w:rsidTr="00CD3B1A">
        <w:trPr>
          <w:cantSplit/>
        </w:trPr>
        <w:tc>
          <w:tcPr>
            <w:tcW w:w="1593" w:type="pct"/>
            <w:vAlign w:val="top"/>
          </w:tcPr>
          <w:p w14:paraId="63026FDE" w14:textId="3FDB0E4D" w:rsidR="00576454" w:rsidRPr="005D2962" w:rsidRDefault="00576454" w:rsidP="005D2962">
            <w:pPr>
              <w:pStyle w:val="TablePlainParagraph"/>
            </w:pPr>
            <w:r w:rsidRPr="00EB6C57">
              <w:t xml:space="preserve">Full name </w:t>
            </w:r>
          </w:p>
        </w:tc>
        <w:tc>
          <w:tcPr>
            <w:tcW w:w="1508" w:type="pct"/>
            <w:vAlign w:val="top"/>
          </w:tcPr>
          <w:p w14:paraId="6F8A875D" w14:textId="37AD7D06" w:rsidR="00576454" w:rsidRPr="00121519" w:rsidRDefault="00576454" w:rsidP="005D2962">
            <w:pPr>
              <w:pStyle w:val="TablePlainParagraph"/>
            </w:pPr>
            <w:r w:rsidRPr="00EB6C57">
              <w:t>Identification</w:t>
            </w:r>
          </w:p>
        </w:tc>
        <w:tc>
          <w:tcPr>
            <w:tcW w:w="923" w:type="pct"/>
            <w:vAlign w:val="top"/>
          </w:tcPr>
          <w:p w14:paraId="3077F452" w14:textId="3DD84397" w:rsidR="00576454" w:rsidRPr="00121519" w:rsidRDefault="00576454" w:rsidP="005D2962">
            <w:pPr>
              <w:pStyle w:val="TablePlainParagraph"/>
            </w:pPr>
            <w:r w:rsidRPr="00EB6C57">
              <w:t>Yes</w:t>
            </w:r>
          </w:p>
        </w:tc>
        <w:tc>
          <w:tcPr>
            <w:tcW w:w="976" w:type="pct"/>
            <w:vAlign w:val="top"/>
          </w:tcPr>
          <w:p w14:paraId="04E4B93F" w14:textId="7588FB60" w:rsidR="00576454" w:rsidRPr="00121519" w:rsidRDefault="00576454" w:rsidP="005D2962">
            <w:pPr>
              <w:pStyle w:val="TablePlainParagraph"/>
            </w:pPr>
            <w:r>
              <w:t>Identification</w:t>
            </w:r>
          </w:p>
        </w:tc>
      </w:tr>
      <w:tr w:rsidR="00576454" w:rsidRPr="00121519" w14:paraId="400C3DB1" w14:textId="77777777" w:rsidTr="00CD3B1A">
        <w:trPr>
          <w:cantSplit/>
        </w:trPr>
        <w:tc>
          <w:tcPr>
            <w:tcW w:w="1593" w:type="pct"/>
            <w:vAlign w:val="top"/>
          </w:tcPr>
          <w:p w14:paraId="3B723950" w14:textId="51C06428" w:rsidR="00576454" w:rsidRPr="005D2962" w:rsidRDefault="00576454" w:rsidP="005D2962">
            <w:pPr>
              <w:pStyle w:val="TablePlainParagraph"/>
            </w:pPr>
            <w:r w:rsidRPr="00EB6C57">
              <w:t>Full date of birth</w:t>
            </w:r>
          </w:p>
        </w:tc>
        <w:tc>
          <w:tcPr>
            <w:tcW w:w="1508" w:type="pct"/>
            <w:vAlign w:val="top"/>
          </w:tcPr>
          <w:p w14:paraId="280D8B61" w14:textId="15A215B1" w:rsidR="00576454" w:rsidRPr="00121519" w:rsidRDefault="00576454" w:rsidP="005D2962">
            <w:pPr>
              <w:pStyle w:val="TablePlainParagraph"/>
            </w:pPr>
            <w:r w:rsidRPr="00EB6C57">
              <w:t>Identification</w:t>
            </w:r>
          </w:p>
        </w:tc>
        <w:tc>
          <w:tcPr>
            <w:tcW w:w="923" w:type="pct"/>
            <w:vAlign w:val="top"/>
          </w:tcPr>
          <w:p w14:paraId="2AA8CF7F" w14:textId="2CA5CD0D" w:rsidR="00576454" w:rsidRPr="00121519" w:rsidRDefault="00576454" w:rsidP="005D2962">
            <w:pPr>
              <w:pStyle w:val="TablePlainParagraph"/>
            </w:pPr>
            <w:r w:rsidRPr="00EB6C57">
              <w:t>Only month and year of birth</w:t>
            </w:r>
          </w:p>
        </w:tc>
        <w:tc>
          <w:tcPr>
            <w:tcW w:w="976" w:type="pct"/>
            <w:vAlign w:val="top"/>
          </w:tcPr>
          <w:p w14:paraId="292D0B03" w14:textId="23208F9B" w:rsidR="00576454" w:rsidRPr="00121519" w:rsidRDefault="00576454" w:rsidP="005D2962">
            <w:pPr>
              <w:pStyle w:val="TablePlainParagraph"/>
            </w:pPr>
            <w:r>
              <w:t>Identification</w:t>
            </w:r>
          </w:p>
        </w:tc>
      </w:tr>
      <w:tr w:rsidR="00576454" w:rsidRPr="00121519" w14:paraId="5E6DCCED" w14:textId="77777777" w:rsidTr="005D2962">
        <w:trPr>
          <w:cantSplit/>
        </w:trPr>
        <w:tc>
          <w:tcPr>
            <w:tcW w:w="1593" w:type="pct"/>
            <w:vAlign w:val="top"/>
          </w:tcPr>
          <w:p w14:paraId="7E5F6030" w14:textId="5CCF379C" w:rsidR="00576454" w:rsidRPr="005D2962" w:rsidRDefault="00576454" w:rsidP="005D2962">
            <w:pPr>
              <w:pStyle w:val="TablePlainParagraph"/>
            </w:pPr>
            <w:r w:rsidRPr="00EB6C57">
              <w:t>Addresses for communication and service (can be postal or electronic)</w:t>
            </w:r>
          </w:p>
        </w:tc>
        <w:tc>
          <w:tcPr>
            <w:tcW w:w="1508" w:type="pct"/>
            <w:vAlign w:val="top"/>
          </w:tcPr>
          <w:p w14:paraId="0626D7DC" w14:textId="77777777" w:rsidR="00576454" w:rsidRPr="00EB6C57" w:rsidRDefault="00576454" w:rsidP="005D2962">
            <w:pPr>
              <w:pStyle w:val="TablePlainParagraph"/>
            </w:pPr>
            <w:r w:rsidRPr="00EB6C57">
              <w:t>Identification</w:t>
            </w:r>
          </w:p>
          <w:p w14:paraId="2BFA1503" w14:textId="1B33BB03" w:rsidR="00576454" w:rsidRPr="00121519" w:rsidRDefault="00576454" w:rsidP="005D2962">
            <w:pPr>
              <w:pStyle w:val="TablePlainParagraph"/>
            </w:pPr>
            <w:r w:rsidRPr="00EB6C57">
              <w:t>Communication and service</w:t>
            </w:r>
          </w:p>
        </w:tc>
        <w:tc>
          <w:tcPr>
            <w:tcW w:w="923" w:type="pct"/>
            <w:vAlign w:val="top"/>
          </w:tcPr>
          <w:p w14:paraId="3404EC6E" w14:textId="6FB8335A" w:rsidR="00576454" w:rsidRPr="00121519" w:rsidRDefault="00576454" w:rsidP="005D2962">
            <w:pPr>
              <w:pStyle w:val="TablePlainParagraph"/>
            </w:pPr>
            <w:r w:rsidRPr="00EB6C57">
              <w:t>No</w:t>
            </w:r>
          </w:p>
        </w:tc>
        <w:tc>
          <w:tcPr>
            <w:tcW w:w="976" w:type="pct"/>
            <w:vAlign w:val="top"/>
          </w:tcPr>
          <w:p w14:paraId="3BEF17B8" w14:textId="3331FF5B" w:rsidR="00576454" w:rsidRPr="00121519" w:rsidRDefault="00576454" w:rsidP="005D2962">
            <w:pPr>
              <w:pStyle w:val="TablePlainParagraph"/>
            </w:pPr>
            <w:r>
              <w:t>N/A</w:t>
            </w:r>
          </w:p>
        </w:tc>
      </w:tr>
      <w:tr w:rsidR="00576454" w:rsidRPr="00121519" w14:paraId="152D6626" w14:textId="77777777" w:rsidTr="005D2962">
        <w:trPr>
          <w:cantSplit/>
        </w:trPr>
        <w:tc>
          <w:tcPr>
            <w:tcW w:w="1593" w:type="pct"/>
            <w:vAlign w:val="top"/>
          </w:tcPr>
          <w:p w14:paraId="5B8AA177" w14:textId="149536CA" w:rsidR="00576454" w:rsidRPr="005D2962" w:rsidRDefault="00576454" w:rsidP="005D2962">
            <w:pPr>
              <w:pStyle w:val="TablePlainParagraph"/>
            </w:pPr>
            <w:r w:rsidRPr="00EB6C57">
              <w:t>Residential address</w:t>
            </w:r>
          </w:p>
        </w:tc>
        <w:tc>
          <w:tcPr>
            <w:tcW w:w="1508" w:type="pct"/>
            <w:vAlign w:val="top"/>
          </w:tcPr>
          <w:p w14:paraId="2A9A1C63" w14:textId="77777777" w:rsidR="00576454" w:rsidRPr="00EB6C57" w:rsidRDefault="00576454" w:rsidP="005D2962">
            <w:pPr>
              <w:pStyle w:val="TablePlainParagraph"/>
            </w:pPr>
            <w:r w:rsidRPr="00EB6C57">
              <w:t>Identification</w:t>
            </w:r>
          </w:p>
          <w:p w14:paraId="70614325" w14:textId="753FC193" w:rsidR="00576454" w:rsidRPr="00121519" w:rsidRDefault="00576454" w:rsidP="005D2962">
            <w:pPr>
              <w:pStyle w:val="TablePlainParagraph"/>
            </w:pPr>
            <w:r w:rsidRPr="00EB6C57">
              <w:t>Communication by regulated entity, regulator, and law enforcement agencies</w:t>
            </w:r>
          </w:p>
        </w:tc>
        <w:tc>
          <w:tcPr>
            <w:tcW w:w="923" w:type="pct"/>
            <w:vAlign w:val="top"/>
          </w:tcPr>
          <w:p w14:paraId="5E59D861" w14:textId="0896F66A" w:rsidR="00576454" w:rsidRPr="00121519" w:rsidRDefault="00576454" w:rsidP="005D2962">
            <w:pPr>
              <w:pStyle w:val="TablePlainParagraph"/>
            </w:pPr>
            <w:r w:rsidRPr="00EB6C57">
              <w:t>Only country of residence</w:t>
            </w:r>
          </w:p>
        </w:tc>
        <w:tc>
          <w:tcPr>
            <w:tcW w:w="976" w:type="pct"/>
            <w:vAlign w:val="top"/>
          </w:tcPr>
          <w:p w14:paraId="37CED77B" w14:textId="3E223315" w:rsidR="00576454" w:rsidRPr="00121519" w:rsidRDefault="00576454" w:rsidP="005D2962">
            <w:pPr>
              <w:pStyle w:val="TablePlainParagraph"/>
            </w:pPr>
            <w:r>
              <w:t>Identification</w:t>
            </w:r>
          </w:p>
        </w:tc>
      </w:tr>
      <w:tr w:rsidR="00576454" w:rsidRPr="00121519" w14:paraId="6FB58C05" w14:textId="77777777" w:rsidTr="005D2962">
        <w:trPr>
          <w:cantSplit/>
        </w:trPr>
        <w:tc>
          <w:tcPr>
            <w:tcW w:w="1593" w:type="pct"/>
            <w:vAlign w:val="top"/>
          </w:tcPr>
          <w:p w14:paraId="5E8985BB" w14:textId="3B639210" w:rsidR="00576454" w:rsidRPr="005D2962" w:rsidRDefault="00576454" w:rsidP="005D2962">
            <w:pPr>
              <w:pStyle w:val="TablePlainParagraph"/>
            </w:pPr>
            <w:r w:rsidRPr="00EB6C57">
              <w:t xml:space="preserve">Nationality / Nationalities </w:t>
            </w:r>
          </w:p>
        </w:tc>
        <w:tc>
          <w:tcPr>
            <w:tcW w:w="1508" w:type="pct"/>
            <w:vAlign w:val="top"/>
          </w:tcPr>
          <w:p w14:paraId="5CDC2F7F" w14:textId="29F22CC6" w:rsidR="00576454" w:rsidRPr="00121519" w:rsidRDefault="00576454" w:rsidP="005D2962">
            <w:pPr>
              <w:pStyle w:val="TablePlainParagraph"/>
            </w:pPr>
            <w:r w:rsidRPr="00EB6C57">
              <w:t>Identification</w:t>
            </w:r>
          </w:p>
        </w:tc>
        <w:tc>
          <w:tcPr>
            <w:tcW w:w="923" w:type="pct"/>
            <w:vAlign w:val="top"/>
          </w:tcPr>
          <w:p w14:paraId="06170FCE" w14:textId="2277F795" w:rsidR="00576454" w:rsidRPr="00121519" w:rsidRDefault="00576454" w:rsidP="005D2962">
            <w:pPr>
              <w:pStyle w:val="TablePlainParagraph"/>
            </w:pPr>
            <w:r w:rsidRPr="00EB6C57">
              <w:t>Yes</w:t>
            </w:r>
          </w:p>
        </w:tc>
        <w:tc>
          <w:tcPr>
            <w:tcW w:w="976" w:type="pct"/>
            <w:vAlign w:val="top"/>
          </w:tcPr>
          <w:p w14:paraId="3DC5FE32" w14:textId="410E7A41" w:rsidR="00576454" w:rsidRPr="00121519" w:rsidRDefault="00576454" w:rsidP="005D2962">
            <w:pPr>
              <w:pStyle w:val="TablePlainParagraph"/>
            </w:pPr>
            <w:r>
              <w:t>Identification</w:t>
            </w:r>
          </w:p>
        </w:tc>
      </w:tr>
      <w:tr w:rsidR="00576454" w:rsidRPr="00121519" w14:paraId="79BE24F3" w14:textId="77777777" w:rsidTr="005D2962">
        <w:trPr>
          <w:cantSplit/>
        </w:trPr>
        <w:tc>
          <w:tcPr>
            <w:tcW w:w="1593" w:type="pct"/>
            <w:vAlign w:val="top"/>
          </w:tcPr>
          <w:p w14:paraId="74EFDECA" w14:textId="75E74FDE" w:rsidR="00576454" w:rsidRPr="005D2962" w:rsidRDefault="00576454" w:rsidP="005D2962">
            <w:pPr>
              <w:pStyle w:val="TablePlainParagraph"/>
            </w:pPr>
            <w:r w:rsidRPr="00EB6C57">
              <w:t xml:space="preserve">Nature of control or influence </w:t>
            </w:r>
          </w:p>
        </w:tc>
        <w:tc>
          <w:tcPr>
            <w:tcW w:w="1508" w:type="pct"/>
            <w:vAlign w:val="top"/>
          </w:tcPr>
          <w:p w14:paraId="4AAC71E2" w14:textId="77777777" w:rsidR="00576454" w:rsidRPr="000204D1" w:rsidRDefault="00576454" w:rsidP="005D2962">
            <w:pPr>
              <w:pStyle w:val="TablePlainParagraph"/>
            </w:pPr>
            <w:r w:rsidRPr="000204D1">
              <w:t xml:space="preserve">Aid enforcement activity by describing link between individual and </w:t>
            </w:r>
            <w:proofErr w:type="gramStart"/>
            <w:r w:rsidRPr="000204D1">
              <w:t>company</w:t>
            </w:r>
            <w:proofErr w:type="gramEnd"/>
          </w:p>
          <w:p w14:paraId="3142D003" w14:textId="5499CFA8" w:rsidR="00576454" w:rsidRPr="00121519" w:rsidRDefault="00576454" w:rsidP="005D2962">
            <w:pPr>
              <w:pStyle w:val="TablePlainParagraph"/>
            </w:pPr>
            <w:r w:rsidRPr="00EB6C57">
              <w:t>Increased corporate transparency</w:t>
            </w:r>
          </w:p>
        </w:tc>
        <w:tc>
          <w:tcPr>
            <w:tcW w:w="923" w:type="pct"/>
            <w:vAlign w:val="top"/>
          </w:tcPr>
          <w:p w14:paraId="6B32DAD4" w14:textId="6F61D602" w:rsidR="00576454" w:rsidRPr="00121519" w:rsidRDefault="00576454" w:rsidP="005D2962">
            <w:pPr>
              <w:pStyle w:val="TablePlainParagraph"/>
            </w:pPr>
            <w:r w:rsidRPr="00EB6C57">
              <w:t>Yes</w:t>
            </w:r>
          </w:p>
        </w:tc>
        <w:tc>
          <w:tcPr>
            <w:tcW w:w="976" w:type="pct"/>
            <w:vAlign w:val="top"/>
          </w:tcPr>
          <w:p w14:paraId="1901EBC2" w14:textId="6374F058" w:rsidR="00576454" w:rsidRPr="00121519" w:rsidRDefault="00576454" w:rsidP="005D2962">
            <w:pPr>
              <w:pStyle w:val="TablePlainParagraph"/>
            </w:pPr>
            <w:r>
              <w:t>Increased corporate transparency</w:t>
            </w:r>
          </w:p>
        </w:tc>
      </w:tr>
      <w:tr w:rsidR="00576454" w:rsidRPr="00121519" w14:paraId="3D8299AA" w14:textId="77777777" w:rsidTr="005D2962">
        <w:trPr>
          <w:cantSplit/>
        </w:trPr>
        <w:tc>
          <w:tcPr>
            <w:tcW w:w="1593" w:type="pct"/>
            <w:vAlign w:val="top"/>
          </w:tcPr>
          <w:p w14:paraId="4DF7FB4D" w14:textId="45EFF29B" w:rsidR="00576454" w:rsidRPr="005D2962" w:rsidRDefault="00576454" w:rsidP="005D2962">
            <w:pPr>
              <w:pStyle w:val="TablePlainParagraph"/>
            </w:pPr>
            <w:r w:rsidRPr="00EB6C57">
              <w:t>Date the person became or ceased to be a beneficial owner</w:t>
            </w:r>
          </w:p>
        </w:tc>
        <w:tc>
          <w:tcPr>
            <w:tcW w:w="1508" w:type="pct"/>
            <w:vAlign w:val="top"/>
          </w:tcPr>
          <w:p w14:paraId="2BC030BB" w14:textId="77777777" w:rsidR="00576454" w:rsidRPr="000204D1" w:rsidRDefault="00576454" w:rsidP="005D2962">
            <w:pPr>
              <w:pStyle w:val="TablePlainParagraph"/>
            </w:pPr>
            <w:r w:rsidRPr="000204D1">
              <w:t xml:space="preserve">Aid enforcement activity by describing link between individual and </w:t>
            </w:r>
            <w:proofErr w:type="gramStart"/>
            <w:r w:rsidRPr="000204D1">
              <w:t>company</w:t>
            </w:r>
            <w:proofErr w:type="gramEnd"/>
          </w:p>
          <w:p w14:paraId="3D7092D0" w14:textId="071A4177" w:rsidR="00576454" w:rsidRPr="00121519" w:rsidRDefault="00576454" w:rsidP="005D2962">
            <w:pPr>
              <w:pStyle w:val="TablePlainParagraph"/>
            </w:pPr>
            <w:r w:rsidRPr="00EB6C57">
              <w:t>Increased corporate transparency</w:t>
            </w:r>
          </w:p>
        </w:tc>
        <w:tc>
          <w:tcPr>
            <w:tcW w:w="923" w:type="pct"/>
            <w:vAlign w:val="top"/>
          </w:tcPr>
          <w:p w14:paraId="22BD073D" w14:textId="175C047D" w:rsidR="00576454" w:rsidRPr="00121519" w:rsidRDefault="00576454" w:rsidP="005D2962">
            <w:pPr>
              <w:pStyle w:val="TablePlainParagraph"/>
            </w:pPr>
            <w:r w:rsidRPr="00EB6C57">
              <w:t>Yes</w:t>
            </w:r>
          </w:p>
        </w:tc>
        <w:tc>
          <w:tcPr>
            <w:tcW w:w="976" w:type="pct"/>
            <w:vAlign w:val="top"/>
          </w:tcPr>
          <w:p w14:paraId="48CB6230" w14:textId="18354CEB" w:rsidR="00576454" w:rsidRPr="00121519" w:rsidRDefault="00576454" w:rsidP="005D2962">
            <w:pPr>
              <w:pStyle w:val="TablePlainParagraph"/>
            </w:pPr>
            <w:r>
              <w:t>Increased corporate transparency</w:t>
            </w:r>
          </w:p>
        </w:tc>
      </w:tr>
      <w:tr w:rsidR="00576454" w:rsidRPr="00121519" w14:paraId="714362A7" w14:textId="77777777" w:rsidTr="00CD3B1A">
        <w:trPr>
          <w:cantSplit/>
        </w:trPr>
        <w:tc>
          <w:tcPr>
            <w:tcW w:w="5000" w:type="pct"/>
            <w:gridSpan w:val="4"/>
            <w:shd w:val="clear" w:color="auto" w:fill="E7E6E6" w:themeFill="background2"/>
            <w:vAlign w:val="top"/>
          </w:tcPr>
          <w:p w14:paraId="27187B6A" w14:textId="3D22F435" w:rsidR="00576454" w:rsidRPr="00CD3B1A" w:rsidRDefault="00576454" w:rsidP="005D2962">
            <w:pPr>
              <w:pStyle w:val="TablePlainParagraph"/>
              <w:keepNext/>
              <w:keepLines/>
              <w:rPr>
                <w:b/>
              </w:rPr>
            </w:pPr>
            <w:r w:rsidRPr="00CD3B1A">
              <w:rPr>
                <w:b/>
              </w:rPr>
              <w:t>Companies, Registered MISs, and CCIVs (including for listed entities)</w:t>
            </w:r>
          </w:p>
        </w:tc>
      </w:tr>
      <w:tr w:rsidR="00576454" w:rsidRPr="00121519" w14:paraId="4AE609A6" w14:textId="77777777" w:rsidTr="005D2962">
        <w:trPr>
          <w:cantSplit/>
        </w:trPr>
        <w:tc>
          <w:tcPr>
            <w:tcW w:w="1593" w:type="pct"/>
            <w:vAlign w:val="top"/>
          </w:tcPr>
          <w:p w14:paraId="035C01A9" w14:textId="7D578F03" w:rsidR="00576454" w:rsidRPr="005D2962" w:rsidRDefault="00576454" w:rsidP="005D2962">
            <w:pPr>
              <w:pStyle w:val="TablePlainParagraph"/>
            </w:pPr>
            <w:r w:rsidRPr="00EB6C57">
              <w:t>Company / MIS / CCIV name</w:t>
            </w:r>
          </w:p>
        </w:tc>
        <w:tc>
          <w:tcPr>
            <w:tcW w:w="1508" w:type="pct"/>
            <w:vAlign w:val="top"/>
          </w:tcPr>
          <w:p w14:paraId="7BB870C1" w14:textId="01D926C9" w:rsidR="00576454" w:rsidRPr="00121519" w:rsidRDefault="00576454" w:rsidP="005D2962">
            <w:pPr>
              <w:pStyle w:val="TablePlainParagraph"/>
            </w:pPr>
            <w:r w:rsidRPr="00EB6C57">
              <w:t>Identification</w:t>
            </w:r>
          </w:p>
        </w:tc>
        <w:tc>
          <w:tcPr>
            <w:tcW w:w="923" w:type="pct"/>
            <w:vAlign w:val="top"/>
          </w:tcPr>
          <w:p w14:paraId="6DCA9D70" w14:textId="7C440659" w:rsidR="00576454" w:rsidRPr="00121519" w:rsidRDefault="00576454" w:rsidP="005D2962">
            <w:pPr>
              <w:pStyle w:val="TablePlainParagraph"/>
            </w:pPr>
            <w:r w:rsidRPr="00EB6C57">
              <w:t>Yes</w:t>
            </w:r>
          </w:p>
        </w:tc>
        <w:tc>
          <w:tcPr>
            <w:tcW w:w="976" w:type="pct"/>
            <w:vAlign w:val="top"/>
          </w:tcPr>
          <w:p w14:paraId="1106BF50" w14:textId="130CEB91" w:rsidR="00576454" w:rsidRPr="00121519" w:rsidRDefault="00576454" w:rsidP="005D2962">
            <w:pPr>
              <w:pStyle w:val="TablePlainParagraph"/>
            </w:pPr>
            <w:r>
              <w:t>Identification</w:t>
            </w:r>
          </w:p>
        </w:tc>
      </w:tr>
      <w:tr w:rsidR="00576454" w:rsidRPr="00121519" w14:paraId="4E7E3AAB" w14:textId="7E9EAA77" w:rsidTr="005D2962">
        <w:trPr>
          <w:cantSplit/>
        </w:trPr>
        <w:tc>
          <w:tcPr>
            <w:tcW w:w="1593" w:type="pct"/>
            <w:vAlign w:val="top"/>
          </w:tcPr>
          <w:p w14:paraId="325D2C3B" w14:textId="2316604D" w:rsidR="00576454" w:rsidRPr="005D2962" w:rsidRDefault="00576454" w:rsidP="005D2962">
            <w:pPr>
              <w:pStyle w:val="TablePlainParagraph"/>
            </w:pPr>
            <w:r w:rsidRPr="00EB6C57">
              <w:t>Registered office address of Company, Responsible Entity of MIS / Corporate Director of CCIV</w:t>
            </w:r>
          </w:p>
        </w:tc>
        <w:tc>
          <w:tcPr>
            <w:tcW w:w="1508" w:type="pct"/>
            <w:vAlign w:val="top"/>
          </w:tcPr>
          <w:p w14:paraId="3B768FFA" w14:textId="02B1AB70" w:rsidR="00576454" w:rsidRPr="00121519" w:rsidRDefault="00576454" w:rsidP="005D2962">
            <w:pPr>
              <w:pStyle w:val="TablePlainParagraph"/>
            </w:pPr>
            <w:r w:rsidRPr="00EB6C57">
              <w:t>Identification</w:t>
            </w:r>
          </w:p>
        </w:tc>
        <w:tc>
          <w:tcPr>
            <w:tcW w:w="923" w:type="pct"/>
            <w:vAlign w:val="top"/>
          </w:tcPr>
          <w:p w14:paraId="03EF9D4A" w14:textId="58B48AD4" w:rsidR="00576454" w:rsidRPr="00121519" w:rsidRDefault="00576454" w:rsidP="005D2962">
            <w:pPr>
              <w:pStyle w:val="TablePlainParagraph"/>
            </w:pPr>
            <w:r w:rsidRPr="00EB6C57">
              <w:t>Yes</w:t>
            </w:r>
          </w:p>
        </w:tc>
        <w:tc>
          <w:tcPr>
            <w:tcW w:w="976" w:type="pct"/>
            <w:vAlign w:val="top"/>
          </w:tcPr>
          <w:p w14:paraId="71B5DD09" w14:textId="77777777" w:rsidR="00576454" w:rsidRDefault="00576454" w:rsidP="005D2962">
            <w:pPr>
              <w:pStyle w:val="TablePlainParagraph"/>
            </w:pPr>
            <w:r>
              <w:t>Identification</w:t>
            </w:r>
          </w:p>
          <w:p w14:paraId="27FE83E1" w14:textId="68ED876C" w:rsidR="00576454" w:rsidRPr="00121519" w:rsidRDefault="00576454" w:rsidP="005D2962">
            <w:pPr>
              <w:pStyle w:val="TablePlainParagraph"/>
            </w:pPr>
            <w:r w:rsidRPr="00EB6C57">
              <w:t>Communication by any member of public</w:t>
            </w:r>
          </w:p>
        </w:tc>
      </w:tr>
      <w:tr w:rsidR="00576454" w:rsidRPr="00121519" w14:paraId="43D0742F" w14:textId="77777777" w:rsidTr="005D2962">
        <w:trPr>
          <w:cantSplit/>
        </w:trPr>
        <w:tc>
          <w:tcPr>
            <w:tcW w:w="1593" w:type="pct"/>
            <w:vAlign w:val="top"/>
          </w:tcPr>
          <w:p w14:paraId="54A522C8" w14:textId="2C792757" w:rsidR="00576454" w:rsidRPr="005D2962" w:rsidRDefault="00576454" w:rsidP="005D2962">
            <w:pPr>
              <w:pStyle w:val="TablePlainParagraph"/>
            </w:pPr>
            <w:r w:rsidRPr="00EB6C57">
              <w:t>Electronic address</w:t>
            </w:r>
          </w:p>
        </w:tc>
        <w:tc>
          <w:tcPr>
            <w:tcW w:w="1508" w:type="pct"/>
            <w:vAlign w:val="top"/>
          </w:tcPr>
          <w:p w14:paraId="5E3444EC" w14:textId="750AA6ED" w:rsidR="00576454" w:rsidRPr="00121519" w:rsidRDefault="00576454" w:rsidP="005D2962">
            <w:pPr>
              <w:pStyle w:val="TablePlainParagraph"/>
            </w:pPr>
            <w:r w:rsidRPr="00EB6C57">
              <w:t>Communication by regulated entity, regulator, and law enforcement agencies</w:t>
            </w:r>
          </w:p>
        </w:tc>
        <w:tc>
          <w:tcPr>
            <w:tcW w:w="923" w:type="pct"/>
            <w:vAlign w:val="top"/>
          </w:tcPr>
          <w:p w14:paraId="1644EBA7" w14:textId="213EC2A8" w:rsidR="00576454" w:rsidRPr="00121519" w:rsidRDefault="00576454" w:rsidP="005D2962">
            <w:pPr>
              <w:pStyle w:val="TablePlainParagraph"/>
            </w:pPr>
            <w:r w:rsidRPr="00EB6C57">
              <w:t>No</w:t>
            </w:r>
          </w:p>
        </w:tc>
        <w:tc>
          <w:tcPr>
            <w:tcW w:w="976" w:type="pct"/>
            <w:vAlign w:val="top"/>
          </w:tcPr>
          <w:p w14:paraId="6D1117F1" w14:textId="7B711C76" w:rsidR="00576454" w:rsidRPr="00121519" w:rsidRDefault="00576454" w:rsidP="005D2962">
            <w:pPr>
              <w:pStyle w:val="TablePlainParagraph"/>
            </w:pPr>
            <w:r>
              <w:t>N/A</w:t>
            </w:r>
          </w:p>
        </w:tc>
      </w:tr>
      <w:tr w:rsidR="00576454" w:rsidRPr="00121519" w14:paraId="7203D561" w14:textId="77777777" w:rsidTr="005D2962">
        <w:trPr>
          <w:cantSplit/>
        </w:trPr>
        <w:tc>
          <w:tcPr>
            <w:tcW w:w="1593" w:type="pct"/>
            <w:vAlign w:val="top"/>
          </w:tcPr>
          <w:p w14:paraId="1F1B3921" w14:textId="3EE70561" w:rsidR="00576454" w:rsidRPr="005D2962" w:rsidRDefault="00576454" w:rsidP="005D2962">
            <w:pPr>
              <w:pStyle w:val="TablePlainParagraph"/>
            </w:pPr>
            <w:r w:rsidRPr="00EB6C57">
              <w:t>Entity type (legal form) e.g. Company, MIS, CCIV</w:t>
            </w:r>
          </w:p>
        </w:tc>
        <w:tc>
          <w:tcPr>
            <w:tcW w:w="1508" w:type="pct"/>
            <w:vAlign w:val="top"/>
          </w:tcPr>
          <w:p w14:paraId="726B5F7B" w14:textId="34B2CEA0" w:rsidR="00576454" w:rsidRPr="00121519" w:rsidRDefault="00576454" w:rsidP="005D2962">
            <w:pPr>
              <w:pStyle w:val="TablePlainParagraph"/>
            </w:pPr>
            <w:r>
              <w:t>Increase c</w:t>
            </w:r>
            <w:r w:rsidRPr="00EB6C57">
              <w:t>orporate transparency</w:t>
            </w:r>
          </w:p>
        </w:tc>
        <w:tc>
          <w:tcPr>
            <w:tcW w:w="923" w:type="pct"/>
            <w:vAlign w:val="top"/>
          </w:tcPr>
          <w:p w14:paraId="1C3AF03D" w14:textId="7FBE6020" w:rsidR="00576454" w:rsidRPr="00121519" w:rsidRDefault="00576454" w:rsidP="005D2962">
            <w:pPr>
              <w:pStyle w:val="TablePlainParagraph"/>
            </w:pPr>
            <w:r w:rsidRPr="00EB6C57">
              <w:t>Yes</w:t>
            </w:r>
          </w:p>
        </w:tc>
        <w:tc>
          <w:tcPr>
            <w:tcW w:w="976" w:type="pct"/>
            <w:vAlign w:val="top"/>
          </w:tcPr>
          <w:p w14:paraId="1C1F260F" w14:textId="3D5DE017" w:rsidR="00576454" w:rsidRPr="00121519" w:rsidRDefault="00576454" w:rsidP="005D2962">
            <w:pPr>
              <w:pStyle w:val="TablePlainParagraph"/>
            </w:pPr>
            <w:r>
              <w:t>Increase c</w:t>
            </w:r>
            <w:r w:rsidRPr="00EB6C57">
              <w:t>orporate transparency</w:t>
            </w:r>
          </w:p>
        </w:tc>
      </w:tr>
      <w:tr w:rsidR="00576454" w:rsidRPr="00121519" w14:paraId="5DE3FB1B" w14:textId="77777777" w:rsidTr="005D2962">
        <w:trPr>
          <w:cantSplit/>
        </w:trPr>
        <w:tc>
          <w:tcPr>
            <w:tcW w:w="1593" w:type="pct"/>
            <w:vAlign w:val="top"/>
          </w:tcPr>
          <w:p w14:paraId="32F34614" w14:textId="3FC62CBC" w:rsidR="00576454" w:rsidRPr="005D2962" w:rsidRDefault="00576454" w:rsidP="005D2962">
            <w:pPr>
              <w:pStyle w:val="TablePlainParagraph"/>
            </w:pPr>
            <w:r w:rsidRPr="00EB6C57">
              <w:t>Date of registration</w:t>
            </w:r>
          </w:p>
        </w:tc>
        <w:tc>
          <w:tcPr>
            <w:tcW w:w="1508" w:type="pct"/>
            <w:vAlign w:val="top"/>
          </w:tcPr>
          <w:p w14:paraId="39D430ED" w14:textId="4AAD9E20" w:rsidR="00576454" w:rsidRPr="00121519" w:rsidRDefault="00576454" w:rsidP="005D2962">
            <w:pPr>
              <w:pStyle w:val="TablePlainParagraph"/>
            </w:pPr>
            <w:r>
              <w:t>Increase c</w:t>
            </w:r>
            <w:r w:rsidRPr="00EB6C57">
              <w:t>orporate transparency</w:t>
            </w:r>
          </w:p>
        </w:tc>
        <w:tc>
          <w:tcPr>
            <w:tcW w:w="923" w:type="pct"/>
            <w:vAlign w:val="top"/>
          </w:tcPr>
          <w:p w14:paraId="1C65CEC3" w14:textId="457A9533" w:rsidR="00576454" w:rsidRPr="00121519" w:rsidRDefault="00576454" w:rsidP="005D2962">
            <w:pPr>
              <w:pStyle w:val="TablePlainParagraph"/>
            </w:pPr>
            <w:r w:rsidRPr="00EB6C57">
              <w:t>Yes</w:t>
            </w:r>
          </w:p>
        </w:tc>
        <w:tc>
          <w:tcPr>
            <w:tcW w:w="976" w:type="pct"/>
            <w:vAlign w:val="top"/>
          </w:tcPr>
          <w:p w14:paraId="08B9E071" w14:textId="556AAAB2" w:rsidR="00576454" w:rsidRPr="00121519" w:rsidRDefault="00576454" w:rsidP="005D2962">
            <w:pPr>
              <w:pStyle w:val="TablePlainParagraph"/>
            </w:pPr>
            <w:r>
              <w:t>Increase c</w:t>
            </w:r>
            <w:r w:rsidRPr="00EB6C57">
              <w:t>orporate transparency</w:t>
            </w:r>
          </w:p>
        </w:tc>
      </w:tr>
      <w:tr w:rsidR="00576454" w:rsidRPr="00121519" w14:paraId="1A00A588" w14:textId="77777777" w:rsidTr="005D2962">
        <w:trPr>
          <w:cantSplit/>
        </w:trPr>
        <w:tc>
          <w:tcPr>
            <w:tcW w:w="1593" w:type="pct"/>
            <w:vAlign w:val="top"/>
          </w:tcPr>
          <w:p w14:paraId="3A839040" w14:textId="30AF019D" w:rsidR="00576454" w:rsidRPr="005D2962" w:rsidRDefault="00576454" w:rsidP="005D2962">
            <w:pPr>
              <w:pStyle w:val="TablePlainParagraph"/>
            </w:pPr>
            <w:r w:rsidRPr="00EB6C57">
              <w:t>Country of registration</w:t>
            </w:r>
          </w:p>
        </w:tc>
        <w:tc>
          <w:tcPr>
            <w:tcW w:w="1508" w:type="pct"/>
            <w:vAlign w:val="top"/>
          </w:tcPr>
          <w:p w14:paraId="6441A823" w14:textId="01980ED7" w:rsidR="00576454" w:rsidRPr="00121519" w:rsidRDefault="00576454" w:rsidP="005D2962">
            <w:pPr>
              <w:pStyle w:val="TablePlainParagraph"/>
            </w:pPr>
            <w:r w:rsidRPr="00EB6C57">
              <w:t>Identification</w:t>
            </w:r>
          </w:p>
        </w:tc>
        <w:tc>
          <w:tcPr>
            <w:tcW w:w="923" w:type="pct"/>
            <w:vAlign w:val="top"/>
          </w:tcPr>
          <w:p w14:paraId="45DC2C18" w14:textId="0ABA9CD3" w:rsidR="00576454" w:rsidRPr="00121519" w:rsidRDefault="00576454" w:rsidP="005D2962">
            <w:pPr>
              <w:pStyle w:val="TablePlainParagraph"/>
            </w:pPr>
            <w:r w:rsidRPr="00EB6C57">
              <w:t>Yes</w:t>
            </w:r>
          </w:p>
        </w:tc>
        <w:tc>
          <w:tcPr>
            <w:tcW w:w="976" w:type="pct"/>
            <w:vAlign w:val="top"/>
          </w:tcPr>
          <w:p w14:paraId="2A946558" w14:textId="78234E6B" w:rsidR="00576454" w:rsidRPr="00121519" w:rsidRDefault="00576454" w:rsidP="005D2962">
            <w:pPr>
              <w:pStyle w:val="TablePlainParagraph"/>
            </w:pPr>
            <w:r>
              <w:t>Identification</w:t>
            </w:r>
          </w:p>
        </w:tc>
      </w:tr>
      <w:tr w:rsidR="00576454" w:rsidRPr="00121519" w14:paraId="4A9FC461" w14:textId="77777777" w:rsidTr="005D2962">
        <w:trPr>
          <w:cantSplit/>
        </w:trPr>
        <w:tc>
          <w:tcPr>
            <w:tcW w:w="1593" w:type="pct"/>
            <w:vAlign w:val="top"/>
          </w:tcPr>
          <w:p w14:paraId="2F78B14A" w14:textId="44DDAB4B" w:rsidR="00576454" w:rsidRPr="005D2962" w:rsidRDefault="00576454" w:rsidP="005D2962">
            <w:pPr>
              <w:pStyle w:val="TablePlainParagraph"/>
            </w:pPr>
            <w:r w:rsidRPr="00EB6C57">
              <w:t>Registration number e.g. ACN, ABN, ARFN, or foreign company equivalent</w:t>
            </w:r>
          </w:p>
        </w:tc>
        <w:tc>
          <w:tcPr>
            <w:tcW w:w="1508" w:type="pct"/>
            <w:vAlign w:val="top"/>
          </w:tcPr>
          <w:p w14:paraId="44362A8A" w14:textId="417E0015" w:rsidR="00576454" w:rsidRPr="00121519" w:rsidRDefault="00576454" w:rsidP="005D2962">
            <w:pPr>
              <w:pStyle w:val="TablePlainParagraph"/>
            </w:pPr>
            <w:r w:rsidRPr="00EB6C57">
              <w:t>Identification</w:t>
            </w:r>
          </w:p>
        </w:tc>
        <w:tc>
          <w:tcPr>
            <w:tcW w:w="923" w:type="pct"/>
            <w:vAlign w:val="top"/>
          </w:tcPr>
          <w:p w14:paraId="6D0AD4FC" w14:textId="341EEF38" w:rsidR="00576454" w:rsidRPr="00121519" w:rsidRDefault="00576454" w:rsidP="005D2962">
            <w:pPr>
              <w:pStyle w:val="TablePlainParagraph"/>
            </w:pPr>
            <w:r w:rsidRPr="00EB6C57">
              <w:t>Yes</w:t>
            </w:r>
          </w:p>
        </w:tc>
        <w:tc>
          <w:tcPr>
            <w:tcW w:w="976" w:type="pct"/>
            <w:vAlign w:val="top"/>
          </w:tcPr>
          <w:p w14:paraId="5399B41E" w14:textId="7D846451" w:rsidR="00576454" w:rsidRPr="00121519" w:rsidRDefault="00576454" w:rsidP="005D2962">
            <w:pPr>
              <w:pStyle w:val="TablePlainParagraph"/>
            </w:pPr>
            <w:r>
              <w:t>Identification</w:t>
            </w:r>
          </w:p>
        </w:tc>
      </w:tr>
      <w:tr w:rsidR="00576454" w:rsidRPr="00121519" w14:paraId="79B7CD7A" w14:textId="77777777" w:rsidTr="005D2962">
        <w:trPr>
          <w:cantSplit/>
        </w:trPr>
        <w:tc>
          <w:tcPr>
            <w:tcW w:w="1593" w:type="pct"/>
            <w:vAlign w:val="top"/>
          </w:tcPr>
          <w:p w14:paraId="4E538E53" w14:textId="07012C20" w:rsidR="00576454" w:rsidRPr="005D2962" w:rsidRDefault="00576454" w:rsidP="005D2962">
            <w:pPr>
              <w:pStyle w:val="TablePlainParagraph"/>
            </w:pPr>
            <w:r w:rsidRPr="00EB6C57">
              <w:t>Nature of control or influence</w:t>
            </w:r>
          </w:p>
        </w:tc>
        <w:tc>
          <w:tcPr>
            <w:tcW w:w="1508" w:type="pct"/>
            <w:vAlign w:val="top"/>
          </w:tcPr>
          <w:p w14:paraId="19D60564" w14:textId="77777777" w:rsidR="00576454" w:rsidRPr="000204D1" w:rsidRDefault="00576454" w:rsidP="005D2962">
            <w:pPr>
              <w:pStyle w:val="TablePlainParagraph"/>
            </w:pPr>
            <w:r w:rsidRPr="000204D1">
              <w:t xml:space="preserve">Aid enforcement activity by describing link between individual and </w:t>
            </w:r>
            <w:proofErr w:type="gramStart"/>
            <w:r w:rsidRPr="000204D1">
              <w:t>company</w:t>
            </w:r>
            <w:proofErr w:type="gramEnd"/>
          </w:p>
          <w:p w14:paraId="7687E6A8" w14:textId="42999183" w:rsidR="00576454" w:rsidRPr="00121519" w:rsidRDefault="00576454" w:rsidP="005D2962">
            <w:pPr>
              <w:pStyle w:val="TablePlainParagraph"/>
            </w:pPr>
            <w:r w:rsidRPr="00EB6C57">
              <w:t>Increase corporate transparency</w:t>
            </w:r>
          </w:p>
        </w:tc>
        <w:tc>
          <w:tcPr>
            <w:tcW w:w="923" w:type="pct"/>
            <w:vAlign w:val="top"/>
          </w:tcPr>
          <w:p w14:paraId="56A8B96F" w14:textId="21CC0366" w:rsidR="00576454" w:rsidRPr="00121519" w:rsidRDefault="00576454" w:rsidP="005D2962">
            <w:pPr>
              <w:pStyle w:val="TablePlainParagraph"/>
            </w:pPr>
            <w:r w:rsidRPr="00EB6C57">
              <w:t>Yes</w:t>
            </w:r>
          </w:p>
        </w:tc>
        <w:tc>
          <w:tcPr>
            <w:tcW w:w="976" w:type="pct"/>
            <w:vAlign w:val="top"/>
          </w:tcPr>
          <w:p w14:paraId="21DEC1A6" w14:textId="5B096498" w:rsidR="00576454" w:rsidRPr="00121519" w:rsidRDefault="00576454" w:rsidP="005D2962">
            <w:pPr>
              <w:pStyle w:val="TablePlainParagraph"/>
            </w:pPr>
            <w:r>
              <w:t>Increase c</w:t>
            </w:r>
            <w:r w:rsidRPr="00EB6C57">
              <w:t>orporate transparency</w:t>
            </w:r>
          </w:p>
        </w:tc>
      </w:tr>
      <w:tr w:rsidR="00576454" w:rsidRPr="00121519" w14:paraId="5BDD9DBE" w14:textId="77777777" w:rsidTr="005D2962">
        <w:trPr>
          <w:cantSplit/>
        </w:trPr>
        <w:tc>
          <w:tcPr>
            <w:tcW w:w="1593" w:type="pct"/>
            <w:vAlign w:val="top"/>
          </w:tcPr>
          <w:p w14:paraId="3677E788" w14:textId="53066CDD" w:rsidR="00576454" w:rsidRPr="005D2962" w:rsidRDefault="00576454" w:rsidP="005D2962">
            <w:pPr>
              <w:pStyle w:val="TablePlainParagraph"/>
            </w:pPr>
            <w:r w:rsidRPr="00EB6C57">
              <w:t>Date the person obtained or ceased to have control or influence</w:t>
            </w:r>
          </w:p>
        </w:tc>
        <w:tc>
          <w:tcPr>
            <w:tcW w:w="1508" w:type="pct"/>
            <w:vAlign w:val="top"/>
          </w:tcPr>
          <w:p w14:paraId="187033AC" w14:textId="77777777" w:rsidR="00576454" w:rsidRPr="000204D1" w:rsidRDefault="00576454" w:rsidP="005D2962">
            <w:pPr>
              <w:pStyle w:val="TablePlainParagraph"/>
            </w:pPr>
            <w:r w:rsidRPr="000204D1">
              <w:t xml:space="preserve">Aid enforcement activity by describing link between individual and </w:t>
            </w:r>
            <w:proofErr w:type="gramStart"/>
            <w:r w:rsidRPr="000204D1">
              <w:t>company</w:t>
            </w:r>
            <w:proofErr w:type="gramEnd"/>
          </w:p>
          <w:p w14:paraId="30FA1E74" w14:textId="237B023C" w:rsidR="00576454" w:rsidRPr="00121519" w:rsidRDefault="00576454" w:rsidP="005D2962">
            <w:pPr>
              <w:pStyle w:val="TablePlainParagraph"/>
            </w:pPr>
            <w:r w:rsidRPr="00EB6C57">
              <w:t>Increase corporate transparency</w:t>
            </w:r>
          </w:p>
        </w:tc>
        <w:tc>
          <w:tcPr>
            <w:tcW w:w="923" w:type="pct"/>
            <w:vAlign w:val="top"/>
          </w:tcPr>
          <w:p w14:paraId="066F1E03" w14:textId="2AAB218B" w:rsidR="00576454" w:rsidRPr="00121519" w:rsidRDefault="00576454" w:rsidP="005D2962">
            <w:pPr>
              <w:pStyle w:val="TablePlainParagraph"/>
            </w:pPr>
            <w:r w:rsidRPr="00EB6C57">
              <w:t>Yes</w:t>
            </w:r>
          </w:p>
        </w:tc>
        <w:tc>
          <w:tcPr>
            <w:tcW w:w="976" w:type="pct"/>
            <w:vAlign w:val="top"/>
          </w:tcPr>
          <w:p w14:paraId="6FDF12B5" w14:textId="12650E16" w:rsidR="00576454" w:rsidRPr="00121519" w:rsidRDefault="00576454" w:rsidP="005D2962">
            <w:pPr>
              <w:pStyle w:val="TablePlainParagraph"/>
            </w:pPr>
            <w:r>
              <w:t>Increase c</w:t>
            </w:r>
            <w:r w:rsidRPr="00EB6C57">
              <w:t>orporate transparency</w:t>
            </w:r>
          </w:p>
        </w:tc>
      </w:tr>
      <w:tr w:rsidR="00576454" w:rsidRPr="00121519" w14:paraId="6BFDDAB8" w14:textId="77777777" w:rsidTr="00CD3B1A">
        <w:trPr>
          <w:cantSplit/>
        </w:trPr>
        <w:tc>
          <w:tcPr>
            <w:tcW w:w="5000" w:type="pct"/>
            <w:gridSpan w:val="4"/>
            <w:shd w:val="clear" w:color="auto" w:fill="E7E6E6" w:themeFill="background2"/>
            <w:vAlign w:val="top"/>
          </w:tcPr>
          <w:p w14:paraId="0080E5D5" w14:textId="1B8F2B0B" w:rsidR="00576454" w:rsidRPr="00CD3B1A" w:rsidRDefault="00576454" w:rsidP="00CD3B1A">
            <w:pPr>
              <w:pStyle w:val="TablePlainParagraph"/>
              <w:rPr>
                <w:b/>
              </w:rPr>
            </w:pPr>
            <w:r w:rsidRPr="00CD3B1A">
              <w:rPr>
                <w:b/>
              </w:rPr>
              <w:t>Trusts</w:t>
            </w:r>
          </w:p>
        </w:tc>
      </w:tr>
      <w:tr w:rsidR="00576454" w:rsidRPr="00121519" w14:paraId="741C5E9F" w14:textId="77777777" w:rsidTr="005D2962">
        <w:trPr>
          <w:cantSplit/>
        </w:trPr>
        <w:tc>
          <w:tcPr>
            <w:tcW w:w="1593" w:type="pct"/>
            <w:vAlign w:val="top"/>
          </w:tcPr>
          <w:p w14:paraId="1EF4AB9E" w14:textId="7C065DD8" w:rsidR="00576454" w:rsidRPr="005D2962" w:rsidRDefault="00576454" w:rsidP="005D2962">
            <w:pPr>
              <w:pStyle w:val="TablePlainParagraph"/>
            </w:pPr>
            <w:r w:rsidRPr="00EB6C57">
              <w:t xml:space="preserve">Name of trust / legal arrangement </w:t>
            </w:r>
          </w:p>
        </w:tc>
        <w:tc>
          <w:tcPr>
            <w:tcW w:w="1508" w:type="pct"/>
            <w:vAlign w:val="top"/>
          </w:tcPr>
          <w:p w14:paraId="2B688139" w14:textId="7ABEA574" w:rsidR="00576454" w:rsidRPr="00121519" w:rsidRDefault="00576454" w:rsidP="005D2962">
            <w:pPr>
              <w:pStyle w:val="TablePlainParagraph"/>
            </w:pPr>
            <w:r w:rsidRPr="00EB6C57">
              <w:t>Identification</w:t>
            </w:r>
          </w:p>
        </w:tc>
        <w:tc>
          <w:tcPr>
            <w:tcW w:w="923" w:type="pct"/>
            <w:vAlign w:val="top"/>
          </w:tcPr>
          <w:p w14:paraId="633243B8" w14:textId="7087B74D" w:rsidR="00576454" w:rsidRPr="00121519" w:rsidRDefault="00576454" w:rsidP="005D2962">
            <w:pPr>
              <w:pStyle w:val="TablePlainParagraph"/>
            </w:pPr>
            <w:r w:rsidRPr="00EB6C57">
              <w:t>Yes</w:t>
            </w:r>
          </w:p>
        </w:tc>
        <w:tc>
          <w:tcPr>
            <w:tcW w:w="976" w:type="pct"/>
            <w:vAlign w:val="top"/>
          </w:tcPr>
          <w:p w14:paraId="1A5CC5C9" w14:textId="1B70B26A" w:rsidR="00576454" w:rsidRPr="00121519" w:rsidRDefault="00576454" w:rsidP="005D2962">
            <w:pPr>
              <w:pStyle w:val="TablePlainParagraph"/>
            </w:pPr>
            <w:r>
              <w:t>Identification</w:t>
            </w:r>
          </w:p>
        </w:tc>
      </w:tr>
      <w:tr w:rsidR="00576454" w:rsidRPr="00121519" w14:paraId="3F95C01A" w14:textId="77777777" w:rsidTr="005D2962">
        <w:trPr>
          <w:cantSplit/>
        </w:trPr>
        <w:tc>
          <w:tcPr>
            <w:tcW w:w="1593" w:type="pct"/>
            <w:vAlign w:val="top"/>
          </w:tcPr>
          <w:p w14:paraId="702583CC" w14:textId="1B4B2A25" w:rsidR="00576454" w:rsidRPr="005D2962" w:rsidRDefault="00576454" w:rsidP="005D2962">
            <w:pPr>
              <w:pStyle w:val="TablePlainParagraph"/>
            </w:pPr>
            <w:r w:rsidRPr="00EB6C57">
              <w:t>Unique Superannuation Identifier (where available)</w:t>
            </w:r>
          </w:p>
        </w:tc>
        <w:tc>
          <w:tcPr>
            <w:tcW w:w="1508" w:type="pct"/>
            <w:vAlign w:val="top"/>
          </w:tcPr>
          <w:p w14:paraId="6A3E2424" w14:textId="7EDE5450" w:rsidR="00576454" w:rsidRPr="00121519" w:rsidRDefault="00576454" w:rsidP="005D2962">
            <w:pPr>
              <w:pStyle w:val="TablePlainParagraph"/>
            </w:pPr>
            <w:r w:rsidRPr="00EB6C57">
              <w:t>Identification</w:t>
            </w:r>
          </w:p>
        </w:tc>
        <w:tc>
          <w:tcPr>
            <w:tcW w:w="923" w:type="pct"/>
            <w:vAlign w:val="top"/>
          </w:tcPr>
          <w:p w14:paraId="6CFD5CCE" w14:textId="218FFA8A" w:rsidR="00576454" w:rsidRPr="00121519" w:rsidRDefault="00576454" w:rsidP="005D2962">
            <w:pPr>
              <w:pStyle w:val="TablePlainParagraph"/>
            </w:pPr>
            <w:r w:rsidRPr="00EB6C57">
              <w:t>Yes</w:t>
            </w:r>
          </w:p>
        </w:tc>
        <w:tc>
          <w:tcPr>
            <w:tcW w:w="976" w:type="pct"/>
            <w:vAlign w:val="top"/>
          </w:tcPr>
          <w:p w14:paraId="4EDE41F9" w14:textId="4D79429B" w:rsidR="00576454" w:rsidRPr="00121519" w:rsidRDefault="00576454" w:rsidP="005D2962">
            <w:pPr>
              <w:pStyle w:val="TablePlainParagraph"/>
            </w:pPr>
            <w:r>
              <w:t>Identification</w:t>
            </w:r>
          </w:p>
        </w:tc>
      </w:tr>
      <w:tr w:rsidR="00576454" w:rsidRPr="00121519" w14:paraId="29CE2794" w14:textId="77777777" w:rsidTr="005D2962">
        <w:trPr>
          <w:cantSplit/>
        </w:trPr>
        <w:tc>
          <w:tcPr>
            <w:tcW w:w="1593" w:type="pct"/>
            <w:vAlign w:val="top"/>
          </w:tcPr>
          <w:p w14:paraId="42F6993D" w14:textId="2D9C9EE4" w:rsidR="00576454" w:rsidRPr="005D2962" w:rsidRDefault="00576454" w:rsidP="005D2962">
            <w:pPr>
              <w:pStyle w:val="TablePlainParagraph"/>
            </w:pPr>
            <w:r w:rsidRPr="00EB6C57">
              <w:t xml:space="preserve">Date of creation </w:t>
            </w:r>
          </w:p>
        </w:tc>
        <w:tc>
          <w:tcPr>
            <w:tcW w:w="1508" w:type="pct"/>
            <w:vAlign w:val="top"/>
          </w:tcPr>
          <w:p w14:paraId="0961801F" w14:textId="325586F6" w:rsidR="00576454" w:rsidRPr="00121519" w:rsidRDefault="00576454" w:rsidP="005D2962">
            <w:pPr>
              <w:pStyle w:val="TablePlainParagraph"/>
            </w:pPr>
            <w:r w:rsidRPr="00EB6C57">
              <w:t>Increase corporate transparency</w:t>
            </w:r>
          </w:p>
        </w:tc>
        <w:tc>
          <w:tcPr>
            <w:tcW w:w="923" w:type="pct"/>
            <w:vAlign w:val="top"/>
          </w:tcPr>
          <w:p w14:paraId="7C7CD942" w14:textId="2B8B3376" w:rsidR="00576454" w:rsidRPr="00121519" w:rsidRDefault="00576454" w:rsidP="005D2962">
            <w:pPr>
              <w:pStyle w:val="TablePlainParagraph"/>
            </w:pPr>
            <w:r w:rsidRPr="00EB6C57">
              <w:t>Yes</w:t>
            </w:r>
          </w:p>
        </w:tc>
        <w:tc>
          <w:tcPr>
            <w:tcW w:w="976" w:type="pct"/>
            <w:vAlign w:val="top"/>
          </w:tcPr>
          <w:p w14:paraId="5CA7BB6D" w14:textId="3FFD13B1" w:rsidR="00576454" w:rsidRPr="00121519" w:rsidRDefault="00576454" w:rsidP="005D2962">
            <w:pPr>
              <w:pStyle w:val="TablePlainParagraph"/>
            </w:pPr>
            <w:r>
              <w:t>Increase c</w:t>
            </w:r>
            <w:r w:rsidRPr="00EB6C57">
              <w:t>orporate transparency</w:t>
            </w:r>
          </w:p>
        </w:tc>
      </w:tr>
      <w:tr w:rsidR="00576454" w:rsidRPr="00121519" w14:paraId="236AE31B" w14:textId="77777777" w:rsidTr="005D2962">
        <w:trPr>
          <w:cantSplit/>
        </w:trPr>
        <w:tc>
          <w:tcPr>
            <w:tcW w:w="1593" w:type="pct"/>
            <w:vAlign w:val="top"/>
          </w:tcPr>
          <w:p w14:paraId="10644548" w14:textId="453DB8A7" w:rsidR="00576454" w:rsidRPr="005D2962" w:rsidRDefault="00576454" w:rsidP="005D2962">
            <w:pPr>
              <w:pStyle w:val="TablePlainParagraph"/>
            </w:pPr>
            <w:r w:rsidRPr="00EB6C57">
              <w:t>Information (as above for beneficial owners and other entities) on trustees, beneficiaries, appointors, settlors, and any other member of the trust</w:t>
            </w:r>
          </w:p>
        </w:tc>
        <w:tc>
          <w:tcPr>
            <w:tcW w:w="1508" w:type="pct"/>
            <w:vAlign w:val="top"/>
          </w:tcPr>
          <w:p w14:paraId="162755A0" w14:textId="77777777" w:rsidR="00576454" w:rsidRPr="00EB6C57" w:rsidRDefault="00576454" w:rsidP="005D2962">
            <w:pPr>
              <w:pStyle w:val="TablePlainParagraph"/>
            </w:pPr>
            <w:r w:rsidRPr="00EB6C57">
              <w:t>Identification</w:t>
            </w:r>
          </w:p>
          <w:p w14:paraId="7E0C8ED2" w14:textId="77777777" w:rsidR="00576454" w:rsidRPr="000204D1" w:rsidRDefault="00576454" w:rsidP="005D2962">
            <w:pPr>
              <w:pStyle w:val="TablePlainParagraph"/>
            </w:pPr>
            <w:r w:rsidRPr="000204D1">
              <w:t xml:space="preserve">Aid enforcement activity by describing link between individual and </w:t>
            </w:r>
            <w:proofErr w:type="gramStart"/>
            <w:r w:rsidRPr="000204D1">
              <w:t>company</w:t>
            </w:r>
            <w:proofErr w:type="gramEnd"/>
          </w:p>
          <w:p w14:paraId="71C29406" w14:textId="42D01B3B" w:rsidR="00576454" w:rsidRPr="00121519" w:rsidRDefault="00576454" w:rsidP="005D2962">
            <w:pPr>
              <w:pStyle w:val="TablePlainParagraph"/>
            </w:pPr>
            <w:r w:rsidRPr="00EB6C57">
              <w:t>Increase corporate transparency</w:t>
            </w:r>
          </w:p>
        </w:tc>
        <w:tc>
          <w:tcPr>
            <w:tcW w:w="923" w:type="pct"/>
            <w:vAlign w:val="top"/>
          </w:tcPr>
          <w:p w14:paraId="50B5A536" w14:textId="1641F99B" w:rsidR="00576454" w:rsidRPr="00121519" w:rsidRDefault="00576454" w:rsidP="005D2962">
            <w:pPr>
              <w:pStyle w:val="TablePlainParagraph"/>
            </w:pPr>
            <w:r w:rsidRPr="00EB6C57">
              <w:t>Yes</w:t>
            </w:r>
          </w:p>
        </w:tc>
        <w:tc>
          <w:tcPr>
            <w:tcW w:w="976" w:type="pct"/>
            <w:vAlign w:val="top"/>
          </w:tcPr>
          <w:p w14:paraId="6AE94FE7" w14:textId="77777777" w:rsidR="00576454" w:rsidRDefault="00576454" w:rsidP="005D2962">
            <w:pPr>
              <w:pStyle w:val="TablePlainParagraph"/>
            </w:pPr>
            <w:r>
              <w:t>Identification</w:t>
            </w:r>
          </w:p>
          <w:p w14:paraId="638FEC58" w14:textId="13AB529F" w:rsidR="00576454" w:rsidRPr="00121519" w:rsidRDefault="00576454" w:rsidP="005D2962">
            <w:pPr>
              <w:pStyle w:val="TablePlainParagraph"/>
            </w:pPr>
            <w:r>
              <w:t>Increase Corporate transparency</w:t>
            </w:r>
          </w:p>
        </w:tc>
      </w:tr>
    </w:tbl>
    <w:p w14:paraId="5FEA0802" w14:textId="21D66C0D" w:rsidR="003844E3" w:rsidRDefault="003844E3" w:rsidP="003844E3">
      <w:pPr>
        <w:pStyle w:val="NumberLevel1"/>
      </w:pPr>
      <w:r>
        <w:t>We consider that all categories of personal information are reasonable and necessary for the RCA to collect in the circumstances.</w:t>
      </w:r>
    </w:p>
    <w:p w14:paraId="7721D71D" w14:textId="62697A6B" w:rsidR="003844E3" w:rsidRDefault="003844E3" w:rsidP="009A7771">
      <w:pPr>
        <w:pStyle w:val="NumberLevel1"/>
      </w:pPr>
      <w:r>
        <w:t xml:space="preserve">Both ASIC and the RCA will need to implement strategies to prevent overcollection of personal information. For example, ASIC may not require all BOI supplied by a beneficial owner to commence processing a suppression application. </w:t>
      </w:r>
      <w:r w:rsidR="000216B3">
        <w:t>Utilising approved form</w:t>
      </w:r>
      <w:r w:rsidR="005D2962">
        <w:t>at</w:t>
      </w:r>
      <w:r w:rsidR="000216B3">
        <w:t xml:space="preserve">s with detailed guidance is a strong measure to minimise the risk of collecting personal information in breach of APP 3.1. This is discussed further under APP 4. </w:t>
      </w:r>
    </w:p>
    <w:p w14:paraId="4733F033" w14:textId="01CCAC9A" w:rsidR="00FB3D4F" w:rsidRDefault="000216B3" w:rsidP="00D033DE">
      <w:pPr>
        <w:pStyle w:val="NumberLevel1"/>
        <w:rPr>
          <w:lang w:eastAsia="en-US"/>
        </w:rPr>
      </w:pPr>
      <w:r>
        <w:rPr>
          <w:lang w:eastAsia="en-US"/>
        </w:rPr>
        <w:t>If ASIC and the RCA implement appropriate data minimisation measures, w</w:t>
      </w:r>
      <w:r w:rsidR="00FB3D4F">
        <w:rPr>
          <w:lang w:eastAsia="en-US"/>
        </w:rPr>
        <w:t xml:space="preserve">e think the </w:t>
      </w:r>
      <w:r w:rsidR="00E62A06">
        <w:rPr>
          <w:lang w:eastAsia="en-US"/>
        </w:rPr>
        <w:t>BO Policy</w:t>
      </w:r>
      <w:r w:rsidR="00FB3D4F">
        <w:rPr>
          <w:lang w:eastAsia="en-US"/>
        </w:rPr>
        <w:t xml:space="preserve"> is likely to </w:t>
      </w:r>
      <w:r w:rsidR="00DF08AB">
        <w:rPr>
          <w:lang w:eastAsia="en-US"/>
        </w:rPr>
        <w:t xml:space="preserve">comply with </w:t>
      </w:r>
      <w:r w:rsidR="00FB3D4F">
        <w:rPr>
          <w:lang w:eastAsia="en-US"/>
        </w:rPr>
        <w:t>APP 3.1.</w:t>
      </w:r>
    </w:p>
    <w:p w14:paraId="5B2A4470" w14:textId="4A060227" w:rsidR="003A1D9B" w:rsidRDefault="003A1D9B" w:rsidP="003A1D9B">
      <w:pPr>
        <w:pStyle w:val="Heading3"/>
      </w:pPr>
      <w:r w:rsidRPr="008D4FFD">
        <w:t xml:space="preserve">APP 3.2 – Reasonably necessary or directly related to functions of an </w:t>
      </w:r>
      <w:proofErr w:type="gramStart"/>
      <w:r w:rsidRPr="008D4FFD">
        <w:t>organisation</w:t>
      </w:r>
      <w:proofErr w:type="gramEnd"/>
    </w:p>
    <w:p w14:paraId="638D7991" w14:textId="454CE741" w:rsidR="003A1D9B" w:rsidRDefault="003A1D9B" w:rsidP="003A1D9B">
      <w:pPr>
        <w:pStyle w:val="NumberLevel1"/>
        <w:rPr>
          <w:lang w:eastAsia="en-US"/>
        </w:rPr>
      </w:pPr>
      <w:r>
        <w:rPr>
          <w:lang w:eastAsia="en-US"/>
        </w:rPr>
        <w:t>APP 3.2 provides that an organisation that is an APP entity must not collect personal information unless the information is reasonably necessary for one or more of the</w:t>
      </w:r>
      <w:r w:rsidR="003958E4">
        <w:rPr>
          <w:lang w:eastAsia="en-US"/>
        </w:rPr>
        <w:t xml:space="preserve"> organisations functions or activities.</w:t>
      </w:r>
    </w:p>
    <w:p w14:paraId="22397B1B" w14:textId="2406509C" w:rsidR="009A26D8" w:rsidRDefault="009A26D8" w:rsidP="009A26D8">
      <w:pPr>
        <w:pStyle w:val="NumberLevel1"/>
      </w:pPr>
      <w:r>
        <w:rPr>
          <w:lang w:eastAsia="en-US"/>
        </w:rPr>
        <w:t xml:space="preserve">The </w:t>
      </w:r>
      <w:r w:rsidR="00E62A06">
        <w:rPr>
          <w:lang w:eastAsia="en-US"/>
        </w:rPr>
        <w:t>BO Policy</w:t>
      </w:r>
      <w:r>
        <w:rPr>
          <w:lang w:eastAsia="en-US"/>
        </w:rPr>
        <w:t xml:space="preserve"> will require i</w:t>
      </w:r>
      <w:r w:rsidR="003958E4">
        <w:rPr>
          <w:lang w:eastAsia="en-US"/>
        </w:rPr>
        <w:t>n-scope companies to collect the BOI of their beneficial owners. Taking necessary action to comply with relevant law</w:t>
      </w:r>
      <w:r>
        <w:rPr>
          <w:lang w:eastAsia="en-US"/>
        </w:rPr>
        <w:t>s</w:t>
      </w:r>
      <w:r w:rsidR="003958E4">
        <w:rPr>
          <w:lang w:eastAsia="en-US"/>
        </w:rPr>
        <w:t xml:space="preserve"> is plainly a function or activity of any organisation. </w:t>
      </w:r>
    </w:p>
    <w:p w14:paraId="4CC966F2" w14:textId="3491E7F3" w:rsidR="00FB3D4F" w:rsidRDefault="009A26D8" w:rsidP="009A26D8">
      <w:pPr>
        <w:pStyle w:val="NumberLevel1"/>
      </w:pPr>
      <w:r>
        <w:rPr>
          <w:lang w:eastAsia="en-US"/>
        </w:rPr>
        <w:t>We have explained abo</w:t>
      </w:r>
      <w:r w:rsidR="005D2962">
        <w:rPr>
          <w:lang w:eastAsia="en-US"/>
        </w:rPr>
        <w:t>ve</w:t>
      </w:r>
      <w:r>
        <w:rPr>
          <w:lang w:eastAsia="en-US"/>
        </w:rPr>
        <w:t xml:space="preserve"> why </w:t>
      </w:r>
      <w:r>
        <w:t>w</w:t>
      </w:r>
      <w:r w:rsidR="00FB3D4F">
        <w:t xml:space="preserve">e consider </w:t>
      </w:r>
      <w:r>
        <w:t xml:space="preserve">collection of </w:t>
      </w:r>
      <w:proofErr w:type="gramStart"/>
      <w:r>
        <w:t>BOI</w:t>
      </w:r>
      <w:proofErr w:type="gramEnd"/>
      <w:r>
        <w:t xml:space="preserve"> </w:t>
      </w:r>
      <w:r w:rsidR="00FB3D4F">
        <w:t xml:space="preserve">is reasonable and necessary to achieve the </w:t>
      </w:r>
      <w:r w:rsidR="00E62A06">
        <w:t>BO Policy</w:t>
      </w:r>
      <w:r w:rsidR="00FB3D4F">
        <w:t xml:space="preserve">’s purposes of combating money laundering and terrorism financing. </w:t>
      </w:r>
      <w:r>
        <w:t>For similar reasons, w</w:t>
      </w:r>
      <w:r w:rsidR="00FB3D4F">
        <w:t>e consider</w:t>
      </w:r>
      <w:r>
        <w:t xml:space="preserve"> the collection of other personal information to give effect to the BO </w:t>
      </w:r>
      <w:r w:rsidR="009812C6">
        <w:t>P</w:t>
      </w:r>
      <w:r>
        <w:t>olicy (e.g. correspondence with beneficial owners, evidence of eligibility to suppress BOI, access requests)</w:t>
      </w:r>
      <w:r w:rsidR="00FB3D4F">
        <w:t xml:space="preserve"> </w:t>
      </w:r>
      <w:r>
        <w:t xml:space="preserve">is </w:t>
      </w:r>
      <w:r w:rsidR="00FB3D4F">
        <w:t xml:space="preserve">reasonable and necessary </w:t>
      </w:r>
      <w:r>
        <w:t xml:space="preserve">to achieve </w:t>
      </w:r>
      <w:r w:rsidR="005D2962">
        <w:t xml:space="preserve">compliance with </w:t>
      </w:r>
      <w:r>
        <w:t xml:space="preserve">the </w:t>
      </w:r>
      <w:r w:rsidR="00E62A06">
        <w:t>BO Policy</w:t>
      </w:r>
      <w:r>
        <w:t xml:space="preserve">. </w:t>
      </w:r>
    </w:p>
    <w:p w14:paraId="557B1DE6" w14:textId="67AD4142" w:rsidR="009A26D8" w:rsidRDefault="009A26D8" w:rsidP="009A26D8">
      <w:pPr>
        <w:pStyle w:val="NumberLevel1"/>
      </w:pPr>
      <w:bookmarkStart w:id="119" w:name="_Ref163836360"/>
      <w:r>
        <w:t xml:space="preserve">As with ASIC and the RCA, in-scope entities will require strategies to prevent overcollection. </w:t>
      </w:r>
      <w:r w:rsidR="005D2962">
        <w:t>We suggest the Commonwealth provide g</w:t>
      </w:r>
      <w:r>
        <w:t xml:space="preserve">uidance </w:t>
      </w:r>
      <w:r w:rsidR="003A0EB1">
        <w:t>for in-scope entities</w:t>
      </w:r>
      <w:r>
        <w:t xml:space="preserve"> on the kinds of information required to comply with the BO Policy, as well as data minimisation strategies (e.g. use of authorised forms)</w:t>
      </w:r>
      <w:r w:rsidR="003A0EB1">
        <w:t xml:space="preserve"> (see </w:t>
      </w:r>
      <w:hyperlink w:anchor="_Appendix_1_–" w:history="1">
        <w:r w:rsidR="003A0EB1" w:rsidRPr="003A0EB1">
          <w:rPr>
            <w:rStyle w:val="Hyperlink"/>
          </w:rPr>
          <w:t>Appendix A</w:t>
        </w:r>
      </w:hyperlink>
      <w:r w:rsidR="003A0EB1">
        <w:t>).</w:t>
      </w:r>
      <w:bookmarkEnd w:id="119"/>
    </w:p>
    <w:p w14:paraId="74AB10A6" w14:textId="7E385BC9" w:rsidR="009A26D8" w:rsidRDefault="009A26D8" w:rsidP="009A26D8">
      <w:pPr>
        <w:pStyle w:val="NumberLevel1"/>
        <w:rPr>
          <w:lang w:eastAsia="en-US"/>
        </w:rPr>
      </w:pPr>
      <w:r>
        <w:rPr>
          <w:lang w:eastAsia="en-US"/>
        </w:rPr>
        <w:t>We have not identified any APP 3.2 issues.</w:t>
      </w:r>
    </w:p>
    <w:p w14:paraId="1D7D5889" w14:textId="436870A0" w:rsidR="000A4458" w:rsidRDefault="000A4458" w:rsidP="00FB3D4F">
      <w:pPr>
        <w:pStyle w:val="Heading3"/>
      </w:pPr>
      <w:r>
        <w:t>APP 3.3 and APP 3.4 – collection of sensitive information</w:t>
      </w:r>
    </w:p>
    <w:p w14:paraId="2E4C63F8" w14:textId="77DA0A92" w:rsidR="00CB7192" w:rsidRDefault="00CB7192" w:rsidP="00CB7192">
      <w:pPr>
        <w:pStyle w:val="NumberLevel1"/>
      </w:pPr>
      <w:r>
        <w:t xml:space="preserve">APP 3.3 states that an </w:t>
      </w:r>
      <w:r w:rsidR="005D2962">
        <w:t xml:space="preserve">APP entity </w:t>
      </w:r>
      <w:r>
        <w:t>must not collect sensitive information unless:</w:t>
      </w:r>
    </w:p>
    <w:p w14:paraId="43A3DC83" w14:textId="77777777" w:rsidR="00CB7192" w:rsidRDefault="00CB7192" w:rsidP="00CB7192">
      <w:pPr>
        <w:pStyle w:val="NumberLevel2"/>
      </w:pPr>
      <w:r>
        <w:t>the sensitive information is reasonably necessary for or directly related to the agency’s functions or activities (as required by APP 3.1) and the individual consents to the collection; or</w:t>
      </w:r>
    </w:p>
    <w:p w14:paraId="004F6902" w14:textId="77777777" w:rsidR="00CB7192" w:rsidRDefault="00CB7192" w:rsidP="00CB7192">
      <w:pPr>
        <w:pStyle w:val="NumberLevel2"/>
      </w:pPr>
      <w:r>
        <w:t xml:space="preserve">an exception in APP 3.4 applies in relation to that information. </w:t>
      </w:r>
    </w:p>
    <w:p w14:paraId="017C15EC" w14:textId="77777777" w:rsidR="00CB7192" w:rsidRDefault="00CB7192" w:rsidP="00CB7192">
      <w:pPr>
        <w:pStyle w:val="NumberLevel1"/>
      </w:pPr>
      <w:r>
        <w:t>Sensitive information is defined in s 6(1) of the Privacy Act (see the Glossary to this PIA).</w:t>
      </w:r>
    </w:p>
    <w:p w14:paraId="18B57C06" w14:textId="34EB39FC" w:rsidR="000A4458" w:rsidRDefault="00CB7192" w:rsidP="000A4458">
      <w:pPr>
        <w:pStyle w:val="NumberLevel1"/>
        <w:rPr>
          <w:lang w:eastAsia="en-US"/>
        </w:rPr>
      </w:pPr>
      <w:r>
        <w:rPr>
          <w:lang w:eastAsia="en-US"/>
        </w:rPr>
        <w:t xml:space="preserve">Treasury has carefully designed the BO Policy to mitigate against the collection of sensitive personal information by in-scope entities. While in Stage 1, an individual </w:t>
      </w:r>
      <w:r w:rsidR="0081679F">
        <w:rPr>
          <w:lang w:eastAsia="en-US"/>
        </w:rPr>
        <w:t>will notify the in-scope company of their intent to make a suppression application</w:t>
      </w:r>
      <w:r>
        <w:rPr>
          <w:lang w:eastAsia="en-US"/>
        </w:rPr>
        <w:t xml:space="preserve">, </w:t>
      </w:r>
      <w:r w:rsidR="0007356F">
        <w:rPr>
          <w:lang w:eastAsia="en-US"/>
        </w:rPr>
        <w:t xml:space="preserve">where the individual is required to provide evidence to substantiate a risk to </w:t>
      </w:r>
      <w:r w:rsidR="006B5FA2">
        <w:rPr>
          <w:lang w:eastAsia="en-US"/>
        </w:rPr>
        <w:t xml:space="preserve">their </w:t>
      </w:r>
      <w:r w:rsidR="0007356F">
        <w:rPr>
          <w:lang w:eastAsia="en-US"/>
        </w:rPr>
        <w:t xml:space="preserve">personal safety, </w:t>
      </w:r>
      <w:r>
        <w:rPr>
          <w:lang w:eastAsia="en-US"/>
        </w:rPr>
        <w:t xml:space="preserve">the individual will </w:t>
      </w:r>
      <w:r w:rsidR="0081679F">
        <w:rPr>
          <w:lang w:eastAsia="en-US"/>
        </w:rPr>
        <w:t xml:space="preserve">make the application and </w:t>
      </w:r>
      <w:r>
        <w:rPr>
          <w:lang w:eastAsia="en-US"/>
        </w:rPr>
        <w:t xml:space="preserve">share details of the basis of the application with ASIC only. This may include sensitive personal information, e.g. about the individual’s mental or physical health, sexual orientation, political </w:t>
      </w:r>
      <w:proofErr w:type="gramStart"/>
      <w:r>
        <w:rPr>
          <w:lang w:eastAsia="en-US"/>
        </w:rPr>
        <w:t>opinions</w:t>
      </w:r>
      <w:proofErr w:type="gramEnd"/>
      <w:r>
        <w:rPr>
          <w:lang w:eastAsia="en-US"/>
        </w:rPr>
        <w:t xml:space="preserve"> or membership of a racial or ethnic group. </w:t>
      </w:r>
    </w:p>
    <w:p w14:paraId="5250E088" w14:textId="7F403A11" w:rsidR="00CB7192" w:rsidRDefault="00CB7192" w:rsidP="000A4458">
      <w:pPr>
        <w:pStyle w:val="NumberLevel1"/>
        <w:rPr>
          <w:lang w:eastAsia="en-US"/>
        </w:rPr>
      </w:pPr>
      <w:r>
        <w:rPr>
          <w:lang w:eastAsia="en-US"/>
        </w:rPr>
        <w:t xml:space="preserve">Where legislation enacting the BO Policy requires an individual to supply details of the basis of the suppression application to ASIC to facilitate assessment of the individual’s claim, the BO Policy will authorise ASIC to collect this information under law, engaging the exception in APP 3.4(a). </w:t>
      </w:r>
    </w:p>
    <w:p w14:paraId="396498D7" w14:textId="77777777" w:rsidR="00CB7192" w:rsidRDefault="00CB7192" w:rsidP="000A4458">
      <w:pPr>
        <w:pStyle w:val="NumberLevel1"/>
        <w:rPr>
          <w:lang w:eastAsia="en-US"/>
        </w:rPr>
      </w:pPr>
      <w:r>
        <w:rPr>
          <w:lang w:eastAsia="en-US"/>
        </w:rPr>
        <w:t xml:space="preserve">Although the new legislation will modify the operation of APP 3.3, the collection of limited information is reasonable, </w:t>
      </w:r>
      <w:proofErr w:type="gramStart"/>
      <w:r>
        <w:rPr>
          <w:lang w:eastAsia="en-US"/>
        </w:rPr>
        <w:t>necessary</w:t>
      </w:r>
      <w:proofErr w:type="gramEnd"/>
      <w:r>
        <w:rPr>
          <w:lang w:eastAsia="en-US"/>
        </w:rPr>
        <w:t xml:space="preserve"> and proportionate with the purpose of the BO Policy. </w:t>
      </w:r>
    </w:p>
    <w:p w14:paraId="48A05BAA" w14:textId="0580FC92" w:rsidR="000A4458" w:rsidRDefault="00FC7F9A" w:rsidP="000A4458">
      <w:pPr>
        <w:pStyle w:val="NumberLevel1"/>
        <w:rPr>
          <w:lang w:eastAsia="en-US"/>
        </w:rPr>
      </w:pPr>
      <w:r>
        <w:rPr>
          <w:lang w:eastAsia="en-US"/>
        </w:rPr>
        <w:t xml:space="preserve">Where ASIC has accepted a suppression application, </w:t>
      </w:r>
      <w:r w:rsidR="00CB7192">
        <w:rPr>
          <w:lang w:eastAsia="en-US"/>
        </w:rPr>
        <w:t>it may no longer require details of the basis of the application for a business purpose.</w:t>
      </w:r>
      <w:r>
        <w:rPr>
          <w:rStyle w:val="FootnoteReference"/>
          <w:lang w:eastAsia="en-US"/>
        </w:rPr>
        <w:footnoteReference w:id="43"/>
      </w:r>
      <w:r w:rsidR="00CB7192">
        <w:rPr>
          <w:lang w:eastAsia="en-US"/>
        </w:rPr>
        <w:t xml:space="preserve"> ASIC could consider destroying or deleting this information in accordance with normal administrative practice</w:t>
      </w:r>
      <w:r w:rsidR="003A0EB1">
        <w:rPr>
          <w:lang w:eastAsia="en-US"/>
        </w:rPr>
        <w:t>.</w:t>
      </w:r>
    </w:p>
    <w:p w14:paraId="2B52D2E1" w14:textId="131C9A01" w:rsidR="00CB7192" w:rsidRPr="003D4EB2" w:rsidRDefault="00CB7192" w:rsidP="003D4EB2">
      <w:pPr>
        <w:pStyle w:val="NumberLevel1"/>
        <w:rPr>
          <w:lang w:eastAsia="en-US"/>
        </w:rPr>
      </w:pPr>
      <w:r>
        <w:rPr>
          <w:lang w:eastAsia="en-US"/>
        </w:rPr>
        <w:t>We have not identified any APP 3.3 issues.</w:t>
      </w:r>
    </w:p>
    <w:p w14:paraId="7311F632" w14:textId="76EA81AA" w:rsidR="00FB3D4F" w:rsidRDefault="00FB3D4F" w:rsidP="00FB3D4F">
      <w:pPr>
        <w:pStyle w:val="Heading3"/>
      </w:pPr>
      <w:r>
        <w:t>APP 3.5 – Fair and lawful means</w:t>
      </w:r>
    </w:p>
    <w:p w14:paraId="4E1790EB" w14:textId="4F7D28EF" w:rsidR="00FB3D4F" w:rsidRDefault="00FB3D4F" w:rsidP="00FB3D4F">
      <w:pPr>
        <w:pStyle w:val="NumberLevel1"/>
        <w:rPr>
          <w:lang w:eastAsia="en-US"/>
        </w:rPr>
      </w:pPr>
      <w:r>
        <w:rPr>
          <w:lang w:eastAsia="en-US"/>
        </w:rPr>
        <w:t>APP 3.5 provides that APP entities must collect personal information only by lawful and fair means.</w:t>
      </w:r>
    </w:p>
    <w:p w14:paraId="67C62633" w14:textId="58E688B1" w:rsidR="00FB3D4F" w:rsidRDefault="000F773F" w:rsidP="00FB3D4F">
      <w:pPr>
        <w:pStyle w:val="NumberLevel1"/>
        <w:rPr>
          <w:lang w:eastAsia="en-US"/>
        </w:rPr>
      </w:pPr>
      <w:r>
        <w:t xml:space="preserve">Lawful means is </w:t>
      </w:r>
      <w:r w:rsidR="00FF316F">
        <w:t>any method that is not criminal, illegal, prohibited or proscribed by legislation: APP Guidelines at [3.60]</w:t>
      </w:r>
      <w:proofErr w:type="gramStart"/>
      <w:r w:rsidR="00FF316F">
        <w:t>-[</w:t>
      </w:r>
      <w:proofErr w:type="gramEnd"/>
      <w:r w:rsidR="00FF316F">
        <w:t xml:space="preserve">3.61]. </w:t>
      </w:r>
      <w:r>
        <w:t>I</w:t>
      </w:r>
      <w:r w:rsidR="00FF316F">
        <w:t xml:space="preserve">n-scope companies, </w:t>
      </w:r>
      <w:r w:rsidR="002E428B">
        <w:t>the RCA</w:t>
      </w:r>
      <w:r w:rsidR="00FF316F">
        <w:t xml:space="preserve">, and ASIC, will each </w:t>
      </w:r>
      <w:r w:rsidR="00781B40">
        <w:t xml:space="preserve">collect </w:t>
      </w:r>
      <w:r w:rsidR="00FF316F">
        <w:t xml:space="preserve">personal information as part of the </w:t>
      </w:r>
      <w:r w:rsidR="00E62A06">
        <w:t>BO Policy</w:t>
      </w:r>
      <w:r w:rsidR="00FF316F">
        <w:t xml:space="preserve"> in accordance with the requirements of the forthcoming legislation.</w:t>
      </w:r>
    </w:p>
    <w:p w14:paraId="6E0871E6" w14:textId="22762A9B" w:rsidR="00FF316F" w:rsidRDefault="00FF316F" w:rsidP="00FB3D4F">
      <w:pPr>
        <w:pStyle w:val="NumberLevel1"/>
        <w:rPr>
          <w:lang w:eastAsia="en-US"/>
        </w:rPr>
      </w:pPr>
      <w:r>
        <w:t xml:space="preserve">Fair means involve methods that do not involve intimidation or </w:t>
      </w:r>
      <w:proofErr w:type="gramStart"/>
      <w:r>
        <w:t>deception, and</w:t>
      </w:r>
      <w:proofErr w:type="gramEnd"/>
      <w:r>
        <w:t xml:space="preserve"> are not unreasonably intrusive: APP Guidelines at [3.62]. </w:t>
      </w:r>
      <w:r w:rsidR="000F773F">
        <w:t>C</w:t>
      </w:r>
      <w:r>
        <w:t xml:space="preserve">ollection will be fair in circumstances where beneficial owners are aware of the requirements of the </w:t>
      </w:r>
      <w:r w:rsidR="00E62A06">
        <w:t>BO</w:t>
      </w:r>
      <w:r w:rsidR="00456E08">
        <w:t> </w:t>
      </w:r>
      <w:r w:rsidR="00E62A06">
        <w:t>Policy</w:t>
      </w:r>
      <w:r>
        <w:t xml:space="preserve">, and how in-scope companies, ASIC, and </w:t>
      </w:r>
      <w:r w:rsidR="002E428B">
        <w:t xml:space="preserve">the RCA </w:t>
      </w:r>
      <w:r>
        <w:t xml:space="preserve">will </w:t>
      </w:r>
      <w:r w:rsidR="000F773F">
        <w:t xml:space="preserve">collect, </w:t>
      </w:r>
      <w:proofErr w:type="gramStart"/>
      <w:r>
        <w:t>use</w:t>
      </w:r>
      <w:proofErr w:type="gramEnd"/>
      <w:r>
        <w:t xml:space="preserve"> and disclose their information. </w:t>
      </w:r>
      <w:r w:rsidR="000F773F">
        <w:t xml:space="preserve">If </w:t>
      </w:r>
      <w:hyperlink w:anchor="Recommendation6" w:history="1">
        <w:r w:rsidR="00CF5E4B" w:rsidRPr="000A52BB">
          <w:rPr>
            <w:rStyle w:val="Hyperlink"/>
          </w:rPr>
          <w:t>Recommendation 6</w:t>
        </w:r>
      </w:hyperlink>
      <w:r w:rsidR="000F773F">
        <w:t xml:space="preserve"> is implemented, in-scope companies </w:t>
      </w:r>
      <w:r>
        <w:t xml:space="preserve">will </w:t>
      </w:r>
      <w:r w:rsidR="000F773F">
        <w:t xml:space="preserve">provide this information </w:t>
      </w:r>
      <w:r>
        <w:t xml:space="preserve">to beneficial owners in a notice of collection </w:t>
      </w:r>
      <w:r w:rsidR="000F773F">
        <w:t xml:space="preserve">as part of </w:t>
      </w:r>
      <w:hyperlink w:anchor="_Activity_1_–" w:history="1">
        <w:r w:rsidR="000F773F" w:rsidRPr="000F773F">
          <w:rPr>
            <w:rStyle w:val="Hyperlink"/>
          </w:rPr>
          <w:t>Activity 1</w:t>
        </w:r>
      </w:hyperlink>
      <w:r>
        <w:t>. Th</w:t>
      </w:r>
      <w:r w:rsidR="000F773F">
        <w:t xml:space="preserve">is is </w:t>
      </w:r>
      <w:r>
        <w:t>discussed in more detail in association with APP 5.</w:t>
      </w:r>
    </w:p>
    <w:p w14:paraId="5CAB4D44" w14:textId="77777777" w:rsidR="003D4EB2" w:rsidRDefault="003D4EB2" w:rsidP="003D4EB2">
      <w:pPr>
        <w:pStyle w:val="NumberLevel1"/>
      </w:pPr>
      <w:r>
        <w:t>We have not identified any APP 3.5 issues.</w:t>
      </w:r>
    </w:p>
    <w:p w14:paraId="1F4E70D9" w14:textId="77777777" w:rsidR="00FF316F" w:rsidRPr="00D033DE" w:rsidRDefault="00FF316F" w:rsidP="00D033DE">
      <w:pPr>
        <w:pStyle w:val="Heading3"/>
      </w:pPr>
      <w:r w:rsidRPr="008D4FFD">
        <w:t>APP 3.6 – Collection from another individual</w:t>
      </w:r>
    </w:p>
    <w:p w14:paraId="1F4BFBA4" w14:textId="472E7E61" w:rsidR="00FF316F" w:rsidRDefault="00FF316F" w:rsidP="008D4FFD">
      <w:pPr>
        <w:pStyle w:val="NumberLevel1"/>
      </w:pPr>
      <w:r>
        <w:t xml:space="preserve">APP 3.6 requires an </w:t>
      </w:r>
      <w:r w:rsidR="000F773F">
        <w:t>APP entity</w:t>
      </w:r>
      <w:r>
        <w:t xml:space="preserve"> to collect personal information directly from an individual unless one of the following exceptions applies:</w:t>
      </w:r>
    </w:p>
    <w:tbl>
      <w:tblPr>
        <w:tblStyle w:val="TableGrid10"/>
        <w:tblW w:w="8237" w:type="dxa"/>
        <w:tblInd w:w="-15" w:type="dxa"/>
        <w:tblBorders>
          <w:top w:val="none" w:sz="0" w:space="0" w:color="auto"/>
          <w:left w:val="none" w:sz="0" w:space="0" w:color="auto"/>
          <w:bottom w:val="none" w:sz="0" w:space="0" w:color="auto"/>
          <w:right w:val="none" w:sz="0" w:space="0" w:color="auto"/>
          <w:insideH w:val="single" w:sz="12" w:space="0" w:color="1F3864" w:themeColor="accent1" w:themeShade="80"/>
          <w:insideV w:val="single" w:sz="12" w:space="0" w:color="1F3864" w:themeColor="accent1" w:themeShade="80"/>
        </w:tblBorders>
        <w:tblLook w:val="04A0" w:firstRow="1" w:lastRow="0" w:firstColumn="1" w:lastColumn="0" w:noHBand="0" w:noVBand="1"/>
      </w:tblPr>
      <w:tblGrid>
        <w:gridCol w:w="1575"/>
        <w:gridCol w:w="6662"/>
      </w:tblGrid>
      <w:tr w:rsidR="00025931" w14:paraId="402C5175" w14:textId="77777777" w:rsidTr="00FF316F">
        <w:tc>
          <w:tcPr>
            <w:tcW w:w="1575" w:type="dxa"/>
            <w:tcBorders>
              <w:top w:val="nil"/>
              <w:left w:val="nil"/>
              <w:bottom w:val="single" w:sz="12" w:space="0" w:color="1F3864" w:themeColor="accent1" w:themeShade="80"/>
              <w:right w:val="single" w:sz="12" w:space="0" w:color="1F3864" w:themeColor="accent1" w:themeShade="80"/>
            </w:tcBorders>
            <w:shd w:val="clear" w:color="auto" w:fill="C4DDEA"/>
            <w:hideMark/>
          </w:tcPr>
          <w:p w14:paraId="41018F01" w14:textId="77777777" w:rsidR="00FF316F" w:rsidRDefault="00FF316F">
            <w:pPr>
              <w:keepNext/>
              <w:keepLines/>
              <w:spacing w:before="60" w:line="240" w:lineRule="atLeast"/>
              <w:rPr>
                <w:b/>
                <w:sz w:val="20"/>
              </w:rPr>
            </w:pPr>
            <w:r>
              <w:rPr>
                <w:b/>
                <w:sz w:val="20"/>
              </w:rPr>
              <w:t>Exception</w:t>
            </w:r>
          </w:p>
        </w:tc>
        <w:tc>
          <w:tcPr>
            <w:tcW w:w="6662" w:type="dxa"/>
            <w:tcBorders>
              <w:top w:val="nil"/>
              <w:left w:val="single" w:sz="12" w:space="0" w:color="1F3864" w:themeColor="accent1" w:themeShade="80"/>
              <w:bottom w:val="single" w:sz="12" w:space="0" w:color="1F3864" w:themeColor="accent1" w:themeShade="80"/>
              <w:right w:val="nil"/>
            </w:tcBorders>
            <w:shd w:val="clear" w:color="auto" w:fill="C4DDEA"/>
            <w:hideMark/>
          </w:tcPr>
          <w:p w14:paraId="73D7FDB0" w14:textId="77777777" w:rsidR="00FF316F" w:rsidRDefault="00FF316F">
            <w:pPr>
              <w:keepNext/>
              <w:keepLines/>
              <w:spacing w:before="60" w:line="240" w:lineRule="atLeast"/>
              <w:rPr>
                <w:b/>
                <w:sz w:val="20"/>
              </w:rPr>
            </w:pPr>
            <w:r>
              <w:rPr>
                <w:b/>
                <w:sz w:val="20"/>
              </w:rPr>
              <w:t>Requirement</w:t>
            </w:r>
          </w:p>
        </w:tc>
      </w:tr>
      <w:tr w:rsidR="003E2FD2" w14:paraId="737E63BD" w14:textId="77777777" w:rsidTr="00FF316F">
        <w:tc>
          <w:tcPr>
            <w:tcW w:w="1575" w:type="dxa"/>
            <w:tcBorders>
              <w:top w:val="single" w:sz="12" w:space="0" w:color="1F3864" w:themeColor="accent1" w:themeShade="80"/>
              <w:left w:val="nil"/>
              <w:bottom w:val="single" w:sz="12" w:space="0" w:color="1F3864" w:themeColor="accent1" w:themeShade="80"/>
              <w:right w:val="single" w:sz="12" w:space="0" w:color="1F3864" w:themeColor="accent1" w:themeShade="80"/>
            </w:tcBorders>
            <w:hideMark/>
          </w:tcPr>
          <w:p w14:paraId="7F3DCD8B" w14:textId="77777777" w:rsidR="00FF316F" w:rsidRDefault="00FF316F">
            <w:pPr>
              <w:keepNext/>
              <w:keepLines/>
              <w:spacing w:before="60" w:after="60" w:line="240" w:lineRule="atLeast"/>
              <w:rPr>
                <w:b/>
                <w:sz w:val="20"/>
              </w:rPr>
            </w:pPr>
            <w:r>
              <w:rPr>
                <w:b/>
                <w:sz w:val="20"/>
              </w:rPr>
              <w:t>APP 3.6(a)(</w:t>
            </w:r>
            <w:proofErr w:type="spellStart"/>
            <w:r>
              <w:rPr>
                <w:b/>
                <w:sz w:val="20"/>
              </w:rPr>
              <w:t>i</w:t>
            </w:r>
            <w:proofErr w:type="spellEnd"/>
            <w:r>
              <w:rPr>
                <w:b/>
                <w:sz w:val="20"/>
              </w:rPr>
              <w:t>)</w:t>
            </w:r>
          </w:p>
        </w:tc>
        <w:tc>
          <w:tcPr>
            <w:tcW w:w="6662" w:type="dxa"/>
            <w:tcBorders>
              <w:top w:val="single" w:sz="12" w:space="0" w:color="1F3864" w:themeColor="accent1" w:themeShade="80"/>
              <w:left w:val="single" w:sz="12" w:space="0" w:color="1F3864" w:themeColor="accent1" w:themeShade="80"/>
              <w:bottom w:val="single" w:sz="12" w:space="0" w:color="1F3864" w:themeColor="accent1" w:themeShade="80"/>
              <w:right w:val="nil"/>
            </w:tcBorders>
            <w:hideMark/>
          </w:tcPr>
          <w:p w14:paraId="010337C0" w14:textId="77777777" w:rsidR="00FF316F" w:rsidRDefault="00FF316F">
            <w:pPr>
              <w:keepNext/>
              <w:keepLines/>
              <w:spacing w:before="60" w:after="60" w:line="240" w:lineRule="atLeast"/>
              <w:rPr>
                <w:sz w:val="20"/>
              </w:rPr>
            </w:pPr>
            <w:r>
              <w:rPr>
                <w:sz w:val="20"/>
              </w:rPr>
              <w:t>The individual’s consent to the collection from the third party</w:t>
            </w:r>
          </w:p>
        </w:tc>
      </w:tr>
      <w:tr w:rsidR="003E2FD2" w14:paraId="12669036" w14:textId="77777777" w:rsidTr="00FF316F">
        <w:tc>
          <w:tcPr>
            <w:tcW w:w="1575" w:type="dxa"/>
            <w:tcBorders>
              <w:top w:val="single" w:sz="12" w:space="0" w:color="1F3864" w:themeColor="accent1" w:themeShade="80"/>
              <w:left w:val="nil"/>
              <w:bottom w:val="single" w:sz="12" w:space="0" w:color="1F3864" w:themeColor="accent1" w:themeShade="80"/>
              <w:right w:val="single" w:sz="12" w:space="0" w:color="1F3864" w:themeColor="accent1" w:themeShade="80"/>
            </w:tcBorders>
            <w:hideMark/>
          </w:tcPr>
          <w:p w14:paraId="52C54332" w14:textId="77777777" w:rsidR="00FF316F" w:rsidRDefault="00FF316F">
            <w:pPr>
              <w:keepNext/>
              <w:keepLines/>
              <w:spacing w:before="60" w:after="60" w:line="240" w:lineRule="atLeast"/>
              <w:rPr>
                <w:sz w:val="20"/>
              </w:rPr>
            </w:pPr>
            <w:r>
              <w:rPr>
                <w:b/>
                <w:sz w:val="20"/>
              </w:rPr>
              <w:t>APP 3.6(a)(ii)</w:t>
            </w:r>
          </w:p>
        </w:tc>
        <w:tc>
          <w:tcPr>
            <w:tcW w:w="6662" w:type="dxa"/>
            <w:tcBorders>
              <w:top w:val="single" w:sz="12" w:space="0" w:color="1F3864" w:themeColor="accent1" w:themeShade="80"/>
              <w:left w:val="single" w:sz="12" w:space="0" w:color="1F3864" w:themeColor="accent1" w:themeShade="80"/>
              <w:bottom w:val="single" w:sz="12" w:space="0" w:color="1F3864" w:themeColor="accent1" w:themeShade="80"/>
              <w:right w:val="nil"/>
            </w:tcBorders>
            <w:hideMark/>
          </w:tcPr>
          <w:p w14:paraId="74AFAC01" w14:textId="77777777" w:rsidR="00FF316F" w:rsidRDefault="00FF316F">
            <w:pPr>
              <w:keepNext/>
              <w:keepLines/>
              <w:spacing w:before="60" w:after="60" w:line="240" w:lineRule="atLeast"/>
              <w:rPr>
                <w:sz w:val="20"/>
              </w:rPr>
            </w:pPr>
            <w:r>
              <w:rPr>
                <w:sz w:val="20"/>
              </w:rPr>
              <w:t>The collection from a third party is authorised by or under an Australian law or Court or Tribunal order</w:t>
            </w:r>
          </w:p>
        </w:tc>
      </w:tr>
      <w:tr w:rsidR="003E2FD2" w14:paraId="5F36C289" w14:textId="77777777" w:rsidTr="00FF316F">
        <w:tc>
          <w:tcPr>
            <w:tcW w:w="1575" w:type="dxa"/>
            <w:tcBorders>
              <w:top w:val="single" w:sz="12" w:space="0" w:color="1F3864" w:themeColor="accent1" w:themeShade="80"/>
              <w:left w:val="nil"/>
              <w:bottom w:val="nil"/>
              <w:right w:val="single" w:sz="12" w:space="0" w:color="1F3864" w:themeColor="accent1" w:themeShade="80"/>
            </w:tcBorders>
            <w:hideMark/>
          </w:tcPr>
          <w:p w14:paraId="03B72630" w14:textId="77777777" w:rsidR="00FF316F" w:rsidRDefault="00FF316F">
            <w:pPr>
              <w:keepNext/>
              <w:keepLines/>
              <w:spacing w:before="60" w:after="60" w:line="240" w:lineRule="atLeast"/>
              <w:rPr>
                <w:b/>
                <w:sz w:val="20"/>
              </w:rPr>
            </w:pPr>
            <w:r>
              <w:rPr>
                <w:b/>
                <w:sz w:val="20"/>
              </w:rPr>
              <w:t>APP 3.6(b)</w:t>
            </w:r>
          </w:p>
        </w:tc>
        <w:tc>
          <w:tcPr>
            <w:tcW w:w="6662" w:type="dxa"/>
            <w:tcBorders>
              <w:top w:val="single" w:sz="12" w:space="0" w:color="1F3864" w:themeColor="accent1" w:themeShade="80"/>
              <w:left w:val="single" w:sz="12" w:space="0" w:color="1F3864" w:themeColor="accent1" w:themeShade="80"/>
              <w:bottom w:val="nil"/>
              <w:right w:val="nil"/>
            </w:tcBorders>
            <w:hideMark/>
          </w:tcPr>
          <w:p w14:paraId="2440A641" w14:textId="77777777" w:rsidR="00FF316F" w:rsidRDefault="00FF316F">
            <w:pPr>
              <w:keepNext/>
              <w:keepLines/>
              <w:spacing w:before="60" w:after="60" w:line="240" w:lineRule="atLeast"/>
              <w:rPr>
                <w:sz w:val="20"/>
              </w:rPr>
            </w:pPr>
            <w:r>
              <w:rPr>
                <w:sz w:val="20"/>
              </w:rPr>
              <w:t xml:space="preserve">It is unreasonable or impracticable </w:t>
            </w:r>
            <w:bookmarkStart w:id="120" w:name="_Hlk95238855"/>
            <w:r>
              <w:rPr>
                <w:sz w:val="20"/>
              </w:rPr>
              <w:t>to collect the information directly from the individual.</w:t>
            </w:r>
            <w:bookmarkEnd w:id="120"/>
          </w:p>
        </w:tc>
      </w:tr>
    </w:tbl>
    <w:p w14:paraId="1195887F" w14:textId="43CB8E8D" w:rsidR="00FF316F" w:rsidRDefault="005C7B13" w:rsidP="00FF316F">
      <w:pPr>
        <w:pStyle w:val="NumberLevel1"/>
      </w:pPr>
      <w:r>
        <w:t>Generally, i</w:t>
      </w:r>
      <w:r w:rsidR="00FF316F">
        <w:t>n-scope companies and</w:t>
      </w:r>
      <w:r w:rsidR="00EB45EE">
        <w:t xml:space="preserve">, when they are dealing with individuals directly, </w:t>
      </w:r>
      <w:r w:rsidR="00FF316F">
        <w:t>ASIC</w:t>
      </w:r>
      <w:r w:rsidR="000F773F">
        <w:t>,</w:t>
      </w:r>
      <w:r w:rsidR="00FF316F">
        <w:t xml:space="preserve"> will collect personal information directly from beneficial owners</w:t>
      </w:r>
      <w:r w:rsidR="00F24F28">
        <w:t xml:space="preserve"> or a</w:t>
      </w:r>
      <w:r w:rsidR="001E36EE">
        <w:t xml:space="preserve"> service provider </w:t>
      </w:r>
      <w:r w:rsidR="00456E08">
        <w:t xml:space="preserve">retained </w:t>
      </w:r>
      <w:r w:rsidR="001E36EE">
        <w:t xml:space="preserve">by </w:t>
      </w:r>
      <w:r w:rsidR="00F24F28">
        <w:t>the beneficial owner</w:t>
      </w:r>
      <w:r w:rsidR="00456E08">
        <w:t xml:space="preserve"> (</w:t>
      </w:r>
      <w:proofErr w:type="spellStart"/>
      <w:r w:rsidR="00456E08">
        <w:t>i.e</w:t>
      </w:r>
      <w:proofErr w:type="spellEnd"/>
      <w:r w:rsidR="00456E08">
        <w:t xml:space="preserve"> who acts on their behalf)</w:t>
      </w:r>
      <w:r w:rsidR="000F773F">
        <w:t>.</w:t>
      </w:r>
      <w:r w:rsidR="00FF316F">
        <w:t xml:space="preserve"> </w:t>
      </w:r>
      <w:r w:rsidR="000F773F">
        <w:t>N</w:t>
      </w:r>
      <w:r w:rsidR="00FF316F">
        <w:t>o APP 3.6 issues arise in</w:t>
      </w:r>
      <w:r w:rsidR="000F773F">
        <w:t xml:space="preserve"> relation to these activities</w:t>
      </w:r>
      <w:r w:rsidR="00FF316F">
        <w:t>.</w:t>
      </w:r>
    </w:p>
    <w:p w14:paraId="7F5C66C5" w14:textId="65B531B8" w:rsidR="005C7B13" w:rsidRDefault="00456E08" w:rsidP="00FF316F">
      <w:pPr>
        <w:pStyle w:val="NumberLevel1"/>
      </w:pPr>
      <w:r>
        <w:t>W</w:t>
      </w:r>
      <w:r w:rsidR="005C7B13">
        <w:t xml:space="preserve">here </w:t>
      </w:r>
      <w:r w:rsidR="00502E7A">
        <w:t>legal arrangements</w:t>
      </w:r>
      <w:r w:rsidR="005C7B13">
        <w:t xml:space="preserve"> such as trusts, partnerships, associations and registered co-operations, supply information about other beneficial owners (e.g. with at least a 25% voting right), the exception in APP 3.6(a)(ii) will apply.</w:t>
      </w:r>
      <w:r w:rsidR="005B6AE9">
        <w:t xml:space="preserve"> </w:t>
      </w:r>
      <w:r w:rsidR="005B40F3">
        <w:t xml:space="preserve">While </w:t>
      </w:r>
      <w:r w:rsidR="005B6AE9">
        <w:t xml:space="preserve">the BO Policy will </w:t>
      </w:r>
      <w:r w:rsidR="005B40F3">
        <w:t xml:space="preserve">authorise this activity, it will </w:t>
      </w:r>
      <w:r w:rsidR="005B6AE9">
        <w:t xml:space="preserve">limit any indirect collection to name and contact details, </w:t>
      </w:r>
      <w:proofErr w:type="gramStart"/>
      <w:r w:rsidR="005B6AE9">
        <w:t>so as to</w:t>
      </w:r>
      <w:proofErr w:type="gramEnd"/>
      <w:r w:rsidR="005B6AE9">
        <w:t xml:space="preserve"> permit other beneficial owners to supply their own beneficial ownership information. This is a privacy enhancing measure which will reduce data quality risks and promote an individual’s control over their own personal information.</w:t>
      </w:r>
    </w:p>
    <w:p w14:paraId="4FBDD446" w14:textId="73414944" w:rsidR="005C7B13" w:rsidRDefault="005C7B13" w:rsidP="00FF316F">
      <w:pPr>
        <w:pStyle w:val="NumberLevel1"/>
      </w:pPr>
      <w:r>
        <w:t>Additionally, i</w:t>
      </w:r>
      <w:r w:rsidR="00EB45EE">
        <w:t xml:space="preserve">n circumstances where in-scope companies provide the contents of their BOR to </w:t>
      </w:r>
      <w:r w:rsidR="002E428B">
        <w:t>the RCA</w:t>
      </w:r>
      <w:r>
        <w:t xml:space="preserve">, </w:t>
      </w:r>
      <w:r w:rsidR="00EB45EE">
        <w:t xml:space="preserve">this will </w:t>
      </w:r>
      <w:r w:rsidR="000F773F">
        <w:t xml:space="preserve">occur </w:t>
      </w:r>
      <w:r w:rsidR="00EB45EE">
        <w:t xml:space="preserve">in accordance with the </w:t>
      </w:r>
      <w:r w:rsidR="000F773F">
        <w:t>legislation which enacts the BO</w:t>
      </w:r>
      <w:r>
        <w:t> </w:t>
      </w:r>
      <w:r w:rsidR="000F773F">
        <w:t>Policy, engaging the exception in APP 3.6(a)(ii)</w:t>
      </w:r>
      <w:r w:rsidR="00EB45EE">
        <w:t xml:space="preserve">. </w:t>
      </w:r>
    </w:p>
    <w:p w14:paraId="5724AF4F" w14:textId="2AA4B0D0" w:rsidR="00EB45EE" w:rsidRDefault="004D4EF6" w:rsidP="00FF316F">
      <w:pPr>
        <w:pStyle w:val="NumberLevel1"/>
      </w:pPr>
      <w:r>
        <w:t xml:space="preserve">While the new legislation will modify the operation of APP 3.6, </w:t>
      </w:r>
      <w:r w:rsidR="005C7B13">
        <w:t>at least in some instances,</w:t>
      </w:r>
      <w:r>
        <w:t xml:space="preserve"> in-scope companies will </w:t>
      </w:r>
      <w:r w:rsidR="005C7B13">
        <w:t xml:space="preserve">indirectly collect and </w:t>
      </w:r>
      <w:r>
        <w:t xml:space="preserve">pass on </w:t>
      </w:r>
      <w:r w:rsidR="005C7B13">
        <w:t xml:space="preserve">this information </w:t>
      </w:r>
      <w:r>
        <w:t xml:space="preserve">with the knowledge of the beneficial owner. Moreover, even where, after the commencement of Stage 2 beneficial owners provide BOI directly to the RCA for inclusion in the PCBOR, the RCA will need to undertake an initial collection to populate the register. We </w:t>
      </w:r>
      <w:r w:rsidR="008B75B8">
        <w:t xml:space="preserve">think these collections are proportionate to the purpose of the </w:t>
      </w:r>
      <w:r w:rsidR="00E62A06">
        <w:t>BO Policy</w:t>
      </w:r>
      <w:r w:rsidR="008B75B8">
        <w:t>.</w:t>
      </w:r>
    </w:p>
    <w:p w14:paraId="6CF18094" w14:textId="67904437" w:rsidR="004D4EF6" w:rsidRDefault="004D4EF6" w:rsidP="00FF316F">
      <w:pPr>
        <w:pStyle w:val="NumberLevel1"/>
      </w:pPr>
      <w:r>
        <w:t>Lastly, to the extent that the new legislation will permit relevant law enforcement agencies and members of the public to collect BOI from an in-scope company or the RCA, rather than the individual directly, we think such modification of APP 3.6 is proportionate</w:t>
      </w:r>
      <w:r w:rsidR="002C1A02">
        <w:t>.</w:t>
      </w:r>
      <w:r>
        <w:t xml:space="preserve"> </w:t>
      </w:r>
    </w:p>
    <w:p w14:paraId="0485D61A" w14:textId="2888E26D" w:rsidR="00DC16F5" w:rsidRDefault="00DC16F5" w:rsidP="000A52BB">
      <w:pPr>
        <w:pStyle w:val="Heading2"/>
      </w:pPr>
      <w:bookmarkStart w:id="121" w:name="_Toc44230512"/>
      <w:bookmarkStart w:id="122" w:name="_Toc48292757"/>
      <w:bookmarkStart w:id="123" w:name="_Toc56176631"/>
      <w:bookmarkStart w:id="124" w:name="_Toc144379040"/>
      <w:bookmarkStart w:id="125" w:name="_Toc158800610"/>
      <w:bookmarkStart w:id="126" w:name="_Toc168942759"/>
      <w:r w:rsidRPr="00CC633C">
        <w:t xml:space="preserve">APP 4 – Unsolicited </w:t>
      </w:r>
      <w:r>
        <w:t xml:space="preserve">personal </w:t>
      </w:r>
      <w:r w:rsidRPr="00CC633C">
        <w:t>information</w:t>
      </w:r>
      <w:bookmarkEnd w:id="121"/>
      <w:bookmarkEnd w:id="122"/>
      <w:bookmarkEnd w:id="123"/>
      <w:bookmarkEnd w:id="124"/>
      <w:bookmarkEnd w:id="125"/>
      <w:bookmarkEnd w:id="126"/>
    </w:p>
    <w:p w14:paraId="1D735C2B" w14:textId="77956D0F" w:rsidR="00DC16F5" w:rsidRDefault="00DC16F5" w:rsidP="00DC16F5">
      <w:pPr>
        <w:pStyle w:val="NumberLevel1"/>
      </w:pPr>
      <w:r>
        <w:t xml:space="preserve">APP 4.1 requires that if an </w:t>
      </w:r>
      <w:r w:rsidRPr="006C0DAD">
        <w:t>APP entity</w:t>
      </w:r>
      <w:r>
        <w:t xml:space="preserve"> receives personal information, and the entity did not solicit the information, the entity must, within a reasonable period after receiving the information, determine </w:t>
      </w:r>
      <w:r w:rsidR="00774E9C">
        <w:t>whether</w:t>
      </w:r>
      <w:r>
        <w:t xml:space="preserve"> the entity could have collected the information under APP 3 if the entity had solicited the information.</w:t>
      </w:r>
    </w:p>
    <w:p w14:paraId="3A47F435" w14:textId="2B6750E1" w:rsidR="00DC16F5" w:rsidRDefault="008B75B8" w:rsidP="00DC16F5">
      <w:pPr>
        <w:pStyle w:val="NumberLevel1"/>
      </w:pPr>
      <w:r>
        <w:t>In Stage 1, i</w:t>
      </w:r>
      <w:r w:rsidR="00DC16F5">
        <w:t xml:space="preserve">n-scope companies </w:t>
      </w:r>
      <w:r>
        <w:t>may use a form</w:t>
      </w:r>
      <w:r w:rsidR="00305515">
        <w:t>at</w:t>
      </w:r>
      <w:r>
        <w:t xml:space="preserve"> authorised by ASIC </w:t>
      </w:r>
      <w:r w:rsidR="00DC16F5">
        <w:t xml:space="preserve">to </w:t>
      </w:r>
      <w:r>
        <w:t xml:space="preserve">request and receive </w:t>
      </w:r>
      <w:r w:rsidR="00DC16F5">
        <w:t>BOI</w:t>
      </w:r>
      <w:r>
        <w:t xml:space="preserve"> from beneficial owners</w:t>
      </w:r>
      <w:r w:rsidR="00356EAA">
        <w:t>, i.e. a data standard specifying the kinds of information required</w:t>
      </w:r>
      <w:r w:rsidR="00EC20C2">
        <w:t>. This</w:t>
      </w:r>
      <w:r w:rsidR="00DC16F5">
        <w:t xml:space="preserve"> is a protective factor against beneficial owners over-providing personal information</w:t>
      </w:r>
      <w:r>
        <w:t xml:space="preserve"> if they mistakenly believe additional information is needed to</w:t>
      </w:r>
      <w:r w:rsidR="00DC16F5">
        <w:t xml:space="preserve"> comply with their obligations.</w:t>
      </w:r>
      <w:r>
        <w:t xml:space="preserve"> We anticipate the RCA will use similar measures if it receives BOI directly from beneficial owners as part of Stage 2.</w:t>
      </w:r>
    </w:p>
    <w:p w14:paraId="4EA2A1F7" w14:textId="60C207E2" w:rsidR="004E2DB9" w:rsidRDefault="008B75B8" w:rsidP="00DC16F5">
      <w:pPr>
        <w:pStyle w:val="NumberLevel1"/>
      </w:pPr>
      <w:r>
        <w:t>In-scope companies and the RCA will not</w:t>
      </w:r>
      <w:r w:rsidR="00F06555">
        <w:t xml:space="preserve"> </w:t>
      </w:r>
      <w:r>
        <w:t xml:space="preserve">require </w:t>
      </w:r>
      <w:r w:rsidR="00DC16F5">
        <w:t xml:space="preserve">documents </w:t>
      </w:r>
      <w:r>
        <w:t xml:space="preserve">or other information </w:t>
      </w:r>
      <w:r w:rsidR="00DC16F5">
        <w:t xml:space="preserve">demonstrating </w:t>
      </w:r>
      <w:r>
        <w:t xml:space="preserve">an individual’s </w:t>
      </w:r>
      <w:r w:rsidR="00DC16F5">
        <w:t>status as a beneficial owner</w:t>
      </w:r>
      <w:r w:rsidR="00493923">
        <w:t xml:space="preserve">. </w:t>
      </w:r>
    </w:p>
    <w:p w14:paraId="2E949146" w14:textId="2AEBF5FB" w:rsidR="00DC16F5" w:rsidRDefault="00493923" w:rsidP="00DC16F5">
      <w:pPr>
        <w:pStyle w:val="NumberLevel1"/>
      </w:pPr>
      <w:r>
        <w:t xml:space="preserve">To </w:t>
      </w:r>
      <w:r w:rsidR="008B75B8">
        <w:t xml:space="preserve">prevent receipt of </w:t>
      </w:r>
      <w:r>
        <w:t xml:space="preserve">unsolicited personal information, we recommend that each </w:t>
      </w:r>
      <w:r w:rsidR="008B75B8">
        <w:t xml:space="preserve">approved </w:t>
      </w:r>
      <w:r>
        <w:t>form</w:t>
      </w:r>
      <w:r w:rsidR="0089747F">
        <w:t>at</w:t>
      </w:r>
      <w:r>
        <w:t xml:space="preserve"> </w:t>
      </w:r>
      <w:r w:rsidR="00356EAA">
        <w:t xml:space="preserve">require the provision of a clear </w:t>
      </w:r>
      <w:r w:rsidR="008B75B8">
        <w:t>explan</w:t>
      </w:r>
      <w:r w:rsidR="00356EAA">
        <w:t>ation</w:t>
      </w:r>
      <w:r w:rsidR="008B75B8">
        <w:t xml:space="preserve"> </w:t>
      </w:r>
      <w:r>
        <w:t xml:space="preserve">to beneficial owners that they need not, and should not, attach any additional documents </w:t>
      </w:r>
      <w:r w:rsidR="008B75B8">
        <w:t xml:space="preserve">or include other information </w:t>
      </w:r>
      <w:r>
        <w:t>when providing their BOI</w:t>
      </w:r>
      <w:r w:rsidR="008B75B8">
        <w:t xml:space="preserve"> (e.g. a submission in support of an application to suppress their BOI)</w:t>
      </w:r>
      <w:r>
        <w:t>.</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5B6A70" w:rsidRPr="004B51FC" w14:paraId="51316284" w14:textId="77777777" w:rsidTr="005B6A70">
        <w:trPr>
          <w:trHeight w:val="332"/>
        </w:trPr>
        <w:tc>
          <w:tcPr>
            <w:tcW w:w="8222" w:type="dxa"/>
            <w:gridSpan w:val="2"/>
            <w:tcBorders>
              <w:top w:val="single" w:sz="12" w:space="0" w:color="000000" w:themeColor="text1"/>
              <w:bottom w:val="single" w:sz="12" w:space="0" w:color="204558"/>
            </w:tcBorders>
            <w:shd w:val="clear" w:color="auto" w:fill="C4DDEA"/>
          </w:tcPr>
          <w:p w14:paraId="2E1E084E" w14:textId="3B4816F7" w:rsidR="005B6A70" w:rsidRPr="004B51FC" w:rsidRDefault="00231C3D" w:rsidP="00F4781D">
            <w:pPr>
              <w:pStyle w:val="TableHeading2"/>
              <w:spacing w:before="200" w:after="120"/>
            </w:pPr>
            <w:bookmarkStart w:id="127" w:name="Recommendation5" w:colFirst="0" w:colLast="1"/>
            <w:r>
              <w:t xml:space="preserve">Recommendation </w:t>
            </w:r>
            <w:r w:rsidR="00D82DA7">
              <w:t>5</w:t>
            </w:r>
            <w:r w:rsidR="005B6A70">
              <w:t xml:space="preserve"> –</w:t>
            </w:r>
            <w:r w:rsidR="008B75B8">
              <w:t xml:space="preserve"> Approved </w:t>
            </w:r>
            <w:r w:rsidR="00494F1B">
              <w:t>form</w:t>
            </w:r>
            <w:r w:rsidR="00170C47">
              <w:t>ats</w:t>
            </w:r>
            <w:r w:rsidR="008B75B8">
              <w:t xml:space="preserve"> provide guidance on form completion</w:t>
            </w:r>
          </w:p>
        </w:tc>
      </w:tr>
      <w:tr w:rsidR="00CF5E4B" w:rsidRPr="004B51FC" w14:paraId="27808CFD" w14:textId="77777777" w:rsidTr="008F368F">
        <w:trPr>
          <w:trHeight w:val="41"/>
        </w:trPr>
        <w:tc>
          <w:tcPr>
            <w:tcW w:w="8222" w:type="dxa"/>
            <w:gridSpan w:val="2"/>
            <w:tcBorders>
              <w:top w:val="single" w:sz="12" w:space="0" w:color="204558"/>
              <w:bottom w:val="single" w:sz="12" w:space="0" w:color="204558"/>
            </w:tcBorders>
            <w:shd w:val="clear" w:color="auto" w:fill="DEEAF6" w:themeFill="accent5" w:themeFillTint="33"/>
          </w:tcPr>
          <w:p w14:paraId="445261D9" w14:textId="394879E6" w:rsidR="00CF5E4B" w:rsidRDefault="00CF5E4B" w:rsidP="00DE66F5">
            <w:pPr>
              <w:pStyle w:val="TableHeading2"/>
              <w:spacing w:before="120" w:after="120"/>
              <w:rPr>
                <w:b w:val="0"/>
              </w:rPr>
            </w:pPr>
            <w:r>
              <w:t xml:space="preserve">Issue: </w:t>
            </w:r>
            <w:r w:rsidRPr="00CF5E4B">
              <w:rPr>
                <w:b w:val="0"/>
              </w:rPr>
              <w:t>Beneficial</w:t>
            </w:r>
            <w:r>
              <w:rPr>
                <w:b w:val="0"/>
              </w:rPr>
              <w:t xml:space="preserve"> owners may over-provide personal information when supplying BOI, such as additional documents demonstrating their status as a beneficial owner, or a submission in support of an application to suppress their BOI (which they should provide to ASIC only, not in-scope companies).</w:t>
            </w:r>
          </w:p>
        </w:tc>
      </w:tr>
      <w:tr w:rsidR="00CF5E4B" w:rsidRPr="004B51FC" w14:paraId="1321241B" w14:textId="77777777" w:rsidTr="0065241F">
        <w:trPr>
          <w:trHeight w:val="41"/>
        </w:trPr>
        <w:tc>
          <w:tcPr>
            <w:tcW w:w="8222" w:type="dxa"/>
            <w:gridSpan w:val="2"/>
            <w:tcBorders>
              <w:top w:val="single" w:sz="12" w:space="0" w:color="204558"/>
              <w:bottom w:val="single" w:sz="12" w:space="0" w:color="204558"/>
            </w:tcBorders>
            <w:shd w:val="clear" w:color="auto" w:fill="EDF5F9"/>
          </w:tcPr>
          <w:p w14:paraId="13A621D0" w14:textId="198D7829" w:rsidR="00CF5E4B" w:rsidRPr="00100521" w:rsidRDefault="00CF5E4B" w:rsidP="005B6A70">
            <w:pPr>
              <w:pStyle w:val="TableHeading2"/>
              <w:spacing w:before="120" w:after="120"/>
              <w:rPr>
                <w:b w:val="0"/>
              </w:rPr>
            </w:pPr>
            <w:r w:rsidRPr="006F4CE9">
              <w:t xml:space="preserve">AGS Recommendation: </w:t>
            </w:r>
            <w:r w:rsidRPr="00CF5E4B">
              <w:rPr>
                <w:b w:val="0"/>
              </w:rPr>
              <w:t xml:space="preserve">The </w:t>
            </w:r>
            <w:r w:rsidRPr="00D84A6D">
              <w:rPr>
                <w:b w:val="0"/>
              </w:rPr>
              <w:t>approved form</w:t>
            </w:r>
            <w:r w:rsidR="00356EAA">
              <w:rPr>
                <w:b w:val="0"/>
              </w:rPr>
              <w:t>at</w:t>
            </w:r>
            <w:r w:rsidRPr="00D84A6D">
              <w:rPr>
                <w:b w:val="0"/>
              </w:rPr>
              <w:t xml:space="preserve"> should include guidance to beneficial owners </w:t>
            </w:r>
            <w:r w:rsidRPr="00100521">
              <w:rPr>
                <w:b w:val="0"/>
              </w:rPr>
              <w:t>explaining:</w:t>
            </w:r>
          </w:p>
          <w:p w14:paraId="580CA87C" w14:textId="14447B83" w:rsidR="00CF5E4B" w:rsidRDefault="00CF5E4B" w:rsidP="00804008">
            <w:pPr>
              <w:pStyle w:val="TableHeading2"/>
              <w:numPr>
                <w:ilvl w:val="0"/>
                <w:numId w:val="48"/>
              </w:numPr>
              <w:spacing w:before="120" w:after="120"/>
              <w:rPr>
                <w:b w:val="0"/>
              </w:rPr>
            </w:pPr>
            <w:r>
              <w:rPr>
                <w:b w:val="0"/>
              </w:rPr>
              <w:t xml:space="preserve">the categories of information they must supply, </w:t>
            </w:r>
          </w:p>
          <w:p w14:paraId="2008F80F" w14:textId="3D6D95A0" w:rsidR="00CF5E4B" w:rsidRPr="004B51FC" w:rsidRDefault="00CF5E4B" w:rsidP="00804008">
            <w:pPr>
              <w:pStyle w:val="TableHeading2"/>
              <w:numPr>
                <w:ilvl w:val="0"/>
                <w:numId w:val="48"/>
              </w:numPr>
              <w:spacing w:before="120" w:after="120"/>
              <w:rPr>
                <w:b w:val="0"/>
              </w:rPr>
            </w:pPr>
            <w:r>
              <w:rPr>
                <w:b w:val="0"/>
              </w:rPr>
              <w:t>other kinds of information</w:t>
            </w:r>
            <w:r w:rsidR="00E0066E">
              <w:rPr>
                <w:b w:val="0"/>
              </w:rPr>
              <w:t xml:space="preserve"> that</w:t>
            </w:r>
            <w:r>
              <w:rPr>
                <w:b w:val="0"/>
              </w:rPr>
              <w:t xml:space="preserve"> are not </w:t>
            </w:r>
            <w:proofErr w:type="gramStart"/>
            <w:r>
              <w:rPr>
                <w:b w:val="0"/>
              </w:rPr>
              <w:t>needed, and</w:t>
            </w:r>
            <w:proofErr w:type="gramEnd"/>
            <w:r>
              <w:rPr>
                <w:b w:val="0"/>
              </w:rPr>
              <w:t xml:space="preserve"> should not be supplied. </w:t>
            </w:r>
          </w:p>
        </w:tc>
      </w:tr>
      <w:tr w:rsidR="005B6A70" w:rsidRPr="00B83500" w14:paraId="77DBDE6E" w14:textId="77777777" w:rsidTr="005B6A70">
        <w:trPr>
          <w:trHeight w:val="269"/>
        </w:trPr>
        <w:tc>
          <w:tcPr>
            <w:tcW w:w="1276" w:type="dxa"/>
            <w:tcBorders>
              <w:top w:val="single" w:sz="12" w:space="0" w:color="204558"/>
              <w:bottom w:val="single" w:sz="12" w:space="0" w:color="000000" w:themeColor="text1"/>
            </w:tcBorders>
            <w:shd w:val="clear" w:color="auto" w:fill="auto"/>
          </w:tcPr>
          <w:p w14:paraId="7972CC50" w14:textId="77777777" w:rsidR="005B6A70" w:rsidRPr="004B51FC" w:rsidRDefault="005B6A70" w:rsidP="005B6A70">
            <w:pPr>
              <w:pStyle w:val="NumberLevel1"/>
              <w:numPr>
                <w:ilvl w:val="0"/>
                <w:numId w:val="0"/>
              </w:numPr>
              <w:spacing w:before="120" w:after="120"/>
              <w:rPr>
                <w:b/>
              </w:rPr>
            </w:pPr>
            <w:r w:rsidRPr="004B51FC">
              <w:rPr>
                <w:b/>
              </w:rPr>
              <w:t>Response:</w:t>
            </w:r>
          </w:p>
        </w:tc>
        <w:tc>
          <w:tcPr>
            <w:tcW w:w="6946" w:type="dxa"/>
            <w:tcBorders>
              <w:top w:val="single" w:sz="12" w:space="0" w:color="204558"/>
              <w:bottom w:val="single" w:sz="12" w:space="0" w:color="000000" w:themeColor="text1"/>
            </w:tcBorders>
            <w:shd w:val="clear" w:color="auto" w:fill="auto"/>
          </w:tcPr>
          <w:p w14:paraId="44151538" w14:textId="77777777" w:rsidR="005B6A70" w:rsidRPr="00B83500" w:rsidRDefault="005B6A70" w:rsidP="005B6A70">
            <w:pPr>
              <w:pStyle w:val="TableHeading2"/>
              <w:spacing w:before="200" w:after="120"/>
              <w:rPr>
                <w:b w:val="0"/>
              </w:rPr>
            </w:pPr>
          </w:p>
        </w:tc>
      </w:tr>
    </w:tbl>
    <w:p w14:paraId="247D3CCF" w14:textId="2A4D50C1" w:rsidR="00493923" w:rsidRDefault="00493923" w:rsidP="005B6AE9">
      <w:pPr>
        <w:pStyle w:val="NumberLevel1"/>
        <w:spacing w:before="120" w:after="120"/>
      </w:pPr>
      <w:bookmarkStart w:id="128" w:name="_Ref163842280"/>
      <w:bookmarkEnd w:id="127"/>
      <w:r>
        <w:t xml:space="preserve">If beneficial owners do over-provide personal information, in-scope companies </w:t>
      </w:r>
      <w:r w:rsidR="00643D2A">
        <w:t xml:space="preserve">and/or the RCA </w:t>
      </w:r>
      <w:r>
        <w:t xml:space="preserve">will need to assess whether such information could have been collected under </w:t>
      </w:r>
      <w:r w:rsidRPr="002542E0">
        <w:t>APP 3</w:t>
      </w:r>
      <w:r>
        <w:t xml:space="preserve">. To assist in-scope companies to make such assessments, we </w:t>
      </w:r>
      <w:r w:rsidR="00643D2A">
        <w:t xml:space="preserve">suggest guidance </w:t>
      </w:r>
      <w:r w:rsidR="00865C63">
        <w:t xml:space="preserve">be provided </w:t>
      </w:r>
      <w:r w:rsidR="00643D2A">
        <w:t>to assist in-scope companies</w:t>
      </w:r>
      <w:r w:rsidR="00865C63">
        <w:t xml:space="preserve"> as outlined at </w:t>
      </w:r>
      <w:bookmarkEnd w:id="128"/>
      <w:r w:rsidR="00D77364">
        <w:rPr>
          <w:rStyle w:val="Hyperlink"/>
        </w:rPr>
        <w:fldChar w:fldCharType="begin"/>
      </w:r>
      <w:r w:rsidR="00D77364">
        <w:rPr>
          <w:rStyle w:val="Hyperlink"/>
        </w:rPr>
        <w:instrText xml:space="preserve"> HYPERLINK  \l "AnnexureA" </w:instrText>
      </w:r>
      <w:r w:rsidR="00D77364">
        <w:rPr>
          <w:rStyle w:val="Hyperlink"/>
        </w:rPr>
      </w:r>
      <w:r w:rsidR="00D77364">
        <w:rPr>
          <w:rStyle w:val="Hyperlink"/>
        </w:rPr>
        <w:fldChar w:fldCharType="separate"/>
      </w:r>
      <w:r w:rsidR="00D77364" w:rsidRPr="00D77364">
        <w:rPr>
          <w:rStyle w:val="Hyperlink"/>
        </w:rPr>
        <w:t>Annexure A</w:t>
      </w:r>
      <w:r w:rsidR="00D77364">
        <w:rPr>
          <w:rStyle w:val="Hyperlink"/>
        </w:rPr>
        <w:fldChar w:fldCharType="end"/>
      </w:r>
      <w:r w:rsidR="00865C63">
        <w:t>.</w:t>
      </w:r>
    </w:p>
    <w:p w14:paraId="45B2FA96" w14:textId="77777777" w:rsidR="005D2962" w:rsidRDefault="00493923" w:rsidP="005B6AE9">
      <w:pPr>
        <w:pStyle w:val="NumberLevel1"/>
        <w:spacing w:before="120" w:after="120"/>
      </w:pPr>
      <w:r w:rsidRPr="00493923">
        <w:t xml:space="preserve">Clear procedures for such assessments can reduce the likelihood of </w:t>
      </w:r>
      <w:r w:rsidR="00643D2A">
        <w:t xml:space="preserve">retaining </w:t>
      </w:r>
      <w:r w:rsidRPr="00493923">
        <w:t>unsolicited information</w:t>
      </w:r>
      <w:r w:rsidR="00643D2A">
        <w:t xml:space="preserve"> the in-scope entity </w:t>
      </w:r>
      <w:r w:rsidR="00643D2A" w:rsidRPr="002542E0">
        <w:t>cannot collect.</w:t>
      </w:r>
      <w:r w:rsidR="00643D2A">
        <w:t xml:space="preserve"> Where an organisation determines it cannot collect the information, it must destroy the information or ensure it is de-identified as soon as practicable: APP 4.2.</w:t>
      </w:r>
      <w:r w:rsidRPr="00493923">
        <w:t xml:space="preserve"> </w:t>
      </w:r>
      <w:r w:rsidR="00643D2A">
        <w:t xml:space="preserve">Deleting unnecessary personal information will minimise any potential harm to an individual in the event of a data breach. </w:t>
      </w:r>
    </w:p>
    <w:p w14:paraId="135328FA" w14:textId="46FF281F" w:rsidR="005B6A70" w:rsidRPr="00D033DE" w:rsidRDefault="00643D2A" w:rsidP="005B6AE9">
      <w:pPr>
        <w:pStyle w:val="NumberLevel1"/>
        <w:spacing w:before="120" w:after="120"/>
      </w:pPr>
      <w:r>
        <w:t>Lastly, t</w:t>
      </w:r>
      <w:r w:rsidR="005B6A70">
        <w:t xml:space="preserve">here is risk that ASIC will collect unsolicited personal information when engaging with beneficial owners about their eligibility for inclusion in suppression regime. </w:t>
      </w:r>
      <w:r>
        <w:t>As a Commonwealth agency with mature privacy practices, w</w:t>
      </w:r>
      <w:r w:rsidR="005B6A70">
        <w:t>e expect that ASIC would already have clear procedures in place for handle unsolicited personal information, and do not consider it necessary for this PIA to advise in this regard.</w:t>
      </w:r>
    </w:p>
    <w:p w14:paraId="10A0FB5D" w14:textId="487DBAF3" w:rsidR="005B6A70" w:rsidRPr="005A4A51" w:rsidRDefault="005B6A70" w:rsidP="00B0403F">
      <w:pPr>
        <w:pStyle w:val="Heading2"/>
        <w:keepNext/>
        <w:keepLines/>
      </w:pPr>
      <w:bookmarkStart w:id="129" w:name="_Toc48292758"/>
      <w:bookmarkStart w:id="130" w:name="_Toc44230513"/>
      <w:bookmarkStart w:id="131" w:name="_Toc93567172"/>
      <w:bookmarkStart w:id="132" w:name="_Toc144822828"/>
      <w:bookmarkStart w:id="133" w:name="_Toc1441977509"/>
      <w:bookmarkStart w:id="134" w:name="_Toc168942760"/>
      <w:r w:rsidRPr="005A4A51">
        <w:t xml:space="preserve">APP 5 – </w:t>
      </w:r>
      <w:bookmarkEnd w:id="129"/>
      <w:bookmarkEnd w:id="130"/>
      <w:r w:rsidRPr="005A4A51">
        <w:t>Notice of collection</w:t>
      </w:r>
      <w:bookmarkEnd w:id="131"/>
      <w:bookmarkEnd w:id="132"/>
      <w:bookmarkEnd w:id="133"/>
      <w:bookmarkEnd w:id="134"/>
    </w:p>
    <w:p w14:paraId="0AD7E24D" w14:textId="77777777" w:rsidR="005B6A70" w:rsidRPr="005A4A51" w:rsidRDefault="005B6A70" w:rsidP="00B0403F">
      <w:pPr>
        <w:pStyle w:val="NumberLevel1"/>
        <w:keepNext/>
        <w:keepLines/>
        <w:spacing w:before="120" w:after="120"/>
      </w:pPr>
      <w:r w:rsidRPr="005A4A51">
        <w:rPr>
          <w:rFonts w:cs="Times New Roman"/>
        </w:rPr>
        <w:t xml:space="preserve">APP 5.1 requires that at </w:t>
      </w:r>
      <w:r w:rsidRPr="005A4A51">
        <w:t xml:space="preserve">or before the time or, if that is not practicable, as soon as practicable after </w:t>
      </w:r>
      <w:r w:rsidRPr="002542E0">
        <w:t>an APP entity</w:t>
      </w:r>
      <w:r w:rsidRPr="005A4A51">
        <w:t xml:space="preserve"> collects personal information about an individual, the entity must take such steps (if any) as are reasonable in the circumstances: </w:t>
      </w:r>
    </w:p>
    <w:p w14:paraId="17114A57" w14:textId="77777777" w:rsidR="005B6A70" w:rsidRPr="005A4A51" w:rsidRDefault="005B6A70" w:rsidP="005B6AE9">
      <w:pPr>
        <w:pStyle w:val="NumberLevel2"/>
        <w:spacing w:before="120" w:after="120"/>
      </w:pPr>
      <w:r w:rsidRPr="005A4A51">
        <w:t xml:space="preserve">to notify the individual of such matters referred to in subclause 5.2 as are reasonable in the circumstances; or </w:t>
      </w:r>
    </w:p>
    <w:p w14:paraId="0D5D9F16" w14:textId="77777777" w:rsidR="005B6A70" w:rsidRPr="005A4A51" w:rsidRDefault="005B6A70" w:rsidP="005B6AE9">
      <w:pPr>
        <w:pStyle w:val="NumberLevel2"/>
        <w:spacing w:before="120" w:after="120"/>
      </w:pPr>
      <w:r w:rsidRPr="005A4A51">
        <w:t xml:space="preserve">to otherwise ensure that the individual is aware of any such matters. </w:t>
      </w:r>
    </w:p>
    <w:p w14:paraId="77A5E486" w14:textId="11450C98" w:rsidR="00A72E87" w:rsidRPr="008D4FFD" w:rsidRDefault="00423764" w:rsidP="005B6AE9">
      <w:pPr>
        <w:pStyle w:val="NumberLevel1"/>
        <w:spacing w:before="120" w:after="120"/>
      </w:pPr>
      <w:r>
        <w:t>N</w:t>
      </w:r>
      <w:r w:rsidR="00A72E87">
        <w:t xml:space="preserve">otices of collection </w:t>
      </w:r>
      <w:r>
        <w:t xml:space="preserve">must </w:t>
      </w:r>
      <w:r w:rsidR="00A72E87">
        <w:t xml:space="preserve">be provided </w:t>
      </w:r>
      <w:r>
        <w:t>in the following circumstances</w:t>
      </w:r>
      <w:r w:rsidR="00A72E87">
        <w:t>:</w:t>
      </w:r>
    </w:p>
    <w:p w14:paraId="3C03A7CC" w14:textId="50A6BD7A" w:rsidR="00E94643" w:rsidRDefault="00423764" w:rsidP="005B6AE9">
      <w:pPr>
        <w:pStyle w:val="NumberLevel2"/>
        <w:spacing w:before="120" w:after="120"/>
      </w:pPr>
      <w:r>
        <w:t xml:space="preserve">By in-scope companies to </w:t>
      </w:r>
      <w:r w:rsidR="00A72E87">
        <w:t xml:space="preserve">beneficial owners, prior to </w:t>
      </w:r>
      <w:r w:rsidR="005D2962">
        <w:t xml:space="preserve">receiving </w:t>
      </w:r>
      <w:r w:rsidR="00A72E87">
        <w:t>their BOI</w:t>
      </w:r>
      <w:r w:rsidR="005B6AE9">
        <w:t>,</w:t>
      </w:r>
      <w:r w:rsidR="002519F0">
        <w:t xml:space="preserve"> after receiving the</w:t>
      </w:r>
      <w:r w:rsidR="005D2962">
        <w:t>ir</w:t>
      </w:r>
      <w:r w:rsidR="002519F0">
        <w:t xml:space="preserve"> name and contact information from another beneficial owner</w:t>
      </w:r>
      <w:r w:rsidR="002110B8">
        <w:t>,</w:t>
      </w:r>
      <w:r w:rsidR="005B6AE9">
        <w:t xml:space="preserve"> or after receiving their BOI from another beneficial owner</w:t>
      </w:r>
      <w:r>
        <w:t xml:space="preserve"> (</w:t>
      </w:r>
      <w:r>
        <w:rPr>
          <w:b/>
        </w:rPr>
        <w:t>initial collection notice</w:t>
      </w:r>
      <w:r>
        <w:t>)</w:t>
      </w:r>
      <w:r w:rsidR="00A72E87">
        <w:t>,</w:t>
      </w:r>
      <w:r w:rsidR="005B6AE9">
        <w:t xml:space="preserve"> </w:t>
      </w:r>
    </w:p>
    <w:p w14:paraId="74B59CCD" w14:textId="20288B5F" w:rsidR="00A72E87" w:rsidRDefault="00423764" w:rsidP="005B6AE9">
      <w:pPr>
        <w:pStyle w:val="NumberLevel2"/>
        <w:spacing w:before="120" w:after="120"/>
      </w:pPr>
      <w:r>
        <w:t xml:space="preserve">By ASIC to </w:t>
      </w:r>
      <w:r w:rsidR="00A72E87">
        <w:t xml:space="preserve">beneficial owners </w:t>
      </w:r>
      <w:r w:rsidR="005F1ED1">
        <w:t>who apply</w:t>
      </w:r>
      <w:r w:rsidR="005F1E21">
        <w:t xml:space="preserve"> </w:t>
      </w:r>
      <w:r w:rsidR="00A72E87">
        <w:t>to suppress</w:t>
      </w:r>
      <w:r w:rsidR="00D86A29">
        <w:t xml:space="preserve"> their BOI from a register</w:t>
      </w:r>
      <w:r>
        <w:t xml:space="preserve"> (</w:t>
      </w:r>
      <w:r>
        <w:rPr>
          <w:b/>
        </w:rPr>
        <w:t>suppression collection notice</w:t>
      </w:r>
      <w:r>
        <w:t>)</w:t>
      </w:r>
      <w:r w:rsidR="00A72E87">
        <w:t>,</w:t>
      </w:r>
    </w:p>
    <w:p w14:paraId="5210CD4F" w14:textId="1AC25488" w:rsidR="00A72E87" w:rsidRDefault="00423764" w:rsidP="005B6AE9">
      <w:pPr>
        <w:pStyle w:val="NumberLevel2"/>
        <w:spacing w:before="120" w:after="120"/>
      </w:pPr>
      <w:r>
        <w:t xml:space="preserve">By the RCA to </w:t>
      </w:r>
      <w:r w:rsidR="00A72E87">
        <w:t>beneficial owners who provide their BOI directly to</w:t>
      </w:r>
      <w:r w:rsidR="00D86A29">
        <w:t xml:space="preserve"> the RCA</w:t>
      </w:r>
      <w:r w:rsidR="00A72E87">
        <w:t xml:space="preserve"> for inclusion in the PCBOR</w:t>
      </w:r>
      <w:r>
        <w:t xml:space="preserve"> (</w:t>
      </w:r>
      <w:r>
        <w:rPr>
          <w:b/>
        </w:rPr>
        <w:t>RCA collection notice</w:t>
      </w:r>
      <w:r>
        <w:t>)</w:t>
      </w:r>
    </w:p>
    <w:p w14:paraId="5C900C8C" w14:textId="64496C4A" w:rsidR="00DE4139" w:rsidRDefault="005F1ED1" w:rsidP="005B6AE9">
      <w:pPr>
        <w:pStyle w:val="NumberLevel1"/>
        <w:spacing w:before="120" w:after="120"/>
      </w:pPr>
      <w:r w:rsidRPr="00E0239E">
        <w:rPr>
          <w:rStyle w:val="Hyperlink"/>
        </w:rPr>
        <w:t>Annexure A</w:t>
      </w:r>
      <w:r>
        <w:rPr>
          <w:b/>
        </w:rPr>
        <w:t xml:space="preserve"> </w:t>
      </w:r>
      <w:r>
        <w:t xml:space="preserve">to this PIA sets out in a table </w:t>
      </w:r>
      <w:r w:rsidR="003123D6">
        <w:t xml:space="preserve">of </w:t>
      </w:r>
      <w:r>
        <w:t>the matters that will need to be included in each collection notice.</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D82DA7" w:rsidRPr="004B51FC" w14:paraId="660F097D" w14:textId="77777777" w:rsidTr="008F6E4D">
        <w:trPr>
          <w:trHeight w:val="332"/>
        </w:trPr>
        <w:tc>
          <w:tcPr>
            <w:tcW w:w="8222" w:type="dxa"/>
            <w:gridSpan w:val="2"/>
            <w:tcBorders>
              <w:top w:val="single" w:sz="12" w:space="0" w:color="000000" w:themeColor="text1"/>
              <w:bottom w:val="single" w:sz="12" w:space="0" w:color="204558"/>
            </w:tcBorders>
            <w:shd w:val="clear" w:color="auto" w:fill="C4DDEA"/>
          </w:tcPr>
          <w:p w14:paraId="0BF58C2B" w14:textId="3BC9E068" w:rsidR="00D82DA7" w:rsidRPr="004B51FC" w:rsidRDefault="00D82DA7" w:rsidP="008F6E4D">
            <w:pPr>
              <w:pStyle w:val="TableHeading2"/>
              <w:spacing w:before="200" w:after="120"/>
            </w:pPr>
            <w:bookmarkStart w:id="135" w:name="Recommendation6" w:colFirst="0" w:colLast="1"/>
            <w:r>
              <w:t>Recommendation 6 –</w:t>
            </w:r>
            <w:r w:rsidR="00D84A6D">
              <w:t xml:space="preserve"> In-scope companies, ASIC, and the RCA provide beneficial owners n</w:t>
            </w:r>
            <w:r w:rsidR="00D84A6D" w:rsidRPr="00D84A6D">
              <w:t>ot</w:t>
            </w:r>
            <w:r w:rsidR="00D84A6D" w:rsidRPr="00AB39B6">
              <w:t>ices of collec</w:t>
            </w:r>
            <w:r w:rsidR="00D84A6D">
              <w:t xml:space="preserve">tion </w:t>
            </w:r>
          </w:p>
        </w:tc>
      </w:tr>
      <w:tr w:rsidR="00D82DA7" w:rsidRPr="00C56D18" w14:paraId="18E13242" w14:textId="77777777" w:rsidTr="008F368F">
        <w:trPr>
          <w:trHeight w:val="332"/>
        </w:trPr>
        <w:tc>
          <w:tcPr>
            <w:tcW w:w="8222" w:type="dxa"/>
            <w:gridSpan w:val="2"/>
            <w:tcBorders>
              <w:top w:val="single" w:sz="12" w:space="0" w:color="204558"/>
              <w:bottom w:val="single" w:sz="12" w:space="0" w:color="204558"/>
            </w:tcBorders>
            <w:shd w:val="clear" w:color="auto" w:fill="DEEAF6" w:themeFill="accent5" w:themeFillTint="33"/>
          </w:tcPr>
          <w:p w14:paraId="69EBDF44" w14:textId="4AEF5C09" w:rsidR="00D82DA7" w:rsidRPr="00C56D18" w:rsidRDefault="00D82DA7" w:rsidP="00D84A6D">
            <w:pPr>
              <w:pStyle w:val="TableHeading2"/>
              <w:spacing w:before="120" w:after="120"/>
              <w:rPr>
                <w:b w:val="0"/>
              </w:rPr>
            </w:pPr>
            <w:r w:rsidRPr="00DE4139">
              <w:t>Issue:</w:t>
            </w:r>
            <w:r>
              <w:rPr>
                <w:b w:val="0"/>
              </w:rPr>
              <w:t xml:space="preserve"> </w:t>
            </w:r>
            <w:r w:rsidR="00D84A6D" w:rsidRPr="00C27EE4">
              <w:rPr>
                <w:b w:val="0"/>
              </w:rPr>
              <w:t>APP entities</w:t>
            </w:r>
            <w:r w:rsidR="00D84A6D">
              <w:rPr>
                <w:b w:val="0"/>
              </w:rPr>
              <w:t xml:space="preserve"> must, b</w:t>
            </w:r>
            <w:r w:rsidR="00D84A6D" w:rsidRPr="00D84A6D">
              <w:rPr>
                <w:b w:val="0"/>
              </w:rPr>
              <w:t xml:space="preserve">efore </w:t>
            </w:r>
            <w:r w:rsidR="00D84A6D">
              <w:rPr>
                <w:b w:val="0"/>
              </w:rPr>
              <w:t xml:space="preserve">or as </w:t>
            </w:r>
            <w:r w:rsidR="00D84A6D" w:rsidRPr="00D84A6D">
              <w:rPr>
                <w:b w:val="0"/>
              </w:rPr>
              <w:t>soon as practicable after collect</w:t>
            </w:r>
            <w:r w:rsidR="00D84A6D">
              <w:rPr>
                <w:b w:val="0"/>
              </w:rPr>
              <w:t>ing</w:t>
            </w:r>
            <w:r w:rsidR="00D84A6D" w:rsidRPr="00D84A6D">
              <w:rPr>
                <w:b w:val="0"/>
              </w:rPr>
              <w:t xml:space="preserve"> personal information</w:t>
            </w:r>
            <w:r w:rsidR="00D84A6D">
              <w:rPr>
                <w:b w:val="0"/>
              </w:rPr>
              <w:t>, notify the individual of prescribed matters, or otherwise ensure that they are aware of such matters.</w:t>
            </w:r>
          </w:p>
        </w:tc>
      </w:tr>
      <w:tr w:rsidR="00D82DA7" w:rsidRPr="003D2417" w14:paraId="22C99AAC" w14:textId="77777777" w:rsidTr="008F6E4D">
        <w:trPr>
          <w:trHeight w:val="332"/>
        </w:trPr>
        <w:tc>
          <w:tcPr>
            <w:tcW w:w="8222" w:type="dxa"/>
            <w:gridSpan w:val="2"/>
            <w:tcBorders>
              <w:top w:val="single" w:sz="12" w:space="0" w:color="204558"/>
              <w:bottom w:val="single" w:sz="12" w:space="0" w:color="204558"/>
            </w:tcBorders>
            <w:shd w:val="clear" w:color="auto" w:fill="EDF5F9"/>
          </w:tcPr>
          <w:p w14:paraId="6A037C6F" w14:textId="731FCAC9" w:rsidR="00D82DA7" w:rsidRPr="008F368F" w:rsidRDefault="00D82DA7" w:rsidP="008F368F">
            <w:pPr>
              <w:pStyle w:val="TableHeading2"/>
              <w:spacing w:before="120" w:after="120"/>
            </w:pPr>
            <w:r w:rsidRPr="00DE4139">
              <w:t>AGS Recommendation:</w:t>
            </w:r>
            <w:r>
              <w:rPr>
                <w:b w:val="0"/>
              </w:rPr>
              <w:t xml:space="preserve"> </w:t>
            </w:r>
            <w:r w:rsidR="00E84F12">
              <w:rPr>
                <w:b w:val="0"/>
              </w:rPr>
              <w:t>In-scope companies</w:t>
            </w:r>
            <w:r w:rsidR="00D84A6D">
              <w:rPr>
                <w:b w:val="0"/>
              </w:rPr>
              <w:t xml:space="preserve">, ASIC and the RCA provide collection </w:t>
            </w:r>
            <w:r w:rsidR="008F368F">
              <w:rPr>
                <w:b w:val="0"/>
              </w:rPr>
              <w:t xml:space="preserve">notices </w:t>
            </w:r>
            <w:r w:rsidR="00D84A6D">
              <w:rPr>
                <w:b w:val="0"/>
              </w:rPr>
              <w:t xml:space="preserve">addressing the matters outlined at </w:t>
            </w:r>
            <w:hyperlink w:anchor="AnnexureA" w:history="1">
              <w:r w:rsidR="00D77364">
                <w:rPr>
                  <w:rStyle w:val="Hyperlink"/>
                </w:rPr>
                <w:t>Annexure A</w:t>
              </w:r>
            </w:hyperlink>
            <w:r w:rsidR="008F368F">
              <w:rPr>
                <w:b w:val="0"/>
              </w:rPr>
              <w:t>, b</w:t>
            </w:r>
            <w:r w:rsidR="008F368F" w:rsidRPr="008F368F">
              <w:rPr>
                <w:b w:val="0"/>
              </w:rPr>
              <w:t>efore, or as soon as practicable after, they collect personal informatio</w:t>
            </w:r>
            <w:r w:rsidR="00D77364">
              <w:rPr>
                <w:b w:val="0"/>
              </w:rPr>
              <w:t>n.</w:t>
            </w:r>
          </w:p>
        </w:tc>
      </w:tr>
      <w:tr w:rsidR="00D82DA7" w:rsidRPr="00B83500" w14:paraId="57BD1681" w14:textId="77777777" w:rsidTr="008F6E4D">
        <w:trPr>
          <w:trHeight w:val="269"/>
        </w:trPr>
        <w:tc>
          <w:tcPr>
            <w:tcW w:w="1276" w:type="dxa"/>
            <w:tcBorders>
              <w:top w:val="single" w:sz="12" w:space="0" w:color="204558"/>
              <w:bottom w:val="single" w:sz="12" w:space="0" w:color="000000" w:themeColor="text1"/>
            </w:tcBorders>
            <w:shd w:val="clear" w:color="auto" w:fill="auto"/>
          </w:tcPr>
          <w:p w14:paraId="2B3F84FD" w14:textId="77777777" w:rsidR="00D82DA7" w:rsidRPr="004B51FC" w:rsidRDefault="00D82DA7" w:rsidP="008F6E4D">
            <w:pPr>
              <w:pStyle w:val="NumberLevel1"/>
              <w:numPr>
                <w:ilvl w:val="0"/>
                <w:numId w:val="0"/>
              </w:numPr>
              <w:spacing w:before="120" w:after="120"/>
              <w:rPr>
                <w:b/>
              </w:rPr>
            </w:pPr>
            <w:r w:rsidRPr="004B51FC">
              <w:rPr>
                <w:b/>
              </w:rPr>
              <w:t>Response:</w:t>
            </w:r>
          </w:p>
        </w:tc>
        <w:tc>
          <w:tcPr>
            <w:tcW w:w="6946" w:type="dxa"/>
            <w:tcBorders>
              <w:top w:val="single" w:sz="12" w:space="0" w:color="204558"/>
              <w:bottom w:val="single" w:sz="12" w:space="0" w:color="000000" w:themeColor="text1"/>
            </w:tcBorders>
            <w:shd w:val="clear" w:color="auto" w:fill="auto"/>
          </w:tcPr>
          <w:p w14:paraId="3EDDA2D8" w14:textId="77777777" w:rsidR="00D82DA7" w:rsidRPr="00B83500" w:rsidRDefault="00D82DA7" w:rsidP="008F6E4D">
            <w:pPr>
              <w:pStyle w:val="TableHeading2"/>
              <w:spacing w:before="200" w:after="120"/>
              <w:rPr>
                <w:b w:val="0"/>
              </w:rPr>
            </w:pPr>
          </w:p>
        </w:tc>
      </w:tr>
    </w:tbl>
    <w:p w14:paraId="1209F938" w14:textId="77777777" w:rsidR="00AD703E" w:rsidRDefault="00AD703E" w:rsidP="00220909">
      <w:pPr>
        <w:pStyle w:val="Heading2"/>
        <w:keepNext/>
        <w:keepLines/>
      </w:pPr>
      <w:bookmarkStart w:id="136" w:name="_Toc168942761"/>
      <w:bookmarkStart w:id="137" w:name="_Hlk163811854"/>
      <w:bookmarkStart w:id="138" w:name="_Hlk163811748"/>
      <w:bookmarkEnd w:id="135"/>
      <w:r>
        <w:t xml:space="preserve">APP 6 – Use or disclosure of personal </w:t>
      </w:r>
      <w:proofErr w:type="gramStart"/>
      <w:r>
        <w:t>information</w:t>
      </w:r>
      <w:bookmarkEnd w:id="136"/>
      <w:proofErr w:type="gramEnd"/>
    </w:p>
    <w:p w14:paraId="23AA9597" w14:textId="77777777" w:rsidR="00AD703E" w:rsidRPr="008D4FFD" w:rsidRDefault="00AD703E" w:rsidP="00220909">
      <w:pPr>
        <w:pStyle w:val="AdviceNumLevel1"/>
        <w:keepNext/>
        <w:keepLines/>
        <w:rPr>
          <w:b/>
        </w:rPr>
      </w:pPr>
      <w:r w:rsidRPr="00D92BA2">
        <w:t xml:space="preserve">APP 6 provides that an </w:t>
      </w:r>
      <w:r w:rsidRPr="00C27EE4">
        <w:t>APP entity</w:t>
      </w:r>
      <w:r w:rsidRPr="00D92BA2">
        <w:t xml:space="preserve"> can only use or disclose personal information for the purpose for which it was collected (the ‘primary purpose’), or for a secondary purpose if the individual has consented to the use or disclosure, or an exception applies.</w:t>
      </w:r>
      <w:r>
        <w:t xml:space="preserve"> Most relevantly, these exceptions include:</w:t>
      </w:r>
    </w:p>
    <w:tbl>
      <w:tblPr>
        <w:tblStyle w:val="TableGrid"/>
        <w:tblW w:w="8237" w:type="dxa"/>
        <w:tblInd w:w="-15" w:type="dxa"/>
        <w:tblBorders>
          <w:top w:val="none" w:sz="0" w:space="0" w:color="auto"/>
          <w:left w:val="none" w:sz="0" w:space="0" w:color="auto"/>
          <w:bottom w:val="none" w:sz="0" w:space="0" w:color="auto"/>
          <w:right w:val="none" w:sz="0" w:space="0" w:color="auto"/>
          <w:insideH w:val="single" w:sz="12" w:space="0" w:color="000000" w:themeColor="text1"/>
          <w:insideV w:val="single" w:sz="12" w:space="0" w:color="000000" w:themeColor="text1"/>
        </w:tblBorders>
        <w:tblLook w:val="04A0" w:firstRow="1" w:lastRow="0" w:firstColumn="1" w:lastColumn="0" w:noHBand="0" w:noVBand="1"/>
      </w:tblPr>
      <w:tblGrid>
        <w:gridCol w:w="1575"/>
        <w:gridCol w:w="6662"/>
      </w:tblGrid>
      <w:tr w:rsidR="003E2FD2" w:rsidRPr="00D92BA2" w14:paraId="317CB36D" w14:textId="77777777" w:rsidTr="00220909">
        <w:tc>
          <w:tcPr>
            <w:tcW w:w="1575" w:type="dxa"/>
            <w:shd w:val="clear" w:color="auto" w:fill="C4DDEA"/>
            <w:hideMark/>
          </w:tcPr>
          <w:p w14:paraId="623976D4" w14:textId="77777777" w:rsidR="00AD703E" w:rsidRPr="00D92BA2" w:rsidRDefault="00AD703E" w:rsidP="008F6E4D">
            <w:pPr>
              <w:pStyle w:val="TableHeading2"/>
              <w:rPr>
                <w:color w:val="000000" w:themeColor="text1"/>
              </w:rPr>
            </w:pPr>
            <w:r w:rsidRPr="00D92BA2">
              <w:rPr>
                <w:color w:val="000000" w:themeColor="text1"/>
              </w:rPr>
              <w:t>Exception</w:t>
            </w:r>
          </w:p>
        </w:tc>
        <w:tc>
          <w:tcPr>
            <w:tcW w:w="6662" w:type="dxa"/>
            <w:shd w:val="clear" w:color="auto" w:fill="C4DDEA"/>
            <w:hideMark/>
          </w:tcPr>
          <w:p w14:paraId="51908CF7" w14:textId="77777777" w:rsidR="00AD703E" w:rsidRPr="00D92BA2" w:rsidRDefault="00AD703E" w:rsidP="008F6E4D">
            <w:pPr>
              <w:pStyle w:val="TableHeading2"/>
              <w:rPr>
                <w:color w:val="000000" w:themeColor="text1"/>
              </w:rPr>
            </w:pPr>
            <w:r w:rsidRPr="00D92BA2">
              <w:rPr>
                <w:color w:val="000000" w:themeColor="text1"/>
              </w:rPr>
              <w:t>Description</w:t>
            </w:r>
          </w:p>
        </w:tc>
      </w:tr>
      <w:tr w:rsidR="00AB3401" w:rsidRPr="00D92BA2" w14:paraId="7B7B3AD2" w14:textId="77777777" w:rsidTr="00220909">
        <w:tc>
          <w:tcPr>
            <w:tcW w:w="1575" w:type="dxa"/>
            <w:vAlign w:val="top"/>
            <w:hideMark/>
          </w:tcPr>
          <w:p w14:paraId="17FC3252" w14:textId="77777777" w:rsidR="00AD703E" w:rsidRPr="00D92BA2" w:rsidRDefault="00AD703E" w:rsidP="008F6E4D">
            <w:pPr>
              <w:pStyle w:val="TablePlainParagraph"/>
              <w:rPr>
                <w:color w:val="000000" w:themeColor="text1"/>
              </w:rPr>
            </w:pPr>
            <w:r w:rsidRPr="00D92BA2">
              <w:rPr>
                <w:b/>
                <w:color w:val="000000" w:themeColor="text1"/>
              </w:rPr>
              <w:t>APP 6.2(a)</w:t>
            </w:r>
          </w:p>
        </w:tc>
        <w:tc>
          <w:tcPr>
            <w:tcW w:w="6662" w:type="dxa"/>
            <w:vAlign w:val="top"/>
            <w:hideMark/>
          </w:tcPr>
          <w:p w14:paraId="41231F79" w14:textId="77777777" w:rsidR="00AD703E" w:rsidRPr="00D92BA2" w:rsidRDefault="00AD703E" w:rsidP="008F6E4D">
            <w:pPr>
              <w:pStyle w:val="TablePlainParagraph"/>
              <w:rPr>
                <w:color w:val="000000" w:themeColor="text1"/>
              </w:rPr>
            </w:pPr>
            <w:r w:rsidRPr="00D92BA2">
              <w:rPr>
                <w:color w:val="000000" w:themeColor="text1"/>
              </w:rPr>
              <w:t>The individual would expect the APP entity to use or disclose their personal information for the secondary purpose, and that purpose is related to the primary purpose of collection, or, in the case of sensitive information, directly related to the primary purpose.</w:t>
            </w:r>
          </w:p>
        </w:tc>
      </w:tr>
      <w:tr w:rsidR="00AB3401" w:rsidRPr="00D92BA2" w14:paraId="2BFF1AB6" w14:textId="77777777" w:rsidTr="00220909">
        <w:tc>
          <w:tcPr>
            <w:tcW w:w="1575" w:type="dxa"/>
            <w:vAlign w:val="top"/>
          </w:tcPr>
          <w:p w14:paraId="418C90A3" w14:textId="77777777" w:rsidR="00AD703E" w:rsidRPr="00D92BA2" w:rsidRDefault="00AD703E" w:rsidP="008F6E4D">
            <w:pPr>
              <w:pStyle w:val="TablePlainParagraph"/>
              <w:rPr>
                <w:b/>
                <w:color w:val="000000" w:themeColor="text1"/>
              </w:rPr>
            </w:pPr>
            <w:r>
              <w:rPr>
                <w:b/>
                <w:color w:val="000000" w:themeColor="text1"/>
              </w:rPr>
              <w:t>APP 6.2(b)</w:t>
            </w:r>
          </w:p>
        </w:tc>
        <w:tc>
          <w:tcPr>
            <w:tcW w:w="6662" w:type="dxa"/>
            <w:vAlign w:val="top"/>
          </w:tcPr>
          <w:p w14:paraId="48958AEA" w14:textId="77777777" w:rsidR="00AD703E" w:rsidRPr="00D92BA2" w:rsidRDefault="00AD703E" w:rsidP="008F6E4D">
            <w:pPr>
              <w:pStyle w:val="TablePlainParagraph"/>
              <w:rPr>
                <w:color w:val="000000" w:themeColor="text1"/>
              </w:rPr>
            </w:pPr>
            <w:r>
              <w:rPr>
                <w:color w:val="000000" w:themeColor="text1"/>
              </w:rPr>
              <w:t>T</w:t>
            </w:r>
            <w:r w:rsidRPr="003861A1">
              <w:rPr>
                <w:color w:val="000000" w:themeColor="text1"/>
              </w:rPr>
              <w:t>he use or disclosure of the information is required or authorised by or under an Australian law or a court/tribunal order</w:t>
            </w:r>
          </w:p>
        </w:tc>
      </w:tr>
    </w:tbl>
    <w:p w14:paraId="74B07A93" w14:textId="77777777" w:rsidR="00AD703E" w:rsidRDefault="00AD703E" w:rsidP="00AD703E">
      <w:pPr>
        <w:pStyle w:val="NumberLevel1"/>
      </w:pPr>
      <w:r>
        <w:t>Below, we review the relevant considerations for each use or disclosure by in-scope companies, ASIC, and the RCA in turn.</w:t>
      </w:r>
    </w:p>
    <w:p w14:paraId="315B5E07" w14:textId="77777777" w:rsidR="00AD703E" w:rsidRDefault="00AD703E" w:rsidP="00AD703E">
      <w:pPr>
        <w:pStyle w:val="Heading3"/>
        <w:pBdr>
          <w:top w:val="single" w:sz="4" w:space="0" w:color="auto"/>
        </w:pBdr>
      </w:pPr>
      <w:r>
        <w:t xml:space="preserve">Use and disclosure of personal information by in-scope </w:t>
      </w:r>
      <w:proofErr w:type="gramStart"/>
      <w:r>
        <w:t>companies</w:t>
      </w:r>
      <w:proofErr w:type="gramEnd"/>
    </w:p>
    <w:p w14:paraId="1932F981" w14:textId="0603DD00" w:rsidR="00AD703E" w:rsidRDefault="00AD703E" w:rsidP="00AD703E">
      <w:pPr>
        <w:pStyle w:val="NumberLevel1"/>
        <w:rPr>
          <w:lang w:eastAsia="en-US"/>
        </w:rPr>
      </w:pPr>
      <w:r>
        <w:rPr>
          <w:lang w:eastAsia="en-US"/>
        </w:rPr>
        <w:t>The table below sets out the ways in which in-scope companies will use and disclose personal information</w:t>
      </w:r>
      <w:r w:rsidR="005D2962">
        <w:rPr>
          <w:lang w:eastAsia="en-US"/>
        </w:rPr>
        <w:t>.</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340"/>
        <w:gridCol w:w="2070"/>
        <w:gridCol w:w="5812"/>
      </w:tblGrid>
      <w:tr w:rsidR="00AD703E" w14:paraId="23E8D7B9" w14:textId="77777777" w:rsidTr="00220909">
        <w:trPr>
          <w:cantSplit/>
          <w:tblHeader/>
        </w:trPr>
        <w:tc>
          <w:tcPr>
            <w:tcW w:w="340" w:type="dxa"/>
            <w:shd w:val="clear" w:color="auto" w:fill="C4DDEA"/>
            <w:vAlign w:val="top"/>
          </w:tcPr>
          <w:p w14:paraId="539A7DDD" w14:textId="77777777" w:rsidR="00AD703E" w:rsidRDefault="00AD703E" w:rsidP="008F6E4D">
            <w:pPr>
              <w:pStyle w:val="TableHeading2"/>
              <w:ind w:left="176" w:hanging="176"/>
            </w:pPr>
            <w:r>
              <w:t>#</w:t>
            </w:r>
          </w:p>
        </w:tc>
        <w:tc>
          <w:tcPr>
            <w:tcW w:w="2070" w:type="dxa"/>
            <w:shd w:val="clear" w:color="auto" w:fill="C4DDEA"/>
            <w:vAlign w:val="top"/>
          </w:tcPr>
          <w:p w14:paraId="68DB635F" w14:textId="77777777" w:rsidR="00AD703E" w:rsidRPr="00121519" w:rsidRDefault="00AD703E" w:rsidP="008F6E4D">
            <w:pPr>
              <w:pStyle w:val="TableHeading2"/>
              <w:ind w:left="176" w:hanging="176"/>
            </w:pPr>
            <w:r>
              <w:t>Activity</w:t>
            </w:r>
          </w:p>
        </w:tc>
        <w:tc>
          <w:tcPr>
            <w:tcW w:w="5812" w:type="dxa"/>
            <w:shd w:val="clear" w:color="auto" w:fill="C4DDEA"/>
            <w:vAlign w:val="top"/>
          </w:tcPr>
          <w:p w14:paraId="4380166B" w14:textId="77777777" w:rsidR="00AD703E" w:rsidRDefault="00AD703E" w:rsidP="008F6E4D">
            <w:pPr>
              <w:pStyle w:val="TableHeading2"/>
            </w:pPr>
            <w:r>
              <w:t>Actions taken as part of the Activity</w:t>
            </w:r>
          </w:p>
        </w:tc>
      </w:tr>
      <w:tr w:rsidR="00AD703E" w:rsidRPr="0071230A" w14:paraId="78F8C77B" w14:textId="77777777" w:rsidTr="00220909">
        <w:tc>
          <w:tcPr>
            <w:tcW w:w="340" w:type="dxa"/>
            <w:vAlign w:val="top"/>
          </w:tcPr>
          <w:p w14:paraId="36A8874F" w14:textId="77777777" w:rsidR="00AD703E" w:rsidRDefault="00AD703E" w:rsidP="008F6E4D">
            <w:pPr>
              <w:pStyle w:val="TablePlainParagraph"/>
              <w:rPr>
                <w:b/>
              </w:rPr>
            </w:pPr>
            <w:r>
              <w:rPr>
                <w:b/>
              </w:rPr>
              <w:t>1</w:t>
            </w:r>
          </w:p>
        </w:tc>
        <w:tc>
          <w:tcPr>
            <w:tcW w:w="2070" w:type="dxa"/>
            <w:vAlign w:val="top"/>
          </w:tcPr>
          <w:p w14:paraId="7A5BB6E4" w14:textId="77777777" w:rsidR="00AD703E" w:rsidRPr="008D4FFD" w:rsidRDefault="00AD703E" w:rsidP="008F6E4D">
            <w:pPr>
              <w:pStyle w:val="TablePlainParagraph"/>
              <w:rPr>
                <w:b/>
              </w:rPr>
            </w:pPr>
            <w:r>
              <w:rPr>
                <w:b/>
              </w:rPr>
              <w:t>Request to suspected beneficial owners</w:t>
            </w:r>
          </w:p>
        </w:tc>
        <w:tc>
          <w:tcPr>
            <w:tcW w:w="5812" w:type="dxa"/>
            <w:vAlign w:val="top"/>
          </w:tcPr>
          <w:p w14:paraId="2B8436D3" w14:textId="77777777" w:rsidR="00AD703E" w:rsidRPr="00AA3C5A" w:rsidRDefault="00AD703E" w:rsidP="00804008">
            <w:pPr>
              <w:pStyle w:val="TablePlainParagraph"/>
              <w:numPr>
                <w:ilvl w:val="0"/>
                <w:numId w:val="49"/>
              </w:numPr>
              <w:rPr>
                <w:color w:val="ED7D31" w:themeColor="accent2"/>
              </w:rPr>
            </w:pPr>
            <w:r w:rsidRPr="00AA3C5A">
              <w:rPr>
                <w:color w:val="ED7D31" w:themeColor="accent2"/>
              </w:rPr>
              <w:t>Use of existing and new information to identifying suspected beneficial owners</w:t>
            </w:r>
          </w:p>
          <w:p w14:paraId="0A380902" w14:textId="77777777" w:rsidR="00AD703E" w:rsidRPr="00AA3C5A" w:rsidRDefault="00AD703E" w:rsidP="00804008">
            <w:pPr>
              <w:pStyle w:val="TablePlainParagraph"/>
              <w:numPr>
                <w:ilvl w:val="0"/>
                <w:numId w:val="49"/>
              </w:numPr>
              <w:rPr>
                <w:color w:val="ED7D31" w:themeColor="accent2"/>
              </w:rPr>
            </w:pPr>
            <w:r w:rsidRPr="00AA3C5A">
              <w:rPr>
                <w:color w:val="ED7D31" w:themeColor="accent2"/>
              </w:rPr>
              <w:t xml:space="preserve">Use and disclosure to send requests for BOI to </w:t>
            </w:r>
            <w:proofErr w:type="gramStart"/>
            <w:r w:rsidRPr="00AA3C5A">
              <w:rPr>
                <w:color w:val="ED7D31" w:themeColor="accent2"/>
              </w:rPr>
              <w:t>suspected</w:t>
            </w:r>
            <w:proofErr w:type="gramEnd"/>
            <w:r w:rsidRPr="00AA3C5A">
              <w:rPr>
                <w:color w:val="ED7D31" w:themeColor="accent2"/>
              </w:rPr>
              <w:t xml:space="preserve"> beneficial owners</w:t>
            </w:r>
          </w:p>
          <w:p w14:paraId="22BE48BA" w14:textId="30587E3E" w:rsidR="00AD703E" w:rsidRPr="0071230A" w:rsidRDefault="00AD703E" w:rsidP="00804008">
            <w:pPr>
              <w:pStyle w:val="TablePlainParagraph"/>
              <w:numPr>
                <w:ilvl w:val="0"/>
                <w:numId w:val="49"/>
              </w:numPr>
            </w:pPr>
            <w:r w:rsidRPr="00AA3C5A">
              <w:rPr>
                <w:color w:val="ED7D31" w:themeColor="accent2"/>
              </w:rPr>
              <w:t>Use and disclosure to send warning notices to suspected beneficial owners who do not respond to initial requests</w:t>
            </w:r>
          </w:p>
        </w:tc>
      </w:tr>
      <w:tr w:rsidR="00AD703E" w14:paraId="4A755E9E" w14:textId="77777777" w:rsidTr="00220909">
        <w:tc>
          <w:tcPr>
            <w:tcW w:w="340" w:type="dxa"/>
            <w:vAlign w:val="top"/>
          </w:tcPr>
          <w:p w14:paraId="7B09B78F" w14:textId="77777777" w:rsidR="00AD703E" w:rsidRPr="008D4FFD" w:rsidRDefault="00AD703E" w:rsidP="008F6E4D">
            <w:pPr>
              <w:pStyle w:val="TablePlainParagraph"/>
              <w:rPr>
                <w:b/>
              </w:rPr>
            </w:pPr>
            <w:r>
              <w:rPr>
                <w:b/>
              </w:rPr>
              <w:t>2</w:t>
            </w:r>
          </w:p>
        </w:tc>
        <w:tc>
          <w:tcPr>
            <w:tcW w:w="2070" w:type="dxa"/>
            <w:vAlign w:val="top"/>
          </w:tcPr>
          <w:p w14:paraId="3ED3EF25" w14:textId="77777777" w:rsidR="00AD703E" w:rsidRDefault="00AD703E" w:rsidP="008F6E4D">
            <w:pPr>
              <w:pStyle w:val="TablePlainParagraph"/>
              <w:rPr>
                <w:b/>
              </w:rPr>
            </w:pPr>
            <w:r>
              <w:rPr>
                <w:b/>
              </w:rPr>
              <w:t>Collection of BOI</w:t>
            </w:r>
          </w:p>
        </w:tc>
        <w:tc>
          <w:tcPr>
            <w:tcW w:w="5812" w:type="dxa"/>
            <w:vMerge w:val="restart"/>
            <w:vAlign w:val="top"/>
          </w:tcPr>
          <w:p w14:paraId="638A4491" w14:textId="77777777" w:rsidR="00AD703E" w:rsidRDefault="00AD703E" w:rsidP="00804008">
            <w:pPr>
              <w:pStyle w:val="TablePlainParagraph"/>
              <w:numPr>
                <w:ilvl w:val="0"/>
                <w:numId w:val="49"/>
              </w:numPr>
            </w:pPr>
            <w:r>
              <w:t>Use BOI to c</w:t>
            </w:r>
            <w:r w:rsidRPr="0071230A">
              <w:t>reat</w:t>
            </w:r>
            <w:r>
              <w:t>e, update</w:t>
            </w:r>
            <w:r w:rsidRPr="0071230A">
              <w:t xml:space="preserve"> and maintain BOR</w:t>
            </w:r>
          </w:p>
        </w:tc>
      </w:tr>
      <w:tr w:rsidR="00AD703E" w14:paraId="7019CC51" w14:textId="77777777" w:rsidTr="00220909">
        <w:tc>
          <w:tcPr>
            <w:tcW w:w="340" w:type="dxa"/>
            <w:vAlign w:val="top"/>
          </w:tcPr>
          <w:p w14:paraId="13BBBB7A" w14:textId="77777777" w:rsidR="00AD703E" w:rsidRDefault="00AD703E" w:rsidP="008F6E4D">
            <w:pPr>
              <w:pStyle w:val="TablePlainParagraph"/>
              <w:rPr>
                <w:b/>
              </w:rPr>
            </w:pPr>
            <w:r>
              <w:rPr>
                <w:b/>
              </w:rPr>
              <w:t>5</w:t>
            </w:r>
          </w:p>
        </w:tc>
        <w:tc>
          <w:tcPr>
            <w:tcW w:w="2070" w:type="dxa"/>
            <w:vAlign w:val="top"/>
          </w:tcPr>
          <w:p w14:paraId="2413F643" w14:textId="77777777" w:rsidR="00AD703E" w:rsidRDefault="00AD703E" w:rsidP="008F6E4D">
            <w:pPr>
              <w:pStyle w:val="TablePlainParagraph"/>
              <w:rPr>
                <w:b/>
              </w:rPr>
            </w:pPr>
            <w:r>
              <w:rPr>
                <w:b/>
              </w:rPr>
              <w:t>Create / maintain BOR</w:t>
            </w:r>
          </w:p>
        </w:tc>
        <w:tc>
          <w:tcPr>
            <w:tcW w:w="5812" w:type="dxa"/>
            <w:vMerge/>
            <w:vAlign w:val="top"/>
          </w:tcPr>
          <w:p w14:paraId="2CDB31FF" w14:textId="77777777" w:rsidR="00AD703E" w:rsidRDefault="00AD703E" w:rsidP="00804008">
            <w:pPr>
              <w:pStyle w:val="TablePlainParagraph"/>
              <w:numPr>
                <w:ilvl w:val="0"/>
                <w:numId w:val="49"/>
              </w:numPr>
            </w:pPr>
          </w:p>
        </w:tc>
      </w:tr>
      <w:tr w:rsidR="00AD703E" w14:paraId="6A33F7B0" w14:textId="77777777" w:rsidTr="00220909">
        <w:tc>
          <w:tcPr>
            <w:tcW w:w="340" w:type="dxa"/>
            <w:vAlign w:val="top"/>
          </w:tcPr>
          <w:p w14:paraId="28C0209C" w14:textId="77777777" w:rsidR="00AD703E" w:rsidRDefault="00AD703E" w:rsidP="008F6E4D">
            <w:pPr>
              <w:pStyle w:val="TablePlainParagraph"/>
              <w:rPr>
                <w:b/>
              </w:rPr>
            </w:pPr>
            <w:r>
              <w:rPr>
                <w:b/>
              </w:rPr>
              <w:t>6</w:t>
            </w:r>
          </w:p>
        </w:tc>
        <w:tc>
          <w:tcPr>
            <w:tcW w:w="2070" w:type="dxa"/>
            <w:vAlign w:val="top"/>
          </w:tcPr>
          <w:p w14:paraId="6DAFCAC6" w14:textId="77777777" w:rsidR="00AD703E" w:rsidRDefault="00AD703E" w:rsidP="008F6E4D">
            <w:pPr>
              <w:pStyle w:val="TablePlainParagraph"/>
              <w:rPr>
                <w:b/>
              </w:rPr>
            </w:pPr>
            <w:r>
              <w:rPr>
                <w:b/>
              </w:rPr>
              <w:t>Receive updated BOI</w:t>
            </w:r>
          </w:p>
        </w:tc>
        <w:tc>
          <w:tcPr>
            <w:tcW w:w="5812" w:type="dxa"/>
            <w:vMerge/>
            <w:vAlign w:val="top"/>
          </w:tcPr>
          <w:p w14:paraId="0C03006C" w14:textId="77777777" w:rsidR="00AD703E" w:rsidRDefault="00AD703E" w:rsidP="00804008">
            <w:pPr>
              <w:pStyle w:val="TablePlainParagraph"/>
              <w:numPr>
                <w:ilvl w:val="0"/>
                <w:numId w:val="49"/>
              </w:numPr>
            </w:pPr>
          </w:p>
        </w:tc>
      </w:tr>
      <w:tr w:rsidR="00AD703E" w:rsidRPr="0071230A" w14:paraId="36932E9A" w14:textId="77777777" w:rsidTr="00220909">
        <w:tc>
          <w:tcPr>
            <w:tcW w:w="340" w:type="dxa"/>
            <w:vAlign w:val="top"/>
          </w:tcPr>
          <w:p w14:paraId="66B20D93" w14:textId="77777777" w:rsidR="00AD703E" w:rsidRDefault="00AD703E" w:rsidP="008F6E4D">
            <w:pPr>
              <w:pStyle w:val="TablePlainParagraph"/>
              <w:rPr>
                <w:b/>
              </w:rPr>
            </w:pPr>
            <w:r>
              <w:rPr>
                <w:b/>
              </w:rPr>
              <w:t>3</w:t>
            </w:r>
          </w:p>
        </w:tc>
        <w:tc>
          <w:tcPr>
            <w:tcW w:w="2070" w:type="dxa"/>
            <w:vAlign w:val="top"/>
          </w:tcPr>
          <w:p w14:paraId="57BFBD28" w14:textId="77777777" w:rsidR="00AD703E" w:rsidRDefault="00AD703E" w:rsidP="008F6E4D">
            <w:pPr>
              <w:pStyle w:val="TablePlainParagraph"/>
              <w:rPr>
                <w:b/>
              </w:rPr>
            </w:pPr>
            <w:r>
              <w:rPr>
                <w:b/>
              </w:rPr>
              <w:t>Identity verification</w:t>
            </w:r>
          </w:p>
        </w:tc>
        <w:tc>
          <w:tcPr>
            <w:tcW w:w="5812" w:type="dxa"/>
            <w:vAlign w:val="top"/>
          </w:tcPr>
          <w:p w14:paraId="71C891ED" w14:textId="77777777" w:rsidR="00AD703E" w:rsidRPr="0071230A" w:rsidRDefault="00AD703E" w:rsidP="00804008">
            <w:pPr>
              <w:pStyle w:val="TablePlainParagraph"/>
              <w:numPr>
                <w:ilvl w:val="0"/>
                <w:numId w:val="49"/>
              </w:numPr>
            </w:pPr>
            <w:r>
              <w:t>Verify the identity of the beneficial owner</w:t>
            </w:r>
          </w:p>
        </w:tc>
      </w:tr>
      <w:tr w:rsidR="00AD703E" w:rsidRPr="0071230A" w14:paraId="636A9406" w14:textId="77777777" w:rsidTr="00220909">
        <w:tc>
          <w:tcPr>
            <w:tcW w:w="340" w:type="dxa"/>
            <w:vAlign w:val="top"/>
          </w:tcPr>
          <w:p w14:paraId="476FAD60" w14:textId="77777777" w:rsidR="00AD703E" w:rsidRDefault="00AD703E" w:rsidP="008F6E4D">
            <w:pPr>
              <w:pStyle w:val="TablePlainParagraph"/>
              <w:rPr>
                <w:b/>
              </w:rPr>
            </w:pPr>
            <w:r>
              <w:rPr>
                <w:b/>
              </w:rPr>
              <w:t>4</w:t>
            </w:r>
          </w:p>
        </w:tc>
        <w:tc>
          <w:tcPr>
            <w:tcW w:w="2070" w:type="dxa"/>
            <w:vAlign w:val="top"/>
          </w:tcPr>
          <w:p w14:paraId="225B1724" w14:textId="77777777" w:rsidR="00AD703E" w:rsidRDefault="00AD703E" w:rsidP="008F6E4D">
            <w:pPr>
              <w:pStyle w:val="TablePlainParagraph"/>
              <w:rPr>
                <w:b/>
              </w:rPr>
            </w:pPr>
            <w:r>
              <w:rPr>
                <w:b/>
              </w:rPr>
              <w:t>Suppression applications</w:t>
            </w:r>
          </w:p>
        </w:tc>
        <w:tc>
          <w:tcPr>
            <w:tcW w:w="5812" w:type="dxa"/>
            <w:vAlign w:val="top"/>
          </w:tcPr>
          <w:p w14:paraId="1B937CB3" w14:textId="77777777" w:rsidR="00AD703E" w:rsidRDefault="00AD703E" w:rsidP="00804008">
            <w:pPr>
              <w:pStyle w:val="TablePlainParagraph"/>
              <w:numPr>
                <w:ilvl w:val="0"/>
                <w:numId w:val="49"/>
              </w:numPr>
            </w:pPr>
            <w:r>
              <w:t xml:space="preserve">Disclose suppression application to </w:t>
            </w:r>
            <w:proofErr w:type="gramStart"/>
            <w:r>
              <w:t>ASIC</w:t>
            </w:r>
            <w:proofErr w:type="gramEnd"/>
          </w:p>
          <w:p w14:paraId="0423907C" w14:textId="77777777" w:rsidR="00AD703E" w:rsidRPr="0071230A" w:rsidRDefault="00AD703E" w:rsidP="00804008">
            <w:pPr>
              <w:pStyle w:val="TablePlainParagraph"/>
              <w:numPr>
                <w:ilvl w:val="0"/>
                <w:numId w:val="49"/>
              </w:numPr>
            </w:pPr>
            <w:r>
              <w:t>Use information supplied by the beneficial owner to apply suppression rules when responding to access requests</w:t>
            </w:r>
          </w:p>
        </w:tc>
      </w:tr>
      <w:tr w:rsidR="00AD703E" w14:paraId="29E9C411" w14:textId="77777777" w:rsidTr="00220909">
        <w:tc>
          <w:tcPr>
            <w:tcW w:w="340" w:type="dxa"/>
            <w:vAlign w:val="top"/>
          </w:tcPr>
          <w:p w14:paraId="0ABDA61D" w14:textId="77777777" w:rsidR="00AD703E" w:rsidRPr="008D4FFD" w:rsidRDefault="00AD703E" w:rsidP="008F6E4D">
            <w:pPr>
              <w:pStyle w:val="TablePlainParagraph"/>
              <w:rPr>
                <w:b/>
              </w:rPr>
            </w:pPr>
            <w:r>
              <w:rPr>
                <w:b/>
              </w:rPr>
              <w:t>7</w:t>
            </w:r>
          </w:p>
        </w:tc>
        <w:tc>
          <w:tcPr>
            <w:tcW w:w="2070" w:type="dxa"/>
            <w:vAlign w:val="top"/>
          </w:tcPr>
          <w:p w14:paraId="289A6AA6" w14:textId="77777777" w:rsidR="00AD703E" w:rsidRPr="008D4FFD" w:rsidRDefault="00AD703E" w:rsidP="008F6E4D">
            <w:pPr>
              <w:pStyle w:val="TablePlainParagraph"/>
              <w:rPr>
                <w:b/>
              </w:rPr>
            </w:pPr>
            <w:r>
              <w:rPr>
                <w:b/>
              </w:rPr>
              <w:t>R</w:t>
            </w:r>
            <w:r w:rsidRPr="008D4FFD">
              <w:rPr>
                <w:b/>
              </w:rPr>
              <w:t>equests to access the BOR</w:t>
            </w:r>
          </w:p>
        </w:tc>
        <w:tc>
          <w:tcPr>
            <w:tcW w:w="5812" w:type="dxa"/>
            <w:vAlign w:val="top"/>
          </w:tcPr>
          <w:p w14:paraId="46FA1A0D" w14:textId="77777777" w:rsidR="00AD703E" w:rsidRPr="00AA3C5A" w:rsidRDefault="00AD703E" w:rsidP="00804008">
            <w:pPr>
              <w:pStyle w:val="TablePlainParagraph"/>
              <w:numPr>
                <w:ilvl w:val="0"/>
                <w:numId w:val="49"/>
              </w:numPr>
              <w:rPr>
                <w:color w:val="ED7D31" w:themeColor="accent2"/>
              </w:rPr>
            </w:pPr>
            <w:r w:rsidRPr="00AA3C5A">
              <w:rPr>
                <w:color w:val="ED7D31" w:themeColor="accent2"/>
              </w:rPr>
              <w:t xml:space="preserve">Use information in access request application as well as existing or new information to assess ‘legitimate </w:t>
            </w:r>
            <w:proofErr w:type="gramStart"/>
            <w:r w:rsidRPr="00AA3C5A">
              <w:rPr>
                <w:color w:val="ED7D31" w:themeColor="accent2"/>
              </w:rPr>
              <w:t>purpose’</w:t>
            </w:r>
            <w:proofErr w:type="gramEnd"/>
          </w:p>
          <w:p w14:paraId="03C643F6" w14:textId="77777777" w:rsidR="00AD703E" w:rsidRDefault="00AD703E" w:rsidP="00804008">
            <w:pPr>
              <w:pStyle w:val="TablePlainParagraph"/>
              <w:numPr>
                <w:ilvl w:val="0"/>
                <w:numId w:val="49"/>
              </w:numPr>
            </w:pPr>
            <w:r>
              <w:t xml:space="preserve">Use information about suppression applications to apply suppression </w:t>
            </w:r>
            <w:proofErr w:type="gramStart"/>
            <w:r>
              <w:t>rules</w:t>
            </w:r>
            <w:proofErr w:type="gramEnd"/>
          </w:p>
          <w:p w14:paraId="6829E2AC" w14:textId="404884AB" w:rsidR="00AD703E" w:rsidRDefault="00AD703E" w:rsidP="00804008">
            <w:pPr>
              <w:pStyle w:val="TablePlainParagraph"/>
              <w:numPr>
                <w:ilvl w:val="0"/>
                <w:numId w:val="49"/>
              </w:numPr>
            </w:pPr>
            <w:r w:rsidRPr="00AA3C5A">
              <w:rPr>
                <w:color w:val="538135" w:themeColor="accent6" w:themeShade="BF"/>
              </w:rPr>
              <w:t xml:space="preserve">Where </w:t>
            </w:r>
            <w:r w:rsidR="004E2DB9">
              <w:rPr>
                <w:color w:val="538135" w:themeColor="accent6" w:themeShade="BF"/>
              </w:rPr>
              <w:t>there is no improper purpose</w:t>
            </w:r>
            <w:r w:rsidRPr="00AA3C5A">
              <w:rPr>
                <w:color w:val="538135" w:themeColor="accent6" w:themeShade="BF"/>
              </w:rPr>
              <w:t>, and subject to suppression rules, disclose restricted BOI to access applicant.</w:t>
            </w:r>
          </w:p>
        </w:tc>
      </w:tr>
      <w:tr w:rsidR="00AD703E" w:rsidRPr="0071230A" w14:paraId="7BAA2F93" w14:textId="77777777" w:rsidTr="00220909">
        <w:tc>
          <w:tcPr>
            <w:tcW w:w="340" w:type="dxa"/>
            <w:vAlign w:val="top"/>
          </w:tcPr>
          <w:p w14:paraId="08138304" w14:textId="77777777" w:rsidR="00AD703E" w:rsidRPr="008D4FFD" w:rsidRDefault="00AD703E" w:rsidP="008F6E4D">
            <w:pPr>
              <w:pStyle w:val="TablePlainParagraph"/>
              <w:rPr>
                <w:b/>
              </w:rPr>
            </w:pPr>
            <w:r>
              <w:rPr>
                <w:b/>
              </w:rPr>
              <w:t>8</w:t>
            </w:r>
          </w:p>
        </w:tc>
        <w:tc>
          <w:tcPr>
            <w:tcW w:w="2070" w:type="dxa"/>
            <w:vAlign w:val="top"/>
          </w:tcPr>
          <w:p w14:paraId="6F95E4D3" w14:textId="77777777" w:rsidR="00AD703E" w:rsidRPr="008D4FFD" w:rsidRDefault="00AD703E" w:rsidP="008F6E4D">
            <w:pPr>
              <w:pStyle w:val="TablePlainParagraph"/>
              <w:rPr>
                <w:b/>
              </w:rPr>
            </w:pPr>
            <w:r>
              <w:rPr>
                <w:b/>
              </w:rPr>
              <w:t>Enforcement</w:t>
            </w:r>
          </w:p>
        </w:tc>
        <w:tc>
          <w:tcPr>
            <w:tcW w:w="5812" w:type="dxa"/>
            <w:vAlign w:val="top"/>
          </w:tcPr>
          <w:p w14:paraId="64787194" w14:textId="310C3DE6" w:rsidR="00AD703E" w:rsidRPr="0071230A" w:rsidRDefault="00AD703E" w:rsidP="00804008">
            <w:pPr>
              <w:pStyle w:val="TablePlainParagraph"/>
              <w:numPr>
                <w:ilvl w:val="0"/>
                <w:numId w:val="49"/>
              </w:numPr>
            </w:pPr>
            <w:r w:rsidRPr="0071230A">
              <w:t>Disclose suspected beneficial owners</w:t>
            </w:r>
            <w:r w:rsidR="004828E2">
              <w:t>’</w:t>
            </w:r>
            <w:r w:rsidRPr="0071230A">
              <w:t xml:space="preserve"> details to ASIC if they fail to respond to a warning notice</w:t>
            </w:r>
          </w:p>
        </w:tc>
      </w:tr>
      <w:tr w:rsidR="00AD703E" w14:paraId="1C152F03" w14:textId="77777777" w:rsidTr="00220909">
        <w:tc>
          <w:tcPr>
            <w:tcW w:w="340" w:type="dxa"/>
            <w:vAlign w:val="top"/>
          </w:tcPr>
          <w:p w14:paraId="4AF0216C" w14:textId="77777777" w:rsidR="00AD703E" w:rsidRPr="008D4FFD" w:rsidRDefault="00AD703E" w:rsidP="008F6E4D">
            <w:pPr>
              <w:pStyle w:val="TablePlainParagraph"/>
              <w:rPr>
                <w:b/>
              </w:rPr>
            </w:pPr>
            <w:r>
              <w:rPr>
                <w:b/>
              </w:rPr>
              <w:t>9</w:t>
            </w:r>
          </w:p>
        </w:tc>
        <w:tc>
          <w:tcPr>
            <w:tcW w:w="2070" w:type="dxa"/>
            <w:vAlign w:val="top"/>
          </w:tcPr>
          <w:p w14:paraId="793F125C" w14:textId="77777777" w:rsidR="00AD703E" w:rsidRPr="008D4FFD" w:rsidRDefault="00AD703E" w:rsidP="008F6E4D">
            <w:pPr>
              <w:pStyle w:val="TablePlainParagraph"/>
              <w:rPr>
                <w:b/>
              </w:rPr>
            </w:pPr>
            <w:r>
              <w:rPr>
                <w:b/>
              </w:rPr>
              <w:t>Transition to PCBOR</w:t>
            </w:r>
          </w:p>
        </w:tc>
        <w:tc>
          <w:tcPr>
            <w:tcW w:w="5812" w:type="dxa"/>
            <w:vAlign w:val="top"/>
          </w:tcPr>
          <w:p w14:paraId="03B0435E" w14:textId="77777777" w:rsidR="00AD703E" w:rsidRDefault="00AD703E" w:rsidP="00804008">
            <w:pPr>
              <w:pStyle w:val="TablePlainParagraph"/>
              <w:numPr>
                <w:ilvl w:val="0"/>
                <w:numId w:val="49"/>
              </w:numPr>
            </w:pPr>
            <w:r>
              <w:t>Disclose the contents of their BORs into the PCBOR.</w:t>
            </w:r>
          </w:p>
        </w:tc>
      </w:tr>
    </w:tbl>
    <w:p w14:paraId="73B952F7" w14:textId="77777777" w:rsidR="00AD703E" w:rsidRDefault="00AD703E" w:rsidP="00AD703E">
      <w:pPr>
        <w:pStyle w:val="AdviceNumLevel1"/>
        <w:rPr>
          <w:lang w:eastAsia="en-US"/>
        </w:rPr>
      </w:pPr>
      <w:r>
        <w:rPr>
          <w:lang w:eastAsia="en-US"/>
        </w:rPr>
        <w:t>Generally, administration of the BO Policy will involve the use and disclosure of personal information by in-scope companies for the primary purpose for which the personal information was collected (i.e. to create and maintain a BOR). Accordingly, these uses and disclosures will conform with APP 6.1.</w:t>
      </w:r>
    </w:p>
    <w:p w14:paraId="27B0B582" w14:textId="7EFD2115" w:rsidR="00AD703E" w:rsidRDefault="00AD703E" w:rsidP="00AD703E">
      <w:pPr>
        <w:pStyle w:val="AdviceNumLevel1"/>
        <w:rPr>
          <w:lang w:eastAsia="en-US"/>
        </w:rPr>
      </w:pPr>
      <w:r>
        <w:rPr>
          <w:lang w:eastAsia="en-US"/>
        </w:rPr>
        <w:t xml:space="preserve">To the extent that the uses and disclosures in </w:t>
      </w:r>
      <w:r w:rsidRPr="00DD7D70">
        <w:rPr>
          <w:b/>
          <w:color w:val="C45911" w:themeColor="accent2" w:themeShade="BF"/>
          <w:lang w:eastAsia="en-US"/>
        </w:rPr>
        <w:t>orange</w:t>
      </w:r>
      <w:r>
        <w:rPr>
          <w:lang w:eastAsia="en-US"/>
        </w:rPr>
        <w:t xml:space="preserve"> above may involve the use or disclosure of personal information collected for a different purpose, the new legislation will impliedly authorise these activities to avoid frustrating the objects of the </w:t>
      </w:r>
      <w:r w:rsidR="00E62A06">
        <w:rPr>
          <w:lang w:eastAsia="en-US"/>
        </w:rPr>
        <w:t>BO Policy</w:t>
      </w:r>
      <w:r>
        <w:rPr>
          <w:lang w:eastAsia="en-US"/>
        </w:rPr>
        <w:t>.</w:t>
      </w:r>
      <w:r>
        <w:rPr>
          <w:rStyle w:val="FootnoteReference"/>
          <w:lang w:eastAsia="en-US"/>
        </w:rPr>
        <w:footnoteReference w:id="44"/>
      </w:r>
      <w:r>
        <w:rPr>
          <w:lang w:eastAsia="en-US"/>
        </w:rPr>
        <w:t xml:space="preserve"> For example, it would defeat the intent of a ‘legitimate purpose’ condition if an in-scope entity could not use existing information about the actions of the access application (or collect new information, if appropriate) to assess the application. To the extent the new legislation will modify the operation of APP 6 to authorise the use and disclosure of this information (and engage the exception in APP 6.2(b)), we consider this is reasonable, </w:t>
      </w:r>
      <w:proofErr w:type="gramStart"/>
      <w:r>
        <w:rPr>
          <w:lang w:eastAsia="en-US"/>
        </w:rPr>
        <w:t>necessary</w:t>
      </w:r>
      <w:proofErr w:type="gramEnd"/>
      <w:r>
        <w:rPr>
          <w:lang w:eastAsia="en-US"/>
        </w:rPr>
        <w:t xml:space="preserve"> and proportionate in the circumstances.</w:t>
      </w:r>
    </w:p>
    <w:p w14:paraId="413005BB" w14:textId="2587314B" w:rsidR="00AD703E" w:rsidRDefault="00AD703E" w:rsidP="00AD703E">
      <w:pPr>
        <w:pStyle w:val="AdviceNumLevel1"/>
        <w:rPr>
          <w:lang w:eastAsia="en-US"/>
        </w:rPr>
      </w:pPr>
      <w:r>
        <w:rPr>
          <w:lang w:eastAsia="en-US"/>
        </w:rPr>
        <w:t xml:space="preserve">Additionally, to the extent the use and disclosure in </w:t>
      </w:r>
      <w:r w:rsidRPr="00DD7D70">
        <w:rPr>
          <w:b/>
          <w:color w:val="538135" w:themeColor="accent6" w:themeShade="BF"/>
          <w:lang w:eastAsia="en-US"/>
        </w:rPr>
        <w:t>green</w:t>
      </w:r>
      <w:r>
        <w:rPr>
          <w:lang w:eastAsia="en-US"/>
        </w:rPr>
        <w:t xml:space="preserve"> above (responding to an access application) involves a secondary purpose</w:t>
      </w:r>
      <w:r w:rsidR="000E202E">
        <w:rPr>
          <w:lang w:eastAsia="en-US"/>
        </w:rPr>
        <w:t xml:space="preserve"> (because the BOI was collected for inclusion in the BOR)</w:t>
      </w:r>
      <w:r>
        <w:rPr>
          <w:lang w:eastAsia="en-US"/>
        </w:rPr>
        <w:t xml:space="preserve">, the new legislation will modify APP 6 to permit this disclosure. </w:t>
      </w:r>
      <w:r w:rsidR="00546458">
        <w:rPr>
          <w:lang w:eastAsia="en-US"/>
        </w:rPr>
        <w:t>W</w:t>
      </w:r>
      <w:r>
        <w:rPr>
          <w:lang w:eastAsia="en-US"/>
        </w:rPr>
        <w:t>e consider such disclosures would be reasonable, necessary, and proportionate, and would not involve an arbitrary interference with the personal information of beneficial owners.</w:t>
      </w:r>
    </w:p>
    <w:p w14:paraId="6A58B80A" w14:textId="77777777" w:rsidR="00AD703E" w:rsidRDefault="00AD703E" w:rsidP="00AD703E">
      <w:pPr>
        <w:pStyle w:val="Heading4"/>
        <w:rPr>
          <w:lang w:eastAsia="en-US"/>
        </w:rPr>
      </w:pPr>
      <w:r>
        <w:t>Considering applications for inclusion in the suppression regime</w:t>
      </w:r>
    </w:p>
    <w:p w14:paraId="4D5E74C0" w14:textId="76B02A7F" w:rsidR="00D84A6D" w:rsidRDefault="00AD703E" w:rsidP="00AD703E">
      <w:pPr>
        <w:pStyle w:val="AdviceNumLevel1"/>
        <w:rPr>
          <w:lang w:eastAsia="en-US"/>
        </w:rPr>
      </w:pPr>
      <w:r>
        <w:rPr>
          <w:lang w:eastAsia="en-US"/>
        </w:rPr>
        <w:t xml:space="preserve">In-scope companies will have a limited role in determining whether to apply the suppression rules to BOI in response to an access application. The </w:t>
      </w:r>
      <w:r w:rsidR="00E62A06">
        <w:rPr>
          <w:lang w:eastAsia="en-US"/>
        </w:rPr>
        <w:t>BO Policy</w:t>
      </w:r>
      <w:r>
        <w:rPr>
          <w:lang w:eastAsia="en-US"/>
        </w:rPr>
        <w:t xml:space="preserve"> will limit in-scope companies to determining whether </w:t>
      </w:r>
      <w:r w:rsidR="00D84A6D">
        <w:rPr>
          <w:lang w:eastAsia="en-US"/>
        </w:rPr>
        <w:t xml:space="preserve">the </w:t>
      </w:r>
      <w:r>
        <w:rPr>
          <w:lang w:eastAsia="en-US"/>
        </w:rPr>
        <w:t xml:space="preserve">four factual circumstances </w:t>
      </w:r>
      <w:r w:rsidR="00D84A6D">
        <w:rPr>
          <w:lang w:eastAsia="en-US"/>
        </w:rPr>
        <w:t xml:space="preserve">set out in the table below </w:t>
      </w:r>
      <w:r>
        <w:rPr>
          <w:lang w:eastAsia="en-US"/>
        </w:rPr>
        <w:t>exist</w:t>
      </w:r>
      <w:r w:rsidR="00D84A6D">
        <w:rPr>
          <w:lang w:eastAsia="en-US"/>
        </w:rPr>
        <w:t>.</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605"/>
        <w:gridCol w:w="7615"/>
      </w:tblGrid>
      <w:tr w:rsidR="00D84A6D" w:rsidRPr="00121519" w14:paraId="17F0B569" w14:textId="77777777" w:rsidTr="0065241F">
        <w:trPr>
          <w:cantSplit/>
          <w:tblHeader/>
        </w:trPr>
        <w:tc>
          <w:tcPr>
            <w:tcW w:w="368" w:type="pct"/>
            <w:shd w:val="clear" w:color="auto" w:fill="C4DDEA"/>
            <w:vAlign w:val="top"/>
          </w:tcPr>
          <w:p w14:paraId="07ECFC46" w14:textId="5CFBB796" w:rsidR="00D84A6D" w:rsidRPr="00121519" w:rsidRDefault="00D84A6D" w:rsidP="000E202E">
            <w:pPr>
              <w:pStyle w:val="TableHeading2"/>
              <w:ind w:left="176" w:hanging="176"/>
            </w:pPr>
            <w:r>
              <w:t>No.</w:t>
            </w:r>
          </w:p>
        </w:tc>
        <w:tc>
          <w:tcPr>
            <w:tcW w:w="4632" w:type="pct"/>
            <w:shd w:val="clear" w:color="auto" w:fill="C4DDEA"/>
            <w:vAlign w:val="top"/>
          </w:tcPr>
          <w:p w14:paraId="2996C42D" w14:textId="07EC749A" w:rsidR="00D84A6D" w:rsidRPr="00121519" w:rsidRDefault="00D84A6D" w:rsidP="009914BB">
            <w:pPr>
              <w:pStyle w:val="TableHeading2"/>
            </w:pPr>
            <w:r>
              <w:t>Factual circumstance requiring suppression of BOI</w:t>
            </w:r>
          </w:p>
        </w:tc>
      </w:tr>
      <w:tr w:rsidR="00D84A6D" w:rsidRPr="00121519" w14:paraId="0E577AE6" w14:textId="77777777" w:rsidTr="0065241F">
        <w:tc>
          <w:tcPr>
            <w:tcW w:w="368" w:type="pct"/>
            <w:vAlign w:val="top"/>
          </w:tcPr>
          <w:p w14:paraId="086C466E" w14:textId="1620A6E0" w:rsidR="00D84A6D" w:rsidRPr="00121519" w:rsidRDefault="00D84A6D" w:rsidP="00B0403F">
            <w:pPr>
              <w:pStyle w:val="TablePlainParagraph"/>
              <w:keepNext/>
              <w:keepLines/>
              <w:rPr>
                <w:b/>
              </w:rPr>
            </w:pPr>
            <w:r>
              <w:rPr>
                <w:b/>
              </w:rPr>
              <w:t>1.</w:t>
            </w:r>
          </w:p>
        </w:tc>
        <w:tc>
          <w:tcPr>
            <w:tcW w:w="4632" w:type="pct"/>
            <w:vAlign w:val="top"/>
          </w:tcPr>
          <w:p w14:paraId="3CD68FCD" w14:textId="4ACB8004" w:rsidR="00D84A6D" w:rsidRPr="00121519" w:rsidRDefault="00D84A6D" w:rsidP="00B0403F">
            <w:pPr>
              <w:pStyle w:val="TablePlainParagraph"/>
              <w:keepNext/>
              <w:keepLines/>
            </w:pPr>
            <w:r>
              <w:rPr>
                <w:lang w:eastAsia="en-US"/>
              </w:rPr>
              <w:t>A</w:t>
            </w:r>
            <w:r w:rsidRPr="00863020">
              <w:rPr>
                <w:lang w:eastAsia="en-US"/>
              </w:rPr>
              <w:t xml:space="preserve"> suppression application remains with ASIC</w:t>
            </w:r>
          </w:p>
        </w:tc>
      </w:tr>
      <w:tr w:rsidR="00D84A6D" w:rsidRPr="00121519" w14:paraId="3E0320D0" w14:textId="77777777" w:rsidTr="0065241F">
        <w:tc>
          <w:tcPr>
            <w:tcW w:w="368" w:type="pct"/>
            <w:vAlign w:val="top"/>
          </w:tcPr>
          <w:p w14:paraId="3419E6A8" w14:textId="2F66AE4C" w:rsidR="00D84A6D" w:rsidRPr="00121519" w:rsidRDefault="00D84A6D" w:rsidP="00B0403F">
            <w:pPr>
              <w:pStyle w:val="TablePlainParagraph"/>
              <w:keepNext/>
              <w:keepLines/>
              <w:rPr>
                <w:b/>
              </w:rPr>
            </w:pPr>
            <w:r>
              <w:rPr>
                <w:b/>
              </w:rPr>
              <w:t>2.</w:t>
            </w:r>
          </w:p>
        </w:tc>
        <w:tc>
          <w:tcPr>
            <w:tcW w:w="4632" w:type="pct"/>
            <w:vAlign w:val="top"/>
          </w:tcPr>
          <w:p w14:paraId="60B294CB" w14:textId="68A44FC4" w:rsidR="00D84A6D" w:rsidRPr="00121519" w:rsidRDefault="00D84A6D" w:rsidP="00B0403F">
            <w:pPr>
              <w:pStyle w:val="TablePlainParagraph"/>
              <w:keepNext/>
              <w:keepLines/>
            </w:pPr>
            <w:r>
              <w:rPr>
                <w:lang w:eastAsia="en-US"/>
              </w:rPr>
              <w:t>A</w:t>
            </w:r>
            <w:r w:rsidRPr="00863020">
              <w:rPr>
                <w:lang w:eastAsia="en-US"/>
              </w:rPr>
              <w:t xml:space="preserve"> beneficial owner is under 18 years of age</w:t>
            </w:r>
          </w:p>
        </w:tc>
      </w:tr>
      <w:tr w:rsidR="00D84A6D" w:rsidRPr="00121519" w14:paraId="46FF01DE" w14:textId="77777777" w:rsidTr="0065241F">
        <w:tc>
          <w:tcPr>
            <w:tcW w:w="368" w:type="pct"/>
            <w:vAlign w:val="top"/>
          </w:tcPr>
          <w:p w14:paraId="58C4BA63" w14:textId="61A1F062" w:rsidR="00D84A6D" w:rsidRPr="00121519" w:rsidRDefault="00D84A6D" w:rsidP="00B0403F">
            <w:pPr>
              <w:pStyle w:val="TablePlainParagraph"/>
              <w:keepNext/>
              <w:keepLines/>
              <w:rPr>
                <w:b/>
              </w:rPr>
            </w:pPr>
            <w:r>
              <w:rPr>
                <w:b/>
              </w:rPr>
              <w:t>3.</w:t>
            </w:r>
          </w:p>
        </w:tc>
        <w:tc>
          <w:tcPr>
            <w:tcW w:w="4632" w:type="pct"/>
            <w:vAlign w:val="top"/>
          </w:tcPr>
          <w:p w14:paraId="0E2F488D" w14:textId="27EADFC1" w:rsidR="00D84A6D" w:rsidRPr="00121519" w:rsidRDefault="00D84A6D" w:rsidP="00B0403F">
            <w:pPr>
              <w:pStyle w:val="TablePlainParagraph"/>
              <w:keepNext/>
              <w:keepLines/>
            </w:pPr>
            <w:r>
              <w:rPr>
                <w:lang w:eastAsia="en-US"/>
              </w:rPr>
              <w:t>T</w:t>
            </w:r>
            <w:r w:rsidRPr="00863020">
              <w:rPr>
                <w:lang w:eastAsia="en-US"/>
              </w:rPr>
              <w:t>he beneficial owner is a silent voter on the electoral role</w:t>
            </w:r>
          </w:p>
        </w:tc>
      </w:tr>
      <w:tr w:rsidR="00D84A6D" w:rsidRPr="00121519" w14:paraId="5489C9FA" w14:textId="77777777" w:rsidTr="0065241F">
        <w:tc>
          <w:tcPr>
            <w:tcW w:w="368" w:type="pct"/>
            <w:vAlign w:val="top"/>
          </w:tcPr>
          <w:p w14:paraId="4D1291B6" w14:textId="51E3A90C" w:rsidR="00D84A6D" w:rsidRPr="00121519" w:rsidRDefault="00D84A6D" w:rsidP="00B0403F">
            <w:pPr>
              <w:pStyle w:val="TablePlainParagraph"/>
              <w:keepNext/>
              <w:keepLines/>
              <w:rPr>
                <w:b/>
              </w:rPr>
            </w:pPr>
            <w:r>
              <w:rPr>
                <w:b/>
              </w:rPr>
              <w:t>4.</w:t>
            </w:r>
          </w:p>
        </w:tc>
        <w:tc>
          <w:tcPr>
            <w:tcW w:w="4632" w:type="pct"/>
            <w:vAlign w:val="top"/>
          </w:tcPr>
          <w:p w14:paraId="5C6CC9E2" w14:textId="7896B3AC" w:rsidR="00D84A6D" w:rsidRPr="00121519" w:rsidRDefault="00D84A6D" w:rsidP="00B0403F">
            <w:pPr>
              <w:pStyle w:val="TablePlainParagraph"/>
              <w:keepNext/>
              <w:keepLines/>
            </w:pPr>
            <w:r w:rsidRPr="00863020">
              <w:rPr>
                <w:lang w:eastAsia="en-US"/>
              </w:rPr>
              <w:t>ASIC has approved the suppression application</w:t>
            </w:r>
          </w:p>
        </w:tc>
      </w:tr>
    </w:tbl>
    <w:p w14:paraId="5FD7FA90" w14:textId="70981164" w:rsidR="00AD703E" w:rsidRDefault="00AD703E" w:rsidP="00AD703E">
      <w:pPr>
        <w:pStyle w:val="AdviceNumLevel1"/>
        <w:rPr>
          <w:lang w:eastAsia="en-US"/>
        </w:rPr>
      </w:pPr>
      <w:r>
        <w:rPr>
          <w:lang w:eastAsia="en-US"/>
        </w:rPr>
        <w:t xml:space="preserve"> In-scope companies should receive guidance making clear that it is not their role to assess eligibility for suppression, and that they are obliged to apply suppression rules where a beneficial owner meets any of the above factual circumstances. </w:t>
      </w:r>
    </w:p>
    <w:p w14:paraId="7BB44D30" w14:textId="5D41EC4A" w:rsidR="00AD703E" w:rsidRDefault="00AD703E" w:rsidP="00AD703E">
      <w:pPr>
        <w:pStyle w:val="AdviceNumLevel1"/>
        <w:rPr>
          <w:lang w:eastAsia="en-US"/>
        </w:rPr>
      </w:pPr>
      <w:r>
        <w:rPr>
          <w:lang w:eastAsia="en-US"/>
        </w:rPr>
        <w:t>Additionally, guidance should explain to in-scope companies that, if a beneficial owner seeks to have their personal information suppress</w:t>
      </w:r>
      <w:r w:rsidR="00816F2E">
        <w:rPr>
          <w:lang w:eastAsia="en-US"/>
        </w:rPr>
        <w:t>ed</w:t>
      </w:r>
      <w:r>
        <w:rPr>
          <w:lang w:eastAsia="en-US"/>
        </w:rPr>
        <w:t xml:space="preserve"> based on ‘other’ </w:t>
      </w:r>
      <w:r w:rsidR="001C5720">
        <w:rPr>
          <w:lang w:eastAsia="en-US"/>
        </w:rPr>
        <w:t>evidence</w:t>
      </w:r>
      <w:r>
        <w:rPr>
          <w:lang w:eastAsia="en-US"/>
        </w:rPr>
        <w:t xml:space="preserve">, their role is limited to </w:t>
      </w:r>
      <w:r w:rsidR="00C5713D">
        <w:rPr>
          <w:lang w:eastAsia="en-US"/>
        </w:rPr>
        <w:t xml:space="preserve">informing the individual about how to make the application </w:t>
      </w:r>
      <w:r>
        <w:rPr>
          <w:lang w:eastAsia="en-US"/>
        </w:rPr>
        <w:t>to ASIC, and they are not to make enquiries with the beneficial owner as to the reasons underlying the request.</w:t>
      </w:r>
    </w:p>
    <w:p w14:paraId="4F021356" w14:textId="70D90BD1" w:rsidR="00AD703E" w:rsidRDefault="00C5713D" w:rsidP="00AD703E">
      <w:pPr>
        <w:pStyle w:val="AdviceNumLevel1"/>
        <w:rPr>
          <w:lang w:eastAsia="en-US"/>
        </w:rPr>
      </w:pPr>
      <w:bookmarkStart w:id="139" w:name="_Ref163838287"/>
      <w:r>
        <w:rPr>
          <w:lang w:eastAsia="en-US"/>
        </w:rPr>
        <w:t xml:space="preserve">The Commonwealth </w:t>
      </w:r>
      <w:r w:rsidR="00AD703E">
        <w:rPr>
          <w:lang w:eastAsia="en-US"/>
        </w:rPr>
        <w:t xml:space="preserve">should address these matters in the guidance produced under </w:t>
      </w:r>
      <w:hyperlink w:anchor="Recommendation5" w:history="1">
        <w:r w:rsidR="00D84A6D">
          <w:rPr>
            <w:rStyle w:val="Hyperlink"/>
            <w:lang w:eastAsia="en-US"/>
          </w:rPr>
          <w:t>Recommendation 5</w:t>
        </w:r>
      </w:hyperlink>
      <w:r w:rsidR="00AD703E">
        <w:rPr>
          <w:lang w:eastAsia="en-US"/>
        </w:rPr>
        <w:t>.</w:t>
      </w:r>
      <w:r w:rsidR="00865C63">
        <w:rPr>
          <w:lang w:eastAsia="en-US"/>
        </w:rPr>
        <w:t xml:space="preserve"> Suggestions for matters to address in</w:t>
      </w:r>
      <w:r w:rsidR="008F368F">
        <w:rPr>
          <w:lang w:eastAsia="en-US"/>
        </w:rPr>
        <w:t xml:space="preserve"> </w:t>
      </w:r>
      <w:r w:rsidR="00865C63">
        <w:rPr>
          <w:lang w:eastAsia="en-US"/>
        </w:rPr>
        <w:t xml:space="preserve">guidance </w:t>
      </w:r>
      <w:r w:rsidR="008F368F">
        <w:rPr>
          <w:lang w:eastAsia="en-US"/>
        </w:rPr>
        <w:t xml:space="preserve">for in-scope companies is </w:t>
      </w:r>
      <w:r w:rsidR="00865C63">
        <w:rPr>
          <w:lang w:eastAsia="en-US"/>
        </w:rPr>
        <w:t xml:space="preserve">set out at </w:t>
      </w:r>
      <w:bookmarkEnd w:id="139"/>
      <w:r w:rsidR="00F72B3E">
        <w:fldChar w:fldCharType="begin"/>
      </w:r>
      <w:r w:rsidR="00F72B3E">
        <w:instrText>HYPERLINK \l "_Appendix_1_–"</w:instrText>
      </w:r>
      <w:r w:rsidR="00F72B3E">
        <w:fldChar w:fldCharType="separate"/>
      </w:r>
      <w:r w:rsidR="00865C63" w:rsidRPr="00865C63">
        <w:rPr>
          <w:rStyle w:val="Hyperlink"/>
          <w:lang w:eastAsia="en-US"/>
        </w:rPr>
        <w:t>Annexure A</w:t>
      </w:r>
      <w:r w:rsidR="00F72B3E">
        <w:rPr>
          <w:rStyle w:val="Hyperlink"/>
          <w:lang w:eastAsia="en-US"/>
        </w:rPr>
        <w:fldChar w:fldCharType="end"/>
      </w:r>
      <w:r w:rsidR="00865C63">
        <w:rPr>
          <w:lang w:eastAsia="en-US"/>
        </w:rPr>
        <w:t>.</w:t>
      </w:r>
    </w:p>
    <w:p w14:paraId="1DACAF79" w14:textId="77777777" w:rsidR="00AD703E" w:rsidRDefault="00AD703E" w:rsidP="00AD703E">
      <w:pPr>
        <w:pStyle w:val="Heading4"/>
        <w:rPr>
          <w:lang w:eastAsia="en-US"/>
        </w:rPr>
      </w:pPr>
      <w:r>
        <w:rPr>
          <w:lang w:eastAsia="en-US"/>
        </w:rPr>
        <w:t xml:space="preserve">Notice to in-scope companies when suppression application </w:t>
      </w:r>
      <w:proofErr w:type="gramStart"/>
      <w:r>
        <w:rPr>
          <w:lang w:eastAsia="en-US"/>
        </w:rPr>
        <w:t>determined</w:t>
      </w:r>
      <w:proofErr w:type="gramEnd"/>
    </w:p>
    <w:p w14:paraId="04D477A6" w14:textId="7B46501E" w:rsidR="00AD703E" w:rsidRDefault="00AD703E" w:rsidP="00AD703E">
      <w:pPr>
        <w:pStyle w:val="AdviceNumLevel1"/>
        <w:rPr>
          <w:lang w:eastAsia="en-US"/>
        </w:rPr>
      </w:pPr>
      <w:r>
        <w:rPr>
          <w:lang w:eastAsia="en-US"/>
        </w:rPr>
        <w:t>The BO Policy will require in-scope companies to apply the suppression regime to the BOI of beneficial owners who have applied to ASIC. This requirement will apply until the application is finally determined, and associated appeal timeframes have expired.</w:t>
      </w:r>
    </w:p>
    <w:p w14:paraId="65FEC1BE" w14:textId="2C968AC6" w:rsidR="00AD703E" w:rsidRDefault="00F36571" w:rsidP="00C633C1">
      <w:pPr>
        <w:pStyle w:val="AdviceNumLevel1"/>
        <w:rPr>
          <w:lang w:eastAsia="en-US"/>
        </w:rPr>
      </w:pPr>
      <w:r>
        <w:rPr>
          <w:lang w:eastAsia="en-US"/>
        </w:rPr>
        <w:t>While an individual will indicate their intent to make a suppression application to ASIC, an in-scope company may not know if an application is ultimately made. Further, i</w:t>
      </w:r>
      <w:r w:rsidR="00AD703E">
        <w:rPr>
          <w:lang w:eastAsia="en-US"/>
        </w:rPr>
        <w:t>t is possible that review processes could reasonably be on foot for years, and</w:t>
      </w:r>
      <w:r>
        <w:rPr>
          <w:lang w:eastAsia="en-US"/>
        </w:rPr>
        <w:t>, without further notice from ASIC, the entity</w:t>
      </w:r>
      <w:r w:rsidR="00AD703E">
        <w:rPr>
          <w:lang w:eastAsia="en-US"/>
        </w:rPr>
        <w:t xml:space="preserve"> may not be aware</w:t>
      </w:r>
      <w:r>
        <w:rPr>
          <w:lang w:eastAsia="en-US"/>
        </w:rPr>
        <w:t xml:space="preserve"> </w:t>
      </w:r>
      <w:r w:rsidR="00AD703E">
        <w:rPr>
          <w:lang w:eastAsia="en-US"/>
        </w:rPr>
        <w:t xml:space="preserve">that the suppression entitlement remains, or when the entitlement to suppression ends (e.g. if ASIC refuses the application or a review is unsuccessful). </w:t>
      </w:r>
    </w:p>
    <w:p w14:paraId="5C4C9BE4" w14:textId="5AEC53BD" w:rsidR="00F36571" w:rsidRDefault="00F36571" w:rsidP="00AD703E">
      <w:pPr>
        <w:pStyle w:val="AdviceNumLevel1"/>
        <w:rPr>
          <w:lang w:eastAsia="en-US"/>
        </w:rPr>
      </w:pPr>
      <w:r>
        <w:rPr>
          <w:lang w:eastAsia="en-US"/>
        </w:rPr>
        <w:t xml:space="preserve">After receiving an initial draft of this PIA, Treasury determined to update the </w:t>
      </w:r>
      <w:r w:rsidR="00E62A06">
        <w:rPr>
          <w:lang w:eastAsia="en-US"/>
        </w:rPr>
        <w:t>BO Policy</w:t>
      </w:r>
      <w:r>
        <w:rPr>
          <w:lang w:eastAsia="en-US"/>
        </w:rPr>
        <w:t xml:space="preserve"> to require ASIC to notify an in-scope company of the outcome of a suppression </w:t>
      </w:r>
      <w:proofErr w:type="gramStart"/>
      <w:r>
        <w:rPr>
          <w:lang w:eastAsia="en-US"/>
        </w:rPr>
        <w:t>application, and</w:t>
      </w:r>
      <w:proofErr w:type="gramEnd"/>
      <w:r>
        <w:rPr>
          <w:lang w:eastAsia="en-US"/>
        </w:rPr>
        <w:t xml:space="preserve"> require the in-scope company to suppress the beneficial owner’s information until that time. This is a privacy enhancing measure to ensure </w:t>
      </w:r>
      <w:r w:rsidR="00E64664">
        <w:rPr>
          <w:lang w:eastAsia="en-US"/>
        </w:rPr>
        <w:t>suppression remains in place until all appeal rights are exhausted.</w:t>
      </w:r>
    </w:p>
    <w:p w14:paraId="46724D7E" w14:textId="19B9BA94" w:rsidR="00E64664" w:rsidRDefault="00E64664" w:rsidP="00E64664">
      <w:pPr>
        <w:pStyle w:val="AdviceNumLevel1"/>
        <w:rPr>
          <w:lang w:eastAsia="en-US"/>
        </w:rPr>
      </w:pPr>
      <w:r>
        <w:rPr>
          <w:lang w:eastAsia="en-US"/>
        </w:rPr>
        <w:t xml:space="preserve">However, we are conscious that at the start of the process, there may be confusion about when to apply suppression – e.g. if a person does not tell the in-scope company of their intention to apply for suppression, or the company is unsure if the person has made a suppression </w:t>
      </w:r>
      <w:proofErr w:type="gramStart"/>
      <w:r>
        <w:rPr>
          <w:lang w:eastAsia="en-US"/>
        </w:rPr>
        <w:t>application</w:t>
      </w:r>
      <w:proofErr w:type="gramEnd"/>
    </w:p>
    <w:p w14:paraId="26424F28" w14:textId="49425640" w:rsidR="00E64664" w:rsidRDefault="00E64664" w:rsidP="00E64664">
      <w:pPr>
        <w:pStyle w:val="AdviceNumLevel1"/>
        <w:rPr>
          <w:lang w:eastAsia="en-US"/>
        </w:rPr>
      </w:pPr>
      <w:r>
        <w:rPr>
          <w:lang w:eastAsia="en-US"/>
        </w:rPr>
        <w:t xml:space="preserve">To ensure clarity, </w:t>
      </w:r>
      <w:r w:rsidR="00AD703E">
        <w:rPr>
          <w:lang w:eastAsia="en-US"/>
        </w:rPr>
        <w:t xml:space="preserve">we recommend the </w:t>
      </w:r>
      <w:r w:rsidR="00E62A06">
        <w:rPr>
          <w:lang w:eastAsia="en-US"/>
        </w:rPr>
        <w:t>BO Policy</w:t>
      </w:r>
      <w:r>
        <w:rPr>
          <w:lang w:eastAsia="en-US"/>
        </w:rPr>
        <w:t>:</w:t>
      </w:r>
    </w:p>
    <w:p w14:paraId="6B49AD76" w14:textId="10F3A294" w:rsidR="00E64664" w:rsidRDefault="00AD703E" w:rsidP="00E64664">
      <w:pPr>
        <w:pStyle w:val="NumberLevel2"/>
        <w:rPr>
          <w:lang w:eastAsia="en-US"/>
        </w:rPr>
      </w:pPr>
      <w:r>
        <w:rPr>
          <w:lang w:eastAsia="en-US"/>
        </w:rPr>
        <w:t>require ASIC to notify the in-scope company</w:t>
      </w:r>
      <w:r w:rsidR="00E64664">
        <w:rPr>
          <w:lang w:eastAsia="en-US"/>
        </w:rPr>
        <w:t xml:space="preserve"> of any suppression </w:t>
      </w:r>
      <w:proofErr w:type="gramStart"/>
      <w:r w:rsidR="00E64664">
        <w:rPr>
          <w:lang w:eastAsia="en-US"/>
        </w:rPr>
        <w:t>application</w:t>
      </w:r>
      <w:proofErr w:type="gramEnd"/>
    </w:p>
    <w:p w14:paraId="36B973CC" w14:textId="6DB0CC9F" w:rsidR="00E64664" w:rsidRDefault="00E64664" w:rsidP="00E64664">
      <w:pPr>
        <w:pStyle w:val="NumberLevel2"/>
        <w:rPr>
          <w:lang w:eastAsia="en-US"/>
        </w:rPr>
      </w:pPr>
      <w:r>
        <w:rPr>
          <w:lang w:eastAsia="en-US"/>
        </w:rPr>
        <w:t>require an in-scope company to apply suppression to a beneficial owner’s information in the register (a) for 28 days after receiving notice of the individual’s intention to apply to ASIC for suppression,</w:t>
      </w:r>
      <w:r w:rsidR="001051C9">
        <w:rPr>
          <w:lang w:eastAsia="en-US"/>
        </w:rPr>
        <w:t xml:space="preserve"> </w:t>
      </w:r>
      <w:r w:rsidR="00136882">
        <w:rPr>
          <w:lang w:eastAsia="en-US"/>
        </w:rPr>
        <w:t>or</w:t>
      </w:r>
      <w:r>
        <w:rPr>
          <w:lang w:eastAsia="en-US"/>
        </w:rPr>
        <w:t xml:space="preserve"> (b) after receiving notice of the suppression application from ASIC until it receives a notice from ASIC advising of a negative </w:t>
      </w:r>
      <w:proofErr w:type="gramStart"/>
      <w:r>
        <w:rPr>
          <w:lang w:eastAsia="en-US"/>
        </w:rPr>
        <w:t>final outcome</w:t>
      </w:r>
      <w:proofErr w:type="gramEnd"/>
      <w:r>
        <w:rPr>
          <w:lang w:eastAsia="en-US"/>
        </w:rPr>
        <w:t xml:space="preserve"> of the application.</w:t>
      </w:r>
    </w:p>
    <w:p w14:paraId="76D1347A" w14:textId="77777777" w:rsidR="00AD703E" w:rsidRPr="00E8366C" w:rsidRDefault="00AD703E" w:rsidP="00AD703E">
      <w:pPr>
        <w:pStyle w:val="NumberLevel1"/>
        <w:rPr>
          <w:lang w:eastAsia="en-US"/>
        </w:rPr>
      </w:pPr>
      <w:r>
        <w:rPr>
          <w:lang w:eastAsia="en-US"/>
        </w:rPr>
        <w:t xml:space="preserve">To the extent these requirements would modify the application of APP 6, we think these steps are reasonable, </w:t>
      </w:r>
      <w:proofErr w:type="gramStart"/>
      <w:r>
        <w:rPr>
          <w:lang w:eastAsia="en-US"/>
        </w:rPr>
        <w:t>necessary</w:t>
      </w:r>
      <w:proofErr w:type="gramEnd"/>
      <w:r>
        <w:rPr>
          <w:lang w:eastAsia="en-US"/>
        </w:rPr>
        <w:t xml:space="preserve"> and proportionate to balance protections to the privacy of beneficial owners against measures to </w:t>
      </w:r>
      <w:r w:rsidRPr="00E8366C">
        <w:rPr>
          <w:lang w:eastAsia="en-US"/>
        </w:rPr>
        <w:t>prevent money laundering and terrorism funding.</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AD703E" w:rsidRPr="004B51FC" w14:paraId="242CFE7F" w14:textId="77777777" w:rsidTr="008F6E4D">
        <w:trPr>
          <w:trHeight w:val="332"/>
        </w:trPr>
        <w:tc>
          <w:tcPr>
            <w:tcW w:w="8222" w:type="dxa"/>
            <w:gridSpan w:val="2"/>
            <w:tcBorders>
              <w:top w:val="single" w:sz="12" w:space="0" w:color="000000" w:themeColor="text1"/>
              <w:bottom w:val="single" w:sz="12" w:space="0" w:color="204558"/>
            </w:tcBorders>
            <w:shd w:val="clear" w:color="auto" w:fill="C4DDEA"/>
          </w:tcPr>
          <w:p w14:paraId="52D72ED8" w14:textId="4631C298" w:rsidR="00AD703E" w:rsidRPr="004B51FC" w:rsidRDefault="00AD703E" w:rsidP="008F6E4D">
            <w:pPr>
              <w:pStyle w:val="TableHeading2"/>
              <w:spacing w:before="200" w:after="120"/>
            </w:pPr>
            <w:bookmarkStart w:id="140" w:name="Recommendation7" w:colFirst="0" w:colLast="1"/>
            <w:r>
              <w:t xml:space="preserve">Recommendation </w:t>
            </w:r>
            <w:r w:rsidR="00D82DA7">
              <w:t>7</w:t>
            </w:r>
            <w:r>
              <w:t xml:space="preserve"> – ASIC notify in-scope companies about </w:t>
            </w:r>
            <w:r w:rsidR="00E64664">
              <w:t xml:space="preserve">receipt and </w:t>
            </w:r>
            <w:r>
              <w:t>outcome of suppression applications</w:t>
            </w:r>
          </w:p>
        </w:tc>
      </w:tr>
      <w:tr w:rsidR="00AD703E" w:rsidRPr="00C56D18" w14:paraId="4C665449" w14:textId="77777777" w:rsidTr="008F368F">
        <w:trPr>
          <w:trHeight w:val="332"/>
        </w:trPr>
        <w:tc>
          <w:tcPr>
            <w:tcW w:w="8222" w:type="dxa"/>
            <w:gridSpan w:val="2"/>
            <w:tcBorders>
              <w:top w:val="single" w:sz="12" w:space="0" w:color="204558"/>
              <w:bottom w:val="single" w:sz="12" w:space="0" w:color="204558"/>
            </w:tcBorders>
            <w:shd w:val="clear" w:color="auto" w:fill="DEEAF6" w:themeFill="accent5" w:themeFillTint="33"/>
          </w:tcPr>
          <w:p w14:paraId="6D2C026F" w14:textId="2D1497D3" w:rsidR="00AD703E" w:rsidRPr="00C56D18" w:rsidRDefault="00AD703E" w:rsidP="008F6E4D">
            <w:pPr>
              <w:pStyle w:val="TableHeading2"/>
              <w:spacing w:before="120" w:after="120"/>
              <w:rPr>
                <w:b w:val="0"/>
              </w:rPr>
            </w:pPr>
            <w:r w:rsidRPr="00DE4139">
              <w:t>Issue:</w:t>
            </w:r>
            <w:r>
              <w:rPr>
                <w:b w:val="0"/>
              </w:rPr>
              <w:t xml:space="preserve"> Unless ASIC </w:t>
            </w:r>
            <w:r w:rsidR="00E64664">
              <w:rPr>
                <w:b w:val="0"/>
              </w:rPr>
              <w:t xml:space="preserve">notifies </w:t>
            </w:r>
            <w:r>
              <w:rPr>
                <w:b w:val="0"/>
              </w:rPr>
              <w:t xml:space="preserve">an in-scope company about the </w:t>
            </w:r>
            <w:r w:rsidR="00E64664">
              <w:rPr>
                <w:b w:val="0"/>
              </w:rPr>
              <w:t xml:space="preserve">receipt and outcome </w:t>
            </w:r>
            <w:r>
              <w:rPr>
                <w:b w:val="0"/>
              </w:rPr>
              <w:t xml:space="preserve">of a suppression application, the </w:t>
            </w:r>
            <w:r w:rsidRPr="003D2417">
              <w:rPr>
                <w:b w:val="0"/>
              </w:rPr>
              <w:t>in-scope compan</w:t>
            </w:r>
            <w:r>
              <w:rPr>
                <w:b w:val="0"/>
              </w:rPr>
              <w:t>y may not</w:t>
            </w:r>
            <w:r w:rsidRPr="003D2417">
              <w:rPr>
                <w:b w:val="0"/>
              </w:rPr>
              <w:t xml:space="preserve"> </w:t>
            </w:r>
            <w:r>
              <w:rPr>
                <w:b w:val="0"/>
              </w:rPr>
              <w:t xml:space="preserve">know whether a </w:t>
            </w:r>
            <w:r w:rsidRPr="003D2417">
              <w:rPr>
                <w:b w:val="0"/>
              </w:rPr>
              <w:t xml:space="preserve">suppression entitlement </w:t>
            </w:r>
            <w:r w:rsidR="00E64664">
              <w:rPr>
                <w:b w:val="0"/>
              </w:rPr>
              <w:t>exists</w:t>
            </w:r>
            <w:r w:rsidRPr="003D2417">
              <w:rPr>
                <w:b w:val="0"/>
              </w:rPr>
              <w:t>, or when the entitlement ends (e.g. if ASIC refuses the application or a review is unsuccessful).</w:t>
            </w:r>
          </w:p>
        </w:tc>
      </w:tr>
      <w:tr w:rsidR="00AD703E" w:rsidRPr="00B36B53" w14:paraId="5984D9A5" w14:textId="77777777" w:rsidTr="008F6E4D">
        <w:trPr>
          <w:trHeight w:val="332"/>
        </w:trPr>
        <w:tc>
          <w:tcPr>
            <w:tcW w:w="8222" w:type="dxa"/>
            <w:gridSpan w:val="2"/>
            <w:tcBorders>
              <w:top w:val="single" w:sz="12" w:space="0" w:color="204558"/>
              <w:bottom w:val="single" w:sz="12" w:space="0" w:color="204558"/>
            </w:tcBorders>
            <w:shd w:val="clear" w:color="auto" w:fill="EDF5F9"/>
          </w:tcPr>
          <w:p w14:paraId="0CBC4705" w14:textId="41D6E7DE" w:rsidR="00AD703E" w:rsidRPr="003D2417" w:rsidRDefault="00AD703E" w:rsidP="008F6E4D">
            <w:pPr>
              <w:pStyle w:val="TableHeading2"/>
              <w:spacing w:before="120" w:after="60"/>
              <w:rPr>
                <w:b w:val="0"/>
              </w:rPr>
            </w:pPr>
            <w:r w:rsidRPr="00DE4139">
              <w:t>AGS Recommendation:</w:t>
            </w:r>
            <w:r>
              <w:rPr>
                <w:b w:val="0"/>
              </w:rPr>
              <w:t xml:space="preserve"> </w:t>
            </w:r>
          </w:p>
          <w:p w14:paraId="71D92C7D" w14:textId="035EE1C5" w:rsidR="00E64664" w:rsidRDefault="00E64664" w:rsidP="00804008">
            <w:pPr>
              <w:pStyle w:val="TableHeading2"/>
              <w:numPr>
                <w:ilvl w:val="0"/>
                <w:numId w:val="49"/>
              </w:numPr>
              <w:spacing w:before="120" w:after="120"/>
              <w:ind w:left="357" w:hanging="357"/>
              <w:rPr>
                <w:b w:val="0"/>
              </w:rPr>
            </w:pPr>
            <w:r w:rsidRPr="003D2417">
              <w:rPr>
                <w:b w:val="0"/>
              </w:rPr>
              <w:t>ASIC notify in-scope compan</w:t>
            </w:r>
            <w:r>
              <w:rPr>
                <w:b w:val="0"/>
              </w:rPr>
              <w:t>ies of the receipt and outcome of a suppression application.</w:t>
            </w:r>
          </w:p>
          <w:p w14:paraId="55AFEF86" w14:textId="46F02F5F" w:rsidR="00AD703E" w:rsidRPr="005B40F3" w:rsidRDefault="00E64664" w:rsidP="00804008">
            <w:pPr>
              <w:pStyle w:val="ListParagraph"/>
              <w:numPr>
                <w:ilvl w:val="0"/>
                <w:numId w:val="49"/>
              </w:numPr>
              <w:spacing w:before="120" w:after="120"/>
              <w:ind w:left="357" w:hanging="357"/>
            </w:pPr>
            <w:bookmarkStart w:id="141" w:name="_Hlk167720598"/>
            <w:r w:rsidRPr="005B40F3">
              <w:t xml:space="preserve">In-scope companies suppress BOI from the register for 28 days after receiving notice of a beneficial owner’s intent to apply for suppression, or after they receive notice of an application until they receive a negative </w:t>
            </w:r>
            <w:proofErr w:type="gramStart"/>
            <w:r w:rsidRPr="005B40F3">
              <w:t>final outcome</w:t>
            </w:r>
            <w:proofErr w:type="gramEnd"/>
            <w:r w:rsidRPr="005B40F3">
              <w:t xml:space="preserve"> notice</w:t>
            </w:r>
            <w:bookmarkEnd w:id="141"/>
            <w:r w:rsidRPr="005B40F3">
              <w:t>.</w:t>
            </w:r>
          </w:p>
        </w:tc>
      </w:tr>
      <w:tr w:rsidR="00AD703E" w:rsidRPr="00B83500" w14:paraId="2F90CC7D" w14:textId="77777777" w:rsidTr="008F6E4D">
        <w:trPr>
          <w:trHeight w:val="269"/>
        </w:trPr>
        <w:tc>
          <w:tcPr>
            <w:tcW w:w="1276" w:type="dxa"/>
            <w:tcBorders>
              <w:top w:val="single" w:sz="12" w:space="0" w:color="204558"/>
              <w:bottom w:val="single" w:sz="12" w:space="0" w:color="000000" w:themeColor="text1"/>
            </w:tcBorders>
            <w:shd w:val="clear" w:color="auto" w:fill="auto"/>
          </w:tcPr>
          <w:p w14:paraId="589E7358" w14:textId="77777777" w:rsidR="00AD703E" w:rsidRPr="004B51FC" w:rsidRDefault="00AD703E" w:rsidP="008F6E4D">
            <w:pPr>
              <w:pStyle w:val="NumberLevel1"/>
              <w:numPr>
                <w:ilvl w:val="0"/>
                <w:numId w:val="0"/>
              </w:numPr>
              <w:spacing w:before="120" w:after="120"/>
              <w:rPr>
                <w:b/>
              </w:rPr>
            </w:pPr>
            <w:r w:rsidRPr="004B51FC">
              <w:rPr>
                <w:b/>
              </w:rPr>
              <w:t>Response:</w:t>
            </w:r>
          </w:p>
        </w:tc>
        <w:tc>
          <w:tcPr>
            <w:tcW w:w="6946" w:type="dxa"/>
            <w:tcBorders>
              <w:top w:val="single" w:sz="12" w:space="0" w:color="204558"/>
              <w:bottom w:val="single" w:sz="12" w:space="0" w:color="000000" w:themeColor="text1"/>
            </w:tcBorders>
            <w:shd w:val="clear" w:color="auto" w:fill="auto"/>
          </w:tcPr>
          <w:p w14:paraId="51BBE018" w14:textId="77777777" w:rsidR="00AD703E" w:rsidRPr="00B83500" w:rsidRDefault="00AD703E" w:rsidP="008F6E4D">
            <w:pPr>
              <w:pStyle w:val="TableHeading2"/>
              <w:spacing w:before="200" w:after="120"/>
              <w:rPr>
                <w:b w:val="0"/>
              </w:rPr>
            </w:pPr>
          </w:p>
        </w:tc>
      </w:tr>
    </w:tbl>
    <w:bookmarkEnd w:id="140"/>
    <w:p w14:paraId="7673FDD0" w14:textId="77777777" w:rsidR="00974092" w:rsidRDefault="00974092" w:rsidP="00974092">
      <w:pPr>
        <w:pStyle w:val="Heading4"/>
      </w:pPr>
      <w:r w:rsidRPr="00D033DE">
        <w:t>Gra</w:t>
      </w:r>
      <w:r w:rsidRPr="008D4FFD">
        <w:t>nting access to the BOR</w:t>
      </w:r>
    </w:p>
    <w:p w14:paraId="5ADD1956" w14:textId="51A73B06" w:rsidR="00974092" w:rsidRDefault="00974092" w:rsidP="00CF4EAA">
      <w:pPr>
        <w:pStyle w:val="AdviceNumLevel1"/>
        <w:rPr>
          <w:lang w:eastAsia="en-US"/>
        </w:rPr>
      </w:pPr>
      <w:r>
        <w:rPr>
          <w:lang w:eastAsia="en-US"/>
        </w:rPr>
        <w:t xml:space="preserve">In-scope companies will assess whether a member of the public seeks access to their BOR for an improper purpose, or </w:t>
      </w:r>
      <w:r w:rsidR="00B41B45">
        <w:rPr>
          <w:lang w:eastAsia="en-US"/>
        </w:rPr>
        <w:t xml:space="preserve">if </w:t>
      </w:r>
      <w:hyperlink w:anchor="Recommendation1" w:history="1">
        <w:r w:rsidR="00B41B45" w:rsidRPr="00B41B45">
          <w:rPr>
            <w:rStyle w:val="Hyperlink"/>
            <w:lang w:eastAsia="en-US"/>
          </w:rPr>
          <w:t>Recommendation 1</w:t>
        </w:r>
      </w:hyperlink>
      <w:r w:rsidR="00B41B45">
        <w:rPr>
          <w:lang w:eastAsia="en-US"/>
        </w:rPr>
        <w:t xml:space="preserve"> is implemented, by assessing </w:t>
      </w:r>
      <w:r>
        <w:rPr>
          <w:lang w:eastAsia="en-US"/>
        </w:rPr>
        <w:t>whether the access applicant has a legitimate interest support their request.</w:t>
      </w:r>
    </w:p>
    <w:p w14:paraId="4C9C7646" w14:textId="179036D0" w:rsidR="00974092" w:rsidRPr="00974092" w:rsidRDefault="00974092" w:rsidP="00CF4EAA">
      <w:pPr>
        <w:pStyle w:val="AdviceNumLevel1"/>
      </w:pPr>
      <w:bookmarkStart w:id="142" w:name="_Ref163838382"/>
      <w:r>
        <w:rPr>
          <w:lang w:eastAsia="en-US"/>
        </w:rPr>
        <w:t xml:space="preserve">In-scope companies will require guidance in making this assessment. We make recommendations on the content of this guidance in </w:t>
      </w:r>
      <w:hyperlink w:anchor="_Appendix_1_–" w:history="1">
        <w:r w:rsidRPr="00CF4EAA">
          <w:rPr>
            <w:rStyle w:val="Hyperlink"/>
            <w:lang w:eastAsia="en-US"/>
          </w:rPr>
          <w:t>Annexure A</w:t>
        </w:r>
      </w:hyperlink>
      <w:r>
        <w:rPr>
          <w:lang w:eastAsia="en-US"/>
        </w:rPr>
        <w:t>.</w:t>
      </w:r>
      <w:bookmarkEnd w:id="142"/>
    </w:p>
    <w:p w14:paraId="6101B418" w14:textId="6DB90C30" w:rsidR="00AD703E" w:rsidRDefault="00AD703E" w:rsidP="00AD703E">
      <w:pPr>
        <w:pStyle w:val="Heading3"/>
      </w:pPr>
      <w:r>
        <w:t xml:space="preserve">Use and disclosure of personal information by </w:t>
      </w:r>
      <w:proofErr w:type="gramStart"/>
      <w:r>
        <w:t>ASIC</w:t>
      </w:r>
      <w:proofErr w:type="gramEnd"/>
    </w:p>
    <w:p w14:paraId="1966F103" w14:textId="0696E24A" w:rsidR="00AD703E" w:rsidRDefault="00AD703E" w:rsidP="00AD703E">
      <w:pPr>
        <w:pStyle w:val="NumberLevel1"/>
        <w:rPr>
          <w:lang w:eastAsia="en-US"/>
        </w:rPr>
      </w:pPr>
      <w:r>
        <w:rPr>
          <w:lang w:eastAsia="en-US"/>
        </w:rPr>
        <w:t xml:space="preserve">ASIC’s involvement in the </w:t>
      </w:r>
      <w:r w:rsidR="00E62A06">
        <w:rPr>
          <w:lang w:eastAsia="en-US"/>
        </w:rPr>
        <w:t>BO Policy</w:t>
      </w:r>
      <w:r>
        <w:rPr>
          <w:lang w:eastAsia="en-US"/>
        </w:rPr>
        <w:t xml:space="preserve"> is limited to:</w:t>
      </w:r>
    </w:p>
    <w:p w14:paraId="1D38AFF9" w14:textId="6573F524" w:rsidR="00AD703E" w:rsidRDefault="00AD703E" w:rsidP="00AD703E">
      <w:pPr>
        <w:pStyle w:val="NumberLevel2"/>
        <w:rPr>
          <w:lang w:eastAsia="en-US"/>
        </w:rPr>
      </w:pPr>
      <w:r>
        <w:rPr>
          <w:lang w:eastAsia="en-US"/>
        </w:rPr>
        <w:t xml:space="preserve">considering applications for inclusion in the suppression regime, </w:t>
      </w:r>
    </w:p>
    <w:p w14:paraId="22C3998F" w14:textId="2C905220" w:rsidR="00AD703E" w:rsidRDefault="00AD703E" w:rsidP="00AD703E">
      <w:pPr>
        <w:pStyle w:val="NumberLevel2"/>
        <w:rPr>
          <w:lang w:eastAsia="en-US"/>
        </w:rPr>
      </w:pPr>
      <w:r>
        <w:rPr>
          <w:lang w:eastAsia="en-US"/>
        </w:rPr>
        <w:t>enforcement activities, as set out at Activity 8 above</w:t>
      </w:r>
      <w:r w:rsidR="00931FE7">
        <w:rPr>
          <w:lang w:eastAsia="en-US"/>
        </w:rPr>
        <w:t>, and</w:t>
      </w:r>
    </w:p>
    <w:p w14:paraId="273DA966" w14:textId="4512C1ED" w:rsidR="00931FE7" w:rsidRDefault="00931FE7" w:rsidP="00AD703E">
      <w:pPr>
        <w:pStyle w:val="NumberLevel2"/>
        <w:rPr>
          <w:lang w:eastAsia="en-US"/>
        </w:rPr>
      </w:pPr>
      <w:r w:rsidRPr="00931FE7">
        <w:rPr>
          <w:lang w:eastAsia="en-US"/>
        </w:rPr>
        <w:t>develop</w:t>
      </w:r>
      <w:r>
        <w:rPr>
          <w:lang w:eastAsia="en-US"/>
        </w:rPr>
        <w:t>ing</w:t>
      </w:r>
      <w:r w:rsidRPr="00931FE7">
        <w:rPr>
          <w:lang w:eastAsia="en-US"/>
        </w:rPr>
        <w:t xml:space="preserve"> guidance </w:t>
      </w:r>
      <w:r>
        <w:rPr>
          <w:lang w:eastAsia="en-US"/>
        </w:rPr>
        <w:t xml:space="preserve">and </w:t>
      </w:r>
      <w:r w:rsidR="00765909">
        <w:rPr>
          <w:lang w:eastAsia="en-US"/>
        </w:rPr>
        <w:t xml:space="preserve">data </w:t>
      </w:r>
      <w:r w:rsidR="00356EAA">
        <w:rPr>
          <w:lang w:eastAsia="en-US"/>
        </w:rPr>
        <w:t xml:space="preserve">formats / </w:t>
      </w:r>
      <w:r w:rsidR="00765909">
        <w:rPr>
          <w:lang w:eastAsia="en-US"/>
        </w:rPr>
        <w:t>standards</w:t>
      </w:r>
      <w:r>
        <w:rPr>
          <w:lang w:eastAsia="en-US"/>
        </w:rPr>
        <w:t xml:space="preserve"> </w:t>
      </w:r>
      <w:r w:rsidRPr="00931FE7">
        <w:rPr>
          <w:lang w:eastAsia="en-US"/>
        </w:rPr>
        <w:t>to support compliance with the beneficial ownership regime, including information sheets and regulatory guidance to support beneficial owners' and companies' understanding of and compliance with obligations and responsibilities.</w:t>
      </w:r>
    </w:p>
    <w:p w14:paraId="44E6BBF8" w14:textId="77777777" w:rsidR="00AD703E" w:rsidRDefault="00AD703E" w:rsidP="00AD703E">
      <w:pPr>
        <w:pStyle w:val="NumberLevel1"/>
        <w:rPr>
          <w:lang w:eastAsia="en-US"/>
        </w:rPr>
      </w:pPr>
      <w:r>
        <w:rPr>
          <w:lang w:eastAsia="en-US"/>
        </w:rPr>
        <w:t>The specific uses and disclosures of personal information that will take place in these processes is set out in the table below.</w:t>
      </w:r>
    </w:p>
    <w:tbl>
      <w:tblPr>
        <w:tblStyle w:val="TableGrid"/>
        <w:tblW w:w="8136"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340"/>
        <w:gridCol w:w="2070"/>
        <w:gridCol w:w="5726"/>
      </w:tblGrid>
      <w:tr w:rsidR="00AD703E" w14:paraId="5AB359FE" w14:textId="77777777" w:rsidTr="008F6E4D">
        <w:trPr>
          <w:cantSplit/>
          <w:tblHeader/>
        </w:trPr>
        <w:tc>
          <w:tcPr>
            <w:tcW w:w="340" w:type="dxa"/>
            <w:shd w:val="clear" w:color="auto" w:fill="C4DDEA"/>
            <w:vAlign w:val="top"/>
          </w:tcPr>
          <w:p w14:paraId="62C5FBB3" w14:textId="77777777" w:rsidR="00AD703E" w:rsidRDefault="00AD703E" w:rsidP="008F6E4D">
            <w:pPr>
              <w:pStyle w:val="TableHeading2"/>
              <w:ind w:left="176" w:hanging="176"/>
            </w:pPr>
            <w:r>
              <w:t>#</w:t>
            </w:r>
          </w:p>
        </w:tc>
        <w:tc>
          <w:tcPr>
            <w:tcW w:w="2070" w:type="dxa"/>
            <w:shd w:val="clear" w:color="auto" w:fill="C4DDEA"/>
            <w:vAlign w:val="top"/>
          </w:tcPr>
          <w:p w14:paraId="6055DD5D" w14:textId="77777777" w:rsidR="00AD703E" w:rsidRPr="00121519" w:rsidRDefault="00AD703E" w:rsidP="008F6E4D">
            <w:pPr>
              <w:pStyle w:val="TableHeading2"/>
              <w:ind w:left="176" w:hanging="176"/>
            </w:pPr>
            <w:r>
              <w:t>Activity</w:t>
            </w:r>
          </w:p>
        </w:tc>
        <w:tc>
          <w:tcPr>
            <w:tcW w:w="5726" w:type="dxa"/>
            <w:shd w:val="clear" w:color="auto" w:fill="C4DDEA"/>
            <w:vAlign w:val="top"/>
          </w:tcPr>
          <w:p w14:paraId="591A22BC" w14:textId="77777777" w:rsidR="00AD703E" w:rsidRDefault="00AD703E" w:rsidP="008F6E4D">
            <w:pPr>
              <w:pStyle w:val="TableHeading2"/>
            </w:pPr>
            <w:r>
              <w:t>Actions taken as part of the Activity</w:t>
            </w:r>
          </w:p>
        </w:tc>
      </w:tr>
      <w:tr w:rsidR="00AD703E" w:rsidRPr="0071230A" w14:paraId="46CC7995" w14:textId="77777777" w:rsidTr="008F6E4D">
        <w:tc>
          <w:tcPr>
            <w:tcW w:w="340" w:type="dxa"/>
            <w:vAlign w:val="top"/>
          </w:tcPr>
          <w:p w14:paraId="2D903AFE" w14:textId="77777777" w:rsidR="00AD703E" w:rsidRDefault="00AD703E" w:rsidP="008F6E4D">
            <w:pPr>
              <w:pStyle w:val="TablePlainParagraph"/>
              <w:rPr>
                <w:b/>
              </w:rPr>
            </w:pPr>
            <w:r>
              <w:rPr>
                <w:b/>
              </w:rPr>
              <w:t>4</w:t>
            </w:r>
          </w:p>
        </w:tc>
        <w:tc>
          <w:tcPr>
            <w:tcW w:w="2070" w:type="dxa"/>
            <w:vAlign w:val="top"/>
          </w:tcPr>
          <w:p w14:paraId="1133F453" w14:textId="77777777" w:rsidR="00AD703E" w:rsidRPr="008D4FFD" w:rsidRDefault="00AD703E" w:rsidP="008F6E4D">
            <w:pPr>
              <w:pStyle w:val="TablePlainParagraph"/>
              <w:rPr>
                <w:b/>
              </w:rPr>
            </w:pPr>
            <w:r>
              <w:rPr>
                <w:b/>
              </w:rPr>
              <w:t xml:space="preserve">Considering applications to suppress BOI </w:t>
            </w:r>
          </w:p>
        </w:tc>
        <w:tc>
          <w:tcPr>
            <w:tcW w:w="5726" w:type="dxa"/>
            <w:vAlign w:val="top"/>
          </w:tcPr>
          <w:p w14:paraId="1130C3A9" w14:textId="77777777" w:rsidR="00AD703E" w:rsidRPr="000E202E" w:rsidRDefault="00AD703E" w:rsidP="00804008">
            <w:pPr>
              <w:pStyle w:val="TablePlainParagraph"/>
              <w:numPr>
                <w:ilvl w:val="0"/>
                <w:numId w:val="49"/>
              </w:numPr>
            </w:pPr>
            <w:r w:rsidRPr="000E202E">
              <w:t xml:space="preserve">Use and disclosure in corresponding with beneficial owners to obtain information supporting an application for </w:t>
            </w:r>
            <w:proofErr w:type="gramStart"/>
            <w:r w:rsidRPr="000E202E">
              <w:t>suppression</w:t>
            </w:r>
            <w:proofErr w:type="gramEnd"/>
          </w:p>
          <w:p w14:paraId="16CEE404" w14:textId="14B763F0" w:rsidR="00AD703E" w:rsidRPr="000E202E" w:rsidRDefault="00AD703E" w:rsidP="00804008">
            <w:pPr>
              <w:pStyle w:val="TablePlainParagraph"/>
              <w:numPr>
                <w:ilvl w:val="0"/>
                <w:numId w:val="49"/>
              </w:numPr>
            </w:pPr>
            <w:r w:rsidRPr="000E202E">
              <w:t xml:space="preserve">Use in deciding whether a beneficial owner is eligible to have their BOI </w:t>
            </w:r>
            <w:proofErr w:type="gramStart"/>
            <w:r w:rsidRPr="000E202E">
              <w:t>suppressed</w:t>
            </w:r>
            <w:proofErr w:type="gramEnd"/>
          </w:p>
          <w:p w14:paraId="1A0E3B15" w14:textId="05873CD2" w:rsidR="00AD703E" w:rsidRPr="000E202E" w:rsidRDefault="00AD703E" w:rsidP="00804008">
            <w:pPr>
              <w:pStyle w:val="TablePlainParagraph"/>
              <w:numPr>
                <w:ilvl w:val="0"/>
                <w:numId w:val="49"/>
              </w:numPr>
            </w:pPr>
            <w:r w:rsidRPr="000E202E">
              <w:t>Disclosure of decision to beneficial owners and in-scope companies of the outcome of the suppression application</w:t>
            </w:r>
          </w:p>
          <w:p w14:paraId="2EFD4F00" w14:textId="3035063A" w:rsidR="00AD703E" w:rsidRPr="000E202E" w:rsidRDefault="00AD703E" w:rsidP="00804008">
            <w:pPr>
              <w:pStyle w:val="TablePlainParagraph"/>
              <w:numPr>
                <w:ilvl w:val="0"/>
                <w:numId w:val="49"/>
              </w:numPr>
            </w:pPr>
            <w:r w:rsidRPr="000E202E">
              <w:t>Disclosure of updates to in-scope companies on review processes following the decision on suppression</w:t>
            </w:r>
          </w:p>
        </w:tc>
      </w:tr>
      <w:tr w:rsidR="00AD703E" w:rsidRPr="0071230A" w14:paraId="42A12818" w14:textId="77777777" w:rsidTr="008F6E4D">
        <w:tc>
          <w:tcPr>
            <w:tcW w:w="340" w:type="dxa"/>
            <w:vAlign w:val="top"/>
          </w:tcPr>
          <w:p w14:paraId="2D612704" w14:textId="77777777" w:rsidR="00AD703E" w:rsidRPr="008D4FFD" w:rsidRDefault="00AD703E" w:rsidP="008F6E4D">
            <w:pPr>
              <w:pStyle w:val="TablePlainParagraph"/>
              <w:rPr>
                <w:b/>
              </w:rPr>
            </w:pPr>
            <w:r>
              <w:rPr>
                <w:b/>
              </w:rPr>
              <w:t>8</w:t>
            </w:r>
          </w:p>
        </w:tc>
        <w:tc>
          <w:tcPr>
            <w:tcW w:w="2070" w:type="dxa"/>
            <w:vAlign w:val="top"/>
          </w:tcPr>
          <w:p w14:paraId="03228EC9" w14:textId="77777777" w:rsidR="00AD703E" w:rsidRPr="008D4FFD" w:rsidRDefault="00AD703E" w:rsidP="008F6E4D">
            <w:pPr>
              <w:pStyle w:val="TablePlainParagraph"/>
              <w:rPr>
                <w:b/>
              </w:rPr>
            </w:pPr>
            <w:r>
              <w:rPr>
                <w:b/>
              </w:rPr>
              <w:t>Enforcement</w:t>
            </w:r>
          </w:p>
        </w:tc>
        <w:tc>
          <w:tcPr>
            <w:tcW w:w="5726" w:type="dxa"/>
            <w:vAlign w:val="top"/>
          </w:tcPr>
          <w:p w14:paraId="5FCC6FB0" w14:textId="14B4003D" w:rsidR="00AD703E" w:rsidRPr="00E61E4E" w:rsidRDefault="00AD703E" w:rsidP="00804008">
            <w:pPr>
              <w:pStyle w:val="TablePlainParagraph"/>
              <w:numPr>
                <w:ilvl w:val="0"/>
                <w:numId w:val="49"/>
              </w:numPr>
            </w:pPr>
            <w:r w:rsidRPr="000E202E">
              <w:t>Use and disclosure to issu</w:t>
            </w:r>
            <w:r w:rsidR="00D84A6D" w:rsidRPr="000E202E">
              <w:t>e</w:t>
            </w:r>
            <w:r w:rsidRPr="000E202E">
              <w:t xml:space="preserve"> notices to beneficial owners </w:t>
            </w:r>
            <w:r w:rsidRPr="00E61E4E">
              <w:t xml:space="preserve">requesting that they provide </w:t>
            </w:r>
            <w:proofErr w:type="gramStart"/>
            <w:r w:rsidRPr="00E61E4E">
              <w:t>BOI</w:t>
            </w:r>
            <w:proofErr w:type="gramEnd"/>
          </w:p>
          <w:p w14:paraId="40E59565" w14:textId="5879F335" w:rsidR="00AD703E" w:rsidRPr="000E202E" w:rsidRDefault="00AD703E" w:rsidP="00804008">
            <w:pPr>
              <w:pStyle w:val="TablePlainParagraph"/>
              <w:numPr>
                <w:ilvl w:val="0"/>
                <w:numId w:val="49"/>
              </w:numPr>
            </w:pPr>
            <w:r w:rsidRPr="000E202E">
              <w:t>Use and disclosure to impos</w:t>
            </w:r>
            <w:r w:rsidR="00D84A6D" w:rsidRPr="000E202E">
              <w:t>e</w:t>
            </w:r>
            <w:r w:rsidRPr="000E202E">
              <w:t xml:space="preserve"> restrictions on beneficial owners if obligations are not met</w:t>
            </w:r>
          </w:p>
        </w:tc>
      </w:tr>
    </w:tbl>
    <w:p w14:paraId="3B8C09D8" w14:textId="4A9BCF80" w:rsidR="00AD703E" w:rsidRDefault="00AD703E" w:rsidP="00AD703E">
      <w:pPr>
        <w:pStyle w:val="AdviceNumLevel1"/>
        <w:rPr>
          <w:lang w:eastAsia="en-US"/>
        </w:rPr>
      </w:pPr>
      <w:r>
        <w:rPr>
          <w:lang w:eastAsia="en-US"/>
        </w:rPr>
        <w:t xml:space="preserve">ASIC will need to consider closely the types of information that it will require beneficial owners to disclose when substantiating their request for access to the suppression regime. We consider that it would be appropriate for </w:t>
      </w:r>
      <w:r w:rsidR="00F260F7">
        <w:rPr>
          <w:lang w:eastAsia="en-US"/>
        </w:rPr>
        <w:t xml:space="preserve">the Commonwealth </w:t>
      </w:r>
      <w:r>
        <w:rPr>
          <w:lang w:eastAsia="en-US"/>
        </w:rPr>
        <w:t>to publish guidance on this issue, noting that applications for suppression will be invariably fact dependent. In turn, internal decision makers could use this guidance as part of their decision-making process.</w:t>
      </w:r>
    </w:p>
    <w:p w14:paraId="0662773E" w14:textId="478D4E25" w:rsidR="00AD703E" w:rsidRDefault="00AD703E" w:rsidP="00AD703E">
      <w:pPr>
        <w:pStyle w:val="AdviceNumLevel1"/>
        <w:rPr>
          <w:lang w:eastAsia="en-US"/>
        </w:rPr>
      </w:pPr>
      <w:r>
        <w:rPr>
          <w:lang w:eastAsia="en-US"/>
        </w:rPr>
        <w:t>Additionally, ASIC may wish to consider approving a form</w:t>
      </w:r>
      <w:r w:rsidR="0048425F">
        <w:rPr>
          <w:lang w:eastAsia="en-US"/>
        </w:rPr>
        <w:t>at</w:t>
      </w:r>
      <w:r>
        <w:rPr>
          <w:lang w:eastAsia="en-US"/>
        </w:rPr>
        <w:t xml:space="preserve"> for beneficial owners to </w:t>
      </w:r>
      <w:r w:rsidR="00EE2AA3">
        <w:rPr>
          <w:lang w:eastAsia="en-US"/>
        </w:rPr>
        <w:t>supply information</w:t>
      </w:r>
      <w:r>
        <w:rPr>
          <w:lang w:eastAsia="en-US"/>
        </w:rPr>
        <w:t>.</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AD703E" w:rsidRPr="004B51FC" w14:paraId="3455C1C2" w14:textId="77777777" w:rsidTr="008F6E4D">
        <w:trPr>
          <w:trHeight w:val="332"/>
        </w:trPr>
        <w:tc>
          <w:tcPr>
            <w:tcW w:w="8222" w:type="dxa"/>
            <w:gridSpan w:val="2"/>
            <w:tcBorders>
              <w:top w:val="single" w:sz="12" w:space="0" w:color="000000" w:themeColor="text1"/>
              <w:bottom w:val="single" w:sz="12" w:space="0" w:color="204558"/>
            </w:tcBorders>
            <w:shd w:val="clear" w:color="auto" w:fill="C4DDEA"/>
          </w:tcPr>
          <w:p w14:paraId="0A853BDA" w14:textId="567450C4" w:rsidR="00AD703E" w:rsidRPr="004B51FC" w:rsidRDefault="00AD703E" w:rsidP="008F6E4D">
            <w:pPr>
              <w:pStyle w:val="TableHeading2"/>
              <w:spacing w:before="200" w:after="120"/>
            </w:pPr>
            <w:bookmarkStart w:id="143" w:name="Recommendation8" w:colFirst="0" w:colLast="1"/>
            <w:r>
              <w:t xml:space="preserve">Recommendation </w:t>
            </w:r>
            <w:r w:rsidR="00D82DA7">
              <w:t>8</w:t>
            </w:r>
            <w:r>
              <w:t xml:space="preserve"> – </w:t>
            </w:r>
            <w:proofErr w:type="gramStart"/>
            <w:r w:rsidR="00F260F7">
              <w:t>Commonwealth</w:t>
            </w:r>
            <w:proofErr w:type="gramEnd"/>
            <w:r w:rsidR="00F260F7">
              <w:t xml:space="preserve"> </w:t>
            </w:r>
            <w:r w:rsidR="00D82DA7">
              <w:t>prepare internal and</w:t>
            </w:r>
            <w:r>
              <w:t xml:space="preserve"> </w:t>
            </w:r>
            <w:r w:rsidRPr="00FB7D18">
              <w:t xml:space="preserve">external guidance on </w:t>
            </w:r>
            <w:r>
              <w:t>suppression regime</w:t>
            </w:r>
          </w:p>
        </w:tc>
      </w:tr>
      <w:tr w:rsidR="00AD703E" w:rsidRPr="00C56D18" w14:paraId="17A3404F" w14:textId="77777777" w:rsidTr="008F368F">
        <w:trPr>
          <w:trHeight w:val="332"/>
        </w:trPr>
        <w:tc>
          <w:tcPr>
            <w:tcW w:w="8222" w:type="dxa"/>
            <w:gridSpan w:val="2"/>
            <w:tcBorders>
              <w:top w:val="single" w:sz="12" w:space="0" w:color="204558"/>
              <w:bottom w:val="single" w:sz="12" w:space="0" w:color="204558"/>
            </w:tcBorders>
            <w:shd w:val="clear" w:color="auto" w:fill="DEEAF6" w:themeFill="accent5" w:themeFillTint="33"/>
          </w:tcPr>
          <w:p w14:paraId="58F705B8" w14:textId="10697522" w:rsidR="00AD703E" w:rsidRPr="00C56D18" w:rsidRDefault="00AD703E" w:rsidP="008F6E4D">
            <w:pPr>
              <w:pStyle w:val="TableHeading2"/>
              <w:spacing w:before="120" w:after="120"/>
              <w:rPr>
                <w:b w:val="0"/>
              </w:rPr>
            </w:pPr>
            <w:r w:rsidRPr="00DE4139">
              <w:t>Issue:</w:t>
            </w:r>
            <w:r>
              <w:rPr>
                <w:b w:val="0"/>
              </w:rPr>
              <w:t xml:space="preserve"> Any uncertainty over the operation of the suppression regime may impact the privacy of beneficial owners, for example, if they believe they are ineligible for suppression and fail to </w:t>
            </w:r>
            <w:proofErr w:type="gramStart"/>
            <w:r>
              <w:rPr>
                <w:b w:val="0"/>
              </w:rPr>
              <w:t>apply, or</w:t>
            </w:r>
            <w:proofErr w:type="gramEnd"/>
            <w:r>
              <w:rPr>
                <w:b w:val="0"/>
              </w:rPr>
              <w:t xml:space="preserve"> over-provide information supporting their suppression application.</w:t>
            </w:r>
          </w:p>
        </w:tc>
      </w:tr>
      <w:tr w:rsidR="00AD703E" w:rsidRPr="003D2417" w14:paraId="77C8858E" w14:textId="77777777" w:rsidTr="008F6E4D">
        <w:trPr>
          <w:trHeight w:val="332"/>
        </w:trPr>
        <w:tc>
          <w:tcPr>
            <w:tcW w:w="8222" w:type="dxa"/>
            <w:gridSpan w:val="2"/>
            <w:tcBorders>
              <w:top w:val="single" w:sz="12" w:space="0" w:color="204558"/>
              <w:bottom w:val="single" w:sz="12" w:space="0" w:color="204558"/>
            </w:tcBorders>
            <w:shd w:val="clear" w:color="auto" w:fill="EDF5F9"/>
          </w:tcPr>
          <w:p w14:paraId="6CE6CFB8" w14:textId="474B654A" w:rsidR="00AD703E" w:rsidRPr="008C4AA7" w:rsidRDefault="00AD703E" w:rsidP="008F6E4D">
            <w:pPr>
              <w:pStyle w:val="TableHeading2"/>
              <w:spacing w:before="120" w:after="120"/>
            </w:pPr>
            <w:r w:rsidRPr="008C4AA7">
              <w:t xml:space="preserve">AGS Recommendation: </w:t>
            </w:r>
            <w:r w:rsidR="00602921">
              <w:rPr>
                <w:b w:val="0"/>
              </w:rPr>
              <w:t>The Commonwealth</w:t>
            </w:r>
            <w:r w:rsidRPr="00FB7D18">
              <w:rPr>
                <w:b w:val="0"/>
              </w:rPr>
              <w:t xml:space="preserve"> develop</w:t>
            </w:r>
            <w:r>
              <w:rPr>
                <w:b w:val="0"/>
              </w:rPr>
              <w:t>:</w:t>
            </w:r>
            <w:r w:rsidRPr="00FB7D18">
              <w:rPr>
                <w:b w:val="0"/>
              </w:rPr>
              <w:t xml:space="preserve"> </w:t>
            </w:r>
          </w:p>
          <w:p w14:paraId="6DBBA872" w14:textId="3279ABEA" w:rsidR="00AD703E" w:rsidRDefault="00AD703E" w:rsidP="00804008">
            <w:pPr>
              <w:pStyle w:val="ListParagraph"/>
              <w:numPr>
                <w:ilvl w:val="0"/>
                <w:numId w:val="49"/>
              </w:numPr>
              <w:spacing w:before="120" w:after="120"/>
              <w:ind w:left="357" w:hanging="357"/>
            </w:pPr>
            <w:r>
              <w:t>g</w:t>
            </w:r>
            <w:r w:rsidRPr="008C4AA7">
              <w:t xml:space="preserve">uidance for beneficial owners on </w:t>
            </w:r>
            <w:r>
              <w:t xml:space="preserve">the kinds of circumstances where it will grant a suppression application, as well as </w:t>
            </w:r>
            <w:r w:rsidRPr="008C4AA7">
              <w:t xml:space="preserve">the types of information </w:t>
            </w:r>
            <w:r>
              <w:t xml:space="preserve">an individual could supply </w:t>
            </w:r>
            <w:r w:rsidRPr="008C4AA7">
              <w:t xml:space="preserve">to substantiate a suppression </w:t>
            </w:r>
            <w:proofErr w:type="gramStart"/>
            <w:r w:rsidRPr="008C4AA7">
              <w:t>application</w:t>
            </w:r>
            <w:proofErr w:type="gramEnd"/>
          </w:p>
          <w:p w14:paraId="533A1F1D" w14:textId="3E4F9858" w:rsidR="00AD703E" w:rsidRPr="00FB7D18" w:rsidRDefault="00AD703E" w:rsidP="00804008">
            <w:pPr>
              <w:pStyle w:val="ListParagraph"/>
              <w:numPr>
                <w:ilvl w:val="0"/>
                <w:numId w:val="49"/>
              </w:numPr>
              <w:spacing w:before="120" w:after="120"/>
              <w:ind w:left="357" w:hanging="357"/>
              <w:rPr>
                <w:rFonts w:ascii="Times New Roman" w:hAnsi="Times New Roman" w:cs="Times New Roman"/>
              </w:rPr>
            </w:pPr>
            <w:r>
              <w:t>an approved form</w:t>
            </w:r>
            <w:r w:rsidR="00170C47">
              <w:t>at</w:t>
            </w:r>
            <w:r>
              <w:t xml:space="preserve"> to supply information in support of a suppression application.</w:t>
            </w:r>
          </w:p>
        </w:tc>
      </w:tr>
      <w:tr w:rsidR="00AD703E" w:rsidRPr="00B83500" w14:paraId="4F53F203" w14:textId="77777777" w:rsidTr="008F6E4D">
        <w:trPr>
          <w:trHeight w:val="269"/>
        </w:trPr>
        <w:tc>
          <w:tcPr>
            <w:tcW w:w="1276" w:type="dxa"/>
            <w:tcBorders>
              <w:top w:val="single" w:sz="12" w:space="0" w:color="204558"/>
              <w:bottom w:val="single" w:sz="12" w:space="0" w:color="000000" w:themeColor="text1"/>
            </w:tcBorders>
            <w:shd w:val="clear" w:color="auto" w:fill="auto"/>
          </w:tcPr>
          <w:p w14:paraId="62B8999C" w14:textId="77777777" w:rsidR="00AD703E" w:rsidRPr="004B51FC" w:rsidRDefault="00AD703E" w:rsidP="008F6E4D">
            <w:pPr>
              <w:pStyle w:val="NumberLevel1"/>
              <w:numPr>
                <w:ilvl w:val="0"/>
                <w:numId w:val="0"/>
              </w:numPr>
              <w:spacing w:before="120" w:after="120"/>
              <w:rPr>
                <w:b/>
              </w:rPr>
            </w:pPr>
            <w:r w:rsidRPr="004B51FC">
              <w:rPr>
                <w:b/>
              </w:rPr>
              <w:t>Response:</w:t>
            </w:r>
          </w:p>
        </w:tc>
        <w:tc>
          <w:tcPr>
            <w:tcW w:w="6946" w:type="dxa"/>
            <w:tcBorders>
              <w:top w:val="single" w:sz="12" w:space="0" w:color="204558"/>
              <w:bottom w:val="single" w:sz="12" w:space="0" w:color="000000" w:themeColor="text1"/>
            </w:tcBorders>
            <w:shd w:val="clear" w:color="auto" w:fill="auto"/>
          </w:tcPr>
          <w:p w14:paraId="5EE9EDC8" w14:textId="77777777" w:rsidR="00AD703E" w:rsidRPr="00B83500" w:rsidRDefault="00AD703E" w:rsidP="008F6E4D">
            <w:pPr>
              <w:pStyle w:val="TableHeading2"/>
              <w:spacing w:before="200" w:after="120"/>
              <w:rPr>
                <w:b w:val="0"/>
              </w:rPr>
            </w:pPr>
          </w:p>
        </w:tc>
      </w:tr>
    </w:tbl>
    <w:bookmarkEnd w:id="143"/>
    <w:p w14:paraId="62784D8E" w14:textId="37AB6C9E" w:rsidR="00AD703E" w:rsidRDefault="00AD703E" w:rsidP="00AD703E">
      <w:pPr>
        <w:pStyle w:val="AdviceNumLevel1"/>
        <w:rPr>
          <w:lang w:eastAsia="en-US"/>
        </w:rPr>
      </w:pPr>
      <w:r>
        <w:rPr>
          <w:lang w:eastAsia="en-US"/>
        </w:rPr>
        <w:t>We think that all the uses and disclosures of personal information by ASIC outlined in the table above are for the primary collection purpose, relevantly determining requests for inclusion in the suppression regime (</w:t>
      </w:r>
      <w:r w:rsidRPr="00B0403F">
        <w:rPr>
          <w:b/>
          <w:lang w:eastAsia="en-US"/>
        </w:rPr>
        <w:t>Activity 4</w:t>
      </w:r>
      <w:r>
        <w:rPr>
          <w:lang w:eastAsia="en-US"/>
        </w:rPr>
        <w:t xml:space="preserve">) and to enforce compliance with the </w:t>
      </w:r>
      <w:r w:rsidR="00E62A06">
        <w:rPr>
          <w:lang w:eastAsia="en-US"/>
        </w:rPr>
        <w:t>BO Policy</w:t>
      </w:r>
      <w:r>
        <w:rPr>
          <w:lang w:eastAsia="en-US"/>
        </w:rPr>
        <w:t xml:space="preserve"> (</w:t>
      </w:r>
      <w:r w:rsidRPr="008C4AA7">
        <w:rPr>
          <w:b/>
          <w:lang w:eastAsia="en-US"/>
        </w:rPr>
        <w:t>Activity 8</w:t>
      </w:r>
      <w:r>
        <w:rPr>
          <w:lang w:eastAsia="en-US"/>
        </w:rPr>
        <w:t>). Accordingly, these uses and disclosures will conform with APP 6.1.</w:t>
      </w:r>
    </w:p>
    <w:p w14:paraId="3C443314" w14:textId="4672BED1" w:rsidR="00AD703E" w:rsidRDefault="00AD703E" w:rsidP="00AD703E">
      <w:pPr>
        <w:pStyle w:val="AdviceNumLevel1"/>
        <w:rPr>
          <w:lang w:eastAsia="en-US"/>
        </w:rPr>
      </w:pPr>
      <w:r>
        <w:rPr>
          <w:lang w:eastAsia="en-US"/>
        </w:rPr>
        <w:t xml:space="preserve">In any event, if any of the uses or disclosures outlined above occurred for a secondary purpose, we think the new legislation enacting the </w:t>
      </w:r>
      <w:r w:rsidR="00E62A06">
        <w:rPr>
          <w:lang w:eastAsia="en-US"/>
        </w:rPr>
        <w:t>BO Policy</w:t>
      </w:r>
      <w:r>
        <w:rPr>
          <w:lang w:eastAsia="en-US"/>
        </w:rPr>
        <w:t xml:space="preserve"> would authorise these activities in accordance with APP 6.2(b).</w:t>
      </w:r>
    </w:p>
    <w:p w14:paraId="1F684EB9" w14:textId="77777777" w:rsidR="00AD703E" w:rsidRDefault="00AD703E" w:rsidP="00AD703E">
      <w:pPr>
        <w:pStyle w:val="Heading3"/>
      </w:pPr>
      <w:r w:rsidRPr="007F343F">
        <w:t>Use and disclosure of personal information by the Responsible Commonwealth Agency</w:t>
      </w:r>
    </w:p>
    <w:p w14:paraId="7FA0DB7B" w14:textId="77777777" w:rsidR="00AD703E" w:rsidRDefault="00AD703E" w:rsidP="00AD703E">
      <w:pPr>
        <w:pStyle w:val="AdviceNumLevel1"/>
        <w:rPr>
          <w:lang w:eastAsia="en-US"/>
        </w:rPr>
      </w:pPr>
      <w:r>
        <w:rPr>
          <w:lang w:eastAsia="en-US"/>
        </w:rPr>
        <w:t>The RCA will use and disclose personal information for limited purposes:</w:t>
      </w:r>
    </w:p>
    <w:tbl>
      <w:tblPr>
        <w:tblStyle w:val="TableGrid"/>
        <w:tblW w:w="8136"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340"/>
        <w:gridCol w:w="2070"/>
        <w:gridCol w:w="5726"/>
      </w:tblGrid>
      <w:tr w:rsidR="00AD703E" w14:paraId="1684899A" w14:textId="77777777" w:rsidTr="008F6E4D">
        <w:trPr>
          <w:cantSplit/>
          <w:tblHeader/>
        </w:trPr>
        <w:tc>
          <w:tcPr>
            <w:tcW w:w="340" w:type="dxa"/>
            <w:tcBorders>
              <w:top w:val="nil"/>
              <w:left w:val="nil"/>
              <w:bottom w:val="single" w:sz="12" w:space="0" w:color="204558"/>
              <w:right w:val="single" w:sz="12" w:space="0" w:color="204558"/>
            </w:tcBorders>
            <w:shd w:val="clear" w:color="auto" w:fill="C4DDEA"/>
            <w:vAlign w:val="top"/>
            <w:hideMark/>
          </w:tcPr>
          <w:p w14:paraId="5910FA70" w14:textId="77777777" w:rsidR="00AD703E" w:rsidRDefault="00AD703E" w:rsidP="008F6E4D">
            <w:pPr>
              <w:pStyle w:val="TableHeading2"/>
              <w:ind w:left="176" w:hanging="176"/>
            </w:pPr>
            <w:r>
              <w:t>#</w:t>
            </w:r>
          </w:p>
        </w:tc>
        <w:tc>
          <w:tcPr>
            <w:tcW w:w="2070" w:type="dxa"/>
            <w:tcBorders>
              <w:top w:val="nil"/>
              <w:left w:val="single" w:sz="12" w:space="0" w:color="204558"/>
              <w:bottom w:val="single" w:sz="12" w:space="0" w:color="204558"/>
              <w:right w:val="single" w:sz="12" w:space="0" w:color="204558"/>
            </w:tcBorders>
            <w:shd w:val="clear" w:color="auto" w:fill="C4DDEA"/>
            <w:vAlign w:val="top"/>
            <w:hideMark/>
          </w:tcPr>
          <w:p w14:paraId="7B648528" w14:textId="77777777" w:rsidR="00AD703E" w:rsidRDefault="00AD703E" w:rsidP="008F6E4D">
            <w:pPr>
              <w:pStyle w:val="TableHeading2"/>
              <w:ind w:left="176" w:hanging="176"/>
            </w:pPr>
            <w:r>
              <w:t>Activity</w:t>
            </w:r>
          </w:p>
        </w:tc>
        <w:tc>
          <w:tcPr>
            <w:tcW w:w="5726" w:type="dxa"/>
            <w:tcBorders>
              <w:top w:val="nil"/>
              <w:left w:val="single" w:sz="12" w:space="0" w:color="204558"/>
              <w:bottom w:val="single" w:sz="12" w:space="0" w:color="204558"/>
              <w:right w:val="nil"/>
            </w:tcBorders>
            <w:shd w:val="clear" w:color="auto" w:fill="C4DDEA"/>
            <w:vAlign w:val="top"/>
            <w:hideMark/>
          </w:tcPr>
          <w:p w14:paraId="5A555401" w14:textId="77777777" w:rsidR="00AD703E" w:rsidRDefault="00AD703E" w:rsidP="008F6E4D">
            <w:pPr>
              <w:pStyle w:val="TableHeading2"/>
            </w:pPr>
            <w:r>
              <w:t>Actions taken as part of the Activity</w:t>
            </w:r>
          </w:p>
        </w:tc>
      </w:tr>
      <w:tr w:rsidR="00AD703E" w14:paraId="6181C44C" w14:textId="77777777" w:rsidTr="008F6E4D">
        <w:tc>
          <w:tcPr>
            <w:tcW w:w="340" w:type="dxa"/>
            <w:tcBorders>
              <w:top w:val="single" w:sz="12" w:space="0" w:color="204558"/>
              <w:left w:val="nil"/>
              <w:bottom w:val="nil"/>
              <w:right w:val="single" w:sz="12" w:space="0" w:color="204558"/>
            </w:tcBorders>
            <w:vAlign w:val="top"/>
            <w:hideMark/>
          </w:tcPr>
          <w:p w14:paraId="759F8740" w14:textId="77777777" w:rsidR="00AD703E" w:rsidRDefault="00AD703E" w:rsidP="008F6E4D">
            <w:pPr>
              <w:pStyle w:val="TablePlainParagraph"/>
              <w:rPr>
                <w:b/>
              </w:rPr>
            </w:pPr>
            <w:r>
              <w:rPr>
                <w:b/>
              </w:rPr>
              <w:t>9</w:t>
            </w:r>
          </w:p>
        </w:tc>
        <w:tc>
          <w:tcPr>
            <w:tcW w:w="2070" w:type="dxa"/>
            <w:tcBorders>
              <w:top w:val="single" w:sz="12" w:space="0" w:color="204558"/>
              <w:left w:val="single" w:sz="12" w:space="0" w:color="204558"/>
              <w:bottom w:val="nil"/>
              <w:right w:val="single" w:sz="12" w:space="0" w:color="204558"/>
            </w:tcBorders>
            <w:vAlign w:val="top"/>
            <w:hideMark/>
          </w:tcPr>
          <w:p w14:paraId="041485D5" w14:textId="77777777" w:rsidR="00AD703E" w:rsidRDefault="00AD703E" w:rsidP="008F6E4D">
            <w:pPr>
              <w:pStyle w:val="TablePlainParagraph"/>
              <w:rPr>
                <w:b/>
              </w:rPr>
            </w:pPr>
            <w:r>
              <w:rPr>
                <w:b/>
              </w:rPr>
              <w:t>Transition to PCBOR</w:t>
            </w:r>
          </w:p>
        </w:tc>
        <w:tc>
          <w:tcPr>
            <w:tcW w:w="5726" w:type="dxa"/>
            <w:tcBorders>
              <w:top w:val="single" w:sz="12" w:space="0" w:color="204558"/>
              <w:left w:val="single" w:sz="12" w:space="0" w:color="204558"/>
              <w:bottom w:val="nil"/>
              <w:right w:val="nil"/>
            </w:tcBorders>
            <w:vAlign w:val="top"/>
            <w:hideMark/>
          </w:tcPr>
          <w:p w14:paraId="225EFF4B" w14:textId="77777777" w:rsidR="00AD703E" w:rsidRDefault="00AD703E" w:rsidP="00804008">
            <w:pPr>
              <w:pStyle w:val="TablePlainParagraph"/>
              <w:numPr>
                <w:ilvl w:val="0"/>
                <w:numId w:val="49"/>
              </w:numPr>
            </w:pPr>
            <w:r>
              <w:t xml:space="preserve">Use and disclosure to maintain and update the </w:t>
            </w:r>
            <w:proofErr w:type="gramStart"/>
            <w:r>
              <w:t>PCBOR</w:t>
            </w:r>
            <w:proofErr w:type="gramEnd"/>
          </w:p>
          <w:p w14:paraId="31749B97" w14:textId="77777777" w:rsidR="00AD703E" w:rsidRPr="007F343F" w:rsidRDefault="00AD703E" w:rsidP="00804008">
            <w:pPr>
              <w:pStyle w:val="TablePlainParagraph"/>
              <w:numPr>
                <w:ilvl w:val="0"/>
                <w:numId w:val="49"/>
              </w:numPr>
            </w:pPr>
            <w:r>
              <w:t>Use and disclosure to process requests for access to BOI</w:t>
            </w:r>
          </w:p>
        </w:tc>
      </w:tr>
    </w:tbl>
    <w:p w14:paraId="4A548CA6" w14:textId="77777777" w:rsidR="00AD703E" w:rsidRDefault="00AD703E" w:rsidP="00AD703E">
      <w:pPr>
        <w:pStyle w:val="AdviceNumLevel1"/>
        <w:rPr>
          <w:lang w:eastAsia="en-US"/>
        </w:rPr>
      </w:pPr>
      <w:r>
        <w:rPr>
          <w:lang w:eastAsia="en-US"/>
        </w:rPr>
        <w:t>To the extent the RCA will use and disclose personal information to maintain and update the PCBOR, this will occur for the primary collection purpose in conformity with APP 6.1.</w:t>
      </w:r>
    </w:p>
    <w:p w14:paraId="28A48B81" w14:textId="78926016" w:rsidR="00AD703E" w:rsidRDefault="00AD703E" w:rsidP="00AD703E">
      <w:pPr>
        <w:pStyle w:val="AdviceNumLevel1"/>
        <w:rPr>
          <w:lang w:eastAsia="en-US"/>
        </w:rPr>
      </w:pPr>
      <w:r>
        <w:rPr>
          <w:lang w:eastAsia="en-US"/>
        </w:rPr>
        <w:t xml:space="preserve">To the extent the use and disclosure involves responding to an access application, the new legislation will modify APP 6 to permit this disclosure. </w:t>
      </w:r>
      <w:r w:rsidR="00546458">
        <w:rPr>
          <w:lang w:eastAsia="en-US"/>
        </w:rPr>
        <w:t>W</w:t>
      </w:r>
      <w:r>
        <w:rPr>
          <w:lang w:eastAsia="en-US"/>
        </w:rPr>
        <w:t>e consider such disclosures would be reasonable, necessary, and proportionate, and would not involve an arbitrary interference with the personal information of beneficial owners.</w:t>
      </w:r>
    </w:p>
    <w:p w14:paraId="482E663B" w14:textId="4282D11F" w:rsidR="00B908C9" w:rsidRDefault="009709B1" w:rsidP="000A52BB">
      <w:pPr>
        <w:pStyle w:val="Heading2"/>
        <w:rPr>
          <w:lang w:eastAsia="en-US"/>
        </w:rPr>
      </w:pPr>
      <w:bookmarkStart w:id="144" w:name="_Toc168942762"/>
      <w:bookmarkEnd w:id="137"/>
      <w:r>
        <w:rPr>
          <w:lang w:eastAsia="en-US"/>
        </w:rPr>
        <w:t>APP 7 – D</w:t>
      </w:r>
      <w:r w:rsidRPr="009709B1">
        <w:rPr>
          <w:lang w:eastAsia="en-US"/>
        </w:rPr>
        <w:t>irect marketing</w:t>
      </w:r>
      <w:bookmarkEnd w:id="144"/>
    </w:p>
    <w:p w14:paraId="5CC61B14" w14:textId="7BA68247" w:rsidR="00B908C9" w:rsidRDefault="009709B1" w:rsidP="009709B1">
      <w:pPr>
        <w:pStyle w:val="AdviceNumLevel1"/>
        <w:rPr>
          <w:lang w:eastAsia="en-US"/>
        </w:rPr>
      </w:pPr>
      <w:r>
        <w:rPr>
          <w:lang w:eastAsia="en-US"/>
        </w:rPr>
        <w:t xml:space="preserve">This APP is not relevant to the </w:t>
      </w:r>
      <w:r w:rsidR="00E62A06">
        <w:rPr>
          <w:lang w:eastAsia="en-US"/>
        </w:rPr>
        <w:t>BO Policy</w:t>
      </w:r>
      <w:r>
        <w:rPr>
          <w:lang w:eastAsia="en-US"/>
        </w:rPr>
        <w:t xml:space="preserve">, as it is not envisioned that in-scope companies, ASIC, or the RCA will use personal information collected under the </w:t>
      </w:r>
      <w:r w:rsidR="00E62A06">
        <w:rPr>
          <w:lang w:eastAsia="en-US"/>
        </w:rPr>
        <w:t>BO</w:t>
      </w:r>
      <w:r w:rsidR="005B40F3">
        <w:rPr>
          <w:lang w:eastAsia="en-US"/>
        </w:rPr>
        <w:t> </w:t>
      </w:r>
      <w:r w:rsidR="00E62A06">
        <w:rPr>
          <w:lang w:eastAsia="en-US"/>
        </w:rPr>
        <w:t>Policy</w:t>
      </w:r>
      <w:r>
        <w:rPr>
          <w:lang w:eastAsia="en-US"/>
        </w:rPr>
        <w:t xml:space="preserve"> for the purpose of direct marketing.</w:t>
      </w:r>
    </w:p>
    <w:p w14:paraId="151F3D7C" w14:textId="762AEB7D" w:rsidR="009709B1" w:rsidRPr="00862548" w:rsidRDefault="009709B1" w:rsidP="000A52BB">
      <w:pPr>
        <w:pStyle w:val="Heading2"/>
        <w:rPr>
          <w:lang w:eastAsia="en-US"/>
        </w:rPr>
      </w:pPr>
      <w:bookmarkStart w:id="145" w:name="_Toc168942763"/>
      <w:r>
        <w:rPr>
          <w:lang w:eastAsia="en-US"/>
        </w:rPr>
        <w:t>APP 8 – Cross-border disclosure of personal information</w:t>
      </w:r>
      <w:bookmarkEnd w:id="145"/>
    </w:p>
    <w:p w14:paraId="3268B323" w14:textId="7615ED8B" w:rsidR="00862548" w:rsidRDefault="009709B1" w:rsidP="009709B1">
      <w:pPr>
        <w:pStyle w:val="AdviceNumLevel1"/>
        <w:rPr>
          <w:lang w:eastAsia="en-US"/>
        </w:rPr>
      </w:pPr>
      <w:r w:rsidRPr="009709B1">
        <w:rPr>
          <w:lang w:eastAsia="en-US"/>
        </w:rPr>
        <w:t xml:space="preserve">APP 8.1 provides that before an APP entity discloses personal information about an individual to an overseas recipient, the entity must take reasonable steps to ensure that the recipient does not breach the APPs in relation to that information. </w:t>
      </w:r>
      <w:r>
        <w:rPr>
          <w:lang w:eastAsia="en-US"/>
        </w:rPr>
        <w:t>Under s</w:t>
      </w:r>
      <w:r w:rsidR="0077488C">
        <w:rPr>
          <w:lang w:eastAsia="en-US"/>
        </w:rPr>
        <w:t> </w:t>
      </w:r>
      <w:r>
        <w:rPr>
          <w:lang w:eastAsia="en-US"/>
        </w:rPr>
        <w:t>16C of the Privacy Act, w</w:t>
      </w:r>
      <w:r w:rsidRPr="009709B1">
        <w:rPr>
          <w:lang w:eastAsia="en-US"/>
        </w:rPr>
        <w:t>here an entity discloses personal information to an overseas recipient, it is accountable for an act or practice of the overseas recipient that would breach the APPs</w:t>
      </w:r>
      <w:r>
        <w:rPr>
          <w:lang w:eastAsia="en-US"/>
        </w:rPr>
        <w:t>.</w:t>
      </w:r>
    </w:p>
    <w:p w14:paraId="6EED76CB" w14:textId="3DE0CE30" w:rsidR="0055332D" w:rsidRDefault="0055332D" w:rsidP="009709B1">
      <w:pPr>
        <w:pStyle w:val="AdviceNumLevel1"/>
        <w:rPr>
          <w:lang w:eastAsia="en-US"/>
        </w:rPr>
      </w:pPr>
      <w:r>
        <w:rPr>
          <w:lang w:eastAsia="en-US"/>
        </w:rPr>
        <w:t>APP 8.2(c) provides a relevant exception to the requirements in APP 8.1, being that APP 8.1 does not apply in circumstances where the disclosure of information is required or authorised by an Australian law.</w:t>
      </w:r>
    </w:p>
    <w:p w14:paraId="5101C25B" w14:textId="5CC173C0" w:rsidR="009709B1" w:rsidRDefault="009709B1" w:rsidP="009709B1">
      <w:pPr>
        <w:pStyle w:val="AdviceNumLevel1"/>
        <w:rPr>
          <w:lang w:eastAsia="en-US"/>
        </w:rPr>
      </w:pPr>
      <w:r>
        <w:rPr>
          <w:lang w:eastAsia="en-US"/>
        </w:rPr>
        <w:t xml:space="preserve">We understand that it will be open to people located anywhere in the world to request access to an in-scope company’s BOR in Stage 1, and </w:t>
      </w:r>
      <w:r w:rsidR="0055332D">
        <w:rPr>
          <w:lang w:eastAsia="en-US"/>
        </w:rPr>
        <w:t xml:space="preserve">to the PCBOR in Stage 2. </w:t>
      </w:r>
    </w:p>
    <w:p w14:paraId="4BDA69F2" w14:textId="5ACDA148" w:rsidR="0055332D" w:rsidRDefault="0055332D" w:rsidP="009709B1">
      <w:pPr>
        <w:pStyle w:val="AdviceNumLevel1"/>
        <w:rPr>
          <w:lang w:eastAsia="en-US"/>
        </w:rPr>
      </w:pPr>
      <w:r>
        <w:rPr>
          <w:lang w:eastAsia="en-US"/>
        </w:rPr>
        <w:t xml:space="preserve">Because the purposes of the </w:t>
      </w:r>
      <w:r w:rsidR="00E62A06">
        <w:rPr>
          <w:lang w:eastAsia="en-US"/>
        </w:rPr>
        <w:t>BO Policy</w:t>
      </w:r>
      <w:r>
        <w:rPr>
          <w:lang w:eastAsia="en-US"/>
        </w:rPr>
        <w:t xml:space="preserve"> include to combat money laundering and terrorism financing, and these purposes have an intrinsically international element, we think that it is reasonable and proportionate to allow overseas recipients to apply for access to BOI.</w:t>
      </w:r>
    </w:p>
    <w:p w14:paraId="7376E967" w14:textId="05B4FE06" w:rsidR="005E4A8B" w:rsidRDefault="0055332D" w:rsidP="005E4A8B">
      <w:pPr>
        <w:pStyle w:val="AdviceNumLevel1"/>
        <w:rPr>
          <w:lang w:eastAsia="en-US"/>
        </w:rPr>
      </w:pPr>
      <w:r>
        <w:rPr>
          <w:lang w:eastAsia="en-US"/>
        </w:rPr>
        <w:t xml:space="preserve">To assist in-scope companies and the RCA to have certainty that the exception in APP 8.2(c), we recommend including a </w:t>
      </w:r>
      <w:r w:rsidR="000E202E">
        <w:rPr>
          <w:lang w:eastAsia="en-US"/>
        </w:rPr>
        <w:t xml:space="preserve">note or a </w:t>
      </w:r>
      <w:r>
        <w:rPr>
          <w:lang w:eastAsia="en-US"/>
        </w:rPr>
        <w:t>clause in the proposed legislation that expressly authorises the disclosure of BOI to overseas recipients in circumstances where all other access criteria are satisfied.</w:t>
      </w:r>
    </w:p>
    <w:p w14:paraId="45487476" w14:textId="655D69EA" w:rsidR="0055332D" w:rsidRDefault="0055332D" w:rsidP="000A52BB">
      <w:pPr>
        <w:pStyle w:val="Heading2"/>
        <w:rPr>
          <w:lang w:eastAsia="en-US"/>
        </w:rPr>
      </w:pPr>
      <w:bookmarkStart w:id="146" w:name="_Toc168942764"/>
      <w:bookmarkEnd w:id="138"/>
      <w:r>
        <w:rPr>
          <w:lang w:eastAsia="en-US"/>
        </w:rPr>
        <w:t xml:space="preserve">APP 9 – </w:t>
      </w:r>
      <w:r w:rsidR="00C5713D">
        <w:rPr>
          <w:lang w:eastAsia="en-US"/>
        </w:rPr>
        <w:t>A</w:t>
      </w:r>
      <w:r w:rsidRPr="0055332D">
        <w:rPr>
          <w:lang w:eastAsia="en-US"/>
        </w:rPr>
        <w:t xml:space="preserve">doption, use or disclosure of government related </w:t>
      </w:r>
      <w:proofErr w:type="gramStart"/>
      <w:r w:rsidRPr="0055332D">
        <w:rPr>
          <w:lang w:eastAsia="en-US"/>
        </w:rPr>
        <w:t>identifiers</w:t>
      </w:r>
      <w:bookmarkEnd w:id="146"/>
      <w:proofErr w:type="gramEnd"/>
    </w:p>
    <w:p w14:paraId="1814C32A" w14:textId="42018175" w:rsidR="00042AA8" w:rsidRDefault="00832B88" w:rsidP="0055332D">
      <w:pPr>
        <w:pStyle w:val="NumberLevel1"/>
        <w:rPr>
          <w:lang w:eastAsia="en-US"/>
        </w:rPr>
      </w:pPr>
      <w:r>
        <w:rPr>
          <w:lang w:eastAsia="en-US"/>
        </w:rPr>
        <w:t xml:space="preserve">APP 9 provides that an </w:t>
      </w:r>
      <w:r w:rsidRPr="00832B88">
        <w:rPr>
          <w:lang w:eastAsia="en-US"/>
        </w:rPr>
        <w:t xml:space="preserve">organisation must not adopt, </w:t>
      </w:r>
      <w:proofErr w:type="gramStart"/>
      <w:r w:rsidRPr="00832B88">
        <w:rPr>
          <w:lang w:eastAsia="en-US"/>
        </w:rPr>
        <w:t>use</w:t>
      </w:r>
      <w:proofErr w:type="gramEnd"/>
      <w:r w:rsidRPr="00832B88">
        <w:rPr>
          <w:lang w:eastAsia="en-US"/>
        </w:rPr>
        <w:t xml:space="preserve"> or disclose a government related identifier unless an exception applies.</w:t>
      </w:r>
      <w:r>
        <w:rPr>
          <w:lang w:eastAsia="en-US"/>
        </w:rPr>
        <w:t xml:space="preserve"> </w:t>
      </w:r>
      <w:r w:rsidRPr="00832B88">
        <w:rPr>
          <w:lang w:eastAsia="en-US"/>
        </w:rPr>
        <w:t>The objective of APP 9 is to restrict general use of government related identifiers by organisations so that they do not become universal identifiers. That could jeopardise privacy by enabling personal information from different sources to be matched and linked in ways that an individual may not agree with or expect.</w:t>
      </w:r>
    </w:p>
    <w:p w14:paraId="2E188715" w14:textId="52054140" w:rsidR="00832B88" w:rsidRDefault="00832B88" w:rsidP="00832B88">
      <w:pPr>
        <w:pStyle w:val="NumberLevel1"/>
        <w:rPr>
          <w:lang w:eastAsia="en-US"/>
        </w:rPr>
      </w:pPr>
      <w:r>
        <w:rPr>
          <w:lang w:eastAsia="en-US"/>
        </w:rPr>
        <w:t>A ‘government related identifier’ of an individual is defined in s 6(1) of the Privacy Act as an identifier that has been assigned by</w:t>
      </w:r>
      <w:r w:rsidR="00100521">
        <w:rPr>
          <w:lang w:eastAsia="en-US"/>
        </w:rPr>
        <w:t xml:space="preserve"> entities set out in the table below.</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539"/>
        <w:gridCol w:w="7681"/>
      </w:tblGrid>
      <w:tr w:rsidR="00100521" w:rsidRPr="00121519" w14:paraId="715B3568" w14:textId="77777777" w:rsidTr="00B0403F">
        <w:trPr>
          <w:cantSplit/>
          <w:tblHeader/>
        </w:trPr>
        <w:tc>
          <w:tcPr>
            <w:tcW w:w="328" w:type="pct"/>
            <w:shd w:val="clear" w:color="auto" w:fill="C4DDEA"/>
            <w:vAlign w:val="top"/>
          </w:tcPr>
          <w:p w14:paraId="44C29A71" w14:textId="2FBB80C7" w:rsidR="00100521" w:rsidRPr="00121519" w:rsidRDefault="00100521" w:rsidP="0065241F">
            <w:pPr>
              <w:pStyle w:val="TableHeading2"/>
              <w:ind w:left="176" w:hanging="176"/>
            </w:pPr>
            <w:r>
              <w:t>No</w:t>
            </w:r>
          </w:p>
        </w:tc>
        <w:tc>
          <w:tcPr>
            <w:tcW w:w="4672" w:type="pct"/>
            <w:shd w:val="clear" w:color="auto" w:fill="C4DDEA"/>
            <w:vAlign w:val="top"/>
          </w:tcPr>
          <w:p w14:paraId="78ABC96C" w14:textId="1BBB9041" w:rsidR="00100521" w:rsidRPr="00121519" w:rsidRDefault="00100521" w:rsidP="0065241F">
            <w:pPr>
              <w:pStyle w:val="TableHeading2"/>
            </w:pPr>
            <w:r>
              <w:t>Categories of entity capable of assigning government related identifiers</w:t>
            </w:r>
          </w:p>
        </w:tc>
      </w:tr>
      <w:tr w:rsidR="00100521" w:rsidRPr="00121519" w14:paraId="711FB44B" w14:textId="77777777" w:rsidTr="00B0403F">
        <w:tc>
          <w:tcPr>
            <w:tcW w:w="328" w:type="pct"/>
            <w:vAlign w:val="top"/>
          </w:tcPr>
          <w:p w14:paraId="531CDCAD" w14:textId="7CE7573C" w:rsidR="00100521" w:rsidRPr="00121519" w:rsidRDefault="00100521" w:rsidP="00100521">
            <w:pPr>
              <w:pStyle w:val="TablePlainParagraph"/>
              <w:rPr>
                <w:b/>
              </w:rPr>
            </w:pPr>
            <w:r>
              <w:rPr>
                <w:b/>
              </w:rPr>
              <w:t>1.</w:t>
            </w:r>
          </w:p>
        </w:tc>
        <w:tc>
          <w:tcPr>
            <w:tcW w:w="4672" w:type="pct"/>
            <w:vAlign w:val="top"/>
          </w:tcPr>
          <w:p w14:paraId="154AC978" w14:textId="389D9534" w:rsidR="00100521" w:rsidRPr="00121519" w:rsidRDefault="00100521" w:rsidP="00100521">
            <w:pPr>
              <w:pStyle w:val="TablePlainParagraph"/>
            </w:pPr>
            <w:r>
              <w:rPr>
                <w:lang w:eastAsia="en-US"/>
              </w:rPr>
              <w:t>A</w:t>
            </w:r>
            <w:r w:rsidRPr="004F4F02">
              <w:rPr>
                <w:lang w:eastAsia="en-US"/>
              </w:rPr>
              <w:t>n agency</w:t>
            </w:r>
          </w:p>
        </w:tc>
      </w:tr>
      <w:tr w:rsidR="00100521" w:rsidRPr="00121519" w14:paraId="1D37A06F" w14:textId="77777777" w:rsidTr="00B0403F">
        <w:tc>
          <w:tcPr>
            <w:tcW w:w="328" w:type="pct"/>
            <w:vAlign w:val="top"/>
          </w:tcPr>
          <w:p w14:paraId="685487D2" w14:textId="520A98B3" w:rsidR="00100521" w:rsidRPr="00121519" w:rsidRDefault="00100521" w:rsidP="00100521">
            <w:pPr>
              <w:pStyle w:val="TablePlainParagraph"/>
              <w:rPr>
                <w:b/>
              </w:rPr>
            </w:pPr>
            <w:r>
              <w:rPr>
                <w:b/>
              </w:rPr>
              <w:t>2.</w:t>
            </w:r>
          </w:p>
        </w:tc>
        <w:tc>
          <w:tcPr>
            <w:tcW w:w="4672" w:type="pct"/>
            <w:vAlign w:val="top"/>
          </w:tcPr>
          <w:p w14:paraId="0DEB76C2" w14:textId="769BF589" w:rsidR="00100521" w:rsidRPr="00121519" w:rsidRDefault="00100521" w:rsidP="00100521">
            <w:pPr>
              <w:pStyle w:val="TablePlainParagraph"/>
            </w:pPr>
            <w:r>
              <w:rPr>
                <w:lang w:eastAsia="en-US"/>
              </w:rPr>
              <w:t>A</w:t>
            </w:r>
            <w:r w:rsidRPr="004F4F02">
              <w:rPr>
                <w:lang w:eastAsia="en-US"/>
              </w:rPr>
              <w:t xml:space="preserve"> State or Territory authority</w:t>
            </w:r>
          </w:p>
        </w:tc>
      </w:tr>
      <w:tr w:rsidR="00100521" w:rsidRPr="00121519" w14:paraId="591C4508" w14:textId="77777777" w:rsidTr="00B0403F">
        <w:tc>
          <w:tcPr>
            <w:tcW w:w="328" w:type="pct"/>
            <w:vAlign w:val="top"/>
          </w:tcPr>
          <w:p w14:paraId="33FF61D5" w14:textId="0750D464" w:rsidR="00100521" w:rsidRDefault="00100521" w:rsidP="00100521">
            <w:pPr>
              <w:pStyle w:val="TablePlainParagraph"/>
              <w:rPr>
                <w:b/>
              </w:rPr>
            </w:pPr>
            <w:r>
              <w:rPr>
                <w:b/>
              </w:rPr>
              <w:t>3.</w:t>
            </w:r>
          </w:p>
        </w:tc>
        <w:tc>
          <w:tcPr>
            <w:tcW w:w="4672" w:type="pct"/>
            <w:vAlign w:val="top"/>
          </w:tcPr>
          <w:p w14:paraId="6758EA2A" w14:textId="474830C7" w:rsidR="00100521" w:rsidRPr="00121519" w:rsidRDefault="00100521" w:rsidP="00100521">
            <w:pPr>
              <w:pStyle w:val="TablePlainParagraph"/>
            </w:pPr>
            <w:r>
              <w:rPr>
                <w:lang w:eastAsia="en-US"/>
              </w:rPr>
              <w:t>A</w:t>
            </w:r>
            <w:r w:rsidRPr="004F4F02">
              <w:rPr>
                <w:lang w:eastAsia="en-US"/>
              </w:rPr>
              <w:t>n agent of an agency, or a State or Territory authority, acting in its capacity as agent</w:t>
            </w:r>
          </w:p>
        </w:tc>
      </w:tr>
      <w:tr w:rsidR="00100521" w:rsidRPr="00121519" w14:paraId="740657F4" w14:textId="77777777" w:rsidTr="00B0403F">
        <w:tc>
          <w:tcPr>
            <w:tcW w:w="328" w:type="pct"/>
            <w:vAlign w:val="top"/>
          </w:tcPr>
          <w:p w14:paraId="149AE50B" w14:textId="29DDB89A" w:rsidR="00100521" w:rsidRDefault="00100521" w:rsidP="00100521">
            <w:pPr>
              <w:pStyle w:val="TablePlainParagraph"/>
              <w:rPr>
                <w:b/>
              </w:rPr>
            </w:pPr>
            <w:r>
              <w:rPr>
                <w:b/>
              </w:rPr>
              <w:t>4.</w:t>
            </w:r>
          </w:p>
        </w:tc>
        <w:tc>
          <w:tcPr>
            <w:tcW w:w="4672" w:type="pct"/>
            <w:vAlign w:val="top"/>
          </w:tcPr>
          <w:p w14:paraId="15518920" w14:textId="2A539E60" w:rsidR="00100521" w:rsidRPr="00121519" w:rsidRDefault="00100521" w:rsidP="00100521">
            <w:pPr>
              <w:pStyle w:val="TablePlainParagraph"/>
            </w:pPr>
            <w:r>
              <w:rPr>
                <w:lang w:eastAsia="en-US"/>
              </w:rPr>
              <w:t>A</w:t>
            </w:r>
            <w:r w:rsidRPr="004F4F02">
              <w:rPr>
                <w:lang w:eastAsia="en-US"/>
              </w:rPr>
              <w:t xml:space="preserve"> contracted service provider for a Commonwealth contract, or a </w:t>
            </w:r>
            <w:proofErr w:type="gramStart"/>
            <w:r w:rsidRPr="004F4F02">
              <w:rPr>
                <w:lang w:eastAsia="en-US"/>
              </w:rPr>
              <w:t>State</w:t>
            </w:r>
            <w:proofErr w:type="gramEnd"/>
            <w:r w:rsidRPr="004F4F02">
              <w:rPr>
                <w:lang w:eastAsia="en-US"/>
              </w:rPr>
              <w:t xml:space="preserve"> contract, acting in its capacity as contracted service provider for that contract.</w:t>
            </w:r>
          </w:p>
        </w:tc>
      </w:tr>
    </w:tbl>
    <w:p w14:paraId="62EB4FCB" w14:textId="62198541" w:rsidR="00832B88" w:rsidRDefault="00832B88" w:rsidP="00832B88">
      <w:pPr>
        <w:pStyle w:val="NumberLevel1"/>
        <w:rPr>
          <w:lang w:eastAsia="en-US"/>
        </w:rPr>
      </w:pPr>
      <w:r>
        <w:rPr>
          <w:lang w:eastAsia="en-US"/>
        </w:rPr>
        <w:t>Government related identifiers include</w:t>
      </w:r>
      <w:r w:rsidR="00100521">
        <w:rPr>
          <w:lang w:eastAsia="en-US"/>
        </w:rPr>
        <w:t xml:space="preserve"> those set out in the table below.</w:t>
      </w:r>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539"/>
        <w:gridCol w:w="7681"/>
      </w:tblGrid>
      <w:tr w:rsidR="00100521" w:rsidRPr="00121519" w14:paraId="540E4039" w14:textId="77777777" w:rsidTr="00B0403F">
        <w:trPr>
          <w:cantSplit/>
          <w:tblHeader/>
        </w:trPr>
        <w:tc>
          <w:tcPr>
            <w:tcW w:w="328" w:type="pct"/>
            <w:shd w:val="clear" w:color="auto" w:fill="C4DDEA"/>
            <w:vAlign w:val="top"/>
          </w:tcPr>
          <w:p w14:paraId="434F7C40" w14:textId="37841E02" w:rsidR="00100521" w:rsidRPr="00121519" w:rsidRDefault="00100521" w:rsidP="0065241F">
            <w:pPr>
              <w:pStyle w:val="TableHeading2"/>
              <w:ind w:left="176" w:hanging="176"/>
            </w:pPr>
            <w:r>
              <w:t>No</w:t>
            </w:r>
          </w:p>
        </w:tc>
        <w:tc>
          <w:tcPr>
            <w:tcW w:w="4672" w:type="pct"/>
            <w:shd w:val="clear" w:color="auto" w:fill="C4DDEA"/>
            <w:vAlign w:val="top"/>
          </w:tcPr>
          <w:p w14:paraId="5B5E8481" w14:textId="64034E96" w:rsidR="00100521" w:rsidRPr="00121519" w:rsidRDefault="00100521" w:rsidP="0065241F">
            <w:pPr>
              <w:pStyle w:val="TableHeading2"/>
            </w:pPr>
            <w:r>
              <w:t>Example of government related identifiers</w:t>
            </w:r>
          </w:p>
        </w:tc>
      </w:tr>
      <w:tr w:rsidR="00100521" w:rsidRPr="00121519" w14:paraId="235FF902" w14:textId="77777777" w:rsidTr="00B0403F">
        <w:tc>
          <w:tcPr>
            <w:tcW w:w="328" w:type="pct"/>
            <w:vAlign w:val="top"/>
          </w:tcPr>
          <w:p w14:paraId="41C2B21C" w14:textId="16179A5F" w:rsidR="00100521" w:rsidRPr="00121519" w:rsidRDefault="00100521" w:rsidP="00100521">
            <w:pPr>
              <w:pStyle w:val="TablePlainParagraph"/>
              <w:rPr>
                <w:b/>
              </w:rPr>
            </w:pPr>
            <w:r>
              <w:rPr>
                <w:b/>
              </w:rPr>
              <w:t>1.</w:t>
            </w:r>
          </w:p>
        </w:tc>
        <w:tc>
          <w:tcPr>
            <w:tcW w:w="4672" w:type="pct"/>
            <w:vAlign w:val="top"/>
          </w:tcPr>
          <w:p w14:paraId="6537A91F" w14:textId="425AD0F8" w:rsidR="00100521" w:rsidRPr="00121519" w:rsidRDefault="00100521" w:rsidP="00100521">
            <w:pPr>
              <w:pStyle w:val="TablePlainParagraph"/>
            </w:pPr>
            <w:r w:rsidRPr="009F5564">
              <w:rPr>
                <w:lang w:eastAsia="en-US"/>
              </w:rPr>
              <w:t>Medicare and Centrelink Reference numbers</w:t>
            </w:r>
          </w:p>
        </w:tc>
      </w:tr>
      <w:tr w:rsidR="00100521" w:rsidRPr="00121519" w14:paraId="42DA68AE" w14:textId="77777777" w:rsidTr="00B0403F">
        <w:tc>
          <w:tcPr>
            <w:tcW w:w="328" w:type="pct"/>
            <w:vAlign w:val="top"/>
          </w:tcPr>
          <w:p w14:paraId="33E08709" w14:textId="22E28837" w:rsidR="00100521" w:rsidRPr="00121519" w:rsidRDefault="00100521" w:rsidP="00100521">
            <w:pPr>
              <w:pStyle w:val="TablePlainParagraph"/>
              <w:rPr>
                <w:b/>
              </w:rPr>
            </w:pPr>
            <w:r>
              <w:rPr>
                <w:b/>
              </w:rPr>
              <w:t>2.</w:t>
            </w:r>
          </w:p>
        </w:tc>
        <w:tc>
          <w:tcPr>
            <w:tcW w:w="4672" w:type="pct"/>
            <w:vAlign w:val="top"/>
          </w:tcPr>
          <w:p w14:paraId="47A93EC8" w14:textId="627FF2CA" w:rsidR="00100521" w:rsidRPr="00121519" w:rsidRDefault="000E202E" w:rsidP="00100521">
            <w:pPr>
              <w:pStyle w:val="TablePlainParagraph"/>
            </w:pPr>
            <w:r>
              <w:rPr>
                <w:lang w:eastAsia="en-US"/>
              </w:rPr>
              <w:t>D</w:t>
            </w:r>
            <w:r w:rsidR="00100521" w:rsidRPr="009F5564">
              <w:rPr>
                <w:lang w:eastAsia="en-US"/>
              </w:rPr>
              <w:t>river licence numbers issued by State and Territory authorities</w:t>
            </w:r>
          </w:p>
        </w:tc>
      </w:tr>
      <w:tr w:rsidR="00100521" w:rsidRPr="00121519" w14:paraId="67A963B8" w14:textId="77777777" w:rsidTr="00B0403F">
        <w:tc>
          <w:tcPr>
            <w:tcW w:w="328" w:type="pct"/>
            <w:vAlign w:val="top"/>
          </w:tcPr>
          <w:p w14:paraId="71ED3D40" w14:textId="61CA443E" w:rsidR="00100521" w:rsidRDefault="00100521" w:rsidP="00100521">
            <w:pPr>
              <w:pStyle w:val="TablePlainParagraph"/>
              <w:rPr>
                <w:b/>
              </w:rPr>
            </w:pPr>
            <w:r>
              <w:rPr>
                <w:b/>
              </w:rPr>
              <w:t>3.</w:t>
            </w:r>
          </w:p>
        </w:tc>
        <w:tc>
          <w:tcPr>
            <w:tcW w:w="4672" w:type="pct"/>
            <w:vAlign w:val="top"/>
          </w:tcPr>
          <w:p w14:paraId="3553B73D" w14:textId="3C6BF7DA" w:rsidR="00100521" w:rsidRPr="00121519" w:rsidRDefault="00100521" w:rsidP="00100521">
            <w:pPr>
              <w:pStyle w:val="TablePlainParagraph"/>
            </w:pPr>
            <w:r w:rsidRPr="009F5564">
              <w:rPr>
                <w:lang w:eastAsia="en-US"/>
              </w:rPr>
              <w:t>Australian passport numbers</w:t>
            </w:r>
          </w:p>
        </w:tc>
      </w:tr>
      <w:tr w:rsidR="00100521" w:rsidRPr="00121519" w14:paraId="36AAC094" w14:textId="77777777" w:rsidTr="00B0403F">
        <w:tc>
          <w:tcPr>
            <w:tcW w:w="328" w:type="pct"/>
            <w:vAlign w:val="top"/>
          </w:tcPr>
          <w:p w14:paraId="555B9F03" w14:textId="16DF92A9" w:rsidR="00100521" w:rsidRDefault="00100521" w:rsidP="00100521">
            <w:pPr>
              <w:pStyle w:val="TablePlainParagraph"/>
              <w:rPr>
                <w:b/>
              </w:rPr>
            </w:pPr>
            <w:r>
              <w:rPr>
                <w:b/>
              </w:rPr>
              <w:t>4.</w:t>
            </w:r>
          </w:p>
        </w:tc>
        <w:tc>
          <w:tcPr>
            <w:tcW w:w="4672" w:type="pct"/>
            <w:vAlign w:val="top"/>
          </w:tcPr>
          <w:p w14:paraId="36F02AE7" w14:textId="15103CAA" w:rsidR="00100521" w:rsidRPr="00121519" w:rsidRDefault="00100521" w:rsidP="00100521">
            <w:pPr>
              <w:pStyle w:val="TablePlainParagraph"/>
            </w:pPr>
            <w:r w:rsidRPr="009F5564">
              <w:rPr>
                <w:lang w:eastAsia="en-US"/>
              </w:rPr>
              <w:t>Director ID.</w:t>
            </w:r>
          </w:p>
        </w:tc>
      </w:tr>
    </w:tbl>
    <w:p w14:paraId="67430171" w14:textId="1875BF0C" w:rsidR="00832B88" w:rsidRDefault="00832B88" w:rsidP="00832B88">
      <w:pPr>
        <w:pStyle w:val="NumberLevel1"/>
        <w:rPr>
          <w:lang w:eastAsia="en-US"/>
        </w:rPr>
      </w:pPr>
      <w:r>
        <w:rPr>
          <w:lang w:eastAsia="en-US"/>
        </w:rPr>
        <w:t>The only circumstance in which we foresee in-scope companies using or disclosing government related identifiers is in the process of verifying the identity of a beneficial owner as required by the proposed legislation. This is expressly permitted by APP</w:t>
      </w:r>
      <w:r w:rsidR="0077488C">
        <w:rPr>
          <w:lang w:eastAsia="en-US"/>
        </w:rPr>
        <w:t> </w:t>
      </w:r>
      <w:r>
        <w:rPr>
          <w:lang w:eastAsia="en-US"/>
        </w:rPr>
        <w:t>9.2(a), which allows organisations to use or disclose government related identifiers to verify the identity of an individual for the purposes of the organisations activities or functions.</w:t>
      </w:r>
    </w:p>
    <w:p w14:paraId="22E956B0" w14:textId="760F56BB" w:rsidR="00832B88" w:rsidRDefault="00832B88" w:rsidP="00832B88">
      <w:pPr>
        <w:pStyle w:val="NumberLevel1"/>
        <w:rPr>
          <w:lang w:eastAsia="en-US"/>
        </w:rPr>
      </w:pPr>
      <w:r>
        <w:rPr>
          <w:lang w:eastAsia="en-US"/>
        </w:rPr>
        <w:t>Such use, in compliance with the proposed legislation, would also be allowed under APP 9.2(c), which allows organisations to use or disclose government related identifiers as required or authorised by or under an Australian law.</w:t>
      </w:r>
    </w:p>
    <w:p w14:paraId="457F40D7" w14:textId="5E121466" w:rsidR="00FA53AA" w:rsidRDefault="00832B88" w:rsidP="00832B88">
      <w:pPr>
        <w:pStyle w:val="NumberLevel1"/>
        <w:rPr>
          <w:lang w:eastAsia="en-US"/>
        </w:rPr>
      </w:pPr>
      <w:r>
        <w:rPr>
          <w:lang w:eastAsia="en-US"/>
        </w:rPr>
        <w:t>We make no specific recommendations in relation to APP 9.</w:t>
      </w:r>
    </w:p>
    <w:p w14:paraId="46558B20" w14:textId="77777777" w:rsidR="00974092" w:rsidRDefault="00974092" w:rsidP="007B3A1C">
      <w:pPr>
        <w:pStyle w:val="Heading2"/>
        <w:keepNext/>
        <w:keepLines/>
      </w:pPr>
      <w:bookmarkStart w:id="147" w:name="_Toc168942765"/>
      <w:bookmarkStart w:id="148" w:name="_Hlk163820470"/>
      <w:r>
        <w:t>APP 10 - Quality of personal information</w:t>
      </w:r>
      <w:bookmarkEnd w:id="147"/>
    </w:p>
    <w:p w14:paraId="5AC714E1" w14:textId="77777777" w:rsidR="00974092" w:rsidRDefault="00974092" w:rsidP="007B3A1C">
      <w:pPr>
        <w:pStyle w:val="NumberLevel1"/>
        <w:keepNext/>
        <w:keepLines/>
      </w:pPr>
      <w:r>
        <w:t>APP 10 has two limbs directed at ensuring the integrity of the BOI handled by in-scope companies and Treasury.</w:t>
      </w:r>
    </w:p>
    <w:tbl>
      <w:tblPr>
        <w:tblStyle w:val="TableGrid"/>
        <w:tblW w:w="8379" w:type="dxa"/>
        <w:tblInd w:w="-15"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2992"/>
        <w:gridCol w:w="5387"/>
      </w:tblGrid>
      <w:tr w:rsidR="00025931" w:rsidRPr="00717CD1" w14:paraId="24A1BFC0" w14:textId="77777777" w:rsidTr="0065241F">
        <w:tc>
          <w:tcPr>
            <w:tcW w:w="2992" w:type="dxa"/>
            <w:tcBorders>
              <w:top w:val="nil"/>
              <w:left w:val="nil"/>
              <w:bottom w:val="single" w:sz="12" w:space="0" w:color="204558"/>
              <w:right w:val="single" w:sz="12" w:space="0" w:color="204558"/>
            </w:tcBorders>
            <w:shd w:val="clear" w:color="auto" w:fill="C4DDEA"/>
            <w:hideMark/>
          </w:tcPr>
          <w:p w14:paraId="2278D5CE" w14:textId="77777777" w:rsidR="00974092" w:rsidRPr="00717CD1" w:rsidRDefault="00974092" w:rsidP="0065241F">
            <w:pPr>
              <w:pStyle w:val="TableHeading2"/>
            </w:pPr>
            <w:r w:rsidRPr="00717CD1">
              <w:t>APP 10</w:t>
            </w:r>
          </w:p>
        </w:tc>
        <w:tc>
          <w:tcPr>
            <w:tcW w:w="5387" w:type="dxa"/>
            <w:tcBorders>
              <w:top w:val="nil"/>
              <w:left w:val="single" w:sz="12" w:space="0" w:color="204558"/>
              <w:bottom w:val="single" w:sz="12" w:space="0" w:color="204558"/>
              <w:right w:val="nil"/>
            </w:tcBorders>
            <w:shd w:val="clear" w:color="auto" w:fill="C4DDEA"/>
          </w:tcPr>
          <w:p w14:paraId="10AF000D" w14:textId="77777777" w:rsidR="00974092" w:rsidRPr="00717CD1" w:rsidRDefault="00974092" w:rsidP="0065241F">
            <w:pPr>
              <w:pStyle w:val="TableHeading2"/>
            </w:pPr>
            <w:r>
              <w:t>Description</w:t>
            </w:r>
          </w:p>
        </w:tc>
      </w:tr>
      <w:tr w:rsidR="003E2FD2" w:rsidRPr="00717CD1" w14:paraId="1BDD27E4" w14:textId="77777777" w:rsidTr="0065241F">
        <w:tc>
          <w:tcPr>
            <w:tcW w:w="2992" w:type="dxa"/>
            <w:tcBorders>
              <w:top w:val="single" w:sz="12" w:space="0" w:color="204558"/>
              <w:left w:val="nil"/>
              <w:bottom w:val="single" w:sz="12" w:space="0" w:color="204558"/>
              <w:right w:val="single" w:sz="12" w:space="0" w:color="204558"/>
            </w:tcBorders>
            <w:vAlign w:val="top"/>
            <w:hideMark/>
          </w:tcPr>
          <w:p w14:paraId="6C45F819" w14:textId="77777777" w:rsidR="00974092" w:rsidRPr="00717CD1" w:rsidRDefault="00974092" w:rsidP="0065241F">
            <w:pPr>
              <w:pStyle w:val="TablePlainParagraph"/>
              <w:rPr>
                <w:b/>
              </w:rPr>
            </w:pPr>
            <w:r w:rsidRPr="00717CD1">
              <w:rPr>
                <w:b/>
              </w:rPr>
              <w:t>APP 10.1 – Collection</w:t>
            </w:r>
          </w:p>
        </w:tc>
        <w:tc>
          <w:tcPr>
            <w:tcW w:w="5387" w:type="dxa"/>
            <w:tcBorders>
              <w:top w:val="single" w:sz="12" w:space="0" w:color="204558"/>
              <w:left w:val="single" w:sz="12" w:space="0" w:color="204558"/>
              <w:bottom w:val="single" w:sz="12" w:space="0" w:color="204558"/>
              <w:right w:val="nil"/>
            </w:tcBorders>
            <w:vAlign w:val="top"/>
          </w:tcPr>
          <w:p w14:paraId="534BBEA2" w14:textId="77777777" w:rsidR="00974092" w:rsidRPr="00717CD1" w:rsidRDefault="00974092" w:rsidP="0065241F">
            <w:pPr>
              <w:pStyle w:val="TablePlainParagraph"/>
            </w:pPr>
            <w:r w:rsidRPr="00717CD1">
              <w:t xml:space="preserve">Such steps as are reasonable in the circumstances to ensure that the personal information it collects is accurate, </w:t>
            </w:r>
            <w:proofErr w:type="gramStart"/>
            <w:r w:rsidRPr="00717CD1">
              <w:t>up-to-date</w:t>
            </w:r>
            <w:proofErr w:type="gramEnd"/>
            <w:r w:rsidRPr="00717CD1">
              <w:t xml:space="preserve"> and complete.</w:t>
            </w:r>
          </w:p>
        </w:tc>
      </w:tr>
      <w:tr w:rsidR="003E2FD2" w:rsidRPr="00717CD1" w14:paraId="0C61484E" w14:textId="77777777" w:rsidTr="0065241F">
        <w:tc>
          <w:tcPr>
            <w:tcW w:w="2992" w:type="dxa"/>
            <w:tcBorders>
              <w:top w:val="single" w:sz="12" w:space="0" w:color="204558"/>
              <w:left w:val="nil"/>
              <w:bottom w:val="nil"/>
              <w:right w:val="single" w:sz="12" w:space="0" w:color="204558"/>
            </w:tcBorders>
            <w:vAlign w:val="top"/>
          </w:tcPr>
          <w:p w14:paraId="0E5023E8" w14:textId="77777777" w:rsidR="00974092" w:rsidRPr="00717CD1" w:rsidRDefault="00974092" w:rsidP="0065241F">
            <w:pPr>
              <w:pStyle w:val="TablePlainParagraph"/>
            </w:pPr>
            <w:r w:rsidRPr="00717CD1">
              <w:rPr>
                <w:b/>
              </w:rPr>
              <w:t>APP 10.2 – Use / Disclosure</w:t>
            </w:r>
          </w:p>
        </w:tc>
        <w:tc>
          <w:tcPr>
            <w:tcW w:w="5387" w:type="dxa"/>
            <w:tcBorders>
              <w:top w:val="single" w:sz="12" w:space="0" w:color="204558"/>
              <w:left w:val="single" w:sz="12" w:space="0" w:color="204558"/>
              <w:bottom w:val="nil"/>
              <w:right w:val="nil"/>
            </w:tcBorders>
            <w:vAlign w:val="top"/>
          </w:tcPr>
          <w:p w14:paraId="337E3919" w14:textId="77777777" w:rsidR="00974092" w:rsidRPr="00717CD1" w:rsidRDefault="00974092" w:rsidP="0065241F">
            <w:pPr>
              <w:pStyle w:val="TablePlainParagraph"/>
            </w:pPr>
            <w:r w:rsidRPr="00717CD1">
              <w:t xml:space="preserve">Such steps as are reasonable in the circumstances to ensure that the personal information it uses or discloses is, having regard to the purpose of the use or disclosure, accurate, up-to-date, </w:t>
            </w:r>
            <w:proofErr w:type="gramStart"/>
            <w:r w:rsidRPr="00717CD1">
              <w:t>complete</w:t>
            </w:r>
            <w:proofErr w:type="gramEnd"/>
            <w:r w:rsidRPr="00717CD1">
              <w:t xml:space="preserve"> and relevant.</w:t>
            </w:r>
          </w:p>
        </w:tc>
      </w:tr>
    </w:tbl>
    <w:p w14:paraId="0B1F921C" w14:textId="77777777" w:rsidR="00974092" w:rsidRDefault="00974092" w:rsidP="00974092">
      <w:pPr>
        <w:pStyle w:val="NumberLevel1"/>
        <w:spacing w:before="100" w:after="100"/>
      </w:pPr>
      <w:r>
        <w:t>According to the APP Guidelines at 10.12-10.19, personal information is:</w:t>
      </w:r>
    </w:p>
    <w:p w14:paraId="5534F15F" w14:textId="77777777" w:rsidR="00974092" w:rsidRPr="00B00C3C" w:rsidRDefault="00974092" w:rsidP="00974092">
      <w:pPr>
        <w:pStyle w:val="NumberLevel1"/>
        <w:numPr>
          <w:ilvl w:val="1"/>
          <w:numId w:val="1"/>
        </w:numPr>
        <w:tabs>
          <w:tab w:val="num" w:pos="3403"/>
        </w:tabs>
        <w:spacing w:before="100" w:after="100"/>
        <w:ind w:left="709"/>
      </w:pPr>
      <w:r w:rsidRPr="00B00C3C">
        <w:rPr>
          <w:b/>
        </w:rPr>
        <w:t>inaccurate</w:t>
      </w:r>
      <w:r>
        <w:t xml:space="preserve"> if it contains an error or defect, or if it is </w:t>
      </w:r>
      <w:proofErr w:type="gramStart"/>
      <w:r>
        <w:t>misleading</w:t>
      </w:r>
      <w:proofErr w:type="gramEnd"/>
    </w:p>
    <w:p w14:paraId="6B1CA200" w14:textId="77777777" w:rsidR="00974092" w:rsidRPr="00B00C3C" w:rsidRDefault="00974092" w:rsidP="00974092">
      <w:pPr>
        <w:pStyle w:val="NumberLevel1"/>
        <w:numPr>
          <w:ilvl w:val="1"/>
          <w:numId w:val="1"/>
        </w:numPr>
        <w:tabs>
          <w:tab w:val="num" w:pos="3403"/>
        </w:tabs>
        <w:spacing w:before="100" w:after="100"/>
        <w:ind w:left="709"/>
      </w:pPr>
      <w:r w:rsidRPr="00B00C3C">
        <w:rPr>
          <w:b/>
          <w:color w:val="000000" w:themeColor="text1"/>
          <w:lang w:val="en-GB" w:eastAsia="en-US"/>
        </w:rPr>
        <w:t>out-of-date</w:t>
      </w:r>
      <w:r w:rsidRPr="00CC7ABE">
        <w:rPr>
          <w:color w:val="000000" w:themeColor="text1"/>
          <w:lang w:val="en-GB" w:eastAsia="en-US"/>
        </w:rPr>
        <w:t xml:space="preserve"> if it </w:t>
      </w:r>
      <w:r>
        <w:rPr>
          <w:color w:val="000000" w:themeColor="text1"/>
          <w:lang w:val="en-GB" w:eastAsia="en-US"/>
        </w:rPr>
        <w:t xml:space="preserve">contains facts or opinions that are </w:t>
      </w:r>
      <w:r w:rsidRPr="00CC7ABE">
        <w:rPr>
          <w:color w:val="000000" w:themeColor="text1"/>
          <w:lang w:val="en-GB" w:eastAsia="en-US"/>
        </w:rPr>
        <w:t xml:space="preserve">no longer </w:t>
      </w:r>
      <w:proofErr w:type="gramStart"/>
      <w:r w:rsidRPr="00CC7ABE">
        <w:rPr>
          <w:color w:val="000000" w:themeColor="text1"/>
          <w:lang w:val="en-GB" w:eastAsia="en-US"/>
        </w:rPr>
        <w:t>current</w:t>
      </w:r>
      <w:proofErr w:type="gramEnd"/>
    </w:p>
    <w:p w14:paraId="447FC7B2" w14:textId="77777777" w:rsidR="00974092" w:rsidRDefault="00974092" w:rsidP="00974092">
      <w:pPr>
        <w:pStyle w:val="NumberLevel1"/>
        <w:numPr>
          <w:ilvl w:val="1"/>
          <w:numId w:val="1"/>
        </w:numPr>
        <w:tabs>
          <w:tab w:val="num" w:pos="3403"/>
        </w:tabs>
        <w:spacing w:before="100" w:after="100"/>
        <w:ind w:left="709"/>
      </w:pPr>
      <w:r w:rsidRPr="00B00C3C">
        <w:rPr>
          <w:b/>
        </w:rPr>
        <w:t>incomplete</w:t>
      </w:r>
      <w:r w:rsidRPr="0069487A">
        <w:t xml:space="preserve"> if it presents a partial or misleading </w:t>
      </w:r>
      <w:proofErr w:type="gramStart"/>
      <w:r w:rsidRPr="0069487A">
        <w:t>picture</w:t>
      </w:r>
      <w:proofErr w:type="gramEnd"/>
    </w:p>
    <w:p w14:paraId="751CCE81" w14:textId="77777777" w:rsidR="00974092" w:rsidRDefault="00974092" w:rsidP="00974092">
      <w:pPr>
        <w:pStyle w:val="NumberLevel1"/>
        <w:numPr>
          <w:ilvl w:val="1"/>
          <w:numId w:val="1"/>
        </w:numPr>
        <w:tabs>
          <w:tab w:val="num" w:pos="3403"/>
        </w:tabs>
        <w:spacing w:before="100" w:after="100"/>
        <w:ind w:left="709"/>
      </w:pPr>
      <w:r>
        <w:rPr>
          <w:b/>
        </w:rPr>
        <w:t xml:space="preserve">irrelevant </w:t>
      </w:r>
      <w:r>
        <w:t>if it does not have a bearing or connection to the purpose of the use or disclosure.</w:t>
      </w:r>
    </w:p>
    <w:p w14:paraId="6D2B18B5" w14:textId="77777777" w:rsidR="00974092" w:rsidRPr="00F6003B" w:rsidRDefault="00974092" w:rsidP="00974092">
      <w:pPr>
        <w:pStyle w:val="Heading3"/>
      </w:pPr>
      <w:r>
        <w:t xml:space="preserve">APP 10.1 – Collection of personal information </w:t>
      </w:r>
    </w:p>
    <w:p w14:paraId="295FBCAF" w14:textId="1293970B" w:rsidR="00974092" w:rsidRDefault="00974092" w:rsidP="00974092">
      <w:pPr>
        <w:pStyle w:val="NumberLevel1"/>
      </w:pPr>
      <w:r>
        <w:t xml:space="preserve">As detailed in </w:t>
      </w:r>
      <w:hyperlink w:anchor="_Part_2_–" w:history="1">
        <w:r w:rsidRPr="0077488C">
          <w:rPr>
            <w:rStyle w:val="Hyperlink"/>
          </w:rPr>
          <w:t>Part 2</w:t>
        </w:r>
      </w:hyperlink>
      <w:r>
        <w:t>, ASIC will have statutory powers to approve a range of forms, including a form</w:t>
      </w:r>
      <w:r w:rsidR="00781283">
        <w:t>at</w:t>
      </w:r>
      <w:r>
        <w:t xml:space="preserve"> for in-scope companies to collect BOI. However, the </w:t>
      </w:r>
      <w:r w:rsidR="00E62A06">
        <w:t>BO Policy</w:t>
      </w:r>
      <w:r>
        <w:t xml:space="preserve"> will not require in-scope companies to use this form</w:t>
      </w:r>
      <w:r w:rsidR="00257077">
        <w:t>at</w:t>
      </w:r>
      <w:r>
        <w:t xml:space="preserve">, and in-scope companies may collect BOI through other methods (e.g. email, over the phone).  </w:t>
      </w:r>
    </w:p>
    <w:p w14:paraId="58D652D3" w14:textId="310094A7" w:rsidR="00974092" w:rsidRDefault="00974092" w:rsidP="00974092">
      <w:pPr>
        <w:pStyle w:val="NumberLevel1"/>
      </w:pPr>
      <w:r>
        <w:t xml:space="preserve">In-scope companies must collect the information detailed in the table at [10], depending on the nature of the beneficial owner. </w:t>
      </w:r>
      <w:r w:rsidR="00FA0C68">
        <w:t xml:space="preserve">The </w:t>
      </w:r>
      <w:r w:rsidR="00E62A06">
        <w:t>BO Policy</w:t>
      </w:r>
      <w:r w:rsidR="00FA0C68">
        <w:t xml:space="preserve"> will require in-scope companies to ensure this information</w:t>
      </w:r>
      <w:r>
        <w:t xml:space="preserve"> </w:t>
      </w:r>
      <w:r w:rsidR="00FA0C68">
        <w:t xml:space="preserve">is </w:t>
      </w:r>
      <w:r>
        <w:t xml:space="preserve">accurate, </w:t>
      </w:r>
      <w:proofErr w:type="gramStart"/>
      <w:r>
        <w:t>up-to-date</w:t>
      </w:r>
      <w:proofErr w:type="gramEnd"/>
      <w:r>
        <w:t xml:space="preserve"> and complete. </w:t>
      </w:r>
    </w:p>
    <w:p w14:paraId="31344CE8" w14:textId="77777777" w:rsidR="00974092" w:rsidRDefault="00974092" w:rsidP="00974092">
      <w:pPr>
        <w:pStyle w:val="Heading4"/>
      </w:pPr>
      <w:r>
        <w:t xml:space="preserve">Accuracy of collected </w:t>
      </w:r>
      <w:proofErr w:type="gramStart"/>
      <w:r>
        <w:t>information</w:t>
      </w:r>
      <w:proofErr w:type="gramEnd"/>
    </w:p>
    <w:p w14:paraId="64E05B96" w14:textId="46C4BE7F" w:rsidR="00FA0C68" w:rsidRDefault="00FA0C68" w:rsidP="00974092">
      <w:pPr>
        <w:pStyle w:val="NumberLevel1"/>
      </w:pPr>
      <w:r>
        <w:t xml:space="preserve">The </w:t>
      </w:r>
      <w:r w:rsidR="00E62A06">
        <w:t>BO Policy</w:t>
      </w:r>
      <w:r>
        <w:t xml:space="preserve"> will promote data accuracy by collecting BOI directly from beneficial owners, where possible. </w:t>
      </w:r>
    </w:p>
    <w:p w14:paraId="3E773B78" w14:textId="66A50C93" w:rsidR="00974092" w:rsidRDefault="00974092" w:rsidP="00974092">
      <w:pPr>
        <w:pStyle w:val="NumberLevel1"/>
      </w:pPr>
      <w:r>
        <w:t>In-scope companies must be reasonably satisfied of the identity of beneficial owners (</w:t>
      </w:r>
      <w:r w:rsidRPr="009D10C0">
        <w:rPr>
          <w:b/>
        </w:rPr>
        <w:t>Activity 3</w:t>
      </w:r>
      <w:r>
        <w:t>). The steps that an in-scope company must take to reach this state of satisfaction will depend on the nature of the relationship between the in-scope company and the beneficial owner:</w:t>
      </w:r>
    </w:p>
    <w:p w14:paraId="7F31469A" w14:textId="5A259819" w:rsidR="00974092" w:rsidRDefault="00974092" w:rsidP="00974092">
      <w:pPr>
        <w:pStyle w:val="NumberLevel2"/>
      </w:pPr>
      <w:r>
        <w:t xml:space="preserve">Where an in-scope company is already familiar with a beneficial owner, an in-scope company may need to take few or no verification </w:t>
      </w:r>
      <w:r w:rsidR="00151F52">
        <w:t xml:space="preserve">steps </w:t>
      </w:r>
      <w:r>
        <w:t>to be reasonably satisfied of the beneficial owner’s identity.</w:t>
      </w:r>
    </w:p>
    <w:p w14:paraId="206E843F" w14:textId="619214D6" w:rsidR="00974092" w:rsidRDefault="00974092" w:rsidP="00974092">
      <w:pPr>
        <w:pStyle w:val="NumberLevel2"/>
      </w:pPr>
      <w:r>
        <w:t xml:space="preserve">Where an in-scope company is unfamiliar with a beneficial owner, the in-scope company may need to take the verification steps as detailed in </w:t>
      </w:r>
      <w:r w:rsidRPr="00B0403F">
        <w:rPr>
          <w:b/>
        </w:rPr>
        <w:t>Activity</w:t>
      </w:r>
      <w:r w:rsidR="000E202E" w:rsidRPr="00B0403F">
        <w:rPr>
          <w:b/>
        </w:rPr>
        <w:t> </w:t>
      </w:r>
      <w:r w:rsidRPr="00B0403F">
        <w:rPr>
          <w:b/>
        </w:rPr>
        <w:t>3</w:t>
      </w:r>
      <w:r>
        <w:t xml:space="preserve"> to reach the required state of satisfaction.</w:t>
      </w:r>
    </w:p>
    <w:p w14:paraId="4AD439EE" w14:textId="7E539777" w:rsidR="00974092" w:rsidRDefault="00974092" w:rsidP="00974092">
      <w:pPr>
        <w:pStyle w:val="NumberLevel1"/>
      </w:pPr>
      <w:r>
        <w:t xml:space="preserve">Under the </w:t>
      </w:r>
      <w:r w:rsidR="00E62A06">
        <w:t>BO Policy</w:t>
      </w:r>
      <w:r>
        <w:t>, in-scope companies must retain records of any identity verification procedures. These verification procedures will help ensure that BOI collected in BORs accurately reflects the beneficial ownership of in-scope companies.</w:t>
      </w:r>
    </w:p>
    <w:p w14:paraId="540343AF" w14:textId="77777777" w:rsidR="00DE66F5" w:rsidRDefault="00974092" w:rsidP="00FA53AA">
      <w:pPr>
        <w:pStyle w:val="Heading5"/>
      </w:pPr>
      <w:r>
        <w:t>Identity verification</w:t>
      </w:r>
    </w:p>
    <w:p w14:paraId="4ABF3F85" w14:textId="692538DC" w:rsidR="00974092" w:rsidRDefault="00974092" w:rsidP="00974092">
      <w:pPr>
        <w:pStyle w:val="NumberLevel1"/>
        <w:rPr>
          <w:lang w:eastAsia="en-US"/>
        </w:rPr>
      </w:pPr>
      <w:r>
        <w:rPr>
          <w:lang w:eastAsia="en-US"/>
        </w:rPr>
        <w:t>In-scope companies are likely to vary widely in terms of their level of sophistication, and so it will be necessary to provide in-scope companies with clear guidance to assist them to conduct identity verification processes appropriately.</w:t>
      </w:r>
    </w:p>
    <w:p w14:paraId="25F4A5EA" w14:textId="77777777" w:rsidR="00974092" w:rsidRDefault="00974092" w:rsidP="00974092">
      <w:pPr>
        <w:pStyle w:val="NumberLevel1"/>
        <w:rPr>
          <w:lang w:eastAsia="en-US"/>
        </w:rPr>
      </w:pPr>
      <w:r>
        <w:rPr>
          <w:lang w:eastAsia="en-US"/>
        </w:rPr>
        <w:t xml:space="preserve">We recommend that, where in doubt about a beneficial owner’s identity, in-scope companies should engage the services of professional identity verification service providers. This reduces the risk that in-scope companies will require beneficial owners to provide more identity documents than necessary, beneficial owners providing unsolicited personal information to in-scope companies and/or in-scope companies failing to destroy identity documents after verifying a beneficial owner’s identity. </w:t>
      </w:r>
    </w:p>
    <w:p w14:paraId="358DB842" w14:textId="77777777" w:rsidR="00974092" w:rsidRDefault="00974092" w:rsidP="00974092">
      <w:pPr>
        <w:pStyle w:val="NumberLevel1"/>
        <w:rPr>
          <w:lang w:eastAsia="en-US"/>
        </w:rPr>
      </w:pPr>
      <w:bookmarkStart w:id="149" w:name="_Ref163838518"/>
      <w:r>
        <w:rPr>
          <w:lang w:eastAsia="en-US"/>
        </w:rPr>
        <w:t xml:space="preserve">In turn, this reduces the risk of in-scope companies </w:t>
      </w:r>
      <w:r w:rsidRPr="00A25A9A">
        <w:rPr>
          <w:lang w:eastAsia="en-US"/>
        </w:rPr>
        <w:t>failing to comply with APPs 10 and 11</w:t>
      </w:r>
      <w:r>
        <w:rPr>
          <w:lang w:eastAsia="en-US"/>
        </w:rPr>
        <w:t xml:space="preserve"> regarding the quality and security of personal information they store.</w:t>
      </w:r>
      <w:bookmarkEnd w:id="149"/>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974092" w:rsidRPr="004B51FC" w14:paraId="44C5E530" w14:textId="77777777" w:rsidTr="0065241F">
        <w:trPr>
          <w:trHeight w:val="332"/>
        </w:trPr>
        <w:tc>
          <w:tcPr>
            <w:tcW w:w="8222" w:type="dxa"/>
            <w:gridSpan w:val="2"/>
            <w:tcBorders>
              <w:top w:val="single" w:sz="12" w:space="0" w:color="000000" w:themeColor="text1"/>
              <w:bottom w:val="single" w:sz="12" w:space="0" w:color="204558"/>
            </w:tcBorders>
            <w:shd w:val="clear" w:color="auto" w:fill="C4DDEA"/>
          </w:tcPr>
          <w:p w14:paraId="18E282F0" w14:textId="62443F87" w:rsidR="00974092" w:rsidRPr="004B51FC" w:rsidRDefault="00974092" w:rsidP="0065241F">
            <w:pPr>
              <w:pStyle w:val="TableHeading2"/>
              <w:spacing w:before="200" w:after="120"/>
            </w:pPr>
            <w:bookmarkStart w:id="150" w:name="Recommendation9" w:colFirst="0" w:colLast="1"/>
            <w:r>
              <w:t xml:space="preserve">Recommendation </w:t>
            </w:r>
            <w:r w:rsidR="005E4A8B">
              <w:t>9</w:t>
            </w:r>
            <w:r>
              <w:t xml:space="preserve"> – Encourage use of professional identity verification services</w:t>
            </w:r>
          </w:p>
        </w:tc>
      </w:tr>
      <w:tr w:rsidR="00974092" w:rsidRPr="00C56D18" w14:paraId="5FC97D95" w14:textId="77777777" w:rsidTr="005E4A8B">
        <w:trPr>
          <w:trHeight w:val="332"/>
        </w:trPr>
        <w:tc>
          <w:tcPr>
            <w:tcW w:w="8222" w:type="dxa"/>
            <w:gridSpan w:val="2"/>
            <w:tcBorders>
              <w:top w:val="single" w:sz="12" w:space="0" w:color="204558"/>
              <w:bottom w:val="single" w:sz="12" w:space="0" w:color="204558"/>
            </w:tcBorders>
            <w:shd w:val="clear" w:color="auto" w:fill="DEEAF6" w:themeFill="accent5" w:themeFillTint="33"/>
          </w:tcPr>
          <w:p w14:paraId="76F63E85" w14:textId="5CCAEB73" w:rsidR="00974092" w:rsidRPr="00C56D18" w:rsidRDefault="00974092" w:rsidP="0065241F">
            <w:pPr>
              <w:pStyle w:val="TableHeading2"/>
              <w:spacing w:before="120" w:after="120"/>
              <w:rPr>
                <w:b w:val="0"/>
              </w:rPr>
            </w:pPr>
            <w:r w:rsidRPr="00DE4139">
              <w:t>Issue:</w:t>
            </w:r>
            <w:r>
              <w:rPr>
                <w:b w:val="0"/>
              </w:rPr>
              <w:t xml:space="preserve"> Many in-scope companies will have limited experience in identity verification. This may cause harm to beneficial owners, e.g. if in-scope companies over collect and/or fail to delete identity documents after verifying identity (e.g. in the event of a data breach).</w:t>
            </w:r>
          </w:p>
        </w:tc>
      </w:tr>
      <w:tr w:rsidR="00974092" w:rsidRPr="00A64A2D" w14:paraId="6D8A4711" w14:textId="77777777" w:rsidTr="0065241F">
        <w:trPr>
          <w:trHeight w:val="332"/>
        </w:trPr>
        <w:tc>
          <w:tcPr>
            <w:tcW w:w="8222" w:type="dxa"/>
            <w:gridSpan w:val="2"/>
            <w:tcBorders>
              <w:top w:val="single" w:sz="12" w:space="0" w:color="204558"/>
              <w:bottom w:val="single" w:sz="12" w:space="0" w:color="204558"/>
            </w:tcBorders>
            <w:shd w:val="clear" w:color="auto" w:fill="EDF5F9"/>
          </w:tcPr>
          <w:p w14:paraId="4FE3B457" w14:textId="0AFC4054" w:rsidR="00974092" w:rsidRPr="00A64A2D" w:rsidRDefault="00974092" w:rsidP="0065241F">
            <w:pPr>
              <w:pStyle w:val="TableHeading2"/>
              <w:spacing w:before="120" w:after="120"/>
            </w:pPr>
            <w:r w:rsidRPr="00DE4139">
              <w:t>AGS Recommendation:</w:t>
            </w:r>
            <w:r>
              <w:rPr>
                <w:b w:val="0"/>
              </w:rPr>
              <w:t xml:space="preserve"> </w:t>
            </w:r>
            <w:r w:rsidR="00F260F7">
              <w:rPr>
                <w:b w:val="0"/>
              </w:rPr>
              <w:t xml:space="preserve">The Commonwealth </w:t>
            </w:r>
            <w:r>
              <w:rPr>
                <w:b w:val="0"/>
              </w:rPr>
              <w:t>encourage in-scope companies to engage professional identity verification service providers.</w:t>
            </w:r>
          </w:p>
        </w:tc>
      </w:tr>
      <w:tr w:rsidR="00974092" w:rsidRPr="00B83500" w14:paraId="2C2CFFC3" w14:textId="77777777" w:rsidTr="0065241F">
        <w:trPr>
          <w:trHeight w:val="269"/>
        </w:trPr>
        <w:tc>
          <w:tcPr>
            <w:tcW w:w="1276" w:type="dxa"/>
            <w:tcBorders>
              <w:top w:val="single" w:sz="12" w:space="0" w:color="204558"/>
              <w:bottom w:val="single" w:sz="12" w:space="0" w:color="000000" w:themeColor="text1"/>
            </w:tcBorders>
            <w:shd w:val="clear" w:color="auto" w:fill="auto"/>
          </w:tcPr>
          <w:p w14:paraId="6CD552BB" w14:textId="77777777" w:rsidR="00974092" w:rsidRPr="004B51FC" w:rsidRDefault="00974092" w:rsidP="0065241F">
            <w:pPr>
              <w:pStyle w:val="NumberLevel1"/>
              <w:numPr>
                <w:ilvl w:val="0"/>
                <w:numId w:val="0"/>
              </w:numPr>
              <w:spacing w:before="120" w:after="120"/>
              <w:rPr>
                <w:b/>
              </w:rPr>
            </w:pPr>
            <w:r w:rsidRPr="004B51FC">
              <w:rPr>
                <w:b/>
              </w:rPr>
              <w:t>Response:</w:t>
            </w:r>
          </w:p>
        </w:tc>
        <w:tc>
          <w:tcPr>
            <w:tcW w:w="6946" w:type="dxa"/>
            <w:tcBorders>
              <w:top w:val="single" w:sz="12" w:space="0" w:color="204558"/>
              <w:bottom w:val="single" w:sz="12" w:space="0" w:color="000000" w:themeColor="text1"/>
            </w:tcBorders>
            <w:shd w:val="clear" w:color="auto" w:fill="auto"/>
          </w:tcPr>
          <w:p w14:paraId="4ED3BE01" w14:textId="77777777" w:rsidR="00974092" w:rsidRPr="00B83500" w:rsidRDefault="00974092" w:rsidP="0065241F">
            <w:pPr>
              <w:pStyle w:val="TableHeading2"/>
              <w:spacing w:before="200" w:after="120"/>
              <w:rPr>
                <w:b w:val="0"/>
              </w:rPr>
            </w:pPr>
          </w:p>
        </w:tc>
      </w:tr>
    </w:tbl>
    <w:bookmarkEnd w:id="150"/>
    <w:p w14:paraId="555C95AF" w14:textId="3C362D55" w:rsidR="00974092" w:rsidRDefault="00974092" w:rsidP="00974092">
      <w:pPr>
        <w:pStyle w:val="AdviceNumLevel1"/>
        <w:rPr>
          <w:lang w:eastAsia="en-US"/>
        </w:rPr>
      </w:pPr>
      <w:r>
        <w:rPr>
          <w:lang w:eastAsia="en-US"/>
        </w:rPr>
        <w:t xml:space="preserve">As the </w:t>
      </w:r>
      <w:r w:rsidR="00E62A06">
        <w:rPr>
          <w:lang w:eastAsia="en-US"/>
        </w:rPr>
        <w:t>BO Policy</w:t>
      </w:r>
      <w:r>
        <w:rPr>
          <w:lang w:eastAsia="en-US"/>
        </w:rPr>
        <w:t xml:space="preserve"> will not require in-scope companies to engage professional identity verification service providers, guidance should also be provided to assist in-scope companies who elect to verify the identity of beneficial owners themselves. Such guidance should include information targeted to assist compliance with APPs 10 and 11.</w:t>
      </w:r>
    </w:p>
    <w:p w14:paraId="5BE73D1B" w14:textId="43162D6E" w:rsidR="00974092" w:rsidRDefault="00974092" w:rsidP="00974092">
      <w:pPr>
        <w:pStyle w:val="AdviceNumLevel1"/>
        <w:rPr>
          <w:lang w:eastAsia="en-US"/>
        </w:rPr>
      </w:pPr>
      <w:r>
        <w:rPr>
          <w:lang w:eastAsia="en-US"/>
        </w:rPr>
        <w:t xml:space="preserve">We make recommendations about the content of this guidance in the table at </w:t>
      </w:r>
      <w:hyperlink w:anchor="_Appendix_1_–" w:history="1">
        <w:r w:rsidRPr="00865C63">
          <w:rPr>
            <w:rStyle w:val="Hyperlink"/>
            <w:b/>
            <w:lang w:eastAsia="en-US"/>
          </w:rPr>
          <w:t>Annexure A</w:t>
        </w:r>
      </w:hyperlink>
      <w:r>
        <w:rPr>
          <w:b/>
          <w:lang w:eastAsia="en-US"/>
        </w:rPr>
        <w:t>.</w:t>
      </w:r>
    </w:p>
    <w:p w14:paraId="5120092D" w14:textId="77777777" w:rsidR="00974092" w:rsidRDefault="00974092" w:rsidP="00974092">
      <w:pPr>
        <w:pStyle w:val="Heading4"/>
      </w:pPr>
      <w:r>
        <w:t xml:space="preserve">Currency of collected </w:t>
      </w:r>
      <w:proofErr w:type="gramStart"/>
      <w:r>
        <w:t>information</w:t>
      </w:r>
      <w:proofErr w:type="gramEnd"/>
    </w:p>
    <w:p w14:paraId="2C8FBECF" w14:textId="6191EFE8" w:rsidR="00FA0C68" w:rsidRDefault="00FA0C68" w:rsidP="00974092">
      <w:pPr>
        <w:pStyle w:val="NumberLevel1"/>
      </w:pPr>
      <w:r>
        <w:t>The BO Policy will require a beneficial owner who holds an interest on behalf of a partnership</w:t>
      </w:r>
      <w:r w:rsidR="003C461F">
        <w:t>,</w:t>
      </w:r>
      <w:r>
        <w:t xml:space="preserve"> </w:t>
      </w:r>
      <w:r w:rsidRPr="00FA0C68">
        <w:t>association, or registered co-operative</w:t>
      </w:r>
      <w:r w:rsidR="003C461F">
        <w:t xml:space="preserve"> to provide information about the business </w:t>
      </w:r>
      <w:r w:rsidRPr="00FA0C68">
        <w:t>structure.</w:t>
      </w:r>
      <w:r>
        <w:t xml:space="preserve"> Although this may </w:t>
      </w:r>
      <w:r w:rsidR="003C461F">
        <w:t xml:space="preserve">involve the collection of some personal information, it will </w:t>
      </w:r>
      <w:r>
        <w:t xml:space="preserve">promote the completeness of </w:t>
      </w:r>
      <w:r w:rsidR="003C461F">
        <w:t>BOR.</w:t>
      </w:r>
    </w:p>
    <w:p w14:paraId="550CF16B" w14:textId="1D53A28D" w:rsidR="00974092" w:rsidRDefault="00974092" w:rsidP="00974092">
      <w:pPr>
        <w:pStyle w:val="NumberLevel1"/>
      </w:pPr>
      <w:r>
        <w:t xml:space="preserve">In </w:t>
      </w:r>
      <w:r w:rsidRPr="00B0403F">
        <w:rPr>
          <w:b/>
        </w:rPr>
        <w:t>Activity 6</w:t>
      </w:r>
      <w:r>
        <w:t xml:space="preserve">, we discuss the process of updating a BOR. This is a reasonable step to ensure BOI in BORs (Stage 1) and the PCBOR (Stage 2) remains current and </w:t>
      </w:r>
      <w:proofErr w:type="gramStart"/>
      <w:r>
        <w:t>up-to-date</w:t>
      </w:r>
      <w:proofErr w:type="gramEnd"/>
      <w:r>
        <w:t>.</w:t>
      </w:r>
    </w:p>
    <w:p w14:paraId="6C966930" w14:textId="3A4B71F3" w:rsidR="00974092" w:rsidRDefault="00974092" w:rsidP="00974092">
      <w:pPr>
        <w:pStyle w:val="NumberLevel1"/>
      </w:pPr>
      <w:r>
        <w:t xml:space="preserve">Treasury intends to impose obligations on beneficial owners to notify in-scope companies of any changes to their beneficial ownership status or BOI. </w:t>
      </w:r>
      <w:proofErr w:type="gramStart"/>
      <w:r>
        <w:t>Similar to</w:t>
      </w:r>
      <w:proofErr w:type="gramEnd"/>
      <w:r>
        <w:t xml:space="preserve"> the notification requirements for member registers in the C</w:t>
      </w:r>
      <w:r w:rsidR="005C7A8D">
        <w:t>orporations</w:t>
      </w:r>
      <w:r w:rsidR="00387FBD">
        <w:t xml:space="preserve"> </w:t>
      </w:r>
      <w:r>
        <w:t>A</w:t>
      </w:r>
      <w:r w:rsidR="007E0315">
        <w:t>ct</w:t>
      </w:r>
      <w:r>
        <w:t>,</w:t>
      </w:r>
      <w:r>
        <w:rPr>
          <w:rStyle w:val="FootnoteReference"/>
        </w:rPr>
        <w:footnoteReference w:id="45"/>
      </w:r>
      <w:r>
        <w:t xml:space="preserve"> Treasury proposes a time limit of 28 days for beneficial owners to notify in-scope companies of these changes. </w:t>
      </w:r>
    </w:p>
    <w:p w14:paraId="614E560A" w14:textId="77777777" w:rsidR="00974092" w:rsidRDefault="00974092" w:rsidP="00974092">
      <w:pPr>
        <w:pStyle w:val="NumberLevel1"/>
      </w:pPr>
      <w:r>
        <w:t>In-scope companies must request information from beneficial owners if beneficial owners fail to notify the in-scope company of the change. In-scope companies will need to make this request within 14 days of becoming aware of the change.</w:t>
      </w:r>
    </w:p>
    <w:p w14:paraId="1547A45D" w14:textId="77777777" w:rsidR="00974092" w:rsidRDefault="00974092" w:rsidP="00974092">
      <w:pPr>
        <w:pStyle w:val="NumberLevel1"/>
      </w:pPr>
      <w:r>
        <w:t xml:space="preserve">These obligations are appropriate and adapted to ensuring that BOI collected and stored on BORs remains current and </w:t>
      </w:r>
      <w:proofErr w:type="gramStart"/>
      <w:r>
        <w:t>up-to-date</w:t>
      </w:r>
      <w:proofErr w:type="gramEnd"/>
      <w:r>
        <w:t xml:space="preserve">, in turn minimising potential harm that may follow from reliance on inaccurate information by law enforcement agencies and members of the public who may receive access to BOI. </w:t>
      </w:r>
    </w:p>
    <w:p w14:paraId="78793862" w14:textId="77777777" w:rsidR="00974092" w:rsidRDefault="00974092" w:rsidP="00974092">
      <w:pPr>
        <w:pStyle w:val="Heading4"/>
      </w:pPr>
      <w:r>
        <w:t xml:space="preserve">Completeness of collected </w:t>
      </w:r>
      <w:proofErr w:type="gramStart"/>
      <w:r>
        <w:t>information</w:t>
      </w:r>
      <w:proofErr w:type="gramEnd"/>
    </w:p>
    <w:p w14:paraId="77F4D624" w14:textId="67E6B766" w:rsidR="006402C2" w:rsidRDefault="00974092" w:rsidP="00974092">
      <w:pPr>
        <w:pStyle w:val="NumberLevel1"/>
      </w:pPr>
      <w:r>
        <w:t xml:space="preserve">The </w:t>
      </w:r>
      <w:r w:rsidR="00E62A06">
        <w:t>BO Policy</w:t>
      </w:r>
      <w:r>
        <w:t xml:space="preserve"> will require in-scope companies to collect each piece of BOI</w:t>
      </w:r>
      <w:r w:rsidR="006402C2">
        <w:t xml:space="preserve"> as well as the method of identification verification (or if the identity is unverified)</w:t>
      </w:r>
      <w:r>
        <w:t xml:space="preserve">. </w:t>
      </w:r>
      <w:r w:rsidR="006402C2">
        <w:t>Requiring in-scope companies to record the method of identity verification will:</w:t>
      </w:r>
    </w:p>
    <w:p w14:paraId="11204C58" w14:textId="21B058EB" w:rsidR="006402C2" w:rsidRDefault="006402C2" w:rsidP="006402C2">
      <w:pPr>
        <w:pStyle w:val="NumberLevel2"/>
      </w:pPr>
      <w:r>
        <w:t xml:space="preserve">promote data integrity by providing additional information about the accuracy and completeness of </w:t>
      </w:r>
      <w:proofErr w:type="gramStart"/>
      <w:r>
        <w:t>BOR</w:t>
      </w:r>
      <w:proofErr w:type="gramEnd"/>
    </w:p>
    <w:p w14:paraId="054FE0C1" w14:textId="53AC2A4D" w:rsidR="006402C2" w:rsidRDefault="006402C2" w:rsidP="006402C2">
      <w:pPr>
        <w:pStyle w:val="NumberLevel2"/>
      </w:pPr>
      <w:r>
        <w:t xml:space="preserve">promote consistency between the BO Policy and KYC </w:t>
      </w:r>
      <w:proofErr w:type="gramStart"/>
      <w:r>
        <w:t>requirements</w:t>
      </w:r>
      <w:proofErr w:type="gramEnd"/>
    </w:p>
    <w:p w14:paraId="0EDFA477" w14:textId="7D8B3906" w:rsidR="006402C2" w:rsidRDefault="006402C2" w:rsidP="006402C2">
      <w:pPr>
        <w:pStyle w:val="NumberLevel2"/>
      </w:pPr>
      <w:r>
        <w:t>facilitate consideration of future requirements to require independent verification (e.g. as part of Stage 2).</w:t>
      </w:r>
    </w:p>
    <w:p w14:paraId="7FCF410A" w14:textId="4F1F1DBA" w:rsidR="006402C2" w:rsidRDefault="006402C2">
      <w:pPr>
        <w:pStyle w:val="NumberLevel1"/>
      </w:pPr>
      <w:r>
        <w:t>Additionally, requiring companies to issue warning notices to a suspected beneficial owner who fails to adequately respond to a BOI request will prompt in-scope companies to ensure they receive complete and accurate responses, and take action to prompt the receipt of correct information to include within a BOR.</w:t>
      </w:r>
    </w:p>
    <w:p w14:paraId="5D74F512" w14:textId="3A12D702" w:rsidR="00974092" w:rsidRDefault="00974092" w:rsidP="00974092">
      <w:pPr>
        <w:pStyle w:val="NumberLevel1"/>
      </w:pPr>
      <w:r>
        <w:t xml:space="preserve">Failure to record each piece of BOI will expose an in-scope company to the risk of a civil penalty. </w:t>
      </w:r>
    </w:p>
    <w:p w14:paraId="6AEA9BE9" w14:textId="75BBA985" w:rsidR="00974092" w:rsidRDefault="00974092" w:rsidP="00974092">
      <w:pPr>
        <w:pStyle w:val="NumberLevel1"/>
      </w:pPr>
      <w:r>
        <w:t>Where a company uses an approved for</w:t>
      </w:r>
      <w:r w:rsidR="006402C2">
        <w:t>m</w:t>
      </w:r>
      <w:r w:rsidR="00257077">
        <w:t>at</w:t>
      </w:r>
      <w:r w:rsidR="006402C2">
        <w:t xml:space="preserve"> to collect BOI</w:t>
      </w:r>
      <w:r>
        <w:t xml:space="preserve">, this will promote the collection of ‘complete’ data containing each BOI element. </w:t>
      </w:r>
    </w:p>
    <w:p w14:paraId="456C3AD2" w14:textId="77777777" w:rsidR="00974092" w:rsidRDefault="00974092" w:rsidP="00974092">
      <w:pPr>
        <w:pStyle w:val="Heading5"/>
      </w:pPr>
      <w:r w:rsidRPr="007A1310">
        <w:t>Creating and maintaining BORs</w:t>
      </w:r>
    </w:p>
    <w:p w14:paraId="641969D2" w14:textId="1916B7F9" w:rsidR="00974092" w:rsidRDefault="00974092" w:rsidP="00974092">
      <w:pPr>
        <w:pStyle w:val="NumberLevel1"/>
      </w:pPr>
      <w:r>
        <w:t xml:space="preserve">We consider that, to the extent possible, the </w:t>
      </w:r>
      <w:r w:rsidR="00E62A06">
        <w:t>BO Policy</w:t>
      </w:r>
      <w:r>
        <w:t xml:space="preserve"> should encourage in-scope companies to create and maintain their individual BORs in a consistent format. This would facilitate providing access to BOI in a consistent </w:t>
      </w:r>
      <w:proofErr w:type="gramStart"/>
      <w:r>
        <w:t>format, and</w:t>
      </w:r>
      <w:proofErr w:type="gramEnd"/>
      <w:r>
        <w:t xml:space="preserve"> would minimise the risk of unauthorised disclosure by in-scope companies. </w:t>
      </w:r>
    </w:p>
    <w:p w14:paraId="3DFD8DD5" w14:textId="179C7EDC" w:rsidR="00974092" w:rsidRDefault="00974092" w:rsidP="00974092">
      <w:pPr>
        <w:pStyle w:val="NumberLevel1"/>
      </w:pPr>
      <w:r>
        <w:t xml:space="preserve">For instance, while the </w:t>
      </w:r>
      <w:r w:rsidR="00E62A06">
        <w:t>BO Policy</w:t>
      </w:r>
      <w:r>
        <w:t xml:space="preserve"> will require in-scope companies to collect full date of birth information, the new legislation will </w:t>
      </w:r>
      <w:r w:rsidR="00DC74F8">
        <w:t xml:space="preserve">only </w:t>
      </w:r>
      <w:r>
        <w:t>authorise the in-scope company to grant access to the month and year of a beneficial owner’s birth to members of the public with a legitimate purpose to access the information. We think that there is risk that in-scope companies may over disclose BOI in response to such requests if, for example, they store all BOI they hold in a single document or fail to remove the month of birth from an entry prior to disclosure.</w:t>
      </w:r>
    </w:p>
    <w:p w14:paraId="4336F779" w14:textId="08FACC7C" w:rsidR="00974092" w:rsidRDefault="00974092" w:rsidP="00974092">
      <w:pPr>
        <w:pStyle w:val="NumberLevel1"/>
      </w:pPr>
      <w:r>
        <w:t>One method for combatting this is to prescribe or promote a</w:t>
      </w:r>
      <w:r w:rsidR="006402C2">
        <w:t xml:space="preserve"> template or format for a </w:t>
      </w:r>
      <w:r>
        <w:t xml:space="preserve">BOR. </w:t>
      </w:r>
      <w:r w:rsidR="006402C2">
        <w:t xml:space="preserve">This format </w:t>
      </w:r>
      <w:r>
        <w:t xml:space="preserve">could: </w:t>
      </w:r>
    </w:p>
    <w:p w14:paraId="2EC0C7A8" w14:textId="066EBAEE" w:rsidR="00974092" w:rsidRDefault="00974092" w:rsidP="00974092">
      <w:pPr>
        <w:pStyle w:val="NumberLevel2"/>
      </w:pPr>
      <w:r>
        <w:t xml:space="preserve">have </w:t>
      </w:r>
      <w:r w:rsidR="006402C2">
        <w:t>pages or sheets</w:t>
      </w:r>
      <w:r>
        <w:t xml:space="preserve">, </w:t>
      </w:r>
    </w:p>
    <w:p w14:paraId="34B844AF" w14:textId="3B29037D" w:rsidR="00974092" w:rsidRDefault="00974092" w:rsidP="00974092">
      <w:pPr>
        <w:pStyle w:val="NumberLevel2"/>
      </w:pPr>
      <w:r>
        <w:t xml:space="preserve">be formatted such that all pieces of BOI collected are entered in one </w:t>
      </w:r>
      <w:r w:rsidR="006402C2">
        <w:t>page or sheet</w:t>
      </w:r>
      <w:r>
        <w:t xml:space="preserve">, and the pieces of BOI that can be disclosed to the public are automatically carried across to another </w:t>
      </w:r>
      <w:r w:rsidR="006402C2">
        <w:t>page or sheet</w:t>
      </w:r>
      <w:r>
        <w:t>,</w:t>
      </w:r>
    </w:p>
    <w:p w14:paraId="1C2FC073" w14:textId="69BB88A0" w:rsidR="00974092" w:rsidRDefault="00974092" w:rsidP="00974092">
      <w:pPr>
        <w:pStyle w:val="NumberLevel2"/>
      </w:pPr>
      <w:r>
        <w:t xml:space="preserve">have clear indications with each </w:t>
      </w:r>
      <w:r w:rsidR="006402C2">
        <w:t xml:space="preserve">page or sheet </w:t>
      </w:r>
      <w:r>
        <w:t xml:space="preserve">about whether the </w:t>
      </w:r>
      <w:r w:rsidR="00E62A06">
        <w:t>BO Policy</w:t>
      </w:r>
      <w:r>
        <w:t xml:space="preserve"> authorises disclosure to the public, or to law enforcement agencies and regulators,</w:t>
      </w:r>
    </w:p>
    <w:p w14:paraId="6EF6AB34" w14:textId="77777777" w:rsidR="00974092" w:rsidRDefault="00974092" w:rsidP="00974092">
      <w:pPr>
        <w:pStyle w:val="NumberLevel2"/>
      </w:pPr>
      <w:r>
        <w:t>have fields with defined rules, to ensure that in scope companies enter all BOI in a consistent format (</w:t>
      </w:r>
      <w:proofErr w:type="spellStart"/>
      <w:r>
        <w:t>eg</w:t>
      </w:r>
      <w:proofErr w:type="spellEnd"/>
      <w:r>
        <w:t>: dd/mm/</w:t>
      </w:r>
      <w:proofErr w:type="spellStart"/>
      <w:r>
        <w:t>yyyy</w:t>
      </w:r>
      <w:proofErr w:type="spellEnd"/>
      <w:r>
        <w:t xml:space="preserve"> rather than 1 January 2023),</w:t>
      </w:r>
    </w:p>
    <w:p w14:paraId="0812E946" w14:textId="77777777" w:rsidR="00974092" w:rsidRDefault="00974092" w:rsidP="00974092">
      <w:pPr>
        <w:pStyle w:val="NumberLevel2"/>
      </w:pPr>
      <w:r>
        <w:t>be uploaded by the in-scope company directly to the PCBOR once Stage 2 goes live.</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974092" w:rsidRPr="004B51FC" w14:paraId="066384ED" w14:textId="77777777" w:rsidTr="0065241F">
        <w:trPr>
          <w:trHeight w:val="332"/>
        </w:trPr>
        <w:tc>
          <w:tcPr>
            <w:tcW w:w="8222" w:type="dxa"/>
            <w:gridSpan w:val="2"/>
            <w:tcBorders>
              <w:top w:val="single" w:sz="12" w:space="0" w:color="000000" w:themeColor="text1"/>
              <w:bottom w:val="single" w:sz="12" w:space="0" w:color="204558"/>
            </w:tcBorders>
            <w:shd w:val="clear" w:color="auto" w:fill="C4DDEA"/>
          </w:tcPr>
          <w:p w14:paraId="588BCDD0" w14:textId="137D4CBD" w:rsidR="00974092" w:rsidRPr="004B51FC" w:rsidRDefault="00974092" w:rsidP="0065241F">
            <w:pPr>
              <w:pStyle w:val="TableHeading2"/>
              <w:spacing w:before="200" w:after="120"/>
            </w:pPr>
            <w:bookmarkStart w:id="151" w:name="Recommendation10" w:colFirst="0" w:colLast="1"/>
            <w:r>
              <w:t>Recommendation 1</w:t>
            </w:r>
            <w:r w:rsidR="005E4A8B">
              <w:t>0</w:t>
            </w:r>
            <w:r>
              <w:t xml:space="preserve"> – T</w:t>
            </w:r>
            <w:r w:rsidR="009A1449">
              <w:t>he Commonwealth</w:t>
            </w:r>
            <w:r>
              <w:t xml:space="preserve"> prescribe</w:t>
            </w:r>
            <w:r w:rsidR="005E4A8B">
              <w:t xml:space="preserve"> or promote</w:t>
            </w:r>
            <w:r>
              <w:t xml:space="preserve"> a method for creating and maintaining BORs</w:t>
            </w:r>
          </w:p>
        </w:tc>
      </w:tr>
      <w:tr w:rsidR="00974092" w:rsidRPr="00C56D18" w14:paraId="1A0BD33C" w14:textId="77777777" w:rsidTr="005E4A8B">
        <w:trPr>
          <w:trHeight w:val="332"/>
        </w:trPr>
        <w:tc>
          <w:tcPr>
            <w:tcW w:w="8222" w:type="dxa"/>
            <w:gridSpan w:val="2"/>
            <w:tcBorders>
              <w:top w:val="single" w:sz="12" w:space="0" w:color="204558"/>
              <w:bottom w:val="single" w:sz="12" w:space="0" w:color="204558"/>
            </w:tcBorders>
            <w:shd w:val="clear" w:color="auto" w:fill="DEEAF6" w:themeFill="accent5" w:themeFillTint="33"/>
          </w:tcPr>
          <w:p w14:paraId="32EF1BD7" w14:textId="4FF709C4" w:rsidR="00974092" w:rsidRPr="00C56D18" w:rsidRDefault="00974092" w:rsidP="0065241F">
            <w:pPr>
              <w:pStyle w:val="TableHeading2"/>
              <w:spacing w:before="120" w:after="120"/>
              <w:rPr>
                <w:b w:val="0"/>
              </w:rPr>
            </w:pPr>
            <w:r w:rsidRPr="00DE4139">
              <w:t>Issue:</w:t>
            </w:r>
            <w:r>
              <w:rPr>
                <w:b w:val="0"/>
              </w:rPr>
              <w:t xml:space="preserve"> Allowing in-scope companies to create and maintain BORs in idiosyncratic formats risks recording BOI in inconsistent formats. This may cause data quality issues in Stage 2 and/or risk unauthorised disclosure in Stage 1.</w:t>
            </w:r>
          </w:p>
        </w:tc>
      </w:tr>
      <w:tr w:rsidR="00974092" w:rsidRPr="003D2417" w14:paraId="487322E4" w14:textId="77777777" w:rsidTr="0065241F">
        <w:trPr>
          <w:trHeight w:val="332"/>
        </w:trPr>
        <w:tc>
          <w:tcPr>
            <w:tcW w:w="8222" w:type="dxa"/>
            <w:gridSpan w:val="2"/>
            <w:tcBorders>
              <w:top w:val="single" w:sz="12" w:space="0" w:color="204558"/>
              <w:bottom w:val="single" w:sz="12" w:space="0" w:color="204558"/>
            </w:tcBorders>
            <w:shd w:val="clear" w:color="auto" w:fill="EDF5F9"/>
          </w:tcPr>
          <w:p w14:paraId="52B36D40" w14:textId="13CCB9B5" w:rsidR="00974092" w:rsidRPr="009D10C0" w:rsidRDefault="00974092" w:rsidP="0065241F">
            <w:pPr>
              <w:pStyle w:val="TableHeading2"/>
              <w:spacing w:before="120" w:after="60"/>
            </w:pPr>
            <w:r w:rsidRPr="00DE4139">
              <w:t>AGS Recommendation:</w:t>
            </w:r>
            <w:r>
              <w:rPr>
                <w:b w:val="0"/>
              </w:rPr>
              <w:t xml:space="preserve"> T</w:t>
            </w:r>
            <w:r w:rsidR="00E716F1">
              <w:rPr>
                <w:b w:val="0"/>
              </w:rPr>
              <w:t>he Commonwealth</w:t>
            </w:r>
            <w:r>
              <w:rPr>
                <w:b w:val="0"/>
              </w:rPr>
              <w:t xml:space="preserve"> prescribe or promote a </w:t>
            </w:r>
            <w:r w:rsidR="008417CE">
              <w:rPr>
                <w:b w:val="0"/>
              </w:rPr>
              <w:t xml:space="preserve">template or </w:t>
            </w:r>
            <w:r>
              <w:rPr>
                <w:b w:val="0"/>
              </w:rPr>
              <w:t xml:space="preserve">format for in-scope companies to use to create and maintain their BORs. </w:t>
            </w:r>
            <w:r w:rsidR="008417CE">
              <w:rPr>
                <w:b w:val="0"/>
              </w:rPr>
              <w:t>For example, a document or</w:t>
            </w:r>
            <w:r>
              <w:rPr>
                <w:b w:val="0"/>
              </w:rPr>
              <w:t xml:space="preserve"> workbook with locked, defined formatting rules presents the most significant benefits.</w:t>
            </w:r>
          </w:p>
        </w:tc>
      </w:tr>
      <w:tr w:rsidR="00974092" w:rsidRPr="00B83500" w14:paraId="48EF192A" w14:textId="77777777" w:rsidTr="0065241F">
        <w:trPr>
          <w:trHeight w:val="269"/>
        </w:trPr>
        <w:tc>
          <w:tcPr>
            <w:tcW w:w="1276" w:type="dxa"/>
            <w:tcBorders>
              <w:top w:val="single" w:sz="12" w:space="0" w:color="204558"/>
              <w:bottom w:val="single" w:sz="12" w:space="0" w:color="000000" w:themeColor="text1"/>
            </w:tcBorders>
            <w:shd w:val="clear" w:color="auto" w:fill="auto"/>
          </w:tcPr>
          <w:p w14:paraId="040E5B39" w14:textId="77777777" w:rsidR="00974092" w:rsidRPr="004B51FC" w:rsidRDefault="00974092" w:rsidP="0065241F">
            <w:pPr>
              <w:pStyle w:val="NumberLevel1"/>
              <w:numPr>
                <w:ilvl w:val="0"/>
                <w:numId w:val="0"/>
              </w:numPr>
              <w:spacing w:before="120" w:after="120"/>
              <w:rPr>
                <w:b/>
              </w:rPr>
            </w:pPr>
            <w:r w:rsidRPr="004B51FC">
              <w:rPr>
                <w:b/>
              </w:rPr>
              <w:t>Response:</w:t>
            </w:r>
          </w:p>
        </w:tc>
        <w:tc>
          <w:tcPr>
            <w:tcW w:w="6946" w:type="dxa"/>
            <w:tcBorders>
              <w:top w:val="single" w:sz="12" w:space="0" w:color="204558"/>
              <w:bottom w:val="single" w:sz="12" w:space="0" w:color="000000" w:themeColor="text1"/>
            </w:tcBorders>
            <w:shd w:val="clear" w:color="auto" w:fill="auto"/>
          </w:tcPr>
          <w:p w14:paraId="35CE5DBE" w14:textId="77777777" w:rsidR="00974092" w:rsidRPr="00B83500" w:rsidRDefault="00974092" w:rsidP="0065241F">
            <w:pPr>
              <w:pStyle w:val="TableHeading2"/>
              <w:spacing w:before="200" w:after="120"/>
              <w:rPr>
                <w:b w:val="0"/>
              </w:rPr>
            </w:pPr>
          </w:p>
        </w:tc>
      </w:tr>
    </w:tbl>
    <w:bookmarkEnd w:id="151"/>
    <w:p w14:paraId="17A5439E" w14:textId="77777777" w:rsidR="00974092" w:rsidRDefault="00974092" w:rsidP="00974092">
      <w:pPr>
        <w:pStyle w:val="Heading5"/>
      </w:pPr>
      <w:r w:rsidRPr="003B45AF">
        <w:t xml:space="preserve">Maintenance of records to substantiate decision-making </w:t>
      </w:r>
      <w:proofErr w:type="gramStart"/>
      <w:r w:rsidRPr="003B45AF">
        <w:t>process</w:t>
      </w:r>
      <w:proofErr w:type="gramEnd"/>
    </w:p>
    <w:p w14:paraId="3A1FB255" w14:textId="77777777" w:rsidR="00974092" w:rsidRDefault="00974092" w:rsidP="00974092">
      <w:pPr>
        <w:pStyle w:val="NumberLevel1"/>
        <w:rPr>
          <w:lang w:eastAsia="en-US"/>
        </w:rPr>
      </w:pPr>
      <w:r>
        <w:rPr>
          <w:lang w:eastAsia="en-US"/>
        </w:rPr>
        <w:t>The proposed legislation will require in-scope companies to maintain records of point-in-time versions of their BORs for 7 years. This requirement is in line with the requirement in s 169 of the Corporations Act for companies to keep records of their membership information for 7 years.</w:t>
      </w:r>
    </w:p>
    <w:p w14:paraId="6D09279D" w14:textId="77777777" w:rsidR="00974092" w:rsidRDefault="00974092" w:rsidP="00974092">
      <w:pPr>
        <w:pStyle w:val="NumberLevel1"/>
        <w:rPr>
          <w:lang w:eastAsia="en-US"/>
        </w:rPr>
      </w:pPr>
      <w:r>
        <w:rPr>
          <w:lang w:eastAsia="en-US"/>
        </w:rPr>
        <w:t xml:space="preserve">Because law enforcement agencies and regulators may require access to BOI about individuals who are no longer beneficial owners of in-scope companies in conducting their functions, we think that this requirement is reasonable and proportionate. </w:t>
      </w:r>
    </w:p>
    <w:p w14:paraId="1341AFD8" w14:textId="77777777" w:rsidR="00974092" w:rsidRDefault="00974092" w:rsidP="00974092">
      <w:pPr>
        <w:pStyle w:val="NumberLevel1"/>
        <w:rPr>
          <w:lang w:eastAsia="en-US"/>
        </w:rPr>
      </w:pPr>
      <w:r>
        <w:rPr>
          <w:lang w:eastAsia="en-US"/>
        </w:rPr>
        <w:t xml:space="preserve">Additionally, in-scope companies must keep </w:t>
      </w:r>
      <w:r w:rsidRPr="00130571">
        <w:rPr>
          <w:lang w:eastAsia="en-US"/>
        </w:rPr>
        <w:t>record</w:t>
      </w:r>
      <w:r>
        <w:rPr>
          <w:lang w:eastAsia="en-US"/>
        </w:rPr>
        <w:t>s</w:t>
      </w:r>
      <w:r w:rsidRPr="00130571">
        <w:rPr>
          <w:lang w:eastAsia="en-US"/>
        </w:rPr>
        <w:t xml:space="preserve"> </w:t>
      </w:r>
      <w:r>
        <w:rPr>
          <w:lang w:eastAsia="en-US"/>
        </w:rPr>
        <w:t>to demonstrate</w:t>
      </w:r>
      <w:r w:rsidRPr="00130571">
        <w:rPr>
          <w:lang w:eastAsia="en-US"/>
        </w:rPr>
        <w:t xml:space="preserve"> to ASIC </w:t>
      </w:r>
      <w:r>
        <w:rPr>
          <w:lang w:eastAsia="en-US"/>
        </w:rPr>
        <w:t xml:space="preserve">that they have </w:t>
      </w:r>
      <w:r w:rsidRPr="00130571">
        <w:rPr>
          <w:lang w:eastAsia="en-US"/>
        </w:rPr>
        <w:t xml:space="preserve">discharged </w:t>
      </w:r>
      <w:r>
        <w:rPr>
          <w:lang w:eastAsia="en-US"/>
        </w:rPr>
        <w:t xml:space="preserve">their </w:t>
      </w:r>
      <w:r w:rsidRPr="00130571">
        <w:rPr>
          <w:lang w:eastAsia="en-US"/>
        </w:rPr>
        <w:t xml:space="preserve">obligation to take reasonable steps to identify beneficial owners, and to ensure their register is accurate and </w:t>
      </w:r>
      <w:proofErr w:type="gramStart"/>
      <w:r w:rsidRPr="00130571">
        <w:rPr>
          <w:lang w:eastAsia="en-US"/>
        </w:rPr>
        <w:t>up-to-date</w:t>
      </w:r>
      <w:proofErr w:type="gramEnd"/>
      <w:r w:rsidRPr="00130571">
        <w:rPr>
          <w:lang w:eastAsia="en-US"/>
        </w:rPr>
        <w:t>.</w:t>
      </w:r>
    </w:p>
    <w:p w14:paraId="5A03A40B" w14:textId="196C7B5B" w:rsidR="00974092" w:rsidRDefault="00974092" w:rsidP="00974092">
      <w:pPr>
        <w:pStyle w:val="NumberLevel1"/>
        <w:rPr>
          <w:lang w:eastAsia="en-US"/>
        </w:rPr>
      </w:pPr>
      <w:r>
        <w:rPr>
          <w:lang w:eastAsia="en-US"/>
        </w:rPr>
        <w:t>We think this requirement is reasonable and proportionate to the extent that it enables ASIC to conduct its audit and compliance functions. However, we think that steps should be taken to minimise the privacy impact to beneficial owners occasioned by this requirement. This is particularly so in the case of individuals who</w:t>
      </w:r>
      <w:r w:rsidR="004323DD">
        <w:rPr>
          <w:lang w:eastAsia="en-US"/>
        </w:rPr>
        <w:t>m</w:t>
      </w:r>
      <w:r>
        <w:rPr>
          <w:lang w:eastAsia="en-US"/>
        </w:rPr>
        <w:t xml:space="preserve"> in-scope companies ultimately determine are not beneficial owners.</w:t>
      </w:r>
    </w:p>
    <w:p w14:paraId="58B92B23" w14:textId="44D9A3C9" w:rsidR="00974092" w:rsidRDefault="00974092" w:rsidP="00974092">
      <w:pPr>
        <w:pStyle w:val="NumberLevel1"/>
        <w:rPr>
          <w:lang w:eastAsia="en-US"/>
        </w:rPr>
      </w:pPr>
      <w:r>
        <w:rPr>
          <w:lang w:eastAsia="en-US"/>
        </w:rPr>
        <w:t xml:space="preserve">To support a data-minimisation approach recommended above, guidance documents should provide examples of the kinds of records an in-scope entity should maintain to substantiate their decision-making process, as outlined in </w:t>
      </w:r>
      <w:hyperlink w:anchor="_Appendix_1_–" w:history="1">
        <w:r w:rsidRPr="00FA53AA">
          <w:rPr>
            <w:rStyle w:val="Hyperlink"/>
            <w:lang w:eastAsia="en-US"/>
          </w:rPr>
          <w:t>Annexure A</w:t>
        </w:r>
      </w:hyperlink>
      <w:r>
        <w:rPr>
          <w:lang w:eastAsia="en-US"/>
        </w:rPr>
        <w:t>.</w:t>
      </w:r>
    </w:p>
    <w:p w14:paraId="52B8C231" w14:textId="77777777" w:rsidR="00974092" w:rsidRDefault="00974092" w:rsidP="00FA53AA">
      <w:pPr>
        <w:pStyle w:val="Heading5"/>
      </w:pPr>
      <w:r>
        <w:t>Guidance materials and compliance</w:t>
      </w:r>
    </w:p>
    <w:p w14:paraId="14FEC1E5" w14:textId="0316708C" w:rsidR="00974092" w:rsidRPr="005F08F2" w:rsidRDefault="00974092" w:rsidP="00974092">
      <w:pPr>
        <w:pStyle w:val="NumberLevel1"/>
      </w:pPr>
      <w:r>
        <w:t>Obligations under the BO Policy may impact on beneficial owners located outside Australia who may not communicate in English as their first language</w:t>
      </w:r>
      <w:r w:rsidR="00925A59">
        <w:t>, or at all</w:t>
      </w:r>
      <w:r>
        <w:t xml:space="preserve">. ASIC has received funding to translate guidance materials into </w:t>
      </w:r>
      <w:proofErr w:type="gramStart"/>
      <w:r>
        <w:t>a number of</w:t>
      </w:r>
      <w:proofErr w:type="gramEnd"/>
      <w:r>
        <w:t xml:space="preserve"> languages other than English. </w:t>
      </w:r>
    </w:p>
    <w:p w14:paraId="0C613DD8" w14:textId="77777777" w:rsidR="00974092" w:rsidRDefault="00974092" w:rsidP="00974092">
      <w:pPr>
        <w:pStyle w:val="Heading3"/>
      </w:pPr>
      <w:r>
        <w:t xml:space="preserve">APP 10.2 – Use and disclosure of personal </w:t>
      </w:r>
      <w:proofErr w:type="gramStart"/>
      <w:r>
        <w:t>information</w:t>
      </w:r>
      <w:proofErr w:type="gramEnd"/>
      <w:r>
        <w:t xml:space="preserve"> </w:t>
      </w:r>
    </w:p>
    <w:p w14:paraId="098E3E2C" w14:textId="77777777" w:rsidR="00974092" w:rsidRDefault="00974092" w:rsidP="00974092">
      <w:pPr>
        <w:pStyle w:val="NumberLevel1"/>
      </w:pPr>
      <w:r>
        <w:t xml:space="preserve">Ensuring that in-scope companies collect accurate, </w:t>
      </w:r>
      <w:proofErr w:type="gramStart"/>
      <w:r>
        <w:t>up-to-date</w:t>
      </w:r>
      <w:proofErr w:type="gramEnd"/>
      <w:r>
        <w:t xml:space="preserve"> and complete BOI is important to ensuring in-scope companies use or disclose accurate, up-to-date and complete BOI. </w:t>
      </w:r>
    </w:p>
    <w:p w14:paraId="30F3C207" w14:textId="1A6B8125" w:rsidR="00974092" w:rsidRDefault="00974092" w:rsidP="00FA53AA">
      <w:pPr>
        <w:pStyle w:val="NumberLevel1"/>
        <w:spacing w:before="100" w:after="100"/>
      </w:pPr>
      <w:r>
        <w:t xml:space="preserve">In-scope companies </w:t>
      </w:r>
      <w:r w:rsidR="000E202E">
        <w:t xml:space="preserve">will </w:t>
      </w:r>
      <w:r>
        <w:t xml:space="preserve">unavoidably risk relying on inaccurate, </w:t>
      </w:r>
      <w:proofErr w:type="gramStart"/>
      <w:r>
        <w:t>out-of-date</w:t>
      </w:r>
      <w:proofErr w:type="gramEnd"/>
      <w:r>
        <w:t xml:space="preserve"> or incomplete information when issuing notices to potential or existing beneficial owners to satisfy their obligations in </w:t>
      </w:r>
      <w:r w:rsidRPr="0031250A">
        <w:rPr>
          <w:b/>
        </w:rPr>
        <w:t>Activities 1 and 6</w:t>
      </w:r>
      <w:r>
        <w:t>.</w:t>
      </w:r>
    </w:p>
    <w:p w14:paraId="1267482F" w14:textId="77777777" w:rsidR="00974092" w:rsidRDefault="00974092" w:rsidP="00FA53AA">
      <w:pPr>
        <w:pStyle w:val="NumberLevel2"/>
        <w:spacing w:before="100" w:after="100"/>
      </w:pPr>
      <w:r w:rsidRPr="0031250A">
        <w:rPr>
          <w:b/>
        </w:rPr>
        <w:t>Activity 1</w:t>
      </w:r>
      <w:r>
        <w:t xml:space="preserve"> involves in-scope companies issuing a request for BOI from suspected beneficial owners. As this activity will usually involve in-scope companies acting on a suspicion of a person being a beneficial owner and potentially incomplete information, there is some risk that an in-scope company could incorrectly identify a person as a suspected beneficial owner. </w:t>
      </w:r>
    </w:p>
    <w:p w14:paraId="1F48EB0C" w14:textId="77777777" w:rsidR="00974092" w:rsidRDefault="00974092" w:rsidP="00FA53AA">
      <w:pPr>
        <w:pStyle w:val="NumberLevel2"/>
        <w:spacing w:before="100" w:after="100"/>
      </w:pPr>
      <w:r>
        <w:t xml:space="preserve">Treasury anticipates that persons incorrectly issued notices would either fail to respond or notify the in-scope company that they are not a beneficial owner. This may result in the in-scope company referring the person to ASIC for </w:t>
      </w:r>
      <w:proofErr w:type="gramStart"/>
      <w:r>
        <w:t>investigation</w:t>
      </w:r>
      <w:proofErr w:type="gramEnd"/>
      <w:r>
        <w:t xml:space="preserve"> but in-scope companies will not populate their BOR with that person’s information. The risk to privacy is therefore minimal and necessary for the in-scope company to satisfy its obligations to identify suspected beneficial owners with limited information. </w:t>
      </w:r>
    </w:p>
    <w:p w14:paraId="4B6DF922" w14:textId="77777777" w:rsidR="00974092" w:rsidRDefault="00974092" w:rsidP="00FA53AA">
      <w:pPr>
        <w:pStyle w:val="NumberLevel2"/>
        <w:spacing w:before="100" w:after="100"/>
      </w:pPr>
      <w:r w:rsidRPr="0031250A">
        <w:rPr>
          <w:b/>
        </w:rPr>
        <w:t>Activity 6</w:t>
      </w:r>
      <w:r>
        <w:t xml:space="preserve"> carries some risk </w:t>
      </w:r>
      <w:proofErr w:type="gramStart"/>
      <w:r>
        <w:t>similar to</w:t>
      </w:r>
      <w:proofErr w:type="gramEnd"/>
      <w:r>
        <w:t xml:space="preserve"> the above where an in-scope company, relying on inaccurate, out-of-date or incomplete information, erroneously issues a request for updated BOI from an existing beneficial owner. This risk is minimal as existing beneficial owners would likely inform the in-scope entity if the information contained in a request is inaccurate, </w:t>
      </w:r>
      <w:proofErr w:type="gramStart"/>
      <w:r>
        <w:t>out-of-date</w:t>
      </w:r>
      <w:proofErr w:type="gramEnd"/>
      <w:r>
        <w:t xml:space="preserve"> or incomplete, and in-scope companies could update their BOR as required. </w:t>
      </w:r>
    </w:p>
    <w:p w14:paraId="54FB7C05" w14:textId="2E41D0E0" w:rsidR="00974092" w:rsidRDefault="00974092" w:rsidP="00FA53AA">
      <w:pPr>
        <w:pStyle w:val="NumberLevel1"/>
        <w:spacing w:before="100" w:after="100"/>
      </w:pPr>
      <w:r>
        <w:t xml:space="preserve">In-scope companies will use collected BOI to populate their BOR. Ensuring that in-scope companies collect accurate, </w:t>
      </w:r>
      <w:proofErr w:type="gramStart"/>
      <w:r>
        <w:t>up-to-date</w:t>
      </w:r>
      <w:proofErr w:type="gramEnd"/>
      <w:r>
        <w:t xml:space="preserve"> and complete BOI is the best approach to ensuring a BOR contains accurate, up-to-date and complete BOI. Where in-scope companies populate their BOR with prescribed BOI only, the use of such data will be relevant. Similarly, when in-scope companies comply with legal requirements in relation to notifying ASIC, and granting access to BORs, it will take reasonable steps to ensure use and disclosure is relevant.</w:t>
      </w:r>
    </w:p>
    <w:p w14:paraId="2DF6DFF1" w14:textId="77777777" w:rsidR="00A44F87" w:rsidRDefault="00A44F87" w:rsidP="00A44F87">
      <w:pPr>
        <w:pStyle w:val="NumberLevel1"/>
        <w:numPr>
          <w:ilvl w:val="0"/>
          <w:numId w:val="0"/>
        </w:numPr>
        <w:spacing w:before="100" w:after="100"/>
      </w:pPr>
    </w:p>
    <w:p w14:paraId="7766BC26" w14:textId="633D8655" w:rsidR="00B42922" w:rsidRDefault="00B42922" w:rsidP="000A52BB">
      <w:pPr>
        <w:pStyle w:val="Heading2"/>
      </w:pPr>
      <w:bookmarkStart w:id="152" w:name="_Toc163806627"/>
      <w:bookmarkStart w:id="153" w:name="_Toc168942766"/>
      <w:bookmarkEnd w:id="148"/>
      <w:r>
        <w:t>APP 11 – Security of personal information</w:t>
      </w:r>
      <w:bookmarkEnd w:id="152"/>
      <w:bookmarkEnd w:id="153"/>
    </w:p>
    <w:p w14:paraId="3B4CF53E" w14:textId="77777777" w:rsidR="00B42922" w:rsidRPr="00300903" w:rsidRDefault="00B42922" w:rsidP="00B42922">
      <w:pPr>
        <w:pStyle w:val="Heading3"/>
      </w:pPr>
      <w:r>
        <w:t xml:space="preserve">APP 11.1 – Protecting personal information held by APP </w:t>
      </w:r>
      <w:proofErr w:type="gramStart"/>
      <w:r>
        <w:t>entity</w:t>
      </w:r>
      <w:proofErr w:type="gramEnd"/>
    </w:p>
    <w:p w14:paraId="126913AF" w14:textId="77777777" w:rsidR="00B42922" w:rsidRDefault="00B42922" w:rsidP="00FA53AA">
      <w:pPr>
        <w:pStyle w:val="NumberLevel1"/>
        <w:spacing w:before="100" w:after="100"/>
      </w:pPr>
      <w:r>
        <w:t xml:space="preserve">APP 11.1 broadly deals with the ‘protection’ of personal information and requires an APP entity that </w:t>
      </w:r>
      <w:r w:rsidRPr="001F1D36">
        <w:t>holds</w:t>
      </w:r>
      <w:r>
        <w:t xml:space="preserve"> personal information to take </w:t>
      </w:r>
      <w:r w:rsidRPr="001F1D36">
        <w:t>reasonable steps</w:t>
      </w:r>
      <w:r>
        <w:t xml:space="preserve"> to protect the information from misuse, </w:t>
      </w:r>
      <w:proofErr w:type="gramStart"/>
      <w:r>
        <w:t>interference</w:t>
      </w:r>
      <w:proofErr w:type="gramEnd"/>
      <w:r>
        <w:t xml:space="preserve"> or loss, as well as unauthorised access, modification or disclosure. The ‘reasonable steps’ an APP entity is required to take to ensure the security of personal information will depend on the circumstances, including the following:</w:t>
      </w:r>
    </w:p>
    <w:p w14:paraId="6424D0FA" w14:textId="77777777" w:rsidR="00B42922" w:rsidRDefault="00B42922" w:rsidP="00FA53AA">
      <w:pPr>
        <w:pStyle w:val="NumberLevel2"/>
        <w:spacing w:before="100" w:after="100"/>
      </w:pPr>
      <w:r>
        <w:t>the nature of the entity</w:t>
      </w:r>
    </w:p>
    <w:p w14:paraId="7371EDB2" w14:textId="77777777" w:rsidR="00B42922" w:rsidRDefault="00B42922" w:rsidP="00FA53AA">
      <w:pPr>
        <w:pStyle w:val="NumberLevel2"/>
        <w:spacing w:before="100" w:after="100"/>
      </w:pPr>
      <w:r>
        <w:t xml:space="preserve">the amount and sensitivity of the personal information </w:t>
      </w:r>
      <w:proofErr w:type="gramStart"/>
      <w:r>
        <w:t>held</w:t>
      </w:r>
      <w:proofErr w:type="gramEnd"/>
    </w:p>
    <w:p w14:paraId="74B8AE90" w14:textId="77777777" w:rsidR="00B42922" w:rsidRDefault="00B42922" w:rsidP="00FA53AA">
      <w:pPr>
        <w:pStyle w:val="NumberLevel2"/>
        <w:spacing w:before="100" w:after="100"/>
      </w:pPr>
      <w:r>
        <w:t>the possible adverse consequences for individuals in the case of a breach</w:t>
      </w:r>
    </w:p>
    <w:p w14:paraId="6C0DAF8A" w14:textId="77777777" w:rsidR="00B42922" w:rsidRDefault="00B42922" w:rsidP="00FA53AA">
      <w:pPr>
        <w:pStyle w:val="NumberLevel2"/>
        <w:spacing w:before="100" w:after="100"/>
      </w:pPr>
      <w:r>
        <w:t xml:space="preserve">the practical implications of implementing the security measure, including the time and cost </w:t>
      </w:r>
      <w:proofErr w:type="gramStart"/>
      <w:r>
        <w:t>involved</w:t>
      </w:r>
      <w:proofErr w:type="gramEnd"/>
    </w:p>
    <w:p w14:paraId="64142A41" w14:textId="77777777" w:rsidR="00B42922" w:rsidRDefault="00B42922" w:rsidP="00FA53AA">
      <w:pPr>
        <w:pStyle w:val="NumberLevel2"/>
        <w:spacing w:before="100" w:after="100"/>
      </w:pPr>
      <w:r>
        <w:t xml:space="preserve">whether any relevant security measure is itself privacy invasive. </w:t>
      </w:r>
    </w:p>
    <w:p w14:paraId="74A5F9D2" w14:textId="6C6D3327" w:rsidR="00B42922" w:rsidRDefault="00B42922" w:rsidP="00B42922">
      <w:pPr>
        <w:pStyle w:val="NumberLevel1"/>
      </w:pPr>
      <w:r w:rsidRPr="004C3A31">
        <w:t xml:space="preserve">The OAIC’s </w:t>
      </w:r>
      <w:hyperlink r:id="rId31" w:history="1">
        <w:r w:rsidRPr="001F1D36">
          <w:rPr>
            <w:rStyle w:val="Hyperlink"/>
            <w:i/>
          </w:rPr>
          <w:t>Guide to securing personal information</w:t>
        </w:r>
      </w:hyperlink>
      <w:r w:rsidRPr="001F1D36">
        <w:rPr>
          <w:i/>
        </w:rPr>
        <w:t>, June 2018</w:t>
      </w:r>
      <w:r w:rsidRPr="004C3A31">
        <w:t xml:space="preserve"> (</w:t>
      </w:r>
      <w:r w:rsidRPr="001F1D36">
        <w:rPr>
          <w:b/>
        </w:rPr>
        <w:t>Security Guide</w:t>
      </w:r>
      <w:r w:rsidRPr="004C3A31">
        <w:t>) outlines 9 broad topics that ought to be considered when assessing how to best secure personal information held by an APP entity</w:t>
      </w:r>
      <w:r>
        <w:t>. The ‘reasonable steps’ an APP entity is required to take should, where relevant, include steps and strategies in relation to these topics. W</w:t>
      </w:r>
      <w:r w:rsidRPr="004C3A31">
        <w:t xml:space="preserve">e have addressed </w:t>
      </w:r>
      <w:r>
        <w:t>these</w:t>
      </w:r>
      <w:r w:rsidRPr="004C3A31">
        <w:t xml:space="preserve"> below</w:t>
      </w:r>
      <w:r>
        <w:t xml:space="preserve"> except for destruction and de-identification which is dealt with under APP 11.2</w:t>
      </w:r>
      <w:r w:rsidRPr="004C3A31">
        <w:t>.</w:t>
      </w:r>
    </w:p>
    <w:p w14:paraId="1E6DD0F2" w14:textId="77777777" w:rsidR="00B42922" w:rsidRDefault="00B42922" w:rsidP="00B42922">
      <w:pPr>
        <w:pStyle w:val="Heading4"/>
      </w:pPr>
      <w:r>
        <w:t>In-scope entities</w:t>
      </w:r>
    </w:p>
    <w:p w14:paraId="75F59DDE" w14:textId="5A753FA2" w:rsidR="00B42922" w:rsidRDefault="005B40F3" w:rsidP="00B42922">
      <w:pPr>
        <w:pStyle w:val="NumberLevel1"/>
      </w:pPr>
      <w:bookmarkStart w:id="154" w:name="_Ref163838566"/>
      <w:r>
        <w:t>As noted above, i</w:t>
      </w:r>
      <w:r w:rsidR="00B42922">
        <w:t>f the amendments to the Privacy Act pass into law, all in scope entities will come within the definition of an APP entity under the Privacy Act. As such, an obligation to take reasonable steps to protect personal information, including BORs, will apply to all in-scope entities.</w:t>
      </w:r>
      <w:bookmarkEnd w:id="154"/>
    </w:p>
    <w:p w14:paraId="6AB63233" w14:textId="14E94174" w:rsidR="00B42922" w:rsidRDefault="00B42922" w:rsidP="00B42922">
      <w:pPr>
        <w:pStyle w:val="NumberLevel1"/>
      </w:pPr>
      <w:r>
        <w:t xml:space="preserve">In the event these amendments to the Privacy Act do not occur, or if they occur after enactment of the </w:t>
      </w:r>
      <w:r w:rsidR="00E62A06">
        <w:t>BO Policy</w:t>
      </w:r>
      <w:r>
        <w:t xml:space="preserve">, we consider the </w:t>
      </w:r>
      <w:r w:rsidR="00E62A06">
        <w:t>BO Policy</w:t>
      </w:r>
      <w:r>
        <w:t xml:space="preserve"> should impose an obligation on in-scope entities to take reasonable steps to protect the personal information held in association with a BOR. This would extend beyond the BOR itself to other information including correspondence sent as part of Activity 1, and details of individuals who make an access application (</w:t>
      </w:r>
      <w:r w:rsidRPr="00B812E1">
        <w:rPr>
          <w:b/>
        </w:rPr>
        <w:t>Activity 5</w:t>
      </w:r>
      <w:r>
        <w:t xml:space="preserve">). </w:t>
      </w:r>
    </w:p>
    <w:p w14:paraId="6AB0C5BC" w14:textId="345056E8" w:rsidR="00B42922" w:rsidRDefault="00B42922" w:rsidP="00B42922">
      <w:pPr>
        <w:pStyle w:val="NumberLevel1"/>
      </w:pPr>
      <w:r>
        <w:t xml:space="preserve">Consistent with earlier recommendations, in-scope entities should receive guidance on the measures that would comprise reasonable steps to protect personal information, addressing the same topics as the OAIC’s Security Guide (see </w:t>
      </w:r>
      <w:hyperlink w:anchor="_Appendix_1_–" w:history="1">
        <w:r w:rsidR="00865C63" w:rsidRPr="00865C63">
          <w:rPr>
            <w:rStyle w:val="Hyperlink"/>
          </w:rPr>
          <w:t>Annexure</w:t>
        </w:r>
        <w:r w:rsidRPr="00865C63">
          <w:rPr>
            <w:rStyle w:val="Hyperlink"/>
          </w:rPr>
          <w:t xml:space="preserve"> A</w:t>
        </w:r>
      </w:hyperlink>
      <w:r>
        <w:t>). Specific guidance could include:</w:t>
      </w:r>
    </w:p>
    <w:tbl>
      <w:tblPr>
        <w:tblStyle w:val="TableGrid"/>
        <w:tblW w:w="8237" w:type="dxa"/>
        <w:tblInd w:w="-15"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1575"/>
        <w:gridCol w:w="6662"/>
      </w:tblGrid>
      <w:tr w:rsidR="00B42922" w:rsidRPr="00E528E2" w14:paraId="297EC4EC" w14:textId="77777777" w:rsidTr="003A0EB1">
        <w:trPr>
          <w:cantSplit/>
          <w:tblHeader/>
        </w:trPr>
        <w:tc>
          <w:tcPr>
            <w:tcW w:w="1575" w:type="dxa"/>
            <w:tcBorders>
              <w:top w:val="nil"/>
              <w:left w:val="nil"/>
              <w:bottom w:val="single" w:sz="12" w:space="0" w:color="204558"/>
              <w:right w:val="single" w:sz="12" w:space="0" w:color="204558"/>
            </w:tcBorders>
            <w:shd w:val="clear" w:color="auto" w:fill="C4DDEA"/>
            <w:hideMark/>
          </w:tcPr>
          <w:p w14:paraId="1A9EBD21" w14:textId="77777777" w:rsidR="00B42922" w:rsidRPr="00E528E2" w:rsidRDefault="00B42922" w:rsidP="003A0EB1">
            <w:pPr>
              <w:pStyle w:val="TableHeading2"/>
            </w:pPr>
            <w:r>
              <w:t>Topic</w:t>
            </w:r>
          </w:p>
        </w:tc>
        <w:tc>
          <w:tcPr>
            <w:tcW w:w="6662" w:type="dxa"/>
            <w:tcBorders>
              <w:top w:val="nil"/>
              <w:left w:val="single" w:sz="12" w:space="0" w:color="204558"/>
              <w:bottom w:val="single" w:sz="12" w:space="0" w:color="204558"/>
              <w:right w:val="nil"/>
            </w:tcBorders>
            <w:shd w:val="clear" w:color="auto" w:fill="C4DDEA"/>
          </w:tcPr>
          <w:p w14:paraId="56CA49D1" w14:textId="77777777" w:rsidR="00B42922" w:rsidRPr="00E528E2" w:rsidRDefault="00B42922" w:rsidP="003A0EB1">
            <w:pPr>
              <w:pStyle w:val="TableHeading2"/>
            </w:pPr>
            <w:r>
              <w:t>Explanation</w:t>
            </w:r>
          </w:p>
        </w:tc>
      </w:tr>
      <w:tr w:rsidR="00B42922" w:rsidRPr="00E528E2" w14:paraId="4B6988B7" w14:textId="77777777" w:rsidTr="003A0EB1">
        <w:tc>
          <w:tcPr>
            <w:tcW w:w="1575" w:type="dxa"/>
            <w:tcBorders>
              <w:top w:val="single" w:sz="12" w:space="0" w:color="204558"/>
              <w:left w:val="nil"/>
              <w:bottom w:val="single" w:sz="12" w:space="0" w:color="204558"/>
              <w:right w:val="single" w:sz="12" w:space="0" w:color="204558"/>
            </w:tcBorders>
            <w:vAlign w:val="top"/>
          </w:tcPr>
          <w:p w14:paraId="7F555E15" w14:textId="77777777" w:rsidR="00B42922" w:rsidRDefault="00B42922" w:rsidP="003A0EB1">
            <w:pPr>
              <w:pStyle w:val="TablePlainParagraph"/>
              <w:rPr>
                <w:b/>
              </w:rPr>
            </w:pPr>
            <w:r>
              <w:rPr>
                <w:b/>
              </w:rPr>
              <w:t xml:space="preserve">Governance, </w:t>
            </w:r>
            <w:proofErr w:type="gramStart"/>
            <w:r>
              <w:rPr>
                <w:b/>
              </w:rPr>
              <w:t>culture</w:t>
            </w:r>
            <w:proofErr w:type="gramEnd"/>
            <w:r>
              <w:rPr>
                <w:b/>
              </w:rPr>
              <w:t xml:space="preserve"> and training</w:t>
            </w:r>
          </w:p>
        </w:tc>
        <w:tc>
          <w:tcPr>
            <w:tcW w:w="6662" w:type="dxa"/>
            <w:tcBorders>
              <w:top w:val="single" w:sz="12" w:space="0" w:color="204558"/>
              <w:left w:val="single" w:sz="12" w:space="0" w:color="204558"/>
              <w:bottom w:val="single" w:sz="12" w:space="0" w:color="204558"/>
              <w:right w:val="nil"/>
            </w:tcBorders>
            <w:vAlign w:val="top"/>
          </w:tcPr>
          <w:p w14:paraId="09074F5B" w14:textId="77777777" w:rsidR="00B42922" w:rsidRDefault="00B42922" w:rsidP="00804008">
            <w:pPr>
              <w:pStyle w:val="TablePlainParagraph"/>
              <w:numPr>
                <w:ilvl w:val="0"/>
                <w:numId w:val="55"/>
              </w:numPr>
            </w:pPr>
            <w:r>
              <w:t xml:space="preserve">Ensure </w:t>
            </w:r>
            <w:r w:rsidRPr="00773396">
              <w:t xml:space="preserve">all employees are sufficiently trained in how to secure personal information and respond to </w:t>
            </w:r>
            <w:r>
              <w:t xml:space="preserve">data </w:t>
            </w:r>
            <w:r w:rsidRPr="00773396">
              <w:t>breaches</w:t>
            </w:r>
            <w:r>
              <w:t>.</w:t>
            </w:r>
          </w:p>
          <w:p w14:paraId="787C161F" w14:textId="5380B95C" w:rsidR="00B42922" w:rsidRDefault="00B42922" w:rsidP="00804008">
            <w:pPr>
              <w:pStyle w:val="TablePlainParagraph"/>
              <w:numPr>
                <w:ilvl w:val="0"/>
                <w:numId w:val="55"/>
              </w:numPr>
            </w:pPr>
            <w:r>
              <w:t>Implement governance arrangements includ</w:t>
            </w:r>
            <w:r w:rsidR="00F53F42">
              <w:t>ing</w:t>
            </w:r>
            <w:r>
              <w:t xml:space="preserve"> risk management for information security and clear decision-making responsibilities and frameworks for managing personal information security and breaches.</w:t>
            </w:r>
          </w:p>
        </w:tc>
      </w:tr>
      <w:tr w:rsidR="00B42922" w:rsidRPr="00E528E2" w14:paraId="2ABC0F50" w14:textId="77777777" w:rsidTr="00B0403F">
        <w:trPr>
          <w:cantSplit/>
        </w:trPr>
        <w:tc>
          <w:tcPr>
            <w:tcW w:w="1575" w:type="dxa"/>
            <w:tcBorders>
              <w:top w:val="single" w:sz="12" w:space="0" w:color="204558"/>
              <w:left w:val="nil"/>
              <w:bottom w:val="single" w:sz="12" w:space="0" w:color="204558"/>
              <w:right w:val="single" w:sz="12" w:space="0" w:color="204558"/>
            </w:tcBorders>
            <w:vAlign w:val="top"/>
          </w:tcPr>
          <w:p w14:paraId="2AAEAC39" w14:textId="77777777" w:rsidR="00B42922" w:rsidRPr="00B812E1" w:rsidDel="00773396" w:rsidRDefault="00B42922" w:rsidP="003A0EB1">
            <w:pPr>
              <w:pStyle w:val="TablePlainParagraph"/>
              <w:rPr>
                <w:b/>
              </w:rPr>
            </w:pPr>
            <w:r w:rsidRPr="00B812E1">
              <w:rPr>
                <w:b/>
              </w:rPr>
              <w:t xml:space="preserve">Internal practices, </w:t>
            </w:r>
            <w:proofErr w:type="gramStart"/>
            <w:r w:rsidRPr="00B812E1">
              <w:rPr>
                <w:b/>
              </w:rPr>
              <w:t>procedures</w:t>
            </w:r>
            <w:proofErr w:type="gramEnd"/>
            <w:r w:rsidRPr="00B812E1">
              <w:rPr>
                <w:b/>
              </w:rPr>
              <w:t xml:space="preserve"> and systems</w:t>
            </w:r>
          </w:p>
        </w:tc>
        <w:tc>
          <w:tcPr>
            <w:tcW w:w="6662" w:type="dxa"/>
            <w:tcBorders>
              <w:top w:val="single" w:sz="12" w:space="0" w:color="204558"/>
              <w:left w:val="single" w:sz="12" w:space="0" w:color="204558"/>
              <w:bottom w:val="single" w:sz="12" w:space="0" w:color="204558"/>
              <w:right w:val="nil"/>
            </w:tcBorders>
            <w:vAlign w:val="top"/>
          </w:tcPr>
          <w:p w14:paraId="0A11D516" w14:textId="6871A26F" w:rsidR="00B42922" w:rsidRDefault="00B42922" w:rsidP="00804008">
            <w:pPr>
              <w:pStyle w:val="TablePlainParagraph"/>
              <w:numPr>
                <w:ilvl w:val="0"/>
                <w:numId w:val="55"/>
              </w:numPr>
            </w:pPr>
            <w:r>
              <w:t>Develop standard operating procedures for managing BOR.</w:t>
            </w:r>
          </w:p>
          <w:p w14:paraId="69286051" w14:textId="1A174E84" w:rsidR="00B42922" w:rsidRDefault="00B42922" w:rsidP="00804008">
            <w:pPr>
              <w:pStyle w:val="TablePlainParagraph"/>
              <w:numPr>
                <w:ilvl w:val="0"/>
                <w:numId w:val="55"/>
              </w:numPr>
            </w:pPr>
            <w:r>
              <w:rPr>
                <w:lang w:eastAsia="en-US"/>
              </w:rPr>
              <w:t>Use</w:t>
            </w:r>
            <w:r w:rsidR="004A7AD9">
              <w:rPr>
                <w:lang w:eastAsia="en-US"/>
              </w:rPr>
              <w:t xml:space="preserve"> a consistent format for the creation and maintenance of BOR, designed to facilitate automatic removal of suppressed dat</w:t>
            </w:r>
            <w:r w:rsidR="000E202E">
              <w:rPr>
                <w:lang w:eastAsia="en-US"/>
              </w:rPr>
              <w:t>a</w:t>
            </w:r>
            <w:r w:rsidR="004A7AD9">
              <w:rPr>
                <w:lang w:eastAsia="en-US"/>
              </w:rPr>
              <w:t>, and facilitate data sharing where appropriate.</w:t>
            </w:r>
            <w:r>
              <w:rPr>
                <w:lang w:eastAsia="en-US"/>
              </w:rPr>
              <w:t xml:space="preserve"> </w:t>
            </w:r>
          </w:p>
          <w:p w14:paraId="4D03ED86" w14:textId="76A1A2B1" w:rsidR="00B42922" w:rsidRPr="000F2217" w:rsidRDefault="00B42922" w:rsidP="00804008">
            <w:pPr>
              <w:pStyle w:val="TablePlainParagraph"/>
              <w:numPr>
                <w:ilvl w:val="0"/>
                <w:numId w:val="55"/>
              </w:numPr>
            </w:pPr>
            <w:r>
              <w:rPr>
                <w:lang w:eastAsia="en-US"/>
              </w:rPr>
              <w:t xml:space="preserve">Alternatively, or additionally, appropriately redact information from </w:t>
            </w:r>
            <w:r w:rsidRPr="00460755">
              <w:rPr>
                <w:lang w:eastAsia="en-US"/>
              </w:rPr>
              <w:t>PDF</w:t>
            </w:r>
            <w:r>
              <w:rPr>
                <w:lang w:eastAsia="en-US"/>
              </w:rPr>
              <w:t xml:space="preserve"> copies of a BOR using a dedicated redaction tool </w:t>
            </w:r>
            <w:r w:rsidRPr="00460755">
              <w:rPr>
                <w:lang w:eastAsia="en-US"/>
              </w:rPr>
              <w:t>(e.g. Adobe Acrobat Pro</w:t>
            </w:r>
            <w:r w:rsidR="000E202E">
              <w:rPr>
                <w:lang w:eastAsia="en-US"/>
              </w:rPr>
              <w:t>fessional</w:t>
            </w:r>
            <w:r w:rsidRPr="00460755">
              <w:rPr>
                <w:lang w:eastAsia="en-US"/>
              </w:rPr>
              <w:t>).</w:t>
            </w:r>
          </w:p>
        </w:tc>
      </w:tr>
      <w:tr w:rsidR="00B42922" w:rsidRPr="00E528E2" w14:paraId="5758DE49" w14:textId="77777777" w:rsidTr="003A0EB1">
        <w:tc>
          <w:tcPr>
            <w:tcW w:w="1575" w:type="dxa"/>
            <w:tcBorders>
              <w:top w:val="single" w:sz="12" w:space="0" w:color="204558"/>
              <w:left w:val="nil"/>
              <w:bottom w:val="single" w:sz="12" w:space="0" w:color="204558"/>
              <w:right w:val="single" w:sz="12" w:space="0" w:color="204558"/>
            </w:tcBorders>
            <w:vAlign w:val="top"/>
          </w:tcPr>
          <w:p w14:paraId="0BA43D8B" w14:textId="77777777" w:rsidR="00B42922" w:rsidRDefault="00B42922" w:rsidP="003A0EB1">
            <w:pPr>
              <w:pStyle w:val="TablePlainParagraph"/>
              <w:rPr>
                <w:b/>
              </w:rPr>
            </w:pPr>
            <w:r>
              <w:rPr>
                <w:b/>
              </w:rPr>
              <w:t>ICT security</w:t>
            </w:r>
          </w:p>
        </w:tc>
        <w:tc>
          <w:tcPr>
            <w:tcW w:w="6662" w:type="dxa"/>
            <w:tcBorders>
              <w:top w:val="single" w:sz="12" w:space="0" w:color="204558"/>
              <w:left w:val="single" w:sz="12" w:space="0" w:color="204558"/>
              <w:bottom w:val="single" w:sz="12" w:space="0" w:color="204558"/>
              <w:right w:val="nil"/>
            </w:tcBorders>
            <w:vAlign w:val="top"/>
          </w:tcPr>
          <w:p w14:paraId="36D9A9EE" w14:textId="77777777" w:rsidR="00B42922" w:rsidRDefault="00B42922" w:rsidP="00804008">
            <w:pPr>
              <w:pStyle w:val="TablePlainParagraph"/>
              <w:numPr>
                <w:ilvl w:val="0"/>
                <w:numId w:val="56"/>
              </w:numPr>
            </w:pPr>
            <w:r>
              <w:t xml:space="preserve">Assess whether email and network security sufficiently </w:t>
            </w:r>
            <w:proofErr w:type="gramStart"/>
            <w:r>
              <w:t>protects</w:t>
            </w:r>
            <w:proofErr w:type="gramEnd"/>
            <w:r>
              <w:t xml:space="preserve"> BOR, including via encryption and other measures, and if information is securely backed up. </w:t>
            </w:r>
          </w:p>
        </w:tc>
      </w:tr>
      <w:tr w:rsidR="00B42922" w:rsidRPr="00E528E2" w14:paraId="129E120C" w14:textId="77777777" w:rsidTr="003A0EB1">
        <w:tc>
          <w:tcPr>
            <w:tcW w:w="1575" w:type="dxa"/>
            <w:tcBorders>
              <w:top w:val="single" w:sz="12" w:space="0" w:color="204558"/>
              <w:left w:val="nil"/>
              <w:bottom w:val="single" w:sz="12" w:space="0" w:color="204558"/>
              <w:right w:val="single" w:sz="12" w:space="0" w:color="204558"/>
            </w:tcBorders>
            <w:vAlign w:val="top"/>
          </w:tcPr>
          <w:p w14:paraId="075473A9" w14:textId="77777777" w:rsidR="00B42922" w:rsidRDefault="00B42922" w:rsidP="003A0EB1">
            <w:pPr>
              <w:pStyle w:val="TablePlainParagraph"/>
              <w:rPr>
                <w:b/>
              </w:rPr>
            </w:pPr>
            <w:r>
              <w:rPr>
                <w:b/>
              </w:rPr>
              <w:t>Access security</w:t>
            </w:r>
          </w:p>
        </w:tc>
        <w:tc>
          <w:tcPr>
            <w:tcW w:w="6662" w:type="dxa"/>
            <w:tcBorders>
              <w:top w:val="single" w:sz="12" w:space="0" w:color="204558"/>
              <w:left w:val="single" w:sz="12" w:space="0" w:color="204558"/>
              <w:bottom w:val="single" w:sz="12" w:space="0" w:color="204558"/>
              <w:right w:val="nil"/>
            </w:tcBorders>
            <w:vAlign w:val="top"/>
          </w:tcPr>
          <w:p w14:paraId="4DE5C567" w14:textId="147A82BD" w:rsidR="00B42922" w:rsidRDefault="00B42922" w:rsidP="00804008">
            <w:pPr>
              <w:pStyle w:val="TablePlainParagraph"/>
              <w:numPr>
                <w:ilvl w:val="0"/>
                <w:numId w:val="56"/>
              </w:numPr>
            </w:pPr>
            <w:r>
              <w:t xml:space="preserve">Restricting BOR access to staff who need access only, and review access </w:t>
            </w:r>
            <w:r w:rsidR="00B642B8">
              <w:t>privileges</w:t>
            </w:r>
            <w:r>
              <w:t xml:space="preserve"> regularly.</w:t>
            </w:r>
          </w:p>
          <w:p w14:paraId="02D2E44D" w14:textId="65AD81BB" w:rsidR="00B42922" w:rsidRDefault="00B42922" w:rsidP="00804008">
            <w:pPr>
              <w:pStyle w:val="TablePlainParagraph"/>
              <w:numPr>
                <w:ilvl w:val="0"/>
                <w:numId w:val="56"/>
              </w:numPr>
            </w:pPr>
            <w:r>
              <w:t>Keep logs of access to, and amendment of the BOR, and review au</w:t>
            </w:r>
            <w:r w:rsidR="00B642B8">
              <w:t>d</w:t>
            </w:r>
            <w:r>
              <w:t>it logs regularly.</w:t>
            </w:r>
          </w:p>
          <w:p w14:paraId="6F8D1651" w14:textId="77777777" w:rsidR="00B42922" w:rsidRPr="000F2217" w:rsidRDefault="00B42922" w:rsidP="00804008">
            <w:pPr>
              <w:pStyle w:val="TablePlainParagraph"/>
              <w:numPr>
                <w:ilvl w:val="0"/>
                <w:numId w:val="56"/>
              </w:numPr>
            </w:pPr>
            <w:r>
              <w:t xml:space="preserve">Maintaining a strong identity management and authentication framework, including </w:t>
            </w:r>
            <w:proofErr w:type="gramStart"/>
            <w:r>
              <w:t>through the use of</w:t>
            </w:r>
            <w:proofErr w:type="gramEnd"/>
            <w:r>
              <w:t xml:space="preserve"> passwords and passphrases. </w:t>
            </w:r>
          </w:p>
        </w:tc>
      </w:tr>
      <w:tr w:rsidR="00B42922" w:rsidRPr="00E528E2" w14:paraId="11AC7E02" w14:textId="77777777" w:rsidTr="003A0EB1">
        <w:tc>
          <w:tcPr>
            <w:tcW w:w="1575" w:type="dxa"/>
            <w:tcBorders>
              <w:top w:val="single" w:sz="12" w:space="0" w:color="204558"/>
              <w:left w:val="nil"/>
              <w:bottom w:val="single" w:sz="12" w:space="0" w:color="204558"/>
              <w:right w:val="single" w:sz="12" w:space="0" w:color="204558"/>
            </w:tcBorders>
            <w:vAlign w:val="top"/>
          </w:tcPr>
          <w:p w14:paraId="55272110" w14:textId="77777777" w:rsidR="00B42922" w:rsidRPr="00214E96" w:rsidRDefault="00B42922" w:rsidP="003A0EB1">
            <w:pPr>
              <w:pStyle w:val="TablePlainParagraph"/>
            </w:pPr>
            <w:r>
              <w:rPr>
                <w:b/>
              </w:rPr>
              <w:t>Third party providers</w:t>
            </w:r>
          </w:p>
        </w:tc>
        <w:tc>
          <w:tcPr>
            <w:tcW w:w="6662" w:type="dxa"/>
            <w:tcBorders>
              <w:top w:val="single" w:sz="12" w:space="0" w:color="204558"/>
              <w:left w:val="single" w:sz="12" w:space="0" w:color="204558"/>
              <w:bottom w:val="single" w:sz="12" w:space="0" w:color="204558"/>
              <w:right w:val="nil"/>
            </w:tcBorders>
            <w:vAlign w:val="top"/>
          </w:tcPr>
          <w:p w14:paraId="592C4052" w14:textId="03B40D79" w:rsidR="00B42922" w:rsidRPr="00E528E2" w:rsidRDefault="00B42922" w:rsidP="00804008">
            <w:pPr>
              <w:pStyle w:val="TablePlainParagraph"/>
              <w:numPr>
                <w:ilvl w:val="0"/>
                <w:numId w:val="56"/>
              </w:numPr>
            </w:pPr>
            <w:r>
              <w:t>Ensure contracts with third party providers contain appropriate measures to require the</w:t>
            </w:r>
            <w:r w:rsidR="004A7AD9">
              <w:t xml:space="preserve"> </w:t>
            </w:r>
            <w:r w:rsidR="000E202E">
              <w:t>contractor</w:t>
            </w:r>
            <w:r>
              <w:t xml:space="preserve"> to handle personal information as if they were the </w:t>
            </w:r>
            <w:r w:rsidR="0049483A">
              <w:t xml:space="preserve">in-scope company </w:t>
            </w:r>
            <w:r>
              <w:t xml:space="preserve">(i.e. to take steps to protect the BOR). </w:t>
            </w:r>
          </w:p>
        </w:tc>
      </w:tr>
      <w:tr w:rsidR="00B42922" w:rsidRPr="00E528E2" w14:paraId="0F023D1F" w14:textId="77777777" w:rsidTr="003A0EB1">
        <w:trPr>
          <w:trHeight w:val="57"/>
        </w:trPr>
        <w:tc>
          <w:tcPr>
            <w:tcW w:w="1575" w:type="dxa"/>
            <w:tcBorders>
              <w:top w:val="single" w:sz="12" w:space="0" w:color="204558"/>
              <w:left w:val="nil"/>
              <w:bottom w:val="single" w:sz="12" w:space="0" w:color="204558"/>
              <w:right w:val="single" w:sz="12" w:space="0" w:color="204558"/>
            </w:tcBorders>
            <w:vAlign w:val="top"/>
          </w:tcPr>
          <w:p w14:paraId="216ABBA4" w14:textId="77777777" w:rsidR="00B42922" w:rsidRPr="00E528E2" w:rsidRDefault="00B42922" w:rsidP="003A0EB1">
            <w:pPr>
              <w:pStyle w:val="TablePlainParagraph"/>
              <w:rPr>
                <w:b/>
              </w:rPr>
            </w:pPr>
            <w:r>
              <w:rPr>
                <w:b/>
              </w:rPr>
              <w:t xml:space="preserve">Physical security </w:t>
            </w:r>
          </w:p>
        </w:tc>
        <w:tc>
          <w:tcPr>
            <w:tcW w:w="6662" w:type="dxa"/>
            <w:tcBorders>
              <w:top w:val="single" w:sz="12" w:space="0" w:color="204558"/>
              <w:left w:val="single" w:sz="12" w:space="0" w:color="204558"/>
              <w:bottom w:val="single" w:sz="12" w:space="0" w:color="204558"/>
              <w:right w:val="nil"/>
            </w:tcBorders>
            <w:vAlign w:val="top"/>
          </w:tcPr>
          <w:p w14:paraId="16AD3CCD" w14:textId="42A4BE50" w:rsidR="00B42922" w:rsidRPr="00E528E2" w:rsidRDefault="00B42922" w:rsidP="00804008">
            <w:pPr>
              <w:pStyle w:val="TablePlainParagraph"/>
              <w:numPr>
                <w:ilvl w:val="0"/>
                <w:numId w:val="56"/>
              </w:numPr>
            </w:pPr>
            <w:r>
              <w:t xml:space="preserve">Ensure appropriate </w:t>
            </w:r>
            <w:r w:rsidR="00B642B8">
              <w:t>physical</w:t>
            </w:r>
            <w:r>
              <w:t xml:space="preserve"> security measures in relation to access to premises, </w:t>
            </w:r>
            <w:proofErr w:type="gramStart"/>
            <w:r>
              <w:t>devices</w:t>
            </w:r>
            <w:proofErr w:type="gramEnd"/>
            <w:r>
              <w:t xml:space="preserve"> and hard copy documents.</w:t>
            </w:r>
          </w:p>
        </w:tc>
      </w:tr>
      <w:tr w:rsidR="00B42922" w:rsidRPr="00E528E2" w14:paraId="4EE0CD9F" w14:textId="77777777" w:rsidTr="003A0EB1">
        <w:trPr>
          <w:trHeight w:val="57"/>
        </w:trPr>
        <w:tc>
          <w:tcPr>
            <w:tcW w:w="1575" w:type="dxa"/>
            <w:tcBorders>
              <w:top w:val="single" w:sz="12" w:space="0" w:color="204558"/>
              <w:left w:val="nil"/>
              <w:bottom w:val="single" w:sz="12" w:space="0" w:color="204558"/>
              <w:right w:val="single" w:sz="12" w:space="0" w:color="204558"/>
            </w:tcBorders>
            <w:vAlign w:val="top"/>
          </w:tcPr>
          <w:p w14:paraId="63EF8E06" w14:textId="77777777" w:rsidR="00B42922" w:rsidRDefault="00B42922" w:rsidP="003A0EB1">
            <w:pPr>
              <w:pStyle w:val="TablePlainParagraph"/>
              <w:rPr>
                <w:b/>
              </w:rPr>
            </w:pPr>
            <w:r>
              <w:rPr>
                <w:b/>
              </w:rPr>
              <w:t>Data breaches</w:t>
            </w:r>
          </w:p>
        </w:tc>
        <w:tc>
          <w:tcPr>
            <w:tcW w:w="6662" w:type="dxa"/>
            <w:tcBorders>
              <w:top w:val="single" w:sz="12" w:space="0" w:color="204558"/>
              <w:left w:val="single" w:sz="12" w:space="0" w:color="204558"/>
              <w:bottom w:val="single" w:sz="12" w:space="0" w:color="204558"/>
              <w:right w:val="nil"/>
            </w:tcBorders>
            <w:vAlign w:val="top"/>
          </w:tcPr>
          <w:p w14:paraId="41C8C956" w14:textId="7C1AE0A6" w:rsidR="00B42922" w:rsidRDefault="00B642B8" w:rsidP="000E202E">
            <w:pPr>
              <w:pStyle w:val="TablePlainParagraph"/>
              <w:numPr>
                <w:ilvl w:val="0"/>
                <w:numId w:val="56"/>
              </w:numPr>
            </w:pPr>
            <w:r>
              <w:t>Ensure</w:t>
            </w:r>
            <w:r w:rsidR="005B40F3">
              <w:t xml:space="preserve"> t</w:t>
            </w:r>
            <w:r w:rsidR="00B42922">
              <w:t>he entity has a data breach response plan (</w:t>
            </w:r>
            <w:r w:rsidR="00B42922" w:rsidRPr="00B812E1">
              <w:rPr>
                <w:b/>
              </w:rPr>
              <w:t>DBRP</w:t>
            </w:r>
            <w:r w:rsidR="00B42922">
              <w:t>) which covers responding to a data breach involving the BOR</w:t>
            </w:r>
            <w:r w:rsidR="000E202E">
              <w:t xml:space="preserve"> and is </w:t>
            </w:r>
            <w:r w:rsidR="00B42922">
              <w:t xml:space="preserve">prepared </w:t>
            </w:r>
            <w:proofErr w:type="gramStart"/>
            <w:r w:rsidR="00B42922">
              <w:t>with regard to</w:t>
            </w:r>
            <w:proofErr w:type="gramEnd"/>
            <w:r w:rsidR="00B42922">
              <w:t xml:space="preserve"> the OAIC guide </w:t>
            </w:r>
            <w:r w:rsidR="00B42922">
              <w:rPr>
                <w:rStyle w:val="Hyperlink"/>
                <w:i/>
              </w:rPr>
              <w:t>Data breach preparation and response – a guide to managing data breaches in accordance with the Privacy Act 1988</w:t>
            </w:r>
            <w:r w:rsidR="00B42922">
              <w:rPr>
                <w:i/>
              </w:rPr>
              <w:t xml:space="preserve"> </w:t>
            </w:r>
            <w:r w:rsidR="00B42922">
              <w:t>(July 2019)</w:t>
            </w:r>
          </w:p>
        </w:tc>
      </w:tr>
      <w:tr w:rsidR="00B42922" w:rsidRPr="00C76C26" w14:paraId="35CAC3AB" w14:textId="77777777" w:rsidTr="003A0EB1">
        <w:trPr>
          <w:trHeight w:val="57"/>
        </w:trPr>
        <w:tc>
          <w:tcPr>
            <w:tcW w:w="1575" w:type="dxa"/>
            <w:tcBorders>
              <w:top w:val="single" w:sz="12" w:space="0" w:color="204558"/>
              <w:left w:val="nil"/>
              <w:bottom w:val="nil"/>
              <w:right w:val="single" w:sz="12" w:space="0" w:color="204558"/>
            </w:tcBorders>
            <w:vAlign w:val="top"/>
          </w:tcPr>
          <w:p w14:paraId="213D1D63" w14:textId="77777777" w:rsidR="00B42922" w:rsidRPr="00E528E2" w:rsidRDefault="00B42922" w:rsidP="003A0EB1">
            <w:pPr>
              <w:pStyle w:val="TablePlainParagraph"/>
              <w:rPr>
                <w:b/>
              </w:rPr>
            </w:pPr>
            <w:r>
              <w:rPr>
                <w:b/>
              </w:rPr>
              <w:t>Standards</w:t>
            </w:r>
            <w:r>
              <w:rPr>
                <w:rStyle w:val="FootnoteReference"/>
                <w:b/>
              </w:rPr>
              <w:footnoteReference w:id="46"/>
            </w:r>
          </w:p>
        </w:tc>
        <w:tc>
          <w:tcPr>
            <w:tcW w:w="6662" w:type="dxa"/>
            <w:tcBorders>
              <w:top w:val="single" w:sz="12" w:space="0" w:color="204558"/>
              <w:left w:val="single" w:sz="12" w:space="0" w:color="204558"/>
              <w:bottom w:val="nil"/>
              <w:right w:val="nil"/>
            </w:tcBorders>
            <w:shd w:val="clear" w:color="auto" w:fill="auto"/>
            <w:vAlign w:val="top"/>
          </w:tcPr>
          <w:p w14:paraId="6768AD3C" w14:textId="0DD8B211" w:rsidR="00B42922" w:rsidRPr="00C76C26" w:rsidRDefault="00B42922" w:rsidP="00804008">
            <w:pPr>
              <w:pStyle w:val="TablePlainParagraph"/>
              <w:numPr>
                <w:ilvl w:val="0"/>
                <w:numId w:val="56"/>
              </w:numPr>
              <w:rPr>
                <w:lang w:eastAsia="en-US"/>
              </w:rPr>
            </w:pPr>
            <w:r>
              <w:t xml:space="preserve">Ensure BORs are maintained in accordance with any requirements in the </w:t>
            </w:r>
            <w:r w:rsidR="00E62A06">
              <w:t>BO Policy</w:t>
            </w:r>
            <w:r>
              <w:t>.</w:t>
            </w:r>
          </w:p>
        </w:tc>
      </w:tr>
    </w:tbl>
    <w:p w14:paraId="3EC14E0A" w14:textId="77777777" w:rsidR="00B42922" w:rsidRDefault="00B42922" w:rsidP="00B42922">
      <w:pPr>
        <w:pStyle w:val="Heading4"/>
      </w:pPr>
      <w:r>
        <w:t>ASIC and the RCA</w:t>
      </w:r>
    </w:p>
    <w:p w14:paraId="18DBA416" w14:textId="77777777" w:rsidR="00B42922" w:rsidRDefault="00B42922" w:rsidP="00B42922">
      <w:pPr>
        <w:pStyle w:val="NumberLevel1"/>
      </w:pPr>
      <w:r>
        <w:t xml:space="preserve">To the extent ASIC and the RCA will hold personal information, we anticipate </w:t>
      </w:r>
      <w:proofErr w:type="gramStart"/>
      <w:r>
        <w:t>that</w:t>
      </w:r>
      <w:proofErr w:type="gramEnd"/>
    </w:p>
    <w:p w14:paraId="3D329A49" w14:textId="77777777" w:rsidR="00B42922" w:rsidRDefault="00B42922" w:rsidP="00B42922">
      <w:pPr>
        <w:pStyle w:val="NumberLevel2"/>
      </w:pPr>
      <w:r>
        <w:t xml:space="preserve">existing arrangements for securing personal information will </w:t>
      </w:r>
      <w:proofErr w:type="gramStart"/>
      <w:r>
        <w:t>apply</w:t>
      </w:r>
      <w:proofErr w:type="gramEnd"/>
    </w:p>
    <w:p w14:paraId="5955C87F" w14:textId="5EBC5921" w:rsidR="00B42922" w:rsidRDefault="00B42922" w:rsidP="00B42922">
      <w:pPr>
        <w:pStyle w:val="NumberLevel2"/>
      </w:pPr>
      <w:r>
        <w:t xml:space="preserve">each entity will consider whether additional or expanded measures to protect personal information associated with the </w:t>
      </w:r>
      <w:r w:rsidR="00E62A06">
        <w:t>BO Policy</w:t>
      </w:r>
      <w:r>
        <w:t xml:space="preserve"> should be implemented.</w:t>
      </w:r>
    </w:p>
    <w:p w14:paraId="4AF99225" w14:textId="77777777" w:rsidR="00B42922" w:rsidRDefault="00B42922" w:rsidP="00B42922">
      <w:pPr>
        <w:pStyle w:val="NumberLevel1"/>
      </w:pPr>
      <w:r>
        <w:t xml:space="preserve">In the case of the RCA, this will include implementing appropriate ICT arrangements for the PCBOR. </w:t>
      </w:r>
    </w:p>
    <w:p w14:paraId="63685F65" w14:textId="6AD7FCA2" w:rsidR="00B42922" w:rsidRDefault="00B42922" w:rsidP="00B42922">
      <w:pPr>
        <w:pStyle w:val="NumberLevel1"/>
      </w:pPr>
      <w:r>
        <w:t xml:space="preserve">Due to the nature of the </w:t>
      </w:r>
      <w:r w:rsidR="00E62A06">
        <w:t>BO Policy</w:t>
      </w:r>
      <w:r>
        <w:t xml:space="preserve">, we consider </w:t>
      </w:r>
      <w:proofErr w:type="gramStart"/>
      <w:r>
        <w:t>ASIC</w:t>
      </w:r>
      <w:proofErr w:type="gramEnd"/>
      <w:r>
        <w:t xml:space="preserve"> and the RCA will need to conduct their own PIAs to assess privacy risks of implementing the </w:t>
      </w:r>
      <w:r w:rsidR="00E62A06">
        <w:t>BO Policy</w:t>
      </w:r>
      <w:r>
        <w:t>.</w:t>
      </w:r>
      <w:r>
        <w:rPr>
          <w:rStyle w:val="FootnoteReference"/>
        </w:rPr>
        <w:footnoteReference w:id="47"/>
      </w:r>
      <w:r>
        <w:t xml:space="preserve"> As each agency will examine security arrangements as part of these PIAs, we have not addressed these matters in this PIA</w:t>
      </w:r>
      <w:r w:rsidDel="002234A4">
        <w:t xml:space="preserve"> </w:t>
      </w:r>
    </w:p>
    <w:p w14:paraId="36208A3F" w14:textId="77777777" w:rsidR="00B42922" w:rsidRDefault="00B42922" w:rsidP="00B42922">
      <w:pPr>
        <w:pStyle w:val="Heading3"/>
      </w:pPr>
      <w:r>
        <w:t xml:space="preserve">APP 11.2 – Destruction or de-identification of information </w:t>
      </w:r>
    </w:p>
    <w:p w14:paraId="19646396" w14:textId="77777777" w:rsidR="00B42922" w:rsidRDefault="00B42922" w:rsidP="00B42922">
      <w:pPr>
        <w:pStyle w:val="NumberLevel1"/>
      </w:pPr>
      <w:r>
        <w:t xml:space="preserve">APP 11.2 requires APP entities to take reasonable steps to destroy or de-identify personal information that the entity no longer needs for a purpose permitted under the APPs. This obligation applies even where the entity does not physically possess the personal </w:t>
      </w:r>
      <w:proofErr w:type="gramStart"/>
      <w:r>
        <w:t>information, but</w:t>
      </w:r>
      <w:proofErr w:type="gramEnd"/>
      <w:r>
        <w:t xml:space="preserve"> has the right or power to deal with it.</w:t>
      </w:r>
      <w:r>
        <w:rPr>
          <w:rStyle w:val="FootnoteReference"/>
        </w:rPr>
        <w:footnoteReference w:id="48"/>
      </w:r>
    </w:p>
    <w:p w14:paraId="3B4D3D05" w14:textId="5C5D167D" w:rsidR="00B42922" w:rsidRDefault="00B42922" w:rsidP="00B42922">
      <w:pPr>
        <w:pStyle w:val="NumberLevel1"/>
      </w:pPr>
      <w:r>
        <w:rPr>
          <w:lang w:eastAsia="en-US"/>
        </w:rPr>
        <w:t xml:space="preserve">The proposed legislation will require in-scope companies to maintain records of point-in-time versions of their BORs for 7 years, however this obligation will not extend to other documents associated with the </w:t>
      </w:r>
      <w:r w:rsidR="00E62A06">
        <w:rPr>
          <w:lang w:eastAsia="en-US"/>
        </w:rPr>
        <w:t>BO Policy</w:t>
      </w:r>
      <w:r>
        <w:rPr>
          <w:lang w:eastAsia="en-US"/>
        </w:rPr>
        <w:t>, such as documents sighted as part of an identity check.</w:t>
      </w:r>
    </w:p>
    <w:p w14:paraId="1D2AC641" w14:textId="7A3494BF" w:rsidR="00B42922" w:rsidRDefault="00B42922" w:rsidP="00B42922">
      <w:pPr>
        <w:pStyle w:val="NumberLevel1"/>
      </w:pPr>
      <w:r>
        <w:t xml:space="preserve">To comply with APP 11 or any security obligation under the </w:t>
      </w:r>
      <w:r w:rsidR="00E62A06">
        <w:t>BO Policy</w:t>
      </w:r>
      <w:r>
        <w:t>, in-scope entities will need to:</w:t>
      </w:r>
    </w:p>
    <w:p w14:paraId="0D047280" w14:textId="77777777" w:rsidR="00B42922" w:rsidRDefault="00B42922" w:rsidP="00B42922">
      <w:pPr>
        <w:pStyle w:val="NumberLevel2"/>
      </w:pPr>
      <w:r>
        <w:t xml:space="preserve">delete BOR information at the end of the record keeping </w:t>
      </w:r>
      <w:proofErr w:type="gramStart"/>
      <w:r>
        <w:t>period</w:t>
      </w:r>
      <w:proofErr w:type="gramEnd"/>
    </w:p>
    <w:p w14:paraId="7EA94587" w14:textId="4DF6C28B" w:rsidR="00B42922" w:rsidRDefault="001775F9" w:rsidP="00B42922">
      <w:pPr>
        <w:pStyle w:val="NumberLevel2"/>
      </w:pPr>
      <w:r>
        <w:t xml:space="preserve">delete </w:t>
      </w:r>
      <w:r w:rsidR="00B42922">
        <w:t>other associated records which it no longer requires for a BO purpose.</w:t>
      </w:r>
    </w:p>
    <w:p w14:paraId="3EDD529D" w14:textId="77777777" w:rsidR="00B42922" w:rsidRDefault="00B42922" w:rsidP="00B42922">
      <w:pPr>
        <w:pStyle w:val="NumberLevel1"/>
      </w:pPr>
      <w:r>
        <w:t xml:space="preserve">Destruction of personal information may occur through irretrievable destruction, or where this is not possible for electronic information, putting the information ‘beyond use’. </w:t>
      </w:r>
    </w:p>
    <w:p w14:paraId="4BB73391" w14:textId="0922BFF3" w:rsidR="00B42922" w:rsidRDefault="00B42922" w:rsidP="00B42922">
      <w:pPr>
        <w:pStyle w:val="NumberLevel1"/>
      </w:pPr>
      <w:r>
        <w:t xml:space="preserve">Guidance prepared for in-scope entities should address appropriate destruction or de-identification of personal information, as set out in </w:t>
      </w:r>
      <w:hyperlink w:anchor="_Appendix_1_–" w:history="1">
        <w:r w:rsidRPr="00FA53AA">
          <w:rPr>
            <w:rStyle w:val="Hyperlink"/>
          </w:rPr>
          <w:t>Appendix A</w:t>
        </w:r>
      </w:hyperlink>
      <w:r>
        <w:t>.</w:t>
      </w:r>
    </w:p>
    <w:p w14:paraId="1A19B0B8" w14:textId="0EC79D35" w:rsidR="00E7212D" w:rsidRDefault="00332458" w:rsidP="000A52BB">
      <w:pPr>
        <w:pStyle w:val="Heading2"/>
      </w:pPr>
      <w:bookmarkStart w:id="155" w:name="_Toc168942767"/>
      <w:r>
        <w:t>APP 12 – A</w:t>
      </w:r>
      <w:r w:rsidRPr="00332458">
        <w:t>ccess to personal informatio</w:t>
      </w:r>
      <w:r w:rsidR="00E7212D">
        <w:t>n</w:t>
      </w:r>
      <w:bookmarkEnd w:id="155"/>
    </w:p>
    <w:p w14:paraId="37ACEED2" w14:textId="57295EF5" w:rsidR="00E7212D" w:rsidRDefault="00E7212D" w:rsidP="00E7212D">
      <w:pPr>
        <w:pStyle w:val="NumberLevel1"/>
      </w:pPr>
      <w:r>
        <w:t>APP 12.1 requires an APP entity that holds personal information about an individual to give the individual access to that information on request.</w:t>
      </w:r>
      <w:r w:rsidR="00C27909">
        <w:t xml:space="preserve"> APP 12.4 provides that access must be given within a reasonable period after the request is made.</w:t>
      </w:r>
    </w:p>
    <w:p w14:paraId="5458CD17" w14:textId="24A4C12B" w:rsidR="00E7212D" w:rsidRDefault="00E7212D" w:rsidP="00E7212D">
      <w:pPr>
        <w:pStyle w:val="NumberLevel1"/>
      </w:pPr>
      <w:r>
        <w:t>APP 12 also sets out other requirements in relation to giving access, including how access is to be given and when access can be refused. There are separate grounds on which agencies and organisations may refuse to give access.</w:t>
      </w:r>
    </w:p>
    <w:p w14:paraId="143D7DDE" w14:textId="77777777" w:rsidR="000E202E" w:rsidRDefault="00E7212D" w:rsidP="000E202E">
      <w:pPr>
        <w:pStyle w:val="NumberLevel1"/>
      </w:pPr>
      <w:r>
        <w:t>We expect that, where beneficial owners wish to access personal information held about them by ASIC or the RCA, access requests would be made and facilitated in accordance with</w:t>
      </w:r>
      <w:r w:rsidR="000E202E">
        <w:t>:</w:t>
      </w:r>
    </w:p>
    <w:p w14:paraId="78DD034B" w14:textId="0731EDD2" w:rsidR="000E202E" w:rsidRDefault="000E202E" w:rsidP="000E202E">
      <w:pPr>
        <w:pStyle w:val="NumberLevel2"/>
      </w:pPr>
      <w:r>
        <w:t>the BO Policy in relation to information held within the PCBOR in Stage 2</w:t>
      </w:r>
    </w:p>
    <w:p w14:paraId="5F9353A1" w14:textId="2E2943E1" w:rsidR="00E7212D" w:rsidRDefault="00E7212D" w:rsidP="00B0403F">
      <w:pPr>
        <w:pStyle w:val="NumberLevel2"/>
      </w:pPr>
      <w:r>
        <w:t>these agenc</w:t>
      </w:r>
      <w:r w:rsidR="00804CFD">
        <w:t>ie</w:t>
      </w:r>
      <w:r>
        <w:t>s</w:t>
      </w:r>
      <w:r w:rsidR="00804CFD">
        <w:t>’</w:t>
      </w:r>
      <w:r>
        <w:t xml:space="preserve"> ordinary processes and privacy policies</w:t>
      </w:r>
      <w:r w:rsidR="000E202E">
        <w:t xml:space="preserve"> in relation to other kinds of personal information</w:t>
      </w:r>
      <w:r>
        <w:t>.</w:t>
      </w:r>
    </w:p>
    <w:p w14:paraId="7B77EEED" w14:textId="4E3B4D56" w:rsidR="003F20B7" w:rsidRDefault="003F20B7" w:rsidP="00E7212D">
      <w:pPr>
        <w:pStyle w:val="NumberLevel1"/>
      </w:pPr>
      <w:r>
        <w:t xml:space="preserve">Similarly, in-scope companies could provide access to BOI held in the BOR under the </w:t>
      </w:r>
      <w:r w:rsidR="00E62A06">
        <w:t>BO Policy</w:t>
      </w:r>
      <w:r>
        <w:t xml:space="preserve"> or, if an APP entity, APP 12.1.</w:t>
      </w:r>
    </w:p>
    <w:p w14:paraId="77A2F11C" w14:textId="7A7C3E79" w:rsidR="003F20B7" w:rsidRDefault="003F20B7" w:rsidP="00E7212D">
      <w:pPr>
        <w:pStyle w:val="NumberLevel1"/>
      </w:pPr>
      <w:r>
        <w:t xml:space="preserve">Where a beneficial owner seeks access to other personal information held by an in-scope entity that is subject to the APPs, the in-scope entity would need to decide whether to release the information. </w:t>
      </w:r>
    </w:p>
    <w:p w14:paraId="424B8C2B" w14:textId="22231C48" w:rsidR="00E7212D" w:rsidRDefault="00E7212D" w:rsidP="00E7212D">
      <w:pPr>
        <w:pStyle w:val="NumberLevel1"/>
      </w:pPr>
      <w:r>
        <w:t>APP 12.3 provides a range of circumstances in which</w:t>
      </w:r>
      <w:r w:rsidR="00C27909">
        <w:t xml:space="preserve"> an in-scope company would be entitled to refuse to give to a beneficial owner the personal information that it holds about them. These circumstances include if doing so would post a serious threat to health, </w:t>
      </w:r>
      <w:proofErr w:type="gramStart"/>
      <w:r w:rsidR="00C27909">
        <w:t>life</w:t>
      </w:r>
      <w:proofErr w:type="gramEnd"/>
      <w:r w:rsidR="00C27909">
        <w:t xml:space="preserve"> or safety, if there would be an unreasonable privacy impact on other individuals, the request is frivolous or vexatious, </w:t>
      </w:r>
      <w:r w:rsidR="003F20B7">
        <w:t xml:space="preserve">it would prejudice enforcement activity </w:t>
      </w:r>
      <w:r w:rsidR="00C27909">
        <w:t xml:space="preserve">or </w:t>
      </w:r>
      <w:r w:rsidR="003F20B7">
        <w:t>denying access is required or authorised by or under an Australian law.</w:t>
      </w:r>
    </w:p>
    <w:p w14:paraId="5CF2122C" w14:textId="4C31BE9C" w:rsidR="00C27909" w:rsidRDefault="003F20B7" w:rsidP="003F20B7">
      <w:pPr>
        <w:pStyle w:val="NumberLevel1"/>
      </w:pPr>
      <w:r>
        <w:t xml:space="preserve">However, we expect that in most cases it is </w:t>
      </w:r>
      <w:r w:rsidR="00C27909">
        <w:t>unlikely that any of the APP 12.3 circumstances would apply to a request by a beneficial owner to access the personal information an in-scope company holds about them.</w:t>
      </w:r>
    </w:p>
    <w:p w14:paraId="3A0E7BE4" w14:textId="2B6A4648" w:rsidR="00C27909" w:rsidRDefault="00C27909" w:rsidP="003F20B7">
      <w:pPr>
        <w:pStyle w:val="NumberLevel1"/>
      </w:pPr>
      <w:r>
        <w:t xml:space="preserve">APP 12.8 allows for APP entities to charge individuals for giving access to the personal </w:t>
      </w:r>
      <w:proofErr w:type="gramStart"/>
      <w:r>
        <w:t>information, but</w:t>
      </w:r>
      <w:proofErr w:type="gramEnd"/>
      <w:r>
        <w:t xml:space="preserve"> requires that the charge must not be excessive and must not apply to the making of the request.</w:t>
      </w:r>
    </w:p>
    <w:p w14:paraId="67B43136" w14:textId="152A9390" w:rsidR="00E7578B" w:rsidRDefault="00E7578B" w:rsidP="00CC4F8C">
      <w:pPr>
        <w:pStyle w:val="NumberLevel1"/>
      </w:pPr>
      <w:bookmarkStart w:id="156" w:name="_Ref163838625"/>
      <w:r>
        <w:t>To assist in-scope companies to comply with their obligations under APP 12, guidance should be provided outlining the reasons they can refuse to provide access under APP 12.3, and the requirement to provide access within a reasonable period under APP 12.4.</w:t>
      </w:r>
      <w:r w:rsidR="00100521">
        <w:t xml:space="preserve"> Recommendations for the content of such guidance are included in the table at </w:t>
      </w:r>
      <w:hyperlink w:anchor="_Appendix_1_–" w:history="1">
        <w:r w:rsidR="00100521" w:rsidRPr="00100521">
          <w:rPr>
            <w:rStyle w:val="Hyperlink"/>
          </w:rPr>
          <w:t>Annexure A</w:t>
        </w:r>
      </w:hyperlink>
      <w:r w:rsidR="00100521">
        <w:t>.</w:t>
      </w:r>
      <w:bookmarkEnd w:id="156"/>
    </w:p>
    <w:p w14:paraId="3790B2B3" w14:textId="5CA12541" w:rsidR="00E7578B" w:rsidRDefault="00E7578B" w:rsidP="000A52BB">
      <w:pPr>
        <w:pStyle w:val="Heading2"/>
      </w:pPr>
      <w:bookmarkStart w:id="157" w:name="_Toc168942768"/>
      <w:r>
        <w:t>APP 13 – Correction of personal information</w:t>
      </w:r>
      <w:bookmarkEnd w:id="157"/>
    </w:p>
    <w:p w14:paraId="1CE02B4D" w14:textId="2BDD042D" w:rsidR="00CB1FFB" w:rsidRDefault="00CB1FFB" w:rsidP="003F20B7">
      <w:pPr>
        <w:pStyle w:val="NumberLevel1"/>
        <w:keepNext/>
        <w:keepLines/>
      </w:pPr>
      <w:r>
        <w:t>APP 13</w:t>
      </w:r>
      <w:r w:rsidR="004B4185">
        <w:t>.1</w:t>
      </w:r>
      <w:r>
        <w:t xml:space="preserve"> requires an APP entity to take reasonable steps to correct personal information to ensure that, having regard to the purpose for which it is held, it is accurate, up-to-date, complete, </w:t>
      </w:r>
      <w:proofErr w:type="gramStart"/>
      <w:r>
        <w:t>relevant</w:t>
      </w:r>
      <w:proofErr w:type="gramEnd"/>
      <w:r>
        <w:t xml:space="preserve"> and not misleading.</w:t>
      </w:r>
    </w:p>
    <w:p w14:paraId="5EE9E13E" w14:textId="48EFFFA9" w:rsidR="00CB1FFB" w:rsidRDefault="00CB1FFB" w:rsidP="00CB1FFB">
      <w:pPr>
        <w:pStyle w:val="NumberLevel1"/>
      </w:pPr>
      <w:r>
        <w:t>This requirement applies where:</w:t>
      </w:r>
    </w:p>
    <w:p w14:paraId="4D72F12C" w14:textId="5703E317" w:rsidR="00CB1FFB" w:rsidRDefault="00CB1FFB" w:rsidP="00CB1FFB">
      <w:pPr>
        <w:pStyle w:val="NumberLevel2"/>
      </w:pPr>
      <w:r>
        <w:t xml:space="preserve">the APP entity is satisfied the personal information is inaccurate, out-of-date, incomplete, </w:t>
      </w:r>
      <w:proofErr w:type="gramStart"/>
      <w:r>
        <w:t>irrelevant</w:t>
      </w:r>
      <w:proofErr w:type="gramEnd"/>
      <w:r>
        <w:t xml:space="preserve"> or misleading, having regard to a purpose for which it is held, or</w:t>
      </w:r>
    </w:p>
    <w:p w14:paraId="2D1F12F2" w14:textId="440649F4" w:rsidR="00E7578B" w:rsidRDefault="00CB1FFB" w:rsidP="00CB1FFB">
      <w:pPr>
        <w:pStyle w:val="NumberLevel2"/>
      </w:pPr>
      <w:r>
        <w:t>the individual requests the entity to correct the personal information.</w:t>
      </w:r>
    </w:p>
    <w:p w14:paraId="729A5AF8" w14:textId="53BFC961" w:rsidR="004B4185" w:rsidRDefault="004B4185" w:rsidP="00CB1FFB">
      <w:pPr>
        <w:pStyle w:val="NumberLevel1"/>
      </w:pPr>
      <w:r>
        <w:t>APP 13.2 provides that if</w:t>
      </w:r>
      <w:r w:rsidR="00F71212">
        <w:t xml:space="preserve"> a correction is made, and the individual asks the APP entity to notify another APP entity of the correction, the first APP entity must take reasonable steps to do so.</w:t>
      </w:r>
    </w:p>
    <w:p w14:paraId="7F9D72DD" w14:textId="1506D2E3" w:rsidR="00F71212" w:rsidRDefault="00F71212" w:rsidP="00CB1FFB">
      <w:pPr>
        <w:pStyle w:val="NumberLevel1"/>
      </w:pPr>
      <w:r>
        <w:t>APP 13.3 provides that an APP entity must advise an individual of certain matters if it refuses to correct personal information, including the reasons for the refusal and mechanisms available to complain about the refusal. APP 13.5 provides that organisations must respond to correction requests within 30 days.</w:t>
      </w:r>
    </w:p>
    <w:p w14:paraId="5AACB333" w14:textId="1636CA07" w:rsidR="00CB1FFB" w:rsidRDefault="00CB1FFB" w:rsidP="000E202E">
      <w:pPr>
        <w:pStyle w:val="NumberLevel1"/>
      </w:pPr>
      <w:r>
        <w:t xml:space="preserve">We expect that, where beneficial owners wish to </w:t>
      </w:r>
      <w:r w:rsidR="000E202E">
        <w:t xml:space="preserve">correct </w:t>
      </w:r>
      <w:r>
        <w:t xml:space="preserve">personal information held about them by ASIC or the RCA, </w:t>
      </w:r>
      <w:r w:rsidR="000E202E">
        <w:t xml:space="preserve">correction </w:t>
      </w:r>
      <w:r>
        <w:t>requests would be made and facilitated in accordance with these agenc</w:t>
      </w:r>
      <w:r w:rsidR="000F2055">
        <w:t>ie</w:t>
      </w:r>
      <w:r>
        <w:t>s</w:t>
      </w:r>
      <w:r w:rsidR="000F2055">
        <w:t>’</w:t>
      </w:r>
      <w:r>
        <w:t xml:space="preserve"> ordinary processes and privacy policies. </w:t>
      </w:r>
    </w:p>
    <w:p w14:paraId="37AC7FC0" w14:textId="54CDCDE6" w:rsidR="00CB1FFB" w:rsidRDefault="00CB1FFB" w:rsidP="00CB1FFB">
      <w:pPr>
        <w:pStyle w:val="NumberLevel1"/>
      </w:pPr>
      <w:r>
        <w:t>Accordingly, we confine the below analysis to requests to correct personal information held by in-scope companies.</w:t>
      </w:r>
      <w:r w:rsidR="00F71212">
        <w:t xml:space="preserve"> Treasury has requested specific advice on the privacy impacts of different record-keeping requirements.</w:t>
      </w:r>
    </w:p>
    <w:p w14:paraId="404FFB18" w14:textId="3E73CD85" w:rsidR="00CB1FFB" w:rsidRDefault="00F71212" w:rsidP="00CB1FFB">
      <w:pPr>
        <w:pStyle w:val="NumberLevel1"/>
      </w:pPr>
      <w:r>
        <w:t>We consider that there are two approaches available in prescribing record-keeping requirements for in-scope companies in relation to corrected personal information:</w:t>
      </w:r>
    </w:p>
    <w:p w14:paraId="1EAC2944" w14:textId="5412B016" w:rsidR="00F71212" w:rsidRDefault="00F71212" w:rsidP="00F71212">
      <w:pPr>
        <w:pStyle w:val="NumberLevel2"/>
      </w:pPr>
      <w:r>
        <w:t xml:space="preserve">first, </w:t>
      </w:r>
      <w:r w:rsidR="003F20B7">
        <w:t xml:space="preserve">the </w:t>
      </w:r>
      <w:r w:rsidR="00E62A06">
        <w:t>BO Policy</w:t>
      </w:r>
      <w:r w:rsidR="003F20B7">
        <w:t xml:space="preserve"> could require </w:t>
      </w:r>
      <w:r>
        <w:t>in-scope companies to delete/destroy or de-identify any records containing the incorrect information</w:t>
      </w:r>
      <w:r w:rsidR="00393D3F">
        <w:t xml:space="preserve"> (</w:t>
      </w:r>
      <w:r w:rsidR="00393D3F">
        <w:rPr>
          <w:b/>
        </w:rPr>
        <w:t>Option 1</w:t>
      </w:r>
      <w:r w:rsidR="00393D3F">
        <w:t>)</w:t>
      </w:r>
      <w:r>
        <w:t>, or</w:t>
      </w:r>
    </w:p>
    <w:p w14:paraId="3A272796" w14:textId="78C7DBA7" w:rsidR="00F71212" w:rsidRDefault="00F71212" w:rsidP="00F71212">
      <w:pPr>
        <w:pStyle w:val="NumberLevel2"/>
      </w:pPr>
      <w:r>
        <w:t xml:space="preserve">second, </w:t>
      </w:r>
      <w:r w:rsidR="003F20B7">
        <w:t xml:space="preserve">the </w:t>
      </w:r>
      <w:r w:rsidR="00E62A06">
        <w:t>BO Policy</w:t>
      </w:r>
      <w:r w:rsidR="003F20B7">
        <w:t xml:space="preserve"> could require </w:t>
      </w:r>
      <w:r>
        <w:t>in-scope companies to hold corrected personal information</w:t>
      </w:r>
      <w:r w:rsidR="00E0066E">
        <w:t xml:space="preserve"> in BORs</w:t>
      </w:r>
      <w:r>
        <w:t xml:space="preserve"> for 7 years, in line with the record keeping requirements </w:t>
      </w:r>
      <w:r w:rsidR="003B45AF">
        <w:t xml:space="preserve">for registers of company members </w:t>
      </w:r>
      <w:r>
        <w:t xml:space="preserve">set by </w:t>
      </w:r>
      <w:r w:rsidR="00393D3F">
        <w:t>s </w:t>
      </w:r>
      <w:r w:rsidR="003B45AF">
        <w:t>169</w:t>
      </w:r>
      <w:r w:rsidR="00E0066E">
        <w:t xml:space="preserve"> </w:t>
      </w:r>
      <w:r w:rsidR="00393D3F">
        <w:t>of the Corporations Act</w:t>
      </w:r>
      <w:r w:rsidR="00BD1C01">
        <w:t xml:space="preserve"> (</w:t>
      </w:r>
      <w:r w:rsidR="00BD1C01">
        <w:rPr>
          <w:b/>
        </w:rPr>
        <w:t>Option 2</w:t>
      </w:r>
      <w:r w:rsidR="00BD1C01">
        <w:t>)</w:t>
      </w:r>
      <w:r>
        <w:t>.</w:t>
      </w:r>
    </w:p>
    <w:p w14:paraId="7F4C23CE" w14:textId="4EF12744" w:rsidR="00F71212" w:rsidRDefault="003F20B7" w:rsidP="00DF58FC">
      <w:pPr>
        <w:pStyle w:val="NumberLevel1"/>
      </w:pPr>
      <w:r>
        <w:t xml:space="preserve">In our view, the preferred approach will depend on the nature of the information. Where an in-scope company corrects a typographical error in a record, the obligation to retain a record of the </w:t>
      </w:r>
      <w:r w:rsidR="00DF58FC">
        <w:t>incorrect information</w:t>
      </w:r>
      <w:r>
        <w:t xml:space="preserve"> for 7 years should not apply. </w:t>
      </w:r>
      <w:r w:rsidR="00BD1C01">
        <w:t>This reduces the risk of inadvertent future uses or disclosures of incorrect personal information within the in-scope company. It also mitigates against the risk of in-scope companies entering incorrect personal information into the PCBOR in Stage</w:t>
      </w:r>
      <w:r w:rsidR="00E0066E">
        <w:t> </w:t>
      </w:r>
      <w:r w:rsidR="00BD1C01">
        <w:t>2.</w:t>
      </w:r>
    </w:p>
    <w:p w14:paraId="586B87CD" w14:textId="770B2F1F" w:rsidR="00BD1C01" w:rsidRDefault="00DF58FC" w:rsidP="00F71212">
      <w:pPr>
        <w:pStyle w:val="NumberLevel1"/>
      </w:pPr>
      <w:r>
        <w:t xml:space="preserve">However, where an individual corrects other information, such as their name or address, we think the in-scope entity should retain records of these changes. We anticipate these details </w:t>
      </w:r>
      <w:r w:rsidR="00CC4F8C">
        <w:t xml:space="preserve">would serve a benefit to law enforcement agencies or regulators, </w:t>
      </w:r>
      <w:r>
        <w:t>including</w:t>
      </w:r>
      <w:r w:rsidR="00CC4F8C">
        <w:t xml:space="preserve"> ASIC in conducting its auditing and compliance functions in requiring in-scope companies to </w:t>
      </w:r>
      <w:r>
        <w:t xml:space="preserve">maintain </w:t>
      </w:r>
      <w:proofErr w:type="gramStart"/>
      <w:r>
        <w:t>up-to-date</w:t>
      </w:r>
      <w:proofErr w:type="gramEnd"/>
      <w:r>
        <w:t xml:space="preserve"> BORs.</w:t>
      </w:r>
    </w:p>
    <w:p w14:paraId="031BA97B" w14:textId="384B7A0B" w:rsidR="00DF58FC" w:rsidRDefault="00DF58FC" w:rsidP="00F71212">
      <w:pPr>
        <w:pStyle w:val="NumberLevel1"/>
      </w:pPr>
      <w:r>
        <w:t>Additionally, in-scope entities could keep a central log of corrections made to the BOR (e.g. a versions log).</w:t>
      </w:r>
    </w:p>
    <w:tbl>
      <w:tblPr>
        <w:tblStyle w:val="TableGrid"/>
        <w:tblW w:w="8222"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ayout w:type="fixed"/>
        <w:tblLook w:val="04A0" w:firstRow="1" w:lastRow="0" w:firstColumn="1" w:lastColumn="0" w:noHBand="0" w:noVBand="1"/>
      </w:tblPr>
      <w:tblGrid>
        <w:gridCol w:w="1276"/>
        <w:gridCol w:w="6946"/>
      </w:tblGrid>
      <w:tr w:rsidR="00EB3AFF" w:rsidRPr="004B51FC" w14:paraId="57553B86" w14:textId="77777777" w:rsidTr="0065241F">
        <w:trPr>
          <w:trHeight w:val="332"/>
        </w:trPr>
        <w:tc>
          <w:tcPr>
            <w:tcW w:w="8222" w:type="dxa"/>
            <w:gridSpan w:val="2"/>
            <w:tcBorders>
              <w:top w:val="single" w:sz="12" w:space="0" w:color="000000" w:themeColor="text1"/>
              <w:bottom w:val="single" w:sz="12" w:space="0" w:color="204558"/>
            </w:tcBorders>
            <w:shd w:val="clear" w:color="auto" w:fill="C4DDEA"/>
          </w:tcPr>
          <w:p w14:paraId="49623342" w14:textId="73F41D0B" w:rsidR="00EB3AFF" w:rsidRPr="004B51FC" w:rsidRDefault="00EB3AFF" w:rsidP="0065241F">
            <w:pPr>
              <w:pStyle w:val="TableHeading2"/>
              <w:spacing w:before="200" w:after="120"/>
            </w:pPr>
            <w:bookmarkStart w:id="158" w:name="Recommendation11" w:colFirst="0" w:colLast="1"/>
            <w:r>
              <w:t>Recommendation 1</w:t>
            </w:r>
            <w:r w:rsidR="00DF58FC">
              <w:t>1</w:t>
            </w:r>
            <w:r>
              <w:t xml:space="preserve"> – </w:t>
            </w:r>
            <w:r w:rsidR="00DF58FC">
              <w:t>Require</w:t>
            </w:r>
            <w:r>
              <w:t xml:space="preserve"> in-scope companies to maintain a log of corrections</w:t>
            </w:r>
          </w:p>
        </w:tc>
      </w:tr>
      <w:tr w:rsidR="00EB3AFF" w:rsidRPr="00C56D18" w14:paraId="5E699787" w14:textId="77777777" w:rsidTr="00DF58FC">
        <w:trPr>
          <w:trHeight w:val="332"/>
        </w:trPr>
        <w:tc>
          <w:tcPr>
            <w:tcW w:w="8222" w:type="dxa"/>
            <w:gridSpan w:val="2"/>
            <w:tcBorders>
              <w:top w:val="single" w:sz="12" w:space="0" w:color="204558"/>
              <w:bottom w:val="single" w:sz="12" w:space="0" w:color="204558"/>
            </w:tcBorders>
            <w:shd w:val="clear" w:color="auto" w:fill="DEEAF6" w:themeFill="accent5" w:themeFillTint="33"/>
          </w:tcPr>
          <w:p w14:paraId="7BD967A1" w14:textId="07581AC5" w:rsidR="00EB3AFF" w:rsidRPr="00C56D18" w:rsidRDefault="00EB3AFF" w:rsidP="0065241F">
            <w:pPr>
              <w:pStyle w:val="TableHeading2"/>
              <w:spacing w:before="120" w:after="120"/>
              <w:rPr>
                <w:b w:val="0"/>
              </w:rPr>
            </w:pPr>
            <w:r w:rsidRPr="00DE4139">
              <w:t>Issue:</w:t>
            </w:r>
            <w:r>
              <w:rPr>
                <w:b w:val="0"/>
              </w:rPr>
              <w:t xml:space="preserve"> </w:t>
            </w:r>
            <w:r w:rsidR="00DF58FC">
              <w:rPr>
                <w:b w:val="0"/>
              </w:rPr>
              <w:t xml:space="preserve">Where incorrect information </w:t>
            </w:r>
            <w:r w:rsidR="00E0066E">
              <w:rPr>
                <w:b w:val="0"/>
              </w:rPr>
              <w:t xml:space="preserve">in a BOR </w:t>
            </w:r>
            <w:r w:rsidR="00DF58FC">
              <w:rPr>
                <w:b w:val="0"/>
              </w:rPr>
              <w:t xml:space="preserve">is updated, the obligation to retain records for 7 years may conflict with the need, under APP 11.2, to </w:t>
            </w:r>
            <w:r>
              <w:rPr>
                <w:b w:val="0"/>
              </w:rPr>
              <w:t>destro</w:t>
            </w:r>
            <w:r w:rsidR="00DF58FC">
              <w:rPr>
                <w:b w:val="0"/>
              </w:rPr>
              <w:t>y personal information an entity no longer requires for a purpose under the APPs.</w:t>
            </w:r>
          </w:p>
        </w:tc>
      </w:tr>
      <w:tr w:rsidR="00EB3AFF" w:rsidRPr="00AB39B6" w14:paraId="205C2272" w14:textId="77777777" w:rsidTr="0065241F">
        <w:trPr>
          <w:trHeight w:val="332"/>
        </w:trPr>
        <w:tc>
          <w:tcPr>
            <w:tcW w:w="8222" w:type="dxa"/>
            <w:gridSpan w:val="2"/>
            <w:tcBorders>
              <w:top w:val="single" w:sz="12" w:space="0" w:color="204558"/>
              <w:bottom w:val="single" w:sz="12" w:space="0" w:color="204558"/>
            </w:tcBorders>
            <w:shd w:val="clear" w:color="auto" w:fill="EDF5F9"/>
          </w:tcPr>
          <w:p w14:paraId="15BC4630" w14:textId="237D9760" w:rsidR="00EB3AFF" w:rsidRDefault="00EB3AFF" w:rsidP="0065241F">
            <w:pPr>
              <w:pStyle w:val="TableHeading2"/>
              <w:spacing w:before="120" w:after="60"/>
              <w:rPr>
                <w:b w:val="0"/>
              </w:rPr>
            </w:pPr>
            <w:r w:rsidRPr="00DE4139">
              <w:t>AGS Recommendation:</w:t>
            </w:r>
            <w:r>
              <w:rPr>
                <w:b w:val="0"/>
              </w:rPr>
              <w:t xml:space="preserve"> </w:t>
            </w:r>
            <w:r w:rsidR="00DF58FC">
              <w:rPr>
                <w:b w:val="0"/>
              </w:rPr>
              <w:t xml:space="preserve">The </w:t>
            </w:r>
            <w:r w:rsidR="00E62A06">
              <w:rPr>
                <w:b w:val="0"/>
              </w:rPr>
              <w:t>BO Policy</w:t>
            </w:r>
            <w:r w:rsidR="00DF58FC">
              <w:rPr>
                <w:b w:val="0"/>
              </w:rPr>
              <w:t xml:space="preserve"> require i</w:t>
            </w:r>
            <w:r>
              <w:rPr>
                <w:b w:val="0"/>
              </w:rPr>
              <w:t xml:space="preserve">n-scope companies who correct incorrect personal information </w:t>
            </w:r>
            <w:r w:rsidR="00E0066E">
              <w:rPr>
                <w:b w:val="0"/>
              </w:rPr>
              <w:t xml:space="preserve">in a BOR </w:t>
            </w:r>
            <w:r>
              <w:rPr>
                <w:b w:val="0"/>
              </w:rPr>
              <w:t>to:</w:t>
            </w:r>
          </w:p>
          <w:p w14:paraId="4F616114" w14:textId="147C30CE" w:rsidR="00EB3AFF" w:rsidRDefault="00EB3AFF" w:rsidP="00804008">
            <w:pPr>
              <w:pStyle w:val="TablePlainParagraph"/>
              <w:numPr>
                <w:ilvl w:val="0"/>
                <w:numId w:val="53"/>
              </w:numPr>
            </w:pPr>
            <w:r w:rsidRPr="00EB3AFF">
              <w:t xml:space="preserve">delete/destroy or de-identify any </w:t>
            </w:r>
            <w:r w:rsidR="00E0066E">
              <w:t xml:space="preserve">BOR </w:t>
            </w:r>
            <w:r w:rsidR="00DF58FC">
              <w:t xml:space="preserve">altered to correct typographical </w:t>
            </w:r>
            <w:proofErr w:type="gramStart"/>
            <w:r w:rsidR="00DF58FC">
              <w:t>errors</w:t>
            </w:r>
            <w:proofErr w:type="gramEnd"/>
          </w:p>
          <w:p w14:paraId="1E80481D" w14:textId="09B24466" w:rsidR="00DF58FC" w:rsidRDefault="00DF58FC" w:rsidP="00804008">
            <w:pPr>
              <w:pStyle w:val="TablePlainParagraph"/>
              <w:numPr>
                <w:ilvl w:val="0"/>
                <w:numId w:val="53"/>
              </w:numPr>
            </w:pPr>
            <w:r>
              <w:t>keep a record of correct</w:t>
            </w:r>
            <w:r w:rsidR="00E0066E">
              <w:t xml:space="preserve">ions to the BOR </w:t>
            </w:r>
            <w:r>
              <w:t xml:space="preserve">for 7 years as per recording keeping </w:t>
            </w:r>
            <w:proofErr w:type="gramStart"/>
            <w:r>
              <w:t>obligations</w:t>
            </w:r>
            <w:proofErr w:type="gramEnd"/>
          </w:p>
          <w:p w14:paraId="13E7029E" w14:textId="0FBFB004" w:rsidR="00EB3AFF" w:rsidRPr="00EB3AFF" w:rsidRDefault="00EB3AFF" w:rsidP="00804008">
            <w:pPr>
              <w:pStyle w:val="TablePlainParagraph"/>
              <w:numPr>
                <w:ilvl w:val="0"/>
                <w:numId w:val="53"/>
              </w:numPr>
            </w:pPr>
            <w:r>
              <w:t xml:space="preserve">keep a </w:t>
            </w:r>
            <w:r w:rsidR="00DF58FC">
              <w:t xml:space="preserve">central </w:t>
            </w:r>
            <w:r>
              <w:t>log of corrections to personal information</w:t>
            </w:r>
            <w:r w:rsidR="00E0066E">
              <w:t xml:space="preserve"> within a BOR</w:t>
            </w:r>
            <w:r w:rsidR="00DF58FC">
              <w:t>.</w:t>
            </w:r>
          </w:p>
        </w:tc>
      </w:tr>
      <w:tr w:rsidR="00EB3AFF" w:rsidRPr="00B83500" w14:paraId="60B46674" w14:textId="77777777" w:rsidTr="0065241F">
        <w:trPr>
          <w:trHeight w:val="269"/>
        </w:trPr>
        <w:tc>
          <w:tcPr>
            <w:tcW w:w="1276" w:type="dxa"/>
            <w:tcBorders>
              <w:top w:val="single" w:sz="12" w:space="0" w:color="204558"/>
              <w:bottom w:val="single" w:sz="12" w:space="0" w:color="000000" w:themeColor="text1"/>
            </w:tcBorders>
            <w:shd w:val="clear" w:color="auto" w:fill="auto"/>
          </w:tcPr>
          <w:p w14:paraId="09A227FD" w14:textId="77777777" w:rsidR="00EB3AFF" w:rsidRPr="004B51FC" w:rsidRDefault="00EB3AFF" w:rsidP="0065241F">
            <w:pPr>
              <w:pStyle w:val="NumberLevel1"/>
              <w:numPr>
                <w:ilvl w:val="0"/>
                <w:numId w:val="0"/>
              </w:numPr>
              <w:spacing w:before="120" w:after="120"/>
              <w:rPr>
                <w:b/>
              </w:rPr>
            </w:pPr>
            <w:r w:rsidRPr="004B51FC">
              <w:rPr>
                <w:b/>
              </w:rPr>
              <w:t>Response:</w:t>
            </w:r>
          </w:p>
        </w:tc>
        <w:tc>
          <w:tcPr>
            <w:tcW w:w="6946" w:type="dxa"/>
            <w:tcBorders>
              <w:top w:val="single" w:sz="12" w:space="0" w:color="204558"/>
              <w:bottom w:val="single" w:sz="12" w:space="0" w:color="000000" w:themeColor="text1"/>
            </w:tcBorders>
            <w:shd w:val="clear" w:color="auto" w:fill="auto"/>
          </w:tcPr>
          <w:p w14:paraId="2CE4CDB5" w14:textId="77777777" w:rsidR="00EB3AFF" w:rsidRPr="00B83500" w:rsidRDefault="00EB3AFF" w:rsidP="0065241F">
            <w:pPr>
              <w:pStyle w:val="TableHeading2"/>
              <w:spacing w:before="200" w:after="120"/>
              <w:rPr>
                <w:b w:val="0"/>
              </w:rPr>
            </w:pPr>
          </w:p>
        </w:tc>
      </w:tr>
    </w:tbl>
    <w:p w14:paraId="133CAF77" w14:textId="1D6BBD54" w:rsidR="00CC4F8C" w:rsidRDefault="00183CCC" w:rsidP="00F71212">
      <w:pPr>
        <w:pStyle w:val="NumberLevel1"/>
      </w:pPr>
      <w:bookmarkStart w:id="159" w:name="_Ref163838637"/>
      <w:bookmarkEnd w:id="158"/>
      <w:r>
        <w:t xml:space="preserve">Guidance should also be provided to in-scope companies detailing their </w:t>
      </w:r>
      <w:r w:rsidRPr="00966F08">
        <w:t>obligations under APP 13</w:t>
      </w:r>
      <w:r>
        <w:t xml:space="preserve"> if they detect that they hold incorrect personal </w:t>
      </w:r>
      <w:proofErr w:type="gramStart"/>
      <w:r>
        <w:t>information, or</w:t>
      </w:r>
      <w:proofErr w:type="gramEnd"/>
      <w:r>
        <w:t xml:space="preserve"> receive a request to correct personal information.</w:t>
      </w:r>
      <w:r w:rsidR="00EB3AFF">
        <w:t xml:space="preserve"> Our recommendations for such are included in the table at </w:t>
      </w:r>
      <w:bookmarkEnd w:id="159"/>
      <w:r w:rsidR="00F72B3E">
        <w:fldChar w:fldCharType="begin"/>
      </w:r>
      <w:r w:rsidR="00F72B3E">
        <w:instrText>HYPERLINK \l "_Appendix_1_–"</w:instrText>
      </w:r>
      <w:r w:rsidR="00F72B3E">
        <w:fldChar w:fldCharType="separate"/>
      </w:r>
      <w:r w:rsidR="00EB3AFF" w:rsidRPr="00EB3AFF">
        <w:rPr>
          <w:rStyle w:val="Hyperlink"/>
        </w:rPr>
        <w:t>Annexure A</w:t>
      </w:r>
      <w:r w:rsidR="00F72B3E">
        <w:rPr>
          <w:rStyle w:val="Hyperlink"/>
        </w:rPr>
        <w:fldChar w:fldCharType="end"/>
      </w:r>
      <w:r w:rsidR="00EB3AFF">
        <w:t>.</w:t>
      </w:r>
    </w:p>
    <w:p w14:paraId="3A0884A4" w14:textId="6D567A5F" w:rsidR="00E7212D" w:rsidRDefault="00E7212D" w:rsidP="00E7212D"/>
    <w:p w14:paraId="29A183A0" w14:textId="77777777" w:rsidR="00E7212D" w:rsidRPr="00E7212D" w:rsidRDefault="00E7212D" w:rsidP="00E7212D">
      <w:pPr>
        <w:sectPr w:rsidR="00E7212D" w:rsidRPr="00E7212D" w:rsidSect="003F53CD">
          <w:pgSz w:w="11906" w:h="16838"/>
          <w:pgMar w:top="1134" w:right="1418" w:bottom="1701" w:left="2268" w:header="708" w:footer="708" w:gutter="0"/>
          <w:cols w:space="708"/>
          <w:docGrid w:linePitch="360"/>
        </w:sectPr>
      </w:pPr>
    </w:p>
    <w:p w14:paraId="0E9FC69C" w14:textId="6843A096" w:rsidR="00F475C3" w:rsidRDefault="00F475C3" w:rsidP="00F4781D">
      <w:pPr>
        <w:pStyle w:val="Heading1"/>
        <w:spacing w:before="120" w:after="240"/>
      </w:pPr>
      <w:bookmarkStart w:id="160" w:name="_Appendix_1_–"/>
      <w:bookmarkStart w:id="161" w:name="_Annexure_A_–"/>
      <w:bookmarkStart w:id="162" w:name="_Toc168942769"/>
      <w:bookmarkStart w:id="163" w:name="AnnexureA"/>
      <w:bookmarkStart w:id="164" w:name="_Hlk163825496"/>
      <w:bookmarkStart w:id="165" w:name="_Toc132359649"/>
      <w:bookmarkStart w:id="166" w:name="_Toc160444102"/>
      <w:bookmarkEnd w:id="160"/>
      <w:bookmarkEnd w:id="161"/>
      <w:r>
        <w:t xml:space="preserve">Annexure A – Guidance to provide to in-scope </w:t>
      </w:r>
      <w:proofErr w:type="gramStart"/>
      <w:r>
        <w:t>companies</w:t>
      </w:r>
      <w:bookmarkEnd w:id="162"/>
      <w:proofErr w:type="gramEnd"/>
    </w:p>
    <w:tbl>
      <w:tblPr>
        <w:tblStyle w:val="TableGrid"/>
        <w:tblW w:w="492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561"/>
        <w:gridCol w:w="1561"/>
        <w:gridCol w:w="1075"/>
        <w:gridCol w:w="872"/>
        <w:gridCol w:w="11083"/>
      </w:tblGrid>
      <w:tr w:rsidR="003A0EB1" w:rsidRPr="00121519" w14:paraId="1718FF2A" w14:textId="77777777" w:rsidTr="00F4781D">
        <w:trPr>
          <w:cantSplit/>
          <w:tblHeader/>
        </w:trPr>
        <w:tc>
          <w:tcPr>
            <w:tcW w:w="185" w:type="pct"/>
            <w:shd w:val="clear" w:color="auto" w:fill="C4DDEA"/>
            <w:vAlign w:val="top"/>
          </w:tcPr>
          <w:bookmarkEnd w:id="163"/>
          <w:p w14:paraId="6CDDA3C2" w14:textId="6ABC1749" w:rsidR="003A0EB1" w:rsidRPr="00DE66F5" w:rsidRDefault="003A0EB1" w:rsidP="00BA1717">
            <w:pPr>
              <w:pStyle w:val="NumberLevel1"/>
              <w:numPr>
                <w:ilvl w:val="0"/>
                <w:numId w:val="0"/>
              </w:numPr>
              <w:rPr>
                <w:b/>
              </w:rPr>
            </w:pPr>
            <w:r>
              <w:rPr>
                <w:b/>
              </w:rPr>
              <w:t>#</w:t>
            </w:r>
          </w:p>
        </w:tc>
        <w:tc>
          <w:tcPr>
            <w:tcW w:w="515" w:type="pct"/>
            <w:shd w:val="clear" w:color="auto" w:fill="C4DDEA"/>
            <w:vAlign w:val="top"/>
          </w:tcPr>
          <w:p w14:paraId="3A84E4C8" w14:textId="72C43978" w:rsidR="003A0EB1" w:rsidRPr="00DE66F5" w:rsidRDefault="003A0EB1" w:rsidP="00BA1717">
            <w:pPr>
              <w:pStyle w:val="NumberLevel1"/>
              <w:numPr>
                <w:ilvl w:val="0"/>
                <w:numId w:val="0"/>
              </w:numPr>
              <w:rPr>
                <w:b/>
              </w:rPr>
            </w:pPr>
            <w:r w:rsidRPr="00DE66F5">
              <w:rPr>
                <w:b/>
              </w:rPr>
              <w:t>Activity</w:t>
            </w:r>
          </w:p>
        </w:tc>
        <w:tc>
          <w:tcPr>
            <w:tcW w:w="376" w:type="pct"/>
            <w:shd w:val="clear" w:color="auto" w:fill="C4DDEA"/>
            <w:vAlign w:val="top"/>
          </w:tcPr>
          <w:p w14:paraId="17499916" w14:textId="72DF26EC" w:rsidR="003A0EB1" w:rsidRPr="00121519" w:rsidRDefault="003A0EB1" w:rsidP="00BA1717">
            <w:pPr>
              <w:pStyle w:val="TableHeading2"/>
            </w:pPr>
            <w:r>
              <w:t>APPs</w:t>
            </w:r>
          </w:p>
        </w:tc>
        <w:tc>
          <w:tcPr>
            <w:tcW w:w="246" w:type="pct"/>
            <w:shd w:val="clear" w:color="auto" w:fill="C4DDEA"/>
            <w:vAlign w:val="top"/>
          </w:tcPr>
          <w:p w14:paraId="301ED82F" w14:textId="46092694" w:rsidR="003A0EB1" w:rsidRDefault="003A0EB1" w:rsidP="00BA1717">
            <w:pPr>
              <w:pStyle w:val="TableHeading2"/>
            </w:pPr>
            <w:r>
              <w:t>Advice para</w:t>
            </w:r>
          </w:p>
        </w:tc>
        <w:tc>
          <w:tcPr>
            <w:tcW w:w="3678" w:type="pct"/>
            <w:shd w:val="clear" w:color="auto" w:fill="C4DDEA"/>
            <w:vAlign w:val="top"/>
          </w:tcPr>
          <w:p w14:paraId="7D829EF4" w14:textId="0F89AF82" w:rsidR="003A0EB1" w:rsidRPr="00121519" w:rsidRDefault="003A0EB1" w:rsidP="00BA1717">
            <w:pPr>
              <w:pStyle w:val="TableHeading2"/>
            </w:pPr>
            <w:r>
              <w:t>Matters to include in guidance</w:t>
            </w:r>
          </w:p>
        </w:tc>
      </w:tr>
      <w:tr w:rsidR="003A0EB1" w:rsidRPr="00121519" w14:paraId="0CF7C9C5" w14:textId="77777777" w:rsidTr="00F4781D">
        <w:tc>
          <w:tcPr>
            <w:tcW w:w="185" w:type="pct"/>
            <w:vMerge w:val="restart"/>
            <w:vAlign w:val="top"/>
          </w:tcPr>
          <w:p w14:paraId="3C78340C" w14:textId="5E81F4C8" w:rsidR="003A0EB1" w:rsidRDefault="003A0EB1" w:rsidP="00BA1717">
            <w:pPr>
              <w:pStyle w:val="TablePlainParagraph"/>
              <w:rPr>
                <w:b/>
              </w:rPr>
            </w:pPr>
            <w:r>
              <w:rPr>
                <w:b/>
              </w:rPr>
              <w:t>2.</w:t>
            </w:r>
          </w:p>
        </w:tc>
        <w:tc>
          <w:tcPr>
            <w:tcW w:w="515" w:type="pct"/>
            <w:vMerge w:val="restart"/>
            <w:vAlign w:val="top"/>
          </w:tcPr>
          <w:p w14:paraId="6A7173B8" w14:textId="6B06145D" w:rsidR="003A0EB1" w:rsidRDefault="003A0EB1" w:rsidP="00BA1717">
            <w:pPr>
              <w:pStyle w:val="TablePlainParagraph"/>
              <w:rPr>
                <w:b/>
              </w:rPr>
            </w:pPr>
            <w:r>
              <w:rPr>
                <w:b/>
              </w:rPr>
              <w:t>Collection by in-scope companies of BOI</w:t>
            </w:r>
          </w:p>
        </w:tc>
        <w:tc>
          <w:tcPr>
            <w:tcW w:w="376" w:type="pct"/>
            <w:vAlign w:val="top"/>
          </w:tcPr>
          <w:p w14:paraId="1D713F00" w14:textId="13B6BBB1" w:rsidR="003A0EB1" w:rsidRDefault="003A0EB1" w:rsidP="00BA1717">
            <w:pPr>
              <w:pStyle w:val="TablePlainParagraph"/>
              <w:rPr>
                <w:b/>
              </w:rPr>
            </w:pPr>
            <w:r>
              <w:rPr>
                <w:b/>
              </w:rPr>
              <w:t>APP 3</w:t>
            </w:r>
            <w:r w:rsidR="00CD3B1A">
              <w:rPr>
                <w:b/>
              </w:rPr>
              <w:t>.2</w:t>
            </w:r>
          </w:p>
        </w:tc>
        <w:tc>
          <w:tcPr>
            <w:tcW w:w="246" w:type="pct"/>
            <w:vAlign w:val="top"/>
          </w:tcPr>
          <w:p w14:paraId="16CC9E67" w14:textId="0AE20DC0" w:rsidR="003A0EB1" w:rsidRDefault="00CD3B1A" w:rsidP="00BA1717">
            <w:pPr>
              <w:pStyle w:val="TablePlainParagraph"/>
            </w:pPr>
            <w:r>
              <w:t>[</w:t>
            </w:r>
            <w:r>
              <w:fldChar w:fldCharType="begin"/>
            </w:r>
            <w:r>
              <w:instrText xml:space="preserve"> REF _Ref163836360 \r \h  \* MERGEFORMAT </w:instrText>
            </w:r>
            <w:r>
              <w:fldChar w:fldCharType="separate"/>
            </w:r>
            <w:r w:rsidR="00C14F0B">
              <w:t>317</w:t>
            </w:r>
            <w:r>
              <w:fldChar w:fldCharType="end"/>
            </w:r>
            <w:r>
              <w:t>]</w:t>
            </w:r>
          </w:p>
        </w:tc>
        <w:tc>
          <w:tcPr>
            <w:tcW w:w="3678" w:type="pct"/>
            <w:vAlign w:val="top"/>
          </w:tcPr>
          <w:p w14:paraId="1C8A9EB8" w14:textId="3F7BF0B0" w:rsidR="003A0EB1" w:rsidRDefault="00CD3B1A" w:rsidP="00804008">
            <w:pPr>
              <w:pStyle w:val="TablePlainParagraph"/>
              <w:numPr>
                <w:ilvl w:val="0"/>
                <w:numId w:val="50"/>
              </w:numPr>
            </w:pPr>
            <w:r>
              <w:t>T</w:t>
            </w:r>
            <w:r w:rsidR="003A0EB1">
              <w:t xml:space="preserve">he kinds of information the in-scope entity may need to collect to give effect to the </w:t>
            </w:r>
            <w:r w:rsidR="00E62A06">
              <w:t>BO Policy</w:t>
            </w:r>
            <w:r w:rsidR="003A0EB1">
              <w:t>, as well as data minimisation strategies (e.g. use of approved form</w:t>
            </w:r>
            <w:r w:rsidR="00E61E4E">
              <w:t>at</w:t>
            </w:r>
            <w:r w:rsidR="003A0EB1">
              <w:t>s).</w:t>
            </w:r>
          </w:p>
        </w:tc>
      </w:tr>
      <w:tr w:rsidR="003A0EB1" w:rsidRPr="00121519" w14:paraId="09CBD27E" w14:textId="77777777" w:rsidTr="00F4781D">
        <w:tc>
          <w:tcPr>
            <w:tcW w:w="185" w:type="pct"/>
            <w:vMerge/>
            <w:vAlign w:val="top"/>
          </w:tcPr>
          <w:p w14:paraId="510D148B" w14:textId="7D7A7907" w:rsidR="003A0EB1" w:rsidRDefault="003A0EB1" w:rsidP="00BA1717">
            <w:pPr>
              <w:pStyle w:val="TablePlainParagraph"/>
              <w:rPr>
                <w:b/>
              </w:rPr>
            </w:pPr>
          </w:p>
        </w:tc>
        <w:tc>
          <w:tcPr>
            <w:tcW w:w="515" w:type="pct"/>
            <w:vMerge/>
            <w:vAlign w:val="top"/>
          </w:tcPr>
          <w:p w14:paraId="7DD9F09C" w14:textId="6C35E7AF" w:rsidR="003A0EB1" w:rsidRDefault="003A0EB1" w:rsidP="00BA1717">
            <w:pPr>
              <w:pStyle w:val="TablePlainParagraph"/>
              <w:rPr>
                <w:b/>
              </w:rPr>
            </w:pPr>
          </w:p>
        </w:tc>
        <w:tc>
          <w:tcPr>
            <w:tcW w:w="376" w:type="pct"/>
            <w:vAlign w:val="top"/>
          </w:tcPr>
          <w:p w14:paraId="2CF081E4" w14:textId="31BCCB12" w:rsidR="003A0EB1" w:rsidRDefault="003A0EB1" w:rsidP="00BA1717">
            <w:pPr>
              <w:pStyle w:val="TablePlainParagraph"/>
              <w:rPr>
                <w:b/>
              </w:rPr>
            </w:pPr>
            <w:r>
              <w:rPr>
                <w:b/>
              </w:rPr>
              <w:t>APP 4</w:t>
            </w:r>
          </w:p>
        </w:tc>
        <w:tc>
          <w:tcPr>
            <w:tcW w:w="246" w:type="pct"/>
            <w:vAlign w:val="top"/>
          </w:tcPr>
          <w:p w14:paraId="7E5C4159" w14:textId="46146B81" w:rsidR="003A0EB1" w:rsidRDefault="00865C63" w:rsidP="00BA1717">
            <w:pPr>
              <w:pStyle w:val="TablePlainParagraph"/>
            </w:pPr>
            <w:r>
              <w:t>[</w:t>
            </w:r>
            <w:r>
              <w:fldChar w:fldCharType="begin"/>
            </w:r>
            <w:r>
              <w:instrText xml:space="preserve"> REF _Ref163842280 \r </w:instrText>
            </w:r>
            <w:r>
              <w:fldChar w:fldCharType="separate"/>
            </w:r>
            <w:r w:rsidR="00C14F0B">
              <w:t>340</w:t>
            </w:r>
            <w:r>
              <w:fldChar w:fldCharType="end"/>
            </w:r>
            <w:r w:rsidR="000A52BB">
              <w:t>]</w:t>
            </w:r>
          </w:p>
        </w:tc>
        <w:tc>
          <w:tcPr>
            <w:tcW w:w="3678" w:type="pct"/>
            <w:vAlign w:val="top"/>
          </w:tcPr>
          <w:p w14:paraId="43FFAD50" w14:textId="42E5A0F2" w:rsidR="003A0EB1" w:rsidRDefault="003A0EB1" w:rsidP="00804008">
            <w:pPr>
              <w:pStyle w:val="TablePlainParagraph"/>
              <w:numPr>
                <w:ilvl w:val="0"/>
                <w:numId w:val="50"/>
              </w:numPr>
            </w:pPr>
            <w:r>
              <w:t>If in-scope companies receive unsolicited personal information when collecting BOI, they must determine whether they could have solicited the personal information in accordance with APP 3</w:t>
            </w:r>
          </w:p>
          <w:p w14:paraId="21B3CCFD" w14:textId="52587A39" w:rsidR="003A0EB1" w:rsidRPr="00FB37AD" w:rsidRDefault="003A0EB1" w:rsidP="00804008">
            <w:pPr>
              <w:pStyle w:val="TablePlainParagraph"/>
              <w:numPr>
                <w:ilvl w:val="0"/>
                <w:numId w:val="50"/>
              </w:numPr>
            </w:pPr>
            <w:r>
              <w:t xml:space="preserve">If they </w:t>
            </w:r>
            <w:r w:rsidR="00F4781D">
              <w:t>cannot collect</w:t>
            </w:r>
            <w:r>
              <w:t xml:space="preserve"> the personal information, they must, if it is lawful and reasonable to do so, destroy the information or ensure that it is de-identified</w:t>
            </w:r>
            <w:r w:rsidR="00F4781D">
              <w:t>.</w:t>
            </w:r>
          </w:p>
        </w:tc>
      </w:tr>
      <w:tr w:rsidR="003A0EB1" w:rsidRPr="00121519" w14:paraId="365A0D35" w14:textId="77777777" w:rsidTr="00F4781D">
        <w:tc>
          <w:tcPr>
            <w:tcW w:w="185" w:type="pct"/>
            <w:vMerge/>
            <w:vAlign w:val="top"/>
          </w:tcPr>
          <w:p w14:paraId="76167EEB" w14:textId="77777777" w:rsidR="003A0EB1" w:rsidRDefault="003A0EB1" w:rsidP="00BA1717">
            <w:pPr>
              <w:pStyle w:val="TablePlainParagraph"/>
              <w:rPr>
                <w:b/>
              </w:rPr>
            </w:pPr>
          </w:p>
        </w:tc>
        <w:tc>
          <w:tcPr>
            <w:tcW w:w="515" w:type="pct"/>
            <w:vMerge/>
            <w:vAlign w:val="top"/>
          </w:tcPr>
          <w:p w14:paraId="580FE213" w14:textId="77777777" w:rsidR="003A0EB1" w:rsidRDefault="003A0EB1" w:rsidP="00BA1717">
            <w:pPr>
              <w:pStyle w:val="TablePlainParagraph"/>
              <w:rPr>
                <w:b/>
              </w:rPr>
            </w:pPr>
          </w:p>
        </w:tc>
        <w:tc>
          <w:tcPr>
            <w:tcW w:w="376" w:type="pct"/>
            <w:vAlign w:val="top"/>
          </w:tcPr>
          <w:p w14:paraId="7460D189" w14:textId="61746D1F" w:rsidR="003A0EB1" w:rsidRDefault="00BA1717" w:rsidP="00BA1717">
            <w:pPr>
              <w:pStyle w:val="TablePlainParagraph"/>
              <w:rPr>
                <w:b/>
              </w:rPr>
            </w:pPr>
            <w:r>
              <w:rPr>
                <w:b/>
              </w:rPr>
              <w:t>APP3</w:t>
            </w:r>
            <w:r>
              <w:rPr>
                <w:b/>
              </w:rPr>
              <w:br/>
            </w:r>
            <w:r w:rsidR="003A0EB1">
              <w:rPr>
                <w:b/>
              </w:rPr>
              <w:t>APP 11</w:t>
            </w:r>
          </w:p>
        </w:tc>
        <w:tc>
          <w:tcPr>
            <w:tcW w:w="246" w:type="pct"/>
            <w:vAlign w:val="top"/>
          </w:tcPr>
          <w:p w14:paraId="2B0B6150" w14:textId="2CE40AD8" w:rsidR="003A0EB1" w:rsidRDefault="00865C63" w:rsidP="00BA1717">
            <w:pPr>
              <w:pStyle w:val="TablePlainParagraph"/>
            </w:pPr>
            <w:r>
              <w:t>[</w:t>
            </w:r>
            <w:r w:rsidR="00BA1717">
              <w:fldChar w:fldCharType="begin"/>
            </w:r>
            <w:r w:rsidR="00BA1717">
              <w:instrText xml:space="preserve"> REF _Ref163838111 \r \h </w:instrText>
            </w:r>
            <w:r w:rsidR="00BA1717">
              <w:fldChar w:fldCharType="separate"/>
            </w:r>
            <w:r w:rsidR="00C14F0B">
              <w:t>295</w:t>
            </w:r>
            <w:r w:rsidR="00BA1717">
              <w:fldChar w:fldCharType="end"/>
            </w:r>
            <w:r w:rsidR="00BA1717">
              <w:t>]</w:t>
            </w:r>
          </w:p>
        </w:tc>
        <w:tc>
          <w:tcPr>
            <w:tcW w:w="3678" w:type="pct"/>
            <w:vAlign w:val="top"/>
          </w:tcPr>
          <w:p w14:paraId="41535E6B" w14:textId="6EC607EF" w:rsidR="003A0EB1" w:rsidRDefault="003A0EB1" w:rsidP="00804008">
            <w:pPr>
              <w:pStyle w:val="TablePlainParagraph"/>
              <w:numPr>
                <w:ilvl w:val="0"/>
                <w:numId w:val="50"/>
              </w:numPr>
            </w:pPr>
            <w:r>
              <w:t xml:space="preserve">Where an in-scope company </w:t>
            </w:r>
            <w:r w:rsidR="00BA1717">
              <w:t xml:space="preserve">collects </w:t>
            </w:r>
            <w:r>
              <w:t>personal information about suspected beneficial owners who are not in fact beneficial</w:t>
            </w:r>
            <w:r w:rsidR="00BA1717">
              <w:t xml:space="preserve"> owners</w:t>
            </w:r>
            <w:r>
              <w:t xml:space="preserve">, they will need to </w:t>
            </w:r>
            <w:r>
              <w:rPr>
                <w:lang w:eastAsia="en-US"/>
              </w:rPr>
              <w:t>implement practices to minimise collection of this information, and/or destroy or delete this information upon deciding the individual is not a beneficial owner</w:t>
            </w:r>
          </w:p>
        </w:tc>
      </w:tr>
      <w:tr w:rsidR="00BA1717" w:rsidRPr="00B45909" w14:paraId="4ABE65BB" w14:textId="77777777" w:rsidTr="00F4781D">
        <w:tc>
          <w:tcPr>
            <w:tcW w:w="185" w:type="pct"/>
            <w:vMerge w:val="restart"/>
            <w:vAlign w:val="top"/>
          </w:tcPr>
          <w:p w14:paraId="4C9DF76A" w14:textId="77777777" w:rsidR="00BA1717" w:rsidRDefault="00BA1717" w:rsidP="00BA1717">
            <w:pPr>
              <w:pStyle w:val="TablePlainParagraph"/>
              <w:rPr>
                <w:b/>
              </w:rPr>
            </w:pPr>
            <w:r>
              <w:rPr>
                <w:b/>
              </w:rPr>
              <w:t>3.</w:t>
            </w:r>
          </w:p>
        </w:tc>
        <w:tc>
          <w:tcPr>
            <w:tcW w:w="515" w:type="pct"/>
            <w:vMerge w:val="restart"/>
            <w:vAlign w:val="top"/>
          </w:tcPr>
          <w:p w14:paraId="6329777F" w14:textId="77777777" w:rsidR="00BA1717" w:rsidRPr="00121519" w:rsidRDefault="00BA1717" w:rsidP="00BA1717">
            <w:pPr>
              <w:pStyle w:val="TablePlainParagraph"/>
              <w:rPr>
                <w:b/>
              </w:rPr>
            </w:pPr>
            <w:r>
              <w:rPr>
                <w:b/>
              </w:rPr>
              <w:t>In-scope company verifies identity of natural person beneficial owner</w:t>
            </w:r>
          </w:p>
        </w:tc>
        <w:tc>
          <w:tcPr>
            <w:tcW w:w="376" w:type="pct"/>
            <w:vAlign w:val="top"/>
          </w:tcPr>
          <w:p w14:paraId="41153C3F" w14:textId="218D83B9" w:rsidR="00BA1717" w:rsidRPr="00CD3B1A" w:rsidRDefault="00BA1717" w:rsidP="00BA1717">
            <w:pPr>
              <w:pStyle w:val="TablePlainParagraph"/>
              <w:rPr>
                <w:b/>
              </w:rPr>
            </w:pPr>
            <w:r>
              <w:rPr>
                <w:b/>
              </w:rPr>
              <w:t>APP 3.2</w:t>
            </w:r>
            <w:r w:rsidR="00F4781D">
              <w:rPr>
                <w:b/>
              </w:rPr>
              <w:br/>
              <w:t>APP 10.1</w:t>
            </w:r>
          </w:p>
        </w:tc>
        <w:tc>
          <w:tcPr>
            <w:tcW w:w="246" w:type="pct"/>
            <w:vAlign w:val="top"/>
          </w:tcPr>
          <w:p w14:paraId="31D095C2" w14:textId="418037A8" w:rsidR="00BA1717" w:rsidRDefault="00BA1717" w:rsidP="00BA1717">
            <w:pPr>
              <w:pStyle w:val="TablePlainParagraph"/>
            </w:pPr>
            <w:r>
              <w:t>[</w:t>
            </w:r>
            <w:r w:rsidR="00F4781D">
              <w:fldChar w:fldCharType="begin"/>
            </w:r>
            <w:r w:rsidR="00F4781D">
              <w:instrText xml:space="preserve"> REF _Ref163838518 \r \h </w:instrText>
            </w:r>
            <w:r w:rsidR="00F4781D">
              <w:fldChar w:fldCharType="separate"/>
            </w:r>
            <w:r w:rsidR="00C14F0B">
              <w:t>394</w:t>
            </w:r>
            <w:r w:rsidR="00F4781D">
              <w:fldChar w:fldCharType="end"/>
            </w:r>
            <w:r w:rsidR="00F4781D">
              <w:t>]</w:t>
            </w:r>
          </w:p>
        </w:tc>
        <w:tc>
          <w:tcPr>
            <w:tcW w:w="3678" w:type="pct"/>
            <w:vAlign w:val="top"/>
          </w:tcPr>
          <w:p w14:paraId="66B513F4" w14:textId="6EA101D7" w:rsidR="00BA1717" w:rsidRDefault="00BA1717" w:rsidP="00804008">
            <w:pPr>
              <w:pStyle w:val="TablePlainParagraph"/>
              <w:numPr>
                <w:ilvl w:val="0"/>
                <w:numId w:val="50"/>
              </w:numPr>
            </w:pPr>
            <w:r>
              <w:t xml:space="preserve">The types of personal information that would support in-scope companies to be satisfied that they are reasonably assured of the identity of a beneficial </w:t>
            </w:r>
            <w:proofErr w:type="gramStart"/>
            <w:r>
              <w:t>owner</w:t>
            </w:r>
            <w:proofErr w:type="gramEnd"/>
          </w:p>
          <w:p w14:paraId="4BCB5407" w14:textId="77777777" w:rsidR="00BA1717" w:rsidRDefault="00BA1717" w:rsidP="00804008">
            <w:pPr>
              <w:pStyle w:val="TablePlainParagraph"/>
              <w:numPr>
                <w:ilvl w:val="0"/>
                <w:numId w:val="50"/>
              </w:numPr>
            </w:pPr>
            <w:r>
              <w:t>That in-scope companies should request the minimum information necessary for them to be reasonably assured of the beneficial owner’s identity.</w:t>
            </w:r>
          </w:p>
          <w:p w14:paraId="038CC227" w14:textId="77777777" w:rsidR="00BA1717" w:rsidRDefault="00BA1717" w:rsidP="00804008">
            <w:pPr>
              <w:pStyle w:val="TablePlainParagraph"/>
              <w:numPr>
                <w:ilvl w:val="0"/>
                <w:numId w:val="50"/>
              </w:numPr>
            </w:pPr>
            <w:r>
              <w:t xml:space="preserve">That in-scope companies should not require personal information be provided unless it is reasonably necessary to reach this state of </w:t>
            </w:r>
            <w:proofErr w:type="gramStart"/>
            <w:r>
              <w:t>satisfaction</w:t>
            </w:r>
            <w:proofErr w:type="gramEnd"/>
          </w:p>
          <w:p w14:paraId="526368F5" w14:textId="0A8164DF" w:rsidR="00BA1717" w:rsidRPr="003A0EB1" w:rsidRDefault="00BA1717" w:rsidP="00B0403F">
            <w:pPr>
              <w:pStyle w:val="TablePlainParagraph"/>
              <w:numPr>
                <w:ilvl w:val="0"/>
                <w:numId w:val="50"/>
              </w:numPr>
              <w:rPr>
                <w:lang w:eastAsia="en-US"/>
              </w:rPr>
            </w:pPr>
            <w:r>
              <w:rPr>
                <w:lang w:eastAsia="en-US"/>
              </w:rPr>
              <w:t>H</w:t>
            </w:r>
            <w:r w:rsidRPr="00B87DB4">
              <w:rPr>
                <w:lang w:eastAsia="en-US"/>
              </w:rPr>
              <w:t>ow to describe information that supported their decision</w:t>
            </w:r>
            <w:r>
              <w:rPr>
                <w:lang w:eastAsia="en-US"/>
              </w:rPr>
              <w:t>-making</w:t>
            </w:r>
            <w:r w:rsidRPr="00B87DB4">
              <w:rPr>
                <w:lang w:eastAsia="en-US"/>
              </w:rPr>
              <w:t xml:space="preserve"> without disclosing the actual personal information</w:t>
            </w:r>
          </w:p>
        </w:tc>
      </w:tr>
      <w:tr w:rsidR="00BA1717" w:rsidRPr="00121519" w14:paraId="06790523" w14:textId="77777777" w:rsidTr="00F4781D">
        <w:tc>
          <w:tcPr>
            <w:tcW w:w="185" w:type="pct"/>
            <w:vMerge/>
            <w:vAlign w:val="top"/>
          </w:tcPr>
          <w:p w14:paraId="5E3C0FA8" w14:textId="77777777" w:rsidR="00BA1717" w:rsidRPr="00121519" w:rsidRDefault="00BA1717" w:rsidP="00BA1717">
            <w:pPr>
              <w:pStyle w:val="TablePlainParagraph"/>
              <w:rPr>
                <w:b/>
              </w:rPr>
            </w:pPr>
          </w:p>
        </w:tc>
        <w:tc>
          <w:tcPr>
            <w:tcW w:w="515" w:type="pct"/>
            <w:vMerge/>
            <w:vAlign w:val="top"/>
          </w:tcPr>
          <w:p w14:paraId="413181AA" w14:textId="77777777" w:rsidR="00BA1717" w:rsidRPr="00121519" w:rsidRDefault="00BA1717" w:rsidP="00BA1717">
            <w:pPr>
              <w:pStyle w:val="TablePlainParagraph"/>
              <w:rPr>
                <w:b/>
              </w:rPr>
            </w:pPr>
          </w:p>
        </w:tc>
        <w:tc>
          <w:tcPr>
            <w:tcW w:w="376" w:type="pct"/>
            <w:vAlign w:val="top"/>
          </w:tcPr>
          <w:p w14:paraId="2348243C" w14:textId="1E324BF5" w:rsidR="00BA1717" w:rsidRDefault="00BA1717" w:rsidP="00BA1717">
            <w:pPr>
              <w:pStyle w:val="TablePlainParagraph"/>
              <w:rPr>
                <w:b/>
              </w:rPr>
            </w:pPr>
            <w:r>
              <w:rPr>
                <w:b/>
              </w:rPr>
              <w:t>APP 4</w:t>
            </w:r>
          </w:p>
        </w:tc>
        <w:tc>
          <w:tcPr>
            <w:tcW w:w="246" w:type="pct"/>
            <w:vAlign w:val="top"/>
          </w:tcPr>
          <w:p w14:paraId="21A2E498" w14:textId="3A9ECB67" w:rsidR="00BA1717" w:rsidRDefault="000A52BB" w:rsidP="00BA1717">
            <w:pPr>
              <w:pStyle w:val="TablePlainParagraph"/>
            </w:pPr>
            <w:r>
              <w:t>[</w:t>
            </w:r>
            <w:r>
              <w:fldChar w:fldCharType="begin"/>
            </w:r>
            <w:r>
              <w:instrText xml:space="preserve"> REF _Ref163842280 \r </w:instrText>
            </w:r>
            <w:r>
              <w:fldChar w:fldCharType="separate"/>
            </w:r>
            <w:r w:rsidR="00C14F0B">
              <w:t>340</w:t>
            </w:r>
            <w:r>
              <w:fldChar w:fldCharType="end"/>
            </w:r>
            <w:r>
              <w:t>]</w:t>
            </w:r>
          </w:p>
        </w:tc>
        <w:tc>
          <w:tcPr>
            <w:tcW w:w="3678" w:type="pct"/>
            <w:vAlign w:val="top"/>
          </w:tcPr>
          <w:p w14:paraId="73990885" w14:textId="77777777" w:rsidR="00BA1717" w:rsidRDefault="00BA1717" w:rsidP="00804008">
            <w:pPr>
              <w:pStyle w:val="TablePlainParagraph"/>
              <w:numPr>
                <w:ilvl w:val="0"/>
                <w:numId w:val="50"/>
              </w:numPr>
            </w:pPr>
            <w:r>
              <w:t xml:space="preserve">To request specific identity documents from beneficial owners, rather than making broad requests for documents to verify a beneficial owner’s identity, which risks collecting unsolicited personal </w:t>
            </w:r>
            <w:proofErr w:type="gramStart"/>
            <w:r>
              <w:t>information</w:t>
            </w:r>
            <w:proofErr w:type="gramEnd"/>
          </w:p>
          <w:p w14:paraId="50E8BEEA" w14:textId="77777777" w:rsidR="00BA1717" w:rsidRDefault="00BA1717" w:rsidP="00804008">
            <w:pPr>
              <w:pStyle w:val="TablePlainParagraph"/>
              <w:numPr>
                <w:ilvl w:val="0"/>
                <w:numId w:val="50"/>
              </w:numPr>
            </w:pPr>
            <w:r>
              <w:t>If unsolicited personal information is received, that they are required to assess whether they could have solicited personal information received in accordance with APP 4.1</w:t>
            </w:r>
          </w:p>
          <w:p w14:paraId="0BF106BB" w14:textId="10CBD1A3" w:rsidR="00BA1717" w:rsidRDefault="00BA1717" w:rsidP="00804008">
            <w:pPr>
              <w:pStyle w:val="TablePlainParagraph"/>
              <w:numPr>
                <w:ilvl w:val="0"/>
                <w:numId w:val="50"/>
              </w:numPr>
            </w:pPr>
            <w:r>
              <w:t>To destroy or de-identify unsolicited personal information that they could not have solicited in accordance with APP</w:t>
            </w:r>
            <w:r w:rsidR="00E61E4E">
              <w:t> </w:t>
            </w:r>
            <w:r>
              <w:t>4.1</w:t>
            </w:r>
          </w:p>
          <w:p w14:paraId="01286A0C" w14:textId="389BE0BE" w:rsidR="00BA1717" w:rsidRDefault="00BA1717" w:rsidP="00804008">
            <w:pPr>
              <w:pStyle w:val="TablePlainParagraph"/>
              <w:numPr>
                <w:ilvl w:val="0"/>
                <w:numId w:val="50"/>
              </w:numPr>
            </w:pPr>
            <w:r>
              <w:t>Sources from which in-scope companies can learn more about their APP 4 obligations</w:t>
            </w:r>
          </w:p>
        </w:tc>
      </w:tr>
      <w:tr w:rsidR="003A0EB1" w:rsidRPr="00121519" w14:paraId="4BC34521" w14:textId="77777777" w:rsidTr="00F4781D">
        <w:trPr>
          <w:cantSplit/>
        </w:trPr>
        <w:tc>
          <w:tcPr>
            <w:tcW w:w="185" w:type="pct"/>
            <w:vMerge w:val="restart"/>
            <w:vAlign w:val="top"/>
          </w:tcPr>
          <w:p w14:paraId="51B4A58C" w14:textId="351EAD2A" w:rsidR="003A0EB1" w:rsidRDefault="003A0EB1" w:rsidP="00BA1717">
            <w:pPr>
              <w:pStyle w:val="TablePlainParagraph"/>
              <w:rPr>
                <w:b/>
              </w:rPr>
            </w:pPr>
            <w:r>
              <w:rPr>
                <w:b/>
              </w:rPr>
              <w:t>4.</w:t>
            </w:r>
          </w:p>
        </w:tc>
        <w:tc>
          <w:tcPr>
            <w:tcW w:w="515" w:type="pct"/>
            <w:vMerge w:val="restart"/>
            <w:vAlign w:val="top"/>
          </w:tcPr>
          <w:p w14:paraId="1A3FBBBC" w14:textId="0005EB6E" w:rsidR="003A0EB1" w:rsidRDefault="003A0EB1" w:rsidP="00BA1717">
            <w:pPr>
              <w:pStyle w:val="TablePlainParagraph"/>
              <w:rPr>
                <w:b/>
              </w:rPr>
            </w:pPr>
            <w:r>
              <w:rPr>
                <w:b/>
              </w:rPr>
              <w:t>Applications to suppress personal information</w:t>
            </w:r>
          </w:p>
        </w:tc>
        <w:tc>
          <w:tcPr>
            <w:tcW w:w="376" w:type="pct"/>
            <w:vAlign w:val="top"/>
          </w:tcPr>
          <w:p w14:paraId="1A11E6E7" w14:textId="53B8A311" w:rsidR="003A0EB1" w:rsidRDefault="003A0EB1" w:rsidP="00BA1717">
            <w:pPr>
              <w:pStyle w:val="TablePlainParagraph"/>
              <w:rPr>
                <w:b/>
              </w:rPr>
            </w:pPr>
            <w:r>
              <w:rPr>
                <w:b/>
              </w:rPr>
              <w:t>APP 6</w:t>
            </w:r>
          </w:p>
        </w:tc>
        <w:tc>
          <w:tcPr>
            <w:tcW w:w="246" w:type="pct"/>
            <w:vAlign w:val="top"/>
          </w:tcPr>
          <w:p w14:paraId="1C2259B0" w14:textId="5D10710C" w:rsidR="003A0EB1" w:rsidRDefault="00865C63" w:rsidP="00BA1717">
            <w:pPr>
              <w:pStyle w:val="TablePlainParagraph"/>
            </w:pPr>
            <w:r>
              <w:t>[</w:t>
            </w:r>
            <w:r w:rsidR="00F4781D">
              <w:fldChar w:fldCharType="begin"/>
            </w:r>
            <w:r w:rsidR="00F4781D">
              <w:instrText xml:space="preserve"> REF _Ref163838287 \r \h </w:instrText>
            </w:r>
            <w:r w:rsidR="00F4781D">
              <w:fldChar w:fldCharType="separate"/>
            </w:r>
            <w:r w:rsidR="00C14F0B">
              <w:t>355</w:t>
            </w:r>
            <w:r w:rsidR="00F4781D">
              <w:fldChar w:fldCharType="end"/>
            </w:r>
            <w:r w:rsidR="00F4781D">
              <w:t>]</w:t>
            </w:r>
          </w:p>
        </w:tc>
        <w:tc>
          <w:tcPr>
            <w:tcW w:w="3678" w:type="pct"/>
            <w:vAlign w:val="top"/>
          </w:tcPr>
          <w:p w14:paraId="7AEAE6B9" w14:textId="0A132941" w:rsidR="003A0EB1" w:rsidRDefault="003A0EB1" w:rsidP="00804008">
            <w:pPr>
              <w:pStyle w:val="TablePlainParagraph"/>
              <w:numPr>
                <w:ilvl w:val="0"/>
                <w:numId w:val="50"/>
              </w:numPr>
            </w:pPr>
            <w:r>
              <w:t>That the role of in-scope companies in determining whether they must redact BOI is limited to determining whether one of the following four factual circumstances exist:</w:t>
            </w:r>
          </w:p>
          <w:p w14:paraId="3527CBB0" w14:textId="77777777" w:rsidR="003A0EB1" w:rsidRDefault="003A0EB1" w:rsidP="00804008">
            <w:pPr>
              <w:pStyle w:val="TablePlainParagraph"/>
              <w:numPr>
                <w:ilvl w:val="1"/>
                <w:numId w:val="50"/>
              </w:numPr>
              <w:ind w:left="1046"/>
            </w:pPr>
            <w:r>
              <w:t xml:space="preserve">a suppression application remains with </w:t>
            </w:r>
            <w:proofErr w:type="gramStart"/>
            <w:r>
              <w:t>ASIC</w:t>
            </w:r>
            <w:proofErr w:type="gramEnd"/>
          </w:p>
          <w:p w14:paraId="52BDF960" w14:textId="77777777" w:rsidR="003A0EB1" w:rsidRDefault="003A0EB1" w:rsidP="00804008">
            <w:pPr>
              <w:pStyle w:val="TablePlainParagraph"/>
              <w:numPr>
                <w:ilvl w:val="1"/>
                <w:numId w:val="50"/>
              </w:numPr>
              <w:ind w:left="1046"/>
            </w:pPr>
            <w:r>
              <w:t xml:space="preserve">a beneficial owner is under 18 years of </w:t>
            </w:r>
            <w:proofErr w:type="gramStart"/>
            <w:r>
              <w:t>age</w:t>
            </w:r>
            <w:proofErr w:type="gramEnd"/>
          </w:p>
          <w:p w14:paraId="5D14BAEE" w14:textId="77777777" w:rsidR="003A0EB1" w:rsidRDefault="003A0EB1" w:rsidP="00804008">
            <w:pPr>
              <w:pStyle w:val="TablePlainParagraph"/>
              <w:numPr>
                <w:ilvl w:val="1"/>
                <w:numId w:val="50"/>
              </w:numPr>
              <w:ind w:left="1046"/>
            </w:pPr>
            <w:r>
              <w:t xml:space="preserve">the beneficial owner is a silent voter on the electoral </w:t>
            </w:r>
            <w:proofErr w:type="gramStart"/>
            <w:r>
              <w:t>role</w:t>
            </w:r>
            <w:proofErr w:type="gramEnd"/>
          </w:p>
          <w:p w14:paraId="7F541B3E" w14:textId="5B61807C" w:rsidR="003A0EB1" w:rsidRDefault="003A0EB1" w:rsidP="00804008">
            <w:pPr>
              <w:pStyle w:val="TablePlainParagraph"/>
              <w:numPr>
                <w:ilvl w:val="1"/>
                <w:numId w:val="50"/>
              </w:numPr>
              <w:ind w:left="1046"/>
            </w:pPr>
            <w:r>
              <w:t>ASIC has approved the suppression application.</w:t>
            </w:r>
          </w:p>
          <w:p w14:paraId="3B75A400" w14:textId="5A29B22C" w:rsidR="003A0EB1" w:rsidRDefault="003A0EB1" w:rsidP="00804008">
            <w:pPr>
              <w:pStyle w:val="TablePlainParagraph"/>
              <w:numPr>
                <w:ilvl w:val="0"/>
                <w:numId w:val="50"/>
              </w:numPr>
            </w:pPr>
            <w:r>
              <w:t xml:space="preserve">That in-scope companies </w:t>
            </w:r>
            <w:r w:rsidR="00F4781D">
              <w:t xml:space="preserve">must </w:t>
            </w:r>
            <w:r>
              <w:t xml:space="preserve">apply suppression rules where a beneficial owner </w:t>
            </w:r>
            <w:r w:rsidR="00F4781D">
              <w:t>satisfies a factual</w:t>
            </w:r>
            <w:r>
              <w:t xml:space="preserve"> circumstance</w:t>
            </w:r>
            <w:r w:rsidR="00F4781D">
              <w:t>.</w:t>
            </w:r>
          </w:p>
          <w:p w14:paraId="648FB18C" w14:textId="0ED6EAE2" w:rsidR="003A0EB1" w:rsidRDefault="003A0EB1" w:rsidP="00804008">
            <w:pPr>
              <w:pStyle w:val="TablePlainParagraph"/>
              <w:numPr>
                <w:ilvl w:val="0"/>
                <w:numId w:val="50"/>
              </w:numPr>
            </w:pPr>
            <w:r>
              <w:t xml:space="preserve">That it is not the role of in-scope companies to assess applications for suppression based on ‘other reasons’, and that they must not request any reasons or other information about applications on this </w:t>
            </w:r>
            <w:proofErr w:type="gramStart"/>
            <w:r>
              <w:t>basis</w:t>
            </w:r>
            <w:proofErr w:type="gramEnd"/>
          </w:p>
          <w:p w14:paraId="7B65CABC" w14:textId="7B221A16" w:rsidR="00E61E4E" w:rsidRDefault="003A0EB1" w:rsidP="00804008">
            <w:pPr>
              <w:pStyle w:val="TablePlainParagraph"/>
              <w:numPr>
                <w:ilvl w:val="0"/>
                <w:numId w:val="50"/>
              </w:numPr>
            </w:pPr>
            <w:r>
              <w:t xml:space="preserve">That their role is limited to </w:t>
            </w:r>
            <w:r w:rsidR="00E61E4E">
              <w:rPr>
                <w:lang w:eastAsia="en-US"/>
              </w:rPr>
              <w:t>informing the individual about how to make the application to ASIC</w:t>
            </w:r>
            <w:r w:rsidR="00E61E4E">
              <w:t>.</w:t>
            </w:r>
          </w:p>
          <w:p w14:paraId="3BD3E9F6" w14:textId="664FC1CA" w:rsidR="00F4781D" w:rsidRPr="00B87DB4" w:rsidRDefault="00F4781D" w:rsidP="00804008">
            <w:pPr>
              <w:pStyle w:val="TablePlainParagraph"/>
              <w:numPr>
                <w:ilvl w:val="0"/>
                <w:numId w:val="50"/>
              </w:numPr>
            </w:pPr>
            <w:r>
              <w:t>That, where a beneficial owner has applied for the suppression of their BOI, the in-scope company must keep their BOI redacted until advised by ASIC of the outcome of the application and all review processes have concluded.</w:t>
            </w:r>
          </w:p>
        </w:tc>
      </w:tr>
      <w:tr w:rsidR="003A0EB1" w:rsidRPr="00121519" w14:paraId="39538C27" w14:textId="77777777" w:rsidTr="00F4781D">
        <w:tc>
          <w:tcPr>
            <w:tcW w:w="185" w:type="pct"/>
            <w:vMerge/>
            <w:vAlign w:val="top"/>
          </w:tcPr>
          <w:p w14:paraId="6DCE3C11" w14:textId="77777777" w:rsidR="003A0EB1" w:rsidRDefault="003A0EB1" w:rsidP="00BA1717">
            <w:pPr>
              <w:pStyle w:val="TablePlainParagraph"/>
              <w:rPr>
                <w:b/>
              </w:rPr>
            </w:pPr>
          </w:p>
        </w:tc>
        <w:tc>
          <w:tcPr>
            <w:tcW w:w="515" w:type="pct"/>
            <w:vMerge/>
            <w:vAlign w:val="top"/>
          </w:tcPr>
          <w:p w14:paraId="1BE3402E" w14:textId="77777777" w:rsidR="003A0EB1" w:rsidRDefault="003A0EB1" w:rsidP="00BA1717">
            <w:pPr>
              <w:pStyle w:val="TablePlainParagraph"/>
              <w:rPr>
                <w:b/>
              </w:rPr>
            </w:pPr>
          </w:p>
        </w:tc>
        <w:tc>
          <w:tcPr>
            <w:tcW w:w="376" w:type="pct"/>
            <w:vAlign w:val="top"/>
          </w:tcPr>
          <w:p w14:paraId="7821DCAE" w14:textId="1A9C3979" w:rsidR="003A0EB1" w:rsidRDefault="003A0EB1" w:rsidP="00BA1717">
            <w:pPr>
              <w:pStyle w:val="TablePlainParagraph"/>
              <w:rPr>
                <w:b/>
              </w:rPr>
            </w:pPr>
            <w:r>
              <w:rPr>
                <w:b/>
              </w:rPr>
              <w:t>APP 11</w:t>
            </w:r>
          </w:p>
        </w:tc>
        <w:tc>
          <w:tcPr>
            <w:tcW w:w="246" w:type="pct"/>
            <w:vAlign w:val="top"/>
          </w:tcPr>
          <w:p w14:paraId="21B5FAB0" w14:textId="20F5F67A" w:rsidR="003A0EB1" w:rsidRDefault="00865C63" w:rsidP="00BA1717">
            <w:pPr>
              <w:pStyle w:val="TablePlainParagraph"/>
            </w:pPr>
            <w:r>
              <w:t>[</w:t>
            </w:r>
            <w:r w:rsidR="00F4781D">
              <w:fldChar w:fldCharType="begin"/>
            </w:r>
            <w:r w:rsidR="00F4781D">
              <w:instrText xml:space="preserve"> REF _Ref163838566 \r \h </w:instrText>
            </w:r>
            <w:r w:rsidR="00F4781D">
              <w:fldChar w:fldCharType="separate"/>
            </w:r>
            <w:r w:rsidR="00C14F0B">
              <w:t>420</w:t>
            </w:r>
            <w:r w:rsidR="00F4781D">
              <w:fldChar w:fldCharType="end"/>
            </w:r>
            <w:r w:rsidR="00F4781D">
              <w:t>]</w:t>
            </w:r>
          </w:p>
        </w:tc>
        <w:tc>
          <w:tcPr>
            <w:tcW w:w="3678" w:type="pct"/>
            <w:vAlign w:val="top"/>
          </w:tcPr>
          <w:p w14:paraId="460E5817" w14:textId="6CD77BD1" w:rsidR="003A0EB1" w:rsidRDefault="003A0EB1" w:rsidP="00804008">
            <w:pPr>
              <w:pStyle w:val="TablePlainParagraph"/>
              <w:numPr>
                <w:ilvl w:val="0"/>
                <w:numId w:val="50"/>
              </w:numPr>
            </w:pPr>
            <w:r>
              <w:t xml:space="preserve">Information on redaction best practice, including the use of dedicated redaction tools, and the option to print and scan a copy of a redacted BOR before providing it to a member of the </w:t>
            </w:r>
            <w:proofErr w:type="gramStart"/>
            <w:r>
              <w:t>public</w:t>
            </w:r>
            <w:proofErr w:type="gramEnd"/>
          </w:p>
          <w:p w14:paraId="461BF35A" w14:textId="4A1E7633" w:rsidR="003A0EB1" w:rsidRPr="00F4781D" w:rsidRDefault="003A0EB1" w:rsidP="00804008">
            <w:pPr>
              <w:pStyle w:val="TablePlainParagraph"/>
              <w:numPr>
                <w:ilvl w:val="0"/>
                <w:numId w:val="50"/>
              </w:numPr>
            </w:pPr>
            <w:r>
              <w:t xml:space="preserve">The types of </w:t>
            </w:r>
            <w:proofErr w:type="gramStart"/>
            <w:r>
              <w:t>BOI</w:t>
            </w:r>
            <w:proofErr w:type="gramEnd"/>
            <w:r>
              <w:t xml:space="preserve"> that must be redacted </w:t>
            </w:r>
            <w:r w:rsidR="00E61E4E">
              <w:t xml:space="preserve">before </w:t>
            </w:r>
            <w:r>
              <w:t>provision to members of the public</w:t>
            </w:r>
            <w:r w:rsidR="00F4781D">
              <w:t>.</w:t>
            </w:r>
          </w:p>
        </w:tc>
      </w:tr>
      <w:tr w:rsidR="003A0EB1" w:rsidRPr="00121519" w14:paraId="4527B650" w14:textId="77777777" w:rsidTr="00F4781D">
        <w:tc>
          <w:tcPr>
            <w:tcW w:w="185" w:type="pct"/>
            <w:vAlign w:val="top"/>
          </w:tcPr>
          <w:p w14:paraId="7E078B90" w14:textId="79AFA442" w:rsidR="003A0EB1" w:rsidRDefault="003A0EB1" w:rsidP="00BA1717">
            <w:pPr>
              <w:pStyle w:val="TablePlainParagraph"/>
              <w:rPr>
                <w:b/>
              </w:rPr>
            </w:pPr>
            <w:r>
              <w:rPr>
                <w:b/>
              </w:rPr>
              <w:t>7.</w:t>
            </w:r>
          </w:p>
        </w:tc>
        <w:tc>
          <w:tcPr>
            <w:tcW w:w="515" w:type="pct"/>
            <w:vAlign w:val="top"/>
          </w:tcPr>
          <w:p w14:paraId="5D7AF7B7" w14:textId="507E2C76" w:rsidR="003A0EB1" w:rsidRPr="00121519" w:rsidRDefault="003A0EB1" w:rsidP="00BA1717">
            <w:pPr>
              <w:pStyle w:val="TablePlainParagraph"/>
              <w:rPr>
                <w:b/>
              </w:rPr>
            </w:pPr>
            <w:r>
              <w:rPr>
                <w:b/>
              </w:rPr>
              <w:t>Consideration and fulfilment of BOI access requests</w:t>
            </w:r>
          </w:p>
        </w:tc>
        <w:tc>
          <w:tcPr>
            <w:tcW w:w="376" w:type="pct"/>
            <w:vAlign w:val="top"/>
          </w:tcPr>
          <w:p w14:paraId="517E11BA" w14:textId="1F28A409" w:rsidR="003A0EB1" w:rsidRPr="003A0EB1" w:rsidRDefault="003A0EB1" w:rsidP="00BA1717">
            <w:pPr>
              <w:pStyle w:val="TablePlainParagraph"/>
              <w:rPr>
                <w:b/>
              </w:rPr>
            </w:pPr>
            <w:r w:rsidRPr="003A0EB1">
              <w:rPr>
                <w:b/>
              </w:rPr>
              <w:t>APP 6</w:t>
            </w:r>
          </w:p>
        </w:tc>
        <w:tc>
          <w:tcPr>
            <w:tcW w:w="246" w:type="pct"/>
            <w:vAlign w:val="top"/>
          </w:tcPr>
          <w:p w14:paraId="1D8B1A0F" w14:textId="12BADE25" w:rsidR="003A0EB1" w:rsidRDefault="00CF4EAA" w:rsidP="00BA1717">
            <w:pPr>
              <w:pStyle w:val="TablePlainParagraph"/>
              <w:rPr>
                <w:lang w:eastAsia="en-US"/>
              </w:rPr>
            </w:pPr>
            <w:r>
              <w:rPr>
                <w:lang w:eastAsia="en-US"/>
              </w:rPr>
              <w:t>[</w:t>
            </w:r>
            <w:r w:rsidR="00F4781D">
              <w:rPr>
                <w:lang w:eastAsia="en-US"/>
              </w:rPr>
              <w:fldChar w:fldCharType="begin"/>
            </w:r>
            <w:r w:rsidR="00F4781D">
              <w:rPr>
                <w:lang w:eastAsia="en-US"/>
              </w:rPr>
              <w:instrText xml:space="preserve"> REF _Ref163838382 \r \h </w:instrText>
            </w:r>
            <w:r w:rsidR="00F4781D">
              <w:rPr>
                <w:lang w:eastAsia="en-US"/>
              </w:rPr>
            </w:r>
            <w:r w:rsidR="00F4781D">
              <w:rPr>
                <w:lang w:eastAsia="en-US"/>
              </w:rPr>
              <w:fldChar w:fldCharType="separate"/>
            </w:r>
            <w:r w:rsidR="00C14F0B">
              <w:rPr>
                <w:lang w:eastAsia="en-US"/>
              </w:rPr>
              <w:t>363</w:t>
            </w:r>
            <w:r w:rsidR="00F4781D">
              <w:rPr>
                <w:lang w:eastAsia="en-US"/>
              </w:rPr>
              <w:fldChar w:fldCharType="end"/>
            </w:r>
            <w:r w:rsidR="00F4781D">
              <w:rPr>
                <w:lang w:eastAsia="en-US"/>
              </w:rPr>
              <w:t>]</w:t>
            </w:r>
          </w:p>
        </w:tc>
        <w:tc>
          <w:tcPr>
            <w:tcW w:w="3678" w:type="pct"/>
            <w:vAlign w:val="top"/>
          </w:tcPr>
          <w:p w14:paraId="3FBA17A6" w14:textId="6D27B7FF" w:rsidR="003A0EB1" w:rsidRDefault="003A0EB1" w:rsidP="00804008">
            <w:pPr>
              <w:pStyle w:val="TablePlainParagraph"/>
              <w:numPr>
                <w:ilvl w:val="0"/>
                <w:numId w:val="50"/>
              </w:numPr>
              <w:rPr>
                <w:lang w:eastAsia="en-US"/>
              </w:rPr>
            </w:pPr>
            <w:r>
              <w:rPr>
                <w:lang w:eastAsia="en-US"/>
              </w:rPr>
              <w:t xml:space="preserve">If </w:t>
            </w:r>
            <w:r>
              <w:t>access</w:t>
            </w:r>
            <w:r>
              <w:rPr>
                <w:lang w:eastAsia="en-US"/>
              </w:rPr>
              <w:t xml:space="preserve"> </w:t>
            </w:r>
            <w:r w:rsidR="00F4781D">
              <w:rPr>
                <w:lang w:eastAsia="en-US"/>
              </w:rPr>
              <w:t xml:space="preserve">is </w:t>
            </w:r>
            <w:r>
              <w:rPr>
                <w:lang w:eastAsia="en-US"/>
              </w:rPr>
              <w:t xml:space="preserve">restricted to people who do not have an improper purpose for seeking access to the BOR in line with the improper purposes set by reg 2C.1.03 of the </w:t>
            </w:r>
            <w:r>
              <w:rPr>
                <w:i/>
                <w:lang w:eastAsia="en-US"/>
              </w:rPr>
              <w:t>Corporations Regulation 2001</w:t>
            </w:r>
            <w:r>
              <w:rPr>
                <w:lang w:eastAsia="en-US"/>
              </w:rPr>
              <w:t xml:space="preserve">, guidance can be confined to explaining the prescribed improper purposes for which access must not be </w:t>
            </w:r>
            <w:proofErr w:type="gramStart"/>
            <w:r>
              <w:rPr>
                <w:lang w:eastAsia="en-US"/>
              </w:rPr>
              <w:t>granted</w:t>
            </w:r>
            <w:proofErr w:type="gramEnd"/>
          </w:p>
          <w:p w14:paraId="1F039241" w14:textId="47B96EE2" w:rsidR="003A0EB1" w:rsidRDefault="003A0EB1" w:rsidP="00804008">
            <w:pPr>
              <w:pStyle w:val="TablePlainParagraph"/>
              <w:numPr>
                <w:ilvl w:val="0"/>
                <w:numId w:val="50"/>
              </w:numPr>
              <w:rPr>
                <w:lang w:eastAsia="en-US"/>
              </w:rPr>
            </w:pPr>
            <w:r w:rsidRPr="00F84515">
              <w:rPr>
                <w:lang w:eastAsia="en-US"/>
              </w:rPr>
              <w:t xml:space="preserve">If </w:t>
            </w:r>
            <w:r w:rsidRPr="00B45909">
              <w:rPr>
                <w:lang w:eastAsia="en-US"/>
              </w:rPr>
              <w:t xml:space="preserve">access </w:t>
            </w:r>
            <w:r w:rsidR="00F4781D">
              <w:rPr>
                <w:lang w:eastAsia="en-US"/>
              </w:rPr>
              <w:t>is</w:t>
            </w:r>
            <w:r>
              <w:rPr>
                <w:lang w:eastAsia="en-US"/>
              </w:rPr>
              <w:t xml:space="preserve"> restricted to people who have a </w:t>
            </w:r>
            <w:r w:rsidRPr="00F84515">
              <w:rPr>
                <w:lang w:eastAsia="en-US"/>
              </w:rPr>
              <w:t>legitimate interest</w:t>
            </w:r>
            <w:r w:rsidRPr="00B45909">
              <w:rPr>
                <w:lang w:eastAsia="en-US"/>
              </w:rPr>
              <w:t xml:space="preserve">, </w:t>
            </w:r>
            <w:r>
              <w:rPr>
                <w:lang w:eastAsia="en-US"/>
              </w:rPr>
              <w:t xml:space="preserve">guidance should be provided to </w:t>
            </w:r>
            <w:r w:rsidRPr="00F84515">
              <w:rPr>
                <w:lang w:eastAsia="en-US"/>
              </w:rPr>
              <w:t xml:space="preserve">in-scope companies </w:t>
            </w:r>
            <w:r w:rsidRPr="00B45909">
              <w:rPr>
                <w:lang w:eastAsia="en-US"/>
              </w:rPr>
              <w:t>to</w:t>
            </w:r>
            <w:r>
              <w:rPr>
                <w:lang w:eastAsia="en-US"/>
              </w:rPr>
              <w:t xml:space="preserve"> assist them to</w:t>
            </w:r>
            <w:r w:rsidRPr="00F84515">
              <w:rPr>
                <w:lang w:eastAsia="en-US"/>
              </w:rPr>
              <w:t xml:space="preserve"> make </w:t>
            </w:r>
            <w:r>
              <w:rPr>
                <w:lang w:eastAsia="en-US"/>
              </w:rPr>
              <w:t xml:space="preserve">the </w:t>
            </w:r>
            <w:r w:rsidRPr="00F84515">
              <w:rPr>
                <w:lang w:eastAsia="en-US"/>
              </w:rPr>
              <w:t xml:space="preserve">more evaluative judgements </w:t>
            </w:r>
            <w:r>
              <w:rPr>
                <w:lang w:eastAsia="en-US"/>
              </w:rPr>
              <w:t xml:space="preserve">required by this </w:t>
            </w:r>
            <w:proofErr w:type="gramStart"/>
            <w:r>
              <w:rPr>
                <w:lang w:eastAsia="en-US"/>
              </w:rPr>
              <w:t>approach</w:t>
            </w:r>
            <w:proofErr w:type="gramEnd"/>
          </w:p>
          <w:p w14:paraId="6C7AFC23" w14:textId="78698572" w:rsidR="003A0EB1" w:rsidRPr="003A0EB1" w:rsidRDefault="003A0EB1" w:rsidP="00804008">
            <w:pPr>
              <w:pStyle w:val="TablePlainParagraph"/>
              <w:numPr>
                <w:ilvl w:val="0"/>
                <w:numId w:val="50"/>
              </w:numPr>
              <w:rPr>
                <w:lang w:eastAsia="en-US"/>
              </w:rPr>
            </w:pPr>
            <w:r>
              <w:rPr>
                <w:lang w:eastAsia="en-US"/>
              </w:rPr>
              <w:t xml:space="preserve">Information </w:t>
            </w:r>
            <w:r w:rsidR="00F4781D">
              <w:rPr>
                <w:lang w:eastAsia="en-US"/>
              </w:rPr>
              <w:t>for</w:t>
            </w:r>
            <w:r>
              <w:rPr>
                <w:lang w:eastAsia="en-US"/>
              </w:rPr>
              <w:t xml:space="preserve"> inclu</w:t>
            </w:r>
            <w:r w:rsidR="00E61E4E">
              <w:rPr>
                <w:lang w:eastAsia="en-US"/>
              </w:rPr>
              <w:t>sion</w:t>
            </w:r>
            <w:r>
              <w:rPr>
                <w:lang w:eastAsia="en-US"/>
              </w:rPr>
              <w:t xml:space="preserve"> in records substantiating decisions made in response to requests for access</w:t>
            </w:r>
          </w:p>
        </w:tc>
      </w:tr>
      <w:tr w:rsidR="003A0EB1" w:rsidRPr="00121519" w14:paraId="548E2B14" w14:textId="77777777" w:rsidTr="00F4781D">
        <w:tc>
          <w:tcPr>
            <w:tcW w:w="185" w:type="pct"/>
            <w:vMerge w:val="restart"/>
            <w:vAlign w:val="top"/>
          </w:tcPr>
          <w:p w14:paraId="548F50FA" w14:textId="47531ED4" w:rsidR="003A0EB1" w:rsidRPr="00121519" w:rsidRDefault="003A0EB1" w:rsidP="00BA1717">
            <w:pPr>
              <w:pStyle w:val="TablePlainParagraph"/>
              <w:rPr>
                <w:b/>
              </w:rPr>
            </w:pPr>
            <w:r>
              <w:rPr>
                <w:b/>
              </w:rPr>
              <w:t>N/A</w:t>
            </w:r>
          </w:p>
        </w:tc>
        <w:tc>
          <w:tcPr>
            <w:tcW w:w="515" w:type="pct"/>
            <w:vMerge w:val="restart"/>
            <w:vAlign w:val="top"/>
          </w:tcPr>
          <w:p w14:paraId="1F89EE9C" w14:textId="6BFE55EA" w:rsidR="003A0EB1" w:rsidRPr="00121519" w:rsidRDefault="003A0EB1" w:rsidP="00BA1717">
            <w:pPr>
              <w:pStyle w:val="TablePlainParagraph"/>
              <w:rPr>
                <w:b/>
              </w:rPr>
            </w:pPr>
            <w:r>
              <w:rPr>
                <w:b/>
              </w:rPr>
              <w:t>Responding to requests to access and correct information</w:t>
            </w:r>
          </w:p>
        </w:tc>
        <w:tc>
          <w:tcPr>
            <w:tcW w:w="376" w:type="pct"/>
            <w:vAlign w:val="top"/>
          </w:tcPr>
          <w:p w14:paraId="09939E75" w14:textId="32B838D3" w:rsidR="003A0EB1" w:rsidRPr="003A0EB1" w:rsidRDefault="003A0EB1" w:rsidP="00BA1717">
            <w:pPr>
              <w:pStyle w:val="TablePlainParagraph"/>
              <w:rPr>
                <w:b/>
              </w:rPr>
            </w:pPr>
            <w:r w:rsidRPr="003A0EB1">
              <w:rPr>
                <w:b/>
              </w:rPr>
              <w:t>APP 12</w:t>
            </w:r>
          </w:p>
        </w:tc>
        <w:tc>
          <w:tcPr>
            <w:tcW w:w="246" w:type="pct"/>
            <w:vAlign w:val="top"/>
          </w:tcPr>
          <w:p w14:paraId="7643781B" w14:textId="71D3E65A" w:rsidR="003A0EB1" w:rsidRDefault="00CF4EAA" w:rsidP="00BA1717">
            <w:pPr>
              <w:pStyle w:val="TablePlainParagraph"/>
            </w:pPr>
            <w:r>
              <w:t>[</w:t>
            </w:r>
            <w:r w:rsidR="00F4781D">
              <w:fldChar w:fldCharType="begin"/>
            </w:r>
            <w:r w:rsidR="00F4781D">
              <w:instrText xml:space="preserve"> REF _Ref163838625 \r \h </w:instrText>
            </w:r>
            <w:r w:rsidR="00F4781D">
              <w:fldChar w:fldCharType="separate"/>
            </w:r>
            <w:r w:rsidR="00C14F0B">
              <w:t>439</w:t>
            </w:r>
            <w:r w:rsidR="00F4781D">
              <w:fldChar w:fldCharType="end"/>
            </w:r>
            <w:r w:rsidR="00F4781D">
              <w:t>]</w:t>
            </w:r>
          </w:p>
        </w:tc>
        <w:tc>
          <w:tcPr>
            <w:tcW w:w="3678" w:type="pct"/>
            <w:vAlign w:val="top"/>
          </w:tcPr>
          <w:p w14:paraId="3DA29251" w14:textId="7C7381B2" w:rsidR="003A0EB1" w:rsidRDefault="003A0EB1" w:rsidP="00804008">
            <w:pPr>
              <w:pStyle w:val="TablePlainParagraph"/>
              <w:numPr>
                <w:ilvl w:val="0"/>
                <w:numId w:val="51"/>
              </w:numPr>
            </w:pPr>
            <w:r>
              <w:t xml:space="preserve">That in-scope companies must give individuals access to their own personal information on request, and must do so within a reasonable </w:t>
            </w:r>
            <w:proofErr w:type="gramStart"/>
            <w:r>
              <w:t>time</w:t>
            </w:r>
            <w:proofErr w:type="gramEnd"/>
          </w:p>
          <w:p w14:paraId="4111674F" w14:textId="37529274" w:rsidR="003A0EB1" w:rsidRDefault="003A0EB1" w:rsidP="00804008">
            <w:pPr>
              <w:pStyle w:val="TablePlainParagraph"/>
              <w:numPr>
                <w:ilvl w:val="0"/>
                <w:numId w:val="51"/>
              </w:numPr>
            </w:pPr>
            <w:r>
              <w:t xml:space="preserve">The grounds on which such a request may be refused, including </w:t>
            </w:r>
            <w:r w:rsidRPr="009F745F">
              <w:t xml:space="preserve">if doing so would post a threat to health, life or safety, if there would be an unreasonable privacy impact on other individuals, the request is frivolous or vexatious, or is likely to prejudice ongoing enforcement activities by an enforcement </w:t>
            </w:r>
            <w:proofErr w:type="gramStart"/>
            <w:r w:rsidRPr="009F745F">
              <w:t>body</w:t>
            </w:r>
            <w:proofErr w:type="gramEnd"/>
          </w:p>
          <w:p w14:paraId="7F32A26D" w14:textId="1C54C103" w:rsidR="003A0EB1" w:rsidRPr="00121519" w:rsidRDefault="003A0EB1" w:rsidP="00804008">
            <w:pPr>
              <w:pStyle w:val="TablePlainParagraph"/>
              <w:numPr>
                <w:ilvl w:val="0"/>
                <w:numId w:val="51"/>
              </w:numPr>
            </w:pPr>
            <w:r>
              <w:t xml:space="preserve">That </w:t>
            </w:r>
            <w:r w:rsidR="00E61E4E">
              <w:t xml:space="preserve">in scope companies </w:t>
            </w:r>
            <w:r>
              <w:t>can charge individuals for giving access, but that a charge must not be excessive and must not apply to the making of the request (or that the charge must be the charge prescribed by Treasury, if applicable)</w:t>
            </w:r>
          </w:p>
        </w:tc>
      </w:tr>
      <w:tr w:rsidR="003A0EB1" w:rsidRPr="00121519" w14:paraId="54358F8E" w14:textId="77777777" w:rsidTr="00F4781D">
        <w:tc>
          <w:tcPr>
            <w:tcW w:w="185" w:type="pct"/>
            <w:vMerge/>
            <w:vAlign w:val="top"/>
          </w:tcPr>
          <w:p w14:paraId="56D4BCB7" w14:textId="77777777" w:rsidR="003A0EB1" w:rsidRPr="00121519" w:rsidRDefault="003A0EB1" w:rsidP="00BA1717">
            <w:pPr>
              <w:pStyle w:val="TablePlainParagraph"/>
              <w:rPr>
                <w:b/>
              </w:rPr>
            </w:pPr>
          </w:p>
        </w:tc>
        <w:tc>
          <w:tcPr>
            <w:tcW w:w="515" w:type="pct"/>
            <w:vMerge/>
            <w:vAlign w:val="top"/>
          </w:tcPr>
          <w:p w14:paraId="6D17854A" w14:textId="1922604A" w:rsidR="003A0EB1" w:rsidRPr="00121519" w:rsidRDefault="003A0EB1" w:rsidP="00BA1717">
            <w:pPr>
              <w:pStyle w:val="TablePlainParagraph"/>
              <w:rPr>
                <w:b/>
              </w:rPr>
            </w:pPr>
          </w:p>
        </w:tc>
        <w:tc>
          <w:tcPr>
            <w:tcW w:w="376" w:type="pct"/>
            <w:vAlign w:val="top"/>
          </w:tcPr>
          <w:p w14:paraId="3A615EB8" w14:textId="184E4847" w:rsidR="003A0EB1" w:rsidRPr="003A0EB1" w:rsidRDefault="003A0EB1" w:rsidP="00BA1717">
            <w:pPr>
              <w:pStyle w:val="TablePlainParagraph"/>
              <w:rPr>
                <w:b/>
              </w:rPr>
            </w:pPr>
            <w:r w:rsidRPr="003A0EB1">
              <w:rPr>
                <w:b/>
              </w:rPr>
              <w:t>APP 13</w:t>
            </w:r>
          </w:p>
        </w:tc>
        <w:tc>
          <w:tcPr>
            <w:tcW w:w="246" w:type="pct"/>
            <w:vAlign w:val="top"/>
          </w:tcPr>
          <w:p w14:paraId="291C69E9" w14:textId="4ACBBDAA" w:rsidR="003A0EB1" w:rsidRDefault="00CF4EAA" w:rsidP="00BA1717">
            <w:pPr>
              <w:pStyle w:val="TablePlainParagraph"/>
            </w:pPr>
            <w:r>
              <w:t>[</w:t>
            </w:r>
            <w:r w:rsidR="00F4781D">
              <w:fldChar w:fldCharType="begin"/>
            </w:r>
            <w:r w:rsidR="00F4781D">
              <w:instrText xml:space="preserve"> REF _Ref163838637 \r \h </w:instrText>
            </w:r>
            <w:r w:rsidR="00F4781D">
              <w:fldChar w:fldCharType="separate"/>
            </w:r>
            <w:r w:rsidR="00C14F0B">
              <w:t>450</w:t>
            </w:r>
            <w:r w:rsidR="00F4781D">
              <w:fldChar w:fldCharType="end"/>
            </w:r>
            <w:r w:rsidR="00F4781D">
              <w:t>]</w:t>
            </w:r>
          </w:p>
        </w:tc>
        <w:tc>
          <w:tcPr>
            <w:tcW w:w="3678" w:type="pct"/>
            <w:vAlign w:val="top"/>
          </w:tcPr>
          <w:p w14:paraId="6D653213" w14:textId="15639A20" w:rsidR="003A0EB1" w:rsidRDefault="003A0EB1" w:rsidP="00804008">
            <w:pPr>
              <w:pStyle w:val="TablePlainParagraph"/>
              <w:numPr>
                <w:ilvl w:val="0"/>
                <w:numId w:val="52"/>
              </w:numPr>
            </w:pPr>
            <w:r>
              <w:t xml:space="preserve">That in-scope companies must </w:t>
            </w:r>
            <w:r w:rsidRPr="009F745F">
              <w:t xml:space="preserve">take reasonable steps to correct personal information to ensure that, having regard to the purpose for which it is held, it is accurate, up-to-date, complete, relevant and not </w:t>
            </w:r>
            <w:proofErr w:type="gramStart"/>
            <w:r w:rsidRPr="009F745F">
              <w:t>misleading</w:t>
            </w:r>
            <w:proofErr w:type="gramEnd"/>
          </w:p>
          <w:p w14:paraId="5FDA87FD" w14:textId="77777777" w:rsidR="003A0EB1" w:rsidRDefault="003A0EB1" w:rsidP="00804008">
            <w:pPr>
              <w:pStyle w:val="TablePlainParagraph"/>
              <w:numPr>
                <w:ilvl w:val="0"/>
                <w:numId w:val="52"/>
              </w:numPr>
            </w:pPr>
            <w:r>
              <w:t xml:space="preserve">That this obligation arises if the in-scope company becomes aware of inaccuracies themselves, or if they receive a request to correct personal </w:t>
            </w:r>
            <w:proofErr w:type="gramStart"/>
            <w:r>
              <w:t>information</w:t>
            </w:r>
            <w:proofErr w:type="gramEnd"/>
          </w:p>
          <w:p w14:paraId="1A6990CB" w14:textId="77777777" w:rsidR="003A0EB1" w:rsidRDefault="003A0EB1" w:rsidP="00804008">
            <w:pPr>
              <w:pStyle w:val="TablePlainParagraph"/>
              <w:numPr>
                <w:ilvl w:val="0"/>
                <w:numId w:val="52"/>
              </w:numPr>
            </w:pPr>
            <w:r>
              <w:t xml:space="preserve">That if a correction is made, the individual asks the APP entity to notify another APP entity of the correction, the first APP entity must take reasonable steps to do </w:t>
            </w:r>
            <w:proofErr w:type="gramStart"/>
            <w:r>
              <w:t>so</w:t>
            </w:r>
            <w:proofErr w:type="gramEnd"/>
          </w:p>
          <w:p w14:paraId="59132689" w14:textId="77777777" w:rsidR="003A0EB1" w:rsidRDefault="003A0EB1" w:rsidP="00804008">
            <w:pPr>
              <w:pStyle w:val="TablePlainParagraph"/>
              <w:numPr>
                <w:ilvl w:val="0"/>
                <w:numId w:val="52"/>
              </w:numPr>
            </w:pPr>
            <w:r>
              <w:t>That they must respond to correction requests within a reasonable time</w:t>
            </w:r>
          </w:p>
          <w:p w14:paraId="447B95FB" w14:textId="0EA0196F" w:rsidR="003A0EB1" w:rsidRPr="00121519" w:rsidRDefault="003A0EB1" w:rsidP="00804008">
            <w:pPr>
              <w:pStyle w:val="TablePlainParagraph"/>
              <w:numPr>
                <w:ilvl w:val="0"/>
                <w:numId w:val="52"/>
              </w:numPr>
            </w:pPr>
            <w:r>
              <w:t>Once Treasury determines how it wants in-scope companies to handle incorrect personal information that has been corrected, guidance on complying with this process</w:t>
            </w:r>
          </w:p>
        </w:tc>
      </w:tr>
      <w:bookmarkEnd w:id="164"/>
    </w:tbl>
    <w:p w14:paraId="20902751" w14:textId="77777777" w:rsidR="00F475C3" w:rsidRDefault="00F475C3" w:rsidP="00F475C3">
      <w:pPr>
        <w:pStyle w:val="NumberLevel1"/>
        <w:numPr>
          <w:ilvl w:val="0"/>
          <w:numId w:val="0"/>
        </w:numPr>
      </w:pPr>
    </w:p>
    <w:p w14:paraId="3F341011" w14:textId="77777777" w:rsidR="00F475C3" w:rsidRDefault="00F475C3" w:rsidP="00F475C3">
      <w:pPr>
        <w:pStyle w:val="NumberLevel1"/>
        <w:numPr>
          <w:ilvl w:val="0"/>
          <w:numId w:val="0"/>
        </w:numPr>
      </w:pPr>
    </w:p>
    <w:p w14:paraId="60352BD3" w14:textId="554124F8" w:rsidR="00F475C3" w:rsidRDefault="00F475C3" w:rsidP="007B3A1C">
      <w:pPr>
        <w:pStyle w:val="NumberLevel1"/>
        <w:numPr>
          <w:ilvl w:val="0"/>
          <w:numId w:val="0"/>
        </w:numPr>
        <w:sectPr w:rsidR="00F475C3" w:rsidSect="005F1ED1">
          <w:pgSz w:w="16838" w:h="11906" w:orient="landscape"/>
          <w:pgMar w:top="720" w:right="720" w:bottom="720" w:left="720" w:header="709" w:footer="709" w:gutter="0"/>
          <w:cols w:space="708"/>
          <w:titlePg/>
          <w:docGrid w:linePitch="360"/>
        </w:sectPr>
      </w:pPr>
    </w:p>
    <w:p w14:paraId="1182C2FC" w14:textId="527932D4" w:rsidR="00E0239E" w:rsidRDefault="00E0239E" w:rsidP="00E0239E">
      <w:pPr>
        <w:pStyle w:val="Heading1"/>
      </w:pPr>
      <w:bookmarkStart w:id="167" w:name="_Toc168942770"/>
      <w:r>
        <w:t xml:space="preserve">Annexure </w:t>
      </w:r>
      <w:r w:rsidR="00DE4139">
        <w:t>B</w:t>
      </w:r>
      <w:r>
        <w:t xml:space="preserve"> – Matters to be included in collection </w:t>
      </w:r>
      <w:proofErr w:type="gramStart"/>
      <w:r>
        <w:t>notices</w:t>
      </w:r>
      <w:bookmarkEnd w:id="167"/>
      <w:proofErr w:type="gramEnd"/>
    </w:p>
    <w:tbl>
      <w:tblPr>
        <w:tblStyle w:val="TableGrid"/>
        <w:tblpPr w:leftFromText="180" w:rightFromText="180" w:vertAnchor="text" w:tblpY="1"/>
        <w:tblOverlap w:val="never"/>
        <w:tblW w:w="4999"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2654"/>
        <w:gridCol w:w="4246"/>
        <w:gridCol w:w="4249"/>
        <w:gridCol w:w="4246"/>
      </w:tblGrid>
      <w:tr w:rsidR="00E0239E" w:rsidRPr="00121519" w14:paraId="424F729A" w14:textId="77777777" w:rsidTr="008417CE">
        <w:trPr>
          <w:cantSplit/>
          <w:tblHeader/>
        </w:trPr>
        <w:tc>
          <w:tcPr>
            <w:tcW w:w="862" w:type="pct"/>
            <w:shd w:val="clear" w:color="auto" w:fill="C4DDEA"/>
            <w:vAlign w:val="top"/>
          </w:tcPr>
          <w:p w14:paraId="1DE348DB" w14:textId="1D4B7D69" w:rsidR="00E0239E" w:rsidRPr="005F1ED1" w:rsidRDefault="00E0239E" w:rsidP="00BA1717">
            <w:pPr>
              <w:pStyle w:val="TableHeading2"/>
              <w:ind w:left="176" w:hanging="176"/>
              <w:rPr>
                <w:sz w:val="22"/>
                <w:szCs w:val="22"/>
              </w:rPr>
            </w:pPr>
            <w:r>
              <w:tab/>
            </w:r>
            <w:r w:rsidRPr="005F1ED1">
              <w:rPr>
                <w:sz w:val="22"/>
                <w:szCs w:val="22"/>
              </w:rPr>
              <w:t>Para</w:t>
            </w:r>
          </w:p>
        </w:tc>
        <w:tc>
          <w:tcPr>
            <w:tcW w:w="1379" w:type="pct"/>
            <w:shd w:val="clear" w:color="auto" w:fill="C4DDEA"/>
            <w:vAlign w:val="top"/>
          </w:tcPr>
          <w:p w14:paraId="336EBDF8" w14:textId="77777777" w:rsidR="00E0239E" w:rsidRPr="005F1ED1" w:rsidRDefault="00E0239E" w:rsidP="00BA1717">
            <w:pPr>
              <w:pStyle w:val="TableHeading2"/>
              <w:rPr>
                <w:sz w:val="22"/>
                <w:szCs w:val="22"/>
              </w:rPr>
            </w:pPr>
            <w:r w:rsidRPr="005F1ED1">
              <w:rPr>
                <w:sz w:val="22"/>
                <w:szCs w:val="22"/>
              </w:rPr>
              <w:t>Initial collection</w:t>
            </w:r>
            <w:r>
              <w:rPr>
                <w:sz w:val="22"/>
                <w:szCs w:val="22"/>
              </w:rPr>
              <w:t xml:space="preserve"> notice</w:t>
            </w:r>
          </w:p>
        </w:tc>
        <w:tc>
          <w:tcPr>
            <w:tcW w:w="1380" w:type="pct"/>
            <w:shd w:val="clear" w:color="auto" w:fill="C4DDEA"/>
            <w:vAlign w:val="top"/>
          </w:tcPr>
          <w:p w14:paraId="3A7AA6B7" w14:textId="77777777" w:rsidR="00E0239E" w:rsidRPr="005F1ED1" w:rsidRDefault="00E0239E" w:rsidP="00BA1717">
            <w:pPr>
              <w:pStyle w:val="TableHeading2"/>
              <w:rPr>
                <w:sz w:val="22"/>
                <w:szCs w:val="22"/>
              </w:rPr>
            </w:pPr>
            <w:r w:rsidRPr="005F1ED1">
              <w:rPr>
                <w:sz w:val="22"/>
                <w:szCs w:val="22"/>
              </w:rPr>
              <w:t>RCA collection</w:t>
            </w:r>
            <w:r>
              <w:rPr>
                <w:sz w:val="22"/>
                <w:szCs w:val="22"/>
              </w:rPr>
              <w:t xml:space="preserve"> notice</w:t>
            </w:r>
          </w:p>
        </w:tc>
        <w:tc>
          <w:tcPr>
            <w:tcW w:w="1379" w:type="pct"/>
            <w:shd w:val="clear" w:color="auto" w:fill="C4DDEA"/>
            <w:vAlign w:val="top"/>
          </w:tcPr>
          <w:p w14:paraId="0E5A893C" w14:textId="77777777" w:rsidR="00E0239E" w:rsidRPr="005F1ED1" w:rsidRDefault="00E0239E" w:rsidP="00BA1717">
            <w:pPr>
              <w:pStyle w:val="TableHeading2"/>
              <w:rPr>
                <w:sz w:val="22"/>
                <w:szCs w:val="22"/>
              </w:rPr>
            </w:pPr>
            <w:r w:rsidRPr="005F1ED1">
              <w:rPr>
                <w:sz w:val="22"/>
                <w:szCs w:val="22"/>
              </w:rPr>
              <w:t>Suppression collection</w:t>
            </w:r>
            <w:r>
              <w:rPr>
                <w:sz w:val="22"/>
                <w:szCs w:val="22"/>
              </w:rPr>
              <w:t xml:space="preserve"> notice</w:t>
            </w:r>
          </w:p>
        </w:tc>
      </w:tr>
      <w:tr w:rsidR="00E0239E" w:rsidRPr="00121519" w14:paraId="72C0CEC3" w14:textId="77777777" w:rsidTr="00BA1717">
        <w:tc>
          <w:tcPr>
            <w:tcW w:w="862" w:type="pct"/>
            <w:vAlign w:val="top"/>
          </w:tcPr>
          <w:p w14:paraId="7CEC536F" w14:textId="3C020624" w:rsidR="00E0239E" w:rsidRPr="005F1ED1" w:rsidRDefault="00901EF5" w:rsidP="00BA1717">
            <w:pPr>
              <w:pStyle w:val="TablePlainParagraph"/>
              <w:rPr>
                <w:b/>
                <w:sz w:val="22"/>
                <w:szCs w:val="22"/>
              </w:rPr>
            </w:pPr>
            <w:r>
              <w:rPr>
                <w:b/>
                <w:sz w:val="22"/>
                <w:szCs w:val="22"/>
              </w:rPr>
              <w:t xml:space="preserve">APP </w:t>
            </w:r>
            <w:r w:rsidR="00E0239E" w:rsidRPr="005F1ED1">
              <w:rPr>
                <w:b/>
                <w:sz w:val="22"/>
                <w:szCs w:val="22"/>
              </w:rPr>
              <w:t>5.2(a)</w:t>
            </w:r>
          </w:p>
          <w:p w14:paraId="1149D332" w14:textId="77777777" w:rsidR="00E0239E" w:rsidRPr="005F1ED1" w:rsidRDefault="00E0239E" w:rsidP="00BA1717">
            <w:pPr>
              <w:pStyle w:val="TablePlainParagraph"/>
              <w:rPr>
                <w:b/>
                <w:sz w:val="22"/>
                <w:szCs w:val="22"/>
              </w:rPr>
            </w:pPr>
            <w:r w:rsidRPr="005F1ED1">
              <w:rPr>
                <w:sz w:val="22"/>
                <w:szCs w:val="22"/>
              </w:rPr>
              <w:t>Identity and contact details</w:t>
            </w:r>
          </w:p>
        </w:tc>
        <w:tc>
          <w:tcPr>
            <w:tcW w:w="4138" w:type="pct"/>
            <w:gridSpan w:val="3"/>
            <w:vAlign w:val="top"/>
          </w:tcPr>
          <w:p w14:paraId="5837E108" w14:textId="77777777" w:rsidR="00E0239E" w:rsidRPr="005F1ED1" w:rsidRDefault="00E0239E" w:rsidP="00BA1717">
            <w:pPr>
              <w:pStyle w:val="TablePlainParagraph"/>
              <w:rPr>
                <w:b/>
                <w:sz w:val="22"/>
                <w:szCs w:val="22"/>
              </w:rPr>
            </w:pPr>
            <w:r w:rsidRPr="005F1ED1">
              <w:rPr>
                <w:sz w:val="22"/>
                <w:szCs w:val="22"/>
              </w:rPr>
              <w:t>Identity and contact information of the entity providing the collection notice, including the relevant team</w:t>
            </w:r>
          </w:p>
        </w:tc>
      </w:tr>
      <w:tr w:rsidR="00BA1717" w:rsidRPr="00121519" w14:paraId="45DC0D9E" w14:textId="77777777" w:rsidTr="00BA1717">
        <w:tc>
          <w:tcPr>
            <w:tcW w:w="862" w:type="pct"/>
            <w:shd w:val="clear" w:color="auto" w:fill="auto"/>
            <w:vAlign w:val="top"/>
          </w:tcPr>
          <w:p w14:paraId="69C90D64" w14:textId="21619F9F" w:rsidR="00BA1717" w:rsidRPr="005F1ED1" w:rsidRDefault="00BA1717" w:rsidP="00BA1717">
            <w:pPr>
              <w:pStyle w:val="TablePlainParagraph"/>
              <w:rPr>
                <w:b/>
                <w:sz w:val="22"/>
                <w:szCs w:val="22"/>
              </w:rPr>
            </w:pPr>
            <w:r>
              <w:rPr>
                <w:b/>
                <w:sz w:val="22"/>
                <w:szCs w:val="22"/>
              </w:rPr>
              <w:t xml:space="preserve">APP </w:t>
            </w:r>
            <w:r w:rsidRPr="005F1ED1">
              <w:rPr>
                <w:b/>
                <w:sz w:val="22"/>
                <w:szCs w:val="22"/>
              </w:rPr>
              <w:t>5.2(b)</w:t>
            </w:r>
          </w:p>
          <w:p w14:paraId="6113AD96" w14:textId="77777777" w:rsidR="00BA1717" w:rsidRPr="005F1ED1" w:rsidRDefault="00BA1717" w:rsidP="00BA1717">
            <w:pPr>
              <w:pStyle w:val="TablePlainParagraph"/>
              <w:rPr>
                <w:b/>
                <w:sz w:val="22"/>
                <w:szCs w:val="22"/>
              </w:rPr>
            </w:pPr>
            <w:r w:rsidRPr="005F1ED1">
              <w:rPr>
                <w:sz w:val="22"/>
                <w:szCs w:val="22"/>
              </w:rPr>
              <w:t>Third party collection</w:t>
            </w:r>
          </w:p>
        </w:tc>
        <w:tc>
          <w:tcPr>
            <w:tcW w:w="1379" w:type="pct"/>
            <w:shd w:val="clear" w:color="auto" w:fill="auto"/>
            <w:vAlign w:val="top"/>
          </w:tcPr>
          <w:p w14:paraId="4AF741C9" w14:textId="38D37F92" w:rsidR="00BA1717" w:rsidRPr="005F1ED1" w:rsidRDefault="00BA1717" w:rsidP="00BA1717">
            <w:pPr>
              <w:pStyle w:val="TablePlainParagraph"/>
              <w:rPr>
                <w:sz w:val="22"/>
                <w:szCs w:val="22"/>
              </w:rPr>
            </w:pPr>
            <w:r w:rsidRPr="005F1ED1">
              <w:rPr>
                <w:sz w:val="22"/>
                <w:szCs w:val="22"/>
              </w:rPr>
              <w:t>N/A – in-scope companies will collect BOI directly from beneficial owners</w:t>
            </w:r>
          </w:p>
        </w:tc>
        <w:tc>
          <w:tcPr>
            <w:tcW w:w="1380" w:type="pct"/>
            <w:shd w:val="clear" w:color="auto" w:fill="auto"/>
            <w:vAlign w:val="top"/>
          </w:tcPr>
          <w:p w14:paraId="0AA3A440" w14:textId="2E290AA4" w:rsidR="00BA1717" w:rsidRPr="005F1ED1" w:rsidRDefault="00BA1717" w:rsidP="00BA1717">
            <w:pPr>
              <w:pStyle w:val="TablePlainParagraph"/>
              <w:rPr>
                <w:sz w:val="22"/>
                <w:szCs w:val="22"/>
              </w:rPr>
            </w:pPr>
            <w:r>
              <w:rPr>
                <w:sz w:val="22"/>
                <w:szCs w:val="22"/>
              </w:rPr>
              <w:t>The RCA will collect BOI from i</w:t>
            </w:r>
            <w:r w:rsidRPr="005F1ED1">
              <w:rPr>
                <w:sz w:val="22"/>
                <w:szCs w:val="22"/>
              </w:rPr>
              <w:t>n-scope companies</w:t>
            </w:r>
            <w:r>
              <w:rPr>
                <w:sz w:val="22"/>
                <w:szCs w:val="22"/>
              </w:rPr>
              <w:t>, unless provided directly by the individual</w:t>
            </w:r>
          </w:p>
        </w:tc>
        <w:tc>
          <w:tcPr>
            <w:tcW w:w="1379" w:type="pct"/>
            <w:shd w:val="clear" w:color="auto" w:fill="auto"/>
            <w:vAlign w:val="top"/>
          </w:tcPr>
          <w:p w14:paraId="42E0D1C3" w14:textId="24D1DF87" w:rsidR="00BA1717" w:rsidRPr="005F1ED1" w:rsidRDefault="00BA1717" w:rsidP="00BA1717">
            <w:pPr>
              <w:pStyle w:val="TablePlainParagraph"/>
              <w:rPr>
                <w:b/>
                <w:sz w:val="22"/>
                <w:szCs w:val="22"/>
              </w:rPr>
            </w:pPr>
            <w:r>
              <w:rPr>
                <w:sz w:val="22"/>
                <w:szCs w:val="22"/>
              </w:rPr>
              <w:t xml:space="preserve">ASIC will collect </w:t>
            </w:r>
            <w:r w:rsidRPr="005F1ED1">
              <w:rPr>
                <w:sz w:val="22"/>
                <w:szCs w:val="22"/>
              </w:rPr>
              <w:t>personal information directly from beneficial owners.</w:t>
            </w:r>
          </w:p>
        </w:tc>
      </w:tr>
      <w:tr w:rsidR="00BA1717" w:rsidRPr="00121519" w14:paraId="2A5C0DB1" w14:textId="77777777" w:rsidTr="00BA1717">
        <w:tc>
          <w:tcPr>
            <w:tcW w:w="862" w:type="pct"/>
            <w:shd w:val="clear" w:color="auto" w:fill="auto"/>
            <w:vAlign w:val="top"/>
          </w:tcPr>
          <w:p w14:paraId="26032FD4" w14:textId="37E0FC7F" w:rsidR="00BA1717" w:rsidRPr="005F1ED1" w:rsidRDefault="00BA1717" w:rsidP="00BA1717">
            <w:pPr>
              <w:pStyle w:val="TablePlainParagraph"/>
              <w:rPr>
                <w:b/>
                <w:sz w:val="22"/>
                <w:szCs w:val="22"/>
              </w:rPr>
            </w:pPr>
            <w:r>
              <w:rPr>
                <w:b/>
                <w:sz w:val="22"/>
                <w:szCs w:val="22"/>
              </w:rPr>
              <w:t xml:space="preserve">APP </w:t>
            </w:r>
            <w:r w:rsidRPr="005F1ED1">
              <w:rPr>
                <w:b/>
                <w:sz w:val="22"/>
                <w:szCs w:val="22"/>
              </w:rPr>
              <w:t>5.2(c)</w:t>
            </w:r>
          </w:p>
          <w:p w14:paraId="634EB227" w14:textId="77777777" w:rsidR="00BA1717" w:rsidRPr="005F1ED1" w:rsidRDefault="00BA1717" w:rsidP="00BA1717">
            <w:pPr>
              <w:pStyle w:val="TablePlainParagraph"/>
              <w:rPr>
                <w:b/>
                <w:sz w:val="22"/>
                <w:szCs w:val="22"/>
              </w:rPr>
            </w:pPr>
            <w:r w:rsidRPr="005F1ED1">
              <w:rPr>
                <w:sz w:val="22"/>
                <w:szCs w:val="22"/>
              </w:rPr>
              <w:t>Authorisation</w:t>
            </w:r>
          </w:p>
        </w:tc>
        <w:tc>
          <w:tcPr>
            <w:tcW w:w="2759" w:type="pct"/>
            <w:gridSpan w:val="2"/>
            <w:shd w:val="clear" w:color="auto" w:fill="auto"/>
            <w:vAlign w:val="top"/>
          </w:tcPr>
          <w:p w14:paraId="5D156FB6" w14:textId="4408BBC2" w:rsidR="00BA1717" w:rsidRPr="005F1ED1" w:rsidRDefault="00BA1717" w:rsidP="00BA1717">
            <w:pPr>
              <w:pStyle w:val="TablePlainParagraph"/>
              <w:rPr>
                <w:sz w:val="22"/>
                <w:szCs w:val="22"/>
              </w:rPr>
            </w:pPr>
            <w:r w:rsidRPr="005F1ED1">
              <w:rPr>
                <w:sz w:val="22"/>
                <w:szCs w:val="22"/>
              </w:rPr>
              <w:t xml:space="preserve">Refer to the proposed legislation and explain that it requires </w:t>
            </w:r>
            <w:r>
              <w:rPr>
                <w:sz w:val="22"/>
                <w:szCs w:val="22"/>
              </w:rPr>
              <w:t xml:space="preserve">the collection of </w:t>
            </w:r>
            <w:proofErr w:type="gramStart"/>
            <w:r w:rsidRPr="005F1ED1">
              <w:rPr>
                <w:sz w:val="22"/>
                <w:szCs w:val="22"/>
              </w:rPr>
              <w:t>BOI</w:t>
            </w:r>
            <w:proofErr w:type="gramEnd"/>
            <w:r>
              <w:rPr>
                <w:sz w:val="22"/>
                <w:szCs w:val="22"/>
              </w:rPr>
              <w:t>.</w:t>
            </w:r>
            <w:r w:rsidRPr="005F1ED1">
              <w:rPr>
                <w:sz w:val="22"/>
                <w:szCs w:val="22"/>
              </w:rPr>
              <w:t xml:space="preserve"> </w:t>
            </w:r>
          </w:p>
        </w:tc>
        <w:tc>
          <w:tcPr>
            <w:tcW w:w="1379" w:type="pct"/>
            <w:shd w:val="clear" w:color="auto" w:fill="auto"/>
            <w:vAlign w:val="top"/>
          </w:tcPr>
          <w:p w14:paraId="1A6B8863" w14:textId="11E9DF42" w:rsidR="00BA1717" w:rsidRPr="005F1ED1" w:rsidRDefault="00BA1717" w:rsidP="00BA1717">
            <w:pPr>
              <w:pStyle w:val="TablePlainParagraph"/>
              <w:rPr>
                <w:sz w:val="22"/>
                <w:szCs w:val="22"/>
              </w:rPr>
            </w:pPr>
            <w:r w:rsidRPr="005F1ED1">
              <w:rPr>
                <w:sz w:val="22"/>
                <w:szCs w:val="22"/>
              </w:rPr>
              <w:t xml:space="preserve">Refer to the proposed legislation and explain that ASIC </w:t>
            </w:r>
            <w:r>
              <w:rPr>
                <w:sz w:val="22"/>
                <w:szCs w:val="22"/>
              </w:rPr>
              <w:t xml:space="preserve">will collect personal information </w:t>
            </w:r>
            <w:r w:rsidRPr="005F1ED1">
              <w:rPr>
                <w:sz w:val="22"/>
                <w:szCs w:val="22"/>
              </w:rPr>
              <w:t xml:space="preserve">to assess </w:t>
            </w:r>
            <w:r>
              <w:rPr>
                <w:sz w:val="22"/>
                <w:szCs w:val="22"/>
              </w:rPr>
              <w:t xml:space="preserve">an </w:t>
            </w:r>
            <w:r w:rsidRPr="005F1ED1">
              <w:rPr>
                <w:sz w:val="22"/>
                <w:szCs w:val="22"/>
              </w:rPr>
              <w:t>application to suppress personal information</w:t>
            </w:r>
          </w:p>
        </w:tc>
      </w:tr>
      <w:tr w:rsidR="00BA1717" w:rsidRPr="00121519" w14:paraId="403D6696" w14:textId="77777777" w:rsidTr="00BA1717">
        <w:tc>
          <w:tcPr>
            <w:tcW w:w="862" w:type="pct"/>
            <w:vAlign w:val="top"/>
          </w:tcPr>
          <w:p w14:paraId="2885FCF8" w14:textId="197EA16D" w:rsidR="00BA1717" w:rsidRPr="005F1ED1" w:rsidRDefault="00BA1717" w:rsidP="00BA1717">
            <w:pPr>
              <w:pStyle w:val="TablePlainParagraph"/>
              <w:rPr>
                <w:b/>
                <w:sz w:val="22"/>
                <w:szCs w:val="22"/>
              </w:rPr>
            </w:pPr>
            <w:r>
              <w:rPr>
                <w:b/>
                <w:sz w:val="22"/>
                <w:szCs w:val="22"/>
              </w:rPr>
              <w:t xml:space="preserve">APP </w:t>
            </w:r>
            <w:r w:rsidRPr="005F1ED1">
              <w:rPr>
                <w:b/>
                <w:sz w:val="22"/>
                <w:szCs w:val="22"/>
              </w:rPr>
              <w:t>5.2(d)</w:t>
            </w:r>
          </w:p>
          <w:p w14:paraId="37467C61" w14:textId="77777777" w:rsidR="00BA1717" w:rsidRPr="005F1ED1" w:rsidRDefault="00BA1717" w:rsidP="00BA1717">
            <w:pPr>
              <w:pStyle w:val="TablePlainParagraph"/>
              <w:rPr>
                <w:b/>
                <w:sz w:val="22"/>
                <w:szCs w:val="22"/>
              </w:rPr>
            </w:pPr>
            <w:r w:rsidRPr="005F1ED1">
              <w:rPr>
                <w:sz w:val="22"/>
                <w:szCs w:val="22"/>
              </w:rPr>
              <w:t>Purpose of collection</w:t>
            </w:r>
          </w:p>
        </w:tc>
        <w:tc>
          <w:tcPr>
            <w:tcW w:w="2759" w:type="pct"/>
            <w:gridSpan w:val="2"/>
            <w:vAlign w:val="top"/>
          </w:tcPr>
          <w:p w14:paraId="75060D0F" w14:textId="6B250199" w:rsidR="00BA1717" w:rsidRPr="00E0239E" w:rsidRDefault="00BA1717" w:rsidP="00804008">
            <w:pPr>
              <w:pStyle w:val="TablePlainParagraph"/>
              <w:numPr>
                <w:ilvl w:val="0"/>
                <w:numId w:val="44"/>
              </w:numPr>
              <w:rPr>
                <w:sz w:val="22"/>
                <w:szCs w:val="22"/>
              </w:rPr>
            </w:pPr>
            <w:r>
              <w:rPr>
                <w:sz w:val="22"/>
                <w:szCs w:val="22"/>
              </w:rPr>
              <w:t>To develop and maintain a BOR to combat money laundering and terrorism funding.</w:t>
            </w:r>
          </w:p>
        </w:tc>
        <w:tc>
          <w:tcPr>
            <w:tcW w:w="1379" w:type="pct"/>
            <w:vAlign w:val="top"/>
          </w:tcPr>
          <w:p w14:paraId="042FFE5A" w14:textId="7CAC98B6" w:rsidR="00BA1717" w:rsidRPr="005F1ED1" w:rsidRDefault="00BA1717" w:rsidP="00BA1717">
            <w:pPr>
              <w:pStyle w:val="TablePlainParagraph"/>
              <w:rPr>
                <w:sz w:val="22"/>
                <w:szCs w:val="22"/>
              </w:rPr>
            </w:pPr>
            <w:r>
              <w:rPr>
                <w:sz w:val="22"/>
                <w:szCs w:val="22"/>
              </w:rPr>
              <w:t>To</w:t>
            </w:r>
            <w:r w:rsidRPr="005F1ED1">
              <w:rPr>
                <w:sz w:val="22"/>
                <w:szCs w:val="22"/>
              </w:rPr>
              <w:t xml:space="preserve"> assessing suppression applications</w:t>
            </w:r>
            <w:r>
              <w:rPr>
                <w:sz w:val="22"/>
                <w:szCs w:val="22"/>
              </w:rPr>
              <w:t>.</w:t>
            </w:r>
          </w:p>
        </w:tc>
      </w:tr>
      <w:tr w:rsidR="00BA1717" w:rsidRPr="00121519" w14:paraId="2EEBBC97" w14:textId="77777777" w:rsidTr="00BA1717">
        <w:tc>
          <w:tcPr>
            <w:tcW w:w="862" w:type="pct"/>
            <w:vAlign w:val="top"/>
          </w:tcPr>
          <w:p w14:paraId="0E95628F" w14:textId="666164AE" w:rsidR="00BA1717" w:rsidRPr="005F1ED1" w:rsidRDefault="00BA1717" w:rsidP="00BA1717">
            <w:pPr>
              <w:pStyle w:val="TablePlainParagraph"/>
              <w:rPr>
                <w:b/>
                <w:sz w:val="22"/>
                <w:szCs w:val="22"/>
              </w:rPr>
            </w:pPr>
            <w:r>
              <w:rPr>
                <w:b/>
                <w:sz w:val="22"/>
                <w:szCs w:val="22"/>
              </w:rPr>
              <w:t xml:space="preserve">APP </w:t>
            </w:r>
            <w:r w:rsidRPr="005F1ED1">
              <w:rPr>
                <w:b/>
                <w:sz w:val="22"/>
                <w:szCs w:val="22"/>
              </w:rPr>
              <w:t>5.2(e)</w:t>
            </w:r>
          </w:p>
          <w:p w14:paraId="13F2C82A" w14:textId="77777777" w:rsidR="00BA1717" w:rsidRPr="005F1ED1" w:rsidRDefault="00BA1717" w:rsidP="00BA1717">
            <w:pPr>
              <w:pStyle w:val="TablePlainParagraph"/>
              <w:rPr>
                <w:b/>
                <w:sz w:val="22"/>
                <w:szCs w:val="22"/>
              </w:rPr>
            </w:pPr>
            <w:r w:rsidRPr="005F1ED1">
              <w:rPr>
                <w:sz w:val="22"/>
                <w:szCs w:val="22"/>
              </w:rPr>
              <w:t xml:space="preserve">Consequences </w:t>
            </w:r>
          </w:p>
        </w:tc>
        <w:tc>
          <w:tcPr>
            <w:tcW w:w="2759" w:type="pct"/>
            <w:gridSpan w:val="2"/>
            <w:vAlign w:val="top"/>
          </w:tcPr>
          <w:p w14:paraId="32250496" w14:textId="77777777" w:rsidR="00BA1717" w:rsidRPr="005F1ED1" w:rsidRDefault="00BA1717" w:rsidP="00BA1717">
            <w:pPr>
              <w:pStyle w:val="TablePlainParagraph"/>
              <w:rPr>
                <w:sz w:val="22"/>
                <w:szCs w:val="22"/>
              </w:rPr>
            </w:pPr>
            <w:r w:rsidRPr="005F1ED1">
              <w:rPr>
                <w:sz w:val="22"/>
                <w:szCs w:val="22"/>
              </w:rPr>
              <w:t xml:space="preserve">Explain: </w:t>
            </w:r>
          </w:p>
          <w:p w14:paraId="512DC70F" w14:textId="77777777" w:rsidR="00BA1717" w:rsidRPr="005F1ED1" w:rsidRDefault="00BA1717" w:rsidP="00804008">
            <w:pPr>
              <w:pStyle w:val="TablePlainParagraph"/>
              <w:numPr>
                <w:ilvl w:val="0"/>
                <w:numId w:val="41"/>
              </w:numPr>
              <w:rPr>
                <w:sz w:val="22"/>
                <w:szCs w:val="22"/>
              </w:rPr>
            </w:pPr>
            <w:r w:rsidRPr="005F1ED1">
              <w:rPr>
                <w:sz w:val="22"/>
                <w:szCs w:val="22"/>
              </w:rPr>
              <w:t>the enforcement procedures outlined under Activity 8</w:t>
            </w:r>
          </w:p>
          <w:p w14:paraId="516C359B" w14:textId="643A58BF" w:rsidR="00BA1717" w:rsidRPr="005F1ED1" w:rsidRDefault="00BA1717" w:rsidP="00BA1717">
            <w:pPr>
              <w:pStyle w:val="TablePlainParagraph"/>
              <w:ind w:left="360"/>
              <w:rPr>
                <w:sz w:val="22"/>
                <w:szCs w:val="22"/>
              </w:rPr>
            </w:pPr>
            <w:r w:rsidRPr="005F1ED1">
              <w:rPr>
                <w:sz w:val="22"/>
                <w:szCs w:val="22"/>
              </w:rPr>
              <w:t>that a person who receives a request to provide BOI but is not actually a beneficial owner does not need to respond</w:t>
            </w:r>
          </w:p>
        </w:tc>
        <w:tc>
          <w:tcPr>
            <w:tcW w:w="1379" w:type="pct"/>
            <w:vAlign w:val="top"/>
          </w:tcPr>
          <w:p w14:paraId="3F5159B8" w14:textId="22790F91" w:rsidR="00BA1717" w:rsidRPr="005F1ED1" w:rsidRDefault="00BA1717" w:rsidP="00BA1717">
            <w:pPr>
              <w:pStyle w:val="TablePlainParagraph"/>
              <w:rPr>
                <w:sz w:val="22"/>
                <w:szCs w:val="22"/>
              </w:rPr>
            </w:pPr>
            <w:r w:rsidRPr="005F1ED1">
              <w:rPr>
                <w:sz w:val="22"/>
                <w:szCs w:val="22"/>
              </w:rPr>
              <w:t>Explain any timeframes for a response, and the consequences if these are not complied with (</w:t>
            </w:r>
            <w:proofErr w:type="spellStart"/>
            <w:r w:rsidRPr="005F1ED1">
              <w:rPr>
                <w:sz w:val="22"/>
                <w:szCs w:val="22"/>
              </w:rPr>
              <w:t>eg</w:t>
            </w:r>
            <w:proofErr w:type="spellEnd"/>
            <w:r w:rsidRPr="005F1ED1">
              <w:rPr>
                <w:sz w:val="22"/>
                <w:szCs w:val="22"/>
              </w:rPr>
              <w:t>, refusal of the request after a certain time).</w:t>
            </w:r>
          </w:p>
        </w:tc>
      </w:tr>
      <w:tr w:rsidR="00E0239E" w:rsidRPr="00121519" w14:paraId="3ECCCD47" w14:textId="77777777" w:rsidTr="00BA1717">
        <w:trPr>
          <w:cantSplit/>
        </w:trPr>
        <w:tc>
          <w:tcPr>
            <w:tcW w:w="862" w:type="pct"/>
            <w:vAlign w:val="top"/>
          </w:tcPr>
          <w:p w14:paraId="24AEB10B" w14:textId="7EB2C0B9" w:rsidR="00E0239E" w:rsidRPr="005F1ED1" w:rsidRDefault="00901EF5" w:rsidP="00BA1717">
            <w:pPr>
              <w:pStyle w:val="TablePlainParagraph"/>
              <w:rPr>
                <w:b/>
                <w:sz w:val="22"/>
                <w:szCs w:val="22"/>
              </w:rPr>
            </w:pPr>
            <w:r>
              <w:rPr>
                <w:b/>
                <w:sz w:val="22"/>
                <w:szCs w:val="22"/>
              </w:rPr>
              <w:t xml:space="preserve">APP </w:t>
            </w:r>
            <w:r w:rsidR="00E0239E" w:rsidRPr="005F1ED1">
              <w:rPr>
                <w:b/>
                <w:sz w:val="22"/>
                <w:szCs w:val="22"/>
              </w:rPr>
              <w:t>5.2(f)</w:t>
            </w:r>
          </w:p>
          <w:p w14:paraId="5CCAB1B6" w14:textId="77777777" w:rsidR="00E0239E" w:rsidRPr="005F1ED1" w:rsidRDefault="00E0239E" w:rsidP="00BA1717">
            <w:pPr>
              <w:pStyle w:val="TablePlainParagraph"/>
              <w:rPr>
                <w:b/>
                <w:sz w:val="22"/>
                <w:szCs w:val="22"/>
              </w:rPr>
            </w:pPr>
            <w:r w:rsidRPr="005F1ED1">
              <w:rPr>
                <w:sz w:val="22"/>
                <w:szCs w:val="22"/>
              </w:rPr>
              <w:t>Usual disclosures</w:t>
            </w:r>
          </w:p>
        </w:tc>
        <w:tc>
          <w:tcPr>
            <w:tcW w:w="1379" w:type="pct"/>
            <w:vAlign w:val="top"/>
          </w:tcPr>
          <w:p w14:paraId="67106E3A" w14:textId="77777777" w:rsidR="00E0239E" w:rsidRPr="005F1ED1" w:rsidRDefault="00E0239E" w:rsidP="00BA1717">
            <w:pPr>
              <w:pStyle w:val="TablePlainParagraph"/>
              <w:rPr>
                <w:sz w:val="22"/>
                <w:szCs w:val="22"/>
              </w:rPr>
            </w:pPr>
            <w:r w:rsidRPr="005F1ED1">
              <w:rPr>
                <w:sz w:val="22"/>
                <w:szCs w:val="22"/>
              </w:rPr>
              <w:t xml:space="preserve">Explain: </w:t>
            </w:r>
          </w:p>
          <w:p w14:paraId="7C61A279" w14:textId="1E905207" w:rsidR="00E0239E" w:rsidRPr="005F1ED1" w:rsidRDefault="00E0239E" w:rsidP="00804008">
            <w:pPr>
              <w:pStyle w:val="TablePlainParagraph"/>
              <w:numPr>
                <w:ilvl w:val="0"/>
                <w:numId w:val="42"/>
              </w:numPr>
              <w:rPr>
                <w:sz w:val="22"/>
                <w:szCs w:val="22"/>
              </w:rPr>
            </w:pPr>
            <w:r w:rsidRPr="005F1ED1">
              <w:rPr>
                <w:sz w:val="22"/>
                <w:szCs w:val="22"/>
              </w:rPr>
              <w:t xml:space="preserve">the circumstances in which an in-scope company will </w:t>
            </w:r>
            <w:r w:rsidR="00BA1717">
              <w:rPr>
                <w:sz w:val="22"/>
                <w:szCs w:val="22"/>
              </w:rPr>
              <w:t xml:space="preserve">disclose BOR to an access </w:t>
            </w:r>
            <w:proofErr w:type="gramStart"/>
            <w:r w:rsidR="00BA1717">
              <w:rPr>
                <w:sz w:val="22"/>
                <w:szCs w:val="22"/>
              </w:rPr>
              <w:t>applicant</w:t>
            </w:r>
            <w:proofErr w:type="gramEnd"/>
            <w:r w:rsidR="00BA1717">
              <w:rPr>
                <w:sz w:val="22"/>
                <w:szCs w:val="22"/>
              </w:rPr>
              <w:t xml:space="preserve"> </w:t>
            </w:r>
          </w:p>
          <w:p w14:paraId="48A30261" w14:textId="77777777" w:rsidR="00E0239E" w:rsidRPr="005F1ED1" w:rsidRDefault="00E0239E" w:rsidP="00804008">
            <w:pPr>
              <w:pStyle w:val="TablePlainParagraph"/>
              <w:numPr>
                <w:ilvl w:val="0"/>
                <w:numId w:val="42"/>
              </w:numPr>
              <w:rPr>
                <w:sz w:val="22"/>
                <w:szCs w:val="22"/>
              </w:rPr>
            </w:pPr>
            <w:r w:rsidRPr="005F1ED1">
              <w:rPr>
                <w:sz w:val="22"/>
                <w:szCs w:val="22"/>
              </w:rPr>
              <w:t xml:space="preserve">That identity verification services may be </w:t>
            </w:r>
            <w:proofErr w:type="gramStart"/>
            <w:r w:rsidRPr="005F1ED1">
              <w:rPr>
                <w:sz w:val="22"/>
                <w:szCs w:val="22"/>
              </w:rPr>
              <w:t>engaged</w:t>
            </w:r>
            <w:proofErr w:type="gramEnd"/>
          </w:p>
          <w:p w14:paraId="309F17FC" w14:textId="5D9CD731" w:rsidR="00E0239E" w:rsidRPr="005F1ED1" w:rsidRDefault="00E0239E" w:rsidP="00804008">
            <w:pPr>
              <w:pStyle w:val="TablePlainParagraph"/>
              <w:numPr>
                <w:ilvl w:val="0"/>
                <w:numId w:val="42"/>
              </w:numPr>
              <w:rPr>
                <w:sz w:val="22"/>
                <w:szCs w:val="22"/>
              </w:rPr>
            </w:pPr>
            <w:r w:rsidRPr="005F1ED1">
              <w:rPr>
                <w:sz w:val="22"/>
                <w:szCs w:val="22"/>
              </w:rPr>
              <w:t xml:space="preserve">that if they want to be included in the suppression regime, </w:t>
            </w:r>
            <w:r w:rsidR="008417CE">
              <w:rPr>
                <w:sz w:val="22"/>
                <w:szCs w:val="22"/>
              </w:rPr>
              <w:t xml:space="preserve">they will need to apply to </w:t>
            </w:r>
            <w:proofErr w:type="gramStart"/>
            <w:r w:rsidR="008417CE">
              <w:rPr>
                <w:sz w:val="22"/>
                <w:szCs w:val="22"/>
              </w:rPr>
              <w:t>ASIC</w:t>
            </w:r>
            <w:proofErr w:type="gramEnd"/>
          </w:p>
          <w:p w14:paraId="6267E2BB" w14:textId="77777777" w:rsidR="00E0239E" w:rsidRPr="005F1ED1" w:rsidRDefault="00E0239E" w:rsidP="00804008">
            <w:pPr>
              <w:pStyle w:val="TablePlainParagraph"/>
              <w:numPr>
                <w:ilvl w:val="0"/>
                <w:numId w:val="42"/>
              </w:numPr>
              <w:rPr>
                <w:sz w:val="22"/>
                <w:szCs w:val="22"/>
              </w:rPr>
            </w:pPr>
            <w:r w:rsidRPr="005F1ED1">
              <w:rPr>
                <w:sz w:val="22"/>
                <w:szCs w:val="22"/>
              </w:rPr>
              <w:t xml:space="preserve">that relevant law enforcement agencies and regulators will have unlimited access to BOI </w:t>
            </w:r>
          </w:p>
          <w:p w14:paraId="46720503" w14:textId="77777777" w:rsidR="00E0239E" w:rsidRPr="005F1ED1" w:rsidRDefault="00E0239E" w:rsidP="00804008">
            <w:pPr>
              <w:pStyle w:val="TablePlainParagraph"/>
              <w:numPr>
                <w:ilvl w:val="0"/>
                <w:numId w:val="42"/>
              </w:numPr>
              <w:rPr>
                <w:sz w:val="22"/>
                <w:szCs w:val="22"/>
              </w:rPr>
            </w:pPr>
            <w:r w:rsidRPr="005F1ED1">
              <w:rPr>
                <w:sz w:val="22"/>
                <w:szCs w:val="22"/>
              </w:rPr>
              <w:t>that, once the PCBOR is live, in-scope companies will be required to enter their BOR into it.</w:t>
            </w:r>
          </w:p>
        </w:tc>
        <w:tc>
          <w:tcPr>
            <w:tcW w:w="1380" w:type="pct"/>
            <w:vAlign w:val="top"/>
          </w:tcPr>
          <w:p w14:paraId="1F371F34" w14:textId="77777777" w:rsidR="00E0239E" w:rsidRPr="005F1ED1" w:rsidRDefault="00E0239E" w:rsidP="00BA1717">
            <w:pPr>
              <w:spacing w:before="60" w:after="60"/>
              <w:rPr>
                <w:sz w:val="22"/>
                <w:szCs w:val="22"/>
              </w:rPr>
            </w:pPr>
            <w:r w:rsidRPr="005F1ED1">
              <w:rPr>
                <w:sz w:val="22"/>
                <w:szCs w:val="22"/>
              </w:rPr>
              <w:t>Identical to the initial collection notice, except that it should also explain:</w:t>
            </w:r>
          </w:p>
          <w:p w14:paraId="5672CAE2" w14:textId="1275FA97" w:rsidR="00E0239E" w:rsidRPr="00E0239E" w:rsidRDefault="00E0239E" w:rsidP="00804008">
            <w:pPr>
              <w:pStyle w:val="ListParagraph"/>
              <w:numPr>
                <w:ilvl w:val="0"/>
                <w:numId w:val="43"/>
              </w:numPr>
              <w:spacing w:before="60" w:after="60"/>
              <w:rPr>
                <w:sz w:val="22"/>
                <w:szCs w:val="22"/>
              </w:rPr>
            </w:pPr>
            <w:r w:rsidRPr="005F1ED1">
              <w:rPr>
                <w:sz w:val="22"/>
                <w:szCs w:val="22"/>
              </w:rPr>
              <w:t>the circumstances in which the PCBOR will be accessible by the public</w:t>
            </w:r>
          </w:p>
        </w:tc>
        <w:tc>
          <w:tcPr>
            <w:tcW w:w="1379" w:type="pct"/>
            <w:vAlign w:val="top"/>
          </w:tcPr>
          <w:p w14:paraId="0CDE14B3" w14:textId="77777777" w:rsidR="00E0239E" w:rsidRPr="005F1ED1" w:rsidRDefault="00E0239E" w:rsidP="00BA1717">
            <w:pPr>
              <w:pStyle w:val="TablePlainParagraph"/>
              <w:rPr>
                <w:sz w:val="22"/>
                <w:szCs w:val="22"/>
              </w:rPr>
            </w:pPr>
            <w:r w:rsidRPr="005F1ED1">
              <w:rPr>
                <w:sz w:val="22"/>
                <w:szCs w:val="22"/>
              </w:rPr>
              <w:t>N/A – ASIC will not disclose personal information received for this purpose.</w:t>
            </w:r>
          </w:p>
        </w:tc>
      </w:tr>
      <w:tr w:rsidR="00E0239E" w:rsidRPr="00121519" w14:paraId="411FD5F8" w14:textId="77777777" w:rsidTr="00BA1717">
        <w:tc>
          <w:tcPr>
            <w:tcW w:w="862" w:type="pct"/>
            <w:vAlign w:val="top"/>
          </w:tcPr>
          <w:p w14:paraId="51EBE3C0" w14:textId="54E00421" w:rsidR="00E0239E" w:rsidRPr="005F1ED1" w:rsidRDefault="00901EF5" w:rsidP="00BA1717">
            <w:pPr>
              <w:pStyle w:val="TablePlainParagraph"/>
              <w:rPr>
                <w:b/>
                <w:sz w:val="22"/>
                <w:szCs w:val="22"/>
              </w:rPr>
            </w:pPr>
            <w:r>
              <w:rPr>
                <w:b/>
                <w:sz w:val="22"/>
                <w:szCs w:val="22"/>
              </w:rPr>
              <w:t xml:space="preserve">APP </w:t>
            </w:r>
            <w:r w:rsidR="00E0239E" w:rsidRPr="005F1ED1">
              <w:rPr>
                <w:b/>
                <w:sz w:val="22"/>
                <w:szCs w:val="22"/>
              </w:rPr>
              <w:t>5.2(g)</w:t>
            </w:r>
          </w:p>
          <w:p w14:paraId="618D171D" w14:textId="77777777" w:rsidR="00E0239E" w:rsidRPr="005F1ED1" w:rsidRDefault="00E0239E" w:rsidP="00BA1717">
            <w:pPr>
              <w:pStyle w:val="TablePlainParagraph"/>
              <w:rPr>
                <w:b/>
                <w:sz w:val="22"/>
                <w:szCs w:val="22"/>
              </w:rPr>
            </w:pPr>
            <w:r w:rsidRPr="005F1ED1">
              <w:rPr>
                <w:sz w:val="22"/>
                <w:szCs w:val="22"/>
              </w:rPr>
              <w:t>Access and correction</w:t>
            </w:r>
          </w:p>
        </w:tc>
        <w:tc>
          <w:tcPr>
            <w:tcW w:w="1379" w:type="pct"/>
            <w:vAlign w:val="top"/>
          </w:tcPr>
          <w:p w14:paraId="7CBC8F9E" w14:textId="5138D09C" w:rsidR="00E0239E" w:rsidRPr="005F1ED1" w:rsidRDefault="00E0239E" w:rsidP="00BA1717">
            <w:pPr>
              <w:pStyle w:val="TablePlainParagraph"/>
              <w:rPr>
                <w:sz w:val="22"/>
                <w:szCs w:val="22"/>
              </w:rPr>
            </w:pPr>
            <w:r w:rsidRPr="005F1ED1">
              <w:rPr>
                <w:sz w:val="22"/>
                <w:szCs w:val="22"/>
              </w:rPr>
              <w:t>Explain that the</w:t>
            </w:r>
            <w:r w:rsidR="00BA1717">
              <w:rPr>
                <w:sz w:val="22"/>
                <w:szCs w:val="22"/>
              </w:rPr>
              <w:t xml:space="preserve"> individual</w:t>
            </w:r>
            <w:r w:rsidRPr="005F1ED1">
              <w:rPr>
                <w:sz w:val="22"/>
                <w:szCs w:val="22"/>
              </w:rPr>
              <w:t xml:space="preserve"> should contact the in-scope company for information about how to access and correct personal information.</w:t>
            </w:r>
          </w:p>
        </w:tc>
        <w:tc>
          <w:tcPr>
            <w:tcW w:w="2759" w:type="pct"/>
            <w:gridSpan w:val="2"/>
            <w:vAlign w:val="top"/>
          </w:tcPr>
          <w:p w14:paraId="68DEA9AA" w14:textId="77777777" w:rsidR="00E0239E" w:rsidRPr="005F1ED1" w:rsidRDefault="00E0239E" w:rsidP="00BA1717">
            <w:pPr>
              <w:pStyle w:val="TablePlainParagraph"/>
              <w:rPr>
                <w:sz w:val="22"/>
                <w:szCs w:val="22"/>
              </w:rPr>
            </w:pPr>
            <w:r w:rsidRPr="005F1ED1">
              <w:rPr>
                <w:sz w:val="22"/>
                <w:szCs w:val="22"/>
              </w:rPr>
              <w:t>Explain that they should review the Agency’s privacy policy for information about how they can access and seek correction of their personal information.</w:t>
            </w:r>
          </w:p>
        </w:tc>
      </w:tr>
      <w:tr w:rsidR="00E0239E" w:rsidRPr="00121519" w14:paraId="42EF7A63" w14:textId="77777777" w:rsidTr="00BA1717">
        <w:tc>
          <w:tcPr>
            <w:tcW w:w="862" w:type="pct"/>
            <w:vAlign w:val="top"/>
          </w:tcPr>
          <w:p w14:paraId="7D60648E" w14:textId="10A98A0D" w:rsidR="00E0239E" w:rsidRPr="005F1ED1" w:rsidRDefault="00901EF5" w:rsidP="00BA1717">
            <w:pPr>
              <w:pStyle w:val="TablePlainParagraph"/>
              <w:rPr>
                <w:b/>
                <w:sz w:val="22"/>
                <w:szCs w:val="22"/>
              </w:rPr>
            </w:pPr>
            <w:r>
              <w:rPr>
                <w:b/>
                <w:sz w:val="22"/>
                <w:szCs w:val="22"/>
              </w:rPr>
              <w:t xml:space="preserve">APP </w:t>
            </w:r>
            <w:r w:rsidR="00E0239E" w:rsidRPr="005F1ED1">
              <w:rPr>
                <w:b/>
                <w:sz w:val="22"/>
                <w:szCs w:val="22"/>
              </w:rPr>
              <w:t>5.2(h)</w:t>
            </w:r>
          </w:p>
          <w:p w14:paraId="75FE9724" w14:textId="77777777" w:rsidR="00E0239E" w:rsidRPr="005F1ED1" w:rsidRDefault="00E0239E" w:rsidP="00BA1717">
            <w:pPr>
              <w:pStyle w:val="TablePlainParagraph"/>
              <w:rPr>
                <w:b/>
                <w:sz w:val="22"/>
                <w:szCs w:val="22"/>
              </w:rPr>
            </w:pPr>
            <w:r w:rsidRPr="005F1ED1">
              <w:rPr>
                <w:sz w:val="22"/>
                <w:szCs w:val="22"/>
              </w:rPr>
              <w:t>Complaints procedure</w:t>
            </w:r>
          </w:p>
        </w:tc>
        <w:tc>
          <w:tcPr>
            <w:tcW w:w="4138" w:type="pct"/>
            <w:gridSpan w:val="3"/>
            <w:vAlign w:val="top"/>
          </w:tcPr>
          <w:p w14:paraId="42F92E26" w14:textId="77777777" w:rsidR="00E0239E" w:rsidRPr="005F1ED1" w:rsidRDefault="00E0239E" w:rsidP="00BA1717">
            <w:pPr>
              <w:pStyle w:val="TablePlainParagraph"/>
              <w:rPr>
                <w:sz w:val="22"/>
                <w:szCs w:val="22"/>
              </w:rPr>
            </w:pPr>
            <w:r w:rsidRPr="005F1ED1">
              <w:rPr>
                <w:sz w:val="22"/>
                <w:szCs w:val="22"/>
              </w:rPr>
              <w:t xml:space="preserve">Explain: </w:t>
            </w:r>
          </w:p>
          <w:p w14:paraId="6C6C3B33" w14:textId="77777777" w:rsidR="00E0239E" w:rsidRPr="005F1ED1" w:rsidRDefault="00E0239E" w:rsidP="00804008">
            <w:pPr>
              <w:pStyle w:val="TablePlainParagraph"/>
              <w:numPr>
                <w:ilvl w:val="0"/>
                <w:numId w:val="43"/>
              </w:numPr>
              <w:rPr>
                <w:sz w:val="22"/>
                <w:szCs w:val="22"/>
              </w:rPr>
            </w:pPr>
            <w:r w:rsidRPr="005F1ED1">
              <w:rPr>
                <w:sz w:val="22"/>
                <w:szCs w:val="22"/>
              </w:rPr>
              <w:t>how a complaint can be made about a breach of the APPs,</w:t>
            </w:r>
          </w:p>
          <w:p w14:paraId="0F27F3BD" w14:textId="77777777" w:rsidR="00E0239E" w:rsidRPr="005F1ED1" w:rsidRDefault="00E0239E" w:rsidP="00804008">
            <w:pPr>
              <w:pStyle w:val="TablePlainParagraph"/>
              <w:numPr>
                <w:ilvl w:val="0"/>
                <w:numId w:val="43"/>
              </w:numPr>
              <w:rPr>
                <w:sz w:val="22"/>
                <w:szCs w:val="22"/>
              </w:rPr>
            </w:pPr>
            <w:r w:rsidRPr="005F1ED1">
              <w:rPr>
                <w:sz w:val="22"/>
                <w:szCs w:val="22"/>
              </w:rPr>
              <w:t>how the in-scope company or agency will deal with such a complaint</w:t>
            </w:r>
          </w:p>
          <w:p w14:paraId="0ABE55D5" w14:textId="77777777" w:rsidR="00E0239E" w:rsidRPr="005F1ED1" w:rsidRDefault="00E0239E" w:rsidP="00804008">
            <w:pPr>
              <w:pStyle w:val="TablePlainParagraph"/>
              <w:numPr>
                <w:ilvl w:val="0"/>
                <w:numId w:val="43"/>
              </w:numPr>
              <w:rPr>
                <w:sz w:val="22"/>
                <w:szCs w:val="22"/>
              </w:rPr>
            </w:pPr>
            <w:r w:rsidRPr="005F1ED1">
              <w:rPr>
                <w:sz w:val="22"/>
                <w:szCs w:val="22"/>
              </w:rPr>
              <w:t xml:space="preserve">that the in-scope company or agency may have a registered APP code that binds the entity </w:t>
            </w:r>
          </w:p>
        </w:tc>
      </w:tr>
      <w:tr w:rsidR="00E0239E" w:rsidRPr="00121519" w14:paraId="13ADF287" w14:textId="77777777" w:rsidTr="00BA1717">
        <w:tc>
          <w:tcPr>
            <w:tcW w:w="862" w:type="pct"/>
            <w:vAlign w:val="top"/>
          </w:tcPr>
          <w:p w14:paraId="7836EFAB" w14:textId="44D2067E" w:rsidR="00E0239E" w:rsidRPr="005F1ED1" w:rsidRDefault="00901EF5" w:rsidP="00BA1717">
            <w:pPr>
              <w:pStyle w:val="TablePlainParagraph"/>
              <w:rPr>
                <w:b/>
                <w:sz w:val="22"/>
                <w:szCs w:val="22"/>
              </w:rPr>
            </w:pPr>
            <w:r>
              <w:rPr>
                <w:b/>
                <w:sz w:val="22"/>
                <w:szCs w:val="22"/>
              </w:rPr>
              <w:t xml:space="preserve">APP </w:t>
            </w:r>
            <w:r w:rsidR="00E0239E" w:rsidRPr="005F1ED1">
              <w:rPr>
                <w:b/>
                <w:sz w:val="22"/>
                <w:szCs w:val="22"/>
              </w:rPr>
              <w:t>5.2(</w:t>
            </w:r>
            <w:proofErr w:type="spellStart"/>
            <w:r w:rsidR="00E0239E" w:rsidRPr="005F1ED1">
              <w:rPr>
                <w:b/>
                <w:sz w:val="22"/>
                <w:szCs w:val="22"/>
              </w:rPr>
              <w:t>i</w:t>
            </w:r>
            <w:proofErr w:type="spellEnd"/>
            <w:r w:rsidR="00E0239E" w:rsidRPr="005F1ED1">
              <w:rPr>
                <w:b/>
                <w:sz w:val="22"/>
                <w:szCs w:val="22"/>
              </w:rPr>
              <w:t>) &amp; 5.2(j)</w:t>
            </w:r>
          </w:p>
          <w:p w14:paraId="6E956CCD" w14:textId="77777777" w:rsidR="00E0239E" w:rsidRPr="005F1ED1" w:rsidRDefault="00E0239E" w:rsidP="00BA1717">
            <w:pPr>
              <w:pStyle w:val="TablePlainParagraph"/>
              <w:rPr>
                <w:b/>
                <w:sz w:val="22"/>
                <w:szCs w:val="22"/>
              </w:rPr>
            </w:pPr>
            <w:r w:rsidRPr="005F1ED1">
              <w:rPr>
                <w:sz w:val="22"/>
                <w:szCs w:val="22"/>
              </w:rPr>
              <w:t>Overseas recipients</w:t>
            </w:r>
          </w:p>
        </w:tc>
        <w:tc>
          <w:tcPr>
            <w:tcW w:w="2759" w:type="pct"/>
            <w:gridSpan w:val="2"/>
            <w:vAlign w:val="top"/>
          </w:tcPr>
          <w:p w14:paraId="757BF413" w14:textId="77777777" w:rsidR="00E0239E" w:rsidRPr="005F1ED1" w:rsidRDefault="00E0239E" w:rsidP="00BA1717">
            <w:pPr>
              <w:pStyle w:val="TablePlainParagraph"/>
              <w:rPr>
                <w:sz w:val="22"/>
                <w:szCs w:val="22"/>
              </w:rPr>
            </w:pPr>
            <w:r w:rsidRPr="005F1ED1">
              <w:rPr>
                <w:sz w:val="22"/>
                <w:szCs w:val="22"/>
              </w:rPr>
              <w:t>Explain that personal information may be disclosed to overseas recipients in accordance with and authorised by the proposed legislation</w:t>
            </w:r>
          </w:p>
        </w:tc>
        <w:tc>
          <w:tcPr>
            <w:tcW w:w="1379" w:type="pct"/>
            <w:vAlign w:val="top"/>
          </w:tcPr>
          <w:p w14:paraId="2F4F63A1" w14:textId="77777777" w:rsidR="00E0239E" w:rsidRPr="005F1ED1" w:rsidRDefault="00E0239E" w:rsidP="00BA1717">
            <w:pPr>
              <w:pStyle w:val="TablePlainParagraph"/>
              <w:rPr>
                <w:sz w:val="22"/>
                <w:szCs w:val="22"/>
              </w:rPr>
            </w:pPr>
            <w:r w:rsidRPr="005F1ED1">
              <w:rPr>
                <w:sz w:val="22"/>
                <w:szCs w:val="22"/>
              </w:rPr>
              <w:t>N/A – ASIC will not disclose personal information received for this purpose.</w:t>
            </w:r>
          </w:p>
        </w:tc>
      </w:tr>
    </w:tbl>
    <w:p w14:paraId="2772CD10" w14:textId="52C7D92E" w:rsidR="005F1ED1" w:rsidRPr="00E0239E" w:rsidRDefault="00E0239E" w:rsidP="00E0239E">
      <w:pPr>
        <w:tabs>
          <w:tab w:val="left" w:pos="667"/>
        </w:tabs>
        <w:sectPr w:rsidR="005F1ED1" w:rsidRPr="00E0239E" w:rsidSect="005F1ED1">
          <w:pgSz w:w="16838" w:h="11906" w:orient="landscape"/>
          <w:pgMar w:top="720" w:right="720" w:bottom="720" w:left="720" w:header="709" w:footer="709" w:gutter="0"/>
          <w:cols w:space="708"/>
          <w:titlePg/>
          <w:docGrid w:linePitch="360"/>
        </w:sectPr>
      </w:pPr>
      <w:r>
        <w:br w:type="textWrapping" w:clear="all"/>
      </w:r>
    </w:p>
    <w:p w14:paraId="6DC0C0FF" w14:textId="6F22472C" w:rsidR="003F53F1" w:rsidRDefault="003F53F1" w:rsidP="007B3A1C">
      <w:pPr>
        <w:pStyle w:val="Heading1"/>
        <w:spacing w:before="120"/>
      </w:pPr>
      <w:bookmarkStart w:id="168" w:name="_Appendix_1_–_1"/>
      <w:bookmarkStart w:id="169" w:name="_Toc168942771"/>
      <w:bookmarkEnd w:id="168"/>
      <w:r>
        <w:t>Appendix 1 – Exclusions</w:t>
      </w:r>
      <w:bookmarkEnd w:id="165"/>
      <w:bookmarkEnd w:id="166"/>
      <w:bookmarkEnd w:id="169"/>
    </w:p>
    <w:p w14:paraId="16B8E815" w14:textId="07207124" w:rsidR="003F53F1" w:rsidRDefault="003F53F1" w:rsidP="003F53F1">
      <w:pPr>
        <w:pStyle w:val="PlainParagraph"/>
        <w:spacing w:before="120" w:after="120"/>
      </w:pPr>
      <w:r>
        <w:t>The scope of this PIA is limited t</w:t>
      </w:r>
      <w:r w:rsidR="00794061">
        <w:t>o examining the handling of personal information as part of Stages 1 and 2</w:t>
      </w:r>
      <w:r w:rsidR="00CF2EE3">
        <w:t xml:space="preserve"> of the BO Policy</w:t>
      </w:r>
      <w:r w:rsidR="00794061">
        <w:t xml:space="preserve"> as set </w:t>
      </w:r>
      <w:r w:rsidR="00794061" w:rsidRPr="000F0493">
        <w:t>out at [</w:t>
      </w:r>
      <w:r w:rsidR="00794061" w:rsidRPr="000F0493">
        <w:fldChar w:fldCharType="begin"/>
      </w:r>
      <w:r w:rsidR="00794061" w:rsidRPr="000F0493">
        <w:instrText xml:space="preserve"> REF _Ref160357292 \r \h  \* MERGEFORMAT </w:instrText>
      </w:r>
      <w:r w:rsidR="00794061" w:rsidRPr="000F0493">
        <w:fldChar w:fldCharType="separate"/>
      </w:r>
      <w:r w:rsidR="00C14F0B">
        <w:t>92</w:t>
      </w:r>
      <w:r w:rsidR="00794061" w:rsidRPr="000F0493">
        <w:fldChar w:fldCharType="end"/>
      </w:r>
      <w:r w:rsidR="00794061" w:rsidRPr="000F0493">
        <w:t>] above</w:t>
      </w:r>
      <w:r w:rsidR="00794061">
        <w:t>.</w:t>
      </w:r>
    </w:p>
    <w:p w14:paraId="6FB135BD" w14:textId="739C9217" w:rsidR="00794061" w:rsidRDefault="00794061" w:rsidP="00C8722C">
      <w:pPr>
        <w:pStyle w:val="NumberLevel1"/>
        <w:numPr>
          <w:ilvl w:val="0"/>
          <w:numId w:val="0"/>
        </w:numPr>
        <w:spacing w:before="100" w:after="100"/>
      </w:pPr>
      <w:r>
        <w:t>This PIA does not examine the following matters:</w:t>
      </w:r>
    </w:p>
    <w:p w14:paraId="43D9B38A" w14:textId="1843D7F2" w:rsidR="00F02556" w:rsidRDefault="00F02556" w:rsidP="00794061">
      <w:pPr>
        <w:pStyle w:val="DashEm"/>
        <w:spacing w:before="100" w:after="100"/>
      </w:pPr>
      <w:r>
        <w:t xml:space="preserve">the final content of forms and notices used as part of the </w:t>
      </w:r>
      <w:r w:rsidR="00E62A06">
        <w:t>BO Policy</w:t>
      </w:r>
    </w:p>
    <w:p w14:paraId="0C7B385D" w14:textId="59F8789B" w:rsidR="00794061" w:rsidRPr="0019045B" w:rsidRDefault="00794061" w:rsidP="00794061">
      <w:pPr>
        <w:pStyle w:val="DashEm"/>
        <w:spacing w:before="100" w:after="100"/>
      </w:pPr>
      <w:r w:rsidRPr="0019045B">
        <w:t xml:space="preserve">ICT systems and processes used to </w:t>
      </w:r>
      <w:r>
        <w:t>collect, use, disclose and store personal information within</w:t>
      </w:r>
      <w:r w:rsidR="00F02556">
        <w:t xml:space="preserve"> </w:t>
      </w:r>
      <w:r w:rsidR="00CF2EE3">
        <w:t xml:space="preserve">individual </w:t>
      </w:r>
      <w:r w:rsidR="00F02556">
        <w:t>BOR</w:t>
      </w:r>
      <w:r w:rsidR="00CF2EE3">
        <w:t>s</w:t>
      </w:r>
      <w:r w:rsidR="00F02556">
        <w:t xml:space="preserve"> or</w:t>
      </w:r>
      <w:r>
        <w:t xml:space="preserve"> the PCBOR</w:t>
      </w:r>
    </w:p>
    <w:p w14:paraId="6E2DF6FD" w14:textId="2B1B21C9" w:rsidR="00794061" w:rsidRPr="0019045B" w:rsidRDefault="00794061" w:rsidP="00794061">
      <w:pPr>
        <w:pStyle w:val="DashEm"/>
        <w:spacing w:before="100" w:after="100"/>
      </w:pPr>
      <w:r w:rsidRPr="0019045B">
        <w:t xml:space="preserve">the handling of personal information of </w:t>
      </w:r>
      <w:r w:rsidR="00F02556">
        <w:t>Agency and in-scope entity staff</w:t>
      </w:r>
    </w:p>
    <w:p w14:paraId="74693261" w14:textId="77777777" w:rsidR="00794061" w:rsidRPr="0019045B" w:rsidRDefault="00794061" w:rsidP="00794061">
      <w:pPr>
        <w:pStyle w:val="DashEm"/>
        <w:spacing w:before="100" w:after="100"/>
      </w:pPr>
      <w:r w:rsidRPr="0019045B">
        <w:t xml:space="preserve">the handling of records in accordance with the </w:t>
      </w:r>
      <w:r w:rsidRPr="00C8722C">
        <w:rPr>
          <w:i/>
        </w:rPr>
        <w:t>Archives Act 1983</w:t>
      </w:r>
    </w:p>
    <w:p w14:paraId="6F909037" w14:textId="77777777" w:rsidR="003F53F1" w:rsidRDefault="003F53F1" w:rsidP="003F53F1">
      <w:pPr>
        <w:pStyle w:val="Heading1"/>
      </w:pPr>
      <w:bookmarkStart w:id="170" w:name="_Toc129255989"/>
      <w:bookmarkStart w:id="171" w:name="_Toc132359650"/>
      <w:bookmarkStart w:id="172" w:name="_Toc160444103"/>
      <w:bookmarkStart w:id="173" w:name="_Toc168942772"/>
      <w:r>
        <w:t xml:space="preserve">Appendix 2 – Material considered in this </w:t>
      </w:r>
      <w:proofErr w:type="gramStart"/>
      <w:r>
        <w:t>PIA</w:t>
      </w:r>
      <w:bookmarkEnd w:id="170"/>
      <w:bookmarkEnd w:id="171"/>
      <w:bookmarkEnd w:id="172"/>
      <w:bookmarkEnd w:id="173"/>
      <w:proofErr w:type="gramEnd"/>
    </w:p>
    <w:p w14:paraId="17F97AB4" w14:textId="023E8BA8" w:rsidR="003F53F1" w:rsidRDefault="003F53F1" w:rsidP="003F53F1">
      <w:pPr>
        <w:pStyle w:val="PlainParagraph"/>
      </w:pPr>
      <w:r>
        <w:t xml:space="preserve">In preparation of this PIA, </w:t>
      </w:r>
      <w:r w:rsidR="00BA1717">
        <w:t>we have considered the</w:t>
      </w:r>
      <w:r>
        <w:t xml:space="preserve"> following material</w:t>
      </w:r>
      <w:r w:rsidR="00BA1717">
        <w:t>.</w:t>
      </w:r>
    </w:p>
    <w:p w14:paraId="1AC9B4C1" w14:textId="7A70C2B8" w:rsidR="00DE66F5" w:rsidRDefault="003F53F1" w:rsidP="00BA1717">
      <w:pPr>
        <w:pStyle w:val="Heading4"/>
        <w:spacing w:after="120"/>
      </w:pPr>
      <w:r>
        <w:t xml:space="preserve">Material provided by </w:t>
      </w:r>
      <w:proofErr w:type="gramStart"/>
      <w:r>
        <w:t>Treasury</w:t>
      </w:r>
      <w:proofErr w:type="gramEnd"/>
    </w:p>
    <w:tbl>
      <w:tblPr>
        <w:tblStyle w:val="TableGrid"/>
        <w:tblW w:w="8364"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709"/>
        <w:gridCol w:w="2410"/>
        <w:gridCol w:w="850"/>
        <w:gridCol w:w="3323"/>
        <w:gridCol w:w="1072"/>
      </w:tblGrid>
      <w:tr w:rsidR="0071441F" w:rsidRPr="00084140" w14:paraId="2CD45E97" w14:textId="7117EBE5" w:rsidTr="007B3A1C">
        <w:trPr>
          <w:cantSplit/>
          <w:tblHeader/>
        </w:trPr>
        <w:tc>
          <w:tcPr>
            <w:tcW w:w="709" w:type="dxa"/>
            <w:shd w:val="clear" w:color="auto" w:fill="C4DDEA"/>
            <w:vAlign w:val="top"/>
          </w:tcPr>
          <w:p w14:paraId="691C10A2" w14:textId="4A6EE37E" w:rsidR="0071441F" w:rsidRPr="00084140" w:rsidRDefault="0071441F" w:rsidP="0071441F">
            <w:pPr>
              <w:pStyle w:val="TableHeading2"/>
              <w:spacing w:before="40" w:after="40"/>
            </w:pPr>
            <w:r>
              <w:t>#</w:t>
            </w:r>
          </w:p>
        </w:tc>
        <w:tc>
          <w:tcPr>
            <w:tcW w:w="2410" w:type="dxa"/>
            <w:shd w:val="clear" w:color="auto" w:fill="C4DDEA"/>
            <w:vAlign w:val="top"/>
          </w:tcPr>
          <w:p w14:paraId="74B708AA" w14:textId="55227922" w:rsidR="0071441F" w:rsidRPr="00084140" w:rsidRDefault="0071441F" w:rsidP="0071441F">
            <w:pPr>
              <w:pStyle w:val="TableHeading2"/>
              <w:spacing w:before="40" w:after="40"/>
            </w:pPr>
            <w:r>
              <w:t>File name</w:t>
            </w:r>
          </w:p>
        </w:tc>
        <w:tc>
          <w:tcPr>
            <w:tcW w:w="850" w:type="dxa"/>
            <w:shd w:val="clear" w:color="auto" w:fill="C4DDEA"/>
            <w:vAlign w:val="top"/>
          </w:tcPr>
          <w:p w14:paraId="2A26AA8B" w14:textId="70D32C14" w:rsidR="0071441F" w:rsidRDefault="0071441F" w:rsidP="0071441F">
            <w:pPr>
              <w:pStyle w:val="TableHeading2"/>
              <w:spacing w:before="40" w:after="40"/>
            </w:pPr>
            <w:r>
              <w:t>Public</w:t>
            </w:r>
          </w:p>
        </w:tc>
        <w:tc>
          <w:tcPr>
            <w:tcW w:w="3323" w:type="dxa"/>
            <w:shd w:val="clear" w:color="auto" w:fill="C4DDEA"/>
            <w:vAlign w:val="top"/>
          </w:tcPr>
          <w:p w14:paraId="6EBDC337" w14:textId="77777777" w:rsidR="0071441F" w:rsidRDefault="0071441F" w:rsidP="0071441F">
            <w:pPr>
              <w:pStyle w:val="TableHeading2"/>
              <w:spacing w:before="40" w:after="40"/>
            </w:pPr>
          </w:p>
        </w:tc>
        <w:tc>
          <w:tcPr>
            <w:tcW w:w="1072" w:type="dxa"/>
            <w:shd w:val="clear" w:color="auto" w:fill="C4DDEA"/>
            <w:vAlign w:val="top"/>
          </w:tcPr>
          <w:p w14:paraId="3DC1A89A" w14:textId="2E4A555B" w:rsidR="0071441F" w:rsidRDefault="0071441F" w:rsidP="0071441F">
            <w:pPr>
              <w:pStyle w:val="TableHeading2"/>
              <w:spacing w:before="40" w:after="40"/>
            </w:pPr>
            <w:r>
              <w:t>Provided</w:t>
            </w:r>
          </w:p>
        </w:tc>
      </w:tr>
      <w:tr w:rsidR="0071441F" w:rsidRPr="001D1C13" w14:paraId="30C01010" w14:textId="496DF1E3" w:rsidTr="007B3A1C">
        <w:tc>
          <w:tcPr>
            <w:tcW w:w="709" w:type="dxa"/>
            <w:vAlign w:val="top"/>
          </w:tcPr>
          <w:p w14:paraId="6A3D9202" w14:textId="3234510E" w:rsidR="0071441F" w:rsidRPr="0071441F" w:rsidRDefault="0071441F" w:rsidP="0071441F">
            <w:pPr>
              <w:pStyle w:val="TablePlainParagraph"/>
              <w:spacing w:before="40" w:after="40"/>
            </w:pPr>
            <w:r w:rsidRPr="0071441F">
              <w:t>001</w:t>
            </w:r>
          </w:p>
        </w:tc>
        <w:tc>
          <w:tcPr>
            <w:tcW w:w="2410" w:type="dxa"/>
            <w:vAlign w:val="top"/>
          </w:tcPr>
          <w:p w14:paraId="571737AF" w14:textId="488A7C85" w:rsidR="0071441F" w:rsidRPr="001D1C13" w:rsidRDefault="0071441F" w:rsidP="0071441F">
            <w:pPr>
              <w:pStyle w:val="TablePlainParagraph"/>
              <w:spacing w:before="40" w:after="40"/>
            </w:pPr>
            <w:r w:rsidRPr="0071441F">
              <w:t>Legislative Design Policy Parameters</w:t>
            </w:r>
          </w:p>
        </w:tc>
        <w:tc>
          <w:tcPr>
            <w:tcW w:w="850" w:type="dxa"/>
            <w:vAlign w:val="top"/>
          </w:tcPr>
          <w:p w14:paraId="6D278605" w14:textId="1A67B475" w:rsidR="0071441F" w:rsidRPr="001D1C13" w:rsidRDefault="0071441F" w:rsidP="0071441F">
            <w:pPr>
              <w:pStyle w:val="TablePlainParagraph"/>
              <w:spacing w:before="40" w:after="40"/>
            </w:pPr>
            <w:r>
              <w:t>No</w:t>
            </w:r>
          </w:p>
        </w:tc>
        <w:tc>
          <w:tcPr>
            <w:tcW w:w="3323" w:type="dxa"/>
            <w:vAlign w:val="top"/>
          </w:tcPr>
          <w:p w14:paraId="1D993000" w14:textId="44ED5E02" w:rsidR="0071441F" w:rsidRPr="001D1C13" w:rsidRDefault="0071441F" w:rsidP="0071441F">
            <w:pPr>
              <w:pStyle w:val="TablePlainParagraph"/>
              <w:spacing w:before="40" w:after="40"/>
            </w:pPr>
            <w:r w:rsidRPr="0071441F">
              <w:t>Summary of updated policy positions, issues to be considered by PIA, and submissions to consultation containing recommendations related to privacy issues</w:t>
            </w:r>
          </w:p>
        </w:tc>
        <w:tc>
          <w:tcPr>
            <w:tcW w:w="1072" w:type="dxa"/>
            <w:vAlign w:val="top"/>
          </w:tcPr>
          <w:p w14:paraId="19E5786B" w14:textId="042855C4" w:rsidR="0071441F" w:rsidRPr="001D1C13" w:rsidRDefault="0071441F" w:rsidP="0071441F">
            <w:pPr>
              <w:pStyle w:val="TablePlainParagraph"/>
              <w:spacing w:before="40" w:after="40"/>
            </w:pPr>
            <w:r w:rsidRPr="0071441F">
              <w:t>2 Feb 2024</w:t>
            </w:r>
          </w:p>
        </w:tc>
      </w:tr>
      <w:tr w:rsidR="0071441F" w:rsidRPr="001D1C13" w14:paraId="5D56EB01" w14:textId="77777777" w:rsidTr="007B3A1C">
        <w:tc>
          <w:tcPr>
            <w:tcW w:w="709" w:type="dxa"/>
            <w:vAlign w:val="top"/>
          </w:tcPr>
          <w:p w14:paraId="3790F53B" w14:textId="60E20D64" w:rsidR="0071441F" w:rsidRPr="0071441F" w:rsidRDefault="0071441F" w:rsidP="0071441F">
            <w:pPr>
              <w:pStyle w:val="TablePlainParagraph"/>
              <w:spacing w:before="40" w:after="40"/>
            </w:pPr>
            <w:r w:rsidRPr="0071441F">
              <w:t>002</w:t>
            </w:r>
          </w:p>
        </w:tc>
        <w:tc>
          <w:tcPr>
            <w:tcW w:w="2410" w:type="dxa"/>
            <w:vAlign w:val="top"/>
          </w:tcPr>
          <w:p w14:paraId="4F1CAA84" w14:textId="77A3D4F3" w:rsidR="0071441F" w:rsidRPr="001D1C13" w:rsidRDefault="0071441F" w:rsidP="0071441F">
            <w:pPr>
              <w:pStyle w:val="TablePlainParagraph"/>
              <w:spacing w:before="40" w:after="40"/>
            </w:pPr>
            <w:r w:rsidRPr="0071441F">
              <w:t>Information flows</w:t>
            </w:r>
          </w:p>
        </w:tc>
        <w:tc>
          <w:tcPr>
            <w:tcW w:w="850" w:type="dxa"/>
            <w:vAlign w:val="top"/>
          </w:tcPr>
          <w:p w14:paraId="19C65F86" w14:textId="5BD5933F" w:rsidR="0071441F" w:rsidRPr="001D1C13" w:rsidRDefault="0071441F" w:rsidP="0071441F">
            <w:pPr>
              <w:pStyle w:val="TablePlainParagraph"/>
              <w:spacing w:before="40" w:after="40"/>
            </w:pPr>
            <w:r>
              <w:t>No</w:t>
            </w:r>
          </w:p>
        </w:tc>
        <w:tc>
          <w:tcPr>
            <w:tcW w:w="3323" w:type="dxa"/>
            <w:vAlign w:val="top"/>
          </w:tcPr>
          <w:p w14:paraId="6A4B5BCA" w14:textId="357C58B0" w:rsidR="0071441F" w:rsidRPr="001D1C13" w:rsidRDefault="0071441F" w:rsidP="0071441F">
            <w:pPr>
              <w:pStyle w:val="TablePlainParagraph"/>
              <w:spacing w:before="40" w:after="40"/>
            </w:pPr>
            <w:r w:rsidRPr="0071441F">
              <w:t>Diagram of proposed information flows in Stages 1 and 2</w:t>
            </w:r>
          </w:p>
        </w:tc>
        <w:tc>
          <w:tcPr>
            <w:tcW w:w="1072" w:type="dxa"/>
            <w:vAlign w:val="top"/>
          </w:tcPr>
          <w:p w14:paraId="680D327E" w14:textId="10EF3F48" w:rsidR="0071441F" w:rsidRPr="001D1C13" w:rsidRDefault="0071441F" w:rsidP="0071441F">
            <w:pPr>
              <w:pStyle w:val="TablePlainParagraph"/>
              <w:spacing w:before="40" w:after="40"/>
            </w:pPr>
            <w:r w:rsidRPr="00A267FA">
              <w:t>9 Feb 2024</w:t>
            </w:r>
          </w:p>
        </w:tc>
      </w:tr>
      <w:tr w:rsidR="0071441F" w:rsidRPr="001D1C13" w14:paraId="5535B8F6" w14:textId="77777777" w:rsidTr="007B3A1C">
        <w:tc>
          <w:tcPr>
            <w:tcW w:w="709" w:type="dxa"/>
            <w:vAlign w:val="top"/>
          </w:tcPr>
          <w:p w14:paraId="68460FB2" w14:textId="3C180C62" w:rsidR="0071441F" w:rsidRPr="0071441F" w:rsidRDefault="0071441F" w:rsidP="0071441F">
            <w:pPr>
              <w:pStyle w:val="TablePlainParagraph"/>
              <w:spacing w:before="40" w:after="40"/>
            </w:pPr>
            <w:r w:rsidRPr="0071441F">
              <w:t>003</w:t>
            </w:r>
          </w:p>
        </w:tc>
        <w:tc>
          <w:tcPr>
            <w:tcW w:w="2410" w:type="dxa"/>
            <w:vAlign w:val="top"/>
          </w:tcPr>
          <w:p w14:paraId="62D518BF" w14:textId="74915F95" w:rsidR="0071441F" w:rsidRPr="001D1C13" w:rsidRDefault="0071441F" w:rsidP="0071441F">
            <w:pPr>
              <w:pStyle w:val="TablePlainParagraph"/>
              <w:spacing w:before="40" w:after="40"/>
            </w:pPr>
            <w:r w:rsidRPr="0071441F">
              <w:t>Information request mock-up</w:t>
            </w:r>
          </w:p>
        </w:tc>
        <w:tc>
          <w:tcPr>
            <w:tcW w:w="850" w:type="dxa"/>
            <w:vAlign w:val="top"/>
          </w:tcPr>
          <w:p w14:paraId="2423459C" w14:textId="043ACFCE" w:rsidR="0071441F" w:rsidRPr="001D1C13" w:rsidRDefault="0071441F" w:rsidP="0071441F">
            <w:pPr>
              <w:pStyle w:val="TablePlainParagraph"/>
              <w:spacing w:before="40" w:after="40"/>
            </w:pPr>
            <w:r>
              <w:t>No</w:t>
            </w:r>
          </w:p>
        </w:tc>
        <w:tc>
          <w:tcPr>
            <w:tcW w:w="3323" w:type="dxa"/>
            <w:vAlign w:val="top"/>
          </w:tcPr>
          <w:p w14:paraId="78322C90" w14:textId="5C117CB7" w:rsidR="0071441F" w:rsidRPr="001D1C13" w:rsidRDefault="0071441F" w:rsidP="0071441F">
            <w:pPr>
              <w:pStyle w:val="TablePlainParagraph"/>
              <w:spacing w:before="40" w:after="40"/>
            </w:pPr>
            <w:r w:rsidRPr="0071441F">
              <w:t>Mock-up of Information request for collection of beneficial ownership information. Includes link to UK forms for PSC register</w:t>
            </w:r>
          </w:p>
        </w:tc>
        <w:tc>
          <w:tcPr>
            <w:tcW w:w="1072" w:type="dxa"/>
            <w:vAlign w:val="top"/>
          </w:tcPr>
          <w:p w14:paraId="37E487AD" w14:textId="5D439C46" w:rsidR="0071441F" w:rsidRPr="001D1C13" w:rsidRDefault="0071441F" w:rsidP="0071441F">
            <w:pPr>
              <w:pStyle w:val="TablePlainParagraph"/>
              <w:spacing w:before="40" w:after="40"/>
            </w:pPr>
            <w:r w:rsidRPr="00A267FA">
              <w:t>9 Feb 2024</w:t>
            </w:r>
          </w:p>
        </w:tc>
      </w:tr>
      <w:tr w:rsidR="0071441F" w:rsidRPr="001D1C13" w14:paraId="441212D5" w14:textId="77777777" w:rsidTr="007B3A1C">
        <w:tc>
          <w:tcPr>
            <w:tcW w:w="709" w:type="dxa"/>
            <w:vAlign w:val="top"/>
          </w:tcPr>
          <w:p w14:paraId="22AF1A5B" w14:textId="2E27AEA1" w:rsidR="0071441F" w:rsidRPr="0071441F" w:rsidRDefault="0071441F" w:rsidP="0071441F">
            <w:pPr>
              <w:pStyle w:val="TablePlainParagraph"/>
              <w:spacing w:before="40" w:after="40"/>
            </w:pPr>
            <w:r w:rsidRPr="0071441F">
              <w:t>004</w:t>
            </w:r>
          </w:p>
        </w:tc>
        <w:tc>
          <w:tcPr>
            <w:tcW w:w="2410" w:type="dxa"/>
            <w:vAlign w:val="top"/>
          </w:tcPr>
          <w:p w14:paraId="3292E742" w14:textId="284D1B3F" w:rsidR="0071441F" w:rsidRPr="001D1C13" w:rsidRDefault="0071441F" w:rsidP="0071441F">
            <w:pPr>
              <w:pStyle w:val="TablePlainParagraph"/>
              <w:spacing w:before="40" w:after="40"/>
            </w:pPr>
            <w:r w:rsidRPr="0071441F">
              <w:t>Summary of changes to policy positions</w:t>
            </w:r>
          </w:p>
        </w:tc>
        <w:tc>
          <w:tcPr>
            <w:tcW w:w="850" w:type="dxa"/>
            <w:vAlign w:val="top"/>
          </w:tcPr>
          <w:p w14:paraId="48BE8C6B" w14:textId="170E8F5D" w:rsidR="0071441F" w:rsidRPr="001D1C13" w:rsidRDefault="0071441F" w:rsidP="0071441F">
            <w:pPr>
              <w:pStyle w:val="TablePlainParagraph"/>
              <w:spacing w:before="40" w:after="40"/>
            </w:pPr>
            <w:r>
              <w:t>No</w:t>
            </w:r>
          </w:p>
        </w:tc>
        <w:tc>
          <w:tcPr>
            <w:tcW w:w="3323" w:type="dxa"/>
            <w:vAlign w:val="top"/>
          </w:tcPr>
          <w:p w14:paraId="511DBC9D" w14:textId="79653618" w:rsidR="0071441F" w:rsidRPr="001D1C13" w:rsidRDefault="0071441F" w:rsidP="0071441F">
            <w:pPr>
              <w:pStyle w:val="TablePlainParagraph"/>
              <w:spacing w:before="40" w:after="40"/>
            </w:pPr>
            <w:r w:rsidRPr="0071441F">
              <w:t>Summary of updated policy positions post-2022 consultation process</w:t>
            </w:r>
          </w:p>
        </w:tc>
        <w:tc>
          <w:tcPr>
            <w:tcW w:w="1072" w:type="dxa"/>
            <w:vAlign w:val="top"/>
          </w:tcPr>
          <w:p w14:paraId="7CD9A168" w14:textId="725598E2" w:rsidR="0071441F" w:rsidRPr="001D1C13" w:rsidRDefault="0071441F" w:rsidP="0071441F">
            <w:pPr>
              <w:pStyle w:val="TablePlainParagraph"/>
              <w:spacing w:before="40" w:after="40"/>
            </w:pPr>
            <w:r w:rsidRPr="00A267FA">
              <w:t>9 Feb 2024</w:t>
            </w:r>
          </w:p>
        </w:tc>
      </w:tr>
      <w:tr w:rsidR="0071441F" w:rsidRPr="001D1C13" w14:paraId="6ECF0688" w14:textId="77777777" w:rsidTr="007B3A1C">
        <w:tc>
          <w:tcPr>
            <w:tcW w:w="709" w:type="dxa"/>
            <w:vAlign w:val="top"/>
          </w:tcPr>
          <w:p w14:paraId="002C6588" w14:textId="398FF3E5" w:rsidR="0071441F" w:rsidRPr="0071441F" w:rsidRDefault="0071441F" w:rsidP="0071441F">
            <w:pPr>
              <w:pStyle w:val="TablePlainParagraph"/>
              <w:spacing w:before="40" w:after="40"/>
            </w:pPr>
            <w:r w:rsidRPr="0071441F">
              <w:t>005a</w:t>
            </w:r>
          </w:p>
        </w:tc>
        <w:tc>
          <w:tcPr>
            <w:tcW w:w="2410" w:type="dxa"/>
            <w:vAlign w:val="top"/>
          </w:tcPr>
          <w:p w14:paraId="423FC642" w14:textId="10DEC984" w:rsidR="0071441F" w:rsidRPr="001D1C13" w:rsidRDefault="0071441F" w:rsidP="0071441F">
            <w:pPr>
              <w:pStyle w:val="TablePlainParagraph"/>
              <w:spacing w:before="40" w:after="40"/>
            </w:pPr>
            <w:r w:rsidRPr="0071441F">
              <w:t>Consultation Submissions Issue Summary</w:t>
            </w:r>
          </w:p>
        </w:tc>
        <w:tc>
          <w:tcPr>
            <w:tcW w:w="850" w:type="dxa"/>
            <w:vAlign w:val="top"/>
          </w:tcPr>
          <w:p w14:paraId="23A5ABA1" w14:textId="6B854BBB" w:rsidR="0071441F" w:rsidRPr="001D1C13" w:rsidRDefault="0071441F" w:rsidP="0071441F">
            <w:pPr>
              <w:pStyle w:val="TablePlainParagraph"/>
              <w:spacing w:before="40" w:after="40"/>
            </w:pPr>
            <w:r>
              <w:t>No</w:t>
            </w:r>
          </w:p>
        </w:tc>
        <w:tc>
          <w:tcPr>
            <w:tcW w:w="3323" w:type="dxa"/>
            <w:vAlign w:val="top"/>
          </w:tcPr>
          <w:p w14:paraId="25B5FECE" w14:textId="461280B2" w:rsidR="0071441F" w:rsidRPr="001D1C13" w:rsidRDefault="0071441F" w:rsidP="0071441F">
            <w:pPr>
              <w:pStyle w:val="TablePlainParagraph"/>
              <w:spacing w:before="40" w:after="40"/>
            </w:pPr>
            <w:r w:rsidRPr="0071441F">
              <w:t>Summary of consultation submissions received</w:t>
            </w:r>
          </w:p>
        </w:tc>
        <w:tc>
          <w:tcPr>
            <w:tcW w:w="1072" w:type="dxa"/>
            <w:vAlign w:val="top"/>
          </w:tcPr>
          <w:p w14:paraId="51FCEAF8" w14:textId="4A71CED8" w:rsidR="0071441F" w:rsidRPr="001D1C13" w:rsidRDefault="0071441F" w:rsidP="0071441F">
            <w:pPr>
              <w:pStyle w:val="TablePlainParagraph"/>
              <w:spacing w:before="40" w:after="40"/>
            </w:pPr>
            <w:r w:rsidRPr="00A267FA">
              <w:t>9 Feb 2024</w:t>
            </w:r>
          </w:p>
        </w:tc>
      </w:tr>
      <w:tr w:rsidR="0071441F" w:rsidRPr="001D1C13" w14:paraId="745F5F89" w14:textId="77777777" w:rsidTr="007B3A1C">
        <w:tc>
          <w:tcPr>
            <w:tcW w:w="709" w:type="dxa"/>
            <w:vAlign w:val="top"/>
          </w:tcPr>
          <w:p w14:paraId="21F25C6F" w14:textId="0218E38B" w:rsidR="0071441F" w:rsidRPr="0071441F" w:rsidRDefault="0071441F" w:rsidP="0071441F">
            <w:pPr>
              <w:pStyle w:val="TablePlainParagraph"/>
              <w:spacing w:before="40" w:after="40"/>
            </w:pPr>
            <w:r w:rsidRPr="0071441F">
              <w:t>005b</w:t>
            </w:r>
          </w:p>
        </w:tc>
        <w:tc>
          <w:tcPr>
            <w:tcW w:w="2410" w:type="dxa"/>
            <w:vAlign w:val="top"/>
          </w:tcPr>
          <w:p w14:paraId="69D0C219" w14:textId="177CB3D7" w:rsidR="0071441F" w:rsidRPr="001D1C13" w:rsidRDefault="0071441F" w:rsidP="0071441F">
            <w:pPr>
              <w:pStyle w:val="TablePlainParagraph"/>
              <w:spacing w:before="40" w:after="40"/>
            </w:pPr>
            <w:r w:rsidRPr="0071441F">
              <w:t xml:space="preserve">Prof David </w:t>
            </w:r>
            <w:proofErr w:type="spellStart"/>
            <w:r w:rsidRPr="0071441F">
              <w:t>Chaikin</w:t>
            </w:r>
            <w:proofErr w:type="spellEnd"/>
            <w:r w:rsidRPr="0071441F">
              <w:t xml:space="preserve"> submission (confidential)</w:t>
            </w:r>
          </w:p>
        </w:tc>
        <w:tc>
          <w:tcPr>
            <w:tcW w:w="850" w:type="dxa"/>
            <w:vAlign w:val="top"/>
          </w:tcPr>
          <w:p w14:paraId="08B326A2" w14:textId="6FA8B545" w:rsidR="0071441F" w:rsidRPr="001D1C13" w:rsidRDefault="0071441F" w:rsidP="0071441F">
            <w:pPr>
              <w:pStyle w:val="TablePlainParagraph"/>
              <w:spacing w:before="40" w:after="40"/>
            </w:pPr>
            <w:r>
              <w:t>No</w:t>
            </w:r>
          </w:p>
        </w:tc>
        <w:tc>
          <w:tcPr>
            <w:tcW w:w="3323" w:type="dxa"/>
            <w:vAlign w:val="top"/>
          </w:tcPr>
          <w:p w14:paraId="5BDDB764" w14:textId="4F960537" w:rsidR="0071441F" w:rsidRPr="001D1C13" w:rsidRDefault="0071441F" w:rsidP="0071441F">
            <w:pPr>
              <w:pStyle w:val="TablePlainParagraph"/>
              <w:spacing w:before="40" w:after="40"/>
            </w:pPr>
            <w:r w:rsidRPr="0071441F">
              <w:t xml:space="preserve">Confidential submission provided by David </w:t>
            </w:r>
            <w:proofErr w:type="spellStart"/>
            <w:r w:rsidRPr="0071441F">
              <w:t>Chaikin</w:t>
            </w:r>
            <w:proofErr w:type="spellEnd"/>
          </w:p>
        </w:tc>
        <w:tc>
          <w:tcPr>
            <w:tcW w:w="1072" w:type="dxa"/>
            <w:vAlign w:val="top"/>
          </w:tcPr>
          <w:p w14:paraId="63D16D6A" w14:textId="5C0755B4" w:rsidR="0071441F" w:rsidRPr="001D1C13" w:rsidRDefault="0071441F" w:rsidP="0071441F">
            <w:pPr>
              <w:pStyle w:val="TablePlainParagraph"/>
              <w:spacing w:before="40" w:after="40"/>
            </w:pPr>
            <w:r w:rsidRPr="00A267FA">
              <w:t>9 Feb 2024</w:t>
            </w:r>
          </w:p>
        </w:tc>
      </w:tr>
      <w:tr w:rsidR="0071441F" w:rsidRPr="001D1C13" w14:paraId="5A910050" w14:textId="77777777" w:rsidTr="007B3A1C">
        <w:tc>
          <w:tcPr>
            <w:tcW w:w="709" w:type="dxa"/>
            <w:vAlign w:val="top"/>
          </w:tcPr>
          <w:p w14:paraId="31FF71AF" w14:textId="0B0B655D" w:rsidR="0071441F" w:rsidRPr="0071441F" w:rsidRDefault="0071441F" w:rsidP="0071441F">
            <w:pPr>
              <w:pStyle w:val="TablePlainParagraph"/>
              <w:spacing w:before="40" w:after="40"/>
            </w:pPr>
            <w:r w:rsidRPr="0071441F">
              <w:t>005c</w:t>
            </w:r>
          </w:p>
        </w:tc>
        <w:tc>
          <w:tcPr>
            <w:tcW w:w="2410" w:type="dxa"/>
            <w:vAlign w:val="top"/>
          </w:tcPr>
          <w:p w14:paraId="2FB90810" w14:textId="091BDFD7" w:rsidR="0071441F" w:rsidRPr="001D1C13" w:rsidRDefault="0071441F" w:rsidP="0071441F">
            <w:pPr>
              <w:pStyle w:val="TablePlainParagraph"/>
              <w:spacing w:before="40" w:after="40"/>
            </w:pPr>
            <w:r w:rsidRPr="0071441F">
              <w:t>Equifax submission (confidential)</w:t>
            </w:r>
          </w:p>
        </w:tc>
        <w:tc>
          <w:tcPr>
            <w:tcW w:w="850" w:type="dxa"/>
            <w:vAlign w:val="top"/>
          </w:tcPr>
          <w:p w14:paraId="68771E35" w14:textId="590ED949" w:rsidR="0071441F" w:rsidRPr="001D1C13" w:rsidRDefault="0071441F" w:rsidP="0071441F">
            <w:pPr>
              <w:pStyle w:val="TablePlainParagraph"/>
              <w:spacing w:before="40" w:after="40"/>
            </w:pPr>
            <w:r w:rsidRPr="0071441F">
              <w:t>Non-public</w:t>
            </w:r>
          </w:p>
        </w:tc>
        <w:tc>
          <w:tcPr>
            <w:tcW w:w="3323" w:type="dxa"/>
            <w:vAlign w:val="top"/>
          </w:tcPr>
          <w:p w14:paraId="3CCED3A3" w14:textId="29B2AECC" w:rsidR="0071441F" w:rsidRPr="001D1C13" w:rsidRDefault="0071441F" w:rsidP="0071441F">
            <w:pPr>
              <w:pStyle w:val="TablePlainParagraph"/>
              <w:spacing w:before="40" w:after="40"/>
            </w:pPr>
            <w:r w:rsidRPr="0071441F">
              <w:t>Confidential submission provided by Equifax</w:t>
            </w:r>
          </w:p>
        </w:tc>
        <w:tc>
          <w:tcPr>
            <w:tcW w:w="1072" w:type="dxa"/>
            <w:vAlign w:val="top"/>
          </w:tcPr>
          <w:p w14:paraId="6599DBC5" w14:textId="7903A8B4" w:rsidR="0071441F" w:rsidRPr="001D1C13" w:rsidRDefault="0071441F" w:rsidP="0071441F">
            <w:pPr>
              <w:pStyle w:val="TablePlainParagraph"/>
              <w:spacing w:before="40" w:after="40"/>
            </w:pPr>
            <w:r w:rsidRPr="00E1113D">
              <w:t>9 Feb 2024</w:t>
            </w:r>
          </w:p>
        </w:tc>
      </w:tr>
      <w:tr w:rsidR="0071441F" w:rsidRPr="001D1C13" w14:paraId="6AD633E8" w14:textId="77777777" w:rsidTr="007B3A1C">
        <w:tc>
          <w:tcPr>
            <w:tcW w:w="709" w:type="dxa"/>
            <w:vAlign w:val="top"/>
          </w:tcPr>
          <w:p w14:paraId="13C9CB06" w14:textId="6107CD95" w:rsidR="0071441F" w:rsidRPr="0071441F" w:rsidRDefault="0071441F" w:rsidP="0071441F">
            <w:pPr>
              <w:pStyle w:val="TablePlainParagraph"/>
              <w:spacing w:before="40" w:after="40"/>
            </w:pPr>
            <w:r w:rsidRPr="0071441F">
              <w:t>005d</w:t>
            </w:r>
          </w:p>
        </w:tc>
        <w:tc>
          <w:tcPr>
            <w:tcW w:w="2410" w:type="dxa"/>
            <w:vAlign w:val="top"/>
          </w:tcPr>
          <w:p w14:paraId="3F7E5FC6" w14:textId="54ABAC89" w:rsidR="0071441F" w:rsidRPr="001D1C13" w:rsidRDefault="0071441F" w:rsidP="0071441F">
            <w:pPr>
              <w:pStyle w:val="TablePlainParagraph"/>
              <w:spacing w:before="40" w:after="40"/>
            </w:pPr>
            <w:r w:rsidRPr="0071441F">
              <w:t>FIRST Advisors submission (confidential).pdf</w:t>
            </w:r>
          </w:p>
        </w:tc>
        <w:tc>
          <w:tcPr>
            <w:tcW w:w="850" w:type="dxa"/>
            <w:vAlign w:val="top"/>
          </w:tcPr>
          <w:p w14:paraId="6E2D0A6A" w14:textId="1833BAD3" w:rsidR="0071441F" w:rsidRPr="001D1C13" w:rsidRDefault="0071441F" w:rsidP="0071441F">
            <w:pPr>
              <w:pStyle w:val="TablePlainParagraph"/>
              <w:spacing w:before="40" w:after="40"/>
            </w:pPr>
            <w:r w:rsidRPr="0071441F">
              <w:t>Non-public</w:t>
            </w:r>
          </w:p>
        </w:tc>
        <w:tc>
          <w:tcPr>
            <w:tcW w:w="3323" w:type="dxa"/>
            <w:vAlign w:val="top"/>
          </w:tcPr>
          <w:p w14:paraId="50F57C64" w14:textId="1392E3E8" w:rsidR="0071441F" w:rsidRPr="001D1C13" w:rsidRDefault="0071441F" w:rsidP="0071441F">
            <w:pPr>
              <w:pStyle w:val="TablePlainParagraph"/>
              <w:spacing w:before="40" w:after="40"/>
            </w:pPr>
            <w:r w:rsidRPr="0071441F">
              <w:t>Confidential submission provided by FIRST Advisors</w:t>
            </w:r>
          </w:p>
        </w:tc>
        <w:tc>
          <w:tcPr>
            <w:tcW w:w="1072" w:type="dxa"/>
            <w:vAlign w:val="top"/>
          </w:tcPr>
          <w:p w14:paraId="74B1FA24" w14:textId="759480D3" w:rsidR="0071441F" w:rsidRPr="001D1C13" w:rsidRDefault="0071441F" w:rsidP="0071441F">
            <w:pPr>
              <w:pStyle w:val="TablePlainParagraph"/>
              <w:spacing w:before="40" w:after="40"/>
            </w:pPr>
            <w:r w:rsidRPr="00E1113D">
              <w:t>9 Feb 2024</w:t>
            </w:r>
          </w:p>
        </w:tc>
      </w:tr>
      <w:tr w:rsidR="0071441F" w:rsidRPr="001D1C13" w14:paraId="197376C7" w14:textId="77777777" w:rsidTr="007B3A1C">
        <w:tc>
          <w:tcPr>
            <w:tcW w:w="709" w:type="dxa"/>
            <w:vAlign w:val="top"/>
          </w:tcPr>
          <w:p w14:paraId="34D89225" w14:textId="3561CA1D" w:rsidR="0071441F" w:rsidRPr="0071441F" w:rsidRDefault="0071441F" w:rsidP="0071441F">
            <w:pPr>
              <w:pStyle w:val="TablePlainParagraph"/>
              <w:spacing w:before="40" w:after="40"/>
            </w:pPr>
            <w:r w:rsidRPr="0071441F">
              <w:t>006a</w:t>
            </w:r>
          </w:p>
        </w:tc>
        <w:tc>
          <w:tcPr>
            <w:tcW w:w="2410" w:type="dxa"/>
            <w:vAlign w:val="top"/>
          </w:tcPr>
          <w:p w14:paraId="736B7473" w14:textId="5F0302AA" w:rsidR="0071441F" w:rsidRPr="001D1C13" w:rsidRDefault="0071441F" w:rsidP="0071441F">
            <w:pPr>
              <w:pStyle w:val="TablePlainParagraph"/>
              <w:spacing w:before="40" w:after="40"/>
            </w:pPr>
            <w:r w:rsidRPr="0071441F">
              <w:t>Policy basis for register (Extract from draft IA)</w:t>
            </w:r>
          </w:p>
        </w:tc>
        <w:tc>
          <w:tcPr>
            <w:tcW w:w="850" w:type="dxa"/>
            <w:vAlign w:val="top"/>
          </w:tcPr>
          <w:p w14:paraId="7C5F45E7" w14:textId="4DC74E88" w:rsidR="0071441F" w:rsidRPr="001D1C13" w:rsidRDefault="0071441F" w:rsidP="0071441F">
            <w:pPr>
              <w:pStyle w:val="TablePlainParagraph"/>
              <w:spacing w:before="40" w:after="40"/>
            </w:pPr>
            <w:r w:rsidRPr="0071441F">
              <w:t>Non-public</w:t>
            </w:r>
          </w:p>
        </w:tc>
        <w:tc>
          <w:tcPr>
            <w:tcW w:w="3323" w:type="dxa"/>
            <w:vAlign w:val="top"/>
          </w:tcPr>
          <w:p w14:paraId="6E099EEF" w14:textId="721C9AD5" w:rsidR="0071441F" w:rsidRPr="001D1C13" w:rsidRDefault="0071441F" w:rsidP="0071441F">
            <w:pPr>
              <w:pStyle w:val="TablePlainParagraph"/>
              <w:spacing w:before="40" w:after="40"/>
            </w:pPr>
            <w:r w:rsidRPr="0071441F">
              <w:t>Extract from Impact Analysis containing summary of policy rationale for register</w:t>
            </w:r>
          </w:p>
        </w:tc>
        <w:tc>
          <w:tcPr>
            <w:tcW w:w="1072" w:type="dxa"/>
            <w:vAlign w:val="top"/>
          </w:tcPr>
          <w:p w14:paraId="022325F2" w14:textId="0F0C1C95" w:rsidR="0071441F" w:rsidRPr="001D1C13" w:rsidRDefault="0071441F" w:rsidP="0071441F">
            <w:pPr>
              <w:pStyle w:val="TablePlainParagraph"/>
              <w:spacing w:before="40" w:after="40"/>
            </w:pPr>
            <w:r w:rsidRPr="00E1113D">
              <w:t>9 Feb 2024</w:t>
            </w:r>
          </w:p>
        </w:tc>
      </w:tr>
      <w:tr w:rsidR="0071441F" w:rsidRPr="001D1C13" w14:paraId="1BAD48AC" w14:textId="77777777" w:rsidTr="007B3A1C">
        <w:trPr>
          <w:cantSplit/>
        </w:trPr>
        <w:tc>
          <w:tcPr>
            <w:tcW w:w="709" w:type="dxa"/>
            <w:vAlign w:val="top"/>
          </w:tcPr>
          <w:p w14:paraId="1B4FDDF4" w14:textId="41B40C7E" w:rsidR="0071441F" w:rsidRPr="0071441F" w:rsidRDefault="0071441F" w:rsidP="0071441F">
            <w:pPr>
              <w:pStyle w:val="TablePlainParagraph"/>
              <w:spacing w:before="40" w:after="40"/>
            </w:pPr>
            <w:r w:rsidRPr="0071441F">
              <w:t>006b</w:t>
            </w:r>
          </w:p>
        </w:tc>
        <w:tc>
          <w:tcPr>
            <w:tcW w:w="2410" w:type="dxa"/>
            <w:vAlign w:val="top"/>
          </w:tcPr>
          <w:p w14:paraId="6202871F" w14:textId="23EA0AC0" w:rsidR="0071441F" w:rsidRPr="001D1C13" w:rsidRDefault="0071441F" w:rsidP="0071441F">
            <w:pPr>
              <w:pStyle w:val="TablePlainParagraph"/>
              <w:spacing w:before="40" w:after="40"/>
            </w:pPr>
            <w:r w:rsidRPr="0071441F">
              <w:t>FATF Beneficial Ownership Guidance (policy basis)</w:t>
            </w:r>
          </w:p>
        </w:tc>
        <w:tc>
          <w:tcPr>
            <w:tcW w:w="850" w:type="dxa"/>
            <w:vAlign w:val="top"/>
          </w:tcPr>
          <w:p w14:paraId="160693EB" w14:textId="246FBF25" w:rsidR="0071441F" w:rsidRPr="001D1C13" w:rsidRDefault="0071441F" w:rsidP="0071441F">
            <w:pPr>
              <w:pStyle w:val="TablePlainParagraph"/>
              <w:spacing w:before="40" w:after="40"/>
            </w:pPr>
            <w:r w:rsidRPr="0071441F">
              <w:t>Public</w:t>
            </w:r>
          </w:p>
        </w:tc>
        <w:tc>
          <w:tcPr>
            <w:tcW w:w="3323" w:type="dxa"/>
            <w:vAlign w:val="top"/>
          </w:tcPr>
          <w:p w14:paraId="1565682E" w14:textId="6E04C4C2" w:rsidR="0071441F" w:rsidRPr="001D1C13" w:rsidRDefault="0071441F" w:rsidP="0071441F">
            <w:pPr>
              <w:pStyle w:val="TablePlainParagraph"/>
              <w:spacing w:before="40" w:after="40"/>
            </w:pPr>
            <w:r w:rsidRPr="0071441F">
              <w:t>FATF Best Practice Guidelines on Recommendation 24 - containing information about adherence to recommendation regarding collection of beneficial ownership information for legal persons, including regarding publishing information</w:t>
            </w:r>
          </w:p>
        </w:tc>
        <w:tc>
          <w:tcPr>
            <w:tcW w:w="1072" w:type="dxa"/>
            <w:vAlign w:val="top"/>
          </w:tcPr>
          <w:p w14:paraId="6E5A5CF6" w14:textId="13D2866E" w:rsidR="0071441F" w:rsidRPr="001D1C13" w:rsidRDefault="0071441F" w:rsidP="0071441F">
            <w:pPr>
              <w:pStyle w:val="TablePlainParagraph"/>
              <w:spacing w:before="40" w:after="40"/>
            </w:pPr>
            <w:r w:rsidRPr="00E1113D">
              <w:t>9 Feb 2024</w:t>
            </w:r>
          </w:p>
        </w:tc>
      </w:tr>
      <w:tr w:rsidR="0071441F" w:rsidRPr="001D1C13" w14:paraId="34FC4343" w14:textId="77777777" w:rsidTr="007B3A1C">
        <w:tc>
          <w:tcPr>
            <w:tcW w:w="709" w:type="dxa"/>
            <w:vAlign w:val="top"/>
          </w:tcPr>
          <w:p w14:paraId="3FCD188F" w14:textId="563D849E" w:rsidR="0071441F" w:rsidRPr="0071441F" w:rsidRDefault="0071441F" w:rsidP="0071441F">
            <w:pPr>
              <w:pStyle w:val="TablePlainParagraph"/>
              <w:spacing w:before="40" w:after="40"/>
            </w:pPr>
            <w:r w:rsidRPr="0071441F">
              <w:t>006c</w:t>
            </w:r>
          </w:p>
        </w:tc>
        <w:tc>
          <w:tcPr>
            <w:tcW w:w="2410" w:type="dxa"/>
            <w:vAlign w:val="top"/>
          </w:tcPr>
          <w:p w14:paraId="3A33E99C" w14:textId="74C575AF" w:rsidR="0071441F" w:rsidRPr="001D1C13" w:rsidRDefault="0071441F" w:rsidP="0071441F">
            <w:pPr>
              <w:pStyle w:val="TablePlainParagraph"/>
              <w:spacing w:before="40" w:after="40"/>
            </w:pPr>
            <w:r w:rsidRPr="0071441F">
              <w:t>FATF Beneficial Ownership Best Practice (policy basis)</w:t>
            </w:r>
          </w:p>
        </w:tc>
        <w:tc>
          <w:tcPr>
            <w:tcW w:w="850" w:type="dxa"/>
            <w:vAlign w:val="top"/>
          </w:tcPr>
          <w:p w14:paraId="7495E055" w14:textId="028FA908" w:rsidR="0071441F" w:rsidRPr="001D1C13" w:rsidRDefault="0071441F" w:rsidP="0071441F">
            <w:pPr>
              <w:pStyle w:val="TablePlainParagraph"/>
              <w:spacing w:before="40" w:after="40"/>
            </w:pPr>
            <w:r w:rsidRPr="0071441F">
              <w:t>Public</w:t>
            </w:r>
          </w:p>
        </w:tc>
        <w:tc>
          <w:tcPr>
            <w:tcW w:w="3323" w:type="dxa"/>
            <w:vAlign w:val="top"/>
          </w:tcPr>
          <w:p w14:paraId="34CC14D7" w14:textId="5C544742" w:rsidR="0071441F" w:rsidRPr="001D1C13" w:rsidRDefault="0071441F" w:rsidP="0071441F">
            <w:pPr>
              <w:pStyle w:val="TablePlainParagraph"/>
              <w:spacing w:before="40" w:after="40"/>
            </w:pPr>
            <w:r w:rsidRPr="0071441F">
              <w:t>FATF Guidance on Recommendation 24 - containing information about best practice collection of beneficial ownership information for legal persons, including regarding publishing information</w:t>
            </w:r>
          </w:p>
        </w:tc>
        <w:tc>
          <w:tcPr>
            <w:tcW w:w="1072" w:type="dxa"/>
            <w:vAlign w:val="top"/>
          </w:tcPr>
          <w:p w14:paraId="14484E9B" w14:textId="4288D0BD" w:rsidR="0071441F" w:rsidRPr="001D1C13" w:rsidRDefault="0071441F" w:rsidP="0071441F">
            <w:pPr>
              <w:pStyle w:val="TablePlainParagraph"/>
              <w:spacing w:before="40" w:after="40"/>
            </w:pPr>
            <w:r w:rsidRPr="00E1113D">
              <w:t>9 Feb 2024</w:t>
            </w:r>
          </w:p>
        </w:tc>
      </w:tr>
      <w:tr w:rsidR="0071441F" w:rsidRPr="001D1C13" w14:paraId="4A6F012E" w14:textId="77777777" w:rsidTr="007B3A1C">
        <w:tc>
          <w:tcPr>
            <w:tcW w:w="709" w:type="dxa"/>
            <w:vAlign w:val="top"/>
          </w:tcPr>
          <w:p w14:paraId="5564B5CB" w14:textId="06A86DD7" w:rsidR="0071441F" w:rsidRPr="0071441F" w:rsidRDefault="0071441F" w:rsidP="0071441F">
            <w:pPr>
              <w:pStyle w:val="TablePlainParagraph"/>
              <w:spacing w:before="40" w:after="40"/>
            </w:pPr>
            <w:r w:rsidRPr="0071441F">
              <w:t>007</w:t>
            </w:r>
          </w:p>
        </w:tc>
        <w:tc>
          <w:tcPr>
            <w:tcW w:w="2410" w:type="dxa"/>
            <w:vAlign w:val="top"/>
          </w:tcPr>
          <w:p w14:paraId="139F096F" w14:textId="435B6B75" w:rsidR="0071441F" w:rsidRPr="001D1C13" w:rsidRDefault="0071441F" w:rsidP="0071441F">
            <w:pPr>
              <w:pStyle w:val="TablePlainParagraph"/>
              <w:spacing w:before="40" w:after="40"/>
            </w:pPr>
            <w:r w:rsidRPr="0071441F">
              <w:t>MS22-002723 Briefing on ECJ decision</w:t>
            </w:r>
          </w:p>
        </w:tc>
        <w:tc>
          <w:tcPr>
            <w:tcW w:w="850" w:type="dxa"/>
            <w:vAlign w:val="top"/>
          </w:tcPr>
          <w:p w14:paraId="5739B540" w14:textId="0A9CFED9" w:rsidR="0071441F" w:rsidRPr="001D1C13" w:rsidRDefault="0071441F" w:rsidP="0071441F">
            <w:pPr>
              <w:pStyle w:val="TablePlainParagraph"/>
              <w:spacing w:before="40" w:after="40"/>
            </w:pPr>
            <w:r w:rsidRPr="0071441F">
              <w:t>Non-public</w:t>
            </w:r>
          </w:p>
        </w:tc>
        <w:tc>
          <w:tcPr>
            <w:tcW w:w="3323" w:type="dxa"/>
            <w:vAlign w:val="top"/>
          </w:tcPr>
          <w:p w14:paraId="5BEB2E7E" w14:textId="43E98520" w:rsidR="0071441F" w:rsidRPr="001D1C13" w:rsidRDefault="0071441F" w:rsidP="0071441F">
            <w:pPr>
              <w:pStyle w:val="TablePlainParagraph"/>
              <w:spacing w:before="40" w:after="40"/>
            </w:pPr>
            <w:r w:rsidRPr="0071441F">
              <w:t>Ministerial Submission summarising decision of European Court of Justice regarding public beneficial ownership registers in EU</w:t>
            </w:r>
          </w:p>
        </w:tc>
        <w:tc>
          <w:tcPr>
            <w:tcW w:w="1072" w:type="dxa"/>
            <w:vAlign w:val="top"/>
          </w:tcPr>
          <w:p w14:paraId="6863743C" w14:textId="16594F02" w:rsidR="0071441F" w:rsidRPr="001D1C13" w:rsidRDefault="0071441F" w:rsidP="0071441F">
            <w:pPr>
              <w:pStyle w:val="TablePlainParagraph"/>
              <w:spacing w:before="40" w:after="40"/>
            </w:pPr>
            <w:r w:rsidRPr="00A267FA">
              <w:t>9 Feb 2024</w:t>
            </w:r>
          </w:p>
        </w:tc>
      </w:tr>
      <w:tr w:rsidR="0071441F" w:rsidRPr="001D1C13" w14:paraId="4AEEDC8B" w14:textId="77777777" w:rsidTr="007B3A1C">
        <w:tc>
          <w:tcPr>
            <w:tcW w:w="709" w:type="dxa"/>
            <w:vAlign w:val="top"/>
          </w:tcPr>
          <w:p w14:paraId="50CF7677" w14:textId="0561AFF5" w:rsidR="0071441F" w:rsidRPr="0071441F" w:rsidRDefault="0071441F" w:rsidP="0071441F">
            <w:pPr>
              <w:pStyle w:val="TablePlainParagraph"/>
              <w:spacing w:before="40" w:after="40"/>
            </w:pPr>
            <w:r w:rsidRPr="0071441F">
              <w:t>008</w:t>
            </w:r>
          </w:p>
        </w:tc>
        <w:tc>
          <w:tcPr>
            <w:tcW w:w="2410" w:type="dxa"/>
            <w:vAlign w:val="top"/>
          </w:tcPr>
          <w:p w14:paraId="420084FA" w14:textId="700E8637" w:rsidR="0071441F" w:rsidRPr="001D1C13" w:rsidRDefault="0071441F" w:rsidP="0071441F">
            <w:pPr>
              <w:pStyle w:val="TablePlainParagraph"/>
              <w:spacing w:before="40" w:after="40"/>
            </w:pPr>
            <w:r w:rsidRPr="0071441F">
              <w:t>Responses to additional AGS questions</w:t>
            </w:r>
          </w:p>
        </w:tc>
        <w:tc>
          <w:tcPr>
            <w:tcW w:w="850" w:type="dxa"/>
            <w:vAlign w:val="top"/>
          </w:tcPr>
          <w:p w14:paraId="28FA4B2E" w14:textId="3852C4C6" w:rsidR="0071441F" w:rsidRPr="001D1C13" w:rsidRDefault="0071441F" w:rsidP="0071441F">
            <w:pPr>
              <w:pStyle w:val="TablePlainParagraph"/>
              <w:spacing w:before="40" w:after="40"/>
            </w:pPr>
            <w:r w:rsidRPr="0071441F">
              <w:t>Non-public</w:t>
            </w:r>
          </w:p>
        </w:tc>
        <w:tc>
          <w:tcPr>
            <w:tcW w:w="3323" w:type="dxa"/>
            <w:vAlign w:val="top"/>
          </w:tcPr>
          <w:p w14:paraId="2522EDD1" w14:textId="5A53B0A0" w:rsidR="0071441F" w:rsidRPr="001D1C13" w:rsidRDefault="0071441F" w:rsidP="0071441F">
            <w:pPr>
              <w:pStyle w:val="TablePlainParagraph"/>
              <w:spacing w:before="40" w:after="40"/>
            </w:pPr>
            <w:r w:rsidRPr="0071441F">
              <w:t>Responses to additional questions provided by AGS on 13 February 2024</w:t>
            </w:r>
          </w:p>
        </w:tc>
        <w:tc>
          <w:tcPr>
            <w:tcW w:w="1072" w:type="dxa"/>
            <w:vAlign w:val="top"/>
          </w:tcPr>
          <w:p w14:paraId="480A370E" w14:textId="4F59CA6B" w:rsidR="0071441F" w:rsidRPr="001D1C13" w:rsidRDefault="0071441F" w:rsidP="0071441F">
            <w:pPr>
              <w:pStyle w:val="TablePlainParagraph"/>
              <w:spacing w:before="40" w:after="40"/>
            </w:pPr>
            <w:r>
              <w:t>1</w:t>
            </w:r>
            <w:r w:rsidRPr="003D7E28">
              <w:t>9 Feb 2024</w:t>
            </w:r>
          </w:p>
        </w:tc>
      </w:tr>
      <w:tr w:rsidR="0071441F" w:rsidRPr="001D1C13" w14:paraId="5B6F033D" w14:textId="77777777" w:rsidTr="007B3A1C">
        <w:tc>
          <w:tcPr>
            <w:tcW w:w="709" w:type="dxa"/>
            <w:vAlign w:val="top"/>
          </w:tcPr>
          <w:p w14:paraId="0BCBB08F" w14:textId="772462E3" w:rsidR="0071441F" w:rsidRPr="0071441F" w:rsidRDefault="0071441F" w:rsidP="0071441F">
            <w:pPr>
              <w:pStyle w:val="TablePlainParagraph"/>
              <w:spacing w:before="40" w:after="40"/>
            </w:pPr>
            <w:r w:rsidRPr="0071441F">
              <w:t>008a</w:t>
            </w:r>
          </w:p>
        </w:tc>
        <w:tc>
          <w:tcPr>
            <w:tcW w:w="2410" w:type="dxa"/>
            <w:vAlign w:val="top"/>
          </w:tcPr>
          <w:p w14:paraId="20411EC4" w14:textId="02375862" w:rsidR="0071441F" w:rsidRPr="001D1C13" w:rsidRDefault="0071441F" w:rsidP="0071441F">
            <w:pPr>
              <w:pStyle w:val="TablePlainParagraph"/>
              <w:spacing w:before="40" w:after="40"/>
            </w:pPr>
            <w:r w:rsidRPr="0071441F">
              <w:t>Response to Q16, Information fields and justification</w:t>
            </w:r>
          </w:p>
        </w:tc>
        <w:tc>
          <w:tcPr>
            <w:tcW w:w="850" w:type="dxa"/>
            <w:vAlign w:val="top"/>
          </w:tcPr>
          <w:p w14:paraId="7D45FD3F" w14:textId="78E698A9" w:rsidR="0071441F" w:rsidRPr="001D1C13" w:rsidRDefault="0071441F" w:rsidP="0071441F">
            <w:pPr>
              <w:pStyle w:val="TablePlainParagraph"/>
              <w:spacing w:before="40" w:after="40"/>
            </w:pPr>
            <w:r w:rsidRPr="0071441F">
              <w:t>Non-public</w:t>
            </w:r>
          </w:p>
        </w:tc>
        <w:tc>
          <w:tcPr>
            <w:tcW w:w="3323" w:type="dxa"/>
            <w:vAlign w:val="top"/>
          </w:tcPr>
          <w:p w14:paraId="01115500" w14:textId="417B798A" w:rsidR="0071441F" w:rsidRPr="001D1C13" w:rsidRDefault="0071441F" w:rsidP="0071441F">
            <w:pPr>
              <w:pStyle w:val="TablePlainParagraph"/>
              <w:spacing w:before="40" w:after="40"/>
            </w:pPr>
            <w:r w:rsidRPr="0071441F">
              <w:t>Table created in response to question 16 of additional questions</w:t>
            </w:r>
          </w:p>
        </w:tc>
        <w:tc>
          <w:tcPr>
            <w:tcW w:w="1072" w:type="dxa"/>
            <w:vAlign w:val="top"/>
          </w:tcPr>
          <w:p w14:paraId="10F67EE6" w14:textId="40BFA756" w:rsidR="0071441F" w:rsidRPr="001D1C13" w:rsidRDefault="0071441F" w:rsidP="0071441F">
            <w:pPr>
              <w:pStyle w:val="TablePlainParagraph"/>
              <w:spacing w:before="40" w:after="40"/>
            </w:pPr>
            <w:r>
              <w:t>1</w:t>
            </w:r>
            <w:r w:rsidRPr="003D7E28">
              <w:t>9 Feb 2024</w:t>
            </w:r>
          </w:p>
        </w:tc>
      </w:tr>
      <w:tr w:rsidR="00D753DD" w:rsidRPr="001D1C13" w14:paraId="1B0A2E17" w14:textId="77777777" w:rsidTr="007B3A1C">
        <w:tc>
          <w:tcPr>
            <w:tcW w:w="709" w:type="dxa"/>
            <w:vAlign w:val="top"/>
          </w:tcPr>
          <w:p w14:paraId="2FFE8F45" w14:textId="3BF35D70" w:rsidR="000A4B78" w:rsidRPr="0071441F" w:rsidRDefault="000A4B78" w:rsidP="000A4B78">
            <w:pPr>
              <w:pStyle w:val="TablePlainParagraph"/>
              <w:spacing w:before="40" w:after="40"/>
            </w:pPr>
            <w:r>
              <w:t>009</w:t>
            </w:r>
          </w:p>
        </w:tc>
        <w:tc>
          <w:tcPr>
            <w:tcW w:w="2410" w:type="dxa"/>
            <w:vAlign w:val="top"/>
          </w:tcPr>
          <w:p w14:paraId="53CB0675" w14:textId="42CA6292" w:rsidR="000A4B78" w:rsidRPr="0071441F" w:rsidRDefault="000A4B78" w:rsidP="000A4B78">
            <w:pPr>
              <w:pStyle w:val="TablePlainParagraph"/>
              <w:spacing w:before="40" w:after="40"/>
            </w:pPr>
            <w:r w:rsidRPr="000A4B78">
              <w:t>Beneficial Ownership PIA - Summary of policy positions updated for DIs</w:t>
            </w:r>
          </w:p>
        </w:tc>
        <w:tc>
          <w:tcPr>
            <w:tcW w:w="850" w:type="dxa"/>
            <w:vAlign w:val="top"/>
          </w:tcPr>
          <w:p w14:paraId="2EC39FC8" w14:textId="1CBD23D4" w:rsidR="000A4B78" w:rsidRPr="0071441F" w:rsidRDefault="000A4B78" w:rsidP="000A4B78">
            <w:pPr>
              <w:pStyle w:val="TablePlainParagraph"/>
              <w:spacing w:before="40" w:after="40"/>
            </w:pPr>
            <w:r w:rsidRPr="0071441F">
              <w:t>Non-public</w:t>
            </w:r>
          </w:p>
        </w:tc>
        <w:tc>
          <w:tcPr>
            <w:tcW w:w="3323" w:type="dxa"/>
            <w:vAlign w:val="top"/>
          </w:tcPr>
          <w:p w14:paraId="21D57700" w14:textId="6FBFD035" w:rsidR="000A4B78" w:rsidRPr="0071441F" w:rsidRDefault="000A4B78" w:rsidP="000A4B78">
            <w:pPr>
              <w:pStyle w:val="TablePlainParagraph"/>
              <w:spacing w:before="40" w:after="40"/>
            </w:pPr>
            <w:r w:rsidRPr="000A4B78">
              <w:t>Summary of policy positions updated for development of drafting instructions</w:t>
            </w:r>
          </w:p>
        </w:tc>
        <w:tc>
          <w:tcPr>
            <w:tcW w:w="1072" w:type="dxa"/>
            <w:vAlign w:val="top"/>
          </w:tcPr>
          <w:p w14:paraId="15430F72" w14:textId="18778CC3" w:rsidR="000A4B78" w:rsidRDefault="000A4B78" w:rsidP="000A4B78">
            <w:pPr>
              <w:pStyle w:val="TablePlainParagraph"/>
              <w:spacing w:before="40" w:after="40"/>
            </w:pPr>
            <w:r w:rsidRPr="000A4B78">
              <w:t>16 April 2024</w:t>
            </w:r>
          </w:p>
        </w:tc>
      </w:tr>
      <w:tr w:rsidR="008B3FE9" w:rsidRPr="001D1C13" w14:paraId="66E4697E" w14:textId="77777777" w:rsidTr="007B3A1C">
        <w:tc>
          <w:tcPr>
            <w:tcW w:w="709" w:type="dxa"/>
            <w:vAlign w:val="top"/>
          </w:tcPr>
          <w:p w14:paraId="58E8CBE8" w14:textId="482BD527" w:rsidR="008B3FE9" w:rsidRDefault="008B3FE9" w:rsidP="000A4B78">
            <w:pPr>
              <w:pStyle w:val="TablePlainParagraph"/>
              <w:spacing w:before="40" w:after="40"/>
            </w:pPr>
            <w:r>
              <w:t>010</w:t>
            </w:r>
          </w:p>
        </w:tc>
        <w:tc>
          <w:tcPr>
            <w:tcW w:w="2410" w:type="dxa"/>
            <w:vAlign w:val="top"/>
          </w:tcPr>
          <w:p w14:paraId="75E36D14" w14:textId="7E280790" w:rsidR="008B3FE9" w:rsidRPr="000A4B78" w:rsidRDefault="008B3FE9" w:rsidP="000A4B78">
            <w:pPr>
              <w:pStyle w:val="TablePlainParagraph"/>
              <w:spacing w:before="40" w:after="40"/>
            </w:pPr>
            <w:r>
              <w:t>Beneficial Ownership PIA – Updated information fields and justification</w:t>
            </w:r>
          </w:p>
        </w:tc>
        <w:tc>
          <w:tcPr>
            <w:tcW w:w="850" w:type="dxa"/>
            <w:vAlign w:val="top"/>
          </w:tcPr>
          <w:p w14:paraId="30DC8463" w14:textId="6BC8C729" w:rsidR="008B3FE9" w:rsidRPr="0071441F" w:rsidRDefault="008B3FE9" w:rsidP="000A4B78">
            <w:pPr>
              <w:pStyle w:val="TablePlainParagraph"/>
              <w:spacing w:before="40" w:after="40"/>
            </w:pPr>
            <w:r>
              <w:t>Non-public</w:t>
            </w:r>
          </w:p>
        </w:tc>
        <w:tc>
          <w:tcPr>
            <w:tcW w:w="3323" w:type="dxa"/>
            <w:vAlign w:val="top"/>
          </w:tcPr>
          <w:p w14:paraId="16CFA801" w14:textId="646D84E3" w:rsidR="008B3FE9" w:rsidRPr="000A4B78" w:rsidRDefault="008B3FE9" w:rsidP="000A4B78">
            <w:pPr>
              <w:pStyle w:val="TablePlainParagraph"/>
              <w:spacing w:before="40" w:after="40"/>
            </w:pPr>
            <w:r>
              <w:t>Update of table created in response to question 16 of additional questions to reflect new entity types</w:t>
            </w:r>
          </w:p>
        </w:tc>
        <w:tc>
          <w:tcPr>
            <w:tcW w:w="1072" w:type="dxa"/>
            <w:vAlign w:val="top"/>
          </w:tcPr>
          <w:p w14:paraId="376CE044" w14:textId="44D04A8C" w:rsidR="008B3FE9" w:rsidRPr="000A4B78" w:rsidRDefault="008B3FE9" w:rsidP="000A4B78">
            <w:pPr>
              <w:pStyle w:val="TablePlainParagraph"/>
              <w:spacing w:before="40" w:after="40"/>
            </w:pPr>
            <w:r>
              <w:t>23 May 2024</w:t>
            </w:r>
          </w:p>
        </w:tc>
      </w:tr>
    </w:tbl>
    <w:p w14:paraId="3E039E9F" w14:textId="338F25DA" w:rsidR="00417A84" w:rsidRDefault="006F4CE9" w:rsidP="00BA1717">
      <w:pPr>
        <w:pStyle w:val="Heading4"/>
        <w:spacing w:after="120"/>
      </w:pPr>
      <w:r>
        <w:t xml:space="preserve">Material identified by AGS through </w:t>
      </w:r>
      <w:proofErr w:type="gramStart"/>
      <w:r>
        <w:t>research</w:t>
      </w:r>
      <w:proofErr w:type="gramEnd"/>
    </w:p>
    <w:tbl>
      <w:tblPr>
        <w:tblStyle w:val="TableGrid"/>
        <w:tblW w:w="5000" w:type="pct"/>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605"/>
        <w:gridCol w:w="7615"/>
      </w:tblGrid>
      <w:tr w:rsidR="00684F6D" w:rsidRPr="00121519" w14:paraId="1089FE2B" w14:textId="77777777" w:rsidTr="00DA1301">
        <w:trPr>
          <w:cantSplit/>
          <w:tblHeader/>
        </w:trPr>
        <w:tc>
          <w:tcPr>
            <w:tcW w:w="368" w:type="pct"/>
            <w:shd w:val="clear" w:color="auto" w:fill="C4DDEA"/>
            <w:vAlign w:val="top"/>
          </w:tcPr>
          <w:p w14:paraId="5D6EB989" w14:textId="77777777" w:rsidR="00684F6D" w:rsidRPr="00121519" w:rsidRDefault="00684F6D" w:rsidP="00DA1301">
            <w:pPr>
              <w:pStyle w:val="TableHeading2"/>
              <w:ind w:left="176" w:hanging="176"/>
            </w:pPr>
            <w:r>
              <w:t>No.</w:t>
            </w:r>
          </w:p>
        </w:tc>
        <w:tc>
          <w:tcPr>
            <w:tcW w:w="4632" w:type="pct"/>
            <w:shd w:val="clear" w:color="auto" w:fill="C4DDEA"/>
            <w:vAlign w:val="top"/>
          </w:tcPr>
          <w:p w14:paraId="7BD0B3AD" w14:textId="77777777" w:rsidR="00684F6D" w:rsidRPr="00121519" w:rsidRDefault="00684F6D" w:rsidP="00DA1301">
            <w:pPr>
              <w:pStyle w:val="TableHeading2"/>
            </w:pPr>
            <w:r>
              <w:t>Description</w:t>
            </w:r>
          </w:p>
        </w:tc>
      </w:tr>
      <w:tr w:rsidR="00684F6D" w:rsidRPr="00121519" w14:paraId="4C0B4702" w14:textId="77777777" w:rsidTr="00DA1301">
        <w:tc>
          <w:tcPr>
            <w:tcW w:w="368" w:type="pct"/>
            <w:vAlign w:val="top"/>
          </w:tcPr>
          <w:p w14:paraId="18E87717" w14:textId="77777777" w:rsidR="00684F6D" w:rsidRPr="00121519" w:rsidRDefault="00684F6D" w:rsidP="00804008">
            <w:pPr>
              <w:pStyle w:val="TablePlainParagraph"/>
              <w:numPr>
                <w:ilvl w:val="0"/>
                <w:numId w:val="54"/>
              </w:numPr>
              <w:rPr>
                <w:b/>
              </w:rPr>
            </w:pPr>
          </w:p>
        </w:tc>
        <w:tc>
          <w:tcPr>
            <w:tcW w:w="4632" w:type="pct"/>
            <w:vAlign w:val="top"/>
          </w:tcPr>
          <w:p w14:paraId="292D5B10" w14:textId="489BF868" w:rsidR="00684F6D" w:rsidRPr="00121519" w:rsidRDefault="0014727E" w:rsidP="00DA1301">
            <w:pPr>
              <w:pStyle w:val="TablePlainParagraph"/>
            </w:pPr>
            <w:hyperlink r:id="rId32" w:history="1">
              <w:r w:rsidR="00684F6D" w:rsidRPr="00AD1724">
                <w:rPr>
                  <w:rStyle w:val="Hyperlink"/>
                </w:rPr>
                <w:t>2023 Australian Community Attitudes to Privacy Survey</w:t>
              </w:r>
            </w:hyperlink>
          </w:p>
        </w:tc>
      </w:tr>
      <w:tr w:rsidR="00684F6D" w:rsidRPr="00121519" w14:paraId="7F15482D" w14:textId="77777777" w:rsidTr="00DA1301">
        <w:tc>
          <w:tcPr>
            <w:tcW w:w="368" w:type="pct"/>
            <w:vAlign w:val="top"/>
          </w:tcPr>
          <w:p w14:paraId="67AFFB87" w14:textId="77777777" w:rsidR="00684F6D" w:rsidRPr="00121519" w:rsidRDefault="00684F6D" w:rsidP="00804008">
            <w:pPr>
              <w:pStyle w:val="TablePlainParagraph"/>
              <w:numPr>
                <w:ilvl w:val="0"/>
                <w:numId w:val="54"/>
              </w:numPr>
              <w:rPr>
                <w:b/>
              </w:rPr>
            </w:pPr>
          </w:p>
        </w:tc>
        <w:tc>
          <w:tcPr>
            <w:tcW w:w="4632" w:type="pct"/>
            <w:vAlign w:val="top"/>
          </w:tcPr>
          <w:p w14:paraId="65516825" w14:textId="22957FD4" w:rsidR="00684F6D" w:rsidRPr="00121519" w:rsidRDefault="00684F6D" w:rsidP="00DA1301">
            <w:pPr>
              <w:pStyle w:val="TablePlainParagraph"/>
            </w:pPr>
            <w:r>
              <w:t>The Australian Business Registry Services webpage, ‘</w:t>
            </w:r>
            <w:hyperlink r:id="rId33" w:history="1">
              <w:r>
                <w:rPr>
                  <w:rStyle w:val="Hyperlink"/>
                </w:rPr>
                <w:t>About director ID</w:t>
              </w:r>
            </w:hyperlink>
            <w:r>
              <w:rPr>
                <w:rStyle w:val="Hyperlink"/>
              </w:rPr>
              <w:t>’</w:t>
            </w:r>
          </w:p>
        </w:tc>
      </w:tr>
      <w:tr w:rsidR="00684F6D" w:rsidRPr="00121519" w14:paraId="2F56B6BF" w14:textId="77777777" w:rsidTr="00DA1301">
        <w:tc>
          <w:tcPr>
            <w:tcW w:w="368" w:type="pct"/>
            <w:vAlign w:val="top"/>
          </w:tcPr>
          <w:p w14:paraId="6E7EE666" w14:textId="77777777" w:rsidR="00684F6D" w:rsidRPr="00121519" w:rsidRDefault="00684F6D" w:rsidP="00804008">
            <w:pPr>
              <w:pStyle w:val="TablePlainParagraph"/>
              <w:numPr>
                <w:ilvl w:val="0"/>
                <w:numId w:val="54"/>
              </w:numPr>
              <w:rPr>
                <w:b/>
              </w:rPr>
            </w:pPr>
          </w:p>
        </w:tc>
        <w:tc>
          <w:tcPr>
            <w:tcW w:w="4632" w:type="pct"/>
            <w:vAlign w:val="top"/>
          </w:tcPr>
          <w:p w14:paraId="1559C13B" w14:textId="5C55BDE2" w:rsidR="00684F6D" w:rsidRDefault="0014727E" w:rsidP="00DA1301">
            <w:pPr>
              <w:pStyle w:val="TablePlainParagraph"/>
            </w:pPr>
            <w:hyperlink r:id="rId34" w:history="1">
              <w:r w:rsidR="00684F6D" w:rsidRPr="00684F6D">
                <w:rPr>
                  <w:rStyle w:val="Hyperlink"/>
                  <w:i/>
                </w:rPr>
                <w:t xml:space="preserve">AIT18 v Australian Information Commissioner </w:t>
              </w:r>
              <w:r w:rsidR="00684F6D" w:rsidRPr="00684F6D">
                <w:rPr>
                  <w:rStyle w:val="Hyperlink"/>
                </w:rPr>
                <w:t>[2018] FCAFC 192</w:t>
              </w:r>
            </w:hyperlink>
          </w:p>
        </w:tc>
      </w:tr>
      <w:tr w:rsidR="00684F6D" w:rsidRPr="00121519" w14:paraId="541D934C" w14:textId="77777777" w:rsidTr="00DA1301">
        <w:tc>
          <w:tcPr>
            <w:tcW w:w="368" w:type="pct"/>
            <w:vAlign w:val="top"/>
          </w:tcPr>
          <w:p w14:paraId="2CAD8DB6" w14:textId="77777777" w:rsidR="00684F6D" w:rsidRPr="00121519" w:rsidRDefault="00684F6D" w:rsidP="00804008">
            <w:pPr>
              <w:pStyle w:val="TablePlainParagraph"/>
              <w:numPr>
                <w:ilvl w:val="0"/>
                <w:numId w:val="54"/>
              </w:numPr>
              <w:rPr>
                <w:b/>
              </w:rPr>
            </w:pPr>
          </w:p>
        </w:tc>
        <w:tc>
          <w:tcPr>
            <w:tcW w:w="4632" w:type="pct"/>
            <w:vAlign w:val="top"/>
          </w:tcPr>
          <w:p w14:paraId="19224E2B" w14:textId="60626715" w:rsidR="00684F6D" w:rsidRPr="00121519" w:rsidRDefault="0014727E" w:rsidP="00DA1301">
            <w:pPr>
              <w:pStyle w:val="TablePlainParagraph"/>
            </w:pPr>
            <w:hyperlink r:id="rId35" w:history="1">
              <w:r w:rsidR="00684F6D">
                <w:rPr>
                  <w:rStyle w:val="Hyperlink"/>
                  <w:i/>
                </w:rPr>
                <w:t>Anti-Money Laundering and Counter-Terrorism Financing Rules Instrument 2007 (No. 1)</w:t>
              </w:r>
            </w:hyperlink>
          </w:p>
        </w:tc>
      </w:tr>
      <w:tr w:rsidR="00684F6D" w:rsidRPr="00121519" w14:paraId="4DD05C95" w14:textId="77777777" w:rsidTr="00DA1301">
        <w:tc>
          <w:tcPr>
            <w:tcW w:w="368" w:type="pct"/>
            <w:vAlign w:val="top"/>
          </w:tcPr>
          <w:p w14:paraId="0DA8B5FC" w14:textId="77777777" w:rsidR="00684F6D" w:rsidRPr="00121519" w:rsidRDefault="00684F6D" w:rsidP="00804008">
            <w:pPr>
              <w:pStyle w:val="TablePlainParagraph"/>
              <w:numPr>
                <w:ilvl w:val="0"/>
                <w:numId w:val="54"/>
              </w:numPr>
              <w:rPr>
                <w:b/>
              </w:rPr>
            </w:pPr>
          </w:p>
        </w:tc>
        <w:tc>
          <w:tcPr>
            <w:tcW w:w="4632" w:type="pct"/>
            <w:vAlign w:val="top"/>
          </w:tcPr>
          <w:p w14:paraId="1C5A4330" w14:textId="3A19849E" w:rsidR="00684F6D" w:rsidRPr="00121519" w:rsidRDefault="00684F6D" w:rsidP="00DA1301">
            <w:pPr>
              <w:pStyle w:val="TablePlainParagraph"/>
            </w:pPr>
            <w:r>
              <w:t xml:space="preserve">Attorney-General’s Department, </w:t>
            </w:r>
            <w:hyperlink r:id="rId36" w:history="1">
              <w:r w:rsidRPr="006E6136">
                <w:rPr>
                  <w:rStyle w:val="Hyperlink"/>
                </w:rPr>
                <w:t>Privacy Act Review Report 2022</w:t>
              </w:r>
            </w:hyperlink>
            <w:r>
              <w:t xml:space="preserve"> published 16 February 2023</w:t>
            </w:r>
          </w:p>
        </w:tc>
      </w:tr>
      <w:tr w:rsidR="00684F6D" w:rsidRPr="00121519" w14:paraId="01E3CF95" w14:textId="77777777" w:rsidTr="00DA1301">
        <w:tc>
          <w:tcPr>
            <w:tcW w:w="368" w:type="pct"/>
            <w:vAlign w:val="top"/>
          </w:tcPr>
          <w:p w14:paraId="4D7C994B" w14:textId="77777777" w:rsidR="00684F6D" w:rsidRPr="00121519" w:rsidRDefault="00684F6D" w:rsidP="00804008">
            <w:pPr>
              <w:pStyle w:val="TablePlainParagraph"/>
              <w:numPr>
                <w:ilvl w:val="0"/>
                <w:numId w:val="54"/>
              </w:numPr>
              <w:rPr>
                <w:b/>
              </w:rPr>
            </w:pPr>
          </w:p>
        </w:tc>
        <w:tc>
          <w:tcPr>
            <w:tcW w:w="4632" w:type="pct"/>
            <w:vAlign w:val="top"/>
          </w:tcPr>
          <w:p w14:paraId="4011B1EE" w14:textId="00018223" w:rsidR="00684F6D" w:rsidRPr="00121519" w:rsidRDefault="00684F6D" w:rsidP="00DA1301">
            <w:pPr>
              <w:pStyle w:val="TablePlainParagraph"/>
            </w:pPr>
            <w:r>
              <w:t>AUSTRAC’s webpage, ‘</w:t>
            </w:r>
            <w:hyperlink r:id="rId37" w:history="1">
              <w:r w:rsidRPr="00DA1301">
                <w:rPr>
                  <w:rStyle w:val="Hyperlink"/>
                </w:rPr>
                <w:t>Customer identification: Know your customer (KYC)</w:t>
              </w:r>
            </w:hyperlink>
            <w:r>
              <w:t>’</w:t>
            </w:r>
          </w:p>
        </w:tc>
      </w:tr>
      <w:tr w:rsidR="00684F6D" w:rsidRPr="00121519" w14:paraId="2DC05C72" w14:textId="77777777" w:rsidTr="00DA1301">
        <w:tc>
          <w:tcPr>
            <w:tcW w:w="368" w:type="pct"/>
            <w:vAlign w:val="top"/>
          </w:tcPr>
          <w:p w14:paraId="1B9F2B9F" w14:textId="77777777" w:rsidR="00684F6D" w:rsidRPr="00121519" w:rsidRDefault="00684F6D" w:rsidP="00804008">
            <w:pPr>
              <w:pStyle w:val="TablePlainParagraph"/>
              <w:numPr>
                <w:ilvl w:val="0"/>
                <w:numId w:val="54"/>
              </w:numPr>
              <w:rPr>
                <w:b/>
              </w:rPr>
            </w:pPr>
          </w:p>
        </w:tc>
        <w:tc>
          <w:tcPr>
            <w:tcW w:w="4632" w:type="pct"/>
            <w:vAlign w:val="top"/>
          </w:tcPr>
          <w:p w14:paraId="445937D9" w14:textId="54EA18EF" w:rsidR="00684F6D" w:rsidRPr="00121519" w:rsidRDefault="00684F6D" w:rsidP="00DA1301">
            <w:pPr>
              <w:pStyle w:val="TablePlainParagraph"/>
            </w:pPr>
            <w:r>
              <w:t>AUSTRAC’s webpage, ‘</w:t>
            </w:r>
            <w:hyperlink r:id="rId38" w:history="1">
              <w:r w:rsidRPr="00DA1301">
                <w:rPr>
                  <w:rStyle w:val="Hyperlink"/>
                </w:rPr>
                <w:t>New to AUSTRAC</w:t>
              </w:r>
            </w:hyperlink>
            <w:r>
              <w:t>’</w:t>
            </w:r>
          </w:p>
        </w:tc>
      </w:tr>
      <w:tr w:rsidR="00684F6D" w:rsidRPr="00121519" w14:paraId="73C8F376" w14:textId="77777777" w:rsidTr="00DA1301">
        <w:tc>
          <w:tcPr>
            <w:tcW w:w="368" w:type="pct"/>
            <w:vAlign w:val="top"/>
          </w:tcPr>
          <w:p w14:paraId="47A7485F" w14:textId="77777777" w:rsidR="00684F6D" w:rsidRPr="00121519" w:rsidRDefault="00684F6D" w:rsidP="00804008">
            <w:pPr>
              <w:pStyle w:val="TablePlainParagraph"/>
              <w:numPr>
                <w:ilvl w:val="0"/>
                <w:numId w:val="54"/>
              </w:numPr>
              <w:rPr>
                <w:b/>
              </w:rPr>
            </w:pPr>
          </w:p>
        </w:tc>
        <w:tc>
          <w:tcPr>
            <w:tcW w:w="4632" w:type="pct"/>
            <w:vAlign w:val="top"/>
          </w:tcPr>
          <w:p w14:paraId="77903EDF" w14:textId="33CB66B6" w:rsidR="00684F6D" w:rsidRPr="00121519" w:rsidRDefault="0014727E" w:rsidP="00DA1301">
            <w:pPr>
              <w:pStyle w:val="TablePlainParagraph"/>
            </w:pPr>
            <w:hyperlink r:id="rId39" w:history="1">
              <w:r w:rsidR="00684F6D">
                <w:rPr>
                  <w:rStyle w:val="Hyperlink"/>
                </w:rPr>
                <w:t>Charter of Fundamental Rights of the European Union.</w:t>
              </w:r>
            </w:hyperlink>
          </w:p>
        </w:tc>
      </w:tr>
      <w:tr w:rsidR="00684F6D" w:rsidRPr="00121519" w14:paraId="4B1C9998" w14:textId="77777777" w:rsidTr="00DA1301">
        <w:tc>
          <w:tcPr>
            <w:tcW w:w="368" w:type="pct"/>
            <w:vAlign w:val="top"/>
          </w:tcPr>
          <w:p w14:paraId="7F30D8D8" w14:textId="77777777" w:rsidR="00684F6D" w:rsidRPr="00121519" w:rsidRDefault="00684F6D" w:rsidP="00804008">
            <w:pPr>
              <w:pStyle w:val="TablePlainParagraph"/>
              <w:numPr>
                <w:ilvl w:val="0"/>
                <w:numId w:val="54"/>
              </w:numPr>
              <w:rPr>
                <w:b/>
              </w:rPr>
            </w:pPr>
          </w:p>
        </w:tc>
        <w:tc>
          <w:tcPr>
            <w:tcW w:w="4632" w:type="pct"/>
            <w:vAlign w:val="top"/>
          </w:tcPr>
          <w:p w14:paraId="0FFBD4BA" w14:textId="6B5469A4" w:rsidR="00684F6D" w:rsidRPr="00121519" w:rsidRDefault="0014727E" w:rsidP="00DA1301">
            <w:pPr>
              <w:pStyle w:val="TablePlainParagraph"/>
            </w:pPr>
            <w:hyperlink r:id="rId40" w:history="1">
              <w:r w:rsidR="00684F6D" w:rsidRPr="00684F6D">
                <w:rPr>
                  <w:rStyle w:val="Hyperlink"/>
                </w:rPr>
                <w:t xml:space="preserve">Communication No. 488/1992, </w:t>
              </w:r>
              <w:proofErr w:type="spellStart"/>
              <w:r w:rsidR="00684F6D" w:rsidRPr="00684F6D">
                <w:rPr>
                  <w:rStyle w:val="Hyperlink"/>
                </w:rPr>
                <w:t>Toonan</w:t>
              </w:r>
              <w:proofErr w:type="spellEnd"/>
              <w:r w:rsidR="00684F6D" w:rsidRPr="00684F6D">
                <w:rPr>
                  <w:rStyle w:val="Hyperlink"/>
                </w:rPr>
                <w:t xml:space="preserve"> v. Australia</w:t>
              </w:r>
            </w:hyperlink>
            <w:r w:rsidR="00684F6D">
              <w:t xml:space="preserve"> see also </w:t>
            </w:r>
            <w:r w:rsidR="00D07B70">
              <w:t>C</w:t>
            </w:r>
            <w:r w:rsidR="00684F6D">
              <w:t xml:space="preserve">ommunication </w:t>
            </w:r>
            <w:hyperlink r:id="rId41" w:history="1">
              <w:r w:rsidR="00684F6D" w:rsidRPr="00D07B70">
                <w:rPr>
                  <w:rStyle w:val="Hyperlink"/>
                </w:rPr>
                <w:t>Nos. 903/1999</w:t>
              </w:r>
            </w:hyperlink>
            <w:r w:rsidR="00684F6D">
              <w:t xml:space="preserve">, and </w:t>
            </w:r>
            <w:hyperlink r:id="rId42" w:history="1">
              <w:r w:rsidR="00684F6D" w:rsidRPr="00D07B70">
                <w:rPr>
                  <w:rStyle w:val="Hyperlink"/>
                </w:rPr>
                <w:t>1482/2006</w:t>
              </w:r>
            </w:hyperlink>
            <w:r w:rsidR="00684F6D">
              <w:t>.</w:t>
            </w:r>
          </w:p>
        </w:tc>
      </w:tr>
      <w:tr w:rsidR="00D07B70" w:rsidRPr="00121519" w14:paraId="67EB5E91" w14:textId="77777777" w:rsidTr="00DA1301">
        <w:tc>
          <w:tcPr>
            <w:tcW w:w="368" w:type="pct"/>
            <w:vAlign w:val="top"/>
          </w:tcPr>
          <w:p w14:paraId="45666C54" w14:textId="77777777" w:rsidR="00D07B70" w:rsidRPr="00121519" w:rsidRDefault="00D07B70" w:rsidP="00804008">
            <w:pPr>
              <w:pStyle w:val="TablePlainParagraph"/>
              <w:numPr>
                <w:ilvl w:val="0"/>
                <w:numId w:val="54"/>
              </w:numPr>
              <w:rPr>
                <w:b/>
              </w:rPr>
            </w:pPr>
          </w:p>
        </w:tc>
        <w:tc>
          <w:tcPr>
            <w:tcW w:w="4632" w:type="pct"/>
            <w:vAlign w:val="top"/>
          </w:tcPr>
          <w:p w14:paraId="0556A457" w14:textId="2065A4ED" w:rsidR="00D07B70" w:rsidRDefault="0014727E" w:rsidP="00D07B70">
            <w:pPr>
              <w:pStyle w:val="TablePlainParagraph"/>
            </w:pPr>
            <w:hyperlink r:id="rId43" w:history="1">
              <w:r w:rsidR="00D07B70" w:rsidRPr="00D07B70">
                <w:rPr>
                  <w:rStyle w:val="Hyperlink"/>
                  <w:i/>
                </w:rPr>
                <w:t xml:space="preserve">Corporations Act 2001 </w:t>
              </w:r>
              <w:r w:rsidR="00D07B70" w:rsidRPr="00D07B70">
                <w:rPr>
                  <w:rStyle w:val="Hyperlink"/>
                </w:rPr>
                <w:t>(</w:t>
              </w:r>
              <w:proofErr w:type="spellStart"/>
              <w:r w:rsidR="00D07B70" w:rsidRPr="00D07B70">
                <w:rPr>
                  <w:rStyle w:val="Hyperlink"/>
                </w:rPr>
                <w:t>Cth</w:t>
              </w:r>
              <w:proofErr w:type="spellEnd"/>
              <w:r w:rsidR="00D07B70" w:rsidRPr="00D07B70">
                <w:rPr>
                  <w:rStyle w:val="Hyperlink"/>
                </w:rPr>
                <w:t>)</w:t>
              </w:r>
            </w:hyperlink>
          </w:p>
        </w:tc>
      </w:tr>
      <w:tr w:rsidR="00D07B70" w:rsidRPr="00121519" w14:paraId="10D57183" w14:textId="77777777" w:rsidTr="00DA1301">
        <w:tc>
          <w:tcPr>
            <w:tcW w:w="368" w:type="pct"/>
            <w:vAlign w:val="top"/>
          </w:tcPr>
          <w:p w14:paraId="75DDFB86" w14:textId="77777777" w:rsidR="00D07B70" w:rsidRPr="00121519" w:rsidRDefault="00D07B70" w:rsidP="00804008">
            <w:pPr>
              <w:pStyle w:val="TablePlainParagraph"/>
              <w:numPr>
                <w:ilvl w:val="0"/>
                <w:numId w:val="54"/>
              </w:numPr>
              <w:rPr>
                <w:b/>
              </w:rPr>
            </w:pPr>
          </w:p>
        </w:tc>
        <w:tc>
          <w:tcPr>
            <w:tcW w:w="4632" w:type="pct"/>
            <w:vAlign w:val="top"/>
          </w:tcPr>
          <w:p w14:paraId="60073DA9" w14:textId="7674E4BF" w:rsidR="00D07B70" w:rsidRPr="00D07B70" w:rsidRDefault="0014727E" w:rsidP="00D07B70">
            <w:pPr>
              <w:pStyle w:val="TablePlainParagraph"/>
            </w:pPr>
            <w:hyperlink r:id="rId44" w:history="1">
              <w:r w:rsidR="00D07B70" w:rsidRPr="00D07B70">
                <w:rPr>
                  <w:rStyle w:val="Hyperlink"/>
                  <w:i/>
                </w:rPr>
                <w:t xml:space="preserve">Corporations Regulations 2001 </w:t>
              </w:r>
              <w:r w:rsidR="00D07B70" w:rsidRPr="00D07B70">
                <w:rPr>
                  <w:rStyle w:val="Hyperlink"/>
                </w:rPr>
                <w:t>(</w:t>
              </w:r>
              <w:proofErr w:type="spellStart"/>
              <w:r w:rsidR="00D07B70" w:rsidRPr="00D07B70">
                <w:rPr>
                  <w:rStyle w:val="Hyperlink"/>
                </w:rPr>
                <w:t>Cth</w:t>
              </w:r>
              <w:proofErr w:type="spellEnd"/>
              <w:r w:rsidR="00D07B70" w:rsidRPr="00D07B70">
                <w:rPr>
                  <w:rStyle w:val="Hyperlink"/>
                </w:rPr>
                <w:t>)</w:t>
              </w:r>
            </w:hyperlink>
          </w:p>
        </w:tc>
      </w:tr>
      <w:tr w:rsidR="00D07B70" w:rsidRPr="00121519" w14:paraId="7AE1E172" w14:textId="77777777" w:rsidTr="00DA1301">
        <w:tc>
          <w:tcPr>
            <w:tcW w:w="368" w:type="pct"/>
            <w:vAlign w:val="top"/>
          </w:tcPr>
          <w:p w14:paraId="5C4E0E30" w14:textId="77777777" w:rsidR="00D07B70" w:rsidRPr="00121519" w:rsidRDefault="00D07B70" w:rsidP="00804008">
            <w:pPr>
              <w:pStyle w:val="TablePlainParagraph"/>
              <w:numPr>
                <w:ilvl w:val="0"/>
                <w:numId w:val="54"/>
              </w:numPr>
              <w:rPr>
                <w:b/>
              </w:rPr>
            </w:pPr>
          </w:p>
        </w:tc>
        <w:tc>
          <w:tcPr>
            <w:tcW w:w="4632" w:type="pct"/>
            <w:vAlign w:val="top"/>
          </w:tcPr>
          <w:p w14:paraId="39833DAD" w14:textId="7D786C9E" w:rsidR="00D07B70" w:rsidRPr="00121519" w:rsidRDefault="0014727E" w:rsidP="00D07B70">
            <w:pPr>
              <w:pStyle w:val="TablePlainParagraph"/>
            </w:pPr>
            <w:hyperlink r:id="rId45" w:history="1">
              <w:r w:rsidR="00D07B70" w:rsidRPr="00F36835">
                <w:rPr>
                  <w:rStyle w:val="Hyperlink"/>
                </w:rPr>
                <w:t>Directive 2015/849 of the European Parliament of 20 May 2015</w:t>
              </w:r>
            </w:hyperlink>
          </w:p>
        </w:tc>
      </w:tr>
      <w:tr w:rsidR="00D07B70" w:rsidRPr="00121519" w14:paraId="1B44E384" w14:textId="77777777" w:rsidTr="00DA1301">
        <w:tc>
          <w:tcPr>
            <w:tcW w:w="368" w:type="pct"/>
            <w:vAlign w:val="top"/>
          </w:tcPr>
          <w:p w14:paraId="4692DD2E" w14:textId="77777777" w:rsidR="00D07B70" w:rsidRPr="00121519" w:rsidRDefault="00D07B70" w:rsidP="00804008">
            <w:pPr>
              <w:pStyle w:val="TablePlainParagraph"/>
              <w:numPr>
                <w:ilvl w:val="0"/>
                <w:numId w:val="54"/>
              </w:numPr>
              <w:rPr>
                <w:b/>
              </w:rPr>
            </w:pPr>
          </w:p>
        </w:tc>
        <w:tc>
          <w:tcPr>
            <w:tcW w:w="4632" w:type="pct"/>
            <w:vAlign w:val="top"/>
          </w:tcPr>
          <w:p w14:paraId="0B3C16D7" w14:textId="0FEBE5B5" w:rsidR="00D07B70" w:rsidRPr="00121519" w:rsidRDefault="0014727E" w:rsidP="00D07B70">
            <w:pPr>
              <w:pStyle w:val="TablePlainParagraph"/>
            </w:pPr>
            <w:hyperlink r:id="rId46" w:history="1">
              <w:r w:rsidR="00D07B70" w:rsidRPr="00C45566">
                <w:rPr>
                  <w:rStyle w:val="Hyperlink"/>
                  <w:i/>
                </w:rPr>
                <w:t xml:space="preserve">Economic Crime and Corporate Transparency Act 2023 </w:t>
              </w:r>
              <w:r w:rsidR="00D07B70" w:rsidRPr="00C45566">
                <w:rPr>
                  <w:rStyle w:val="Hyperlink"/>
                </w:rPr>
                <w:t>(UK)</w:t>
              </w:r>
            </w:hyperlink>
          </w:p>
        </w:tc>
      </w:tr>
      <w:tr w:rsidR="00D07B70" w:rsidRPr="00121519" w14:paraId="2BABD316" w14:textId="77777777" w:rsidTr="00DA1301">
        <w:tc>
          <w:tcPr>
            <w:tcW w:w="368" w:type="pct"/>
            <w:vAlign w:val="top"/>
          </w:tcPr>
          <w:p w14:paraId="3CD8F547" w14:textId="77777777" w:rsidR="00D07B70" w:rsidRPr="00121519" w:rsidRDefault="00D07B70" w:rsidP="00804008">
            <w:pPr>
              <w:pStyle w:val="TablePlainParagraph"/>
              <w:numPr>
                <w:ilvl w:val="0"/>
                <w:numId w:val="54"/>
              </w:numPr>
              <w:rPr>
                <w:b/>
              </w:rPr>
            </w:pPr>
          </w:p>
        </w:tc>
        <w:tc>
          <w:tcPr>
            <w:tcW w:w="4632" w:type="pct"/>
            <w:vAlign w:val="top"/>
          </w:tcPr>
          <w:p w14:paraId="6A4672B7" w14:textId="67D8116A" w:rsidR="00D07B70" w:rsidRDefault="00D07B70" w:rsidP="00D07B70">
            <w:pPr>
              <w:pStyle w:val="TablePlainParagraph"/>
            </w:pPr>
            <w:r>
              <w:t xml:space="preserve">FATF’s </w:t>
            </w:r>
            <w:hyperlink r:id="rId47" w:history="1">
              <w:r w:rsidRPr="00684F6D">
                <w:rPr>
                  <w:rStyle w:val="Hyperlink"/>
                  <w:i/>
                </w:rPr>
                <w:t>Guidance on Beneficial Ownership for Legal Persons</w:t>
              </w:r>
            </w:hyperlink>
            <w:r>
              <w:rPr>
                <w:i/>
              </w:rPr>
              <w:t xml:space="preserve"> </w:t>
            </w:r>
          </w:p>
        </w:tc>
      </w:tr>
      <w:tr w:rsidR="00D07B70" w:rsidRPr="00121519" w14:paraId="782F1B5B" w14:textId="77777777" w:rsidTr="00DA1301">
        <w:tc>
          <w:tcPr>
            <w:tcW w:w="368" w:type="pct"/>
            <w:vAlign w:val="top"/>
          </w:tcPr>
          <w:p w14:paraId="79CDCF73" w14:textId="77777777" w:rsidR="00D07B70" w:rsidRPr="00121519" w:rsidRDefault="00D07B70" w:rsidP="00804008">
            <w:pPr>
              <w:pStyle w:val="TablePlainParagraph"/>
              <w:numPr>
                <w:ilvl w:val="0"/>
                <w:numId w:val="54"/>
              </w:numPr>
              <w:rPr>
                <w:b/>
              </w:rPr>
            </w:pPr>
          </w:p>
        </w:tc>
        <w:tc>
          <w:tcPr>
            <w:tcW w:w="4632" w:type="pct"/>
            <w:vAlign w:val="top"/>
          </w:tcPr>
          <w:p w14:paraId="679C7486" w14:textId="67210658" w:rsidR="00D07B70" w:rsidRPr="00121519" w:rsidRDefault="00D07B70" w:rsidP="00D07B70">
            <w:pPr>
              <w:pStyle w:val="TablePlainParagraph"/>
            </w:pPr>
            <w:r>
              <w:t xml:space="preserve">FATF’s </w:t>
            </w:r>
            <w:hyperlink r:id="rId48" w:history="1">
              <w:r w:rsidRPr="001F5464">
                <w:rPr>
                  <w:rStyle w:val="Hyperlink"/>
                  <w:i/>
                </w:rPr>
                <w:t>International Standards on Combating Money Laundering and the Financing of Terrorism &amp; Proliferation</w:t>
              </w:r>
            </w:hyperlink>
          </w:p>
        </w:tc>
      </w:tr>
      <w:tr w:rsidR="00D07B70" w:rsidRPr="00121519" w14:paraId="7A5C781F" w14:textId="77777777" w:rsidTr="00DA1301">
        <w:tc>
          <w:tcPr>
            <w:tcW w:w="368" w:type="pct"/>
            <w:vAlign w:val="top"/>
          </w:tcPr>
          <w:p w14:paraId="42397ABA" w14:textId="77777777" w:rsidR="00D07B70" w:rsidRPr="00121519" w:rsidRDefault="00D07B70" w:rsidP="00804008">
            <w:pPr>
              <w:pStyle w:val="TablePlainParagraph"/>
              <w:numPr>
                <w:ilvl w:val="0"/>
                <w:numId w:val="54"/>
              </w:numPr>
              <w:rPr>
                <w:b/>
              </w:rPr>
            </w:pPr>
          </w:p>
        </w:tc>
        <w:tc>
          <w:tcPr>
            <w:tcW w:w="4632" w:type="pct"/>
            <w:vAlign w:val="top"/>
          </w:tcPr>
          <w:p w14:paraId="32261766" w14:textId="78FD3AF4" w:rsidR="00D07B70" w:rsidRPr="00121519" w:rsidRDefault="0014727E" w:rsidP="00D07B70">
            <w:pPr>
              <w:pStyle w:val="TablePlainParagraph"/>
            </w:pPr>
            <w:hyperlink r:id="rId49" w:history="1">
              <w:r w:rsidR="00D07B70" w:rsidRPr="00DA1301">
                <w:rPr>
                  <w:rStyle w:val="Hyperlink"/>
                </w:rPr>
                <w:t>FATF’s webpage on high-risk and other monitored jurisdictions</w:t>
              </w:r>
            </w:hyperlink>
          </w:p>
        </w:tc>
      </w:tr>
      <w:tr w:rsidR="00D07B70" w:rsidRPr="00121519" w14:paraId="7E245954" w14:textId="77777777" w:rsidTr="00DA1301">
        <w:tc>
          <w:tcPr>
            <w:tcW w:w="368" w:type="pct"/>
            <w:vAlign w:val="top"/>
          </w:tcPr>
          <w:p w14:paraId="487935D2" w14:textId="77777777" w:rsidR="00D07B70" w:rsidRPr="00121519" w:rsidRDefault="00D07B70" w:rsidP="00804008">
            <w:pPr>
              <w:pStyle w:val="TablePlainParagraph"/>
              <w:numPr>
                <w:ilvl w:val="0"/>
                <w:numId w:val="54"/>
              </w:numPr>
              <w:rPr>
                <w:b/>
              </w:rPr>
            </w:pPr>
          </w:p>
        </w:tc>
        <w:tc>
          <w:tcPr>
            <w:tcW w:w="4632" w:type="pct"/>
            <w:vAlign w:val="top"/>
          </w:tcPr>
          <w:p w14:paraId="6D129D2B" w14:textId="25CB8C71" w:rsidR="00D07B70" w:rsidRPr="00121519" w:rsidRDefault="0014727E" w:rsidP="00D07B70">
            <w:pPr>
              <w:pStyle w:val="TablePlainParagraph"/>
            </w:pPr>
            <w:hyperlink r:id="rId50" w:history="1">
              <w:r w:rsidR="00D07B70">
                <w:rPr>
                  <w:rStyle w:val="Hyperlink"/>
                </w:rPr>
                <w:t>Australian Government response to the Privacy Act Review Report</w:t>
              </w:r>
            </w:hyperlink>
            <w:r w:rsidR="00D07B70">
              <w:t xml:space="preserve"> published 16 February 2024</w:t>
            </w:r>
          </w:p>
        </w:tc>
      </w:tr>
      <w:tr w:rsidR="00D07B70" w:rsidRPr="00121519" w14:paraId="2A844EF5" w14:textId="77777777" w:rsidTr="00DA1301">
        <w:tc>
          <w:tcPr>
            <w:tcW w:w="368" w:type="pct"/>
            <w:vAlign w:val="top"/>
          </w:tcPr>
          <w:p w14:paraId="5383DC22" w14:textId="77777777" w:rsidR="00D07B70" w:rsidRPr="00121519" w:rsidRDefault="00D07B70" w:rsidP="00804008">
            <w:pPr>
              <w:pStyle w:val="TablePlainParagraph"/>
              <w:numPr>
                <w:ilvl w:val="0"/>
                <w:numId w:val="54"/>
              </w:numPr>
              <w:rPr>
                <w:b/>
              </w:rPr>
            </w:pPr>
          </w:p>
        </w:tc>
        <w:tc>
          <w:tcPr>
            <w:tcW w:w="4632" w:type="pct"/>
            <w:vAlign w:val="top"/>
          </w:tcPr>
          <w:p w14:paraId="04A0DE7F" w14:textId="0CD790D0" w:rsidR="00D07B70" w:rsidRPr="00121519" w:rsidRDefault="00D07B70" w:rsidP="00D07B70">
            <w:pPr>
              <w:pStyle w:val="TablePlainParagraph"/>
            </w:pPr>
            <w:r>
              <w:t>Innovation, Science and Economic Development Canada’s webpage, ‘</w:t>
            </w:r>
            <w:hyperlink r:id="rId51" w:history="1">
              <w:r w:rsidRPr="00CD0D3E">
                <w:rPr>
                  <w:rStyle w:val="Hyperlink"/>
                </w:rPr>
                <w:t>How to find information about individuals with significant control</w:t>
              </w:r>
            </w:hyperlink>
            <w:r>
              <w:t>’</w:t>
            </w:r>
          </w:p>
        </w:tc>
      </w:tr>
      <w:tr w:rsidR="00D07B70" w:rsidRPr="00121519" w14:paraId="3232C92E" w14:textId="77777777" w:rsidTr="00DA1301">
        <w:tc>
          <w:tcPr>
            <w:tcW w:w="368" w:type="pct"/>
            <w:vAlign w:val="top"/>
          </w:tcPr>
          <w:p w14:paraId="30D5D5E9" w14:textId="77777777" w:rsidR="00D07B70" w:rsidRPr="00121519" w:rsidRDefault="00D07B70" w:rsidP="00804008">
            <w:pPr>
              <w:pStyle w:val="TablePlainParagraph"/>
              <w:numPr>
                <w:ilvl w:val="0"/>
                <w:numId w:val="54"/>
              </w:numPr>
              <w:rPr>
                <w:b/>
              </w:rPr>
            </w:pPr>
          </w:p>
        </w:tc>
        <w:tc>
          <w:tcPr>
            <w:tcW w:w="4632" w:type="pct"/>
            <w:vAlign w:val="top"/>
          </w:tcPr>
          <w:p w14:paraId="167C1B5F" w14:textId="44DB3329" w:rsidR="00D07B70" w:rsidRPr="00121519" w:rsidRDefault="0014727E" w:rsidP="00D07B70">
            <w:pPr>
              <w:pStyle w:val="TablePlainParagraph"/>
            </w:pPr>
            <w:hyperlink r:id="rId52" w:history="1">
              <w:r w:rsidR="00D07B70">
                <w:rPr>
                  <w:rStyle w:val="Hyperlink"/>
                </w:rPr>
                <w:t>International Covenant on Civil and Political Rights</w:t>
              </w:r>
            </w:hyperlink>
          </w:p>
        </w:tc>
      </w:tr>
      <w:tr w:rsidR="00D07B70" w:rsidRPr="00121519" w14:paraId="7D723A1D" w14:textId="77777777" w:rsidTr="00DA1301">
        <w:tc>
          <w:tcPr>
            <w:tcW w:w="368" w:type="pct"/>
            <w:vAlign w:val="top"/>
          </w:tcPr>
          <w:p w14:paraId="615CAFFE" w14:textId="77777777" w:rsidR="00D07B70" w:rsidRPr="00121519" w:rsidRDefault="00D07B70" w:rsidP="00804008">
            <w:pPr>
              <w:pStyle w:val="TablePlainParagraph"/>
              <w:numPr>
                <w:ilvl w:val="0"/>
                <w:numId w:val="54"/>
              </w:numPr>
              <w:rPr>
                <w:b/>
              </w:rPr>
            </w:pPr>
          </w:p>
        </w:tc>
        <w:tc>
          <w:tcPr>
            <w:tcW w:w="4632" w:type="pct"/>
            <w:vAlign w:val="top"/>
          </w:tcPr>
          <w:p w14:paraId="3BD88BA6" w14:textId="28467D32" w:rsidR="00D07B70" w:rsidRPr="00121519" w:rsidRDefault="00D07B70" w:rsidP="00D07B70">
            <w:pPr>
              <w:pStyle w:val="TablePlainParagraph"/>
            </w:pPr>
            <w:r>
              <w:t>Report prepared by Norton Rose Fulbright, ‘</w:t>
            </w:r>
            <w:hyperlink r:id="rId53" w:history="1">
              <w:r w:rsidRPr="00974092">
                <w:rPr>
                  <w:rStyle w:val="Hyperlink"/>
                  <w:i/>
                </w:rPr>
                <w:t>Regulation Around the World: Beneficial Ownership Registers</w:t>
              </w:r>
            </w:hyperlink>
            <w:r>
              <w:rPr>
                <w:rStyle w:val="Hyperlink"/>
                <w:i/>
              </w:rPr>
              <w:t>’</w:t>
            </w:r>
          </w:p>
        </w:tc>
      </w:tr>
      <w:tr w:rsidR="00D07B70" w:rsidRPr="00121519" w14:paraId="066F33D5" w14:textId="77777777" w:rsidTr="00DA1301">
        <w:tc>
          <w:tcPr>
            <w:tcW w:w="368" w:type="pct"/>
            <w:vAlign w:val="top"/>
          </w:tcPr>
          <w:p w14:paraId="222C706F" w14:textId="77777777" w:rsidR="00D07B70" w:rsidRPr="00121519" w:rsidRDefault="00D07B70" w:rsidP="00804008">
            <w:pPr>
              <w:pStyle w:val="TablePlainParagraph"/>
              <w:numPr>
                <w:ilvl w:val="0"/>
                <w:numId w:val="54"/>
              </w:numPr>
              <w:rPr>
                <w:b/>
              </w:rPr>
            </w:pPr>
          </w:p>
        </w:tc>
        <w:tc>
          <w:tcPr>
            <w:tcW w:w="4632" w:type="pct"/>
            <w:vAlign w:val="top"/>
          </w:tcPr>
          <w:p w14:paraId="1DE21C95" w14:textId="77777777" w:rsidR="00D07B70" w:rsidRDefault="00D07B70" w:rsidP="00D07B70">
            <w:pPr>
              <w:pStyle w:val="TablePlainParagraph"/>
            </w:pPr>
            <w:r>
              <w:t>Second Reading Speech for Corporations Amendment (No 1) Bill 2010 (</w:t>
            </w:r>
            <w:proofErr w:type="spellStart"/>
            <w:r>
              <w:t>Cth</w:t>
            </w:r>
            <w:proofErr w:type="spellEnd"/>
            <w:r>
              <w:t>).</w:t>
            </w:r>
          </w:p>
        </w:tc>
      </w:tr>
      <w:tr w:rsidR="00D07B70" w:rsidRPr="00121519" w14:paraId="2D50463D" w14:textId="77777777" w:rsidTr="00DA1301">
        <w:tc>
          <w:tcPr>
            <w:tcW w:w="368" w:type="pct"/>
            <w:vAlign w:val="top"/>
          </w:tcPr>
          <w:p w14:paraId="73243297" w14:textId="77777777" w:rsidR="00D07B70" w:rsidRPr="00121519" w:rsidRDefault="00D07B70" w:rsidP="00804008">
            <w:pPr>
              <w:pStyle w:val="TablePlainParagraph"/>
              <w:numPr>
                <w:ilvl w:val="0"/>
                <w:numId w:val="54"/>
              </w:numPr>
              <w:rPr>
                <w:b/>
              </w:rPr>
            </w:pPr>
          </w:p>
        </w:tc>
        <w:tc>
          <w:tcPr>
            <w:tcW w:w="4632" w:type="pct"/>
            <w:vAlign w:val="top"/>
          </w:tcPr>
          <w:p w14:paraId="4EB5BE3F" w14:textId="333D9DB7" w:rsidR="00D07B70" w:rsidRPr="00121519" w:rsidRDefault="0014727E" w:rsidP="00D07B70">
            <w:pPr>
              <w:pStyle w:val="TablePlainParagraph"/>
            </w:pPr>
            <w:hyperlink r:id="rId54" w:history="1">
              <w:proofErr w:type="spellStart"/>
              <w:r w:rsidR="00D07B70">
                <w:rPr>
                  <w:rStyle w:val="Hyperlink"/>
                  <w:i/>
                  <w:iCs/>
                </w:rPr>
                <w:t>Sovim</w:t>
              </w:r>
              <w:proofErr w:type="spellEnd"/>
              <w:r w:rsidR="00D07B70">
                <w:rPr>
                  <w:rStyle w:val="Hyperlink"/>
                  <w:i/>
                  <w:iCs/>
                </w:rPr>
                <w:t xml:space="preserve"> SA v. Luxembourg Business Registers, C-601/20 and WM v. Luxembourg Business Registers, C-37/20</w:t>
              </w:r>
            </w:hyperlink>
          </w:p>
        </w:tc>
      </w:tr>
      <w:tr w:rsidR="00D07B70" w:rsidRPr="00121519" w14:paraId="6B6242EB" w14:textId="77777777" w:rsidTr="00DA1301">
        <w:tc>
          <w:tcPr>
            <w:tcW w:w="368" w:type="pct"/>
            <w:vAlign w:val="top"/>
          </w:tcPr>
          <w:p w14:paraId="7BA35358" w14:textId="77777777" w:rsidR="00D07B70" w:rsidRPr="00121519" w:rsidRDefault="00D07B70" w:rsidP="00804008">
            <w:pPr>
              <w:pStyle w:val="TablePlainParagraph"/>
              <w:numPr>
                <w:ilvl w:val="0"/>
                <w:numId w:val="54"/>
              </w:numPr>
              <w:rPr>
                <w:b/>
              </w:rPr>
            </w:pPr>
          </w:p>
        </w:tc>
        <w:tc>
          <w:tcPr>
            <w:tcW w:w="4632" w:type="pct"/>
            <w:vAlign w:val="top"/>
          </w:tcPr>
          <w:p w14:paraId="43C15838" w14:textId="5DD831F2" w:rsidR="00D07B70" w:rsidRPr="00121519" w:rsidRDefault="00D07B70" w:rsidP="00D07B70">
            <w:pPr>
              <w:pStyle w:val="TablePlainParagraph"/>
            </w:pPr>
            <w:r>
              <w:t>The French Trade Registry’s webpage, ‘</w:t>
            </w:r>
            <w:hyperlink r:id="rId55" w:history="1">
              <w:r w:rsidRPr="00735A3F">
                <w:rPr>
                  <w:rStyle w:val="Hyperlink"/>
                </w:rPr>
                <w:t>French Register of Beneficiaries: A Legal Framework for Transparency and Compliance</w:t>
              </w:r>
            </w:hyperlink>
            <w:r>
              <w:t>’</w:t>
            </w:r>
          </w:p>
        </w:tc>
      </w:tr>
      <w:tr w:rsidR="00D07B70" w:rsidRPr="00121519" w14:paraId="36D744FD" w14:textId="77777777" w:rsidTr="00DA1301">
        <w:tc>
          <w:tcPr>
            <w:tcW w:w="368" w:type="pct"/>
            <w:vAlign w:val="top"/>
          </w:tcPr>
          <w:p w14:paraId="33AE24C3" w14:textId="77777777" w:rsidR="00D07B70" w:rsidRPr="00121519" w:rsidRDefault="00D07B70" w:rsidP="00804008">
            <w:pPr>
              <w:pStyle w:val="TablePlainParagraph"/>
              <w:numPr>
                <w:ilvl w:val="0"/>
                <w:numId w:val="54"/>
              </w:numPr>
              <w:rPr>
                <w:b/>
              </w:rPr>
            </w:pPr>
          </w:p>
        </w:tc>
        <w:tc>
          <w:tcPr>
            <w:tcW w:w="4632" w:type="pct"/>
            <w:vAlign w:val="top"/>
          </w:tcPr>
          <w:p w14:paraId="3AC51C31" w14:textId="77777777" w:rsidR="00D07B70" w:rsidRPr="004C3A31" w:rsidRDefault="00D07B70">
            <w:pPr>
              <w:pStyle w:val="TablePlainParagraph"/>
            </w:pPr>
            <w:r>
              <w:t xml:space="preserve">The OAIC’s </w:t>
            </w:r>
            <w:r>
              <w:rPr>
                <w:rStyle w:val="Hyperlink"/>
                <w:i/>
              </w:rPr>
              <w:t>Data breach preparation and response – a guide to managing data breaches in accordance with the Privacy Act 1988</w:t>
            </w:r>
          </w:p>
        </w:tc>
      </w:tr>
      <w:tr w:rsidR="00D07B70" w:rsidRPr="00121519" w14:paraId="4AA31D18" w14:textId="77777777" w:rsidTr="00DA1301">
        <w:tc>
          <w:tcPr>
            <w:tcW w:w="368" w:type="pct"/>
            <w:vAlign w:val="top"/>
          </w:tcPr>
          <w:p w14:paraId="7B7E78CB" w14:textId="77777777" w:rsidR="00D07B70" w:rsidRPr="00121519" w:rsidRDefault="00D07B70" w:rsidP="00804008">
            <w:pPr>
              <w:pStyle w:val="TablePlainParagraph"/>
              <w:numPr>
                <w:ilvl w:val="0"/>
                <w:numId w:val="54"/>
              </w:numPr>
              <w:rPr>
                <w:b/>
              </w:rPr>
            </w:pPr>
          </w:p>
        </w:tc>
        <w:tc>
          <w:tcPr>
            <w:tcW w:w="4632" w:type="pct"/>
            <w:vAlign w:val="top"/>
          </w:tcPr>
          <w:p w14:paraId="3DED109D" w14:textId="4A010128" w:rsidR="00D07B70" w:rsidRPr="00121519" w:rsidRDefault="00D07B70" w:rsidP="00D07B70">
            <w:pPr>
              <w:pStyle w:val="TablePlainParagraph"/>
            </w:pPr>
            <w:r w:rsidRPr="004C3A31">
              <w:t xml:space="preserve">The OAIC’s </w:t>
            </w:r>
            <w:hyperlink r:id="rId56" w:history="1">
              <w:r w:rsidRPr="001F1D36">
                <w:rPr>
                  <w:rStyle w:val="Hyperlink"/>
                  <w:i/>
                </w:rPr>
                <w:t>Guide to securing personal information</w:t>
              </w:r>
            </w:hyperlink>
            <w:r w:rsidRPr="001F1D36">
              <w:rPr>
                <w:i/>
              </w:rPr>
              <w:t>, June 2018</w:t>
            </w:r>
          </w:p>
        </w:tc>
      </w:tr>
      <w:tr w:rsidR="00D07B70" w:rsidRPr="00121519" w14:paraId="2B797A85" w14:textId="77777777" w:rsidTr="00DA1301">
        <w:tc>
          <w:tcPr>
            <w:tcW w:w="368" w:type="pct"/>
            <w:vAlign w:val="top"/>
          </w:tcPr>
          <w:p w14:paraId="6E9FF530" w14:textId="77777777" w:rsidR="00D07B70" w:rsidRPr="00121519" w:rsidRDefault="00D07B70" w:rsidP="00804008">
            <w:pPr>
              <w:pStyle w:val="TablePlainParagraph"/>
              <w:numPr>
                <w:ilvl w:val="0"/>
                <w:numId w:val="54"/>
              </w:numPr>
              <w:rPr>
                <w:b/>
              </w:rPr>
            </w:pPr>
          </w:p>
        </w:tc>
        <w:tc>
          <w:tcPr>
            <w:tcW w:w="4632" w:type="pct"/>
            <w:vAlign w:val="top"/>
          </w:tcPr>
          <w:p w14:paraId="098E199E" w14:textId="2396391E" w:rsidR="00D07B70" w:rsidRPr="00121519" w:rsidRDefault="00D07B70" w:rsidP="00D07B70">
            <w:pPr>
              <w:pStyle w:val="TablePlainParagraph"/>
            </w:pPr>
            <w:r>
              <w:t>The Singaporean Accounting and Corporate Regulatory Authority’s webpage, ‘</w:t>
            </w:r>
            <w:hyperlink r:id="rId57" w:history="1">
              <w:r w:rsidRPr="00CD0D3E">
                <w:rPr>
                  <w:rStyle w:val="Hyperlink"/>
                </w:rPr>
                <w:t>Register of Registrable Controllers (RORC) Frequently Asked Questions’</w:t>
              </w:r>
            </w:hyperlink>
          </w:p>
        </w:tc>
      </w:tr>
      <w:tr w:rsidR="00D07B70" w:rsidRPr="00121519" w14:paraId="07BEF5A0" w14:textId="77777777" w:rsidTr="00DA1301">
        <w:tc>
          <w:tcPr>
            <w:tcW w:w="368" w:type="pct"/>
            <w:vAlign w:val="top"/>
          </w:tcPr>
          <w:p w14:paraId="6E5E1C07" w14:textId="77777777" w:rsidR="00D07B70" w:rsidRPr="00121519" w:rsidRDefault="00D07B70" w:rsidP="00804008">
            <w:pPr>
              <w:pStyle w:val="TablePlainParagraph"/>
              <w:numPr>
                <w:ilvl w:val="0"/>
                <w:numId w:val="54"/>
              </w:numPr>
              <w:rPr>
                <w:b/>
              </w:rPr>
            </w:pPr>
          </w:p>
        </w:tc>
        <w:tc>
          <w:tcPr>
            <w:tcW w:w="4632" w:type="pct"/>
            <w:vAlign w:val="top"/>
          </w:tcPr>
          <w:p w14:paraId="2B661EF9" w14:textId="551A08B7" w:rsidR="00D07B70" w:rsidRPr="00121519" w:rsidRDefault="00D07B70" w:rsidP="00D07B70">
            <w:pPr>
              <w:pStyle w:val="TablePlainParagraph"/>
            </w:pPr>
            <w:r>
              <w:t xml:space="preserve">UK Department for Business, Energy &amp; Industrial Strategy’s </w:t>
            </w:r>
            <w:hyperlink r:id="rId58" w:history="1">
              <w:r w:rsidRPr="00903D51">
                <w:rPr>
                  <w:rStyle w:val="Hyperlink"/>
                </w:rPr>
                <w:t>‘Review of the implementation of the PSC Register’</w:t>
              </w:r>
            </w:hyperlink>
          </w:p>
        </w:tc>
      </w:tr>
      <w:tr w:rsidR="00D07B70" w:rsidRPr="00121519" w14:paraId="2A2864E7" w14:textId="77777777" w:rsidTr="00DA1301">
        <w:tc>
          <w:tcPr>
            <w:tcW w:w="368" w:type="pct"/>
            <w:vAlign w:val="top"/>
          </w:tcPr>
          <w:p w14:paraId="43E1B352" w14:textId="77777777" w:rsidR="00D07B70" w:rsidRPr="00121519" w:rsidRDefault="00D07B70" w:rsidP="00804008">
            <w:pPr>
              <w:pStyle w:val="TablePlainParagraph"/>
              <w:numPr>
                <w:ilvl w:val="0"/>
                <w:numId w:val="54"/>
              </w:numPr>
              <w:rPr>
                <w:b/>
              </w:rPr>
            </w:pPr>
          </w:p>
        </w:tc>
        <w:tc>
          <w:tcPr>
            <w:tcW w:w="4632" w:type="pct"/>
            <w:vAlign w:val="top"/>
          </w:tcPr>
          <w:p w14:paraId="44A93378" w14:textId="62CD45FF" w:rsidR="00D07B70" w:rsidRPr="00121519" w:rsidRDefault="00D07B70" w:rsidP="00D07B70">
            <w:pPr>
              <w:pStyle w:val="TablePlainParagraph"/>
            </w:pPr>
            <w:r>
              <w:t xml:space="preserve">UN Human Rights Committee, </w:t>
            </w:r>
            <w:hyperlink r:id="rId59" w:history="1">
              <w:r w:rsidRPr="005B605E">
                <w:rPr>
                  <w:rStyle w:val="Hyperlink"/>
                </w:rPr>
                <w:t>General Comment No. 16</w:t>
              </w:r>
            </w:hyperlink>
          </w:p>
        </w:tc>
      </w:tr>
    </w:tbl>
    <w:p w14:paraId="2897E056" w14:textId="77777777" w:rsidR="003F53F1" w:rsidRDefault="003F53F1" w:rsidP="00BA1717">
      <w:pPr>
        <w:pStyle w:val="Heading4"/>
        <w:spacing w:after="120"/>
      </w:pPr>
      <w:r>
        <w:t>Material prepared by the Office of the Australian Information Commissioner:</w:t>
      </w:r>
    </w:p>
    <w:p w14:paraId="6585FE35" w14:textId="77777777" w:rsidR="003F53F1" w:rsidRDefault="003F53F1" w:rsidP="00183BA2">
      <w:pPr>
        <w:pStyle w:val="Dot1"/>
        <w:spacing w:after="100"/>
      </w:pPr>
      <w:r>
        <w:t xml:space="preserve">APP Guidelines (as </w:t>
      </w:r>
      <w:proofErr w:type="gramStart"/>
      <w:r>
        <w:t>at</w:t>
      </w:r>
      <w:proofErr w:type="gramEnd"/>
      <w:r>
        <w:t xml:space="preserve"> March 2018)</w:t>
      </w:r>
    </w:p>
    <w:p w14:paraId="31F27869" w14:textId="77777777" w:rsidR="003F53F1" w:rsidRPr="007C5C74" w:rsidRDefault="003F53F1" w:rsidP="00183BA2">
      <w:pPr>
        <w:pStyle w:val="Dot1"/>
        <w:spacing w:after="100"/>
      </w:pPr>
      <w:r>
        <w:t>Guide to undertaking privacy impact assessments</w:t>
      </w:r>
      <w:r w:rsidRPr="007C5C74">
        <w:t xml:space="preserve"> (Reviewed </w:t>
      </w:r>
      <w:r>
        <w:t>May 2020)</w:t>
      </w:r>
    </w:p>
    <w:p w14:paraId="3E022179" w14:textId="77777777" w:rsidR="003F53F1" w:rsidRPr="00D05060" w:rsidRDefault="003F53F1" w:rsidP="00183BA2">
      <w:pPr>
        <w:pStyle w:val="Dot1"/>
        <w:spacing w:after="100"/>
      </w:pPr>
      <w:r>
        <w:t xml:space="preserve">Guide to securing </w:t>
      </w:r>
      <w:r w:rsidRPr="00D05060">
        <w:t>personal information – ‘reasonable steps’ to protect personal information (</w:t>
      </w:r>
      <w:r>
        <w:t>June 2018</w:t>
      </w:r>
      <w:r w:rsidRPr="00D05060">
        <w:t>)</w:t>
      </w:r>
    </w:p>
    <w:p w14:paraId="72CAE3D0" w14:textId="77777777" w:rsidR="003F53F1" w:rsidRDefault="003F53F1" w:rsidP="00183BA2">
      <w:pPr>
        <w:pStyle w:val="Dot1"/>
        <w:spacing w:after="100"/>
      </w:pPr>
      <w:r w:rsidRPr="00D05060">
        <w:t xml:space="preserve">Data breach notification </w:t>
      </w:r>
      <w:r>
        <w:t>preparation and response – A guide to managing data breaches in accordance with the Privacy Act (February 2018)</w:t>
      </w:r>
    </w:p>
    <w:p w14:paraId="6C929FFD" w14:textId="3FA4C413" w:rsidR="003F53F1" w:rsidRPr="001C4C75" w:rsidRDefault="003F53F1" w:rsidP="00183BA2">
      <w:pPr>
        <w:pStyle w:val="Dot1"/>
        <w:spacing w:after="100"/>
        <w:sectPr w:rsidR="003F53F1" w:rsidRPr="001C4C75" w:rsidSect="003F53CD">
          <w:headerReference w:type="even" r:id="rId60"/>
          <w:headerReference w:type="default" r:id="rId61"/>
          <w:footerReference w:type="even" r:id="rId62"/>
          <w:footerReference w:type="default" r:id="rId63"/>
          <w:headerReference w:type="first" r:id="rId64"/>
          <w:footerReference w:type="first" r:id="rId65"/>
          <w:pgSz w:w="11906" w:h="16838"/>
          <w:pgMar w:top="1134" w:right="1418" w:bottom="1701" w:left="2268" w:header="709" w:footer="709" w:gutter="0"/>
          <w:cols w:space="708"/>
          <w:titlePg/>
          <w:docGrid w:linePitch="360"/>
        </w:sectPr>
      </w:pPr>
      <w:r>
        <w:t>Sending personal information overseas (June 2020)</w:t>
      </w:r>
    </w:p>
    <w:p w14:paraId="5010AFCF" w14:textId="77777777" w:rsidR="003F53F1" w:rsidRDefault="003F53F1" w:rsidP="00F4781D">
      <w:pPr>
        <w:pStyle w:val="Heading1"/>
        <w:spacing w:before="120"/>
      </w:pPr>
      <w:bookmarkStart w:id="174" w:name="_Appendix_4_–"/>
      <w:bookmarkStart w:id="175" w:name="_Toc55921138"/>
      <w:bookmarkStart w:id="176" w:name="_Toc56086871"/>
      <w:bookmarkStart w:id="177" w:name="_Toc129255990"/>
      <w:bookmarkStart w:id="178" w:name="_Toc132359651"/>
      <w:bookmarkStart w:id="179" w:name="_Toc160444104"/>
      <w:bookmarkStart w:id="180" w:name="_Toc168942773"/>
      <w:bookmarkEnd w:id="174"/>
      <w:r>
        <w:t>Appendix 3 – Glossary</w:t>
      </w:r>
      <w:bookmarkEnd w:id="175"/>
      <w:bookmarkEnd w:id="176"/>
      <w:bookmarkEnd w:id="177"/>
      <w:bookmarkEnd w:id="178"/>
      <w:bookmarkEnd w:id="179"/>
      <w:bookmarkEnd w:id="180"/>
    </w:p>
    <w:tbl>
      <w:tblPr>
        <w:tblStyle w:val="TableGrid"/>
        <w:tblW w:w="8364" w:type="dxa"/>
        <w:tblBorders>
          <w:top w:val="none" w:sz="0" w:space="0" w:color="auto"/>
          <w:left w:val="none" w:sz="0" w:space="0" w:color="auto"/>
          <w:bottom w:val="none" w:sz="0" w:space="0" w:color="auto"/>
          <w:right w:val="none" w:sz="0" w:space="0" w:color="auto"/>
          <w:insideH w:val="single" w:sz="12" w:space="0" w:color="204558"/>
          <w:insideV w:val="single" w:sz="12" w:space="0" w:color="204558"/>
        </w:tblBorders>
        <w:tblLook w:val="04A0" w:firstRow="1" w:lastRow="0" w:firstColumn="1" w:lastColumn="0" w:noHBand="0" w:noVBand="1"/>
      </w:tblPr>
      <w:tblGrid>
        <w:gridCol w:w="2410"/>
        <w:gridCol w:w="5954"/>
      </w:tblGrid>
      <w:tr w:rsidR="00F4781D" w:rsidRPr="00084140" w14:paraId="5DA7F65B" w14:textId="77777777" w:rsidTr="00EE0A3E">
        <w:tc>
          <w:tcPr>
            <w:tcW w:w="2410" w:type="dxa"/>
            <w:shd w:val="clear" w:color="auto" w:fill="C4DDEA"/>
          </w:tcPr>
          <w:p w14:paraId="2B357EA1" w14:textId="5E22933A" w:rsidR="00F4781D" w:rsidRPr="00084140" w:rsidRDefault="00F4781D" w:rsidP="00F4781D">
            <w:pPr>
              <w:pStyle w:val="TableHeading2"/>
              <w:spacing w:before="40" w:after="40"/>
            </w:pPr>
            <w:r>
              <w:t>Term</w:t>
            </w:r>
          </w:p>
        </w:tc>
        <w:tc>
          <w:tcPr>
            <w:tcW w:w="5954" w:type="dxa"/>
            <w:shd w:val="clear" w:color="auto" w:fill="C4DDEA"/>
          </w:tcPr>
          <w:p w14:paraId="3E47A594" w14:textId="430E3397" w:rsidR="00F4781D" w:rsidRPr="00084140" w:rsidRDefault="00F4781D" w:rsidP="00F4781D">
            <w:pPr>
              <w:pStyle w:val="TableHeading2"/>
              <w:spacing w:before="40" w:after="40"/>
            </w:pPr>
            <w:r>
              <w:t>Definition</w:t>
            </w:r>
          </w:p>
        </w:tc>
      </w:tr>
      <w:tr w:rsidR="00F4781D" w14:paraId="2D7DC88C" w14:textId="77777777" w:rsidTr="00F079D5">
        <w:tc>
          <w:tcPr>
            <w:tcW w:w="2410" w:type="dxa"/>
            <w:vAlign w:val="top"/>
          </w:tcPr>
          <w:p w14:paraId="0FA2E7DD" w14:textId="12DDFF99" w:rsidR="00F4781D" w:rsidRDefault="00F4781D" w:rsidP="00F4781D">
            <w:pPr>
              <w:pStyle w:val="TablePlainParagraph"/>
              <w:spacing w:before="40" w:after="40"/>
              <w:rPr>
                <w:b/>
              </w:rPr>
            </w:pPr>
            <w:r w:rsidRPr="007072C4">
              <w:rPr>
                <w:b/>
              </w:rPr>
              <w:t>AAT</w:t>
            </w:r>
          </w:p>
        </w:tc>
        <w:tc>
          <w:tcPr>
            <w:tcW w:w="5954" w:type="dxa"/>
          </w:tcPr>
          <w:p w14:paraId="77A5C4DA" w14:textId="69A35EF4" w:rsidR="00F4781D" w:rsidRPr="001D1C13" w:rsidRDefault="00F4781D" w:rsidP="00F4781D">
            <w:pPr>
              <w:pStyle w:val="TablePlainParagraph"/>
              <w:spacing w:before="40" w:after="40"/>
            </w:pPr>
            <w:r>
              <w:t>Administrative Appeals Tribunal</w:t>
            </w:r>
          </w:p>
        </w:tc>
      </w:tr>
      <w:tr w:rsidR="00F4781D" w14:paraId="67DD8E87" w14:textId="77777777" w:rsidTr="00F079D5">
        <w:tc>
          <w:tcPr>
            <w:tcW w:w="2410" w:type="dxa"/>
            <w:vAlign w:val="top"/>
          </w:tcPr>
          <w:p w14:paraId="4D836552" w14:textId="3B7EB6B2" w:rsidR="00F4781D" w:rsidRDefault="00F4781D" w:rsidP="00F4781D">
            <w:pPr>
              <w:pStyle w:val="TablePlainParagraph"/>
              <w:spacing w:before="40" w:after="40"/>
            </w:pPr>
            <w:r w:rsidRPr="007072C4">
              <w:rPr>
                <w:b/>
              </w:rPr>
              <w:t>AEC</w:t>
            </w:r>
          </w:p>
        </w:tc>
        <w:tc>
          <w:tcPr>
            <w:tcW w:w="5954" w:type="dxa"/>
          </w:tcPr>
          <w:p w14:paraId="44D2D90D" w14:textId="07338E67" w:rsidR="00F4781D" w:rsidRDefault="00F4781D" w:rsidP="00F4781D">
            <w:pPr>
              <w:pStyle w:val="TablePlainParagraph"/>
              <w:spacing w:before="40" w:after="40"/>
            </w:pPr>
            <w:r>
              <w:t>Australian Electoral Commission</w:t>
            </w:r>
          </w:p>
        </w:tc>
      </w:tr>
      <w:tr w:rsidR="00F4781D" w14:paraId="27B24FE9" w14:textId="77777777" w:rsidTr="00EE0A3E">
        <w:tc>
          <w:tcPr>
            <w:tcW w:w="2410" w:type="dxa"/>
            <w:vAlign w:val="top"/>
          </w:tcPr>
          <w:p w14:paraId="39B1C3D5" w14:textId="5FEAC0AF" w:rsidR="00F4781D" w:rsidRDefault="00F4781D" w:rsidP="00F4781D">
            <w:pPr>
              <w:pStyle w:val="TablePlainParagraph"/>
              <w:spacing w:before="40" w:after="40"/>
              <w:rPr>
                <w:b/>
              </w:rPr>
            </w:pPr>
            <w:r w:rsidRPr="001B4AC7">
              <w:rPr>
                <w:b/>
              </w:rPr>
              <w:t>AML/CTF Act</w:t>
            </w:r>
          </w:p>
        </w:tc>
        <w:tc>
          <w:tcPr>
            <w:tcW w:w="5954" w:type="dxa"/>
            <w:vAlign w:val="top"/>
          </w:tcPr>
          <w:p w14:paraId="73B2A6B4" w14:textId="4BEEED6A" w:rsidR="00F4781D" w:rsidRPr="001D1C13" w:rsidRDefault="00F4781D" w:rsidP="00F4781D">
            <w:pPr>
              <w:pStyle w:val="TablePlainParagraph"/>
              <w:spacing w:before="40" w:after="40"/>
            </w:pPr>
            <w:r w:rsidRPr="001B4AC7">
              <w:rPr>
                <w:i/>
                <w:lang w:eastAsia="en-US"/>
              </w:rPr>
              <w:t>Anti-Money Laundering and Counter-Terrorism Financing Act 2006</w:t>
            </w:r>
            <w:r>
              <w:rPr>
                <w:i/>
                <w:lang w:eastAsia="en-US"/>
              </w:rPr>
              <w:t xml:space="preserve"> </w:t>
            </w:r>
            <w:r>
              <w:rPr>
                <w:lang w:eastAsia="en-US"/>
              </w:rPr>
              <w:t>(</w:t>
            </w:r>
            <w:proofErr w:type="spellStart"/>
            <w:r>
              <w:rPr>
                <w:lang w:eastAsia="en-US"/>
              </w:rPr>
              <w:t>Cth</w:t>
            </w:r>
            <w:proofErr w:type="spellEnd"/>
            <w:r>
              <w:rPr>
                <w:lang w:eastAsia="en-US"/>
              </w:rPr>
              <w:t>)</w:t>
            </w:r>
          </w:p>
        </w:tc>
      </w:tr>
      <w:tr w:rsidR="00F4781D" w14:paraId="5182FC02" w14:textId="77777777" w:rsidTr="00F079D5">
        <w:tc>
          <w:tcPr>
            <w:tcW w:w="2410" w:type="dxa"/>
            <w:vAlign w:val="top"/>
          </w:tcPr>
          <w:p w14:paraId="7EB075AF" w14:textId="2816CE4E" w:rsidR="00F4781D" w:rsidRDefault="00F4781D" w:rsidP="00F4781D">
            <w:pPr>
              <w:pStyle w:val="TablePlainParagraph"/>
              <w:spacing w:before="40" w:after="40"/>
            </w:pPr>
            <w:r w:rsidRPr="007072C4">
              <w:rPr>
                <w:b/>
              </w:rPr>
              <w:t>AML/CTF Rules</w:t>
            </w:r>
          </w:p>
        </w:tc>
        <w:tc>
          <w:tcPr>
            <w:tcW w:w="5954" w:type="dxa"/>
          </w:tcPr>
          <w:p w14:paraId="529FA4D2" w14:textId="0DF5552A" w:rsidR="00F4781D" w:rsidRDefault="00F4781D" w:rsidP="00F4781D">
            <w:pPr>
              <w:pStyle w:val="TablePlainParagraph"/>
              <w:spacing w:before="40" w:after="40"/>
            </w:pPr>
            <w:r w:rsidRPr="001525CB">
              <w:rPr>
                <w:i/>
              </w:rPr>
              <w:t>Anti-Money Laundering and Counter-Terrorism Financing Rules Instrument 2007 (No. 1)</w:t>
            </w:r>
          </w:p>
        </w:tc>
      </w:tr>
      <w:tr w:rsidR="00F4781D" w14:paraId="2DC3FD74" w14:textId="77777777" w:rsidTr="00EE0A3E">
        <w:tc>
          <w:tcPr>
            <w:tcW w:w="2410" w:type="dxa"/>
            <w:vAlign w:val="top"/>
          </w:tcPr>
          <w:p w14:paraId="290AABE6" w14:textId="17D0E308" w:rsidR="00F4781D" w:rsidRPr="004C3A31" w:rsidRDefault="00F4781D" w:rsidP="00F4781D">
            <w:pPr>
              <w:pStyle w:val="TablePlainParagraph"/>
              <w:spacing w:before="40" w:after="40"/>
              <w:rPr>
                <w:b/>
              </w:rPr>
            </w:pPr>
            <w:r w:rsidRPr="007072C4">
              <w:rPr>
                <w:b/>
              </w:rPr>
              <w:t>APP</w:t>
            </w:r>
          </w:p>
        </w:tc>
        <w:tc>
          <w:tcPr>
            <w:tcW w:w="5954" w:type="dxa"/>
            <w:vAlign w:val="top"/>
          </w:tcPr>
          <w:p w14:paraId="197161DC" w14:textId="43A27B47" w:rsidR="00F4781D" w:rsidRPr="00AD0E3F" w:rsidRDefault="00F4781D" w:rsidP="00F4781D">
            <w:pPr>
              <w:pStyle w:val="TablePlainParagraph"/>
              <w:spacing w:before="40" w:after="40"/>
            </w:pPr>
            <w:r>
              <w:t>Australian Privacy Principle</w:t>
            </w:r>
          </w:p>
        </w:tc>
      </w:tr>
      <w:tr w:rsidR="00F4781D" w14:paraId="3B667E92" w14:textId="77777777" w:rsidTr="00EE0A3E">
        <w:tc>
          <w:tcPr>
            <w:tcW w:w="2410" w:type="dxa"/>
            <w:vAlign w:val="top"/>
          </w:tcPr>
          <w:p w14:paraId="52DF1E63" w14:textId="4B6036AC" w:rsidR="00F4781D" w:rsidRPr="004C3A31" w:rsidRDefault="00F4781D" w:rsidP="00F4781D">
            <w:pPr>
              <w:pStyle w:val="TablePlainParagraph"/>
              <w:spacing w:before="40" w:after="40"/>
              <w:rPr>
                <w:b/>
              </w:rPr>
            </w:pPr>
            <w:r w:rsidRPr="007072C4">
              <w:rPr>
                <w:rFonts w:eastAsiaTheme="minorHAnsi"/>
                <w:b/>
              </w:rPr>
              <w:t>ASIC</w:t>
            </w:r>
          </w:p>
        </w:tc>
        <w:tc>
          <w:tcPr>
            <w:tcW w:w="5954" w:type="dxa"/>
            <w:vAlign w:val="top"/>
          </w:tcPr>
          <w:p w14:paraId="549D8E3C" w14:textId="451E4332" w:rsidR="00F4781D" w:rsidRPr="004C3A31" w:rsidRDefault="00F4781D" w:rsidP="00F4781D">
            <w:pPr>
              <w:pStyle w:val="TablePlainParagraph"/>
              <w:spacing w:before="40" w:after="40"/>
            </w:pPr>
            <w:r>
              <w:t>Australian Securities &amp; Investments Commission</w:t>
            </w:r>
          </w:p>
        </w:tc>
      </w:tr>
      <w:tr w:rsidR="00F4781D" w14:paraId="6F8C859B" w14:textId="77777777" w:rsidTr="00EE0A3E">
        <w:tc>
          <w:tcPr>
            <w:tcW w:w="2410" w:type="dxa"/>
            <w:vAlign w:val="top"/>
          </w:tcPr>
          <w:p w14:paraId="66127AA8" w14:textId="35049F6B" w:rsidR="00F4781D" w:rsidRDefault="00F4781D" w:rsidP="00F4781D">
            <w:pPr>
              <w:pStyle w:val="TablePlainParagraph"/>
              <w:spacing w:before="40" w:after="40"/>
              <w:rPr>
                <w:b/>
              </w:rPr>
            </w:pPr>
            <w:r w:rsidRPr="007072C4">
              <w:rPr>
                <w:b/>
              </w:rPr>
              <w:t>BO Policy</w:t>
            </w:r>
          </w:p>
        </w:tc>
        <w:tc>
          <w:tcPr>
            <w:tcW w:w="5954" w:type="dxa"/>
            <w:vAlign w:val="top"/>
          </w:tcPr>
          <w:p w14:paraId="6DF87424" w14:textId="0D64A5F0" w:rsidR="00F4781D" w:rsidRPr="004C3A31" w:rsidRDefault="00F4781D" w:rsidP="00F4781D">
            <w:pPr>
              <w:pStyle w:val="TablePlainParagraph"/>
              <w:spacing w:before="40" w:after="40"/>
            </w:pPr>
            <w:r>
              <w:t>Beneficial Ownership Policy</w:t>
            </w:r>
          </w:p>
        </w:tc>
      </w:tr>
      <w:tr w:rsidR="00F4781D" w14:paraId="107883CD" w14:textId="77777777" w:rsidTr="00EE0A3E">
        <w:tc>
          <w:tcPr>
            <w:tcW w:w="2410" w:type="dxa"/>
            <w:vAlign w:val="top"/>
          </w:tcPr>
          <w:p w14:paraId="7CEE8750" w14:textId="693EA866" w:rsidR="00F4781D" w:rsidRDefault="00F4781D" w:rsidP="00F4781D">
            <w:pPr>
              <w:pStyle w:val="TablePlainParagraph"/>
              <w:spacing w:before="40" w:after="40"/>
              <w:rPr>
                <w:b/>
              </w:rPr>
            </w:pPr>
            <w:r w:rsidRPr="007072C4">
              <w:rPr>
                <w:b/>
              </w:rPr>
              <w:t>BOI</w:t>
            </w:r>
          </w:p>
        </w:tc>
        <w:tc>
          <w:tcPr>
            <w:tcW w:w="5954" w:type="dxa"/>
            <w:vAlign w:val="top"/>
          </w:tcPr>
          <w:p w14:paraId="65C9F994" w14:textId="23CF4472" w:rsidR="00F4781D" w:rsidRPr="004C3A31" w:rsidRDefault="00F4781D" w:rsidP="00F4781D">
            <w:pPr>
              <w:pStyle w:val="TablePlainParagraph"/>
              <w:spacing w:before="40" w:after="40"/>
            </w:pPr>
            <w:r>
              <w:t>Beneficial Ownership Information</w:t>
            </w:r>
          </w:p>
        </w:tc>
      </w:tr>
      <w:tr w:rsidR="00F4781D" w14:paraId="7E3FD62A" w14:textId="77777777" w:rsidTr="00EE0A3E">
        <w:tc>
          <w:tcPr>
            <w:tcW w:w="2410" w:type="dxa"/>
            <w:vAlign w:val="top"/>
          </w:tcPr>
          <w:p w14:paraId="7A650B90" w14:textId="618198C3" w:rsidR="00F4781D" w:rsidRDefault="00F4781D" w:rsidP="00F4781D">
            <w:pPr>
              <w:pStyle w:val="TablePlainParagraph"/>
              <w:spacing w:before="40" w:after="40"/>
              <w:rPr>
                <w:b/>
              </w:rPr>
            </w:pPr>
            <w:r w:rsidRPr="007072C4">
              <w:rPr>
                <w:b/>
              </w:rPr>
              <w:t>BOR</w:t>
            </w:r>
          </w:p>
        </w:tc>
        <w:tc>
          <w:tcPr>
            <w:tcW w:w="5954" w:type="dxa"/>
            <w:vAlign w:val="top"/>
          </w:tcPr>
          <w:p w14:paraId="11798714" w14:textId="43CE5864" w:rsidR="00F4781D" w:rsidRPr="004C3A31" w:rsidRDefault="00F4781D" w:rsidP="00F4781D">
            <w:pPr>
              <w:pStyle w:val="TablePlainParagraph"/>
              <w:spacing w:before="40" w:after="40"/>
            </w:pPr>
            <w:r>
              <w:t>Beneficial Ownership Register</w:t>
            </w:r>
          </w:p>
        </w:tc>
      </w:tr>
      <w:tr w:rsidR="00F4781D" w14:paraId="1870827E" w14:textId="77777777" w:rsidTr="00EE0A3E">
        <w:tc>
          <w:tcPr>
            <w:tcW w:w="2410" w:type="dxa"/>
            <w:vAlign w:val="top"/>
          </w:tcPr>
          <w:p w14:paraId="72080988" w14:textId="5E21CF37" w:rsidR="00F4781D" w:rsidRPr="009E65FA" w:rsidRDefault="00F4781D" w:rsidP="00F4781D">
            <w:pPr>
              <w:pStyle w:val="TablePlainParagraph"/>
              <w:spacing w:before="40" w:after="40"/>
              <w:rPr>
                <w:b/>
              </w:rPr>
            </w:pPr>
            <w:r w:rsidRPr="007072C4">
              <w:rPr>
                <w:b/>
              </w:rPr>
              <w:t>CBCA</w:t>
            </w:r>
          </w:p>
        </w:tc>
        <w:tc>
          <w:tcPr>
            <w:tcW w:w="5954" w:type="dxa"/>
            <w:vAlign w:val="top"/>
          </w:tcPr>
          <w:p w14:paraId="3962A569" w14:textId="5217577B" w:rsidR="00F4781D" w:rsidRPr="00F319F3" w:rsidRDefault="00F4781D" w:rsidP="00F4781D">
            <w:pPr>
              <w:pStyle w:val="TablePlainParagraph"/>
              <w:spacing w:before="40" w:after="40"/>
            </w:pPr>
            <w:r w:rsidRPr="006070C2">
              <w:t>Canada Business Corporations Act</w:t>
            </w:r>
          </w:p>
        </w:tc>
      </w:tr>
      <w:tr w:rsidR="00F4781D" w14:paraId="05A5F25C" w14:textId="77777777" w:rsidTr="00F079D5">
        <w:tc>
          <w:tcPr>
            <w:tcW w:w="2410" w:type="dxa"/>
            <w:vAlign w:val="top"/>
          </w:tcPr>
          <w:p w14:paraId="2F4ACAFB" w14:textId="6483F61A" w:rsidR="00F4781D" w:rsidRDefault="00F4781D" w:rsidP="00F4781D">
            <w:pPr>
              <w:pStyle w:val="TablePlainParagraph"/>
              <w:spacing w:before="40" w:after="40"/>
              <w:rPr>
                <w:b/>
              </w:rPr>
            </w:pPr>
            <w:r w:rsidRPr="007072C4">
              <w:rPr>
                <w:b/>
              </w:rPr>
              <w:t>CBLG</w:t>
            </w:r>
          </w:p>
        </w:tc>
        <w:tc>
          <w:tcPr>
            <w:tcW w:w="5954" w:type="dxa"/>
          </w:tcPr>
          <w:p w14:paraId="6359C34B" w14:textId="35853D48" w:rsidR="00F4781D" w:rsidRPr="00F319F3" w:rsidRDefault="00F4781D" w:rsidP="00F4781D">
            <w:pPr>
              <w:pStyle w:val="TablePlainParagraph"/>
              <w:spacing w:before="40" w:after="40"/>
            </w:pPr>
            <w:r>
              <w:t>Companies limited by guarantee</w:t>
            </w:r>
          </w:p>
        </w:tc>
      </w:tr>
      <w:tr w:rsidR="00F4781D" w14:paraId="148BED97" w14:textId="77777777" w:rsidTr="00EE0A3E">
        <w:tc>
          <w:tcPr>
            <w:tcW w:w="2410" w:type="dxa"/>
            <w:vAlign w:val="top"/>
          </w:tcPr>
          <w:p w14:paraId="4A4F6C4B" w14:textId="538CB3F8" w:rsidR="00F4781D" w:rsidRDefault="00F4781D" w:rsidP="00F4781D">
            <w:pPr>
              <w:pStyle w:val="TablePlainParagraph"/>
              <w:spacing w:before="40" w:after="40"/>
              <w:rPr>
                <w:b/>
              </w:rPr>
            </w:pPr>
            <w:r w:rsidRPr="007072C4">
              <w:rPr>
                <w:b/>
              </w:rPr>
              <w:t>CCIV</w:t>
            </w:r>
          </w:p>
        </w:tc>
        <w:tc>
          <w:tcPr>
            <w:tcW w:w="5954" w:type="dxa"/>
            <w:vAlign w:val="top"/>
          </w:tcPr>
          <w:p w14:paraId="63FA4DEA" w14:textId="57E10F81" w:rsidR="00F4781D" w:rsidRPr="00DC533C" w:rsidRDefault="00F4781D" w:rsidP="00F4781D">
            <w:pPr>
              <w:pStyle w:val="TablePlainParagraph"/>
              <w:spacing w:before="40" w:after="40"/>
            </w:pPr>
            <w:r w:rsidRPr="006111F5">
              <w:t>Corporate Collective Investment Vehicle</w:t>
            </w:r>
          </w:p>
        </w:tc>
      </w:tr>
      <w:tr w:rsidR="00F4781D" w14:paraId="2B85F133" w14:textId="77777777" w:rsidTr="00EE0A3E">
        <w:tc>
          <w:tcPr>
            <w:tcW w:w="2410" w:type="dxa"/>
            <w:vAlign w:val="top"/>
          </w:tcPr>
          <w:p w14:paraId="57267CB1" w14:textId="701C9C9B" w:rsidR="00F4781D" w:rsidRPr="00F319F3" w:rsidRDefault="00F4781D" w:rsidP="00F4781D">
            <w:pPr>
              <w:pStyle w:val="TablePlainParagraph"/>
              <w:spacing w:before="40" w:after="40"/>
              <w:rPr>
                <w:b/>
              </w:rPr>
            </w:pPr>
            <w:r w:rsidRPr="007072C4">
              <w:rPr>
                <w:b/>
              </w:rPr>
              <w:t>Charter</w:t>
            </w:r>
          </w:p>
        </w:tc>
        <w:tc>
          <w:tcPr>
            <w:tcW w:w="5954" w:type="dxa"/>
            <w:vAlign w:val="top"/>
          </w:tcPr>
          <w:p w14:paraId="7A8A6D09" w14:textId="14B0D0DC" w:rsidR="00F4781D" w:rsidRPr="009E65FA" w:rsidRDefault="00F4781D" w:rsidP="00F4781D">
            <w:pPr>
              <w:pStyle w:val="TablePlainParagraph"/>
              <w:spacing w:before="40" w:after="40"/>
              <w:rPr>
                <w:b/>
              </w:rPr>
            </w:pPr>
            <w:r w:rsidRPr="00F928A1">
              <w:rPr>
                <w:i/>
              </w:rPr>
              <w:t>Charter of Fundamental Rights of the European Union</w:t>
            </w:r>
          </w:p>
        </w:tc>
      </w:tr>
      <w:tr w:rsidR="00F4781D" w14:paraId="7F70004B" w14:textId="77777777" w:rsidTr="00F079D5">
        <w:tc>
          <w:tcPr>
            <w:tcW w:w="2410" w:type="dxa"/>
            <w:vAlign w:val="top"/>
          </w:tcPr>
          <w:p w14:paraId="4C82FFFA" w14:textId="5E4946C9" w:rsidR="00F4781D" w:rsidRPr="00F319F3" w:rsidRDefault="00F4781D" w:rsidP="00F4781D">
            <w:pPr>
              <w:pStyle w:val="TablePlainParagraph"/>
              <w:spacing w:before="40" w:after="40"/>
              <w:rPr>
                <w:rFonts w:eastAsiaTheme="minorHAnsi"/>
                <w:b/>
              </w:rPr>
            </w:pPr>
            <w:r w:rsidRPr="007072C4">
              <w:rPr>
                <w:b/>
              </w:rPr>
              <w:t>Companies Register</w:t>
            </w:r>
          </w:p>
        </w:tc>
        <w:tc>
          <w:tcPr>
            <w:tcW w:w="5954" w:type="dxa"/>
          </w:tcPr>
          <w:p w14:paraId="58A2FA7A" w14:textId="3C2D7612" w:rsidR="00F4781D" w:rsidRDefault="00F4781D" w:rsidP="00F4781D">
            <w:pPr>
              <w:pStyle w:val="TablePlainParagraph"/>
              <w:spacing w:before="40" w:after="40"/>
              <w:rPr>
                <w:rFonts w:eastAsiaTheme="minorHAnsi"/>
              </w:rPr>
            </w:pPr>
            <w:r>
              <w:t>The register of companies maintained by ASIC</w:t>
            </w:r>
          </w:p>
        </w:tc>
      </w:tr>
      <w:tr w:rsidR="00F4781D" w14:paraId="0A32C941" w14:textId="77777777" w:rsidTr="00EE0A3E">
        <w:tc>
          <w:tcPr>
            <w:tcW w:w="2410" w:type="dxa"/>
            <w:vAlign w:val="top"/>
          </w:tcPr>
          <w:p w14:paraId="06C8459F" w14:textId="37175D57" w:rsidR="00F4781D" w:rsidRDefault="00F4781D" w:rsidP="00F4781D">
            <w:pPr>
              <w:pStyle w:val="TablePlainParagraph"/>
              <w:spacing w:before="40" w:after="40"/>
              <w:rPr>
                <w:b/>
              </w:rPr>
            </w:pPr>
            <w:r w:rsidRPr="007072C4">
              <w:rPr>
                <w:b/>
              </w:rPr>
              <w:t>Corporations Act</w:t>
            </w:r>
          </w:p>
        </w:tc>
        <w:tc>
          <w:tcPr>
            <w:tcW w:w="5954" w:type="dxa"/>
            <w:vAlign w:val="top"/>
          </w:tcPr>
          <w:p w14:paraId="4C23885A" w14:textId="1664B36A" w:rsidR="00F4781D" w:rsidRPr="00F319F3" w:rsidRDefault="00F4781D" w:rsidP="00F4781D">
            <w:pPr>
              <w:pStyle w:val="TablePlainParagraph"/>
              <w:spacing w:before="40" w:after="40"/>
            </w:pPr>
            <w:r>
              <w:rPr>
                <w:i/>
              </w:rPr>
              <w:t xml:space="preserve">Corporations Act 2001 </w:t>
            </w:r>
            <w:r>
              <w:t>(</w:t>
            </w:r>
            <w:proofErr w:type="spellStart"/>
            <w:r>
              <w:t>Cth</w:t>
            </w:r>
            <w:proofErr w:type="spellEnd"/>
            <w:r>
              <w:t>)</w:t>
            </w:r>
          </w:p>
        </w:tc>
      </w:tr>
      <w:tr w:rsidR="00F4781D" w14:paraId="7C91C945" w14:textId="77777777" w:rsidTr="00F079D5">
        <w:tc>
          <w:tcPr>
            <w:tcW w:w="2410" w:type="dxa"/>
            <w:vAlign w:val="top"/>
          </w:tcPr>
          <w:p w14:paraId="595F6CF2" w14:textId="3043B70F" w:rsidR="00F4781D" w:rsidRPr="004C3A31" w:rsidRDefault="00F4781D" w:rsidP="00F4781D">
            <w:pPr>
              <w:pStyle w:val="TablePlainParagraph"/>
              <w:spacing w:before="40" w:after="40"/>
              <w:rPr>
                <w:b/>
              </w:rPr>
            </w:pPr>
            <w:r w:rsidRPr="007072C4">
              <w:rPr>
                <w:b/>
              </w:rPr>
              <w:t>CTA</w:t>
            </w:r>
          </w:p>
        </w:tc>
        <w:tc>
          <w:tcPr>
            <w:tcW w:w="5954" w:type="dxa"/>
            <w:vAlign w:val="top"/>
          </w:tcPr>
          <w:p w14:paraId="3CE371CE" w14:textId="30D29437" w:rsidR="00F4781D" w:rsidRPr="004C3A31" w:rsidRDefault="00F4781D" w:rsidP="00F4781D">
            <w:pPr>
              <w:pStyle w:val="TablePlainParagraph"/>
              <w:spacing w:before="40" w:after="40"/>
            </w:pPr>
            <w:r w:rsidRPr="009B00A0">
              <w:rPr>
                <w:i/>
              </w:rPr>
              <w:t xml:space="preserve">Corporate Transparency Act 2001 </w:t>
            </w:r>
            <w:r w:rsidRPr="009B00A0">
              <w:t>(US)</w:t>
            </w:r>
          </w:p>
        </w:tc>
      </w:tr>
      <w:tr w:rsidR="00F4781D" w14:paraId="4F610987" w14:textId="77777777" w:rsidTr="00F079D5">
        <w:tc>
          <w:tcPr>
            <w:tcW w:w="2410" w:type="dxa"/>
            <w:vAlign w:val="top"/>
          </w:tcPr>
          <w:p w14:paraId="7FE3494F" w14:textId="198CCCB0" w:rsidR="00F4781D" w:rsidRDefault="00F4781D" w:rsidP="00F4781D">
            <w:pPr>
              <w:pStyle w:val="TablePlainParagraph"/>
              <w:spacing w:before="40" w:after="40"/>
              <w:rPr>
                <w:b/>
              </w:rPr>
            </w:pPr>
            <w:r w:rsidRPr="007072C4">
              <w:rPr>
                <w:b/>
              </w:rPr>
              <w:t>Directive</w:t>
            </w:r>
          </w:p>
        </w:tc>
        <w:tc>
          <w:tcPr>
            <w:tcW w:w="5954" w:type="dxa"/>
            <w:vAlign w:val="top"/>
          </w:tcPr>
          <w:p w14:paraId="4D80559B" w14:textId="49953316" w:rsidR="00F4781D" w:rsidRPr="004C3A31" w:rsidRDefault="00F4781D" w:rsidP="00F4781D">
            <w:pPr>
              <w:pStyle w:val="TablePlainParagraph"/>
              <w:spacing w:before="40" w:after="40"/>
            </w:pPr>
            <w:r w:rsidRPr="00DA622C">
              <w:t>Directive 2015/849 of the European Parliament of 20 May 2015</w:t>
            </w:r>
          </w:p>
        </w:tc>
      </w:tr>
      <w:tr w:rsidR="00F4781D" w14:paraId="79FEEC7E" w14:textId="77777777" w:rsidTr="00F079D5">
        <w:tc>
          <w:tcPr>
            <w:tcW w:w="2410" w:type="dxa"/>
            <w:vAlign w:val="top"/>
          </w:tcPr>
          <w:p w14:paraId="58B7614C" w14:textId="7BD5A0D7" w:rsidR="00F4781D" w:rsidRDefault="00F4781D" w:rsidP="00F4781D">
            <w:pPr>
              <w:pStyle w:val="TablePlainParagraph"/>
              <w:spacing w:before="40" w:after="40"/>
              <w:rPr>
                <w:b/>
              </w:rPr>
            </w:pPr>
            <w:r w:rsidRPr="007072C4">
              <w:rPr>
                <w:b/>
              </w:rPr>
              <w:t>director ID</w:t>
            </w:r>
          </w:p>
        </w:tc>
        <w:tc>
          <w:tcPr>
            <w:tcW w:w="5954" w:type="dxa"/>
            <w:vAlign w:val="top"/>
          </w:tcPr>
          <w:p w14:paraId="0E1C97F9" w14:textId="4D884DBE" w:rsidR="00F4781D" w:rsidRPr="004C3A31" w:rsidRDefault="00F4781D" w:rsidP="00F4781D">
            <w:pPr>
              <w:pStyle w:val="TablePlainParagraph"/>
              <w:spacing w:before="40" w:after="40"/>
            </w:pPr>
            <w:r>
              <w:t>D</w:t>
            </w:r>
            <w:r w:rsidRPr="001525CB">
              <w:t xml:space="preserve">irector </w:t>
            </w:r>
            <w:r>
              <w:t>I</w:t>
            </w:r>
            <w:r w:rsidRPr="001525CB">
              <w:t xml:space="preserve">dentification </w:t>
            </w:r>
            <w:r>
              <w:t>N</w:t>
            </w:r>
            <w:r w:rsidRPr="001525CB">
              <w:t>umber</w:t>
            </w:r>
          </w:p>
        </w:tc>
      </w:tr>
      <w:tr w:rsidR="00F4781D" w14:paraId="1E46E2D8" w14:textId="77777777" w:rsidTr="00EE0A3E">
        <w:tc>
          <w:tcPr>
            <w:tcW w:w="2410" w:type="dxa"/>
            <w:vAlign w:val="top"/>
          </w:tcPr>
          <w:p w14:paraId="43C39117" w14:textId="011B52C3" w:rsidR="00F4781D" w:rsidRDefault="00F4781D" w:rsidP="00F4781D">
            <w:pPr>
              <w:pStyle w:val="TablePlainParagraph"/>
              <w:spacing w:before="40" w:after="40"/>
              <w:rPr>
                <w:b/>
              </w:rPr>
            </w:pPr>
            <w:r w:rsidRPr="007072C4">
              <w:rPr>
                <w:b/>
              </w:rPr>
              <w:t>DRBP</w:t>
            </w:r>
          </w:p>
        </w:tc>
        <w:tc>
          <w:tcPr>
            <w:tcW w:w="5954" w:type="dxa"/>
          </w:tcPr>
          <w:p w14:paraId="40A1E7D0" w14:textId="1042A310" w:rsidR="00F4781D" w:rsidRPr="004C3A31" w:rsidRDefault="00F4781D" w:rsidP="00F4781D">
            <w:pPr>
              <w:pStyle w:val="TablePlainParagraph"/>
              <w:spacing w:before="40" w:after="40"/>
            </w:pPr>
            <w:r>
              <w:t>Data breach response plan</w:t>
            </w:r>
          </w:p>
        </w:tc>
      </w:tr>
      <w:tr w:rsidR="00F4781D" w14:paraId="7D50B0E8" w14:textId="77777777" w:rsidTr="00F079D5">
        <w:tc>
          <w:tcPr>
            <w:tcW w:w="2410" w:type="dxa"/>
            <w:vAlign w:val="top"/>
          </w:tcPr>
          <w:p w14:paraId="20792880" w14:textId="67765455" w:rsidR="00F4781D" w:rsidRDefault="00F4781D" w:rsidP="00F4781D">
            <w:pPr>
              <w:pStyle w:val="TablePlainParagraph"/>
              <w:spacing w:before="40" w:after="40"/>
              <w:rPr>
                <w:b/>
              </w:rPr>
            </w:pPr>
            <w:r w:rsidRPr="007072C4">
              <w:rPr>
                <w:b/>
              </w:rPr>
              <w:t>ECJ</w:t>
            </w:r>
          </w:p>
        </w:tc>
        <w:tc>
          <w:tcPr>
            <w:tcW w:w="5954" w:type="dxa"/>
            <w:vAlign w:val="top"/>
          </w:tcPr>
          <w:p w14:paraId="63137A88" w14:textId="418E3D13" w:rsidR="00F4781D" w:rsidRDefault="00F4781D" w:rsidP="00F4781D">
            <w:pPr>
              <w:pStyle w:val="TablePlainParagraph"/>
              <w:spacing w:before="40" w:after="40"/>
            </w:pPr>
            <w:r>
              <w:t>European Court of Justice</w:t>
            </w:r>
          </w:p>
        </w:tc>
      </w:tr>
      <w:tr w:rsidR="00F4781D" w14:paraId="37F11617" w14:textId="77777777" w:rsidTr="00F079D5">
        <w:tc>
          <w:tcPr>
            <w:tcW w:w="2410" w:type="dxa"/>
            <w:vAlign w:val="top"/>
          </w:tcPr>
          <w:p w14:paraId="1B9FBE01" w14:textId="08C9CB30" w:rsidR="00F4781D" w:rsidRDefault="00F4781D" w:rsidP="00F4781D">
            <w:pPr>
              <w:pStyle w:val="TablePlainParagraph"/>
              <w:spacing w:before="40" w:after="40"/>
              <w:rPr>
                <w:b/>
              </w:rPr>
            </w:pPr>
            <w:r w:rsidRPr="007072C4">
              <w:rPr>
                <w:b/>
              </w:rPr>
              <w:t>ECJ decision</w:t>
            </w:r>
          </w:p>
        </w:tc>
        <w:tc>
          <w:tcPr>
            <w:tcW w:w="5954" w:type="dxa"/>
            <w:vAlign w:val="top"/>
          </w:tcPr>
          <w:p w14:paraId="5A48DA71" w14:textId="40849647" w:rsidR="00F4781D" w:rsidRPr="004C3A31" w:rsidRDefault="00F4781D" w:rsidP="00F4781D">
            <w:pPr>
              <w:pStyle w:val="TablePlainParagraph"/>
              <w:spacing w:before="40" w:after="40"/>
            </w:pPr>
            <w:r>
              <w:t>The ECJ’s decision in the Luxembourg Cases</w:t>
            </w:r>
          </w:p>
        </w:tc>
      </w:tr>
      <w:tr w:rsidR="00F4781D" w14:paraId="5905FBA8" w14:textId="77777777" w:rsidTr="00F079D5">
        <w:tc>
          <w:tcPr>
            <w:tcW w:w="2410" w:type="dxa"/>
            <w:vAlign w:val="top"/>
          </w:tcPr>
          <w:p w14:paraId="36E93F8E" w14:textId="3985F138" w:rsidR="00F4781D" w:rsidRDefault="00F4781D" w:rsidP="00F4781D">
            <w:pPr>
              <w:pStyle w:val="TablePlainParagraph"/>
              <w:spacing w:before="40" w:after="40"/>
            </w:pPr>
            <w:r w:rsidRPr="007072C4">
              <w:rPr>
                <w:b/>
              </w:rPr>
              <w:t>EU</w:t>
            </w:r>
          </w:p>
        </w:tc>
        <w:tc>
          <w:tcPr>
            <w:tcW w:w="5954" w:type="dxa"/>
            <w:vAlign w:val="top"/>
          </w:tcPr>
          <w:p w14:paraId="2D380434" w14:textId="6283B97F" w:rsidR="00F4781D" w:rsidRDefault="00F4781D" w:rsidP="00F4781D">
            <w:pPr>
              <w:pStyle w:val="TablePlainParagraph"/>
              <w:spacing w:before="40" w:after="40"/>
            </w:pPr>
            <w:r>
              <w:t>European Union</w:t>
            </w:r>
          </w:p>
        </w:tc>
      </w:tr>
      <w:tr w:rsidR="00F4781D" w14:paraId="7D154093" w14:textId="77777777" w:rsidTr="00F079D5">
        <w:tc>
          <w:tcPr>
            <w:tcW w:w="2410" w:type="dxa"/>
            <w:vAlign w:val="top"/>
          </w:tcPr>
          <w:p w14:paraId="559441C8" w14:textId="72703A44" w:rsidR="00F4781D" w:rsidRDefault="00F4781D" w:rsidP="00F4781D">
            <w:pPr>
              <w:pStyle w:val="TablePlainParagraph"/>
              <w:spacing w:before="40" w:after="40"/>
            </w:pPr>
            <w:r w:rsidRPr="007072C4">
              <w:rPr>
                <w:b/>
              </w:rPr>
              <w:t>FinCEN</w:t>
            </w:r>
          </w:p>
        </w:tc>
        <w:tc>
          <w:tcPr>
            <w:tcW w:w="5954" w:type="dxa"/>
            <w:vAlign w:val="top"/>
          </w:tcPr>
          <w:p w14:paraId="33AC891F" w14:textId="56782994" w:rsidR="00F4781D" w:rsidRDefault="00F4781D" w:rsidP="00F4781D">
            <w:pPr>
              <w:pStyle w:val="TablePlainParagraph"/>
              <w:spacing w:before="40" w:after="40"/>
            </w:pPr>
            <w:r w:rsidRPr="001808D4">
              <w:t>Financial Crimes Enforcement Network</w:t>
            </w:r>
          </w:p>
        </w:tc>
      </w:tr>
      <w:tr w:rsidR="00F4781D" w14:paraId="233A0673" w14:textId="77777777" w:rsidTr="00F079D5">
        <w:tc>
          <w:tcPr>
            <w:tcW w:w="2410" w:type="dxa"/>
            <w:vAlign w:val="top"/>
          </w:tcPr>
          <w:p w14:paraId="335B5132" w14:textId="5ADFFBBD" w:rsidR="00F4781D" w:rsidRDefault="00F4781D" w:rsidP="00F4781D">
            <w:pPr>
              <w:pStyle w:val="TablePlainParagraph"/>
              <w:spacing w:before="40" w:after="40"/>
            </w:pPr>
            <w:r w:rsidRPr="007072C4">
              <w:rPr>
                <w:b/>
              </w:rPr>
              <w:t>GDPR</w:t>
            </w:r>
          </w:p>
        </w:tc>
        <w:tc>
          <w:tcPr>
            <w:tcW w:w="5954" w:type="dxa"/>
            <w:vAlign w:val="top"/>
          </w:tcPr>
          <w:p w14:paraId="5146C680" w14:textId="5DC96DDB" w:rsidR="00F4781D" w:rsidRDefault="00F4781D" w:rsidP="00F4781D">
            <w:pPr>
              <w:pStyle w:val="TablePlainParagraph"/>
              <w:spacing w:before="40" w:after="40"/>
            </w:pPr>
            <w:r>
              <w:t>General Data Protection Regulation</w:t>
            </w:r>
          </w:p>
        </w:tc>
      </w:tr>
      <w:tr w:rsidR="00F4781D" w14:paraId="318F5EE5" w14:textId="77777777" w:rsidTr="00EE0A3E">
        <w:tc>
          <w:tcPr>
            <w:tcW w:w="2410" w:type="dxa"/>
            <w:vAlign w:val="top"/>
          </w:tcPr>
          <w:p w14:paraId="04163D7A" w14:textId="13884F7D" w:rsidR="00F4781D" w:rsidRDefault="00F4781D" w:rsidP="00F4781D">
            <w:pPr>
              <w:pStyle w:val="TablePlainParagraph"/>
              <w:spacing w:before="40" w:after="40"/>
            </w:pPr>
            <w:r w:rsidRPr="007072C4">
              <w:rPr>
                <w:b/>
              </w:rPr>
              <w:t>ICCPR</w:t>
            </w:r>
          </w:p>
        </w:tc>
        <w:tc>
          <w:tcPr>
            <w:tcW w:w="5954" w:type="dxa"/>
          </w:tcPr>
          <w:p w14:paraId="644120AC" w14:textId="6F5E3B95" w:rsidR="00F4781D" w:rsidRDefault="00F4781D" w:rsidP="00F4781D">
            <w:pPr>
              <w:pStyle w:val="TablePlainParagraph"/>
              <w:spacing w:before="40" w:after="40"/>
            </w:pPr>
            <w:r w:rsidRPr="00495597">
              <w:rPr>
                <w:i/>
              </w:rPr>
              <w:t>International Covenant on Civil and Political Rights</w:t>
            </w:r>
          </w:p>
        </w:tc>
      </w:tr>
      <w:tr w:rsidR="00F4781D" w14:paraId="624327F3" w14:textId="77777777" w:rsidTr="00EE0A3E">
        <w:tc>
          <w:tcPr>
            <w:tcW w:w="2410" w:type="dxa"/>
            <w:vAlign w:val="top"/>
          </w:tcPr>
          <w:p w14:paraId="64384D0F" w14:textId="0D20C6C8" w:rsidR="00F4781D" w:rsidRDefault="00F4781D" w:rsidP="00F4781D">
            <w:pPr>
              <w:pStyle w:val="TablePlainParagraph"/>
              <w:spacing w:before="40" w:after="40"/>
            </w:pPr>
            <w:r w:rsidRPr="007072C4">
              <w:rPr>
                <w:b/>
              </w:rPr>
              <w:t>Initial collection notice</w:t>
            </w:r>
          </w:p>
        </w:tc>
        <w:tc>
          <w:tcPr>
            <w:tcW w:w="5954" w:type="dxa"/>
            <w:vAlign w:val="top"/>
          </w:tcPr>
          <w:p w14:paraId="5EF1186E" w14:textId="3D769FAD" w:rsidR="00F4781D" w:rsidRDefault="00F4781D" w:rsidP="00F4781D">
            <w:pPr>
              <w:pStyle w:val="TablePlainParagraph"/>
              <w:spacing w:before="40" w:after="40"/>
            </w:pPr>
            <w:r>
              <w:t>Collection notice provided by in-scope companies to beneficial owners, prior to providing their BOI</w:t>
            </w:r>
          </w:p>
        </w:tc>
      </w:tr>
      <w:tr w:rsidR="00F4781D" w14:paraId="1F44FF5F" w14:textId="77777777" w:rsidTr="00F079D5">
        <w:tc>
          <w:tcPr>
            <w:tcW w:w="2410" w:type="dxa"/>
            <w:vAlign w:val="top"/>
          </w:tcPr>
          <w:p w14:paraId="45607602" w14:textId="0AD89275" w:rsidR="00F4781D" w:rsidRPr="004C3A31" w:rsidRDefault="00F4781D" w:rsidP="00F4781D">
            <w:pPr>
              <w:pStyle w:val="TablePlainParagraph"/>
              <w:spacing w:before="40" w:after="40"/>
              <w:rPr>
                <w:b/>
              </w:rPr>
            </w:pPr>
            <w:r w:rsidRPr="007072C4">
              <w:rPr>
                <w:b/>
              </w:rPr>
              <w:t>International Standard</w:t>
            </w:r>
          </w:p>
        </w:tc>
        <w:tc>
          <w:tcPr>
            <w:tcW w:w="5954" w:type="dxa"/>
          </w:tcPr>
          <w:p w14:paraId="209C17AD" w14:textId="3177477B" w:rsidR="00F4781D" w:rsidRPr="004C3A31" w:rsidRDefault="00F4781D" w:rsidP="00F4781D">
            <w:pPr>
              <w:pStyle w:val="TablePlainParagraph"/>
              <w:spacing w:before="40" w:after="40"/>
            </w:pPr>
            <w:r>
              <w:t xml:space="preserve">FATF’s </w:t>
            </w:r>
            <w:r w:rsidRPr="001525CB">
              <w:rPr>
                <w:i/>
                <w:u w:color="0000FF"/>
              </w:rPr>
              <w:t>International Standards on Combating Money Laundering and the Financing of Terrorism &amp; Proliferation</w:t>
            </w:r>
          </w:p>
        </w:tc>
      </w:tr>
      <w:tr w:rsidR="00F4781D" w14:paraId="1260E72C" w14:textId="77777777" w:rsidTr="00F079D5">
        <w:tc>
          <w:tcPr>
            <w:tcW w:w="2410" w:type="dxa"/>
            <w:vAlign w:val="top"/>
          </w:tcPr>
          <w:p w14:paraId="3505A9D7" w14:textId="47FDFD45" w:rsidR="00F4781D" w:rsidRPr="004C3A31" w:rsidRDefault="00F4781D" w:rsidP="00F4781D">
            <w:pPr>
              <w:pStyle w:val="TablePlainParagraph"/>
              <w:spacing w:before="40" w:after="40"/>
              <w:rPr>
                <w:b/>
              </w:rPr>
            </w:pPr>
            <w:r w:rsidRPr="007072C4">
              <w:rPr>
                <w:b/>
              </w:rPr>
              <w:t>ISC</w:t>
            </w:r>
          </w:p>
        </w:tc>
        <w:tc>
          <w:tcPr>
            <w:tcW w:w="5954" w:type="dxa"/>
            <w:vAlign w:val="top"/>
          </w:tcPr>
          <w:p w14:paraId="35517E23" w14:textId="75EA13C2" w:rsidR="00F4781D" w:rsidRPr="004C3A31" w:rsidRDefault="00F4781D" w:rsidP="00F4781D">
            <w:pPr>
              <w:pStyle w:val="TablePlainParagraph"/>
              <w:spacing w:before="40" w:after="40"/>
            </w:pPr>
            <w:r>
              <w:t>Individuals with Significant Control</w:t>
            </w:r>
          </w:p>
        </w:tc>
      </w:tr>
      <w:tr w:rsidR="00F4781D" w14:paraId="72428BB0" w14:textId="77777777" w:rsidTr="00F079D5">
        <w:tc>
          <w:tcPr>
            <w:tcW w:w="2410" w:type="dxa"/>
            <w:vAlign w:val="top"/>
          </w:tcPr>
          <w:p w14:paraId="2A915063" w14:textId="3004F58F" w:rsidR="00F4781D" w:rsidRPr="00F319F3" w:rsidRDefault="00F4781D" w:rsidP="00F4781D">
            <w:pPr>
              <w:pStyle w:val="TablePlainParagraph"/>
              <w:spacing w:before="40" w:after="40"/>
              <w:rPr>
                <w:b/>
              </w:rPr>
            </w:pPr>
            <w:r w:rsidRPr="007072C4">
              <w:rPr>
                <w:b/>
              </w:rPr>
              <w:t>KYC</w:t>
            </w:r>
          </w:p>
        </w:tc>
        <w:tc>
          <w:tcPr>
            <w:tcW w:w="5954" w:type="dxa"/>
          </w:tcPr>
          <w:p w14:paraId="23C5B1CB" w14:textId="494D40FF" w:rsidR="00F4781D" w:rsidRPr="004C3A31" w:rsidRDefault="00F4781D" w:rsidP="00F4781D">
            <w:pPr>
              <w:pStyle w:val="TablePlainParagraph"/>
              <w:spacing w:before="40" w:after="40"/>
            </w:pPr>
            <w:r>
              <w:t>Know Your Customer</w:t>
            </w:r>
          </w:p>
        </w:tc>
      </w:tr>
      <w:tr w:rsidR="00F4781D" w14:paraId="3E3A35B1" w14:textId="77777777" w:rsidTr="00EE0A3E">
        <w:tc>
          <w:tcPr>
            <w:tcW w:w="2410" w:type="dxa"/>
            <w:vAlign w:val="top"/>
          </w:tcPr>
          <w:p w14:paraId="7DF5E20F" w14:textId="33C34C81" w:rsidR="00F4781D" w:rsidRDefault="00F4781D" w:rsidP="00F4781D">
            <w:pPr>
              <w:pStyle w:val="TablePlainParagraph"/>
              <w:spacing w:before="40" w:after="40"/>
            </w:pPr>
            <w:r w:rsidRPr="007072C4">
              <w:rPr>
                <w:b/>
              </w:rPr>
              <w:t>KYC reporting entities</w:t>
            </w:r>
          </w:p>
        </w:tc>
        <w:tc>
          <w:tcPr>
            <w:tcW w:w="5954" w:type="dxa"/>
            <w:vAlign w:val="top"/>
          </w:tcPr>
          <w:p w14:paraId="5CEE54DB" w14:textId="768B02DC" w:rsidR="00F4781D" w:rsidRDefault="00F4781D" w:rsidP="00F4781D">
            <w:pPr>
              <w:pStyle w:val="TablePlainParagraph"/>
              <w:spacing w:before="40" w:after="40"/>
            </w:pPr>
            <w:r>
              <w:t>E</w:t>
            </w:r>
            <w:r w:rsidRPr="001525CB">
              <w:t>ntities who conduct certain business activities in the financial services, bullion, gambling</w:t>
            </w:r>
            <w:r w:rsidR="008F368F">
              <w:t>,</w:t>
            </w:r>
            <w:r w:rsidRPr="001525CB">
              <w:t xml:space="preserve"> digital currency exchange sectors</w:t>
            </w:r>
          </w:p>
        </w:tc>
      </w:tr>
      <w:tr w:rsidR="00F4781D" w14:paraId="7074299F" w14:textId="77777777" w:rsidTr="00F079D5">
        <w:tc>
          <w:tcPr>
            <w:tcW w:w="2410" w:type="dxa"/>
            <w:vAlign w:val="top"/>
          </w:tcPr>
          <w:p w14:paraId="5A2AA2DD" w14:textId="450AE275" w:rsidR="00F4781D" w:rsidRDefault="00F4781D" w:rsidP="00F4781D">
            <w:pPr>
              <w:pStyle w:val="TablePlainParagraph"/>
              <w:spacing w:before="40" w:after="40"/>
            </w:pPr>
            <w:r w:rsidRPr="007072C4">
              <w:rPr>
                <w:b/>
                <w:iCs/>
              </w:rPr>
              <w:t>Luxembourg Cases</w:t>
            </w:r>
          </w:p>
        </w:tc>
        <w:tc>
          <w:tcPr>
            <w:tcW w:w="5954" w:type="dxa"/>
            <w:vAlign w:val="top"/>
          </w:tcPr>
          <w:p w14:paraId="30B6D0C7" w14:textId="4D9E833C" w:rsidR="00F4781D" w:rsidRDefault="00F4781D" w:rsidP="00F4781D">
            <w:pPr>
              <w:pStyle w:val="TablePlainParagraph"/>
              <w:spacing w:before="40" w:after="40"/>
            </w:pPr>
            <w:proofErr w:type="spellStart"/>
            <w:r w:rsidRPr="00DA622C">
              <w:rPr>
                <w:i/>
              </w:rPr>
              <w:t>Sovim</w:t>
            </w:r>
            <w:proofErr w:type="spellEnd"/>
            <w:r w:rsidRPr="00DA622C">
              <w:rPr>
                <w:i/>
              </w:rPr>
              <w:t xml:space="preserve"> SA v. Luxembourg Business Registers, C-601/20 and WM v. Luxembourg Business Registers, C-37/20Sovim SA v. Luxembourg Business Registers, C-601/20 and WM v. Luxembourg Business Registers, C-37/20</w:t>
            </w:r>
          </w:p>
        </w:tc>
      </w:tr>
    </w:tbl>
    <w:p w14:paraId="50D4760D" w14:textId="77777777" w:rsidR="00E94643" w:rsidRPr="008F368F" w:rsidRDefault="00E94643" w:rsidP="008F368F">
      <w:pPr>
        <w:rPr>
          <w:b/>
          <w:sz w:val="2"/>
          <w:szCs w:val="2"/>
        </w:rPr>
      </w:pPr>
    </w:p>
    <w:sectPr w:rsidR="00E94643" w:rsidRPr="008F368F" w:rsidSect="003F53CD">
      <w:pgSz w:w="11906" w:h="16838"/>
      <w:pgMar w:top="1134" w:right="1418"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4A18" w14:textId="77777777" w:rsidR="008D2BFB" w:rsidRDefault="008D2BFB" w:rsidP="001F6D90">
      <w:r>
        <w:separator/>
      </w:r>
    </w:p>
    <w:p w14:paraId="7A132A38" w14:textId="77777777" w:rsidR="008D2BFB" w:rsidRDefault="008D2BFB"/>
  </w:endnote>
  <w:endnote w:type="continuationSeparator" w:id="0">
    <w:p w14:paraId="74B8D000" w14:textId="77777777" w:rsidR="008D2BFB" w:rsidRDefault="008D2BFB" w:rsidP="001F6D90">
      <w:r>
        <w:continuationSeparator/>
      </w:r>
    </w:p>
    <w:p w14:paraId="711077B3" w14:textId="77777777" w:rsidR="008D2BFB" w:rsidRDefault="008D2BFB"/>
  </w:endnote>
  <w:endnote w:type="continuationNotice" w:id="1">
    <w:p w14:paraId="1526E788" w14:textId="77777777" w:rsidR="008D2BFB" w:rsidRDefault="008D2BFB"/>
    <w:p w14:paraId="108D1A2F" w14:textId="77777777" w:rsidR="008D2BFB" w:rsidRDefault="008D2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C116" w14:textId="6474CA6A" w:rsidR="001D5B1E" w:rsidRDefault="001D5B1E" w:rsidP="00BF7FD0">
    <w:pPr>
      <w:pStyle w:val="Footer"/>
      <w:numPr>
        <w:ilvl w:val="0"/>
        <w:numId w:val="0"/>
      </w:numPr>
      <w:pBdr>
        <w:top w:val="single" w:sz="4" w:space="1" w:color="auto"/>
      </w:pBdr>
      <w:ind w:left="567" w:hanging="567"/>
    </w:pPr>
    <w:r>
      <w:rPr>
        <w:szCs w:val="16"/>
      </w:rPr>
      <w:t>Treasury – Privacy Impact Assessment – Beneficial Ownership Policy</w:t>
    </w:r>
    <w:r>
      <w:t xml:space="preserve"> </w:t>
    </w:r>
    <w:r>
      <w:tab/>
    </w:r>
    <w:sdt>
      <w:sdtPr>
        <w:id w:val="-17917317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309A" w14:textId="0ABEDD5E" w:rsidR="0041699D" w:rsidRDefault="00416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A45D" w14:textId="0CF9E136" w:rsidR="0041699D" w:rsidRDefault="004169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D69F" w14:textId="6202F351" w:rsidR="0041699D" w:rsidRDefault="00416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F074" w14:textId="77777777" w:rsidR="008D2BFB" w:rsidRDefault="008D2BFB" w:rsidP="001F6D90">
      <w:r>
        <w:separator/>
      </w:r>
    </w:p>
    <w:p w14:paraId="52A93103" w14:textId="77777777" w:rsidR="008D2BFB" w:rsidRPr="00935223" w:rsidRDefault="008D2BFB">
      <w:pPr>
        <w:rPr>
          <w:sz w:val="2"/>
          <w:szCs w:val="2"/>
        </w:rPr>
      </w:pPr>
    </w:p>
  </w:footnote>
  <w:footnote w:type="continuationSeparator" w:id="0">
    <w:p w14:paraId="46602776" w14:textId="77777777" w:rsidR="008D2BFB" w:rsidRDefault="008D2BFB" w:rsidP="001F6D90">
      <w:r>
        <w:continuationSeparator/>
      </w:r>
    </w:p>
    <w:p w14:paraId="71D6AC23" w14:textId="77777777" w:rsidR="008D2BFB" w:rsidRPr="00935223" w:rsidRDefault="008D2BFB">
      <w:pPr>
        <w:rPr>
          <w:sz w:val="2"/>
          <w:szCs w:val="2"/>
        </w:rPr>
      </w:pPr>
    </w:p>
  </w:footnote>
  <w:footnote w:type="continuationNotice" w:id="1">
    <w:p w14:paraId="5557801B" w14:textId="77777777" w:rsidR="008D2BFB" w:rsidRPr="00935223" w:rsidRDefault="008D2BFB" w:rsidP="00935223">
      <w:pPr>
        <w:pStyle w:val="Footer"/>
        <w:numPr>
          <w:ilvl w:val="0"/>
          <w:numId w:val="0"/>
        </w:numPr>
        <w:spacing w:line="240" w:lineRule="auto"/>
        <w:rPr>
          <w:sz w:val="2"/>
          <w:szCs w:val="2"/>
        </w:rPr>
      </w:pPr>
    </w:p>
  </w:footnote>
  <w:footnote w:id="2">
    <w:p w14:paraId="33B42C9E" w14:textId="77777777" w:rsidR="001D5B1E" w:rsidRPr="0062659C" w:rsidRDefault="001D5B1E" w:rsidP="003F53CD">
      <w:pPr>
        <w:pStyle w:val="FootnoteText"/>
        <w:spacing w:after="0"/>
        <w:rPr>
          <w:szCs w:val="18"/>
        </w:rPr>
      </w:pPr>
      <w:r w:rsidRPr="0062659C">
        <w:rPr>
          <w:rStyle w:val="FootnoteReference"/>
          <w:szCs w:val="18"/>
        </w:rPr>
        <w:footnoteRef/>
      </w:r>
      <w:r w:rsidRPr="0062659C">
        <w:rPr>
          <w:szCs w:val="18"/>
        </w:rPr>
        <w:t xml:space="preserve"> </w:t>
      </w:r>
      <w:r>
        <w:rPr>
          <w:szCs w:val="18"/>
        </w:rPr>
        <w:tab/>
      </w:r>
      <w:r w:rsidRPr="0062659C">
        <w:rPr>
          <w:szCs w:val="18"/>
        </w:rPr>
        <w:t xml:space="preserve">Section 12(1) of the Privacy Code requires an agency to undertake a PIA for all ‘high risk </w:t>
      </w:r>
      <w:proofErr w:type="gramStart"/>
      <w:r w:rsidRPr="0062659C">
        <w:rPr>
          <w:szCs w:val="18"/>
        </w:rPr>
        <w:t>projects’</w:t>
      </w:r>
      <w:proofErr w:type="gramEnd"/>
      <w:r w:rsidRPr="0062659C">
        <w:rPr>
          <w:szCs w:val="18"/>
        </w:rPr>
        <w:t xml:space="preserve">. A project may be a </w:t>
      </w:r>
      <w:proofErr w:type="gramStart"/>
      <w:r w:rsidRPr="0062659C">
        <w:rPr>
          <w:szCs w:val="18"/>
        </w:rPr>
        <w:t>high risk</w:t>
      </w:r>
      <w:proofErr w:type="gramEnd"/>
      <w:r w:rsidRPr="0062659C">
        <w:rPr>
          <w:szCs w:val="18"/>
        </w:rPr>
        <w:t xml:space="preserve"> project if it involves any new or changed way</w:t>
      </w:r>
      <w:r>
        <w:rPr>
          <w:szCs w:val="18"/>
        </w:rPr>
        <w:t>s</w:t>
      </w:r>
      <w:r w:rsidRPr="0062659C">
        <w:rPr>
          <w:szCs w:val="18"/>
        </w:rPr>
        <w:t xml:space="preserve"> of handing personal information that are likely to have a significant impact on the privacy of an individual: s 12(2) of the Privacy Code.</w:t>
      </w:r>
    </w:p>
  </w:footnote>
  <w:footnote w:id="3">
    <w:p w14:paraId="3057EC8F" w14:textId="5CCD94AC" w:rsidR="001D5B1E" w:rsidRDefault="001D5B1E" w:rsidP="005F3255">
      <w:pPr>
        <w:pStyle w:val="FootnoteText"/>
      </w:pPr>
      <w:r>
        <w:rPr>
          <w:rStyle w:val="FootnoteReference"/>
        </w:rPr>
        <w:footnoteRef/>
      </w:r>
      <w:r>
        <w:t xml:space="preserve"> </w:t>
      </w:r>
      <w:r>
        <w:tab/>
      </w:r>
      <w:hyperlink r:id="rId1" w:history="1">
        <w:r>
          <w:rPr>
            <w:rStyle w:val="Hyperlink"/>
          </w:rPr>
          <w:t>International Covenant on Civil and Political Rights | OHCHR</w:t>
        </w:r>
      </w:hyperlink>
    </w:p>
  </w:footnote>
  <w:footnote w:id="4">
    <w:p w14:paraId="381AE7FE" w14:textId="55CD6885" w:rsidR="001D5B1E" w:rsidRDefault="001D5B1E" w:rsidP="005F3255">
      <w:pPr>
        <w:pStyle w:val="FootnoteText"/>
      </w:pPr>
      <w:r>
        <w:rPr>
          <w:rStyle w:val="FootnoteReference"/>
        </w:rPr>
        <w:footnoteRef/>
      </w:r>
      <w:r>
        <w:t xml:space="preserve"> </w:t>
      </w:r>
      <w:r>
        <w:tab/>
        <w:t xml:space="preserve">UN Human Rights Committee, </w:t>
      </w:r>
      <w:hyperlink r:id="rId2" w:history="1">
        <w:r>
          <w:rPr>
            <w:rStyle w:val="Hyperlink"/>
          </w:rPr>
          <w:t>General Comment No. 16</w:t>
        </w:r>
      </w:hyperlink>
      <w:r>
        <w:t>, [4]</w:t>
      </w:r>
    </w:p>
  </w:footnote>
  <w:footnote w:id="5">
    <w:p w14:paraId="7B42BE08" w14:textId="77777777" w:rsidR="001D5B1E" w:rsidRDefault="001D5B1E" w:rsidP="005F3255">
      <w:pPr>
        <w:pStyle w:val="FootnoteText"/>
      </w:pPr>
      <w:r>
        <w:rPr>
          <w:rStyle w:val="FootnoteReference"/>
        </w:rPr>
        <w:footnoteRef/>
      </w:r>
      <w:r>
        <w:t xml:space="preserve"> </w:t>
      </w:r>
      <w:r>
        <w:tab/>
        <w:t>See also s 6</w:t>
      </w:r>
      <w:proofErr w:type="gramStart"/>
      <w:r>
        <w:t>D(</w:t>
      </w:r>
      <w:proofErr w:type="gramEnd"/>
      <w:r>
        <w:t>4) of the Privacy Act which lists other entities that are not SBOs.</w:t>
      </w:r>
    </w:p>
  </w:footnote>
  <w:footnote w:id="6">
    <w:p w14:paraId="000E9383" w14:textId="1B6E8C30" w:rsidR="001D5B1E" w:rsidRDefault="001D5B1E">
      <w:pPr>
        <w:pStyle w:val="FootnoteText"/>
      </w:pPr>
      <w:r>
        <w:rPr>
          <w:rStyle w:val="FootnoteReference"/>
        </w:rPr>
        <w:footnoteRef/>
      </w:r>
      <w:r>
        <w:t xml:space="preserve"> </w:t>
      </w:r>
      <w:r>
        <w:tab/>
        <w:t xml:space="preserve">See </w:t>
      </w:r>
      <w:r w:rsidRPr="00C8722C">
        <w:t>Administrative Arrangements Orders</w:t>
      </w:r>
      <w:r>
        <w:t xml:space="preserve"> (as </w:t>
      </w:r>
      <w:proofErr w:type="gramStart"/>
      <w:r>
        <w:t>at</w:t>
      </w:r>
      <w:proofErr w:type="gramEnd"/>
      <w:r>
        <w:t xml:space="preserve"> 13 October 2022).</w:t>
      </w:r>
    </w:p>
  </w:footnote>
  <w:footnote w:id="7">
    <w:p w14:paraId="20BC90A2" w14:textId="77777777" w:rsidR="001D5B1E" w:rsidRDefault="001D5B1E" w:rsidP="00AA68D7">
      <w:pPr>
        <w:pStyle w:val="FootnoteText"/>
      </w:pPr>
      <w:r>
        <w:rPr>
          <w:rStyle w:val="FootnoteReference"/>
        </w:rPr>
        <w:footnoteRef/>
      </w:r>
      <w:r>
        <w:t xml:space="preserve"> </w:t>
      </w:r>
      <w:r>
        <w:tab/>
        <w:t xml:space="preserve">Communication No. 488/1992, </w:t>
      </w:r>
      <w:proofErr w:type="spellStart"/>
      <w:r>
        <w:t>Toonan</w:t>
      </w:r>
      <w:proofErr w:type="spellEnd"/>
      <w:r>
        <w:t xml:space="preserve"> v. Australia, para. 8.3; see also communications Nos. 903/1999, para 7.3, and 1482/2006, paras. 10.1 and 10.2.</w:t>
      </w:r>
    </w:p>
  </w:footnote>
  <w:footnote w:id="8">
    <w:p w14:paraId="7D054EBF" w14:textId="442F8E95" w:rsidR="001D5B1E" w:rsidRDefault="001D5B1E" w:rsidP="00AA68D7">
      <w:pPr>
        <w:pStyle w:val="FootnoteText"/>
      </w:pPr>
      <w:r>
        <w:rPr>
          <w:rStyle w:val="FootnoteReference"/>
        </w:rPr>
        <w:footnoteRef/>
      </w:r>
      <w:r>
        <w:t xml:space="preserve"> </w:t>
      </w:r>
      <w:r>
        <w:tab/>
        <w:t xml:space="preserve">UN Human Rights Committee, </w:t>
      </w:r>
      <w:hyperlink r:id="rId3" w:history="1">
        <w:r w:rsidRPr="005B605E">
          <w:rPr>
            <w:rStyle w:val="Hyperlink"/>
          </w:rPr>
          <w:t>General Comment No. 16</w:t>
        </w:r>
      </w:hyperlink>
      <w:r>
        <w:t>, [8]</w:t>
      </w:r>
    </w:p>
  </w:footnote>
  <w:footnote w:id="9">
    <w:p w14:paraId="4FAAE28E" w14:textId="6F7DC2EB" w:rsidR="001D5B1E" w:rsidRDefault="001D5B1E" w:rsidP="00AA68D7">
      <w:pPr>
        <w:pStyle w:val="FootnoteText"/>
      </w:pPr>
      <w:r>
        <w:rPr>
          <w:rStyle w:val="FootnoteReference"/>
        </w:rPr>
        <w:footnoteRef/>
      </w:r>
      <w:r>
        <w:t xml:space="preserve"> </w:t>
      </w:r>
      <w:r>
        <w:tab/>
        <w:t xml:space="preserve">UN Human Rights Committee, </w:t>
      </w:r>
      <w:hyperlink r:id="rId4" w:history="1">
        <w:r w:rsidRPr="005B605E">
          <w:rPr>
            <w:rStyle w:val="Hyperlink"/>
          </w:rPr>
          <w:t>General Comment No. 16</w:t>
        </w:r>
      </w:hyperlink>
      <w:r>
        <w:t>, [10]</w:t>
      </w:r>
    </w:p>
  </w:footnote>
  <w:footnote w:id="10">
    <w:p w14:paraId="4B804107" w14:textId="13444389" w:rsidR="001D5B1E" w:rsidRDefault="001D5B1E" w:rsidP="00CB7ECD">
      <w:pPr>
        <w:pStyle w:val="FootnoteText"/>
      </w:pPr>
      <w:r>
        <w:rPr>
          <w:rStyle w:val="FootnoteReference"/>
        </w:rPr>
        <w:footnoteRef/>
      </w:r>
      <w:r>
        <w:t xml:space="preserve"> </w:t>
      </w:r>
      <w:r>
        <w:tab/>
        <w:t>See also s 6</w:t>
      </w:r>
      <w:proofErr w:type="gramStart"/>
      <w:r>
        <w:t>D(</w:t>
      </w:r>
      <w:proofErr w:type="gramEnd"/>
      <w:r>
        <w:t>4) of the Privacy Act which lists other entities that are not SBOs.</w:t>
      </w:r>
    </w:p>
  </w:footnote>
  <w:footnote w:id="11">
    <w:p w14:paraId="4063714F" w14:textId="3F6FB820" w:rsidR="001D5B1E" w:rsidRDefault="001D5B1E">
      <w:pPr>
        <w:pStyle w:val="FootnoteText"/>
      </w:pPr>
      <w:r>
        <w:rPr>
          <w:rStyle w:val="FootnoteReference"/>
        </w:rPr>
        <w:footnoteRef/>
      </w:r>
      <w:r>
        <w:t xml:space="preserve"> </w:t>
      </w:r>
      <w:r>
        <w:tab/>
        <w:t xml:space="preserve">Attorney-General’s Department, </w:t>
      </w:r>
      <w:hyperlink r:id="rId5" w:history="1">
        <w:r w:rsidRPr="006E6136">
          <w:rPr>
            <w:rStyle w:val="Hyperlink"/>
          </w:rPr>
          <w:t>Privacy Act Review Report 2022</w:t>
        </w:r>
      </w:hyperlink>
      <w:r>
        <w:t xml:space="preserve"> published 16 February 2023 at proposal [6]; see also the </w:t>
      </w:r>
      <w:hyperlink r:id="rId6" w:history="1">
        <w:r w:rsidRPr="006E6136">
          <w:rPr>
            <w:rStyle w:val="Hyperlink"/>
          </w:rPr>
          <w:t>Government response to the Privacy Act Review Report</w:t>
        </w:r>
      </w:hyperlink>
      <w:r>
        <w:t xml:space="preserve"> published 16 February 2024, in which the Commonwealth noted its agreement in-principles to proposal [6].</w:t>
      </w:r>
    </w:p>
  </w:footnote>
  <w:footnote w:id="12">
    <w:p w14:paraId="062C54E1" w14:textId="77777777" w:rsidR="001D5B1E" w:rsidRDefault="001D5B1E" w:rsidP="007F5A1E">
      <w:pPr>
        <w:pStyle w:val="FootnoteText"/>
      </w:pPr>
      <w:r>
        <w:rPr>
          <w:rStyle w:val="FootnoteReference"/>
        </w:rPr>
        <w:footnoteRef/>
      </w:r>
      <w:r>
        <w:t xml:space="preserve"> </w:t>
      </w:r>
      <w:r>
        <w:tab/>
        <w:t>See definition of PIA in s 33D of the Privacy Act.</w:t>
      </w:r>
    </w:p>
  </w:footnote>
  <w:footnote w:id="13">
    <w:p w14:paraId="5387C5E0" w14:textId="3BF76C9B" w:rsidR="001D5B1E" w:rsidRDefault="001D5B1E">
      <w:pPr>
        <w:pStyle w:val="FootnoteText"/>
      </w:pPr>
      <w:r>
        <w:rPr>
          <w:rStyle w:val="FootnoteReference"/>
        </w:rPr>
        <w:footnoteRef/>
      </w:r>
      <w:r>
        <w:t xml:space="preserve"> </w:t>
      </w:r>
      <w:r>
        <w:tab/>
        <w:t xml:space="preserve">As defined and regularly updated by the Financial Action Task Force, see </w:t>
      </w:r>
      <w:hyperlink r:id="rId7" w:history="1">
        <w:r w:rsidRPr="009D6B64">
          <w:rPr>
            <w:rStyle w:val="Hyperlink"/>
          </w:rPr>
          <w:t>https://www.fatf-gafi.org/en/topics/high-risk-and-other-monitored-jurisdictions.html</w:t>
        </w:r>
      </w:hyperlink>
      <w:r>
        <w:t xml:space="preserve">.  </w:t>
      </w:r>
    </w:p>
  </w:footnote>
  <w:footnote w:id="14">
    <w:p w14:paraId="40AB09A1" w14:textId="77777777" w:rsidR="001D5B1E" w:rsidRPr="00C8722C" w:rsidRDefault="001D5B1E" w:rsidP="00135864">
      <w:pPr>
        <w:pStyle w:val="FootnoteText"/>
        <w:rPr>
          <w:i/>
        </w:rPr>
      </w:pPr>
      <w:r>
        <w:rPr>
          <w:rStyle w:val="FootnoteReference"/>
        </w:rPr>
        <w:footnoteRef/>
      </w:r>
      <w:r>
        <w:t xml:space="preserve"> </w:t>
      </w:r>
      <w:r>
        <w:tab/>
        <w:t xml:space="preserve">See s 104 of the </w:t>
      </w:r>
      <w:r>
        <w:rPr>
          <w:i/>
        </w:rPr>
        <w:t>Commonwealth Electoral Act 1918.</w:t>
      </w:r>
    </w:p>
  </w:footnote>
  <w:footnote w:id="15">
    <w:p w14:paraId="402FFF05" w14:textId="77777777" w:rsidR="001D5B1E" w:rsidRDefault="001D5B1E" w:rsidP="00A00C82">
      <w:pPr>
        <w:pStyle w:val="FootnoteText"/>
      </w:pPr>
      <w:r>
        <w:rPr>
          <w:rStyle w:val="FootnoteReference"/>
        </w:rPr>
        <w:footnoteRef/>
      </w:r>
      <w:r>
        <w:t xml:space="preserve"> </w:t>
      </w:r>
      <w:r>
        <w:tab/>
        <w:t>This includes where individuals have applied to ASIC to supress their BOI and ASIC is yet to provide a final determination.</w:t>
      </w:r>
    </w:p>
  </w:footnote>
  <w:footnote w:id="16">
    <w:p w14:paraId="4DC38668" w14:textId="2BD13ED9" w:rsidR="001D5B1E" w:rsidRDefault="001D5B1E">
      <w:pPr>
        <w:pStyle w:val="FootnoteText"/>
      </w:pPr>
      <w:r>
        <w:rPr>
          <w:rStyle w:val="FootnoteReference"/>
        </w:rPr>
        <w:footnoteRef/>
      </w:r>
      <w:r>
        <w:t xml:space="preserve"> </w:t>
      </w:r>
      <w:r>
        <w:tab/>
        <w:t>Section 1019D of the Corporations Act concerns unsolicited offers to purchase financial products off-market.</w:t>
      </w:r>
    </w:p>
  </w:footnote>
  <w:footnote w:id="17">
    <w:p w14:paraId="59C5363E" w14:textId="1C04F2CC" w:rsidR="001D5B1E" w:rsidRDefault="001D5B1E">
      <w:pPr>
        <w:pStyle w:val="FootnoteText"/>
      </w:pPr>
      <w:r>
        <w:rPr>
          <w:rStyle w:val="FootnoteReference"/>
        </w:rPr>
        <w:footnoteRef/>
      </w:r>
      <w:r>
        <w:t xml:space="preserve"> </w:t>
      </w:r>
      <w:r>
        <w:tab/>
        <w:t>As above.</w:t>
      </w:r>
    </w:p>
  </w:footnote>
  <w:footnote w:id="18">
    <w:p w14:paraId="1A1819AE" w14:textId="1E0E4D01" w:rsidR="001D5B1E" w:rsidRDefault="001D5B1E" w:rsidP="001F5464">
      <w:pPr>
        <w:pStyle w:val="FootnoteText"/>
      </w:pPr>
      <w:r>
        <w:rPr>
          <w:rStyle w:val="FootnoteReference"/>
        </w:rPr>
        <w:footnoteRef/>
      </w:r>
      <w:r>
        <w:t xml:space="preserve"> </w:t>
      </w:r>
      <w:r>
        <w:tab/>
        <w:t xml:space="preserve">UN Human Rights Committee, </w:t>
      </w:r>
      <w:hyperlink r:id="rId8" w:history="1">
        <w:r>
          <w:rPr>
            <w:rStyle w:val="Hyperlink"/>
          </w:rPr>
          <w:t>General Comment No. 16</w:t>
        </w:r>
      </w:hyperlink>
      <w:r>
        <w:t>, [4]</w:t>
      </w:r>
    </w:p>
  </w:footnote>
  <w:footnote w:id="19">
    <w:p w14:paraId="299DDBB0" w14:textId="77777777" w:rsidR="001D5B1E" w:rsidRDefault="001D5B1E" w:rsidP="001F5464">
      <w:pPr>
        <w:pStyle w:val="FootnoteText"/>
      </w:pPr>
      <w:r>
        <w:rPr>
          <w:rStyle w:val="FootnoteReference"/>
        </w:rPr>
        <w:footnoteRef/>
      </w:r>
      <w:r>
        <w:t xml:space="preserve"> </w:t>
      </w:r>
      <w:r>
        <w:tab/>
        <w:t xml:space="preserve">Communication No. 488/1992, </w:t>
      </w:r>
      <w:proofErr w:type="spellStart"/>
      <w:r>
        <w:t>Toonan</w:t>
      </w:r>
      <w:proofErr w:type="spellEnd"/>
      <w:r>
        <w:t xml:space="preserve"> v. Australia, para. 8.3; see also communications Nos. 903/1999, para 7.3, and 1482/2006, paras. 10.1 and 10.2.</w:t>
      </w:r>
    </w:p>
  </w:footnote>
  <w:footnote w:id="20">
    <w:p w14:paraId="4852A4BA" w14:textId="25ACD8E9" w:rsidR="001D5B1E" w:rsidRDefault="001D5B1E">
      <w:pPr>
        <w:pStyle w:val="FootnoteText"/>
      </w:pPr>
      <w:r>
        <w:rPr>
          <w:rStyle w:val="FootnoteReference"/>
        </w:rPr>
        <w:footnoteRef/>
      </w:r>
      <w:r>
        <w:t xml:space="preserve"> </w:t>
      </w:r>
      <w:r>
        <w:tab/>
      </w:r>
      <w:hyperlink r:id="rId9" w:history="1">
        <w:r w:rsidRPr="00C2176C">
          <w:rPr>
            <w:rStyle w:val="Hyperlink"/>
          </w:rPr>
          <w:t>https://www.austrac.gov.au/business/new-to-austrac</w:t>
        </w:r>
      </w:hyperlink>
    </w:p>
  </w:footnote>
  <w:footnote w:id="21">
    <w:p w14:paraId="64E57826" w14:textId="730A294D" w:rsidR="001D5B1E" w:rsidRDefault="001D5B1E">
      <w:pPr>
        <w:pStyle w:val="FootnoteText"/>
      </w:pPr>
      <w:r>
        <w:rPr>
          <w:rStyle w:val="FootnoteReference"/>
        </w:rPr>
        <w:footnoteRef/>
      </w:r>
      <w:r>
        <w:t xml:space="preserve"> </w:t>
      </w:r>
      <w:r>
        <w:tab/>
      </w:r>
      <w:hyperlink r:id="rId10" w:history="1">
        <w:r w:rsidRPr="00C2176C">
          <w:rPr>
            <w:rStyle w:val="Hyperlink"/>
          </w:rPr>
          <w:t>https://www.austrac.gov.au/business/core-guidance/customer-identification-and-verification/customer-identification-know-your-customer-kyc</w:t>
        </w:r>
      </w:hyperlink>
    </w:p>
  </w:footnote>
  <w:footnote w:id="22">
    <w:p w14:paraId="7F7ABF42" w14:textId="17A658BA" w:rsidR="001D5B1E" w:rsidRDefault="001D5B1E">
      <w:pPr>
        <w:pStyle w:val="FootnoteText"/>
      </w:pPr>
      <w:r>
        <w:rPr>
          <w:rStyle w:val="FootnoteReference"/>
        </w:rPr>
        <w:footnoteRef/>
      </w:r>
      <w:r>
        <w:t xml:space="preserve"> </w:t>
      </w:r>
      <w:r>
        <w:tab/>
        <w:t xml:space="preserve">AML/CTF Rules, r 4.12.1. </w:t>
      </w:r>
    </w:p>
  </w:footnote>
  <w:footnote w:id="23">
    <w:p w14:paraId="1E142A73" w14:textId="7D9FB25F" w:rsidR="001D5B1E" w:rsidRDefault="001D5B1E" w:rsidP="00640FE0">
      <w:pPr>
        <w:pStyle w:val="FootnoteText"/>
      </w:pPr>
      <w:r>
        <w:rPr>
          <w:rStyle w:val="FootnoteReference"/>
        </w:rPr>
        <w:footnoteRef/>
      </w:r>
      <w:r>
        <w:t xml:space="preserve"> </w:t>
      </w:r>
      <w:r>
        <w:tab/>
        <w:t xml:space="preserve">Per the Bank of England’s </w:t>
      </w:r>
      <w:hyperlink r:id="rId11" w:history="1">
        <w:r w:rsidRPr="00BE4E97">
          <w:rPr>
            <w:rStyle w:val="Hyperlink"/>
          </w:rPr>
          <w:t>inflation calculator</w:t>
        </w:r>
      </w:hyperlink>
      <w:r>
        <w:t xml:space="preserve">, </w:t>
      </w:r>
      <w:r w:rsidRPr="00CC3A9C">
        <w:t>£125</w:t>
      </w:r>
      <w:r>
        <w:t xml:space="preserve"> in 2019 is equivalent to </w:t>
      </w:r>
      <w:r w:rsidRPr="00BE4E97">
        <w:t>£153.33</w:t>
      </w:r>
      <w:r>
        <w:t xml:space="preserve"> in February 2024. Per Xe’s </w:t>
      </w:r>
      <w:hyperlink r:id="rId12" w:history="1">
        <w:r w:rsidRPr="00BE4E97">
          <w:rPr>
            <w:rStyle w:val="Hyperlink"/>
          </w:rPr>
          <w:t>currency converter</w:t>
        </w:r>
      </w:hyperlink>
      <w:r>
        <w:t xml:space="preserve">, </w:t>
      </w:r>
      <w:r w:rsidRPr="00BE4E97">
        <w:t>£153.33</w:t>
      </w:r>
      <w:r>
        <w:t xml:space="preserve"> is equivalent to $296.52 AUD in March 2024. </w:t>
      </w:r>
    </w:p>
  </w:footnote>
  <w:footnote w:id="24">
    <w:p w14:paraId="326DA018" w14:textId="728AD5DA" w:rsidR="001D5B1E" w:rsidRDefault="001D5B1E">
      <w:pPr>
        <w:pStyle w:val="FootnoteText"/>
      </w:pPr>
      <w:r>
        <w:rPr>
          <w:rStyle w:val="FootnoteReference"/>
        </w:rPr>
        <w:footnoteRef/>
      </w:r>
      <w:r>
        <w:t xml:space="preserve"> </w:t>
      </w:r>
      <w:r>
        <w:tab/>
      </w:r>
      <w:hyperlink r:id="rId13" w:history="1">
        <w:r>
          <w:rPr>
            <w:rStyle w:val="Hyperlink"/>
          </w:rPr>
          <w:t>Charter of Fundamental Rights of the European Union.</w:t>
        </w:r>
      </w:hyperlink>
    </w:p>
  </w:footnote>
  <w:footnote w:id="25">
    <w:p w14:paraId="5F102F08" w14:textId="3F48896A" w:rsidR="001D5B1E" w:rsidRDefault="001D5B1E">
      <w:pPr>
        <w:pStyle w:val="FootnoteText"/>
      </w:pPr>
      <w:r>
        <w:rPr>
          <w:rStyle w:val="FootnoteReference"/>
        </w:rPr>
        <w:footnoteRef/>
      </w:r>
      <w:r>
        <w:t xml:space="preserve"> </w:t>
      </w:r>
      <w:r>
        <w:tab/>
        <w:t>Luxembourg Cases at [56]-[59].</w:t>
      </w:r>
    </w:p>
  </w:footnote>
  <w:footnote w:id="26">
    <w:p w14:paraId="329DE7D3" w14:textId="01E2CE7D" w:rsidR="001D5B1E" w:rsidRDefault="001D5B1E">
      <w:pPr>
        <w:pStyle w:val="FootnoteText"/>
      </w:pPr>
      <w:r>
        <w:rPr>
          <w:rStyle w:val="FootnoteReference"/>
        </w:rPr>
        <w:footnoteRef/>
      </w:r>
      <w:r>
        <w:t xml:space="preserve"> </w:t>
      </w:r>
      <w:r>
        <w:tab/>
        <w:t>Ibid at [41].</w:t>
      </w:r>
    </w:p>
  </w:footnote>
  <w:footnote w:id="27">
    <w:p w14:paraId="41380874" w14:textId="23919BEE" w:rsidR="001D5B1E" w:rsidRDefault="001D5B1E">
      <w:pPr>
        <w:pStyle w:val="FootnoteText"/>
      </w:pPr>
      <w:r>
        <w:rPr>
          <w:rStyle w:val="FootnoteReference"/>
        </w:rPr>
        <w:footnoteRef/>
      </w:r>
      <w:r>
        <w:t xml:space="preserve"> </w:t>
      </w:r>
      <w:r>
        <w:tab/>
        <w:t>Ibid at [42].</w:t>
      </w:r>
    </w:p>
  </w:footnote>
  <w:footnote w:id="28">
    <w:p w14:paraId="0F5632B5" w14:textId="30B2AD86" w:rsidR="001D5B1E" w:rsidRDefault="001D5B1E">
      <w:pPr>
        <w:pStyle w:val="FootnoteText"/>
      </w:pPr>
      <w:r>
        <w:rPr>
          <w:rStyle w:val="FootnoteReference"/>
        </w:rPr>
        <w:footnoteRef/>
      </w:r>
      <w:r>
        <w:t xml:space="preserve"> </w:t>
      </w:r>
      <w:r>
        <w:tab/>
        <w:t>Ibid at [43].</w:t>
      </w:r>
    </w:p>
  </w:footnote>
  <w:footnote w:id="29">
    <w:p w14:paraId="0EC75A4E" w14:textId="4C15455D" w:rsidR="001D5B1E" w:rsidRDefault="001D5B1E">
      <w:pPr>
        <w:pStyle w:val="FootnoteText"/>
      </w:pPr>
      <w:r>
        <w:rPr>
          <w:rStyle w:val="FootnoteReference"/>
        </w:rPr>
        <w:footnoteRef/>
      </w:r>
      <w:r>
        <w:t xml:space="preserve"> </w:t>
      </w:r>
      <w:r>
        <w:tab/>
        <w:t>Ibid at [74].</w:t>
      </w:r>
    </w:p>
  </w:footnote>
  <w:footnote w:id="30">
    <w:p w14:paraId="40208AD8" w14:textId="61390D63" w:rsidR="001D5B1E" w:rsidRDefault="001D5B1E">
      <w:pPr>
        <w:pStyle w:val="FootnoteText"/>
      </w:pPr>
      <w:r>
        <w:rPr>
          <w:rStyle w:val="FootnoteReference"/>
        </w:rPr>
        <w:footnoteRef/>
      </w:r>
      <w:r>
        <w:t xml:space="preserve"> </w:t>
      </w:r>
      <w:r>
        <w:tab/>
        <w:t>Ibid at [76].</w:t>
      </w:r>
    </w:p>
  </w:footnote>
  <w:footnote w:id="31">
    <w:p w14:paraId="330AEDFD" w14:textId="267CA415" w:rsidR="001D5B1E" w:rsidRDefault="001D5B1E">
      <w:pPr>
        <w:pStyle w:val="FootnoteText"/>
      </w:pPr>
      <w:r>
        <w:rPr>
          <w:rStyle w:val="FootnoteReference"/>
        </w:rPr>
        <w:footnoteRef/>
      </w:r>
      <w:r>
        <w:t xml:space="preserve"> </w:t>
      </w:r>
      <w:r>
        <w:tab/>
        <w:t>Ibid at [85].</w:t>
      </w:r>
    </w:p>
  </w:footnote>
  <w:footnote w:id="32">
    <w:p w14:paraId="0A4E2348" w14:textId="58869655" w:rsidR="001D5B1E" w:rsidRDefault="001D5B1E">
      <w:pPr>
        <w:pStyle w:val="FootnoteText"/>
      </w:pPr>
      <w:r>
        <w:rPr>
          <w:rStyle w:val="FootnoteReference"/>
        </w:rPr>
        <w:footnoteRef/>
      </w:r>
      <w:r>
        <w:t xml:space="preserve"> </w:t>
      </w:r>
      <w:r>
        <w:tab/>
        <w:t>Ibid at [86].</w:t>
      </w:r>
    </w:p>
  </w:footnote>
  <w:footnote w:id="33">
    <w:p w14:paraId="569D6A3B" w14:textId="7CEE8761" w:rsidR="001D5B1E" w:rsidRDefault="001D5B1E">
      <w:pPr>
        <w:pStyle w:val="FootnoteText"/>
      </w:pPr>
      <w:r>
        <w:rPr>
          <w:rStyle w:val="FootnoteReference"/>
        </w:rPr>
        <w:footnoteRef/>
      </w:r>
      <w:r>
        <w:t xml:space="preserve"> </w:t>
      </w:r>
      <w:r>
        <w:tab/>
        <w:t>Ibid at [85].</w:t>
      </w:r>
    </w:p>
  </w:footnote>
  <w:footnote w:id="34">
    <w:p w14:paraId="5BB1D754" w14:textId="7D610CBD" w:rsidR="001D5B1E" w:rsidRDefault="001D5B1E">
      <w:pPr>
        <w:pStyle w:val="FootnoteText"/>
      </w:pPr>
      <w:r>
        <w:rPr>
          <w:rStyle w:val="FootnoteReference"/>
        </w:rPr>
        <w:footnoteRef/>
      </w:r>
      <w:r>
        <w:t xml:space="preserve"> </w:t>
      </w:r>
      <w:r>
        <w:tab/>
        <w:t>Ibid at [88].</w:t>
      </w:r>
    </w:p>
  </w:footnote>
  <w:footnote w:id="35">
    <w:p w14:paraId="69C2CBF4" w14:textId="533B0966" w:rsidR="001D5B1E" w:rsidRDefault="001D5B1E">
      <w:pPr>
        <w:pStyle w:val="FootnoteText"/>
      </w:pPr>
      <w:r>
        <w:rPr>
          <w:rStyle w:val="FootnoteReference"/>
        </w:rPr>
        <w:footnoteRef/>
      </w:r>
      <w:r>
        <w:t xml:space="preserve"> </w:t>
      </w:r>
      <w:r>
        <w:tab/>
      </w:r>
      <w:hyperlink r:id="rId14" w:history="1">
        <w:r w:rsidRPr="009830E8">
          <w:rPr>
            <w:rStyle w:val="Hyperlink"/>
          </w:rPr>
          <w:t>https://www.acra.gov.sg/compliance/register-of-registrable-controllers/frequently-asked-questions</w:t>
        </w:r>
      </w:hyperlink>
      <w:r>
        <w:t xml:space="preserve"> </w:t>
      </w:r>
    </w:p>
  </w:footnote>
  <w:footnote w:id="36">
    <w:p w14:paraId="44BB88E5" w14:textId="1F8362FC" w:rsidR="001D5B1E" w:rsidRDefault="001D5B1E">
      <w:pPr>
        <w:pStyle w:val="FootnoteText"/>
      </w:pPr>
      <w:r>
        <w:rPr>
          <w:rStyle w:val="FootnoteReference"/>
        </w:rPr>
        <w:footnoteRef/>
      </w:r>
      <w:r>
        <w:t xml:space="preserve"> </w:t>
      </w:r>
      <w:r>
        <w:tab/>
        <w:t>Regulation Around the World: Beneficial Ownership Registers, p 10.</w:t>
      </w:r>
    </w:p>
  </w:footnote>
  <w:footnote w:id="37">
    <w:p w14:paraId="698688A9" w14:textId="1AE47BFA" w:rsidR="001D5B1E" w:rsidRDefault="001D5B1E">
      <w:pPr>
        <w:pStyle w:val="FootnoteText"/>
      </w:pPr>
      <w:r>
        <w:rPr>
          <w:rStyle w:val="FootnoteReference"/>
        </w:rPr>
        <w:footnoteRef/>
      </w:r>
      <w:r>
        <w:t xml:space="preserve"> </w:t>
      </w:r>
      <w:r>
        <w:tab/>
      </w:r>
      <w:hyperlink r:id="rId15" w:history="1">
        <w:r w:rsidRPr="00EB397A">
          <w:rPr>
            <w:rStyle w:val="Hyperlink"/>
          </w:rPr>
          <w:t>https://ised-isde.canada.ca/site/corporations-canada/en/how-find-information-about-individuals-significant-control</w:t>
        </w:r>
      </w:hyperlink>
    </w:p>
  </w:footnote>
  <w:footnote w:id="38">
    <w:p w14:paraId="4091D14B" w14:textId="4A74EB34" w:rsidR="001D5B1E" w:rsidRDefault="001D5B1E" w:rsidP="00CD3188">
      <w:pPr>
        <w:pStyle w:val="FootnoteText"/>
      </w:pPr>
      <w:r>
        <w:rPr>
          <w:rStyle w:val="FootnoteReference"/>
        </w:rPr>
        <w:footnoteRef/>
      </w:r>
      <w:r>
        <w:t xml:space="preserve"> </w:t>
      </w:r>
      <w:r>
        <w:tab/>
        <w:t>FATF (2023),</w:t>
      </w:r>
      <w:r w:rsidRPr="0020238C">
        <w:rPr>
          <w:i/>
        </w:rPr>
        <w:t xml:space="preserve"> Guidance on Beneficial Ownership for Legal Persons</w:t>
      </w:r>
      <w:r>
        <w:t xml:space="preserve">, FATF, Paris, </w:t>
      </w:r>
      <w:hyperlink r:id="rId16" w:history="1">
        <w:r>
          <w:rPr>
            <w:rStyle w:val="Hyperlink"/>
          </w:rPr>
          <w:t>https://www.fatf-gafi.org/en/publications/Fatfrecommendations/Guidance-Beneficial-Ownership-Legal-Persons.html</w:t>
        </w:r>
      </w:hyperlink>
    </w:p>
  </w:footnote>
  <w:footnote w:id="39">
    <w:p w14:paraId="1456B894" w14:textId="02700B60" w:rsidR="001D5B1E" w:rsidRDefault="001D5B1E" w:rsidP="002212C6">
      <w:pPr>
        <w:pStyle w:val="FootnoteText"/>
      </w:pPr>
      <w:r>
        <w:rPr>
          <w:rStyle w:val="FootnoteReference"/>
        </w:rPr>
        <w:footnoteRef/>
      </w:r>
      <w:r>
        <w:t xml:space="preserve"> </w:t>
      </w:r>
      <w:r>
        <w:tab/>
        <w:t>FATF (2023),</w:t>
      </w:r>
      <w:r w:rsidRPr="000C377C">
        <w:rPr>
          <w:i/>
        </w:rPr>
        <w:t xml:space="preserve"> Guidance on Beneficial Ownership for Legal Persons</w:t>
      </w:r>
      <w:r>
        <w:t xml:space="preserve">, FATF, Paris, </w:t>
      </w:r>
      <w:hyperlink r:id="rId17" w:history="1">
        <w:r>
          <w:rPr>
            <w:rStyle w:val="Hyperlink"/>
          </w:rPr>
          <w:t>https://www.fatf-gafi.org/en/publications/Fatfrecommendations/Guidance-Beneficial-Ownership-Legal-Persons.html</w:t>
        </w:r>
      </w:hyperlink>
      <w:r>
        <w:rPr>
          <w:u w:color="0000FF"/>
        </w:rPr>
        <w:t xml:space="preserve"> at [109].</w:t>
      </w:r>
    </w:p>
  </w:footnote>
  <w:footnote w:id="40">
    <w:p w14:paraId="3A87BD89" w14:textId="77777777" w:rsidR="001D5B1E" w:rsidRDefault="001D5B1E" w:rsidP="00B776DA">
      <w:pPr>
        <w:pStyle w:val="FootnoteText"/>
      </w:pPr>
      <w:r>
        <w:rPr>
          <w:rStyle w:val="FootnoteReference"/>
        </w:rPr>
        <w:footnoteRef/>
      </w:r>
      <w:r>
        <w:t xml:space="preserve"> </w:t>
      </w:r>
      <w:r>
        <w:tab/>
        <w:t>APP Guidelines, [1.1].</w:t>
      </w:r>
    </w:p>
  </w:footnote>
  <w:footnote w:id="41">
    <w:p w14:paraId="047EF149" w14:textId="77777777" w:rsidR="001D5B1E" w:rsidRDefault="001D5B1E" w:rsidP="00B776DA">
      <w:pPr>
        <w:pStyle w:val="FootnoteText"/>
      </w:pPr>
      <w:r>
        <w:rPr>
          <w:rStyle w:val="FootnoteReference"/>
        </w:rPr>
        <w:footnoteRef/>
      </w:r>
      <w:r>
        <w:t xml:space="preserve"> Second Reading Speech for Corporations Amendment (No 1) Bill 2010 (</w:t>
      </w:r>
      <w:proofErr w:type="spellStart"/>
      <w:r>
        <w:t>Cth</w:t>
      </w:r>
      <w:proofErr w:type="spellEnd"/>
      <w:r>
        <w:t xml:space="preserve">). </w:t>
      </w:r>
    </w:p>
  </w:footnote>
  <w:footnote w:id="42">
    <w:p w14:paraId="01502FFE" w14:textId="77777777" w:rsidR="001D5B1E" w:rsidRDefault="001D5B1E" w:rsidP="009A7771">
      <w:pPr>
        <w:pStyle w:val="FootnoteText"/>
      </w:pPr>
      <w:r>
        <w:rPr>
          <w:rStyle w:val="FootnoteReference"/>
        </w:rPr>
        <w:footnoteRef/>
      </w:r>
      <w:r>
        <w:t xml:space="preserve"> </w:t>
      </w:r>
      <w:r>
        <w:tab/>
        <w:t>APP Guidelines at [B.113].</w:t>
      </w:r>
    </w:p>
  </w:footnote>
  <w:footnote w:id="43">
    <w:p w14:paraId="5AF10C7A" w14:textId="256D9474" w:rsidR="001D5B1E" w:rsidRDefault="001D5B1E">
      <w:pPr>
        <w:pStyle w:val="FootnoteText"/>
      </w:pPr>
      <w:r>
        <w:rPr>
          <w:rStyle w:val="FootnoteReference"/>
        </w:rPr>
        <w:footnoteRef/>
      </w:r>
      <w:r>
        <w:t xml:space="preserve"> </w:t>
      </w:r>
      <w:r>
        <w:tab/>
        <w:t>The BO Policy proposes a right for a beneficial owner to apply to the Administrative Appeals Tribunal for review of a refusal decision only.</w:t>
      </w:r>
    </w:p>
  </w:footnote>
  <w:footnote w:id="44">
    <w:p w14:paraId="5EDB9587" w14:textId="77777777" w:rsidR="001D5B1E" w:rsidRPr="007A1310" w:rsidRDefault="001D5B1E" w:rsidP="00AD703E">
      <w:pPr>
        <w:pStyle w:val="FootnoteText"/>
      </w:pPr>
      <w:r>
        <w:rPr>
          <w:rStyle w:val="FootnoteReference"/>
        </w:rPr>
        <w:footnoteRef/>
      </w:r>
      <w:r>
        <w:t xml:space="preserve"> </w:t>
      </w:r>
      <w:r>
        <w:tab/>
      </w:r>
      <w:r>
        <w:rPr>
          <w:i/>
        </w:rPr>
        <w:t xml:space="preserve">AIT18 v Australian Information Commissioner </w:t>
      </w:r>
      <w:r>
        <w:t>[2018] FCAFC 192 at [126].</w:t>
      </w:r>
    </w:p>
  </w:footnote>
  <w:footnote w:id="45">
    <w:p w14:paraId="26FF6EEB" w14:textId="77777777" w:rsidR="001D5B1E" w:rsidRPr="00B87B41" w:rsidRDefault="001D5B1E" w:rsidP="00974092">
      <w:pPr>
        <w:pStyle w:val="FootnoteText"/>
      </w:pPr>
      <w:r>
        <w:rPr>
          <w:rStyle w:val="FootnoteReference"/>
        </w:rPr>
        <w:footnoteRef/>
      </w:r>
      <w:r>
        <w:t xml:space="preserve"> </w:t>
      </w:r>
      <w:r>
        <w:rPr>
          <w:i/>
        </w:rPr>
        <w:t xml:space="preserve">Corporations Act 2001 </w:t>
      </w:r>
      <w:r>
        <w:t>(</w:t>
      </w:r>
      <w:proofErr w:type="spellStart"/>
      <w:r>
        <w:t>Cth</w:t>
      </w:r>
      <w:proofErr w:type="spellEnd"/>
      <w:r>
        <w:t>) s 178D.</w:t>
      </w:r>
    </w:p>
  </w:footnote>
  <w:footnote w:id="46">
    <w:p w14:paraId="58549211" w14:textId="77777777" w:rsidR="001D5B1E" w:rsidRDefault="001D5B1E" w:rsidP="00B42922">
      <w:pPr>
        <w:pStyle w:val="FootnoteText"/>
      </w:pPr>
      <w:r>
        <w:rPr>
          <w:rStyle w:val="FootnoteReference"/>
        </w:rPr>
        <w:footnoteRef/>
      </w:r>
      <w:r>
        <w:t xml:space="preserve"> </w:t>
      </w:r>
      <w:r>
        <w:tab/>
        <w:t xml:space="preserve">We note that Treasury is considering whether the PCBOR can meet the standards set out in the Open Ownership Beneficial Ownership Data Standard. Research into this is ongoing and is outside the scope of this PIA. </w:t>
      </w:r>
    </w:p>
    <w:p w14:paraId="3F74697F" w14:textId="77777777" w:rsidR="001D5B1E" w:rsidRDefault="001D5B1E" w:rsidP="00B42922">
      <w:pPr>
        <w:pStyle w:val="FootnoteText"/>
      </w:pPr>
    </w:p>
  </w:footnote>
  <w:footnote w:id="47">
    <w:p w14:paraId="70000660" w14:textId="77777777" w:rsidR="001D5B1E" w:rsidRDefault="001D5B1E" w:rsidP="00B42922">
      <w:pPr>
        <w:pStyle w:val="FootnoteText"/>
      </w:pPr>
      <w:r>
        <w:rPr>
          <w:rStyle w:val="FootnoteReference"/>
        </w:rPr>
        <w:footnoteRef/>
      </w:r>
      <w:r>
        <w:t xml:space="preserve"> </w:t>
      </w:r>
      <w:r>
        <w:tab/>
        <w:t>As a ‘high risk’ project for the purposes of s 12 of the Privacy Code.</w:t>
      </w:r>
    </w:p>
  </w:footnote>
  <w:footnote w:id="48">
    <w:p w14:paraId="4C017787" w14:textId="77777777" w:rsidR="001D5B1E" w:rsidRDefault="001D5B1E" w:rsidP="00B42922">
      <w:pPr>
        <w:pStyle w:val="FootnoteText"/>
      </w:pPr>
      <w:r>
        <w:rPr>
          <w:rStyle w:val="FootnoteReference"/>
        </w:rPr>
        <w:footnoteRef/>
      </w:r>
      <w:r>
        <w:t xml:space="preserve">      Security Guide at p 39 citing APP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B9F4" w14:textId="7B7F115C" w:rsidR="001D5B1E" w:rsidRDefault="001D5B1E" w:rsidP="000F51FD">
    <w:pPr>
      <w:jc w:val="center"/>
      <w:rPr>
        <w:b/>
        <w:color w:val="FF0000"/>
      </w:rPr>
    </w:pPr>
  </w:p>
  <w:p w14:paraId="134A837D" w14:textId="554F6A37" w:rsidR="001D5B1E" w:rsidRPr="007311C1" w:rsidRDefault="001D5B1E" w:rsidP="007311C1">
    <w:pPr>
      <w:spacing w:after="120"/>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542F" w14:textId="57FF8A1B" w:rsidR="0041699D" w:rsidRDefault="00416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BD4F" w14:textId="18794AB5" w:rsidR="0041699D" w:rsidRDefault="004169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FD1F" w14:textId="663F6EED" w:rsidR="001D5B1E" w:rsidRPr="00063A0E" w:rsidRDefault="001D5B1E" w:rsidP="00063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A6EC4"/>
    <w:multiLevelType w:val="hybridMultilevel"/>
    <w:tmpl w:val="2FF43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17F16B3"/>
    <w:multiLevelType w:val="hybridMultilevel"/>
    <w:tmpl w:val="FF1091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3"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pStyle w:val="Footer"/>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5" w15:restartNumberingAfterBreak="0">
    <w:nsid w:val="094B4350"/>
    <w:multiLevelType w:val="hybridMultilevel"/>
    <w:tmpl w:val="29DC3B4C"/>
    <w:lvl w:ilvl="0" w:tplc="5336CF52">
      <w:start w:val="1"/>
      <w:numFmt w:val="bullet"/>
      <w:lvlText w:val=""/>
      <w:lvlJc w:val="left"/>
      <w:pPr>
        <w:ind w:left="720" w:hanging="360"/>
      </w:pPr>
      <w:rPr>
        <w:rFonts w:ascii="Symbol" w:hAnsi="Symbol"/>
      </w:rPr>
    </w:lvl>
    <w:lvl w:ilvl="1" w:tplc="F4BC675C">
      <w:start w:val="1"/>
      <w:numFmt w:val="bullet"/>
      <w:lvlText w:val=""/>
      <w:lvlJc w:val="left"/>
      <w:pPr>
        <w:ind w:left="720" w:hanging="360"/>
      </w:pPr>
      <w:rPr>
        <w:rFonts w:ascii="Symbol" w:hAnsi="Symbol"/>
      </w:rPr>
    </w:lvl>
    <w:lvl w:ilvl="2" w:tplc="AD1EDD90">
      <w:start w:val="1"/>
      <w:numFmt w:val="bullet"/>
      <w:lvlText w:val=""/>
      <w:lvlJc w:val="left"/>
      <w:pPr>
        <w:ind w:left="720" w:hanging="360"/>
      </w:pPr>
      <w:rPr>
        <w:rFonts w:ascii="Symbol" w:hAnsi="Symbol"/>
      </w:rPr>
    </w:lvl>
    <w:lvl w:ilvl="3" w:tplc="6E9E44E4">
      <w:start w:val="1"/>
      <w:numFmt w:val="bullet"/>
      <w:lvlText w:val=""/>
      <w:lvlJc w:val="left"/>
      <w:pPr>
        <w:ind w:left="720" w:hanging="360"/>
      </w:pPr>
      <w:rPr>
        <w:rFonts w:ascii="Symbol" w:hAnsi="Symbol"/>
      </w:rPr>
    </w:lvl>
    <w:lvl w:ilvl="4" w:tplc="35C4F094">
      <w:start w:val="1"/>
      <w:numFmt w:val="bullet"/>
      <w:lvlText w:val=""/>
      <w:lvlJc w:val="left"/>
      <w:pPr>
        <w:ind w:left="720" w:hanging="360"/>
      </w:pPr>
      <w:rPr>
        <w:rFonts w:ascii="Symbol" w:hAnsi="Symbol"/>
      </w:rPr>
    </w:lvl>
    <w:lvl w:ilvl="5" w:tplc="F6B4098E">
      <w:start w:val="1"/>
      <w:numFmt w:val="bullet"/>
      <w:lvlText w:val=""/>
      <w:lvlJc w:val="left"/>
      <w:pPr>
        <w:ind w:left="720" w:hanging="360"/>
      </w:pPr>
      <w:rPr>
        <w:rFonts w:ascii="Symbol" w:hAnsi="Symbol"/>
      </w:rPr>
    </w:lvl>
    <w:lvl w:ilvl="6" w:tplc="F3080D98">
      <w:start w:val="1"/>
      <w:numFmt w:val="bullet"/>
      <w:lvlText w:val=""/>
      <w:lvlJc w:val="left"/>
      <w:pPr>
        <w:ind w:left="720" w:hanging="360"/>
      </w:pPr>
      <w:rPr>
        <w:rFonts w:ascii="Symbol" w:hAnsi="Symbol"/>
      </w:rPr>
    </w:lvl>
    <w:lvl w:ilvl="7" w:tplc="06C2AEA8">
      <w:start w:val="1"/>
      <w:numFmt w:val="bullet"/>
      <w:lvlText w:val=""/>
      <w:lvlJc w:val="left"/>
      <w:pPr>
        <w:ind w:left="720" w:hanging="360"/>
      </w:pPr>
      <w:rPr>
        <w:rFonts w:ascii="Symbol" w:hAnsi="Symbol"/>
      </w:rPr>
    </w:lvl>
    <w:lvl w:ilvl="8" w:tplc="E61C8142">
      <w:start w:val="1"/>
      <w:numFmt w:val="bullet"/>
      <w:lvlText w:val=""/>
      <w:lvlJc w:val="left"/>
      <w:pPr>
        <w:ind w:left="720" w:hanging="360"/>
      </w:pPr>
      <w:rPr>
        <w:rFonts w:ascii="Symbol" w:hAnsi="Symbol"/>
      </w:rPr>
    </w:lvl>
  </w:abstractNum>
  <w:abstractNum w:abstractNumId="16"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7"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8"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9" w15:restartNumberingAfterBreak="0">
    <w:nsid w:val="0E324A2C"/>
    <w:multiLevelType w:val="hybridMultilevel"/>
    <w:tmpl w:val="72746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F9B5DB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737846"/>
    <w:multiLevelType w:val="hybridMultilevel"/>
    <w:tmpl w:val="3566F2A0"/>
    <w:name w:val="AGSTableFull"/>
    <w:lvl w:ilvl="0" w:tplc="06F42D4A">
      <w:start w:val="1"/>
      <w:numFmt w:val="lowerLetter"/>
      <w:pStyle w:val="Alphalist"/>
      <w:lvlText w:val="%1."/>
      <w:lvlJc w:val="left"/>
      <w:pPr>
        <w:tabs>
          <w:tab w:val="num" w:pos="1571"/>
        </w:tabs>
        <w:ind w:left="992" w:hanging="141"/>
      </w:pPr>
      <w:rPr>
        <w:rFonts w:cs="Times New Roman" w:hint="default"/>
      </w:rPr>
    </w:lvl>
    <w:lvl w:ilvl="1" w:tplc="E7BCC7B6">
      <w:start w:val="1"/>
      <w:numFmt w:val="lowerLetter"/>
      <w:lvlText w:val="%2."/>
      <w:lvlJc w:val="left"/>
      <w:pPr>
        <w:tabs>
          <w:tab w:val="num" w:pos="1080"/>
        </w:tabs>
        <w:ind w:left="1080" w:hanging="360"/>
      </w:pPr>
      <w:rPr>
        <w:rFonts w:cs="Times New Roman"/>
      </w:rPr>
    </w:lvl>
    <w:lvl w:ilvl="2" w:tplc="32A6895E">
      <w:start w:val="1"/>
      <w:numFmt w:val="bullet"/>
      <w:lvlText w:val=""/>
      <w:lvlJc w:val="left"/>
      <w:pPr>
        <w:tabs>
          <w:tab w:val="num" w:pos="1980"/>
        </w:tabs>
        <w:ind w:left="1980" w:hanging="360"/>
      </w:pPr>
      <w:rPr>
        <w:rFonts w:ascii="Symbol" w:hAnsi="Symbol" w:hint="default"/>
      </w:rPr>
    </w:lvl>
    <w:lvl w:ilvl="3" w:tplc="6290918C" w:tentative="1">
      <w:start w:val="1"/>
      <w:numFmt w:val="decimal"/>
      <w:lvlText w:val="%4."/>
      <w:lvlJc w:val="left"/>
      <w:pPr>
        <w:tabs>
          <w:tab w:val="num" w:pos="2520"/>
        </w:tabs>
        <w:ind w:left="2520" w:hanging="360"/>
      </w:pPr>
      <w:rPr>
        <w:rFonts w:cs="Times New Roman"/>
      </w:rPr>
    </w:lvl>
    <w:lvl w:ilvl="4" w:tplc="4C4C69F0" w:tentative="1">
      <w:start w:val="1"/>
      <w:numFmt w:val="lowerLetter"/>
      <w:lvlText w:val="%5."/>
      <w:lvlJc w:val="left"/>
      <w:pPr>
        <w:tabs>
          <w:tab w:val="num" w:pos="3240"/>
        </w:tabs>
        <w:ind w:left="3240" w:hanging="360"/>
      </w:pPr>
      <w:rPr>
        <w:rFonts w:cs="Times New Roman"/>
      </w:rPr>
    </w:lvl>
    <w:lvl w:ilvl="5" w:tplc="9BA21D36" w:tentative="1">
      <w:start w:val="1"/>
      <w:numFmt w:val="lowerRoman"/>
      <w:lvlText w:val="%6."/>
      <w:lvlJc w:val="right"/>
      <w:pPr>
        <w:tabs>
          <w:tab w:val="num" w:pos="3960"/>
        </w:tabs>
        <w:ind w:left="3960" w:hanging="180"/>
      </w:pPr>
      <w:rPr>
        <w:rFonts w:cs="Times New Roman"/>
      </w:rPr>
    </w:lvl>
    <w:lvl w:ilvl="6" w:tplc="07E2C9BE" w:tentative="1">
      <w:start w:val="1"/>
      <w:numFmt w:val="decimal"/>
      <w:lvlText w:val="%7."/>
      <w:lvlJc w:val="left"/>
      <w:pPr>
        <w:tabs>
          <w:tab w:val="num" w:pos="4680"/>
        </w:tabs>
        <w:ind w:left="4680" w:hanging="360"/>
      </w:pPr>
      <w:rPr>
        <w:rFonts w:cs="Times New Roman"/>
      </w:rPr>
    </w:lvl>
    <w:lvl w:ilvl="7" w:tplc="11844554" w:tentative="1">
      <w:start w:val="1"/>
      <w:numFmt w:val="lowerLetter"/>
      <w:lvlText w:val="%8."/>
      <w:lvlJc w:val="left"/>
      <w:pPr>
        <w:tabs>
          <w:tab w:val="num" w:pos="5400"/>
        </w:tabs>
        <w:ind w:left="5400" w:hanging="360"/>
      </w:pPr>
      <w:rPr>
        <w:rFonts w:cs="Times New Roman"/>
      </w:rPr>
    </w:lvl>
    <w:lvl w:ilvl="8" w:tplc="01F6B55A" w:tentative="1">
      <w:start w:val="1"/>
      <w:numFmt w:val="lowerRoman"/>
      <w:lvlText w:val="%9."/>
      <w:lvlJc w:val="right"/>
      <w:pPr>
        <w:tabs>
          <w:tab w:val="num" w:pos="6120"/>
        </w:tabs>
        <w:ind w:left="6120" w:hanging="180"/>
      </w:pPr>
      <w:rPr>
        <w:rFonts w:cs="Times New Roman"/>
      </w:rPr>
    </w:lvl>
  </w:abstractNum>
  <w:abstractNum w:abstractNumId="22" w15:restartNumberingAfterBreak="0">
    <w:nsid w:val="13567DDF"/>
    <w:multiLevelType w:val="hybridMultilevel"/>
    <w:tmpl w:val="592450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6421749"/>
    <w:multiLevelType w:val="singleLevel"/>
    <w:tmpl w:val="E73EF7AC"/>
    <w:styleLink w:val="ArticleSection"/>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8327664"/>
    <w:multiLevelType w:val="multilevel"/>
    <w:tmpl w:val="D954F5D4"/>
    <w:lvl w:ilvl="0">
      <w:start w:val="1"/>
      <w:numFmt w:val="decimal"/>
      <w:pStyle w:val="NumberLevel1"/>
      <w:lvlText w:val="%1."/>
      <w:lvlJc w:val="left"/>
      <w:pPr>
        <w:tabs>
          <w:tab w:val="num" w:pos="709"/>
        </w:tabs>
        <w:ind w:left="0" w:hanging="709"/>
      </w:pPr>
      <w:rPr>
        <w:rFonts w:hint="default"/>
        <w:b w:val="0"/>
        <w:i w:val="0"/>
        <w:sz w:val="20"/>
      </w:rPr>
    </w:lvl>
    <w:lvl w:ilvl="1">
      <w:start w:val="1"/>
      <w:numFmt w:val="decimal"/>
      <w:pStyle w:val="NumberLevel2"/>
      <w:lvlText w:val="%1.%2."/>
      <w:lvlJc w:val="left"/>
      <w:pPr>
        <w:tabs>
          <w:tab w:val="num" w:pos="4396"/>
        </w:tabs>
        <w:ind w:left="3687"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5" w15:restartNumberingAfterBreak="0">
    <w:nsid w:val="1DDF3229"/>
    <w:multiLevelType w:val="hybridMultilevel"/>
    <w:tmpl w:val="1FC4155C"/>
    <w:lvl w:ilvl="0" w:tplc="F322E9E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7" w15:restartNumberingAfterBreak="0">
    <w:nsid w:val="20B2756C"/>
    <w:multiLevelType w:val="hybridMultilevel"/>
    <w:tmpl w:val="020024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29"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30"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31"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32"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33" w15:restartNumberingAfterBreak="0">
    <w:nsid w:val="2E0F424D"/>
    <w:multiLevelType w:val="hybridMultilevel"/>
    <w:tmpl w:val="7D9680B6"/>
    <w:lvl w:ilvl="0" w:tplc="7534BD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35" w15:restartNumberingAfterBreak="0">
    <w:nsid w:val="2F964DD5"/>
    <w:multiLevelType w:val="hybridMultilevel"/>
    <w:tmpl w:val="75D87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3DB1A81"/>
    <w:multiLevelType w:val="hybridMultilevel"/>
    <w:tmpl w:val="E8049914"/>
    <w:name w:val="AGSQuote22"/>
    <w:lvl w:ilvl="0" w:tplc="79DA156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41B27AC"/>
    <w:multiLevelType w:val="hybridMultilevel"/>
    <w:tmpl w:val="42148F2C"/>
    <w:lvl w:ilvl="0" w:tplc="01020996">
      <w:start w:val="1"/>
      <w:numFmt w:val="decimal"/>
      <w:lvlText w:val="%1."/>
      <w:lvlJc w:val="left"/>
      <w:pPr>
        <w:ind w:left="1440" w:hanging="360"/>
      </w:pPr>
    </w:lvl>
    <w:lvl w:ilvl="1" w:tplc="187CA086">
      <w:start w:val="1"/>
      <w:numFmt w:val="decimal"/>
      <w:lvlText w:val="%2."/>
      <w:lvlJc w:val="left"/>
      <w:pPr>
        <w:ind w:left="1440" w:hanging="360"/>
      </w:pPr>
    </w:lvl>
    <w:lvl w:ilvl="2" w:tplc="D090CAB0">
      <w:start w:val="1"/>
      <w:numFmt w:val="decimal"/>
      <w:lvlText w:val="%3."/>
      <w:lvlJc w:val="left"/>
      <w:pPr>
        <w:ind w:left="1440" w:hanging="360"/>
      </w:pPr>
    </w:lvl>
    <w:lvl w:ilvl="3" w:tplc="7C7C224E">
      <w:start w:val="1"/>
      <w:numFmt w:val="decimal"/>
      <w:lvlText w:val="%4."/>
      <w:lvlJc w:val="left"/>
      <w:pPr>
        <w:ind w:left="1440" w:hanging="360"/>
      </w:pPr>
    </w:lvl>
    <w:lvl w:ilvl="4" w:tplc="83724E56">
      <w:start w:val="1"/>
      <w:numFmt w:val="decimal"/>
      <w:lvlText w:val="%5."/>
      <w:lvlJc w:val="left"/>
      <w:pPr>
        <w:ind w:left="1440" w:hanging="360"/>
      </w:pPr>
    </w:lvl>
    <w:lvl w:ilvl="5" w:tplc="AEAC73F0">
      <w:start w:val="1"/>
      <w:numFmt w:val="decimal"/>
      <w:lvlText w:val="%6."/>
      <w:lvlJc w:val="left"/>
      <w:pPr>
        <w:ind w:left="1440" w:hanging="360"/>
      </w:pPr>
    </w:lvl>
    <w:lvl w:ilvl="6" w:tplc="18B41E90">
      <w:start w:val="1"/>
      <w:numFmt w:val="decimal"/>
      <w:lvlText w:val="%7."/>
      <w:lvlJc w:val="left"/>
      <w:pPr>
        <w:ind w:left="1440" w:hanging="360"/>
      </w:pPr>
    </w:lvl>
    <w:lvl w:ilvl="7" w:tplc="D784A474">
      <w:start w:val="1"/>
      <w:numFmt w:val="decimal"/>
      <w:lvlText w:val="%8."/>
      <w:lvlJc w:val="left"/>
      <w:pPr>
        <w:ind w:left="1440" w:hanging="360"/>
      </w:pPr>
    </w:lvl>
    <w:lvl w:ilvl="8" w:tplc="A88C9966">
      <w:start w:val="1"/>
      <w:numFmt w:val="decimal"/>
      <w:lvlText w:val="%9."/>
      <w:lvlJc w:val="left"/>
      <w:pPr>
        <w:ind w:left="1440" w:hanging="360"/>
      </w:pPr>
    </w:lvl>
  </w:abstractNum>
  <w:abstractNum w:abstractNumId="38"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39" w15:restartNumberingAfterBreak="0">
    <w:nsid w:val="3F4903CA"/>
    <w:multiLevelType w:val="hybridMultilevel"/>
    <w:tmpl w:val="017EA1EC"/>
    <w:lvl w:ilvl="0" w:tplc="80326F3C">
      <w:start w:val="1"/>
      <w:numFmt w:val="bullet"/>
      <w:lvlText w:val=""/>
      <w:lvlJc w:val="left"/>
      <w:pPr>
        <w:ind w:left="720" w:hanging="360"/>
      </w:pPr>
      <w:rPr>
        <w:rFonts w:ascii="Symbol" w:hAnsi="Symbol"/>
      </w:rPr>
    </w:lvl>
    <w:lvl w:ilvl="1" w:tplc="EFE60BC0">
      <w:start w:val="1"/>
      <w:numFmt w:val="bullet"/>
      <w:lvlText w:val=""/>
      <w:lvlJc w:val="left"/>
      <w:pPr>
        <w:ind w:left="720" w:hanging="360"/>
      </w:pPr>
      <w:rPr>
        <w:rFonts w:ascii="Symbol" w:hAnsi="Symbol"/>
      </w:rPr>
    </w:lvl>
    <w:lvl w:ilvl="2" w:tplc="2966B64A">
      <w:start w:val="1"/>
      <w:numFmt w:val="bullet"/>
      <w:lvlText w:val=""/>
      <w:lvlJc w:val="left"/>
      <w:pPr>
        <w:ind w:left="720" w:hanging="360"/>
      </w:pPr>
      <w:rPr>
        <w:rFonts w:ascii="Symbol" w:hAnsi="Symbol"/>
      </w:rPr>
    </w:lvl>
    <w:lvl w:ilvl="3" w:tplc="CD90C092">
      <w:start w:val="1"/>
      <w:numFmt w:val="bullet"/>
      <w:lvlText w:val=""/>
      <w:lvlJc w:val="left"/>
      <w:pPr>
        <w:ind w:left="720" w:hanging="360"/>
      </w:pPr>
      <w:rPr>
        <w:rFonts w:ascii="Symbol" w:hAnsi="Symbol"/>
      </w:rPr>
    </w:lvl>
    <w:lvl w:ilvl="4" w:tplc="1F22D848">
      <w:start w:val="1"/>
      <w:numFmt w:val="bullet"/>
      <w:lvlText w:val=""/>
      <w:lvlJc w:val="left"/>
      <w:pPr>
        <w:ind w:left="720" w:hanging="360"/>
      </w:pPr>
      <w:rPr>
        <w:rFonts w:ascii="Symbol" w:hAnsi="Symbol"/>
      </w:rPr>
    </w:lvl>
    <w:lvl w:ilvl="5" w:tplc="E93AF1A8">
      <w:start w:val="1"/>
      <w:numFmt w:val="bullet"/>
      <w:lvlText w:val=""/>
      <w:lvlJc w:val="left"/>
      <w:pPr>
        <w:ind w:left="720" w:hanging="360"/>
      </w:pPr>
      <w:rPr>
        <w:rFonts w:ascii="Symbol" w:hAnsi="Symbol"/>
      </w:rPr>
    </w:lvl>
    <w:lvl w:ilvl="6" w:tplc="719E2BA8">
      <w:start w:val="1"/>
      <w:numFmt w:val="bullet"/>
      <w:lvlText w:val=""/>
      <w:lvlJc w:val="left"/>
      <w:pPr>
        <w:ind w:left="720" w:hanging="360"/>
      </w:pPr>
      <w:rPr>
        <w:rFonts w:ascii="Symbol" w:hAnsi="Symbol"/>
      </w:rPr>
    </w:lvl>
    <w:lvl w:ilvl="7" w:tplc="461AB75E">
      <w:start w:val="1"/>
      <w:numFmt w:val="bullet"/>
      <w:lvlText w:val=""/>
      <w:lvlJc w:val="left"/>
      <w:pPr>
        <w:ind w:left="720" w:hanging="360"/>
      </w:pPr>
      <w:rPr>
        <w:rFonts w:ascii="Symbol" w:hAnsi="Symbol"/>
      </w:rPr>
    </w:lvl>
    <w:lvl w:ilvl="8" w:tplc="04744794">
      <w:start w:val="1"/>
      <w:numFmt w:val="bullet"/>
      <w:lvlText w:val=""/>
      <w:lvlJc w:val="left"/>
      <w:pPr>
        <w:ind w:left="720" w:hanging="360"/>
      </w:pPr>
      <w:rPr>
        <w:rFonts w:ascii="Symbol" w:hAnsi="Symbol"/>
      </w:rPr>
    </w:lvl>
  </w:abstractNum>
  <w:abstractNum w:abstractNumId="40" w15:restartNumberingAfterBreak="0">
    <w:nsid w:val="40F832F6"/>
    <w:multiLevelType w:val="hybridMultilevel"/>
    <w:tmpl w:val="99E698FA"/>
    <w:lvl w:ilvl="0" w:tplc="2110EE44">
      <w:start w:val="1"/>
      <w:numFmt w:val="bullet"/>
      <w:lvlText w:val=""/>
      <w:lvlJc w:val="left"/>
      <w:pPr>
        <w:ind w:left="720" w:hanging="360"/>
      </w:pPr>
      <w:rPr>
        <w:rFonts w:ascii="Symbol" w:hAnsi="Symbol"/>
      </w:rPr>
    </w:lvl>
    <w:lvl w:ilvl="1" w:tplc="4E685650">
      <w:start w:val="1"/>
      <w:numFmt w:val="bullet"/>
      <w:lvlText w:val=""/>
      <w:lvlJc w:val="left"/>
      <w:pPr>
        <w:ind w:left="720" w:hanging="360"/>
      </w:pPr>
      <w:rPr>
        <w:rFonts w:ascii="Symbol" w:hAnsi="Symbol"/>
      </w:rPr>
    </w:lvl>
    <w:lvl w:ilvl="2" w:tplc="BCC8EE60">
      <w:start w:val="1"/>
      <w:numFmt w:val="bullet"/>
      <w:lvlText w:val=""/>
      <w:lvlJc w:val="left"/>
      <w:pPr>
        <w:ind w:left="720" w:hanging="360"/>
      </w:pPr>
      <w:rPr>
        <w:rFonts w:ascii="Symbol" w:hAnsi="Symbol"/>
      </w:rPr>
    </w:lvl>
    <w:lvl w:ilvl="3" w:tplc="8062906E">
      <w:start w:val="1"/>
      <w:numFmt w:val="bullet"/>
      <w:lvlText w:val=""/>
      <w:lvlJc w:val="left"/>
      <w:pPr>
        <w:ind w:left="720" w:hanging="360"/>
      </w:pPr>
      <w:rPr>
        <w:rFonts w:ascii="Symbol" w:hAnsi="Symbol"/>
      </w:rPr>
    </w:lvl>
    <w:lvl w:ilvl="4" w:tplc="605C2E04">
      <w:start w:val="1"/>
      <w:numFmt w:val="bullet"/>
      <w:lvlText w:val=""/>
      <w:lvlJc w:val="left"/>
      <w:pPr>
        <w:ind w:left="720" w:hanging="360"/>
      </w:pPr>
      <w:rPr>
        <w:rFonts w:ascii="Symbol" w:hAnsi="Symbol"/>
      </w:rPr>
    </w:lvl>
    <w:lvl w:ilvl="5" w:tplc="BBEA87D0">
      <w:start w:val="1"/>
      <w:numFmt w:val="bullet"/>
      <w:lvlText w:val=""/>
      <w:lvlJc w:val="left"/>
      <w:pPr>
        <w:ind w:left="720" w:hanging="360"/>
      </w:pPr>
      <w:rPr>
        <w:rFonts w:ascii="Symbol" w:hAnsi="Symbol"/>
      </w:rPr>
    </w:lvl>
    <w:lvl w:ilvl="6" w:tplc="A0661176">
      <w:start w:val="1"/>
      <w:numFmt w:val="bullet"/>
      <w:lvlText w:val=""/>
      <w:lvlJc w:val="left"/>
      <w:pPr>
        <w:ind w:left="720" w:hanging="360"/>
      </w:pPr>
      <w:rPr>
        <w:rFonts w:ascii="Symbol" w:hAnsi="Symbol"/>
      </w:rPr>
    </w:lvl>
    <w:lvl w:ilvl="7" w:tplc="41F49CF6">
      <w:start w:val="1"/>
      <w:numFmt w:val="bullet"/>
      <w:lvlText w:val=""/>
      <w:lvlJc w:val="left"/>
      <w:pPr>
        <w:ind w:left="720" w:hanging="360"/>
      </w:pPr>
      <w:rPr>
        <w:rFonts w:ascii="Symbol" w:hAnsi="Symbol"/>
      </w:rPr>
    </w:lvl>
    <w:lvl w:ilvl="8" w:tplc="16BA36FA">
      <w:start w:val="1"/>
      <w:numFmt w:val="bullet"/>
      <w:lvlText w:val=""/>
      <w:lvlJc w:val="left"/>
      <w:pPr>
        <w:ind w:left="720" w:hanging="360"/>
      </w:pPr>
      <w:rPr>
        <w:rFonts w:ascii="Symbol" w:hAnsi="Symbol"/>
      </w:rPr>
    </w:lvl>
  </w:abstractNum>
  <w:abstractNum w:abstractNumId="41" w15:restartNumberingAfterBreak="0">
    <w:nsid w:val="469E5F1C"/>
    <w:multiLevelType w:val="hybridMultilevel"/>
    <w:tmpl w:val="F6D265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7346494"/>
    <w:multiLevelType w:val="hybridMultilevel"/>
    <w:tmpl w:val="ACAA7FB6"/>
    <w:lvl w:ilvl="0" w:tplc="DC52AF70">
      <w:start w:val="1"/>
      <w:numFmt w:val="bullet"/>
      <w:lvlText w:val=""/>
      <w:lvlJc w:val="left"/>
      <w:pPr>
        <w:ind w:left="720" w:hanging="360"/>
      </w:pPr>
      <w:rPr>
        <w:rFonts w:ascii="Symbol" w:hAnsi="Symbol"/>
      </w:rPr>
    </w:lvl>
    <w:lvl w:ilvl="1" w:tplc="01B60A4E">
      <w:start w:val="1"/>
      <w:numFmt w:val="bullet"/>
      <w:lvlText w:val=""/>
      <w:lvlJc w:val="left"/>
      <w:pPr>
        <w:ind w:left="720" w:hanging="360"/>
      </w:pPr>
      <w:rPr>
        <w:rFonts w:ascii="Symbol" w:hAnsi="Symbol"/>
      </w:rPr>
    </w:lvl>
    <w:lvl w:ilvl="2" w:tplc="CD7471A6">
      <w:start w:val="1"/>
      <w:numFmt w:val="bullet"/>
      <w:lvlText w:val=""/>
      <w:lvlJc w:val="left"/>
      <w:pPr>
        <w:ind w:left="720" w:hanging="360"/>
      </w:pPr>
      <w:rPr>
        <w:rFonts w:ascii="Symbol" w:hAnsi="Symbol"/>
      </w:rPr>
    </w:lvl>
    <w:lvl w:ilvl="3" w:tplc="60808E90">
      <w:start w:val="1"/>
      <w:numFmt w:val="bullet"/>
      <w:lvlText w:val=""/>
      <w:lvlJc w:val="left"/>
      <w:pPr>
        <w:ind w:left="720" w:hanging="360"/>
      </w:pPr>
      <w:rPr>
        <w:rFonts w:ascii="Symbol" w:hAnsi="Symbol"/>
      </w:rPr>
    </w:lvl>
    <w:lvl w:ilvl="4" w:tplc="CD027286">
      <w:start w:val="1"/>
      <w:numFmt w:val="bullet"/>
      <w:lvlText w:val=""/>
      <w:lvlJc w:val="left"/>
      <w:pPr>
        <w:ind w:left="720" w:hanging="360"/>
      </w:pPr>
      <w:rPr>
        <w:rFonts w:ascii="Symbol" w:hAnsi="Symbol"/>
      </w:rPr>
    </w:lvl>
    <w:lvl w:ilvl="5" w:tplc="09C41616">
      <w:start w:val="1"/>
      <w:numFmt w:val="bullet"/>
      <w:lvlText w:val=""/>
      <w:lvlJc w:val="left"/>
      <w:pPr>
        <w:ind w:left="720" w:hanging="360"/>
      </w:pPr>
      <w:rPr>
        <w:rFonts w:ascii="Symbol" w:hAnsi="Symbol"/>
      </w:rPr>
    </w:lvl>
    <w:lvl w:ilvl="6" w:tplc="8AE8639A">
      <w:start w:val="1"/>
      <w:numFmt w:val="bullet"/>
      <w:lvlText w:val=""/>
      <w:lvlJc w:val="left"/>
      <w:pPr>
        <w:ind w:left="720" w:hanging="360"/>
      </w:pPr>
      <w:rPr>
        <w:rFonts w:ascii="Symbol" w:hAnsi="Symbol"/>
      </w:rPr>
    </w:lvl>
    <w:lvl w:ilvl="7" w:tplc="9FA6213E">
      <w:start w:val="1"/>
      <w:numFmt w:val="bullet"/>
      <w:lvlText w:val=""/>
      <w:lvlJc w:val="left"/>
      <w:pPr>
        <w:ind w:left="720" w:hanging="360"/>
      </w:pPr>
      <w:rPr>
        <w:rFonts w:ascii="Symbol" w:hAnsi="Symbol"/>
      </w:rPr>
    </w:lvl>
    <w:lvl w:ilvl="8" w:tplc="B0FC4DCC">
      <w:start w:val="1"/>
      <w:numFmt w:val="bullet"/>
      <w:lvlText w:val=""/>
      <w:lvlJc w:val="left"/>
      <w:pPr>
        <w:ind w:left="720" w:hanging="360"/>
      </w:pPr>
      <w:rPr>
        <w:rFonts w:ascii="Symbol" w:hAnsi="Symbol"/>
      </w:rPr>
    </w:lvl>
  </w:abstractNum>
  <w:abstractNum w:abstractNumId="43" w15:restartNumberingAfterBreak="0">
    <w:nsid w:val="48005F55"/>
    <w:multiLevelType w:val="hybridMultilevel"/>
    <w:tmpl w:val="2F5409C0"/>
    <w:lvl w:ilvl="0" w:tplc="851C2568">
      <w:start w:val="1"/>
      <w:numFmt w:val="bullet"/>
      <w:lvlText w:val=""/>
      <w:lvlJc w:val="left"/>
      <w:pPr>
        <w:ind w:left="720" w:hanging="360"/>
      </w:pPr>
      <w:rPr>
        <w:rFonts w:ascii="Symbol" w:hAnsi="Symbol"/>
      </w:rPr>
    </w:lvl>
    <w:lvl w:ilvl="1" w:tplc="82A2FD56">
      <w:start w:val="1"/>
      <w:numFmt w:val="bullet"/>
      <w:lvlText w:val=""/>
      <w:lvlJc w:val="left"/>
      <w:pPr>
        <w:ind w:left="720" w:hanging="360"/>
      </w:pPr>
      <w:rPr>
        <w:rFonts w:ascii="Symbol" w:hAnsi="Symbol"/>
      </w:rPr>
    </w:lvl>
    <w:lvl w:ilvl="2" w:tplc="8FC0408E">
      <w:start w:val="1"/>
      <w:numFmt w:val="bullet"/>
      <w:lvlText w:val=""/>
      <w:lvlJc w:val="left"/>
      <w:pPr>
        <w:ind w:left="720" w:hanging="360"/>
      </w:pPr>
      <w:rPr>
        <w:rFonts w:ascii="Symbol" w:hAnsi="Symbol"/>
      </w:rPr>
    </w:lvl>
    <w:lvl w:ilvl="3" w:tplc="E4CE377A">
      <w:start w:val="1"/>
      <w:numFmt w:val="bullet"/>
      <w:lvlText w:val=""/>
      <w:lvlJc w:val="left"/>
      <w:pPr>
        <w:ind w:left="720" w:hanging="360"/>
      </w:pPr>
      <w:rPr>
        <w:rFonts w:ascii="Symbol" w:hAnsi="Symbol"/>
      </w:rPr>
    </w:lvl>
    <w:lvl w:ilvl="4" w:tplc="D298C7E8">
      <w:start w:val="1"/>
      <w:numFmt w:val="bullet"/>
      <w:lvlText w:val=""/>
      <w:lvlJc w:val="left"/>
      <w:pPr>
        <w:ind w:left="720" w:hanging="360"/>
      </w:pPr>
      <w:rPr>
        <w:rFonts w:ascii="Symbol" w:hAnsi="Symbol"/>
      </w:rPr>
    </w:lvl>
    <w:lvl w:ilvl="5" w:tplc="A22E4106">
      <w:start w:val="1"/>
      <w:numFmt w:val="bullet"/>
      <w:lvlText w:val=""/>
      <w:lvlJc w:val="left"/>
      <w:pPr>
        <w:ind w:left="720" w:hanging="360"/>
      </w:pPr>
      <w:rPr>
        <w:rFonts w:ascii="Symbol" w:hAnsi="Symbol"/>
      </w:rPr>
    </w:lvl>
    <w:lvl w:ilvl="6" w:tplc="CE74DBBA">
      <w:start w:val="1"/>
      <w:numFmt w:val="bullet"/>
      <w:lvlText w:val=""/>
      <w:lvlJc w:val="left"/>
      <w:pPr>
        <w:ind w:left="720" w:hanging="360"/>
      </w:pPr>
      <w:rPr>
        <w:rFonts w:ascii="Symbol" w:hAnsi="Symbol"/>
      </w:rPr>
    </w:lvl>
    <w:lvl w:ilvl="7" w:tplc="00EE0BD6">
      <w:start w:val="1"/>
      <w:numFmt w:val="bullet"/>
      <w:lvlText w:val=""/>
      <w:lvlJc w:val="left"/>
      <w:pPr>
        <w:ind w:left="720" w:hanging="360"/>
      </w:pPr>
      <w:rPr>
        <w:rFonts w:ascii="Symbol" w:hAnsi="Symbol"/>
      </w:rPr>
    </w:lvl>
    <w:lvl w:ilvl="8" w:tplc="75B64B80">
      <w:start w:val="1"/>
      <w:numFmt w:val="bullet"/>
      <w:lvlText w:val=""/>
      <w:lvlJc w:val="left"/>
      <w:pPr>
        <w:ind w:left="720" w:hanging="360"/>
      </w:pPr>
      <w:rPr>
        <w:rFonts w:ascii="Symbol" w:hAnsi="Symbol"/>
      </w:rPr>
    </w:lvl>
  </w:abstractNum>
  <w:abstractNum w:abstractNumId="44" w15:restartNumberingAfterBreak="0">
    <w:nsid w:val="493B109E"/>
    <w:multiLevelType w:val="hybridMultilevel"/>
    <w:tmpl w:val="4BFA219C"/>
    <w:lvl w:ilvl="0" w:tplc="B89E1AF2">
      <w:start w:val="1"/>
      <w:numFmt w:val="bullet"/>
      <w:lvlText w:val=""/>
      <w:lvlJc w:val="left"/>
      <w:pPr>
        <w:ind w:left="720" w:hanging="360"/>
      </w:pPr>
      <w:rPr>
        <w:rFonts w:ascii="Symbol" w:hAnsi="Symbol"/>
      </w:rPr>
    </w:lvl>
    <w:lvl w:ilvl="1" w:tplc="2924CD1E">
      <w:start w:val="1"/>
      <w:numFmt w:val="bullet"/>
      <w:lvlText w:val=""/>
      <w:lvlJc w:val="left"/>
      <w:pPr>
        <w:ind w:left="720" w:hanging="360"/>
      </w:pPr>
      <w:rPr>
        <w:rFonts w:ascii="Symbol" w:hAnsi="Symbol"/>
      </w:rPr>
    </w:lvl>
    <w:lvl w:ilvl="2" w:tplc="A66ACA80">
      <w:start w:val="1"/>
      <w:numFmt w:val="bullet"/>
      <w:lvlText w:val=""/>
      <w:lvlJc w:val="left"/>
      <w:pPr>
        <w:ind w:left="720" w:hanging="360"/>
      </w:pPr>
      <w:rPr>
        <w:rFonts w:ascii="Symbol" w:hAnsi="Symbol"/>
      </w:rPr>
    </w:lvl>
    <w:lvl w:ilvl="3" w:tplc="24925EC2">
      <w:start w:val="1"/>
      <w:numFmt w:val="bullet"/>
      <w:lvlText w:val=""/>
      <w:lvlJc w:val="left"/>
      <w:pPr>
        <w:ind w:left="720" w:hanging="360"/>
      </w:pPr>
      <w:rPr>
        <w:rFonts w:ascii="Symbol" w:hAnsi="Symbol"/>
      </w:rPr>
    </w:lvl>
    <w:lvl w:ilvl="4" w:tplc="9926F04A">
      <w:start w:val="1"/>
      <w:numFmt w:val="bullet"/>
      <w:lvlText w:val=""/>
      <w:lvlJc w:val="left"/>
      <w:pPr>
        <w:ind w:left="720" w:hanging="360"/>
      </w:pPr>
      <w:rPr>
        <w:rFonts w:ascii="Symbol" w:hAnsi="Symbol"/>
      </w:rPr>
    </w:lvl>
    <w:lvl w:ilvl="5" w:tplc="D88E6EBE">
      <w:start w:val="1"/>
      <w:numFmt w:val="bullet"/>
      <w:lvlText w:val=""/>
      <w:lvlJc w:val="left"/>
      <w:pPr>
        <w:ind w:left="720" w:hanging="360"/>
      </w:pPr>
      <w:rPr>
        <w:rFonts w:ascii="Symbol" w:hAnsi="Symbol"/>
      </w:rPr>
    </w:lvl>
    <w:lvl w:ilvl="6" w:tplc="0E7E7666">
      <w:start w:val="1"/>
      <w:numFmt w:val="bullet"/>
      <w:lvlText w:val=""/>
      <w:lvlJc w:val="left"/>
      <w:pPr>
        <w:ind w:left="720" w:hanging="360"/>
      </w:pPr>
      <w:rPr>
        <w:rFonts w:ascii="Symbol" w:hAnsi="Symbol"/>
      </w:rPr>
    </w:lvl>
    <w:lvl w:ilvl="7" w:tplc="A886CFA8">
      <w:start w:val="1"/>
      <w:numFmt w:val="bullet"/>
      <w:lvlText w:val=""/>
      <w:lvlJc w:val="left"/>
      <w:pPr>
        <w:ind w:left="720" w:hanging="360"/>
      </w:pPr>
      <w:rPr>
        <w:rFonts w:ascii="Symbol" w:hAnsi="Symbol"/>
      </w:rPr>
    </w:lvl>
    <w:lvl w:ilvl="8" w:tplc="FFC02926">
      <w:start w:val="1"/>
      <w:numFmt w:val="bullet"/>
      <w:lvlText w:val=""/>
      <w:lvlJc w:val="left"/>
      <w:pPr>
        <w:ind w:left="720" w:hanging="360"/>
      </w:pPr>
      <w:rPr>
        <w:rFonts w:ascii="Symbol" w:hAnsi="Symbol"/>
      </w:rPr>
    </w:lvl>
  </w:abstractNum>
  <w:abstractNum w:abstractNumId="45" w15:restartNumberingAfterBreak="0">
    <w:nsid w:val="50644845"/>
    <w:multiLevelType w:val="hybridMultilevel"/>
    <w:tmpl w:val="63DA2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108645E"/>
    <w:multiLevelType w:val="hybridMultilevel"/>
    <w:tmpl w:val="62BAD412"/>
    <w:lvl w:ilvl="0" w:tplc="34D401C6">
      <w:start w:val="1"/>
      <w:numFmt w:val="decimal"/>
      <w:lvlText w:val="%1."/>
      <w:lvlJc w:val="left"/>
      <w:pPr>
        <w:ind w:left="1440" w:hanging="360"/>
      </w:pPr>
    </w:lvl>
    <w:lvl w:ilvl="1" w:tplc="6FDCB0E8">
      <w:start w:val="1"/>
      <w:numFmt w:val="decimal"/>
      <w:lvlText w:val="%2."/>
      <w:lvlJc w:val="left"/>
      <w:pPr>
        <w:ind w:left="1440" w:hanging="360"/>
      </w:pPr>
    </w:lvl>
    <w:lvl w:ilvl="2" w:tplc="28E68272">
      <w:start w:val="1"/>
      <w:numFmt w:val="decimal"/>
      <w:lvlText w:val="%3."/>
      <w:lvlJc w:val="left"/>
      <w:pPr>
        <w:ind w:left="1440" w:hanging="360"/>
      </w:pPr>
    </w:lvl>
    <w:lvl w:ilvl="3" w:tplc="C668FAB6">
      <w:start w:val="1"/>
      <w:numFmt w:val="decimal"/>
      <w:lvlText w:val="%4."/>
      <w:lvlJc w:val="left"/>
      <w:pPr>
        <w:ind w:left="1440" w:hanging="360"/>
      </w:pPr>
    </w:lvl>
    <w:lvl w:ilvl="4" w:tplc="A7620774">
      <w:start w:val="1"/>
      <w:numFmt w:val="decimal"/>
      <w:lvlText w:val="%5."/>
      <w:lvlJc w:val="left"/>
      <w:pPr>
        <w:ind w:left="1440" w:hanging="360"/>
      </w:pPr>
    </w:lvl>
    <w:lvl w:ilvl="5" w:tplc="25B274AA">
      <w:start w:val="1"/>
      <w:numFmt w:val="decimal"/>
      <w:lvlText w:val="%6."/>
      <w:lvlJc w:val="left"/>
      <w:pPr>
        <w:ind w:left="1440" w:hanging="360"/>
      </w:pPr>
    </w:lvl>
    <w:lvl w:ilvl="6" w:tplc="FCEA34C4">
      <w:start w:val="1"/>
      <w:numFmt w:val="decimal"/>
      <w:lvlText w:val="%7."/>
      <w:lvlJc w:val="left"/>
      <w:pPr>
        <w:ind w:left="1440" w:hanging="360"/>
      </w:pPr>
    </w:lvl>
    <w:lvl w:ilvl="7" w:tplc="ADE6D27C">
      <w:start w:val="1"/>
      <w:numFmt w:val="decimal"/>
      <w:lvlText w:val="%8."/>
      <w:lvlJc w:val="left"/>
      <w:pPr>
        <w:ind w:left="1440" w:hanging="360"/>
      </w:pPr>
    </w:lvl>
    <w:lvl w:ilvl="8" w:tplc="88B88770">
      <w:start w:val="1"/>
      <w:numFmt w:val="decimal"/>
      <w:lvlText w:val="%9."/>
      <w:lvlJc w:val="left"/>
      <w:pPr>
        <w:ind w:left="1440" w:hanging="360"/>
      </w:pPr>
    </w:lvl>
  </w:abstractNum>
  <w:abstractNum w:abstractNumId="47" w15:restartNumberingAfterBreak="0">
    <w:nsid w:val="53983368"/>
    <w:multiLevelType w:val="hybridMultilevel"/>
    <w:tmpl w:val="ACC6D510"/>
    <w:lvl w:ilvl="0" w:tplc="45C64634">
      <w:start w:val="1"/>
      <w:numFmt w:val="bullet"/>
      <w:lvlText w:val=""/>
      <w:lvlJc w:val="left"/>
      <w:pPr>
        <w:ind w:left="720" w:hanging="360"/>
      </w:pPr>
      <w:rPr>
        <w:rFonts w:ascii="Symbol" w:hAnsi="Symbol"/>
      </w:rPr>
    </w:lvl>
    <w:lvl w:ilvl="1" w:tplc="9DC03D9C">
      <w:start w:val="1"/>
      <w:numFmt w:val="bullet"/>
      <w:lvlText w:val=""/>
      <w:lvlJc w:val="left"/>
      <w:pPr>
        <w:ind w:left="720" w:hanging="360"/>
      </w:pPr>
      <w:rPr>
        <w:rFonts w:ascii="Symbol" w:hAnsi="Symbol"/>
      </w:rPr>
    </w:lvl>
    <w:lvl w:ilvl="2" w:tplc="E670ED9A">
      <w:start w:val="1"/>
      <w:numFmt w:val="bullet"/>
      <w:lvlText w:val=""/>
      <w:lvlJc w:val="left"/>
      <w:pPr>
        <w:ind w:left="720" w:hanging="360"/>
      </w:pPr>
      <w:rPr>
        <w:rFonts w:ascii="Symbol" w:hAnsi="Symbol"/>
      </w:rPr>
    </w:lvl>
    <w:lvl w:ilvl="3" w:tplc="D4E6095E">
      <w:start w:val="1"/>
      <w:numFmt w:val="bullet"/>
      <w:lvlText w:val=""/>
      <w:lvlJc w:val="left"/>
      <w:pPr>
        <w:ind w:left="720" w:hanging="360"/>
      </w:pPr>
      <w:rPr>
        <w:rFonts w:ascii="Symbol" w:hAnsi="Symbol"/>
      </w:rPr>
    </w:lvl>
    <w:lvl w:ilvl="4" w:tplc="A1608918">
      <w:start w:val="1"/>
      <w:numFmt w:val="bullet"/>
      <w:lvlText w:val=""/>
      <w:lvlJc w:val="left"/>
      <w:pPr>
        <w:ind w:left="720" w:hanging="360"/>
      </w:pPr>
      <w:rPr>
        <w:rFonts w:ascii="Symbol" w:hAnsi="Symbol"/>
      </w:rPr>
    </w:lvl>
    <w:lvl w:ilvl="5" w:tplc="EF66D94C">
      <w:start w:val="1"/>
      <w:numFmt w:val="bullet"/>
      <w:lvlText w:val=""/>
      <w:lvlJc w:val="left"/>
      <w:pPr>
        <w:ind w:left="720" w:hanging="360"/>
      </w:pPr>
      <w:rPr>
        <w:rFonts w:ascii="Symbol" w:hAnsi="Symbol"/>
      </w:rPr>
    </w:lvl>
    <w:lvl w:ilvl="6" w:tplc="FB244B9A">
      <w:start w:val="1"/>
      <w:numFmt w:val="bullet"/>
      <w:lvlText w:val=""/>
      <w:lvlJc w:val="left"/>
      <w:pPr>
        <w:ind w:left="720" w:hanging="360"/>
      </w:pPr>
      <w:rPr>
        <w:rFonts w:ascii="Symbol" w:hAnsi="Symbol"/>
      </w:rPr>
    </w:lvl>
    <w:lvl w:ilvl="7" w:tplc="D0D6572C">
      <w:start w:val="1"/>
      <w:numFmt w:val="bullet"/>
      <w:lvlText w:val=""/>
      <w:lvlJc w:val="left"/>
      <w:pPr>
        <w:ind w:left="720" w:hanging="360"/>
      </w:pPr>
      <w:rPr>
        <w:rFonts w:ascii="Symbol" w:hAnsi="Symbol"/>
      </w:rPr>
    </w:lvl>
    <w:lvl w:ilvl="8" w:tplc="95649DCC">
      <w:start w:val="1"/>
      <w:numFmt w:val="bullet"/>
      <w:lvlText w:val=""/>
      <w:lvlJc w:val="left"/>
      <w:pPr>
        <w:ind w:left="720" w:hanging="360"/>
      </w:pPr>
      <w:rPr>
        <w:rFonts w:ascii="Symbol" w:hAnsi="Symbol"/>
      </w:rPr>
    </w:lvl>
  </w:abstractNum>
  <w:abstractNum w:abstractNumId="48" w15:restartNumberingAfterBreak="0">
    <w:nsid w:val="550A1E23"/>
    <w:multiLevelType w:val="hybridMultilevel"/>
    <w:tmpl w:val="3802EBBE"/>
    <w:lvl w:ilvl="0" w:tplc="7534BD2E">
      <w:start w:val="1"/>
      <w:numFmt w:val="bullet"/>
      <w:lvlText w:val=""/>
      <w:lvlJc w:val="left"/>
      <w:pPr>
        <w:ind w:left="360" w:hanging="360"/>
      </w:pPr>
      <w:rPr>
        <w:rFonts w:ascii="Symbol" w:hAnsi="Symbol" w:hint="default"/>
        <w:color w:val="auto"/>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63B6EB8"/>
    <w:multiLevelType w:val="hybridMultilevel"/>
    <w:tmpl w:val="E730A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AD57250"/>
    <w:multiLevelType w:val="hybridMultilevel"/>
    <w:tmpl w:val="7ABE3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2" w15:restartNumberingAfterBreak="0">
    <w:nsid w:val="632B3547"/>
    <w:multiLevelType w:val="hybridMultilevel"/>
    <w:tmpl w:val="18CEF438"/>
    <w:lvl w:ilvl="0" w:tplc="CAE8D1F8">
      <w:start w:val="1"/>
      <w:numFmt w:val="lowerLetter"/>
      <w:pStyle w:val="CABList"/>
      <w:lvlText w:val="%1)"/>
      <w:lvlJc w:val="left"/>
      <w:pPr>
        <w:ind w:left="720" w:hanging="360"/>
      </w:pPr>
    </w:lvl>
    <w:lvl w:ilvl="1" w:tplc="C1600FA4" w:tentative="1">
      <w:start w:val="1"/>
      <w:numFmt w:val="lowerLetter"/>
      <w:lvlText w:val="%2."/>
      <w:lvlJc w:val="left"/>
      <w:pPr>
        <w:ind w:left="1440" w:hanging="360"/>
      </w:pPr>
    </w:lvl>
    <w:lvl w:ilvl="2" w:tplc="685C27F4" w:tentative="1">
      <w:start w:val="1"/>
      <w:numFmt w:val="lowerRoman"/>
      <w:lvlText w:val="%3."/>
      <w:lvlJc w:val="right"/>
      <w:pPr>
        <w:ind w:left="2160" w:hanging="180"/>
      </w:pPr>
    </w:lvl>
    <w:lvl w:ilvl="3" w:tplc="10B8C580" w:tentative="1">
      <w:start w:val="1"/>
      <w:numFmt w:val="decimal"/>
      <w:lvlText w:val="%4."/>
      <w:lvlJc w:val="left"/>
      <w:pPr>
        <w:ind w:left="2880" w:hanging="360"/>
      </w:pPr>
    </w:lvl>
    <w:lvl w:ilvl="4" w:tplc="3224DA40" w:tentative="1">
      <w:start w:val="1"/>
      <w:numFmt w:val="lowerLetter"/>
      <w:lvlText w:val="%5."/>
      <w:lvlJc w:val="left"/>
      <w:pPr>
        <w:ind w:left="3600" w:hanging="360"/>
      </w:pPr>
    </w:lvl>
    <w:lvl w:ilvl="5" w:tplc="447A8C70" w:tentative="1">
      <w:start w:val="1"/>
      <w:numFmt w:val="lowerRoman"/>
      <w:lvlText w:val="%6."/>
      <w:lvlJc w:val="right"/>
      <w:pPr>
        <w:ind w:left="4320" w:hanging="180"/>
      </w:pPr>
    </w:lvl>
    <w:lvl w:ilvl="6" w:tplc="39468106" w:tentative="1">
      <w:start w:val="1"/>
      <w:numFmt w:val="decimal"/>
      <w:lvlText w:val="%7."/>
      <w:lvlJc w:val="left"/>
      <w:pPr>
        <w:ind w:left="5040" w:hanging="360"/>
      </w:pPr>
    </w:lvl>
    <w:lvl w:ilvl="7" w:tplc="5922ED30" w:tentative="1">
      <w:start w:val="1"/>
      <w:numFmt w:val="lowerLetter"/>
      <w:lvlText w:val="%8."/>
      <w:lvlJc w:val="left"/>
      <w:pPr>
        <w:ind w:left="5760" w:hanging="360"/>
      </w:pPr>
    </w:lvl>
    <w:lvl w:ilvl="8" w:tplc="0DE452A4" w:tentative="1">
      <w:start w:val="1"/>
      <w:numFmt w:val="lowerRoman"/>
      <w:lvlText w:val="%9."/>
      <w:lvlJc w:val="right"/>
      <w:pPr>
        <w:ind w:left="6480" w:hanging="180"/>
      </w:pPr>
    </w:lvl>
  </w:abstractNum>
  <w:abstractNum w:abstractNumId="53" w15:restartNumberingAfterBreak="0">
    <w:nsid w:val="63630D50"/>
    <w:multiLevelType w:val="multilevel"/>
    <w:tmpl w:val="2FA8BE60"/>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54" w15:restartNumberingAfterBreak="0">
    <w:nsid w:val="66B21067"/>
    <w:multiLevelType w:val="hybridMultilevel"/>
    <w:tmpl w:val="F6E2E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9AF2DEB"/>
    <w:multiLevelType w:val="hybridMultilevel"/>
    <w:tmpl w:val="7D5E0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9C5708C"/>
    <w:multiLevelType w:val="multilevel"/>
    <w:tmpl w:val="8A9AA238"/>
    <w:lvl w:ilvl="0">
      <w:start w:val="1"/>
      <w:numFmt w:val="lowerRoman"/>
      <w:pStyle w:val="Plainparai"/>
      <w:lvlText w:val="%1."/>
      <w:lvlJc w:val="left"/>
      <w:pPr>
        <w:tabs>
          <w:tab w:val="num" w:pos="851"/>
        </w:tabs>
        <w:ind w:left="851" w:hanging="426"/>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A045ABF"/>
    <w:multiLevelType w:val="hybridMultilevel"/>
    <w:tmpl w:val="916A3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C350735"/>
    <w:multiLevelType w:val="hybridMultilevel"/>
    <w:tmpl w:val="64823144"/>
    <w:lvl w:ilvl="0" w:tplc="7F320104">
      <w:start w:val="1"/>
      <w:numFmt w:val="bullet"/>
      <w:lvlText w:val=""/>
      <w:lvlJc w:val="left"/>
      <w:pPr>
        <w:ind w:left="720" w:hanging="360"/>
      </w:pPr>
      <w:rPr>
        <w:rFonts w:ascii="Symbol" w:hAnsi="Symbol"/>
      </w:rPr>
    </w:lvl>
    <w:lvl w:ilvl="1" w:tplc="5830C24A">
      <w:start w:val="1"/>
      <w:numFmt w:val="bullet"/>
      <w:lvlText w:val=""/>
      <w:lvlJc w:val="left"/>
      <w:pPr>
        <w:ind w:left="720" w:hanging="360"/>
      </w:pPr>
      <w:rPr>
        <w:rFonts w:ascii="Symbol" w:hAnsi="Symbol"/>
      </w:rPr>
    </w:lvl>
    <w:lvl w:ilvl="2" w:tplc="239EF046">
      <w:start w:val="1"/>
      <w:numFmt w:val="bullet"/>
      <w:lvlText w:val=""/>
      <w:lvlJc w:val="left"/>
      <w:pPr>
        <w:ind w:left="720" w:hanging="360"/>
      </w:pPr>
      <w:rPr>
        <w:rFonts w:ascii="Symbol" w:hAnsi="Symbol"/>
      </w:rPr>
    </w:lvl>
    <w:lvl w:ilvl="3" w:tplc="396AE8B4">
      <w:start w:val="1"/>
      <w:numFmt w:val="bullet"/>
      <w:lvlText w:val=""/>
      <w:lvlJc w:val="left"/>
      <w:pPr>
        <w:ind w:left="720" w:hanging="360"/>
      </w:pPr>
      <w:rPr>
        <w:rFonts w:ascii="Symbol" w:hAnsi="Symbol"/>
      </w:rPr>
    </w:lvl>
    <w:lvl w:ilvl="4" w:tplc="F51485D6">
      <w:start w:val="1"/>
      <w:numFmt w:val="bullet"/>
      <w:lvlText w:val=""/>
      <w:lvlJc w:val="left"/>
      <w:pPr>
        <w:ind w:left="720" w:hanging="360"/>
      </w:pPr>
      <w:rPr>
        <w:rFonts w:ascii="Symbol" w:hAnsi="Symbol"/>
      </w:rPr>
    </w:lvl>
    <w:lvl w:ilvl="5" w:tplc="EB62B28E">
      <w:start w:val="1"/>
      <w:numFmt w:val="bullet"/>
      <w:lvlText w:val=""/>
      <w:lvlJc w:val="left"/>
      <w:pPr>
        <w:ind w:left="720" w:hanging="360"/>
      </w:pPr>
      <w:rPr>
        <w:rFonts w:ascii="Symbol" w:hAnsi="Symbol"/>
      </w:rPr>
    </w:lvl>
    <w:lvl w:ilvl="6" w:tplc="747C522A">
      <w:start w:val="1"/>
      <w:numFmt w:val="bullet"/>
      <w:lvlText w:val=""/>
      <w:lvlJc w:val="left"/>
      <w:pPr>
        <w:ind w:left="720" w:hanging="360"/>
      </w:pPr>
      <w:rPr>
        <w:rFonts w:ascii="Symbol" w:hAnsi="Symbol"/>
      </w:rPr>
    </w:lvl>
    <w:lvl w:ilvl="7" w:tplc="6652D060">
      <w:start w:val="1"/>
      <w:numFmt w:val="bullet"/>
      <w:lvlText w:val=""/>
      <w:lvlJc w:val="left"/>
      <w:pPr>
        <w:ind w:left="720" w:hanging="360"/>
      </w:pPr>
      <w:rPr>
        <w:rFonts w:ascii="Symbol" w:hAnsi="Symbol"/>
      </w:rPr>
    </w:lvl>
    <w:lvl w:ilvl="8" w:tplc="726CFE8C">
      <w:start w:val="1"/>
      <w:numFmt w:val="bullet"/>
      <w:lvlText w:val=""/>
      <w:lvlJc w:val="left"/>
      <w:pPr>
        <w:ind w:left="720" w:hanging="360"/>
      </w:pPr>
      <w:rPr>
        <w:rFonts w:ascii="Symbol" w:hAnsi="Symbol"/>
      </w:rPr>
    </w:lvl>
  </w:abstractNum>
  <w:abstractNum w:abstractNumId="59" w15:restartNumberingAfterBreak="0">
    <w:nsid w:val="6CB35242"/>
    <w:multiLevelType w:val="hybridMultilevel"/>
    <w:tmpl w:val="CC7C6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E087BD9"/>
    <w:multiLevelType w:val="hybridMultilevel"/>
    <w:tmpl w:val="1B747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6E365625"/>
    <w:multiLevelType w:val="hybridMultilevel"/>
    <w:tmpl w:val="25DA6472"/>
    <w:lvl w:ilvl="0" w:tplc="7534BD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0AA7E86"/>
    <w:multiLevelType w:val="multilevel"/>
    <w:tmpl w:val="D1BCC71C"/>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63" w15:restartNumberingAfterBreak="0">
    <w:nsid w:val="72DC33B6"/>
    <w:multiLevelType w:val="hybridMultilevel"/>
    <w:tmpl w:val="F670A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5C13884"/>
    <w:multiLevelType w:val="hybridMultilevel"/>
    <w:tmpl w:val="0A14DD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7617153D"/>
    <w:multiLevelType w:val="hybridMultilevel"/>
    <w:tmpl w:val="F4E22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D9B062C"/>
    <w:multiLevelType w:val="multilevel"/>
    <w:tmpl w:val="7F380562"/>
    <w:lvl w:ilvl="0">
      <w:start w:val="1"/>
      <w:numFmt w:val="decimal"/>
      <w:pStyle w:val="SchHeader1"/>
      <w:lvlText w:val="%1."/>
      <w:lvlJc w:val="left"/>
      <w:pPr>
        <w:tabs>
          <w:tab w:val="num" w:pos="709"/>
        </w:tabs>
        <w:ind w:left="709" w:hanging="709"/>
      </w:pPr>
      <w:rPr>
        <w:rFonts w:cs="Times New Roman" w:hint="default"/>
      </w:rPr>
    </w:lvl>
    <w:lvl w:ilvl="1">
      <w:start w:val="1"/>
      <w:numFmt w:val="decimal"/>
      <w:pStyle w:val="SH1"/>
      <w:lvlText w:val="%1.%2"/>
      <w:lvlJc w:val="left"/>
      <w:pPr>
        <w:tabs>
          <w:tab w:val="num" w:pos="709"/>
        </w:tabs>
        <w:ind w:left="709" w:hanging="709"/>
      </w:pPr>
      <w:rPr>
        <w:rFonts w:ascii="Arial" w:hAnsi="Arial" w:cs="Times New Roman" w:hint="default"/>
        <w:b w:val="0"/>
        <w:i w:val="0"/>
        <w:sz w:val="20"/>
      </w:rPr>
    </w:lvl>
    <w:lvl w:ilvl="2">
      <w:start w:val="1"/>
      <w:numFmt w:val="lowerLetter"/>
      <w:pStyle w:val="SH11"/>
      <w:lvlText w:val="(%3)"/>
      <w:lvlJc w:val="left"/>
      <w:pPr>
        <w:tabs>
          <w:tab w:val="num" w:pos="1418"/>
        </w:tabs>
        <w:ind w:left="1418" w:hanging="709"/>
      </w:pPr>
      <w:rPr>
        <w:rFonts w:cs="Times New Roman" w:hint="default"/>
      </w:rPr>
    </w:lvl>
    <w:lvl w:ilvl="3">
      <w:start w:val="1"/>
      <w:numFmt w:val="lowerRoman"/>
      <w:pStyle w:val="SH12"/>
      <w:lvlText w:val="(%4)"/>
      <w:lvlJc w:val="left"/>
      <w:pPr>
        <w:tabs>
          <w:tab w:val="num" w:pos="2126"/>
        </w:tabs>
        <w:ind w:left="2126" w:hanging="708"/>
      </w:pPr>
      <w:rPr>
        <w:rFonts w:cs="Times New Roman" w:hint="default"/>
      </w:rPr>
    </w:lvl>
    <w:lvl w:ilvl="4">
      <w:start w:val="1"/>
      <w:numFmt w:val="upperLetter"/>
      <w:pStyle w:val="SH13"/>
      <w:lvlText w:val="(%5)"/>
      <w:lvlJc w:val="left"/>
      <w:pPr>
        <w:tabs>
          <w:tab w:val="num" w:pos="2835"/>
        </w:tabs>
        <w:ind w:left="2835" w:hanging="709"/>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7DC11EBF"/>
    <w:multiLevelType w:val="multilevel"/>
    <w:tmpl w:val="0F00ECC2"/>
    <w:lvl w:ilvl="0">
      <w:start w:val="1"/>
      <w:numFmt w:val="decimal"/>
      <w:pStyle w:val="CourtNoticeNumberLevel1"/>
      <w:lvlText w:val="%1."/>
      <w:lvlJc w:val="left"/>
      <w:pPr>
        <w:tabs>
          <w:tab w:val="num" w:pos="567"/>
        </w:tabs>
        <w:ind w:left="567" w:hanging="567"/>
      </w:pPr>
    </w:lvl>
    <w:lvl w:ilvl="1">
      <w:start w:val="1"/>
      <w:numFmt w:val="decimal"/>
      <w:pStyle w:val="CourtNoticeNumberLevel2"/>
      <w:lvlText w:val="%1.%2."/>
      <w:lvlJc w:val="left"/>
      <w:pPr>
        <w:tabs>
          <w:tab w:val="num" w:pos="1134"/>
        </w:tabs>
        <w:ind w:left="1134" w:hanging="567"/>
      </w:pPr>
    </w:lvl>
    <w:lvl w:ilvl="2">
      <w:start w:val="1"/>
      <w:numFmt w:val="decimal"/>
      <w:pStyle w:val="CourtNoticeNumberLevel3"/>
      <w:lvlText w:val="%1.%2.%3."/>
      <w:lvlJc w:val="left"/>
      <w:pPr>
        <w:tabs>
          <w:tab w:val="num" w:pos="1984"/>
        </w:tabs>
        <w:ind w:left="1984" w:hanging="850"/>
      </w:pPr>
    </w:lvl>
    <w:lvl w:ilvl="3">
      <w:start w:val="1"/>
      <w:numFmt w:val="decimal"/>
      <w:pStyle w:val="CourtNoticeNumberLevel4"/>
      <w:lvlText w:val="%1.%2.%3.%4."/>
      <w:lvlJc w:val="left"/>
      <w:pPr>
        <w:tabs>
          <w:tab w:val="num" w:pos="2835"/>
        </w:tabs>
        <w:ind w:left="2835" w:hanging="851"/>
      </w:pPr>
    </w:lvl>
    <w:lvl w:ilvl="4">
      <w:start w:val="1"/>
      <w:numFmt w:val="decimal"/>
      <w:pStyle w:val="CourtNoticeNumberLevel5"/>
      <w:lvlText w:val="%1.%2.%3.%4.%5."/>
      <w:lvlJc w:val="left"/>
      <w:pPr>
        <w:tabs>
          <w:tab w:val="num" w:pos="3969"/>
        </w:tabs>
        <w:ind w:left="3969" w:hanging="1134"/>
      </w:pPr>
    </w:lvl>
    <w:lvl w:ilvl="5">
      <w:start w:val="1"/>
      <w:numFmt w:val="decimal"/>
      <w:pStyle w:val="CourtNoticeNumberLevel6"/>
      <w:lvlText w:val="%1.%2.%3.%4.%5.%6."/>
      <w:lvlJc w:val="left"/>
      <w:pPr>
        <w:tabs>
          <w:tab w:val="num" w:pos="5102"/>
        </w:tabs>
        <w:ind w:left="5102" w:hanging="1133"/>
      </w:pPr>
    </w:lvl>
    <w:lvl w:ilvl="6">
      <w:start w:val="1"/>
      <w:numFmt w:val="decimal"/>
      <w:pStyle w:val="CourtNoticeNumberLevel7"/>
      <w:lvlText w:val="%1.%2.%3.%4.%5.%6.%7."/>
      <w:lvlJc w:val="left"/>
      <w:pPr>
        <w:tabs>
          <w:tab w:val="num" w:pos="6236"/>
        </w:tabs>
        <w:ind w:left="6236" w:hanging="1134"/>
      </w:pPr>
    </w:lvl>
    <w:lvl w:ilvl="7">
      <w:start w:val="1"/>
      <w:numFmt w:val="decimal"/>
      <w:pStyle w:val="CourtNoticeNumberLevel8"/>
      <w:lvlText w:val="%1.%2.%3.%4.%5.%6.%7.%8."/>
      <w:lvlJc w:val="left"/>
      <w:pPr>
        <w:tabs>
          <w:tab w:val="num" w:pos="7370"/>
        </w:tabs>
        <w:ind w:left="7370" w:hanging="1134"/>
      </w:pPr>
    </w:lvl>
    <w:lvl w:ilvl="8">
      <w:start w:val="1"/>
      <w:numFmt w:val="decimal"/>
      <w:pStyle w:val="CourtNoticeNumberLevel9"/>
      <w:lvlText w:val="%1.%2.%3.%4.%5.%6.%7.%8.%9."/>
      <w:lvlJc w:val="left"/>
      <w:pPr>
        <w:tabs>
          <w:tab w:val="num" w:pos="7370"/>
        </w:tabs>
        <w:ind w:left="7370" w:hanging="1134"/>
      </w:pPr>
    </w:lvl>
  </w:abstractNum>
  <w:abstractNum w:abstractNumId="68" w15:restartNumberingAfterBreak="0">
    <w:nsid w:val="7E123A45"/>
    <w:multiLevelType w:val="hybridMultilevel"/>
    <w:tmpl w:val="3D069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E69527F"/>
    <w:multiLevelType w:val="multilevel"/>
    <w:tmpl w:val="0C090023"/>
    <w:styleLink w:val="1ai"/>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77827254">
    <w:abstractNumId w:val="24"/>
  </w:num>
  <w:num w:numId="2" w16cid:durableId="564410003">
    <w:abstractNumId w:val="20"/>
  </w:num>
  <w:num w:numId="3" w16cid:durableId="1026172243">
    <w:abstractNumId w:val="69"/>
  </w:num>
  <w:num w:numId="4" w16cid:durableId="1838962788">
    <w:abstractNumId w:val="23"/>
  </w:num>
  <w:num w:numId="5" w16cid:durableId="445007772">
    <w:abstractNumId w:val="9"/>
  </w:num>
  <w:num w:numId="6" w16cid:durableId="1152523984">
    <w:abstractNumId w:val="7"/>
  </w:num>
  <w:num w:numId="7" w16cid:durableId="514154309">
    <w:abstractNumId w:val="6"/>
  </w:num>
  <w:num w:numId="8" w16cid:durableId="417102013">
    <w:abstractNumId w:val="5"/>
  </w:num>
  <w:num w:numId="9" w16cid:durableId="1266956834">
    <w:abstractNumId w:val="4"/>
  </w:num>
  <w:num w:numId="10" w16cid:durableId="547304367">
    <w:abstractNumId w:val="8"/>
  </w:num>
  <w:num w:numId="11" w16cid:durableId="1946422264">
    <w:abstractNumId w:val="3"/>
  </w:num>
  <w:num w:numId="12" w16cid:durableId="239146004">
    <w:abstractNumId w:val="2"/>
  </w:num>
  <w:num w:numId="13" w16cid:durableId="1914468778">
    <w:abstractNumId w:val="1"/>
  </w:num>
  <w:num w:numId="14" w16cid:durableId="1393507685">
    <w:abstractNumId w:val="0"/>
  </w:num>
  <w:num w:numId="15" w16cid:durableId="124088245">
    <w:abstractNumId w:val="14"/>
  </w:num>
  <w:num w:numId="16" w16cid:durableId="1188182436">
    <w:abstractNumId w:val="32"/>
  </w:num>
  <w:num w:numId="17" w16cid:durableId="471018282">
    <w:abstractNumId w:val="17"/>
  </w:num>
  <w:num w:numId="18" w16cid:durableId="1918978895">
    <w:abstractNumId w:val="26"/>
  </w:num>
  <w:num w:numId="19" w16cid:durableId="325716177">
    <w:abstractNumId w:val="16"/>
  </w:num>
  <w:num w:numId="20" w16cid:durableId="1627660643">
    <w:abstractNumId w:val="38"/>
  </w:num>
  <w:num w:numId="21" w16cid:durableId="616109486">
    <w:abstractNumId w:val="31"/>
  </w:num>
  <w:num w:numId="22" w16cid:durableId="964233480">
    <w:abstractNumId w:val="51"/>
  </w:num>
  <w:num w:numId="23" w16cid:durableId="38096047">
    <w:abstractNumId w:val="28"/>
  </w:num>
  <w:num w:numId="24" w16cid:durableId="1493566077">
    <w:abstractNumId w:val="62"/>
  </w:num>
  <w:num w:numId="25" w16cid:durableId="805204426">
    <w:abstractNumId w:val="18"/>
  </w:num>
  <w:num w:numId="26" w16cid:durableId="1165363060">
    <w:abstractNumId w:val="12"/>
  </w:num>
  <w:num w:numId="27" w16cid:durableId="632371907">
    <w:abstractNumId w:val="29"/>
  </w:num>
  <w:num w:numId="28" w16cid:durableId="856309834">
    <w:abstractNumId w:val="30"/>
  </w:num>
  <w:num w:numId="29" w16cid:durableId="4448113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5125316">
    <w:abstractNumId w:val="67"/>
  </w:num>
  <w:num w:numId="31" w16cid:durableId="845368992">
    <w:abstractNumId w:val="66"/>
  </w:num>
  <w:num w:numId="32" w16cid:durableId="2057852593">
    <w:abstractNumId w:val="21"/>
  </w:num>
  <w:num w:numId="33" w16cid:durableId="981958335">
    <w:abstractNumId w:val="53"/>
  </w:num>
  <w:num w:numId="34" w16cid:durableId="2113818273">
    <w:abstractNumId w:val="52"/>
  </w:num>
  <w:num w:numId="35" w16cid:durableId="1623072781">
    <w:abstractNumId w:val="49"/>
  </w:num>
  <w:num w:numId="36" w16cid:durableId="668488566">
    <w:abstractNumId w:val="41"/>
  </w:num>
  <w:num w:numId="37" w16cid:durableId="1371303301">
    <w:abstractNumId w:val="64"/>
  </w:num>
  <w:num w:numId="38" w16cid:durableId="2009559467">
    <w:abstractNumId w:val="34"/>
  </w:num>
  <w:num w:numId="39" w16cid:durableId="919021218">
    <w:abstractNumId w:val="35"/>
  </w:num>
  <w:num w:numId="40" w16cid:durableId="1618293344">
    <w:abstractNumId w:val="11"/>
  </w:num>
  <w:num w:numId="41" w16cid:durableId="1426615357">
    <w:abstractNumId w:val="55"/>
  </w:num>
  <w:num w:numId="42" w16cid:durableId="1150363447">
    <w:abstractNumId w:val="10"/>
  </w:num>
  <w:num w:numId="43" w16cid:durableId="342443101">
    <w:abstractNumId w:val="57"/>
  </w:num>
  <w:num w:numId="44" w16cid:durableId="1742483473">
    <w:abstractNumId w:val="68"/>
  </w:num>
  <w:num w:numId="45" w16cid:durableId="327253876">
    <w:abstractNumId w:val="60"/>
  </w:num>
  <w:num w:numId="46" w16cid:durableId="1223784819">
    <w:abstractNumId w:val="27"/>
  </w:num>
  <w:num w:numId="47" w16cid:durableId="749156235">
    <w:abstractNumId w:val="54"/>
  </w:num>
  <w:num w:numId="48" w16cid:durableId="581258428">
    <w:abstractNumId w:val="50"/>
  </w:num>
  <w:num w:numId="49" w16cid:durableId="1583947640">
    <w:abstractNumId w:val="25"/>
  </w:num>
  <w:num w:numId="50" w16cid:durableId="1214191658">
    <w:abstractNumId w:val="48"/>
  </w:num>
  <w:num w:numId="51" w16cid:durableId="1128207370">
    <w:abstractNumId w:val="33"/>
  </w:num>
  <w:num w:numId="52" w16cid:durableId="828403931">
    <w:abstractNumId w:val="61"/>
  </w:num>
  <w:num w:numId="53" w16cid:durableId="1462074440">
    <w:abstractNumId w:val="63"/>
  </w:num>
  <w:num w:numId="54" w16cid:durableId="1666467667">
    <w:abstractNumId w:val="22"/>
  </w:num>
  <w:num w:numId="55" w16cid:durableId="1354767096">
    <w:abstractNumId w:val="59"/>
  </w:num>
  <w:num w:numId="56" w16cid:durableId="322245166">
    <w:abstractNumId w:val="65"/>
  </w:num>
  <w:num w:numId="57" w16cid:durableId="166333864">
    <w:abstractNumId w:val="58"/>
  </w:num>
  <w:num w:numId="58" w16cid:durableId="205554172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83586524">
    <w:abstractNumId w:val="19"/>
  </w:num>
  <w:num w:numId="60" w16cid:durableId="1684238206">
    <w:abstractNumId w:val="43"/>
  </w:num>
  <w:num w:numId="61" w16cid:durableId="2083407865">
    <w:abstractNumId w:val="39"/>
  </w:num>
  <w:num w:numId="62" w16cid:durableId="97339862">
    <w:abstractNumId w:val="42"/>
  </w:num>
  <w:num w:numId="63" w16cid:durableId="1066755859">
    <w:abstractNumId w:val="46"/>
  </w:num>
  <w:num w:numId="64" w16cid:durableId="893347331">
    <w:abstractNumId w:val="44"/>
  </w:num>
  <w:num w:numId="65" w16cid:durableId="924613116">
    <w:abstractNumId w:val="47"/>
  </w:num>
  <w:num w:numId="66" w16cid:durableId="61104327">
    <w:abstractNumId w:val="40"/>
  </w:num>
  <w:num w:numId="67" w16cid:durableId="1762095523">
    <w:abstractNumId w:val="15"/>
  </w:num>
  <w:num w:numId="68" w16cid:durableId="296956909">
    <w:abstractNumId w:val="37"/>
  </w:num>
  <w:num w:numId="69" w16cid:durableId="177545312">
    <w:abstractNumId w:val="45"/>
  </w:num>
  <w:num w:numId="70" w16cid:durableId="1923833235">
    <w:abstractNumId w:val="24"/>
  </w:num>
  <w:num w:numId="71" w16cid:durableId="1657605409">
    <w:abstractNumId w:val="24"/>
  </w:num>
  <w:num w:numId="72" w16cid:durableId="6685292">
    <w:abstractNumId w:val="24"/>
  </w:num>
  <w:num w:numId="73" w16cid:durableId="294524743">
    <w:abstractNumId w:val="24"/>
  </w:num>
  <w:num w:numId="74" w16cid:durableId="271714334">
    <w:abstractNumId w:val="24"/>
  </w:num>
  <w:num w:numId="75" w16cid:durableId="1724524152">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AU" w:vendorID="64" w:dllVersion="409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1F6D90"/>
    <w:rsid w:val="00000057"/>
    <w:rsid w:val="0000055C"/>
    <w:rsid w:val="0000065A"/>
    <w:rsid w:val="0000103A"/>
    <w:rsid w:val="000011A3"/>
    <w:rsid w:val="00001365"/>
    <w:rsid w:val="000013FC"/>
    <w:rsid w:val="00001A5A"/>
    <w:rsid w:val="00001EF8"/>
    <w:rsid w:val="0000209A"/>
    <w:rsid w:val="000025D1"/>
    <w:rsid w:val="00002724"/>
    <w:rsid w:val="000029D2"/>
    <w:rsid w:val="00003BFE"/>
    <w:rsid w:val="00004715"/>
    <w:rsid w:val="00004813"/>
    <w:rsid w:val="000048DF"/>
    <w:rsid w:val="00004F08"/>
    <w:rsid w:val="00004F34"/>
    <w:rsid w:val="000057F8"/>
    <w:rsid w:val="00005886"/>
    <w:rsid w:val="00005B0E"/>
    <w:rsid w:val="00005CB5"/>
    <w:rsid w:val="0000651E"/>
    <w:rsid w:val="000068BE"/>
    <w:rsid w:val="00006EED"/>
    <w:rsid w:val="0001069B"/>
    <w:rsid w:val="000106FD"/>
    <w:rsid w:val="000107C8"/>
    <w:rsid w:val="00011288"/>
    <w:rsid w:val="0001167F"/>
    <w:rsid w:val="000117FA"/>
    <w:rsid w:val="00011C8C"/>
    <w:rsid w:val="00012821"/>
    <w:rsid w:val="00013289"/>
    <w:rsid w:val="000134FB"/>
    <w:rsid w:val="00013A15"/>
    <w:rsid w:val="00013BFE"/>
    <w:rsid w:val="00014118"/>
    <w:rsid w:val="00014281"/>
    <w:rsid w:val="000147E0"/>
    <w:rsid w:val="00014AB7"/>
    <w:rsid w:val="00015BB5"/>
    <w:rsid w:val="00016234"/>
    <w:rsid w:val="000163E2"/>
    <w:rsid w:val="000164BE"/>
    <w:rsid w:val="00016A89"/>
    <w:rsid w:val="00016B57"/>
    <w:rsid w:val="00016E2C"/>
    <w:rsid w:val="00016E93"/>
    <w:rsid w:val="0001706F"/>
    <w:rsid w:val="000172D8"/>
    <w:rsid w:val="0001734F"/>
    <w:rsid w:val="00017E1F"/>
    <w:rsid w:val="000201EF"/>
    <w:rsid w:val="0002073C"/>
    <w:rsid w:val="00020B12"/>
    <w:rsid w:val="00020CC8"/>
    <w:rsid w:val="00021009"/>
    <w:rsid w:val="00021052"/>
    <w:rsid w:val="00021089"/>
    <w:rsid w:val="000212C6"/>
    <w:rsid w:val="000216B3"/>
    <w:rsid w:val="00021BDB"/>
    <w:rsid w:val="000229A3"/>
    <w:rsid w:val="00022EFA"/>
    <w:rsid w:val="000230CF"/>
    <w:rsid w:val="000231D7"/>
    <w:rsid w:val="000238A2"/>
    <w:rsid w:val="0002417F"/>
    <w:rsid w:val="00024279"/>
    <w:rsid w:val="000244A2"/>
    <w:rsid w:val="00024846"/>
    <w:rsid w:val="00024A5C"/>
    <w:rsid w:val="00024BF1"/>
    <w:rsid w:val="00025931"/>
    <w:rsid w:val="0002670E"/>
    <w:rsid w:val="00026B20"/>
    <w:rsid w:val="00026FDD"/>
    <w:rsid w:val="00027E35"/>
    <w:rsid w:val="000302D1"/>
    <w:rsid w:val="00030375"/>
    <w:rsid w:val="0003088D"/>
    <w:rsid w:val="00031B10"/>
    <w:rsid w:val="00031BF3"/>
    <w:rsid w:val="00031D53"/>
    <w:rsid w:val="00032511"/>
    <w:rsid w:val="0003252E"/>
    <w:rsid w:val="00032994"/>
    <w:rsid w:val="00032E33"/>
    <w:rsid w:val="00032F8C"/>
    <w:rsid w:val="0003314D"/>
    <w:rsid w:val="00033370"/>
    <w:rsid w:val="0003348C"/>
    <w:rsid w:val="00033B71"/>
    <w:rsid w:val="00033DDF"/>
    <w:rsid w:val="00033E91"/>
    <w:rsid w:val="000343D4"/>
    <w:rsid w:val="0003486B"/>
    <w:rsid w:val="000348BA"/>
    <w:rsid w:val="000349F7"/>
    <w:rsid w:val="00034D43"/>
    <w:rsid w:val="00034F1B"/>
    <w:rsid w:val="0003518A"/>
    <w:rsid w:val="000358C7"/>
    <w:rsid w:val="00036B29"/>
    <w:rsid w:val="000372F5"/>
    <w:rsid w:val="00037A3A"/>
    <w:rsid w:val="0004005B"/>
    <w:rsid w:val="0004035C"/>
    <w:rsid w:val="0004070D"/>
    <w:rsid w:val="00041000"/>
    <w:rsid w:val="00041190"/>
    <w:rsid w:val="00041CEC"/>
    <w:rsid w:val="0004288C"/>
    <w:rsid w:val="00042AA8"/>
    <w:rsid w:val="00042C60"/>
    <w:rsid w:val="00042F7A"/>
    <w:rsid w:val="000437CC"/>
    <w:rsid w:val="00043BE2"/>
    <w:rsid w:val="00043EB0"/>
    <w:rsid w:val="00043ED8"/>
    <w:rsid w:val="000440CF"/>
    <w:rsid w:val="0004432A"/>
    <w:rsid w:val="000446E7"/>
    <w:rsid w:val="0004546B"/>
    <w:rsid w:val="00045561"/>
    <w:rsid w:val="0004560E"/>
    <w:rsid w:val="00045A5E"/>
    <w:rsid w:val="00046361"/>
    <w:rsid w:val="000466BC"/>
    <w:rsid w:val="00046C8F"/>
    <w:rsid w:val="00046CC5"/>
    <w:rsid w:val="00046EC7"/>
    <w:rsid w:val="00047997"/>
    <w:rsid w:val="00047DF2"/>
    <w:rsid w:val="00047ED8"/>
    <w:rsid w:val="00047FFA"/>
    <w:rsid w:val="0005103A"/>
    <w:rsid w:val="0005116C"/>
    <w:rsid w:val="0005176C"/>
    <w:rsid w:val="0005238F"/>
    <w:rsid w:val="000523B5"/>
    <w:rsid w:val="00052577"/>
    <w:rsid w:val="00052C25"/>
    <w:rsid w:val="0005335E"/>
    <w:rsid w:val="000545DE"/>
    <w:rsid w:val="00054808"/>
    <w:rsid w:val="00054E98"/>
    <w:rsid w:val="000554FF"/>
    <w:rsid w:val="000557F9"/>
    <w:rsid w:val="00056753"/>
    <w:rsid w:val="00056C82"/>
    <w:rsid w:val="00056D13"/>
    <w:rsid w:val="00057CCE"/>
    <w:rsid w:val="0006035E"/>
    <w:rsid w:val="00060E28"/>
    <w:rsid w:val="00061E1C"/>
    <w:rsid w:val="000623EB"/>
    <w:rsid w:val="00062F42"/>
    <w:rsid w:val="00063A0E"/>
    <w:rsid w:val="0006429E"/>
    <w:rsid w:val="00065265"/>
    <w:rsid w:val="0006541A"/>
    <w:rsid w:val="000656D6"/>
    <w:rsid w:val="000656EB"/>
    <w:rsid w:val="0006606C"/>
    <w:rsid w:val="00066E9F"/>
    <w:rsid w:val="0006702D"/>
    <w:rsid w:val="00067317"/>
    <w:rsid w:val="00067431"/>
    <w:rsid w:val="00067DD2"/>
    <w:rsid w:val="00067FD2"/>
    <w:rsid w:val="0007032E"/>
    <w:rsid w:val="00070347"/>
    <w:rsid w:val="000703ED"/>
    <w:rsid w:val="00070A9C"/>
    <w:rsid w:val="000715DD"/>
    <w:rsid w:val="0007163F"/>
    <w:rsid w:val="000717FA"/>
    <w:rsid w:val="00072C5D"/>
    <w:rsid w:val="00072FBB"/>
    <w:rsid w:val="000732FF"/>
    <w:rsid w:val="0007356F"/>
    <w:rsid w:val="000738D7"/>
    <w:rsid w:val="000739BE"/>
    <w:rsid w:val="000756ED"/>
    <w:rsid w:val="00075A73"/>
    <w:rsid w:val="000763CD"/>
    <w:rsid w:val="00076AB4"/>
    <w:rsid w:val="00076FB0"/>
    <w:rsid w:val="00077194"/>
    <w:rsid w:val="000775DC"/>
    <w:rsid w:val="00080B01"/>
    <w:rsid w:val="00081BC5"/>
    <w:rsid w:val="00082D52"/>
    <w:rsid w:val="00082FF4"/>
    <w:rsid w:val="000830F8"/>
    <w:rsid w:val="00083E90"/>
    <w:rsid w:val="00083FAA"/>
    <w:rsid w:val="0008418B"/>
    <w:rsid w:val="00084707"/>
    <w:rsid w:val="00084E84"/>
    <w:rsid w:val="00084ECF"/>
    <w:rsid w:val="000860A6"/>
    <w:rsid w:val="00086A43"/>
    <w:rsid w:val="00086ECE"/>
    <w:rsid w:val="00090444"/>
    <w:rsid w:val="0009058E"/>
    <w:rsid w:val="00090608"/>
    <w:rsid w:val="00090817"/>
    <w:rsid w:val="00090A5B"/>
    <w:rsid w:val="00091A87"/>
    <w:rsid w:val="00092180"/>
    <w:rsid w:val="00092A48"/>
    <w:rsid w:val="000931AC"/>
    <w:rsid w:val="000934D7"/>
    <w:rsid w:val="00093A39"/>
    <w:rsid w:val="00093B1F"/>
    <w:rsid w:val="00093FA4"/>
    <w:rsid w:val="000942B9"/>
    <w:rsid w:val="00094865"/>
    <w:rsid w:val="00094BFE"/>
    <w:rsid w:val="00094E9B"/>
    <w:rsid w:val="00094F3B"/>
    <w:rsid w:val="00095561"/>
    <w:rsid w:val="000962C3"/>
    <w:rsid w:val="000964CE"/>
    <w:rsid w:val="000964E2"/>
    <w:rsid w:val="00096513"/>
    <w:rsid w:val="0009652F"/>
    <w:rsid w:val="000968F6"/>
    <w:rsid w:val="0009757D"/>
    <w:rsid w:val="00097924"/>
    <w:rsid w:val="000A2093"/>
    <w:rsid w:val="000A20DB"/>
    <w:rsid w:val="000A24F9"/>
    <w:rsid w:val="000A27F3"/>
    <w:rsid w:val="000A3810"/>
    <w:rsid w:val="000A3A2C"/>
    <w:rsid w:val="000A402D"/>
    <w:rsid w:val="000A413B"/>
    <w:rsid w:val="000A4458"/>
    <w:rsid w:val="000A47CD"/>
    <w:rsid w:val="000A4978"/>
    <w:rsid w:val="000A4B78"/>
    <w:rsid w:val="000A52BB"/>
    <w:rsid w:val="000A537F"/>
    <w:rsid w:val="000A5398"/>
    <w:rsid w:val="000A5DC8"/>
    <w:rsid w:val="000A6359"/>
    <w:rsid w:val="000A642E"/>
    <w:rsid w:val="000A64D0"/>
    <w:rsid w:val="000A67D7"/>
    <w:rsid w:val="000A682F"/>
    <w:rsid w:val="000A7246"/>
    <w:rsid w:val="000A7A99"/>
    <w:rsid w:val="000B11BB"/>
    <w:rsid w:val="000B1599"/>
    <w:rsid w:val="000B1717"/>
    <w:rsid w:val="000B1958"/>
    <w:rsid w:val="000B19F6"/>
    <w:rsid w:val="000B1D5F"/>
    <w:rsid w:val="000B1F98"/>
    <w:rsid w:val="000B2785"/>
    <w:rsid w:val="000B2866"/>
    <w:rsid w:val="000B2AE4"/>
    <w:rsid w:val="000B2BEB"/>
    <w:rsid w:val="000B2D7C"/>
    <w:rsid w:val="000B35DC"/>
    <w:rsid w:val="000B3C69"/>
    <w:rsid w:val="000B4309"/>
    <w:rsid w:val="000B45AE"/>
    <w:rsid w:val="000B4CD1"/>
    <w:rsid w:val="000B4FD7"/>
    <w:rsid w:val="000B556A"/>
    <w:rsid w:val="000B6120"/>
    <w:rsid w:val="000B6579"/>
    <w:rsid w:val="000B6C0D"/>
    <w:rsid w:val="000B6D73"/>
    <w:rsid w:val="000B6F88"/>
    <w:rsid w:val="000B745E"/>
    <w:rsid w:val="000B74B2"/>
    <w:rsid w:val="000B79CD"/>
    <w:rsid w:val="000C0144"/>
    <w:rsid w:val="000C0307"/>
    <w:rsid w:val="000C187B"/>
    <w:rsid w:val="000C189A"/>
    <w:rsid w:val="000C1B78"/>
    <w:rsid w:val="000C2435"/>
    <w:rsid w:val="000C252A"/>
    <w:rsid w:val="000C2A96"/>
    <w:rsid w:val="000C3928"/>
    <w:rsid w:val="000C3A6A"/>
    <w:rsid w:val="000C3C48"/>
    <w:rsid w:val="000C3C5A"/>
    <w:rsid w:val="000C3ED1"/>
    <w:rsid w:val="000C4806"/>
    <w:rsid w:val="000C4F8A"/>
    <w:rsid w:val="000C62E4"/>
    <w:rsid w:val="000D0737"/>
    <w:rsid w:val="000D07C9"/>
    <w:rsid w:val="000D0A47"/>
    <w:rsid w:val="000D0C11"/>
    <w:rsid w:val="000D0E87"/>
    <w:rsid w:val="000D1A03"/>
    <w:rsid w:val="000D24B2"/>
    <w:rsid w:val="000D2C05"/>
    <w:rsid w:val="000D2E16"/>
    <w:rsid w:val="000D35E1"/>
    <w:rsid w:val="000D4032"/>
    <w:rsid w:val="000D43BC"/>
    <w:rsid w:val="000D5BB5"/>
    <w:rsid w:val="000D5F78"/>
    <w:rsid w:val="000D6024"/>
    <w:rsid w:val="000D62B9"/>
    <w:rsid w:val="000D633F"/>
    <w:rsid w:val="000D6367"/>
    <w:rsid w:val="000D68E0"/>
    <w:rsid w:val="000D6D77"/>
    <w:rsid w:val="000D6EA0"/>
    <w:rsid w:val="000D7C32"/>
    <w:rsid w:val="000E0379"/>
    <w:rsid w:val="000E0421"/>
    <w:rsid w:val="000E0515"/>
    <w:rsid w:val="000E060E"/>
    <w:rsid w:val="000E093F"/>
    <w:rsid w:val="000E0F9A"/>
    <w:rsid w:val="000E10D4"/>
    <w:rsid w:val="000E16AB"/>
    <w:rsid w:val="000E1F1D"/>
    <w:rsid w:val="000E202E"/>
    <w:rsid w:val="000E20A5"/>
    <w:rsid w:val="000E23E9"/>
    <w:rsid w:val="000E25EF"/>
    <w:rsid w:val="000E3534"/>
    <w:rsid w:val="000E3922"/>
    <w:rsid w:val="000E3B65"/>
    <w:rsid w:val="000E3D3E"/>
    <w:rsid w:val="000E3EDE"/>
    <w:rsid w:val="000E4190"/>
    <w:rsid w:val="000E4221"/>
    <w:rsid w:val="000E5212"/>
    <w:rsid w:val="000E569E"/>
    <w:rsid w:val="000E5A49"/>
    <w:rsid w:val="000E5EA0"/>
    <w:rsid w:val="000E6BAA"/>
    <w:rsid w:val="000E6F62"/>
    <w:rsid w:val="000E78FE"/>
    <w:rsid w:val="000E7A13"/>
    <w:rsid w:val="000F0493"/>
    <w:rsid w:val="000F0E9B"/>
    <w:rsid w:val="000F143C"/>
    <w:rsid w:val="000F155B"/>
    <w:rsid w:val="000F15A2"/>
    <w:rsid w:val="000F2055"/>
    <w:rsid w:val="000F208E"/>
    <w:rsid w:val="000F2356"/>
    <w:rsid w:val="000F2503"/>
    <w:rsid w:val="000F3041"/>
    <w:rsid w:val="000F360A"/>
    <w:rsid w:val="000F3833"/>
    <w:rsid w:val="000F43B9"/>
    <w:rsid w:val="000F4A22"/>
    <w:rsid w:val="000F5043"/>
    <w:rsid w:val="000F50AD"/>
    <w:rsid w:val="000F51AF"/>
    <w:rsid w:val="000F51FD"/>
    <w:rsid w:val="000F5286"/>
    <w:rsid w:val="000F5920"/>
    <w:rsid w:val="000F6AD7"/>
    <w:rsid w:val="000F773F"/>
    <w:rsid w:val="000F7FD3"/>
    <w:rsid w:val="0010049B"/>
    <w:rsid w:val="00100521"/>
    <w:rsid w:val="00100896"/>
    <w:rsid w:val="00100CFC"/>
    <w:rsid w:val="00100D34"/>
    <w:rsid w:val="00100DD1"/>
    <w:rsid w:val="001019DB"/>
    <w:rsid w:val="00101A71"/>
    <w:rsid w:val="001022E3"/>
    <w:rsid w:val="00102351"/>
    <w:rsid w:val="0010252B"/>
    <w:rsid w:val="00102DBA"/>
    <w:rsid w:val="001030F4"/>
    <w:rsid w:val="001035FC"/>
    <w:rsid w:val="0010364E"/>
    <w:rsid w:val="00103A7B"/>
    <w:rsid w:val="00103E8E"/>
    <w:rsid w:val="0010405B"/>
    <w:rsid w:val="001047DC"/>
    <w:rsid w:val="00104E41"/>
    <w:rsid w:val="001051C9"/>
    <w:rsid w:val="0010577F"/>
    <w:rsid w:val="00105C7A"/>
    <w:rsid w:val="001063AA"/>
    <w:rsid w:val="00106DD0"/>
    <w:rsid w:val="001077C0"/>
    <w:rsid w:val="00107902"/>
    <w:rsid w:val="00107A49"/>
    <w:rsid w:val="00110379"/>
    <w:rsid w:val="001109F6"/>
    <w:rsid w:val="00110C8F"/>
    <w:rsid w:val="00111CFD"/>
    <w:rsid w:val="001128F2"/>
    <w:rsid w:val="001131F4"/>
    <w:rsid w:val="0011330B"/>
    <w:rsid w:val="00113693"/>
    <w:rsid w:val="00113AB6"/>
    <w:rsid w:val="00113BEE"/>
    <w:rsid w:val="0011418F"/>
    <w:rsid w:val="001141E3"/>
    <w:rsid w:val="0011431F"/>
    <w:rsid w:val="001147B4"/>
    <w:rsid w:val="0011552B"/>
    <w:rsid w:val="001155A8"/>
    <w:rsid w:val="001156A5"/>
    <w:rsid w:val="00115910"/>
    <w:rsid w:val="00115AEB"/>
    <w:rsid w:val="00116F93"/>
    <w:rsid w:val="00117B67"/>
    <w:rsid w:val="00117DA7"/>
    <w:rsid w:val="0012008A"/>
    <w:rsid w:val="00120416"/>
    <w:rsid w:val="001206C8"/>
    <w:rsid w:val="0012097C"/>
    <w:rsid w:val="00120F2C"/>
    <w:rsid w:val="0012159F"/>
    <w:rsid w:val="00121A50"/>
    <w:rsid w:val="00121B4A"/>
    <w:rsid w:val="00121B51"/>
    <w:rsid w:val="00121DB8"/>
    <w:rsid w:val="00121EF1"/>
    <w:rsid w:val="00122735"/>
    <w:rsid w:val="00122D41"/>
    <w:rsid w:val="00122D64"/>
    <w:rsid w:val="0012335A"/>
    <w:rsid w:val="001236AE"/>
    <w:rsid w:val="0012439F"/>
    <w:rsid w:val="00124723"/>
    <w:rsid w:val="00124F05"/>
    <w:rsid w:val="00125C98"/>
    <w:rsid w:val="00125E31"/>
    <w:rsid w:val="001260AA"/>
    <w:rsid w:val="001261D4"/>
    <w:rsid w:val="001265A0"/>
    <w:rsid w:val="00126675"/>
    <w:rsid w:val="0012671E"/>
    <w:rsid w:val="00126907"/>
    <w:rsid w:val="00126E51"/>
    <w:rsid w:val="00127114"/>
    <w:rsid w:val="001271B7"/>
    <w:rsid w:val="00127397"/>
    <w:rsid w:val="001279E3"/>
    <w:rsid w:val="00127B8E"/>
    <w:rsid w:val="00127E8E"/>
    <w:rsid w:val="001302F1"/>
    <w:rsid w:val="00130371"/>
    <w:rsid w:val="00130571"/>
    <w:rsid w:val="00130D80"/>
    <w:rsid w:val="00131806"/>
    <w:rsid w:val="001324BF"/>
    <w:rsid w:val="0013258A"/>
    <w:rsid w:val="0013270C"/>
    <w:rsid w:val="00134259"/>
    <w:rsid w:val="00134494"/>
    <w:rsid w:val="00134860"/>
    <w:rsid w:val="00134B41"/>
    <w:rsid w:val="00134DF8"/>
    <w:rsid w:val="001350E5"/>
    <w:rsid w:val="00135247"/>
    <w:rsid w:val="00135470"/>
    <w:rsid w:val="001354F7"/>
    <w:rsid w:val="0013553F"/>
    <w:rsid w:val="00135864"/>
    <w:rsid w:val="001358C9"/>
    <w:rsid w:val="00136882"/>
    <w:rsid w:val="00137693"/>
    <w:rsid w:val="00137B85"/>
    <w:rsid w:val="00137E27"/>
    <w:rsid w:val="0014019B"/>
    <w:rsid w:val="0014036C"/>
    <w:rsid w:val="00140B61"/>
    <w:rsid w:val="001411B1"/>
    <w:rsid w:val="0014139B"/>
    <w:rsid w:val="00141428"/>
    <w:rsid w:val="00141AE4"/>
    <w:rsid w:val="00141C0F"/>
    <w:rsid w:val="001422C0"/>
    <w:rsid w:val="001422D0"/>
    <w:rsid w:val="00142FFC"/>
    <w:rsid w:val="00143E41"/>
    <w:rsid w:val="0014449D"/>
    <w:rsid w:val="00144636"/>
    <w:rsid w:val="0014488E"/>
    <w:rsid w:val="00144A04"/>
    <w:rsid w:val="00144C66"/>
    <w:rsid w:val="00144DD7"/>
    <w:rsid w:val="0014550B"/>
    <w:rsid w:val="00145792"/>
    <w:rsid w:val="00145BA0"/>
    <w:rsid w:val="00147157"/>
    <w:rsid w:val="001471A5"/>
    <w:rsid w:val="0014727E"/>
    <w:rsid w:val="001476BC"/>
    <w:rsid w:val="001479F7"/>
    <w:rsid w:val="00147A3D"/>
    <w:rsid w:val="00147D0D"/>
    <w:rsid w:val="00150264"/>
    <w:rsid w:val="001502AA"/>
    <w:rsid w:val="00150309"/>
    <w:rsid w:val="00150B3A"/>
    <w:rsid w:val="00150F7E"/>
    <w:rsid w:val="0015132B"/>
    <w:rsid w:val="001514C9"/>
    <w:rsid w:val="00151F52"/>
    <w:rsid w:val="0015217F"/>
    <w:rsid w:val="00152E0B"/>
    <w:rsid w:val="0015410E"/>
    <w:rsid w:val="00154C1D"/>
    <w:rsid w:val="0015557E"/>
    <w:rsid w:val="001556C5"/>
    <w:rsid w:val="0015594B"/>
    <w:rsid w:val="00155C2D"/>
    <w:rsid w:val="00155D3D"/>
    <w:rsid w:val="001561B0"/>
    <w:rsid w:val="00156280"/>
    <w:rsid w:val="0015736F"/>
    <w:rsid w:val="00157582"/>
    <w:rsid w:val="0015781E"/>
    <w:rsid w:val="00160078"/>
    <w:rsid w:val="00160193"/>
    <w:rsid w:val="001602BA"/>
    <w:rsid w:val="00160770"/>
    <w:rsid w:val="00160CF9"/>
    <w:rsid w:val="00160DD0"/>
    <w:rsid w:val="00160FF6"/>
    <w:rsid w:val="00160FFB"/>
    <w:rsid w:val="00161681"/>
    <w:rsid w:val="001616FF"/>
    <w:rsid w:val="00161B48"/>
    <w:rsid w:val="00162128"/>
    <w:rsid w:val="0016216A"/>
    <w:rsid w:val="00163344"/>
    <w:rsid w:val="00163445"/>
    <w:rsid w:val="0016378B"/>
    <w:rsid w:val="00163892"/>
    <w:rsid w:val="001638F7"/>
    <w:rsid w:val="00163A41"/>
    <w:rsid w:val="001646D5"/>
    <w:rsid w:val="0016472A"/>
    <w:rsid w:val="00164AD7"/>
    <w:rsid w:val="00164BD0"/>
    <w:rsid w:val="00166014"/>
    <w:rsid w:val="001660AC"/>
    <w:rsid w:val="00166747"/>
    <w:rsid w:val="0016705D"/>
    <w:rsid w:val="0016713D"/>
    <w:rsid w:val="001671B9"/>
    <w:rsid w:val="001678EC"/>
    <w:rsid w:val="00167D11"/>
    <w:rsid w:val="00170222"/>
    <w:rsid w:val="001707DA"/>
    <w:rsid w:val="00170C47"/>
    <w:rsid w:val="00170F83"/>
    <w:rsid w:val="00171360"/>
    <w:rsid w:val="00172047"/>
    <w:rsid w:val="00172168"/>
    <w:rsid w:val="001729AF"/>
    <w:rsid w:val="00172FE0"/>
    <w:rsid w:val="001733F9"/>
    <w:rsid w:val="001734D9"/>
    <w:rsid w:val="00173D20"/>
    <w:rsid w:val="00174147"/>
    <w:rsid w:val="00174838"/>
    <w:rsid w:val="00175037"/>
    <w:rsid w:val="00175C59"/>
    <w:rsid w:val="00175C99"/>
    <w:rsid w:val="00175D38"/>
    <w:rsid w:val="00175D49"/>
    <w:rsid w:val="00176D65"/>
    <w:rsid w:val="00177211"/>
    <w:rsid w:val="001775F9"/>
    <w:rsid w:val="00177621"/>
    <w:rsid w:val="00177849"/>
    <w:rsid w:val="00177983"/>
    <w:rsid w:val="00177AFB"/>
    <w:rsid w:val="00177E70"/>
    <w:rsid w:val="001808D4"/>
    <w:rsid w:val="00180B10"/>
    <w:rsid w:val="001815E9"/>
    <w:rsid w:val="00181C1D"/>
    <w:rsid w:val="00181E03"/>
    <w:rsid w:val="00181E7A"/>
    <w:rsid w:val="00182442"/>
    <w:rsid w:val="00182A44"/>
    <w:rsid w:val="00182B70"/>
    <w:rsid w:val="00182D17"/>
    <w:rsid w:val="00183017"/>
    <w:rsid w:val="00183611"/>
    <w:rsid w:val="001836CD"/>
    <w:rsid w:val="001839E1"/>
    <w:rsid w:val="00183A8E"/>
    <w:rsid w:val="00183BA2"/>
    <w:rsid w:val="00183CCC"/>
    <w:rsid w:val="00184364"/>
    <w:rsid w:val="0018453C"/>
    <w:rsid w:val="001847FD"/>
    <w:rsid w:val="0018536C"/>
    <w:rsid w:val="00185509"/>
    <w:rsid w:val="00185657"/>
    <w:rsid w:val="00185775"/>
    <w:rsid w:val="00185839"/>
    <w:rsid w:val="001858B1"/>
    <w:rsid w:val="0018591D"/>
    <w:rsid w:val="00185D10"/>
    <w:rsid w:val="001863D6"/>
    <w:rsid w:val="00187470"/>
    <w:rsid w:val="00187A79"/>
    <w:rsid w:val="00187A92"/>
    <w:rsid w:val="001910F0"/>
    <w:rsid w:val="0019169F"/>
    <w:rsid w:val="00191AB9"/>
    <w:rsid w:val="0019224F"/>
    <w:rsid w:val="00193300"/>
    <w:rsid w:val="00193C6A"/>
    <w:rsid w:val="00195000"/>
    <w:rsid w:val="0019525B"/>
    <w:rsid w:val="00195285"/>
    <w:rsid w:val="0019562D"/>
    <w:rsid w:val="00195FA1"/>
    <w:rsid w:val="00196575"/>
    <w:rsid w:val="001968ED"/>
    <w:rsid w:val="00196A76"/>
    <w:rsid w:val="00196ACA"/>
    <w:rsid w:val="00196B0F"/>
    <w:rsid w:val="00196D02"/>
    <w:rsid w:val="001971AC"/>
    <w:rsid w:val="0019728D"/>
    <w:rsid w:val="00197F40"/>
    <w:rsid w:val="001A0028"/>
    <w:rsid w:val="001A08C5"/>
    <w:rsid w:val="001A0C98"/>
    <w:rsid w:val="001A0DAD"/>
    <w:rsid w:val="001A1081"/>
    <w:rsid w:val="001A1BE9"/>
    <w:rsid w:val="001A1FC8"/>
    <w:rsid w:val="001A2957"/>
    <w:rsid w:val="001A2C10"/>
    <w:rsid w:val="001A2C82"/>
    <w:rsid w:val="001A36D8"/>
    <w:rsid w:val="001A37A2"/>
    <w:rsid w:val="001A3B6A"/>
    <w:rsid w:val="001A4398"/>
    <w:rsid w:val="001A4602"/>
    <w:rsid w:val="001A4C85"/>
    <w:rsid w:val="001A4F2D"/>
    <w:rsid w:val="001A513F"/>
    <w:rsid w:val="001A5775"/>
    <w:rsid w:val="001A5841"/>
    <w:rsid w:val="001A63B1"/>
    <w:rsid w:val="001A6B6C"/>
    <w:rsid w:val="001A71E1"/>
    <w:rsid w:val="001A7411"/>
    <w:rsid w:val="001A7B74"/>
    <w:rsid w:val="001A7E68"/>
    <w:rsid w:val="001B0402"/>
    <w:rsid w:val="001B0596"/>
    <w:rsid w:val="001B1CC4"/>
    <w:rsid w:val="001B20A3"/>
    <w:rsid w:val="001B2227"/>
    <w:rsid w:val="001B22EE"/>
    <w:rsid w:val="001B2955"/>
    <w:rsid w:val="001B2CF2"/>
    <w:rsid w:val="001B3051"/>
    <w:rsid w:val="001B33D0"/>
    <w:rsid w:val="001B3FA3"/>
    <w:rsid w:val="001B40B7"/>
    <w:rsid w:val="001B46C2"/>
    <w:rsid w:val="001B4702"/>
    <w:rsid w:val="001B4771"/>
    <w:rsid w:val="001B48E5"/>
    <w:rsid w:val="001B4AD7"/>
    <w:rsid w:val="001B570E"/>
    <w:rsid w:val="001B58D1"/>
    <w:rsid w:val="001B625C"/>
    <w:rsid w:val="001B68C3"/>
    <w:rsid w:val="001B6CB8"/>
    <w:rsid w:val="001B700A"/>
    <w:rsid w:val="001B705D"/>
    <w:rsid w:val="001B7387"/>
    <w:rsid w:val="001B7861"/>
    <w:rsid w:val="001B7AD7"/>
    <w:rsid w:val="001B7AED"/>
    <w:rsid w:val="001B7D4A"/>
    <w:rsid w:val="001B7FBD"/>
    <w:rsid w:val="001C1193"/>
    <w:rsid w:val="001C16D6"/>
    <w:rsid w:val="001C2531"/>
    <w:rsid w:val="001C31DA"/>
    <w:rsid w:val="001C3308"/>
    <w:rsid w:val="001C342C"/>
    <w:rsid w:val="001C3D34"/>
    <w:rsid w:val="001C4104"/>
    <w:rsid w:val="001C46B7"/>
    <w:rsid w:val="001C5720"/>
    <w:rsid w:val="001C5E90"/>
    <w:rsid w:val="001C60C2"/>
    <w:rsid w:val="001C62FC"/>
    <w:rsid w:val="001C6310"/>
    <w:rsid w:val="001C6648"/>
    <w:rsid w:val="001C681F"/>
    <w:rsid w:val="001C6B48"/>
    <w:rsid w:val="001C6DF1"/>
    <w:rsid w:val="001C73C7"/>
    <w:rsid w:val="001C77DD"/>
    <w:rsid w:val="001C7BFD"/>
    <w:rsid w:val="001C7D89"/>
    <w:rsid w:val="001D07F7"/>
    <w:rsid w:val="001D2889"/>
    <w:rsid w:val="001D3004"/>
    <w:rsid w:val="001D377C"/>
    <w:rsid w:val="001D3B7E"/>
    <w:rsid w:val="001D4E15"/>
    <w:rsid w:val="001D59C0"/>
    <w:rsid w:val="001D5B1E"/>
    <w:rsid w:val="001D5B37"/>
    <w:rsid w:val="001D5DD4"/>
    <w:rsid w:val="001D61AE"/>
    <w:rsid w:val="001D670B"/>
    <w:rsid w:val="001D6C9C"/>
    <w:rsid w:val="001D6F4A"/>
    <w:rsid w:val="001D71BF"/>
    <w:rsid w:val="001D7277"/>
    <w:rsid w:val="001D7689"/>
    <w:rsid w:val="001D76A7"/>
    <w:rsid w:val="001D77F2"/>
    <w:rsid w:val="001D791F"/>
    <w:rsid w:val="001D7C61"/>
    <w:rsid w:val="001E017C"/>
    <w:rsid w:val="001E106A"/>
    <w:rsid w:val="001E1130"/>
    <w:rsid w:val="001E177F"/>
    <w:rsid w:val="001E1929"/>
    <w:rsid w:val="001E1EE5"/>
    <w:rsid w:val="001E21FC"/>
    <w:rsid w:val="001E231D"/>
    <w:rsid w:val="001E252A"/>
    <w:rsid w:val="001E27FD"/>
    <w:rsid w:val="001E2B39"/>
    <w:rsid w:val="001E36EE"/>
    <w:rsid w:val="001E3739"/>
    <w:rsid w:val="001E3E99"/>
    <w:rsid w:val="001E45CE"/>
    <w:rsid w:val="001E4C4B"/>
    <w:rsid w:val="001E4C96"/>
    <w:rsid w:val="001E4EA2"/>
    <w:rsid w:val="001E4F5C"/>
    <w:rsid w:val="001E510F"/>
    <w:rsid w:val="001E5797"/>
    <w:rsid w:val="001E60A7"/>
    <w:rsid w:val="001E637B"/>
    <w:rsid w:val="001E63BE"/>
    <w:rsid w:val="001E653D"/>
    <w:rsid w:val="001E6C51"/>
    <w:rsid w:val="001E79B7"/>
    <w:rsid w:val="001E7E64"/>
    <w:rsid w:val="001F0855"/>
    <w:rsid w:val="001F0D15"/>
    <w:rsid w:val="001F1701"/>
    <w:rsid w:val="001F18F7"/>
    <w:rsid w:val="001F242A"/>
    <w:rsid w:val="001F2562"/>
    <w:rsid w:val="001F26FF"/>
    <w:rsid w:val="001F35C3"/>
    <w:rsid w:val="001F382E"/>
    <w:rsid w:val="001F3AF1"/>
    <w:rsid w:val="001F47AC"/>
    <w:rsid w:val="001F47F3"/>
    <w:rsid w:val="001F5245"/>
    <w:rsid w:val="001F53E4"/>
    <w:rsid w:val="001F5464"/>
    <w:rsid w:val="001F5D89"/>
    <w:rsid w:val="001F61AB"/>
    <w:rsid w:val="001F6692"/>
    <w:rsid w:val="001F6833"/>
    <w:rsid w:val="001F6884"/>
    <w:rsid w:val="001F6AC3"/>
    <w:rsid w:val="001F6D90"/>
    <w:rsid w:val="001F711D"/>
    <w:rsid w:val="001F7149"/>
    <w:rsid w:val="001F72CA"/>
    <w:rsid w:val="001F7B67"/>
    <w:rsid w:val="0020024A"/>
    <w:rsid w:val="0020064C"/>
    <w:rsid w:val="0020089E"/>
    <w:rsid w:val="00200E98"/>
    <w:rsid w:val="00201305"/>
    <w:rsid w:val="00201570"/>
    <w:rsid w:val="002015B2"/>
    <w:rsid w:val="0020165D"/>
    <w:rsid w:val="0020238C"/>
    <w:rsid w:val="00202A57"/>
    <w:rsid w:val="002031AB"/>
    <w:rsid w:val="00203898"/>
    <w:rsid w:val="00203DB8"/>
    <w:rsid w:val="00203E2D"/>
    <w:rsid w:val="0020420C"/>
    <w:rsid w:val="002042CD"/>
    <w:rsid w:val="00204CB8"/>
    <w:rsid w:val="00205449"/>
    <w:rsid w:val="00205629"/>
    <w:rsid w:val="002057A6"/>
    <w:rsid w:val="00205B22"/>
    <w:rsid w:val="002065A6"/>
    <w:rsid w:val="00207159"/>
    <w:rsid w:val="002074A0"/>
    <w:rsid w:val="0021035B"/>
    <w:rsid w:val="002109A7"/>
    <w:rsid w:val="00210EF5"/>
    <w:rsid w:val="002110B8"/>
    <w:rsid w:val="0021165D"/>
    <w:rsid w:val="0021183C"/>
    <w:rsid w:val="0021192A"/>
    <w:rsid w:val="002125D0"/>
    <w:rsid w:val="002128BB"/>
    <w:rsid w:val="00213211"/>
    <w:rsid w:val="00213DBD"/>
    <w:rsid w:val="00213F14"/>
    <w:rsid w:val="00214068"/>
    <w:rsid w:val="0021417E"/>
    <w:rsid w:val="00214579"/>
    <w:rsid w:val="00214B1F"/>
    <w:rsid w:val="00214B6F"/>
    <w:rsid w:val="00214F60"/>
    <w:rsid w:val="00214FE5"/>
    <w:rsid w:val="0021506B"/>
    <w:rsid w:val="00215B3A"/>
    <w:rsid w:val="002162D7"/>
    <w:rsid w:val="00216984"/>
    <w:rsid w:val="00216AF4"/>
    <w:rsid w:val="00216BB1"/>
    <w:rsid w:val="00216D75"/>
    <w:rsid w:val="00216F29"/>
    <w:rsid w:val="00217372"/>
    <w:rsid w:val="0021739F"/>
    <w:rsid w:val="0021740B"/>
    <w:rsid w:val="00220909"/>
    <w:rsid w:val="00220B43"/>
    <w:rsid w:val="002212C6"/>
    <w:rsid w:val="00221A3A"/>
    <w:rsid w:val="00221CD5"/>
    <w:rsid w:val="00221E1B"/>
    <w:rsid w:val="00221E5E"/>
    <w:rsid w:val="00221F8E"/>
    <w:rsid w:val="0022213E"/>
    <w:rsid w:val="0022294B"/>
    <w:rsid w:val="00223004"/>
    <w:rsid w:val="0022361E"/>
    <w:rsid w:val="00223703"/>
    <w:rsid w:val="00223857"/>
    <w:rsid w:val="00223B04"/>
    <w:rsid w:val="00224F57"/>
    <w:rsid w:val="00225855"/>
    <w:rsid w:val="00225CA0"/>
    <w:rsid w:val="0022658D"/>
    <w:rsid w:val="00226C38"/>
    <w:rsid w:val="0022767A"/>
    <w:rsid w:val="00227A5F"/>
    <w:rsid w:val="00227CC8"/>
    <w:rsid w:val="00227E2C"/>
    <w:rsid w:val="00227F3C"/>
    <w:rsid w:val="00230EDA"/>
    <w:rsid w:val="00231040"/>
    <w:rsid w:val="002310D8"/>
    <w:rsid w:val="00231C3D"/>
    <w:rsid w:val="00231E32"/>
    <w:rsid w:val="0023264F"/>
    <w:rsid w:val="00232BDD"/>
    <w:rsid w:val="00232FE1"/>
    <w:rsid w:val="00233494"/>
    <w:rsid w:val="00233908"/>
    <w:rsid w:val="0023427E"/>
    <w:rsid w:val="002349C3"/>
    <w:rsid w:val="00235124"/>
    <w:rsid w:val="0023518E"/>
    <w:rsid w:val="002354EF"/>
    <w:rsid w:val="00235FA3"/>
    <w:rsid w:val="0023644C"/>
    <w:rsid w:val="00236D99"/>
    <w:rsid w:val="00237A0C"/>
    <w:rsid w:val="00240568"/>
    <w:rsid w:val="00240C2C"/>
    <w:rsid w:val="002416A9"/>
    <w:rsid w:val="00241D81"/>
    <w:rsid w:val="00241EE4"/>
    <w:rsid w:val="0024253E"/>
    <w:rsid w:val="0024299A"/>
    <w:rsid w:val="00242B77"/>
    <w:rsid w:val="00243677"/>
    <w:rsid w:val="00243AD6"/>
    <w:rsid w:val="00243B2F"/>
    <w:rsid w:val="002444D6"/>
    <w:rsid w:val="00244668"/>
    <w:rsid w:val="002451BA"/>
    <w:rsid w:val="002451BD"/>
    <w:rsid w:val="00245266"/>
    <w:rsid w:val="00245532"/>
    <w:rsid w:val="00245B4B"/>
    <w:rsid w:val="00245DF1"/>
    <w:rsid w:val="002460D5"/>
    <w:rsid w:val="00246831"/>
    <w:rsid w:val="00246DB6"/>
    <w:rsid w:val="002471EB"/>
    <w:rsid w:val="002479EE"/>
    <w:rsid w:val="002504F1"/>
    <w:rsid w:val="002507DC"/>
    <w:rsid w:val="0025087C"/>
    <w:rsid w:val="002519F0"/>
    <w:rsid w:val="00251F91"/>
    <w:rsid w:val="00252F46"/>
    <w:rsid w:val="00253330"/>
    <w:rsid w:val="002535A0"/>
    <w:rsid w:val="002535C0"/>
    <w:rsid w:val="00253FC2"/>
    <w:rsid w:val="0025406D"/>
    <w:rsid w:val="002542E0"/>
    <w:rsid w:val="002547FD"/>
    <w:rsid w:val="00254839"/>
    <w:rsid w:val="002555F2"/>
    <w:rsid w:val="00255B8A"/>
    <w:rsid w:val="00255C3E"/>
    <w:rsid w:val="00255F78"/>
    <w:rsid w:val="00256191"/>
    <w:rsid w:val="002561F1"/>
    <w:rsid w:val="00256510"/>
    <w:rsid w:val="00256D36"/>
    <w:rsid w:val="00256D7F"/>
    <w:rsid w:val="00257077"/>
    <w:rsid w:val="0025754E"/>
    <w:rsid w:val="002578B6"/>
    <w:rsid w:val="00257930"/>
    <w:rsid w:val="00257E8A"/>
    <w:rsid w:val="00260A56"/>
    <w:rsid w:val="00260EE4"/>
    <w:rsid w:val="002611E8"/>
    <w:rsid w:val="00261EDB"/>
    <w:rsid w:val="002626A7"/>
    <w:rsid w:val="002626FB"/>
    <w:rsid w:val="00262AF7"/>
    <w:rsid w:val="0026386D"/>
    <w:rsid w:val="00263DD7"/>
    <w:rsid w:val="00264425"/>
    <w:rsid w:val="002649D0"/>
    <w:rsid w:val="00264A41"/>
    <w:rsid w:val="00264E78"/>
    <w:rsid w:val="0026545E"/>
    <w:rsid w:val="0026552D"/>
    <w:rsid w:val="0026588C"/>
    <w:rsid w:val="00265BEE"/>
    <w:rsid w:val="00266010"/>
    <w:rsid w:val="00266531"/>
    <w:rsid w:val="00266D96"/>
    <w:rsid w:val="00266E9F"/>
    <w:rsid w:val="002704FA"/>
    <w:rsid w:val="0027182B"/>
    <w:rsid w:val="0027188F"/>
    <w:rsid w:val="0027263E"/>
    <w:rsid w:val="002726CB"/>
    <w:rsid w:val="00272A63"/>
    <w:rsid w:val="00272B4B"/>
    <w:rsid w:val="00272BF5"/>
    <w:rsid w:val="00272FA7"/>
    <w:rsid w:val="00273100"/>
    <w:rsid w:val="00273863"/>
    <w:rsid w:val="0027397B"/>
    <w:rsid w:val="00274142"/>
    <w:rsid w:val="0027439D"/>
    <w:rsid w:val="0027539A"/>
    <w:rsid w:val="00275992"/>
    <w:rsid w:val="00275DF2"/>
    <w:rsid w:val="00276EDD"/>
    <w:rsid w:val="0027711A"/>
    <w:rsid w:val="0027766D"/>
    <w:rsid w:val="00280132"/>
    <w:rsid w:val="00280855"/>
    <w:rsid w:val="00280B7B"/>
    <w:rsid w:val="00280C30"/>
    <w:rsid w:val="002816D6"/>
    <w:rsid w:val="0028194E"/>
    <w:rsid w:val="00281AA4"/>
    <w:rsid w:val="00281AF8"/>
    <w:rsid w:val="00282C6B"/>
    <w:rsid w:val="00282F65"/>
    <w:rsid w:val="00283140"/>
    <w:rsid w:val="00283246"/>
    <w:rsid w:val="002835A0"/>
    <w:rsid w:val="00283899"/>
    <w:rsid w:val="00283BCA"/>
    <w:rsid w:val="002840CF"/>
    <w:rsid w:val="0028434E"/>
    <w:rsid w:val="00284A63"/>
    <w:rsid w:val="00284E26"/>
    <w:rsid w:val="002853CE"/>
    <w:rsid w:val="00285C71"/>
    <w:rsid w:val="00286283"/>
    <w:rsid w:val="002866EE"/>
    <w:rsid w:val="00286A13"/>
    <w:rsid w:val="0028701D"/>
    <w:rsid w:val="00287337"/>
    <w:rsid w:val="00290525"/>
    <w:rsid w:val="0029063E"/>
    <w:rsid w:val="00290C34"/>
    <w:rsid w:val="00290D01"/>
    <w:rsid w:val="00290DE2"/>
    <w:rsid w:val="00291674"/>
    <w:rsid w:val="002919E0"/>
    <w:rsid w:val="002920F2"/>
    <w:rsid w:val="002926A6"/>
    <w:rsid w:val="00292D98"/>
    <w:rsid w:val="0029311C"/>
    <w:rsid w:val="002940C5"/>
    <w:rsid w:val="0029413F"/>
    <w:rsid w:val="00294306"/>
    <w:rsid w:val="002944B1"/>
    <w:rsid w:val="0029454D"/>
    <w:rsid w:val="00294F4D"/>
    <w:rsid w:val="00295721"/>
    <w:rsid w:val="00296003"/>
    <w:rsid w:val="00296323"/>
    <w:rsid w:val="002964F6"/>
    <w:rsid w:val="00296568"/>
    <w:rsid w:val="002966CF"/>
    <w:rsid w:val="00296904"/>
    <w:rsid w:val="00296CFA"/>
    <w:rsid w:val="00297EA8"/>
    <w:rsid w:val="00297F32"/>
    <w:rsid w:val="002A0028"/>
    <w:rsid w:val="002A0B5A"/>
    <w:rsid w:val="002A0B93"/>
    <w:rsid w:val="002A14B8"/>
    <w:rsid w:val="002A170F"/>
    <w:rsid w:val="002A1A56"/>
    <w:rsid w:val="002A1DAD"/>
    <w:rsid w:val="002A21BA"/>
    <w:rsid w:val="002A226D"/>
    <w:rsid w:val="002A2350"/>
    <w:rsid w:val="002A285D"/>
    <w:rsid w:val="002A2AEC"/>
    <w:rsid w:val="002A2FF8"/>
    <w:rsid w:val="002A300A"/>
    <w:rsid w:val="002A3515"/>
    <w:rsid w:val="002A3B05"/>
    <w:rsid w:val="002A48DF"/>
    <w:rsid w:val="002A497D"/>
    <w:rsid w:val="002A552D"/>
    <w:rsid w:val="002A57F2"/>
    <w:rsid w:val="002A580C"/>
    <w:rsid w:val="002A5DFB"/>
    <w:rsid w:val="002A6720"/>
    <w:rsid w:val="002A67E0"/>
    <w:rsid w:val="002A68D8"/>
    <w:rsid w:val="002A68ED"/>
    <w:rsid w:val="002A6D71"/>
    <w:rsid w:val="002A776D"/>
    <w:rsid w:val="002A77CB"/>
    <w:rsid w:val="002A7C02"/>
    <w:rsid w:val="002B030D"/>
    <w:rsid w:val="002B08DA"/>
    <w:rsid w:val="002B0ED6"/>
    <w:rsid w:val="002B0F5E"/>
    <w:rsid w:val="002B179F"/>
    <w:rsid w:val="002B1D5B"/>
    <w:rsid w:val="002B2332"/>
    <w:rsid w:val="002B2C8E"/>
    <w:rsid w:val="002B2D1F"/>
    <w:rsid w:val="002B38D8"/>
    <w:rsid w:val="002B3A26"/>
    <w:rsid w:val="002B3D38"/>
    <w:rsid w:val="002B4D62"/>
    <w:rsid w:val="002B5107"/>
    <w:rsid w:val="002B5171"/>
    <w:rsid w:val="002B5A5F"/>
    <w:rsid w:val="002B5CF4"/>
    <w:rsid w:val="002B5E24"/>
    <w:rsid w:val="002B683B"/>
    <w:rsid w:val="002B6C37"/>
    <w:rsid w:val="002B6CFA"/>
    <w:rsid w:val="002B6F06"/>
    <w:rsid w:val="002B74E6"/>
    <w:rsid w:val="002B7D6B"/>
    <w:rsid w:val="002C0050"/>
    <w:rsid w:val="002C031C"/>
    <w:rsid w:val="002C0806"/>
    <w:rsid w:val="002C0A47"/>
    <w:rsid w:val="002C0EA3"/>
    <w:rsid w:val="002C0F12"/>
    <w:rsid w:val="002C0F19"/>
    <w:rsid w:val="002C1506"/>
    <w:rsid w:val="002C1A02"/>
    <w:rsid w:val="002C25C7"/>
    <w:rsid w:val="002C26C6"/>
    <w:rsid w:val="002C2DA8"/>
    <w:rsid w:val="002C3053"/>
    <w:rsid w:val="002C3238"/>
    <w:rsid w:val="002C3968"/>
    <w:rsid w:val="002C3C8A"/>
    <w:rsid w:val="002C4184"/>
    <w:rsid w:val="002C4229"/>
    <w:rsid w:val="002C4672"/>
    <w:rsid w:val="002C4DE5"/>
    <w:rsid w:val="002C5213"/>
    <w:rsid w:val="002C52A6"/>
    <w:rsid w:val="002C533E"/>
    <w:rsid w:val="002C5544"/>
    <w:rsid w:val="002C597D"/>
    <w:rsid w:val="002C6461"/>
    <w:rsid w:val="002C64D8"/>
    <w:rsid w:val="002C6553"/>
    <w:rsid w:val="002C6806"/>
    <w:rsid w:val="002C6DC7"/>
    <w:rsid w:val="002C75B6"/>
    <w:rsid w:val="002C7604"/>
    <w:rsid w:val="002C763B"/>
    <w:rsid w:val="002C7831"/>
    <w:rsid w:val="002C7890"/>
    <w:rsid w:val="002D0B2C"/>
    <w:rsid w:val="002D19D5"/>
    <w:rsid w:val="002D1AB0"/>
    <w:rsid w:val="002D1D7F"/>
    <w:rsid w:val="002D2A38"/>
    <w:rsid w:val="002D2A69"/>
    <w:rsid w:val="002D2AF9"/>
    <w:rsid w:val="002D3336"/>
    <w:rsid w:val="002D34BB"/>
    <w:rsid w:val="002D357A"/>
    <w:rsid w:val="002D361B"/>
    <w:rsid w:val="002D38FB"/>
    <w:rsid w:val="002D3E0A"/>
    <w:rsid w:val="002D3ED9"/>
    <w:rsid w:val="002D42FB"/>
    <w:rsid w:val="002D4DA9"/>
    <w:rsid w:val="002D5956"/>
    <w:rsid w:val="002D6045"/>
    <w:rsid w:val="002D70FF"/>
    <w:rsid w:val="002D7219"/>
    <w:rsid w:val="002D75E8"/>
    <w:rsid w:val="002D7B5E"/>
    <w:rsid w:val="002E0479"/>
    <w:rsid w:val="002E04F2"/>
    <w:rsid w:val="002E0A42"/>
    <w:rsid w:val="002E189A"/>
    <w:rsid w:val="002E1921"/>
    <w:rsid w:val="002E1EA1"/>
    <w:rsid w:val="002E1EB2"/>
    <w:rsid w:val="002E210E"/>
    <w:rsid w:val="002E2617"/>
    <w:rsid w:val="002E27F1"/>
    <w:rsid w:val="002E36B7"/>
    <w:rsid w:val="002E428B"/>
    <w:rsid w:val="002E479A"/>
    <w:rsid w:val="002E4CC9"/>
    <w:rsid w:val="002E5757"/>
    <w:rsid w:val="002E5BC7"/>
    <w:rsid w:val="002E5C06"/>
    <w:rsid w:val="002E5E0F"/>
    <w:rsid w:val="002E60B0"/>
    <w:rsid w:val="002E62A9"/>
    <w:rsid w:val="002E66DF"/>
    <w:rsid w:val="002E6F11"/>
    <w:rsid w:val="002E705D"/>
    <w:rsid w:val="002E7783"/>
    <w:rsid w:val="002E77A4"/>
    <w:rsid w:val="002E7963"/>
    <w:rsid w:val="002E79D7"/>
    <w:rsid w:val="002F003D"/>
    <w:rsid w:val="002F00AF"/>
    <w:rsid w:val="002F00CD"/>
    <w:rsid w:val="002F06DF"/>
    <w:rsid w:val="002F08B7"/>
    <w:rsid w:val="002F1718"/>
    <w:rsid w:val="002F1DE4"/>
    <w:rsid w:val="002F2627"/>
    <w:rsid w:val="002F26A4"/>
    <w:rsid w:val="002F2760"/>
    <w:rsid w:val="002F3792"/>
    <w:rsid w:val="002F3D3F"/>
    <w:rsid w:val="002F3F8C"/>
    <w:rsid w:val="002F403E"/>
    <w:rsid w:val="002F4E39"/>
    <w:rsid w:val="002F4EC4"/>
    <w:rsid w:val="002F512D"/>
    <w:rsid w:val="002F54ED"/>
    <w:rsid w:val="002F551C"/>
    <w:rsid w:val="002F557D"/>
    <w:rsid w:val="002F5E20"/>
    <w:rsid w:val="002F6D59"/>
    <w:rsid w:val="002F6EFA"/>
    <w:rsid w:val="002F73CA"/>
    <w:rsid w:val="002F76B0"/>
    <w:rsid w:val="002F77D8"/>
    <w:rsid w:val="002F7E17"/>
    <w:rsid w:val="00300680"/>
    <w:rsid w:val="00300903"/>
    <w:rsid w:val="00300A39"/>
    <w:rsid w:val="00301A31"/>
    <w:rsid w:val="003021A9"/>
    <w:rsid w:val="00302EC8"/>
    <w:rsid w:val="00303861"/>
    <w:rsid w:val="00303872"/>
    <w:rsid w:val="00304282"/>
    <w:rsid w:val="003048E2"/>
    <w:rsid w:val="00305515"/>
    <w:rsid w:val="00305F87"/>
    <w:rsid w:val="003078D2"/>
    <w:rsid w:val="00310187"/>
    <w:rsid w:val="00310C04"/>
    <w:rsid w:val="00310E7A"/>
    <w:rsid w:val="00310F21"/>
    <w:rsid w:val="0031130E"/>
    <w:rsid w:val="00311DF1"/>
    <w:rsid w:val="00311DFD"/>
    <w:rsid w:val="00311FF8"/>
    <w:rsid w:val="003123D6"/>
    <w:rsid w:val="003130D1"/>
    <w:rsid w:val="00313324"/>
    <w:rsid w:val="0031355A"/>
    <w:rsid w:val="003138D1"/>
    <w:rsid w:val="00313B5F"/>
    <w:rsid w:val="0031423B"/>
    <w:rsid w:val="00314716"/>
    <w:rsid w:val="00314927"/>
    <w:rsid w:val="00314C2F"/>
    <w:rsid w:val="003154CA"/>
    <w:rsid w:val="00315559"/>
    <w:rsid w:val="00316974"/>
    <w:rsid w:val="00316C7A"/>
    <w:rsid w:val="00316F72"/>
    <w:rsid w:val="00317AE7"/>
    <w:rsid w:val="00320175"/>
    <w:rsid w:val="003203E9"/>
    <w:rsid w:val="003206B9"/>
    <w:rsid w:val="00320BB0"/>
    <w:rsid w:val="00321109"/>
    <w:rsid w:val="00321401"/>
    <w:rsid w:val="0032166D"/>
    <w:rsid w:val="00321AC9"/>
    <w:rsid w:val="003229DF"/>
    <w:rsid w:val="00322EA3"/>
    <w:rsid w:val="003234D4"/>
    <w:rsid w:val="0032383D"/>
    <w:rsid w:val="003239DC"/>
    <w:rsid w:val="00324415"/>
    <w:rsid w:val="00324A7A"/>
    <w:rsid w:val="00325524"/>
    <w:rsid w:val="00325860"/>
    <w:rsid w:val="0032613C"/>
    <w:rsid w:val="00326E01"/>
    <w:rsid w:val="0033072C"/>
    <w:rsid w:val="0033095F"/>
    <w:rsid w:val="00330BD7"/>
    <w:rsid w:val="0033212A"/>
    <w:rsid w:val="00332458"/>
    <w:rsid w:val="003324BD"/>
    <w:rsid w:val="00332590"/>
    <w:rsid w:val="00332595"/>
    <w:rsid w:val="00332844"/>
    <w:rsid w:val="00332DF0"/>
    <w:rsid w:val="00333692"/>
    <w:rsid w:val="00333765"/>
    <w:rsid w:val="003339F6"/>
    <w:rsid w:val="00334066"/>
    <w:rsid w:val="0033425D"/>
    <w:rsid w:val="003343E8"/>
    <w:rsid w:val="003346FB"/>
    <w:rsid w:val="00334AC1"/>
    <w:rsid w:val="003354A3"/>
    <w:rsid w:val="003357A1"/>
    <w:rsid w:val="00336185"/>
    <w:rsid w:val="00336203"/>
    <w:rsid w:val="003365D7"/>
    <w:rsid w:val="003369E5"/>
    <w:rsid w:val="00336D22"/>
    <w:rsid w:val="0033701D"/>
    <w:rsid w:val="00337315"/>
    <w:rsid w:val="003374DA"/>
    <w:rsid w:val="00337580"/>
    <w:rsid w:val="0033775E"/>
    <w:rsid w:val="003378E6"/>
    <w:rsid w:val="00337B2F"/>
    <w:rsid w:val="00340200"/>
    <w:rsid w:val="00340A13"/>
    <w:rsid w:val="00340B4C"/>
    <w:rsid w:val="0034145A"/>
    <w:rsid w:val="0034184D"/>
    <w:rsid w:val="00343509"/>
    <w:rsid w:val="00343860"/>
    <w:rsid w:val="00343D14"/>
    <w:rsid w:val="00344108"/>
    <w:rsid w:val="003442FA"/>
    <w:rsid w:val="003443B4"/>
    <w:rsid w:val="00344AE4"/>
    <w:rsid w:val="00344DF4"/>
    <w:rsid w:val="00344F8B"/>
    <w:rsid w:val="003453B9"/>
    <w:rsid w:val="00346E65"/>
    <w:rsid w:val="00346FDD"/>
    <w:rsid w:val="00347BCA"/>
    <w:rsid w:val="00347BDA"/>
    <w:rsid w:val="003502BB"/>
    <w:rsid w:val="003507C6"/>
    <w:rsid w:val="00350A7C"/>
    <w:rsid w:val="00350D74"/>
    <w:rsid w:val="00350DEF"/>
    <w:rsid w:val="0035141C"/>
    <w:rsid w:val="00351540"/>
    <w:rsid w:val="00351685"/>
    <w:rsid w:val="003517EC"/>
    <w:rsid w:val="00351D03"/>
    <w:rsid w:val="00352683"/>
    <w:rsid w:val="00352718"/>
    <w:rsid w:val="00352883"/>
    <w:rsid w:val="0035293E"/>
    <w:rsid w:val="00352ACD"/>
    <w:rsid w:val="00353F4F"/>
    <w:rsid w:val="0035469C"/>
    <w:rsid w:val="0035491B"/>
    <w:rsid w:val="00354D6C"/>
    <w:rsid w:val="00354F51"/>
    <w:rsid w:val="00355079"/>
    <w:rsid w:val="00355458"/>
    <w:rsid w:val="0035667C"/>
    <w:rsid w:val="00356B81"/>
    <w:rsid w:val="00356D59"/>
    <w:rsid w:val="00356EAA"/>
    <w:rsid w:val="00356FE0"/>
    <w:rsid w:val="0035707A"/>
    <w:rsid w:val="00357090"/>
    <w:rsid w:val="00357AD7"/>
    <w:rsid w:val="0036015B"/>
    <w:rsid w:val="00360682"/>
    <w:rsid w:val="003608E8"/>
    <w:rsid w:val="00360983"/>
    <w:rsid w:val="0036112D"/>
    <w:rsid w:val="0036209B"/>
    <w:rsid w:val="00362BD1"/>
    <w:rsid w:val="00362E56"/>
    <w:rsid w:val="00363129"/>
    <w:rsid w:val="00363A1B"/>
    <w:rsid w:val="0036426D"/>
    <w:rsid w:val="00364464"/>
    <w:rsid w:val="00364B08"/>
    <w:rsid w:val="00364F55"/>
    <w:rsid w:val="00364FCA"/>
    <w:rsid w:val="00365AA1"/>
    <w:rsid w:val="00365EC6"/>
    <w:rsid w:val="00366036"/>
    <w:rsid w:val="003664E5"/>
    <w:rsid w:val="003671C4"/>
    <w:rsid w:val="003672C4"/>
    <w:rsid w:val="003703A8"/>
    <w:rsid w:val="00370599"/>
    <w:rsid w:val="003709DC"/>
    <w:rsid w:val="00370E18"/>
    <w:rsid w:val="0037101A"/>
    <w:rsid w:val="00371451"/>
    <w:rsid w:val="0037157F"/>
    <w:rsid w:val="0037176C"/>
    <w:rsid w:val="00371C8A"/>
    <w:rsid w:val="00371C9B"/>
    <w:rsid w:val="0037204C"/>
    <w:rsid w:val="0037208B"/>
    <w:rsid w:val="003726EE"/>
    <w:rsid w:val="00372848"/>
    <w:rsid w:val="00372AB5"/>
    <w:rsid w:val="00372EFC"/>
    <w:rsid w:val="003744BC"/>
    <w:rsid w:val="00374899"/>
    <w:rsid w:val="00374B78"/>
    <w:rsid w:val="0037539D"/>
    <w:rsid w:val="003760FD"/>
    <w:rsid w:val="003764C8"/>
    <w:rsid w:val="00376892"/>
    <w:rsid w:val="003777CA"/>
    <w:rsid w:val="00377ACD"/>
    <w:rsid w:val="00377EE0"/>
    <w:rsid w:val="00377FA9"/>
    <w:rsid w:val="00380199"/>
    <w:rsid w:val="00380665"/>
    <w:rsid w:val="0038072C"/>
    <w:rsid w:val="0038097F"/>
    <w:rsid w:val="003809B5"/>
    <w:rsid w:val="00380B97"/>
    <w:rsid w:val="00380CBB"/>
    <w:rsid w:val="00380E11"/>
    <w:rsid w:val="00380FE3"/>
    <w:rsid w:val="003817AE"/>
    <w:rsid w:val="003818BA"/>
    <w:rsid w:val="003818E3"/>
    <w:rsid w:val="00382ABC"/>
    <w:rsid w:val="00382C42"/>
    <w:rsid w:val="00382F48"/>
    <w:rsid w:val="003830F2"/>
    <w:rsid w:val="0038311F"/>
    <w:rsid w:val="0038320A"/>
    <w:rsid w:val="00383399"/>
    <w:rsid w:val="00383874"/>
    <w:rsid w:val="003844E3"/>
    <w:rsid w:val="00384E50"/>
    <w:rsid w:val="0038521B"/>
    <w:rsid w:val="0038580F"/>
    <w:rsid w:val="00385A61"/>
    <w:rsid w:val="00385D98"/>
    <w:rsid w:val="00386167"/>
    <w:rsid w:val="003861A1"/>
    <w:rsid w:val="003861F1"/>
    <w:rsid w:val="00386DDC"/>
    <w:rsid w:val="00387FBD"/>
    <w:rsid w:val="0039095F"/>
    <w:rsid w:val="00390B4F"/>
    <w:rsid w:val="00391A3D"/>
    <w:rsid w:val="00392BC2"/>
    <w:rsid w:val="00393096"/>
    <w:rsid w:val="003934D4"/>
    <w:rsid w:val="00393A13"/>
    <w:rsid w:val="00393D3F"/>
    <w:rsid w:val="00394161"/>
    <w:rsid w:val="00394250"/>
    <w:rsid w:val="00395217"/>
    <w:rsid w:val="003954BF"/>
    <w:rsid w:val="00395623"/>
    <w:rsid w:val="003958E4"/>
    <w:rsid w:val="003961C9"/>
    <w:rsid w:val="00396768"/>
    <w:rsid w:val="003967B6"/>
    <w:rsid w:val="003969CE"/>
    <w:rsid w:val="0039781E"/>
    <w:rsid w:val="00397822"/>
    <w:rsid w:val="00397F81"/>
    <w:rsid w:val="003A0554"/>
    <w:rsid w:val="003A0618"/>
    <w:rsid w:val="003A08B9"/>
    <w:rsid w:val="003A0EB1"/>
    <w:rsid w:val="003A0F7A"/>
    <w:rsid w:val="003A1080"/>
    <w:rsid w:val="003A10CC"/>
    <w:rsid w:val="003A1133"/>
    <w:rsid w:val="003A130F"/>
    <w:rsid w:val="003A15BF"/>
    <w:rsid w:val="003A1801"/>
    <w:rsid w:val="003A1C5C"/>
    <w:rsid w:val="003A1D9B"/>
    <w:rsid w:val="003A206E"/>
    <w:rsid w:val="003A2651"/>
    <w:rsid w:val="003A2A77"/>
    <w:rsid w:val="003A2C72"/>
    <w:rsid w:val="003A47E3"/>
    <w:rsid w:val="003A54A7"/>
    <w:rsid w:val="003A596E"/>
    <w:rsid w:val="003A69B5"/>
    <w:rsid w:val="003A6A0E"/>
    <w:rsid w:val="003A6BCA"/>
    <w:rsid w:val="003A7BFD"/>
    <w:rsid w:val="003A7D86"/>
    <w:rsid w:val="003B0A83"/>
    <w:rsid w:val="003B1574"/>
    <w:rsid w:val="003B228D"/>
    <w:rsid w:val="003B2414"/>
    <w:rsid w:val="003B24B6"/>
    <w:rsid w:val="003B2BC5"/>
    <w:rsid w:val="003B2F1F"/>
    <w:rsid w:val="003B31A9"/>
    <w:rsid w:val="003B3F43"/>
    <w:rsid w:val="003B45AF"/>
    <w:rsid w:val="003B5016"/>
    <w:rsid w:val="003B50B5"/>
    <w:rsid w:val="003B5EA0"/>
    <w:rsid w:val="003B5F49"/>
    <w:rsid w:val="003B6F91"/>
    <w:rsid w:val="003B7AFE"/>
    <w:rsid w:val="003C05CA"/>
    <w:rsid w:val="003C0712"/>
    <w:rsid w:val="003C0806"/>
    <w:rsid w:val="003C18D6"/>
    <w:rsid w:val="003C23E7"/>
    <w:rsid w:val="003C25E8"/>
    <w:rsid w:val="003C288A"/>
    <w:rsid w:val="003C2F36"/>
    <w:rsid w:val="003C355A"/>
    <w:rsid w:val="003C38C2"/>
    <w:rsid w:val="003C39A4"/>
    <w:rsid w:val="003C4582"/>
    <w:rsid w:val="003C461F"/>
    <w:rsid w:val="003C5236"/>
    <w:rsid w:val="003C5516"/>
    <w:rsid w:val="003C5748"/>
    <w:rsid w:val="003C59E9"/>
    <w:rsid w:val="003C5D41"/>
    <w:rsid w:val="003C67A7"/>
    <w:rsid w:val="003C7253"/>
    <w:rsid w:val="003C7C76"/>
    <w:rsid w:val="003C7EC1"/>
    <w:rsid w:val="003D15AF"/>
    <w:rsid w:val="003D22E2"/>
    <w:rsid w:val="003D2417"/>
    <w:rsid w:val="003D2746"/>
    <w:rsid w:val="003D299A"/>
    <w:rsid w:val="003D3968"/>
    <w:rsid w:val="003D3ABB"/>
    <w:rsid w:val="003D3E87"/>
    <w:rsid w:val="003D45AC"/>
    <w:rsid w:val="003D464A"/>
    <w:rsid w:val="003D4719"/>
    <w:rsid w:val="003D4D47"/>
    <w:rsid w:val="003D4EB2"/>
    <w:rsid w:val="003D515B"/>
    <w:rsid w:val="003D5503"/>
    <w:rsid w:val="003D5720"/>
    <w:rsid w:val="003D5A02"/>
    <w:rsid w:val="003D5CED"/>
    <w:rsid w:val="003D5FD1"/>
    <w:rsid w:val="003D6910"/>
    <w:rsid w:val="003D6E89"/>
    <w:rsid w:val="003D6F8F"/>
    <w:rsid w:val="003E014E"/>
    <w:rsid w:val="003E0E3B"/>
    <w:rsid w:val="003E0ECE"/>
    <w:rsid w:val="003E177B"/>
    <w:rsid w:val="003E17F7"/>
    <w:rsid w:val="003E2621"/>
    <w:rsid w:val="003E26F7"/>
    <w:rsid w:val="003E29C1"/>
    <w:rsid w:val="003E2FD2"/>
    <w:rsid w:val="003E328D"/>
    <w:rsid w:val="003E3335"/>
    <w:rsid w:val="003E46B2"/>
    <w:rsid w:val="003E46C2"/>
    <w:rsid w:val="003E4C33"/>
    <w:rsid w:val="003E4F88"/>
    <w:rsid w:val="003E5122"/>
    <w:rsid w:val="003E6048"/>
    <w:rsid w:val="003E6324"/>
    <w:rsid w:val="003E63AD"/>
    <w:rsid w:val="003E66A0"/>
    <w:rsid w:val="003E7467"/>
    <w:rsid w:val="003E74DE"/>
    <w:rsid w:val="003E7540"/>
    <w:rsid w:val="003E764A"/>
    <w:rsid w:val="003E79DD"/>
    <w:rsid w:val="003E7A80"/>
    <w:rsid w:val="003E7EB6"/>
    <w:rsid w:val="003F061E"/>
    <w:rsid w:val="003F06B2"/>
    <w:rsid w:val="003F0F24"/>
    <w:rsid w:val="003F14B2"/>
    <w:rsid w:val="003F1AA8"/>
    <w:rsid w:val="003F1AC9"/>
    <w:rsid w:val="003F20B7"/>
    <w:rsid w:val="003F242E"/>
    <w:rsid w:val="003F27F4"/>
    <w:rsid w:val="003F2C32"/>
    <w:rsid w:val="003F31FD"/>
    <w:rsid w:val="003F3C05"/>
    <w:rsid w:val="003F3C8D"/>
    <w:rsid w:val="003F3DE6"/>
    <w:rsid w:val="003F40CB"/>
    <w:rsid w:val="003F42A6"/>
    <w:rsid w:val="003F4429"/>
    <w:rsid w:val="003F4613"/>
    <w:rsid w:val="003F46C3"/>
    <w:rsid w:val="003F4AE8"/>
    <w:rsid w:val="003F53CD"/>
    <w:rsid w:val="003F53EA"/>
    <w:rsid w:val="003F53F1"/>
    <w:rsid w:val="003F54DE"/>
    <w:rsid w:val="003F58D2"/>
    <w:rsid w:val="003F5CB4"/>
    <w:rsid w:val="003F620B"/>
    <w:rsid w:val="003F6A6C"/>
    <w:rsid w:val="003F6BF5"/>
    <w:rsid w:val="003F6CF5"/>
    <w:rsid w:val="003F773B"/>
    <w:rsid w:val="003F7866"/>
    <w:rsid w:val="003F79E2"/>
    <w:rsid w:val="003F7B61"/>
    <w:rsid w:val="00400DED"/>
    <w:rsid w:val="00400F2A"/>
    <w:rsid w:val="00401180"/>
    <w:rsid w:val="0040141F"/>
    <w:rsid w:val="00401909"/>
    <w:rsid w:val="00402311"/>
    <w:rsid w:val="0040245A"/>
    <w:rsid w:val="004025F3"/>
    <w:rsid w:val="00403AE0"/>
    <w:rsid w:val="00403BA8"/>
    <w:rsid w:val="00403CC0"/>
    <w:rsid w:val="00403D57"/>
    <w:rsid w:val="00403DB3"/>
    <w:rsid w:val="004041C7"/>
    <w:rsid w:val="0040429E"/>
    <w:rsid w:val="0040464E"/>
    <w:rsid w:val="00404BE1"/>
    <w:rsid w:val="0040516F"/>
    <w:rsid w:val="0040552E"/>
    <w:rsid w:val="00405831"/>
    <w:rsid w:val="0040598D"/>
    <w:rsid w:val="0040651D"/>
    <w:rsid w:val="00406944"/>
    <w:rsid w:val="004069C8"/>
    <w:rsid w:val="00406C51"/>
    <w:rsid w:val="00406D7B"/>
    <w:rsid w:val="00410528"/>
    <w:rsid w:val="004108B7"/>
    <w:rsid w:val="00410B28"/>
    <w:rsid w:val="00410BB1"/>
    <w:rsid w:val="004121E5"/>
    <w:rsid w:val="00412CE4"/>
    <w:rsid w:val="00412D15"/>
    <w:rsid w:val="004135A4"/>
    <w:rsid w:val="004135C3"/>
    <w:rsid w:val="00413B21"/>
    <w:rsid w:val="00413B42"/>
    <w:rsid w:val="004143CC"/>
    <w:rsid w:val="00414C11"/>
    <w:rsid w:val="00414D8E"/>
    <w:rsid w:val="0041508F"/>
    <w:rsid w:val="004151F1"/>
    <w:rsid w:val="004153D9"/>
    <w:rsid w:val="004159E3"/>
    <w:rsid w:val="004160AF"/>
    <w:rsid w:val="00416357"/>
    <w:rsid w:val="0041699D"/>
    <w:rsid w:val="00416C68"/>
    <w:rsid w:val="00416D5D"/>
    <w:rsid w:val="00416ED3"/>
    <w:rsid w:val="004170EC"/>
    <w:rsid w:val="00417263"/>
    <w:rsid w:val="00417819"/>
    <w:rsid w:val="00417914"/>
    <w:rsid w:val="00417A84"/>
    <w:rsid w:val="004197AC"/>
    <w:rsid w:val="004204B0"/>
    <w:rsid w:val="0042066F"/>
    <w:rsid w:val="00420909"/>
    <w:rsid w:val="00422B92"/>
    <w:rsid w:val="00423764"/>
    <w:rsid w:val="00423798"/>
    <w:rsid w:val="00423A1B"/>
    <w:rsid w:val="00425077"/>
    <w:rsid w:val="00425297"/>
    <w:rsid w:val="00425D2E"/>
    <w:rsid w:val="004266D0"/>
    <w:rsid w:val="00426C8A"/>
    <w:rsid w:val="00427D70"/>
    <w:rsid w:val="0043012A"/>
    <w:rsid w:val="0043024A"/>
    <w:rsid w:val="004305AD"/>
    <w:rsid w:val="00430700"/>
    <w:rsid w:val="0043086C"/>
    <w:rsid w:val="004308DA"/>
    <w:rsid w:val="00430FE4"/>
    <w:rsid w:val="004314E2"/>
    <w:rsid w:val="0043154B"/>
    <w:rsid w:val="00431C07"/>
    <w:rsid w:val="00431E96"/>
    <w:rsid w:val="004323DD"/>
    <w:rsid w:val="004324D3"/>
    <w:rsid w:val="00432625"/>
    <w:rsid w:val="0043272C"/>
    <w:rsid w:val="004329DB"/>
    <w:rsid w:val="00432A4A"/>
    <w:rsid w:val="004343F2"/>
    <w:rsid w:val="00434A1C"/>
    <w:rsid w:val="00434A5D"/>
    <w:rsid w:val="00434BEA"/>
    <w:rsid w:val="00434E5E"/>
    <w:rsid w:val="00434FFE"/>
    <w:rsid w:val="0043507D"/>
    <w:rsid w:val="004368AB"/>
    <w:rsid w:val="00436F96"/>
    <w:rsid w:val="00437EA1"/>
    <w:rsid w:val="00440670"/>
    <w:rsid w:val="00440979"/>
    <w:rsid w:val="00441206"/>
    <w:rsid w:val="00441207"/>
    <w:rsid w:val="0044174F"/>
    <w:rsid w:val="00441791"/>
    <w:rsid w:val="00441D2C"/>
    <w:rsid w:val="004424D6"/>
    <w:rsid w:val="004428EB"/>
    <w:rsid w:val="00442CAB"/>
    <w:rsid w:val="00442FEB"/>
    <w:rsid w:val="00443640"/>
    <w:rsid w:val="00443A1E"/>
    <w:rsid w:val="004445A4"/>
    <w:rsid w:val="00444BA4"/>
    <w:rsid w:val="00444D9D"/>
    <w:rsid w:val="00446692"/>
    <w:rsid w:val="004467BF"/>
    <w:rsid w:val="0044695C"/>
    <w:rsid w:val="00446CD3"/>
    <w:rsid w:val="004473EC"/>
    <w:rsid w:val="00447B07"/>
    <w:rsid w:val="00447B4D"/>
    <w:rsid w:val="00450284"/>
    <w:rsid w:val="00450333"/>
    <w:rsid w:val="00450427"/>
    <w:rsid w:val="00450CFA"/>
    <w:rsid w:val="0045113D"/>
    <w:rsid w:val="00451155"/>
    <w:rsid w:val="004514DA"/>
    <w:rsid w:val="00451520"/>
    <w:rsid w:val="00451CD1"/>
    <w:rsid w:val="00451F32"/>
    <w:rsid w:val="004523CF"/>
    <w:rsid w:val="00452EEC"/>
    <w:rsid w:val="0045334F"/>
    <w:rsid w:val="00453B52"/>
    <w:rsid w:val="00453F4B"/>
    <w:rsid w:val="00454ED1"/>
    <w:rsid w:val="0045510A"/>
    <w:rsid w:val="0045531C"/>
    <w:rsid w:val="004555F3"/>
    <w:rsid w:val="00455BC6"/>
    <w:rsid w:val="00456698"/>
    <w:rsid w:val="00456882"/>
    <w:rsid w:val="00456C87"/>
    <w:rsid w:val="00456D98"/>
    <w:rsid w:val="00456E08"/>
    <w:rsid w:val="00460075"/>
    <w:rsid w:val="00460755"/>
    <w:rsid w:val="00460908"/>
    <w:rsid w:val="00460A00"/>
    <w:rsid w:val="00460CA3"/>
    <w:rsid w:val="00460F2E"/>
    <w:rsid w:val="00461277"/>
    <w:rsid w:val="00461384"/>
    <w:rsid w:val="00461D9F"/>
    <w:rsid w:val="00461EE3"/>
    <w:rsid w:val="00462984"/>
    <w:rsid w:val="00462E62"/>
    <w:rsid w:val="004635A6"/>
    <w:rsid w:val="00463C6D"/>
    <w:rsid w:val="00464364"/>
    <w:rsid w:val="004643FD"/>
    <w:rsid w:val="00464739"/>
    <w:rsid w:val="004648D0"/>
    <w:rsid w:val="00464B60"/>
    <w:rsid w:val="00465503"/>
    <w:rsid w:val="00465B3F"/>
    <w:rsid w:val="00465BE3"/>
    <w:rsid w:val="00465F01"/>
    <w:rsid w:val="00465FFB"/>
    <w:rsid w:val="00466667"/>
    <w:rsid w:val="00466C0A"/>
    <w:rsid w:val="00467DEF"/>
    <w:rsid w:val="00470905"/>
    <w:rsid w:val="00470D86"/>
    <w:rsid w:val="004720C4"/>
    <w:rsid w:val="00472A00"/>
    <w:rsid w:val="00473205"/>
    <w:rsid w:val="00473433"/>
    <w:rsid w:val="00473701"/>
    <w:rsid w:val="00473926"/>
    <w:rsid w:val="00473F23"/>
    <w:rsid w:val="004741E1"/>
    <w:rsid w:val="004746F9"/>
    <w:rsid w:val="0047549C"/>
    <w:rsid w:val="00475DA8"/>
    <w:rsid w:val="00476617"/>
    <w:rsid w:val="00477560"/>
    <w:rsid w:val="00477612"/>
    <w:rsid w:val="004803F9"/>
    <w:rsid w:val="00480DA2"/>
    <w:rsid w:val="00481B55"/>
    <w:rsid w:val="00481B75"/>
    <w:rsid w:val="00481BC7"/>
    <w:rsid w:val="004820B0"/>
    <w:rsid w:val="004825D8"/>
    <w:rsid w:val="0048282A"/>
    <w:rsid w:val="004828E2"/>
    <w:rsid w:val="00482B35"/>
    <w:rsid w:val="00482E99"/>
    <w:rsid w:val="00482FA6"/>
    <w:rsid w:val="00482FFF"/>
    <w:rsid w:val="00483461"/>
    <w:rsid w:val="0048382C"/>
    <w:rsid w:val="00483C4D"/>
    <w:rsid w:val="00483E69"/>
    <w:rsid w:val="004840FC"/>
    <w:rsid w:val="004841B8"/>
    <w:rsid w:val="0048425F"/>
    <w:rsid w:val="0048462B"/>
    <w:rsid w:val="00484D76"/>
    <w:rsid w:val="00484E6D"/>
    <w:rsid w:val="004852D1"/>
    <w:rsid w:val="00485B79"/>
    <w:rsid w:val="00485DD5"/>
    <w:rsid w:val="00485E94"/>
    <w:rsid w:val="0048652F"/>
    <w:rsid w:val="00487088"/>
    <w:rsid w:val="0048790C"/>
    <w:rsid w:val="00487947"/>
    <w:rsid w:val="004901BD"/>
    <w:rsid w:val="004902E6"/>
    <w:rsid w:val="0049036D"/>
    <w:rsid w:val="004909EC"/>
    <w:rsid w:val="00490A39"/>
    <w:rsid w:val="00490F37"/>
    <w:rsid w:val="00491192"/>
    <w:rsid w:val="004913CE"/>
    <w:rsid w:val="0049164B"/>
    <w:rsid w:val="00491E80"/>
    <w:rsid w:val="00491F99"/>
    <w:rsid w:val="00492B75"/>
    <w:rsid w:val="00492D04"/>
    <w:rsid w:val="0049384A"/>
    <w:rsid w:val="00493923"/>
    <w:rsid w:val="00493ACB"/>
    <w:rsid w:val="00494380"/>
    <w:rsid w:val="004943E7"/>
    <w:rsid w:val="0049483A"/>
    <w:rsid w:val="00494949"/>
    <w:rsid w:val="00494D31"/>
    <w:rsid w:val="00494F1B"/>
    <w:rsid w:val="0049526D"/>
    <w:rsid w:val="00495597"/>
    <w:rsid w:val="00495B87"/>
    <w:rsid w:val="00495E15"/>
    <w:rsid w:val="0049659B"/>
    <w:rsid w:val="0049683B"/>
    <w:rsid w:val="004968EB"/>
    <w:rsid w:val="0049696D"/>
    <w:rsid w:val="00496A24"/>
    <w:rsid w:val="00496CA0"/>
    <w:rsid w:val="00496CD4"/>
    <w:rsid w:val="00496D5B"/>
    <w:rsid w:val="00496EE4"/>
    <w:rsid w:val="004976FB"/>
    <w:rsid w:val="00497DB9"/>
    <w:rsid w:val="004A0B35"/>
    <w:rsid w:val="004A103C"/>
    <w:rsid w:val="004A1363"/>
    <w:rsid w:val="004A172B"/>
    <w:rsid w:val="004A17C0"/>
    <w:rsid w:val="004A1CCD"/>
    <w:rsid w:val="004A2506"/>
    <w:rsid w:val="004A2CCC"/>
    <w:rsid w:val="004A2D52"/>
    <w:rsid w:val="004A31A1"/>
    <w:rsid w:val="004A3230"/>
    <w:rsid w:val="004A398E"/>
    <w:rsid w:val="004A40B6"/>
    <w:rsid w:val="004A4484"/>
    <w:rsid w:val="004A4C76"/>
    <w:rsid w:val="004A4D13"/>
    <w:rsid w:val="004A4E35"/>
    <w:rsid w:val="004A5641"/>
    <w:rsid w:val="004A5707"/>
    <w:rsid w:val="004A58E5"/>
    <w:rsid w:val="004A6818"/>
    <w:rsid w:val="004A6DAC"/>
    <w:rsid w:val="004A725F"/>
    <w:rsid w:val="004A7982"/>
    <w:rsid w:val="004A7AD9"/>
    <w:rsid w:val="004A7D45"/>
    <w:rsid w:val="004B0CFA"/>
    <w:rsid w:val="004B1103"/>
    <w:rsid w:val="004B1272"/>
    <w:rsid w:val="004B1428"/>
    <w:rsid w:val="004B1E93"/>
    <w:rsid w:val="004B2F85"/>
    <w:rsid w:val="004B3EE5"/>
    <w:rsid w:val="004B3EEF"/>
    <w:rsid w:val="004B4185"/>
    <w:rsid w:val="004B4337"/>
    <w:rsid w:val="004B45CA"/>
    <w:rsid w:val="004B4E71"/>
    <w:rsid w:val="004B565D"/>
    <w:rsid w:val="004B5900"/>
    <w:rsid w:val="004B59FC"/>
    <w:rsid w:val="004B5A87"/>
    <w:rsid w:val="004B6147"/>
    <w:rsid w:val="004B62F3"/>
    <w:rsid w:val="004B68C5"/>
    <w:rsid w:val="004B69C7"/>
    <w:rsid w:val="004B78DC"/>
    <w:rsid w:val="004C0EC6"/>
    <w:rsid w:val="004C13F6"/>
    <w:rsid w:val="004C2380"/>
    <w:rsid w:val="004C3065"/>
    <w:rsid w:val="004C3862"/>
    <w:rsid w:val="004C3A80"/>
    <w:rsid w:val="004C45D5"/>
    <w:rsid w:val="004C4676"/>
    <w:rsid w:val="004C4D1E"/>
    <w:rsid w:val="004C5963"/>
    <w:rsid w:val="004C5B86"/>
    <w:rsid w:val="004C5ECA"/>
    <w:rsid w:val="004C60B6"/>
    <w:rsid w:val="004C651D"/>
    <w:rsid w:val="004C6B6E"/>
    <w:rsid w:val="004C6E52"/>
    <w:rsid w:val="004C7145"/>
    <w:rsid w:val="004C782F"/>
    <w:rsid w:val="004C7DC4"/>
    <w:rsid w:val="004C7F76"/>
    <w:rsid w:val="004D0786"/>
    <w:rsid w:val="004D0B82"/>
    <w:rsid w:val="004D0CC3"/>
    <w:rsid w:val="004D0E13"/>
    <w:rsid w:val="004D1192"/>
    <w:rsid w:val="004D1B11"/>
    <w:rsid w:val="004D1D67"/>
    <w:rsid w:val="004D1E7D"/>
    <w:rsid w:val="004D2110"/>
    <w:rsid w:val="004D21A5"/>
    <w:rsid w:val="004D285A"/>
    <w:rsid w:val="004D2A8D"/>
    <w:rsid w:val="004D2C28"/>
    <w:rsid w:val="004D3829"/>
    <w:rsid w:val="004D3B1A"/>
    <w:rsid w:val="004D4057"/>
    <w:rsid w:val="004D4145"/>
    <w:rsid w:val="004D42DE"/>
    <w:rsid w:val="004D4EF6"/>
    <w:rsid w:val="004D4F29"/>
    <w:rsid w:val="004D5110"/>
    <w:rsid w:val="004D5400"/>
    <w:rsid w:val="004D58B4"/>
    <w:rsid w:val="004D5E99"/>
    <w:rsid w:val="004D6474"/>
    <w:rsid w:val="004D686E"/>
    <w:rsid w:val="004D6914"/>
    <w:rsid w:val="004D6AFA"/>
    <w:rsid w:val="004D7575"/>
    <w:rsid w:val="004D7A32"/>
    <w:rsid w:val="004D7B1D"/>
    <w:rsid w:val="004E01E7"/>
    <w:rsid w:val="004E03A4"/>
    <w:rsid w:val="004E07B8"/>
    <w:rsid w:val="004E088C"/>
    <w:rsid w:val="004E0AC1"/>
    <w:rsid w:val="004E0BD1"/>
    <w:rsid w:val="004E2DB9"/>
    <w:rsid w:val="004E32E4"/>
    <w:rsid w:val="004E3D5B"/>
    <w:rsid w:val="004E3EC8"/>
    <w:rsid w:val="004E428F"/>
    <w:rsid w:val="004E453D"/>
    <w:rsid w:val="004E4B37"/>
    <w:rsid w:val="004E4C8D"/>
    <w:rsid w:val="004E595C"/>
    <w:rsid w:val="004E6160"/>
    <w:rsid w:val="004E625E"/>
    <w:rsid w:val="004E62BD"/>
    <w:rsid w:val="004E6715"/>
    <w:rsid w:val="004E7592"/>
    <w:rsid w:val="004E7704"/>
    <w:rsid w:val="004E7BB7"/>
    <w:rsid w:val="004E7FE7"/>
    <w:rsid w:val="004F0C1F"/>
    <w:rsid w:val="004F0CA7"/>
    <w:rsid w:val="004F149C"/>
    <w:rsid w:val="004F1564"/>
    <w:rsid w:val="004F17CD"/>
    <w:rsid w:val="004F185B"/>
    <w:rsid w:val="004F18D9"/>
    <w:rsid w:val="004F19F4"/>
    <w:rsid w:val="004F1C75"/>
    <w:rsid w:val="004F2F49"/>
    <w:rsid w:val="004F322E"/>
    <w:rsid w:val="004F3279"/>
    <w:rsid w:val="004F32B8"/>
    <w:rsid w:val="004F37D0"/>
    <w:rsid w:val="004F38E9"/>
    <w:rsid w:val="004F3936"/>
    <w:rsid w:val="004F4996"/>
    <w:rsid w:val="004F52B3"/>
    <w:rsid w:val="004F5976"/>
    <w:rsid w:val="004F65EA"/>
    <w:rsid w:val="004F6884"/>
    <w:rsid w:val="004F6B10"/>
    <w:rsid w:val="004F6B37"/>
    <w:rsid w:val="004F6EF3"/>
    <w:rsid w:val="004F7005"/>
    <w:rsid w:val="00500164"/>
    <w:rsid w:val="0050054F"/>
    <w:rsid w:val="00500A8F"/>
    <w:rsid w:val="00501487"/>
    <w:rsid w:val="005017A4"/>
    <w:rsid w:val="00501B20"/>
    <w:rsid w:val="00501C88"/>
    <w:rsid w:val="00502076"/>
    <w:rsid w:val="0050212E"/>
    <w:rsid w:val="005027D8"/>
    <w:rsid w:val="00502C13"/>
    <w:rsid w:val="00502D38"/>
    <w:rsid w:val="00502E11"/>
    <w:rsid w:val="00502E7A"/>
    <w:rsid w:val="005030E0"/>
    <w:rsid w:val="005032C1"/>
    <w:rsid w:val="005038F2"/>
    <w:rsid w:val="00504838"/>
    <w:rsid w:val="00504A33"/>
    <w:rsid w:val="005058C3"/>
    <w:rsid w:val="00505C82"/>
    <w:rsid w:val="00506525"/>
    <w:rsid w:val="00506714"/>
    <w:rsid w:val="00507499"/>
    <w:rsid w:val="0050756B"/>
    <w:rsid w:val="005075E2"/>
    <w:rsid w:val="00507B83"/>
    <w:rsid w:val="00507B95"/>
    <w:rsid w:val="00507DBA"/>
    <w:rsid w:val="00510411"/>
    <w:rsid w:val="0051053E"/>
    <w:rsid w:val="00510BA1"/>
    <w:rsid w:val="00510C52"/>
    <w:rsid w:val="00510C62"/>
    <w:rsid w:val="00510C9B"/>
    <w:rsid w:val="00510E79"/>
    <w:rsid w:val="005115F8"/>
    <w:rsid w:val="0051277B"/>
    <w:rsid w:val="005127B4"/>
    <w:rsid w:val="00512BEF"/>
    <w:rsid w:val="00512EA8"/>
    <w:rsid w:val="005131C2"/>
    <w:rsid w:val="00513268"/>
    <w:rsid w:val="005136C9"/>
    <w:rsid w:val="005146F8"/>
    <w:rsid w:val="00514958"/>
    <w:rsid w:val="00514AC6"/>
    <w:rsid w:val="005154DC"/>
    <w:rsid w:val="0051577F"/>
    <w:rsid w:val="005157ED"/>
    <w:rsid w:val="00515EDF"/>
    <w:rsid w:val="0051664E"/>
    <w:rsid w:val="00516870"/>
    <w:rsid w:val="00516975"/>
    <w:rsid w:val="00516E82"/>
    <w:rsid w:val="00517795"/>
    <w:rsid w:val="00517F09"/>
    <w:rsid w:val="00520520"/>
    <w:rsid w:val="0052152B"/>
    <w:rsid w:val="00521FFB"/>
    <w:rsid w:val="0052223C"/>
    <w:rsid w:val="00522544"/>
    <w:rsid w:val="00522F3D"/>
    <w:rsid w:val="005236BF"/>
    <w:rsid w:val="00523D7F"/>
    <w:rsid w:val="00524022"/>
    <w:rsid w:val="005248A5"/>
    <w:rsid w:val="00524C05"/>
    <w:rsid w:val="00524E22"/>
    <w:rsid w:val="00524ED9"/>
    <w:rsid w:val="0052527E"/>
    <w:rsid w:val="00525D5F"/>
    <w:rsid w:val="00526019"/>
    <w:rsid w:val="00527307"/>
    <w:rsid w:val="0052762F"/>
    <w:rsid w:val="005277A1"/>
    <w:rsid w:val="00527ACC"/>
    <w:rsid w:val="00530BD3"/>
    <w:rsid w:val="00530CDC"/>
    <w:rsid w:val="005313B9"/>
    <w:rsid w:val="005313E6"/>
    <w:rsid w:val="005314BD"/>
    <w:rsid w:val="005316CE"/>
    <w:rsid w:val="0053194A"/>
    <w:rsid w:val="00531B80"/>
    <w:rsid w:val="00532B7A"/>
    <w:rsid w:val="00533170"/>
    <w:rsid w:val="0053447E"/>
    <w:rsid w:val="00534FA7"/>
    <w:rsid w:val="0053500A"/>
    <w:rsid w:val="00535906"/>
    <w:rsid w:val="00536003"/>
    <w:rsid w:val="005362F0"/>
    <w:rsid w:val="005364D5"/>
    <w:rsid w:val="0053688E"/>
    <w:rsid w:val="00536C50"/>
    <w:rsid w:val="005372CD"/>
    <w:rsid w:val="005400E2"/>
    <w:rsid w:val="005405E2"/>
    <w:rsid w:val="00540831"/>
    <w:rsid w:val="0054122F"/>
    <w:rsid w:val="00541558"/>
    <w:rsid w:val="005415CF"/>
    <w:rsid w:val="00541645"/>
    <w:rsid w:val="00541926"/>
    <w:rsid w:val="00541A51"/>
    <w:rsid w:val="00542482"/>
    <w:rsid w:val="00542C4D"/>
    <w:rsid w:val="00542EBA"/>
    <w:rsid w:val="00542EFB"/>
    <w:rsid w:val="0054316E"/>
    <w:rsid w:val="00543AF7"/>
    <w:rsid w:val="00544983"/>
    <w:rsid w:val="005449F8"/>
    <w:rsid w:val="00544DA2"/>
    <w:rsid w:val="005452C6"/>
    <w:rsid w:val="00545A4A"/>
    <w:rsid w:val="00545ADA"/>
    <w:rsid w:val="00546341"/>
    <w:rsid w:val="00546458"/>
    <w:rsid w:val="005464D9"/>
    <w:rsid w:val="00546745"/>
    <w:rsid w:val="005470F8"/>
    <w:rsid w:val="00547738"/>
    <w:rsid w:val="00547D55"/>
    <w:rsid w:val="005501A5"/>
    <w:rsid w:val="0055028D"/>
    <w:rsid w:val="0055097A"/>
    <w:rsid w:val="00551304"/>
    <w:rsid w:val="00552373"/>
    <w:rsid w:val="005528FE"/>
    <w:rsid w:val="0055304C"/>
    <w:rsid w:val="0055319C"/>
    <w:rsid w:val="0055332D"/>
    <w:rsid w:val="005538FE"/>
    <w:rsid w:val="0055390D"/>
    <w:rsid w:val="005539F6"/>
    <w:rsid w:val="00553A8B"/>
    <w:rsid w:val="00553C5D"/>
    <w:rsid w:val="00553F45"/>
    <w:rsid w:val="00555135"/>
    <w:rsid w:val="005551E1"/>
    <w:rsid w:val="00557214"/>
    <w:rsid w:val="005575A5"/>
    <w:rsid w:val="0055765E"/>
    <w:rsid w:val="00557FD8"/>
    <w:rsid w:val="0056016E"/>
    <w:rsid w:val="00560B08"/>
    <w:rsid w:val="00561261"/>
    <w:rsid w:val="005613F3"/>
    <w:rsid w:val="0056196C"/>
    <w:rsid w:val="00561A40"/>
    <w:rsid w:val="00561C6A"/>
    <w:rsid w:val="00561CBE"/>
    <w:rsid w:val="00561D88"/>
    <w:rsid w:val="00561E00"/>
    <w:rsid w:val="00562983"/>
    <w:rsid w:val="00562F2B"/>
    <w:rsid w:val="005643CE"/>
    <w:rsid w:val="00564D72"/>
    <w:rsid w:val="00564F07"/>
    <w:rsid w:val="005650E4"/>
    <w:rsid w:val="00565644"/>
    <w:rsid w:val="00565B89"/>
    <w:rsid w:val="0056689C"/>
    <w:rsid w:val="00567106"/>
    <w:rsid w:val="00567BEE"/>
    <w:rsid w:val="00570D7C"/>
    <w:rsid w:val="00571381"/>
    <w:rsid w:val="00571687"/>
    <w:rsid w:val="00571CEC"/>
    <w:rsid w:val="0057264A"/>
    <w:rsid w:val="005726DA"/>
    <w:rsid w:val="0057326B"/>
    <w:rsid w:val="00573674"/>
    <w:rsid w:val="005736EF"/>
    <w:rsid w:val="00573852"/>
    <w:rsid w:val="00573A5F"/>
    <w:rsid w:val="00573BC0"/>
    <w:rsid w:val="00573F8C"/>
    <w:rsid w:val="00574067"/>
    <w:rsid w:val="0057445B"/>
    <w:rsid w:val="00574D9D"/>
    <w:rsid w:val="0057550B"/>
    <w:rsid w:val="0057568D"/>
    <w:rsid w:val="00576454"/>
    <w:rsid w:val="00576C31"/>
    <w:rsid w:val="005770A8"/>
    <w:rsid w:val="005771AF"/>
    <w:rsid w:val="005779C6"/>
    <w:rsid w:val="005808C0"/>
    <w:rsid w:val="00580B31"/>
    <w:rsid w:val="00580E93"/>
    <w:rsid w:val="00581561"/>
    <w:rsid w:val="00581945"/>
    <w:rsid w:val="005819B6"/>
    <w:rsid w:val="00581D35"/>
    <w:rsid w:val="00581E24"/>
    <w:rsid w:val="005827D0"/>
    <w:rsid w:val="00582910"/>
    <w:rsid w:val="00582A45"/>
    <w:rsid w:val="00582BD2"/>
    <w:rsid w:val="00582BF0"/>
    <w:rsid w:val="005833B6"/>
    <w:rsid w:val="00583909"/>
    <w:rsid w:val="005848B4"/>
    <w:rsid w:val="00584A79"/>
    <w:rsid w:val="00584EA6"/>
    <w:rsid w:val="00585A5C"/>
    <w:rsid w:val="00585EF9"/>
    <w:rsid w:val="00586253"/>
    <w:rsid w:val="00586340"/>
    <w:rsid w:val="00586500"/>
    <w:rsid w:val="005869AC"/>
    <w:rsid w:val="00586E08"/>
    <w:rsid w:val="00586F13"/>
    <w:rsid w:val="00586F5F"/>
    <w:rsid w:val="00587545"/>
    <w:rsid w:val="005878FC"/>
    <w:rsid w:val="0059001E"/>
    <w:rsid w:val="005904E3"/>
    <w:rsid w:val="005908CC"/>
    <w:rsid w:val="00590A89"/>
    <w:rsid w:val="005911CA"/>
    <w:rsid w:val="00591391"/>
    <w:rsid w:val="00591394"/>
    <w:rsid w:val="005913F7"/>
    <w:rsid w:val="005914A5"/>
    <w:rsid w:val="00591802"/>
    <w:rsid w:val="00591BD8"/>
    <w:rsid w:val="00591C3C"/>
    <w:rsid w:val="005932E9"/>
    <w:rsid w:val="005932EF"/>
    <w:rsid w:val="005934C8"/>
    <w:rsid w:val="00593CC8"/>
    <w:rsid w:val="00593E3F"/>
    <w:rsid w:val="00593F00"/>
    <w:rsid w:val="00594319"/>
    <w:rsid w:val="00594488"/>
    <w:rsid w:val="005945C5"/>
    <w:rsid w:val="005948A9"/>
    <w:rsid w:val="005948C0"/>
    <w:rsid w:val="0059578E"/>
    <w:rsid w:val="005957C3"/>
    <w:rsid w:val="005961C9"/>
    <w:rsid w:val="0059690F"/>
    <w:rsid w:val="00596B17"/>
    <w:rsid w:val="00596C20"/>
    <w:rsid w:val="00596C46"/>
    <w:rsid w:val="00597B7D"/>
    <w:rsid w:val="00597EDF"/>
    <w:rsid w:val="005A013A"/>
    <w:rsid w:val="005A0248"/>
    <w:rsid w:val="005A10A9"/>
    <w:rsid w:val="005A10E3"/>
    <w:rsid w:val="005A1220"/>
    <w:rsid w:val="005A15CE"/>
    <w:rsid w:val="005A208F"/>
    <w:rsid w:val="005A21B4"/>
    <w:rsid w:val="005A2B0A"/>
    <w:rsid w:val="005A2C28"/>
    <w:rsid w:val="005A2D73"/>
    <w:rsid w:val="005A372F"/>
    <w:rsid w:val="005A39CD"/>
    <w:rsid w:val="005A3B49"/>
    <w:rsid w:val="005A4C67"/>
    <w:rsid w:val="005A5268"/>
    <w:rsid w:val="005A58C2"/>
    <w:rsid w:val="005A5BC4"/>
    <w:rsid w:val="005A618C"/>
    <w:rsid w:val="005A656A"/>
    <w:rsid w:val="005A709C"/>
    <w:rsid w:val="005A711A"/>
    <w:rsid w:val="005A7AC4"/>
    <w:rsid w:val="005A7C6D"/>
    <w:rsid w:val="005A7E61"/>
    <w:rsid w:val="005B05B4"/>
    <w:rsid w:val="005B0D9B"/>
    <w:rsid w:val="005B1608"/>
    <w:rsid w:val="005B176B"/>
    <w:rsid w:val="005B199A"/>
    <w:rsid w:val="005B1A9D"/>
    <w:rsid w:val="005B1F1B"/>
    <w:rsid w:val="005B22A8"/>
    <w:rsid w:val="005B25C0"/>
    <w:rsid w:val="005B27D1"/>
    <w:rsid w:val="005B3879"/>
    <w:rsid w:val="005B40F3"/>
    <w:rsid w:val="005B59C0"/>
    <w:rsid w:val="005B5C46"/>
    <w:rsid w:val="005B6481"/>
    <w:rsid w:val="005B69B8"/>
    <w:rsid w:val="005B6A70"/>
    <w:rsid w:val="005B6AE9"/>
    <w:rsid w:val="005B6E67"/>
    <w:rsid w:val="005B7CD3"/>
    <w:rsid w:val="005C03A5"/>
    <w:rsid w:val="005C0741"/>
    <w:rsid w:val="005C0B79"/>
    <w:rsid w:val="005C17EC"/>
    <w:rsid w:val="005C1DF2"/>
    <w:rsid w:val="005C1F62"/>
    <w:rsid w:val="005C24C4"/>
    <w:rsid w:val="005C300F"/>
    <w:rsid w:val="005C3C89"/>
    <w:rsid w:val="005C49BD"/>
    <w:rsid w:val="005C4CDA"/>
    <w:rsid w:val="005C51E7"/>
    <w:rsid w:val="005C52F3"/>
    <w:rsid w:val="005C5C54"/>
    <w:rsid w:val="005C5D50"/>
    <w:rsid w:val="005C667C"/>
    <w:rsid w:val="005C698E"/>
    <w:rsid w:val="005C6DA6"/>
    <w:rsid w:val="005C7586"/>
    <w:rsid w:val="005C7659"/>
    <w:rsid w:val="005C7A8D"/>
    <w:rsid w:val="005C7B13"/>
    <w:rsid w:val="005D012D"/>
    <w:rsid w:val="005D0D15"/>
    <w:rsid w:val="005D12BC"/>
    <w:rsid w:val="005D1430"/>
    <w:rsid w:val="005D17DA"/>
    <w:rsid w:val="005D1A78"/>
    <w:rsid w:val="005D21A5"/>
    <w:rsid w:val="005D25D1"/>
    <w:rsid w:val="005D2962"/>
    <w:rsid w:val="005D2A6E"/>
    <w:rsid w:val="005D2ADF"/>
    <w:rsid w:val="005D2CCB"/>
    <w:rsid w:val="005D2F44"/>
    <w:rsid w:val="005D3D4E"/>
    <w:rsid w:val="005D3F11"/>
    <w:rsid w:val="005D45E5"/>
    <w:rsid w:val="005D51AB"/>
    <w:rsid w:val="005D5786"/>
    <w:rsid w:val="005D5CDC"/>
    <w:rsid w:val="005D6A9D"/>
    <w:rsid w:val="005D6E99"/>
    <w:rsid w:val="005D703A"/>
    <w:rsid w:val="005D730C"/>
    <w:rsid w:val="005D76A7"/>
    <w:rsid w:val="005E0C2D"/>
    <w:rsid w:val="005E0C8E"/>
    <w:rsid w:val="005E1737"/>
    <w:rsid w:val="005E1B75"/>
    <w:rsid w:val="005E20D6"/>
    <w:rsid w:val="005E2365"/>
    <w:rsid w:val="005E2CD7"/>
    <w:rsid w:val="005E3219"/>
    <w:rsid w:val="005E3220"/>
    <w:rsid w:val="005E33E0"/>
    <w:rsid w:val="005E3DBE"/>
    <w:rsid w:val="005E4A8B"/>
    <w:rsid w:val="005E4D45"/>
    <w:rsid w:val="005E537C"/>
    <w:rsid w:val="005E58D3"/>
    <w:rsid w:val="005E5B79"/>
    <w:rsid w:val="005E68DB"/>
    <w:rsid w:val="005E6909"/>
    <w:rsid w:val="005E6E70"/>
    <w:rsid w:val="005E73D1"/>
    <w:rsid w:val="005E7A71"/>
    <w:rsid w:val="005E7BA5"/>
    <w:rsid w:val="005F0798"/>
    <w:rsid w:val="005F08F2"/>
    <w:rsid w:val="005F0BA4"/>
    <w:rsid w:val="005F0F4F"/>
    <w:rsid w:val="005F1041"/>
    <w:rsid w:val="005F1085"/>
    <w:rsid w:val="005F1821"/>
    <w:rsid w:val="005F1A54"/>
    <w:rsid w:val="005F1D80"/>
    <w:rsid w:val="005F1E21"/>
    <w:rsid w:val="005F1ED1"/>
    <w:rsid w:val="005F22CC"/>
    <w:rsid w:val="005F2548"/>
    <w:rsid w:val="005F298F"/>
    <w:rsid w:val="005F2D7B"/>
    <w:rsid w:val="005F2DF9"/>
    <w:rsid w:val="005F301D"/>
    <w:rsid w:val="005F3255"/>
    <w:rsid w:val="005F34FE"/>
    <w:rsid w:val="005F48A2"/>
    <w:rsid w:val="005F4DE9"/>
    <w:rsid w:val="005F54EE"/>
    <w:rsid w:val="005F5EBA"/>
    <w:rsid w:val="005F6176"/>
    <w:rsid w:val="005F6692"/>
    <w:rsid w:val="005F6B6E"/>
    <w:rsid w:val="005F73DE"/>
    <w:rsid w:val="005F7748"/>
    <w:rsid w:val="005F79AB"/>
    <w:rsid w:val="0060048C"/>
    <w:rsid w:val="006007C7"/>
    <w:rsid w:val="00601E42"/>
    <w:rsid w:val="006021FD"/>
    <w:rsid w:val="00602282"/>
    <w:rsid w:val="006022E4"/>
    <w:rsid w:val="006023AA"/>
    <w:rsid w:val="00602637"/>
    <w:rsid w:val="00602921"/>
    <w:rsid w:val="00602945"/>
    <w:rsid w:val="00602B77"/>
    <w:rsid w:val="00603B6F"/>
    <w:rsid w:val="00603DC1"/>
    <w:rsid w:val="006045BE"/>
    <w:rsid w:val="00604880"/>
    <w:rsid w:val="00604BB0"/>
    <w:rsid w:val="00604EB4"/>
    <w:rsid w:val="00605635"/>
    <w:rsid w:val="006057EF"/>
    <w:rsid w:val="00605D4B"/>
    <w:rsid w:val="00605F6E"/>
    <w:rsid w:val="0060622E"/>
    <w:rsid w:val="00606399"/>
    <w:rsid w:val="00606B29"/>
    <w:rsid w:val="006070C2"/>
    <w:rsid w:val="006070DE"/>
    <w:rsid w:val="00607162"/>
    <w:rsid w:val="00610013"/>
    <w:rsid w:val="00610BD3"/>
    <w:rsid w:val="0061119B"/>
    <w:rsid w:val="006111F5"/>
    <w:rsid w:val="006112CF"/>
    <w:rsid w:val="00611912"/>
    <w:rsid w:val="00612952"/>
    <w:rsid w:val="00613147"/>
    <w:rsid w:val="0061355E"/>
    <w:rsid w:val="00613670"/>
    <w:rsid w:val="00613945"/>
    <w:rsid w:val="0061419A"/>
    <w:rsid w:val="00614A10"/>
    <w:rsid w:val="00614E7E"/>
    <w:rsid w:val="006150A8"/>
    <w:rsid w:val="006154B5"/>
    <w:rsid w:val="00615852"/>
    <w:rsid w:val="006158A0"/>
    <w:rsid w:val="00615CF1"/>
    <w:rsid w:val="00616D29"/>
    <w:rsid w:val="0061769A"/>
    <w:rsid w:val="0061773A"/>
    <w:rsid w:val="006179E3"/>
    <w:rsid w:val="00617AA0"/>
    <w:rsid w:val="00617F13"/>
    <w:rsid w:val="00620297"/>
    <w:rsid w:val="00620327"/>
    <w:rsid w:val="00620565"/>
    <w:rsid w:val="00620C2C"/>
    <w:rsid w:val="00620F13"/>
    <w:rsid w:val="00620F8C"/>
    <w:rsid w:val="006213E9"/>
    <w:rsid w:val="00621DB5"/>
    <w:rsid w:val="00621E64"/>
    <w:rsid w:val="00622CC1"/>
    <w:rsid w:val="0062323C"/>
    <w:rsid w:val="006234D1"/>
    <w:rsid w:val="00623B4A"/>
    <w:rsid w:val="00623DD2"/>
    <w:rsid w:val="0062448D"/>
    <w:rsid w:val="006247C6"/>
    <w:rsid w:val="00624E1F"/>
    <w:rsid w:val="0062501C"/>
    <w:rsid w:val="00625207"/>
    <w:rsid w:val="0062549D"/>
    <w:rsid w:val="006255E7"/>
    <w:rsid w:val="00625A5B"/>
    <w:rsid w:val="00625B48"/>
    <w:rsid w:val="00625B77"/>
    <w:rsid w:val="0062613C"/>
    <w:rsid w:val="00627392"/>
    <w:rsid w:val="00627ED9"/>
    <w:rsid w:val="0063008E"/>
    <w:rsid w:val="006303AB"/>
    <w:rsid w:val="006307E5"/>
    <w:rsid w:val="00630A7C"/>
    <w:rsid w:val="00630A99"/>
    <w:rsid w:val="00630DF8"/>
    <w:rsid w:val="00630E65"/>
    <w:rsid w:val="006310B0"/>
    <w:rsid w:val="00631177"/>
    <w:rsid w:val="0063129D"/>
    <w:rsid w:val="00631EF1"/>
    <w:rsid w:val="00631FB1"/>
    <w:rsid w:val="006320C2"/>
    <w:rsid w:val="006327B1"/>
    <w:rsid w:val="0063364F"/>
    <w:rsid w:val="006337A6"/>
    <w:rsid w:val="00633A47"/>
    <w:rsid w:val="00633BB8"/>
    <w:rsid w:val="00633E0C"/>
    <w:rsid w:val="00634A5C"/>
    <w:rsid w:val="00634F35"/>
    <w:rsid w:val="00635234"/>
    <w:rsid w:val="00635829"/>
    <w:rsid w:val="00635A6D"/>
    <w:rsid w:val="0063639E"/>
    <w:rsid w:val="00636CDF"/>
    <w:rsid w:val="00637102"/>
    <w:rsid w:val="006376C5"/>
    <w:rsid w:val="0063791B"/>
    <w:rsid w:val="00637936"/>
    <w:rsid w:val="006402C2"/>
    <w:rsid w:val="00640841"/>
    <w:rsid w:val="00640885"/>
    <w:rsid w:val="00640A75"/>
    <w:rsid w:val="00640FE0"/>
    <w:rsid w:val="00641060"/>
    <w:rsid w:val="00641143"/>
    <w:rsid w:val="00641146"/>
    <w:rsid w:val="0064148F"/>
    <w:rsid w:val="006420F8"/>
    <w:rsid w:val="006423C9"/>
    <w:rsid w:val="006429AF"/>
    <w:rsid w:val="00642B5E"/>
    <w:rsid w:val="00642E34"/>
    <w:rsid w:val="00643132"/>
    <w:rsid w:val="00643423"/>
    <w:rsid w:val="00643D2A"/>
    <w:rsid w:val="00643FE0"/>
    <w:rsid w:val="00644634"/>
    <w:rsid w:val="0064506E"/>
    <w:rsid w:val="006457B0"/>
    <w:rsid w:val="00645E87"/>
    <w:rsid w:val="0064702D"/>
    <w:rsid w:val="00647133"/>
    <w:rsid w:val="0064794C"/>
    <w:rsid w:val="00647C07"/>
    <w:rsid w:val="006501BF"/>
    <w:rsid w:val="00650CA3"/>
    <w:rsid w:val="00651D84"/>
    <w:rsid w:val="00651E7E"/>
    <w:rsid w:val="0065241F"/>
    <w:rsid w:val="0065243F"/>
    <w:rsid w:val="00652499"/>
    <w:rsid w:val="00652B3B"/>
    <w:rsid w:val="006532AC"/>
    <w:rsid w:val="00653845"/>
    <w:rsid w:val="006540D4"/>
    <w:rsid w:val="00654459"/>
    <w:rsid w:val="00654486"/>
    <w:rsid w:val="006544C8"/>
    <w:rsid w:val="0065458C"/>
    <w:rsid w:val="00654CA4"/>
    <w:rsid w:val="00655473"/>
    <w:rsid w:val="00655670"/>
    <w:rsid w:val="00655973"/>
    <w:rsid w:val="00655B10"/>
    <w:rsid w:val="006563E3"/>
    <w:rsid w:val="0065669C"/>
    <w:rsid w:val="0065682B"/>
    <w:rsid w:val="00656B48"/>
    <w:rsid w:val="006570BA"/>
    <w:rsid w:val="006571A5"/>
    <w:rsid w:val="006576F5"/>
    <w:rsid w:val="00657703"/>
    <w:rsid w:val="00657743"/>
    <w:rsid w:val="00657C02"/>
    <w:rsid w:val="00657E08"/>
    <w:rsid w:val="006603AA"/>
    <w:rsid w:val="006606BE"/>
    <w:rsid w:val="006612BF"/>
    <w:rsid w:val="006615C8"/>
    <w:rsid w:val="00661912"/>
    <w:rsid w:val="00661A2A"/>
    <w:rsid w:val="00661C5F"/>
    <w:rsid w:val="00661E4F"/>
    <w:rsid w:val="00661F0D"/>
    <w:rsid w:val="00662544"/>
    <w:rsid w:val="00662FAD"/>
    <w:rsid w:val="006630CF"/>
    <w:rsid w:val="00663A83"/>
    <w:rsid w:val="00663E2B"/>
    <w:rsid w:val="006641AB"/>
    <w:rsid w:val="00664985"/>
    <w:rsid w:val="00664A4B"/>
    <w:rsid w:val="00664DC0"/>
    <w:rsid w:val="00664E41"/>
    <w:rsid w:val="00665997"/>
    <w:rsid w:val="00665CA4"/>
    <w:rsid w:val="006668D0"/>
    <w:rsid w:val="00666DC1"/>
    <w:rsid w:val="00666FAB"/>
    <w:rsid w:val="0066726B"/>
    <w:rsid w:val="006674F4"/>
    <w:rsid w:val="0066768A"/>
    <w:rsid w:val="00667BFB"/>
    <w:rsid w:val="00667FDD"/>
    <w:rsid w:val="00670331"/>
    <w:rsid w:val="00670695"/>
    <w:rsid w:val="00670C58"/>
    <w:rsid w:val="0067175F"/>
    <w:rsid w:val="00672939"/>
    <w:rsid w:val="00672B9A"/>
    <w:rsid w:val="00672DFE"/>
    <w:rsid w:val="006731F9"/>
    <w:rsid w:val="00673B4B"/>
    <w:rsid w:val="00674B63"/>
    <w:rsid w:val="00675943"/>
    <w:rsid w:val="00675BC7"/>
    <w:rsid w:val="00675E80"/>
    <w:rsid w:val="00675FE9"/>
    <w:rsid w:val="00676517"/>
    <w:rsid w:val="00677285"/>
    <w:rsid w:val="00677504"/>
    <w:rsid w:val="00677A30"/>
    <w:rsid w:val="006808D3"/>
    <w:rsid w:val="00680A5D"/>
    <w:rsid w:val="00680A82"/>
    <w:rsid w:val="00680D3C"/>
    <w:rsid w:val="0068116E"/>
    <w:rsid w:val="006818ED"/>
    <w:rsid w:val="00681E6D"/>
    <w:rsid w:val="00682536"/>
    <w:rsid w:val="0068262D"/>
    <w:rsid w:val="00682AB3"/>
    <w:rsid w:val="00682D2C"/>
    <w:rsid w:val="0068331C"/>
    <w:rsid w:val="0068396C"/>
    <w:rsid w:val="00683A3B"/>
    <w:rsid w:val="0068499A"/>
    <w:rsid w:val="00684F6D"/>
    <w:rsid w:val="0068502F"/>
    <w:rsid w:val="00685CA8"/>
    <w:rsid w:val="00685EF8"/>
    <w:rsid w:val="00686D48"/>
    <w:rsid w:val="00686D58"/>
    <w:rsid w:val="00687A6A"/>
    <w:rsid w:val="006904E0"/>
    <w:rsid w:val="00690A70"/>
    <w:rsid w:val="00690BBA"/>
    <w:rsid w:val="00691052"/>
    <w:rsid w:val="00691109"/>
    <w:rsid w:val="0069168D"/>
    <w:rsid w:val="00691C81"/>
    <w:rsid w:val="006925A9"/>
    <w:rsid w:val="00692D53"/>
    <w:rsid w:val="00693A7A"/>
    <w:rsid w:val="00693C67"/>
    <w:rsid w:val="00694351"/>
    <w:rsid w:val="0069490E"/>
    <w:rsid w:val="00694B67"/>
    <w:rsid w:val="00694CF5"/>
    <w:rsid w:val="00695400"/>
    <w:rsid w:val="006959F8"/>
    <w:rsid w:val="006966EA"/>
    <w:rsid w:val="00697101"/>
    <w:rsid w:val="00697977"/>
    <w:rsid w:val="006A0046"/>
    <w:rsid w:val="006A011F"/>
    <w:rsid w:val="006A04ED"/>
    <w:rsid w:val="006A0657"/>
    <w:rsid w:val="006A0864"/>
    <w:rsid w:val="006A090F"/>
    <w:rsid w:val="006A091E"/>
    <w:rsid w:val="006A0C47"/>
    <w:rsid w:val="006A0D19"/>
    <w:rsid w:val="006A1034"/>
    <w:rsid w:val="006A1350"/>
    <w:rsid w:val="006A2B13"/>
    <w:rsid w:val="006A2FDE"/>
    <w:rsid w:val="006A30B7"/>
    <w:rsid w:val="006A35FF"/>
    <w:rsid w:val="006A3911"/>
    <w:rsid w:val="006A3C8A"/>
    <w:rsid w:val="006A412A"/>
    <w:rsid w:val="006A45A9"/>
    <w:rsid w:val="006A4A33"/>
    <w:rsid w:val="006A4F2E"/>
    <w:rsid w:val="006A4FDE"/>
    <w:rsid w:val="006A6B66"/>
    <w:rsid w:val="006A714D"/>
    <w:rsid w:val="006B0071"/>
    <w:rsid w:val="006B00A1"/>
    <w:rsid w:val="006B0AAF"/>
    <w:rsid w:val="006B0EA9"/>
    <w:rsid w:val="006B14ED"/>
    <w:rsid w:val="006B14FD"/>
    <w:rsid w:val="006B1D9A"/>
    <w:rsid w:val="006B1E27"/>
    <w:rsid w:val="006B215E"/>
    <w:rsid w:val="006B2513"/>
    <w:rsid w:val="006B2557"/>
    <w:rsid w:val="006B3990"/>
    <w:rsid w:val="006B399C"/>
    <w:rsid w:val="006B49EF"/>
    <w:rsid w:val="006B514B"/>
    <w:rsid w:val="006B518D"/>
    <w:rsid w:val="006B5473"/>
    <w:rsid w:val="006B5C45"/>
    <w:rsid w:val="006B5FA2"/>
    <w:rsid w:val="006B65B1"/>
    <w:rsid w:val="006B71DE"/>
    <w:rsid w:val="006B7EC9"/>
    <w:rsid w:val="006C0403"/>
    <w:rsid w:val="006C06A0"/>
    <w:rsid w:val="006C06E2"/>
    <w:rsid w:val="006C0799"/>
    <w:rsid w:val="006C083C"/>
    <w:rsid w:val="006C086E"/>
    <w:rsid w:val="006C0DAD"/>
    <w:rsid w:val="006C1A4B"/>
    <w:rsid w:val="006C1D9F"/>
    <w:rsid w:val="006C1E27"/>
    <w:rsid w:val="006C1EBF"/>
    <w:rsid w:val="006C22FF"/>
    <w:rsid w:val="006C28C6"/>
    <w:rsid w:val="006C2A70"/>
    <w:rsid w:val="006C2BEC"/>
    <w:rsid w:val="006C2E99"/>
    <w:rsid w:val="006C2FE8"/>
    <w:rsid w:val="006C358A"/>
    <w:rsid w:val="006C36FE"/>
    <w:rsid w:val="006C3FA5"/>
    <w:rsid w:val="006C409F"/>
    <w:rsid w:val="006C5769"/>
    <w:rsid w:val="006C57A5"/>
    <w:rsid w:val="006C6289"/>
    <w:rsid w:val="006C6299"/>
    <w:rsid w:val="006C6F04"/>
    <w:rsid w:val="006C798E"/>
    <w:rsid w:val="006D084B"/>
    <w:rsid w:val="006D10ED"/>
    <w:rsid w:val="006D137B"/>
    <w:rsid w:val="006D1AE9"/>
    <w:rsid w:val="006D2B32"/>
    <w:rsid w:val="006D2BB4"/>
    <w:rsid w:val="006D3FB9"/>
    <w:rsid w:val="006D4970"/>
    <w:rsid w:val="006D4FA1"/>
    <w:rsid w:val="006D522B"/>
    <w:rsid w:val="006D5444"/>
    <w:rsid w:val="006D62F5"/>
    <w:rsid w:val="006D6620"/>
    <w:rsid w:val="006D6642"/>
    <w:rsid w:val="006D68C7"/>
    <w:rsid w:val="006D6D60"/>
    <w:rsid w:val="006D7606"/>
    <w:rsid w:val="006D78F4"/>
    <w:rsid w:val="006D7C05"/>
    <w:rsid w:val="006E0013"/>
    <w:rsid w:val="006E00E7"/>
    <w:rsid w:val="006E06DB"/>
    <w:rsid w:val="006E0F35"/>
    <w:rsid w:val="006E13DA"/>
    <w:rsid w:val="006E1BEE"/>
    <w:rsid w:val="006E2A9A"/>
    <w:rsid w:val="006E2B73"/>
    <w:rsid w:val="006E2DB5"/>
    <w:rsid w:val="006E39D9"/>
    <w:rsid w:val="006E427B"/>
    <w:rsid w:val="006E4F8E"/>
    <w:rsid w:val="006E59D3"/>
    <w:rsid w:val="006E5A94"/>
    <w:rsid w:val="006E5E88"/>
    <w:rsid w:val="006E6136"/>
    <w:rsid w:val="006E72C4"/>
    <w:rsid w:val="006E7A15"/>
    <w:rsid w:val="006E7C53"/>
    <w:rsid w:val="006E7DC3"/>
    <w:rsid w:val="006E7E7B"/>
    <w:rsid w:val="006F11BE"/>
    <w:rsid w:val="006F1498"/>
    <w:rsid w:val="006F271C"/>
    <w:rsid w:val="006F29B2"/>
    <w:rsid w:val="006F30CA"/>
    <w:rsid w:val="006F31DF"/>
    <w:rsid w:val="006F34E5"/>
    <w:rsid w:val="006F43A3"/>
    <w:rsid w:val="006F4CE9"/>
    <w:rsid w:val="006F5051"/>
    <w:rsid w:val="006F5554"/>
    <w:rsid w:val="006F5D61"/>
    <w:rsid w:val="006F5D68"/>
    <w:rsid w:val="006F61ED"/>
    <w:rsid w:val="006F696D"/>
    <w:rsid w:val="006F69D2"/>
    <w:rsid w:val="006F6B9A"/>
    <w:rsid w:val="006F6F23"/>
    <w:rsid w:val="006F70EB"/>
    <w:rsid w:val="006F7AC6"/>
    <w:rsid w:val="006F7E64"/>
    <w:rsid w:val="006F7F8B"/>
    <w:rsid w:val="007007BA"/>
    <w:rsid w:val="00700D21"/>
    <w:rsid w:val="00701364"/>
    <w:rsid w:val="007018E3"/>
    <w:rsid w:val="00701CF4"/>
    <w:rsid w:val="0070259D"/>
    <w:rsid w:val="00702787"/>
    <w:rsid w:val="00703831"/>
    <w:rsid w:val="00703C8D"/>
    <w:rsid w:val="0070421B"/>
    <w:rsid w:val="00704384"/>
    <w:rsid w:val="00704C7F"/>
    <w:rsid w:val="00705BF8"/>
    <w:rsid w:val="00705EF1"/>
    <w:rsid w:val="0070605B"/>
    <w:rsid w:val="00706336"/>
    <w:rsid w:val="0070655A"/>
    <w:rsid w:val="00706787"/>
    <w:rsid w:val="007070B3"/>
    <w:rsid w:val="00707998"/>
    <w:rsid w:val="00707E23"/>
    <w:rsid w:val="00710017"/>
    <w:rsid w:val="00710E6F"/>
    <w:rsid w:val="00710EAB"/>
    <w:rsid w:val="0071130D"/>
    <w:rsid w:val="00711838"/>
    <w:rsid w:val="00711A4E"/>
    <w:rsid w:val="00711B8C"/>
    <w:rsid w:val="00712303"/>
    <w:rsid w:val="00712E23"/>
    <w:rsid w:val="00712F0F"/>
    <w:rsid w:val="007130ED"/>
    <w:rsid w:val="007132C8"/>
    <w:rsid w:val="00713560"/>
    <w:rsid w:val="00713C0A"/>
    <w:rsid w:val="00713EF9"/>
    <w:rsid w:val="0071441F"/>
    <w:rsid w:val="007145B9"/>
    <w:rsid w:val="007153A6"/>
    <w:rsid w:val="007156C3"/>
    <w:rsid w:val="00716475"/>
    <w:rsid w:val="007165A6"/>
    <w:rsid w:val="00716704"/>
    <w:rsid w:val="0071695D"/>
    <w:rsid w:val="007169E3"/>
    <w:rsid w:val="0071748E"/>
    <w:rsid w:val="0071752F"/>
    <w:rsid w:val="0072004C"/>
    <w:rsid w:val="007201F2"/>
    <w:rsid w:val="00720BA1"/>
    <w:rsid w:val="00721B3C"/>
    <w:rsid w:val="0072209C"/>
    <w:rsid w:val="0072228B"/>
    <w:rsid w:val="00722A64"/>
    <w:rsid w:val="007231CD"/>
    <w:rsid w:val="007233C9"/>
    <w:rsid w:val="007236CE"/>
    <w:rsid w:val="00723700"/>
    <w:rsid w:val="0072393C"/>
    <w:rsid w:val="00723B25"/>
    <w:rsid w:val="00723EC5"/>
    <w:rsid w:val="00724356"/>
    <w:rsid w:val="00724AC7"/>
    <w:rsid w:val="0072578C"/>
    <w:rsid w:val="00725B14"/>
    <w:rsid w:val="00725D61"/>
    <w:rsid w:val="00725E9F"/>
    <w:rsid w:val="00725EF0"/>
    <w:rsid w:val="00726CCC"/>
    <w:rsid w:val="007273A7"/>
    <w:rsid w:val="0073002E"/>
    <w:rsid w:val="00730069"/>
    <w:rsid w:val="00731155"/>
    <w:rsid w:val="007311C1"/>
    <w:rsid w:val="00731AD2"/>
    <w:rsid w:val="00731E45"/>
    <w:rsid w:val="00733843"/>
    <w:rsid w:val="00733A86"/>
    <w:rsid w:val="00734211"/>
    <w:rsid w:val="007342A4"/>
    <w:rsid w:val="00734559"/>
    <w:rsid w:val="0073458D"/>
    <w:rsid w:val="00734E78"/>
    <w:rsid w:val="00735918"/>
    <w:rsid w:val="007359BF"/>
    <w:rsid w:val="00735A3F"/>
    <w:rsid w:val="00735BF3"/>
    <w:rsid w:val="00735D3A"/>
    <w:rsid w:val="007360CC"/>
    <w:rsid w:val="0073615F"/>
    <w:rsid w:val="00736B86"/>
    <w:rsid w:val="00737265"/>
    <w:rsid w:val="007372CC"/>
    <w:rsid w:val="0073743F"/>
    <w:rsid w:val="007374ED"/>
    <w:rsid w:val="00737560"/>
    <w:rsid w:val="007377EE"/>
    <w:rsid w:val="00737A9E"/>
    <w:rsid w:val="007403F4"/>
    <w:rsid w:val="007404FF"/>
    <w:rsid w:val="00740BAB"/>
    <w:rsid w:val="00740FF2"/>
    <w:rsid w:val="0074159F"/>
    <w:rsid w:val="00741656"/>
    <w:rsid w:val="00741DB4"/>
    <w:rsid w:val="00742435"/>
    <w:rsid w:val="0074256E"/>
    <w:rsid w:val="00742AFE"/>
    <w:rsid w:val="007430CF"/>
    <w:rsid w:val="007432AC"/>
    <w:rsid w:val="00743CDD"/>
    <w:rsid w:val="00744014"/>
    <w:rsid w:val="00744133"/>
    <w:rsid w:val="00744349"/>
    <w:rsid w:val="007445A6"/>
    <w:rsid w:val="00744921"/>
    <w:rsid w:val="00744C3F"/>
    <w:rsid w:val="00744DD4"/>
    <w:rsid w:val="00745215"/>
    <w:rsid w:val="00745630"/>
    <w:rsid w:val="00746616"/>
    <w:rsid w:val="00746908"/>
    <w:rsid w:val="007469BC"/>
    <w:rsid w:val="00746A25"/>
    <w:rsid w:val="00746C40"/>
    <w:rsid w:val="007471C2"/>
    <w:rsid w:val="00747459"/>
    <w:rsid w:val="00747654"/>
    <w:rsid w:val="00747AD1"/>
    <w:rsid w:val="00750A02"/>
    <w:rsid w:val="00750C14"/>
    <w:rsid w:val="007513FA"/>
    <w:rsid w:val="00751549"/>
    <w:rsid w:val="007516C1"/>
    <w:rsid w:val="007518AB"/>
    <w:rsid w:val="00751BC8"/>
    <w:rsid w:val="00751FF4"/>
    <w:rsid w:val="00752B54"/>
    <w:rsid w:val="00752C34"/>
    <w:rsid w:val="00753A11"/>
    <w:rsid w:val="00753C50"/>
    <w:rsid w:val="00754A98"/>
    <w:rsid w:val="00755272"/>
    <w:rsid w:val="00755D18"/>
    <w:rsid w:val="007568FC"/>
    <w:rsid w:val="00756D0E"/>
    <w:rsid w:val="00756E5C"/>
    <w:rsid w:val="00756E9B"/>
    <w:rsid w:val="007570E3"/>
    <w:rsid w:val="007573CA"/>
    <w:rsid w:val="007603B7"/>
    <w:rsid w:val="00761029"/>
    <w:rsid w:val="007610BE"/>
    <w:rsid w:val="007618BE"/>
    <w:rsid w:val="00761F20"/>
    <w:rsid w:val="007624FF"/>
    <w:rsid w:val="0076334E"/>
    <w:rsid w:val="00763F49"/>
    <w:rsid w:val="007646A9"/>
    <w:rsid w:val="00764CE0"/>
    <w:rsid w:val="00764D70"/>
    <w:rsid w:val="00764F10"/>
    <w:rsid w:val="00765157"/>
    <w:rsid w:val="00765909"/>
    <w:rsid w:val="00765F2D"/>
    <w:rsid w:val="00766203"/>
    <w:rsid w:val="00766416"/>
    <w:rsid w:val="007666FD"/>
    <w:rsid w:val="007668FC"/>
    <w:rsid w:val="00766D7A"/>
    <w:rsid w:val="00767B56"/>
    <w:rsid w:val="00767CB7"/>
    <w:rsid w:val="0077017A"/>
    <w:rsid w:val="007701D6"/>
    <w:rsid w:val="00770D4A"/>
    <w:rsid w:val="00770D5C"/>
    <w:rsid w:val="00771701"/>
    <w:rsid w:val="007718FE"/>
    <w:rsid w:val="007721A7"/>
    <w:rsid w:val="0077256C"/>
    <w:rsid w:val="007728E5"/>
    <w:rsid w:val="00773479"/>
    <w:rsid w:val="007739D9"/>
    <w:rsid w:val="00773F4C"/>
    <w:rsid w:val="007740F8"/>
    <w:rsid w:val="0077467A"/>
    <w:rsid w:val="0077488C"/>
    <w:rsid w:val="007749F8"/>
    <w:rsid w:val="00774B67"/>
    <w:rsid w:val="00774C05"/>
    <w:rsid w:val="00774E9C"/>
    <w:rsid w:val="00774FE0"/>
    <w:rsid w:val="00776068"/>
    <w:rsid w:val="0077611B"/>
    <w:rsid w:val="007761FB"/>
    <w:rsid w:val="00776497"/>
    <w:rsid w:val="007765E0"/>
    <w:rsid w:val="00776AE8"/>
    <w:rsid w:val="00776E71"/>
    <w:rsid w:val="00777255"/>
    <w:rsid w:val="00777AA6"/>
    <w:rsid w:val="0078072C"/>
    <w:rsid w:val="007808E9"/>
    <w:rsid w:val="00780D9D"/>
    <w:rsid w:val="00780F05"/>
    <w:rsid w:val="00781283"/>
    <w:rsid w:val="00781B40"/>
    <w:rsid w:val="00782242"/>
    <w:rsid w:val="0078258D"/>
    <w:rsid w:val="00782AD6"/>
    <w:rsid w:val="0078328E"/>
    <w:rsid w:val="00783810"/>
    <w:rsid w:val="00784A09"/>
    <w:rsid w:val="007854E0"/>
    <w:rsid w:val="00785851"/>
    <w:rsid w:val="00785C21"/>
    <w:rsid w:val="00785E32"/>
    <w:rsid w:val="00786898"/>
    <w:rsid w:val="00786DA4"/>
    <w:rsid w:val="00786FAB"/>
    <w:rsid w:val="0078712E"/>
    <w:rsid w:val="0078764C"/>
    <w:rsid w:val="00787EE6"/>
    <w:rsid w:val="00787F6A"/>
    <w:rsid w:val="00792017"/>
    <w:rsid w:val="007928BD"/>
    <w:rsid w:val="00792C69"/>
    <w:rsid w:val="00793D8A"/>
    <w:rsid w:val="00793F8D"/>
    <w:rsid w:val="00793FFA"/>
    <w:rsid w:val="00794061"/>
    <w:rsid w:val="007945C2"/>
    <w:rsid w:val="007946D8"/>
    <w:rsid w:val="00794FB3"/>
    <w:rsid w:val="00795102"/>
    <w:rsid w:val="00795C7D"/>
    <w:rsid w:val="00795DB8"/>
    <w:rsid w:val="00795FEE"/>
    <w:rsid w:val="0079644B"/>
    <w:rsid w:val="007964A1"/>
    <w:rsid w:val="007964DA"/>
    <w:rsid w:val="00796747"/>
    <w:rsid w:val="00796862"/>
    <w:rsid w:val="00796E83"/>
    <w:rsid w:val="00797198"/>
    <w:rsid w:val="007975BF"/>
    <w:rsid w:val="007A05B0"/>
    <w:rsid w:val="007A0973"/>
    <w:rsid w:val="007A1310"/>
    <w:rsid w:val="007A1E7B"/>
    <w:rsid w:val="007A30BA"/>
    <w:rsid w:val="007A443C"/>
    <w:rsid w:val="007A46BB"/>
    <w:rsid w:val="007A4B3A"/>
    <w:rsid w:val="007A5080"/>
    <w:rsid w:val="007A5827"/>
    <w:rsid w:val="007A5E12"/>
    <w:rsid w:val="007A5E75"/>
    <w:rsid w:val="007A5FC3"/>
    <w:rsid w:val="007A609F"/>
    <w:rsid w:val="007A62D0"/>
    <w:rsid w:val="007A6568"/>
    <w:rsid w:val="007A6E12"/>
    <w:rsid w:val="007A7757"/>
    <w:rsid w:val="007A7C32"/>
    <w:rsid w:val="007B001E"/>
    <w:rsid w:val="007B050E"/>
    <w:rsid w:val="007B1458"/>
    <w:rsid w:val="007B14EC"/>
    <w:rsid w:val="007B16AC"/>
    <w:rsid w:val="007B2FF6"/>
    <w:rsid w:val="007B3462"/>
    <w:rsid w:val="007B37CF"/>
    <w:rsid w:val="007B3A1C"/>
    <w:rsid w:val="007B3CD9"/>
    <w:rsid w:val="007B4496"/>
    <w:rsid w:val="007B44E8"/>
    <w:rsid w:val="007B4884"/>
    <w:rsid w:val="007B4AF3"/>
    <w:rsid w:val="007B5289"/>
    <w:rsid w:val="007B53DC"/>
    <w:rsid w:val="007B54F6"/>
    <w:rsid w:val="007B6A9B"/>
    <w:rsid w:val="007B71BA"/>
    <w:rsid w:val="007B7C79"/>
    <w:rsid w:val="007C037C"/>
    <w:rsid w:val="007C04FF"/>
    <w:rsid w:val="007C0FBF"/>
    <w:rsid w:val="007C190D"/>
    <w:rsid w:val="007C1F3A"/>
    <w:rsid w:val="007C2251"/>
    <w:rsid w:val="007C23D4"/>
    <w:rsid w:val="007C2970"/>
    <w:rsid w:val="007C342E"/>
    <w:rsid w:val="007C3E9F"/>
    <w:rsid w:val="007C4AF0"/>
    <w:rsid w:val="007C54CD"/>
    <w:rsid w:val="007C5669"/>
    <w:rsid w:val="007C639C"/>
    <w:rsid w:val="007C6D8E"/>
    <w:rsid w:val="007C6F89"/>
    <w:rsid w:val="007C74C2"/>
    <w:rsid w:val="007C78AE"/>
    <w:rsid w:val="007D0841"/>
    <w:rsid w:val="007D08E0"/>
    <w:rsid w:val="007D0AB9"/>
    <w:rsid w:val="007D0B77"/>
    <w:rsid w:val="007D159F"/>
    <w:rsid w:val="007D163B"/>
    <w:rsid w:val="007D1709"/>
    <w:rsid w:val="007D24DF"/>
    <w:rsid w:val="007D2A59"/>
    <w:rsid w:val="007D34AA"/>
    <w:rsid w:val="007D35B3"/>
    <w:rsid w:val="007D3F5E"/>
    <w:rsid w:val="007D46B8"/>
    <w:rsid w:val="007D49A3"/>
    <w:rsid w:val="007D4AFD"/>
    <w:rsid w:val="007D53AF"/>
    <w:rsid w:val="007D54CB"/>
    <w:rsid w:val="007D5647"/>
    <w:rsid w:val="007D5675"/>
    <w:rsid w:val="007D5A3C"/>
    <w:rsid w:val="007D6171"/>
    <w:rsid w:val="007D623B"/>
    <w:rsid w:val="007D64F4"/>
    <w:rsid w:val="007D6720"/>
    <w:rsid w:val="007D6B5B"/>
    <w:rsid w:val="007D6BC8"/>
    <w:rsid w:val="007D6EAA"/>
    <w:rsid w:val="007D71FD"/>
    <w:rsid w:val="007D7E6E"/>
    <w:rsid w:val="007E0315"/>
    <w:rsid w:val="007E03CD"/>
    <w:rsid w:val="007E13B8"/>
    <w:rsid w:val="007E16AD"/>
    <w:rsid w:val="007E2179"/>
    <w:rsid w:val="007E22C0"/>
    <w:rsid w:val="007E268E"/>
    <w:rsid w:val="007E2E00"/>
    <w:rsid w:val="007E2FAC"/>
    <w:rsid w:val="007E31C3"/>
    <w:rsid w:val="007E387A"/>
    <w:rsid w:val="007E3A09"/>
    <w:rsid w:val="007E3F6F"/>
    <w:rsid w:val="007E4101"/>
    <w:rsid w:val="007E4796"/>
    <w:rsid w:val="007E4DE0"/>
    <w:rsid w:val="007E5ECD"/>
    <w:rsid w:val="007E6E16"/>
    <w:rsid w:val="007F0612"/>
    <w:rsid w:val="007F0723"/>
    <w:rsid w:val="007F07ED"/>
    <w:rsid w:val="007F0D4D"/>
    <w:rsid w:val="007F0FE3"/>
    <w:rsid w:val="007F1100"/>
    <w:rsid w:val="007F14A0"/>
    <w:rsid w:val="007F2155"/>
    <w:rsid w:val="007F259E"/>
    <w:rsid w:val="007F268F"/>
    <w:rsid w:val="007F2A9C"/>
    <w:rsid w:val="007F3235"/>
    <w:rsid w:val="007F34DE"/>
    <w:rsid w:val="007F500D"/>
    <w:rsid w:val="007F5728"/>
    <w:rsid w:val="007F5A1E"/>
    <w:rsid w:val="007F5B26"/>
    <w:rsid w:val="007F61D0"/>
    <w:rsid w:val="007F64C3"/>
    <w:rsid w:val="007F6514"/>
    <w:rsid w:val="007F6707"/>
    <w:rsid w:val="007F7102"/>
    <w:rsid w:val="007F760B"/>
    <w:rsid w:val="007F7F60"/>
    <w:rsid w:val="00800445"/>
    <w:rsid w:val="00800BBD"/>
    <w:rsid w:val="008012EF"/>
    <w:rsid w:val="0080187B"/>
    <w:rsid w:val="008018C6"/>
    <w:rsid w:val="00802425"/>
    <w:rsid w:val="008029B4"/>
    <w:rsid w:val="00802BD3"/>
    <w:rsid w:val="00802D8E"/>
    <w:rsid w:val="00803B1F"/>
    <w:rsid w:val="00804008"/>
    <w:rsid w:val="008041CB"/>
    <w:rsid w:val="008042EA"/>
    <w:rsid w:val="008048C1"/>
    <w:rsid w:val="00804CFD"/>
    <w:rsid w:val="00804D8B"/>
    <w:rsid w:val="0080538D"/>
    <w:rsid w:val="008053E0"/>
    <w:rsid w:val="00805E07"/>
    <w:rsid w:val="00805F45"/>
    <w:rsid w:val="00806DAE"/>
    <w:rsid w:val="00807250"/>
    <w:rsid w:val="00807B5E"/>
    <w:rsid w:val="00807E60"/>
    <w:rsid w:val="00807FF9"/>
    <w:rsid w:val="00810139"/>
    <w:rsid w:val="008107F0"/>
    <w:rsid w:val="00812994"/>
    <w:rsid w:val="00812A2D"/>
    <w:rsid w:val="00812B8C"/>
    <w:rsid w:val="00812EDB"/>
    <w:rsid w:val="00813181"/>
    <w:rsid w:val="00813223"/>
    <w:rsid w:val="0081371A"/>
    <w:rsid w:val="008137C2"/>
    <w:rsid w:val="00813B44"/>
    <w:rsid w:val="00815AEB"/>
    <w:rsid w:val="00815CD1"/>
    <w:rsid w:val="00815E11"/>
    <w:rsid w:val="00815E3B"/>
    <w:rsid w:val="00815F08"/>
    <w:rsid w:val="0081679F"/>
    <w:rsid w:val="00816EA3"/>
    <w:rsid w:val="00816F2E"/>
    <w:rsid w:val="00817013"/>
    <w:rsid w:val="0081757E"/>
    <w:rsid w:val="00817B6A"/>
    <w:rsid w:val="00817C7B"/>
    <w:rsid w:val="00817D83"/>
    <w:rsid w:val="00820382"/>
    <w:rsid w:val="008210FA"/>
    <w:rsid w:val="0082195F"/>
    <w:rsid w:val="00821A0D"/>
    <w:rsid w:val="00821EA3"/>
    <w:rsid w:val="00823AF4"/>
    <w:rsid w:val="00824061"/>
    <w:rsid w:val="00824D73"/>
    <w:rsid w:val="00824EEB"/>
    <w:rsid w:val="008258AF"/>
    <w:rsid w:val="00826983"/>
    <w:rsid w:val="00826EB1"/>
    <w:rsid w:val="00827B6F"/>
    <w:rsid w:val="00830543"/>
    <w:rsid w:val="00830709"/>
    <w:rsid w:val="008313E3"/>
    <w:rsid w:val="008316CD"/>
    <w:rsid w:val="00831826"/>
    <w:rsid w:val="00831DC8"/>
    <w:rsid w:val="00831F55"/>
    <w:rsid w:val="00832404"/>
    <w:rsid w:val="00832B88"/>
    <w:rsid w:val="00833306"/>
    <w:rsid w:val="008333F0"/>
    <w:rsid w:val="00833D0C"/>
    <w:rsid w:val="008346F9"/>
    <w:rsid w:val="008350FE"/>
    <w:rsid w:val="0083521F"/>
    <w:rsid w:val="008356C0"/>
    <w:rsid w:val="00835702"/>
    <w:rsid w:val="00835C46"/>
    <w:rsid w:val="00835D39"/>
    <w:rsid w:val="00835D99"/>
    <w:rsid w:val="00836602"/>
    <w:rsid w:val="00836845"/>
    <w:rsid w:val="008369DF"/>
    <w:rsid w:val="00836C95"/>
    <w:rsid w:val="008371ED"/>
    <w:rsid w:val="00837D10"/>
    <w:rsid w:val="00837FAE"/>
    <w:rsid w:val="00840202"/>
    <w:rsid w:val="008402A9"/>
    <w:rsid w:val="0084072A"/>
    <w:rsid w:val="00840B40"/>
    <w:rsid w:val="008417CE"/>
    <w:rsid w:val="008418EB"/>
    <w:rsid w:val="00841C34"/>
    <w:rsid w:val="008425F1"/>
    <w:rsid w:val="0084346D"/>
    <w:rsid w:val="00843B9D"/>
    <w:rsid w:val="00843D14"/>
    <w:rsid w:val="00843DB4"/>
    <w:rsid w:val="00844099"/>
    <w:rsid w:val="00844817"/>
    <w:rsid w:val="0084511A"/>
    <w:rsid w:val="008455EC"/>
    <w:rsid w:val="008457F6"/>
    <w:rsid w:val="00845906"/>
    <w:rsid w:val="00846365"/>
    <w:rsid w:val="00846D84"/>
    <w:rsid w:val="00846E09"/>
    <w:rsid w:val="00846EBD"/>
    <w:rsid w:val="00847B33"/>
    <w:rsid w:val="00850817"/>
    <w:rsid w:val="00850890"/>
    <w:rsid w:val="0085097C"/>
    <w:rsid w:val="00850ACF"/>
    <w:rsid w:val="00850B5F"/>
    <w:rsid w:val="0085139A"/>
    <w:rsid w:val="00852175"/>
    <w:rsid w:val="00852580"/>
    <w:rsid w:val="00852F5F"/>
    <w:rsid w:val="00853394"/>
    <w:rsid w:val="00853C91"/>
    <w:rsid w:val="00853DDE"/>
    <w:rsid w:val="00854554"/>
    <w:rsid w:val="00855033"/>
    <w:rsid w:val="0085511F"/>
    <w:rsid w:val="0085542A"/>
    <w:rsid w:val="008554F9"/>
    <w:rsid w:val="0085551E"/>
    <w:rsid w:val="00856180"/>
    <w:rsid w:val="008573E4"/>
    <w:rsid w:val="008573F1"/>
    <w:rsid w:val="008575D2"/>
    <w:rsid w:val="008576A5"/>
    <w:rsid w:val="00857AF7"/>
    <w:rsid w:val="00857B4C"/>
    <w:rsid w:val="00857DF6"/>
    <w:rsid w:val="00857EAD"/>
    <w:rsid w:val="00860A0C"/>
    <w:rsid w:val="00860B5A"/>
    <w:rsid w:val="00860DE5"/>
    <w:rsid w:val="008613F2"/>
    <w:rsid w:val="00861B71"/>
    <w:rsid w:val="00862276"/>
    <w:rsid w:val="00862548"/>
    <w:rsid w:val="0086271A"/>
    <w:rsid w:val="00862AD0"/>
    <w:rsid w:val="00862B0C"/>
    <w:rsid w:val="00863185"/>
    <w:rsid w:val="00863234"/>
    <w:rsid w:val="00863C91"/>
    <w:rsid w:val="00863EF9"/>
    <w:rsid w:val="00863FD4"/>
    <w:rsid w:val="00864858"/>
    <w:rsid w:val="008648A6"/>
    <w:rsid w:val="00864B1B"/>
    <w:rsid w:val="008656DC"/>
    <w:rsid w:val="00865A8A"/>
    <w:rsid w:val="00865C63"/>
    <w:rsid w:val="00865DB2"/>
    <w:rsid w:val="00865E59"/>
    <w:rsid w:val="00866956"/>
    <w:rsid w:val="00867045"/>
    <w:rsid w:val="008677AC"/>
    <w:rsid w:val="00867872"/>
    <w:rsid w:val="00870455"/>
    <w:rsid w:val="00870AD3"/>
    <w:rsid w:val="008715A4"/>
    <w:rsid w:val="00872874"/>
    <w:rsid w:val="008730CD"/>
    <w:rsid w:val="0087341F"/>
    <w:rsid w:val="00873845"/>
    <w:rsid w:val="008744B4"/>
    <w:rsid w:val="00874B66"/>
    <w:rsid w:val="00874D4F"/>
    <w:rsid w:val="00874FAD"/>
    <w:rsid w:val="0087546A"/>
    <w:rsid w:val="00875612"/>
    <w:rsid w:val="00875D90"/>
    <w:rsid w:val="008767A0"/>
    <w:rsid w:val="00876881"/>
    <w:rsid w:val="00876BC2"/>
    <w:rsid w:val="00876E59"/>
    <w:rsid w:val="00876FDA"/>
    <w:rsid w:val="00877DF6"/>
    <w:rsid w:val="008803DA"/>
    <w:rsid w:val="00881182"/>
    <w:rsid w:val="00881324"/>
    <w:rsid w:val="00881714"/>
    <w:rsid w:val="008819DD"/>
    <w:rsid w:val="00881D2C"/>
    <w:rsid w:val="00881F17"/>
    <w:rsid w:val="00881FAF"/>
    <w:rsid w:val="008820B1"/>
    <w:rsid w:val="0088281C"/>
    <w:rsid w:val="0088285F"/>
    <w:rsid w:val="00883013"/>
    <w:rsid w:val="00883225"/>
    <w:rsid w:val="008833EF"/>
    <w:rsid w:val="00883F72"/>
    <w:rsid w:val="00884185"/>
    <w:rsid w:val="00884612"/>
    <w:rsid w:val="0088597A"/>
    <w:rsid w:val="00885CC6"/>
    <w:rsid w:val="00886C84"/>
    <w:rsid w:val="00886F74"/>
    <w:rsid w:val="00887249"/>
    <w:rsid w:val="008875D4"/>
    <w:rsid w:val="00887729"/>
    <w:rsid w:val="00887A59"/>
    <w:rsid w:val="00887C0A"/>
    <w:rsid w:val="008910C1"/>
    <w:rsid w:val="0089190F"/>
    <w:rsid w:val="00891B4A"/>
    <w:rsid w:val="00891FAC"/>
    <w:rsid w:val="00892185"/>
    <w:rsid w:val="008924C6"/>
    <w:rsid w:val="008930D7"/>
    <w:rsid w:val="00893EF2"/>
    <w:rsid w:val="00894503"/>
    <w:rsid w:val="0089486B"/>
    <w:rsid w:val="00894AC8"/>
    <w:rsid w:val="00895650"/>
    <w:rsid w:val="008957FE"/>
    <w:rsid w:val="00895AC8"/>
    <w:rsid w:val="00895B4E"/>
    <w:rsid w:val="00895EA2"/>
    <w:rsid w:val="008961AA"/>
    <w:rsid w:val="00896389"/>
    <w:rsid w:val="00896856"/>
    <w:rsid w:val="00896862"/>
    <w:rsid w:val="00896D2B"/>
    <w:rsid w:val="0089747F"/>
    <w:rsid w:val="008A03E2"/>
    <w:rsid w:val="008A0B85"/>
    <w:rsid w:val="008A0C85"/>
    <w:rsid w:val="008A1118"/>
    <w:rsid w:val="008A146C"/>
    <w:rsid w:val="008A14DF"/>
    <w:rsid w:val="008A17BC"/>
    <w:rsid w:val="008A299E"/>
    <w:rsid w:val="008A2C7E"/>
    <w:rsid w:val="008A386F"/>
    <w:rsid w:val="008A3891"/>
    <w:rsid w:val="008A3955"/>
    <w:rsid w:val="008A3EE6"/>
    <w:rsid w:val="008A43A7"/>
    <w:rsid w:val="008A46CC"/>
    <w:rsid w:val="008A4990"/>
    <w:rsid w:val="008A4F55"/>
    <w:rsid w:val="008A579F"/>
    <w:rsid w:val="008A59A9"/>
    <w:rsid w:val="008A60A4"/>
    <w:rsid w:val="008A7C40"/>
    <w:rsid w:val="008B0197"/>
    <w:rsid w:val="008B0603"/>
    <w:rsid w:val="008B074E"/>
    <w:rsid w:val="008B09B5"/>
    <w:rsid w:val="008B1279"/>
    <w:rsid w:val="008B1A0F"/>
    <w:rsid w:val="008B1F08"/>
    <w:rsid w:val="008B2062"/>
    <w:rsid w:val="008B2303"/>
    <w:rsid w:val="008B29B4"/>
    <w:rsid w:val="008B3049"/>
    <w:rsid w:val="008B3475"/>
    <w:rsid w:val="008B37AE"/>
    <w:rsid w:val="008B3FE9"/>
    <w:rsid w:val="008B452E"/>
    <w:rsid w:val="008B4543"/>
    <w:rsid w:val="008B474A"/>
    <w:rsid w:val="008B4DD4"/>
    <w:rsid w:val="008B5252"/>
    <w:rsid w:val="008B55F9"/>
    <w:rsid w:val="008B5644"/>
    <w:rsid w:val="008B5E21"/>
    <w:rsid w:val="008B6289"/>
    <w:rsid w:val="008B638A"/>
    <w:rsid w:val="008B654C"/>
    <w:rsid w:val="008B6944"/>
    <w:rsid w:val="008B73A5"/>
    <w:rsid w:val="008B75B8"/>
    <w:rsid w:val="008B7AA7"/>
    <w:rsid w:val="008B7E3A"/>
    <w:rsid w:val="008C019C"/>
    <w:rsid w:val="008C01FB"/>
    <w:rsid w:val="008C0520"/>
    <w:rsid w:val="008C0AA6"/>
    <w:rsid w:val="008C1099"/>
    <w:rsid w:val="008C15BE"/>
    <w:rsid w:val="008C1711"/>
    <w:rsid w:val="008C1AD5"/>
    <w:rsid w:val="008C1C00"/>
    <w:rsid w:val="008C21C2"/>
    <w:rsid w:val="008C221A"/>
    <w:rsid w:val="008C22AF"/>
    <w:rsid w:val="008C2E8F"/>
    <w:rsid w:val="008C2EF7"/>
    <w:rsid w:val="008C3511"/>
    <w:rsid w:val="008C376E"/>
    <w:rsid w:val="008C3797"/>
    <w:rsid w:val="008C3D30"/>
    <w:rsid w:val="008C3D99"/>
    <w:rsid w:val="008C42D3"/>
    <w:rsid w:val="008C48BC"/>
    <w:rsid w:val="008C5953"/>
    <w:rsid w:val="008C64E6"/>
    <w:rsid w:val="008C69E3"/>
    <w:rsid w:val="008C6D64"/>
    <w:rsid w:val="008C6D80"/>
    <w:rsid w:val="008C7D5B"/>
    <w:rsid w:val="008C7E0B"/>
    <w:rsid w:val="008C7FDB"/>
    <w:rsid w:val="008D0BD0"/>
    <w:rsid w:val="008D0DC3"/>
    <w:rsid w:val="008D1425"/>
    <w:rsid w:val="008D1AB0"/>
    <w:rsid w:val="008D2AB9"/>
    <w:rsid w:val="008D2BFB"/>
    <w:rsid w:val="008D34F5"/>
    <w:rsid w:val="008D3B62"/>
    <w:rsid w:val="008D4239"/>
    <w:rsid w:val="008D46DE"/>
    <w:rsid w:val="008D4B89"/>
    <w:rsid w:val="008D4FFD"/>
    <w:rsid w:val="008D59C5"/>
    <w:rsid w:val="008D5C73"/>
    <w:rsid w:val="008D5D05"/>
    <w:rsid w:val="008D63D5"/>
    <w:rsid w:val="008D64A8"/>
    <w:rsid w:val="008D74DE"/>
    <w:rsid w:val="008D7BAF"/>
    <w:rsid w:val="008D7D25"/>
    <w:rsid w:val="008E08F0"/>
    <w:rsid w:val="008E0A07"/>
    <w:rsid w:val="008E0CA1"/>
    <w:rsid w:val="008E0E3D"/>
    <w:rsid w:val="008E2F0D"/>
    <w:rsid w:val="008E2F4A"/>
    <w:rsid w:val="008E30D3"/>
    <w:rsid w:val="008E3448"/>
    <w:rsid w:val="008E359E"/>
    <w:rsid w:val="008E36A5"/>
    <w:rsid w:val="008E39DD"/>
    <w:rsid w:val="008E3B68"/>
    <w:rsid w:val="008E3CC1"/>
    <w:rsid w:val="008E4A12"/>
    <w:rsid w:val="008E514A"/>
    <w:rsid w:val="008E5342"/>
    <w:rsid w:val="008E537A"/>
    <w:rsid w:val="008E623E"/>
    <w:rsid w:val="008E6749"/>
    <w:rsid w:val="008E71B0"/>
    <w:rsid w:val="008E7575"/>
    <w:rsid w:val="008E7659"/>
    <w:rsid w:val="008E7691"/>
    <w:rsid w:val="008E7B7D"/>
    <w:rsid w:val="008F002E"/>
    <w:rsid w:val="008F07D6"/>
    <w:rsid w:val="008F108D"/>
    <w:rsid w:val="008F2508"/>
    <w:rsid w:val="008F2523"/>
    <w:rsid w:val="008F28D5"/>
    <w:rsid w:val="008F29DD"/>
    <w:rsid w:val="008F2F75"/>
    <w:rsid w:val="008F2FB1"/>
    <w:rsid w:val="008F3165"/>
    <w:rsid w:val="008F3207"/>
    <w:rsid w:val="008F346D"/>
    <w:rsid w:val="008F353A"/>
    <w:rsid w:val="008F368F"/>
    <w:rsid w:val="008F38D5"/>
    <w:rsid w:val="008F3DDC"/>
    <w:rsid w:val="008F3F45"/>
    <w:rsid w:val="008F46AB"/>
    <w:rsid w:val="008F47CB"/>
    <w:rsid w:val="008F49CA"/>
    <w:rsid w:val="008F4D82"/>
    <w:rsid w:val="008F5430"/>
    <w:rsid w:val="008F5709"/>
    <w:rsid w:val="008F5C41"/>
    <w:rsid w:val="008F5C43"/>
    <w:rsid w:val="008F6E4D"/>
    <w:rsid w:val="008F6F8F"/>
    <w:rsid w:val="008F7368"/>
    <w:rsid w:val="0090028A"/>
    <w:rsid w:val="00900886"/>
    <w:rsid w:val="009009E9"/>
    <w:rsid w:val="00900E49"/>
    <w:rsid w:val="00901BEF"/>
    <w:rsid w:val="00901D83"/>
    <w:rsid w:val="00901E33"/>
    <w:rsid w:val="00901EF5"/>
    <w:rsid w:val="00902457"/>
    <w:rsid w:val="009024BA"/>
    <w:rsid w:val="00902E4C"/>
    <w:rsid w:val="00902F56"/>
    <w:rsid w:val="00903181"/>
    <w:rsid w:val="00903810"/>
    <w:rsid w:val="00903D51"/>
    <w:rsid w:val="009041EE"/>
    <w:rsid w:val="009049EA"/>
    <w:rsid w:val="00904AD3"/>
    <w:rsid w:val="00904B80"/>
    <w:rsid w:val="00904BC1"/>
    <w:rsid w:val="0090591E"/>
    <w:rsid w:val="00905EF4"/>
    <w:rsid w:val="00906250"/>
    <w:rsid w:val="00906770"/>
    <w:rsid w:val="009074DA"/>
    <w:rsid w:val="00907BA3"/>
    <w:rsid w:val="00907FA0"/>
    <w:rsid w:val="0091098E"/>
    <w:rsid w:val="00910F3F"/>
    <w:rsid w:val="00911131"/>
    <w:rsid w:val="00911CF2"/>
    <w:rsid w:val="00911D9B"/>
    <w:rsid w:val="009122FE"/>
    <w:rsid w:val="009125F9"/>
    <w:rsid w:val="00912A88"/>
    <w:rsid w:val="00912BF3"/>
    <w:rsid w:val="009131E3"/>
    <w:rsid w:val="009132DA"/>
    <w:rsid w:val="0091379E"/>
    <w:rsid w:val="00914675"/>
    <w:rsid w:val="00914E07"/>
    <w:rsid w:val="00915422"/>
    <w:rsid w:val="0091546A"/>
    <w:rsid w:val="00915E79"/>
    <w:rsid w:val="00917279"/>
    <w:rsid w:val="00917293"/>
    <w:rsid w:val="0091745E"/>
    <w:rsid w:val="00917DED"/>
    <w:rsid w:val="0092007C"/>
    <w:rsid w:val="00920AB5"/>
    <w:rsid w:val="00920C88"/>
    <w:rsid w:val="00921371"/>
    <w:rsid w:val="009214F0"/>
    <w:rsid w:val="0092172C"/>
    <w:rsid w:val="00922322"/>
    <w:rsid w:val="009228A2"/>
    <w:rsid w:val="00922CA0"/>
    <w:rsid w:val="00923511"/>
    <w:rsid w:val="0092506F"/>
    <w:rsid w:val="009253CB"/>
    <w:rsid w:val="0092590E"/>
    <w:rsid w:val="00925A59"/>
    <w:rsid w:val="00925D72"/>
    <w:rsid w:val="00925FED"/>
    <w:rsid w:val="009260F8"/>
    <w:rsid w:val="009263EA"/>
    <w:rsid w:val="00926D1A"/>
    <w:rsid w:val="00926DB5"/>
    <w:rsid w:val="0092707D"/>
    <w:rsid w:val="00927099"/>
    <w:rsid w:val="009271E3"/>
    <w:rsid w:val="00927C79"/>
    <w:rsid w:val="009301D3"/>
    <w:rsid w:val="009302D4"/>
    <w:rsid w:val="009305D1"/>
    <w:rsid w:val="00930714"/>
    <w:rsid w:val="00930ADE"/>
    <w:rsid w:val="009316F0"/>
    <w:rsid w:val="00931BF7"/>
    <w:rsid w:val="00931F2C"/>
    <w:rsid w:val="00931FE7"/>
    <w:rsid w:val="0093204E"/>
    <w:rsid w:val="00932797"/>
    <w:rsid w:val="00932D42"/>
    <w:rsid w:val="0093314C"/>
    <w:rsid w:val="0093380A"/>
    <w:rsid w:val="00933D22"/>
    <w:rsid w:val="0093402D"/>
    <w:rsid w:val="00934089"/>
    <w:rsid w:val="009340F8"/>
    <w:rsid w:val="00934CD4"/>
    <w:rsid w:val="00934E4D"/>
    <w:rsid w:val="00934E70"/>
    <w:rsid w:val="00935223"/>
    <w:rsid w:val="0093564C"/>
    <w:rsid w:val="0093586E"/>
    <w:rsid w:val="009358F7"/>
    <w:rsid w:val="00935A15"/>
    <w:rsid w:val="00935B9B"/>
    <w:rsid w:val="00935CFB"/>
    <w:rsid w:val="00936174"/>
    <w:rsid w:val="00936682"/>
    <w:rsid w:val="009366F0"/>
    <w:rsid w:val="00936C4D"/>
    <w:rsid w:val="00937053"/>
    <w:rsid w:val="00940BF2"/>
    <w:rsid w:val="00941036"/>
    <w:rsid w:val="009411F5"/>
    <w:rsid w:val="0094142D"/>
    <w:rsid w:val="00942365"/>
    <w:rsid w:val="00942483"/>
    <w:rsid w:val="00942D61"/>
    <w:rsid w:val="009438A0"/>
    <w:rsid w:val="00943FA8"/>
    <w:rsid w:val="009444DC"/>
    <w:rsid w:val="00945570"/>
    <w:rsid w:val="0094622D"/>
    <w:rsid w:val="0094653D"/>
    <w:rsid w:val="00946570"/>
    <w:rsid w:val="009468BB"/>
    <w:rsid w:val="009472B9"/>
    <w:rsid w:val="0094755C"/>
    <w:rsid w:val="00947AC1"/>
    <w:rsid w:val="00950C1B"/>
    <w:rsid w:val="00950FCE"/>
    <w:rsid w:val="00951A9A"/>
    <w:rsid w:val="00951ED5"/>
    <w:rsid w:val="00952246"/>
    <w:rsid w:val="0095238C"/>
    <w:rsid w:val="009525B3"/>
    <w:rsid w:val="0095279C"/>
    <w:rsid w:val="00952981"/>
    <w:rsid w:val="00952F36"/>
    <w:rsid w:val="00953013"/>
    <w:rsid w:val="0095350F"/>
    <w:rsid w:val="009536C4"/>
    <w:rsid w:val="00953E9E"/>
    <w:rsid w:val="00953FE6"/>
    <w:rsid w:val="00954030"/>
    <w:rsid w:val="00954498"/>
    <w:rsid w:val="00954B0C"/>
    <w:rsid w:val="00954BC2"/>
    <w:rsid w:val="0095500D"/>
    <w:rsid w:val="00955535"/>
    <w:rsid w:val="009557AF"/>
    <w:rsid w:val="009558CD"/>
    <w:rsid w:val="00955EE1"/>
    <w:rsid w:val="00956192"/>
    <w:rsid w:val="0095675C"/>
    <w:rsid w:val="00956919"/>
    <w:rsid w:val="00956CA5"/>
    <w:rsid w:val="00956FD0"/>
    <w:rsid w:val="00957054"/>
    <w:rsid w:val="00957585"/>
    <w:rsid w:val="00957C02"/>
    <w:rsid w:val="00960822"/>
    <w:rsid w:val="009608A1"/>
    <w:rsid w:val="00960E60"/>
    <w:rsid w:val="00961EB9"/>
    <w:rsid w:val="0096249B"/>
    <w:rsid w:val="00962B99"/>
    <w:rsid w:val="00962BD5"/>
    <w:rsid w:val="00962ECE"/>
    <w:rsid w:val="0096322D"/>
    <w:rsid w:val="009639A1"/>
    <w:rsid w:val="00963A51"/>
    <w:rsid w:val="009642E2"/>
    <w:rsid w:val="009650C0"/>
    <w:rsid w:val="00965351"/>
    <w:rsid w:val="00965635"/>
    <w:rsid w:val="00965A77"/>
    <w:rsid w:val="0096640D"/>
    <w:rsid w:val="00966BC7"/>
    <w:rsid w:val="00966F08"/>
    <w:rsid w:val="00967300"/>
    <w:rsid w:val="009674D7"/>
    <w:rsid w:val="00967B16"/>
    <w:rsid w:val="00967BF1"/>
    <w:rsid w:val="00967C19"/>
    <w:rsid w:val="009709B1"/>
    <w:rsid w:val="00970C57"/>
    <w:rsid w:val="00970E1D"/>
    <w:rsid w:val="00970FB0"/>
    <w:rsid w:val="0097142C"/>
    <w:rsid w:val="0097186D"/>
    <w:rsid w:val="0097199D"/>
    <w:rsid w:val="00971A4A"/>
    <w:rsid w:val="00972344"/>
    <w:rsid w:val="00972F6C"/>
    <w:rsid w:val="009733AE"/>
    <w:rsid w:val="00974092"/>
    <w:rsid w:val="00974307"/>
    <w:rsid w:val="00974466"/>
    <w:rsid w:val="0097474C"/>
    <w:rsid w:val="0097500F"/>
    <w:rsid w:val="009763B4"/>
    <w:rsid w:val="00976AC6"/>
    <w:rsid w:val="00977B56"/>
    <w:rsid w:val="00980727"/>
    <w:rsid w:val="00980879"/>
    <w:rsid w:val="00980E24"/>
    <w:rsid w:val="00981191"/>
    <w:rsid w:val="009812C6"/>
    <w:rsid w:val="00981354"/>
    <w:rsid w:val="00982B4D"/>
    <w:rsid w:val="009834A0"/>
    <w:rsid w:val="00983527"/>
    <w:rsid w:val="009839DD"/>
    <w:rsid w:val="009841EC"/>
    <w:rsid w:val="0098467A"/>
    <w:rsid w:val="0098493E"/>
    <w:rsid w:val="009850E5"/>
    <w:rsid w:val="00985284"/>
    <w:rsid w:val="009857B9"/>
    <w:rsid w:val="00985BD6"/>
    <w:rsid w:val="00986679"/>
    <w:rsid w:val="009866CE"/>
    <w:rsid w:val="00986974"/>
    <w:rsid w:val="00986D95"/>
    <w:rsid w:val="00987696"/>
    <w:rsid w:val="00987B0E"/>
    <w:rsid w:val="00987FB6"/>
    <w:rsid w:val="0099005F"/>
    <w:rsid w:val="0099019A"/>
    <w:rsid w:val="0099029A"/>
    <w:rsid w:val="00990D3B"/>
    <w:rsid w:val="00990F38"/>
    <w:rsid w:val="00991011"/>
    <w:rsid w:val="00991097"/>
    <w:rsid w:val="009912E0"/>
    <w:rsid w:val="009914BB"/>
    <w:rsid w:val="009919A3"/>
    <w:rsid w:val="00992664"/>
    <w:rsid w:val="00992A9F"/>
    <w:rsid w:val="00993668"/>
    <w:rsid w:val="00993974"/>
    <w:rsid w:val="00994007"/>
    <w:rsid w:val="009941AB"/>
    <w:rsid w:val="0099477A"/>
    <w:rsid w:val="00994D17"/>
    <w:rsid w:val="00994D39"/>
    <w:rsid w:val="0099591E"/>
    <w:rsid w:val="009961EC"/>
    <w:rsid w:val="00996778"/>
    <w:rsid w:val="00996879"/>
    <w:rsid w:val="00996A41"/>
    <w:rsid w:val="00996AA5"/>
    <w:rsid w:val="00996B6F"/>
    <w:rsid w:val="00997022"/>
    <w:rsid w:val="009973AD"/>
    <w:rsid w:val="00997C6D"/>
    <w:rsid w:val="00997F9A"/>
    <w:rsid w:val="009A0468"/>
    <w:rsid w:val="009A0EC3"/>
    <w:rsid w:val="009A1166"/>
    <w:rsid w:val="009A1449"/>
    <w:rsid w:val="009A15B7"/>
    <w:rsid w:val="009A1AB7"/>
    <w:rsid w:val="009A1F8F"/>
    <w:rsid w:val="009A233B"/>
    <w:rsid w:val="009A26D8"/>
    <w:rsid w:val="009A28AC"/>
    <w:rsid w:val="009A2C54"/>
    <w:rsid w:val="009A2EF7"/>
    <w:rsid w:val="009A3862"/>
    <w:rsid w:val="009A3955"/>
    <w:rsid w:val="009A3C78"/>
    <w:rsid w:val="009A3CC1"/>
    <w:rsid w:val="009A410D"/>
    <w:rsid w:val="009A45C8"/>
    <w:rsid w:val="009A49F0"/>
    <w:rsid w:val="009A4F1A"/>
    <w:rsid w:val="009A4F73"/>
    <w:rsid w:val="009A51BF"/>
    <w:rsid w:val="009A69DC"/>
    <w:rsid w:val="009A7771"/>
    <w:rsid w:val="009B0059"/>
    <w:rsid w:val="009B00A0"/>
    <w:rsid w:val="009B0333"/>
    <w:rsid w:val="009B0F73"/>
    <w:rsid w:val="009B11B4"/>
    <w:rsid w:val="009B165C"/>
    <w:rsid w:val="009B1ADF"/>
    <w:rsid w:val="009B1FC8"/>
    <w:rsid w:val="009B25B7"/>
    <w:rsid w:val="009B2E2F"/>
    <w:rsid w:val="009B4F2F"/>
    <w:rsid w:val="009B518C"/>
    <w:rsid w:val="009B5206"/>
    <w:rsid w:val="009B53B5"/>
    <w:rsid w:val="009B5C76"/>
    <w:rsid w:val="009B64B2"/>
    <w:rsid w:val="009B737D"/>
    <w:rsid w:val="009B77EA"/>
    <w:rsid w:val="009C03AF"/>
    <w:rsid w:val="009C076B"/>
    <w:rsid w:val="009C091E"/>
    <w:rsid w:val="009C0ED9"/>
    <w:rsid w:val="009C13B5"/>
    <w:rsid w:val="009C1406"/>
    <w:rsid w:val="009C1FC8"/>
    <w:rsid w:val="009C2623"/>
    <w:rsid w:val="009C2969"/>
    <w:rsid w:val="009C2CF4"/>
    <w:rsid w:val="009C3689"/>
    <w:rsid w:val="009C36E4"/>
    <w:rsid w:val="009C414B"/>
    <w:rsid w:val="009C431D"/>
    <w:rsid w:val="009C4407"/>
    <w:rsid w:val="009C4416"/>
    <w:rsid w:val="009C5986"/>
    <w:rsid w:val="009C5A06"/>
    <w:rsid w:val="009C5B78"/>
    <w:rsid w:val="009C6D3E"/>
    <w:rsid w:val="009C6EE4"/>
    <w:rsid w:val="009C7B0B"/>
    <w:rsid w:val="009C7FDE"/>
    <w:rsid w:val="009D003B"/>
    <w:rsid w:val="009D045E"/>
    <w:rsid w:val="009D0CCF"/>
    <w:rsid w:val="009D0DA5"/>
    <w:rsid w:val="009D1190"/>
    <w:rsid w:val="009D11AB"/>
    <w:rsid w:val="009D1CB9"/>
    <w:rsid w:val="009D22EB"/>
    <w:rsid w:val="009D2A52"/>
    <w:rsid w:val="009D2A8F"/>
    <w:rsid w:val="009D2E1D"/>
    <w:rsid w:val="009D31AB"/>
    <w:rsid w:val="009D3520"/>
    <w:rsid w:val="009D374B"/>
    <w:rsid w:val="009D4834"/>
    <w:rsid w:val="009D49A1"/>
    <w:rsid w:val="009D4B57"/>
    <w:rsid w:val="009D5E40"/>
    <w:rsid w:val="009D621F"/>
    <w:rsid w:val="009D629E"/>
    <w:rsid w:val="009D6637"/>
    <w:rsid w:val="009D699A"/>
    <w:rsid w:val="009D6A64"/>
    <w:rsid w:val="009D7066"/>
    <w:rsid w:val="009D7334"/>
    <w:rsid w:val="009D7CE8"/>
    <w:rsid w:val="009E068C"/>
    <w:rsid w:val="009E06BA"/>
    <w:rsid w:val="009E0F80"/>
    <w:rsid w:val="009E1A30"/>
    <w:rsid w:val="009E1F10"/>
    <w:rsid w:val="009E2106"/>
    <w:rsid w:val="009E21B7"/>
    <w:rsid w:val="009E22F4"/>
    <w:rsid w:val="009E2985"/>
    <w:rsid w:val="009E2A36"/>
    <w:rsid w:val="009E2B6D"/>
    <w:rsid w:val="009E2FE5"/>
    <w:rsid w:val="009E3893"/>
    <w:rsid w:val="009E45F4"/>
    <w:rsid w:val="009E4664"/>
    <w:rsid w:val="009E4B6D"/>
    <w:rsid w:val="009E4BF4"/>
    <w:rsid w:val="009E514D"/>
    <w:rsid w:val="009E570F"/>
    <w:rsid w:val="009E6035"/>
    <w:rsid w:val="009E6058"/>
    <w:rsid w:val="009E6277"/>
    <w:rsid w:val="009E6359"/>
    <w:rsid w:val="009E63C3"/>
    <w:rsid w:val="009E6D7A"/>
    <w:rsid w:val="009E73AF"/>
    <w:rsid w:val="009E791A"/>
    <w:rsid w:val="009E7FD4"/>
    <w:rsid w:val="009F086B"/>
    <w:rsid w:val="009F1A4A"/>
    <w:rsid w:val="009F1F6B"/>
    <w:rsid w:val="009F23CE"/>
    <w:rsid w:val="009F2A68"/>
    <w:rsid w:val="009F2EFA"/>
    <w:rsid w:val="009F30F2"/>
    <w:rsid w:val="009F3B87"/>
    <w:rsid w:val="009F3E3B"/>
    <w:rsid w:val="009F3FF0"/>
    <w:rsid w:val="009F4F3C"/>
    <w:rsid w:val="009F54AD"/>
    <w:rsid w:val="009F5D30"/>
    <w:rsid w:val="009F5E8D"/>
    <w:rsid w:val="009F5F2A"/>
    <w:rsid w:val="009F6068"/>
    <w:rsid w:val="009F62CB"/>
    <w:rsid w:val="009F648A"/>
    <w:rsid w:val="009F6BCC"/>
    <w:rsid w:val="009F70F7"/>
    <w:rsid w:val="009F745F"/>
    <w:rsid w:val="009F7D45"/>
    <w:rsid w:val="00A0017D"/>
    <w:rsid w:val="00A00C82"/>
    <w:rsid w:val="00A0112D"/>
    <w:rsid w:val="00A01E99"/>
    <w:rsid w:val="00A01FEC"/>
    <w:rsid w:val="00A02338"/>
    <w:rsid w:val="00A02485"/>
    <w:rsid w:val="00A0299B"/>
    <w:rsid w:val="00A02A9A"/>
    <w:rsid w:val="00A02B0D"/>
    <w:rsid w:val="00A04061"/>
    <w:rsid w:val="00A0406C"/>
    <w:rsid w:val="00A04E57"/>
    <w:rsid w:val="00A04FD6"/>
    <w:rsid w:val="00A0587C"/>
    <w:rsid w:val="00A05F6E"/>
    <w:rsid w:val="00A067B4"/>
    <w:rsid w:val="00A06F04"/>
    <w:rsid w:val="00A073A0"/>
    <w:rsid w:val="00A07BF7"/>
    <w:rsid w:val="00A102D0"/>
    <w:rsid w:val="00A1231E"/>
    <w:rsid w:val="00A12795"/>
    <w:rsid w:val="00A1299B"/>
    <w:rsid w:val="00A13176"/>
    <w:rsid w:val="00A13B5C"/>
    <w:rsid w:val="00A13F12"/>
    <w:rsid w:val="00A15E34"/>
    <w:rsid w:val="00A16601"/>
    <w:rsid w:val="00A167CE"/>
    <w:rsid w:val="00A16D36"/>
    <w:rsid w:val="00A173AB"/>
    <w:rsid w:val="00A17A79"/>
    <w:rsid w:val="00A17C27"/>
    <w:rsid w:val="00A2079D"/>
    <w:rsid w:val="00A208BA"/>
    <w:rsid w:val="00A21354"/>
    <w:rsid w:val="00A214EC"/>
    <w:rsid w:val="00A225C0"/>
    <w:rsid w:val="00A2271B"/>
    <w:rsid w:val="00A22A5E"/>
    <w:rsid w:val="00A23AB3"/>
    <w:rsid w:val="00A24461"/>
    <w:rsid w:val="00A24BB2"/>
    <w:rsid w:val="00A24DF4"/>
    <w:rsid w:val="00A259FA"/>
    <w:rsid w:val="00A25A9A"/>
    <w:rsid w:val="00A26830"/>
    <w:rsid w:val="00A26926"/>
    <w:rsid w:val="00A27139"/>
    <w:rsid w:val="00A27521"/>
    <w:rsid w:val="00A275F2"/>
    <w:rsid w:val="00A30748"/>
    <w:rsid w:val="00A3075D"/>
    <w:rsid w:val="00A307D9"/>
    <w:rsid w:val="00A307FE"/>
    <w:rsid w:val="00A3135F"/>
    <w:rsid w:val="00A32038"/>
    <w:rsid w:val="00A3237B"/>
    <w:rsid w:val="00A32B8C"/>
    <w:rsid w:val="00A32CDA"/>
    <w:rsid w:val="00A32D22"/>
    <w:rsid w:val="00A34B43"/>
    <w:rsid w:val="00A34BFF"/>
    <w:rsid w:val="00A350D8"/>
    <w:rsid w:val="00A36744"/>
    <w:rsid w:val="00A36F9A"/>
    <w:rsid w:val="00A3773B"/>
    <w:rsid w:val="00A3798F"/>
    <w:rsid w:val="00A4029D"/>
    <w:rsid w:val="00A40DBE"/>
    <w:rsid w:val="00A40EB0"/>
    <w:rsid w:val="00A411D2"/>
    <w:rsid w:val="00A416EF"/>
    <w:rsid w:val="00A41F35"/>
    <w:rsid w:val="00A42116"/>
    <w:rsid w:val="00A4248D"/>
    <w:rsid w:val="00A42AB5"/>
    <w:rsid w:val="00A42F99"/>
    <w:rsid w:val="00A43C3F"/>
    <w:rsid w:val="00A44148"/>
    <w:rsid w:val="00A44F87"/>
    <w:rsid w:val="00A4565E"/>
    <w:rsid w:val="00A4647F"/>
    <w:rsid w:val="00A46632"/>
    <w:rsid w:val="00A46936"/>
    <w:rsid w:val="00A46C6E"/>
    <w:rsid w:val="00A46D20"/>
    <w:rsid w:val="00A46F8E"/>
    <w:rsid w:val="00A47272"/>
    <w:rsid w:val="00A479CF"/>
    <w:rsid w:val="00A47A82"/>
    <w:rsid w:val="00A47C03"/>
    <w:rsid w:val="00A505B3"/>
    <w:rsid w:val="00A50BD9"/>
    <w:rsid w:val="00A50C92"/>
    <w:rsid w:val="00A50ECC"/>
    <w:rsid w:val="00A511B3"/>
    <w:rsid w:val="00A51639"/>
    <w:rsid w:val="00A52407"/>
    <w:rsid w:val="00A52464"/>
    <w:rsid w:val="00A52DEC"/>
    <w:rsid w:val="00A53B6E"/>
    <w:rsid w:val="00A54467"/>
    <w:rsid w:val="00A54764"/>
    <w:rsid w:val="00A54DD6"/>
    <w:rsid w:val="00A54EF3"/>
    <w:rsid w:val="00A5554C"/>
    <w:rsid w:val="00A556DD"/>
    <w:rsid w:val="00A55D2B"/>
    <w:rsid w:val="00A55E91"/>
    <w:rsid w:val="00A5602E"/>
    <w:rsid w:val="00A565F9"/>
    <w:rsid w:val="00A56ABF"/>
    <w:rsid w:val="00A57314"/>
    <w:rsid w:val="00A57493"/>
    <w:rsid w:val="00A575CC"/>
    <w:rsid w:val="00A57B0C"/>
    <w:rsid w:val="00A61DE9"/>
    <w:rsid w:val="00A62EC8"/>
    <w:rsid w:val="00A62FBA"/>
    <w:rsid w:val="00A63084"/>
    <w:rsid w:val="00A647D9"/>
    <w:rsid w:val="00A64880"/>
    <w:rsid w:val="00A64887"/>
    <w:rsid w:val="00A64B70"/>
    <w:rsid w:val="00A64C15"/>
    <w:rsid w:val="00A65232"/>
    <w:rsid w:val="00A6538E"/>
    <w:rsid w:val="00A65885"/>
    <w:rsid w:val="00A65A99"/>
    <w:rsid w:val="00A66549"/>
    <w:rsid w:val="00A6656F"/>
    <w:rsid w:val="00A66656"/>
    <w:rsid w:val="00A66FF1"/>
    <w:rsid w:val="00A67149"/>
    <w:rsid w:val="00A672AB"/>
    <w:rsid w:val="00A6740B"/>
    <w:rsid w:val="00A70223"/>
    <w:rsid w:val="00A713AE"/>
    <w:rsid w:val="00A7151C"/>
    <w:rsid w:val="00A71C3B"/>
    <w:rsid w:val="00A71E15"/>
    <w:rsid w:val="00A71E49"/>
    <w:rsid w:val="00A71ECD"/>
    <w:rsid w:val="00A7296F"/>
    <w:rsid w:val="00A72A21"/>
    <w:rsid w:val="00A72A51"/>
    <w:rsid w:val="00A72A87"/>
    <w:rsid w:val="00A72B64"/>
    <w:rsid w:val="00A72E87"/>
    <w:rsid w:val="00A7395B"/>
    <w:rsid w:val="00A73B5A"/>
    <w:rsid w:val="00A73BEA"/>
    <w:rsid w:val="00A73EEF"/>
    <w:rsid w:val="00A73F4E"/>
    <w:rsid w:val="00A7405C"/>
    <w:rsid w:val="00A75294"/>
    <w:rsid w:val="00A75B0C"/>
    <w:rsid w:val="00A75EA3"/>
    <w:rsid w:val="00A762F3"/>
    <w:rsid w:val="00A76411"/>
    <w:rsid w:val="00A76613"/>
    <w:rsid w:val="00A767B3"/>
    <w:rsid w:val="00A775DF"/>
    <w:rsid w:val="00A7765E"/>
    <w:rsid w:val="00A7778B"/>
    <w:rsid w:val="00A77CC1"/>
    <w:rsid w:val="00A77DF0"/>
    <w:rsid w:val="00A8082A"/>
    <w:rsid w:val="00A80B3A"/>
    <w:rsid w:val="00A80BDB"/>
    <w:rsid w:val="00A80CFD"/>
    <w:rsid w:val="00A815FB"/>
    <w:rsid w:val="00A81D40"/>
    <w:rsid w:val="00A81E92"/>
    <w:rsid w:val="00A81EED"/>
    <w:rsid w:val="00A8201B"/>
    <w:rsid w:val="00A827A2"/>
    <w:rsid w:val="00A82D39"/>
    <w:rsid w:val="00A831F6"/>
    <w:rsid w:val="00A840CB"/>
    <w:rsid w:val="00A84111"/>
    <w:rsid w:val="00A841B4"/>
    <w:rsid w:val="00A843B3"/>
    <w:rsid w:val="00A8480C"/>
    <w:rsid w:val="00A84A03"/>
    <w:rsid w:val="00A84A1B"/>
    <w:rsid w:val="00A852D6"/>
    <w:rsid w:val="00A86149"/>
    <w:rsid w:val="00A86FC8"/>
    <w:rsid w:val="00A872AB"/>
    <w:rsid w:val="00A8798E"/>
    <w:rsid w:val="00A87C40"/>
    <w:rsid w:val="00A87F0F"/>
    <w:rsid w:val="00A87F45"/>
    <w:rsid w:val="00A9037C"/>
    <w:rsid w:val="00A90710"/>
    <w:rsid w:val="00A918AB"/>
    <w:rsid w:val="00A91A60"/>
    <w:rsid w:val="00A91F3B"/>
    <w:rsid w:val="00A9222D"/>
    <w:rsid w:val="00A92392"/>
    <w:rsid w:val="00A923CE"/>
    <w:rsid w:val="00A929E8"/>
    <w:rsid w:val="00A92EBD"/>
    <w:rsid w:val="00A93790"/>
    <w:rsid w:val="00A93DDA"/>
    <w:rsid w:val="00A93DF9"/>
    <w:rsid w:val="00A9405A"/>
    <w:rsid w:val="00A949D8"/>
    <w:rsid w:val="00A94A67"/>
    <w:rsid w:val="00A94CA8"/>
    <w:rsid w:val="00A9500D"/>
    <w:rsid w:val="00A9518F"/>
    <w:rsid w:val="00A955A5"/>
    <w:rsid w:val="00A9571E"/>
    <w:rsid w:val="00A95EAA"/>
    <w:rsid w:val="00A95FA4"/>
    <w:rsid w:val="00A967FA"/>
    <w:rsid w:val="00A96B43"/>
    <w:rsid w:val="00A9748C"/>
    <w:rsid w:val="00A97E31"/>
    <w:rsid w:val="00AA001B"/>
    <w:rsid w:val="00AA026E"/>
    <w:rsid w:val="00AA0F8B"/>
    <w:rsid w:val="00AA18FE"/>
    <w:rsid w:val="00AA1C65"/>
    <w:rsid w:val="00AA25E3"/>
    <w:rsid w:val="00AA2957"/>
    <w:rsid w:val="00AA2AC5"/>
    <w:rsid w:val="00AA2F64"/>
    <w:rsid w:val="00AA355C"/>
    <w:rsid w:val="00AA3C5A"/>
    <w:rsid w:val="00AA3F94"/>
    <w:rsid w:val="00AA4C34"/>
    <w:rsid w:val="00AA4D42"/>
    <w:rsid w:val="00AA50C4"/>
    <w:rsid w:val="00AA56B4"/>
    <w:rsid w:val="00AA5E4D"/>
    <w:rsid w:val="00AA6141"/>
    <w:rsid w:val="00AA682F"/>
    <w:rsid w:val="00AA68D7"/>
    <w:rsid w:val="00AA6A27"/>
    <w:rsid w:val="00AA6C05"/>
    <w:rsid w:val="00AA6C17"/>
    <w:rsid w:val="00AA737F"/>
    <w:rsid w:val="00AB06F8"/>
    <w:rsid w:val="00AB0B6F"/>
    <w:rsid w:val="00AB1420"/>
    <w:rsid w:val="00AB1F77"/>
    <w:rsid w:val="00AB26B7"/>
    <w:rsid w:val="00AB3332"/>
    <w:rsid w:val="00AB3401"/>
    <w:rsid w:val="00AB3510"/>
    <w:rsid w:val="00AB3B6C"/>
    <w:rsid w:val="00AB3BAF"/>
    <w:rsid w:val="00AB3D85"/>
    <w:rsid w:val="00AB4395"/>
    <w:rsid w:val="00AB5A30"/>
    <w:rsid w:val="00AB5B21"/>
    <w:rsid w:val="00AB65E5"/>
    <w:rsid w:val="00AB6BB1"/>
    <w:rsid w:val="00AB7056"/>
    <w:rsid w:val="00AB71F0"/>
    <w:rsid w:val="00AB74C7"/>
    <w:rsid w:val="00AB775C"/>
    <w:rsid w:val="00AC0A52"/>
    <w:rsid w:val="00AC0F4D"/>
    <w:rsid w:val="00AC1323"/>
    <w:rsid w:val="00AC1605"/>
    <w:rsid w:val="00AC1D94"/>
    <w:rsid w:val="00AC1DE0"/>
    <w:rsid w:val="00AC22B6"/>
    <w:rsid w:val="00AC2645"/>
    <w:rsid w:val="00AC2700"/>
    <w:rsid w:val="00AC2F37"/>
    <w:rsid w:val="00AC3549"/>
    <w:rsid w:val="00AC36A6"/>
    <w:rsid w:val="00AC3DF8"/>
    <w:rsid w:val="00AC4084"/>
    <w:rsid w:val="00AC4301"/>
    <w:rsid w:val="00AC4F9D"/>
    <w:rsid w:val="00AC5CCE"/>
    <w:rsid w:val="00AC5D5F"/>
    <w:rsid w:val="00AC64C0"/>
    <w:rsid w:val="00AC6A39"/>
    <w:rsid w:val="00AC6DCF"/>
    <w:rsid w:val="00AC7A51"/>
    <w:rsid w:val="00AC7EF7"/>
    <w:rsid w:val="00AD04E9"/>
    <w:rsid w:val="00AD091E"/>
    <w:rsid w:val="00AD1518"/>
    <w:rsid w:val="00AD16AA"/>
    <w:rsid w:val="00AD2196"/>
    <w:rsid w:val="00AD255A"/>
    <w:rsid w:val="00AD2947"/>
    <w:rsid w:val="00AD2C8E"/>
    <w:rsid w:val="00AD2CB7"/>
    <w:rsid w:val="00AD30DF"/>
    <w:rsid w:val="00AD3980"/>
    <w:rsid w:val="00AD3B74"/>
    <w:rsid w:val="00AD409D"/>
    <w:rsid w:val="00AD461E"/>
    <w:rsid w:val="00AD4A22"/>
    <w:rsid w:val="00AD5709"/>
    <w:rsid w:val="00AD58C2"/>
    <w:rsid w:val="00AD5C8F"/>
    <w:rsid w:val="00AD5DB5"/>
    <w:rsid w:val="00AD5E63"/>
    <w:rsid w:val="00AD5F21"/>
    <w:rsid w:val="00AD63DE"/>
    <w:rsid w:val="00AD6417"/>
    <w:rsid w:val="00AD64FA"/>
    <w:rsid w:val="00AD6933"/>
    <w:rsid w:val="00AD6CF7"/>
    <w:rsid w:val="00AD6E6C"/>
    <w:rsid w:val="00AD703E"/>
    <w:rsid w:val="00AD7C19"/>
    <w:rsid w:val="00AE050C"/>
    <w:rsid w:val="00AE089A"/>
    <w:rsid w:val="00AE0917"/>
    <w:rsid w:val="00AE0E79"/>
    <w:rsid w:val="00AE130D"/>
    <w:rsid w:val="00AE16F4"/>
    <w:rsid w:val="00AE19F5"/>
    <w:rsid w:val="00AE1A54"/>
    <w:rsid w:val="00AE1D81"/>
    <w:rsid w:val="00AE1E7A"/>
    <w:rsid w:val="00AE29EB"/>
    <w:rsid w:val="00AE2BA9"/>
    <w:rsid w:val="00AE2DD6"/>
    <w:rsid w:val="00AE367A"/>
    <w:rsid w:val="00AE3C59"/>
    <w:rsid w:val="00AE3E38"/>
    <w:rsid w:val="00AE4533"/>
    <w:rsid w:val="00AE48C9"/>
    <w:rsid w:val="00AE50FE"/>
    <w:rsid w:val="00AE518D"/>
    <w:rsid w:val="00AE518E"/>
    <w:rsid w:val="00AE5277"/>
    <w:rsid w:val="00AE5F47"/>
    <w:rsid w:val="00AE6237"/>
    <w:rsid w:val="00AE643F"/>
    <w:rsid w:val="00AE7CCC"/>
    <w:rsid w:val="00AE7E77"/>
    <w:rsid w:val="00AF039E"/>
    <w:rsid w:val="00AF04E9"/>
    <w:rsid w:val="00AF18A4"/>
    <w:rsid w:val="00AF18F4"/>
    <w:rsid w:val="00AF1E8A"/>
    <w:rsid w:val="00AF2262"/>
    <w:rsid w:val="00AF2876"/>
    <w:rsid w:val="00AF2924"/>
    <w:rsid w:val="00AF2DFF"/>
    <w:rsid w:val="00AF30A5"/>
    <w:rsid w:val="00AF3178"/>
    <w:rsid w:val="00AF34EB"/>
    <w:rsid w:val="00AF458C"/>
    <w:rsid w:val="00AF4A02"/>
    <w:rsid w:val="00AF51DD"/>
    <w:rsid w:val="00AF53E9"/>
    <w:rsid w:val="00AF5729"/>
    <w:rsid w:val="00AF5987"/>
    <w:rsid w:val="00AF5C99"/>
    <w:rsid w:val="00AF6CF5"/>
    <w:rsid w:val="00AF7576"/>
    <w:rsid w:val="00AF78C5"/>
    <w:rsid w:val="00AF7DF6"/>
    <w:rsid w:val="00AF7E10"/>
    <w:rsid w:val="00AF7F86"/>
    <w:rsid w:val="00B01108"/>
    <w:rsid w:val="00B01B09"/>
    <w:rsid w:val="00B01BE2"/>
    <w:rsid w:val="00B01D20"/>
    <w:rsid w:val="00B01EAC"/>
    <w:rsid w:val="00B02062"/>
    <w:rsid w:val="00B02C0B"/>
    <w:rsid w:val="00B02CC4"/>
    <w:rsid w:val="00B0320A"/>
    <w:rsid w:val="00B03346"/>
    <w:rsid w:val="00B037BD"/>
    <w:rsid w:val="00B03B39"/>
    <w:rsid w:val="00B0403F"/>
    <w:rsid w:val="00B0462C"/>
    <w:rsid w:val="00B0524F"/>
    <w:rsid w:val="00B052DE"/>
    <w:rsid w:val="00B053AB"/>
    <w:rsid w:val="00B05542"/>
    <w:rsid w:val="00B05714"/>
    <w:rsid w:val="00B0597E"/>
    <w:rsid w:val="00B05A2F"/>
    <w:rsid w:val="00B05B56"/>
    <w:rsid w:val="00B05C2B"/>
    <w:rsid w:val="00B05D58"/>
    <w:rsid w:val="00B062EE"/>
    <w:rsid w:val="00B0734C"/>
    <w:rsid w:val="00B076E6"/>
    <w:rsid w:val="00B102C0"/>
    <w:rsid w:val="00B10341"/>
    <w:rsid w:val="00B10CB4"/>
    <w:rsid w:val="00B1131B"/>
    <w:rsid w:val="00B116C7"/>
    <w:rsid w:val="00B11793"/>
    <w:rsid w:val="00B12056"/>
    <w:rsid w:val="00B12416"/>
    <w:rsid w:val="00B1337E"/>
    <w:rsid w:val="00B133EB"/>
    <w:rsid w:val="00B1367E"/>
    <w:rsid w:val="00B13780"/>
    <w:rsid w:val="00B1382C"/>
    <w:rsid w:val="00B15059"/>
    <w:rsid w:val="00B151E6"/>
    <w:rsid w:val="00B15344"/>
    <w:rsid w:val="00B1551B"/>
    <w:rsid w:val="00B15548"/>
    <w:rsid w:val="00B15680"/>
    <w:rsid w:val="00B156C5"/>
    <w:rsid w:val="00B15A0A"/>
    <w:rsid w:val="00B163E2"/>
    <w:rsid w:val="00B1687B"/>
    <w:rsid w:val="00B16BF6"/>
    <w:rsid w:val="00B17E18"/>
    <w:rsid w:val="00B20705"/>
    <w:rsid w:val="00B2183E"/>
    <w:rsid w:val="00B21EAA"/>
    <w:rsid w:val="00B220A4"/>
    <w:rsid w:val="00B22A4B"/>
    <w:rsid w:val="00B22EBD"/>
    <w:rsid w:val="00B2380F"/>
    <w:rsid w:val="00B23916"/>
    <w:rsid w:val="00B23AD6"/>
    <w:rsid w:val="00B23ADF"/>
    <w:rsid w:val="00B24241"/>
    <w:rsid w:val="00B24C50"/>
    <w:rsid w:val="00B24E9C"/>
    <w:rsid w:val="00B250D8"/>
    <w:rsid w:val="00B2586D"/>
    <w:rsid w:val="00B25E9C"/>
    <w:rsid w:val="00B26011"/>
    <w:rsid w:val="00B2633D"/>
    <w:rsid w:val="00B275FE"/>
    <w:rsid w:val="00B27A97"/>
    <w:rsid w:val="00B27B3A"/>
    <w:rsid w:val="00B27F3A"/>
    <w:rsid w:val="00B3002A"/>
    <w:rsid w:val="00B30C8D"/>
    <w:rsid w:val="00B31A87"/>
    <w:rsid w:val="00B31D1A"/>
    <w:rsid w:val="00B32292"/>
    <w:rsid w:val="00B32E1F"/>
    <w:rsid w:val="00B3325A"/>
    <w:rsid w:val="00B33514"/>
    <w:rsid w:val="00B33C38"/>
    <w:rsid w:val="00B33D4D"/>
    <w:rsid w:val="00B3429E"/>
    <w:rsid w:val="00B34766"/>
    <w:rsid w:val="00B34C2E"/>
    <w:rsid w:val="00B34E0B"/>
    <w:rsid w:val="00B3542A"/>
    <w:rsid w:val="00B35877"/>
    <w:rsid w:val="00B35EE4"/>
    <w:rsid w:val="00B36ABE"/>
    <w:rsid w:val="00B36B53"/>
    <w:rsid w:val="00B37BF7"/>
    <w:rsid w:val="00B37D6F"/>
    <w:rsid w:val="00B37D79"/>
    <w:rsid w:val="00B37D8F"/>
    <w:rsid w:val="00B401A7"/>
    <w:rsid w:val="00B40AC0"/>
    <w:rsid w:val="00B41239"/>
    <w:rsid w:val="00B4197B"/>
    <w:rsid w:val="00B41B45"/>
    <w:rsid w:val="00B42514"/>
    <w:rsid w:val="00B42922"/>
    <w:rsid w:val="00B429FC"/>
    <w:rsid w:val="00B42CCE"/>
    <w:rsid w:val="00B43135"/>
    <w:rsid w:val="00B4327E"/>
    <w:rsid w:val="00B4347E"/>
    <w:rsid w:val="00B43AF7"/>
    <w:rsid w:val="00B44DC6"/>
    <w:rsid w:val="00B44F77"/>
    <w:rsid w:val="00B45106"/>
    <w:rsid w:val="00B45578"/>
    <w:rsid w:val="00B45731"/>
    <w:rsid w:val="00B45909"/>
    <w:rsid w:val="00B462CF"/>
    <w:rsid w:val="00B46472"/>
    <w:rsid w:val="00B46C3B"/>
    <w:rsid w:val="00B471F6"/>
    <w:rsid w:val="00B4745D"/>
    <w:rsid w:val="00B50DB6"/>
    <w:rsid w:val="00B50FEB"/>
    <w:rsid w:val="00B5151B"/>
    <w:rsid w:val="00B515D1"/>
    <w:rsid w:val="00B51979"/>
    <w:rsid w:val="00B51A43"/>
    <w:rsid w:val="00B527E0"/>
    <w:rsid w:val="00B52991"/>
    <w:rsid w:val="00B52EA7"/>
    <w:rsid w:val="00B52FDF"/>
    <w:rsid w:val="00B5314D"/>
    <w:rsid w:val="00B536C6"/>
    <w:rsid w:val="00B54E85"/>
    <w:rsid w:val="00B55E7F"/>
    <w:rsid w:val="00B56377"/>
    <w:rsid w:val="00B56688"/>
    <w:rsid w:val="00B56751"/>
    <w:rsid w:val="00B57013"/>
    <w:rsid w:val="00B570DA"/>
    <w:rsid w:val="00B57264"/>
    <w:rsid w:val="00B601BA"/>
    <w:rsid w:val="00B6059A"/>
    <w:rsid w:val="00B6090D"/>
    <w:rsid w:val="00B6163B"/>
    <w:rsid w:val="00B61B45"/>
    <w:rsid w:val="00B61DBB"/>
    <w:rsid w:val="00B61E0C"/>
    <w:rsid w:val="00B621FD"/>
    <w:rsid w:val="00B6224C"/>
    <w:rsid w:val="00B62562"/>
    <w:rsid w:val="00B6274E"/>
    <w:rsid w:val="00B62BBA"/>
    <w:rsid w:val="00B62EC4"/>
    <w:rsid w:val="00B63316"/>
    <w:rsid w:val="00B63BA9"/>
    <w:rsid w:val="00B63CFE"/>
    <w:rsid w:val="00B63F94"/>
    <w:rsid w:val="00B64135"/>
    <w:rsid w:val="00B6424D"/>
    <w:rsid w:val="00B642B8"/>
    <w:rsid w:val="00B649F3"/>
    <w:rsid w:val="00B65D4F"/>
    <w:rsid w:val="00B65EB4"/>
    <w:rsid w:val="00B6664E"/>
    <w:rsid w:val="00B6693C"/>
    <w:rsid w:val="00B66AEB"/>
    <w:rsid w:val="00B67263"/>
    <w:rsid w:val="00B6731F"/>
    <w:rsid w:val="00B6751E"/>
    <w:rsid w:val="00B67DC5"/>
    <w:rsid w:val="00B702D5"/>
    <w:rsid w:val="00B703E4"/>
    <w:rsid w:val="00B712A8"/>
    <w:rsid w:val="00B71731"/>
    <w:rsid w:val="00B7231F"/>
    <w:rsid w:val="00B73B7E"/>
    <w:rsid w:val="00B741A2"/>
    <w:rsid w:val="00B7427E"/>
    <w:rsid w:val="00B74410"/>
    <w:rsid w:val="00B7463D"/>
    <w:rsid w:val="00B74BCF"/>
    <w:rsid w:val="00B74CF6"/>
    <w:rsid w:val="00B7515C"/>
    <w:rsid w:val="00B754AD"/>
    <w:rsid w:val="00B75740"/>
    <w:rsid w:val="00B75BB7"/>
    <w:rsid w:val="00B75E1E"/>
    <w:rsid w:val="00B76261"/>
    <w:rsid w:val="00B766D2"/>
    <w:rsid w:val="00B76E06"/>
    <w:rsid w:val="00B7766E"/>
    <w:rsid w:val="00B776DA"/>
    <w:rsid w:val="00B77CA0"/>
    <w:rsid w:val="00B77E3B"/>
    <w:rsid w:val="00B77E7D"/>
    <w:rsid w:val="00B800E3"/>
    <w:rsid w:val="00B802C9"/>
    <w:rsid w:val="00B80CF3"/>
    <w:rsid w:val="00B81441"/>
    <w:rsid w:val="00B814D8"/>
    <w:rsid w:val="00B8167D"/>
    <w:rsid w:val="00B819F8"/>
    <w:rsid w:val="00B820F2"/>
    <w:rsid w:val="00B82764"/>
    <w:rsid w:val="00B828AC"/>
    <w:rsid w:val="00B828D3"/>
    <w:rsid w:val="00B82B2A"/>
    <w:rsid w:val="00B82DF4"/>
    <w:rsid w:val="00B83220"/>
    <w:rsid w:val="00B83635"/>
    <w:rsid w:val="00B83D47"/>
    <w:rsid w:val="00B83F41"/>
    <w:rsid w:val="00B84DA7"/>
    <w:rsid w:val="00B85643"/>
    <w:rsid w:val="00B85DD0"/>
    <w:rsid w:val="00B86B3D"/>
    <w:rsid w:val="00B87B41"/>
    <w:rsid w:val="00B87DB4"/>
    <w:rsid w:val="00B9041E"/>
    <w:rsid w:val="00B90758"/>
    <w:rsid w:val="00B907BE"/>
    <w:rsid w:val="00B908C9"/>
    <w:rsid w:val="00B90CF2"/>
    <w:rsid w:val="00B911A0"/>
    <w:rsid w:val="00B917A9"/>
    <w:rsid w:val="00B9204B"/>
    <w:rsid w:val="00B92341"/>
    <w:rsid w:val="00B9333D"/>
    <w:rsid w:val="00B94A37"/>
    <w:rsid w:val="00B94A6E"/>
    <w:rsid w:val="00B94A9A"/>
    <w:rsid w:val="00B94DB4"/>
    <w:rsid w:val="00B94FF2"/>
    <w:rsid w:val="00B95627"/>
    <w:rsid w:val="00B95691"/>
    <w:rsid w:val="00B95FD9"/>
    <w:rsid w:val="00B95FF0"/>
    <w:rsid w:val="00B9620F"/>
    <w:rsid w:val="00B96230"/>
    <w:rsid w:val="00B96D90"/>
    <w:rsid w:val="00B9722A"/>
    <w:rsid w:val="00B9756D"/>
    <w:rsid w:val="00B979D8"/>
    <w:rsid w:val="00B97C33"/>
    <w:rsid w:val="00BA0173"/>
    <w:rsid w:val="00BA02F1"/>
    <w:rsid w:val="00BA0AFF"/>
    <w:rsid w:val="00BA15ED"/>
    <w:rsid w:val="00BA1697"/>
    <w:rsid w:val="00BA16E1"/>
    <w:rsid w:val="00BA1717"/>
    <w:rsid w:val="00BA2052"/>
    <w:rsid w:val="00BA2382"/>
    <w:rsid w:val="00BA260A"/>
    <w:rsid w:val="00BA2A94"/>
    <w:rsid w:val="00BA2DB7"/>
    <w:rsid w:val="00BA2F9E"/>
    <w:rsid w:val="00BA3069"/>
    <w:rsid w:val="00BA36BF"/>
    <w:rsid w:val="00BA3C5F"/>
    <w:rsid w:val="00BA3D20"/>
    <w:rsid w:val="00BA4031"/>
    <w:rsid w:val="00BA4548"/>
    <w:rsid w:val="00BA50DA"/>
    <w:rsid w:val="00BA5167"/>
    <w:rsid w:val="00BA577F"/>
    <w:rsid w:val="00BA58CE"/>
    <w:rsid w:val="00BA5BA3"/>
    <w:rsid w:val="00BA5C42"/>
    <w:rsid w:val="00BA5E13"/>
    <w:rsid w:val="00BA5F50"/>
    <w:rsid w:val="00BA6025"/>
    <w:rsid w:val="00BA603F"/>
    <w:rsid w:val="00BA618F"/>
    <w:rsid w:val="00BA6E7D"/>
    <w:rsid w:val="00BA72EF"/>
    <w:rsid w:val="00BA7363"/>
    <w:rsid w:val="00BA7B29"/>
    <w:rsid w:val="00BA7BAD"/>
    <w:rsid w:val="00BB0339"/>
    <w:rsid w:val="00BB12F3"/>
    <w:rsid w:val="00BB1D06"/>
    <w:rsid w:val="00BB1E41"/>
    <w:rsid w:val="00BB20A5"/>
    <w:rsid w:val="00BB2561"/>
    <w:rsid w:val="00BB2DD3"/>
    <w:rsid w:val="00BB3FB5"/>
    <w:rsid w:val="00BB3FE7"/>
    <w:rsid w:val="00BB4003"/>
    <w:rsid w:val="00BB40EE"/>
    <w:rsid w:val="00BB45C6"/>
    <w:rsid w:val="00BB4B1C"/>
    <w:rsid w:val="00BB4D1A"/>
    <w:rsid w:val="00BB4DA7"/>
    <w:rsid w:val="00BB55EE"/>
    <w:rsid w:val="00BB592C"/>
    <w:rsid w:val="00BB6031"/>
    <w:rsid w:val="00BB62ED"/>
    <w:rsid w:val="00BB6DF4"/>
    <w:rsid w:val="00BB6EED"/>
    <w:rsid w:val="00BB733C"/>
    <w:rsid w:val="00BB75CF"/>
    <w:rsid w:val="00BB7C70"/>
    <w:rsid w:val="00BC0AF3"/>
    <w:rsid w:val="00BC0AFB"/>
    <w:rsid w:val="00BC12D2"/>
    <w:rsid w:val="00BC1B63"/>
    <w:rsid w:val="00BC1F2F"/>
    <w:rsid w:val="00BC2673"/>
    <w:rsid w:val="00BC2D71"/>
    <w:rsid w:val="00BC3187"/>
    <w:rsid w:val="00BC321D"/>
    <w:rsid w:val="00BC3347"/>
    <w:rsid w:val="00BC4CAA"/>
    <w:rsid w:val="00BC5561"/>
    <w:rsid w:val="00BC59E5"/>
    <w:rsid w:val="00BC5E79"/>
    <w:rsid w:val="00BC5ECE"/>
    <w:rsid w:val="00BC66ED"/>
    <w:rsid w:val="00BC6B93"/>
    <w:rsid w:val="00BC7131"/>
    <w:rsid w:val="00BC7385"/>
    <w:rsid w:val="00BC745F"/>
    <w:rsid w:val="00BD111B"/>
    <w:rsid w:val="00BD1454"/>
    <w:rsid w:val="00BD1C01"/>
    <w:rsid w:val="00BD29F3"/>
    <w:rsid w:val="00BD3465"/>
    <w:rsid w:val="00BD38BF"/>
    <w:rsid w:val="00BD5B47"/>
    <w:rsid w:val="00BD65B1"/>
    <w:rsid w:val="00BD74CD"/>
    <w:rsid w:val="00BD7938"/>
    <w:rsid w:val="00BD7A76"/>
    <w:rsid w:val="00BD7E77"/>
    <w:rsid w:val="00BD7EA3"/>
    <w:rsid w:val="00BE02A1"/>
    <w:rsid w:val="00BE0975"/>
    <w:rsid w:val="00BE0C74"/>
    <w:rsid w:val="00BE11CE"/>
    <w:rsid w:val="00BE272E"/>
    <w:rsid w:val="00BE317C"/>
    <w:rsid w:val="00BE35B4"/>
    <w:rsid w:val="00BE3975"/>
    <w:rsid w:val="00BE3B87"/>
    <w:rsid w:val="00BE4A1F"/>
    <w:rsid w:val="00BE4C0A"/>
    <w:rsid w:val="00BE4E97"/>
    <w:rsid w:val="00BE51A2"/>
    <w:rsid w:val="00BE5AAC"/>
    <w:rsid w:val="00BE5B60"/>
    <w:rsid w:val="00BE5D19"/>
    <w:rsid w:val="00BE6184"/>
    <w:rsid w:val="00BE6352"/>
    <w:rsid w:val="00BE6372"/>
    <w:rsid w:val="00BE67F9"/>
    <w:rsid w:val="00BE6A53"/>
    <w:rsid w:val="00BE7216"/>
    <w:rsid w:val="00BE74D1"/>
    <w:rsid w:val="00BE7858"/>
    <w:rsid w:val="00BF0EAD"/>
    <w:rsid w:val="00BF1F73"/>
    <w:rsid w:val="00BF200D"/>
    <w:rsid w:val="00BF226A"/>
    <w:rsid w:val="00BF27CC"/>
    <w:rsid w:val="00BF2C97"/>
    <w:rsid w:val="00BF341F"/>
    <w:rsid w:val="00BF381D"/>
    <w:rsid w:val="00BF4258"/>
    <w:rsid w:val="00BF435F"/>
    <w:rsid w:val="00BF452D"/>
    <w:rsid w:val="00BF4CCA"/>
    <w:rsid w:val="00BF4E10"/>
    <w:rsid w:val="00BF4E1D"/>
    <w:rsid w:val="00BF5470"/>
    <w:rsid w:val="00BF56C5"/>
    <w:rsid w:val="00BF5E3D"/>
    <w:rsid w:val="00BF6142"/>
    <w:rsid w:val="00BF62E6"/>
    <w:rsid w:val="00BF650E"/>
    <w:rsid w:val="00BF7673"/>
    <w:rsid w:val="00BF7FD0"/>
    <w:rsid w:val="00C01022"/>
    <w:rsid w:val="00C0151A"/>
    <w:rsid w:val="00C01614"/>
    <w:rsid w:val="00C03045"/>
    <w:rsid w:val="00C0365D"/>
    <w:rsid w:val="00C03AE2"/>
    <w:rsid w:val="00C03E45"/>
    <w:rsid w:val="00C04CC8"/>
    <w:rsid w:val="00C0662A"/>
    <w:rsid w:val="00C06A33"/>
    <w:rsid w:val="00C0712E"/>
    <w:rsid w:val="00C071D1"/>
    <w:rsid w:val="00C0785D"/>
    <w:rsid w:val="00C07A0F"/>
    <w:rsid w:val="00C07C47"/>
    <w:rsid w:val="00C07FFA"/>
    <w:rsid w:val="00C10378"/>
    <w:rsid w:val="00C10C9C"/>
    <w:rsid w:val="00C112B4"/>
    <w:rsid w:val="00C1160A"/>
    <w:rsid w:val="00C1176E"/>
    <w:rsid w:val="00C121CF"/>
    <w:rsid w:val="00C12594"/>
    <w:rsid w:val="00C125F7"/>
    <w:rsid w:val="00C12B83"/>
    <w:rsid w:val="00C12C10"/>
    <w:rsid w:val="00C133A3"/>
    <w:rsid w:val="00C1344E"/>
    <w:rsid w:val="00C14156"/>
    <w:rsid w:val="00C142A7"/>
    <w:rsid w:val="00C142B0"/>
    <w:rsid w:val="00C14394"/>
    <w:rsid w:val="00C14F0B"/>
    <w:rsid w:val="00C1516F"/>
    <w:rsid w:val="00C15800"/>
    <w:rsid w:val="00C15F93"/>
    <w:rsid w:val="00C16283"/>
    <w:rsid w:val="00C163CB"/>
    <w:rsid w:val="00C167F1"/>
    <w:rsid w:val="00C16E65"/>
    <w:rsid w:val="00C16EC2"/>
    <w:rsid w:val="00C16F0D"/>
    <w:rsid w:val="00C173CB"/>
    <w:rsid w:val="00C175CB"/>
    <w:rsid w:val="00C176D5"/>
    <w:rsid w:val="00C177D2"/>
    <w:rsid w:val="00C177F4"/>
    <w:rsid w:val="00C17D5F"/>
    <w:rsid w:val="00C17F22"/>
    <w:rsid w:val="00C20C86"/>
    <w:rsid w:val="00C20E76"/>
    <w:rsid w:val="00C218CD"/>
    <w:rsid w:val="00C2247C"/>
    <w:rsid w:val="00C22A03"/>
    <w:rsid w:val="00C22A3B"/>
    <w:rsid w:val="00C233EE"/>
    <w:rsid w:val="00C2434E"/>
    <w:rsid w:val="00C245F4"/>
    <w:rsid w:val="00C24676"/>
    <w:rsid w:val="00C24BAC"/>
    <w:rsid w:val="00C25027"/>
    <w:rsid w:val="00C2586B"/>
    <w:rsid w:val="00C25E8E"/>
    <w:rsid w:val="00C262CA"/>
    <w:rsid w:val="00C26CBB"/>
    <w:rsid w:val="00C26FBC"/>
    <w:rsid w:val="00C27909"/>
    <w:rsid w:val="00C27C38"/>
    <w:rsid w:val="00C27DCC"/>
    <w:rsid w:val="00C27EE4"/>
    <w:rsid w:val="00C27EF6"/>
    <w:rsid w:val="00C30668"/>
    <w:rsid w:val="00C319F2"/>
    <w:rsid w:val="00C31BD7"/>
    <w:rsid w:val="00C32055"/>
    <w:rsid w:val="00C32261"/>
    <w:rsid w:val="00C3229E"/>
    <w:rsid w:val="00C327A0"/>
    <w:rsid w:val="00C3366B"/>
    <w:rsid w:val="00C33BEF"/>
    <w:rsid w:val="00C34247"/>
    <w:rsid w:val="00C34617"/>
    <w:rsid w:val="00C34DA3"/>
    <w:rsid w:val="00C35331"/>
    <w:rsid w:val="00C35388"/>
    <w:rsid w:val="00C35421"/>
    <w:rsid w:val="00C3586D"/>
    <w:rsid w:val="00C35ABA"/>
    <w:rsid w:val="00C35B16"/>
    <w:rsid w:val="00C35EBA"/>
    <w:rsid w:val="00C36142"/>
    <w:rsid w:val="00C3615D"/>
    <w:rsid w:val="00C36288"/>
    <w:rsid w:val="00C3646A"/>
    <w:rsid w:val="00C3661F"/>
    <w:rsid w:val="00C3664F"/>
    <w:rsid w:val="00C36822"/>
    <w:rsid w:val="00C369F6"/>
    <w:rsid w:val="00C37450"/>
    <w:rsid w:val="00C3754B"/>
    <w:rsid w:val="00C378F6"/>
    <w:rsid w:val="00C40273"/>
    <w:rsid w:val="00C406D6"/>
    <w:rsid w:val="00C40E41"/>
    <w:rsid w:val="00C410A7"/>
    <w:rsid w:val="00C41511"/>
    <w:rsid w:val="00C4194C"/>
    <w:rsid w:val="00C41CDD"/>
    <w:rsid w:val="00C4218B"/>
    <w:rsid w:val="00C42EFF"/>
    <w:rsid w:val="00C4383D"/>
    <w:rsid w:val="00C4433C"/>
    <w:rsid w:val="00C4465E"/>
    <w:rsid w:val="00C44F26"/>
    <w:rsid w:val="00C454ED"/>
    <w:rsid w:val="00C45566"/>
    <w:rsid w:val="00C457D3"/>
    <w:rsid w:val="00C4588D"/>
    <w:rsid w:val="00C46051"/>
    <w:rsid w:val="00C46D5B"/>
    <w:rsid w:val="00C471E9"/>
    <w:rsid w:val="00C47804"/>
    <w:rsid w:val="00C478D6"/>
    <w:rsid w:val="00C5067E"/>
    <w:rsid w:val="00C509FF"/>
    <w:rsid w:val="00C50AB7"/>
    <w:rsid w:val="00C51A24"/>
    <w:rsid w:val="00C51EF6"/>
    <w:rsid w:val="00C51FEC"/>
    <w:rsid w:val="00C5221E"/>
    <w:rsid w:val="00C52914"/>
    <w:rsid w:val="00C52C08"/>
    <w:rsid w:val="00C53246"/>
    <w:rsid w:val="00C534EE"/>
    <w:rsid w:val="00C53B67"/>
    <w:rsid w:val="00C54F0E"/>
    <w:rsid w:val="00C55741"/>
    <w:rsid w:val="00C558B5"/>
    <w:rsid w:val="00C55BC1"/>
    <w:rsid w:val="00C55CDC"/>
    <w:rsid w:val="00C55D5D"/>
    <w:rsid w:val="00C5603D"/>
    <w:rsid w:val="00C56074"/>
    <w:rsid w:val="00C56769"/>
    <w:rsid w:val="00C56A44"/>
    <w:rsid w:val="00C56D18"/>
    <w:rsid w:val="00C56E9E"/>
    <w:rsid w:val="00C5713D"/>
    <w:rsid w:val="00C57362"/>
    <w:rsid w:val="00C5742A"/>
    <w:rsid w:val="00C574DE"/>
    <w:rsid w:val="00C5783E"/>
    <w:rsid w:val="00C57D68"/>
    <w:rsid w:val="00C57DD0"/>
    <w:rsid w:val="00C607EB"/>
    <w:rsid w:val="00C60C10"/>
    <w:rsid w:val="00C6128C"/>
    <w:rsid w:val="00C615D0"/>
    <w:rsid w:val="00C61A66"/>
    <w:rsid w:val="00C61AD3"/>
    <w:rsid w:val="00C6215D"/>
    <w:rsid w:val="00C626AE"/>
    <w:rsid w:val="00C62BA0"/>
    <w:rsid w:val="00C62D71"/>
    <w:rsid w:val="00C62DD2"/>
    <w:rsid w:val="00C63295"/>
    <w:rsid w:val="00C633C1"/>
    <w:rsid w:val="00C63787"/>
    <w:rsid w:val="00C63E37"/>
    <w:rsid w:val="00C63FE7"/>
    <w:rsid w:val="00C6511E"/>
    <w:rsid w:val="00C654DB"/>
    <w:rsid w:val="00C65503"/>
    <w:rsid w:val="00C65D79"/>
    <w:rsid w:val="00C65E3D"/>
    <w:rsid w:val="00C65EF7"/>
    <w:rsid w:val="00C65F31"/>
    <w:rsid w:val="00C66742"/>
    <w:rsid w:val="00C66892"/>
    <w:rsid w:val="00C6773D"/>
    <w:rsid w:val="00C70065"/>
    <w:rsid w:val="00C70D09"/>
    <w:rsid w:val="00C70FC0"/>
    <w:rsid w:val="00C717AF"/>
    <w:rsid w:val="00C71C08"/>
    <w:rsid w:val="00C72018"/>
    <w:rsid w:val="00C72061"/>
    <w:rsid w:val="00C729E4"/>
    <w:rsid w:val="00C73074"/>
    <w:rsid w:val="00C73942"/>
    <w:rsid w:val="00C73F1A"/>
    <w:rsid w:val="00C74FB1"/>
    <w:rsid w:val="00C75492"/>
    <w:rsid w:val="00C7568C"/>
    <w:rsid w:val="00C76093"/>
    <w:rsid w:val="00C765FB"/>
    <w:rsid w:val="00C76847"/>
    <w:rsid w:val="00C76D6B"/>
    <w:rsid w:val="00C77066"/>
    <w:rsid w:val="00C77095"/>
    <w:rsid w:val="00C772DB"/>
    <w:rsid w:val="00C77375"/>
    <w:rsid w:val="00C77A46"/>
    <w:rsid w:val="00C77A4B"/>
    <w:rsid w:val="00C77ACE"/>
    <w:rsid w:val="00C77E92"/>
    <w:rsid w:val="00C8009A"/>
    <w:rsid w:val="00C80ED8"/>
    <w:rsid w:val="00C8110F"/>
    <w:rsid w:val="00C81263"/>
    <w:rsid w:val="00C81843"/>
    <w:rsid w:val="00C81A6A"/>
    <w:rsid w:val="00C8266A"/>
    <w:rsid w:val="00C82F07"/>
    <w:rsid w:val="00C8326A"/>
    <w:rsid w:val="00C8353A"/>
    <w:rsid w:val="00C840E2"/>
    <w:rsid w:val="00C840FF"/>
    <w:rsid w:val="00C84579"/>
    <w:rsid w:val="00C845C3"/>
    <w:rsid w:val="00C85BE3"/>
    <w:rsid w:val="00C85CDE"/>
    <w:rsid w:val="00C85FF4"/>
    <w:rsid w:val="00C864E1"/>
    <w:rsid w:val="00C8722C"/>
    <w:rsid w:val="00C877AE"/>
    <w:rsid w:val="00C87891"/>
    <w:rsid w:val="00C900C7"/>
    <w:rsid w:val="00C904CF"/>
    <w:rsid w:val="00C912DC"/>
    <w:rsid w:val="00C91675"/>
    <w:rsid w:val="00C9168E"/>
    <w:rsid w:val="00C919F4"/>
    <w:rsid w:val="00C9215F"/>
    <w:rsid w:val="00C92ED4"/>
    <w:rsid w:val="00C930EB"/>
    <w:rsid w:val="00C93223"/>
    <w:rsid w:val="00C93A24"/>
    <w:rsid w:val="00C93A72"/>
    <w:rsid w:val="00C9421B"/>
    <w:rsid w:val="00C94237"/>
    <w:rsid w:val="00C94899"/>
    <w:rsid w:val="00C94914"/>
    <w:rsid w:val="00C94B4C"/>
    <w:rsid w:val="00C94D1F"/>
    <w:rsid w:val="00C9528C"/>
    <w:rsid w:val="00C95D9D"/>
    <w:rsid w:val="00C9604D"/>
    <w:rsid w:val="00C961A7"/>
    <w:rsid w:val="00C961F8"/>
    <w:rsid w:val="00C968CE"/>
    <w:rsid w:val="00C96D2F"/>
    <w:rsid w:val="00C96ECA"/>
    <w:rsid w:val="00C97095"/>
    <w:rsid w:val="00C97313"/>
    <w:rsid w:val="00C9743C"/>
    <w:rsid w:val="00C97576"/>
    <w:rsid w:val="00C97619"/>
    <w:rsid w:val="00C978BC"/>
    <w:rsid w:val="00CA00CC"/>
    <w:rsid w:val="00CA0138"/>
    <w:rsid w:val="00CA05E6"/>
    <w:rsid w:val="00CA067B"/>
    <w:rsid w:val="00CA08A3"/>
    <w:rsid w:val="00CA08C4"/>
    <w:rsid w:val="00CA0B7D"/>
    <w:rsid w:val="00CA2065"/>
    <w:rsid w:val="00CA254F"/>
    <w:rsid w:val="00CA267B"/>
    <w:rsid w:val="00CA2D1B"/>
    <w:rsid w:val="00CA2EED"/>
    <w:rsid w:val="00CA2EF5"/>
    <w:rsid w:val="00CA303F"/>
    <w:rsid w:val="00CA31C4"/>
    <w:rsid w:val="00CA3F56"/>
    <w:rsid w:val="00CA4351"/>
    <w:rsid w:val="00CA4713"/>
    <w:rsid w:val="00CA4EA2"/>
    <w:rsid w:val="00CA623C"/>
    <w:rsid w:val="00CA68F4"/>
    <w:rsid w:val="00CA71F1"/>
    <w:rsid w:val="00CA7421"/>
    <w:rsid w:val="00CA7FB6"/>
    <w:rsid w:val="00CB0534"/>
    <w:rsid w:val="00CB0CCC"/>
    <w:rsid w:val="00CB1FFB"/>
    <w:rsid w:val="00CB2260"/>
    <w:rsid w:val="00CB27FF"/>
    <w:rsid w:val="00CB28B4"/>
    <w:rsid w:val="00CB2905"/>
    <w:rsid w:val="00CB2DD6"/>
    <w:rsid w:val="00CB3111"/>
    <w:rsid w:val="00CB3263"/>
    <w:rsid w:val="00CB34B3"/>
    <w:rsid w:val="00CB3587"/>
    <w:rsid w:val="00CB3B21"/>
    <w:rsid w:val="00CB40FA"/>
    <w:rsid w:val="00CB486A"/>
    <w:rsid w:val="00CB4933"/>
    <w:rsid w:val="00CB6AD0"/>
    <w:rsid w:val="00CB6EAE"/>
    <w:rsid w:val="00CB7192"/>
    <w:rsid w:val="00CB7ECD"/>
    <w:rsid w:val="00CB7F36"/>
    <w:rsid w:val="00CB7FD1"/>
    <w:rsid w:val="00CC0333"/>
    <w:rsid w:val="00CC03EF"/>
    <w:rsid w:val="00CC05FD"/>
    <w:rsid w:val="00CC092E"/>
    <w:rsid w:val="00CC126C"/>
    <w:rsid w:val="00CC1D6E"/>
    <w:rsid w:val="00CC1EF2"/>
    <w:rsid w:val="00CC2373"/>
    <w:rsid w:val="00CC23CB"/>
    <w:rsid w:val="00CC2641"/>
    <w:rsid w:val="00CC3443"/>
    <w:rsid w:val="00CC3862"/>
    <w:rsid w:val="00CC3A9C"/>
    <w:rsid w:val="00CC3B1E"/>
    <w:rsid w:val="00CC3CA8"/>
    <w:rsid w:val="00CC42B4"/>
    <w:rsid w:val="00CC485A"/>
    <w:rsid w:val="00CC4A7B"/>
    <w:rsid w:val="00CC4CC6"/>
    <w:rsid w:val="00CC4F8C"/>
    <w:rsid w:val="00CC50E8"/>
    <w:rsid w:val="00CC5766"/>
    <w:rsid w:val="00CC5850"/>
    <w:rsid w:val="00CC58E2"/>
    <w:rsid w:val="00CC5936"/>
    <w:rsid w:val="00CC5B80"/>
    <w:rsid w:val="00CC5C80"/>
    <w:rsid w:val="00CC649E"/>
    <w:rsid w:val="00CC6AFA"/>
    <w:rsid w:val="00CC6BDD"/>
    <w:rsid w:val="00CC7001"/>
    <w:rsid w:val="00CC7F4F"/>
    <w:rsid w:val="00CD00D7"/>
    <w:rsid w:val="00CD041A"/>
    <w:rsid w:val="00CD09FB"/>
    <w:rsid w:val="00CD0D3E"/>
    <w:rsid w:val="00CD0D6B"/>
    <w:rsid w:val="00CD0F26"/>
    <w:rsid w:val="00CD1C22"/>
    <w:rsid w:val="00CD25B4"/>
    <w:rsid w:val="00CD3188"/>
    <w:rsid w:val="00CD3479"/>
    <w:rsid w:val="00CD3636"/>
    <w:rsid w:val="00CD3B1A"/>
    <w:rsid w:val="00CD3D3A"/>
    <w:rsid w:val="00CD4022"/>
    <w:rsid w:val="00CD475F"/>
    <w:rsid w:val="00CD4E8F"/>
    <w:rsid w:val="00CD565D"/>
    <w:rsid w:val="00CD5A08"/>
    <w:rsid w:val="00CD6B38"/>
    <w:rsid w:val="00CD76BB"/>
    <w:rsid w:val="00CD7BF7"/>
    <w:rsid w:val="00CD7C7D"/>
    <w:rsid w:val="00CE0058"/>
    <w:rsid w:val="00CE0261"/>
    <w:rsid w:val="00CE0C56"/>
    <w:rsid w:val="00CE10F8"/>
    <w:rsid w:val="00CE167A"/>
    <w:rsid w:val="00CE1D30"/>
    <w:rsid w:val="00CE3D68"/>
    <w:rsid w:val="00CE41E9"/>
    <w:rsid w:val="00CE44FD"/>
    <w:rsid w:val="00CE4515"/>
    <w:rsid w:val="00CE4AB6"/>
    <w:rsid w:val="00CE59CB"/>
    <w:rsid w:val="00CE5D21"/>
    <w:rsid w:val="00CE6558"/>
    <w:rsid w:val="00CE728D"/>
    <w:rsid w:val="00CE7585"/>
    <w:rsid w:val="00CF015B"/>
    <w:rsid w:val="00CF0FF8"/>
    <w:rsid w:val="00CF18EA"/>
    <w:rsid w:val="00CF1B7B"/>
    <w:rsid w:val="00CF2129"/>
    <w:rsid w:val="00CF235C"/>
    <w:rsid w:val="00CF2498"/>
    <w:rsid w:val="00CF2A12"/>
    <w:rsid w:val="00CF2A37"/>
    <w:rsid w:val="00CF2EE3"/>
    <w:rsid w:val="00CF3318"/>
    <w:rsid w:val="00CF4197"/>
    <w:rsid w:val="00CF43A1"/>
    <w:rsid w:val="00CF4747"/>
    <w:rsid w:val="00CF47D5"/>
    <w:rsid w:val="00CF4BAF"/>
    <w:rsid w:val="00CF4D0F"/>
    <w:rsid w:val="00CF4EAA"/>
    <w:rsid w:val="00CF5842"/>
    <w:rsid w:val="00CF5C9E"/>
    <w:rsid w:val="00CF5E2D"/>
    <w:rsid w:val="00CF5E4B"/>
    <w:rsid w:val="00CF66DF"/>
    <w:rsid w:val="00CF6C1E"/>
    <w:rsid w:val="00CF6F5F"/>
    <w:rsid w:val="00CF734A"/>
    <w:rsid w:val="00CF742A"/>
    <w:rsid w:val="00CF786C"/>
    <w:rsid w:val="00CF789E"/>
    <w:rsid w:val="00CF7AEB"/>
    <w:rsid w:val="00CF7B5A"/>
    <w:rsid w:val="00CF7D3D"/>
    <w:rsid w:val="00D0066B"/>
    <w:rsid w:val="00D01653"/>
    <w:rsid w:val="00D01892"/>
    <w:rsid w:val="00D019AC"/>
    <w:rsid w:val="00D02888"/>
    <w:rsid w:val="00D03144"/>
    <w:rsid w:val="00D033DE"/>
    <w:rsid w:val="00D0367B"/>
    <w:rsid w:val="00D03995"/>
    <w:rsid w:val="00D03B21"/>
    <w:rsid w:val="00D03ED9"/>
    <w:rsid w:val="00D045BF"/>
    <w:rsid w:val="00D047ED"/>
    <w:rsid w:val="00D04814"/>
    <w:rsid w:val="00D04982"/>
    <w:rsid w:val="00D04F13"/>
    <w:rsid w:val="00D04FB1"/>
    <w:rsid w:val="00D05427"/>
    <w:rsid w:val="00D056E8"/>
    <w:rsid w:val="00D05F03"/>
    <w:rsid w:val="00D05FE6"/>
    <w:rsid w:val="00D06167"/>
    <w:rsid w:val="00D06190"/>
    <w:rsid w:val="00D068C1"/>
    <w:rsid w:val="00D06946"/>
    <w:rsid w:val="00D069B6"/>
    <w:rsid w:val="00D06F83"/>
    <w:rsid w:val="00D0752E"/>
    <w:rsid w:val="00D07A7F"/>
    <w:rsid w:val="00D07B70"/>
    <w:rsid w:val="00D07C2E"/>
    <w:rsid w:val="00D07FB0"/>
    <w:rsid w:val="00D1033F"/>
    <w:rsid w:val="00D10F4C"/>
    <w:rsid w:val="00D11034"/>
    <w:rsid w:val="00D11119"/>
    <w:rsid w:val="00D11ED4"/>
    <w:rsid w:val="00D11F61"/>
    <w:rsid w:val="00D12012"/>
    <w:rsid w:val="00D12277"/>
    <w:rsid w:val="00D12D3A"/>
    <w:rsid w:val="00D12F77"/>
    <w:rsid w:val="00D1342C"/>
    <w:rsid w:val="00D1379A"/>
    <w:rsid w:val="00D1475F"/>
    <w:rsid w:val="00D14BB6"/>
    <w:rsid w:val="00D14CD6"/>
    <w:rsid w:val="00D15976"/>
    <w:rsid w:val="00D16121"/>
    <w:rsid w:val="00D162E2"/>
    <w:rsid w:val="00D167DC"/>
    <w:rsid w:val="00D1729E"/>
    <w:rsid w:val="00D177F1"/>
    <w:rsid w:val="00D17853"/>
    <w:rsid w:val="00D207CC"/>
    <w:rsid w:val="00D20CF4"/>
    <w:rsid w:val="00D20E2E"/>
    <w:rsid w:val="00D21117"/>
    <w:rsid w:val="00D21156"/>
    <w:rsid w:val="00D21F6C"/>
    <w:rsid w:val="00D2251E"/>
    <w:rsid w:val="00D22666"/>
    <w:rsid w:val="00D22D47"/>
    <w:rsid w:val="00D2313F"/>
    <w:rsid w:val="00D2342C"/>
    <w:rsid w:val="00D23488"/>
    <w:rsid w:val="00D2434F"/>
    <w:rsid w:val="00D2497E"/>
    <w:rsid w:val="00D24CC8"/>
    <w:rsid w:val="00D254E4"/>
    <w:rsid w:val="00D2583B"/>
    <w:rsid w:val="00D26A82"/>
    <w:rsid w:val="00D270B0"/>
    <w:rsid w:val="00D3097F"/>
    <w:rsid w:val="00D30B7B"/>
    <w:rsid w:val="00D30D46"/>
    <w:rsid w:val="00D30E53"/>
    <w:rsid w:val="00D310D2"/>
    <w:rsid w:val="00D315A3"/>
    <w:rsid w:val="00D31DF7"/>
    <w:rsid w:val="00D32186"/>
    <w:rsid w:val="00D32780"/>
    <w:rsid w:val="00D32905"/>
    <w:rsid w:val="00D329CE"/>
    <w:rsid w:val="00D32A10"/>
    <w:rsid w:val="00D32A64"/>
    <w:rsid w:val="00D33188"/>
    <w:rsid w:val="00D3355D"/>
    <w:rsid w:val="00D337AF"/>
    <w:rsid w:val="00D33C6A"/>
    <w:rsid w:val="00D33F1D"/>
    <w:rsid w:val="00D34E46"/>
    <w:rsid w:val="00D363DE"/>
    <w:rsid w:val="00D3702E"/>
    <w:rsid w:val="00D3745A"/>
    <w:rsid w:val="00D37BE0"/>
    <w:rsid w:val="00D40F81"/>
    <w:rsid w:val="00D41D85"/>
    <w:rsid w:val="00D42818"/>
    <w:rsid w:val="00D42AD6"/>
    <w:rsid w:val="00D430D0"/>
    <w:rsid w:val="00D43534"/>
    <w:rsid w:val="00D4355B"/>
    <w:rsid w:val="00D438DF"/>
    <w:rsid w:val="00D4439D"/>
    <w:rsid w:val="00D44677"/>
    <w:rsid w:val="00D44C08"/>
    <w:rsid w:val="00D45B94"/>
    <w:rsid w:val="00D4663D"/>
    <w:rsid w:val="00D469BF"/>
    <w:rsid w:val="00D46C30"/>
    <w:rsid w:val="00D471B7"/>
    <w:rsid w:val="00D4721C"/>
    <w:rsid w:val="00D474A9"/>
    <w:rsid w:val="00D47CD3"/>
    <w:rsid w:val="00D47F79"/>
    <w:rsid w:val="00D503F7"/>
    <w:rsid w:val="00D5066B"/>
    <w:rsid w:val="00D50AC2"/>
    <w:rsid w:val="00D512FB"/>
    <w:rsid w:val="00D51BE5"/>
    <w:rsid w:val="00D527E4"/>
    <w:rsid w:val="00D52905"/>
    <w:rsid w:val="00D52B81"/>
    <w:rsid w:val="00D53C95"/>
    <w:rsid w:val="00D53F58"/>
    <w:rsid w:val="00D5435C"/>
    <w:rsid w:val="00D5463D"/>
    <w:rsid w:val="00D54670"/>
    <w:rsid w:val="00D546AC"/>
    <w:rsid w:val="00D54D34"/>
    <w:rsid w:val="00D54FE7"/>
    <w:rsid w:val="00D55053"/>
    <w:rsid w:val="00D554CB"/>
    <w:rsid w:val="00D5599B"/>
    <w:rsid w:val="00D55B42"/>
    <w:rsid w:val="00D562CD"/>
    <w:rsid w:val="00D56A77"/>
    <w:rsid w:val="00D56BCB"/>
    <w:rsid w:val="00D56BD8"/>
    <w:rsid w:val="00D56D2C"/>
    <w:rsid w:val="00D57E0A"/>
    <w:rsid w:val="00D57EEE"/>
    <w:rsid w:val="00D608CB"/>
    <w:rsid w:val="00D60B01"/>
    <w:rsid w:val="00D60C2D"/>
    <w:rsid w:val="00D6107C"/>
    <w:rsid w:val="00D6140F"/>
    <w:rsid w:val="00D6145A"/>
    <w:rsid w:val="00D61462"/>
    <w:rsid w:val="00D62550"/>
    <w:rsid w:val="00D63937"/>
    <w:rsid w:val="00D640DA"/>
    <w:rsid w:val="00D643B0"/>
    <w:rsid w:val="00D645DA"/>
    <w:rsid w:val="00D648A8"/>
    <w:rsid w:val="00D64E94"/>
    <w:rsid w:val="00D652FB"/>
    <w:rsid w:val="00D6536B"/>
    <w:rsid w:val="00D658F2"/>
    <w:rsid w:val="00D65EB3"/>
    <w:rsid w:val="00D660E0"/>
    <w:rsid w:val="00D67482"/>
    <w:rsid w:val="00D67741"/>
    <w:rsid w:val="00D67C85"/>
    <w:rsid w:val="00D70516"/>
    <w:rsid w:val="00D709AD"/>
    <w:rsid w:val="00D72842"/>
    <w:rsid w:val="00D72B5F"/>
    <w:rsid w:val="00D73015"/>
    <w:rsid w:val="00D730E4"/>
    <w:rsid w:val="00D73CC6"/>
    <w:rsid w:val="00D7449C"/>
    <w:rsid w:val="00D744A3"/>
    <w:rsid w:val="00D744B1"/>
    <w:rsid w:val="00D74557"/>
    <w:rsid w:val="00D74FBD"/>
    <w:rsid w:val="00D753DD"/>
    <w:rsid w:val="00D75DCB"/>
    <w:rsid w:val="00D7646D"/>
    <w:rsid w:val="00D7668B"/>
    <w:rsid w:val="00D76BA4"/>
    <w:rsid w:val="00D76CD1"/>
    <w:rsid w:val="00D76D6E"/>
    <w:rsid w:val="00D76F90"/>
    <w:rsid w:val="00D771DF"/>
    <w:rsid w:val="00D77261"/>
    <w:rsid w:val="00D77364"/>
    <w:rsid w:val="00D7747B"/>
    <w:rsid w:val="00D7779C"/>
    <w:rsid w:val="00D77831"/>
    <w:rsid w:val="00D778A1"/>
    <w:rsid w:val="00D77A2F"/>
    <w:rsid w:val="00D77A36"/>
    <w:rsid w:val="00D80008"/>
    <w:rsid w:val="00D803BF"/>
    <w:rsid w:val="00D814C3"/>
    <w:rsid w:val="00D8295B"/>
    <w:rsid w:val="00D82CBF"/>
    <w:rsid w:val="00D82DA7"/>
    <w:rsid w:val="00D8326C"/>
    <w:rsid w:val="00D835F7"/>
    <w:rsid w:val="00D83D84"/>
    <w:rsid w:val="00D83EDD"/>
    <w:rsid w:val="00D84A45"/>
    <w:rsid w:val="00D84A6D"/>
    <w:rsid w:val="00D8508B"/>
    <w:rsid w:val="00D85220"/>
    <w:rsid w:val="00D857C2"/>
    <w:rsid w:val="00D85CFA"/>
    <w:rsid w:val="00D8610D"/>
    <w:rsid w:val="00D8683E"/>
    <w:rsid w:val="00D86A29"/>
    <w:rsid w:val="00D86B50"/>
    <w:rsid w:val="00D8703E"/>
    <w:rsid w:val="00D877E3"/>
    <w:rsid w:val="00D87906"/>
    <w:rsid w:val="00D87AA6"/>
    <w:rsid w:val="00D90332"/>
    <w:rsid w:val="00D90837"/>
    <w:rsid w:val="00D9094D"/>
    <w:rsid w:val="00D912DB"/>
    <w:rsid w:val="00D913D1"/>
    <w:rsid w:val="00D91A8B"/>
    <w:rsid w:val="00D92391"/>
    <w:rsid w:val="00D9271C"/>
    <w:rsid w:val="00D92793"/>
    <w:rsid w:val="00D939C5"/>
    <w:rsid w:val="00D93FCE"/>
    <w:rsid w:val="00D945EC"/>
    <w:rsid w:val="00D94A01"/>
    <w:rsid w:val="00D9507B"/>
    <w:rsid w:val="00D95BEF"/>
    <w:rsid w:val="00D95DAB"/>
    <w:rsid w:val="00D96B2A"/>
    <w:rsid w:val="00D96C77"/>
    <w:rsid w:val="00D97712"/>
    <w:rsid w:val="00D97CBE"/>
    <w:rsid w:val="00DA02A0"/>
    <w:rsid w:val="00DA0ECE"/>
    <w:rsid w:val="00DA10EC"/>
    <w:rsid w:val="00DA127F"/>
    <w:rsid w:val="00DA1301"/>
    <w:rsid w:val="00DA1451"/>
    <w:rsid w:val="00DA1C71"/>
    <w:rsid w:val="00DA2775"/>
    <w:rsid w:val="00DA3371"/>
    <w:rsid w:val="00DA3427"/>
    <w:rsid w:val="00DA3A03"/>
    <w:rsid w:val="00DA414F"/>
    <w:rsid w:val="00DA4807"/>
    <w:rsid w:val="00DA55C9"/>
    <w:rsid w:val="00DA5749"/>
    <w:rsid w:val="00DA5F36"/>
    <w:rsid w:val="00DA62B5"/>
    <w:rsid w:val="00DA64F8"/>
    <w:rsid w:val="00DA6AD9"/>
    <w:rsid w:val="00DA6CFD"/>
    <w:rsid w:val="00DA71B0"/>
    <w:rsid w:val="00DA76F4"/>
    <w:rsid w:val="00DA7CAF"/>
    <w:rsid w:val="00DA7FE2"/>
    <w:rsid w:val="00DB0679"/>
    <w:rsid w:val="00DB0740"/>
    <w:rsid w:val="00DB0DF3"/>
    <w:rsid w:val="00DB1019"/>
    <w:rsid w:val="00DB1453"/>
    <w:rsid w:val="00DB269A"/>
    <w:rsid w:val="00DB270A"/>
    <w:rsid w:val="00DB278F"/>
    <w:rsid w:val="00DB2EBD"/>
    <w:rsid w:val="00DB2F5A"/>
    <w:rsid w:val="00DB3066"/>
    <w:rsid w:val="00DB30C0"/>
    <w:rsid w:val="00DB4224"/>
    <w:rsid w:val="00DB4430"/>
    <w:rsid w:val="00DB4607"/>
    <w:rsid w:val="00DB474C"/>
    <w:rsid w:val="00DB4EB5"/>
    <w:rsid w:val="00DB508E"/>
    <w:rsid w:val="00DB5383"/>
    <w:rsid w:val="00DB5A20"/>
    <w:rsid w:val="00DB5BB1"/>
    <w:rsid w:val="00DB631C"/>
    <w:rsid w:val="00DB6898"/>
    <w:rsid w:val="00DB6A37"/>
    <w:rsid w:val="00DB6D2A"/>
    <w:rsid w:val="00DB700D"/>
    <w:rsid w:val="00DB7231"/>
    <w:rsid w:val="00DB745D"/>
    <w:rsid w:val="00DB74EA"/>
    <w:rsid w:val="00DB7602"/>
    <w:rsid w:val="00DB7755"/>
    <w:rsid w:val="00DB7810"/>
    <w:rsid w:val="00DB7AC6"/>
    <w:rsid w:val="00DC01E9"/>
    <w:rsid w:val="00DC032D"/>
    <w:rsid w:val="00DC0D1D"/>
    <w:rsid w:val="00DC0ECE"/>
    <w:rsid w:val="00DC152E"/>
    <w:rsid w:val="00DC16C1"/>
    <w:rsid w:val="00DC16F5"/>
    <w:rsid w:val="00DC213C"/>
    <w:rsid w:val="00DC2606"/>
    <w:rsid w:val="00DC27DC"/>
    <w:rsid w:val="00DC298D"/>
    <w:rsid w:val="00DC2B1C"/>
    <w:rsid w:val="00DC2E5F"/>
    <w:rsid w:val="00DC319A"/>
    <w:rsid w:val="00DC322A"/>
    <w:rsid w:val="00DC38A4"/>
    <w:rsid w:val="00DC398B"/>
    <w:rsid w:val="00DC3FF8"/>
    <w:rsid w:val="00DC411A"/>
    <w:rsid w:val="00DC42E4"/>
    <w:rsid w:val="00DC443F"/>
    <w:rsid w:val="00DC52A0"/>
    <w:rsid w:val="00DC5966"/>
    <w:rsid w:val="00DC598E"/>
    <w:rsid w:val="00DC59EB"/>
    <w:rsid w:val="00DC5C11"/>
    <w:rsid w:val="00DC5E72"/>
    <w:rsid w:val="00DC6122"/>
    <w:rsid w:val="00DC6458"/>
    <w:rsid w:val="00DC74F8"/>
    <w:rsid w:val="00DC75D5"/>
    <w:rsid w:val="00DC7961"/>
    <w:rsid w:val="00DC7BFC"/>
    <w:rsid w:val="00DC7CD1"/>
    <w:rsid w:val="00DC7DA2"/>
    <w:rsid w:val="00DC7DDB"/>
    <w:rsid w:val="00DC7E0A"/>
    <w:rsid w:val="00DC7FDC"/>
    <w:rsid w:val="00DD0067"/>
    <w:rsid w:val="00DD013E"/>
    <w:rsid w:val="00DD059F"/>
    <w:rsid w:val="00DD09FC"/>
    <w:rsid w:val="00DD0ACB"/>
    <w:rsid w:val="00DD1E0B"/>
    <w:rsid w:val="00DD211D"/>
    <w:rsid w:val="00DD23D1"/>
    <w:rsid w:val="00DD2E1E"/>
    <w:rsid w:val="00DD2EAC"/>
    <w:rsid w:val="00DD2EE4"/>
    <w:rsid w:val="00DD3333"/>
    <w:rsid w:val="00DD3580"/>
    <w:rsid w:val="00DD37F9"/>
    <w:rsid w:val="00DD398F"/>
    <w:rsid w:val="00DD3B3E"/>
    <w:rsid w:val="00DD4257"/>
    <w:rsid w:val="00DD47A5"/>
    <w:rsid w:val="00DD48F8"/>
    <w:rsid w:val="00DD4C68"/>
    <w:rsid w:val="00DD4C7D"/>
    <w:rsid w:val="00DD570F"/>
    <w:rsid w:val="00DD57E6"/>
    <w:rsid w:val="00DD5A5D"/>
    <w:rsid w:val="00DD5C3C"/>
    <w:rsid w:val="00DD62AE"/>
    <w:rsid w:val="00DD6378"/>
    <w:rsid w:val="00DD6828"/>
    <w:rsid w:val="00DD6C2C"/>
    <w:rsid w:val="00DD6FE9"/>
    <w:rsid w:val="00DD743B"/>
    <w:rsid w:val="00DE05D6"/>
    <w:rsid w:val="00DE0603"/>
    <w:rsid w:val="00DE0B4C"/>
    <w:rsid w:val="00DE0B5B"/>
    <w:rsid w:val="00DE0DD8"/>
    <w:rsid w:val="00DE122A"/>
    <w:rsid w:val="00DE1647"/>
    <w:rsid w:val="00DE16B3"/>
    <w:rsid w:val="00DE183C"/>
    <w:rsid w:val="00DE1E6B"/>
    <w:rsid w:val="00DE204F"/>
    <w:rsid w:val="00DE227F"/>
    <w:rsid w:val="00DE26FC"/>
    <w:rsid w:val="00DE29BB"/>
    <w:rsid w:val="00DE29C7"/>
    <w:rsid w:val="00DE3106"/>
    <w:rsid w:val="00DE33C5"/>
    <w:rsid w:val="00DE3B15"/>
    <w:rsid w:val="00DE3E21"/>
    <w:rsid w:val="00DE4139"/>
    <w:rsid w:val="00DE4488"/>
    <w:rsid w:val="00DE45C9"/>
    <w:rsid w:val="00DE4AC3"/>
    <w:rsid w:val="00DE5A38"/>
    <w:rsid w:val="00DE5AA6"/>
    <w:rsid w:val="00DE642E"/>
    <w:rsid w:val="00DE6474"/>
    <w:rsid w:val="00DE64AD"/>
    <w:rsid w:val="00DE66F5"/>
    <w:rsid w:val="00DE6ADF"/>
    <w:rsid w:val="00DE6B1E"/>
    <w:rsid w:val="00DE6BF2"/>
    <w:rsid w:val="00DE72DA"/>
    <w:rsid w:val="00DE76F5"/>
    <w:rsid w:val="00DE77F5"/>
    <w:rsid w:val="00DF0529"/>
    <w:rsid w:val="00DF085B"/>
    <w:rsid w:val="00DF087A"/>
    <w:rsid w:val="00DF08AB"/>
    <w:rsid w:val="00DF0921"/>
    <w:rsid w:val="00DF0D13"/>
    <w:rsid w:val="00DF2869"/>
    <w:rsid w:val="00DF377B"/>
    <w:rsid w:val="00DF3AF7"/>
    <w:rsid w:val="00DF3EBB"/>
    <w:rsid w:val="00DF45A0"/>
    <w:rsid w:val="00DF4645"/>
    <w:rsid w:val="00DF58C6"/>
    <w:rsid w:val="00DF58FC"/>
    <w:rsid w:val="00DF5C25"/>
    <w:rsid w:val="00DF5DA6"/>
    <w:rsid w:val="00DF7298"/>
    <w:rsid w:val="00DF747E"/>
    <w:rsid w:val="00DF7F02"/>
    <w:rsid w:val="00DF7F53"/>
    <w:rsid w:val="00E00488"/>
    <w:rsid w:val="00E0066E"/>
    <w:rsid w:val="00E00813"/>
    <w:rsid w:val="00E0095E"/>
    <w:rsid w:val="00E00CC6"/>
    <w:rsid w:val="00E01BCE"/>
    <w:rsid w:val="00E02125"/>
    <w:rsid w:val="00E0239E"/>
    <w:rsid w:val="00E02FB4"/>
    <w:rsid w:val="00E0387C"/>
    <w:rsid w:val="00E039E9"/>
    <w:rsid w:val="00E0423C"/>
    <w:rsid w:val="00E04DC7"/>
    <w:rsid w:val="00E0506F"/>
    <w:rsid w:val="00E05651"/>
    <w:rsid w:val="00E05933"/>
    <w:rsid w:val="00E05B20"/>
    <w:rsid w:val="00E0650B"/>
    <w:rsid w:val="00E06734"/>
    <w:rsid w:val="00E06B74"/>
    <w:rsid w:val="00E06DFA"/>
    <w:rsid w:val="00E06F26"/>
    <w:rsid w:val="00E07D6F"/>
    <w:rsid w:val="00E10246"/>
    <w:rsid w:val="00E10431"/>
    <w:rsid w:val="00E10788"/>
    <w:rsid w:val="00E10D66"/>
    <w:rsid w:val="00E115E6"/>
    <w:rsid w:val="00E11A16"/>
    <w:rsid w:val="00E120F6"/>
    <w:rsid w:val="00E124AB"/>
    <w:rsid w:val="00E127AB"/>
    <w:rsid w:val="00E128CF"/>
    <w:rsid w:val="00E1306A"/>
    <w:rsid w:val="00E13332"/>
    <w:rsid w:val="00E13887"/>
    <w:rsid w:val="00E13904"/>
    <w:rsid w:val="00E13988"/>
    <w:rsid w:val="00E13B72"/>
    <w:rsid w:val="00E1413F"/>
    <w:rsid w:val="00E14283"/>
    <w:rsid w:val="00E1576A"/>
    <w:rsid w:val="00E158D1"/>
    <w:rsid w:val="00E163CD"/>
    <w:rsid w:val="00E1664D"/>
    <w:rsid w:val="00E16BE7"/>
    <w:rsid w:val="00E16EF5"/>
    <w:rsid w:val="00E1784F"/>
    <w:rsid w:val="00E17C29"/>
    <w:rsid w:val="00E20051"/>
    <w:rsid w:val="00E201A3"/>
    <w:rsid w:val="00E2031F"/>
    <w:rsid w:val="00E2082F"/>
    <w:rsid w:val="00E21C4C"/>
    <w:rsid w:val="00E21CF4"/>
    <w:rsid w:val="00E22003"/>
    <w:rsid w:val="00E22639"/>
    <w:rsid w:val="00E22787"/>
    <w:rsid w:val="00E22DA0"/>
    <w:rsid w:val="00E235A5"/>
    <w:rsid w:val="00E2428B"/>
    <w:rsid w:val="00E24577"/>
    <w:rsid w:val="00E2459F"/>
    <w:rsid w:val="00E24D3C"/>
    <w:rsid w:val="00E25211"/>
    <w:rsid w:val="00E261C8"/>
    <w:rsid w:val="00E27492"/>
    <w:rsid w:val="00E276BE"/>
    <w:rsid w:val="00E278A6"/>
    <w:rsid w:val="00E27DD2"/>
    <w:rsid w:val="00E27FAF"/>
    <w:rsid w:val="00E27FED"/>
    <w:rsid w:val="00E30110"/>
    <w:rsid w:val="00E30987"/>
    <w:rsid w:val="00E315D3"/>
    <w:rsid w:val="00E3193F"/>
    <w:rsid w:val="00E31BDF"/>
    <w:rsid w:val="00E31C30"/>
    <w:rsid w:val="00E326E1"/>
    <w:rsid w:val="00E33521"/>
    <w:rsid w:val="00E33553"/>
    <w:rsid w:val="00E33C18"/>
    <w:rsid w:val="00E33C93"/>
    <w:rsid w:val="00E33D2A"/>
    <w:rsid w:val="00E35FEE"/>
    <w:rsid w:val="00E3628C"/>
    <w:rsid w:val="00E365C9"/>
    <w:rsid w:val="00E36B3A"/>
    <w:rsid w:val="00E36CBC"/>
    <w:rsid w:val="00E373CE"/>
    <w:rsid w:val="00E37691"/>
    <w:rsid w:val="00E37BFC"/>
    <w:rsid w:val="00E41371"/>
    <w:rsid w:val="00E416AA"/>
    <w:rsid w:val="00E41918"/>
    <w:rsid w:val="00E420A1"/>
    <w:rsid w:val="00E42765"/>
    <w:rsid w:val="00E42A79"/>
    <w:rsid w:val="00E42B17"/>
    <w:rsid w:val="00E4322B"/>
    <w:rsid w:val="00E4397A"/>
    <w:rsid w:val="00E43D8D"/>
    <w:rsid w:val="00E4401F"/>
    <w:rsid w:val="00E440E5"/>
    <w:rsid w:val="00E442E8"/>
    <w:rsid w:val="00E44310"/>
    <w:rsid w:val="00E445E6"/>
    <w:rsid w:val="00E44606"/>
    <w:rsid w:val="00E449AB"/>
    <w:rsid w:val="00E450BE"/>
    <w:rsid w:val="00E450E4"/>
    <w:rsid w:val="00E4535B"/>
    <w:rsid w:val="00E453C1"/>
    <w:rsid w:val="00E45AEE"/>
    <w:rsid w:val="00E45C1B"/>
    <w:rsid w:val="00E47236"/>
    <w:rsid w:val="00E47558"/>
    <w:rsid w:val="00E476B1"/>
    <w:rsid w:val="00E5021E"/>
    <w:rsid w:val="00E50ADB"/>
    <w:rsid w:val="00E514BC"/>
    <w:rsid w:val="00E51FFF"/>
    <w:rsid w:val="00E52005"/>
    <w:rsid w:val="00E52428"/>
    <w:rsid w:val="00E52F10"/>
    <w:rsid w:val="00E53491"/>
    <w:rsid w:val="00E53607"/>
    <w:rsid w:val="00E53B97"/>
    <w:rsid w:val="00E54282"/>
    <w:rsid w:val="00E54696"/>
    <w:rsid w:val="00E54949"/>
    <w:rsid w:val="00E550BD"/>
    <w:rsid w:val="00E55457"/>
    <w:rsid w:val="00E5691F"/>
    <w:rsid w:val="00E5772C"/>
    <w:rsid w:val="00E57CF2"/>
    <w:rsid w:val="00E60157"/>
    <w:rsid w:val="00E6050F"/>
    <w:rsid w:val="00E605D1"/>
    <w:rsid w:val="00E605E3"/>
    <w:rsid w:val="00E60766"/>
    <w:rsid w:val="00E608A4"/>
    <w:rsid w:val="00E6097F"/>
    <w:rsid w:val="00E60AFD"/>
    <w:rsid w:val="00E60CC8"/>
    <w:rsid w:val="00E61753"/>
    <w:rsid w:val="00E618E5"/>
    <w:rsid w:val="00E61E4E"/>
    <w:rsid w:val="00E61F91"/>
    <w:rsid w:val="00E621DF"/>
    <w:rsid w:val="00E6235F"/>
    <w:rsid w:val="00E626AD"/>
    <w:rsid w:val="00E62A06"/>
    <w:rsid w:val="00E62EE8"/>
    <w:rsid w:val="00E63865"/>
    <w:rsid w:val="00E64638"/>
    <w:rsid w:val="00E64664"/>
    <w:rsid w:val="00E64A5D"/>
    <w:rsid w:val="00E64CFA"/>
    <w:rsid w:val="00E65085"/>
    <w:rsid w:val="00E651CF"/>
    <w:rsid w:val="00E65DDF"/>
    <w:rsid w:val="00E66212"/>
    <w:rsid w:val="00E66381"/>
    <w:rsid w:val="00E663ED"/>
    <w:rsid w:val="00E668A0"/>
    <w:rsid w:val="00E66C33"/>
    <w:rsid w:val="00E66CAB"/>
    <w:rsid w:val="00E673CF"/>
    <w:rsid w:val="00E67575"/>
    <w:rsid w:val="00E6787A"/>
    <w:rsid w:val="00E67F21"/>
    <w:rsid w:val="00E700B7"/>
    <w:rsid w:val="00E701D9"/>
    <w:rsid w:val="00E702FE"/>
    <w:rsid w:val="00E7045E"/>
    <w:rsid w:val="00E70642"/>
    <w:rsid w:val="00E70F54"/>
    <w:rsid w:val="00E70FE1"/>
    <w:rsid w:val="00E71106"/>
    <w:rsid w:val="00E712B7"/>
    <w:rsid w:val="00E71526"/>
    <w:rsid w:val="00E71660"/>
    <w:rsid w:val="00E716F1"/>
    <w:rsid w:val="00E71A73"/>
    <w:rsid w:val="00E7212D"/>
    <w:rsid w:val="00E7234C"/>
    <w:rsid w:val="00E72609"/>
    <w:rsid w:val="00E72827"/>
    <w:rsid w:val="00E72888"/>
    <w:rsid w:val="00E7356B"/>
    <w:rsid w:val="00E736DD"/>
    <w:rsid w:val="00E73A87"/>
    <w:rsid w:val="00E73C10"/>
    <w:rsid w:val="00E74359"/>
    <w:rsid w:val="00E74BE7"/>
    <w:rsid w:val="00E75747"/>
    <w:rsid w:val="00E7578B"/>
    <w:rsid w:val="00E75AA0"/>
    <w:rsid w:val="00E75C62"/>
    <w:rsid w:val="00E75FB1"/>
    <w:rsid w:val="00E76305"/>
    <w:rsid w:val="00E766BE"/>
    <w:rsid w:val="00E767A7"/>
    <w:rsid w:val="00E76C6D"/>
    <w:rsid w:val="00E77AE0"/>
    <w:rsid w:val="00E77D5C"/>
    <w:rsid w:val="00E80579"/>
    <w:rsid w:val="00E8077B"/>
    <w:rsid w:val="00E80AEC"/>
    <w:rsid w:val="00E811EC"/>
    <w:rsid w:val="00E8159E"/>
    <w:rsid w:val="00E81DDC"/>
    <w:rsid w:val="00E820BE"/>
    <w:rsid w:val="00E82A49"/>
    <w:rsid w:val="00E82D74"/>
    <w:rsid w:val="00E82DC7"/>
    <w:rsid w:val="00E83456"/>
    <w:rsid w:val="00E8366C"/>
    <w:rsid w:val="00E83A85"/>
    <w:rsid w:val="00E83B33"/>
    <w:rsid w:val="00E84AFB"/>
    <w:rsid w:val="00E84F12"/>
    <w:rsid w:val="00E85A9F"/>
    <w:rsid w:val="00E86113"/>
    <w:rsid w:val="00E861C8"/>
    <w:rsid w:val="00E8644C"/>
    <w:rsid w:val="00E877F0"/>
    <w:rsid w:val="00E87803"/>
    <w:rsid w:val="00E87849"/>
    <w:rsid w:val="00E87AC8"/>
    <w:rsid w:val="00E87BE7"/>
    <w:rsid w:val="00E87D21"/>
    <w:rsid w:val="00E914B8"/>
    <w:rsid w:val="00E9174A"/>
    <w:rsid w:val="00E919E2"/>
    <w:rsid w:val="00E91D8D"/>
    <w:rsid w:val="00E91F1A"/>
    <w:rsid w:val="00E91F52"/>
    <w:rsid w:val="00E92147"/>
    <w:rsid w:val="00E9244A"/>
    <w:rsid w:val="00E926A2"/>
    <w:rsid w:val="00E93275"/>
    <w:rsid w:val="00E932D5"/>
    <w:rsid w:val="00E9350C"/>
    <w:rsid w:val="00E9365C"/>
    <w:rsid w:val="00E938D8"/>
    <w:rsid w:val="00E93B04"/>
    <w:rsid w:val="00E93F16"/>
    <w:rsid w:val="00E940EA"/>
    <w:rsid w:val="00E9437D"/>
    <w:rsid w:val="00E94643"/>
    <w:rsid w:val="00E949D9"/>
    <w:rsid w:val="00E94E00"/>
    <w:rsid w:val="00E954FF"/>
    <w:rsid w:val="00E9600D"/>
    <w:rsid w:val="00E9628A"/>
    <w:rsid w:val="00E96362"/>
    <w:rsid w:val="00E963D0"/>
    <w:rsid w:val="00E96902"/>
    <w:rsid w:val="00E96A65"/>
    <w:rsid w:val="00E97014"/>
    <w:rsid w:val="00E9757A"/>
    <w:rsid w:val="00E97D88"/>
    <w:rsid w:val="00E97F5C"/>
    <w:rsid w:val="00EA0385"/>
    <w:rsid w:val="00EA0621"/>
    <w:rsid w:val="00EA07F5"/>
    <w:rsid w:val="00EA161F"/>
    <w:rsid w:val="00EA226A"/>
    <w:rsid w:val="00EA3150"/>
    <w:rsid w:val="00EA3614"/>
    <w:rsid w:val="00EA39B5"/>
    <w:rsid w:val="00EA3DFA"/>
    <w:rsid w:val="00EA4218"/>
    <w:rsid w:val="00EA4767"/>
    <w:rsid w:val="00EA4F82"/>
    <w:rsid w:val="00EA56A3"/>
    <w:rsid w:val="00EA5831"/>
    <w:rsid w:val="00EA62B9"/>
    <w:rsid w:val="00EA64BA"/>
    <w:rsid w:val="00EA691B"/>
    <w:rsid w:val="00EA7152"/>
    <w:rsid w:val="00EA763C"/>
    <w:rsid w:val="00EA79B6"/>
    <w:rsid w:val="00EB074D"/>
    <w:rsid w:val="00EB085B"/>
    <w:rsid w:val="00EB0A1F"/>
    <w:rsid w:val="00EB0A74"/>
    <w:rsid w:val="00EB0F22"/>
    <w:rsid w:val="00EB1490"/>
    <w:rsid w:val="00EB14BD"/>
    <w:rsid w:val="00EB20BE"/>
    <w:rsid w:val="00EB264D"/>
    <w:rsid w:val="00EB2A9F"/>
    <w:rsid w:val="00EB3AFF"/>
    <w:rsid w:val="00EB3BCA"/>
    <w:rsid w:val="00EB4294"/>
    <w:rsid w:val="00EB45EE"/>
    <w:rsid w:val="00EB4675"/>
    <w:rsid w:val="00EB473D"/>
    <w:rsid w:val="00EB47E2"/>
    <w:rsid w:val="00EB4819"/>
    <w:rsid w:val="00EB4898"/>
    <w:rsid w:val="00EB4B51"/>
    <w:rsid w:val="00EB4BA2"/>
    <w:rsid w:val="00EB5158"/>
    <w:rsid w:val="00EB53D6"/>
    <w:rsid w:val="00EB54B5"/>
    <w:rsid w:val="00EB5C6F"/>
    <w:rsid w:val="00EB6289"/>
    <w:rsid w:val="00EB68BA"/>
    <w:rsid w:val="00EB6A1C"/>
    <w:rsid w:val="00EB6B7D"/>
    <w:rsid w:val="00EB6DB9"/>
    <w:rsid w:val="00EB6FBD"/>
    <w:rsid w:val="00EB7118"/>
    <w:rsid w:val="00EB7547"/>
    <w:rsid w:val="00EB7AC9"/>
    <w:rsid w:val="00EB7AEE"/>
    <w:rsid w:val="00EB7DB5"/>
    <w:rsid w:val="00EB7E55"/>
    <w:rsid w:val="00EC0A6E"/>
    <w:rsid w:val="00EC0EFF"/>
    <w:rsid w:val="00EC1BF2"/>
    <w:rsid w:val="00EC20C2"/>
    <w:rsid w:val="00EC2420"/>
    <w:rsid w:val="00EC29CC"/>
    <w:rsid w:val="00EC2E00"/>
    <w:rsid w:val="00EC3867"/>
    <w:rsid w:val="00EC38AD"/>
    <w:rsid w:val="00EC3ED3"/>
    <w:rsid w:val="00EC479E"/>
    <w:rsid w:val="00EC55F7"/>
    <w:rsid w:val="00EC61BA"/>
    <w:rsid w:val="00EC667F"/>
    <w:rsid w:val="00EC6A60"/>
    <w:rsid w:val="00EC6F70"/>
    <w:rsid w:val="00EC7D03"/>
    <w:rsid w:val="00EC7D11"/>
    <w:rsid w:val="00ED0E83"/>
    <w:rsid w:val="00ED1926"/>
    <w:rsid w:val="00ED2162"/>
    <w:rsid w:val="00ED23D1"/>
    <w:rsid w:val="00ED2780"/>
    <w:rsid w:val="00ED2FDF"/>
    <w:rsid w:val="00ED3212"/>
    <w:rsid w:val="00ED37FB"/>
    <w:rsid w:val="00ED3815"/>
    <w:rsid w:val="00ED39A7"/>
    <w:rsid w:val="00ED45C1"/>
    <w:rsid w:val="00ED4BC9"/>
    <w:rsid w:val="00ED4E2A"/>
    <w:rsid w:val="00ED5366"/>
    <w:rsid w:val="00ED5678"/>
    <w:rsid w:val="00ED5800"/>
    <w:rsid w:val="00ED5898"/>
    <w:rsid w:val="00ED5E0B"/>
    <w:rsid w:val="00ED5F66"/>
    <w:rsid w:val="00ED703B"/>
    <w:rsid w:val="00ED74BA"/>
    <w:rsid w:val="00EE02C2"/>
    <w:rsid w:val="00EE0755"/>
    <w:rsid w:val="00EE0828"/>
    <w:rsid w:val="00EE0A3E"/>
    <w:rsid w:val="00EE0BFA"/>
    <w:rsid w:val="00EE1028"/>
    <w:rsid w:val="00EE1512"/>
    <w:rsid w:val="00EE15A3"/>
    <w:rsid w:val="00EE1D75"/>
    <w:rsid w:val="00EE2219"/>
    <w:rsid w:val="00EE25A3"/>
    <w:rsid w:val="00EE295B"/>
    <w:rsid w:val="00EE2AA3"/>
    <w:rsid w:val="00EE2E1F"/>
    <w:rsid w:val="00EE2ED5"/>
    <w:rsid w:val="00EE30DC"/>
    <w:rsid w:val="00EE359D"/>
    <w:rsid w:val="00EE36E2"/>
    <w:rsid w:val="00EE3859"/>
    <w:rsid w:val="00EE427E"/>
    <w:rsid w:val="00EE5076"/>
    <w:rsid w:val="00EE54EC"/>
    <w:rsid w:val="00EE636A"/>
    <w:rsid w:val="00EE6D31"/>
    <w:rsid w:val="00EE7406"/>
    <w:rsid w:val="00EE7D7B"/>
    <w:rsid w:val="00EE7F03"/>
    <w:rsid w:val="00EF011F"/>
    <w:rsid w:val="00EF03D2"/>
    <w:rsid w:val="00EF0530"/>
    <w:rsid w:val="00EF0A49"/>
    <w:rsid w:val="00EF0AA2"/>
    <w:rsid w:val="00EF1333"/>
    <w:rsid w:val="00EF13E7"/>
    <w:rsid w:val="00EF166A"/>
    <w:rsid w:val="00EF16C2"/>
    <w:rsid w:val="00EF1DBE"/>
    <w:rsid w:val="00EF2200"/>
    <w:rsid w:val="00EF2ADC"/>
    <w:rsid w:val="00EF2B4D"/>
    <w:rsid w:val="00EF312C"/>
    <w:rsid w:val="00EF39A9"/>
    <w:rsid w:val="00EF3A05"/>
    <w:rsid w:val="00EF4298"/>
    <w:rsid w:val="00EF551B"/>
    <w:rsid w:val="00EF5A28"/>
    <w:rsid w:val="00EF5B0D"/>
    <w:rsid w:val="00EF5CB6"/>
    <w:rsid w:val="00EF622A"/>
    <w:rsid w:val="00EF69D1"/>
    <w:rsid w:val="00EF72E6"/>
    <w:rsid w:val="00F003A4"/>
    <w:rsid w:val="00F0042C"/>
    <w:rsid w:val="00F00801"/>
    <w:rsid w:val="00F01649"/>
    <w:rsid w:val="00F019E3"/>
    <w:rsid w:val="00F01F07"/>
    <w:rsid w:val="00F01F88"/>
    <w:rsid w:val="00F024FC"/>
    <w:rsid w:val="00F02556"/>
    <w:rsid w:val="00F026A9"/>
    <w:rsid w:val="00F0277E"/>
    <w:rsid w:val="00F03057"/>
    <w:rsid w:val="00F033D5"/>
    <w:rsid w:val="00F03FC3"/>
    <w:rsid w:val="00F040FC"/>
    <w:rsid w:val="00F0417B"/>
    <w:rsid w:val="00F04DBF"/>
    <w:rsid w:val="00F04FEF"/>
    <w:rsid w:val="00F0557C"/>
    <w:rsid w:val="00F0567C"/>
    <w:rsid w:val="00F05C22"/>
    <w:rsid w:val="00F0604E"/>
    <w:rsid w:val="00F062A7"/>
    <w:rsid w:val="00F06555"/>
    <w:rsid w:val="00F066A5"/>
    <w:rsid w:val="00F06CDF"/>
    <w:rsid w:val="00F06F05"/>
    <w:rsid w:val="00F07275"/>
    <w:rsid w:val="00F07785"/>
    <w:rsid w:val="00F079D5"/>
    <w:rsid w:val="00F07EF6"/>
    <w:rsid w:val="00F107C8"/>
    <w:rsid w:val="00F1087A"/>
    <w:rsid w:val="00F10B68"/>
    <w:rsid w:val="00F12EA7"/>
    <w:rsid w:val="00F13703"/>
    <w:rsid w:val="00F1393A"/>
    <w:rsid w:val="00F1485C"/>
    <w:rsid w:val="00F158D0"/>
    <w:rsid w:val="00F1602E"/>
    <w:rsid w:val="00F1654B"/>
    <w:rsid w:val="00F16B3E"/>
    <w:rsid w:val="00F175ED"/>
    <w:rsid w:val="00F178B7"/>
    <w:rsid w:val="00F20711"/>
    <w:rsid w:val="00F214F6"/>
    <w:rsid w:val="00F2193E"/>
    <w:rsid w:val="00F21EBD"/>
    <w:rsid w:val="00F22856"/>
    <w:rsid w:val="00F22C46"/>
    <w:rsid w:val="00F22D14"/>
    <w:rsid w:val="00F23447"/>
    <w:rsid w:val="00F2354C"/>
    <w:rsid w:val="00F2362E"/>
    <w:rsid w:val="00F23DC8"/>
    <w:rsid w:val="00F23E1F"/>
    <w:rsid w:val="00F244A7"/>
    <w:rsid w:val="00F2462E"/>
    <w:rsid w:val="00F24DC9"/>
    <w:rsid w:val="00F24F28"/>
    <w:rsid w:val="00F24FF9"/>
    <w:rsid w:val="00F25560"/>
    <w:rsid w:val="00F255BC"/>
    <w:rsid w:val="00F256F9"/>
    <w:rsid w:val="00F25B34"/>
    <w:rsid w:val="00F25B63"/>
    <w:rsid w:val="00F25C1E"/>
    <w:rsid w:val="00F25D82"/>
    <w:rsid w:val="00F25EDB"/>
    <w:rsid w:val="00F2601C"/>
    <w:rsid w:val="00F260F7"/>
    <w:rsid w:val="00F26250"/>
    <w:rsid w:val="00F264B2"/>
    <w:rsid w:val="00F26745"/>
    <w:rsid w:val="00F26D18"/>
    <w:rsid w:val="00F276C7"/>
    <w:rsid w:val="00F27F46"/>
    <w:rsid w:val="00F30078"/>
    <w:rsid w:val="00F3041F"/>
    <w:rsid w:val="00F308D2"/>
    <w:rsid w:val="00F3146E"/>
    <w:rsid w:val="00F31566"/>
    <w:rsid w:val="00F31A77"/>
    <w:rsid w:val="00F31D88"/>
    <w:rsid w:val="00F32577"/>
    <w:rsid w:val="00F32655"/>
    <w:rsid w:val="00F32A4C"/>
    <w:rsid w:val="00F32ADA"/>
    <w:rsid w:val="00F33464"/>
    <w:rsid w:val="00F339BE"/>
    <w:rsid w:val="00F344BE"/>
    <w:rsid w:val="00F34F80"/>
    <w:rsid w:val="00F3517F"/>
    <w:rsid w:val="00F35694"/>
    <w:rsid w:val="00F3579B"/>
    <w:rsid w:val="00F35F24"/>
    <w:rsid w:val="00F35FBC"/>
    <w:rsid w:val="00F36571"/>
    <w:rsid w:val="00F36835"/>
    <w:rsid w:val="00F36D60"/>
    <w:rsid w:val="00F3715F"/>
    <w:rsid w:val="00F37BFC"/>
    <w:rsid w:val="00F37F8C"/>
    <w:rsid w:val="00F40597"/>
    <w:rsid w:val="00F40991"/>
    <w:rsid w:val="00F41252"/>
    <w:rsid w:val="00F41278"/>
    <w:rsid w:val="00F41442"/>
    <w:rsid w:val="00F414B8"/>
    <w:rsid w:val="00F416D2"/>
    <w:rsid w:val="00F41862"/>
    <w:rsid w:val="00F41A29"/>
    <w:rsid w:val="00F41C36"/>
    <w:rsid w:val="00F42C13"/>
    <w:rsid w:val="00F43513"/>
    <w:rsid w:val="00F4394C"/>
    <w:rsid w:val="00F43AC5"/>
    <w:rsid w:val="00F43C1B"/>
    <w:rsid w:val="00F43CA8"/>
    <w:rsid w:val="00F43CBC"/>
    <w:rsid w:val="00F44030"/>
    <w:rsid w:val="00F447CF"/>
    <w:rsid w:val="00F449CD"/>
    <w:rsid w:val="00F46570"/>
    <w:rsid w:val="00F4662D"/>
    <w:rsid w:val="00F47356"/>
    <w:rsid w:val="00F475C3"/>
    <w:rsid w:val="00F4781D"/>
    <w:rsid w:val="00F479AF"/>
    <w:rsid w:val="00F47BAD"/>
    <w:rsid w:val="00F51D27"/>
    <w:rsid w:val="00F51E6E"/>
    <w:rsid w:val="00F523BD"/>
    <w:rsid w:val="00F5241E"/>
    <w:rsid w:val="00F52BC3"/>
    <w:rsid w:val="00F52D9D"/>
    <w:rsid w:val="00F53330"/>
    <w:rsid w:val="00F538F2"/>
    <w:rsid w:val="00F5392E"/>
    <w:rsid w:val="00F53AF3"/>
    <w:rsid w:val="00F53F42"/>
    <w:rsid w:val="00F54401"/>
    <w:rsid w:val="00F54433"/>
    <w:rsid w:val="00F547EB"/>
    <w:rsid w:val="00F54EBA"/>
    <w:rsid w:val="00F54FE8"/>
    <w:rsid w:val="00F55CB8"/>
    <w:rsid w:val="00F55D8C"/>
    <w:rsid w:val="00F5692F"/>
    <w:rsid w:val="00F56D45"/>
    <w:rsid w:val="00F57265"/>
    <w:rsid w:val="00F57526"/>
    <w:rsid w:val="00F6003B"/>
    <w:rsid w:val="00F606B6"/>
    <w:rsid w:val="00F609C1"/>
    <w:rsid w:val="00F616B8"/>
    <w:rsid w:val="00F61CE3"/>
    <w:rsid w:val="00F6231E"/>
    <w:rsid w:val="00F628AB"/>
    <w:rsid w:val="00F63287"/>
    <w:rsid w:val="00F63486"/>
    <w:rsid w:val="00F634B8"/>
    <w:rsid w:val="00F64336"/>
    <w:rsid w:val="00F651FF"/>
    <w:rsid w:val="00F66163"/>
    <w:rsid w:val="00F66192"/>
    <w:rsid w:val="00F6685C"/>
    <w:rsid w:val="00F66B1C"/>
    <w:rsid w:val="00F67081"/>
    <w:rsid w:val="00F671EF"/>
    <w:rsid w:val="00F67740"/>
    <w:rsid w:val="00F67875"/>
    <w:rsid w:val="00F67C6B"/>
    <w:rsid w:val="00F703F3"/>
    <w:rsid w:val="00F70C0D"/>
    <w:rsid w:val="00F70E6C"/>
    <w:rsid w:val="00F70EE1"/>
    <w:rsid w:val="00F70F0E"/>
    <w:rsid w:val="00F71212"/>
    <w:rsid w:val="00F715AF"/>
    <w:rsid w:val="00F71958"/>
    <w:rsid w:val="00F71EC4"/>
    <w:rsid w:val="00F72B3E"/>
    <w:rsid w:val="00F72F09"/>
    <w:rsid w:val="00F72FB9"/>
    <w:rsid w:val="00F731F1"/>
    <w:rsid w:val="00F7349F"/>
    <w:rsid w:val="00F7376E"/>
    <w:rsid w:val="00F739D3"/>
    <w:rsid w:val="00F73BB8"/>
    <w:rsid w:val="00F74716"/>
    <w:rsid w:val="00F74781"/>
    <w:rsid w:val="00F75264"/>
    <w:rsid w:val="00F752AC"/>
    <w:rsid w:val="00F755F1"/>
    <w:rsid w:val="00F759C4"/>
    <w:rsid w:val="00F75AFC"/>
    <w:rsid w:val="00F75C1F"/>
    <w:rsid w:val="00F767D7"/>
    <w:rsid w:val="00F7742F"/>
    <w:rsid w:val="00F8012C"/>
    <w:rsid w:val="00F806C3"/>
    <w:rsid w:val="00F8105B"/>
    <w:rsid w:val="00F8137E"/>
    <w:rsid w:val="00F83D66"/>
    <w:rsid w:val="00F84515"/>
    <w:rsid w:val="00F84BD6"/>
    <w:rsid w:val="00F84E09"/>
    <w:rsid w:val="00F86381"/>
    <w:rsid w:val="00F86965"/>
    <w:rsid w:val="00F87A8F"/>
    <w:rsid w:val="00F87EE5"/>
    <w:rsid w:val="00F9197E"/>
    <w:rsid w:val="00F92518"/>
    <w:rsid w:val="00F928A1"/>
    <w:rsid w:val="00F92900"/>
    <w:rsid w:val="00F92BCB"/>
    <w:rsid w:val="00F92F17"/>
    <w:rsid w:val="00F93488"/>
    <w:rsid w:val="00F93F5F"/>
    <w:rsid w:val="00F94295"/>
    <w:rsid w:val="00F967FB"/>
    <w:rsid w:val="00F9703D"/>
    <w:rsid w:val="00F9769D"/>
    <w:rsid w:val="00F97BF5"/>
    <w:rsid w:val="00F97C68"/>
    <w:rsid w:val="00F97F0C"/>
    <w:rsid w:val="00FA0C68"/>
    <w:rsid w:val="00FA11F8"/>
    <w:rsid w:val="00FA145E"/>
    <w:rsid w:val="00FA18E3"/>
    <w:rsid w:val="00FA3834"/>
    <w:rsid w:val="00FA3E67"/>
    <w:rsid w:val="00FA4299"/>
    <w:rsid w:val="00FA4CB9"/>
    <w:rsid w:val="00FA4E33"/>
    <w:rsid w:val="00FA5321"/>
    <w:rsid w:val="00FA53AA"/>
    <w:rsid w:val="00FA5649"/>
    <w:rsid w:val="00FA5747"/>
    <w:rsid w:val="00FA5B88"/>
    <w:rsid w:val="00FA64CB"/>
    <w:rsid w:val="00FA6D70"/>
    <w:rsid w:val="00FA75AE"/>
    <w:rsid w:val="00FA75DB"/>
    <w:rsid w:val="00FA7620"/>
    <w:rsid w:val="00FA7A7B"/>
    <w:rsid w:val="00FA7EC8"/>
    <w:rsid w:val="00FB0475"/>
    <w:rsid w:val="00FB1C42"/>
    <w:rsid w:val="00FB2664"/>
    <w:rsid w:val="00FB2E66"/>
    <w:rsid w:val="00FB374F"/>
    <w:rsid w:val="00FB37AD"/>
    <w:rsid w:val="00FB3C4D"/>
    <w:rsid w:val="00FB3D4F"/>
    <w:rsid w:val="00FB43C6"/>
    <w:rsid w:val="00FB4906"/>
    <w:rsid w:val="00FB4E61"/>
    <w:rsid w:val="00FB527F"/>
    <w:rsid w:val="00FB552F"/>
    <w:rsid w:val="00FB6625"/>
    <w:rsid w:val="00FB6EE5"/>
    <w:rsid w:val="00FB7012"/>
    <w:rsid w:val="00FB7306"/>
    <w:rsid w:val="00FB7866"/>
    <w:rsid w:val="00FB78E3"/>
    <w:rsid w:val="00FC027D"/>
    <w:rsid w:val="00FC080A"/>
    <w:rsid w:val="00FC09AE"/>
    <w:rsid w:val="00FC0AB2"/>
    <w:rsid w:val="00FC1433"/>
    <w:rsid w:val="00FC1C6E"/>
    <w:rsid w:val="00FC340F"/>
    <w:rsid w:val="00FC34F4"/>
    <w:rsid w:val="00FC356A"/>
    <w:rsid w:val="00FC36E5"/>
    <w:rsid w:val="00FC3724"/>
    <w:rsid w:val="00FC42ED"/>
    <w:rsid w:val="00FC517B"/>
    <w:rsid w:val="00FC51E1"/>
    <w:rsid w:val="00FC55D5"/>
    <w:rsid w:val="00FC5860"/>
    <w:rsid w:val="00FC5C20"/>
    <w:rsid w:val="00FC5CA3"/>
    <w:rsid w:val="00FC67DD"/>
    <w:rsid w:val="00FC6BB1"/>
    <w:rsid w:val="00FC77B6"/>
    <w:rsid w:val="00FC798F"/>
    <w:rsid w:val="00FC7B33"/>
    <w:rsid w:val="00FC7F9A"/>
    <w:rsid w:val="00FD0347"/>
    <w:rsid w:val="00FD04F0"/>
    <w:rsid w:val="00FD05AD"/>
    <w:rsid w:val="00FD06D6"/>
    <w:rsid w:val="00FD1086"/>
    <w:rsid w:val="00FD1286"/>
    <w:rsid w:val="00FD13A7"/>
    <w:rsid w:val="00FD19B4"/>
    <w:rsid w:val="00FD1C8D"/>
    <w:rsid w:val="00FD1FE5"/>
    <w:rsid w:val="00FD200C"/>
    <w:rsid w:val="00FD23B3"/>
    <w:rsid w:val="00FD26E6"/>
    <w:rsid w:val="00FD314A"/>
    <w:rsid w:val="00FD3506"/>
    <w:rsid w:val="00FD3E2B"/>
    <w:rsid w:val="00FD4151"/>
    <w:rsid w:val="00FD424A"/>
    <w:rsid w:val="00FD453E"/>
    <w:rsid w:val="00FD48E0"/>
    <w:rsid w:val="00FD4B9E"/>
    <w:rsid w:val="00FD4C6F"/>
    <w:rsid w:val="00FD5343"/>
    <w:rsid w:val="00FD5759"/>
    <w:rsid w:val="00FD63FA"/>
    <w:rsid w:val="00FD668C"/>
    <w:rsid w:val="00FD774F"/>
    <w:rsid w:val="00FE0579"/>
    <w:rsid w:val="00FE075F"/>
    <w:rsid w:val="00FE0ACA"/>
    <w:rsid w:val="00FE0C3C"/>
    <w:rsid w:val="00FE0DF2"/>
    <w:rsid w:val="00FE0E95"/>
    <w:rsid w:val="00FE104C"/>
    <w:rsid w:val="00FE11C6"/>
    <w:rsid w:val="00FE1873"/>
    <w:rsid w:val="00FE19C8"/>
    <w:rsid w:val="00FE237C"/>
    <w:rsid w:val="00FE23A3"/>
    <w:rsid w:val="00FE30B7"/>
    <w:rsid w:val="00FE3721"/>
    <w:rsid w:val="00FE3C64"/>
    <w:rsid w:val="00FE4262"/>
    <w:rsid w:val="00FE43C7"/>
    <w:rsid w:val="00FE45F7"/>
    <w:rsid w:val="00FE4F05"/>
    <w:rsid w:val="00FE58B7"/>
    <w:rsid w:val="00FE6137"/>
    <w:rsid w:val="00FE67E8"/>
    <w:rsid w:val="00FE6D87"/>
    <w:rsid w:val="00FE6F3F"/>
    <w:rsid w:val="00FF063D"/>
    <w:rsid w:val="00FF09D3"/>
    <w:rsid w:val="00FF0B77"/>
    <w:rsid w:val="00FF0CC3"/>
    <w:rsid w:val="00FF0E11"/>
    <w:rsid w:val="00FF1257"/>
    <w:rsid w:val="00FF1270"/>
    <w:rsid w:val="00FF12C1"/>
    <w:rsid w:val="00FF13B7"/>
    <w:rsid w:val="00FF1484"/>
    <w:rsid w:val="00FF17E8"/>
    <w:rsid w:val="00FF1AEB"/>
    <w:rsid w:val="00FF1DAA"/>
    <w:rsid w:val="00FF2DAF"/>
    <w:rsid w:val="00FF3102"/>
    <w:rsid w:val="00FF316F"/>
    <w:rsid w:val="00FF361D"/>
    <w:rsid w:val="00FF4CFE"/>
    <w:rsid w:val="00FF4E18"/>
    <w:rsid w:val="00FF50CA"/>
    <w:rsid w:val="00FF518F"/>
    <w:rsid w:val="00FF5D43"/>
    <w:rsid w:val="00FF5DEB"/>
    <w:rsid w:val="00FF6762"/>
    <w:rsid w:val="00FF6794"/>
    <w:rsid w:val="00FF6C1D"/>
    <w:rsid w:val="00FF786D"/>
    <w:rsid w:val="00FF7BBA"/>
    <w:rsid w:val="0120010C"/>
    <w:rsid w:val="0125961A"/>
    <w:rsid w:val="01C64E75"/>
    <w:rsid w:val="020AADEC"/>
    <w:rsid w:val="02120D6D"/>
    <w:rsid w:val="02161300"/>
    <w:rsid w:val="024F33A3"/>
    <w:rsid w:val="03216C47"/>
    <w:rsid w:val="0352C049"/>
    <w:rsid w:val="040B1366"/>
    <w:rsid w:val="04AB80E9"/>
    <w:rsid w:val="052F6520"/>
    <w:rsid w:val="0593130D"/>
    <w:rsid w:val="05CB7243"/>
    <w:rsid w:val="06BCAE87"/>
    <w:rsid w:val="072F147A"/>
    <w:rsid w:val="07301099"/>
    <w:rsid w:val="073B6437"/>
    <w:rsid w:val="0758CBBC"/>
    <w:rsid w:val="07AB8627"/>
    <w:rsid w:val="08350A6B"/>
    <w:rsid w:val="08A93049"/>
    <w:rsid w:val="0AF28576"/>
    <w:rsid w:val="0B2F0C81"/>
    <w:rsid w:val="0B54D2A7"/>
    <w:rsid w:val="0B552E86"/>
    <w:rsid w:val="0B5B383A"/>
    <w:rsid w:val="0C27006E"/>
    <w:rsid w:val="0C4F4662"/>
    <w:rsid w:val="0C6713AC"/>
    <w:rsid w:val="0C764076"/>
    <w:rsid w:val="0CAF04A4"/>
    <w:rsid w:val="0D0384FA"/>
    <w:rsid w:val="0D342AC8"/>
    <w:rsid w:val="0DB0126B"/>
    <w:rsid w:val="0E861A75"/>
    <w:rsid w:val="0EE71BC7"/>
    <w:rsid w:val="0F3B6B1E"/>
    <w:rsid w:val="0F5957D0"/>
    <w:rsid w:val="0FFA4A29"/>
    <w:rsid w:val="1001BFF8"/>
    <w:rsid w:val="10193402"/>
    <w:rsid w:val="1043E986"/>
    <w:rsid w:val="10788FB7"/>
    <w:rsid w:val="10B88A9C"/>
    <w:rsid w:val="1169E031"/>
    <w:rsid w:val="12391B4B"/>
    <w:rsid w:val="12865937"/>
    <w:rsid w:val="12D55F36"/>
    <w:rsid w:val="12EE8793"/>
    <w:rsid w:val="13D6356C"/>
    <w:rsid w:val="14313031"/>
    <w:rsid w:val="147424EF"/>
    <w:rsid w:val="1487FA14"/>
    <w:rsid w:val="14B66F39"/>
    <w:rsid w:val="15490479"/>
    <w:rsid w:val="158DC227"/>
    <w:rsid w:val="162CE4F4"/>
    <w:rsid w:val="167D87E8"/>
    <w:rsid w:val="16BE85C1"/>
    <w:rsid w:val="16E7745C"/>
    <w:rsid w:val="16FC07C1"/>
    <w:rsid w:val="1734051F"/>
    <w:rsid w:val="173A2904"/>
    <w:rsid w:val="177B35D0"/>
    <w:rsid w:val="179AEF81"/>
    <w:rsid w:val="18A7F71B"/>
    <w:rsid w:val="18BCAC15"/>
    <w:rsid w:val="18C49222"/>
    <w:rsid w:val="191EA83B"/>
    <w:rsid w:val="1972B138"/>
    <w:rsid w:val="1A5A67D1"/>
    <w:rsid w:val="1A67DBE0"/>
    <w:rsid w:val="1AAA581E"/>
    <w:rsid w:val="1AFF291E"/>
    <w:rsid w:val="1B2B34F8"/>
    <w:rsid w:val="1C35CC7C"/>
    <w:rsid w:val="1C918CF2"/>
    <w:rsid w:val="1CA9D676"/>
    <w:rsid w:val="1D2AEC36"/>
    <w:rsid w:val="1D429B26"/>
    <w:rsid w:val="1D6504C7"/>
    <w:rsid w:val="1D7B683E"/>
    <w:rsid w:val="1E1DC365"/>
    <w:rsid w:val="1E3FC630"/>
    <w:rsid w:val="1E4E154E"/>
    <w:rsid w:val="1EF9E6E7"/>
    <w:rsid w:val="1F0C1D83"/>
    <w:rsid w:val="1F17389F"/>
    <w:rsid w:val="1F60740F"/>
    <w:rsid w:val="1F977B38"/>
    <w:rsid w:val="200F0C32"/>
    <w:rsid w:val="215804CC"/>
    <w:rsid w:val="215B98CD"/>
    <w:rsid w:val="21927E7F"/>
    <w:rsid w:val="21A7936B"/>
    <w:rsid w:val="21EC7D23"/>
    <w:rsid w:val="22C6073D"/>
    <w:rsid w:val="22CBA9A7"/>
    <w:rsid w:val="23727E17"/>
    <w:rsid w:val="24416053"/>
    <w:rsid w:val="246609B3"/>
    <w:rsid w:val="24AB93EA"/>
    <w:rsid w:val="24E9A092"/>
    <w:rsid w:val="24F23B72"/>
    <w:rsid w:val="254F47C2"/>
    <w:rsid w:val="2640A074"/>
    <w:rsid w:val="26524DD1"/>
    <w:rsid w:val="268E8621"/>
    <w:rsid w:val="27411AFA"/>
    <w:rsid w:val="2741D45A"/>
    <w:rsid w:val="276FBF68"/>
    <w:rsid w:val="27AFB285"/>
    <w:rsid w:val="288D2E83"/>
    <w:rsid w:val="28BB187B"/>
    <w:rsid w:val="28EDC841"/>
    <w:rsid w:val="291C4BC5"/>
    <w:rsid w:val="29952398"/>
    <w:rsid w:val="29EA5E52"/>
    <w:rsid w:val="29F3259C"/>
    <w:rsid w:val="2A14F68C"/>
    <w:rsid w:val="2A1654AF"/>
    <w:rsid w:val="2B05AF74"/>
    <w:rsid w:val="2BD35465"/>
    <w:rsid w:val="2BEA8AA9"/>
    <w:rsid w:val="2C31A629"/>
    <w:rsid w:val="2C49897F"/>
    <w:rsid w:val="2C8AA54E"/>
    <w:rsid w:val="2CA73785"/>
    <w:rsid w:val="2D9D8A2E"/>
    <w:rsid w:val="2DE01D18"/>
    <w:rsid w:val="2DF752B0"/>
    <w:rsid w:val="2F89B882"/>
    <w:rsid w:val="3007F6FF"/>
    <w:rsid w:val="301175E3"/>
    <w:rsid w:val="3054A6D4"/>
    <w:rsid w:val="30692ACC"/>
    <w:rsid w:val="3141E896"/>
    <w:rsid w:val="3192A215"/>
    <w:rsid w:val="3192D4E6"/>
    <w:rsid w:val="3192D64B"/>
    <w:rsid w:val="31981CA3"/>
    <w:rsid w:val="3213A212"/>
    <w:rsid w:val="325AD1D3"/>
    <w:rsid w:val="327AC998"/>
    <w:rsid w:val="3290AF73"/>
    <w:rsid w:val="32A39E5B"/>
    <w:rsid w:val="32CD214C"/>
    <w:rsid w:val="32DB5A00"/>
    <w:rsid w:val="33CDBC6F"/>
    <w:rsid w:val="34CD6340"/>
    <w:rsid w:val="35159E82"/>
    <w:rsid w:val="351B5A4B"/>
    <w:rsid w:val="353FD0B7"/>
    <w:rsid w:val="35E4A2DF"/>
    <w:rsid w:val="35F3025E"/>
    <w:rsid w:val="369A3ACE"/>
    <w:rsid w:val="3764C2D2"/>
    <w:rsid w:val="377CBE2C"/>
    <w:rsid w:val="37F3CFF0"/>
    <w:rsid w:val="3807EAF7"/>
    <w:rsid w:val="397EEE67"/>
    <w:rsid w:val="39920EC2"/>
    <w:rsid w:val="3A17C7C7"/>
    <w:rsid w:val="3A6D481E"/>
    <w:rsid w:val="3ABF708E"/>
    <w:rsid w:val="3B14A8D3"/>
    <w:rsid w:val="3B8BDC04"/>
    <w:rsid w:val="3B94F702"/>
    <w:rsid w:val="3BA41C99"/>
    <w:rsid w:val="3CC644F4"/>
    <w:rsid w:val="3CCB817C"/>
    <w:rsid w:val="3D9D0C9D"/>
    <w:rsid w:val="3DB85761"/>
    <w:rsid w:val="3E57FCC0"/>
    <w:rsid w:val="3E6EAB49"/>
    <w:rsid w:val="3EB1E9B8"/>
    <w:rsid w:val="3F2E1AAC"/>
    <w:rsid w:val="3F3D1E8D"/>
    <w:rsid w:val="3F678261"/>
    <w:rsid w:val="3F908A79"/>
    <w:rsid w:val="40F8FDBC"/>
    <w:rsid w:val="419DBDCA"/>
    <w:rsid w:val="41D0E83A"/>
    <w:rsid w:val="4327143F"/>
    <w:rsid w:val="432B093C"/>
    <w:rsid w:val="438C5D06"/>
    <w:rsid w:val="43C63696"/>
    <w:rsid w:val="4409CE6A"/>
    <w:rsid w:val="44CFC342"/>
    <w:rsid w:val="45298B75"/>
    <w:rsid w:val="4551F66B"/>
    <w:rsid w:val="456E8F03"/>
    <w:rsid w:val="45854CE1"/>
    <w:rsid w:val="45960600"/>
    <w:rsid w:val="45AB0B32"/>
    <w:rsid w:val="45C7A574"/>
    <w:rsid w:val="4663FFDA"/>
    <w:rsid w:val="469BB678"/>
    <w:rsid w:val="46F26F3A"/>
    <w:rsid w:val="4767F6E3"/>
    <w:rsid w:val="476E338D"/>
    <w:rsid w:val="47DC7C41"/>
    <w:rsid w:val="48944BDA"/>
    <w:rsid w:val="489D26FC"/>
    <w:rsid w:val="4946A8B0"/>
    <w:rsid w:val="49610463"/>
    <w:rsid w:val="4A7FAC01"/>
    <w:rsid w:val="4AAC2D43"/>
    <w:rsid w:val="4AE2A75E"/>
    <w:rsid w:val="4B59475D"/>
    <w:rsid w:val="4B9CE456"/>
    <w:rsid w:val="4BC8639A"/>
    <w:rsid w:val="4C26F306"/>
    <w:rsid w:val="4C2D9692"/>
    <w:rsid w:val="4C483075"/>
    <w:rsid w:val="4C86C750"/>
    <w:rsid w:val="4C91B96E"/>
    <w:rsid w:val="4CB9AA86"/>
    <w:rsid w:val="4CCC2A06"/>
    <w:rsid w:val="4CE2262A"/>
    <w:rsid w:val="4D6EE9BE"/>
    <w:rsid w:val="4DA64306"/>
    <w:rsid w:val="4DC9A5F1"/>
    <w:rsid w:val="4DCEA446"/>
    <w:rsid w:val="4E1706C7"/>
    <w:rsid w:val="4E196667"/>
    <w:rsid w:val="4E40F132"/>
    <w:rsid w:val="4E92AFEB"/>
    <w:rsid w:val="4F485F4D"/>
    <w:rsid w:val="4F961A1E"/>
    <w:rsid w:val="50A8F631"/>
    <w:rsid w:val="50F9636D"/>
    <w:rsid w:val="511981F9"/>
    <w:rsid w:val="5123C0F4"/>
    <w:rsid w:val="515B0263"/>
    <w:rsid w:val="516049C2"/>
    <w:rsid w:val="51B9B84F"/>
    <w:rsid w:val="520370A1"/>
    <w:rsid w:val="520879A5"/>
    <w:rsid w:val="524B04A4"/>
    <w:rsid w:val="52ED8AF6"/>
    <w:rsid w:val="53ED7C89"/>
    <w:rsid w:val="53FCD872"/>
    <w:rsid w:val="54ED210A"/>
    <w:rsid w:val="55027305"/>
    <w:rsid w:val="550A9261"/>
    <w:rsid w:val="55CA3D25"/>
    <w:rsid w:val="55CF7F7B"/>
    <w:rsid w:val="560C94AE"/>
    <w:rsid w:val="56433C7F"/>
    <w:rsid w:val="569EA80D"/>
    <w:rsid w:val="57036670"/>
    <w:rsid w:val="5721D850"/>
    <w:rsid w:val="5766BD71"/>
    <w:rsid w:val="57B74926"/>
    <w:rsid w:val="591117F0"/>
    <w:rsid w:val="5926A655"/>
    <w:rsid w:val="5A211817"/>
    <w:rsid w:val="5A603E6D"/>
    <w:rsid w:val="5A967BFD"/>
    <w:rsid w:val="5AD64247"/>
    <w:rsid w:val="5C5CEAB8"/>
    <w:rsid w:val="5C84F8CD"/>
    <w:rsid w:val="5CF7E972"/>
    <w:rsid w:val="5D07FDF0"/>
    <w:rsid w:val="5D5639B4"/>
    <w:rsid w:val="5EE32EB1"/>
    <w:rsid w:val="5F0AB63C"/>
    <w:rsid w:val="5F3289FD"/>
    <w:rsid w:val="5FF0FA90"/>
    <w:rsid w:val="60342C8B"/>
    <w:rsid w:val="620E2FAB"/>
    <w:rsid w:val="623658C4"/>
    <w:rsid w:val="625285D7"/>
    <w:rsid w:val="62F72882"/>
    <w:rsid w:val="637FE840"/>
    <w:rsid w:val="639981B4"/>
    <w:rsid w:val="63B145AF"/>
    <w:rsid w:val="63C43204"/>
    <w:rsid w:val="644B62DE"/>
    <w:rsid w:val="6553C07B"/>
    <w:rsid w:val="6591AE7D"/>
    <w:rsid w:val="65D7AE80"/>
    <w:rsid w:val="65E7333F"/>
    <w:rsid w:val="65ED6E0F"/>
    <w:rsid w:val="666F7041"/>
    <w:rsid w:val="66879C7F"/>
    <w:rsid w:val="68E197C7"/>
    <w:rsid w:val="6941E557"/>
    <w:rsid w:val="6968AB2F"/>
    <w:rsid w:val="69808D52"/>
    <w:rsid w:val="69907957"/>
    <w:rsid w:val="6A9DFBCF"/>
    <w:rsid w:val="6B1CCE29"/>
    <w:rsid w:val="6B30F187"/>
    <w:rsid w:val="6BB3A0C0"/>
    <w:rsid w:val="6BB4D5D5"/>
    <w:rsid w:val="6C058F2C"/>
    <w:rsid w:val="6CF196C6"/>
    <w:rsid w:val="6D8E1541"/>
    <w:rsid w:val="6D94A106"/>
    <w:rsid w:val="6DB9950E"/>
    <w:rsid w:val="6DF24524"/>
    <w:rsid w:val="6DF96250"/>
    <w:rsid w:val="6E0251A6"/>
    <w:rsid w:val="6E8B2680"/>
    <w:rsid w:val="6EB4D256"/>
    <w:rsid w:val="6EBCB981"/>
    <w:rsid w:val="6EC0DAD6"/>
    <w:rsid w:val="701D77B1"/>
    <w:rsid w:val="706F02A7"/>
    <w:rsid w:val="70B20B27"/>
    <w:rsid w:val="712EF3A0"/>
    <w:rsid w:val="71C6F90F"/>
    <w:rsid w:val="7286FCA5"/>
    <w:rsid w:val="7438B0A3"/>
    <w:rsid w:val="7450615D"/>
    <w:rsid w:val="747BE12A"/>
    <w:rsid w:val="74FE1453"/>
    <w:rsid w:val="7588E86E"/>
    <w:rsid w:val="75965B1F"/>
    <w:rsid w:val="765BD4EE"/>
    <w:rsid w:val="773B633C"/>
    <w:rsid w:val="784610BC"/>
    <w:rsid w:val="7887EC21"/>
    <w:rsid w:val="7897CF75"/>
    <w:rsid w:val="78E4CFDE"/>
    <w:rsid w:val="796B3909"/>
    <w:rsid w:val="79D2E737"/>
    <w:rsid w:val="7A35892E"/>
    <w:rsid w:val="7A73EE57"/>
    <w:rsid w:val="7AD1684D"/>
    <w:rsid w:val="7B5FC3C4"/>
    <w:rsid w:val="7B95ED31"/>
    <w:rsid w:val="7C1D3AE9"/>
    <w:rsid w:val="7C539614"/>
    <w:rsid w:val="7C6B4D53"/>
    <w:rsid w:val="7CD8CEB7"/>
    <w:rsid w:val="7CFB50DD"/>
    <w:rsid w:val="7DB96FF1"/>
    <w:rsid w:val="7DC92C60"/>
    <w:rsid w:val="7E16B9F2"/>
    <w:rsid w:val="7E8E7AE1"/>
    <w:rsid w:val="7F58B08D"/>
    <w:rsid w:val="7FE41F3E"/>
    <w:rsid w:val="7FF4F56E"/>
    <w:rsid w:val="7FFDDE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26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98" w:qFormat="1"/>
    <w:lsdException w:name="heading 1" w:uiPriority="4" w:qFormat="1"/>
    <w:lsdException w:name="heading 2" w:semiHidden="1" w:uiPriority="4" w:qFormat="1"/>
    <w:lsdException w:name="heading 3" w:semiHidden="1" w:qFormat="1"/>
    <w:lsdException w:name="heading 4" w:semiHidden="1" w:uiPriority="4" w:qFormat="1"/>
    <w:lsdException w:name="heading 5" w:semiHidden="1" w:uiPriority="4" w:qFormat="1"/>
    <w:lsdException w:name="heading 6" w:semiHidden="1" w:uiPriority="4"/>
    <w:lsdException w:name="heading 7" w:semiHidden="1" w:uiPriority="4"/>
    <w:lsdException w:name="heading 8" w:semiHidden="1" w:uiPriority="4"/>
    <w:lsdException w:name="heading 9" w:semiHidden="1" w:uiPriority="4"/>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5"/>
    <w:lsdException w:name="toc 4" w:semiHidden="1" w:uiPriority="35"/>
    <w:lsdException w:name="toc 5" w:semiHidden="1" w:uiPriority="35"/>
    <w:lsdException w:name="toc 6" w:semiHidden="1" w:uiPriority="35"/>
    <w:lsdException w:name="toc 7" w:semiHidden="1" w:uiPriority="35"/>
    <w:lsdException w:name="toc 8" w:semiHidden="1" w:uiPriority="35"/>
    <w:lsdException w:name="toc 9" w:semiHidden="1" w:uiPriority="35"/>
    <w:lsdException w:name="Normal Indent" w:semiHidden="1"/>
    <w:lsdException w:name="footnote text" w:semiHidden="1" w:uiPriority="31" w:qFormat="1"/>
    <w:lsdException w:name="annotation text" w:semiHidden="1"/>
    <w:lsdException w:name="header" w:semiHidden="1" w:uiPriority="29"/>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31"/>
    <w:lsdException w:name="annotation reference" w:semiHidden="1"/>
    <w:lsdException w:name="line number" w:semiHidden="1"/>
    <w:lsdException w:name="page number" w:semiHidden="1"/>
    <w:lsdException w:name="endnote reference" w:semiHidden="1" w:uiPriority="31"/>
    <w:lsdException w:name="endnote text" w:semiHidden="1" w:uiPriority="31"/>
    <w:lsdException w:name="table of authorities" w:semiHidden="1"/>
    <w:lsdException w:name="macro" w:semiHidden="1"/>
    <w:lsdException w:name="toa heading" w:semiHidden="1"/>
    <w:lsdException w:name="List" w:semiHidden="1"/>
    <w:lsdException w:name="List Bullet" w:semiHidden="1"/>
    <w:lsdException w:name="List Number" w:semiHidden="1" w:uiPriority="98"/>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iPriority="98"/>
    <w:lsdException w:name="List Number 3" w:semiHidden="1" w:uiPriority="98"/>
    <w:lsdException w:name="List Number 4" w:semiHidden="1" w:uiPriority="98"/>
    <w:lsdException w:name="List Number 5" w:semiHidden="1" w:uiPriority="98"/>
    <w:lsdException w:name="Title" w:uiPriority="98"/>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8"/>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uiPriority="98"/>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qFormat="1"/>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lsdException w:name="TOC Heading" w:semiHidden="1" w:uiPriority="35"/>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98"/>
    <w:rsid w:val="0048790C"/>
    <w:pPr>
      <w:spacing w:after="0" w:line="240" w:lineRule="auto"/>
    </w:pPr>
    <w:rPr>
      <w:rFonts w:ascii="Arial" w:eastAsia="Times New Roman" w:hAnsi="Arial" w:cs="Arial"/>
      <w:lang w:eastAsia="en-AU"/>
    </w:rPr>
  </w:style>
  <w:style w:type="paragraph" w:styleId="Heading1">
    <w:name w:val="heading 1"/>
    <w:aliases w:val="H1"/>
    <w:basedOn w:val="HeadingBase"/>
    <w:next w:val="NumberLevel1"/>
    <w:link w:val="Heading1Char"/>
    <w:uiPriority w:val="4"/>
    <w:qFormat/>
    <w:rsid w:val="0048790C"/>
    <w:pPr>
      <w:pBdr>
        <w:top w:val="single" w:sz="18" w:space="1" w:color="204558"/>
      </w:pBdr>
      <w:shd w:val="clear" w:color="2F5496" w:themeColor="accent1" w:themeShade="BF" w:fill="auto"/>
      <w:spacing w:before="360" w:after="120" w:line="240" w:lineRule="atLeast"/>
      <w:outlineLvl w:val="0"/>
    </w:pPr>
    <w:rPr>
      <w:b/>
      <w:color w:val="000000" w:themeColor="text1"/>
      <w:sz w:val="30"/>
      <w:szCs w:val="30"/>
    </w:rPr>
  </w:style>
  <w:style w:type="paragraph" w:styleId="Heading2">
    <w:name w:val="heading 2"/>
    <w:aliases w:val="H2"/>
    <w:basedOn w:val="HeadingBase"/>
    <w:next w:val="NumberLevel1"/>
    <w:link w:val="Heading2Char"/>
    <w:uiPriority w:val="4"/>
    <w:qFormat/>
    <w:rsid w:val="000A52BB"/>
    <w:pPr>
      <w:pBdr>
        <w:top w:val="single" w:sz="12" w:space="1" w:color="C4DDEA"/>
      </w:pBdr>
      <w:shd w:val="clear" w:color="2F5496" w:themeColor="accent1" w:themeShade="BF" w:fill="auto"/>
      <w:spacing w:before="300" w:line="240" w:lineRule="atLeast"/>
      <w:outlineLvl w:val="1"/>
    </w:pPr>
    <w:rPr>
      <w:b/>
      <w:color w:val="000000" w:themeColor="text1"/>
      <w:sz w:val="26"/>
      <w:szCs w:val="26"/>
    </w:rPr>
  </w:style>
  <w:style w:type="paragraph" w:styleId="Heading3">
    <w:name w:val="heading 3"/>
    <w:aliases w:val="Headin3,H3"/>
    <w:basedOn w:val="HeadingBase"/>
    <w:next w:val="NumberLevel1"/>
    <w:link w:val="Heading3Char"/>
    <w:uiPriority w:val="99"/>
    <w:qFormat/>
    <w:rsid w:val="0048790C"/>
    <w:pPr>
      <w:keepNext/>
      <w:keepLines/>
      <w:pBdr>
        <w:top w:val="single" w:sz="4" w:space="1" w:color="auto"/>
      </w:pBdr>
      <w:shd w:val="clear" w:color="2F5496" w:themeColor="accent1" w:themeShade="BF" w:fill="auto"/>
      <w:spacing w:before="240" w:after="160" w:line="240" w:lineRule="atLeast"/>
      <w:outlineLvl w:val="2"/>
    </w:pPr>
    <w:rPr>
      <w:rFonts w:eastAsiaTheme="minorHAnsi" w:cstheme="minorBidi"/>
      <w:b/>
      <w:sz w:val="22"/>
      <w:lang w:eastAsia="en-US"/>
    </w:rPr>
  </w:style>
  <w:style w:type="paragraph" w:styleId="Heading4">
    <w:name w:val="heading 4"/>
    <w:aliases w:val="H4"/>
    <w:basedOn w:val="AdviceHeading3"/>
    <w:next w:val="NumberLevel1"/>
    <w:link w:val="Heading4Char"/>
    <w:uiPriority w:val="4"/>
    <w:qFormat/>
    <w:rsid w:val="0048790C"/>
    <w:pPr>
      <w:outlineLvl w:val="3"/>
    </w:pPr>
  </w:style>
  <w:style w:type="paragraph" w:styleId="Heading5">
    <w:name w:val="heading 5"/>
    <w:aliases w:val="H5"/>
    <w:basedOn w:val="HeadingBase"/>
    <w:next w:val="NumberLevel1"/>
    <w:link w:val="Heading5Char"/>
    <w:uiPriority w:val="4"/>
    <w:qFormat/>
    <w:rsid w:val="0048790C"/>
    <w:pPr>
      <w:keepNext/>
      <w:keepLines/>
      <w:outlineLvl w:val="4"/>
    </w:pPr>
    <w:rPr>
      <w:b/>
      <w:bCs/>
      <w:iCs/>
      <w:sz w:val="18"/>
      <w:szCs w:val="26"/>
    </w:rPr>
  </w:style>
  <w:style w:type="paragraph" w:styleId="Heading6">
    <w:name w:val="heading 6"/>
    <w:basedOn w:val="Normal"/>
    <w:next w:val="Normal"/>
    <w:link w:val="Heading6Char"/>
    <w:uiPriority w:val="4"/>
    <w:unhideWhenUsed/>
    <w:rsid w:val="0048790C"/>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4"/>
    <w:unhideWhenUsed/>
    <w:rsid w:val="0048790C"/>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4"/>
    <w:unhideWhenUsed/>
    <w:rsid w:val="0048790C"/>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4"/>
    <w:unhideWhenUsed/>
    <w:rsid w:val="0048790C"/>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uiPriority w:val="29"/>
    <w:rsid w:val="0048790C"/>
    <w:pPr>
      <w:tabs>
        <w:tab w:val="right" w:pos="8220"/>
      </w:tabs>
    </w:pPr>
  </w:style>
  <w:style w:type="character" w:customStyle="1" w:styleId="HeaderChar">
    <w:name w:val="Header Char"/>
    <w:basedOn w:val="DefaultParagraphFont"/>
    <w:link w:val="Header"/>
    <w:uiPriority w:val="29"/>
    <w:rsid w:val="0048790C"/>
    <w:rPr>
      <w:rFonts w:ascii="Arial" w:eastAsia="Times New Roman" w:hAnsi="Arial" w:cs="Arial"/>
      <w:sz w:val="20"/>
      <w:lang w:eastAsia="en-AU"/>
    </w:rPr>
  </w:style>
  <w:style w:type="paragraph" w:styleId="Footer">
    <w:name w:val="footer"/>
    <w:basedOn w:val="FooterBase"/>
    <w:link w:val="FooterChar"/>
    <w:uiPriority w:val="99"/>
    <w:rsid w:val="0048790C"/>
    <w:pPr>
      <w:numPr>
        <w:ilvl w:val="1"/>
        <w:numId w:val="58"/>
      </w:numPr>
      <w:tabs>
        <w:tab w:val="right" w:pos="8220"/>
      </w:tabs>
    </w:pPr>
  </w:style>
  <w:style w:type="character" w:customStyle="1" w:styleId="FooterChar">
    <w:name w:val="Footer Char"/>
    <w:basedOn w:val="DefaultParagraphFont"/>
    <w:link w:val="Footer"/>
    <w:uiPriority w:val="99"/>
    <w:rsid w:val="0048790C"/>
    <w:rPr>
      <w:rFonts w:ascii="Arial" w:eastAsia="Times New Roman" w:hAnsi="Arial" w:cs="Arial"/>
      <w:sz w:val="16"/>
      <w:lang w:eastAsia="en-AU"/>
    </w:rPr>
  </w:style>
  <w:style w:type="paragraph" w:customStyle="1" w:styleId="PlainParagraph">
    <w:name w:val="Plain Paragraph"/>
    <w:aliases w:val="PP"/>
    <w:basedOn w:val="NormalBase"/>
    <w:link w:val="PlainParagraphChar"/>
    <w:qFormat/>
    <w:rsid w:val="0048790C"/>
  </w:style>
  <w:style w:type="paragraph" w:customStyle="1" w:styleId="NumberLevel1">
    <w:name w:val="Number Level 1"/>
    <w:aliases w:val="N1,hea Level 1,Numberanswer Level 1,N,indentl 1,Number Levquoteel 1,Level 1,Number leg2 1,answerer Level 1,leg5er Level 1,We woulNumber Level 1,Completed Number Level 1,In his affidavite in Number Level 1,the Tribunal m.1"/>
    <w:basedOn w:val="PlainParagraph"/>
    <w:link w:val="NumberLevel1CharChar"/>
    <w:uiPriority w:val="1"/>
    <w:qFormat/>
    <w:rsid w:val="0048790C"/>
    <w:pPr>
      <w:numPr>
        <w:numId w:val="1"/>
      </w:numPr>
    </w:pPr>
  </w:style>
  <w:style w:type="paragraph" w:customStyle="1" w:styleId="NumberLevel2">
    <w:name w:val="Number Level 2"/>
    <w:aliases w:val="N2,authorising the Number Level 2,ThNumber Level 2"/>
    <w:basedOn w:val="Normal"/>
    <w:link w:val="NumberLevel2CharChar"/>
    <w:uiPriority w:val="1"/>
    <w:qFormat/>
    <w:rsid w:val="0048790C"/>
    <w:pPr>
      <w:numPr>
        <w:ilvl w:val="1"/>
        <w:numId w:val="1"/>
      </w:numPr>
      <w:tabs>
        <w:tab w:val="clear" w:pos="4396"/>
        <w:tab w:val="num" w:pos="709"/>
      </w:tabs>
      <w:spacing w:before="140" w:after="140" w:line="280" w:lineRule="atLeast"/>
      <w:ind w:left="709"/>
    </w:pPr>
  </w:style>
  <w:style w:type="paragraph" w:customStyle="1" w:styleId="NumberLevel3">
    <w:name w:val="Number Level 3"/>
    <w:aliases w:val="N3"/>
    <w:basedOn w:val="PlainParagraph"/>
    <w:uiPriority w:val="1"/>
    <w:qFormat/>
    <w:rsid w:val="0048790C"/>
    <w:pPr>
      <w:numPr>
        <w:ilvl w:val="2"/>
        <w:numId w:val="1"/>
      </w:numPr>
      <w:ind w:left="1418"/>
    </w:pPr>
  </w:style>
  <w:style w:type="paragraph" w:customStyle="1" w:styleId="NumberLevel4">
    <w:name w:val="Number Level 4"/>
    <w:aliases w:val="N4,theNumber Level 4"/>
    <w:basedOn w:val="PlainParagraph"/>
    <w:uiPriority w:val="1"/>
    <w:qFormat/>
    <w:rsid w:val="0048790C"/>
    <w:pPr>
      <w:numPr>
        <w:ilvl w:val="3"/>
        <w:numId w:val="1"/>
      </w:numPr>
      <w:spacing w:before="0"/>
    </w:pPr>
  </w:style>
  <w:style w:type="paragraph" w:customStyle="1" w:styleId="NumberLevel5">
    <w:name w:val="Number Level 5"/>
    <w:aliases w:val="N5"/>
    <w:basedOn w:val="PlainParagraph"/>
    <w:qFormat/>
    <w:rsid w:val="0048790C"/>
    <w:pPr>
      <w:numPr>
        <w:ilvl w:val="4"/>
        <w:numId w:val="1"/>
      </w:numPr>
      <w:spacing w:before="0"/>
    </w:pPr>
  </w:style>
  <w:style w:type="paragraph" w:customStyle="1" w:styleId="NumberLevel6">
    <w:name w:val="Number Level 6"/>
    <w:aliases w:val="N6"/>
    <w:basedOn w:val="NumberLevel5"/>
    <w:qFormat/>
    <w:rsid w:val="0048790C"/>
    <w:pPr>
      <w:numPr>
        <w:ilvl w:val="5"/>
      </w:numPr>
    </w:pPr>
  </w:style>
  <w:style w:type="paragraph" w:customStyle="1" w:styleId="NumberLevel7">
    <w:name w:val="Number Level 7"/>
    <w:aliases w:val="N7"/>
    <w:basedOn w:val="NumberLevel6"/>
    <w:qFormat/>
    <w:rsid w:val="0048790C"/>
    <w:pPr>
      <w:numPr>
        <w:ilvl w:val="6"/>
      </w:numPr>
    </w:pPr>
  </w:style>
  <w:style w:type="paragraph" w:customStyle="1" w:styleId="NumberLevel8">
    <w:name w:val="Number Level 8"/>
    <w:aliases w:val="N8"/>
    <w:basedOn w:val="NumberLevel7"/>
    <w:rsid w:val="0048790C"/>
    <w:pPr>
      <w:numPr>
        <w:ilvl w:val="7"/>
      </w:numPr>
    </w:pPr>
  </w:style>
  <w:style w:type="paragraph" w:customStyle="1" w:styleId="NumberLevel9">
    <w:name w:val="Number Level 9"/>
    <w:aliases w:val="N9"/>
    <w:basedOn w:val="NumberLevel8"/>
    <w:rsid w:val="0048790C"/>
    <w:pPr>
      <w:numPr>
        <w:ilvl w:val="8"/>
      </w:numPr>
    </w:pPr>
  </w:style>
  <w:style w:type="table" w:styleId="TableGrid">
    <w:name w:val="Table Grid"/>
    <w:basedOn w:val="TableNormal"/>
    <w:qFormat/>
    <w:rsid w:val="004879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PlainParagraphChar">
    <w:name w:val="Plain Paragraph Char"/>
    <w:aliases w:val="PP Char"/>
    <w:basedOn w:val="DefaultParagraphFont"/>
    <w:link w:val="PlainParagraph"/>
    <w:rsid w:val="0048790C"/>
    <w:rPr>
      <w:rFonts w:ascii="Arial" w:eastAsia="Times New Roman" w:hAnsi="Arial" w:cs="Arial"/>
      <w:lang w:eastAsia="en-AU"/>
    </w:rPr>
  </w:style>
  <w:style w:type="paragraph" w:customStyle="1" w:styleId="AdviceTitlePara">
    <w:name w:val="AdviceTitlePara"/>
    <w:basedOn w:val="PlainParagraph"/>
    <w:next w:val="AdviceNumLevel1"/>
    <w:rsid w:val="0048790C"/>
    <w:rPr>
      <w:b/>
      <w:bCs/>
      <w:color w:val="204558"/>
      <w:kern w:val="32"/>
      <w:sz w:val="30"/>
      <w:szCs w:val="30"/>
    </w:rPr>
  </w:style>
  <w:style w:type="paragraph" w:customStyle="1" w:styleId="AdviceNumLevel1">
    <w:name w:val="AdviceNumLevel1"/>
    <w:aliases w:val="Advice N1"/>
    <w:basedOn w:val="NumberLevel1"/>
    <w:qFormat/>
    <w:rsid w:val="0048790C"/>
  </w:style>
  <w:style w:type="paragraph" w:customStyle="1" w:styleId="TitlePageAddressBlock">
    <w:name w:val="Title Page Address Block"/>
    <w:basedOn w:val="NormalBase"/>
    <w:hidden/>
    <w:uiPriority w:val="99"/>
    <w:rsid w:val="0048790C"/>
    <w:pPr>
      <w:spacing w:before="0" w:after="0" w:line="240" w:lineRule="atLeast"/>
      <w:jc w:val="right"/>
    </w:pPr>
    <w:rPr>
      <w:sz w:val="20"/>
    </w:rPr>
  </w:style>
  <w:style w:type="character" w:customStyle="1" w:styleId="NumberLevel1CharChar">
    <w:name w:val="Number Level 1 Char Char"/>
    <w:link w:val="NumberLevel1"/>
    <w:uiPriority w:val="1"/>
    <w:locked/>
    <w:rsid w:val="0048790C"/>
    <w:rPr>
      <w:rFonts w:ascii="Arial" w:eastAsia="Times New Roman" w:hAnsi="Arial" w:cs="Arial"/>
      <w:lang w:eastAsia="en-AU"/>
    </w:rPr>
  </w:style>
  <w:style w:type="character" w:customStyle="1" w:styleId="NumberLevel2CharChar">
    <w:name w:val="Number Level 2 Char Char"/>
    <w:basedOn w:val="PlainParagraphChar"/>
    <w:link w:val="NumberLevel2"/>
    <w:uiPriority w:val="1"/>
    <w:locked/>
    <w:rsid w:val="0048790C"/>
    <w:rPr>
      <w:rFonts w:ascii="Arial" w:eastAsia="Times New Roman" w:hAnsi="Arial" w:cs="Arial"/>
      <w:lang w:eastAsia="en-AU"/>
    </w:rPr>
  </w:style>
  <w:style w:type="paragraph" w:customStyle="1" w:styleId="TablePlainParagraph">
    <w:name w:val="Table: Plain Paragraph"/>
    <w:aliases w:val="Table PP"/>
    <w:basedOn w:val="PlainParagraph"/>
    <w:link w:val="TablePlainParagraphChar"/>
    <w:uiPriority w:val="11"/>
    <w:qFormat/>
    <w:rsid w:val="0048790C"/>
    <w:pPr>
      <w:spacing w:before="60" w:after="60" w:line="240" w:lineRule="atLeast"/>
    </w:pPr>
    <w:rPr>
      <w:sz w:val="20"/>
    </w:rPr>
  </w:style>
  <w:style w:type="paragraph" w:customStyle="1" w:styleId="TableHeading2">
    <w:name w:val="Table: Heading 2"/>
    <w:basedOn w:val="HeadingBase"/>
    <w:next w:val="TablePlainParagraph"/>
    <w:uiPriority w:val="12"/>
    <w:rsid w:val="0048790C"/>
    <w:pPr>
      <w:keepNext/>
      <w:keepLines/>
      <w:spacing w:before="60" w:line="240" w:lineRule="atLeast"/>
    </w:pPr>
    <w:rPr>
      <w:b/>
    </w:rPr>
  </w:style>
  <w:style w:type="character" w:customStyle="1" w:styleId="Heading1Char">
    <w:name w:val="Heading 1 Char"/>
    <w:aliases w:val="H1 Char"/>
    <w:basedOn w:val="DefaultParagraphFont"/>
    <w:link w:val="Heading1"/>
    <w:uiPriority w:val="4"/>
    <w:rsid w:val="0048790C"/>
    <w:rPr>
      <w:rFonts w:ascii="Arial" w:eastAsia="Times New Roman" w:hAnsi="Arial" w:cs="Arial"/>
      <w:b/>
      <w:color w:val="000000" w:themeColor="text1"/>
      <w:sz w:val="30"/>
      <w:szCs w:val="30"/>
      <w:shd w:val="clear" w:color="2F5496" w:themeColor="accent1" w:themeShade="BF" w:fill="auto"/>
      <w:lang w:eastAsia="en-AU"/>
    </w:rPr>
  </w:style>
  <w:style w:type="paragraph" w:styleId="TOCHeading">
    <w:name w:val="TOC Heading"/>
    <w:basedOn w:val="Heading1"/>
    <w:next w:val="Normal"/>
    <w:uiPriority w:val="35"/>
    <w:rsid w:val="0048790C"/>
    <w:pPr>
      <w:spacing w:before="240" w:after="60" w:line="240" w:lineRule="auto"/>
      <w:outlineLvl w:val="9"/>
    </w:pPr>
    <w:rPr>
      <w:rFonts w:asciiTheme="majorHAnsi" w:eastAsiaTheme="majorEastAsia" w:hAnsiTheme="majorHAnsi" w:cstheme="majorBidi"/>
      <w:caps/>
      <w:sz w:val="32"/>
    </w:rPr>
  </w:style>
  <w:style w:type="paragraph" w:styleId="TOC1">
    <w:name w:val="toc 1"/>
    <w:next w:val="Normal"/>
    <w:autoRedefine/>
    <w:uiPriority w:val="39"/>
    <w:rsid w:val="001D5B1E"/>
    <w:pPr>
      <w:keepNext/>
      <w:widowControl w:val="0"/>
      <w:pBdr>
        <w:bottom w:val="single" w:sz="2" w:space="0" w:color="auto"/>
      </w:pBdr>
      <w:tabs>
        <w:tab w:val="right" w:pos="8220"/>
      </w:tabs>
      <w:spacing w:before="80" w:after="0" w:line="260" w:lineRule="atLeast"/>
    </w:pPr>
    <w:rPr>
      <w:rFonts w:ascii="Arial" w:eastAsia="Times New Roman" w:hAnsi="Arial" w:cs="Arial"/>
      <w:b/>
      <w:sz w:val="20"/>
      <w:lang w:eastAsia="en-AU"/>
    </w:rPr>
  </w:style>
  <w:style w:type="paragraph" w:styleId="TOC2">
    <w:name w:val="toc 2"/>
    <w:basedOn w:val="TOC1"/>
    <w:next w:val="Normal"/>
    <w:autoRedefine/>
    <w:uiPriority w:val="39"/>
    <w:rsid w:val="001D5B1E"/>
    <w:pPr>
      <w:pBdr>
        <w:bottom w:val="none" w:sz="0" w:space="0" w:color="auto"/>
      </w:pBdr>
      <w:spacing w:before="40"/>
      <w:ind w:left="284"/>
    </w:pPr>
    <w:rPr>
      <w:b w:val="0"/>
    </w:rPr>
  </w:style>
  <w:style w:type="character" w:styleId="Hyperlink">
    <w:name w:val="Hyperlink"/>
    <w:basedOn w:val="DefaultParagraphFont"/>
    <w:uiPriority w:val="99"/>
    <w:qFormat/>
    <w:rsid w:val="0048790C"/>
    <w:rPr>
      <w:rFonts w:ascii="Arial" w:hAnsi="Arial" w:cs="Arial"/>
      <w:color w:val="0000FF"/>
      <w:u w:val="single" w:color="0000FF"/>
    </w:rPr>
  </w:style>
  <w:style w:type="numbering" w:styleId="111111">
    <w:name w:val="Outline List 2"/>
    <w:basedOn w:val="NoList"/>
    <w:uiPriority w:val="99"/>
    <w:unhideWhenUsed/>
    <w:rsid w:val="0048790C"/>
    <w:pPr>
      <w:numPr>
        <w:numId w:val="2"/>
      </w:numPr>
    </w:pPr>
  </w:style>
  <w:style w:type="numbering" w:styleId="1ai">
    <w:name w:val="Outline List 1"/>
    <w:basedOn w:val="NoList"/>
    <w:uiPriority w:val="99"/>
    <w:unhideWhenUsed/>
    <w:rsid w:val="0048790C"/>
    <w:pPr>
      <w:numPr>
        <w:numId w:val="3"/>
      </w:numPr>
    </w:pPr>
  </w:style>
  <w:style w:type="character" w:customStyle="1" w:styleId="Heading2Char">
    <w:name w:val="Heading 2 Char"/>
    <w:aliases w:val="H2 Char"/>
    <w:basedOn w:val="DefaultParagraphFont"/>
    <w:link w:val="Heading2"/>
    <w:uiPriority w:val="4"/>
    <w:rsid w:val="000A52BB"/>
    <w:rPr>
      <w:rFonts w:ascii="Arial" w:eastAsia="Times New Roman" w:hAnsi="Arial" w:cs="Arial"/>
      <w:b/>
      <w:color w:val="000000" w:themeColor="text1"/>
      <w:sz w:val="26"/>
      <w:szCs w:val="26"/>
      <w:shd w:val="clear" w:color="2F5496" w:themeColor="accent1" w:themeShade="BF" w:fill="auto"/>
      <w:lang w:eastAsia="en-AU"/>
    </w:rPr>
  </w:style>
  <w:style w:type="character" w:customStyle="1" w:styleId="Heading3Char">
    <w:name w:val="Heading 3 Char"/>
    <w:aliases w:val="Headin3 Char,H3 Char"/>
    <w:basedOn w:val="DefaultParagraphFont"/>
    <w:link w:val="Heading3"/>
    <w:uiPriority w:val="99"/>
    <w:rsid w:val="0048790C"/>
    <w:rPr>
      <w:rFonts w:ascii="Arial" w:hAnsi="Arial"/>
      <w:b/>
      <w:shd w:val="clear" w:color="2F5496" w:themeColor="accent1" w:themeShade="BF" w:fill="auto"/>
    </w:rPr>
  </w:style>
  <w:style w:type="character" w:customStyle="1" w:styleId="Heading4Char">
    <w:name w:val="Heading 4 Char"/>
    <w:aliases w:val="H4 Char"/>
    <w:basedOn w:val="DefaultParagraphFont"/>
    <w:link w:val="Heading4"/>
    <w:uiPriority w:val="4"/>
    <w:rsid w:val="0048790C"/>
    <w:rPr>
      <w:rFonts w:ascii="Arial" w:eastAsia="Times New Roman" w:hAnsi="Arial" w:cs="Arial"/>
      <w:b/>
      <w:bCs/>
      <w:color w:val="204558"/>
      <w:kern w:val="32"/>
      <w:sz w:val="20"/>
      <w:lang w:eastAsia="en-AU"/>
    </w:rPr>
  </w:style>
  <w:style w:type="character" w:customStyle="1" w:styleId="Heading5Char">
    <w:name w:val="Heading 5 Char"/>
    <w:aliases w:val="H5 Char"/>
    <w:basedOn w:val="DefaultParagraphFont"/>
    <w:link w:val="Heading5"/>
    <w:uiPriority w:val="4"/>
    <w:rsid w:val="0048790C"/>
    <w:rPr>
      <w:rFonts w:ascii="Arial" w:eastAsia="Times New Roman" w:hAnsi="Arial" w:cs="Arial"/>
      <w:b/>
      <w:bCs/>
      <w:iCs/>
      <w:sz w:val="18"/>
      <w:szCs w:val="26"/>
      <w:lang w:eastAsia="en-AU"/>
    </w:rPr>
  </w:style>
  <w:style w:type="character" w:customStyle="1" w:styleId="Heading6Char">
    <w:name w:val="Heading 6 Char"/>
    <w:basedOn w:val="DefaultParagraphFont"/>
    <w:link w:val="Heading6"/>
    <w:uiPriority w:val="4"/>
    <w:rsid w:val="0048790C"/>
    <w:rPr>
      <w:rFonts w:eastAsiaTheme="minorEastAsia"/>
      <w:b/>
      <w:bCs/>
      <w:lang w:eastAsia="en-AU"/>
    </w:rPr>
  </w:style>
  <w:style w:type="character" w:customStyle="1" w:styleId="Heading7Char">
    <w:name w:val="Heading 7 Char"/>
    <w:basedOn w:val="DefaultParagraphFont"/>
    <w:link w:val="Heading7"/>
    <w:uiPriority w:val="4"/>
    <w:rsid w:val="0048790C"/>
    <w:rPr>
      <w:rFonts w:eastAsiaTheme="minorEastAsia"/>
      <w:sz w:val="24"/>
      <w:szCs w:val="24"/>
      <w:lang w:eastAsia="en-AU"/>
    </w:rPr>
  </w:style>
  <w:style w:type="character" w:customStyle="1" w:styleId="Heading8Char">
    <w:name w:val="Heading 8 Char"/>
    <w:basedOn w:val="DefaultParagraphFont"/>
    <w:link w:val="Heading8"/>
    <w:uiPriority w:val="4"/>
    <w:rsid w:val="0048790C"/>
    <w:rPr>
      <w:rFonts w:eastAsiaTheme="minorEastAsia"/>
      <w:i/>
      <w:iCs/>
      <w:sz w:val="24"/>
      <w:szCs w:val="24"/>
      <w:lang w:eastAsia="en-AU"/>
    </w:rPr>
  </w:style>
  <w:style w:type="character" w:customStyle="1" w:styleId="Heading9Char">
    <w:name w:val="Heading 9 Char"/>
    <w:basedOn w:val="DefaultParagraphFont"/>
    <w:link w:val="Heading9"/>
    <w:uiPriority w:val="4"/>
    <w:rsid w:val="0048790C"/>
    <w:rPr>
      <w:rFonts w:asciiTheme="majorHAnsi" w:eastAsiaTheme="majorEastAsia" w:hAnsiTheme="majorHAnsi" w:cstheme="majorBidi"/>
      <w:lang w:eastAsia="en-AU"/>
    </w:rPr>
  </w:style>
  <w:style w:type="numbering" w:styleId="ArticleSection">
    <w:name w:val="Outline List 3"/>
    <w:basedOn w:val="NoList"/>
    <w:uiPriority w:val="99"/>
    <w:unhideWhenUsed/>
    <w:rsid w:val="0048790C"/>
    <w:pPr>
      <w:numPr>
        <w:numId w:val="4"/>
      </w:numPr>
    </w:pPr>
  </w:style>
  <w:style w:type="paragraph" w:styleId="BalloonText">
    <w:name w:val="Balloon Text"/>
    <w:basedOn w:val="Normal"/>
    <w:link w:val="BalloonTextChar"/>
    <w:uiPriority w:val="99"/>
    <w:unhideWhenUsed/>
    <w:rsid w:val="0048790C"/>
    <w:rPr>
      <w:rFonts w:ascii="Tahoma" w:hAnsi="Tahoma" w:cs="Tahoma"/>
      <w:sz w:val="16"/>
      <w:szCs w:val="16"/>
    </w:rPr>
  </w:style>
  <w:style w:type="character" w:customStyle="1" w:styleId="BalloonTextChar">
    <w:name w:val="Balloon Text Char"/>
    <w:basedOn w:val="DefaultParagraphFont"/>
    <w:link w:val="BalloonText"/>
    <w:uiPriority w:val="99"/>
    <w:rsid w:val="0048790C"/>
    <w:rPr>
      <w:rFonts w:ascii="Tahoma" w:eastAsia="Times New Roman" w:hAnsi="Tahoma" w:cs="Tahoma"/>
      <w:sz w:val="16"/>
      <w:szCs w:val="16"/>
      <w:lang w:eastAsia="en-AU"/>
    </w:rPr>
  </w:style>
  <w:style w:type="paragraph" w:styleId="Bibliography">
    <w:name w:val="Bibliography"/>
    <w:basedOn w:val="Normal"/>
    <w:next w:val="Normal"/>
    <w:uiPriority w:val="37"/>
    <w:unhideWhenUsed/>
    <w:rsid w:val="0048790C"/>
  </w:style>
  <w:style w:type="paragraph" w:styleId="BlockText">
    <w:name w:val="Block Text"/>
    <w:basedOn w:val="Normal"/>
    <w:uiPriority w:val="99"/>
    <w:unhideWhenUsed/>
    <w:rsid w:val="0048790C"/>
    <w:pPr>
      <w:spacing w:after="120"/>
      <w:ind w:left="1440" w:right="1440"/>
    </w:pPr>
  </w:style>
  <w:style w:type="paragraph" w:styleId="BodyText">
    <w:name w:val="Body Text"/>
    <w:basedOn w:val="Normal"/>
    <w:link w:val="BodyTextChar"/>
    <w:uiPriority w:val="99"/>
    <w:unhideWhenUsed/>
    <w:rsid w:val="0048790C"/>
    <w:pPr>
      <w:spacing w:after="120"/>
    </w:pPr>
  </w:style>
  <w:style w:type="character" w:customStyle="1" w:styleId="BodyTextChar">
    <w:name w:val="Body Text Char"/>
    <w:basedOn w:val="DefaultParagraphFont"/>
    <w:link w:val="BodyText"/>
    <w:uiPriority w:val="99"/>
    <w:rsid w:val="0048790C"/>
    <w:rPr>
      <w:rFonts w:ascii="Arial" w:eastAsia="Times New Roman" w:hAnsi="Arial" w:cs="Arial"/>
      <w:lang w:eastAsia="en-AU"/>
    </w:rPr>
  </w:style>
  <w:style w:type="paragraph" w:styleId="BodyText2">
    <w:name w:val="Body Text 2"/>
    <w:basedOn w:val="Normal"/>
    <w:link w:val="BodyText2Char"/>
    <w:uiPriority w:val="99"/>
    <w:unhideWhenUsed/>
    <w:rsid w:val="0048790C"/>
    <w:pPr>
      <w:spacing w:after="120" w:line="480" w:lineRule="auto"/>
    </w:pPr>
  </w:style>
  <w:style w:type="character" w:customStyle="1" w:styleId="BodyText2Char">
    <w:name w:val="Body Text 2 Char"/>
    <w:basedOn w:val="DefaultParagraphFont"/>
    <w:link w:val="BodyText2"/>
    <w:uiPriority w:val="99"/>
    <w:rsid w:val="0048790C"/>
    <w:rPr>
      <w:rFonts w:ascii="Arial" w:eastAsia="Times New Roman" w:hAnsi="Arial" w:cs="Arial"/>
      <w:lang w:eastAsia="en-AU"/>
    </w:rPr>
  </w:style>
  <w:style w:type="paragraph" w:styleId="BodyText3">
    <w:name w:val="Body Text 3"/>
    <w:basedOn w:val="Normal"/>
    <w:link w:val="BodyText3Char"/>
    <w:uiPriority w:val="99"/>
    <w:unhideWhenUsed/>
    <w:rsid w:val="0048790C"/>
    <w:pPr>
      <w:spacing w:after="120"/>
    </w:pPr>
    <w:rPr>
      <w:sz w:val="16"/>
      <w:szCs w:val="16"/>
    </w:rPr>
  </w:style>
  <w:style w:type="character" w:customStyle="1" w:styleId="BodyText3Char">
    <w:name w:val="Body Text 3 Char"/>
    <w:basedOn w:val="DefaultParagraphFont"/>
    <w:link w:val="BodyText3"/>
    <w:uiPriority w:val="99"/>
    <w:rsid w:val="0048790C"/>
    <w:rPr>
      <w:rFonts w:ascii="Arial" w:eastAsia="Times New Roman" w:hAnsi="Arial" w:cs="Arial"/>
      <w:sz w:val="16"/>
      <w:szCs w:val="16"/>
      <w:lang w:eastAsia="en-AU"/>
    </w:rPr>
  </w:style>
  <w:style w:type="paragraph" w:styleId="BodyTextFirstIndent">
    <w:name w:val="Body Text First Indent"/>
    <w:basedOn w:val="BodyText"/>
    <w:link w:val="BodyTextFirstIndentChar"/>
    <w:uiPriority w:val="99"/>
    <w:unhideWhenUsed/>
    <w:rsid w:val="0048790C"/>
    <w:pPr>
      <w:ind w:firstLine="210"/>
    </w:pPr>
  </w:style>
  <w:style w:type="character" w:customStyle="1" w:styleId="BodyTextFirstIndentChar">
    <w:name w:val="Body Text First Indent Char"/>
    <w:basedOn w:val="BodyTextChar"/>
    <w:link w:val="BodyTextFirstIndent"/>
    <w:uiPriority w:val="99"/>
    <w:rsid w:val="0048790C"/>
    <w:rPr>
      <w:rFonts w:ascii="Arial" w:eastAsia="Times New Roman" w:hAnsi="Arial" w:cs="Arial"/>
      <w:lang w:eastAsia="en-AU"/>
    </w:rPr>
  </w:style>
  <w:style w:type="paragraph" w:styleId="BodyTextIndent">
    <w:name w:val="Body Text Indent"/>
    <w:basedOn w:val="Normal"/>
    <w:link w:val="BodyTextIndentChar"/>
    <w:uiPriority w:val="99"/>
    <w:unhideWhenUsed/>
    <w:rsid w:val="0048790C"/>
    <w:pPr>
      <w:spacing w:after="120"/>
      <w:ind w:left="283"/>
    </w:pPr>
  </w:style>
  <w:style w:type="character" w:customStyle="1" w:styleId="BodyTextIndentChar">
    <w:name w:val="Body Text Indent Char"/>
    <w:basedOn w:val="DefaultParagraphFont"/>
    <w:link w:val="BodyTextIndent"/>
    <w:uiPriority w:val="99"/>
    <w:rsid w:val="0048790C"/>
    <w:rPr>
      <w:rFonts w:ascii="Arial" w:eastAsia="Times New Roman" w:hAnsi="Arial" w:cs="Arial"/>
      <w:lang w:eastAsia="en-AU"/>
    </w:rPr>
  </w:style>
  <w:style w:type="paragraph" w:styleId="BodyTextFirstIndent2">
    <w:name w:val="Body Text First Indent 2"/>
    <w:basedOn w:val="BodyTextIndent"/>
    <w:link w:val="BodyTextFirstIndent2Char"/>
    <w:uiPriority w:val="99"/>
    <w:unhideWhenUsed/>
    <w:rsid w:val="0048790C"/>
    <w:pPr>
      <w:ind w:firstLine="210"/>
    </w:pPr>
  </w:style>
  <w:style w:type="character" w:customStyle="1" w:styleId="BodyTextFirstIndent2Char">
    <w:name w:val="Body Text First Indent 2 Char"/>
    <w:basedOn w:val="BodyTextIndentChar"/>
    <w:link w:val="BodyTextFirstIndent2"/>
    <w:uiPriority w:val="99"/>
    <w:rsid w:val="0048790C"/>
    <w:rPr>
      <w:rFonts w:ascii="Arial" w:eastAsia="Times New Roman" w:hAnsi="Arial" w:cs="Arial"/>
      <w:lang w:eastAsia="en-AU"/>
    </w:rPr>
  </w:style>
  <w:style w:type="paragraph" w:styleId="BodyTextIndent2">
    <w:name w:val="Body Text Indent 2"/>
    <w:basedOn w:val="Normal"/>
    <w:link w:val="BodyTextIndent2Char"/>
    <w:uiPriority w:val="99"/>
    <w:unhideWhenUsed/>
    <w:rsid w:val="0048790C"/>
    <w:pPr>
      <w:spacing w:after="120" w:line="480" w:lineRule="auto"/>
      <w:ind w:left="283"/>
    </w:pPr>
  </w:style>
  <w:style w:type="character" w:customStyle="1" w:styleId="BodyTextIndent2Char">
    <w:name w:val="Body Text Indent 2 Char"/>
    <w:basedOn w:val="DefaultParagraphFont"/>
    <w:link w:val="BodyTextIndent2"/>
    <w:uiPriority w:val="99"/>
    <w:rsid w:val="0048790C"/>
    <w:rPr>
      <w:rFonts w:ascii="Arial" w:eastAsia="Times New Roman" w:hAnsi="Arial" w:cs="Arial"/>
      <w:lang w:eastAsia="en-AU"/>
    </w:rPr>
  </w:style>
  <w:style w:type="paragraph" w:styleId="BodyTextIndent3">
    <w:name w:val="Body Text Indent 3"/>
    <w:basedOn w:val="Normal"/>
    <w:link w:val="BodyTextIndent3Char"/>
    <w:uiPriority w:val="99"/>
    <w:unhideWhenUsed/>
    <w:rsid w:val="0048790C"/>
    <w:pPr>
      <w:spacing w:after="120"/>
      <w:ind w:left="283"/>
    </w:pPr>
    <w:rPr>
      <w:sz w:val="16"/>
      <w:szCs w:val="16"/>
    </w:rPr>
  </w:style>
  <w:style w:type="character" w:customStyle="1" w:styleId="BodyTextIndent3Char">
    <w:name w:val="Body Text Indent 3 Char"/>
    <w:basedOn w:val="DefaultParagraphFont"/>
    <w:link w:val="BodyTextIndent3"/>
    <w:uiPriority w:val="99"/>
    <w:rsid w:val="0048790C"/>
    <w:rPr>
      <w:rFonts w:ascii="Arial" w:eastAsia="Times New Roman" w:hAnsi="Arial" w:cs="Arial"/>
      <w:sz w:val="16"/>
      <w:szCs w:val="16"/>
      <w:lang w:eastAsia="en-AU"/>
    </w:rPr>
  </w:style>
  <w:style w:type="character" w:styleId="BookTitle">
    <w:name w:val="Book Title"/>
    <w:basedOn w:val="DefaultParagraphFont"/>
    <w:uiPriority w:val="98"/>
    <w:rsid w:val="0048790C"/>
    <w:rPr>
      <w:b/>
      <w:bCs/>
      <w:smallCaps/>
      <w:spacing w:val="5"/>
    </w:rPr>
  </w:style>
  <w:style w:type="paragraph" w:styleId="Caption">
    <w:name w:val="caption"/>
    <w:basedOn w:val="Normal"/>
    <w:next w:val="Normal"/>
    <w:uiPriority w:val="35"/>
    <w:unhideWhenUsed/>
    <w:rsid w:val="0048790C"/>
    <w:rPr>
      <w:b/>
      <w:bCs/>
      <w:sz w:val="20"/>
      <w:szCs w:val="20"/>
    </w:rPr>
  </w:style>
  <w:style w:type="paragraph" w:styleId="Closing">
    <w:name w:val="Closing"/>
    <w:basedOn w:val="Normal"/>
    <w:link w:val="ClosingChar"/>
    <w:uiPriority w:val="99"/>
    <w:unhideWhenUsed/>
    <w:rsid w:val="0048790C"/>
    <w:pPr>
      <w:ind w:left="4252"/>
    </w:pPr>
  </w:style>
  <w:style w:type="character" w:customStyle="1" w:styleId="ClosingChar">
    <w:name w:val="Closing Char"/>
    <w:basedOn w:val="DefaultParagraphFont"/>
    <w:link w:val="Closing"/>
    <w:uiPriority w:val="99"/>
    <w:rsid w:val="0048790C"/>
    <w:rPr>
      <w:rFonts w:ascii="Arial" w:eastAsia="Times New Roman" w:hAnsi="Arial" w:cs="Arial"/>
      <w:lang w:eastAsia="en-AU"/>
    </w:rPr>
  </w:style>
  <w:style w:type="table" w:styleId="ColorfulGrid">
    <w:name w:val="Colorful Grid"/>
    <w:basedOn w:val="TableNormal"/>
    <w:uiPriority w:val="73"/>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48790C"/>
    <w:rPr>
      <w:sz w:val="16"/>
      <w:szCs w:val="16"/>
    </w:rPr>
  </w:style>
  <w:style w:type="paragraph" w:styleId="CommentText">
    <w:name w:val="annotation text"/>
    <w:basedOn w:val="Normal"/>
    <w:link w:val="CommentTextChar"/>
    <w:uiPriority w:val="99"/>
    <w:unhideWhenUsed/>
    <w:rsid w:val="0048790C"/>
    <w:rPr>
      <w:sz w:val="20"/>
      <w:szCs w:val="20"/>
    </w:rPr>
  </w:style>
  <w:style w:type="character" w:customStyle="1" w:styleId="CommentTextChar">
    <w:name w:val="Comment Text Char"/>
    <w:basedOn w:val="DefaultParagraphFont"/>
    <w:link w:val="CommentText"/>
    <w:uiPriority w:val="99"/>
    <w:rsid w:val="0048790C"/>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unhideWhenUsed/>
    <w:rsid w:val="0048790C"/>
    <w:rPr>
      <w:b/>
      <w:bCs/>
    </w:rPr>
  </w:style>
  <w:style w:type="character" w:customStyle="1" w:styleId="CommentSubjectChar">
    <w:name w:val="Comment Subject Char"/>
    <w:basedOn w:val="CommentTextChar"/>
    <w:link w:val="CommentSubject"/>
    <w:uiPriority w:val="99"/>
    <w:rsid w:val="0048790C"/>
    <w:rPr>
      <w:rFonts w:ascii="Arial" w:eastAsia="Times New Roman" w:hAnsi="Arial" w:cs="Arial"/>
      <w:b/>
      <w:bCs/>
      <w:sz w:val="20"/>
      <w:szCs w:val="20"/>
      <w:lang w:eastAsia="en-AU"/>
    </w:rPr>
  </w:style>
  <w:style w:type="table" w:styleId="DarkList">
    <w:name w:val="Dark List"/>
    <w:basedOn w:val="TableNormal"/>
    <w:uiPriority w:val="7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unhideWhenUsed/>
    <w:rsid w:val="0048790C"/>
  </w:style>
  <w:style w:type="character" w:customStyle="1" w:styleId="DateChar">
    <w:name w:val="Date Char"/>
    <w:basedOn w:val="DefaultParagraphFont"/>
    <w:link w:val="Date"/>
    <w:uiPriority w:val="99"/>
    <w:rsid w:val="0048790C"/>
    <w:rPr>
      <w:rFonts w:ascii="Arial" w:eastAsia="Times New Roman" w:hAnsi="Arial" w:cs="Arial"/>
      <w:lang w:eastAsia="en-AU"/>
    </w:rPr>
  </w:style>
  <w:style w:type="paragraph" w:styleId="DocumentMap">
    <w:name w:val="Document Map"/>
    <w:basedOn w:val="Normal"/>
    <w:link w:val="DocumentMapChar"/>
    <w:uiPriority w:val="99"/>
    <w:unhideWhenUsed/>
    <w:rsid w:val="0048790C"/>
    <w:rPr>
      <w:rFonts w:ascii="Tahoma" w:hAnsi="Tahoma" w:cs="Tahoma"/>
      <w:sz w:val="16"/>
      <w:szCs w:val="16"/>
    </w:rPr>
  </w:style>
  <w:style w:type="character" w:customStyle="1" w:styleId="DocumentMapChar">
    <w:name w:val="Document Map Char"/>
    <w:basedOn w:val="DefaultParagraphFont"/>
    <w:link w:val="DocumentMap"/>
    <w:uiPriority w:val="99"/>
    <w:rsid w:val="0048790C"/>
    <w:rPr>
      <w:rFonts w:ascii="Tahoma" w:eastAsia="Times New Roman" w:hAnsi="Tahoma" w:cs="Tahoma"/>
      <w:sz w:val="16"/>
      <w:szCs w:val="16"/>
      <w:lang w:eastAsia="en-AU"/>
    </w:rPr>
  </w:style>
  <w:style w:type="paragraph" w:styleId="E-mailSignature">
    <w:name w:val="E-mail Signature"/>
    <w:basedOn w:val="Normal"/>
    <w:link w:val="E-mailSignatureChar"/>
    <w:uiPriority w:val="99"/>
    <w:unhideWhenUsed/>
    <w:rsid w:val="0048790C"/>
  </w:style>
  <w:style w:type="character" w:customStyle="1" w:styleId="E-mailSignatureChar">
    <w:name w:val="E-mail Signature Char"/>
    <w:basedOn w:val="DefaultParagraphFont"/>
    <w:link w:val="E-mailSignature"/>
    <w:uiPriority w:val="99"/>
    <w:rsid w:val="0048790C"/>
    <w:rPr>
      <w:rFonts w:ascii="Arial" w:eastAsia="Times New Roman" w:hAnsi="Arial" w:cs="Arial"/>
      <w:lang w:eastAsia="en-AU"/>
    </w:rPr>
  </w:style>
  <w:style w:type="character" w:styleId="Emphasis">
    <w:name w:val="Emphasis"/>
    <w:basedOn w:val="DefaultParagraphFont"/>
    <w:uiPriority w:val="20"/>
    <w:qFormat/>
    <w:rsid w:val="0048790C"/>
    <w:rPr>
      <w:i/>
      <w:iCs/>
    </w:rPr>
  </w:style>
  <w:style w:type="character" w:styleId="EndnoteReference">
    <w:name w:val="endnote reference"/>
    <w:basedOn w:val="DefaultParagraphFont"/>
    <w:uiPriority w:val="31"/>
    <w:rsid w:val="0048790C"/>
    <w:rPr>
      <w:rFonts w:ascii="Arial" w:hAnsi="Arial" w:cs="Arial"/>
      <w:b w:val="0"/>
      <w:i w:val="0"/>
      <w:sz w:val="22"/>
      <w:vertAlign w:val="superscript"/>
    </w:rPr>
  </w:style>
  <w:style w:type="paragraph" w:styleId="EndnoteText">
    <w:name w:val="endnote text"/>
    <w:basedOn w:val="PlainParagraph"/>
    <w:link w:val="EndnoteTextChar"/>
    <w:uiPriority w:val="31"/>
    <w:rsid w:val="0048790C"/>
    <w:pPr>
      <w:tabs>
        <w:tab w:val="left" w:pos="425"/>
      </w:tabs>
      <w:spacing w:before="0" w:after="60" w:line="240" w:lineRule="auto"/>
      <w:ind w:left="425" w:hanging="425"/>
    </w:pPr>
    <w:rPr>
      <w:sz w:val="18"/>
      <w:szCs w:val="20"/>
    </w:rPr>
  </w:style>
  <w:style w:type="character" w:customStyle="1" w:styleId="EndnoteTextChar">
    <w:name w:val="Endnote Text Char"/>
    <w:basedOn w:val="DefaultParagraphFont"/>
    <w:link w:val="EndnoteText"/>
    <w:uiPriority w:val="31"/>
    <w:rsid w:val="0048790C"/>
    <w:rPr>
      <w:rFonts w:ascii="Arial" w:eastAsia="Times New Roman" w:hAnsi="Arial" w:cs="Arial"/>
      <w:sz w:val="18"/>
      <w:szCs w:val="20"/>
      <w:lang w:eastAsia="en-AU"/>
    </w:rPr>
  </w:style>
  <w:style w:type="paragraph" w:styleId="EnvelopeAddress">
    <w:name w:val="envelope address"/>
    <w:basedOn w:val="Normal"/>
    <w:uiPriority w:val="99"/>
    <w:unhideWhenUsed/>
    <w:rsid w:val="0048790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48790C"/>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48790C"/>
    <w:rPr>
      <w:color w:val="954F72" w:themeColor="followedHyperlink"/>
      <w:u w:val="single"/>
    </w:rPr>
  </w:style>
  <w:style w:type="character" w:styleId="FootnoteReference">
    <w:name w:val="footnote reference"/>
    <w:aliases w:val="opcalrc,Footnotes refss,ftref,4_G,4_G Char Char Char Char Char,Footnotes refss Char Char Char Char Char,ftref Char Char Char Char Char,BVI fnr Char Char Char Char Char,BVI fnr Car Car Char Char Char Char Char,Ref,de nota al pie,註腳內容"/>
    <w:basedOn w:val="DefaultParagraphFont"/>
    <w:link w:val="4GCharCharCharChar"/>
    <w:uiPriority w:val="31"/>
    <w:rsid w:val="0048790C"/>
    <w:rPr>
      <w:rFonts w:ascii="Arial" w:hAnsi="Arial" w:cs="Arial"/>
      <w:vertAlign w:val="superscript"/>
    </w:rPr>
  </w:style>
  <w:style w:type="paragraph" w:styleId="FootnoteText">
    <w:name w:val="footnote text"/>
    <w:aliases w:val="Char,Table/Chart Ref,Footnote Text Char1 Char,Footnote Text Char Char1 Char,Footnote Text Char Char Char Char Char1,Footnote Text Char Char Char,Footnote Text Char Char Char Char,5_G,Footnote Text Char1 Char Char Char,fn"/>
    <w:basedOn w:val="PlainParagraph"/>
    <w:link w:val="FootnoteTextChar"/>
    <w:uiPriority w:val="31"/>
    <w:qFormat/>
    <w:rsid w:val="0048790C"/>
    <w:pPr>
      <w:tabs>
        <w:tab w:val="left" w:pos="425"/>
      </w:tabs>
      <w:spacing w:before="0" w:after="60" w:line="240" w:lineRule="auto"/>
      <w:ind w:left="425" w:right="567" w:hanging="425"/>
    </w:pPr>
    <w:rPr>
      <w:sz w:val="18"/>
      <w:szCs w:val="20"/>
    </w:rPr>
  </w:style>
  <w:style w:type="character" w:customStyle="1" w:styleId="FootnoteTextChar">
    <w:name w:val="Footnote Text Char"/>
    <w:aliases w:val="Char Char,Table/Chart Ref Char,Footnote Text Char1 Char Char,Footnote Text Char Char1 Char Char,Footnote Text Char Char Char Char Char1 Char,Footnote Text Char Char Char Char1,Footnote Text Char Char Char Char Char,5_G Char,fn Char"/>
    <w:basedOn w:val="DefaultParagraphFont"/>
    <w:link w:val="FootnoteText"/>
    <w:uiPriority w:val="31"/>
    <w:rsid w:val="0048790C"/>
    <w:rPr>
      <w:rFonts w:ascii="Arial" w:eastAsia="Times New Roman" w:hAnsi="Arial" w:cs="Arial"/>
      <w:sz w:val="18"/>
      <w:szCs w:val="20"/>
      <w:lang w:eastAsia="en-AU"/>
    </w:rPr>
  </w:style>
  <w:style w:type="table" w:styleId="GridTable1Light">
    <w:name w:val="Grid Table 1 Light"/>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8790C"/>
    <w:pPr>
      <w:spacing w:after="0" w:line="240" w:lineRule="auto"/>
    </w:pPr>
    <w:rPr>
      <w:rFonts w:ascii="Times New Roman" w:eastAsia="Times New Roman" w:hAnsi="Times New Roman" w:cs="Times New Roman"/>
      <w:color w:val="2F5496" w:themeColor="accent1" w:themeShade="BF"/>
      <w:sz w:val="20"/>
      <w:szCs w:val="20"/>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8790C"/>
    <w:pPr>
      <w:spacing w:after="0" w:line="240" w:lineRule="auto"/>
    </w:pPr>
    <w:rPr>
      <w:rFonts w:ascii="Times New Roman" w:eastAsia="Times New Roman" w:hAnsi="Times New Roman" w:cs="Times New Roman"/>
      <w:color w:val="C45911" w:themeColor="accent2" w:themeShade="BF"/>
      <w:sz w:val="20"/>
      <w:szCs w:val="20"/>
      <w:lang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8790C"/>
    <w:pPr>
      <w:spacing w:after="0" w:line="240" w:lineRule="auto"/>
    </w:pPr>
    <w:rPr>
      <w:rFonts w:ascii="Times New Roman" w:eastAsia="Times New Roman" w:hAnsi="Times New Roman" w:cs="Times New Roman"/>
      <w:color w:val="7B7B7B" w:themeColor="accent3" w:themeShade="BF"/>
      <w:sz w:val="20"/>
      <w:szCs w:val="20"/>
      <w:lang w:eastAsia="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8790C"/>
    <w:pPr>
      <w:spacing w:after="0" w:line="240" w:lineRule="auto"/>
    </w:pPr>
    <w:rPr>
      <w:rFonts w:ascii="Times New Roman" w:eastAsia="Times New Roman" w:hAnsi="Times New Roman" w:cs="Times New Roman"/>
      <w:color w:val="BF8F00" w:themeColor="accent4" w:themeShade="BF"/>
      <w:sz w:val="20"/>
      <w:szCs w:val="20"/>
      <w:lang w:eastAsia="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8790C"/>
    <w:pPr>
      <w:spacing w:after="0" w:line="240" w:lineRule="auto"/>
    </w:pPr>
    <w:rPr>
      <w:rFonts w:ascii="Times New Roman" w:eastAsia="Times New Roman" w:hAnsi="Times New Roman" w:cs="Times New Roman"/>
      <w:color w:val="2E74B5" w:themeColor="accent5" w:themeShade="BF"/>
      <w:sz w:val="20"/>
      <w:szCs w:val="20"/>
      <w:lang w:eastAsia="en-A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8790C"/>
    <w:pPr>
      <w:spacing w:after="0" w:line="240" w:lineRule="auto"/>
    </w:pPr>
    <w:rPr>
      <w:rFonts w:ascii="Times New Roman" w:eastAsia="Times New Roman" w:hAnsi="Times New Roman" w:cs="Times New Roman"/>
      <w:color w:val="538135" w:themeColor="accent6" w:themeShade="BF"/>
      <w:sz w:val="20"/>
      <w:szCs w:val="20"/>
      <w:lang w:eastAsia="en-A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8790C"/>
    <w:pPr>
      <w:spacing w:after="0" w:line="240" w:lineRule="auto"/>
    </w:pPr>
    <w:rPr>
      <w:rFonts w:ascii="Times New Roman" w:eastAsia="Times New Roman" w:hAnsi="Times New Roman" w:cs="Times New Roman"/>
      <w:color w:val="2F5496" w:themeColor="accent1" w:themeShade="BF"/>
      <w:sz w:val="20"/>
      <w:szCs w:val="20"/>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8790C"/>
    <w:pPr>
      <w:spacing w:after="0" w:line="240" w:lineRule="auto"/>
    </w:pPr>
    <w:rPr>
      <w:rFonts w:ascii="Times New Roman" w:eastAsia="Times New Roman" w:hAnsi="Times New Roman" w:cs="Times New Roman"/>
      <w:color w:val="C45911" w:themeColor="accent2" w:themeShade="BF"/>
      <w:sz w:val="20"/>
      <w:szCs w:val="20"/>
      <w:lang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8790C"/>
    <w:pPr>
      <w:spacing w:after="0" w:line="240" w:lineRule="auto"/>
    </w:pPr>
    <w:rPr>
      <w:rFonts w:ascii="Times New Roman" w:eastAsia="Times New Roman" w:hAnsi="Times New Roman" w:cs="Times New Roman"/>
      <w:color w:val="7B7B7B" w:themeColor="accent3" w:themeShade="BF"/>
      <w:sz w:val="20"/>
      <w:szCs w:val="20"/>
      <w:lang w:eastAsia="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8790C"/>
    <w:pPr>
      <w:spacing w:after="0" w:line="240" w:lineRule="auto"/>
    </w:pPr>
    <w:rPr>
      <w:rFonts w:ascii="Times New Roman" w:eastAsia="Times New Roman" w:hAnsi="Times New Roman" w:cs="Times New Roman"/>
      <w:color w:val="BF8F00" w:themeColor="accent4" w:themeShade="BF"/>
      <w:sz w:val="20"/>
      <w:szCs w:val="20"/>
      <w:lang w:eastAsia="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8790C"/>
    <w:pPr>
      <w:spacing w:after="0" w:line="240" w:lineRule="auto"/>
    </w:pPr>
    <w:rPr>
      <w:rFonts w:ascii="Times New Roman" w:eastAsia="Times New Roman" w:hAnsi="Times New Roman" w:cs="Times New Roman"/>
      <w:color w:val="2E74B5" w:themeColor="accent5" w:themeShade="BF"/>
      <w:sz w:val="20"/>
      <w:szCs w:val="20"/>
      <w:lang w:eastAsia="en-A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8790C"/>
    <w:pPr>
      <w:spacing w:after="0" w:line="240" w:lineRule="auto"/>
    </w:pPr>
    <w:rPr>
      <w:rFonts w:ascii="Times New Roman" w:eastAsia="Times New Roman" w:hAnsi="Times New Roman" w:cs="Times New Roman"/>
      <w:color w:val="538135" w:themeColor="accent6" w:themeShade="BF"/>
      <w:sz w:val="20"/>
      <w:szCs w:val="20"/>
      <w:lang w:eastAsia="en-A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unhideWhenUsed/>
    <w:rsid w:val="0048790C"/>
    <w:rPr>
      <w:color w:val="2B579A"/>
      <w:shd w:val="clear" w:color="auto" w:fill="E1DFDD"/>
    </w:rPr>
  </w:style>
  <w:style w:type="character" w:styleId="HTMLAcronym">
    <w:name w:val="HTML Acronym"/>
    <w:basedOn w:val="DefaultParagraphFont"/>
    <w:uiPriority w:val="99"/>
    <w:unhideWhenUsed/>
    <w:rsid w:val="0048790C"/>
  </w:style>
  <w:style w:type="paragraph" w:styleId="HTMLAddress">
    <w:name w:val="HTML Address"/>
    <w:basedOn w:val="Normal"/>
    <w:link w:val="HTMLAddressChar"/>
    <w:uiPriority w:val="99"/>
    <w:unhideWhenUsed/>
    <w:rsid w:val="0048790C"/>
    <w:rPr>
      <w:i/>
      <w:iCs/>
    </w:rPr>
  </w:style>
  <w:style w:type="character" w:customStyle="1" w:styleId="HTMLAddressChar">
    <w:name w:val="HTML Address Char"/>
    <w:basedOn w:val="DefaultParagraphFont"/>
    <w:link w:val="HTMLAddress"/>
    <w:uiPriority w:val="99"/>
    <w:rsid w:val="0048790C"/>
    <w:rPr>
      <w:rFonts w:ascii="Arial" w:eastAsia="Times New Roman" w:hAnsi="Arial" w:cs="Arial"/>
      <w:i/>
      <w:iCs/>
      <w:lang w:eastAsia="en-AU"/>
    </w:rPr>
  </w:style>
  <w:style w:type="character" w:styleId="HTMLCite">
    <w:name w:val="HTML Cite"/>
    <w:basedOn w:val="DefaultParagraphFont"/>
    <w:uiPriority w:val="99"/>
    <w:unhideWhenUsed/>
    <w:rsid w:val="0048790C"/>
    <w:rPr>
      <w:i/>
      <w:iCs/>
    </w:rPr>
  </w:style>
  <w:style w:type="character" w:styleId="HTMLCode">
    <w:name w:val="HTML Code"/>
    <w:basedOn w:val="DefaultParagraphFont"/>
    <w:uiPriority w:val="99"/>
    <w:unhideWhenUsed/>
    <w:rsid w:val="0048790C"/>
    <w:rPr>
      <w:rFonts w:ascii="Courier New" w:hAnsi="Courier New" w:cs="Courier New"/>
      <w:sz w:val="20"/>
      <w:szCs w:val="20"/>
    </w:rPr>
  </w:style>
  <w:style w:type="character" w:styleId="HTMLDefinition">
    <w:name w:val="HTML Definition"/>
    <w:basedOn w:val="DefaultParagraphFont"/>
    <w:uiPriority w:val="99"/>
    <w:unhideWhenUsed/>
    <w:rsid w:val="0048790C"/>
    <w:rPr>
      <w:i/>
      <w:iCs/>
    </w:rPr>
  </w:style>
  <w:style w:type="character" w:styleId="HTMLKeyboard">
    <w:name w:val="HTML Keyboard"/>
    <w:basedOn w:val="DefaultParagraphFont"/>
    <w:uiPriority w:val="99"/>
    <w:unhideWhenUsed/>
    <w:rsid w:val="0048790C"/>
    <w:rPr>
      <w:rFonts w:ascii="Courier New" w:hAnsi="Courier New" w:cs="Courier New"/>
      <w:sz w:val="20"/>
      <w:szCs w:val="20"/>
    </w:rPr>
  </w:style>
  <w:style w:type="paragraph" w:styleId="HTMLPreformatted">
    <w:name w:val="HTML Preformatted"/>
    <w:basedOn w:val="Normal"/>
    <w:link w:val="HTMLPreformattedChar"/>
    <w:uiPriority w:val="99"/>
    <w:unhideWhenUsed/>
    <w:rsid w:val="0048790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8790C"/>
    <w:rPr>
      <w:rFonts w:ascii="Courier New" w:eastAsia="Times New Roman" w:hAnsi="Courier New" w:cs="Courier New"/>
      <w:sz w:val="20"/>
      <w:szCs w:val="20"/>
      <w:lang w:eastAsia="en-AU"/>
    </w:rPr>
  </w:style>
  <w:style w:type="character" w:styleId="HTMLSample">
    <w:name w:val="HTML Sample"/>
    <w:basedOn w:val="DefaultParagraphFont"/>
    <w:uiPriority w:val="99"/>
    <w:unhideWhenUsed/>
    <w:rsid w:val="0048790C"/>
    <w:rPr>
      <w:rFonts w:ascii="Courier New" w:hAnsi="Courier New" w:cs="Courier New"/>
    </w:rPr>
  </w:style>
  <w:style w:type="character" w:styleId="HTMLTypewriter">
    <w:name w:val="HTML Typewriter"/>
    <w:basedOn w:val="DefaultParagraphFont"/>
    <w:uiPriority w:val="99"/>
    <w:unhideWhenUsed/>
    <w:rsid w:val="0048790C"/>
    <w:rPr>
      <w:rFonts w:ascii="Courier New" w:hAnsi="Courier New" w:cs="Courier New"/>
      <w:sz w:val="20"/>
      <w:szCs w:val="20"/>
    </w:rPr>
  </w:style>
  <w:style w:type="character" w:styleId="HTMLVariable">
    <w:name w:val="HTML Variable"/>
    <w:basedOn w:val="DefaultParagraphFont"/>
    <w:uiPriority w:val="99"/>
    <w:unhideWhenUsed/>
    <w:rsid w:val="0048790C"/>
    <w:rPr>
      <w:i/>
      <w:iCs/>
    </w:rPr>
  </w:style>
  <w:style w:type="paragraph" w:styleId="Index1">
    <w:name w:val="index 1"/>
    <w:basedOn w:val="Normal"/>
    <w:next w:val="Normal"/>
    <w:autoRedefine/>
    <w:uiPriority w:val="99"/>
    <w:unhideWhenUsed/>
    <w:rsid w:val="0048790C"/>
    <w:pPr>
      <w:ind w:left="220" w:hanging="220"/>
    </w:pPr>
  </w:style>
  <w:style w:type="paragraph" w:styleId="Index2">
    <w:name w:val="index 2"/>
    <w:basedOn w:val="Normal"/>
    <w:next w:val="Normal"/>
    <w:autoRedefine/>
    <w:uiPriority w:val="99"/>
    <w:unhideWhenUsed/>
    <w:rsid w:val="0048790C"/>
    <w:pPr>
      <w:ind w:left="440" w:hanging="220"/>
    </w:pPr>
  </w:style>
  <w:style w:type="paragraph" w:styleId="Index3">
    <w:name w:val="index 3"/>
    <w:basedOn w:val="Normal"/>
    <w:next w:val="Normal"/>
    <w:autoRedefine/>
    <w:uiPriority w:val="99"/>
    <w:unhideWhenUsed/>
    <w:rsid w:val="0048790C"/>
    <w:pPr>
      <w:ind w:left="660" w:hanging="220"/>
    </w:pPr>
  </w:style>
  <w:style w:type="paragraph" w:styleId="Index4">
    <w:name w:val="index 4"/>
    <w:basedOn w:val="Normal"/>
    <w:next w:val="Normal"/>
    <w:autoRedefine/>
    <w:uiPriority w:val="99"/>
    <w:unhideWhenUsed/>
    <w:rsid w:val="0048790C"/>
    <w:pPr>
      <w:ind w:left="880" w:hanging="220"/>
    </w:pPr>
  </w:style>
  <w:style w:type="paragraph" w:styleId="Index5">
    <w:name w:val="index 5"/>
    <w:basedOn w:val="Normal"/>
    <w:next w:val="Normal"/>
    <w:autoRedefine/>
    <w:uiPriority w:val="99"/>
    <w:unhideWhenUsed/>
    <w:rsid w:val="0048790C"/>
    <w:pPr>
      <w:ind w:left="1100" w:hanging="220"/>
    </w:pPr>
  </w:style>
  <w:style w:type="paragraph" w:styleId="Index6">
    <w:name w:val="index 6"/>
    <w:basedOn w:val="Normal"/>
    <w:next w:val="Normal"/>
    <w:autoRedefine/>
    <w:uiPriority w:val="99"/>
    <w:unhideWhenUsed/>
    <w:rsid w:val="0048790C"/>
    <w:pPr>
      <w:ind w:left="1320" w:hanging="220"/>
    </w:pPr>
  </w:style>
  <w:style w:type="paragraph" w:styleId="Index7">
    <w:name w:val="index 7"/>
    <w:basedOn w:val="Normal"/>
    <w:next w:val="Normal"/>
    <w:autoRedefine/>
    <w:uiPriority w:val="99"/>
    <w:unhideWhenUsed/>
    <w:rsid w:val="0048790C"/>
    <w:pPr>
      <w:ind w:left="1540" w:hanging="220"/>
    </w:pPr>
  </w:style>
  <w:style w:type="paragraph" w:styleId="Index8">
    <w:name w:val="index 8"/>
    <w:basedOn w:val="Normal"/>
    <w:next w:val="Normal"/>
    <w:autoRedefine/>
    <w:uiPriority w:val="99"/>
    <w:unhideWhenUsed/>
    <w:rsid w:val="0048790C"/>
    <w:pPr>
      <w:ind w:left="1760" w:hanging="220"/>
    </w:pPr>
  </w:style>
  <w:style w:type="paragraph" w:styleId="Index9">
    <w:name w:val="index 9"/>
    <w:basedOn w:val="Normal"/>
    <w:next w:val="Normal"/>
    <w:autoRedefine/>
    <w:uiPriority w:val="99"/>
    <w:unhideWhenUsed/>
    <w:rsid w:val="0048790C"/>
    <w:pPr>
      <w:ind w:left="1980" w:hanging="220"/>
    </w:pPr>
  </w:style>
  <w:style w:type="paragraph" w:styleId="IndexHeading">
    <w:name w:val="index heading"/>
    <w:basedOn w:val="Normal"/>
    <w:next w:val="Index1"/>
    <w:uiPriority w:val="99"/>
    <w:unhideWhenUsed/>
    <w:rsid w:val="0048790C"/>
    <w:rPr>
      <w:rFonts w:asciiTheme="majorHAnsi" w:eastAsiaTheme="majorEastAsia" w:hAnsiTheme="majorHAnsi" w:cstheme="majorBidi"/>
      <w:b/>
      <w:bCs/>
    </w:rPr>
  </w:style>
  <w:style w:type="character" w:styleId="IntenseEmphasis">
    <w:name w:val="Intense Emphasis"/>
    <w:basedOn w:val="DefaultParagraphFont"/>
    <w:uiPriority w:val="98"/>
    <w:rsid w:val="0048790C"/>
    <w:rPr>
      <w:b/>
      <w:bCs/>
      <w:i/>
      <w:iCs/>
      <w:color w:val="4472C4" w:themeColor="accent1"/>
    </w:rPr>
  </w:style>
  <w:style w:type="paragraph" w:styleId="IntenseQuote">
    <w:name w:val="Intense Quote"/>
    <w:basedOn w:val="Normal"/>
    <w:next w:val="Normal"/>
    <w:link w:val="IntenseQuoteChar"/>
    <w:uiPriority w:val="98"/>
    <w:rsid w:val="0048790C"/>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98"/>
    <w:rsid w:val="0048790C"/>
    <w:rPr>
      <w:rFonts w:ascii="Arial" w:eastAsia="Times New Roman" w:hAnsi="Arial" w:cs="Arial"/>
      <w:b/>
      <w:bCs/>
      <w:i/>
      <w:iCs/>
      <w:color w:val="4472C4" w:themeColor="accent1"/>
      <w:lang w:eastAsia="en-AU"/>
    </w:rPr>
  </w:style>
  <w:style w:type="character" w:styleId="IntenseReference">
    <w:name w:val="Intense Reference"/>
    <w:basedOn w:val="DefaultParagraphFont"/>
    <w:uiPriority w:val="98"/>
    <w:rsid w:val="0048790C"/>
    <w:rPr>
      <w:b/>
      <w:bCs/>
      <w:smallCaps/>
      <w:color w:val="ED7D31" w:themeColor="accent2"/>
      <w:spacing w:val="5"/>
      <w:u w:val="single"/>
    </w:rPr>
  </w:style>
  <w:style w:type="table" w:styleId="LightGrid">
    <w:name w:val="Light Grid"/>
    <w:basedOn w:val="TableNormal"/>
    <w:uiPriority w:val="62"/>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48790C"/>
    <w:pPr>
      <w:spacing w:after="0" w:line="240" w:lineRule="auto"/>
    </w:pPr>
    <w:rPr>
      <w:rFonts w:ascii="Times New Roman" w:eastAsia="Times New Roman" w:hAnsi="Times New Roman"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8790C"/>
    <w:pPr>
      <w:spacing w:after="0" w:line="240" w:lineRule="auto"/>
    </w:pPr>
    <w:rPr>
      <w:rFonts w:ascii="Times New Roman" w:eastAsia="Times New Roman" w:hAnsi="Times New Roman" w:cs="Times New Roman"/>
      <w:color w:val="2F5496" w:themeColor="accent1" w:themeShade="BF"/>
      <w:sz w:val="20"/>
      <w:szCs w:val="20"/>
      <w:lang w:eastAsia="en-AU"/>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48790C"/>
    <w:pPr>
      <w:spacing w:after="0" w:line="240" w:lineRule="auto"/>
    </w:pPr>
    <w:rPr>
      <w:rFonts w:ascii="Times New Roman" w:eastAsia="Times New Roman" w:hAnsi="Times New Roman" w:cs="Times New Roman"/>
      <w:color w:val="C45911" w:themeColor="accent2" w:themeShade="BF"/>
      <w:sz w:val="20"/>
      <w:szCs w:val="20"/>
      <w:lang w:eastAsia="en-A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48790C"/>
    <w:pPr>
      <w:spacing w:after="0" w:line="240" w:lineRule="auto"/>
    </w:pPr>
    <w:rPr>
      <w:rFonts w:ascii="Times New Roman" w:eastAsia="Times New Roman" w:hAnsi="Times New Roman" w:cs="Times New Roman"/>
      <w:color w:val="7B7B7B" w:themeColor="accent3" w:themeShade="BF"/>
      <w:sz w:val="20"/>
      <w:szCs w:val="20"/>
      <w:lang w:eastAsia="en-A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48790C"/>
    <w:pPr>
      <w:spacing w:after="0" w:line="240" w:lineRule="auto"/>
    </w:pPr>
    <w:rPr>
      <w:rFonts w:ascii="Times New Roman" w:eastAsia="Times New Roman" w:hAnsi="Times New Roman" w:cs="Times New Roman"/>
      <w:color w:val="BF8F00" w:themeColor="accent4" w:themeShade="BF"/>
      <w:sz w:val="20"/>
      <w:szCs w:val="20"/>
      <w:lang w:eastAsia="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48790C"/>
    <w:pPr>
      <w:spacing w:after="0" w:line="240" w:lineRule="auto"/>
    </w:pPr>
    <w:rPr>
      <w:rFonts w:ascii="Times New Roman" w:eastAsia="Times New Roman" w:hAnsi="Times New Roman" w:cs="Times New Roman"/>
      <w:color w:val="2E74B5" w:themeColor="accent5" w:themeShade="BF"/>
      <w:sz w:val="20"/>
      <w:szCs w:val="20"/>
      <w:lang w:eastAsia="en-AU"/>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48790C"/>
    <w:pPr>
      <w:spacing w:after="0" w:line="240" w:lineRule="auto"/>
    </w:pPr>
    <w:rPr>
      <w:rFonts w:ascii="Times New Roman" w:eastAsia="Times New Roman" w:hAnsi="Times New Roman" w:cs="Times New Roman"/>
      <w:color w:val="538135" w:themeColor="accent6" w:themeShade="BF"/>
      <w:sz w:val="20"/>
      <w:szCs w:val="20"/>
      <w:lang w:eastAsia="en-A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unhideWhenUsed/>
    <w:rsid w:val="0048790C"/>
  </w:style>
  <w:style w:type="paragraph" w:styleId="List">
    <w:name w:val="List"/>
    <w:basedOn w:val="Normal"/>
    <w:uiPriority w:val="99"/>
    <w:unhideWhenUsed/>
    <w:rsid w:val="0048790C"/>
    <w:pPr>
      <w:ind w:left="283" w:hanging="283"/>
      <w:contextualSpacing/>
    </w:pPr>
  </w:style>
  <w:style w:type="paragraph" w:styleId="List2">
    <w:name w:val="List 2"/>
    <w:basedOn w:val="Normal"/>
    <w:uiPriority w:val="99"/>
    <w:unhideWhenUsed/>
    <w:rsid w:val="0048790C"/>
    <w:pPr>
      <w:ind w:left="566" w:hanging="283"/>
      <w:contextualSpacing/>
    </w:pPr>
  </w:style>
  <w:style w:type="paragraph" w:styleId="List3">
    <w:name w:val="List 3"/>
    <w:basedOn w:val="Normal"/>
    <w:uiPriority w:val="99"/>
    <w:unhideWhenUsed/>
    <w:rsid w:val="0048790C"/>
    <w:pPr>
      <w:ind w:left="849" w:hanging="283"/>
      <w:contextualSpacing/>
    </w:pPr>
  </w:style>
  <w:style w:type="paragraph" w:styleId="List4">
    <w:name w:val="List 4"/>
    <w:basedOn w:val="Normal"/>
    <w:uiPriority w:val="99"/>
    <w:unhideWhenUsed/>
    <w:rsid w:val="0048790C"/>
    <w:pPr>
      <w:ind w:left="1132" w:hanging="283"/>
      <w:contextualSpacing/>
    </w:pPr>
  </w:style>
  <w:style w:type="paragraph" w:styleId="List5">
    <w:name w:val="List 5"/>
    <w:basedOn w:val="Normal"/>
    <w:uiPriority w:val="99"/>
    <w:unhideWhenUsed/>
    <w:rsid w:val="0048790C"/>
    <w:pPr>
      <w:ind w:left="1415" w:hanging="283"/>
      <w:contextualSpacing/>
    </w:pPr>
  </w:style>
  <w:style w:type="paragraph" w:styleId="ListBullet">
    <w:name w:val="List Bullet"/>
    <w:basedOn w:val="Normal"/>
    <w:uiPriority w:val="99"/>
    <w:unhideWhenUsed/>
    <w:rsid w:val="0048790C"/>
    <w:pPr>
      <w:numPr>
        <w:numId w:val="5"/>
      </w:numPr>
      <w:contextualSpacing/>
    </w:pPr>
  </w:style>
  <w:style w:type="paragraph" w:styleId="ListBullet2">
    <w:name w:val="List Bullet 2"/>
    <w:basedOn w:val="Normal"/>
    <w:uiPriority w:val="99"/>
    <w:unhideWhenUsed/>
    <w:rsid w:val="0048790C"/>
    <w:pPr>
      <w:numPr>
        <w:numId w:val="6"/>
      </w:numPr>
      <w:contextualSpacing/>
    </w:pPr>
  </w:style>
  <w:style w:type="paragraph" w:styleId="ListBullet3">
    <w:name w:val="List Bullet 3"/>
    <w:basedOn w:val="Normal"/>
    <w:uiPriority w:val="99"/>
    <w:unhideWhenUsed/>
    <w:rsid w:val="0048790C"/>
    <w:pPr>
      <w:numPr>
        <w:numId w:val="7"/>
      </w:numPr>
      <w:contextualSpacing/>
    </w:pPr>
  </w:style>
  <w:style w:type="paragraph" w:styleId="ListBullet4">
    <w:name w:val="List Bullet 4"/>
    <w:basedOn w:val="Normal"/>
    <w:uiPriority w:val="99"/>
    <w:unhideWhenUsed/>
    <w:rsid w:val="0048790C"/>
    <w:pPr>
      <w:numPr>
        <w:numId w:val="8"/>
      </w:numPr>
      <w:contextualSpacing/>
    </w:pPr>
  </w:style>
  <w:style w:type="paragraph" w:styleId="ListBullet5">
    <w:name w:val="List Bullet 5"/>
    <w:basedOn w:val="Normal"/>
    <w:uiPriority w:val="99"/>
    <w:unhideWhenUsed/>
    <w:rsid w:val="0048790C"/>
    <w:pPr>
      <w:numPr>
        <w:numId w:val="9"/>
      </w:numPr>
      <w:contextualSpacing/>
    </w:pPr>
  </w:style>
  <w:style w:type="paragraph" w:styleId="ListContinue">
    <w:name w:val="List Continue"/>
    <w:basedOn w:val="Normal"/>
    <w:uiPriority w:val="99"/>
    <w:unhideWhenUsed/>
    <w:rsid w:val="0048790C"/>
    <w:pPr>
      <w:spacing w:after="120"/>
      <w:ind w:left="283"/>
      <w:contextualSpacing/>
    </w:pPr>
  </w:style>
  <w:style w:type="paragraph" w:styleId="ListContinue2">
    <w:name w:val="List Continue 2"/>
    <w:basedOn w:val="Normal"/>
    <w:uiPriority w:val="99"/>
    <w:unhideWhenUsed/>
    <w:rsid w:val="0048790C"/>
    <w:pPr>
      <w:spacing w:after="120"/>
      <w:ind w:left="566"/>
      <w:contextualSpacing/>
    </w:pPr>
  </w:style>
  <w:style w:type="paragraph" w:styleId="ListContinue3">
    <w:name w:val="List Continue 3"/>
    <w:basedOn w:val="Normal"/>
    <w:uiPriority w:val="99"/>
    <w:unhideWhenUsed/>
    <w:rsid w:val="0048790C"/>
    <w:pPr>
      <w:spacing w:after="120"/>
      <w:ind w:left="849"/>
      <w:contextualSpacing/>
    </w:pPr>
  </w:style>
  <w:style w:type="paragraph" w:styleId="ListContinue4">
    <w:name w:val="List Continue 4"/>
    <w:basedOn w:val="Normal"/>
    <w:uiPriority w:val="99"/>
    <w:unhideWhenUsed/>
    <w:rsid w:val="0048790C"/>
    <w:pPr>
      <w:spacing w:after="120"/>
      <w:ind w:left="1132"/>
      <w:contextualSpacing/>
    </w:pPr>
  </w:style>
  <w:style w:type="paragraph" w:styleId="ListContinue5">
    <w:name w:val="List Continue 5"/>
    <w:basedOn w:val="Normal"/>
    <w:uiPriority w:val="99"/>
    <w:unhideWhenUsed/>
    <w:rsid w:val="0048790C"/>
    <w:pPr>
      <w:spacing w:after="120"/>
      <w:ind w:left="1415"/>
      <w:contextualSpacing/>
    </w:pPr>
  </w:style>
  <w:style w:type="paragraph" w:styleId="ListNumber">
    <w:name w:val="List Number"/>
    <w:basedOn w:val="Normal"/>
    <w:uiPriority w:val="98"/>
    <w:rsid w:val="0048790C"/>
    <w:pPr>
      <w:numPr>
        <w:numId w:val="10"/>
      </w:numPr>
      <w:contextualSpacing/>
    </w:pPr>
  </w:style>
  <w:style w:type="paragraph" w:styleId="ListNumber2">
    <w:name w:val="List Number 2"/>
    <w:basedOn w:val="Normal"/>
    <w:uiPriority w:val="98"/>
    <w:rsid w:val="0048790C"/>
    <w:pPr>
      <w:numPr>
        <w:numId w:val="11"/>
      </w:numPr>
      <w:contextualSpacing/>
    </w:pPr>
  </w:style>
  <w:style w:type="paragraph" w:styleId="ListNumber3">
    <w:name w:val="List Number 3"/>
    <w:basedOn w:val="Normal"/>
    <w:uiPriority w:val="98"/>
    <w:rsid w:val="0048790C"/>
    <w:pPr>
      <w:numPr>
        <w:numId w:val="12"/>
      </w:numPr>
      <w:contextualSpacing/>
    </w:pPr>
  </w:style>
  <w:style w:type="paragraph" w:styleId="ListNumber4">
    <w:name w:val="List Number 4"/>
    <w:basedOn w:val="Normal"/>
    <w:uiPriority w:val="98"/>
    <w:rsid w:val="0048790C"/>
    <w:pPr>
      <w:numPr>
        <w:numId w:val="13"/>
      </w:numPr>
      <w:contextualSpacing/>
    </w:pPr>
  </w:style>
  <w:style w:type="paragraph" w:styleId="ListNumber5">
    <w:name w:val="List Number 5"/>
    <w:basedOn w:val="Normal"/>
    <w:uiPriority w:val="98"/>
    <w:rsid w:val="0048790C"/>
    <w:pPr>
      <w:numPr>
        <w:numId w:val="14"/>
      </w:numPr>
      <w:contextualSpacing/>
    </w:pPr>
  </w:style>
  <w:style w:type="paragraph" w:styleId="ListParagraph">
    <w:name w:val="List Paragraph"/>
    <w:aliases w:val="NFP GP Bulleted List,List1,LP,cS List Paragraph,List Paragraph1,Bulletr List Paragraph,Use Case List Paragraph,lp1,Bullet point,Bullets,CV text,Dot pt,F5 List Paragraph,FooterText,L,List Paragraph11,List Paragraph111,List Paragraph2"/>
    <w:basedOn w:val="Normal"/>
    <w:link w:val="ListParagraphChar"/>
    <w:uiPriority w:val="98"/>
    <w:qFormat/>
    <w:rsid w:val="0048790C"/>
    <w:pPr>
      <w:ind w:left="720"/>
    </w:pPr>
  </w:style>
  <w:style w:type="table" w:styleId="ListTable1Light">
    <w:name w:val="List Table 1 Light"/>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8790C"/>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8790C"/>
    <w:pPr>
      <w:spacing w:after="0" w:line="240" w:lineRule="auto"/>
    </w:pPr>
    <w:rPr>
      <w:rFonts w:ascii="Times New Roman" w:eastAsia="Times New Roman" w:hAnsi="Times New Roman" w:cs="Times New Roman"/>
      <w:color w:val="2F5496" w:themeColor="accent1" w:themeShade="BF"/>
      <w:sz w:val="20"/>
      <w:szCs w:val="20"/>
      <w:lang w:eastAsia="en-AU"/>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8790C"/>
    <w:pPr>
      <w:spacing w:after="0" w:line="240" w:lineRule="auto"/>
    </w:pPr>
    <w:rPr>
      <w:rFonts w:ascii="Times New Roman" w:eastAsia="Times New Roman" w:hAnsi="Times New Roman" w:cs="Times New Roman"/>
      <w:color w:val="C45911" w:themeColor="accent2" w:themeShade="BF"/>
      <w:sz w:val="20"/>
      <w:szCs w:val="20"/>
      <w:lang w:eastAsia="en-A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8790C"/>
    <w:pPr>
      <w:spacing w:after="0" w:line="240" w:lineRule="auto"/>
    </w:pPr>
    <w:rPr>
      <w:rFonts w:ascii="Times New Roman" w:eastAsia="Times New Roman" w:hAnsi="Times New Roman" w:cs="Times New Roman"/>
      <w:color w:val="7B7B7B" w:themeColor="accent3" w:themeShade="BF"/>
      <w:sz w:val="20"/>
      <w:szCs w:val="20"/>
      <w:lang w:eastAsia="en-A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8790C"/>
    <w:pPr>
      <w:spacing w:after="0" w:line="240" w:lineRule="auto"/>
    </w:pPr>
    <w:rPr>
      <w:rFonts w:ascii="Times New Roman" w:eastAsia="Times New Roman" w:hAnsi="Times New Roman" w:cs="Times New Roman"/>
      <w:color w:val="BF8F00" w:themeColor="accent4" w:themeShade="BF"/>
      <w:sz w:val="20"/>
      <w:szCs w:val="20"/>
      <w:lang w:eastAsia="en-A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8790C"/>
    <w:pPr>
      <w:spacing w:after="0" w:line="240" w:lineRule="auto"/>
    </w:pPr>
    <w:rPr>
      <w:rFonts w:ascii="Times New Roman" w:eastAsia="Times New Roman" w:hAnsi="Times New Roman" w:cs="Times New Roman"/>
      <w:color w:val="2E74B5" w:themeColor="accent5" w:themeShade="BF"/>
      <w:sz w:val="20"/>
      <w:szCs w:val="20"/>
      <w:lang w:eastAsia="en-AU"/>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8790C"/>
    <w:pPr>
      <w:spacing w:after="0" w:line="240" w:lineRule="auto"/>
    </w:pPr>
    <w:rPr>
      <w:rFonts w:ascii="Times New Roman" w:eastAsia="Times New Roman" w:hAnsi="Times New Roman" w:cs="Times New Roman"/>
      <w:color w:val="538135" w:themeColor="accent6" w:themeShade="BF"/>
      <w:sz w:val="20"/>
      <w:szCs w:val="20"/>
      <w:lang w:eastAsia="en-A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8790C"/>
    <w:pPr>
      <w:spacing w:after="0" w:line="240" w:lineRule="auto"/>
    </w:pPr>
    <w:rPr>
      <w:rFonts w:ascii="Times New Roman" w:eastAsia="Times New Roman" w:hAnsi="Times New Roman" w:cs="Times New Roman"/>
      <w:color w:val="2F5496" w:themeColor="accent1"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8790C"/>
    <w:pPr>
      <w:spacing w:after="0" w:line="240" w:lineRule="auto"/>
    </w:pPr>
    <w:rPr>
      <w:rFonts w:ascii="Times New Roman" w:eastAsia="Times New Roman" w:hAnsi="Times New Roman" w:cs="Times New Roman"/>
      <w:color w:val="C45911" w:themeColor="accent2"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8790C"/>
    <w:pPr>
      <w:spacing w:after="0" w:line="240" w:lineRule="auto"/>
    </w:pPr>
    <w:rPr>
      <w:rFonts w:ascii="Times New Roman" w:eastAsia="Times New Roman" w:hAnsi="Times New Roman" w:cs="Times New Roman"/>
      <w:color w:val="7B7B7B" w:themeColor="accent3"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8790C"/>
    <w:pPr>
      <w:spacing w:after="0" w:line="240" w:lineRule="auto"/>
    </w:pPr>
    <w:rPr>
      <w:rFonts w:ascii="Times New Roman" w:eastAsia="Times New Roman" w:hAnsi="Times New Roman" w:cs="Times New Roman"/>
      <w:color w:val="BF8F00" w:themeColor="accent4"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8790C"/>
    <w:pPr>
      <w:spacing w:after="0" w:line="240" w:lineRule="auto"/>
    </w:pPr>
    <w:rPr>
      <w:rFonts w:ascii="Times New Roman" w:eastAsia="Times New Roman" w:hAnsi="Times New Roman" w:cs="Times New Roman"/>
      <w:color w:val="2E74B5" w:themeColor="accent5"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8790C"/>
    <w:pPr>
      <w:spacing w:after="0" w:line="240" w:lineRule="auto"/>
    </w:pPr>
    <w:rPr>
      <w:rFonts w:ascii="Times New Roman" w:eastAsia="Times New Roman" w:hAnsi="Times New Roman" w:cs="Times New Roman"/>
      <w:color w:val="538135" w:themeColor="accent6"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48790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uiPriority w:val="99"/>
    <w:rsid w:val="0048790C"/>
    <w:rPr>
      <w:rFonts w:ascii="Courier New" w:eastAsia="Times New Roman" w:hAnsi="Courier New" w:cs="Courier New"/>
      <w:sz w:val="20"/>
      <w:szCs w:val="20"/>
      <w:lang w:eastAsia="en-AU"/>
    </w:rPr>
  </w:style>
  <w:style w:type="table" w:styleId="MediumGrid1">
    <w:name w:val="Medium Grid 1"/>
    <w:basedOn w:val="TableNormal"/>
    <w:uiPriority w:val="6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48790C"/>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8790C"/>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48790C"/>
    <w:rPr>
      <w:color w:val="2B579A"/>
      <w:shd w:val="clear" w:color="auto" w:fill="E1DFDD"/>
    </w:rPr>
  </w:style>
  <w:style w:type="paragraph" w:styleId="MessageHeader">
    <w:name w:val="Message Header"/>
    <w:basedOn w:val="Normal"/>
    <w:link w:val="MessageHeaderChar"/>
    <w:uiPriority w:val="99"/>
    <w:unhideWhenUsed/>
    <w:rsid w:val="004879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48790C"/>
    <w:rPr>
      <w:rFonts w:asciiTheme="majorHAnsi" w:eastAsiaTheme="majorEastAsia" w:hAnsiTheme="majorHAnsi" w:cstheme="majorBidi"/>
      <w:sz w:val="24"/>
      <w:szCs w:val="24"/>
      <w:shd w:val="pct20" w:color="auto" w:fill="auto"/>
      <w:lang w:eastAsia="en-AU"/>
    </w:rPr>
  </w:style>
  <w:style w:type="paragraph" w:styleId="NoSpacing">
    <w:name w:val="No Spacing"/>
    <w:uiPriority w:val="98"/>
    <w:rsid w:val="0048790C"/>
    <w:pPr>
      <w:spacing w:after="0" w:line="240" w:lineRule="auto"/>
    </w:pPr>
    <w:rPr>
      <w:rFonts w:ascii="Arial" w:eastAsia="Times New Roman" w:hAnsi="Arial" w:cs="Arial"/>
      <w:lang w:eastAsia="en-AU"/>
    </w:rPr>
  </w:style>
  <w:style w:type="paragraph" w:styleId="NormalWeb">
    <w:name w:val="Normal (Web)"/>
    <w:basedOn w:val="Normal"/>
    <w:uiPriority w:val="99"/>
    <w:unhideWhenUsed/>
    <w:rsid w:val="0048790C"/>
    <w:rPr>
      <w:rFonts w:ascii="Times New Roman" w:hAnsi="Times New Roman" w:cs="Times New Roman"/>
      <w:sz w:val="24"/>
      <w:szCs w:val="24"/>
    </w:rPr>
  </w:style>
  <w:style w:type="paragraph" w:styleId="NormalIndent">
    <w:name w:val="Normal Indent"/>
    <w:basedOn w:val="Normal"/>
    <w:uiPriority w:val="99"/>
    <w:unhideWhenUsed/>
    <w:rsid w:val="0048790C"/>
    <w:pPr>
      <w:ind w:left="720"/>
    </w:pPr>
  </w:style>
  <w:style w:type="paragraph" w:styleId="NoteHeading">
    <w:name w:val="Note Heading"/>
    <w:basedOn w:val="Normal"/>
    <w:next w:val="Normal"/>
    <w:link w:val="NoteHeadingChar"/>
    <w:uiPriority w:val="99"/>
    <w:unhideWhenUsed/>
    <w:rsid w:val="0048790C"/>
  </w:style>
  <w:style w:type="character" w:customStyle="1" w:styleId="NoteHeadingChar">
    <w:name w:val="Note Heading Char"/>
    <w:basedOn w:val="DefaultParagraphFont"/>
    <w:link w:val="NoteHeading"/>
    <w:uiPriority w:val="99"/>
    <w:rsid w:val="0048790C"/>
    <w:rPr>
      <w:rFonts w:ascii="Arial" w:eastAsia="Times New Roman" w:hAnsi="Arial" w:cs="Arial"/>
      <w:lang w:eastAsia="en-AU"/>
    </w:rPr>
  </w:style>
  <w:style w:type="character" w:styleId="PlaceholderText">
    <w:name w:val="Placeholder Text"/>
    <w:basedOn w:val="DefaultParagraphFont"/>
    <w:uiPriority w:val="99"/>
    <w:rsid w:val="0048790C"/>
    <w:rPr>
      <w:color w:val="808080"/>
    </w:rPr>
  </w:style>
  <w:style w:type="table" w:styleId="PlainTable2">
    <w:name w:val="Plain Table 2"/>
    <w:basedOn w:val="TableNormal"/>
    <w:uiPriority w:val="42"/>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48790C"/>
    <w:rPr>
      <w:rFonts w:ascii="Courier New" w:hAnsi="Courier New" w:cs="Courier New"/>
      <w:sz w:val="20"/>
      <w:szCs w:val="20"/>
    </w:rPr>
  </w:style>
  <w:style w:type="character" w:customStyle="1" w:styleId="PlainTextChar">
    <w:name w:val="Plain Text Char"/>
    <w:basedOn w:val="DefaultParagraphFont"/>
    <w:link w:val="PlainText"/>
    <w:uiPriority w:val="99"/>
    <w:rsid w:val="0048790C"/>
    <w:rPr>
      <w:rFonts w:ascii="Courier New" w:eastAsia="Times New Roman" w:hAnsi="Courier New" w:cs="Courier New"/>
      <w:sz w:val="20"/>
      <w:szCs w:val="20"/>
      <w:lang w:eastAsia="en-AU"/>
    </w:rPr>
  </w:style>
  <w:style w:type="paragraph" w:styleId="Quote">
    <w:name w:val="Quote"/>
    <w:basedOn w:val="Normal"/>
    <w:next w:val="Normal"/>
    <w:link w:val="QuoteChar"/>
    <w:uiPriority w:val="98"/>
    <w:rsid w:val="0048790C"/>
    <w:rPr>
      <w:i/>
      <w:iCs/>
      <w:color w:val="000000" w:themeColor="text1"/>
    </w:rPr>
  </w:style>
  <w:style w:type="character" w:customStyle="1" w:styleId="QuoteChar">
    <w:name w:val="Quote Char"/>
    <w:basedOn w:val="DefaultParagraphFont"/>
    <w:link w:val="Quote"/>
    <w:uiPriority w:val="98"/>
    <w:rsid w:val="0048790C"/>
    <w:rPr>
      <w:rFonts w:ascii="Arial" w:eastAsia="Times New Roman" w:hAnsi="Arial" w:cs="Arial"/>
      <w:i/>
      <w:iCs/>
      <w:color w:val="000000" w:themeColor="text1"/>
      <w:lang w:eastAsia="en-AU"/>
    </w:rPr>
  </w:style>
  <w:style w:type="paragraph" w:styleId="Salutation">
    <w:name w:val="Salutation"/>
    <w:basedOn w:val="Normal"/>
    <w:next w:val="Normal"/>
    <w:link w:val="SalutationChar"/>
    <w:uiPriority w:val="99"/>
    <w:rsid w:val="0048790C"/>
  </w:style>
  <w:style w:type="character" w:customStyle="1" w:styleId="SalutationChar">
    <w:name w:val="Salutation Char"/>
    <w:basedOn w:val="DefaultParagraphFont"/>
    <w:link w:val="Salutation"/>
    <w:uiPriority w:val="99"/>
    <w:rsid w:val="0048790C"/>
    <w:rPr>
      <w:rFonts w:ascii="Arial" w:eastAsia="Times New Roman" w:hAnsi="Arial" w:cs="Arial"/>
      <w:lang w:eastAsia="en-AU"/>
    </w:rPr>
  </w:style>
  <w:style w:type="paragraph" w:styleId="Signature">
    <w:name w:val="Signature"/>
    <w:basedOn w:val="Normal"/>
    <w:link w:val="SignatureChar"/>
    <w:uiPriority w:val="99"/>
    <w:unhideWhenUsed/>
    <w:rsid w:val="0048790C"/>
    <w:pPr>
      <w:ind w:left="4252"/>
    </w:pPr>
  </w:style>
  <w:style w:type="character" w:customStyle="1" w:styleId="SignatureChar">
    <w:name w:val="Signature Char"/>
    <w:basedOn w:val="DefaultParagraphFont"/>
    <w:link w:val="Signature"/>
    <w:uiPriority w:val="99"/>
    <w:rsid w:val="0048790C"/>
    <w:rPr>
      <w:rFonts w:ascii="Arial" w:eastAsia="Times New Roman" w:hAnsi="Arial" w:cs="Arial"/>
      <w:lang w:eastAsia="en-AU"/>
    </w:rPr>
  </w:style>
  <w:style w:type="character" w:styleId="SmartHyperlink">
    <w:name w:val="Smart Hyperlink"/>
    <w:basedOn w:val="DefaultParagraphFont"/>
    <w:uiPriority w:val="99"/>
    <w:unhideWhenUsed/>
    <w:rsid w:val="0048790C"/>
    <w:rPr>
      <w:u w:val="dotted"/>
    </w:rPr>
  </w:style>
  <w:style w:type="character" w:styleId="Strong">
    <w:name w:val="Strong"/>
    <w:basedOn w:val="DefaultParagraphFont"/>
    <w:uiPriority w:val="98"/>
    <w:rsid w:val="0048790C"/>
    <w:rPr>
      <w:b/>
      <w:bCs/>
    </w:rPr>
  </w:style>
  <w:style w:type="paragraph" w:styleId="Subtitle">
    <w:name w:val="Subtitle"/>
    <w:basedOn w:val="Normal"/>
    <w:next w:val="Normal"/>
    <w:link w:val="SubtitleChar"/>
    <w:uiPriority w:val="98"/>
    <w:rsid w:val="0048790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98"/>
    <w:rsid w:val="0048790C"/>
    <w:rPr>
      <w:rFonts w:asciiTheme="majorHAnsi" w:eastAsiaTheme="majorEastAsia" w:hAnsiTheme="majorHAnsi" w:cstheme="majorBidi"/>
      <w:sz w:val="24"/>
      <w:szCs w:val="24"/>
      <w:lang w:eastAsia="en-AU"/>
    </w:rPr>
  </w:style>
  <w:style w:type="character" w:styleId="SubtleEmphasis">
    <w:name w:val="Subtle Emphasis"/>
    <w:basedOn w:val="DefaultParagraphFont"/>
    <w:uiPriority w:val="98"/>
    <w:rsid w:val="0048790C"/>
    <w:rPr>
      <w:i/>
      <w:iCs/>
      <w:color w:val="808080" w:themeColor="text1" w:themeTint="7F"/>
    </w:rPr>
  </w:style>
  <w:style w:type="character" w:styleId="SubtleReference">
    <w:name w:val="Subtle Reference"/>
    <w:basedOn w:val="DefaultParagraphFont"/>
    <w:uiPriority w:val="98"/>
    <w:rsid w:val="0048790C"/>
    <w:rPr>
      <w:smallCaps/>
      <w:color w:val="ED7D31" w:themeColor="accent2"/>
      <w:u w:val="single"/>
    </w:rPr>
  </w:style>
  <w:style w:type="table" w:styleId="Table3Deffects1">
    <w:name w:val="Table 3D effects 1"/>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8790C"/>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8790C"/>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8790C"/>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8790C"/>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8790C"/>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8790C"/>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8790C"/>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48790C"/>
    <w:pPr>
      <w:ind w:left="220" w:hanging="220"/>
    </w:pPr>
  </w:style>
  <w:style w:type="paragraph" w:styleId="TableofFigures">
    <w:name w:val="table of figures"/>
    <w:basedOn w:val="Normal"/>
    <w:next w:val="Normal"/>
    <w:uiPriority w:val="99"/>
    <w:unhideWhenUsed/>
    <w:rsid w:val="0048790C"/>
  </w:style>
  <w:style w:type="table" w:styleId="TableProfessional">
    <w:name w:val="Table Professional"/>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8790C"/>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rsid w:val="0048790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98"/>
    <w:rsid w:val="0048790C"/>
    <w:rPr>
      <w:rFonts w:asciiTheme="majorHAnsi" w:eastAsiaTheme="majorEastAsia" w:hAnsiTheme="majorHAnsi" w:cstheme="majorBidi"/>
      <w:b/>
      <w:bCs/>
      <w:kern w:val="28"/>
      <w:sz w:val="32"/>
      <w:szCs w:val="32"/>
      <w:lang w:eastAsia="en-AU"/>
    </w:rPr>
  </w:style>
  <w:style w:type="paragraph" w:styleId="TOAHeading">
    <w:name w:val="toa heading"/>
    <w:basedOn w:val="Normal"/>
    <w:next w:val="Normal"/>
    <w:uiPriority w:val="99"/>
    <w:unhideWhenUsed/>
    <w:rsid w:val="0048790C"/>
    <w:pPr>
      <w:spacing w:before="120"/>
    </w:pPr>
    <w:rPr>
      <w:rFonts w:asciiTheme="majorHAnsi" w:eastAsiaTheme="majorEastAsia" w:hAnsiTheme="majorHAnsi" w:cstheme="majorBidi"/>
      <w:b/>
      <w:bCs/>
      <w:sz w:val="24"/>
      <w:szCs w:val="24"/>
    </w:rPr>
  </w:style>
  <w:style w:type="paragraph" w:styleId="TOC3">
    <w:name w:val="toc 3"/>
    <w:basedOn w:val="TOC2"/>
    <w:next w:val="Normal"/>
    <w:autoRedefine/>
    <w:uiPriority w:val="35"/>
    <w:rsid w:val="0048790C"/>
    <w:pPr>
      <w:ind w:left="879" w:hanging="425"/>
    </w:pPr>
    <w:rPr>
      <w:noProof/>
    </w:rPr>
  </w:style>
  <w:style w:type="paragraph" w:styleId="TOC4">
    <w:name w:val="toc 4"/>
    <w:basedOn w:val="TOC3"/>
    <w:next w:val="Normal"/>
    <w:autoRedefine/>
    <w:uiPriority w:val="35"/>
    <w:rsid w:val="0048790C"/>
    <w:pPr>
      <w:tabs>
        <w:tab w:val="clear" w:pos="8220"/>
        <w:tab w:val="right" w:pos="8222"/>
      </w:tabs>
      <w:ind w:left="992"/>
    </w:pPr>
  </w:style>
  <w:style w:type="paragraph" w:styleId="TOC5">
    <w:name w:val="toc 5"/>
    <w:basedOn w:val="TOC4"/>
    <w:next w:val="Normal"/>
    <w:autoRedefine/>
    <w:uiPriority w:val="35"/>
    <w:rsid w:val="0048790C"/>
    <w:pPr>
      <w:tabs>
        <w:tab w:val="right" w:pos="9016"/>
      </w:tabs>
      <w:ind w:left="1105"/>
    </w:pPr>
  </w:style>
  <w:style w:type="paragraph" w:styleId="TOC6">
    <w:name w:val="toc 6"/>
    <w:basedOn w:val="TOC5"/>
    <w:next w:val="Normal"/>
    <w:autoRedefine/>
    <w:uiPriority w:val="35"/>
    <w:rsid w:val="0048790C"/>
    <w:pPr>
      <w:ind w:left="1219"/>
    </w:pPr>
  </w:style>
  <w:style w:type="paragraph" w:styleId="TOC7">
    <w:name w:val="toc 7"/>
    <w:basedOn w:val="TOC6"/>
    <w:next w:val="Normal"/>
    <w:autoRedefine/>
    <w:uiPriority w:val="35"/>
    <w:rsid w:val="0048790C"/>
    <w:pPr>
      <w:ind w:left="1446"/>
    </w:pPr>
  </w:style>
  <w:style w:type="paragraph" w:styleId="TOC8">
    <w:name w:val="toc 8"/>
    <w:basedOn w:val="Normal"/>
    <w:next w:val="Normal"/>
    <w:autoRedefine/>
    <w:uiPriority w:val="35"/>
    <w:rsid w:val="0048790C"/>
    <w:pPr>
      <w:ind w:left="1540"/>
    </w:pPr>
  </w:style>
  <w:style w:type="paragraph" w:styleId="TOC9">
    <w:name w:val="toc 9"/>
    <w:basedOn w:val="Normal"/>
    <w:next w:val="Normal"/>
    <w:autoRedefine/>
    <w:uiPriority w:val="35"/>
    <w:rsid w:val="0048790C"/>
    <w:pPr>
      <w:ind w:left="1760"/>
    </w:pPr>
  </w:style>
  <w:style w:type="character" w:styleId="UnresolvedMention">
    <w:name w:val="Unresolved Mention"/>
    <w:basedOn w:val="DefaultParagraphFont"/>
    <w:uiPriority w:val="99"/>
    <w:unhideWhenUsed/>
    <w:rsid w:val="0048790C"/>
    <w:rPr>
      <w:color w:val="605E5C"/>
      <w:shd w:val="clear" w:color="auto" w:fill="E1DFDD"/>
    </w:rPr>
  </w:style>
  <w:style w:type="paragraph" w:customStyle="1" w:styleId="NormalBase">
    <w:name w:val="Normal Base"/>
    <w:uiPriority w:val="99"/>
    <w:rsid w:val="0048790C"/>
    <w:pPr>
      <w:spacing w:before="140" w:after="140" w:line="280" w:lineRule="atLeast"/>
    </w:pPr>
    <w:rPr>
      <w:rFonts w:ascii="Arial" w:eastAsia="Times New Roman" w:hAnsi="Arial" w:cs="Arial"/>
      <w:lang w:eastAsia="en-AU"/>
    </w:rPr>
  </w:style>
  <w:style w:type="paragraph" w:customStyle="1" w:styleId="HeadingBase">
    <w:name w:val="Heading Base"/>
    <w:uiPriority w:val="98"/>
    <w:rsid w:val="0048790C"/>
    <w:pPr>
      <w:spacing w:before="200" w:after="0" w:line="280" w:lineRule="atLeast"/>
    </w:pPr>
    <w:rPr>
      <w:rFonts w:ascii="Arial" w:eastAsia="Times New Roman" w:hAnsi="Arial" w:cs="Arial"/>
      <w:sz w:val="20"/>
      <w:lang w:eastAsia="en-AU"/>
    </w:rPr>
  </w:style>
  <w:style w:type="paragraph" w:customStyle="1" w:styleId="HeaderBase">
    <w:name w:val="Header Base"/>
    <w:next w:val="Header"/>
    <w:uiPriority w:val="37"/>
    <w:rsid w:val="0048790C"/>
    <w:pPr>
      <w:spacing w:after="0" w:line="200" w:lineRule="atLeast"/>
    </w:pPr>
    <w:rPr>
      <w:rFonts w:ascii="Arial" w:eastAsia="Times New Roman" w:hAnsi="Arial" w:cs="Arial"/>
      <w:sz w:val="20"/>
      <w:lang w:eastAsia="en-AU"/>
    </w:rPr>
  </w:style>
  <w:style w:type="paragraph" w:customStyle="1" w:styleId="FooterBase">
    <w:name w:val="Footer Base"/>
    <w:next w:val="Footer"/>
    <w:uiPriority w:val="37"/>
    <w:rsid w:val="0048790C"/>
    <w:pPr>
      <w:spacing w:after="0" w:line="200" w:lineRule="atLeast"/>
    </w:pPr>
    <w:rPr>
      <w:rFonts w:ascii="Arial" w:eastAsia="Times New Roman" w:hAnsi="Arial" w:cs="Arial"/>
      <w:sz w:val="16"/>
      <w:lang w:eastAsia="en-AU"/>
    </w:rPr>
  </w:style>
  <w:style w:type="paragraph" w:customStyle="1" w:styleId="1Reference">
    <w:name w:val="1. Reference"/>
    <w:basedOn w:val="PlainParagraph"/>
    <w:uiPriority w:val="19"/>
    <w:rsid w:val="0048790C"/>
    <w:pPr>
      <w:spacing w:before="0" w:after="0" w:line="200" w:lineRule="atLeast"/>
    </w:pPr>
    <w:rPr>
      <w:sz w:val="20"/>
    </w:rPr>
  </w:style>
  <w:style w:type="paragraph" w:customStyle="1" w:styleId="2Date">
    <w:name w:val="2. Date"/>
    <w:basedOn w:val="PlainParagraph"/>
    <w:next w:val="3Address"/>
    <w:uiPriority w:val="19"/>
    <w:rsid w:val="0048790C"/>
    <w:pPr>
      <w:spacing w:before="280" w:after="420"/>
    </w:pPr>
  </w:style>
  <w:style w:type="paragraph" w:customStyle="1" w:styleId="3Address">
    <w:name w:val="3. Address"/>
    <w:basedOn w:val="PlainParagraph"/>
    <w:uiPriority w:val="19"/>
    <w:rsid w:val="0048790C"/>
    <w:pPr>
      <w:keepLines/>
      <w:widowControl w:val="0"/>
      <w:spacing w:before="0" w:after="0"/>
    </w:pPr>
  </w:style>
  <w:style w:type="paragraph" w:customStyle="1" w:styleId="4Addressee">
    <w:name w:val="4. Addressee"/>
    <w:basedOn w:val="PlainParagraph"/>
    <w:next w:val="SubjectTitle"/>
    <w:uiPriority w:val="19"/>
    <w:rsid w:val="0048790C"/>
    <w:pPr>
      <w:keepLines/>
      <w:widowControl w:val="0"/>
      <w:spacing w:before="700" w:after="280"/>
    </w:pPr>
  </w:style>
  <w:style w:type="paragraph" w:customStyle="1" w:styleId="SubjectTitle">
    <w:name w:val="Subject/Title"/>
    <w:aliases w:val="S/T"/>
    <w:basedOn w:val="PlainParagraph"/>
    <w:next w:val="PlainParagraph"/>
    <w:uiPriority w:val="10"/>
    <w:qFormat/>
    <w:rsid w:val="0048790C"/>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48790C"/>
    <w:pPr>
      <w:spacing w:before="420" w:after="0"/>
      <w:jc w:val="center"/>
    </w:pPr>
    <w:rPr>
      <w:caps/>
      <w:sz w:val="20"/>
    </w:rPr>
  </w:style>
  <w:style w:type="paragraph" w:customStyle="1" w:styleId="Classificationlegalheader">
    <w:name w:val="Classification legal: header"/>
    <w:basedOn w:val="PlainParagraph"/>
    <w:uiPriority w:val="20"/>
    <w:rsid w:val="0048790C"/>
    <w:pPr>
      <w:spacing w:before="0" w:after="0" w:line="200" w:lineRule="atLeast"/>
      <w:jc w:val="center"/>
    </w:pPr>
    <w:rPr>
      <w:caps/>
      <w:sz w:val="20"/>
    </w:rPr>
  </w:style>
  <w:style w:type="paragraph" w:customStyle="1" w:styleId="Classificationsecurityheader">
    <w:name w:val="Classification security: header"/>
    <w:basedOn w:val="PlainParagraph"/>
    <w:uiPriority w:val="20"/>
    <w:rsid w:val="0048790C"/>
    <w:pPr>
      <w:spacing w:before="0" w:after="0"/>
      <w:jc w:val="center"/>
    </w:pPr>
    <w:rPr>
      <w:b/>
      <w:caps/>
      <w:color w:val="FF0000"/>
    </w:rPr>
  </w:style>
  <w:style w:type="paragraph" w:customStyle="1" w:styleId="Classificationsecurityfooter">
    <w:name w:val="Classification security: footer"/>
    <w:basedOn w:val="Classificationsecurityheader"/>
    <w:uiPriority w:val="20"/>
    <w:semiHidden/>
    <w:rsid w:val="0048790C"/>
  </w:style>
  <w:style w:type="paragraph" w:customStyle="1" w:styleId="FooterSubject">
    <w:name w:val="Footer Subject"/>
    <w:basedOn w:val="FooterBase"/>
    <w:uiPriority w:val="37"/>
    <w:rsid w:val="0048790C"/>
    <w:pPr>
      <w:ind w:right="1417"/>
    </w:pPr>
  </w:style>
  <w:style w:type="paragraph" w:customStyle="1" w:styleId="FooterLandscape">
    <w:name w:val="Footer Landscape"/>
    <w:basedOn w:val="FooterBase"/>
    <w:uiPriority w:val="27"/>
    <w:semiHidden/>
    <w:rsid w:val="0048790C"/>
    <w:pPr>
      <w:tabs>
        <w:tab w:val="right" w:pos="13175"/>
      </w:tabs>
    </w:pPr>
  </w:style>
  <w:style w:type="paragraph" w:customStyle="1" w:styleId="HeaderLandscape">
    <w:name w:val="Header Landscape"/>
    <w:basedOn w:val="HeaderBase"/>
    <w:uiPriority w:val="27"/>
    <w:semiHidden/>
    <w:rsid w:val="0048790C"/>
    <w:pPr>
      <w:tabs>
        <w:tab w:val="right" w:pos="13175"/>
      </w:tabs>
    </w:pPr>
  </w:style>
  <w:style w:type="paragraph" w:customStyle="1" w:styleId="DraftinHeader">
    <w:name w:val="Draft in Header"/>
    <w:basedOn w:val="HeaderBase"/>
    <w:uiPriority w:val="37"/>
    <w:rsid w:val="0048790C"/>
    <w:pPr>
      <w:tabs>
        <w:tab w:val="right" w:pos="8220"/>
      </w:tabs>
    </w:pPr>
  </w:style>
  <w:style w:type="paragraph" w:customStyle="1" w:styleId="Sig1Salutation">
    <w:name w:val="Sig. 1 Salutation"/>
    <w:basedOn w:val="PlainParagraph"/>
    <w:uiPriority w:val="19"/>
    <w:rsid w:val="0048790C"/>
    <w:pPr>
      <w:keepNext/>
      <w:widowControl w:val="0"/>
    </w:pPr>
  </w:style>
  <w:style w:type="paragraph" w:customStyle="1" w:styleId="Sig2Officer">
    <w:name w:val="Sig. 2 Officer"/>
    <w:basedOn w:val="PlainParagraph"/>
    <w:uiPriority w:val="19"/>
    <w:rsid w:val="0048790C"/>
    <w:pPr>
      <w:keepNext/>
      <w:widowControl w:val="0"/>
      <w:tabs>
        <w:tab w:val="left" w:pos="4535"/>
      </w:tabs>
      <w:spacing w:before="0" w:after="0"/>
    </w:pPr>
    <w:rPr>
      <w:b/>
    </w:rPr>
  </w:style>
  <w:style w:type="paragraph" w:customStyle="1" w:styleId="Sig3Title">
    <w:name w:val="Sig. 3 Title"/>
    <w:basedOn w:val="PlainParagraph"/>
    <w:uiPriority w:val="19"/>
    <w:rsid w:val="0048790C"/>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48790C"/>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48790C"/>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48790C"/>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48790C"/>
    <w:pPr>
      <w:keepNext/>
      <w:keepLines/>
      <w:spacing w:before="0" w:after="420"/>
    </w:pPr>
    <w:rPr>
      <w:caps/>
    </w:rPr>
  </w:style>
  <w:style w:type="paragraph" w:customStyle="1" w:styleId="ContentsHeading">
    <w:name w:val="Contents Heading"/>
    <w:basedOn w:val="HeadingBase"/>
    <w:next w:val="PlainParagraph"/>
    <w:uiPriority w:val="98"/>
    <w:rsid w:val="0048790C"/>
    <w:pPr>
      <w:keepNext/>
      <w:keepLines/>
      <w:spacing w:before="0" w:after="280"/>
    </w:pPr>
    <w:rPr>
      <w:b/>
      <w:caps/>
    </w:rPr>
  </w:style>
  <w:style w:type="paragraph" w:customStyle="1" w:styleId="Leg1SecHead1">
    <w:name w:val="Leg1 Sec Head: 1."/>
    <w:aliases w:val="L1"/>
    <w:basedOn w:val="PlainParagraph"/>
    <w:uiPriority w:val="5"/>
    <w:qFormat/>
    <w:rsid w:val="0048790C"/>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48790C"/>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48790C"/>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48790C"/>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48790C"/>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48790C"/>
    <w:pPr>
      <w:spacing w:before="60" w:after="60" w:line="260" w:lineRule="atLeast"/>
      <w:ind w:left="2409" w:right="567" w:hanging="567"/>
    </w:pPr>
    <w:rPr>
      <w:sz w:val="20"/>
    </w:rPr>
  </w:style>
  <w:style w:type="paragraph" w:customStyle="1" w:styleId="QAQuestion">
    <w:name w:val="Q&amp;A: Question"/>
    <w:basedOn w:val="PlainParagraph"/>
    <w:next w:val="QAAnswer"/>
    <w:uiPriority w:val="7"/>
    <w:rsid w:val="0048790C"/>
    <w:pPr>
      <w:keepNext/>
      <w:widowControl w:val="0"/>
      <w:tabs>
        <w:tab w:val="left" w:pos="425"/>
        <w:tab w:val="left" w:pos="850"/>
      </w:tabs>
      <w:ind w:left="850" w:hanging="850"/>
    </w:pPr>
    <w:rPr>
      <w:i/>
    </w:rPr>
  </w:style>
  <w:style w:type="paragraph" w:customStyle="1" w:styleId="QAAnswer">
    <w:name w:val="Q&amp;A: Answer"/>
    <w:basedOn w:val="PlainParagraph"/>
    <w:next w:val="Normal"/>
    <w:uiPriority w:val="7"/>
    <w:semiHidden/>
    <w:rsid w:val="0048790C"/>
    <w:pPr>
      <w:tabs>
        <w:tab w:val="left" w:pos="425"/>
        <w:tab w:val="left" w:pos="850"/>
      </w:tabs>
      <w:spacing w:before="0"/>
      <w:ind w:left="850" w:hanging="850"/>
    </w:pPr>
  </w:style>
  <w:style w:type="paragraph" w:customStyle="1" w:styleId="QAText">
    <w:name w:val="Q&amp;A: Text"/>
    <w:basedOn w:val="PlainParagraph"/>
    <w:uiPriority w:val="7"/>
    <w:semiHidden/>
    <w:rsid w:val="0048790C"/>
    <w:pPr>
      <w:keepNext/>
      <w:widowControl w:val="0"/>
      <w:ind w:left="425"/>
    </w:pPr>
    <w:rPr>
      <w:i/>
    </w:rPr>
  </w:style>
  <w:style w:type="paragraph" w:customStyle="1" w:styleId="Quotation">
    <w:name w:val="Quotation"/>
    <w:basedOn w:val="PlainParagraph"/>
    <w:rsid w:val="0048790C"/>
    <w:pPr>
      <w:numPr>
        <w:numId w:val="28"/>
      </w:numPr>
      <w:spacing w:before="0" w:line="260" w:lineRule="atLeast"/>
    </w:pPr>
    <w:rPr>
      <w:sz w:val="20"/>
    </w:rPr>
  </w:style>
  <w:style w:type="paragraph" w:customStyle="1" w:styleId="Quotation1">
    <w:name w:val="Quotation 1"/>
    <w:aliases w:val="&quot;Q&quot;"/>
    <w:basedOn w:val="PlainParagraph"/>
    <w:link w:val="Quotation1Char"/>
    <w:qFormat/>
    <w:rsid w:val="0048790C"/>
    <w:pPr>
      <w:numPr>
        <w:ilvl w:val="1"/>
        <w:numId w:val="28"/>
      </w:numPr>
      <w:spacing w:before="0" w:line="260" w:lineRule="atLeast"/>
    </w:pPr>
    <w:rPr>
      <w:sz w:val="20"/>
    </w:rPr>
  </w:style>
  <w:style w:type="paragraph" w:customStyle="1" w:styleId="Quotation2">
    <w:name w:val="Quotation 2"/>
    <w:basedOn w:val="PlainParagraph"/>
    <w:rsid w:val="0048790C"/>
    <w:pPr>
      <w:numPr>
        <w:ilvl w:val="2"/>
        <w:numId w:val="28"/>
      </w:numPr>
      <w:spacing w:before="0" w:line="260" w:lineRule="atLeast"/>
    </w:pPr>
    <w:rPr>
      <w:sz w:val="20"/>
    </w:rPr>
  </w:style>
  <w:style w:type="paragraph" w:customStyle="1" w:styleId="Quotation3">
    <w:name w:val="Quotation 3"/>
    <w:basedOn w:val="PlainParagraph"/>
    <w:rsid w:val="0048790C"/>
    <w:pPr>
      <w:numPr>
        <w:ilvl w:val="3"/>
        <w:numId w:val="28"/>
      </w:numPr>
      <w:spacing w:before="0" w:line="260" w:lineRule="atLeast"/>
    </w:pPr>
    <w:rPr>
      <w:sz w:val="20"/>
    </w:rPr>
  </w:style>
  <w:style w:type="paragraph" w:customStyle="1" w:styleId="Quotation4">
    <w:name w:val="Quotation 4"/>
    <w:basedOn w:val="PlainParagraph"/>
    <w:rsid w:val="0048790C"/>
    <w:pPr>
      <w:numPr>
        <w:ilvl w:val="4"/>
        <w:numId w:val="28"/>
      </w:numPr>
      <w:spacing w:before="0" w:line="260" w:lineRule="atLeast"/>
    </w:pPr>
    <w:rPr>
      <w:sz w:val="20"/>
    </w:rPr>
  </w:style>
  <w:style w:type="paragraph" w:customStyle="1" w:styleId="Quotation5">
    <w:name w:val="Quotation 5"/>
    <w:basedOn w:val="PlainParagraph"/>
    <w:rsid w:val="0048790C"/>
    <w:pPr>
      <w:numPr>
        <w:ilvl w:val="5"/>
        <w:numId w:val="28"/>
      </w:numPr>
      <w:spacing w:before="0" w:line="260" w:lineRule="atLeast"/>
    </w:pPr>
    <w:rPr>
      <w:sz w:val="20"/>
    </w:rPr>
  </w:style>
  <w:style w:type="paragraph" w:customStyle="1" w:styleId="Quotation6">
    <w:name w:val="Quotation 6"/>
    <w:basedOn w:val="PlainParagraph"/>
    <w:rsid w:val="0048790C"/>
    <w:pPr>
      <w:numPr>
        <w:ilvl w:val="6"/>
        <w:numId w:val="28"/>
      </w:numPr>
      <w:spacing w:before="0" w:line="260" w:lineRule="atLeast"/>
    </w:pPr>
    <w:rPr>
      <w:sz w:val="20"/>
    </w:rPr>
  </w:style>
  <w:style w:type="paragraph" w:customStyle="1" w:styleId="Quotation7">
    <w:name w:val="Quotation 7"/>
    <w:basedOn w:val="PlainParagraph"/>
    <w:rsid w:val="0048790C"/>
    <w:pPr>
      <w:numPr>
        <w:ilvl w:val="7"/>
        <w:numId w:val="28"/>
      </w:numPr>
      <w:spacing w:before="0" w:line="260" w:lineRule="atLeast"/>
    </w:pPr>
    <w:rPr>
      <w:sz w:val="20"/>
    </w:rPr>
  </w:style>
  <w:style w:type="paragraph" w:customStyle="1" w:styleId="Quotation8">
    <w:name w:val="Quotation 8"/>
    <w:basedOn w:val="PlainParagraph"/>
    <w:rsid w:val="0048790C"/>
    <w:pPr>
      <w:numPr>
        <w:ilvl w:val="8"/>
        <w:numId w:val="28"/>
      </w:numPr>
      <w:spacing w:before="0" w:line="260" w:lineRule="atLeast"/>
    </w:pPr>
    <w:rPr>
      <w:sz w:val="20"/>
    </w:rPr>
  </w:style>
  <w:style w:type="paragraph" w:customStyle="1" w:styleId="DashEm">
    <w:name w:val="Dash: Em"/>
    <w:basedOn w:val="PlainParagraph"/>
    <w:uiPriority w:val="3"/>
    <w:rsid w:val="0048790C"/>
    <w:pPr>
      <w:numPr>
        <w:ilvl w:val="1"/>
        <w:numId w:val="24"/>
      </w:numPr>
      <w:spacing w:before="0"/>
    </w:pPr>
  </w:style>
  <w:style w:type="paragraph" w:customStyle="1" w:styleId="DashEm1">
    <w:name w:val="Dash: Em 1"/>
    <w:aliases w:val="-EM"/>
    <w:basedOn w:val="PlainParagraph"/>
    <w:link w:val="DashEm1Char"/>
    <w:uiPriority w:val="3"/>
    <w:rsid w:val="0048790C"/>
    <w:pPr>
      <w:numPr>
        <w:numId w:val="24"/>
      </w:numPr>
      <w:spacing w:before="0"/>
    </w:pPr>
  </w:style>
  <w:style w:type="paragraph" w:customStyle="1" w:styleId="DashEn1">
    <w:name w:val="Dash: En 1"/>
    <w:aliases w:val="-EN"/>
    <w:basedOn w:val="DashEm"/>
    <w:link w:val="DashEn1Char"/>
    <w:uiPriority w:val="3"/>
    <w:qFormat/>
    <w:rsid w:val="0048790C"/>
    <w:pPr>
      <w:numPr>
        <w:ilvl w:val="2"/>
      </w:numPr>
    </w:pPr>
  </w:style>
  <w:style w:type="paragraph" w:customStyle="1" w:styleId="DashEn2">
    <w:name w:val="Dash: En 2"/>
    <w:basedOn w:val="DashEn1"/>
    <w:uiPriority w:val="3"/>
    <w:rsid w:val="0048790C"/>
    <w:pPr>
      <w:numPr>
        <w:ilvl w:val="3"/>
      </w:numPr>
    </w:pPr>
  </w:style>
  <w:style w:type="paragraph" w:customStyle="1" w:styleId="DashEn3">
    <w:name w:val="Dash: En 3"/>
    <w:basedOn w:val="DashEn2"/>
    <w:uiPriority w:val="3"/>
    <w:rsid w:val="0048790C"/>
    <w:pPr>
      <w:numPr>
        <w:ilvl w:val="4"/>
      </w:numPr>
    </w:pPr>
  </w:style>
  <w:style w:type="paragraph" w:customStyle="1" w:styleId="DashEn4">
    <w:name w:val="Dash: En 4"/>
    <w:basedOn w:val="DashEn3"/>
    <w:uiPriority w:val="3"/>
    <w:rsid w:val="0048790C"/>
    <w:pPr>
      <w:numPr>
        <w:ilvl w:val="5"/>
      </w:numPr>
    </w:pPr>
  </w:style>
  <w:style w:type="paragraph" w:customStyle="1" w:styleId="DashEn5">
    <w:name w:val="Dash: En 5"/>
    <w:basedOn w:val="DashEn4"/>
    <w:uiPriority w:val="3"/>
    <w:rsid w:val="0048790C"/>
    <w:pPr>
      <w:numPr>
        <w:ilvl w:val="6"/>
      </w:numPr>
    </w:pPr>
  </w:style>
  <w:style w:type="paragraph" w:customStyle="1" w:styleId="DashEn6">
    <w:name w:val="Dash: En 6"/>
    <w:basedOn w:val="DashEn5"/>
    <w:uiPriority w:val="3"/>
    <w:rsid w:val="0048790C"/>
    <w:pPr>
      <w:numPr>
        <w:ilvl w:val="7"/>
      </w:numPr>
    </w:pPr>
  </w:style>
  <w:style w:type="paragraph" w:customStyle="1" w:styleId="DashEn7">
    <w:name w:val="Dash: En 7"/>
    <w:basedOn w:val="DashEn6"/>
    <w:uiPriority w:val="3"/>
    <w:rsid w:val="0048790C"/>
    <w:pPr>
      <w:numPr>
        <w:ilvl w:val="8"/>
      </w:numPr>
    </w:pPr>
  </w:style>
  <w:style w:type="paragraph" w:customStyle="1" w:styleId="IndentHanging">
    <w:name w:val="Indent: Hanging"/>
    <w:aliases w:val="--&gt;H"/>
    <w:basedOn w:val="PlainParagraph"/>
    <w:uiPriority w:val="9"/>
    <w:qFormat/>
    <w:rsid w:val="0048790C"/>
    <w:pPr>
      <w:numPr>
        <w:numId w:val="27"/>
      </w:numPr>
      <w:spacing w:before="0"/>
    </w:pPr>
  </w:style>
  <w:style w:type="paragraph" w:customStyle="1" w:styleId="IndentHanging1">
    <w:name w:val="Indent: Hanging 1"/>
    <w:basedOn w:val="IndentHanging"/>
    <w:uiPriority w:val="9"/>
    <w:semiHidden/>
    <w:rsid w:val="0048790C"/>
    <w:pPr>
      <w:numPr>
        <w:ilvl w:val="1"/>
      </w:numPr>
    </w:pPr>
  </w:style>
  <w:style w:type="paragraph" w:customStyle="1" w:styleId="IndentHanging2">
    <w:name w:val="Indent: Hanging 2"/>
    <w:basedOn w:val="IndentHanging1"/>
    <w:uiPriority w:val="9"/>
    <w:rsid w:val="0048790C"/>
    <w:pPr>
      <w:numPr>
        <w:ilvl w:val="2"/>
      </w:numPr>
    </w:pPr>
  </w:style>
  <w:style w:type="paragraph" w:customStyle="1" w:styleId="IndentHanging3">
    <w:name w:val="Indent: Hanging 3"/>
    <w:basedOn w:val="IndentHanging2"/>
    <w:uiPriority w:val="9"/>
    <w:semiHidden/>
    <w:rsid w:val="0048790C"/>
    <w:pPr>
      <w:numPr>
        <w:ilvl w:val="3"/>
      </w:numPr>
    </w:pPr>
  </w:style>
  <w:style w:type="paragraph" w:customStyle="1" w:styleId="IndentHanging4">
    <w:name w:val="Indent: Hanging 4"/>
    <w:basedOn w:val="IndentHanging3"/>
    <w:uiPriority w:val="9"/>
    <w:rsid w:val="0048790C"/>
    <w:pPr>
      <w:numPr>
        <w:ilvl w:val="4"/>
      </w:numPr>
    </w:pPr>
  </w:style>
  <w:style w:type="paragraph" w:customStyle="1" w:styleId="IndentHanging5">
    <w:name w:val="Indent: Hanging 5"/>
    <w:basedOn w:val="IndentHanging4"/>
    <w:uiPriority w:val="9"/>
    <w:semiHidden/>
    <w:rsid w:val="0048790C"/>
    <w:pPr>
      <w:numPr>
        <w:ilvl w:val="5"/>
      </w:numPr>
    </w:pPr>
  </w:style>
  <w:style w:type="paragraph" w:customStyle="1" w:styleId="IndentHanging6">
    <w:name w:val="Indent: Hanging 6"/>
    <w:basedOn w:val="IndentHanging5"/>
    <w:uiPriority w:val="9"/>
    <w:rsid w:val="0048790C"/>
    <w:pPr>
      <w:numPr>
        <w:ilvl w:val="6"/>
      </w:numPr>
    </w:pPr>
  </w:style>
  <w:style w:type="paragraph" w:customStyle="1" w:styleId="IndentHanging7">
    <w:name w:val="Indent: Hanging 7"/>
    <w:basedOn w:val="IndentHanging6"/>
    <w:uiPriority w:val="9"/>
    <w:semiHidden/>
    <w:rsid w:val="0048790C"/>
    <w:pPr>
      <w:numPr>
        <w:ilvl w:val="7"/>
      </w:numPr>
    </w:pPr>
  </w:style>
  <w:style w:type="paragraph" w:customStyle="1" w:styleId="IndentHanging8">
    <w:name w:val="Indent: Hanging 8"/>
    <w:basedOn w:val="IndentHanging7"/>
    <w:uiPriority w:val="9"/>
    <w:rsid w:val="0048790C"/>
    <w:pPr>
      <w:numPr>
        <w:ilvl w:val="8"/>
      </w:numPr>
    </w:pPr>
  </w:style>
  <w:style w:type="paragraph" w:customStyle="1" w:styleId="IndentFull">
    <w:name w:val="Indent: Full"/>
    <w:aliases w:val="--&gt;F"/>
    <w:basedOn w:val="PlainParagraph"/>
    <w:uiPriority w:val="9"/>
    <w:qFormat/>
    <w:rsid w:val="0048790C"/>
    <w:pPr>
      <w:numPr>
        <w:numId w:val="26"/>
      </w:numPr>
      <w:spacing w:before="0"/>
    </w:pPr>
  </w:style>
  <w:style w:type="paragraph" w:customStyle="1" w:styleId="IndentFull1">
    <w:name w:val="Indent: Full 1"/>
    <w:basedOn w:val="IndentFull"/>
    <w:uiPriority w:val="9"/>
    <w:rsid w:val="0048790C"/>
    <w:pPr>
      <w:numPr>
        <w:ilvl w:val="1"/>
      </w:numPr>
    </w:pPr>
  </w:style>
  <w:style w:type="paragraph" w:customStyle="1" w:styleId="IndentFull2">
    <w:name w:val="Indent: Full 2"/>
    <w:basedOn w:val="IndentFull1"/>
    <w:uiPriority w:val="9"/>
    <w:semiHidden/>
    <w:rsid w:val="0048790C"/>
    <w:pPr>
      <w:numPr>
        <w:ilvl w:val="2"/>
      </w:numPr>
    </w:pPr>
  </w:style>
  <w:style w:type="paragraph" w:customStyle="1" w:styleId="IndentFull3">
    <w:name w:val="Indent: Full 3"/>
    <w:basedOn w:val="IndentFull2"/>
    <w:uiPriority w:val="9"/>
    <w:rsid w:val="0048790C"/>
    <w:pPr>
      <w:numPr>
        <w:ilvl w:val="3"/>
      </w:numPr>
    </w:pPr>
  </w:style>
  <w:style w:type="paragraph" w:customStyle="1" w:styleId="IndentFull4">
    <w:name w:val="Indent: Full 4"/>
    <w:basedOn w:val="IndentFull3"/>
    <w:uiPriority w:val="9"/>
    <w:semiHidden/>
    <w:rsid w:val="0048790C"/>
    <w:pPr>
      <w:numPr>
        <w:ilvl w:val="4"/>
      </w:numPr>
    </w:pPr>
  </w:style>
  <w:style w:type="paragraph" w:customStyle="1" w:styleId="IndentFull5">
    <w:name w:val="Indent: Full 5"/>
    <w:basedOn w:val="IndentFull4"/>
    <w:uiPriority w:val="9"/>
    <w:rsid w:val="0048790C"/>
    <w:pPr>
      <w:numPr>
        <w:ilvl w:val="5"/>
      </w:numPr>
    </w:pPr>
  </w:style>
  <w:style w:type="paragraph" w:customStyle="1" w:styleId="IndentFull6">
    <w:name w:val="Indent: Full 6"/>
    <w:basedOn w:val="IndentFull5"/>
    <w:uiPriority w:val="9"/>
    <w:semiHidden/>
    <w:rsid w:val="0048790C"/>
    <w:pPr>
      <w:numPr>
        <w:ilvl w:val="6"/>
      </w:numPr>
    </w:pPr>
  </w:style>
  <w:style w:type="paragraph" w:customStyle="1" w:styleId="IndentFull7">
    <w:name w:val="Indent: Full 7"/>
    <w:basedOn w:val="IndentFull6"/>
    <w:uiPriority w:val="9"/>
    <w:rsid w:val="0048790C"/>
    <w:pPr>
      <w:numPr>
        <w:ilvl w:val="7"/>
      </w:numPr>
    </w:pPr>
  </w:style>
  <w:style w:type="paragraph" w:customStyle="1" w:styleId="IndentFull8">
    <w:name w:val="Indent: Full 8"/>
    <w:basedOn w:val="IndentFull7"/>
    <w:uiPriority w:val="9"/>
    <w:semiHidden/>
    <w:rsid w:val="0048790C"/>
    <w:pPr>
      <w:numPr>
        <w:ilvl w:val="8"/>
      </w:numPr>
    </w:pPr>
  </w:style>
  <w:style w:type="paragraph" w:customStyle="1" w:styleId="NumberedList1">
    <w:name w:val="Numbered List: 1)"/>
    <w:basedOn w:val="PlainParagraph"/>
    <w:uiPriority w:val="8"/>
    <w:rsid w:val="0048790C"/>
    <w:pPr>
      <w:numPr>
        <w:numId w:val="25"/>
      </w:numPr>
      <w:spacing w:before="0"/>
    </w:pPr>
  </w:style>
  <w:style w:type="paragraph" w:customStyle="1" w:styleId="NumberedList11">
    <w:name w:val="Numbered List: 1) 1"/>
    <w:aliases w:val="1)"/>
    <w:basedOn w:val="NumberedList1"/>
    <w:uiPriority w:val="8"/>
    <w:qFormat/>
    <w:rsid w:val="0048790C"/>
    <w:pPr>
      <w:numPr>
        <w:ilvl w:val="1"/>
      </w:numPr>
    </w:pPr>
  </w:style>
  <w:style w:type="paragraph" w:customStyle="1" w:styleId="NumberedList12">
    <w:name w:val="Numbered List: 1) 2"/>
    <w:basedOn w:val="NumberedList11"/>
    <w:uiPriority w:val="8"/>
    <w:rsid w:val="0048790C"/>
    <w:pPr>
      <w:numPr>
        <w:ilvl w:val="2"/>
      </w:numPr>
    </w:pPr>
  </w:style>
  <w:style w:type="paragraph" w:customStyle="1" w:styleId="NumberedList13">
    <w:name w:val="Numbered List: 1) 3"/>
    <w:basedOn w:val="NumberedList12"/>
    <w:uiPriority w:val="8"/>
    <w:semiHidden/>
    <w:rsid w:val="0048790C"/>
    <w:pPr>
      <w:numPr>
        <w:ilvl w:val="3"/>
      </w:numPr>
    </w:pPr>
  </w:style>
  <w:style w:type="paragraph" w:customStyle="1" w:styleId="NumberedList14">
    <w:name w:val="Numbered List: 1) 4"/>
    <w:basedOn w:val="NumberedList13"/>
    <w:uiPriority w:val="8"/>
    <w:rsid w:val="0048790C"/>
    <w:pPr>
      <w:numPr>
        <w:ilvl w:val="4"/>
      </w:numPr>
    </w:pPr>
  </w:style>
  <w:style w:type="paragraph" w:customStyle="1" w:styleId="NumberedList15">
    <w:name w:val="Numbered List: 1) 5"/>
    <w:basedOn w:val="NumberedList14"/>
    <w:uiPriority w:val="8"/>
    <w:semiHidden/>
    <w:rsid w:val="0048790C"/>
    <w:pPr>
      <w:numPr>
        <w:ilvl w:val="5"/>
      </w:numPr>
    </w:pPr>
  </w:style>
  <w:style w:type="paragraph" w:customStyle="1" w:styleId="NumberedList16">
    <w:name w:val="Numbered List: 1) 6"/>
    <w:basedOn w:val="NumberedList15"/>
    <w:uiPriority w:val="8"/>
    <w:rsid w:val="0048790C"/>
    <w:pPr>
      <w:numPr>
        <w:ilvl w:val="6"/>
      </w:numPr>
    </w:pPr>
  </w:style>
  <w:style w:type="paragraph" w:customStyle="1" w:styleId="NumberedList17">
    <w:name w:val="Numbered List: 1) 7"/>
    <w:basedOn w:val="NumberedList16"/>
    <w:uiPriority w:val="8"/>
    <w:semiHidden/>
    <w:rsid w:val="0048790C"/>
    <w:pPr>
      <w:numPr>
        <w:ilvl w:val="7"/>
      </w:numPr>
    </w:pPr>
  </w:style>
  <w:style w:type="paragraph" w:customStyle="1" w:styleId="NumberedList18">
    <w:name w:val="Numbered List: 1) 8"/>
    <w:basedOn w:val="NumberedList17"/>
    <w:uiPriority w:val="8"/>
    <w:rsid w:val="0048790C"/>
    <w:pPr>
      <w:numPr>
        <w:ilvl w:val="8"/>
      </w:numPr>
    </w:pPr>
  </w:style>
  <w:style w:type="paragraph" w:customStyle="1" w:styleId="NumberedLista">
    <w:name w:val="Numbered List: a)"/>
    <w:basedOn w:val="PlainParagraph"/>
    <w:uiPriority w:val="8"/>
    <w:rsid w:val="0048790C"/>
    <w:pPr>
      <w:numPr>
        <w:numId w:val="38"/>
      </w:numPr>
      <w:spacing w:before="0"/>
    </w:pPr>
  </w:style>
  <w:style w:type="paragraph" w:customStyle="1" w:styleId="NumberedLista1">
    <w:name w:val="Numbered List: a) 1"/>
    <w:aliases w:val="a)"/>
    <w:basedOn w:val="NumberedLista"/>
    <w:uiPriority w:val="8"/>
    <w:qFormat/>
    <w:rsid w:val="0048790C"/>
    <w:pPr>
      <w:numPr>
        <w:ilvl w:val="1"/>
      </w:numPr>
    </w:pPr>
  </w:style>
  <w:style w:type="paragraph" w:customStyle="1" w:styleId="NumberedLista2">
    <w:name w:val="Numbered List: a) 2"/>
    <w:basedOn w:val="NumberedLista1"/>
    <w:uiPriority w:val="8"/>
    <w:semiHidden/>
    <w:rsid w:val="0048790C"/>
    <w:pPr>
      <w:numPr>
        <w:ilvl w:val="2"/>
      </w:numPr>
    </w:pPr>
  </w:style>
  <w:style w:type="paragraph" w:customStyle="1" w:styleId="NumberedLista3">
    <w:name w:val="Numbered List: a) 3"/>
    <w:basedOn w:val="NumberedLista2"/>
    <w:uiPriority w:val="8"/>
    <w:rsid w:val="0048790C"/>
    <w:pPr>
      <w:numPr>
        <w:ilvl w:val="3"/>
      </w:numPr>
    </w:pPr>
  </w:style>
  <w:style w:type="paragraph" w:customStyle="1" w:styleId="NumberedLista4">
    <w:name w:val="Numbered List: a) 4"/>
    <w:basedOn w:val="NumberedLista3"/>
    <w:uiPriority w:val="8"/>
    <w:rsid w:val="0048790C"/>
    <w:pPr>
      <w:numPr>
        <w:ilvl w:val="4"/>
      </w:numPr>
    </w:pPr>
  </w:style>
  <w:style w:type="paragraph" w:customStyle="1" w:styleId="NumberedLista5">
    <w:name w:val="Numbered List: a) 5"/>
    <w:basedOn w:val="NumberedLista4"/>
    <w:uiPriority w:val="8"/>
    <w:rsid w:val="0048790C"/>
    <w:pPr>
      <w:numPr>
        <w:ilvl w:val="5"/>
      </w:numPr>
    </w:pPr>
  </w:style>
  <w:style w:type="paragraph" w:customStyle="1" w:styleId="NumberedLista6">
    <w:name w:val="Numbered List: a) 6"/>
    <w:basedOn w:val="NumberedLista5"/>
    <w:uiPriority w:val="8"/>
    <w:semiHidden/>
    <w:rsid w:val="0048790C"/>
    <w:pPr>
      <w:numPr>
        <w:ilvl w:val="6"/>
      </w:numPr>
    </w:pPr>
  </w:style>
  <w:style w:type="paragraph" w:customStyle="1" w:styleId="NumberedLista7">
    <w:name w:val="Numbered List: a) 7"/>
    <w:basedOn w:val="NumberedLista6"/>
    <w:uiPriority w:val="8"/>
    <w:rsid w:val="0048790C"/>
    <w:pPr>
      <w:numPr>
        <w:ilvl w:val="7"/>
      </w:numPr>
    </w:pPr>
  </w:style>
  <w:style w:type="paragraph" w:customStyle="1" w:styleId="NumberedLista8">
    <w:name w:val="Numbered List: a) 8"/>
    <w:basedOn w:val="NumberedLista7"/>
    <w:uiPriority w:val="8"/>
    <w:rsid w:val="0048790C"/>
    <w:pPr>
      <w:numPr>
        <w:ilvl w:val="8"/>
      </w:numPr>
    </w:pPr>
  </w:style>
  <w:style w:type="character" w:styleId="PageNumber">
    <w:name w:val="page number"/>
    <w:basedOn w:val="DefaultParagraphFont"/>
    <w:uiPriority w:val="99"/>
    <w:rsid w:val="0048790C"/>
    <w:rPr>
      <w:rFonts w:ascii="Arial" w:hAnsi="Arial" w:cs="Arial"/>
      <w:b w:val="0"/>
      <w:i w:val="0"/>
      <w:sz w:val="16"/>
    </w:rPr>
  </w:style>
  <w:style w:type="paragraph" w:customStyle="1" w:styleId="Notes-client">
    <w:name w:val="Notes - client"/>
    <w:aliases w:val="N Client"/>
    <w:basedOn w:val="PlainParagraph"/>
    <w:uiPriority w:val="6"/>
    <w:qFormat/>
    <w:rsid w:val="0048790C"/>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48790C"/>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99"/>
    <w:rsid w:val="0048790C"/>
    <w:rPr>
      <w:vanish/>
      <w:color w:val="0000FF"/>
    </w:rPr>
  </w:style>
  <w:style w:type="paragraph" w:customStyle="1" w:styleId="TableHeading1">
    <w:name w:val="Table: Heading 1"/>
    <w:basedOn w:val="PlainParagraph"/>
    <w:uiPriority w:val="12"/>
    <w:rsid w:val="0048790C"/>
    <w:pPr>
      <w:keepNext/>
      <w:keepLines/>
      <w:spacing w:before="60" w:after="0" w:line="240" w:lineRule="atLeast"/>
    </w:pPr>
    <w:rPr>
      <w:b/>
      <w:caps/>
      <w:sz w:val="20"/>
    </w:rPr>
  </w:style>
  <w:style w:type="paragraph" w:customStyle="1" w:styleId="TableHeading3">
    <w:name w:val="Table: Heading 3"/>
    <w:basedOn w:val="HeadingBase"/>
    <w:next w:val="TablePlainParagraph"/>
    <w:uiPriority w:val="12"/>
    <w:rsid w:val="0048790C"/>
    <w:pPr>
      <w:keepNext/>
      <w:keepLines/>
      <w:spacing w:before="60" w:line="240" w:lineRule="atLeast"/>
    </w:pPr>
    <w:rPr>
      <w:b/>
      <w:i/>
    </w:rPr>
  </w:style>
  <w:style w:type="paragraph" w:customStyle="1" w:styleId="TableHeading4">
    <w:name w:val="Table: Heading 4"/>
    <w:basedOn w:val="HeadingBase"/>
    <w:next w:val="TablePlainParagraph"/>
    <w:uiPriority w:val="12"/>
    <w:rsid w:val="0048790C"/>
    <w:pPr>
      <w:keepNext/>
      <w:keepLines/>
      <w:spacing w:before="60" w:line="240" w:lineRule="atLeast"/>
    </w:pPr>
    <w:rPr>
      <w:i/>
    </w:rPr>
  </w:style>
  <w:style w:type="paragraph" w:customStyle="1" w:styleId="TableHeading5">
    <w:name w:val="Table: Heading 5"/>
    <w:basedOn w:val="HeadingBase"/>
    <w:next w:val="TablePlainParagraph"/>
    <w:uiPriority w:val="12"/>
    <w:rsid w:val="0048790C"/>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48790C"/>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48790C"/>
    <w:pPr>
      <w:tabs>
        <w:tab w:val="left" w:pos="283"/>
        <w:tab w:val="left" w:pos="567"/>
      </w:tabs>
      <w:spacing w:before="0"/>
      <w:ind w:left="283" w:hanging="283"/>
    </w:pPr>
  </w:style>
  <w:style w:type="paragraph" w:customStyle="1" w:styleId="TableQAText">
    <w:name w:val="Table: Q&amp;A: Text"/>
    <w:basedOn w:val="TablePlainParagraph"/>
    <w:uiPriority w:val="12"/>
    <w:rsid w:val="0048790C"/>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48790C"/>
    <w:pPr>
      <w:numPr>
        <w:numId w:val="15"/>
      </w:numPr>
    </w:pPr>
  </w:style>
  <w:style w:type="paragraph" w:customStyle="1" w:styleId="TableNumberLevel2">
    <w:name w:val="Table: Number Level 2"/>
    <w:basedOn w:val="TablePlainParagraph"/>
    <w:uiPriority w:val="12"/>
    <w:rsid w:val="0048790C"/>
    <w:pPr>
      <w:numPr>
        <w:ilvl w:val="1"/>
        <w:numId w:val="15"/>
      </w:numPr>
    </w:pPr>
  </w:style>
  <w:style w:type="paragraph" w:customStyle="1" w:styleId="TableNumberLevel3">
    <w:name w:val="Table: Number Level 3"/>
    <w:basedOn w:val="TablePlainParagraph"/>
    <w:uiPriority w:val="12"/>
    <w:rsid w:val="0048790C"/>
    <w:pPr>
      <w:numPr>
        <w:ilvl w:val="2"/>
        <w:numId w:val="15"/>
      </w:numPr>
    </w:pPr>
  </w:style>
  <w:style w:type="paragraph" w:customStyle="1" w:styleId="TableNumberLevel4">
    <w:name w:val="Table: Number Level 4"/>
    <w:basedOn w:val="TablePlainParagraph"/>
    <w:uiPriority w:val="12"/>
    <w:rsid w:val="0048790C"/>
    <w:pPr>
      <w:numPr>
        <w:ilvl w:val="3"/>
        <w:numId w:val="15"/>
      </w:numPr>
      <w:spacing w:before="0"/>
    </w:pPr>
  </w:style>
  <w:style w:type="paragraph" w:customStyle="1" w:styleId="TableNumberLevel5">
    <w:name w:val="Table: Number Level 5"/>
    <w:basedOn w:val="TablePlainParagraph"/>
    <w:uiPriority w:val="12"/>
    <w:rsid w:val="0048790C"/>
    <w:pPr>
      <w:numPr>
        <w:ilvl w:val="4"/>
        <w:numId w:val="15"/>
      </w:numPr>
      <w:spacing w:before="0"/>
    </w:pPr>
  </w:style>
  <w:style w:type="paragraph" w:customStyle="1" w:styleId="TableNumberLevel6">
    <w:name w:val="Table: Number Level 6"/>
    <w:basedOn w:val="TablePlainParagraph"/>
    <w:uiPriority w:val="12"/>
    <w:semiHidden/>
    <w:rsid w:val="0048790C"/>
    <w:pPr>
      <w:numPr>
        <w:ilvl w:val="5"/>
        <w:numId w:val="15"/>
      </w:numPr>
      <w:spacing w:before="0"/>
    </w:pPr>
  </w:style>
  <w:style w:type="paragraph" w:customStyle="1" w:styleId="TableNumberLevel7">
    <w:name w:val="Table: Number Level 7"/>
    <w:basedOn w:val="TablePlainParagraph"/>
    <w:uiPriority w:val="12"/>
    <w:rsid w:val="0048790C"/>
    <w:pPr>
      <w:numPr>
        <w:ilvl w:val="6"/>
        <w:numId w:val="15"/>
      </w:numPr>
      <w:spacing w:before="0"/>
    </w:pPr>
  </w:style>
  <w:style w:type="paragraph" w:customStyle="1" w:styleId="TableNumberLevel8">
    <w:name w:val="Table: Number Level 8"/>
    <w:basedOn w:val="TablePlainParagraph"/>
    <w:uiPriority w:val="12"/>
    <w:semiHidden/>
    <w:rsid w:val="0048790C"/>
    <w:pPr>
      <w:numPr>
        <w:ilvl w:val="7"/>
        <w:numId w:val="15"/>
      </w:numPr>
      <w:spacing w:before="0"/>
    </w:pPr>
  </w:style>
  <w:style w:type="paragraph" w:customStyle="1" w:styleId="TableNumberLevel9">
    <w:name w:val="Table: Number Level 9"/>
    <w:basedOn w:val="TablePlainParagraph"/>
    <w:uiPriority w:val="12"/>
    <w:rsid w:val="0048790C"/>
    <w:pPr>
      <w:numPr>
        <w:ilvl w:val="8"/>
        <w:numId w:val="15"/>
      </w:numPr>
      <w:spacing w:before="0"/>
    </w:pPr>
  </w:style>
  <w:style w:type="paragraph" w:customStyle="1" w:styleId="TableDashEm">
    <w:name w:val="Table: Dash: Em"/>
    <w:basedOn w:val="TablePlainParagraph"/>
    <w:uiPriority w:val="12"/>
    <w:rsid w:val="0048790C"/>
    <w:pPr>
      <w:spacing w:before="0"/>
    </w:pPr>
  </w:style>
  <w:style w:type="paragraph" w:customStyle="1" w:styleId="TableDashEm1">
    <w:name w:val="Table: Dash: Em 1"/>
    <w:basedOn w:val="TablePlainParagraph"/>
    <w:uiPriority w:val="12"/>
    <w:semiHidden/>
    <w:rsid w:val="0048790C"/>
    <w:pPr>
      <w:spacing w:before="0"/>
    </w:pPr>
  </w:style>
  <w:style w:type="paragraph" w:customStyle="1" w:styleId="TableDashEn1">
    <w:name w:val="Table: Dash: En 1"/>
    <w:basedOn w:val="TablePlainParagraph"/>
    <w:uiPriority w:val="12"/>
    <w:rsid w:val="0048790C"/>
    <w:pPr>
      <w:numPr>
        <w:ilvl w:val="2"/>
        <w:numId w:val="23"/>
      </w:numPr>
      <w:spacing w:before="0"/>
    </w:pPr>
  </w:style>
  <w:style w:type="paragraph" w:customStyle="1" w:styleId="TableDashEn2">
    <w:name w:val="Table: Dash: En 2"/>
    <w:basedOn w:val="TablePlainParagraph"/>
    <w:uiPriority w:val="12"/>
    <w:semiHidden/>
    <w:rsid w:val="0048790C"/>
    <w:pPr>
      <w:numPr>
        <w:ilvl w:val="3"/>
        <w:numId w:val="23"/>
      </w:numPr>
      <w:spacing w:before="0"/>
    </w:pPr>
  </w:style>
  <w:style w:type="paragraph" w:customStyle="1" w:styleId="TableDashEn3">
    <w:name w:val="Table: Dash: En 3"/>
    <w:basedOn w:val="TablePlainParagraph"/>
    <w:uiPriority w:val="12"/>
    <w:rsid w:val="0048790C"/>
    <w:pPr>
      <w:numPr>
        <w:ilvl w:val="4"/>
        <w:numId w:val="23"/>
      </w:numPr>
      <w:spacing w:before="0"/>
    </w:pPr>
  </w:style>
  <w:style w:type="paragraph" w:customStyle="1" w:styleId="TableDashEn4">
    <w:name w:val="Table: Dash: En 4"/>
    <w:basedOn w:val="TablePlainParagraph"/>
    <w:uiPriority w:val="12"/>
    <w:semiHidden/>
    <w:rsid w:val="0048790C"/>
    <w:pPr>
      <w:numPr>
        <w:ilvl w:val="5"/>
        <w:numId w:val="23"/>
      </w:numPr>
      <w:spacing w:before="0"/>
    </w:pPr>
  </w:style>
  <w:style w:type="paragraph" w:customStyle="1" w:styleId="TableDashEn5">
    <w:name w:val="Table: Dash: En 5"/>
    <w:basedOn w:val="TablePlainParagraph"/>
    <w:uiPriority w:val="12"/>
    <w:rsid w:val="0048790C"/>
    <w:pPr>
      <w:numPr>
        <w:ilvl w:val="6"/>
        <w:numId w:val="23"/>
      </w:numPr>
      <w:spacing w:before="0"/>
    </w:pPr>
  </w:style>
  <w:style w:type="paragraph" w:customStyle="1" w:styleId="TableDashEn6">
    <w:name w:val="Table: Dash: En 6"/>
    <w:basedOn w:val="TablePlainParagraph"/>
    <w:uiPriority w:val="12"/>
    <w:semiHidden/>
    <w:rsid w:val="0048790C"/>
    <w:pPr>
      <w:numPr>
        <w:ilvl w:val="7"/>
        <w:numId w:val="23"/>
      </w:numPr>
      <w:spacing w:before="0"/>
    </w:pPr>
  </w:style>
  <w:style w:type="paragraph" w:customStyle="1" w:styleId="TableDashEn7">
    <w:name w:val="Table: Dash: En 7"/>
    <w:basedOn w:val="TablePlainParagraph"/>
    <w:uiPriority w:val="12"/>
    <w:rsid w:val="0048790C"/>
    <w:pPr>
      <w:numPr>
        <w:ilvl w:val="8"/>
        <w:numId w:val="23"/>
      </w:numPr>
      <w:spacing w:before="0"/>
    </w:pPr>
  </w:style>
  <w:style w:type="paragraph" w:customStyle="1" w:styleId="TableIndentHanging">
    <w:name w:val="Table: Indent: Hanging"/>
    <w:basedOn w:val="TablePlainParagraph"/>
    <w:uiPriority w:val="12"/>
    <w:semiHidden/>
    <w:rsid w:val="0048790C"/>
    <w:pPr>
      <w:numPr>
        <w:numId w:val="16"/>
      </w:numPr>
      <w:tabs>
        <w:tab w:val="left" w:pos="283"/>
      </w:tabs>
      <w:spacing w:before="0"/>
    </w:pPr>
  </w:style>
  <w:style w:type="paragraph" w:customStyle="1" w:styleId="TableIndentHanging1">
    <w:name w:val="Table: Indent: Hanging 1"/>
    <w:basedOn w:val="TablePlainParagraph"/>
    <w:uiPriority w:val="12"/>
    <w:rsid w:val="0048790C"/>
    <w:pPr>
      <w:numPr>
        <w:ilvl w:val="1"/>
        <w:numId w:val="16"/>
      </w:numPr>
      <w:tabs>
        <w:tab w:val="left" w:pos="283"/>
      </w:tabs>
      <w:spacing w:before="0"/>
    </w:pPr>
  </w:style>
  <w:style w:type="paragraph" w:customStyle="1" w:styleId="TableIndentHanging2">
    <w:name w:val="Table: Indent: Hanging 2"/>
    <w:basedOn w:val="TablePlainParagraph"/>
    <w:uiPriority w:val="12"/>
    <w:semiHidden/>
    <w:rsid w:val="0048790C"/>
    <w:pPr>
      <w:numPr>
        <w:ilvl w:val="2"/>
        <w:numId w:val="16"/>
      </w:numPr>
      <w:spacing w:before="0"/>
    </w:pPr>
  </w:style>
  <w:style w:type="paragraph" w:customStyle="1" w:styleId="TableIndentHanging3">
    <w:name w:val="Table: Indent: Hanging 3"/>
    <w:basedOn w:val="TablePlainParagraph"/>
    <w:uiPriority w:val="12"/>
    <w:rsid w:val="0048790C"/>
    <w:pPr>
      <w:numPr>
        <w:ilvl w:val="3"/>
        <w:numId w:val="16"/>
      </w:numPr>
      <w:spacing w:before="0"/>
    </w:pPr>
  </w:style>
  <w:style w:type="paragraph" w:customStyle="1" w:styleId="TableIndentHanging4">
    <w:name w:val="Table: Indent: Hanging 4"/>
    <w:basedOn w:val="TablePlainParagraph"/>
    <w:uiPriority w:val="12"/>
    <w:semiHidden/>
    <w:rsid w:val="0048790C"/>
    <w:pPr>
      <w:numPr>
        <w:ilvl w:val="4"/>
        <w:numId w:val="16"/>
      </w:numPr>
      <w:tabs>
        <w:tab w:val="left" w:pos="1134"/>
      </w:tabs>
      <w:spacing w:before="0"/>
    </w:pPr>
  </w:style>
  <w:style w:type="paragraph" w:customStyle="1" w:styleId="TableIndentHanging5">
    <w:name w:val="Table: Indent: Hanging 5"/>
    <w:basedOn w:val="TablePlainParagraph"/>
    <w:uiPriority w:val="12"/>
    <w:rsid w:val="0048790C"/>
    <w:pPr>
      <w:numPr>
        <w:ilvl w:val="5"/>
        <w:numId w:val="16"/>
      </w:numPr>
      <w:tabs>
        <w:tab w:val="left" w:pos="1417"/>
      </w:tabs>
      <w:spacing w:before="0"/>
    </w:pPr>
  </w:style>
  <w:style w:type="paragraph" w:customStyle="1" w:styleId="TableIndentHanging6">
    <w:name w:val="Table: Indent: Hanging 6"/>
    <w:basedOn w:val="TablePlainParagraph"/>
    <w:uiPriority w:val="12"/>
    <w:semiHidden/>
    <w:rsid w:val="0048790C"/>
    <w:pPr>
      <w:numPr>
        <w:ilvl w:val="6"/>
        <w:numId w:val="16"/>
      </w:numPr>
      <w:tabs>
        <w:tab w:val="left" w:pos="1701"/>
      </w:tabs>
      <w:spacing w:before="0"/>
    </w:pPr>
  </w:style>
  <w:style w:type="paragraph" w:customStyle="1" w:styleId="TableIndentHanging7">
    <w:name w:val="Table: Indent: Hanging 7"/>
    <w:basedOn w:val="TablePlainParagraph"/>
    <w:uiPriority w:val="12"/>
    <w:rsid w:val="0048790C"/>
    <w:pPr>
      <w:numPr>
        <w:ilvl w:val="7"/>
        <w:numId w:val="16"/>
      </w:numPr>
      <w:tabs>
        <w:tab w:val="left" w:pos="1984"/>
      </w:tabs>
      <w:spacing w:before="0"/>
    </w:pPr>
  </w:style>
  <w:style w:type="paragraph" w:customStyle="1" w:styleId="TableIndentHanging8">
    <w:name w:val="Table: Indent: Hanging 8"/>
    <w:basedOn w:val="TablePlainParagraph"/>
    <w:uiPriority w:val="12"/>
    <w:semiHidden/>
    <w:rsid w:val="0048790C"/>
    <w:pPr>
      <w:numPr>
        <w:ilvl w:val="8"/>
        <w:numId w:val="16"/>
      </w:numPr>
      <w:tabs>
        <w:tab w:val="left" w:pos="2268"/>
      </w:tabs>
      <w:spacing w:before="0"/>
    </w:pPr>
  </w:style>
  <w:style w:type="paragraph" w:customStyle="1" w:styleId="TableIndentFull">
    <w:name w:val="Table: Indent: Full"/>
    <w:basedOn w:val="TablePlainParagraph"/>
    <w:uiPriority w:val="12"/>
    <w:rsid w:val="0048790C"/>
    <w:pPr>
      <w:numPr>
        <w:numId w:val="17"/>
      </w:numPr>
      <w:spacing w:before="0"/>
    </w:pPr>
  </w:style>
  <w:style w:type="paragraph" w:customStyle="1" w:styleId="TableIndentFull1">
    <w:name w:val="Table: Indent: Full 1"/>
    <w:basedOn w:val="TablePlainParagraph"/>
    <w:uiPriority w:val="12"/>
    <w:rsid w:val="0048790C"/>
    <w:pPr>
      <w:numPr>
        <w:ilvl w:val="1"/>
        <w:numId w:val="17"/>
      </w:numPr>
      <w:spacing w:before="0"/>
    </w:pPr>
  </w:style>
  <w:style w:type="paragraph" w:customStyle="1" w:styleId="TableIndentFull2">
    <w:name w:val="Table: Indent: Full 2"/>
    <w:basedOn w:val="TablePlainParagraph"/>
    <w:uiPriority w:val="12"/>
    <w:rsid w:val="0048790C"/>
    <w:pPr>
      <w:numPr>
        <w:ilvl w:val="2"/>
        <w:numId w:val="17"/>
      </w:numPr>
      <w:spacing w:before="0"/>
    </w:pPr>
  </w:style>
  <w:style w:type="paragraph" w:customStyle="1" w:styleId="TableIndentFull3">
    <w:name w:val="Table: Indent: Full 3"/>
    <w:basedOn w:val="TablePlainParagraph"/>
    <w:uiPriority w:val="12"/>
    <w:semiHidden/>
    <w:rsid w:val="0048790C"/>
    <w:pPr>
      <w:numPr>
        <w:ilvl w:val="3"/>
        <w:numId w:val="17"/>
      </w:numPr>
      <w:spacing w:before="0"/>
    </w:pPr>
  </w:style>
  <w:style w:type="paragraph" w:customStyle="1" w:styleId="TableIndentFull4">
    <w:name w:val="Table: Indent: Full 4"/>
    <w:basedOn w:val="TablePlainParagraph"/>
    <w:uiPriority w:val="12"/>
    <w:rsid w:val="0048790C"/>
    <w:pPr>
      <w:numPr>
        <w:ilvl w:val="4"/>
        <w:numId w:val="17"/>
      </w:numPr>
      <w:spacing w:before="0"/>
    </w:pPr>
  </w:style>
  <w:style w:type="paragraph" w:customStyle="1" w:styleId="TableIndentFull5">
    <w:name w:val="Table: Indent: Full 5"/>
    <w:basedOn w:val="TablePlainParagraph"/>
    <w:uiPriority w:val="12"/>
    <w:semiHidden/>
    <w:rsid w:val="0048790C"/>
    <w:pPr>
      <w:numPr>
        <w:ilvl w:val="5"/>
        <w:numId w:val="17"/>
      </w:numPr>
      <w:spacing w:before="0"/>
    </w:pPr>
  </w:style>
  <w:style w:type="paragraph" w:customStyle="1" w:styleId="TableIndentFull6">
    <w:name w:val="Table: Indent: Full 6"/>
    <w:basedOn w:val="TablePlainParagraph"/>
    <w:uiPriority w:val="12"/>
    <w:rsid w:val="0048790C"/>
    <w:pPr>
      <w:numPr>
        <w:ilvl w:val="6"/>
        <w:numId w:val="17"/>
      </w:numPr>
      <w:spacing w:before="0"/>
    </w:pPr>
  </w:style>
  <w:style w:type="paragraph" w:customStyle="1" w:styleId="TableIndentFull7">
    <w:name w:val="Table: Indent: Full 7"/>
    <w:basedOn w:val="TablePlainParagraph"/>
    <w:uiPriority w:val="12"/>
    <w:semiHidden/>
    <w:rsid w:val="0048790C"/>
    <w:pPr>
      <w:numPr>
        <w:ilvl w:val="7"/>
        <w:numId w:val="17"/>
      </w:numPr>
      <w:spacing w:before="0"/>
    </w:pPr>
  </w:style>
  <w:style w:type="paragraph" w:customStyle="1" w:styleId="TableIndentFull8">
    <w:name w:val="Table: Indent: Full 8"/>
    <w:basedOn w:val="TablePlainParagraph"/>
    <w:uiPriority w:val="12"/>
    <w:rsid w:val="0048790C"/>
    <w:pPr>
      <w:numPr>
        <w:ilvl w:val="8"/>
        <w:numId w:val="17"/>
      </w:numPr>
      <w:spacing w:before="0"/>
    </w:pPr>
  </w:style>
  <w:style w:type="paragraph" w:customStyle="1" w:styleId="TableNumberedList1">
    <w:name w:val="Table: Numbered List: 1)"/>
    <w:basedOn w:val="TablePlainParagraph"/>
    <w:uiPriority w:val="12"/>
    <w:semiHidden/>
    <w:rsid w:val="0048790C"/>
    <w:pPr>
      <w:numPr>
        <w:numId w:val="18"/>
      </w:numPr>
      <w:spacing w:before="0"/>
    </w:pPr>
  </w:style>
  <w:style w:type="paragraph" w:customStyle="1" w:styleId="TableNumberedList11">
    <w:name w:val="Table: Numbered List: 1) 1"/>
    <w:basedOn w:val="TablePlainParagraph"/>
    <w:uiPriority w:val="12"/>
    <w:rsid w:val="0048790C"/>
    <w:pPr>
      <w:numPr>
        <w:ilvl w:val="1"/>
        <w:numId w:val="18"/>
      </w:numPr>
      <w:spacing w:before="0"/>
    </w:pPr>
  </w:style>
  <w:style w:type="paragraph" w:customStyle="1" w:styleId="TableNumberedList12">
    <w:name w:val="Table: Numbered List: 1) 2"/>
    <w:basedOn w:val="TablePlainParagraph"/>
    <w:uiPriority w:val="12"/>
    <w:semiHidden/>
    <w:rsid w:val="0048790C"/>
    <w:pPr>
      <w:numPr>
        <w:ilvl w:val="2"/>
        <w:numId w:val="18"/>
      </w:numPr>
      <w:spacing w:before="0"/>
    </w:pPr>
  </w:style>
  <w:style w:type="paragraph" w:customStyle="1" w:styleId="TableNumberedList13">
    <w:name w:val="Table: Numbered List: 1) 3"/>
    <w:basedOn w:val="TablePlainParagraph"/>
    <w:uiPriority w:val="12"/>
    <w:rsid w:val="0048790C"/>
    <w:pPr>
      <w:numPr>
        <w:ilvl w:val="3"/>
        <w:numId w:val="18"/>
      </w:numPr>
      <w:spacing w:before="0"/>
    </w:pPr>
  </w:style>
  <w:style w:type="paragraph" w:customStyle="1" w:styleId="TableNumberedList14">
    <w:name w:val="Table: Numbered List: 1) 4"/>
    <w:basedOn w:val="TablePlainParagraph"/>
    <w:uiPriority w:val="12"/>
    <w:semiHidden/>
    <w:rsid w:val="0048790C"/>
    <w:pPr>
      <w:numPr>
        <w:ilvl w:val="4"/>
        <w:numId w:val="18"/>
      </w:numPr>
      <w:spacing w:before="0"/>
    </w:pPr>
  </w:style>
  <w:style w:type="paragraph" w:customStyle="1" w:styleId="TableNumberedList15">
    <w:name w:val="Table: Numbered List: 1) 5"/>
    <w:basedOn w:val="TablePlainParagraph"/>
    <w:uiPriority w:val="12"/>
    <w:rsid w:val="0048790C"/>
    <w:pPr>
      <w:numPr>
        <w:ilvl w:val="5"/>
        <w:numId w:val="18"/>
      </w:numPr>
      <w:spacing w:before="0"/>
    </w:pPr>
  </w:style>
  <w:style w:type="paragraph" w:customStyle="1" w:styleId="TableNumberedList16">
    <w:name w:val="Table: Numbered List: 1) 6"/>
    <w:basedOn w:val="TablePlainParagraph"/>
    <w:uiPriority w:val="12"/>
    <w:semiHidden/>
    <w:rsid w:val="0048790C"/>
    <w:pPr>
      <w:numPr>
        <w:ilvl w:val="6"/>
        <w:numId w:val="18"/>
      </w:numPr>
      <w:spacing w:before="0"/>
    </w:pPr>
  </w:style>
  <w:style w:type="paragraph" w:customStyle="1" w:styleId="TableNumberedList17">
    <w:name w:val="Table: Numbered List: 1) 7"/>
    <w:basedOn w:val="TablePlainParagraph"/>
    <w:uiPriority w:val="12"/>
    <w:rsid w:val="0048790C"/>
    <w:pPr>
      <w:numPr>
        <w:ilvl w:val="7"/>
        <w:numId w:val="18"/>
      </w:numPr>
      <w:spacing w:before="0"/>
    </w:pPr>
  </w:style>
  <w:style w:type="paragraph" w:customStyle="1" w:styleId="TableNumberedList18">
    <w:name w:val="Table: Numbered List: 1) 8"/>
    <w:basedOn w:val="TablePlainParagraph"/>
    <w:uiPriority w:val="12"/>
    <w:semiHidden/>
    <w:rsid w:val="0048790C"/>
    <w:pPr>
      <w:numPr>
        <w:ilvl w:val="8"/>
        <w:numId w:val="18"/>
      </w:numPr>
      <w:spacing w:before="0"/>
    </w:pPr>
  </w:style>
  <w:style w:type="paragraph" w:customStyle="1" w:styleId="TableNumberedLista">
    <w:name w:val="Table: Numbered List: a)"/>
    <w:basedOn w:val="TablePlainParagraph"/>
    <w:uiPriority w:val="12"/>
    <w:rsid w:val="0048790C"/>
    <w:pPr>
      <w:numPr>
        <w:numId w:val="19"/>
      </w:numPr>
      <w:spacing w:before="0"/>
    </w:pPr>
  </w:style>
  <w:style w:type="paragraph" w:customStyle="1" w:styleId="TableNumberedLista1">
    <w:name w:val="Table: Numbered List: a) 1"/>
    <w:basedOn w:val="TablePlainParagraph"/>
    <w:uiPriority w:val="12"/>
    <w:rsid w:val="0048790C"/>
    <w:pPr>
      <w:numPr>
        <w:ilvl w:val="1"/>
        <w:numId w:val="19"/>
      </w:numPr>
      <w:spacing w:before="0"/>
    </w:pPr>
  </w:style>
  <w:style w:type="paragraph" w:customStyle="1" w:styleId="TableNumberedLista2">
    <w:name w:val="Table: Numbered List: a) 2"/>
    <w:basedOn w:val="TablePlainParagraph"/>
    <w:uiPriority w:val="12"/>
    <w:rsid w:val="0048790C"/>
    <w:pPr>
      <w:numPr>
        <w:ilvl w:val="2"/>
        <w:numId w:val="19"/>
      </w:numPr>
      <w:spacing w:before="0"/>
    </w:pPr>
  </w:style>
  <w:style w:type="paragraph" w:customStyle="1" w:styleId="TableNumberedLista3">
    <w:name w:val="Table: Numbered List: a) 3"/>
    <w:basedOn w:val="TablePlainParagraph"/>
    <w:uiPriority w:val="12"/>
    <w:semiHidden/>
    <w:rsid w:val="0048790C"/>
    <w:pPr>
      <w:numPr>
        <w:ilvl w:val="3"/>
        <w:numId w:val="19"/>
      </w:numPr>
      <w:spacing w:before="0"/>
    </w:pPr>
  </w:style>
  <w:style w:type="paragraph" w:customStyle="1" w:styleId="TableNumberedLista4">
    <w:name w:val="Table: Numbered List: a) 4"/>
    <w:basedOn w:val="TablePlainParagraph"/>
    <w:uiPriority w:val="12"/>
    <w:rsid w:val="0048790C"/>
    <w:pPr>
      <w:numPr>
        <w:ilvl w:val="4"/>
        <w:numId w:val="19"/>
      </w:numPr>
      <w:spacing w:before="0"/>
    </w:pPr>
  </w:style>
  <w:style w:type="paragraph" w:customStyle="1" w:styleId="TableNumberedLista5">
    <w:name w:val="Table: Numbered List: a) 5"/>
    <w:basedOn w:val="TablePlainParagraph"/>
    <w:uiPriority w:val="12"/>
    <w:semiHidden/>
    <w:rsid w:val="0048790C"/>
    <w:pPr>
      <w:numPr>
        <w:ilvl w:val="5"/>
        <w:numId w:val="19"/>
      </w:numPr>
      <w:spacing w:before="0"/>
    </w:pPr>
  </w:style>
  <w:style w:type="paragraph" w:customStyle="1" w:styleId="TableNumberedLista6">
    <w:name w:val="Table: Numbered List: a) 6"/>
    <w:basedOn w:val="TablePlainParagraph"/>
    <w:uiPriority w:val="12"/>
    <w:rsid w:val="0048790C"/>
    <w:pPr>
      <w:numPr>
        <w:ilvl w:val="6"/>
        <w:numId w:val="19"/>
      </w:numPr>
      <w:spacing w:before="0"/>
    </w:pPr>
  </w:style>
  <w:style w:type="paragraph" w:customStyle="1" w:styleId="TableNumberedLista7">
    <w:name w:val="Table: Numbered List: a) 7"/>
    <w:basedOn w:val="TablePlainParagraph"/>
    <w:uiPriority w:val="12"/>
    <w:semiHidden/>
    <w:rsid w:val="0048790C"/>
    <w:pPr>
      <w:numPr>
        <w:ilvl w:val="7"/>
        <w:numId w:val="19"/>
      </w:numPr>
      <w:spacing w:before="0"/>
    </w:pPr>
  </w:style>
  <w:style w:type="paragraph" w:customStyle="1" w:styleId="TableNumberedLista8">
    <w:name w:val="Table: Numbered List: a) 8"/>
    <w:basedOn w:val="TablePlainParagraph"/>
    <w:uiPriority w:val="12"/>
    <w:rsid w:val="0048790C"/>
    <w:pPr>
      <w:numPr>
        <w:ilvl w:val="8"/>
        <w:numId w:val="19"/>
      </w:numPr>
      <w:spacing w:before="0"/>
    </w:pPr>
  </w:style>
  <w:style w:type="paragraph" w:customStyle="1" w:styleId="Subrand">
    <w:name w:val="Subrand"/>
    <w:rsid w:val="0048790C"/>
    <w:pPr>
      <w:spacing w:after="0" w:line="200" w:lineRule="atLeast"/>
      <w:jc w:val="right"/>
    </w:pPr>
    <w:rPr>
      <w:rFonts w:ascii="Arial" w:eastAsia="Times New Roman" w:hAnsi="Arial" w:cs="Arial"/>
      <w:b/>
      <w:i/>
      <w:sz w:val="20"/>
      <w:lang w:eastAsia="en-AU"/>
    </w:rPr>
  </w:style>
  <w:style w:type="table" w:styleId="PlainTable1">
    <w:name w:val="Plain Table 1"/>
    <w:basedOn w:val="TableNormal"/>
    <w:uiPriority w:val="41"/>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itle">
    <w:name w:val="Table Title"/>
    <w:uiPriority w:val="98"/>
    <w:rsid w:val="0048790C"/>
    <w:pPr>
      <w:spacing w:before="60" w:after="0" w:line="240" w:lineRule="exact"/>
    </w:pPr>
    <w:rPr>
      <w:rFonts w:ascii="Arial" w:eastAsia="Times New Roman" w:hAnsi="Arial" w:cs="Arial"/>
      <w:b/>
      <w:lang w:eastAsia="en-AU"/>
    </w:rPr>
  </w:style>
  <w:style w:type="paragraph" w:customStyle="1" w:styleId="TableLabel">
    <w:name w:val="Table Label"/>
    <w:uiPriority w:val="98"/>
    <w:rsid w:val="0048790C"/>
    <w:pPr>
      <w:spacing w:before="60" w:after="0" w:line="240" w:lineRule="exact"/>
      <w:jc w:val="right"/>
    </w:pPr>
    <w:rPr>
      <w:rFonts w:ascii="Arial" w:eastAsia="Times New Roman" w:hAnsi="Arial" w:cs="Arial"/>
      <w:b/>
      <w:sz w:val="20"/>
      <w:szCs w:val="20"/>
      <w:lang w:eastAsia="en-AU"/>
    </w:rPr>
  </w:style>
  <w:style w:type="paragraph" w:customStyle="1" w:styleId="TableText">
    <w:name w:val="Table Text"/>
    <w:uiPriority w:val="98"/>
    <w:rsid w:val="0048790C"/>
    <w:pPr>
      <w:spacing w:before="60" w:after="0" w:line="240" w:lineRule="exact"/>
    </w:pPr>
    <w:rPr>
      <w:rFonts w:ascii="Arial" w:eastAsia="Times New Roman" w:hAnsi="Arial" w:cs="Arial"/>
      <w:lang w:eastAsia="en-AU"/>
    </w:rPr>
  </w:style>
  <w:style w:type="paragraph" w:customStyle="1" w:styleId="TableSubject">
    <w:name w:val="Table Subject"/>
    <w:uiPriority w:val="98"/>
    <w:rsid w:val="0048790C"/>
    <w:pPr>
      <w:spacing w:before="60" w:after="0" w:line="240" w:lineRule="exact"/>
    </w:pPr>
    <w:rPr>
      <w:rFonts w:ascii="Arial" w:eastAsia="Times New Roman" w:hAnsi="Arial" w:cs="Arial"/>
      <w:b/>
      <w:lang w:eastAsia="en-AU"/>
    </w:rPr>
  </w:style>
  <w:style w:type="paragraph" w:customStyle="1" w:styleId="NumberLevel1-NoIndent">
    <w:name w:val="Number Level 1 - No Indent"/>
    <w:basedOn w:val="TableNumberLevel1"/>
    <w:uiPriority w:val="1"/>
    <w:rsid w:val="0048790C"/>
    <w:rPr>
      <w:sz w:val="22"/>
    </w:rPr>
  </w:style>
  <w:style w:type="paragraph" w:customStyle="1" w:styleId="NumberLevel2-NoIndent">
    <w:name w:val="Number Level 2 - No Indent"/>
    <w:basedOn w:val="TableNumberLevel2"/>
    <w:uiPriority w:val="1"/>
    <w:rsid w:val="0048790C"/>
    <w:rPr>
      <w:sz w:val="22"/>
    </w:rPr>
  </w:style>
  <w:style w:type="character" w:customStyle="1" w:styleId="TableNumberLevel1Char">
    <w:name w:val="Table: Number Level 1 Char"/>
    <w:aliases w:val="Table N1 Char"/>
    <w:basedOn w:val="DefaultParagraphFont"/>
    <w:link w:val="TableNumberLevel1"/>
    <w:uiPriority w:val="12"/>
    <w:rsid w:val="0048790C"/>
    <w:rPr>
      <w:rFonts w:ascii="Arial" w:eastAsia="Times New Roman" w:hAnsi="Arial" w:cs="Arial"/>
      <w:sz w:val="20"/>
      <w:lang w:eastAsia="en-AU"/>
    </w:rPr>
  </w:style>
  <w:style w:type="paragraph" w:customStyle="1" w:styleId="NumberLevel3-NoIndent">
    <w:name w:val="Number Level 3 - No Indent"/>
    <w:basedOn w:val="TableNumberLevel3"/>
    <w:uiPriority w:val="1"/>
    <w:rsid w:val="0048790C"/>
    <w:rPr>
      <w:sz w:val="22"/>
    </w:rPr>
  </w:style>
  <w:style w:type="paragraph" w:customStyle="1" w:styleId="NumberLevel4-NoIndent">
    <w:name w:val="Number Level 4 - No Indent"/>
    <w:basedOn w:val="TableNumberLevel4"/>
    <w:uiPriority w:val="1"/>
    <w:rsid w:val="0048790C"/>
    <w:rPr>
      <w:sz w:val="22"/>
    </w:rPr>
  </w:style>
  <w:style w:type="paragraph" w:customStyle="1" w:styleId="NumberLevel5-NoIndent">
    <w:name w:val="Number Level 5 - No Indent"/>
    <w:basedOn w:val="TableNumberLevel5"/>
    <w:uiPriority w:val="1"/>
    <w:rsid w:val="0048790C"/>
    <w:rPr>
      <w:sz w:val="22"/>
    </w:rPr>
  </w:style>
  <w:style w:type="paragraph" w:customStyle="1" w:styleId="NumberLevel6-NoIndent">
    <w:name w:val="Number Level 6 - No Indent"/>
    <w:basedOn w:val="TableNumberLevel6"/>
    <w:uiPriority w:val="1"/>
    <w:rsid w:val="0048790C"/>
    <w:rPr>
      <w:sz w:val="22"/>
    </w:rPr>
  </w:style>
  <w:style w:type="paragraph" w:customStyle="1" w:styleId="NumberLevel7-NoIndent">
    <w:name w:val="Number Level 7 - No Indent"/>
    <w:basedOn w:val="TableNumberLevel7"/>
    <w:uiPriority w:val="1"/>
    <w:rsid w:val="0048790C"/>
    <w:rPr>
      <w:sz w:val="22"/>
    </w:rPr>
  </w:style>
  <w:style w:type="paragraph" w:customStyle="1" w:styleId="NumberLevel8-NoIndent">
    <w:name w:val="Number Level 8 - No Indent"/>
    <w:basedOn w:val="TableNumberLevel8"/>
    <w:uiPriority w:val="1"/>
    <w:rsid w:val="0048790C"/>
    <w:rPr>
      <w:sz w:val="22"/>
    </w:rPr>
  </w:style>
  <w:style w:type="paragraph" w:customStyle="1" w:styleId="NumberLevel9-NoIndent">
    <w:name w:val="Number Level 9 - No Indent"/>
    <w:basedOn w:val="TableNumberLevel9"/>
    <w:uiPriority w:val="1"/>
    <w:rsid w:val="0048790C"/>
    <w:rPr>
      <w:sz w:val="22"/>
    </w:rPr>
  </w:style>
  <w:style w:type="paragraph" w:customStyle="1" w:styleId="Answer">
    <w:name w:val="Answer"/>
    <w:aliases w:val="?A"/>
    <w:basedOn w:val="PlainParagraph"/>
    <w:next w:val="Question"/>
    <w:uiPriority w:val="7"/>
    <w:qFormat/>
    <w:rsid w:val="0048790C"/>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48790C"/>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48790C"/>
    <w:pPr>
      <w:keepNext/>
      <w:widowControl w:val="0"/>
      <w:ind w:left="425"/>
    </w:pPr>
    <w:rPr>
      <w:i/>
    </w:rPr>
  </w:style>
  <w:style w:type="paragraph" w:customStyle="1" w:styleId="Subbrand">
    <w:name w:val="Subbrand"/>
    <w:rsid w:val="0048790C"/>
    <w:pPr>
      <w:spacing w:after="0" w:line="200" w:lineRule="atLeast"/>
      <w:jc w:val="right"/>
    </w:pPr>
    <w:rPr>
      <w:rFonts w:ascii="Arial" w:eastAsia="Times New Roman" w:hAnsi="Arial" w:cs="Arial"/>
      <w:b/>
      <w:i/>
      <w:sz w:val="20"/>
      <w:szCs w:val="24"/>
      <w:lang w:eastAsia="en-AU"/>
    </w:rPr>
  </w:style>
  <w:style w:type="paragraph" w:customStyle="1" w:styleId="DashEM1outlook">
    <w:name w:val="Dash: EM 1 outlook"/>
    <w:basedOn w:val="DashEm1"/>
    <w:uiPriority w:val="3"/>
    <w:rsid w:val="0048790C"/>
    <w:pPr>
      <w:ind w:left="850"/>
    </w:pPr>
  </w:style>
  <w:style w:type="paragraph" w:customStyle="1" w:styleId="Dashen1outlook">
    <w:name w:val="Dash: en 1 outlook"/>
    <w:basedOn w:val="DashEn1"/>
    <w:uiPriority w:val="3"/>
    <w:rsid w:val="0048790C"/>
    <w:pPr>
      <w:ind w:left="1275"/>
    </w:pPr>
  </w:style>
  <w:style w:type="character" w:customStyle="1" w:styleId="DashEm1Char">
    <w:name w:val="Dash: Em 1 Char"/>
    <w:aliases w:val="-EM Char"/>
    <w:basedOn w:val="PlainParagraphChar"/>
    <w:link w:val="DashEm1"/>
    <w:uiPriority w:val="3"/>
    <w:rsid w:val="0048790C"/>
    <w:rPr>
      <w:rFonts w:ascii="Arial" w:eastAsia="Times New Roman" w:hAnsi="Arial" w:cs="Arial"/>
      <w:lang w:eastAsia="en-AU"/>
    </w:rPr>
  </w:style>
  <w:style w:type="character" w:customStyle="1" w:styleId="DashEn1Char">
    <w:name w:val="Dash: En 1 Char"/>
    <w:aliases w:val="-EN Char"/>
    <w:basedOn w:val="DefaultParagraphFont"/>
    <w:link w:val="DashEn1"/>
    <w:uiPriority w:val="3"/>
    <w:rsid w:val="0048790C"/>
    <w:rPr>
      <w:rFonts w:ascii="Arial" w:eastAsia="Times New Roman" w:hAnsi="Arial" w:cs="Arial"/>
      <w:lang w:eastAsia="en-AU"/>
    </w:rPr>
  </w:style>
  <w:style w:type="paragraph" w:customStyle="1" w:styleId="DashEM1forOutlook">
    <w:name w:val="Dash EM1 for Outlook"/>
    <w:basedOn w:val="DashEm1"/>
    <w:uiPriority w:val="3"/>
    <w:rsid w:val="0048790C"/>
    <w:pPr>
      <w:numPr>
        <w:ilvl w:val="1"/>
        <w:numId w:val="20"/>
      </w:numPr>
    </w:pPr>
    <w:rPr>
      <w:lang w:val="en-US"/>
    </w:rPr>
  </w:style>
  <w:style w:type="paragraph" w:customStyle="1" w:styleId="DashEN1forOutlook">
    <w:name w:val="Dash EN1 for Outlook"/>
    <w:basedOn w:val="DashEn1"/>
    <w:uiPriority w:val="3"/>
    <w:rsid w:val="0048790C"/>
    <w:pPr>
      <w:numPr>
        <w:numId w:val="20"/>
      </w:numPr>
    </w:pPr>
  </w:style>
  <w:style w:type="paragraph" w:customStyle="1" w:styleId="ClassificationDLMheader">
    <w:name w:val="Classification DLM: header"/>
    <w:basedOn w:val="ClassificationDLMfooter"/>
    <w:uiPriority w:val="20"/>
    <w:rsid w:val="0048790C"/>
  </w:style>
  <w:style w:type="paragraph" w:customStyle="1" w:styleId="ClassificationDLMfooter">
    <w:name w:val="Classification DLM: footer"/>
    <w:basedOn w:val="Normal"/>
    <w:uiPriority w:val="20"/>
    <w:semiHidden/>
    <w:rsid w:val="0048790C"/>
    <w:pPr>
      <w:widowControl w:val="0"/>
      <w:spacing w:line="280" w:lineRule="atLeast"/>
      <w:jc w:val="center"/>
    </w:pPr>
    <w:rPr>
      <w:color w:val="FF0000"/>
      <w:sz w:val="24"/>
    </w:rPr>
  </w:style>
  <w:style w:type="paragraph" w:customStyle="1" w:styleId="Leg7SubParaA">
    <w:name w:val="Leg7 SubPara: (A)"/>
    <w:aliases w:val="L7"/>
    <w:basedOn w:val="Leg6SubParai"/>
    <w:uiPriority w:val="5"/>
    <w:qFormat/>
    <w:rsid w:val="0048790C"/>
    <w:pPr>
      <w:ind w:left="3060" w:hanging="650"/>
    </w:pPr>
    <w:rPr>
      <w:rFonts w:cs="Times New Roman"/>
      <w:szCs w:val="20"/>
    </w:rPr>
  </w:style>
  <w:style w:type="paragraph" w:customStyle="1" w:styleId="LegislativeNote">
    <w:name w:val="Legislative Note"/>
    <w:aliases w:val="LN"/>
    <w:basedOn w:val="Leg4Subsec1"/>
    <w:uiPriority w:val="5"/>
    <w:qFormat/>
    <w:rsid w:val="0048790C"/>
    <w:pPr>
      <w:ind w:left="2127" w:hanging="851"/>
    </w:pPr>
    <w:rPr>
      <w:rFonts w:cs="Times New Roman"/>
      <w:sz w:val="16"/>
      <w:szCs w:val="20"/>
    </w:rPr>
  </w:style>
  <w:style w:type="paragraph" w:customStyle="1" w:styleId="Dot1">
    <w:name w:val="Dot1"/>
    <w:aliases w:val="DOT"/>
    <w:basedOn w:val="DashEm1"/>
    <w:link w:val="Dot1Char"/>
    <w:uiPriority w:val="2"/>
    <w:qFormat/>
    <w:rsid w:val="0048790C"/>
    <w:pPr>
      <w:numPr>
        <w:ilvl w:val="1"/>
        <w:numId w:val="21"/>
      </w:numPr>
    </w:pPr>
  </w:style>
  <w:style w:type="character" w:customStyle="1" w:styleId="Dot1Char">
    <w:name w:val="Dot1 Char"/>
    <w:aliases w:val="DOT Char"/>
    <w:basedOn w:val="DashEm1Char"/>
    <w:link w:val="Dot1"/>
    <w:uiPriority w:val="2"/>
    <w:rsid w:val="0048790C"/>
    <w:rPr>
      <w:rFonts w:ascii="Arial" w:eastAsia="Times New Roman" w:hAnsi="Arial" w:cs="Arial"/>
      <w:lang w:eastAsia="en-AU"/>
    </w:rPr>
  </w:style>
  <w:style w:type="paragraph" w:customStyle="1" w:styleId="Dot">
    <w:name w:val="Dot"/>
    <w:basedOn w:val="Dot1"/>
    <w:uiPriority w:val="2"/>
    <w:rsid w:val="0048790C"/>
  </w:style>
  <w:style w:type="paragraph" w:customStyle="1" w:styleId="Dot1forOutlook">
    <w:name w:val="Dot1 for Outlook"/>
    <w:basedOn w:val="DashEM1forOutlook"/>
    <w:uiPriority w:val="2"/>
    <w:semiHidden/>
    <w:rsid w:val="0048790C"/>
    <w:pPr>
      <w:numPr>
        <w:ilvl w:val="0"/>
        <w:numId w:val="22"/>
      </w:numPr>
    </w:pPr>
  </w:style>
  <w:style w:type="character" w:customStyle="1" w:styleId="OGCSubbrand">
    <w:name w:val="OGCSubbrand"/>
    <w:basedOn w:val="PlainParagraphChar"/>
    <w:uiPriority w:val="1"/>
    <w:rsid w:val="0048790C"/>
    <w:rPr>
      <w:rFonts w:ascii="Arial" w:eastAsia="Times New Roman" w:hAnsi="Arial" w:cs="Courier New"/>
      <w:b/>
      <w:i/>
      <w:color w:val="000000" w:themeColor="text1"/>
      <w:sz w:val="20"/>
      <w:szCs w:val="20"/>
      <w:lang w:eastAsia="en-AU"/>
    </w:rPr>
  </w:style>
  <w:style w:type="paragraph" w:customStyle="1" w:styleId="TableDot">
    <w:name w:val="Table: Dot"/>
    <w:basedOn w:val="TableDashEm1"/>
    <w:uiPriority w:val="12"/>
    <w:semiHidden/>
    <w:rsid w:val="0048790C"/>
    <w:pPr>
      <w:numPr>
        <w:numId w:val="23"/>
      </w:numPr>
    </w:pPr>
  </w:style>
  <w:style w:type="paragraph" w:customStyle="1" w:styleId="TableDot1">
    <w:name w:val="Table: Dot1"/>
    <w:basedOn w:val="TableDot"/>
    <w:uiPriority w:val="12"/>
    <w:rsid w:val="0048790C"/>
    <w:pPr>
      <w:numPr>
        <w:ilvl w:val="1"/>
      </w:numPr>
    </w:pPr>
  </w:style>
  <w:style w:type="paragraph" w:customStyle="1" w:styleId="AdviceSummary">
    <w:name w:val="AdviceSummary"/>
    <w:basedOn w:val="AdviceHeading2"/>
    <w:next w:val="PartSubHeading"/>
    <w:link w:val="AdviceSummaryChar"/>
    <w:rsid w:val="0048790C"/>
    <w:pPr>
      <w:pBdr>
        <w:top w:val="single" w:sz="18" w:space="1" w:color="204558"/>
      </w:pBdr>
      <w:shd w:val="clear" w:color="2F5496" w:themeColor="accent1" w:themeShade="BF" w:fill="auto"/>
      <w:spacing w:before="360" w:after="120" w:line="240" w:lineRule="atLeast"/>
    </w:pPr>
    <w:rPr>
      <w:color w:val="000000" w:themeColor="text1"/>
      <w:sz w:val="30"/>
      <w:szCs w:val="30"/>
    </w:rPr>
  </w:style>
  <w:style w:type="paragraph" w:customStyle="1" w:styleId="AdviceQuestion">
    <w:name w:val="AdviceQuestion"/>
    <w:aliases w:val="Advice Q"/>
    <w:basedOn w:val="Heading2"/>
    <w:next w:val="NumberLevel1"/>
    <w:link w:val="AdviceQuestionChar"/>
    <w:rsid w:val="0048790C"/>
    <w:pPr>
      <w:shd w:val="clear" w:color="auto" w:fill="C4DDEA"/>
      <w:spacing w:before="0" w:after="120"/>
    </w:pPr>
    <w:rPr>
      <w:b w:val="0"/>
    </w:rPr>
  </w:style>
  <w:style w:type="character" w:customStyle="1" w:styleId="AdviceQuestionChar">
    <w:name w:val="AdviceQuestion Char"/>
    <w:aliases w:val="Advice Q Char"/>
    <w:basedOn w:val="Heading2Char"/>
    <w:link w:val="AdviceQuestion"/>
    <w:rsid w:val="0048790C"/>
    <w:rPr>
      <w:rFonts w:ascii="Arial" w:eastAsia="Times New Roman" w:hAnsi="Arial" w:cs="Arial"/>
      <w:b w:val="0"/>
      <w:color w:val="000000" w:themeColor="text1"/>
      <w:sz w:val="26"/>
      <w:szCs w:val="26"/>
      <w:shd w:val="clear" w:color="auto" w:fill="C4DDEA"/>
      <w:lang w:eastAsia="en-AU"/>
    </w:rPr>
  </w:style>
  <w:style w:type="paragraph" w:customStyle="1" w:styleId="AdviceQruleabove">
    <w:name w:val="AdviceQ rule above"/>
    <w:aliases w:val="Advice QH"/>
    <w:basedOn w:val="AdviceSummary"/>
    <w:next w:val="AdviceQuestion"/>
    <w:link w:val="AdviceQruleaboveChar"/>
    <w:autoRedefine/>
    <w:rsid w:val="0048790C"/>
    <w:pPr>
      <w:pBdr>
        <w:top w:val="single" w:sz="12" w:space="1" w:color="C4DDEA"/>
      </w:pBdr>
      <w:spacing w:after="0"/>
    </w:pPr>
    <w:rPr>
      <w:sz w:val="26"/>
      <w:szCs w:val="26"/>
    </w:rPr>
  </w:style>
  <w:style w:type="character" w:customStyle="1" w:styleId="AdviceQruleaboveChar">
    <w:name w:val="AdviceQ rule above Char"/>
    <w:aliases w:val="Advice QH Char"/>
    <w:basedOn w:val="AdviceSummaryChar"/>
    <w:link w:val="AdviceQruleabove"/>
    <w:rsid w:val="0048790C"/>
    <w:rPr>
      <w:rFonts w:ascii="Arial" w:eastAsia="Times New Roman" w:hAnsi="Arial" w:cs="Arial"/>
      <w:b/>
      <w:color w:val="000000" w:themeColor="text1"/>
      <w:sz w:val="26"/>
      <w:szCs w:val="26"/>
      <w:shd w:val="clear" w:color="2F5496" w:themeColor="accent1" w:themeShade="BF" w:fill="auto"/>
      <w:lang w:eastAsia="en-AU"/>
    </w:rPr>
  </w:style>
  <w:style w:type="character" w:customStyle="1" w:styleId="AdviceSummaryChar">
    <w:name w:val="AdviceSummary Char"/>
    <w:basedOn w:val="DefaultParagraphFont"/>
    <w:link w:val="AdviceSummary"/>
    <w:rsid w:val="0048790C"/>
    <w:rPr>
      <w:rFonts w:ascii="Arial" w:eastAsia="Times New Roman" w:hAnsi="Arial" w:cs="Arial"/>
      <w:b/>
      <w:color w:val="000000" w:themeColor="text1"/>
      <w:sz w:val="30"/>
      <w:szCs w:val="30"/>
      <w:shd w:val="clear" w:color="2F5496" w:themeColor="accent1" w:themeShade="BF" w:fill="auto"/>
      <w:lang w:eastAsia="en-AU"/>
    </w:rPr>
  </w:style>
  <w:style w:type="paragraph" w:customStyle="1" w:styleId="Adviceheading20">
    <w:name w:val="Advice heading 2"/>
    <w:basedOn w:val="Heading1"/>
    <w:link w:val="Adviceheading2Char"/>
    <w:hidden/>
    <w:uiPriority w:val="98"/>
    <w:rsid w:val="0048790C"/>
    <w:rPr>
      <w:caps/>
    </w:rPr>
  </w:style>
  <w:style w:type="character" w:customStyle="1" w:styleId="Adviceheading2Char">
    <w:name w:val="Advice heading 2 Char"/>
    <w:basedOn w:val="Heading1Char"/>
    <w:link w:val="Adviceheading20"/>
    <w:uiPriority w:val="98"/>
    <w:rsid w:val="0048790C"/>
    <w:rPr>
      <w:rFonts w:ascii="Arial" w:eastAsia="Times New Roman" w:hAnsi="Arial" w:cs="Arial"/>
      <w:b/>
      <w:caps/>
      <w:color w:val="000000" w:themeColor="text1"/>
      <w:sz w:val="30"/>
      <w:szCs w:val="30"/>
      <w:shd w:val="clear" w:color="2F5496" w:themeColor="accent1" w:themeShade="BF" w:fill="auto"/>
      <w:lang w:eastAsia="en-AU"/>
    </w:rPr>
  </w:style>
  <w:style w:type="paragraph" w:customStyle="1" w:styleId="AdviceDate">
    <w:name w:val="AdviceDate"/>
    <w:basedOn w:val="PlainParagraph"/>
    <w:rsid w:val="0048790C"/>
    <w:pPr>
      <w:pBdr>
        <w:bottom w:val="single" w:sz="4" w:space="3" w:color="auto"/>
      </w:pBdr>
      <w:spacing w:before="0" w:after="240"/>
    </w:pPr>
    <w:rPr>
      <w:szCs w:val="20"/>
    </w:rPr>
  </w:style>
  <w:style w:type="paragraph" w:customStyle="1" w:styleId="AdviceSubPara">
    <w:name w:val="AdviceSubPara"/>
    <w:basedOn w:val="AdviceNumLevel1"/>
    <w:hidden/>
    <w:rsid w:val="0048790C"/>
    <w:pPr>
      <w:tabs>
        <w:tab w:val="clear" w:pos="709"/>
      </w:tabs>
      <w:ind w:left="1213" w:hanging="425"/>
    </w:pPr>
  </w:style>
  <w:style w:type="paragraph" w:customStyle="1" w:styleId="AdivePreparedFor">
    <w:name w:val="AdivePreparedFor"/>
    <w:basedOn w:val="PlainParagraph"/>
    <w:link w:val="AdivePreparedForChar"/>
    <w:hidden/>
    <w:uiPriority w:val="98"/>
    <w:rsid w:val="0048790C"/>
    <w:pPr>
      <w:spacing w:before="0" w:after="0"/>
    </w:pPr>
    <w:rPr>
      <w:b/>
    </w:rPr>
  </w:style>
  <w:style w:type="character" w:customStyle="1" w:styleId="AdivePreparedForChar">
    <w:name w:val="AdivePreparedFor Char"/>
    <w:basedOn w:val="PlainParagraphChar"/>
    <w:link w:val="AdivePreparedFor"/>
    <w:uiPriority w:val="98"/>
    <w:rsid w:val="0048790C"/>
    <w:rPr>
      <w:rFonts w:ascii="Arial" w:eastAsia="Times New Roman" w:hAnsi="Arial" w:cs="Arial"/>
      <w:b/>
      <w:lang w:eastAsia="en-AU"/>
    </w:rPr>
  </w:style>
  <w:style w:type="paragraph" w:customStyle="1" w:styleId="AdviceHeading3">
    <w:name w:val="AdviceHeading3"/>
    <w:aliases w:val="Advice H3"/>
    <w:basedOn w:val="Normal"/>
    <w:next w:val="AdviceNumLevel1"/>
    <w:link w:val="AdviceHeading3Char"/>
    <w:qFormat/>
    <w:rsid w:val="0048790C"/>
    <w:pPr>
      <w:keepNext/>
      <w:keepLines/>
      <w:spacing w:before="200" w:line="280" w:lineRule="atLeast"/>
      <w:outlineLvl w:val="1"/>
    </w:pPr>
    <w:rPr>
      <w:b/>
      <w:bCs/>
      <w:color w:val="204558"/>
      <w:kern w:val="32"/>
      <w:sz w:val="20"/>
    </w:rPr>
  </w:style>
  <w:style w:type="character" w:customStyle="1" w:styleId="AdviceHeading3Char">
    <w:name w:val="AdviceHeading3 Char"/>
    <w:aliases w:val="Advice H3 Char"/>
    <w:basedOn w:val="DefaultParagraphFont"/>
    <w:link w:val="AdviceHeading3"/>
    <w:rsid w:val="0048790C"/>
    <w:rPr>
      <w:rFonts w:ascii="Arial" w:eastAsia="Times New Roman" w:hAnsi="Arial" w:cs="Arial"/>
      <w:b/>
      <w:bCs/>
      <w:color w:val="204558"/>
      <w:kern w:val="32"/>
      <w:sz w:val="20"/>
      <w:lang w:eastAsia="en-AU"/>
    </w:rPr>
  </w:style>
  <w:style w:type="character" w:customStyle="1" w:styleId="AdviceHeading3Char0">
    <w:name w:val="Advice Heading 3 Char"/>
    <w:basedOn w:val="DefaultParagraphFont"/>
    <w:link w:val="AdviceHeading30"/>
    <w:locked/>
    <w:rsid w:val="0048790C"/>
    <w:rPr>
      <w:rFonts w:ascii="Arial" w:hAnsi="Arial" w:cs="Arial"/>
      <w:b/>
    </w:rPr>
  </w:style>
  <w:style w:type="paragraph" w:customStyle="1" w:styleId="AdviceHeading30">
    <w:name w:val="Advice Heading 3"/>
    <w:basedOn w:val="Normal"/>
    <w:link w:val="AdviceHeading3Char0"/>
    <w:hidden/>
    <w:rsid w:val="0048790C"/>
    <w:pPr>
      <w:spacing w:line="280" w:lineRule="atLeast"/>
    </w:pPr>
    <w:rPr>
      <w:rFonts w:eastAsiaTheme="minorHAnsi"/>
      <w:b/>
      <w:lang w:eastAsia="en-US"/>
    </w:rPr>
  </w:style>
  <w:style w:type="character" w:customStyle="1" w:styleId="AdvicePPChar">
    <w:name w:val="Advice PP Char"/>
    <w:basedOn w:val="DefaultParagraphFont"/>
    <w:link w:val="AdvicePP"/>
    <w:locked/>
    <w:rsid w:val="0048790C"/>
    <w:rPr>
      <w:rFonts w:ascii="Arial" w:hAnsi="Arial" w:cs="Arial"/>
    </w:rPr>
  </w:style>
  <w:style w:type="paragraph" w:customStyle="1" w:styleId="AdvicePP">
    <w:name w:val="Advice PP"/>
    <w:basedOn w:val="Normal"/>
    <w:link w:val="AdvicePPChar"/>
    <w:qFormat/>
    <w:rsid w:val="0048790C"/>
    <w:pPr>
      <w:spacing w:line="280" w:lineRule="atLeast"/>
    </w:pPr>
    <w:rPr>
      <w:rFonts w:eastAsiaTheme="minorHAnsi"/>
      <w:lang w:eastAsia="en-US"/>
    </w:rPr>
  </w:style>
  <w:style w:type="paragraph" w:customStyle="1" w:styleId="Plainparai">
    <w:name w:val="Plain para i."/>
    <w:aliases w:val="i"/>
    <w:basedOn w:val="Normal"/>
    <w:uiPriority w:val="94"/>
    <w:rsid w:val="0048790C"/>
    <w:pPr>
      <w:numPr>
        <w:numId w:val="29"/>
      </w:numPr>
      <w:spacing w:after="140" w:line="280" w:lineRule="atLeast"/>
    </w:pPr>
  </w:style>
  <w:style w:type="paragraph" w:customStyle="1" w:styleId="HiddenPara">
    <w:name w:val="Hidden Para"/>
    <w:basedOn w:val="PlainParagraph"/>
    <w:uiPriority w:val="27"/>
    <w:rsid w:val="0048790C"/>
    <w:pPr>
      <w:spacing w:before="280"/>
    </w:pPr>
    <w:rPr>
      <w:vanish/>
      <w:color w:val="0000FF"/>
    </w:rPr>
  </w:style>
  <w:style w:type="character" w:customStyle="1" w:styleId="HiddenText">
    <w:name w:val="Hidden Text"/>
    <w:uiPriority w:val="27"/>
    <w:rsid w:val="0048790C"/>
    <w:rPr>
      <w:rFonts w:ascii="Arial" w:hAnsi="Arial" w:cs="Arial"/>
      <w:b w:val="0"/>
      <w:i w:val="0"/>
      <w:vanish/>
      <w:color w:val="0000FF"/>
      <w:sz w:val="22"/>
    </w:rPr>
  </w:style>
  <w:style w:type="paragraph" w:customStyle="1" w:styleId="CourtNotice">
    <w:name w:val="Court Notice"/>
    <w:basedOn w:val="PlainParagraph"/>
    <w:uiPriority w:val="89"/>
    <w:unhideWhenUsed/>
    <w:rsid w:val="0048790C"/>
    <w:pPr>
      <w:spacing w:before="120" w:after="120"/>
    </w:pPr>
    <w:rPr>
      <w:rFonts w:cs="Times New Roman"/>
    </w:rPr>
  </w:style>
  <w:style w:type="paragraph" w:customStyle="1" w:styleId="CourtNoticeDate">
    <w:name w:val="Court Notice Date"/>
    <w:basedOn w:val="PlainParagraph"/>
    <w:uiPriority w:val="89"/>
    <w:unhideWhenUsed/>
    <w:rsid w:val="0048790C"/>
    <w:pPr>
      <w:spacing w:before="120" w:after="120" w:line="240" w:lineRule="atLeast"/>
    </w:pPr>
    <w:rPr>
      <w:rFonts w:cs="Times New Roman"/>
    </w:rPr>
  </w:style>
  <w:style w:type="paragraph" w:customStyle="1" w:styleId="CourtNoticeIndent">
    <w:name w:val="Court Notice Indent"/>
    <w:basedOn w:val="PlainParagraph"/>
    <w:uiPriority w:val="89"/>
    <w:unhideWhenUsed/>
    <w:rsid w:val="0048790C"/>
    <w:pPr>
      <w:spacing w:before="0" w:after="120"/>
      <w:ind w:left="567"/>
    </w:pPr>
    <w:rPr>
      <w:rFonts w:cs="Times New Roman"/>
    </w:rPr>
  </w:style>
  <w:style w:type="paragraph" w:customStyle="1" w:styleId="CourtNoticeNameAddress">
    <w:name w:val="Court Notice Name &amp; Address"/>
    <w:basedOn w:val="CourtNotice"/>
    <w:uiPriority w:val="89"/>
    <w:unhideWhenUsed/>
    <w:rsid w:val="0048790C"/>
    <w:pPr>
      <w:ind w:left="567"/>
    </w:pPr>
  </w:style>
  <w:style w:type="paragraph" w:customStyle="1" w:styleId="CourtNoticeNumberLevel1">
    <w:name w:val="Court Notice Number Level 1"/>
    <w:basedOn w:val="PlainParagraph"/>
    <w:uiPriority w:val="89"/>
    <w:unhideWhenUsed/>
    <w:rsid w:val="0048790C"/>
    <w:pPr>
      <w:numPr>
        <w:numId w:val="30"/>
      </w:numPr>
      <w:spacing w:before="120" w:after="120"/>
      <w:outlineLvl w:val="0"/>
    </w:pPr>
    <w:rPr>
      <w:rFonts w:cs="Times New Roman"/>
    </w:rPr>
  </w:style>
  <w:style w:type="paragraph" w:customStyle="1" w:styleId="CourtNoticeNumberLevel2">
    <w:name w:val="Court Notice Number Level 2"/>
    <w:basedOn w:val="PlainParagraph"/>
    <w:uiPriority w:val="89"/>
    <w:unhideWhenUsed/>
    <w:rsid w:val="0048790C"/>
    <w:pPr>
      <w:numPr>
        <w:ilvl w:val="1"/>
        <w:numId w:val="30"/>
      </w:numPr>
      <w:spacing w:before="120" w:after="120"/>
      <w:outlineLvl w:val="1"/>
    </w:pPr>
    <w:rPr>
      <w:rFonts w:cs="Times New Roman"/>
    </w:rPr>
  </w:style>
  <w:style w:type="paragraph" w:customStyle="1" w:styleId="CourtNoticeNumberLevel3">
    <w:name w:val="Court Notice Number Level 3"/>
    <w:basedOn w:val="PlainParagraph"/>
    <w:uiPriority w:val="89"/>
    <w:unhideWhenUsed/>
    <w:rsid w:val="0048790C"/>
    <w:pPr>
      <w:numPr>
        <w:ilvl w:val="2"/>
        <w:numId w:val="30"/>
      </w:numPr>
      <w:spacing w:before="120" w:after="120"/>
      <w:outlineLvl w:val="2"/>
    </w:pPr>
    <w:rPr>
      <w:rFonts w:cs="Times New Roman"/>
    </w:rPr>
  </w:style>
  <w:style w:type="paragraph" w:customStyle="1" w:styleId="CourtNoticeNumberLevel4">
    <w:name w:val="Court Notice Number Level 4"/>
    <w:basedOn w:val="PlainParagraph"/>
    <w:uiPriority w:val="89"/>
    <w:unhideWhenUsed/>
    <w:rsid w:val="0048790C"/>
    <w:pPr>
      <w:numPr>
        <w:ilvl w:val="3"/>
        <w:numId w:val="30"/>
      </w:numPr>
      <w:spacing w:before="120" w:after="120"/>
      <w:outlineLvl w:val="3"/>
    </w:pPr>
    <w:rPr>
      <w:rFonts w:cs="Times New Roman"/>
    </w:rPr>
  </w:style>
  <w:style w:type="paragraph" w:customStyle="1" w:styleId="CourtNoticeNumberLevel5">
    <w:name w:val="Court Notice Number Level 5"/>
    <w:basedOn w:val="PlainParagraph"/>
    <w:uiPriority w:val="89"/>
    <w:unhideWhenUsed/>
    <w:rsid w:val="0048790C"/>
    <w:pPr>
      <w:numPr>
        <w:ilvl w:val="4"/>
        <w:numId w:val="30"/>
      </w:numPr>
      <w:spacing w:before="120" w:after="120" w:line="240" w:lineRule="atLeast"/>
      <w:outlineLvl w:val="4"/>
    </w:pPr>
    <w:rPr>
      <w:rFonts w:cs="Times New Roman"/>
    </w:rPr>
  </w:style>
  <w:style w:type="paragraph" w:customStyle="1" w:styleId="CourtNoticeNumberLevel6">
    <w:name w:val="Court Notice Number Level 6"/>
    <w:basedOn w:val="PlainParagraph"/>
    <w:uiPriority w:val="89"/>
    <w:unhideWhenUsed/>
    <w:rsid w:val="0048790C"/>
    <w:pPr>
      <w:numPr>
        <w:ilvl w:val="5"/>
        <w:numId w:val="30"/>
      </w:numPr>
      <w:spacing w:before="120" w:after="120" w:line="240" w:lineRule="atLeast"/>
      <w:outlineLvl w:val="5"/>
    </w:pPr>
    <w:rPr>
      <w:rFonts w:cs="Times New Roman"/>
    </w:rPr>
  </w:style>
  <w:style w:type="paragraph" w:customStyle="1" w:styleId="CourtNoticeNumberLevel7">
    <w:name w:val="Court Notice Number Level 7"/>
    <w:basedOn w:val="PlainParagraph"/>
    <w:uiPriority w:val="89"/>
    <w:unhideWhenUsed/>
    <w:rsid w:val="0048790C"/>
    <w:pPr>
      <w:numPr>
        <w:ilvl w:val="6"/>
        <w:numId w:val="30"/>
      </w:numPr>
      <w:spacing w:before="120" w:after="120" w:line="240" w:lineRule="atLeast"/>
      <w:outlineLvl w:val="6"/>
    </w:pPr>
    <w:rPr>
      <w:rFonts w:cs="Times New Roman"/>
    </w:rPr>
  </w:style>
  <w:style w:type="paragraph" w:customStyle="1" w:styleId="CourtNoticeNumberLevel8">
    <w:name w:val="Court Notice Number Level 8"/>
    <w:basedOn w:val="PlainParagraph"/>
    <w:uiPriority w:val="89"/>
    <w:unhideWhenUsed/>
    <w:rsid w:val="0048790C"/>
    <w:pPr>
      <w:numPr>
        <w:ilvl w:val="7"/>
        <w:numId w:val="30"/>
      </w:numPr>
      <w:spacing w:before="120" w:after="120" w:line="240" w:lineRule="atLeast"/>
      <w:outlineLvl w:val="7"/>
    </w:pPr>
    <w:rPr>
      <w:rFonts w:cs="Times New Roman"/>
    </w:rPr>
  </w:style>
  <w:style w:type="paragraph" w:customStyle="1" w:styleId="CourtNoticeNumberLevel9">
    <w:name w:val="Court Notice Number Level 9"/>
    <w:basedOn w:val="PlainParagraph"/>
    <w:uiPriority w:val="89"/>
    <w:unhideWhenUsed/>
    <w:rsid w:val="0048790C"/>
    <w:pPr>
      <w:numPr>
        <w:ilvl w:val="8"/>
        <w:numId w:val="30"/>
      </w:numPr>
      <w:spacing w:before="120" w:after="120" w:line="240" w:lineRule="atLeast"/>
      <w:outlineLvl w:val="8"/>
    </w:pPr>
    <w:rPr>
      <w:rFonts w:cs="Times New Roman"/>
    </w:rPr>
  </w:style>
  <w:style w:type="paragraph" w:customStyle="1" w:styleId="CourtNoticeSignature">
    <w:name w:val="Court Notice Signature"/>
    <w:basedOn w:val="PlainParagraph"/>
    <w:uiPriority w:val="89"/>
    <w:unhideWhenUsed/>
    <w:rsid w:val="0048790C"/>
    <w:pPr>
      <w:spacing w:before="0" w:after="0" w:line="240" w:lineRule="atLeast"/>
      <w:jc w:val="right"/>
    </w:pPr>
    <w:rPr>
      <w:rFonts w:cs="Times New Roman"/>
    </w:rPr>
  </w:style>
  <w:style w:type="paragraph" w:customStyle="1" w:styleId="AdviceHeading2">
    <w:name w:val="AdviceHeading2"/>
    <w:aliases w:val="Advice H2"/>
    <w:basedOn w:val="Normal"/>
    <w:next w:val="AdviceNumLevel1"/>
    <w:link w:val="AdviceHeading2Char0"/>
    <w:qFormat/>
    <w:rsid w:val="0048790C"/>
    <w:pPr>
      <w:spacing w:before="200"/>
      <w:outlineLvl w:val="0"/>
    </w:pPr>
    <w:rPr>
      <w:b/>
    </w:rPr>
  </w:style>
  <w:style w:type="character" w:customStyle="1" w:styleId="AdviceHeading2Char0">
    <w:name w:val="AdviceHeading2 Char"/>
    <w:aliases w:val="Advice H2 Char"/>
    <w:basedOn w:val="DefaultParagraphFont"/>
    <w:link w:val="AdviceHeading2"/>
    <w:rsid w:val="0048790C"/>
    <w:rPr>
      <w:rFonts w:ascii="Arial" w:eastAsia="Times New Roman" w:hAnsi="Arial" w:cs="Arial"/>
      <w:b/>
      <w:lang w:eastAsia="en-AU"/>
    </w:rPr>
  </w:style>
  <w:style w:type="paragraph" w:customStyle="1" w:styleId="AdvicePreparedFor">
    <w:name w:val="AdvicePreparedFor"/>
    <w:basedOn w:val="PlainParagraph"/>
    <w:link w:val="AdvicePreparedForChar"/>
    <w:rsid w:val="0048790C"/>
    <w:pPr>
      <w:spacing w:before="0" w:after="0"/>
    </w:pPr>
    <w:rPr>
      <w:b/>
    </w:rPr>
  </w:style>
  <w:style w:type="character" w:customStyle="1" w:styleId="AdvicePreparedForChar">
    <w:name w:val="AdvicePreparedFor Char"/>
    <w:basedOn w:val="PlainParagraphChar"/>
    <w:link w:val="AdvicePreparedFor"/>
    <w:rsid w:val="0048790C"/>
    <w:rPr>
      <w:rFonts w:ascii="Arial" w:eastAsia="Times New Roman" w:hAnsi="Arial" w:cs="Arial"/>
      <w:b/>
      <w:lang w:eastAsia="en-AU"/>
    </w:rPr>
  </w:style>
  <w:style w:type="paragraph" w:customStyle="1" w:styleId="AdviceNumLevel2">
    <w:name w:val="AdviceNumLevel2"/>
    <w:aliases w:val="Advice N2"/>
    <w:basedOn w:val="NumberLevel2"/>
    <w:rsid w:val="0048790C"/>
  </w:style>
  <w:style w:type="paragraph" w:customStyle="1" w:styleId="AdviceRef">
    <w:name w:val="AdviceRef"/>
    <w:basedOn w:val="AdviceDate"/>
    <w:rsid w:val="0048790C"/>
    <w:pPr>
      <w:pBdr>
        <w:bottom w:val="none" w:sz="0" w:space="0" w:color="auto"/>
      </w:pBdr>
      <w:spacing w:after="0" w:line="240" w:lineRule="auto"/>
    </w:pPr>
  </w:style>
  <w:style w:type="paragraph" w:customStyle="1" w:styleId="AdviceQuestionNumbered">
    <w:name w:val="AdviceQuestionNumbered"/>
    <w:aliases w:val="Advice Qn"/>
    <w:basedOn w:val="AdviceQuestion"/>
    <w:link w:val="AdviceQuestionNumberedChar"/>
    <w:rsid w:val="0048790C"/>
    <w:pPr>
      <w:ind w:left="425" w:hanging="425"/>
    </w:pPr>
  </w:style>
  <w:style w:type="character" w:customStyle="1" w:styleId="AdviceQuestionNumberedChar">
    <w:name w:val="AdviceQuestionNumbered Char"/>
    <w:aliases w:val="Advice Qn Char"/>
    <w:basedOn w:val="AdviceQuestionChar"/>
    <w:link w:val="AdviceQuestionNumbered"/>
    <w:rsid w:val="0048790C"/>
    <w:rPr>
      <w:rFonts w:ascii="Arial" w:eastAsia="Times New Roman" w:hAnsi="Arial" w:cs="Arial"/>
      <w:b w:val="0"/>
      <w:color w:val="000000" w:themeColor="text1"/>
      <w:sz w:val="26"/>
      <w:szCs w:val="26"/>
      <w:shd w:val="clear" w:color="auto" w:fill="C4DDEA"/>
      <w:lang w:eastAsia="en-AU"/>
    </w:rPr>
  </w:style>
  <w:style w:type="paragraph" w:customStyle="1" w:styleId="SchHeader1">
    <w:name w:val="Sch Header 1"/>
    <w:next w:val="Normal"/>
    <w:hidden/>
    <w:rsid w:val="0048790C"/>
    <w:pPr>
      <w:keepNext/>
      <w:numPr>
        <w:numId w:val="31"/>
      </w:numPr>
      <w:spacing w:before="240" w:after="0" w:line="240" w:lineRule="auto"/>
      <w:jc w:val="both"/>
    </w:pPr>
    <w:rPr>
      <w:rFonts w:ascii="Arial" w:eastAsia="Times New Roman" w:hAnsi="Arial" w:cs="Arial"/>
      <w:sz w:val="20"/>
      <w:szCs w:val="20"/>
    </w:rPr>
  </w:style>
  <w:style w:type="paragraph" w:customStyle="1" w:styleId="SH1">
    <w:name w:val="SH1"/>
    <w:hidden/>
    <w:rsid w:val="0048790C"/>
    <w:pPr>
      <w:numPr>
        <w:ilvl w:val="1"/>
        <w:numId w:val="31"/>
      </w:numPr>
      <w:spacing w:before="240" w:after="0" w:line="240" w:lineRule="auto"/>
      <w:jc w:val="both"/>
    </w:pPr>
    <w:rPr>
      <w:rFonts w:ascii="Arial" w:eastAsia="Times New Roman" w:hAnsi="Arial" w:cs="Arial"/>
      <w:sz w:val="20"/>
      <w:szCs w:val="20"/>
    </w:rPr>
  </w:style>
  <w:style w:type="paragraph" w:customStyle="1" w:styleId="SH11">
    <w:name w:val="SH1.1"/>
    <w:hidden/>
    <w:rsid w:val="0048790C"/>
    <w:pPr>
      <w:numPr>
        <w:ilvl w:val="2"/>
        <w:numId w:val="31"/>
      </w:numPr>
      <w:spacing w:before="240" w:after="0" w:line="240" w:lineRule="auto"/>
      <w:jc w:val="both"/>
    </w:pPr>
    <w:rPr>
      <w:rFonts w:ascii="Arial" w:eastAsia="Times New Roman" w:hAnsi="Arial" w:cs="Arial"/>
      <w:sz w:val="20"/>
      <w:szCs w:val="20"/>
    </w:rPr>
  </w:style>
  <w:style w:type="paragraph" w:customStyle="1" w:styleId="SH12">
    <w:name w:val="SH1.2"/>
    <w:hidden/>
    <w:rsid w:val="0048790C"/>
    <w:pPr>
      <w:numPr>
        <w:ilvl w:val="3"/>
        <w:numId w:val="31"/>
      </w:numPr>
      <w:spacing w:before="240" w:after="0" w:line="240" w:lineRule="auto"/>
      <w:jc w:val="both"/>
    </w:pPr>
    <w:rPr>
      <w:rFonts w:ascii="Arial" w:eastAsia="Times New Roman" w:hAnsi="Arial" w:cs="Arial"/>
      <w:sz w:val="20"/>
      <w:szCs w:val="20"/>
    </w:rPr>
  </w:style>
  <w:style w:type="paragraph" w:customStyle="1" w:styleId="SH13">
    <w:name w:val="SH1.3"/>
    <w:hidden/>
    <w:rsid w:val="0048790C"/>
    <w:pPr>
      <w:numPr>
        <w:ilvl w:val="4"/>
        <w:numId w:val="31"/>
      </w:numPr>
      <w:spacing w:before="240" w:after="0" w:line="240" w:lineRule="auto"/>
      <w:jc w:val="both"/>
    </w:pPr>
    <w:rPr>
      <w:rFonts w:ascii="Arial" w:eastAsia="Times New Roman" w:hAnsi="Arial" w:cs="Arial"/>
      <w:sz w:val="20"/>
      <w:szCs w:val="20"/>
    </w:rPr>
  </w:style>
  <w:style w:type="character" w:customStyle="1" w:styleId="Quotation1Char">
    <w:name w:val="Quotation 1 Char"/>
    <w:link w:val="Quotation1"/>
    <w:locked/>
    <w:rsid w:val="0048790C"/>
    <w:rPr>
      <w:rFonts w:ascii="Arial" w:eastAsia="Times New Roman" w:hAnsi="Arial" w:cs="Arial"/>
      <w:sz w:val="20"/>
      <w:lang w:eastAsia="en-AU"/>
    </w:rPr>
  </w:style>
  <w:style w:type="character" w:customStyle="1" w:styleId="ListParagraphChar">
    <w:name w:val="List Paragraph Char"/>
    <w:aliases w:val="NFP GP Bulleted List Char,List1 Char,LP Char,cS List Paragraph Char,List Paragraph1 Char,Bulletr List Paragraph Char,Use Case List Paragraph Char,lp1 Char,Bullet point Char,Bullets Char,CV text Char,Dot pt Char,F5 List Paragraph Char"/>
    <w:basedOn w:val="DefaultParagraphFont"/>
    <w:link w:val="ListParagraph"/>
    <w:uiPriority w:val="98"/>
    <w:qFormat/>
    <w:locked/>
    <w:rsid w:val="0048790C"/>
    <w:rPr>
      <w:rFonts w:ascii="Arial" w:eastAsia="Times New Roman" w:hAnsi="Arial" w:cs="Arial"/>
      <w:lang w:eastAsia="en-AU"/>
    </w:rPr>
  </w:style>
  <w:style w:type="character" w:customStyle="1" w:styleId="NumberLevel1Char">
    <w:name w:val="Number Level 1 Char"/>
    <w:basedOn w:val="DefaultParagraphFont"/>
    <w:hidden/>
    <w:uiPriority w:val="1"/>
    <w:locked/>
    <w:rsid w:val="0048790C"/>
    <w:rPr>
      <w:rFonts w:ascii="Arial" w:eastAsia="Times New Roman" w:hAnsi="Arial" w:cs="Arial"/>
    </w:rPr>
  </w:style>
  <w:style w:type="paragraph" w:customStyle="1" w:styleId="acthead5">
    <w:name w:val="acthead5"/>
    <w:basedOn w:val="Normal"/>
    <w:hidden/>
    <w:rsid w:val="0048790C"/>
    <w:pPr>
      <w:spacing w:before="100" w:beforeAutospacing="1" w:after="100" w:afterAutospacing="1"/>
    </w:pPr>
    <w:rPr>
      <w:rFonts w:ascii="Times New Roman" w:hAnsi="Times New Roman" w:cs="Times New Roman"/>
      <w:sz w:val="24"/>
      <w:szCs w:val="24"/>
    </w:rPr>
  </w:style>
  <w:style w:type="character" w:customStyle="1" w:styleId="charsectno">
    <w:name w:val="charsectno"/>
    <w:basedOn w:val="DefaultParagraphFont"/>
    <w:hidden/>
    <w:rsid w:val="0048790C"/>
  </w:style>
  <w:style w:type="paragraph" w:customStyle="1" w:styleId="subsection">
    <w:name w:val="subsection"/>
    <w:basedOn w:val="Normal"/>
    <w:rsid w:val="0048790C"/>
    <w:pPr>
      <w:spacing w:before="100" w:beforeAutospacing="1" w:after="100" w:afterAutospacing="1"/>
    </w:pPr>
    <w:rPr>
      <w:rFonts w:ascii="Times New Roman" w:hAnsi="Times New Roman" w:cs="Times New Roman"/>
      <w:sz w:val="24"/>
      <w:szCs w:val="24"/>
    </w:rPr>
  </w:style>
  <w:style w:type="paragraph" w:customStyle="1" w:styleId="notetext">
    <w:name w:val="notetext"/>
    <w:basedOn w:val="Normal"/>
    <w:hidden/>
    <w:rsid w:val="0048790C"/>
    <w:pPr>
      <w:spacing w:before="100" w:beforeAutospacing="1" w:after="100" w:afterAutospacing="1"/>
    </w:pPr>
    <w:rPr>
      <w:rFonts w:ascii="Times New Roman" w:hAnsi="Times New Roman" w:cs="Times New Roman"/>
      <w:sz w:val="24"/>
      <w:szCs w:val="24"/>
    </w:rPr>
  </w:style>
  <w:style w:type="paragraph" w:customStyle="1" w:styleId="paragraph">
    <w:name w:val="paragraph"/>
    <w:basedOn w:val="Normal"/>
    <w:hidden/>
    <w:rsid w:val="0048790C"/>
    <w:pPr>
      <w:spacing w:before="100" w:beforeAutospacing="1" w:after="100" w:afterAutospacing="1"/>
    </w:pPr>
    <w:rPr>
      <w:rFonts w:ascii="Times New Roman" w:hAnsi="Times New Roman" w:cs="Times New Roman"/>
      <w:sz w:val="24"/>
      <w:szCs w:val="24"/>
    </w:rPr>
  </w:style>
  <w:style w:type="paragraph" w:customStyle="1" w:styleId="paragraphsub">
    <w:name w:val="paragraphsub"/>
    <w:basedOn w:val="Normal"/>
    <w:hidden/>
    <w:rsid w:val="0048790C"/>
    <w:pPr>
      <w:spacing w:before="100" w:beforeAutospacing="1" w:after="100" w:afterAutospacing="1"/>
    </w:pPr>
    <w:rPr>
      <w:rFonts w:ascii="Times New Roman" w:hAnsi="Times New Roman" w:cs="Times New Roman"/>
      <w:sz w:val="24"/>
      <w:szCs w:val="24"/>
    </w:rPr>
  </w:style>
  <w:style w:type="paragraph" w:customStyle="1" w:styleId="Default">
    <w:name w:val="Default"/>
    <w:hidden/>
    <w:rsid w:val="0048790C"/>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Alphalist">
    <w:name w:val="Alpha list"/>
    <w:basedOn w:val="Normal"/>
    <w:hidden/>
    <w:rsid w:val="0048790C"/>
    <w:pPr>
      <w:numPr>
        <w:numId w:val="32"/>
      </w:numPr>
    </w:pPr>
    <w:rPr>
      <w:rFonts w:ascii="Trebuchet MS" w:hAnsi="Trebuchet MS" w:cs="Times New Roman"/>
      <w:sz w:val="24"/>
      <w:szCs w:val="20"/>
      <w:lang w:eastAsia="en-US"/>
    </w:rPr>
  </w:style>
  <w:style w:type="paragraph" w:styleId="Revision">
    <w:name w:val="Revision"/>
    <w:hidden/>
    <w:uiPriority w:val="99"/>
    <w:semiHidden/>
    <w:rsid w:val="0048790C"/>
    <w:pPr>
      <w:spacing w:after="0" w:line="240" w:lineRule="auto"/>
    </w:pPr>
    <w:rPr>
      <w:rFonts w:ascii="Arial" w:eastAsia="Times New Roman" w:hAnsi="Arial" w:cs="Arial"/>
      <w:lang w:eastAsia="en-AU"/>
    </w:rPr>
  </w:style>
  <w:style w:type="paragraph" w:customStyle="1" w:styleId="Emdash">
    <w:name w:val="Em dash"/>
    <w:basedOn w:val="PlainParagraph"/>
    <w:hidden/>
    <w:uiPriority w:val="98"/>
    <w:rsid w:val="0048790C"/>
  </w:style>
  <w:style w:type="paragraph" w:customStyle="1" w:styleId="Summarystyleruleabove">
    <w:name w:val="Summary style rule above"/>
    <w:basedOn w:val="HeadingBase"/>
    <w:next w:val="PartSubHeading"/>
    <w:link w:val="SummarystyleruleaboveChar"/>
    <w:hidden/>
    <w:uiPriority w:val="10"/>
    <w:rsid w:val="0048790C"/>
    <w:pPr>
      <w:keepNext/>
      <w:keepLines/>
      <w:pBdr>
        <w:top w:val="single" w:sz="18" w:space="1" w:color="2F5496" w:themeColor="accent1" w:themeShade="BF"/>
      </w:pBdr>
      <w:shd w:val="clear" w:color="2F5496" w:themeColor="accent1" w:themeShade="BF" w:fill="auto"/>
      <w:spacing w:before="360" w:after="120" w:line="240" w:lineRule="atLeast"/>
      <w:ind w:left="-533" w:hanging="34"/>
    </w:pPr>
    <w:rPr>
      <w:b/>
      <w:color w:val="000000" w:themeColor="text1"/>
      <w:sz w:val="30"/>
      <w:szCs w:val="30"/>
    </w:rPr>
  </w:style>
  <w:style w:type="character" w:customStyle="1" w:styleId="SummarystyleruleaboveChar">
    <w:name w:val="Summary style rule above Char"/>
    <w:basedOn w:val="DefaultParagraphFont"/>
    <w:link w:val="Summarystyleruleabove"/>
    <w:uiPriority w:val="10"/>
    <w:rsid w:val="0048790C"/>
    <w:rPr>
      <w:rFonts w:ascii="Arial" w:eastAsia="Times New Roman" w:hAnsi="Arial" w:cs="Arial"/>
      <w:b/>
      <w:color w:val="000000" w:themeColor="text1"/>
      <w:sz w:val="30"/>
      <w:szCs w:val="30"/>
      <w:shd w:val="clear" w:color="2F5496" w:themeColor="accent1" w:themeShade="BF" w:fill="auto"/>
      <w:lang w:eastAsia="en-AU"/>
    </w:rPr>
  </w:style>
  <w:style w:type="table" w:customStyle="1" w:styleId="GridTable4-Accent31">
    <w:name w:val="Grid Table 4 - Accent 31"/>
    <w:basedOn w:val="TableNormal"/>
    <w:hidden/>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11">
    <w:name w:val="Grid Table 4 - Accent 11"/>
    <w:basedOn w:val="TableNormal"/>
    <w:hidden/>
    <w:uiPriority w:val="49"/>
    <w:rsid w:val="0048790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Description">
    <w:name w:val="Table Description"/>
    <w:basedOn w:val="NumberLevel1"/>
    <w:autoRedefine/>
    <w:hidden/>
    <w:uiPriority w:val="98"/>
    <w:rsid w:val="0048790C"/>
    <w:pPr>
      <w:numPr>
        <w:numId w:val="0"/>
      </w:numPr>
      <w:spacing w:before="40" w:after="0" w:line="240" w:lineRule="auto"/>
      <w:jc w:val="center"/>
    </w:pPr>
    <w:rPr>
      <w:i/>
      <w:sz w:val="18"/>
    </w:rPr>
  </w:style>
  <w:style w:type="character" w:customStyle="1" w:styleId="EA-TextChar">
    <w:name w:val="EA-Text Char"/>
    <w:basedOn w:val="DefaultParagraphFont"/>
    <w:link w:val="EA-Text"/>
    <w:locked/>
    <w:rsid w:val="0048790C"/>
    <w:rPr>
      <w:rFonts w:cs="Calibri"/>
      <w:szCs w:val="24"/>
    </w:rPr>
  </w:style>
  <w:style w:type="paragraph" w:customStyle="1" w:styleId="EA-Text">
    <w:name w:val="EA-Text"/>
    <w:link w:val="EA-TextChar"/>
    <w:hidden/>
    <w:rsid w:val="0048790C"/>
    <w:pPr>
      <w:spacing w:before="120" w:after="120" w:line="240" w:lineRule="auto"/>
    </w:pPr>
    <w:rPr>
      <w:rFonts w:cs="Calibri"/>
      <w:szCs w:val="24"/>
    </w:rPr>
  </w:style>
  <w:style w:type="paragraph" w:customStyle="1" w:styleId="tabletext0">
    <w:name w:val="tabletext"/>
    <w:basedOn w:val="Normal"/>
    <w:hidden/>
    <w:rsid w:val="0048790C"/>
    <w:pPr>
      <w:spacing w:before="100" w:beforeAutospacing="1" w:after="100" w:afterAutospacing="1"/>
    </w:pPr>
    <w:rPr>
      <w:rFonts w:ascii="Times New Roman" w:hAnsi="Times New Roman" w:cs="Times New Roman"/>
      <w:sz w:val="24"/>
      <w:szCs w:val="24"/>
    </w:rPr>
  </w:style>
  <w:style w:type="paragraph" w:customStyle="1" w:styleId="tablea">
    <w:name w:val="tablea"/>
    <w:basedOn w:val="Normal"/>
    <w:hidden/>
    <w:rsid w:val="0048790C"/>
    <w:pPr>
      <w:spacing w:before="100" w:beforeAutospacing="1" w:after="100" w:afterAutospacing="1"/>
    </w:pPr>
    <w:rPr>
      <w:rFonts w:ascii="Times New Roman" w:hAnsi="Times New Roman" w:cs="Times New Roman"/>
      <w:sz w:val="24"/>
      <w:szCs w:val="24"/>
    </w:r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Normal"/>
    <w:link w:val="FootnoteReference"/>
    <w:hidden/>
    <w:uiPriority w:val="31"/>
    <w:rsid w:val="0048790C"/>
    <w:pPr>
      <w:spacing w:after="160" w:line="240" w:lineRule="exact"/>
      <w:jc w:val="both"/>
    </w:pPr>
    <w:rPr>
      <w:rFonts w:eastAsiaTheme="minorHAnsi"/>
      <w:vertAlign w:val="superscript"/>
      <w:lang w:eastAsia="en-US"/>
    </w:rPr>
  </w:style>
  <w:style w:type="paragraph" w:customStyle="1" w:styleId="Tableplain">
    <w:name w:val="Table (plain"/>
    <w:basedOn w:val="Normal"/>
    <w:hidden/>
    <w:rsid w:val="0048790C"/>
  </w:style>
  <w:style w:type="paragraph" w:customStyle="1" w:styleId="Citation">
    <w:name w:val="Citation"/>
    <w:basedOn w:val="NumberLevel1"/>
    <w:autoRedefine/>
    <w:hidden/>
    <w:rsid w:val="0048790C"/>
    <w:pPr>
      <w:numPr>
        <w:numId w:val="0"/>
      </w:numPr>
      <w:spacing w:before="40" w:after="0" w:line="240" w:lineRule="auto"/>
      <w:jc w:val="center"/>
    </w:pPr>
    <w:rPr>
      <w:i/>
      <w:noProof/>
      <w:sz w:val="20"/>
    </w:rPr>
  </w:style>
  <w:style w:type="paragraph" w:customStyle="1" w:styleId="ImageD">
    <w:name w:val="Image D"/>
    <w:basedOn w:val="Citation"/>
    <w:hidden/>
    <w:rsid w:val="0048790C"/>
  </w:style>
  <w:style w:type="paragraph" w:customStyle="1" w:styleId="ImageDescription">
    <w:name w:val="Image Description"/>
    <w:basedOn w:val="ImageD"/>
    <w:autoRedefine/>
    <w:hidden/>
    <w:uiPriority w:val="98"/>
    <w:rsid w:val="0048790C"/>
  </w:style>
  <w:style w:type="character" w:customStyle="1" w:styleId="ui-provider">
    <w:name w:val="ui-provider"/>
    <w:basedOn w:val="DefaultParagraphFont"/>
    <w:hidden/>
    <w:rsid w:val="0048790C"/>
  </w:style>
  <w:style w:type="paragraph" w:customStyle="1" w:styleId="Style1">
    <w:name w:val="Style1"/>
    <w:basedOn w:val="AdviceNumLevel2"/>
    <w:hidden/>
    <w:uiPriority w:val="98"/>
    <w:rsid w:val="0048790C"/>
  </w:style>
  <w:style w:type="paragraph" w:customStyle="1" w:styleId="Clearformatting">
    <w:name w:val="Clear formatting"/>
    <w:basedOn w:val="NumberLevel1"/>
    <w:rsid w:val="0048790C"/>
    <w:pPr>
      <w:numPr>
        <w:numId w:val="0"/>
      </w:numPr>
    </w:pPr>
  </w:style>
  <w:style w:type="character" w:customStyle="1" w:styleId="ProductList-BodyChar">
    <w:name w:val="Product List - Body Char"/>
    <w:basedOn w:val="DefaultParagraphFont"/>
    <w:link w:val="ProductList-Body"/>
    <w:locked/>
    <w:rsid w:val="0048790C"/>
    <w:rPr>
      <w:sz w:val="18"/>
    </w:rPr>
  </w:style>
  <w:style w:type="paragraph" w:customStyle="1" w:styleId="ProductList-Body">
    <w:name w:val="Product List - Body"/>
    <w:basedOn w:val="Normal"/>
    <w:link w:val="ProductList-BodyChar"/>
    <w:qFormat/>
    <w:rsid w:val="0048790C"/>
    <w:pPr>
      <w:tabs>
        <w:tab w:val="left" w:pos="158"/>
      </w:tabs>
    </w:pPr>
    <w:rPr>
      <w:rFonts w:asciiTheme="minorHAnsi" w:eastAsiaTheme="minorHAnsi" w:hAnsiTheme="minorHAnsi" w:cstheme="minorBidi"/>
      <w:sz w:val="18"/>
      <w:lang w:eastAsia="en-US"/>
    </w:rPr>
  </w:style>
  <w:style w:type="paragraph" w:customStyle="1" w:styleId="pf0">
    <w:name w:val="pf0"/>
    <w:basedOn w:val="Normal"/>
    <w:rsid w:val="0048790C"/>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48790C"/>
    <w:rPr>
      <w:rFonts w:ascii="Segoe UI" w:hAnsi="Segoe UI" w:cs="Segoe UI" w:hint="default"/>
      <w:sz w:val="18"/>
      <w:szCs w:val="18"/>
    </w:rPr>
  </w:style>
  <w:style w:type="paragraph" w:customStyle="1" w:styleId="CABParagraph">
    <w:name w:val="CAB Paragraph"/>
    <w:basedOn w:val="BodyText"/>
    <w:link w:val="CABParagraphChar"/>
    <w:uiPriority w:val="98"/>
    <w:qFormat/>
    <w:rsid w:val="0048790C"/>
    <w:pPr>
      <w:spacing w:before="120" w:after="0"/>
    </w:pPr>
    <w:rPr>
      <w:rFonts w:eastAsiaTheme="minorHAnsi" w:cstheme="minorBidi"/>
      <w:lang w:eastAsia="en-US"/>
    </w:rPr>
  </w:style>
  <w:style w:type="character" w:customStyle="1" w:styleId="CABParagraphChar">
    <w:name w:val="CAB Paragraph Char"/>
    <w:basedOn w:val="DefaultParagraphFont"/>
    <w:link w:val="CABParagraph"/>
    <w:uiPriority w:val="98"/>
    <w:rsid w:val="0048790C"/>
    <w:rPr>
      <w:rFonts w:ascii="Arial" w:hAnsi="Arial"/>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48790C"/>
    <w:pPr>
      <w:numPr>
        <w:numId w:val="33"/>
      </w:numPr>
      <w:spacing w:after="200" w:line="276" w:lineRule="auto"/>
    </w:pPr>
    <w:rPr>
      <w:sz w:val="20"/>
    </w:rPr>
  </w:style>
  <w:style w:type="paragraph" w:customStyle="1" w:styleId="Dash">
    <w:name w:val="Dash"/>
    <w:basedOn w:val="Normal"/>
    <w:link w:val="DashChar"/>
    <w:qFormat/>
    <w:rsid w:val="0048790C"/>
    <w:pPr>
      <w:numPr>
        <w:ilvl w:val="1"/>
        <w:numId w:val="33"/>
      </w:numPr>
      <w:spacing w:after="200" w:line="276" w:lineRule="auto"/>
    </w:pPr>
    <w:rPr>
      <w:rFonts w:eastAsiaTheme="minorHAnsi" w:cstheme="minorBidi"/>
      <w:lang w:eastAsia="en-US"/>
    </w:rPr>
  </w:style>
  <w:style w:type="character" w:customStyle="1" w:styleId="DashChar">
    <w:name w:val="Dash Char"/>
    <w:basedOn w:val="CABParagraphChar"/>
    <w:link w:val="Dash"/>
    <w:rsid w:val="0048790C"/>
    <w:rPr>
      <w:rFonts w:ascii="Arial" w:hAnsi="Arial"/>
    </w:rPr>
  </w:style>
  <w:style w:type="paragraph" w:customStyle="1" w:styleId="DoubleDot">
    <w:name w:val="Double Dot"/>
    <w:basedOn w:val="Normal"/>
    <w:qFormat/>
    <w:rsid w:val="0048790C"/>
    <w:pPr>
      <w:numPr>
        <w:ilvl w:val="2"/>
        <w:numId w:val="33"/>
      </w:numPr>
      <w:spacing w:after="200" w:line="276" w:lineRule="auto"/>
    </w:pPr>
    <w:rPr>
      <w:rFonts w:eastAsiaTheme="minorHAnsi" w:cstheme="minorBidi"/>
      <w:lang w:eastAsia="en-US"/>
    </w:rPr>
  </w:style>
  <w:style w:type="paragraph" w:customStyle="1" w:styleId="CABList">
    <w:name w:val="CAB List"/>
    <w:basedOn w:val="BodyText"/>
    <w:uiPriority w:val="98"/>
    <w:qFormat/>
    <w:rsid w:val="0048790C"/>
    <w:pPr>
      <w:numPr>
        <w:numId w:val="34"/>
      </w:numPr>
      <w:tabs>
        <w:tab w:val="left" w:pos="4253"/>
      </w:tabs>
      <w:spacing w:before="120" w:after="0"/>
    </w:pPr>
    <w:rPr>
      <w:rFonts w:eastAsiaTheme="minorHAnsi" w:cstheme="minorBidi"/>
      <w:lang w:eastAsia="en-US"/>
    </w:rPr>
  </w:style>
  <w:style w:type="table" w:customStyle="1" w:styleId="TableGrid10">
    <w:name w:val="Table Grid1"/>
    <w:basedOn w:val="TableNormal"/>
    <w:rsid w:val="0048790C"/>
    <w:pPr>
      <w:spacing w:after="0" w:line="240" w:lineRule="auto"/>
    </w:pPr>
    <w:rPr>
      <w:rFonts w:ascii="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PlainParagraphChar">
    <w:name w:val="Table: Plain Paragraph Char"/>
    <w:aliases w:val="Table PP Char"/>
    <w:basedOn w:val="DefaultParagraphFont"/>
    <w:link w:val="TablePlainParagraph"/>
    <w:uiPriority w:val="11"/>
    <w:rsid w:val="0048790C"/>
    <w:rPr>
      <w:rFonts w:ascii="Arial" w:eastAsia="Times New Roman" w:hAnsi="Arial" w:cs="Arial"/>
      <w:sz w:val="20"/>
      <w:lang w:eastAsia="en-AU"/>
    </w:rPr>
  </w:style>
  <w:style w:type="character" w:customStyle="1" w:styleId="BulletChar">
    <w:name w:val="Bullet Char"/>
    <w:aliases w:val="Body Char,Bullet + line Char,L Char,List Paragraph11 Char,List Paragraph2 Char,Number Char,Recommendation Char,b + line Char,b + line Char Char,b Char,b Char Char,b1 Char,level 1 Char"/>
    <w:basedOn w:val="TablePlainParagraphChar"/>
    <w:link w:val="Bullet"/>
    <w:qFormat/>
    <w:rsid w:val="0048790C"/>
    <w:rPr>
      <w:rFonts w:ascii="Arial" w:eastAsia="Times New Roman" w:hAnsi="Arial" w:cs="Arial"/>
      <w:sz w:val="20"/>
      <w:lang w:eastAsia="en-AU"/>
    </w:rPr>
  </w:style>
  <w:style w:type="paragraph" w:customStyle="1" w:styleId="p1">
    <w:name w:val="p1"/>
    <w:basedOn w:val="Normal"/>
    <w:rsid w:val="0048790C"/>
    <w:pPr>
      <w:spacing w:before="100" w:beforeAutospacing="1" w:after="100" w:afterAutospacing="1"/>
    </w:pPr>
    <w:rPr>
      <w:rFonts w:ascii="Times New Roman" w:hAnsi="Times New Roman" w:cs="Times New Roman"/>
      <w:sz w:val="24"/>
      <w:szCs w:val="24"/>
    </w:rPr>
  </w:style>
  <w:style w:type="table" w:customStyle="1" w:styleId="TableGrid20">
    <w:name w:val="Table Grid2"/>
    <w:basedOn w:val="TableNormal"/>
    <w:next w:val="TableGrid"/>
    <w:qFormat/>
    <w:rsid w:val="00AC160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SecurityClassificationHeader">
    <w:name w:val="Security Classification Header"/>
    <w:link w:val="SecurityClassificationHeaderChar"/>
    <w:rsid w:val="007D5675"/>
    <w:pPr>
      <w:spacing w:before="360" w:after="60"/>
      <w:jc w:val="center"/>
    </w:pPr>
    <w:rPr>
      <w:rFonts w:ascii="Calibri" w:eastAsia="Times New Roman" w:hAnsi="Calibri" w:cs="Calibri"/>
      <w:b/>
      <w:color w:val="FF0000"/>
      <w:sz w:val="24"/>
      <w:lang w:eastAsia="en-AU"/>
    </w:rPr>
  </w:style>
  <w:style w:type="character" w:customStyle="1" w:styleId="SecurityClassificationHeaderChar">
    <w:name w:val="Security Classification Header Char"/>
    <w:basedOn w:val="DefaultParagraphFont"/>
    <w:link w:val="SecurityClassificationHeader"/>
    <w:rsid w:val="007D5675"/>
    <w:rPr>
      <w:rFonts w:ascii="Calibri" w:eastAsia="Times New Roman" w:hAnsi="Calibri" w:cs="Calibri"/>
      <w:b/>
      <w:color w:val="FF0000"/>
      <w:sz w:val="24"/>
      <w:lang w:eastAsia="en-AU"/>
    </w:rPr>
  </w:style>
  <w:style w:type="paragraph" w:customStyle="1" w:styleId="SecurityClassificationFooter">
    <w:name w:val="Security Classification Footer"/>
    <w:link w:val="SecurityClassificationFooterChar"/>
    <w:rsid w:val="007D5675"/>
    <w:pPr>
      <w:spacing w:before="240" w:after="60"/>
      <w:jc w:val="center"/>
    </w:pPr>
    <w:rPr>
      <w:rFonts w:ascii="Calibri" w:eastAsia="Times New Roman" w:hAnsi="Calibri" w:cs="Calibri"/>
      <w:b/>
      <w:color w:val="FF0000"/>
      <w:sz w:val="24"/>
      <w:lang w:eastAsia="en-AU"/>
    </w:rPr>
  </w:style>
  <w:style w:type="character" w:customStyle="1" w:styleId="SecurityClassificationFooterChar">
    <w:name w:val="Security Classification Footer Char"/>
    <w:basedOn w:val="DefaultParagraphFont"/>
    <w:link w:val="SecurityClassificationFooter"/>
    <w:rsid w:val="007D5675"/>
    <w:rPr>
      <w:rFonts w:ascii="Calibri" w:eastAsia="Times New Roman" w:hAnsi="Calibri" w:cs="Calibri"/>
      <w:b/>
      <w:color w:val="FF0000"/>
      <w:sz w:val="24"/>
      <w:lang w:eastAsia="en-AU"/>
    </w:rPr>
  </w:style>
  <w:style w:type="paragraph" w:customStyle="1" w:styleId="DLMSecurityHeader">
    <w:name w:val="DLM Security Header"/>
    <w:link w:val="DLMSecurityHeaderChar"/>
    <w:rsid w:val="007D5675"/>
    <w:pPr>
      <w:spacing w:before="360" w:after="60"/>
      <w:jc w:val="center"/>
    </w:pPr>
    <w:rPr>
      <w:rFonts w:ascii="Calibri" w:eastAsia="Times New Roman" w:hAnsi="Calibri" w:cs="Calibri"/>
      <w:b/>
      <w:color w:val="FF0000"/>
      <w:sz w:val="24"/>
      <w:lang w:eastAsia="en-AU"/>
    </w:rPr>
  </w:style>
  <w:style w:type="character" w:customStyle="1" w:styleId="DLMSecurityHeaderChar">
    <w:name w:val="DLM Security Header Char"/>
    <w:basedOn w:val="DefaultParagraphFont"/>
    <w:link w:val="DLMSecurityHeader"/>
    <w:rsid w:val="007D5675"/>
    <w:rPr>
      <w:rFonts w:ascii="Calibri" w:eastAsia="Times New Roman" w:hAnsi="Calibri" w:cs="Calibri"/>
      <w:b/>
      <w:color w:val="FF0000"/>
      <w:sz w:val="24"/>
      <w:lang w:eastAsia="en-AU"/>
    </w:rPr>
  </w:style>
  <w:style w:type="paragraph" w:customStyle="1" w:styleId="DLMSecurityFooter">
    <w:name w:val="DLM Security Footer"/>
    <w:link w:val="DLMSecurityFooterChar"/>
    <w:rsid w:val="007D5675"/>
    <w:pPr>
      <w:spacing w:before="360" w:after="60"/>
      <w:jc w:val="center"/>
    </w:pPr>
    <w:rPr>
      <w:rFonts w:ascii="Calibri" w:eastAsia="Times New Roman" w:hAnsi="Calibri" w:cs="Calibri"/>
      <w:b/>
      <w:color w:val="FF0000"/>
      <w:sz w:val="24"/>
      <w:lang w:eastAsia="en-AU"/>
    </w:rPr>
  </w:style>
  <w:style w:type="character" w:customStyle="1" w:styleId="DLMSecurityFooterChar">
    <w:name w:val="DLM Security Footer Char"/>
    <w:basedOn w:val="DefaultParagraphFont"/>
    <w:link w:val="DLMSecurityFooter"/>
    <w:rsid w:val="007D5675"/>
    <w:rPr>
      <w:rFonts w:ascii="Calibri" w:eastAsia="Times New Roman" w:hAnsi="Calibri" w:cs="Calibri"/>
      <w:b/>
      <w:color w:val="FF000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8445">
      <w:bodyDiv w:val="1"/>
      <w:marLeft w:val="0"/>
      <w:marRight w:val="0"/>
      <w:marTop w:val="0"/>
      <w:marBottom w:val="0"/>
      <w:divBdr>
        <w:top w:val="none" w:sz="0" w:space="0" w:color="auto"/>
        <w:left w:val="none" w:sz="0" w:space="0" w:color="auto"/>
        <w:bottom w:val="none" w:sz="0" w:space="0" w:color="auto"/>
        <w:right w:val="none" w:sz="0" w:space="0" w:color="auto"/>
      </w:divBdr>
    </w:div>
    <w:div w:id="294070407">
      <w:bodyDiv w:val="1"/>
      <w:marLeft w:val="0"/>
      <w:marRight w:val="0"/>
      <w:marTop w:val="0"/>
      <w:marBottom w:val="0"/>
      <w:divBdr>
        <w:top w:val="none" w:sz="0" w:space="0" w:color="auto"/>
        <w:left w:val="none" w:sz="0" w:space="0" w:color="auto"/>
        <w:bottom w:val="none" w:sz="0" w:space="0" w:color="auto"/>
        <w:right w:val="none" w:sz="0" w:space="0" w:color="auto"/>
      </w:divBdr>
    </w:div>
    <w:div w:id="305010819">
      <w:bodyDiv w:val="1"/>
      <w:marLeft w:val="0"/>
      <w:marRight w:val="0"/>
      <w:marTop w:val="0"/>
      <w:marBottom w:val="0"/>
      <w:divBdr>
        <w:top w:val="none" w:sz="0" w:space="0" w:color="auto"/>
        <w:left w:val="none" w:sz="0" w:space="0" w:color="auto"/>
        <w:bottom w:val="none" w:sz="0" w:space="0" w:color="auto"/>
        <w:right w:val="none" w:sz="0" w:space="0" w:color="auto"/>
      </w:divBdr>
    </w:div>
    <w:div w:id="306786100">
      <w:bodyDiv w:val="1"/>
      <w:marLeft w:val="0"/>
      <w:marRight w:val="0"/>
      <w:marTop w:val="0"/>
      <w:marBottom w:val="0"/>
      <w:divBdr>
        <w:top w:val="none" w:sz="0" w:space="0" w:color="auto"/>
        <w:left w:val="none" w:sz="0" w:space="0" w:color="auto"/>
        <w:bottom w:val="none" w:sz="0" w:space="0" w:color="auto"/>
        <w:right w:val="none" w:sz="0" w:space="0" w:color="auto"/>
      </w:divBdr>
    </w:div>
    <w:div w:id="309408329">
      <w:bodyDiv w:val="1"/>
      <w:marLeft w:val="0"/>
      <w:marRight w:val="0"/>
      <w:marTop w:val="0"/>
      <w:marBottom w:val="0"/>
      <w:divBdr>
        <w:top w:val="none" w:sz="0" w:space="0" w:color="auto"/>
        <w:left w:val="none" w:sz="0" w:space="0" w:color="auto"/>
        <w:bottom w:val="none" w:sz="0" w:space="0" w:color="auto"/>
        <w:right w:val="none" w:sz="0" w:space="0" w:color="auto"/>
      </w:divBdr>
    </w:div>
    <w:div w:id="397898814">
      <w:bodyDiv w:val="1"/>
      <w:marLeft w:val="0"/>
      <w:marRight w:val="0"/>
      <w:marTop w:val="0"/>
      <w:marBottom w:val="0"/>
      <w:divBdr>
        <w:top w:val="none" w:sz="0" w:space="0" w:color="auto"/>
        <w:left w:val="none" w:sz="0" w:space="0" w:color="auto"/>
        <w:bottom w:val="none" w:sz="0" w:space="0" w:color="auto"/>
        <w:right w:val="none" w:sz="0" w:space="0" w:color="auto"/>
      </w:divBdr>
    </w:div>
    <w:div w:id="497886086">
      <w:bodyDiv w:val="1"/>
      <w:marLeft w:val="0"/>
      <w:marRight w:val="0"/>
      <w:marTop w:val="0"/>
      <w:marBottom w:val="0"/>
      <w:divBdr>
        <w:top w:val="none" w:sz="0" w:space="0" w:color="auto"/>
        <w:left w:val="none" w:sz="0" w:space="0" w:color="auto"/>
        <w:bottom w:val="none" w:sz="0" w:space="0" w:color="auto"/>
        <w:right w:val="none" w:sz="0" w:space="0" w:color="auto"/>
      </w:divBdr>
    </w:div>
    <w:div w:id="521361953">
      <w:bodyDiv w:val="1"/>
      <w:marLeft w:val="0"/>
      <w:marRight w:val="0"/>
      <w:marTop w:val="0"/>
      <w:marBottom w:val="0"/>
      <w:divBdr>
        <w:top w:val="none" w:sz="0" w:space="0" w:color="auto"/>
        <w:left w:val="none" w:sz="0" w:space="0" w:color="auto"/>
        <w:bottom w:val="none" w:sz="0" w:space="0" w:color="auto"/>
        <w:right w:val="none" w:sz="0" w:space="0" w:color="auto"/>
      </w:divBdr>
    </w:div>
    <w:div w:id="559245996">
      <w:bodyDiv w:val="1"/>
      <w:marLeft w:val="0"/>
      <w:marRight w:val="0"/>
      <w:marTop w:val="0"/>
      <w:marBottom w:val="0"/>
      <w:divBdr>
        <w:top w:val="none" w:sz="0" w:space="0" w:color="auto"/>
        <w:left w:val="none" w:sz="0" w:space="0" w:color="auto"/>
        <w:bottom w:val="none" w:sz="0" w:space="0" w:color="auto"/>
        <w:right w:val="none" w:sz="0" w:space="0" w:color="auto"/>
      </w:divBdr>
    </w:div>
    <w:div w:id="752044513">
      <w:bodyDiv w:val="1"/>
      <w:marLeft w:val="0"/>
      <w:marRight w:val="0"/>
      <w:marTop w:val="0"/>
      <w:marBottom w:val="0"/>
      <w:divBdr>
        <w:top w:val="none" w:sz="0" w:space="0" w:color="auto"/>
        <w:left w:val="none" w:sz="0" w:space="0" w:color="auto"/>
        <w:bottom w:val="none" w:sz="0" w:space="0" w:color="auto"/>
        <w:right w:val="none" w:sz="0" w:space="0" w:color="auto"/>
      </w:divBdr>
    </w:div>
    <w:div w:id="815686514">
      <w:bodyDiv w:val="1"/>
      <w:marLeft w:val="0"/>
      <w:marRight w:val="0"/>
      <w:marTop w:val="0"/>
      <w:marBottom w:val="0"/>
      <w:divBdr>
        <w:top w:val="none" w:sz="0" w:space="0" w:color="auto"/>
        <w:left w:val="none" w:sz="0" w:space="0" w:color="auto"/>
        <w:bottom w:val="none" w:sz="0" w:space="0" w:color="auto"/>
        <w:right w:val="none" w:sz="0" w:space="0" w:color="auto"/>
      </w:divBdr>
    </w:div>
    <w:div w:id="862672668">
      <w:bodyDiv w:val="1"/>
      <w:marLeft w:val="0"/>
      <w:marRight w:val="0"/>
      <w:marTop w:val="0"/>
      <w:marBottom w:val="0"/>
      <w:divBdr>
        <w:top w:val="none" w:sz="0" w:space="0" w:color="auto"/>
        <w:left w:val="none" w:sz="0" w:space="0" w:color="auto"/>
        <w:bottom w:val="none" w:sz="0" w:space="0" w:color="auto"/>
        <w:right w:val="none" w:sz="0" w:space="0" w:color="auto"/>
      </w:divBdr>
    </w:div>
    <w:div w:id="884677171">
      <w:bodyDiv w:val="1"/>
      <w:marLeft w:val="0"/>
      <w:marRight w:val="0"/>
      <w:marTop w:val="0"/>
      <w:marBottom w:val="0"/>
      <w:divBdr>
        <w:top w:val="none" w:sz="0" w:space="0" w:color="auto"/>
        <w:left w:val="none" w:sz="0" w:space="0" w:color="auto"/>
        <w:bottom w:val="none" w:sz="0" w:space="0" w:color="auto"/>
        <w:right w:val="none" w:sz="0" w:space="0" w:color="auto"/>
      </w:divBdr>
    </w:div>
    <w:div w:id="909775256">
      <w:bodyDiv w:val="1"/>
      <w:marLeft w:val="0"/>
      <w:marRight w:val="0"/>
      <w:marTop w:val="0"/>
      <w:marBottom w:val="0"/>
      <w:divBdr>
        <w:top w:val="none" w:sz="0" w:space="0" w:color="auto"/>
        <w:left w:val="none" w:sz="0" w:space="0" w:color="auto"/>
        <w:bottom w:val="none" w:sz="0" w:space="0" w:color="auto"/>
        <w:right w:val="none" w:sz="0" w:space="0" w:color="auto"/>
      </w:divBdr>
    </w:div>
    <w:div w:id="1018508539">
      <w:bodyDiv w:val="1"/>
      <w:marLeft w:val="0"/>
      <w:marRight w:val="0"/>
      <w:marTop w:val="0"/>
      <w:marBottom w:val="0"/>
      <w:divBdr>
        <w:top w:val="none" w:sz="0" w:space="0" w:color="auto"/>
        <w:left w:val="none" w:sz="0" w:space="0" w:color="auto"/>
        <w:bottom w:val="none" w:sz="0" w:space="0" w:color="auto"/>
        <w:right w:val="none" w:sz="0" w:space="0" w:color="auto"/>
      </w:divBdr>
    </w:div>
    <w:div w:id="1040086327">
      <w:bodyDiv w:val="1"/>
      <w:marLeft w:val="0"/>
      <w:marRight w:val="0"/>
      <w:marTop w:val="0"/>
      <w:marBottom w:val="0"/>
      <w:divBdr>
        <w:top w:val="none" w:sz="0" w:space="0" w:color="auto"/>
        <w:left w:val="none" w:sz="0" w:space="0" w:color="auto"/>
        <w:bottom w:val="none" w:sz="0" w:space="0" w:color="auto"/>
        <w:right w:val="none" w:sz="0" w:space="0" w:color="auto"/>
      </w:divBdr>
    </w:div>
    <w:div w:id="1070465356">
      <w:bodyDiv w:val="1"/>
      <w:marLeft w:val="0"/>
      <w:marRight w:val="0"/>
      <w:marTop w:val="0"/>
      <w:marBottom w:val="0"/>
      <w:divBdr>
        <w:top w:val="none" w:sz="0" w:space="0" w:color="auto"/>
        <w:left w:val="none" w:sz="0" w:space="0" w:color="auto"/>
        <w:bottom w:val="none" w:sz="0" w:space="0" w:color="auto"/>
        <w:right w:val="none" w:sz="0" w:space="0" w:color="auto"/>
      </w:divBdr>
    </w:div>
    <w:div w:id="1187673412">
      <w:bodyDiv w:val="1"/>
      <w:marLeft w:val="0"/>
      <w:marRight w:val="0"/>
      <w:marTop w:val="0"/>
      <w:marBottom w:val="0"/>
      <w:divBdr>
        <w:top w:val="none" w:sz="0" w:space="0" w:color="auto"/>
        <w:left w:val="none" w:sz="0" w:space="0" w:color="auto"/>
        <w:bottom w:val="none" w:sz="0" w:space="0" w:color="auto"/>
        <w:right w:val="none" w:sz="0" w:space="0" w:color="auto"/>
      </w:divBdr>
    </w:div>
    <w:div w:id="1303272855">
      <w:bodyDiv w:val="1"/>
      <w:marLeft w:val="0"/>
      <w:marRight w:val="0"/>
      <w:marTop w:val="0"/>
      <w:marBottom w:val="0"/>
      <w:divBdr>
        <w:top w:val="none" w:sz="0" w:space="0" w:color="auto"/>
        <w:left w:val="none" w:sz="0" w:space="0" w:color="auto"/>
        <w:bottom w:val="none" w:sz="0" w:space="0" w:color="auto"/>
        <w:right w:val="none" w:sz="0" w:space="0" w:color="auto"/>
      </w:divBdr>
    </w:div>
    <w:div w:id="1365907036">
      <w:bodyDiv w:val="1"/>
      <w:marLeft w:val="0"/>
      <w:marRight w:val="0"/>
      <w:marTop w:val="0"/>
      <w:marBottom w:val="0"/>
      <w:divBdr>
        <w:top w:val="none" w:sz="0" w:space="0" w:color="auto"/>
        <w:left w:val="none" w:sz="0" w:space="0" w:color="auto"/>
        <w:bottom w:val="none" w:sz="0" w:space="0" w:color="auto"/>
        <w:right w:val="none" w:sz="0" w:space="0" w:color="auto"/>
      </w:divBdr>
    </w:div>
    <w:div w:id="1374886805">
      <w:bodyDiv w:val="1"/>
      <w:marLeft w:val="0"/>
      <w:marRight w:val="0"/>
      <w:marTop w:val="0"/>
      <w:marBottom w:val="0"/>
      <w:divBdr>
        <w:top w:val="none" w:sz="0" w:space="0" w:color="auto"/>
        <w:left w:val="none" w:sz="0" w:space="0" w:color="auto"/>
        <w:bottom w:val="none" w:sz="0" w:space="0" w:color="auto"/>
        <w:right w:val="none" w:sz="0" w:space="0" w:color="auto"/>
      </w:divBdr>
    </w:div>
    <w:div w:id="1449352369">
      <w:bodyDiv w:val="1"/>
      <w:marLeft w:val="0"/>
      <w:marRight w:val="0"/>
      <w:marTop w:val="0"/>
      <w:marBottom w:val="0"/>
      <w:divBdr>
        <w:top w:val="none" w:sz="0" w:space="0" w:color="auto"/>
        <w:left w:val="none" w:sz="0" w:space="0" w:color="auto"/>
        <w:bottom w:val="none" w:sz="0" w:space="0" w:color="auto"/>
        <w:right w:val="none" w:sz="0" w:space="0" w:color="auto"/>
      </w:divBdr>
    </w:div>
    <w:div w:id="1629896246">
      <w:bodyDiv w:val="1"/>
      <w:marLeft w:val="0"/>
      <w:marRight w:val="0"/>
      <w:marTop w:val="0"/>
      <w:marBottom w:val="0"/>
      <w:divBdr>
        <w:top w:val="none" w:sz="0" w:space="0" w:color="auto"/>
        <w:left w:val="none" w:sz="0" w:space="0" w:color="auto"/>
        <w:bottom w:val="none" w:sz="0" w:space="0" w:color="auto"/>
        <w:right w:val="none" w:sz="0" w:space="0" w:color="auto"/>
      </w:divBdr>
      <w:divsChild>
        <w:div w:id="1611936227">
          <w:marLeft w:val="0"/>
          <w:marRight w:val="0"/>
          <w:marTop w:val="0"/>
          <w:marBottom w:val="0"/>
          <w:divBdr>
            <w:top w:val="none" w:sz="0" w:space="0" w:color="auto"/>
            <w:left w:val="none" w:sz="0" w:space="0" w:color="auto"/>
            <w:bottom w:val="none" w:sz="0" w:space="0" w:color="auto"/>
            <w:right w:val="none" w:sz="0" w:space="0" w:color="auto"/>
          </w:divBdr>
        </w:div>
      </w:divsChild>
    </w:div>
    <w:div w:id="1630429667">
      <w:bodyDiv w:val="1"/>
      <w:marLeft w:val="0"/>
      <w:marRight w:val="0"/>
      <w:marTop w:val="0"/>
      <w:marBottom w:val="0"/>
      <w:divBdr>
        <w:top w:val="none" w:sz="0" w:space="0" w:color="auto"/>
        <w:left w:val="none" w:sz="0" w:space="0" w:color="auto"/>
        <w:bottom w:val="none" w:sz="0" w:space="0" w:color="auto"/>
        <w:right w:val="none" w:sz="0" w:space="0" w:color="auto"/>
      </w:divBdr>
    </w:div>
    <w:div w:id="1719666664">
      <w:bodyDiv w:val="1"/>
      <w:marLeft w:val="0"/>
      <w:marRight w:val="0"/>
      <w:marTop w:val="0"/>
      <w:marBottom w:val="0"/>
      <w:divBdr>
        <w:top w:val="none" w:sz="0" w:space="0" w:color="auto"/>
        <w:left w:val="none" w:sz="0" w:space="0" w:color="auto"/>
        <w:bottom w:val="none" w:sz="0" w:space="0" w:color="auto"/>
        <w:right w:val="none" w:sz="0" w:space="0" w:color="auto"/>
      </w:divBdr>
    </w:div>
    <w:div w:id="1820540310">
      <w:bodyDiv w:val="1"/>
      <w:marLeft w:val="0"/>
      <w:marRight w:val="0"/>
      <w:marTop w:val="0"/>
      <w:marBottom w:val="0"/>
      <w:divBdr>
        <w:top w:val="none" w:sz="0" w:space="0" w:color="auto"/>
        <w:left w:val="none" w:sz="0" w:space="0" w:color="auto"/>
        <w:bottom w:val="none" w:sz="0" w:space="0" w:color="auto"/>
        <w:right w:val="none" w:sz="0" w:space="0" w:color="auto"/>
      </w:divBdr>
    </w:div>
    <w:div w:id="1831873640">
      <w:bodyDiv w:val="1"/>
      <w:marLeft w:val="0"/>
      <w:marRight w:val="0"/>
      <w:marTop w:val="0"/>
      <w:marBottom w:val="0"/>
      <w:divBdr>
        <w:top w:val="none" w:sz="0" w:space="0" w:color="auto"/>
        <w:left w:val="none" w:sz="0" w:space="0" w:color="auto"/>
        <w:bottom w:val="none" w:sz="0" w:space="0" w:color="auto"/>
        <w:right w:val="none" w:sz="0" w:space="0" w:color="auto"/>
      </w:divBdr>
    </w:div>
    <w:div w:id="1839732126">
      <w:bodyDiv w:val="1"/>
      <w:marLeft w:val="0"/>
      <w:marRight w:val="0"/>
      <w:marTop w:val="0"/>
      <w:marBottom w:val="0"/>
      <w:divBdr>
        <w:top w:val="none" w:sz="0" w:space="0" w:color="auto"/>
        <w:left w:val="none" w:sz="0" w:space="0" w:color="auto"/>
        <w:bottom w:val="none" w:sz="0" w:space="0" w:color="auto"/>
        <w:right w:val="none" w:sz="0" w:space="0" w:color="auto"/>
      </w:divBdr>
      <w:divsChild>
        <w:div w:id="1696998338">
          <w:marLeft w:val="0"/>
          <w:marRight w:val="0"/>
          <w:marTop w:val="0"/>
          <w:marBottom w:val="0"/>
          <w:divBdr>
            <w:top w:val="none" w:sz="0" w:space="0" w:color="auto"/>
            <w:left w:val="none" w:sz="0" w:space="0" w:color="auto"/>
            <w:bottom w:val="none" w:sz="0" w:space="0" w:color="auto"/>
            <w:right w:val="none" w:sz="0" w:space="0" w:color="auto"/>
          </w:divBdr>
        </w:div>
      </w:divsChild>
    </w:div>
    <w:div w:id="1903175923">
      <w:bodyDiv w:val="1"/>
      <w:marLeft w:val="0"/>
      <w:marRight w:val="0"/>
      <w:marTop w:val="0"/>
      <w:marBottom w:val="0"/>
      <w:divBdr>
        <w:top w:val="none" w:sz="0" w:space="0" w:color="auto"/>
        <w:left w:val="none" w:sz="0" w:space="0" w:color="auto"/>
        <w:bottom w:val="none" w:sz="0" w:space="0" w:color="auto"/>
        <w:right w:val="none" w:sz="0" w:space="0" w:color="auto"/>
      </w:divBdr>
    </w:div>
    <w:div w:id="1956281256">
      <w:bodyDiv w:val="1"/>
      <w:marLeft w:val="0"/>
      <w:marRight w:val="0"/>
      <w:marTop w:val="0"/>
      <w:marBottom w:val="0"/>
      <w:divBdr>
        <w:top w:val="none" w:sz="0" w:space="0" w:color="auto"/>
        <w:left w:val="none" w:sz="0" w:space="0" w:color="auto"/>
        <w:bottom w:val="none" w:sz="0" w:space="0" w:color="auto"/>
        <w:right w:val="none" w:sz="0" w:space="0" w:color="auto"/>
      </w:divBdr>
    </w:div>
    <w:div w:id="1970937860">
      <w:bodyDiv w:val="1"/>
      <w:marLeft w:val="0"/>
      <w:marRight w:val="0"/>
      <w:marTop w:val="0"/>
      <w:marBottom w:val="0"/>
      <w:divBdr>
        <w:top w:val="none" w:sz="0" w:space="0" w:color="auto"/>
        <w:left w:val="none" w:sz="0" w:space="0" w:color="auto"/>
        <w:bottom w:val="none" w:sz="0" w:space="0" w:color="auto"/>
        <w:right w:val="none" w:sz="0" w:space="0" w:color="auto"/>
      </w:divBdr>
    </w:div>
    <w:div w:id="1972250637">
      <w:bodyDiv w:val="1"/>
      <w:marLeft w:val="0"/>
      <w:marRight w:val="0"/>
      <w:marTop w:val="0"/>
      <w:marBottom w:val="0"/>
      <w:divBdr>
        <w:top w:val="none" w:sz="0" w:space="0" w:color="auto"/>
        <w:left w:val="none" w:sz="0" w:space="0" w:color="auto"/>
        <w:bottom w:val="none" w:sz="0" w:space="0" w:color="auto"/>
        <w:right w:val="none" w:sz="0" w:space="0" w:color="auto"/>
      </w:divBdr>
    </w:div>
    <w:div w:id="2017220539">
      <w:bodyDiv w:val="1"/>
      <w:marLeft w:val="0"/>
      <w:marRight w:val="0"/>
      <w:marTop w:val="0"/>
      <w:marBottom w:val="0"/>
      <w:divBdr>
        <w:top w:val="none" w:sz="0" w:space="0" w:color="auto"/>
        <w:left w:val="none" w:sz="0" w:space="0" w:color="auto"/>
        <w:bottom w:val="none" w:sz="0" w:space="0" w:color="auto"/>
        <w:right w:val="none" w:sz="0" w:space="0" w:color="auto"/>
      </w:divBdr>
    </w:div>
    <w:div w:id="2073699439">
      <w:bodyDiv w:val="1"/>
      <w:marLeft w:val="0"/>
      <w:marRight w:val="0"/>
      <w:marTop w:val="0"/>
      <w:marBottom w:val="0"/>
      <w:divBdr>
        <w:top w:val="none" w:sz="0" w:space="0" w:color="auto"/>
        <w:left w:val="none" w:sz="0" w:space="0" w:color="auto"/>
        <w:bottom w:val="none" w:sz="0" w:space="0" w:color="auto"/>
        <w:right w:val="none" w:sz="0" w:space="0" w:color="auto"/>
      </w:divBdr>
      <w:divsChild>
        <w:div w:id="1914271272">
          <w:marLeft w:val="0"/>
          <w:marRight w:val="0"/>
          <w:marTop w:val="0"/>
          <w:marBottom w:val="0"/>
          <w:divBdr>
            <w:top w:val="none" w:sz="0" w:space="0" w:color="auto"/>
            <w:left w:val="none" w:sz="0" w:space="0" w:color="auto"/>
            <w:bottom w:val="none" w:sz="0" w:space="0" w:color="auto"/>
            <w:right w:val="none" w:sz="0" w:space="0" w:color="auto"/>
          </w:divBdr>
        </w:div>
      </w:divsChild>
    </w:div>
    <w:div w:id="2080209233">
      <w:bodyDiv w:val="1"/>
      <w:marLeft w:val="0"/>
      <w:marRight w:val="0"/>
      <w:marTop w:val="0"/>
      <w:marBottom w:val="0"/>
      <w:divBdr>
        <w:top w:val="none" w:sz="0" w:space="0" w:color="auto"/>
        <w:left w:val="none" w:sz="0" w:space="0" w:color="auto"/>
        <w:bottom w:val="none" w:sz="0" w:space="0" w:color="auto"/>
        <w:right w:val="none" w:sz="0" w:space="0" w:color="auto"/>
      </w:divBdr>
    </w:div>
    <w:div w:id="21468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PDF/?uri=CELEX:32015L0849" TargetMode="External"/><Relationship Id="rId21" Type="http://schemas.openxmlformats.org/officeDocument/2006/relationships/image" Target="media/image4.png"/><Relationship Id="rId34" Type="http://schemas.openxmlformats.org/officeDocument/2006/relationships/hyperlink" Target="https://jade.io/article/620508" TargetMode="External"/><Relationship Id="rId42" Type="http://schemas.openxmlformats.org/officeDocument/2006/relationships/hyperlink" Target="https://tbinternet.ohchr.org/_layouts/15/TreatyBodyExternal/Download.aspx?symbolno=CCPR%2FC%2F93%2FD%2F1482%2F2006&amp;Lang=en" TargetMode="External"/><Relationship Id="rId47" Type="http://schemas.openxmlformats.org/officeDocument/2006/relationships/hyperlink" Target="https://www.fatf-gafi.org/en/publications/Fatfrecommendations/Guidance-Beneficial-Ownership-Legal-Persons.html" TargetMode="External"/><Relationship Id="rId50" Type="http://schemas.openxmlformats.org/officeDocument/2006/relationships/hyperlink" Target="https://www.ag.gov.au/rights-and-protections/publications/government-response-privacy-act-review-report" TargetMode="External"/><Relationship Id="rId55" Type="http://schemas.openxmlformats.org/officeDocument/2006/relationships/hyperlink" Target="https://traderegistry.fr/french-register-of-beneficiaries-a-legal-framework-for-transparency-and-compliance/"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assic.austlii.edu.au/au/legis/cth/consol_act/pa1988108/s6c.html" TargetMode="External"/><Relationship Id="rId29" Type="http://schemas.openxmlformats.org/officeDocument/2006/relationships/hyperlink" Target="https://traderegistry.fr/french-register-of-beneficiaries-a-legal-framework-for-transparency-and-compliance/" TargetMode="External"/><Relationship Id="rId11" Type="http://schemas.openxmlformats.org/officeDocument/2006/relationships/footer" Target="footer1.xml"/><Relationship Id="rId24" Type="http://schemas.openxmlformats.org/officeDocument/2006/relationships/hyperlink" Target="https://assets.publishing.service.gov.uk/media/5d431904e5274a699238cf8b/review-implementation-psc-register.pdf" TargetMode="External"/><Relationship Id="rId32" Type="http://schemas.openxmlformats.org/officeDocument/2006/relationships/hyperlink" Target="https://www.oaic.gov.au/__data/assets/pdf_file/0025/74482/OAIC-Australian-Community-Attitudes-to-Privacy-Survey-2023.pdf" TargetMode="External"/><Relationship Id="rId37" Type="http://schemas.openxmlformats.org/officeDocument/2006/relationships/hyperlink" Target="https://www.austrac.gov.au/business/core-guidance/customer-identification-and-verification/customer-identification-know-your-customer-kyc" TargetMode="External"/><Relationship Id="rId40" Type="http://schemas.openxmlformats.org/officeDocument/2006/relationships/hyperlink" Target="https://juris.ohchr.org/casedetails/702/en-US" TargetMode="External"/><Relationship Id="rId45" Type="http://schemas.openxmlformats.org/officeDocument/2006/relationships/hyperlink" Target="https://eur-lex.europa.eu/legal-content/EN/TXT/PDF/?uri=CELEX:32015L0849" TargetMode="External"/><Relationship Id="rId53" Type="http://schemas.openxmlformats.org/officeDocument/2006/relationships/hyperlink" Target="https://www.nortonrosefulbright.com/-/media/files/nrf/nrfweb/publications/v3-50108_emea_brochure__regulation-around-the-world---beneficial-ownership-registries.pdf?revision=c8e6fc90-bf31-4999-9698-00cb17a9861a&amp;revision=5249855980737387904" TargetMode="External"/><Relationship Id="rId58" Type="http://schemas.openxmlformats.org/officeDocument/2006/relationships/hyperlink" Target="https://assets.publishing.service.gov.uk/media/5d431904e5274a699238cf8b/review-implementation-psc-register.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file:///C:/Users/donami/AppData/Local/Microsoft/Windows/INetCache/Content.Outlook/CNBI5784/20230417%20SWA%20Interactive%20Website%20PIA%2023001107(47235750.12)(47707560.1)%20(002).docx" TargetMode="External"/><Relationship Id="rId14" Type="http://schemas.openxmlformats.org/officeDocument/2006/relationships/hyperlink" Target="https://classic.austlii.edu.au/au/legis/cth/consol_act/pa1988108/s6.html" TargetMode="External"/><Relationship Id="rId22" Type="http://schemas.openxmlformats.org/officeDocument/2006/relationships/hyperlink" Target="https://www.fatf-gafi.org/content/dam/fatf-gafi/recommendations/FATF%20Recommendations%202012.pdf.coredownload.inline.pdf" TargetMode="External"/><Relationship Id="rId27" Type="http://schemas.openxmlformats.org/officeDocument/2006/relationships/hyperlink" Target="https://eur-lex.europa.eu/legal-content/EN/TXT/PDF/?uri=CELEX:62020CJ0037" TargetMode="External"/><Relationship Id="rId30" Type="http://schemas.openxmlformats.org/officeDocument/2006/relationships/hyperlink" Target="https://www.oaic.gov.au/__data/assets/pdf_file/0025/74482/OAIC-Australian-Community-Attitudes-to-Privacy-Survey-2023.pdf" TargetMode="External"/><Relationship Id="rId35" Type="http://schemas.openxmlformats.org/officeDocument/2006/relationships/hyperlink" Target="https://www.legislation.gov.au/F2007L01000/latest/downloads" TargetMode="External"/><Relationship Id="rId43" Type="http://schemas.openxmlformats.org/officeDocument/2006/relationships/hyperlink" Target="https://www.legislation.gov.au/C2004A00818/2019-07-01" TargetMode="External"/><Relationship Id="rId48" Type="http://schemas.openxmlformats.org/officeDocument/2006/relationships/hyperlink" Target="https://www.fatf-gafi.org/content/dam/fatf-gafi/recommendations/FATF%20Recommendations%202012.pdf.coredownload.inline.pdf" TargetMode="External"/><Relationship Id="rId56" Type="http://schemas.openxmlformats.org/officeDocument/2006/relationships/hyperlink" Target="https://www.oaic.gov.au/resources/agencies-and-organisations/guides/guide-to-securing-personal-information.pdf" TargetMode="External"/><Relationship Id="rId64" Type="http://schemas.openxmlformats.org/officeDocument/2006/relationships/header" Target="header4.xml"/><Relationship Id="rId8" Type="http://schemas.openxmlformats.org/officeDocument/2006/relationships/image" Target="media/image1.jpg"/><Relationship Id="rId51" Type="http://schemas.openxmlformats.org/officeDocument/2006/relationships/hyperlink" Target="https://ised-isde.canada.ca/site/corporations-canada/en/how-find-information-about-individuals-significant-control" TargetMode="External"/><Relationship Id="rId3" Type="http://schemas.openxmlformats.org/officeDocument/2006/relationships/styles" Target="styles.xml"/><Relationship Id="rId12" Type="http://schemas.openxmlformats.org/officeDocument/2006/relationships/hyperlink" Target="https://classic.austlii.edu.au/au/legis/cth/consol_act/pa1988108/s6.html" TargetMode="External"/><Relationship Id="rId17" Type="http://schemas.openxmlformats.org/officeDocument/2006/relationships/hyperlink" Target="https://classic.austlii.edu.au/au/legis/cth/consol_act/pa1988108/s6.html" TargetMode="External"/><Relationship Id="rId25" Type="http://schemas.openxmlformats.org/officeDocument/2006/relationships/hyperlink" Target="https://www.legislation.gov.uk/ukpga/2023/56/enacted" TargetMode="External"/><Relationship Id="rId33" Type="http://schemas.openxmlformats.org/officeDocument/2006/relationships/hyperlink" Target="https://www.abrs.gov.au/director-identification-number/about-director-id" TargetMode="External"/><Relationship Id="rId38" Type="http://schemas.openxmlformats.org/officeDocument/2006/relationships/hyperlink" Target="https://www.austrac.gov.au/business/new-to-austrac" TargetMode="External"/><Relationship Id="rId46" Type="http://schemas.openxmlformats.org/officeDocument/2006/relationships/hyperlink" Target="https://www.legislation.gov.uk/ukpga/2023/56/enacted" TargetMode="External"/><Relationship Id="rId59" Type="http://schemas.openxmlformats.org/officeDocument/2006/relationships/hyperlink" Target="https://ccprcentre.org/page/view/general_comments/27798" TargetMode="External"/><Relationship Id="rId67"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digitallibrary.un.org/record/551795?ln=es" TargetMode="External"/><Relationship Id="rId54" Type="http://schemas.openxmlformats.org/officeDocument/2006/relationships/hyperlink" Target="https://eur-lex.europa.eu/legal-content/EN/TXT/PDF/?uri=CELEX:62020CJ0037"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assic.austlii.edu.au/au/legis/cth/consol_act/pa1988108/s6c.html" TargetMode="External"/><Relationship Id="rId23" Type="http://schemas.openxmlformats.org/officeDocument/2006/relationships/hyperlink" Target="https://www.legislation.gov.au/F2007L01000/latest/downloads" TargetMode="External"/><Relationship Id="rId28" Type="http://schemas.openxmlformats.org/officeDocument/2006/relationships/hyperlink" Target="https://www.citizensinformation.ie/en/government-in-ireland/data-protection/rights-under-general-data-protection-regulation/" TargetMode="External"/><Relationship Id="rId36" Type="http://schemas.openxmlformats.org/officeDocument/2006/relationships/hyperlink" Target="https://www.ag.gov.au/rights-and-protections/publications/privacy-act-review-report" TargetMode="External"/><Relationship Id="rId49" Type="http://schemas.openxmlformats.org/officeDocument/2006/relationships/hyperlink" Target="https://www.fatf-gafi.org/en/topics/high-risk-and-other-monitored-jurisdictions.html." TargetMode="External"/><Relationship Id="rId57" Type="http://schemas.openxmlformats.org/officeDocument/2006/relationships/hyperlink" Target="https://www.acra.gov.sg/compliance/register-of-registrable-controllers/frequently-asked-questions" TargetMode="External"/><Relationship Id="rId10" Type="http://schemas.openxmlformats.org/officeDocument/2006/relationships/header" Target="header1.xml"/><Relationship Id="rId31" Type="http://schemas.openxmlformats.org/officeDocument/2006/relationships/hyperlink" Target="https://www.oaic.gov.au/resources/agencies-and-organisations/guides/guide-to-securing-personal-information.pdf" TargetMode="External"/><Relationship Id="rId44" Type="http://schemas.openxmlformats.org/officeDocument/2006/relationships/hyperlink" Target="https://www.legislation.gov.au/F2001B00274/latest/downloads" TargetMode="External"/><Relationship Id="rId52" Type="http://schemas.openxmlformats.org/officeDocument/2006/relationships/hyperlink" Target="https://www.ohchr.org/en/instruments-mechanisms/instruments/international-covenant-civil-and-political-rights" TargetMode="External"/><Relationship Id="rId60" Type="http://schemas.openxmlformats.org/officeDocument/2006/relationships/header" Target="header2.xm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classic.austlii.edu.au/au/legis/cth/consol_act/pa1988108/s6.html" TargetMode="External"/><Relationship Id="rId18" Type="http://schemas.openxmlformats.org/officeDocument/2006/relationships/hyperlink" Target="https://www.oaic.gov.au/engage-with-us/research-and-training-resources/research/australian-community-attitudes-to-privacy-survey" TargetMode="External"/><Relationship Id="rId39" Type="http://schemas.openxmlformats.org/officeDocument/2006/relationships/hyperlink" Target="https://www.citizensinformation.ie/en/government-in-ireland/european-government/eu-law/charter-of-fundamental-righ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cprcentre.org/page/view/general_comments/27798" TargetMode="External"/><Relationship Id="rId13" Type="http://schemas.openxmlformats.org/officeDocument/2006/relationships/hyperlink" Target="https://www.citizensinformation.ie/en/government-in-ireland/european-government/eu-law/charter-of-fundamental-rights/" TargetMode="External"/><Relationship Id="rId3" Type="http://schemas.openxmlformats.org/officeDocument/2006/relationships/hyperlink" Target="https://ccprcentre.org/page/view/general_comments/27798" TargetMode="External"/><Relationship Id="rId7" Type="http://schemas.openxmlformats.org/officeDocument/2006/relationships/hyperlink" Target="https://www.fatf-gafi.org/en/topics/high-risk-and-other-monitored-jurisdictions.html" TargetMode="External"/><Relationship Id="rId12" Type="http://schemas.openxmlformats.org/officeDocument/2006/relationships/hyperlink" Target="https://www.xe.com/currencyconverter/convert/?Amount=153.33&amp;From=GBP&amp;To=AUD" TargetMode="External"/><Relationship Id="rId17" Type="http://schemas.openxmlformats.org/officeDocument/2006/relationships/hyperlink" Target="https://www.fatf-gafi.org/en/publications/Fatfrecommendations/Guidance-Beneficial-Ownership-Legal-Persons.html" TargetMode="External"/><Relationship Id="rId2" Type="http://schemas.openxmlformats.org/officeDocument/2006/relationships/hyperlink" Target="https://ccprcentre.org/page/view/general_comments/27798" TargetMode="External"/><Relationship Id="rId16" Type="http://schemas.openxmlformats.org/officeDocument/2006/relationships/hyperlink" Target="https://www.fatf-gafi.org/en/publications/Fatfrecommendations/Guidance-Beneficial-Ownership-Legal-Persons.html" TargetMode="External"/><Relationship Id="rId1" Type="http://schemas.openxmlformats.org/officeDocument/2006/relationships/hyperlink" Target="https://www.ohchr.org/en/instruments-mechanisms/instruments/international-covenant-civil-and-political-rights" TargetMode="External"/><Relationship Id="rId6" Type="http://schemas.openxmlformats.org/officeDocument/2006/relationships/hyperlink" Target="https://www.ag.gov.au/rights-and-protections/publications/government-response-privacy-act-review-report" TargetMode="External"/><Relationship Id="rId11" Type="http://schemas.openxmlformats.org/officeDocument/2006/relationships/hyperlink" Target="https://www.bankofengland.co.uk/monetary-policy/inflation/inflation-calculator" TargetMode="External"/><Relationship Id="rId5" Type="http://schemas.openxmlformats.org/officeDocument/2006/relationships/hyperlink" Target="https://www.ag.gov.au/rights-and-protections/publications/privacy-act-review-report" TargetMode="External"/><Relationship Id="rId15" Type="http://schemas.openxmlformats.org/officeDocument/2006/relationships/hyperlink" Target="https://ised-isde.canada.ca/site/corporations-canada/en/how-find-information-about-individuals-significant-control" TargetMode="External"/><Relationship Id="rId10" Type="http://schemas.openxmlformats.org/officeDocument/2006/relationships/hyperlink" Target="https://www.austrac.gov.au/business/core-guidance/customer-identification-and-verification/customer-identification-know-your-customer-kyc" TargetMode="External"/><Relationship Id="rId4" Type="http://schemas.openxmlformats.org/officeDocument/2006/relationships/hyperlink" Target="https://ccprcentre.org/page/view/general_comments/27798" TargetMode="External"/><Relationship Id="rId9" Type="http://schemas.openxmlformats.org/officeDocument/2006/relationships/hyperlink" Target="https://www.austrac.gov.au/business/new-to-austrac" TargetMode="External"/><Relationship Id="rId14" Type="http://schemas.openxmlformats.org/officeDocument/2006/relationships/hyperlink" Target="https://www.acra.gov.sg/compliance/register-of-registrable-controllers/frequently-asked-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B1F4A-2578-4BEF-BF63-560CED6E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33686</Words>
  <Characters>191808</Characters>
  <Application>Microsoft Office Word</Application>
  <DocSecurity>0</DocSecurity>
  <Lines>1598</Lines>
  <Paragraphs>450</Paragraphs>
  <ScaleCrop>false</ScaleCrop>
  <HeadingPairs>
    <vt:vector size="2" baseType="variant">
      <vt:variant>
        <vt:lpstr>Title</vt:lpstr>
      </vt:variant>
      <vt:variant>
        <vt:i4>1</vt:i4>
      </vt:variant>
    </vt:vector>
  </HeadingPairs>
  <TitlesOfParts>
    <vt:vector size="1" baseType="lpstr">
      <vt:lpstr>Privacy impact assessment: Beneficial Ownership Policy</vt:lpstr>
    </vt:vector>
  </TitlesOfParts>
  <Manager/>
  <Company/>
  <LinksUpToDate>false</LinksUpToDate>
  <CharactersWithSpaces>225044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 Beneficial Ownership Policy</dc:title>
  <dc:subject/>
  <dc:creator/>
  <cp:keywords/>
  <dc:description/>
  <cp:lastModifiedBy/>
  <cp:revision>1</cp:revision>
  <dcterms:created xsi:type="dcterms:W3CDTF">2024-11-27T02:47:00Z</dcterms:created>
  <dcterms:modified xsi:type="dcterms:W3CDTF">2024-11-27T02:50:00Z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2024-11-27T02:48:20Z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29e78223-ce8b-45d2-9371-f72eb04542f0</vt:lpwstr>
  </property>
  <property fmtid="{D5CDD505-2E9C-101B-9397-08002B2CF9AE}" pid="8" name="MSIP_Label_4f932d64-9ab1-4d9b-81d2-a3a8b82dd47d_ContentBits">
    <vt:lpwstr>0</vt:lpwstr>
  </property>
</Properties>
</file>