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A9E2" w14:textId="79DE65A3" w:rsidR="00DA7B45" w:rsidRPr="009260CF" w:rsidRDefault="006E232A" w:rsidP="00284353">
      <w:pPr>
        <w:pStyle w:val="Heading1"/>
        <w:spacing w:before="0"/>
        <w:rPr>
          <w:color w:val="5D779D" w:themeColor="accent3"/>
        </w:rPr>
      </w:pPr>
      <w:r>
        <w:rPr>
          <w:color w:val="5D779D" w:themeColor="accent3"/>
        </w:rPr>
        <w:t>Response to p</w:t>
      </w:r>
      <w:r w:rsidR="009260CF" w:rsidRPr="004223AB">
        <w:rPr>
          <w:color w:val="5D779D" w:themeColor="accent3"/>
        </w:rPr>
        <w:t>rivacy impact assessment</w:t>
      </w:r>
      <w:r w:rsidR="009260CF">
        <w:rPr>
          <w:color w:val="5D779D" w:themeColor="accent3"/>
        </w:rPr>
        <w:t xml:space="preserve"> of the b</w:t>
      </w:r>
      <w:r w:rsidR="002C7C55">
        <w:rPr>
          <w:color w:val="5D779D" w:themeColor="accent3"/>
        </w:rPr>
        <w:t>eneficial ownership register for unliste</w:t>
      </w:r>
      <w:r w:rsidR="004223AB">
        <w:rPr>
          <w:color w:val="5D779D" w:themeColor="accent3"/>
        </w:rPr>
        <w:t>d</w:t>
      </w:r>
      <w:r w:rsidR="002C7C55">
        <w:rPr>
          <w:color w:val="5D779D" w:themeColor="accent3"/>
        </w:rPr>
        <w:t xml:space="preserve"> companies</w:t>
      </w:r>
    </w:p>
    <w:p w14:paraId="29384E6F" w14:textId="5FAFE87E" w:rsidR="0057770D" w:rsidRDefault="00642E3B" w:rsidP="00284353">
      <w:r>
        <w:t xml:space="preserve">Treasury engaged the Australian Government Solicitor (AGS) to conduct a privacy </w:t>
      </w:r>
      <w:r w:rsidR="001B4207">
        <w:t>impact</w:t>
      </w:r>
      <w:r>
        <w:t xml:space="preserve"> assessment (PIA) o</w:t>
      </w:r>
      <w:r w:rsidR="001B4207">
        <w:t>f</w:t>
      </w:r>
      <w:r>
        <w:t xml:space="preserve"> </w:t>
      </w:r>
      <w:r w:rsidR="001B4207">
        <w:t>proposed</w:t>
      </w:r>
      <w:r>
        <w:t xml:space="preserve"> policy </w:t>
      </w:r>
      <w:r w:rsidR="001B4207">
        <w:t>specifications</w:t>
      </w:r>
      <w:r>
        <w:t xml:space="preserve"> </w:t>
      </w:r>
      <w:r w:rsidR="001375DC">
        <w:t>for the first stage of</w:t>
      </w:r>
      <w:r w:rsidR="00DE2154">
        <w:t xml:space="preserve"> implementation of a</w:t>
      </w:r>
      <w:r w:rsidR="001375DC">
        <w:t xml:space="preserve"> beneficial ownership register</w:t>
      </w:r>
      <w:r w:rsidR="006E62C8">
        <w:t xml:space="preserve"> (BOR)</w:t>
      </w:r>
      <w:r w:rsidR="00DE2154">
        <w:t xml:space="preserve"> for unlisted companies.</w:t>
      </w:r>
    </w:p>
    <w:p w14:paraId="305EE719" w14:textId="77777777" w:rsidR="00F544BD" w:rsidRDefault="003D38F0" w:rsidP="00284353">
      <w:r>
        <w:t xml:space="preserve">As a result of the PIA, the Government has decided to limit </w:t>
      </w:r>
      <w:r w:rsidR="004C12C2">
        <w:t xml:space="preserve">eligibility to access BORs to law enforcement, regulators, </w:t>
      </w:r>
      <w:proofErr w:type="gramStart"/>
      <w:r w:rsidR="004C12C2">
        <w:t>journalists</w:t>
      </w:r>
      <w:proofErr w:type="gramEnd"/>
      <w:r w:rsidR="004C12C2">
        <w:t xml:space="preserve"> and academics in the initial stage of the reform. </w:t>
      </w:r>
      <w:r w:rsidR="009A57F2">
        <w:t>The Government has also decided</w:t>
      </w:r>
      <w:r w:rsidR="005D56A7">
        <w:t xml:space="preserve"> that ASIC is best placed to receive applications for BORs, consider applicant </w:t>
      </w:r>
      <w:r w:rsidR="00BC422C">
        <w:t xml:space="preserve">eligibility, administer suppression </w:t>
      </w:r>
      <w:proofErr w:type="gramStart"/>
      <w:r w:rsidR="00BC422C">
        <w:t>applications</w:t>
      </w:r>
      <w:proofErr w:type="gramEnd"/>
      <w:r w:rsidR="00BC422C">
        <w:t xml:space="preserve"> and</w:t>
      </w:r>
      <w:r w:rsidR="001F7900">
        <w:t xml:space="preserve"> ultimately provide BORs to eligible applicants.</w:t>
      </w:r>
    </w:p>
    <w:p w14:paraId="784C4214" w14:textId="5264A782" w:rsidR="00DA7B45" w:rsidRDefault="001E5410" w:rsidP="00284353">
      <w:r>
        <w:t xml:space="preserve">The table below sets out the </w:t>
      </w:r>
      <w:r w:rsidR="00BA6362">
        <w:t>Government’s</w:t>
      </w:r>
      <w:r>
        <w:t xml:space="preserve"> response to the eleven recommendations </w:t>
      </w:r>
      <w:r w:rsidR="00BA6362">
        <w:t xml:space="preserve">AGS made in the PIA for the purposes of the first stage of the reform. </w:t>
      </w:r>
      <w:r w:rsidR="006E232A">
        <w:t>Decisions</w:t>
      </w:r>
      <w:r w:rsidR="00F544BD">
        <w:t xml:space="preserve"> on </w:t>
      </w:r>
      <w:r w:rsidR="006E232A">
        <w:t>settings</w:t>
      </w:r>
      <w:r w:rsidR="00F544BD">
        <w:t xml:space="preserve"> for the next stage of the reform will be made at a </w:t>
      </w:r>
      <w:r w:rsidR="006E232A">
        <w:t>later</w:t>
      </w:r>
      <w:r w:rsidR="00F544BD">
        <w:t xml:space="preserve"> date, </w:t>
      </w:r>
      <w:r w:rsidR="006E232A">
        <w:t xml:space="preserve">also </w:t>
      </w:r>
      <w:r w:rsidR="00F544BD">
        <w:t xml:space="preserve">informed by this </w:t>
      </w:r>
      <w:r w:rsidR="006E232A">
        <w:t>PIA.</w:t>
      </w:r>
      <w:r w:rsidR="005D56A7">
        <w:t xml:space="preserve"> </w:t>
      </w:r>
    </w:p>
    <w:tbl>
      <w:tblPr>
        <w:tblStyle w:val="TableGrid"/>
        <w:tblW w:w="9781" w:type="dxa"/>
        <w:tblInd w:w="-5" w:type="dxa"/>
        <w:tblLook w:val="04A0" w:firstRow="1" w:lastRow="0" w:firstColumn="1" w:lastColumn="0" w:noHBand="0" w:noVBand="1"/>
      </w:tblPr>
      <w:tblGrid>
        <w:gridCol w:w="2977"/>
        <w:gridCol w:w="3827"/>
        <w:gridCol w:w="2977"/>
      </w:tblGrid>
      <w:tr w:rsidR="00516E2E" w14:paraId="0652BE59" w14:textId="77777777" w:rsidTr="002A2B7B">
        <w:tc>
          <w:tcPr>
            <w:tcW w:w="2977" w:type="dxa"/>
            <w:shd w:val="clear" w:color="auto" w:fill="9CACC4" w:themeFill="accent1" w:themeFillTint="66"/>
          </w:tcPr>
          <w:p w14:paraId="7DE6AB2F" w14:textId="79DF66A7" w:rsidR="00516E2E" w:rsidRPr="00722B7A" w:rsidRDefault="00516E2E" w:rsidP="00284353">
            <w:pPr>
              <w:rPr>
                <w:rFonts w:eastAsia="Calibri" w:cstheme="minorHAnsi"/>
                <w:b/>
                <w:bCs/>
                <w:color w:val="000000" w:themeColor="text1"/>
              </w:rPr>
            </w:pPr>
            <w:r w:rsidRPr="00722B7A">
              <w:rPr>
                <w:rFonts w:asciiTheme="minorHAnsi" w:eastAsia="Calibri" w:hAnsiTheme="minorHAnsi" w:cstheme="minorHAnsi"/>
                <w:b/>
                <w:bCs/>
                <w:color w:val="000000" w:themeColor="text1"/>
              </w:rPr>
              <w:t>Issue</w:t>
            </w:r>
          </w:p>
        </w:tc>
        <w:tc>
          <w:tcPr>
            <w:tcW w:w="3827" w:type="dxa"/>
            <w:shd w:val="clear" w:color="auto" w:fill="9CACC4" w:themeFill="accent1" w:themeFillTint="66"/>
          </w:tcPr>
          <w:p w14:paraId="79D3D67C" w14:textId="66D68CB0" w:rsidR="00516E2E" w:rsidRPr="00722B7A" w:rsidRDefault="00516E2E" w:rsidP="00284353">
            <w:pPr>
              <w:rPr>
                <w:rFonts w:eastAsia="Calibri" w:cstheme="minorHAnsi"/>
                <w:b/>
                <w:bCs/>
                <w:color w:val="000000" w:themeColor="text1"/>
              </w:rPr>
            </w:pPr>
            <w:r w:rsidRPr="00722B7A">
              <w:rPr>
                <w:rFonts w:asciiTheme="minorHAnsi" w:eastAsia="Calibri" w:hAnsiTheme="minorHAnsi" w:cstheme="minorHAnsi"/>
                <w:b/>
                <w:bCs/>
              </w:rPr>
              <w:t>Recommendation</w:t>
            </w:r>
          </w:p>
        </w:tc>
        <w:tc>
          <w:tcPr>
            <w:tcW w:w="2977" w:type="dxa"/>
            <w:shd w:val="clear" w:color="auto" w:fill="9CACC4" w:themeFill="accent1" w:themeFillTint="66"/>
          </w:tcPr>
          <w:p w14:paraId="0842D0D9" w14:textId="73CB2580" w:rsidR="00516E2E" w:rsidRDefault="006E232A" w:rsidP="00284353">
            <w:r>
              <w:rPr>
                <w:rFonts w:asciiTheme="minorHAnsi" w:eastAsia="Calibri" w:hAnsiTheme="minorHAnsi" w:cstheme="minorHAnsi"/>
                <w:b/>
                <w:bCs/>
                <w:color w:val="000000" w:themeColor="text1"/>
              </w:rPr>
              <w:t>R</w:t>
            </w:r>
            <w:r w:rsidR="00516E2E" w:rsidRPr="00722B7A">
              <w:rPr>
                <w:rFonts w:asciiTheme="minorHAnsi" w:eastAsia="Calibri" w:hAnsiTheme="minorHAnsi" w:cstheme="minorHAnsi"/>
                <w:b/>
                <w:bCs/>
                <w:color w:val="000000" w:themeColor="text1"/>
              </w:rPr>
              <w:t>esponse</w:t>
            </w:r>
          </w:p>
        </w:tc>
      </w:tr>
      <w:tr w:rsidR="00516E2E" w14:paraId="1AAAA796" w14:textId="77777777" w:rsidTr="002A2B7B">
        <w:tc>
          <w:tcPr>
            <w:tcW w:w="2977" w:type="dxa"/>
            <w:shd w:val="clear" w:color="auto" w:fill="CDD5E1" w:themeFill="accent1" w:themeFillTint="33"/>
          </w:tcPr>
          <w:p w14:paraId="0A7216D2" w14:textId="0207D7B4" w:rsidR="00516E2E" w:rsidRPr="00722B7A" w:rsidRDefault="00516E2E" w:rsidP="00284353">
            <w:pPr>
              <w:pStyle w:val="TableHeading2"/>
              <w:keepNext w:val="0"/>
              <w:keepLines w:val="0"/>
              <w:spacing w:before="0" w:after="60"/>
              <w:rPr>
                <w:rFonts w:asciiTheme="minorHAnsi" w:hAnsiTheme="minorHAnsi" w:cstheme="minorHAnsi"/>
                <w:b w:val="0"/>
              </w:rPr>
            </w:pPr>
            <w:r w:rsidRPr="00722B7A">
              <w:rPr>
                <w:rFonts w:asciiTheme="minorHAnsi" w:hAnsiTheme="minorHAnsi" w:cstheme="minorHAnsi"/>
                <w:b w:val="0"/>
              </w:rPr>
              <w:t>The intrusion into personal privacy caused by permitting public access to</w:t>
            </w:r>
            <w:r w:rsidR="0024772F">
              <w:rPr>
                <w:rFonts w:asciiTheme="minorHAnsi" w:hAnsiTheme="minorHAnsi" w:cstheme="minorHAnsi"/>
                <w:b w:val="0"/>
              </w:rPr>
              <w:t xml:space="preserve"> BOI</w:t>
            </w:r>
            <w:r w:rsidR="006F2385">
              <w:rPr>
                <w:rFonts w:asciiTheme="minorHAnsi" w:hAnsiTheme="minorHAnsi" w:cstheme="minorHAnsi"/>
                <w:b w:val="0"/>
              </w:rPr>
              <w:t xml:space="preserve"> </w:t>
            </w:r>
            <w:r w:rsidR="0024772F">
              <w:rPr>
                <w:rFonts w:asciiTheme="minorHAnsi" w:hAnsiTheme="minorHAnsi" w:cstheme="minorHAnsi"/>
                <w:b w:val="0"/>
              </w:rPr>
              <w:t>[</w:t>
            </w:r>
            <w:r w:rsidR="006F2385">
              <w:rPr>
                <w:rFonts w:asciiTheme="minorHAnsi" w:hAnsiTheme="minorHAnsi" w:cstheme="minorHAnsi"/>
                <w:b w:val="0"/>
              </w:rPr>
              <w:t>beneficial ownership information]</w:t>
            </w:r>
            <w:r w:rsidRPr="00722B7A">
              <w:rPr>
                <w:rFonts w:asciiTheme="minorHAnsi" w:hAnsiTheme="minorHAnsi" w:cstheme="minorHAnsi"/>
                <w:b w:val="0"/>
              </w:rPr>
              <w:t xml:space="preserve"> will be proportionate to the benefits if appropriate measures are implemented to protect BOI. </w:t>
            </w:r>
          </w:p>
          <w:p w14:paraId="55E23D65" w14:textId="77777777" w:rsidR="00516E2E" w:rsidRPr="00722B7A" w:rsidRDefault="00516E2E" w:rsidP="00284353">
            <w:pPr>
              <w:pStyle w:val="TableHeading2"/>
              <w:keepNext w:val="0"/>
              <w:keepLines w:val="0"/>
              <w:spacing w:before="0" w:after="60"/>
              <w:rPr>
                <w:rFonts w:asciiTheme="minorHAnsi" w:hAnsiTheme="minorHAnsi" w:cstheme="minorHAnsi"/>
                <w:b w:val="0"/>
              </w:rPr>
            </w:pPr>
            <w:r w:rsidRPr="00722B7A">
              <w:rPr>
                <w:rFonts w:asciiTheme="minorHAnsi" w:hAnsiTheme="minorHAnsi" w:cstheme="minorHAnsi"/>
                <w:b w:val="0"/>
              </w:rPr>
              <w:t>Limiting access to BOI to individuals who do not seek access for an improper purpose may be a difficult test to administer. It also does not align with international standards.</w:t>
            </w:r>
          </w:p>
          <w:p w14:paraId="73588274" w14:textId="635A33FD" w:rsidR="00516E2E" w:rsidRPr="00871225" w:rsidRDefault="00516E2E" w:rsidP="00284353">
            <w:pPr>
              <w:pStyle w:val="TableHeading2"/>
              <w:keepNext w:val="0"/>
              <w:keepLines w:val="0"/>
              <w:spacing w:before="0" w:after="60"/>
              <w:rPr>
                <w:rFonts w:asciiTheme="minorHAnsi" w:hAnsiTheme="minorHAnsi" w:cstheme="minorHAnsi"/>
                <w:b w:val="0"/>
                <w:bCs/>
              </w:rPr>
            </w:pPr>
            <w:r w:rsidRPr="00871225">
              <w:rPr>
                <w:rFonts w:asciiTheme="minorHAnsi" w:hAnsiTheme="minorHAnsi" w:cstheme="minorHAnsi"/>
                <w:b w:val="0"/>
                <w:bCs/>
              </w:rPr>
              <w:t>We consider that a small fee, and a requirement that a person has a ‘legitimate interest’ in being granted access, are the reasonable and appropriate conditions / protections.</w:t>
            </w:r>
          </w:p>
        </w:tc>
        <w:tc>
          <w:tcPr>
            <w:tcW w:w="3827" w:type="dxa"/>
          </w:tcPr>
          <w:p w14:paraId="4FE02AC1" w14:textId="27551781" w:rsidR="00516E2E" w:rsidRPr="00722B7A" w:rsidRDefault="00516E2E" w:rsidP="00284353">
            <w:pPr>
              <w:rPr>
                <w:rFonts w:asciiTheme="minorHAnsi" w:hAnsiTheme="minorHAnsi" w:cstheme="minorHAnsi"/>
                <w:b/>
              </w:rPr>
            </w:pPr>
            <w:r w:rsidRPr="00722B7A">
              <w:rPr>
                <w:rFonts w:asciiTheme="minorHAnsi" w:hAnsiTheme="minorHAnsi" w:cstheme="minorHAnsi"/>
              </w:rPr>
              <w:t>Treasury amend the BO Policy to limit access to the BORs in Stage 1 and the PCBOR in Stage 2 to persons and groups who:</w:t>
            </w:r>
          </w:p>
          <w:p w14:paraId="06963BE6" w14:textId="77777777" w:rsidR="00871225" w:rsidRPr="00871225" w:rsidRDefault="00516E2E" w:rsidP="00284353">
            <w:pPr>
              <w:pStyle w:val="Bullet"/>
              <w:rPr>
                <w:rFonts w:asciiTheme="minorHAnsi" w:hAnsiTheme="minorHAnsi" w:cstheme="minorHAnsi"/>
              </w:rPr>
            </w:pPr>
            <w:r w:rsidRPr="00722B7A">
              <w:rPr>
                <w:rFonts w:asciiTheme="minorHAnsi" w:hAnsiTheme="minorHAnsi" w:cstheme="minorHAnsi"/>
              </w:rPr>
              <w:t xml:space="preserve">pay a fee not exceeding the administrative cost of making the information available (except for persons who will be exempt from paying the fee, such as journalists and academics), </w:t>
            </w:r>
            <w:r w:rsidRPr="00722B7A">
              <w:rPr>
                <w:rFonts w:asciiTheme="minorHAnsi" w:hAnsiTheme="minorHAnsi" w:cstheme="minorHAnsi"/>
                <w:u w:val="single"/>
              </w:rPr>
              <w:t>and</w:t>
            </w:r>
          </w:p>
          <w:p w14:paraId="50390871" w14:textId="58747415" w:rsidR="00516E2E" w:rsidRPr="00871225" w:rsidRDefault="00516E2E" w:rsidP="00284353">
            <w:pPr>
              <w:pStyle w:val="Bullet"/>
              <w:rPr>
                <w:rFonts w:asciiTheme="minorHAnsi" w:hAnsiTheme="minorHAnsi" w:cstheme="minorHAnsi"/>
              </w:rPr>
            </w:pPr>
            <w:r w:rsidRPr="00871225">
              <w:rPr>
                <w:rFonts w:asciiTheme="minorHAnsi" w:hAnsiTheme="minorHAnsi" w:cstheme="minorHAnsi"/>
              </w:rPr>
              <w:t>demonstrate a legitimate interest in accessing the information.</w:t>
            </w:r>
          </w:p>
        </w:tc>
        <w:tc>
          <w:tcPr>
            <w:tcW w:w="2977" w:type="dxa"/>
          </w:tcPr>
          <w:p w14:paraId="541131D4" w14:textId="50DFE4D3" w:rsidR="00516E2E" w:rsidRPr="00722B7A" w:rsidRDefault="00A324BD" w:rsidP="00284353">
            <w:pPr>
              <w:spacing w:after="120"/>
              <w:rPr>
                <w:rFonts w:asciiTheme="minorHAnsi" w:eastAsia="Calibri" w:hAnsiTheme="minorHAnsi" w:cstheme="minorHAnsi"/>
              </w:rPr>
            </w:pPr>
            <w:r>
              <w:rPr>
                <w:rFonts w:asciiTheme="minorHAnsi" w:eastAsia="Calibri" w:hAnsiTheme="minorHAnsi" w:cstheme="minorHAnsi"/>
              </w:rPr>
              <w:t>As a result of this recommendation, the Government has decided to limited a</w:t>
            </w:r>
            <w:r w:rsidR="00516E2E" w:rsidRPr="00722B7A">
              <w:rPr>
                <w:rFonts w:asciiTheme="minorHAnsi" w:eastAsia="Calibri" w:hAnsiTheme="minorHAnsi" w:cstheme="minorHAnsi"/>
              </w:rPr>
              <w:t xml:space="preserve">ccess to BORs in stage 1 to law enforcement, regulators, academics and journalists. </w:t>
            </w:r>
          </w:p>
          <w:p w14:paraId="32B16856" w14:textId="0904807E" w:rsidR="00516E2E" w:rsidRPr="00722B7A" w:rsidRDefault="00516E2E" w:rsidP="00284353">
            <w:pPr>
              <w:spacing w:after="120"/>
              <w:rPr>
                <w:rFonts w:asciiTheme="minorHAnsi" w:eastAsia="Calibri" w:hAnsiTheme="minorHAnsi" w:cstheme="minorHAnsi"/>
              </w:rPr>
            </w:pPr>
            <w:r w:rsidRPr="00722B7A">
              <w:rPr>
                <w:rFonts w:asciiTheme="minorHAnsi" w:eastAsia="Calibri" w:hAnsiTheme="minorHAnsi" w:cstheme="minorHAnsi"/>
              </w:rPr>
              <w:t>Each of these groups has a legitimate interest and is fee</w:t>
            </w:r>
            <w:r w:rsidR="00D92DB2">
              <w:rPr>
                <w:rFonts w:asciiTheme="minorHAnsi" w:eastAsia="Calibri" w:hAnsiTheme="minorHAnsi" w:cstheme="minorHAnsi"/>
              </w:rPr>
              <w:t>-</w:t>
            </w:r>
            <w:r w:rsidRPr="00722B7A">
              <w:rPr>
                <w:rFonts w:asciiTheme="minorHAnsi" w:eastAsia="Calibri" w:hAnsiTheme="minorHAnsi" w:cstheme="minorHAnsi"/>
              </w:rPr>
              <w:t>exempt.</w:t>
            </w:r>
          </w:p>
          <w:p w14:paraId="4051BC1E" w14:textId="7A7AF978" w:rsidR="00516E2E" w:rsidRDefault="00516E2E" w:rsidP="00284353"/>
        </w:tc>
      </w:tr>
      <w:tr w:rsidR="00516E2E" w14:paraId="12F5326D" w14:textId="77777777" w:rsidTr="002A2B7B">
        <w:tc>
          <w:tcPr>
            <w:tcW w:w="2977" w:type="dxa"/>
            <w:shd w:val="clear" w:color="auto" w:fill="CDD5E1" w:themeFill="accent1" w:themeFillTint="33"/>
          </w:tcPr>
          <w:p w14:paraId="76905CB0" w14:textId="16896B1F" w:rsidR="00516E2E" w:rsidRPr="00722B7A" w:rsidRDefault="00516E2E" w:rsidP="00284353">
            <w:pPr>
              <w:rPr>
                <w:rFonts w:cstheme="minorHAnsi"/>
              </w:rPr>
            </w:pPr>
            <w:r w:rsidRPr="00722B7A">
              <w:rPr>
                <w:rFonts w:asciiTheme="minorHAnsi" w:hAnsiTheme="minorHAnsi" w:cstheme="minorHAnsi"/>
              </w:rPr>
              <w:t>Interference with privacy may occur if individuals or groups that access BOI for a legitimate purpose use or disclose the data for a different purpose.</w:t>
            </w:r>
          </w:p>
        </w:tc>
        <w:tc>
          <w:tcPr>
            <w:tcW w:w="3827" w:type="dxa"/>
          </w:tcPr>
          <w:p w14:paraId="67E2FB2A" w14:textId="77777777" w:rsidR="00E57E81" w:rsidRDefault="00516E2E" w:rsidP="00284353">
            <w:pPr>
              <w:rPr>
                <w:rFonts w:asciiTheme="minorHAnsi" w:hAnsiTheme="minorHAnsi" w:cstheme="minorHAnsi"/>
                <w:lang w:eastAsia="en-US"/>
              </w:rPr>
            </w:pPr>
            <w:r w:rsidRPr="00722B7A">
              <w:rPr>
                <w:rFonts w:asciiTheme="minorHAnsi" w:hAnsiTheme="minorHAnsi" w:cstheme="minorHAnsi"/>
                <w:lang w:eastAsia="en-US"/>
              </w:rPr>
              <w:t>The BO Policy:</w:t>
            </w:r>
          </w:p>
          <w:p w14:paraId="56F35260" w14:textId="63A9104B" w:rsidR="00871225" w:rsidRPr="00284353" w:rsidRDefault="00516E2E" w:rsidP="00284353">
            <w:pPr>
              <w:pStyle w:val="TableHeading2"/>
              <w:numPr>
                <w:ilvl w:val="0"/>
                <w:numId w:val="27"/>
              </w:numPr>
              <w:spacing w:before="0" w:after="60"/>
              <w:rPr>
                <w:rFonts w:asciiTheme="minorHAnsi" w:hAnsiTheme="minorHAnsi" w:cstheme="minorHAnsi"/>
                <w:b w:val="0"/>
                <w:lang w:eastAsia="en-US"/>
              </w:rPr>
            </w:pPr>
            <w:r w:rsidRPr="00284353">
              <w:rPr>
                <w:rFonts w:asciiTheme="minorHAnsi" w:hAnsiTheme="minorHAnsi" w:cstheme="minorHAnsi"/>
                <w:b w:val="0"/>
                <w:lang w:eastAsia="en-US"/>
              </w:rPr>
              <w:t>require access applicants in Stages 1 and/or 2 to declare the purposes for which they seek access, and require, as a condition of access, that they undertake to only use or disclose received BOI for the declared purposes</w:t>
            </w:r>
          </w:p>
          <w:p w14:paraId="4B01FFF7" w14:textId="003D9E6C" w:rsidR="00516E2E" w:rsidRPr="00871225" w:rsidRDefault="00516E2E" w:rsidP="00284353">
            <w:pPr>
              <w:pStyle w:val="TableHeading2"/>
              <w:numPr>
                <w:ilvl w:val="0"/>
                <w:numId w:val="27"/>
              </w:numPr>
              <w:spacing w:before="0" w:after="60"/>
              <w:rPr>
                <w:rFonts w:asciiTheme="minorHAnsi" w:hAnsiTheme="minorHAnsi" w:cstheme="minorHAnsi"/>
                <w:b w:val="0"/>
                <w:lang w:eastAsia="en-US"/>
              </w:rPr>
            </w:pPr>
            <w:r w:rsidRPr="00871225">
              <w:rPr>
                <w:rFonts w:asciiTheme="minorHAnsi" w:hAnsiTheme="minorHAnsi" w:cstheme="minorHAnsi"/>
                <w:b w:val="0"/>
                <w:lang w:eastAsia="en-US"/>
              </w:rPr>
              <w:t>authorise the RCA to impose conditions on how persons who access data in the PCBOR may use or disclose the data.</w:t>
            </w:r>
          </w:p>
        </w:tc>
        <w:tc>
          <w:tcPr>
            <w:tcW w:w="2977" w:type="dxa"/>
          </w:tcPr>
          <w:p w14:paraId="7B65DBFB" w14:textId="7ADBD66B" w:rsidR="00516E2E" w:rsidRPr="00722B7A" w:rsidRDefault="00516E2E" w:rsidP="00284353">
            <w:pPr>
              <w:spacing w:after="120"/>
              <w:rPr>
                <w:rFonts w:asciiTheme="minorHAnsi" w:eastAsia="Calibri" w:hAnsiTheme="minorHAnsi" w:cstheme="minorHAnsi"/>
              </w:rPr>
            </w:pPr>
            <w:r w:rsidRPr="00722B7A">
              <w:rPr>
                <w:rFonts w:asciiTheme="minorHAnsi" w:eastAsia="Calibri" w:hAnsiTheme="minorHAnsi" w:cstheme="minorHAnsi"/>
              </w:rPr>
              <w:t>A</w:t>
            </w:r>
            <w:r w:rsidR="00F930A7">
              <w:rPr>
                <w:rFonts w:asciiTheme="minorHAnsi" w:eastAsia="Calibri" w:hAnsiTheme="minorHAnsi" w:cstheme="minorHAnsi"/>
              </w:rPr>
              <w:t>s a result of this PIA, a</w:t>
            </w:r>
            <w:r w:rsidRPr="00722B7A">
              <w:rPr>
                <w:rFonts w:asciiTheme="minorHAnsi" w:eastAsia="Calibri" w:hAnsiTheme="minorHAnsi" w:cstheme="minorHAnsi"/>
              </w:rPr>
              <w:t xml:space="preserve">ccess to BORs in stage 1 will be limited to law enforcement, regulators, academics and journalists. </w:t>
            </w:r>
          </w:p>
          <w:p w14:paraId="116D8E3A" w14:textId="134AE1FA" w:rsidR="003F6260" w:rsidRPr="00722B7A" w:rsidRDefault="00516E2E" w:rsidP="00284353">
            <w:pPr>
              <w:spacing w:after="120"/>
              <w:rPr>
                <w:rFonts w:asciiTheme="minorHAnsi" w:eastAsia="Calibri" w:hAnsiTheme="minorHAnsi" w:cstheme="minorHAnsi"/>
              </w:rPr>
            </w:pPr>
            <w:r w:rsidRPr="00722B7A">
              <w:rPr>
                <w:rFonts w:asciiTheme="minorHAnsi" w:eastAsia="Calibri" w:hAnsiTheme="minorHAnsi" w:cstheme="minorHAnsi"/>
              </w:rPr>
              <w:t xml:space="preserve">Applicants will only be permitted to use information obtained from BORs for the purposes of the profession that made them eligible. </w:t>
            </w:r>
          </w:p>
          <w:p w14:paraId="37ECD005" w14:textId="5AC1693A" w:rsidR="00516E2E" w:rsidRDefault="00516E2E" w:rsidP="00284353"/>
        </w:tc>
      </w:tr>
      <w:tr w:rsidR="00516E2E" w14:paraId="03DA598A" w14:textId="77777777" w:rsidTr="002A2B7B">
        <w:tc>
          <w:tcPr>
            <w:tcW w:w="2977" w:type="dxa"/>
            <w:shd w:val="clear" w:color="auto" w:fill="CDD5E1" w:themeFill="accent1" w:themeFillTint="33"/>
          </w:tcPr>
          <w:p w14:paraId="76D2309D" w14:textId="30DF418E" w:rsidR="00516E2E" w:rsidRPr="00722B7A" w:rsidRDefault="00516E2E" w:rsidP="00284353">
            <w:pPr>
              <w:rPr>
                <w:rFonts w:cstheme="minorHAnsi"/>
              </w:rPr>
            </w:pPr>
            <w:r w:rsidRPr="00722B7A">
              <w:rPr>
                <w:rFonts w:asciiTheme="minorHAnsi" w:hAnsiTheme="minorHAnsi" w:cstheme="minorHAnsi"/>
              </w:rPr>
              <w:t xml:space="preserve">Prescribing the detail of the BO Policy in delegated legislation risks later ‘function creep’, i.e. expansion of the policy to collect </w:t>
            </w:r>
            <w:r w:rsidRPr="00722B7A">
              <w:rPr>
                <w:rFonts w:asciiTheme="minorHAnsi" w:hAnsiTheme="minorHAnsi" w:cstheme="minorHAnsi"/>
              </w:rPr>
              <w:lastRenderedPageBreak/>
              <w:t>additional personal information, or permit the use/disclosure of BOI for unanticipated purposes.</w:t>
            </w:r>
          </w:p>
        </w:tc>
        <w:tc>
          <w:tcPr>
            <w:tcW w:w="3827" w:type="dxa"/>
          </w:tcPr>
          <w:p w14:paraId="0D7C03EF" w14:textId="62A7A9AC" w:rsidR="00516E2E" w:rsidRPr="00722B7A" w:rsidRDefault="00516E2E" w:rsidP="00284353">
            <w:pPr>
              <w:rPr>
                <w:rFonts w:asciiTheme="minorHAnsi" w:hAnsiTheme="minorHAnsi" w:cstheme="minorHAnsi"/>
                <w:b/>
                <w:lang w:eastAsia="en-US"/>
              </w:rPr>
            </w:pPr>
            <w:r w:rsidRPr="00722B7A">
              <w:rPr>
                <w:rFonts w:asciiTheme="minorHAnsi" w:hAnsiTheme="minorHAnsi" w:cstheme="minorHAnsi"/>
                <w:lang w:eastAsia="en-US"/>
              </w:rPr>
              <w:lastRenderedPageBreak/>
              <w:t>Treasury prescribe the core elements of the BO Policy in primary legislation, including:</w:t>
            </w:r>
          </w:p>
          <w:p w14:paraId="69AF9933" w14:textId="77777777" w:rsidR="00516E2E" w:rsidRPr="00722B7A" w:rsidRDefault="00516E2E" w:rsidP="0084676B">
            <w:pPr>
              <w:pStyle w:val="NumberLevel2"/>
              <w:numPr>
                <w:ilvl w:val="0"/>
                <w:numId w:val="26"/>
              </w:numPr>
              <w:spacing w:before="0" w:after="0"/>
              <w:rPr>
                <w:rFonts w:asciiTheme="minorHAnsi" w:hAnsiTheme="minorHAnsi" w:cstheme="minorHAnsi"/>
                <w:lang w:eastAsia="en-US"/>
              </w:rPr>
            </w:pPr>
            <w:r w:rsidRPr="00722B7A">
              <w:rPr>
                <w:rFonts w:asciiTheme="minorHAnsi" w:hAnsiTheme="minorHAnsi" w:cstheme="minorHAnsi"/>
                <w:lang w:eastAsia="en-US"/>
              </w:rPr>
              <w:t>the types of BOI,</w:t>
            </w:r>
          </w:p>
          <w:p w14:paraId="10952E45" w14:textId="77777777" w:rsidR="00516E2E" w:rsidRPr="00722B7A" w:rsidRDefault="00516E2E" w:rsidP="0084676B">
            <w:pPr>
              <w:pStyle w:val="NumberLevel2"/>
              <w:numPr>
                <w:ilvl w:val="0"/>
                <w:numId w:val="26"/>
              </w:numPr>
              <w:spacing w:before="0" w:after="0"/>
              <w:rPr>
                <w:rFonts w:asciiTheme="minorHAnsi" w:hAnsiTheme="minorHAnsi" w:cstheme="minorHAnsi"/>
                <w:lang w:eastAsia="en-US"/>
              </w:rPr>
            </w:pPr>
            <w:r w:rsidRPr="00722B7A">
              <w:rPr>
                <w:rFonts w:asciiTheme="minorHAnsi" w:hAnsiTheme="minorHAnsi" w:cstheme="minorHAnsi"/>
                <w:lang w:eastAsia="en-US"/>
              </w:rPr>
              <w:lastRenderedPageBreak/>
              <w:t>the law enforcement agencies and regulators who will have unlimited access to BOI,</w:t>
            </w:r>
          </w:p>
          <w:p w14:paraId="461CC064" w14:textId="77777777" w:rsidR="00516E2E" w:rsidRPr="00722B7A" w:rsidRDefault="00516E2E" w:rsidP="0084676B">
            <w:pPr>
              <w:pStyle w:val="NumberLevel2"/>
              <w:numPr>
                <w:ilvl w:val="0"/>
                <w:numId w:val="26"/>
              </w:numPr>
              <w:spacing w:before="0" w:after="0"/>
              <w:rPr>
                <w:rFonts w:asciiTheme="minorHAnsi" w:hAnsiTheme="minorHAnsi" w:cstheme="minorHAnsi"/>
                <w:lang w:eastAsia="en-US"/>
              </w:rPr>
            </w:pPr>
            <w:r w:rsidRPr="00722B7A">
              <w:rPr>
                <w:rFonts w:asciiTheme="minorHAnsi" w:hAnsiTheme="minorHAnsi" w:cstheme="minorHAnsi"/>
                <w:lang w:eastAsia="en-US"/>
              </w:rPr>
              <w:t>the purposes for which law enforcement agencies and regulators can seek unlimited access to BOI</w:t>
            </w:r>
          </w:p>
          <w:p w14:paraId="6D86B023" w14:textId="77777777" w:rsidR="0084676B" w:rsidRDefault="00516E2E" w:rsidP="0084676B">
            <w:pPr>
              <w:pStyle w:val="NumberLevel2"/>
              <w:numPr>
                <w:ilvl w:val="0"/>
                <w:numId w:val="26"/>
              </w:numPr>
              <w:spacing w:before="0" w:after="0"/>
              <w:rPr>
                <w:rFonts w:asciiTheme="minorHAnsi" w:hAnsiTheme="minorHAnsi" w:cstheme="minorHAnsi"/>
                <w:lang w:eastAsia="en-US"/>
              </w:rPr>
            </w:pPr>
            <w:r w:rsidRPr="00722B7A">
              <w:rPr>
                <w:rFonts w:asciiTheme="minorHAnsi" w:hAnsiTheme="minorHAnsi" w:cstheme="minorHAnsi"/>
                <w:lang w:eastAsia="en-US"/>
              </w:rPr>
              <w:t>the scope of ASIC’s enforcement powers,</w:t>
            </w:r>
          </w:p>
          <w:p w14:paraId="03835414" w14:textId="26F3AED4" w:rsidR="00516E2E" w:rsidRPr="0084676B" w:rsidRDefault="00516E2E" w:rsidP="0084676B">
            <w:pPr>
              <w:pStyle w:val="NumberLevel2"/>
              <w:numPr>
                <w:ilvl w:val="0"/>
                <w:numId w:val="26"/>
              </w:numPr>
              <w:spacing w:before="0" w:after="0"/>
              <w:rPr>
                <w:rFonts w:asciiTheme="minorHAnsi" w:hAnsiTheme="minorHAnsi" w:cstheme="minorHAnsi"/>
                <w:lang w:eastAsia="en-US"/>
              </w:rPr>
            </w:pPr>
            <w:r w:rsidRPr="0084676B">
              <w:rPr>
                <w:rFonts w:asciiTheme="minorHAnsi" w:hAnsiTheme="minorHAnsi" w:cstheme="minorHAnsi"/>
                <w:lang w:eastAsia="en-US"/>
              </w:rPr>
              <w:t>the reasons for which a person seeking to access BOR may have an ‘improper purpose’.</w:t>
            </w:r>
          </w:p>
        </w:tc>
        <w:tc>
          <w:tcPr>
            <w:tcW w:w="2977" w:type="dxa"/>
          </w:tcPr>
          <w:p w14:paraId="12243A44" w14:textId="77777777" w:rsidR="00516E2E" w:rsidRPr="00722B7A" w:rsidRDefault="00516E2E" w:rsidP="00284353">
            <w:pPr>
              <w:pStyle w:val="TableHeading2"/>
              <w:keepNext w:val="0"/>
              <w:keepLines w:val="0"/>
              <w:spacing w:before="0" w:after="60"/>
              <w:rPr>
                <w:rFonts w:asciiTheme="minorHAnsi" w:hAnsiTheme="minorHAnsi" w:cstheme="minorHAnsi"/>
                <w:b w:val="0"/>
              </w:rPr>
            </w:pPr>
            <w:r w:rsidRPr="00722B7A">
              <w:rPr>
                <w:rFonts w:asciiTheme="minorHAnsi" w:hAnsiTheme="minorHAnsi" w:cstheme="minorHAnsi"/>
                <w:b w:val="0"/>
              </w:rPr>
              <w:lastRenderedPageBreak/>
              <w:t>The primary legislation will set out:</w:t>
            </w:r>
          </w:p>
          <w:p w14:paraId="12DBFC2D" w14:textId="77777777" w:rsidR="00516E2E" w:rsidRPr="00722B7A" w:rsidRDefault="00516E2E" w:rsidP="0084676B">
            <w:pPr>
              <w:pStyle w:val="NumberLevel2"/>
              <w:numPr>
                <w:ilvl w:val="0"/>
                <w:numId w:val="26"/>
              </w:numPr>
              <w:spacing w:before="0" w:after="0"/>
              <w:rPr>
                <w:rFonts w:asciiTheme="minorHAnsi" w:hAnsiTheme="minorHAnsi" w:cstheme="minorHAnsi"/>
              </w:rPr>
            </w:pPr>
            <w:r w:rsidRPr="00722B7A">
              <w:rPr>
                <w:rFonts w:asciiTheme="minorHAnsi" w:hAnsiTheme="minorHAnsi" w:cstheme="minorHAnsi"/>
              </w:rPr>
              <w:t>the types of BOI,</w:t>
            </w:r>
          </w:p>
          <w:p w14:paraId="1C660A0A" w14:textId="77777777" w:rsidR="00516E2E" w:rsidRPr="00722B7A" w:rsidRDefault="00516E2E" w:rsidP="0084676B">
            <w:pPr>
              <w:pStyle w:val="NumberLevel2"/>
              <w:numPr>
                <w:ilvl w:val="0"/>
                <w:numId w:val="26"/>
              </w:numPr>
              <w:spacing w:before="0" w:after="0"/>
              <w:rPr>
                <w:rFonts w:asciiTheme="minorHAnsi" w:hAnsiTheme="minorHAnsi" w:cstheme="minorHAnsi"/>
              </w:rPr>
            </w:pPr>
            <w:r w:rsidRPr="00722B7A">
              <w:rPr>
                <w:rFonts w:asciiTheme="minorHAnsi" w:hAnsiTheme="minorHAnsi" w:cstheme="minorHAnsi"/>
              </w:rPr>
              <w:lastRenderedPageBreak/>
              <w:t>the law enforcement agencies and regulators who will have unlimited access to BOI,</w:t>
            </w:r>
          </w:p>
          <w:p w14:paraId="119BE43F" w14:textId="77777777" w:rsidR="00516E2E" w:rsidRPr="00722B7A" w:rsidRDefault="00516E2E" w:rsidP="0084676B">
            <w:pPr>
              <w:pStyle w:val="NumberLevel2"/>
              <w:numPr>
                <w:ilvl w:val="0"/>
                <w:numId w:val="26"/>
              </w:numPr>
              <w:spacing w:before="0" w:after="0"/>
              <w:rPr>
                <w:rFonts w:asciiTheme="minorHAnsi" w:hAnsiTheme="minorHAnsi" w:cstheme="minorHAnsi"/>
              </w:rPr>
            </w:pPr>
            <w:r w:rsidRPr="00722B7A">
              <w:rPr>
                <w:rFonts w:asciiTheme="minorHAnsi" w:hAnsiTheme="minorHAnsi" w:cstheme="minorHAnsi"/>
              </w:rPr>
              <w:t>the purposes for which law enforcement agencies and regulators can seek unlimited access to BOI, and</w:t>
            </w:r>
          </w:p>
          <w:p w14:paraId="24900AB9" w14:textId="77777777" w:rsidR="00516E2E" w:rsidRPr="00722B7A" w:rsidRDefault="00516E2E" w:rsidP="0084676B">
            <w:pPr>
              <w:pStyle w:val="NumberLevel2"/>
              <w:numPr>
                <w:ilvl w:val="0"/>
                <w:numId w:val="26"/>
              </w:numPr>
              <w:spacing w:before="0" w:after="0"/>
              <w:rPr>
                <w:rFonts w:asciiTheme="minorHAnsi" w:hAnsiTheme="minorHAnsi" w:cstheme="minorHAnsi"/>
              </w:rPr>
            </w:pPr>
            <w:r w:rsidRPr="00722B7A">
              <w:rPr>
                <w:rFonts w:asciiTheme="minorHAnsi" w:hAnsiTheme="minorHAnsi" w:cstheme="minorHAnsi"/>
              </w:rPr>
              <w:t>the scope of ASIC’s enforcement powers.</w:t>
            </w:r>
          </w:p>
          <w:p w14:paraId="0EC0571B" w14:textId="52D739C0" w:rsidR="00516E2E" w:rsidRPr="00BA6362" w:rsidRDefault="00516E2E" w:rsidP="00284353">
            <w:pPr>
              <w:spacing w:after="120"/>
              <w:rPr>
                <w:rFonts w:asciiTheme="minorHAnsi" w:eastAsia="Calibri" w:hAnsiTheme="minorHAnsi" w:cstheme="minorHAnsi"/>
              </w:rPr>
            </w:pPr>
            <w:r w:rsidRPr="00722B7A">
              <w:rPr>
                <w:rFonts w:asciiTheme="minorHAnsi" w:eastAsia="Calibri" w:hAnsiTheme="minorHAnsi" w:cstheme="minorHAnsi"/>
              </w:rPr>
              <w:t>Given that in stage 1 only law enforcement, regulators, academics and journalists will have access to BORs, and they will only be able to use information for the purposes of th</w:t>
            </w:r>
            <w:r w:rsidR="00BE243D">
              <w:rPr>
                <w:rFonts w:asciiTheme="minorHAnsi" w:eastAsia="Calibri" w:hAnsiTheme="minorHAnsi" w:cstheme="minorHAnsi"/>
              </w:rPr>
              <w:t>at</w:t>
            </w:r>
            <w:r w:rsidRPr="00722B7A">
              <w:rPr>
                <w:rFonts w:asciiTheme="minorHAnsi" w:eastAsia="Calibri" w:hAnsiTheme="minorHAnsi" w:cstheme="minorHAnsi"/>
              </w:rPr>
              <w:t xml:space="preserve"> profession</w:t>
            </w:r>
            <w:r w:rsidR="00BE243D">
              <w:rPr>
                <w:rFonts w:asciiTheme="minorHAnsi" w:eastAsia="Calibri" w:hAnsiTheme="minorHAnsi" w:cstheme="minorHAnsi"/>
              </w:rPr>
              <w:t>,</w:t>
            </w:r>
            <w:r w:rsidRPr="00722B7A">
              <w:rPr>
                <w:rFonts w:asciiTheme="minorHAnsi" w:eastAsia="Calibri" w:hAnsiTheme="minorHAnsi" w:cstheme="minorHAnsi"/>
              </w:rPr>
              <w:t xml:space="preserve"> Treasury considers that improper purposes do not need to be set out</w:t>
            </w:r>
            <w:r w:rsidR="002827B8">
              <w:rPr>
                <w:rFonts w:asciiTheme="minorHAnsi" w:eastAsia="Calibri" w:hAnsiTheme="minorHAnsi" w:cstheme="minorHAnsi"/>
              </w:rPr>
              <w:t xml:space="preserve"> in the primary legislation</w:t>
            </w:r>
            <w:r w:rsidRPr="00722B7A">
              <w:rPr>
                <w:rFonts w:asciiTheme="minorHAnsi" w:eastAsia="Calibri" w:hAnsiTheme="minorHAnsi" w:cstheme="minorHAnsi"/>
              </w:rPr>
              <w:t xml:space="preserve">. </w:t>
            </w:r>
          </w:p>
        </w:tc>
      </w:tr>
      <w:tr w:rsidR="00516E2E" w14:paraId="5B6E8985" w14:textId="77777777" w:rsidTr="002A2B7B">
        <w:tc>
          <w:tcPr>
            <w:tcW w:w="2977" w:type="dxa"/>
            <w:shd w:val="clear" w:color="auto" w:fill="CDD5E1" w:themeFill="accent1" w:themeFillTint="33"/>
          </w:tcPr>
          <w:p w14:paraId="7FE2AE63" w14:textId="77777777" w:rsidR="00516E2E" w:rsidRPr="00722B7A" w:rsidRDefault="00516E2E" w:rsidP="00284353">
            <w:pPr>
              <w:spacing w:line="259" w:lineRule="auto"/>
              <w:rPr>
                <w:rFonts w:asciiTheme="minorHAnsi" w:eastAsia="Calibri" w:hAnsiTheme="minorHAnsi" w:cstheme="minorHAnsi"/>
              </w:rPr>
            </w:pPr>
            <w:r w:rsidRPr="00722B7A">
              <w:rPr>
                <w:rFonts w:asciiTheme="minorHAnsi" w:hAnsiTheme="minorHAnsi" w:cstheme="minorHAnsi"/>
              </w:rPr>
              <w:lastRenderedPageBreak/>
              <w:t>The introduction of the BO Policy will require in-scope companies to prepare or update policies (including privacy policies where they have chosen or are required to have a privacy policy) and implement new practices to collect, store, use and disclose BOI that is personal information.</w:t>
            </w:r>
          </w:p>
          <w:p w14:paraId="70C59A13" w14:textId="77777777" w:rsidR="00516E2E" w:rsidRPr="00722B7A" w:rsidRDefault="00516E2E" w:rsidP="00284353">
            <w:pPr>
              <w:rPr>
                <w:rFonts w:cstheme="minorHAnsi"/>
              </w:rPr>
            </w:pPr>
          </w:p>
        </w:tc>
        <w:tc>
          <w:tcPr>
            <w:tcW w:w="3827" w:type="dxa"/>
          </w:tcPr>
          <w:p w14:paraId="5B21F5E8" w14:textId="20C38429" w:rsidR="00516E2E" w:rsidRPr="00722B7A" w:rsidRDefault="00516E2E" w:rsidP="00284353">
            <w:pPr>
              <w:spacing w:after="160"/>
              <w:rPr>
                <w:rFonts w:asciiTheme="minorHAnsi" w:hAnsiTheme="minorHAnsi" w:cstheme="minorHAnsi"/>
                <w:b/>
              </w:rPr>
            </w:pPr>
            <w:r w:rsidRPr="00722B7A">
              <w:rPr>
                <w:rFonts w:asciiTheme="minorHAnsi" w:hAnsiTheme="minorHAnsi" w:cstheme="minorHAnsi"/>
              </w:rPr>
              <w:t xml:space="preserve">To promote a ‘privacy by design’ approach, the Commonwealth develop guidance for in-scope companies on appropriate content for entity privacy policies, and necessary practices, procedures and systems that entities should implement to comply with the APPs in </w:t>
            </w:r>
            <w:hyperlink w:anchor="AnnexureA" w:history="1">
              <w:r w:rsidRPr="00722B7A">
                <w:rPr>
                  <w:rStyle w:val="Hyperlink"/>
                  <w:rFonts w:asciiTheme="minorHAnsi" w:hAnsiTheme="minorHAnsi" w:cstheme="minorHAnsi"/>
                </w:rPr>
                <w:t>Annexure A</w:t>
              </w:r>
            </w:hyperlink>
            <w:r w:rsidRPr="00722B7A">
              <w:rPr>
                <w:rFonts w:asciiTheme="minorHAnsi" w:hAnsiTheme="minorHAnsi" w:cstheme="minorHAnsi"/>
              </w:rPr>
              <w:t>.</w:t>
            </w:r>
          </w:p>
          <w:p w14:paraId="5E049A74" w14:textId="40E3BE71" w:rsidR="00516E2E" w:rsidRPr="00722B7A" w:rsidRDefault="00516E2E" w:rsidP="00284353">
            <w:pPr>
              <w:rPr>
                <w:rFonts w:cstheme="minorHAnsi"/>
              </w:rPr>
            </w:pPr>
            <w:r w:rsidRPr="00722B7A">
              <w:rPr>
                <w:rFonts w:asciiTheme="minorHAnsi" w:hAnsiTheme="minorHAnsi" w:cstheme="minorHAnsi"/>
              </w:rPr>
              <w:t>To promote a ‘privacy by design’ approach, in-scope companies who are not subject to the APPs should be encouraged to voluntarily comply with the APPs in their handling of BOI that is personal information.</w:t>
            </w:r>
          </w:p>
        </w:tc>
        <w:tc>
          <w:tcPr>
            <w:tcW w:w="2977" w:type="dxa"/>
          </w:tcPr>
          <w:p w14:paraId="2342F99C" w14:textId="34310E66" w:rsidR="00516E2E" w:rsidRDefault="00516E2E" w:rsidP="00284353">
            <w:r w:rsidRPr="00722B7A">
              <w:rPr>
                <w:rFonts w:asciiTheme="minorHAnsi" w:eastAsia="Calibri" w:hAnsiTheme="minorHAnsi" w:cstheme="minorHAnsi"/>
              </w:rPr>
              <w:t>Agreed</w:t>
            </w:r>
          </w:p>
        </w:tc>
      </w:tr>
      <w:tr w:rsidR="00516E2E" w14:paraId="773F0396" w14:textId="77777777" w:rsidTr="002A2B7B">
        <w:tc>
          <w:tcPr>
            <w:tcW w:w="2977" w:type="dxa"/>
            <w:shd w:val="clear" w:color="auto" w:fill="CDD5E1" w:themeFill="accent1" w:themeFillTint="33"/>
          </w:tcPr>
          <w:p w14:paraId="180653C4" w14:textId="364908F2" w:rsidR="00516E2E" w:rsidRPr="00722B7A" w:rsidRDefault="00516E2E" w:rsidP="00284353">
            <w:pPr>
              <w:rPr>
                <w:rFonts w:cstheme="minorHAnsi"/>
              </w:rPr>
            </w:pPr>
            <w:r w:rsidRPr="00722B7A">
              <w:rPr>
                <w:rFonts w:asciiTheme="minorHAnsi" w:hAnsiTheme="minorHAnsi" w:cstheme="minorHAnsi"/>
              </w:rPr>
              <w:t>Beneficial owners may over-provide personal information when supplying BOI, such as additional documents demonstrating their status as a beneficial owner, or a submission in support of an application to suppress their BOI (which they should provide to ASIC only, not in-scope companies).</w:t>
            </w:r>
          </w:p>
        </w:tc>
        <w:tc>
          <w:tcPr>
            <w:tcW w:w="3827" w:type="dxa"/>
          </w:tcPr>
          <w:p w14:paraId="7C0DC3DF" w14:textId="6E32EBD8" w:rsidR="00516E2E" w:rsidRPr="00722B7A" w:rsidRDefault="00516E2E" w:rsidP="00284353">
            <w:pPr>
              <w:rPr>
                <w:rFonts w:asciiTheme="minorHAnsi" w:hAnsiTheme="minorHAnsi" w:cstheme="minorHAnsi"/>
                <w:b/>
              </w:rPr>
            </w:pPr>
            <w:r w:rsidRPr="00722B7A">
              <w:rPr>
                <w:rFonts w:asciiTheme="minorHAnsi" w:hAnsiTheme="minorHAnsi" w:cstheme="minorHAnsi"/>
              </w:rPr>
              <w:t>The approved format should include guidance to beneficial owners explaining:</w:t>
            </w:r>
          </w:p>
          <w:p w14:paraId="231CA790" w14:textId="77777777" w:rsidR="00871225" w:rsidRPr="00871225" w:rsidRDefault="00516E2E" w:rsidP="00284353">
            <w:pPr>
              <w:pStyle w:val="Bullet"/>
              <w:rPr>
                <w:rFonts w:asciiTheme="minorHAnsi" w:hAnsiTheme="minorHAnsi" w:cstheme="minorHAnsi"/>
                <w:b/>
              </w:rPr>
            </w:pPr>
            <w:r w:rsidRPr="00722B7A">
              <w:rPr>
                <w:rFonts w:asciiTheme="minorHAnsi" w:hAnsiTheme="minorHAnsi" w:cstheme="minorHAnsi"/>
              </w:rPr>
              <w:t xml:space="preserve">the categories of information they must supply, </w:t>
            </w:r>
          </w:p>
          <w:p w14:paraId="2B2B5B04" w14:textId="687D1F0A" w:rsidR="00516E2E" w:rsidRPr="00871225" w:rsidRDefault="00516E2E" w:rsidP="00284353">
            <w:pPr>
              <w:pStyle w:val="Bullet"/>
              <w:rPr>
                <w:rFonts w:asciiTheme="minorHAnsi" w:hAnsiTheme="minorHAnsi" w:cstheme="minorHAnsi"/>
                <w:b/>
              </w:rPr>
            </w:pPr>
            <w:r w:rsidRPr="00871225">
              <w:rPr>
                <w:rFonts w:eastAsia="Times New Roman" w:cstheme="minorHAnsi"/>
              </w:rPr>
              <w:t>other kinds of information that are not needed, and should not be supplied.</w:t>
            </w:r>
          </w:p>
        </w:tc>
        <w:tc>
          <w:tcPr>
            <w:tcW w:w="2977" w:type="dxa"/>
          </w:tcPr>
          <w:p w14:paraId="27A4C5A5" w14:textId="061D1E6D" w:rsidR="00516E2E" w:rsidRDefault="00516E2E" w:rsidP="00284353">
            <w:r w:rsidRPr="00722B7A">
              <w:rPr>
                <w:rFonts w:asciiTheme="minorHAnsi" w:eastAsia="Calibri" w:hAnsiTheme="minorHAnsi" w:cstheme="minorHAnsi"/>
              </w:rPr>
              <w:t>Agreed</w:t>
            </w:r>
          </w:p>
        </w:tc>
      </w:tr>
      <w:tr w:rsidR="00516E2E" w14:paraId="241A6AE3" w14:textId="77777777" w:rsidTr="002A2B7B">
        <w:tc>
          <w:tcPr>
            <w:tcW w:w="2977" w:type="dxa"/>
            <w:shd w:val="clear" w:color="auto" w:fill="CDD5E1" w:themeFill="accent1" w:themeFillTint="33"/>
          </w:tcPr>
          <w:p w14:paraId="6BFC2462" w14:textId="6AE0943D" w:rsidR="00516E2E" w:rsidRPr="000372E0" w:rsidRDefault="00516E2E" w:rsidP="00284353">
            <w:pPr>
              <w:spacing w:line="259" w:lineRule="auto"/>
              <w:rPr>
                <w:rFonts w:asciiTheme="minorHAnsi" w:eastAsia="Calibri" w:hAnsiTheme="minorHAnsi" w:cstheme="minorHAnsi"/>
              </w:rPr>
            </w:pPr>
            <w:r w:rsidRPr="00722B7A">
              <w:rPr>
                <w:rFonts w:asciiTheme="minorHAnsi" w:hAnsiTheme="minorHAnsi" w:cstheme="minorHAnsi"/>
              </w:rPr>
              <w:t>APP entities must, before or as soon as practicable after collecting personal information, notify the individual of prescribed matters, or otherwise ensure that they are aware of such matters.</w:t>
            </w:r>
          </w:p>
        </w:tc>
        <w:tc>
          <w:tcPr>
            <w:tcW w:w="3827" w:type="dxa"/>
          </w:tcPr>
          <w:p w14:paraId="6FFC6F36" w14:textId="372BC17C" w:rsidR="00516E2E" w:rsidRPr="00722B7A" w:rsidRDefault="00516E2E" w:rsidP="00284353">
            <w:pPr>
              <w:rPr>
                <w:rFonts w:cstheme="minorHAnsi"/>
              </w:rPr>
            </w:pPr>
            <w:r w:rsidRPr="00722B7A">
              <w:rPr>
                <w:rFonts w:asciiTheme="minorHAnsi" w:hAnsiTheme="minorHAnsi" w:cstheme="minorHAnsi"/>
              </w:rPr>
              <w:t xml:space="preserve">In-scope companies, ASIC and the RCA provide collection notices addressing the matters outlined at </w:t>
            </w:r>
            <w:hyperlink w:anchor="AnnexureA" w:history="1">
              <w:r w:rsidRPr="00722B7A">
                <w:rPr>
                  <w:rStyle w:val="Hyperlink"/>
                  <w:rFonts w:asciiTheme="minorHAnsi" w:hAnsiTheme="minorHAnsi" w:cstheme="minorHAnsi"/>
                </w:rPr>
                <w:t>Annexure A</w:t>
              </w:r>
            </w:hyperlink>
            <w:r w:rsidRPr="00722B7A">
              <w:rPr>
                <w:rFonts w:asciiTheme="minorHAnsi" w:hAnsiTheme="minorHAnsi" w:cstheme="minorHAnsi"/>
              </w:rPr>
              <w:t>, before, or as soon as practicable after, they collect personal information.</w:t>
            </w:r>
          </w:p>
        </w:tc>
        <w:tc>
          <w:tcPr>
            <w:tcW w:w="2977" w:type="dxa"/>
          </w:tcPr>
          <w:p w14:paraId="159F8768" w14:textId="3A15CCAE" w:rsidR="00516E2E" w:rsidRDefault="004E4308" w:rsidP="00284353">
            <w:r w:rsidRPr="00722B7A">
              <w:rPr>
                <w:rFonts w:asciiTheme="minorHAnsi" w:eastAsia="Calibri" w:hAnsiTheme="minorHAnsi" w:cstheme="minorHAnsi"/>
              </w:rPr>
              <w:t>Agreed</w:t>
            </w:r>
          </w:p>
        </w:tc>
      </w:tr>
      <w:tr w:rsidR="00516E2E" w14:paraId="0F1B5BDB" w14:textId="77777777" w:rsidTr="002A2B7B">
        <w:tc>
          <w:tcPr>
            <w:tcW w:w="2977" w:type="dxa"/>
            <w:shd w:val="clear" w:color="auto" w:fill="CDD5E1" w:themeFill="accent1" w:themeFillTint="33"/>
          </w:tcPr>
          <w:p w14:paraId="3F05C03A" w14:textId="486C1056" w:rsidR="00516E2E" w:rsidRPr="00722B7A" w:rsidRDefault="00516E2E" w:rsidP="00284353">
            <w:pPr>
              <w:rPr>
                <w:rFonts w:cstheme="minorHAnsi"/>
              </w:rPr>
            </w:pPr>
            <w:r w:rsidRPr="00722B7A">
              <w:rPr>
                <w:rFonts w:asciiTheme="minorHAnsi" w:hAnsiTheme="minorHAnsi" w:cstheme="minorHAnsi"/>
              </w:rPr>
              <w:lastRenderedPageBreak/>
              <w:t>Unless ASIC notifies an in-scope company about the receipt and outcome of a suppression application, the in-scope company may not know whether a suppression entitlement exists, or when the entitlement ends (e.g. if ASIC refuses the application or a review is unsuccessful).</w:t>
            </w:r>
          </w:p>
        </w:tc>
        <w:tc>
          <w:tcPr>
            <w:tcW w:w="3827" w:type="dxa"/>
          </w:tcPr>
          <w:p w14:paraId="4DA592C8" w14:textId="77777777" w:rsidR="00516E2E" w:rsidRDefault="00516E2E" w:rsidP="00284353">
            <w:pPr>
              <w:pStyle w:val="TableHeading2"/>
              <w:numPr>
                <w:ilvl w:val="0"/>
                <w:numId w:val="28"/>
              </w:numPr>
              <w:spacing w:before="0" w:after="60"/>
              <w:ind w:left="357" w:hanging="357"/>
              <w:rPr>
                <w:rFonts w:asciiTheme="minorHAnsi" w:hAnsiTheme="minorHAnsi" w:cstheme="minorHAnsi"/>
                <w:b w:val="0"/>
              </w:rPr>
            </w:pPr>
            <w:r w:rsidRPr="00722B7A">
              <w:rPr>
                <w:rFonts w:asciiTheme="minorHAnsi" w:hAnsiTheme="minorHAnsi" w:cstheme="minorHAnsi"/>
                <w:b w:val="0"/>
              </w:rPr>
              <w:t>ASIC notify in-scope companies of the receipt and outcome of a suppression application.</w:t>
            </w:r>
          </w:p>
          <w:p w14:paraId="7AFE0298" w14:textId="63FCD0F4" w:rsidR="00516E2E" w:rsidRPr="00722B7A" w:rsidRDefault="00516E2E" w:rsidP="00284353">
            <w:pPr>
              <w:pStyle w:val="TableHeading2"/>
              <w:numPr>
                <w:ilvl w:val="0"/>
                <w:numId w:val="28"/>
              </w:numPr>
              <w:spacing w:before="0" w:after="60"/>
              <w:ind w:left="357" w:hanging="357"/>
              <w:rPr>
                <w:rFonts w:cstheme="minorHAnsi"/>
              </w:rPr>
            </w:pPr>
            <w:r w:rsidRPr="00E231A1">
              <w:rPr>
                <w:rFonts w:asciiTheme="minorHAnsi" w:hAnsiTheme="minorHAnsi" w:cstheme="minorHAnsi"/>
                <w:b w:val="0"/>
              </w:rPr>
              <w:t>In-scope companies suppress BOI from the register for 28 days after receiving notice of a beneficial owner’s intent to apply for suppression, or after they receive notice of an application until they receive a negative final outcome notice.</w:t>
            </w:r>
          </w:p>
        </w:tc>
        <w:tc>
          <w:tcPr>
            <w:tcW w:w="2977" w:type="dxa"/>
          </w:tcPr>
          <w:p w14:paraId="2273CD72" w14:textId="53089D69" w:rsidR="00516E2E" w:rsidRPr="00722B7A" w:rsidRDefault="003D2F01" w:rsidP="00284353">
            <w:pPr>
              <w:spacing w:after="120"/>
              <w:rPr>
                <w:rFonts w:asciiTheme="minorHAnsi" w:eastAsia="Calibri" w:hAnsiTheme="minorHAnsi" w:cstheme="minorHAnsi"/>
              </w:rPr>
            </w:pPr>
            <w:r>
              <w:rPr>
                <w:rFonts w:asciiTheme="minorHAnsi" w:eastAsia="Calibri" w:hAnsiTheme="minorHAnsi" w:cstheme="minorHAnsi"/>
              </w:rPr>
              <w:t xml:space="preserve">As a result of this PIA, </w:t>
            </w:r>
            <w:r w:rsidR="00516E2E" w:rsidRPr="00722B7A">
              <w:rPr>
                <w:rFonts w:asciiTheme="minorHAnsi" w:eastAsia="Calibri" w:hAnsiTheme="minorHAnsi" w:cstheme="minorHAnsi"/>
              </w:rPr>
              <w:t xml:space="preserve">ASIC will now be responsible for assessing and </w:t>
            </w:r>
            <w:r w:rsidR="00D92DB2">
              <w:rPr>
                <w:rFonts w:asciiTheme="minorHAnsi" w:eastAsia="Calibri" w:hAnsiTheme="minorHAnsi" w:cstheme="minorHAnsi"/>
              </w:rPr>
              <w:t xml:space="preserve">actioning </w:t>
            </w:r>
            <w:r w:rsidR="00516E2E" w:rsidRPr="00722B7A">
              <w:rPr>
                <w:rFonts w:asciiTheme="minorHAnsi" w:eastAsia="Calibri" w:hAnsiTheme="minorHAnsi" w:cstheme="minorHAnsi"/>
              </w:rPr>
              <w:t xml:space="preserve"> suppression applications.</w:t>
            </w:r>
          </w:p>
          <w:p w14:paraId="5CB7B804" w14:textId="77777777" w:rsidR="00516E2E" w:rsidRDefault="00516E2E" w:rsidP="00284353"/>
        </w:tc>
      </w:tr>
      <w:tr w:rsidR="00516E2E" w14:paraId="54D56DC7" w14:textId="77777777" w:rsidTr="002A2B7B">
        <w:tc>
          <w:tcPr>
            <w:tcW w:w="2977" w:type="dxa"/>
            <w:shd w:val="clear" w:color="auto" w:fill="CDD5E1" w:themeFill="accent1" w:themeFillTint="33"/>
          </w:tcPr>
          <w:p w14:paraId="74BB97B8" w14:textId="77777777" w:rsidR="00516E2E" w:rsidRPr="00722B7A" w:rsidRDefault="00516E2E" w:rsidP="00284353">
            <w:pPr>
              <w:spacing w:line="259" w:lineRule="auto"/>
              <w:rPr>
                <w:rFonts w:asciiTheme="minorHAnsi" w:eastAsia="Calibri" w:hAnsiTheme="minorHAnsi" w:cstheme="minorHAnsi"/>
              </w:rPr>
            </w:pPr>
            <w:r w:rsidRPr="00722B7A">
              <w:rPr>
                <w:rFonts w:asciiTheme="minorHAnsi" w:hAnsiTheme="minorHAnsi" w:cstheme="minorHAnsi"/>
              </w:rPr>
              <w:t>Any uncertainty over the operation of the suppression regime may impact the privacy of beneficial owners, for example, if they believe they are ineligible for suppression and fail to apply, or over-provide information supporting their suppression application.</w:t>
            </w:r>
          </w:p>
          <w:p w14:paraId="615C29F7" w14:textId="77777777" w:rsidR="00516E2E" w:rsidRPr="00722B7A" w:rsidRDefault="00516E2E" w:rsidP="00284353">
            <w:pPr>
              <w:rPr>
                <w:rFonts w:cstheme="minorHAnsi"/>
              </w:rPr>
            </w:pPr>
          </w:p>
        </w:tc>
        <w:tc>
          <w:tcPr>
            <w:tcW w:w="3827" w:type="dxa"/>
          </w:tcPr>
          <w:p w14:paraId="74E919B9" w14:textId="74CB650C" w:rsidR="00516E2E" w:rsidRPr="00722B7A" w:rsidRDefault="00516E2E" w:rsidP="00284353">
            <w:pPr>
              <w:rPr>
                <w:rFonts w:asciiTheme="minorHAnsi" w:hAnsiTheme="minorHAnsi" w:cstheme="minorHAnsi"/>
                <w:b/>
              </w:rPr>
            </w:pPr>
            <w:r w:rsidRPr="00722B7A">
              <w:rPr>
                <w:rFonts w:asciiTheme="minorHAnsi" w:hAnsiTheme="minorHAnsi" w:cstheme="minorHAnsi"/>
              </w:rPr>
              <w:t xml:space="preserve">The Commonwealth develop: </w:t>
            </w:r>
          </w:p>
          <w:p w14:paraId="0C9D09A0" w14:textId="77777777" w:rsidR="00516E2E" w:rsidRDefault="00516E2E" w:rsidP="00284353">
            <w:pPr>
              <w:pStyle w:val="ListParagraph"/>
              <w:numPr>
                <w:ilvl w:val="0"/>
                <w:numId w:val="28"/>
              </w:numPr>
              <w:spacing w:after="60"/>
              <w:ind w:left="357" w:hanging="357"/>
              <w:rPr>
                <w:rFonts w:asciiTheme="minorHAnsi" w:hAnsiTheme="minorHAnsi" w:cstheme="minorHAnsi"/>
              </w:rPr>
            </w:pPr>
            <w:r w:rsidRPr="00722B7A">
              <w:rPr>
                <w:rFonts w:asciiTheme="minorHAnsi" w:hAnsiTheme="minorHAnsi" w:cstheme="minorHAnsi"/>
              </w:rPr>
              <w:t>guidance for beneficial owners on the kinds of circumstances where it will grant a suppression application, as well as the types of information an individual could supply to substantiate a suppression application</w:t>
            </w:r>
          </w:p>
          <w:p w14:paraId="0F7B3258" w14:textId="235B9CDA" w:rsidR="00516E2E" w:rsidRPr="00516E2E" w:rsidRDefault="00516E2E" w:rsidP="00284353">
            <w:pPr>
              <w:pStyle w:val="ListParagraph"/>
              <w:numPr>
                <w:ilvl w:val="0"/>
                <w:numId w:val="28"/>
              </w:numPr>
              <w:spacing w:after="60"/>
              <w:ind w:left="357" w:hanging="357"/>
              <w:rPr>
                <w:rFonts w:asciiTheme="minorHAnsi" w:hAnsiTheme="minorHAnsi" w:cstheme="minorHAnsi"/>
              </w:rPr>
            </w:pPr>
            <w:r w:rsidRPr="00516E2E">
              <w:rPr>
                <w:rFonts w:asciiTheme="minorHAnsi" w:hAnsiTheme="minorHAnsi" w:cstheme="minorHAnsi"/>
              </w:rPr>
              <w:t>an approved format to supply information in support of a suppression application.</w:t>
            </w:r>
          </w:p>
        </w:tc>
        <w:tc>
          <w:tcPr>
            <w:tcW w:w="2977" w:type="dxa"/>
          </w:tcPr>
          <w:p w14:paraId="34A6546A" w14:textId="73098582" w:rsidR="00516E2E" w:rsidRPr="00722B7A" w:rsidRDefault="00516E2E" w:rsidP="00284353">
            <w:pPr>
              <w:spacing w:after="120"/>
              <w:rPr>
                <w:rFonts w:asciiTheme="minorHAnsi" w:eastAsia="Calibri" w:hAnsiTheme="minorHAnsi" w:cstheme="minorHAnsi"/>
              </w:rPr>
            </w:pPr>
            <w:r w:rsidRPr="00722B7A">
              <w:rPr>
                <w:rFonts w:asciiTheme="minorHAnsi" w:eastAsia="Calibri" w:hAnsiTheme="minorHAnsi" w:cstheme="minorHAnsi"/>
              </w:rPr>
              <w:t>Agreed</w:t>
            </w:r>
          </w:p>
          <w:p w14:paraId="7D237892" w14:textId="77777777" w:rsidR="00516E2E" w:rsidRDefault="00516E2E" w:rsidP="00284353"/>
        </w:tc>
      </w:tr>
      <w:tr w:rsidR="00516E2E" w14:paraId="20BDA961" w14:textId="77777777" w:rsidTr="002A2B7B">
        <w:tc>
          <w:tcPr>
            <w:tcW w:w="2977" w:type="dxa"/>
            <w:shd w:val="clear" w:color="auto" w:fill="CDD5E1" w:themeFill="accent1" w:themeFillTint="33"/>
          </w:tcPr>
          <w:p w14:paraId="1976E999" w14:textId="5BB85DEF" w:rsidR="00516E2E" w:rsidRPr="00722B7A" w:rsidRDefault="00516E2E" w:rsidP="00284353">
            <w:pPr>
              <w:rPr>
                <w:rFonts w:cstheme="minorHAnsi"/>
              </w:rPr>
            </w:pPr>
            <w:r w:rsidRPr="00722B7A">
              <w:rPr>
                <w:rFonts w:asciiTheme="minorHAnsi" w:hAnsiTheme="minorHAnsi" w:cstheme="minorHAnsi"/>
              </w:rPr>
              <w:t>Many in-scope companies will have limited experience in identity verification. This may cause harm to beneficial owners, e.g. if in-scope companies over collect and/or fail to delete identity documents after verifying identity (e.g. in the event of a data breach).</w:t>
            </w:r>
          </w:p>
        </w:tc>
        <w:tc>
          <w:tcPr>
            <w:tcW w:w="3827" w:type="dxa"/>
          </w:tcPr>
          <w:p w14:paraId="2E1B9BCE" w14:textId="79EC2DF7" w:rsidR="00516E2E" w:rsidRPr="00722B7A" w:rsidRDefault="00516E2E" w:rsidP="00284353">
            <w:pPr>
              <w:rPr>
                <w:rFonts w:cstheme="minorHAnsi"/>
              </w:rPr>
            </w:pPr>
            <w:r w:rsidRPr="00722B7A">
              <w:rPr>
                <w:rFonts w:asciiTheme="minorHAnsi" w:hAnsiTheme="minorHAnsi" w:cstheme="minorHAnsi"/>
              </w:rPr>
              <w:t>The Commonwealth encourage in-scope companies to engage professional identity verification service providers.</w:t>
            </w:r>
          </w:p>
        </w:tc>
        <w:tc>
          <w:tcPr>
            <w:tcW w:w="2977" w:type="dxa"/>
          </w:tcPr>
          <w:p w14:paraId="07F6C3AE" w14:textId="78627B0D" w:rsidR="00516E2E" w:rsidRDefault="00516E2E" w:rsidP="00284353">
            <w:r w:rsidRPr="00722B7A">
              <w:rPr>
                <w:rFonts w:asciiTheme="minorHAnsi" w:eastAsia="Calibri" w:hAnsiTheme="minorHAnsi" w:cstheme="minorHAnsi"/>
              </w:rPr>
              <w:t>Agreed</w:t>
            </w:r>
          </w:p>
        </w:tc>
      </w:tr>
      <w:tr w:rsidR="00516E2E" w14:paraId="5112906F" w14:textId="77777777" w:rsidTr="002A2B7B">
        <w:tc>
          <w:tcPr>
            <w:tcW w:w="2977" w:type="dxa"/>
            <w:shd w:val="clear" w:color="auto" w:fill="CDD5E1" w:themeFill="accent1" w:themeFillTint="33"/>
          </w:tcPr>
          <w:p w14:paraId="5D679725" w14:textId="4AF88FD6" w:rsidR="00516E2E" w:rsidRPr="00722B7A" w:rsidRDefault="00516E2E" w:rsidP="00284353">
            <w:pPr>
              <w:rPr>
                <w:rFonts w:cstheme="minorHAnsi"/>
              </w:rPr>
            </w:pPr>
            <w:r w:rsidRPr="00722B7A">
              <w:rPr>
                <w:rFonts w:asciiTheme="minorHAnsi" w:hAnsiTheme="minorHAnsi" w:cstheme="minorHAnsi"/>
              </w:rPr>
              <w:t>Allowing in-scope companies to create and maintain BORs in idiosyncratic formats risks recording BOI in inconsistent formats. This may cause data quality issues in Stage 2 and/or risk unauthorised disclosure in Stage 1.</w:t>
            </w:r>
          </w:p>
        </w:tc>
        <w:tc>
          <w:tcPr>
            <w:tcW w:w="3827" w:type="dxa"/>
          </w:tcPr>
          <w:p w14:paraId="5FDB7093" w14:textId="77777777" w:rsidR="00516E2E" w:rsidRPr="00722B7A" w:rsidRDefault="00516E2E" w:rsidP="00284353">
            <w:pPr>
              <w:rPr>
                <w:rFonts w:cstheme="minorHAnsi"/>
              </w:rPr>
            </w:pPr>
            <w:r w:rsidRPr="00722B7A">
              <w:rPr>
                <w:rFonts w:asciiTheme="minorHAnsi" w:hAnsiTheme="minorHAnsi" w:cstheme="minorHAnsi"/>
              </w:rPr>
              <w:t>The Commonwealth prescribe or promote a template or format for in-scope companies to use to create and maintain their BORs. For example, a document or workbook with locked, defined formatting rules presents the most significant benefits.</w:t>
            </w:r>
          </w:p>
        </w:tc>
        <w:tc>
          <w:tcPr>
            <w:tcW w:w="2977" w:type="dxa"/>
          </w:tcPr>
          <w:p w14:paraId="57396CDF" w14:textId="6A2F554B" w:rsidR="00516E2E" w:rsidRDefault="00516E2E" w:rsidP="00284353">
            <w:r w:rsidRPr="00722B7A">
              <w:rPr>
                <w:rFonts w:asciiTheme="minorHAnsi" w:eastAsia="Calibri" w:hAnsiTheme="minorHAnsi" w:cstheme="minorHAnsi"/>
              </w:rPr>
              <w:t>Agreed</w:t>
            </w:r>
          </w:p>
        </w:tc>
      </w:tr>
      <w:tr w:rsidR="00516E2E" w14:paraId="4FA30EA7" w14:textId="77777777" w:rsidTr="002A2B7B">
        <w:tc>
          <w:tcPr>
            <w:tcW w:w="2977" w:type="dxa"/>
            <w:shd w:val="clear" w:color="auto" w:fill="CDD5E1" w:themeFill="accent1" w:themeFillTint="33"/>
          </w:tcPr>
          <w:p w14:paraId="3CB2E1CE" w14:textId="77777777" w:rsidR="00516E2E" w:rsidRPr="00722B7A" w:rsidRDefault="00516E2E" w:rsidP="00284353">
            <w:pPr>
              <w:spacing w:line="259" w:lineRule="auto"/>
              <w:rPr>
                <w:rFonts w:asciiTheme="minorHAnsi" w:eastAsia="Calibri" w:hAnsiTheme="minorHAnsi" w:cstheme="minorHAnsi"/>
              </w:rPr>
            </w:pPr>
            <w:r w:rsidRPr="00722B7A">
              <w:rPr>
                <w:rFonts w:asciiTheme="minorHAnsi" w:hAnsiTheme="minorHAnsi" w:cstheme="minorHAnsi"/>
              </w:rPr>
              <w:t>Where incorrect information in a BOR is updated, the obligation to retain records for 7 years may conflict with the need, under APP 11.2, to destroy personal information an entity no longer requires for a purpose under the APPs.</w:t>
            </w:r>
          </w:p>
          <w:p w14:paraId="511F334F" w14:textId="77777777" w:rsidR="00516E2E" w:rsidRPr="00722B7A" w:rsidRDefault="00516E2E" w:rsidP="00284353">
            <w:pPr>
              <w:rPr>
                <w:rFonts w:cstheme="minorHAnsi"/>
              </w:rPr>
            </w:pPr>
          </w:p>
        </w:tc>
        <w:tc>
          <w:tcPr>
            <w:tcW w:w="3827" w:type="dxa"/>
          </w:tcPr>
          <w:p w14:paraId="1D777911" w14:textId="77777777" w:rsidR="00516E2E" w:rsidRPr="00722B7A" w:rsidRDefault="00516E2E" w:rsidP="00284353">
            <w:pPr>
              <w:pStyle w:val="TableHeading2"/>
              <w:spacing w:before="0" w:after="60"/>
              <w:rPr>
                <w:rFonts w:asciiTheme="minorHAnsi" w:hAnsiTheme="minorHAnsi" w:cstheme="minorHAnsi"/>
                <w:b w:val="0"/>
              </w:rPr>
            </w:pPr>
            <w:r w:rsidRPr="00722B7A">
              <w:rPr>
                <w:rFonts w:asciiTheme="minorHAnsi" w:hAnsiTheme="minorHAnsi" w:cstheme="minorHAnsi"/>
                <w:b w:val="0"/>
              </w:rPr>
              <w:t>The BO Policy require in-scope companies who correct incorrect personal information in a BOR to:</w:t>
            </w:r>
          </w:p>
          <w:p w14:paraId="1B9BCF8C" w14:textId="77777777" w:rsidR="002D5CAF" w:rsidRDefault="00516E2E" w:rsidP="00284353">
            <w:pPr>
              <w:pStyle w:val="TablePlainParagraph"/>
              <w:numPr>
                <w:ilvl w:val="0"/>
                <w:numId w:val="29"/>
              </w:numPr>
              <w:spacing w:before="0"/>
              <w:rPr>
                <w:rFonts w:asciiTheme="minorHAnsi" w:hAnsiTheme="minorHAnsi" w:cstheme="minorHAnsi"/>
              </w:rPr>
            </w:pPr>
            <w:r w:rsidRPr="002D5CAF">
              <w:rPr>
                <w:rFonts w:asciiTheme="minorHAnsi" w:hAnsiTheme="minorHAnsi" w:cstheme="minorHAnsi"/>
              </w:rPr>
              <w:t>delete/destroy or de-identify any BOR altered to correct typographical errors</w:t>
            </w:r>
          </w:p>
          <w:p w14:paraId="7971A3A6" w14:textId="77777777" w:rsidR="002D5CAF" w:rsidRDefault="00516E2E" w:rsidP="00284353">
            <w:pPr>
              <w:pStyle w:val="TablePlainParagraph"/>
              <w:numPr>
                <w:ilvl w:val="0"/>
                <w:numId w:val="29"/>
              </w:numPr>
              <w:spacing w:before="0"/>
              <w:rPr>
                <w:rFonts w:asciiTheme="minorHAnsi" w:hAnsiTheme="minorHAnsi" w:cstheme="minorHAnsi"/>
              </w:rPr>
            </w:pPr>
            <w:r w:rsidRPr="002D5CAF">
              <w:rPr>
                <w:rFonts w:asciiTheme="minorHAnsi" w:hAnsiTheme="minorHAnsi" w:cstheme="minorHAnsi"/>
              </w:rPr>
              <w:t>keep a record of corrections to the BOR for 7 years as per recording keeping obligations</w:t>
            </w:r>
          </w:p>
          <w:p w14:paraId="06F5A0F8" w14:textId="2E18689A" w:rsidR="00516E2E" w:rsidRPr="002D5CAF" w:rsidRDefault="00516E2E" w:rsidP="00284353">
            <w:pPr>
              <w:pStyle w:val="TablePlainParagraph"/>
              <w:numPr>
                <w:ilvl w:val="0"/>
                <w:numId w:val="29"/>
              </w:numPr>
              <w:spacing w:before="0"/>
              <w:rPr>
                <w:rFonts w:asciiTheme="minorHAnsi" w:hAnsiTheme="minorHAnsi" w:cstheme="minorHAnsi"/>
              </w:rPr>
            </w:pPr>
            <w:r w:rsidRPr="002D5CAF">
              <w:rPr>
                <w:rFonts w:asciiTheme="minorHAnsi" w:hAnsiTheme="minorHAnsi" w:cstheme="minorHAnsi"/>
              </w:rPr>
              <w:t>keep a central log of corrections to personal information within a BOR.</w:t>
            </w:r>
          </w:p>
        </w:tc>
        <w:tc>
          <w:tcPr>
            <w:tcW w:w="2977" w:type="dxa"/>
          </w:tcPr>
          <w:p w14:paraId="32A71A27" w14:textId="00FF9847" w:rsidR="00516E2E" w:rsidRDefault="00516E2E" w:rsidP="00284353">
            <w:r w:rsidRPr="00722B7A">
              <w:rPr>
                <w:rFonts w:asciiTheme="minorHAnsi" w:eastAsia="Calibri" w:hAnsiTheme="minorHAnsi" w:cstheme="minorHAnsi"/>
              </w:rPr>
              <w:t>Agreed</w:t>
            </w:r>
          </w:p>
        </w:tc>
      </w:tr>
    </w:tbl>
    <w:p w14:paraId="5E3FA393" w14:textId="77777777" w:rsidR="000C1975" w:rsidRDefault="000C1975" w:rsidP="00284353"/>
    <w:sectPr w:rsidR="000C1975" w:rsidSect="00AC5DB2">
      <w:headerReference w:type="even" r:id="rId7"/>
      <w:headerReference w:type="default" r:id="rId8"/>
      <w:footerReference w:type="even" r:id="rId9"/>
      <w:footerReference w:type="default" r:id="rId10"/>
      <w:headerReference w:type="first" r:id="rId11"/>
      <w:footerReference w:type="first" r:id="rId12"/>
      <w:pgSz w:w="11906" w:h="16838" w:code="9"/>
      <w:pgMar w:top="2665"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6573" w14:textId="77777777" w:rsidR="001A3C92" w:rsidRDefault="001A3C92" w:rsidP="0091168A">
      <w:pPr>
        <w:spacing w:after="0" w:line="240" w:lineRule="auto"/>
      </w:pPr>
      <w:r>
        <w:separator/>
      </w:r>
    </w:p>
  </w:endnote>
  <w:endnote w:type="continuationSeparator" w:id="0">
    <w:p w14:paraId="01872EC6" w14:textId="77777777" w:rsidR="001A3C92" w:rsidRDefault="001A3C92" w:rsidP="0091168A">
      <w:pPr>
        <w:spacing w:after="0" w:line="240" w:lineRule="auto"/>
      </w:pPr>
      <w:r>
        <w:continuationSeparator/>
      </w:r>
    </w:p>
  </w:endnote>
  <w:endnote w:type="continuationNotice" w:id="1">
    <w:p w14:paraId="12DB9A3F" w14:textId="77777777" w:rsidR="002F3918" w:rsidRDefault="002F3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8259" w14:textId="6EADFE9E" w:rsidR="0091168A" w:rsidRDefault="000A3980" w:rsidP="0091168A">
    <w:pPr>
      <w:pStyle w:val="DLMSecurityFooter"/>
    </w:pPr>
    <w:fldSimple w:instr=" DOCPROPERTY DLMSecurityClassification \* MERGEFORMAT ">
      <w:r w:rsidR="0091168A">
        <w:t>Legal Privilege</w:t>
      </w:r>
    </w:fldSimple>
  </w:p>
  <w:p w14:paraId="445BA2BB" w14:textId="5F1DD2BC" w:rsidR="0091168A" w:rsidRDefault="000A3980" w:rsidP="0091168A">
    <w:pPr>
      <w:pStyle w:val="SecurityClassificationFooter"/>
    </w:pPr>
    <w:fldSimple w:instr=" DOCPROPERTY SecurityClassification \* MERGEFORMAT ">
      <w:r w:rsidR="0091168A">
        <w:t>OFFICIAL: Sensitive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DC9B" w14:textId="2620AEE6" w:rsidR="0091168A" w:rsidRDefault="0091168A" w:rsidP="0091168A">
    <w:pPr>
      <w:pStyle w:val="SecurityClassificationHead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DEE1" w14:textId="21926561" w:rsidR="0091168A" w:rsidRDefault="000A3980" w:rsidP="0091168A">
    <w:pPr>
      <w:pStyle w:val="DLMSecurityFooter"/>
    </w:pPr>
    <w:fldSimple w:instr=" DOCPROPERTY DLMSecurityClassification \* MERGEFORMAT ">
      <w:r w:rsidR="0091168A">
        <w:t>Legal Privilege</w:t>
      </w:r>
    </w:fldSimple>
  </w:p>
  <w:p w14:paraId="4BDBC71E" w14:textId="6E7ADB50" w:rsidR="0091168A" w:rsidRDefault="000A3980" w:rsidP="0091168A">
    <w:pPr>
      <w:pStyle w:val="SecurityClassificationFooter"/>
    </w:pPr>
    <w:fldSimple w:instr=" DOCPROPERTY SecurityClassification \* MERGEFORMAT ">
      <w:r w:rsidR="0091168A">
        <w:t>OFFICIAL: Sensitive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015F" w14:textId="77777777" w:rsidR="001A3C92" w:rsidRDefault="001A3C92" w:rsidP="0091168A">
      <w:pPr>
        <w:spacing w:after="0" w:line="240" w:lineRule="auto"/>
      </w:pPr>
      <w:r>
        <w:separator/>
      </w:r>
    </w:p>
  </w:footnote>
  <w:footnote w:type="continuationSeparator" w:id="0">
    <w:p w14:paraId="6CE043FB" w14:textId="77777777" w:rsidR="001A3C92" w:rsidRDefault="001A3C92" w:rsidP="0091168A">
      <w:pPr>
        <w:spacing w:after="0" w:line="240" w:lineRule="auto"/>
      </w:pPr>
      <w:r>
        <w:continuationSeparator/>
      </w:r>
    </w:p>
  </w:footnote>
  <w:footnote w:type="continuationNotice" w:id="1">
    <w:p w14:paraId="59B38518" w14:textId="77777777" w:rsidR="002F3918" w:rsidRDefault="002F39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F54F" w14:textId="38A99095" w:rsidR="0091168A" w:rsidRDefault="000A3980" w:rsidP="0091168A">
    <w:pPr>
      <w:pStyle w:val="SecurityClassificationHeader"/>
    </w:pPr>
    <w:fldSimple w:instr=" DOCPROPERTY SecurityClassification \* MERGEFORMAT ">
      <w:r w:rsidR="0091168A">
        <w:t>OFFICIAL: Sensitive</w:t>
      </w:r>
    </w:fldSimple>
  </w:p>
  <w:p w14:paraId="4D97B391" w14:textId="61BAA081" w:rsidR="0091168A" w:rsidRDefault="000A3980" w:rsidP="0091168A">
    <w:pPr>
      <w:pStyle w:val="DLMSecurityHeader"/>
    </w:pPr>
    <w:fldSimple w:instr=" DOCPROPERTY DLMSecurityClassification \* MERGEFORMAT ">
      <w:r w:rsidR="0091168A">
        <w:t>Legal Privilege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81D1" w14:textId="178FAB7B" w:rsidR="0091168A" w:rsidRDefault="00160686" w:rsidP="0091168A">
    <w:pPr>
      <w:pStyle w:val="SecurityClassificationHeader"/>
      <w:spacing w:before="0"/>
    </w:pPr>
    <w:r>
      <w:rPr>
        <w:noProof/>
        <w:lang w:eastAsia="zh-CN"/>
      </w:rPr>
      <w:drawing>
        <wp:anchor distT="0" distB="0" distL="114300" distR="114300" simplePos="0" relativeHeight="251658240" behindDoc="1" locked="0" layoutInCell="1" allowOverlap="1" wp14:anchorId="7DB24DAB" wp14:editId="29812622">
          <wp:simplePos x="0" y="0"/>
          <wp:positionH relativeFrom="page">
            <wp:posOffset>19050</wp:posOffset>
          </wp:positionH>
          <wp:positionV relativeFrom="page">
            <wp:posOffset>11430</wp:posOffset>
          </wp:positionV>
          <wp:extent cx="7578000" cy="1515600"/>
          <wp:effectExtent l="0" t="0" r="444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8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A775" w14:textId="6C038D54" w:rsidR="0091168A" w:rsidRDefault="000A3980" w:rsidP="0091168A">
    <w:pPr>
      <w:pStyle w:val="SecurityClassificationHeader"/>
    </w:pPr>
    <w:fldSimple w:instr=" DOCPROPERTY SecurityClassification \* MERGEFORMAT ">
      <w:r w:rsidR="0091168A">
        <w:t>OFFICIAL: Sensitive</w:t>
      </w:r>
    </w:fldSimple>
  </w:p>
  <w:p w14:paraId="3A131E71" w14:textId="238ED8BA" w:rsidR="0091168A" w:rsidRDefault="000A3980" w:rsidP="0091168A">
    <w:pPr>
      <w:pStyle w:val="DLMSecurityHeader"/>
    </w:pPr>
    <w:fldSimple w:instr=" DOCPROPERTY DLMSecurityClassification \* MERGEFORMAT ">
      <w:r w:rsidR="0091168A">
        <w:t>Legal Privilege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5DB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327664"/>
    <w:multiLevelType w:val="multilevel"/>
    <w:tmpl w:val="D954F5D4"/>
    <w:lvl w:ilvl="0">
      <w:start w:val="1"/>
      <w:numFmt w:val="decimal"/>
      <w:pStyle w:val="NumberLevel1"/>
      <w:lvlText w:val="%1."/>
      <w:lvlJc w:val="left"/>
      <w:pPr>
        <w:tabs>
          <w:tab w:val="num" w:pos="709"/>
        </w:tabs>
        <w:ind w:left="0" w:hanging="709"/>
      </w:pPr>
      <w:rPr>
        <w:rFonts w:hint="default"/>
        <w:b w:val="0"/>
        <w:i w:val="0"/>
        <w:sz w:val="20"/>
      </w:rPr>
    </w:lvl>
    <w:lvl w:ilvl="1">
      <w:start w:val="1"/>
      <w:numFmt w:val="decimal"/>
      <w:pStyle w:val="NumberLevel2"/>
      <w:lvlText w:val="%1.%2."/>
      <w:lvlJc w:val="left"/>
      <w:pPr>
        <w:tabs>
          <w:tab w:val="num" w:pos="4396"/>
        </w:tabs>
        <w:ind w:left="3687"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2" w15:restartNumberingAfterBreak="0">
    <w:nsid w:val="188F4F67"/>
    <w:multiLevelType w:val="multilevel"/>
    <w:tmpl w:val="B1080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F3229"/>
    <w:multiLevelType w:val="hybridMultilevel"/>
    <w:tmpl w:val="1FC4155C"/>
    <w:lvl w:ilvl="0" w:tplc="F322E9E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5"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6" w15:restartNumberingAfterBreak="0">
    <w:nsid w:val="310D7061"/>
    <w:multiLevelType w:val="multilevel"/>
    <w:tmpl w:val="02CA47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65804F1"/>
    <w:multiLevelType w:val="multilevel"/>
    <w:tmpl w:val="671AF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01C26"/>
    <w:multiLevelType w:val="hybridMultilevel"/>
    <w:tmpl w:val="679A17AA"/>
    <w:lvl w:ilvl="0" w:tplc="E82C894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644845"/>
    <w:multiLevelType w:val="hybridMultilevel"/>
    <w:tmpl w:val="63DA2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B023287"/>
    <w:multiLevelType w:val="multilevel"/>
    <w:tmpl w:val="8208FB4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B21067"/>
    <w:multiLevelType w:val="hybridMultilevel"/>
    <w:tmpl w:val="F6E2E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C5708C"/>
    <w:multiLevelType w:val="multilevel"/>
    <w:tmpl w:val="8A9AA238"/>
    <w:lvl w:ilvl="0">
      <w:start w:val="1"/>
      <w:numFmt w:val="lowerRoman"/>
      <w:pStyle w:val="Plainparai"/>
      <w:lvlText w:val="%1."/>
      <w:lvlJc w:val="left"/>
      <w:pPr>
        <w:tabs>
          <w:tab w:val="num" w:pos="851"/>
        </w:tabs>
        <w:ind w:left="851" w:hanging="426"/>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2DC33B6"/>
    <w:multiLevelType w:val="hybridMultilevel"/>
    <w:tmpl w:val="F670A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0915028">
    <w:abstractNumId w:val="6"/>
    <w:lvlOverride w:ilvl="0"/>
    <w:lvlOverride w:ilvl="1"/>
    <w:lvlOverride w:ilvl="2">
      <w:startOverride w:val="1"/>
    </w:lvlOverride>
    <w:lvlOverride w:ilvl="3"/>
    <w:lvlOverride w:ilvl="4"/>
    <w:lvlOverride w:ilvl="5"/>
    <w:lvlOverride w:ilvl="6"/>
    <w:lvlOverride w:ilvl="7"/>
    <w:lvlOverride w:ilvl="8"/>
  </w:num>
  <w:num w:numId="2" w16cid:durableId="199435275">
    <w:abstractNumId w:val="10"/>
  </w:num>
  <w:num w:numId="3" w16cid:durableId="1183981139">
    <w:abstractNumId w:val="7"/>
  </w:num>
  <w:num w:numId="4" w16cid:durableId="1947730082">
    <w:abstractNumId w:val="2"/>
  </w:num>
  <w:num w:numId="5" w16cid:durableId="379015316">
    <w:abstractNumId w:val="10"/>
  </w:num>
  <w:num w:numId="6" w16cid:durableId="233975665">
    <w:abstractNumId w:val="10"/>
  </w:num>
  <w:num w:numId="7" w16cid:durableId="558829499">
    <w:abstractNumId w:val="10"/>
  </w:num>
  <w:num w:numId="8" w16cid:durableId="1502544843">
    <w:abstractNumId w:val="10"/>
  </w:num>
  <w:num w:numId="9" w16cid:durableId="928274350">
    <w:abstractNumId w:val="10"/>
  </w:num>
  <w:num w:numId="10" w16cid:durableId="360204340">
    <w:abstractNumId w:val="10"/>
  </w:num>
  <w:num w:numId="11" w16cid:durableId="667560807">
    <w:abstractNumId w:val="10"/>
  </w:num>
  <w:num w:numId="12" w16cid:durableId="580794603">
    <w:abstractNumId w:val="10"/>
  </w:num>
  <w:num w:numId="13" w16cid:durableId="765922543">
    <w:abstractNumId w:val="10"/>
  </w:num>
  <w:num w:numId="14" w16cid:durableId="32662092">
    <w:abstractNumId w:val="10"/>
  </w:num>
  <w:num w:numId="15" w16cid:durableId="892697985">
    <w:abstractNumId w:val="10"/>
  </w:num>
  <w:num w:numId="16" w16cid:durableId="617302602">
    <w:abstractNumId w:val="10"/>
  </w:num>
  <w:num w:numId="17" w16cid:durableId="937366897">
    <w:abstractNumId w:val="10"/>
  </w:num>
  <w:num w:numId="18" w16cid:durableId="286856919">
    <w:abstractNumId w:val="10"/>
  </w:num>
  <w:num w:numId="19" w16cid:durableId="867913585">
    <w:abstractNumId w:val="10"/>
  </w:num>
  <w:num w:numId="20" w16cid:durableId="1844978586">
    <w:abstractNumId w:val="10"/>
  </w:num>
  <w:num w:numId="21" w16cid:durableId="478883795">
    <w:abstractNumId w:val="10"/>
  </w:num>
  <w:num w:numId="22" w16cid:durableId="1893492930">
    <w:abstractNumId w:val="10"/>
  </w:num>
  <w:num w:numId="23" w16cid:durableId="464784152">
    <w:abstractNumId w:val="10"/>
  </w:num>
  <w:num w:numId="24" w16cid:durableId="1077827254">
    <w:abstractNumId w:val="1"/>
  </w:num>
  <w:num w:numId="25" w16cid:durableId="564410003">
    <w:abstractNumId w:val="0"/>
  </w:num>
  <w:num w:numId="26" w16cid:durableId="749156235">
    <w:abstractNumId w:val="11"/>
  </w:num>
  <w:num w:numId="27" w16cid:durableId="177545312">
    <w:abstractNumId w:val="9"/>
  </w:num>
  <w:num w:numId="28" w16cid:durableId="1583947640">
    <w:abstractNumId w:val="3"/>
  </w:num>
  <w:num w:numId="29" w16cid:durableId="1462074440">
    <w:abstractNumId w:val="13"/>
  </w:num>
  <w:num w:numId="30" w16cid:durableId="632371907">
    <w:abstractNumId w:val="4"/>
  </w:num>
  <w:num w:numId="31" w16cid:durableId="856309834">
    <w:abstractNumId w:val="5"/>
  </w:num>
  <w:num w:numId="32" w16cid:durableId="444811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2699914">
    <w:abstractNumId w:val="8"/>
  </w:num>
  <w:num w:numId="34" w16cid:durableId="132723290">
    <w:abstractNumId w:val="10"/>
  </w:num>
  <w:num w:numId="35" w16cid:durableId="603339780">
    <w:abstractNumId w:val="1"/>
  </w:num>
  <w:num w:numId="36" w16cid:durableId="1464350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91168A"/>
    <w:rsid w:val="00001430"/>
    <w:rsid w:val="000053B7"/>
    <w:rsid w:val="00006FBE"/>
    <w:rsid w:val="00023C84"/>
    <w:rsid w:val="00025EA0"/>
    <w:rsid w:val="00031BB1"/>
    <w:rsid w:val="000372E0"/>
    <w:rsid w:val="0005223D"/>
    <w:rsid w:val="00056D83"/>
    <w:rsid w:val="000836E9"/>
    <w:rsid w:val="00092168"/>
    <w:rsid w:val="000976C9"/>
    <w:rsid w:val="000A179C"/>
    <w:rsid w:val="000A3980"/>
    <w:rsid w:val="000A583F"/>
    <w:rsid w:val="000B6696"/>
    <w:rsid w:val="000C06C6"/>
    <w:rsid w:val="000C123A"/>
    <w:rsid w:val="000C1975"/>
    <w:rsid w:val="00106D68"/>
    <w:rsid w:val="0013679D"/>
    <w:rsid w:val="001375DC"/>
    <w:rsid w:val="00142610"/>
    <w:rsid w:val="001457B2"/>
    <w:rsid w:val="00160686"/>
    <w:rsid w:val="00174216"/>
    <w:rsid w:val="0018012A"/>
    <w:rsid w:val="001863C6"/>
    <w:rsid w:val="001965E2"/>
    <w:rsid w:val="001A2EAE"/>
    <w:rsid w:val="001A3819"/>
    <w:rsid w:val="001A3C92"/>
    <w:rsid w:val="001A5B82"/>
    <w:rsid w:val="001B0507"/>
    <w:rsid w:val="001B4207"/>
    <w:rsid w:val="001D05AC"/>
    <w:rsid w:val="001E0763"/>
    <w:rsid w:val="001E5410"/>
    <w:rsid w:val="001F2E7E"/>
    <w:rsid w:val="001F2F6B"/>
    <w:rsid w:val="001F7900"/>
    <w:rsid w:val="0021043D"/>
    <w:rsid w:val="00233F3B"/>
    <w:rsid w:val="0024772F"/>
    <w:rsid w:val="002827B8"/>
    <w:rsid w:val="00284353"/>
    <w:rsid w:val="00292E69"/>
    <w:rsid w:val="002A2B7B"/>
    <w:rsid w:val="002C21BA"/>
    <w:rsid w:val="002C7C55"/>
    <w:rsid w:val="002D5CAF"/>
    <w:rsid w:val="002F20C2"/>
    <w:rsid w:val="002F3918"/>
    <w:rsid w:val="002F513B"/>
    <w:rsid w:val="003073BE"/>
    <w:rsid w:val="00334302"/>
    <w:rsid w:val="00346407"/>
    <w:rsid w:val="00361408"/>
    <w:rsid w:val="00372D23"/>
    <w:rsid w:val="00374AD7"/>
    <w:rsid w:val="00390F21"/>
    <w:rsid w:val="003A3E35"/>
    <w:rsid w:val="003C30AC"/>
    <w:rsid w:val="003D0F69"/>
    <w:rsid w:val="003D196B"/>
    <w:rsid w:val="003D2F01"/>
    <w:rsid w:val="003D38F0"/>
    <w:rsid w:val="003F6260"/>
    <w:rsid w:val="004223AB"/>
    <w:rsid w:val="0042584C"/>
    <w:rsid w:val="004373AC"/>
    <w:rsid w:val="00472230"/>
    <w:rsid w:val="00492870"/>
    <w:rsid w:val="004A50AD"/>
    <w:rsid w:val="004B568B"/>
    <w:rsid w:val="004C12C2"/>
    <w:rsid w:val="004C21A7"/>
    <w:rsid w:val="004C7BE5"/>
    <w:rsid w:val="004E1304"/>
    <w:rsid w:val="004E4308"/>
    <w:rsid w:val="00500F52"/>
    <w:rsid w:val="00516E2E"/>
    <w:rsid w:val="0051710B"/>
    <w:rsid w:val="005556C1"/>
    <w:rsid w:val="00562B68"/>
    <w:rsid w:val="005637E2"/>
    <w:rsid w:val="005675FD"/>
    <w:rsid w:val="0057770D"/>
    <w:rsid w:val="00594304"/>
    <w:rsid w:val="00595E79"/>
    <w:rsid w:val="005A4F7F"/>
    <w:rsid w:val="005B6CDA"/>
    <w:rsid w:val="005D56A7"/>
    <w:rsid w:val="005E7529"/>
    <w:rsid w:val="005F6FDE"/>
    <w:rsid w:val="00611172"/>
    <w:rsid w:val="00642E3B"/>
    <w:rsid w:val="0064584F"/>
    <w:rsid w:val="006522ED"/>
    <w:rsid w:val="00667AEF"/>
    <w:rsid w:val="00671ED5"/>
    <w:rsid w:val="00680858"/>
    <w:rsid w:val="006A54DA"/>
    <w:rsid w:val="006A6180"/>
    <w:rsid w:val="006B63B7"/>
    <w:rsid w:val="006C11A7"/>
    <w:rsid w:val="006C450E"/>
    <w:rsid w:val="006C61D4"/>
    <w:rsid w:val="006D2A32"/>
    <w:rsid w:val="006E232A"/>
    <w:rsid w:val="006E62C8"/>
    <w:rsid w:val="006F2385"/>
    <w:rsid w:val="00713562"/>
    <w:rsid w:val="00722B7A"/>
    <w:rsid w:val="00745528"/>
    <w:rsid w:val="00746758"/>
    <w:rsid w:val="007753FD"/>
    <w:rsid w:val="00794F7C"/>
    <w:rsid w:val="007A2E78"/>
    <w:rsid w:val="007C2E2B"/>
    <w:rsid w:val="00805511"/>
    <w:rsid w:val="008108C6"/>
    <w:rsid w:val="008124FF"/>
    <w:rsid w:val="00813E88"/>
    <w:rsid w:val="008205C9"/>
    <w:rsid w:val="0082336C"/>
    <w:rsid w:val="00826BBF"/>
    <w:rsid w:val="0084676B"/>
    <w:rsid w:val="008520E8"/>
    <w:rsid w:val="0085579E"/>
    <w:rsid w:val="0086228B"/>
    <w:rsid w:val="00871225"/>
    <w:rsid w:val="0087142B"/>
    <w:rsid w:val="008756B4"/>
    <w:rsid w:val="008814A2"/>
    <w:rsid w:val="008A17A0"/>
    <w:rsid w:val="008A3A7E"/>
    <w:rsid w:val="008A4763"/>
    <w:rsid w:val="008A7FC4"/>
    <w:rsid w:val="008B3EDB"/>
    <w:rsid w:val="008B7156"/>
    <w:rsid w:val="008D07A2"/>
    <w:rsid w:val="008D13EC"/>
    <w:rsid w:val="008D4F38"/>
    <w:rsid w:val="008D4F93"/>
    <w:rsid w:val="00900BAC"/>
    <w:rsid w:val="0090521B"/>
    <w:rsid w:val="0091168A"/>
    <w:rsid w:val="00916093"/>
    <w:rsid w:val="00921E4F"/>
    <w:rsid w:val="009260CF"/>
    <w:rsid w:val="00941639"/>
    <w:rsid w:val="00945C50"/>
    <w:rsid w:val="009547EE"/>
    <w:rsid w:val="009822BC"/>
    <w:rsid w:val="00984CD7"/>
    <w:rsid w:val="00985F88"/>
    <w:rsid w:val="009973A6"/>
    <w:rsid w:val="009A57F2"/>
    <w:rsid w:val="009A7589"/>
    <w:rsid w:val="009B2FD4"/>
    <w:rsid w:val="009B65A3"/>
    <w:rsid w:val="009C6A2F"/>
    <w:rsid w:val="009F40A8"/>
    <w:rsid w:val="00A176DB"/>
    <w:rsid w:val="00A324BD"/>
    <w:rsid w:val="00A37E7E"/>
    <w:rsid w:val="00A424DF"/>
    <w:rsid w:val="00A44059"/>
    <w:rsid w:val="00A52B1D"/>
    <w:rsid w:val="00A55C4A"/>
    <w:rsid w:val="00A655AD"/>
    <w:rsid w:val="00A72A8A"/>
    <w:rsid w:val="00A77652"/>
    <w:rsid w:val="00A80558"/>
    <w:rsid w:val="00A83B69"/>
    <w:rsid w:val="00AC0842"/>
    <w:rsid w:val="00AC5DB2"/>
    <w:rsid w:val="00B33076"/>
    <w:rsid w:val="00B42699"/>
    <w:rsid w:val="00B45EEF"/>
    <w:rsid w:val="00B47C27"/>
    <w:rsid w:val="00B751E0"/>
    <w:rsid w:val="00B80379"/>
    <w:rsid w:val="00B81C50"/>
    <w:rsid w:val="00B84DB1"/>
    <w:rsid w:val="00B91E23"/>
    <w:rsid w:val="00B91EDB"/>
    <w:rsid w:val="00B929E5"/>
    <w:rsid w:val="00B93F0A"/>
    <w:rsid w:val="00B95171"/>
    <w:rsid w:val="00BA6362"/>
    <w:rsid w:val="00BB120F"/>
    <w:rsid w:val="00BB2698"/>
    <w:rsid w:val="00BB5F23"/>
    <w:rsid w:val="00BC0A66"/>
    <w:rsid w:val="00BC2795"/>
    <w:rsid w:val="00BC30BF"/>
    <w:rsid w:val="00BC422C"/>
    <w:rsid w:val="00BE243D"/>
    <w:rsid w:val="00BF7688"/>
    <w:rsid w:val="00C111AE"/>
    <w:rsid w:val="00C1451C"/>
    <w:rsid w:val="00C264F3"/>
    <w:rsid w:val="00C34B7F"/>
    <w:rsid w:val="00C51089"/>
    <w:rsid w:val="00C66EA2"/>
    <w:rsid w:val="00C716D2"/>
    <w:rsid w:val="00C811E5"/>
    <w:rsid w:val="00CB2C7C"/>
    <w:rsid w:val="00CD416C"/>
    <w:rsid w:val="00CF130D"/>
    <w:rsid w:val="00D04DAB"/>
    <w:rsid w:val="00D26426"/>
    <w:rsid w:val="00D300CC"/>
    <w:rsid w:val="00D92DB2"/>
    <w:rsid w:val="00D92F8E"/>
    <w:rsid w:val="00DA7B45"/>
    <w:rsid w:val="00DB4FAD"/>
    <w:rsid w:val="00DC67D2"/>
    <w:rsid w:val="00DD1667"/>
    <w:rsid w:val="00DE2154"/>
    <w:rsid w:val="00DF404A"/>
    <w:rsid w:val="00E0344D"/>
    <w:rsid w:val="00E05DE9"/>
    <w:rsid w:val="00E155B1"/>
    <w:rsid w:val="00E231A1"/>
    <w:rsid w:val="00E4588E"/>
    <w:rsid w:val="00E461D3"/>
    <w:rsid w:val="00E57E81"/>
    <w:rsid w:val="00E96E2C"/>
    <w:rsid w:val="00EA3192"/>
    <w:rsid w:val="00ED0EBF"/>
    <w:rsid w:val="00ED1396"/>
    <w:rsid w:val="00EE011A"/>
    <w:rsid w:val="00EE77EF"/>
    <w:rsid w:val="00EE7D6B"/>
    <w:rsid w:val="00EF79B7"/>
    <w:rsid w:val="00F1729C"/>
    <w:rsid w:val="00F3068F"/>
    <w:rsid w:val="00F544BD"/>
    <w:rsid w:val="00F64B5B"/>
    <w:rsid w:val="00F878B3"/>
    <w:rsid w:val="00F930A7"/>
    <w:rsid w:val="00F97F18"/>
    <w:rsid w:val="00FA2F81"/>
    <w:rsid w:val="00FA4529"/>
    <w:rsid w:val="00FA6D49"/>
    <w:rsid w:val="00FC53FA"/>
    <w:rsid w:val="00FD0254"/>
    <w:rsid w:val="00FD1C68"/>
    <w:rsid w:val="00FD268C"/>
    <w:rsid w:val="00FE5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188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562"/>
  </w:style>
  <w:style w:type="paragraph" w:styleId="Heading1">
    <w:name w:val="heading 1"/>
    <w:basedOn w:val="Normal"/>
    <w:next w:val="Normal"/>
    <w:link w:val="Heading1Char"/>
    <w:uiPriority w:val="9"/>
    <w:qFormat/>
    <w:rsid w:val="00594304"/>
    <w:pPr>
      <w:keepNext/>
      <w:keepLines/>
      <w:spacing w:before="240" w:after="0"/>
      <w:outlineLvl w:val="0"/>
    </w:pPr>
    <w:rPr>
      <w:rFonts w:asciiTheme="majorHAnsi" w:eastAsiaTheme="majorEastAsia" w:hAnsiTheme="majorHAnsi" w:cstheme="majorBidi"/>
      <w:color w:val="212937" w:themeColor="accent1" w:themeShade="BF"/>
      <w:sz w:val="32"/>
      <w:szCs w:val="32"/>
    </w:rPr>
  </w:style>
  <w:style w:type="paragraph" w:styleId="Heading2">
    <w:name w:val="heading 2"/>
    <w:basedOn w:val="Normal"/>
    <w:next w:val="Normal"/>
    <w:link w:val="Heading2Char"/>
    <w:qFormat/>
    <w:rsid w:val="0091168A"/>
    <w:pPr>
      <w:keepNext/>
      <w:spacing w:before="360" w:after="120" w:line="240" w:lineRule="auto"/>
      <w:outlineLvl w:val="1"/>
    </w:pPr>
    <w:rPr>
      <w:rFonts w:eastAsia="Times New Roman" w:cs="Times New Roman"/>
      <w:b/>
      <w:caps/>
      <w:kern w:val="0"/>
      <w:sz w:val="24"/>
      <w:szCs w:val="20"/>
      <w:lang w:eastAsia="en-AU"/>
      <w14:ligatures w14:val="none"/>
    </w:rPr>
  </w:style>
  <w:style w:type="paragraph" w:styleId="Heading3">
    <w:name w:val="heading 3"/>
    <w:basedOn w:val="Normal"/>
    <w:next w:val="Normal"/>
    <w:link w:val="Heading3Char"/>
    <w:uiPriority w:val="9"/>
    <w:unhideWhenUsed/>
    <w:qFormat/>
    <w:rsid w:val="004223AB"/>
    <w:pPr>
      <w:keepNext/>
      <w:keepLines/>
      <w:spacing w:before="40" w:after="0"/>
      <w:outlineLvl w:val="2"/>
    </w:pPr>
    <w:rPr>
      <w:rFonts w:asciiTheme="majorHAnsi" w:eastAsiaTheme="majorEastAsia" w:hAnsiTheme="majorHAnsi" w:cstheme="majorBidi"/>
      <w:color w:val="161B24" w:themeColor="accent1" w:themeShade="7F"/>
      <w:sz w:val="24"/>
      <w:szCs w:val="24"/>
    </w:rPr>
  </w:style>
  <w:style w:type="paragraph" w:styleId="Heading5">
    <w:name w:val="heading 5"/>
    <w:aliases w:val="H5"/>
    <w:basedOn w:val="Normal"/>
    <w:next w:val="NumberLevel1"/>
    <w:link w:val="Heading5Char"/>
    <w:uiPriority w:val="4"/>
    <w:qFormat/>
    <w:rsid w:val="002F20C2"/>
    <w:pPr>
      <w:keepNext/>
      <w:keepLines/>
      <w:spacing w:before="200" w:after="0" w:line="280" w:lineRule="atLeast"/>
      <w:outlineLvl w:val="4"/>
    </w:pPr>
    <w:rPr>
      <w:rFonts w:ascii="Arial" w:eastAsia="Times New Roman" w:hAnsi="Arial" w:cs="Arial"/>
      <w:b/>
      <w:bCs/>
      <w:iCs/>
      <w:kern w:val="0"/>
      <w:sz w:val="18"/>
      <w:szCs w:val="26"/>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168A"/>
    <w:rPr>
      <w:rFonts w:eastAsia="Times New Roman" w:cs="Times New Roman"/>
      <w:b/>
      <w:caps/>
      <w:kern w:val="0"/>
      <w:sz w:val="24"/>
      <w:szCs w:val="20"/>
      <w:lang w:eastAsia="en-AU"/>
      <w14:ligatures w14:val="none"/>
    </w:rPr>
  </w:style>
  <w:style w:type="table" w:styleId="TableGrid">
    <w:name w:val="Table Grid"/>
    <w:basedOn w:val="TableNormal"/>
    <w:rsid w:val="0091168A"/>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rsid w:val="0091168A"/>
    <w:pPr>
      <w:spacing w:after="200" w:line="240" w:lineRule="auto"/>
    </w:pPr>
    <w:rPr>
      <w:rFonts w:eastAsia="Times New Roman" w:cs="Times New Roman"/>
      <w:kern w:val="0"/>
      <w:sz w:val="20"/>
      <w:szCs w:val="20"/>
      <w:lang w:eastAsia="en-AU"/>
      <w14:ligatures w14:val="none"/>
    </w:rPr>
  </w:style>
  <w:style w:type="character" w:customStyle="1" w:styleId="FootnoteTextChar">
    <w:name w:val="Footnote Text Char"/>
    <w:basedOn w:val="DefaultParagraphFont"/>
    <w:link w:val="FootnoteText"/>
    <w:semiHidden/>
    <w:rsid w:val="0091168A"/>
    <w:rPr>
      <w:rFonts w:eastAsia="Times New Roman" w:cs="Times New Roman"/>
      <w:kern w:val="0"/>
      <w:sz w:val="20"/>
      <w:szCs w:val="20"/>
      <w:lang w:eastAsia="en-AU"/>
      <w14:ligatures w14:val="none"/>
    </w:rPr>
  </w:style>
  <w:style w:type="character" w:styleId="FootnoteReference">
    <w:name w:val="footnote reference"/>
    <w:basedOn w:val="DefaultParagraphFont"/>
    <w:uiPriority w:val="99"/>
    <w:semiHidden/>
    <w:unhideWhenUsed/>
    <w:rsid w:val="0091168A"/>
    <w:rPr>
      <w:vertAlign w:val="superscript"/>
    </w:rPr>
  </w:style>
  <w:style w:type="paragraph" w:customStyle="1" w:styleId="Bullet">
    <w:name w:val="Bullet"/>
    <w:basedOn w:val="Normal"/>
    <w:link w:val="BulletChar"/>
    <w:rsid w:val="0091168A"/>
    <w:pPr>
      <w:numPr>
        <w:numId w:val="2"/>
      </w:numPr>
      <w:spacing w:after="0"/>
    </w:pPr>
    <w:rPr>
      <w:rFonts w:ascii="Calibri" w:eastAsia="Calibri" w:hAnsi="Calibri" w:cs="Calibri"/>
      <w:kern w:val="0"/>
      <w:lang w:eastAsia="en-AU"/>
      <w14:ligatures w14:val="none"/>
    </w:rPr>
  </w:style>
  <w:style w:type="character" w:customStyle="1" w:styleId="BulletChar">
    <w:name w:val="Bullet Char"/>
    <w:basedOn w:val="DefaultParagraphFont"/>
    <w:link w:val="Bullet"/>
    <w:rsid w:val="0091168A"/>
    <w:rPr>
      <w:rFonts w:ascii="Calibri" w:eastAsia="Calibri" w:hAnsi="Calibri" w:cs="Calibri"/>
      <w:kern w:val="0"/>
      <w:lang w:eastAsia="en-AU"/>
      <w14:ligatures w14:val="none"/>
    </w:rPr>
  </w:style>
  <w:style w:type="paragraph" w:customStyle="1" w:styleId="Dash">
    <w:name w:val="Dash"/>
    <w:basedOn w:val="Normal"/>
    <w:link w:val="DashChar"/>
    <w:rsid w:val="0091168A"/>
    <w:pPr>
      <w:numPr>
        <w:ilvl w:val="1"/>
        <w:numId w:val="2"/>
      </w:numPr>
      <w:spacing w:after="0"/>
    </w:pPr>
    <w:rPr>
      <w:rFonts w:ascii="Calibri" w:eastAsia="Calibri" w:hAnsi="Calibri" w:cs="Calibri"/>
      <w:kern w:val="0"/>
      <w:lang w:eastAsia="en-AU"/>
      <w14:ligatures w14:val="none"/>
    </w:rPr>
  </w:style>
  <w:style w:type="character" w:customStyle="1" w:styleId="DashChar">
    <w:name w:val="Dash Char"/>
    <w:basedOn w:val="DefaultParagraphFont"/>
    <w:link w:val="Dash"/>
    <w:rsid w:val="0091168A"/>
    <w:rPr>
      <w:rFonts w:ascii="Calibri" w:eastAsia="Calibri" w:hAnsi="Calibri" w:cs="Calibri"/>
      <w:kern w:val="0"/>
      <w:lang w:eastAsia="en-AU"/>
      <w14:ligatures w14:val="none"/>
    </w:rPr>
  </w:style>
  <w:style w:type="paragraph" w:customStyle="1" w:styleId="DoubleDot">
    <w:name w:val="Double Dot"/>
    <w:basedOn w:val="Normal"/>
    <w:link w:val="DoubleDotChar"/>
    <w:rsid w:val="0091168A"/>
    <w:pPr>
      <w:numPr>
        <w:ilvl w:val="2"/>
        <w:numId w:val="2"/>
      </w:numPr>
      <w:spacing w:after="0"/>
    </w:pPr>
    <w:rPr>
      <w:rFonts w:ascii="Calibri" w:eastAsia="Calibri" w:hAnsi="Calibri" w:cs="Calibri"/>
      <w:kern w:val="0"/>
      <w:lang w:eastAsia="en-AU"/>
      <w14:ligatures w14:val="none"/>
    </w:rPr>
  </w:style>
  <w:style w:type="character" w:customStyle="1" w:styleId="DoubleDotChar">
    <w:name w:val="Double Dot Char"/>
    <w:basedOn w:val="DefaultParagraphFont"/>
    <w:link w:val="DoubleDot"/>
    <w:rsid w:val="0091168A"/>
    <w:rPr>
      <w:rFonts w:ascii="Calibri" w:eastAsia="Calibri" w:hAnsi="Calibri" w:cs="Calibri"/>
      <w:kern w:val="0"/>
      <w:lang w:eastAsia="en-AU"/>
      <w14:ligatures w14:val="none"/>
    </w:rPr>
  </w:style>
  <w:style w:type="paragraph" w:styleId="Header">
    <w:name w:val="header"/>
    <w:basedOn w:val="Normal"/>
    <w:link w:val="HeaderChar"/>
    <w:uiPriority w:val="99"/>
    <w:unhideWhenUsed/>
    <w:rsid w:val="00911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68A"/>
  </w:style>
  <w:style w:type="paragraph" w:styleId="Footer">
    <w:name w:val="footer"/>
    <w:basedOn w:val="Normal"/>
    <w:link w:val="FooterChar"/>
    <w:uiPriority w:val="99"/>
    <w:unhideWhenUsed/>
    <w:rsid w:val="00911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68A"/>
  </w:style>
  <w:style w:type="paragraph" w:customStyle="1" w:styleId="SecurityClassificationHeader">
    <w:name w:val="Security Classification Header"/>
    <w:link w:val="SecurityClassificationHeaderChar"/>
    <w:rsid w:val="0091168A"/>
    <w:pPr>
      <w:spacing w:before="360" w:after="60"/>
      <w:jc w:val="center"/>
    </w:pPr>
    <w:rPr>
      <w:b/>
      <w:color w:val="FF0000"/>
      <w:sz w:val="24"/>
    </w:rPr>
  </w:style>
  <w:style w:type="character" w:customStyle="1" w:styleId="SecurityClassificationHeaderChar">
    <w:name w:val="Security Classification Header Char"/>
    <w:basedOn w:val="HeaderChar"/>
    <w:link w:val="SecurityClassificationHeader"/>
    <w:rsid w:val="0091168A"/>
    <w:rPr>
      <w:b/>
      <w:color w:val="FF0000"/>
      <w:sz w:val="24"/>
    </w:rPr>
  </w:style>
  <w:style w:type="paragraph" w:customStyle="1" w:styleId="SecurityClassificationFooter">
    <w:name w:val="Security Classification Footer"/>
    <w:link w:val="SecurityClassificationFooterChar"/>
    <w:rsid w:val="0091168A"/>
    <w:pPr>
      <w:spacing w:before="240" w:after="60"/>
      <w:jc w:val="center"/>
    </w:pPr>
    <w:rPr>
      <w:b/>
      <w:color w:val="FF0000"/>
      <w:sz w:val="24"/>
    </w:rPr>
  </w:style>
  <w:style w:type="character" w:customStyle="1" w:styleId="SecurityClassificationFooterChar">
    <w:name w:val="Security Classification Footer Char"/>
    <w:basedOn w:val="HeaderChar"/>
    <w:link w:val="SecurityClassificationFooter"/>
    <w:rsid w:val="0091168A"/>
    <w:rPr>
      <w:b/>
      <w:color w:val="FF0000"/>
      <w:sz w:val="24"/>
    </w:rPr>
  </w:style>
  <w:style w:type="paragraph" w:customStyle="1" w:styleId="DLMSecurityHeader">
    <w:name w:val="DLM Security Header"/>
    <w:link w:val="DLMSecurityHeaderChar"/>
    <w:rsid w:val="0091168A"/>
    <w:pPr>
      <w:spacing w:before="360" w:after="60"/>
      <w:jc w:val="center"/>
    </w:pPr>
    <w:rPr>
      <w:b/>
      <w:color w:val="FF0000"/>
      <w:sz w:val="24"/>
    </w:rPr>
  </w:style>
  <w:style w:type="character" w:customStyle="1" w:styleId="DLMSecurityHeaderChar">
    <w:name w:val="DLM Security Header Char"/>
    <w:basedOn w:val="HeaderChar"/>
    <w:link w:val="DLMSecurityHeader"/>
    <w:rsid w:val="0091168A"/>
    <w:rPr>
      <w:b/>
      <w:color w:val="FF0000"/>
      <w:sz w:val="24"/>
    </w:rPr>
  </w:style>
  <w:style w:type="paragraph" w:customStyle="1" w:styleId="DLMSecurityFooter">
    <w:name w:val="DLM Security Footer"/>
    <w:link w:val="DLMSecurityFooterChar"/>
    <w:rsid w:val="0091168A"/>
    <w:pPr>
      <w:spacing w:before="360" w:after="60"/>
      <w:jc w:val="center"/>
    </w:pPr>
    <w:rPr>
      <w:b/>
      <w:color w:val="FF0000"/>
      <w:sz w:val="24"/>
    </w:rPr>
  </w:style>
  <w:style w:type="character" w:customStyle="1" w:styleId="DLMSecurityFooterChar">
    <w:name w:val="DLM Security Footer Char"/>
    <w:basedOn w:val="HeaderChar"/>
    <w:link w:val="DLMSecurityFooter"/>
    <w:rsid w:val="0091168A"/>
    <w:rPr>
      <w:b/>
      <w:color w:val="FF0000"/>
      <w:sz w:val="24"/>
    </w:rPr>
  </w:style>
  <w:style w:type="paragraph" w:customStyle="1" w:styleId="NumberLevel1">
    <w:name w:val="Number Level 1"/>
    <w:aliases w:val="N1,hea Level 1,Numberanswer Level 1,N,indentl 1,Number Levquoteel 1,Level 1,Number leg2 1,answerer Level 1,leg5er Level 1,We woulNumber Level 1,Completed Number Level 1,In his affidavite in Number Level 1,the Tribunal m.1"/>
    <w:basedOn w:val="Normal"/>
    <w:link w:val="NumberLevel1CharChar"/>
    <w:uiPriority w:val="1"/>
    <w:qFormat/>
    <w:rsid w:val="008520E8"/>
    <w:pPr>
      <w:numPr>
        <w:numId w:val="24"/>
      </w:numPr>
      <w:spacing w:before="140" w:after="140" w:line="280" w:lineRule="atLeast"/>
    </w:pPr>
    <w:rPr>
      <w:rFonts w:ascii="Arial" w:eastAsia="Times New Roman" w:hAnsi="Arial" w:cs="Arial"/>
      <w:kern w:val="0"/>
      <w:lang w:eastAsia="en-AU"/>
      <w14:ligatures w14:val="none"/>
    </w:rPr>
  </w:style>
  <w:style w:type="paragraph" w:customStyle="1" w:styleId="NumberLevel2">
    <w:name w:val="Number Level 2"/>
    <w:aliases w:val="N2,authorising the Number Level 2,ThNumber Level 2"/>
    <w:basedOn w:val="Normal"/>
    <w:link w:val="NumberLevel2CharChar"/>
    <w:uiPriority w:val="1"/>
    <w:qFormat/>
    <w:rsid w:val="008520E8"/>
    <w:pPr>
      <w:numPr>
        <w:ilvl w:val="1"/>
        <w:numId w:val="24"/>
      </w:numPr>
      <w:spacing w:before="140" w:after="140" w:line="280" w:lineRule="atLeast"/>
    </w:pPr>
    <w:rPr>
      <w:rFonts w:ascii="Arial" w:eastAsia="Times New Roman" w:hAnsi="Arial" w:cs="Arial"/>
      <w:kern w:val="0"/>
      <w:lang w:eastAsia="en-AU"/>
      <w14:ligatures w14:val="none"/>
    </w:rPr>
  </w:style>
  <w:style w:type="paragraph" w:customStyle="1" w:styleId="NumberLevel3">
    <w:name w:val="Number Level 3"/>
    <w:aliases w:val="N3"/>
    <w:basedOn w:val="Normal"/>
    <w:uiPriority w:val="1"/>
    <w:qFormat/>
    <w:rsid w:val="008520E8"/>
    <w:pPr>
      <w:numPr>
        <w:ilvl w:val="2"/>
        <w:numId w:val="24"/>
      </w:numPr>
      <w:spacing w:before="140" w:after="140" w:line="280" w:lineRule="atLeast"/>
      <w:ind w:left="1418"/>
    </w:pPr>
    <w:rPr>
      <w:rFonts w:ascii="Arial" w:eastAsia="Times New Roman" w:hAnsi="Arial" w:cs="Arial"/>
      <w:kern w:val="0"/>
      <w:lang w:eastAsia="en-AU"/>
      <w14:ligatures w14:val="none"/>
    </w:rPr>
  </w:style>
  <w:style w:type="paragraph" w:customStyle="1" w:styleId="NumberLevel4">
    <w:name w:val="Number Level 4"/>
    <w:aliases w:val="N4,theNumber Level 4"/>
    <w:basedOn w:val="Normal"/>
    <w:uiPriority w:val="1"/>
    <w:qFormat/>
    <w:rsid w:val="008520E8"/>
    <w:pPr>
      <w:numPr>
        <w:ilvl w:val="3"/>
        <w:numId w:val="24"/>
      </w:numPr>
      <w:spacing w:after="140" w:line="280" w:lineRule="atLeast"/>
    </w:pPr>
    <w:rPr>
      <w:rFonts w:ascii="Arial" w:eastAsia="Times New Roman" w:hAnsi="Arial" w:cs="Arial"/>
      <w:kern w:val="0"/>
      <w:lang w:eastAsia="en-AU"/>
      <w14:ligatures w14:val="none"/>
    </w:rPr>
  </w:style>
  <w:style w:type="paragraph" w:customStyle="1" w:styleId="NumberLevel5">
    <w:name w:val="Number Level 5"/>
    <w:aliases w:val="N5"/>
    <w:basedOn w:val="Normal"/>
    <w:qFormat/>
    <w:rsid w:val="008520E8"/>
    <w:pPr>
      <w:numPr>
        <w:ilvl w:val="4"/>
        <w:numId w:val="24"/>
      </w:numPr>
      <w:spacing w:after="140" w:line="280" w:lineRule="atLeast"/>
    </w:pPr>
    <w:rPr>
      <w:rFonts w:ascii="Arial" w:eastAsia="Times New Roman" w:hAnsi="Arial" w:cs="Arial"/>
      <w:kern w:val="0"/>
      <w:lang w:eastAsia="en-AU"/>
      <w14:ligatures w14:val="none"/>
    </w:rPr>
  </w:style>
  <w:style w:type="paragraph" w:customStyle="1" w:styleId="NumberLevel6">
    <w:name w:val="Number Level 6"/>
    <w:aliases w:val="N6"/>
    <w:basedOn w:val="NumberLevel5"/>
    <w:qFormat/>
    <w:rsid w:val="008520E8"/>
    <w:pPr>
      <w:numPr>
        <w:ilvl w:val="5"/>
      </w:numPr>
    </w:pPr>
  </w:style>
  <w:style w:type="paragraph" w:customStyle="1" w:styleId="NumberLevel7">
    <w:name w:val="Number Level 7"/>
    <w:aliases w:val="N7"/>
    <w:basedOn w:val="NumberLevel6"/>
    <w:qFormat/>
    <w:rsid w:val="008520E8"/>
    <w:pPr>
      <w:numPr>
        <w:ilvl w:val="6"/>
      </w:numPr>
    </w:pPr>
  </w:style>
  <w:style w:type="paragraph" w:customStyle="1" w:styleId="NumberLevel8">
    <w:name w:val="Number Level 8"/>
    <w:aliases w:val="N8"/>
    <w:basedOn w:val="NumberLevel7"/>
    <w:rsid w:val="008520E8"/>
    <w:pPr>
      <w:numPr>
        <w:ilvl w:val="7"/>
      </w:numPr>
    </w:pPr>
  </w:style>
  <w:style w:type="paragraph" w:customStyle="1" w:styleId="NumberLevel9">
    <w:name w:val="Number Level 9"/>
    <w:aliases w:val="N9"/>
    <w:basedOn w:val="NumberLevel8"/>
    <w:rsid w:val="008520E8"/>
    <w:pPr>
      <w:numPr>
        <w:ilvl w:val="8"/>
      </w:numPr>
    </w:pPr>
  </w:style>
  <w:style w:type="character" w:customStyle="1" w:styleId="NumberLevel1CharChar">
    <w:name w:val="Number Level 1 Char Char"/>
    <w:link w:val="NumberLevel1"/>
    <w:uiPriority w:val="1"/>
    <w:locked/>
    <w:rsid w:val="008520E8"/>
    <w:rPr>
      <w:rFonts w:ascii="Arial" w:eastAsia="Times New Roman" w:hAnsi="Arial" w:cs="Arial"/>
      <w:kern w:val="0"/>
      <w:lang w:eastAsia="en-AU"/>
      <w14:ligatures w14:val="none"/>
    </w:rPr>
  </w:style>
  <w:style w:type="paragraph" w:customStyle="1" w:styleId="TableHeading2">
    <w:name w:val="Table: Heading 2"/>
    <w:basedOn w:val="Normal"/>
    <w:next w:val="Normal"/>
    <w:uiPriority w:val="12"/>
    <w:rsid w:val="008520E8"/>
    <w:pPr>
      <w:keepNext/>
      <w:keepLines/>
      <w:spacing w:before="60" w:after="0" w:line="240" w:lineRule="atLeast"/>
    </w:pPr>
    <w:rPr>
      <w:rFonts w:ascii="Arial" w:eastAsia="Times New Roman" w:hAnsi="Arial" w:cs="Arial"/>
      <w:b/>
      <w:kern w:val="0"/>
      <w:sz w:val="20"/>
      <w:lang w:eastAsia="en-AU"/>
      <w14:ligatures w14:val="none"/>
    </w:rPr>
  </w:style>
  <w:style w:type="numbering" w:styleId="111111">
    <w:name w:val="Outline List 2"/>
    <w:basedOn w:val="NoList"/>
    <w:uiPriority w:val="99"/>
    <w:unhideWhenUsed/>
    <w:rsid w:val="008520E8"/>
    <w:pPr>
      <w:numPr>
        <w:numId w:val="25"/>
      </w:numPr>
    </w:pPr>
  </w:style>
  <w:style w:type="character" w:customStyle="1" w:styleId="NumberLevel2CharChar">
    <w:name w:val="Number Level 2 Char Char"/>
    <w:basedOn w:val="DefaultParagraphFont"/>
    <w:link w:val="NumberLevel2"/>
    <w:uiPriority w:val="1"/>
    <w:locked/>
    <w:rsid w:val="00745528"/>
    <w:rPr>
      <w:rFonts w:ascii="Arial" w:eastAsia="Times New Roman" w:hAnsi="Arial" w:cs="Arial"/>
      <w:kern w:val="0"/>
      <w:lang w:eastAsia="en-AU"/>
      <w14:ligatures w14:val="none"/>
    </w:rPr>
  </w:style>
  <w:style w:type="character" w:styleId="Hyperlink">
    <w:name w:val="Hyperlink"/>
    <w:basedOn w:val="DefaultParagraphFont"/>
    <w:uiPriority w:val="99"/>
    <w:qFormat/>
    <w:rsid w:val="00900BAC"/>
    <w:rPr>
      <w:rFonts w:ascii="Arial" w:hAnsi="Arial" w:cs="Arial"/>
      <w:color w:val="0000FF"/>
      <w:u w:val="single" w:color="0000FF"/>
    </w:rPr>
  </w:style>
  <w:style w:type="paragraph" w:styleId="ListParagraph">
    <w:name w:val="List Paragraph"/>
    <w:aliases w:val="NFP GP Bulleted List,List1,LP,cS List Paragraph,List Paragraph1,Bulletr List Paragraph,Use Case List Paragraph,lp1,Bullet point,Bullets,CV text,Dot pt,F5 List Paragraph,FooterText,L,List Paragraph11,List Paragraph111,List Paragraph2"/>
    <w:basedOn w:val="Normal"/>
    <w:link w:val="ListParagraphChar"/>
    <w:uiPriority w:val="98"/>
    <w:qFormat/>
    <w:rsid w:val="005E7529"/>
    <w:pPr>
      <w:spacing w:after="0" w:line="240" w:lineRule="auto"/>
      <w:ind w:left="720"/>
    </w:pPr>
    <w:rPr>
      <w:rFonts w:ascii="Arial" w:eastAsia="Times New Roman" w:hAnsi="Arial" w:cs="Arial"/>
      <w:kern w:val="0"/>
      <w:lang w:eastAsia="en-AU"/>
      <w14:ligatures w14:val="none"/>
    </w:rPr>
  </w:style>
  <w:style w:type="character" w:customStyle="1" w:styleId="ListParagraphChar">
    <w:name w:val="List Paragraph Char"/>
    <w:aliases w:val="NFP GP Bulleted List Char,List1 Char,LP Char,cS List Paragraph Char,List Paragraph1 Char,Bulletr List Paragraph Char,Use Case List Paragraph Char,lp1 Char,Bullet point Char,Bullets Char,CV text Char,Dot pt Char,F5 List Paragraph Char"/>
    <w:basedOn w:val="DefaultParagraphFont"/>
    <w:link w:val="ListParagraph"/>
    <w:uiPriority w:val="98"/>
    <w:qFormat/>
    <w:locked/>
    <w:rsid w:val="005E7529"/>
    <w:rPr>
      <w:rFonts w:ascii="Arial" w:eastAsia="Times New Roman" w:hAnsi="Arial" w:cs="Arial"/>
      <w:kern w:val="0"/>
      <w:lang w:eastAsia="en-AU"/>
      <w14:ligatures w14:val="none"/>
    </w:rPr>
  </w:style>
  <w:style w:type="paragraph" w:customStyle="1" w:styleId="TablePlainParagraph">
    <w:name w:val="Table: Plain Paragraph"/>
    <w:aliases w:val="Table PP"/>
    <w:basedOn w:val="Normal"/>
    <w:link w:val="TablePlainParagraphChar"/>
    <w:uiPriority w:val="11"/>
    <w:qFormat/>
    <w:rsid w:val="00DF404A"/>
    <w:pPr>
      <w:spacing w:before="60" w:after="60" w:line="240" w:lineRule="atLeast"/>
    </w:pPr>
    <w:rPr>
      <w:rFonts w:ascii="Arial" w:eastAsia="Times New Roman" w:hAnsi="Arial" w:cs="Arial"/>
      <w:kern w:val="0"/>
      <w:sz w:val="20"/>
      <w:lang w:eastAsia="en-AU"/>
      <w14:ligatures w14:val="none"/>
    </w:rPr>
  </w:style>
  <w:style w:type="character" w:customStyle="1" w:styleId="TablePlainParagraphChar">
    <w:name w:val="Table: Plain Paragraph Char"/>
    <w:aliases w:val="Table PP Char"/>
    <w:basedOn w:val="DefaultParagraphFont"/>
    <w:link w:val="TablePlainParagraph"/>
    <w:uiPriority w:val="11"/>
    <w:rsid w:val="00DF404A"/>
    <w:rPr>
      <w:rFonts w:ascii="Arial" w:eastAsia="Times New Roman" w:hAnsi="Arial" w:cs="Arial"/>
      <w:kern w:val="0"/>
      <w:sz w:val="20"/>
      <w:lang w:eastAsia="en-AU"/>
      <w14:ligatures w14:val="none"/>
    </w:rPr>
  </w:style>
  <w:style w:type="character" w:customStyle="1" w:styleId="Heading5Char">
    <w:name w:val="Heading 5 Char"/>
    <w:aliases w:val="H5 Char"/>
    <w:basedOn w:val="DefaultParagraphFont"/>
    <w:link w:val="Heading5"/>
    <w:uiPriority w:val="4"/>
    <w:rsid w:val="002F20C2"/>
    <w:rPr>
      <w:rFonts w:ascii="Arial" w:eastAsia="Times New Roman" w:hAnsi="Arial" w:cs="Arial"/>
      <w:b/>
      <w:bCs/>
      <w:iCs/>
      <w:kern w:val="0"/>
      <w:sz w:val="18"/>
      <w:szCs w:val="26"/>
      <w:lang w:eastAsia="en-AU"/>
      <w14:ligatures w14:val="none"/>
    </w:rPr>
  </w:style>
  <w:style w:type="paragraph" w:customStyle="1" w:styleId="IndentHanging">
    <w:name w:val="Indent: Hanging"/>
    <w:aliases w:val="--&gt;H"/>
    <w:basedOn w:val="Normal"/>
    <w:uiPriority w:val="9"/>
    <w:qFormat/>
    <w:rsid w:val="002F20C2"/>
    <w:pPr>
      <w:numPr>
        <w:numId w:val="30"/>
      </w:numPr>
      <w:spacing w:after="140" w:line="280" w:lineRule="atLeast"/>
    </w:pPr>
    <w:rPr>
      <w:rFonts w:ascii="Arial" w:eastAsia="Times New Roman" w:hAnsi="Arial" w:cs="Arial"/>
      <w:kern w:val="0"/>
      <w:lang w:eastAsia="en-AU"/>
      <w14:ligatures w14:val="none"/>
    </w:rPr>
  </w:style>
  <w:style w:type="paragraph" w:customStyle="1" w:styleId="IndentHanging1">
    <w:name w:val="Indent: Hanging 1"/>
    <w:basedOn w:val="IndentHanging"/>
    <w:uiPriority w:val="9"/>
    <w:semiHidden/>
    <w:rsid w:val="002F20C2"/>
    <w:pPr>
      <w:numPr>
        <w:ilvl w:val="1"/>
      </w:numPr>
    </w:pPr>
  </w:style>
  <w:style w:type="paragraph" w:customStyle="1" w:styleId="IndentHanging2">
    <w:name w:val="Indent: Hanging 2"/>
    <w:basedOn w:val="IndentHanging1"/>
    <w:uiPriority w:val="9"/>
    <w:rsid w:val="002F20C2"/>
    <w:pPr>
      <w:numPr>
        <w:ilvl w:val="2"/>
      </w:numPr>
    </w:pPr>
  </w:style>
  <w:style w:type="paragraph" w:customStyle="1" w:styleId="IndentHanging3">
    <w:name w:val="Indent: Hanging 3"/>
    <w:basedOn w:val="IndentHanging2"/>
    <w:uiPriority w:val="9"/>
    <w:semiHidden/>
    <w:rsid w:val="002F20C2"/>
    <w:pPr>
      <w:numPr>
        <w:ilvl w:val="3"/>
      </w:numPr>
    </w:pPr>
  </w:style>
  <w:style w:type="paragraph" w:customStyle="1" w:styleId="IndentHanging4">
    <w:name w:val="Indent: Hanging 4"/>
    <w:basedOn w:val="IndentHanging3"/>
    <w:uiPriority w:val="9"/>
    <w:rsid w:val="002F20C2"/>
    <w:pPr>
      <w:numPr>
        <w:ilvl w:val="4"/>
      </w:numPr>
    </w:pPr>
  </w:style>
  <w:style w:type="paragraph" w:customStyle="1" w:styleId="IndentHanging5">
    <w:name w:val="Indent: Hanging 5"/>
    <w:basedOn w:val="IndentHanging4"/>
    <w:uiPriority w:val="9"/>
    <w:semiHidden/>
    <w:rsid w:val="002F20C2"/>
    <w:pPr>
      <w:numPr>
        <w:ilvl w:val="5"/>
      </w:numPr>
    </w:pPr>
  </w:style>
  <w:style w:type="paragraph" w:customStyle="1" w:styleId="IndentHanging6">
    <w:name w:val="Indent: Hanging 6"/>
    <w:basedOn w:val="IndentHanging5"/>
    <w:uiPriority w:val="9"/>
    <w:rsid w:val="002F20C2"/>
    <w:pPr>
      <w:numPr>
        <w:ilvl w:val="6"/>
      </w:numPr>
    </w:pPr>
  </w:style>
  <w:style w:type="paragraph" w:customStyle="1" w:styleId="IndentHanging7">
    <w:name w:val="Indent: Hanging 7"/>
    <w:basedOn w:val="IndentHanging6"/>
    <w:uiPriority w:val="9"/>
    <w:semiHidden/>
    <w:rsid w:val="002F20C2"/>
    <w:pPr>
      <w:numPr>
        <w:ilvl w:val="7"/>
      </w:numPr>
    </w:pPr>
  </w:style>
  <w:style w:type="paragraph" w:customStyle="1" w:styleId="IndentHanging8">
    <w:name w:val="Indent: Hanging 8"/>
    <w:basedOn w:val="IndentHanging7"/>
    <w:uiPriority w:val="9"/>
    <w:rsid w:val="002F20C2"/>
    <w:pPr>
      <w:numPr>
        <w:ilvl w:val="8"/>
      </w:numPr>
    </w:pPr>
  </w:style>
  <w:style w:type="paragraph" w:customStyle="1" w:styleId="Quotation">
    <w:name w:val="Quotation"/>
    <w:basedOn w:val="Normal"/>
    <w:rsid w:val="00FC53FA"/>
    <w:pPr>
      <w:numPr>
        <w:numId w:val="31"/>
      </w:numPr>
      <w:spacing w:after="140" w:line="260" w:lineRule="atLeast"/>
    </w:pPr>
    <w:rPr>
      <w:rFonts w:ascii="Arial" w:eastAsia="Times New Roman" w:hAnsi="Arial" w:cs="Arial"/>
      <w:kern w:val="0"/>
      <w:sz w:val="20"/>
      <w:lang w:eastAsia="en-AU"/>
      <w14:ligatures w14:val="none"/>
    </w:rPr>
  </w:style>
  <w:style w:type="paragraph" w:customStyle="1" w:styleId="Quotation1">
    <w:name w:val="Quotation 1"/>
    <w:aliases w:val="&quot;Q&quot;"/>
    <w:basedOn w:val="Normal"/>
    <w:qFormat/>
    <w:rsid w:val="00FC53FA"/>
    <w:pPr>
      <w:numPr>
        <w:ilvl w:val="1"/>
        <w:numId w:val="31"/>
      </w:numPr>
      <w:spacing w:after="140" w:line="260" w:lineRule="atLeast"/>
    </w:pPr>
    <w:rPr>
      <w:rFonts w:ascii="Arial" w:eastAsia="Times New Roman" w:hAnsi="Arial" w:cs="Arial"/>
      <w:kern w:val="0"/>
      <w:sz w:val="20"/>
      <w:lang w:eastAsia="en-AU"/>
      <w14:ligatures w14:val="none"/>
    </w:rPr>
  </w:style>
  <w:style w:type="paragraph" w:customStyle="1" w:styleId="Quotation2">
    <w:name w:val="Quotation 2"/>
    <w:basedOn w:val="Normal"/>
    <w:rsid w:val="00FC53FA"/>
    <w:pPr>
      <w:numPr>
        <w:ilvl w:val="2"/>
        <w:numId w:val="31"/>
      </w:numPr>
      <w:spacing w:after="140" w:line="260" w:lineRule="atLeast"/>
    </w:pPr>
    <w:rPr>
      <w:rFonts w:ascii="Arial" w:eastAsia="Times New Roman" w:hAnsi="Arial" w:cs="Arial"/>
      <w:kern w:val="0"/>
      <w:sz w:val="20"/>
      <w:lang w:eastAsia="en-AU"/>
      <w14:ligatures w14:val="none"/>
    </w:rPr>
  </w:style>
  <w:style w:type="paragraph" w:customStyle="1" w:styleId="Quotation3">
    <w:name w:val="Quotation 3"/>
    <w:basedOn w:val="Normal"/>
    <w:rsid w:val="00FC53FA"/>
    <w:pPr>
      <w:numPr>
        <w:ilvl w:val="3"/>
        <w:numId w:val="31"/>
      </w:numPr>
      <w:spacing w:after="140" w:line="260" w:lineRule="atLeast"/>
    </w:pPr>
    <w:rPr>
      <w:rFonts w:ascii="Arial" w:eastAsia="Times New Roman" w:hAnsi="Arial" w:cs="Arial"/>
      <w:kern w:val="0"/>
      <w:sz w:val="20"/>
      <w:lang w:eastAsia="en-AU"/>
      <w14:ligatures w14:val="none"/>
    </w:rPr>
  </w:style>
  <w:style w:type="paragraph" w:customStyle="1" w:styleId="Quotation4">
    <w:name w:val="Quotation 4"/>
    <w:basedOn w:val="Normal"/>
    <w:rsid w:val="00FC53FA"/>
    <w:pPr>
      <w:numPr>
        <w:ilvl w:val="4"/>
        <w:numId w:val="31"/>
      </w:numPr>
      <w:spacing w:after="140" w:line="260" w:lineRule="atLeast"/>
    </w:pPr>
    <w:rPr>
      <w:rFonts w:ascii="Arial" w:eastAsia="Times New Roman" w:hAnsi="Arial" w:cs="Arial"/>
      <w:kern w:val="0"/>
      <w:sz w:val="20"/>
      <w:lang w:eastAsia="en-AU"/>
      <w14:ligatures w14:val="none"/>
    </w:rPr>
  </w:style>
  <w:style w:type="paragraph" w:customStyle="1" w:styleId="Quotation5">
    <w:name w:val="Quotation 5"/>
    <w:basedOn w:val="Normal"/>
    <w:rsid w:val="00FC53FA"/>
    <w:pPr>
      <w:numPr>
        <w:ilvl w:val="5"/>
        <w:numId w:val="31"/>
      </w:numPr>
      <w:spacing w:after="140" w:line="260" w:lineRule="atLeast"/>
    </w:pPr>
    <w:rPr>
      <w:rFonts w:ascii="Arial" w:eastAsia="Times New Roman" w:hAnsi="Arial" w:cs="Arial"/>
      <w:kern w:val="0"/>
      <w:sz w:val="20"/>
      <w:lang w:eastAsia="en-AU"/>
      <w14:ligatures w14:val="none"/>
    </w:rPr>
  </w:style>
  <w:style w:type="paragraph" w:customStyle="1" w:styleId="Quotation6">
    <w:name w:val="Quotation 6"/>
    <w:basedOn w:val="Normal"/>
    <w:rsid w:val="00FC53FA"/>
    <w:pPr>
      <w:numPr>
        <w:ilvl w:val="6"/>
        <w:numId w:val="31"/>
      </w:numPr>
      <w:spacing w:after="140" w:line="260" w:lineRule="atLeast"/>
    </w:pPr>
    <w:rPr>
      <w:rFonts w:ascii="Arial" w:eastAsia="Times New Roman" w:hAnsi="Arial" w:cs="Arial"/>
      <w:kern w:val="0"/>
      <w:sz w:val="20"/>
      <w:lang w:eastAsia="en-AU"/>
      <w14:ligatures w14:val="none"/>
    </w:rPr>
  </w:style>
  <w:style w:type="paragraph" w:customStyle="1" w:styleId="Quotation7">
    <w:name w:val="Quotation 7"/>
    <w:basedOn w:val="Normal"/>
    <w:rsid w:val="00FC53FA"/>
    <w:pPr>
      <w:numPr>
        <w:ilvl w:val="7"/>
        <w:numId w:val="31"/>
      </w:numPr>
      <w:spacing w:after="140" w:line="260" w:lineRule="atLeast"/>
    </w:pPr>
    <w:rPr>
      <w:rFonts w:ascii="Arial" w:eastAsia="Times New Roman" w:hAnsi="Arial" w:cs="Arial"/>
      <w:kern w:val="0"/>
      <w:sz w:val="20"/>
      <w:lang w:eastAsia="en-AU"/>
      <w14:ligatures w14:val="none"/>
    </w:rPr>
  </w:style>
  <w:style w:type="paragraph" w:customStyle="1" w:styleId="Quotation8">
    <w:name w:val="Quotation 8"/>
    <w:basedOn w:val="Normal"/>
    <w:rsid w:val="00FC53FA"/>
    <w:pPr>
      <w:numPr>
        <w:ilvl w:val="8"/>
        <w:numId w:val="31"/>
      </w:numPr>
      <w:spacing w:after="140" w:line="260" w:lineRule="atLeast"/>
    </w:pPr>
    <w:rPr>
      <w:rFonts w:ascii="Arial" w:eastAsia="Times New Roman" w:hAnsi="Arial" w:cs="Arial"/>
      <w:kern w:val="0"/>
      <w:sz w:val="20"/>
      <w:lang w:eastAsia="en-AU"/>
      <w14:ligatures w14:val="none"/>
    </w:rPr>
  </w:style>
  <w:style w:type="paragraph" w:styleId="BalloonText">
    <w:name w:val="Balloon Text"/>
    <w:basedOn w:val="Normal"/>
    <w:link w:val="BalloonTextChar"/>
    <w:uiPriority w:val="99"/>
    <w:unhideWhenUsed/>
    <w:rsid w:val="003073BE"/>
    <w:pPr>
      <w:spacing w:after="0" w:line="240" w:lineRule="auto"/>
    </w:pPr>
    <w:rPr>
      <w:rFonts w:ascii="Tahoma" w:eastAsia="Times New Roman" w:hAnsi="Tahoma" w:cs="Tahoma"/>
      <w:kern w:val="0"/>
      <w:sz w:val="16"/>
      <w:szCs w:val="16"/>
      <w:lang w:eastAsia="en-AU"/>
      <w14:ligatures w14:val="none"/>
    </w:rPr>
  </w:style>
  <w:style w:type="character" w:customStyle="1" w:styleId="BalloonTextChar">
    <w:name w:val="Balloon Text Char"/>
    <w:basedOn w:val="DefaultParagraphFont"/>
    <w:link w:val="BalloonText"/>
    <w:uiPriority w:val="99"/>
    <w:rsid w:val="003073BE"/>
    <w:rPr>
      <w:rFonts w:ascii="Tahoma" w:eastAsia="Times New Roman" w:hAnsi="Tahoma" w:cs="Tahoma"/>
      <w:kern w:val="0"/>
      <w:sz w:val="16"/>
      <w:szCs w:val="16"/>
      <w:lang w:eastAsia="en-AU"/>
      <w14:ligatures w14:val="none"/>
    </w:rPr>
  </w:style>
  <w:style w:type="paragraph" w:customStyle="1" w:styleId="Plainparai">
    <w:name w:val="Plain para i."/>
    <w:aliases w:val="i"/>
    <w:basedOn w:val="Normal"/>
    <w:uiPriority w:val="94"/>
    <w:rsid w:val="003073BE"/>
    <w:pPr>
      <w:numPr>
        <w:numId w:val="32"/>
      </w:numPr>
      <w:spacing w:after="140" w:line="280" w:lineRule="atLeast"/>
    </w:pPr>
    <w:rPr>
      <w:rFonts w:ascii="Arial" w:eastAsia="Times New Roman" w:hAnsi="Arial" w:cs="Arial"/>
      <w:kern w:val="0"/>
      <w:lang w:eastAsia="en-AU"/>
      <w14:ligatures w14:val="none"/>
    </w:rPr>
  </w:style>
  <w:style w:type="paragraph" w:styleId="Revision">
    <w:name w:val="Revision"/>
    <w:hidden/>
    <w:uiPriority w:val="99"/>
    <w:semiHidden/>
    <w:rsid w:val="006B63B7"/>
    <w:pPr>
      <w:spacing w:after="0" w:line="240" w:lineRule="auto"/>
    </w:pPr>
  </w:style>
  <w:style w:type="character" w:styleId="CommentReference">
    <w:name w:val="annotation reference"/>
    <w:basedOn w:val="DefaultParagraphFont"/>
    <w:uiPriority w:val="99"/>
    <w:semiHidden/>
    <w:unhideWhenUsed/>
    <w:rsid w:val="008D13EC"/>
    <w:rPr>
      <w:sz w:val="16"/>
      <w:szCs w:val="16"/>
    </w:rPr>
  </w:style>
  <w:style w:type="paragraph" w:styleId="CommentText">
    <w:name w:val="annotation text"/>
    <w:basedOn w:val="Normal"/>
    <w:link w:val="CommentTextChar"/>
    <w:uiPriority w:val="99"/>
    <w:unhideWhenUsed/>
    <w:rsid w:val="008D13EC"/>
    <w:pPr>
      <w:spacing w:line="240" w:lineRule="auto"/>
    </w:pPr>
    <w:rPr>
      <w:sz w:val="20"/>
      <w:szCs w:val="20"/>
    </w:rPr>
  </w:style>
  <w:style w:type="character" w:customStyle="1" w:styleId="CommentTextChar">
    <w:name w:val="Comment Text Char"/>
    <w:basedOn w:val="DefaultParagraphFont"/>
    <w:link w:val="CommentText"/>
    <w:uiPriority w:val="99"/>
    <w:rsid w:val="008D13EC"/>
    <w:rPr>
      <w:sz w:val="20"/>
      <w:szCs w:val="20"/>
    </w:rPr>
  </w:style>
  <w:style w:type="paragraph" w:styleId="CommentSubject">
    <w:name w:val="annotation subject"/>
    <w:basedOn w:val="CommentText"/>
    <w:next w:val="CommentText"/>
    <w:link w:val="CommentSubjectChar"/>
    <w:uiPriority w:val="99"/>
    <w:semiHidden/>
    <w:unhideWhenUsed/>
    <w:rsid w:val="008D13EC"/>
    <w:rPr>
      <w:b/>
      <w:bCs/>
    </w:rPr>
  </w:style>
  <w:style w:type="character" w:customStyle="1" w:styleId="CommentSubjectChar">
    <w:name w:val="Comment Subject Char"/>
    <w:basedOn w:val="CommentTextChar"/>
    <w:link w:val="CommentSubject"/>
    <w:uiPriority w:val="99"/>
    <w:semiHidden/>
    <w:rsid w:val="008D13EC"/>
    <w:rPr>
      <w:b/>
      <w:bCs/>
      <w:sz w:val="20"/>
      <w:szCs w:val="20"/>
    </w:rPr>
  </w:style>
  <w:style w:type="character" w:styleId="Mention">
    <w:name w:val="Mention"/>
    <w:basedOn w:val="DefaultParagraphFont"/>
    <w:uiPriority w:val="99"/>
    <w:unhideWhenUsed/>
    <w:rsid w:val="008D13EC"/>
    <w:rPr>
      <w:color w:val="2B579A"/>
      <w:shd w:val="clear" w:color="auto" w:fill="E1DFDD"/>
    </w:rPr>
  </w:style>
  <w:style w:type="character" w:customStyle="1" w:styleId="Heading1Char">
    <w:name w:val="Heading 1 Char"/>
    <w:basedOn w:val="DefaultParagraphFont"/>
    <w:link w:val="Heading1"/>
    <w:uiPriority w:val="9"/>
    <w:rsid w:val="00594304"/>
    <w:rPr>
      <w:rFonts w:asciiTheme="majorHAnsi" w:eastAsiaTheme="majorEastAsia" w:hAnsiTheme="majorHAnsi" w:cstheme="majorBidi"/>
      <w:color w:val="212937" w:themeColor="accent1" w:themeShade="BF"/>
      <w:sz w:val="32"/>
      <w:szCs w:val="32"/>
    </w:rPr>
  </w:style>
  <w:style w:type="character" w:customStyle="1" w:styleId="Heading3Char">
    <w:name w:val="Heading 3 Char"/>
    <w:basedOn w:val="DefaultParagraphFont"/>
    <w:link w:val="Heading3"/>
    <w:uiPriority w:val="9"/>
    <w:rsid w:val="004223AB"/>
    <w:rPr>
      <w:rFonts w:asciiTheme="majorHAnsi" w:eastAsiaTheme="majorEastAsia" w:hAnsiTheme="majorHAnsi" w:cstheme="majorBidi"/>
      <w:color w:val="161B24" w:themeColor="accent1" w:themeShade="7F"/>
      <w:sz w:val="24"/>
      <w:szCs w:val="24"/>
    </w:rPr>
  </w:style>
  <w:style w:type="character" w:styleId="FollowedHyperlink">
    <w:name w:val="FollowedHyperlink"/>
    <w:basedOn w:val="DefaultParagraphFont"/>
    <w:uiPriority w:val="99"/>
    <w:semiHidden/>
    <w:unhideWhenUsed/>
    <w:rsid w:val="001457B2"/>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20211222 TSY">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Treasury">
      <a:majorFont>
        <a:latin typeface="Calibri"/>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Treasury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reasury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reasury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reasury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reasury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reasury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reasury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reasury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reasury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reasury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reasury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reasury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20211222 TSY" id="{F86139E6-30CE-4750-9B07-B32329458674}" vid="{DA6BB9BD-10FE-4FF3-A226-706501DDE96D}"/>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Agency response: privacy impact assessment of the beneficial ownership register for unlisted companies</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response: privacy impact assessment of the beneficial ownership register for unlisted companies</dc:title>
  <dc:subject/>
  <dc:creator/>
  <cp:keywords/>
  <dc:description/>
  <cp:lastModifiedBy/>
  <cp:revision>1</cp:revision>
  <dcterms:created xsi:type="dcterms:W3CDTF">2024-11-26T00:03:00Z</dcterms:created>
  <dcterms:modified xsi:type="dcterms:W3CDTF">2024-11-26T00:06:00Z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2024-11-26T00:06:11Z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4054730f-7470-4100-b222-0044129bc6e1</vt:lpwstr>
  </property>
  <property fmtid="{D5CDD505-2E9C-101B-9397-08002B2CF9AE}" pid="8" name="MSIP_Label_4f932d64-9ab1-4d9b-81d2-a3a8b82dd47d_ContentBits">
    <vt:lpwstr>0</vt:lpwstr>
  </property>
</Properties>
</file>