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93CFF" w14:textId="77777777" w:rsidR="009A0869" w:rsidRDefault="009A0869" w:rsidP="0064458B">
      <w:pPr>
        <w:spacing w:before="200" w:after="200"/>
        <w:rPr>
          <w:b/>
          <w:color w:val="E36C0A" w:themeColor="accent6" w:themeShade="BF"/>
          <w:sz w:val="48"/>
          <w:szCs w:val="48"/>
        </w:rPr>
      </w:pPr>
    </w:p>
    <w:p w14:paraId="47D3A4AF" w14:textId="77777777" w:rsidR="009A0869" w:rsidRDefault="009A0869" w:rsidP="0064458B">
      <w:pPr>
        <w:spacing w:before="200" w:after="200"/>
        <w:rPr>
          <w:b/>
          <w:color w:val="E36C0A" w:themeColor="accent6" w:themeShade="BF"/>
          <w:sz w:val="48"/>
          <w:szCs w:val="48"/>
        </w:rPr>
      </w:pPr>
    </w:p>
    <w:p w14:paraId="44E4F040" w14:textId="77777777" w:rsidR="009A0869" w:rsidRDefault="009A0869" w:rsidP="0064458B">
      <w:pPr>
        <w:spacing w:before="200" w:after="200"/>
        <w:rPr>
          <w:b/>
          <w:color w:val="E36C0A" w:themeColor="accent6" w:themeShade="BF"/>
          <w:sz w:val="48"/>
          <w:szCs w:val="48"/>
        </w:rPr>
      </w:pPr>
    </w:p>
    <w:p w14:paraId="32749312" w14:textId="1D619D86" w:rsidR="005E0A8C" w:rsidRPr="00AC5980" w:rsidRDefault="00A651FC" w:rsidP="0064458B">
      <w:pPr>
        <w:spacing w:before="200" w:after="200"/>
        <w:rPr>
          <w:b/>
          <w:color w:val="E36C0A" w:themeColor="accent6" w:themeShade="BF"/>
          <w:sz w:val="48"/>
          <w:szCs w:val="48"/>
        </w:rPr>
      </w:pPr>
      <w:r w:rsidRPr="00AC5980">
        <w:rPr>
          <w:b/>
          <w:color w:val="E36C0A" w:themeColor="accent6" w:themeShade="BF"/>
          <w:sz w:val="48"/>
          <w:szCs w:val="48"/>
        </w:rPr>
        <w:t>Privacy Impact Assessment</w:t>
      </w:r>
    </w:p>
    <w:p w14:paraId="43652E8A" w14:textId="69CE20E4" w:rsidR="008E7466" w:rsidRDefault="009A0869" w:rsidP="00E9320C">
      <w:pPr>
        <w:pStyle w:val="Coverpageparties"/>
        <w:spacing w:before="480"/>
        <w:rPr>
          <w:sz w:val="44"/>
          <w:szCs w:val="44"/>
        </w:rPr>
      </w:pPr>
      <w:r>
        <w:rPr>
          <w:sz w:val="44"/>
          <w:szCs w:val="44"/>
        </w:rPr>
        <w:t>Supplementary PIA to expand the Consumer Data Right to the Non-Banking Lending sector</w:t>
      </w:r>
    </w:p>
    <w:p w14:paraId="4C0A6518" w14:textId="77777777" w:rsidR="00AD745E" w:rsidRPr="00E9320C" w:rsidRDefault="00AD745E" w:rsidP="00E9320C">
      <w:pPr>
        <w:pStyle w:val="Coverpageparties"/>
        <w:spacing w:before="480"/>
        <w:rPr>
          <w:sz w:val="44"/>
          <w:szCs w:val="44"/>
        </w:rPr>
      </w:pPr>
    </w:p>
    <w:p w14:paraId="029F8483" w14:textId="156124D0" w:rsidR="0064458B" w:rsidRDefault="00E9320C" w:rsidP="00E9320C">
      <w:pPr>
        <w:pStyle w:val="Coverpageparties"/>
        <w:spacing w:before="240"/>
      </w:pPr>
      <w:r>
        <w:t xml:space="preserve">Prepared for the </w:t>
      </w:r>
      <w:r w:rsidR="009A0869">
        <w:t>Department of the Treasury</w:t>
      </w:r>
    </w:p>
    <w:p w14:paraId="6A6EFFDF" w14:textId="77777777" w:rsidR="008E7466" w:rsidRPr="00E9320C" w:rsidRDefault="008E7466" w:rsidP="00E9320C">
      <w:pPr>
        <w:pStyle w:val="Coverpageparties"/>
        <w:spacing w:before="240"/>
        <w:rPr>
          <w:sz w:val="20"/>
        </w:rPr>
      </w:pPr>
    </w:p>
    <w:p w14:paraId="73C0FB82" w14:textId="5E134C1D" w:rsidR="00B51FBF" w:rsidRDefault="00A23C8F" w:rsidP="0064458B">
      <w:pPr>
        <w:spacing w:before="480"/>
        <w:rPr>
          <w:bCs/>
          <w:noProof/>
          <w:sz w:val="28"/>
          <w:szCs w:val="28"/>
        </w:rPr>
      </w:pPr>
      <w:r>
        <w:rPr>
          <w:bCs/>
          <w:noProof/>
          <w:sz w:val="28"/>
          <w:szCs w:val="28"/>
        </w:rPr>
        <w:t>30</w:t>
      </w:r>
      <w:r w:rsidR="00F46D4B">
        <w:rPr>
          <w:bCs/>
          <w:noProof/>
          <w:sz w:val="28"/>
          <w:szCs w:val="28"/>
        </w:rPr>
        <w:t xml:space="preserve"> </w:t>
      </w:r>
      <w:r w:rsidR="00E57C6D">
        <w:rPr>
          <w:bCs/>
          <w:noProof/>
          <w:sz w:val="28"/>
          <w:szCs w:val="28"/>
        </w:rPr>
        <w:t xml:space="preserve">November </w:t>
      </w:r>
      <w:r w:rsidR="009A0869">
        <w:rPr>
          <w:bCs/>
          <w:noProof/>
          <w:sz w:val="28"/>
          <w:szCs w:val="28"/>
        </w:rPr>
        <w:t>2023</w:t>
      </w:r>
    </w:p>
    <w:p w14:paraId="4060BCFE" w14:textId="77777777" w:rsidR="00E9320C" w:rsidRPr="00E9320C" w:rsidRDefault="00E9320C" w:rsidP="0064458B">
      <w:pPr>
        <w:spacing w:before="480"/>
        <w:rPr>
          <w:bCs/>
          <w:sz w:val="28"/>
          <w:szCs w:val="28"/>
        </w:rPr>
      </w:pPr>
    </w:p>
    <w:p w14:paraId="4D7DA110" w14:textId="2DC40546" w:rsidR="00B51FBF" w:rsidRDefault="00B51FBF" w:rsidP="0064458B">
      <w:pPr>
        <w:spacing w:before="480"/>
        <w:rPr>
          <w:sz w:val="28"/>
          <w:szCs w:val="28"/>
        </w:rPr>
        <w:sectPr w:rsidR="00B51FBF" w:rsidSect="00CC7417">
          <w:headerReference w:type="even" r:id="rId8"/>
          <w:headerReference w:type="default" r:id="rId9"/>
          <w:footerReference w:type="even" r:id="rId10"/>
          <w:footerReference w:type="default" r:id="rId11"/>
          <w:headerReference w:type="first" r:id="rId12"/>
          <w:footerReference w:type="first" r:id="rId13"/>
          <w:pgSz w:w="11906" w:h="16838"/>
          <w:pgMar w:top="1701" w:right="1134" w:bottom="567" w:left="1701" w:header="567" w:footer="567" w:gutter="0"/>
          <w:cols w:space="708"/>
          <w:titlePg/>
          <w:docGrid w:linePitch="360"/>
        </w:sectPr>
      </w:pPr>
    </w:p>
    <w:p w14:paraId="2E2704C2" w14:textId="5B6D7C09" w:rsidR="00981CDE" w:rsidRPr="00DA5E1F" w:rsidRDefault="00981CDE" w:rsidP="00981CDE">
      <w:pPr>
        <w:pBdr>
          <w:bottom w:val="single" w:sz="12" w:space="1" w:color="auto"/>
        </w:pBdr>
        <w:rPr>
          <w:color w:val="E36C0A" w:themeColor="accent6" w:themeShade="BF"/>
          <w:sz w:val="40"/>
          <w:szCs w:val="40"/>
        </w:rPr>
      </w:pPr>
      <w:r w:rsidRPr="00DA5E1F">
        <w:rPr>
          <w:color w:val="E36C0A" w:themeColor="accent6" w:themeShade="BF"/>
          <w:sz w:val="40"/>
          <w:szCs w:val="40"/>
        </w:rPr>
        <w:lastRenderedPageBreak/>
        <w:t xml:space="preserve">Table of </w:t>
      </w:r>
      <w:r w:rsidR="00672CFD">
        <w:rPr>
          <w:color w:val="E36C0A" w:themeColor="accent6" w:themeShade="BF"/>
          <w:sz w:val="40"/>
          <w:szCs w:val="40"/>
        </w:rPr>
        <w:t>C</w:t>
      </w:r>
      <w:r w:rsidRPr="00DA5E1F">
        <w:rPr>
          <w:color w:val="E36C0A" w:themeColor="accent6" w:themeShade="BF"/>
          <w:sz w:val="40"/>
          <w:szCs w:val="40"/>
        </w:rPr>
        <w:t>ontents</w:t>
      </w:r>
      <w:r w:rsidR="00672972" w:rsidRPr="00DA5E1F">
        <w:rPr>
          <w:color w:val="E36C0A" w:themeColor="accent6" w:themeShade="BF"/>
          <w:sz w:val="40"/>
          <w:szCs w:val="40"/>
        </w:rPr>
        <w:t xml:space="preserve"> </w:t>
      </w:r>
    </w:p>
    <w:p w14:paraId="5E83C545" w14:textId="77777777" w:rsidR="00672972" w:rsidRPr="00672972" w:rsidRDefault="00672972" w:rsidP="00981CDE">
      <w:pPr>
        <w:pBdr>
          <w:bottom w:val="single" w:sz="12" w:space="1" w:color="auto"/>
        </w:pBdr>
        <w:rPr>
          <w:color w:val="E36C0A" w:themeColor="accent6" w:themeShade="BF"/>
          <w:sz w:val="12"/>
          <w:szCs w:val="12"/>
        </w:rPr>
      </w:pPr>
    </w:p>
    <w:p w14:paraId="75C22ABA" w14:textId="468C8E4A" w:rsidR="00981CDE" w:rsidRPr="00672972" w:rsidRDefault="00981CDE" w:rsidP="00981CDE">
      <w:pPr>
        <w:pStyle w:val="Probity1"/>
        <w:numPr>
          <w:ilvl w:val="0"/>
          <w:numId w:val="0"/>
        </w:numPr>
        <w:rPr>
          <w:color w:val="auto"/>
          <w:sz w:val="16"/>
          <w:szCs w:val="16"/>
        </w:rPr>
      </w:pPr>
      <w:bookmarkStart w:id="0" w:name="_Toc63796801"/>
      <w:bookmarkStart w:id="1" w:name="_Toc63796984"/>
      <w:bookmarkStart w:id="2" w:name="_Toc64809196"/>
      <w:bookmarkStart w:id="3" w:name="_Toc64812402"/>
      <w:bookmarkStart w:id="4" w:name="_Toc64815905"/>
      <w:bookmarkStart w:id="5" w:name="_Toc67179341"/>
      <w:bookmarkStart w:id="6" w:name="_Toc67179449"/>
      <w:bookmarkStart w:id="7" w:name="_Toc67229641"/>
      <w:bookmarkStart w:id="8" w:name="_Toc84531661"/>
      <w:bookmarkStart w:id="9" w:name="_Toc84531696"/>
      <w:bookmarkStart w:id="10" w:name="_Toc85156254"/>
      <w:bookmarkStart w:id="11" w:name="_Toc86250379"/>
      <w:bookmarkStart w:id="12" w:name="_Toc87368770"/>
      <w:bookmarkStart w:id="13" w:name="_Toc89876915"/>
      <w:bookmarkStart w:id="14" w:name="_Toc96550981"/>
      <w:bookmarkStart w:id="15" w:name="_Toc100520811"/>
      <w:bookmarkStart w:id="16" w:name="_Toc100611256"/>
      <w:bookmarkStart w:id="17" w:name="_Toc100624368"/>
      <w:bookmarkStart w:id="18" w:name="_Toc100624425"/>
      <w:bookmarkStart w:id="19" w:name="_Toc104564887"/>
      <w:bookmarkStart w:id="20" w:name="_Toc106699213"/>
      <w:bookmarkStart w:id="21" w:name="_Toc118296309"/>
      <w:bookmarkStart w:id="22" w:name="_Toc125993197"/>
      <w:bookmarkStart w:id="23" w:name="_Toc126059310"/>
      <w:bookmarkStart w:id="24" w:name="_Toc126074132"/>
      <w:bookmarkStart w:id="25" w:name="_Toc126181919"/>
      <w:bookmarkStart w:id="26" w:name="_Toc130302264"/>
      <w:bookmarkStart w:id="27" w:name="_Toc130302342"/>
      <w:bookmarkStart w:id="28" w:name="_Toc130544066"/>
      <w:bookmarkStart w:id="29" w:name="_Toc131410563"/>
      <w:bookmarkStart w:id="30" w:name="_Toc131411827"/>
      <w:bookmarkStart w:id="31" w:name="_Toc131412177"/>
      <w:bookmarkStart w:id="32" w:name="_Toc136952194"/>
      <w:bookmarkStart w:id="33" w:name="_Toc136952691"/>
      <w:bookmarkStart w:id="34" w:name="_Toc136953261"/>
      <w:bookmarkStart w:id="35" w:name="_Toc136965473"/>
      <w:bookmarkStart w:id="36" w:name="_Toc136970005"/>
      <w:bookmarkStart w:id="37" w:name="_Toc136978564"/>
      <w:bookmarkStart w:id="38" w:name="_Toc136989086"/>
      <w:bookmarkStart w:id="39" w:name="_Toc136989868"/>
      <w:bookmarkStart w:id="40" w:name="_Toc136994633"/>
      <w:bookmarkStart w:id="41" w:name="_Toc137034878"/>
      <w:bookmarkStart w:id="42" w:name="_Toc137035260"/>
      <w:bookmarkStart w:id="43" w:name="_Toc137044915"/>
      <w:bookmarkStart w:id="44" w:name="_Toc137045171"/>
      <w:bookmarkStart w:id="45" w:name="_Toc137071704"/>
      <w:bookmarkStart w:id="46" w:name="_Toc137071857"/>
      <w:bookmarkStart w:id="47" w:name="_Toc137077240"/>
      <w:bookmarkStart w:id="48" w:name="_Toc137109531"/>
      <w:bookmarkStart w:id="49" w:name="_Toc137115959"/>
      <w:bookmarkStart w:id="50" w:name="_Toc137116999"/>
      <w:bookmarkStart w:id="51" w:name="_Toc137141489"/>
      <w:bookmarkStart w:id="52" w:name="_Toc151587385"/>
      <w:r>
        <w:rPr>
          <w:color w:val="auto"/>
        </w:rPr>
        <w:softHyphen/>
      </w:r>
      <w:r>
        <w:rPr>
          <w:color w:val="auto"/>
        </w:rPr>
        <w:softHyphen/>
      </w:r>
      <w:r>
        <w:rPr>
          <w:color w:val="auto"/>
        </w:rPr>
        <w:softHyphen/>
      </w:r>
      <w:r>
        <w:rPr>
          <w:color w:val="auto"/>
        </w:rPr>
        <w:softHyphen/>
      </w:r>
      <w:r>
        <w:rPr>
          <w:color w:val="auto"/>
        </w:rPr>
        <w:softHyphen/>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3CA8BBF3" w14:textId="475F4B2F" w:rsidR="004E331D" w:rsidRDefault="00E37094">
      <w:pPr>
        <w:pStyle w:val="TOC1"/>
        <w:rPr>
          <w:rFonts w:asciiTheme="minorHAnsi" w:eastAsiaTheme="minorEastAsia" w:hAnsiTheme="minorHAnsi" w:cstheme="minorBidi"/>
          <w:b w:val="0"/>
          <w:noProof/>
          <w:szCs w:val="22"/>
        </w:rPr>
      </w:pPr>
      <w:r>
        <w:rPr>
          <w:b w:val="0"/>
        </w:rPr>
        <w:fldChar w:fldCharType="begin"/>
      </w:r>
      <w:r>
        <w:rPr>
          <w:b w:val="0"/>
        </w:rPr>
        <w:instrText xml:space="preserve"> TOC \t "Probity1,1" </w:instrText>
      </w:r>
      <w:r>
        <w:rPr>
          <w:b w:val="0"/>
        </w:rPr>
        <w:fldChar w:fldCharType="separate"/>
      </w:r>
      <w:r w:rsidR="004E331D">
        <w:rPr>
          <w:noProof/>
        </w:rPr>
        <w:t>1</w:t>
      </w:r>
      <w:r w:rsidR="004E331D">
        <w:rPr>
          <w:rFonts w:asciiTheme="minorHAnsi" w:eastAsiaTheme="minorEastAsia" w:hAnsiTheme="minorHAnsi" w:cstheme="minorBidi"/>
          <w:b w:val="0"/>
          <w:noProof/>
          <w:szCs w:val="22"/>
        </w:rPr>
        <w:tab/>
      </w:r>
      <w:r w:rsidR="004E331D">
        <w:rPr>
          <w:noProof/>
        </w:rPr>
        <w:t>Executive Summary</w:t>
      </w:r>
      <w:r w:rsidR="004E331D">
        <w:rPr>
          <w:noProof/>
        </w:rPr>
        <w:tab/>
      </w:r>
      <w:r w:rsidR="004E331D">
        <w:rPr>
          <w:noProof/>
        </w:rPr>
        <w:fldChar w:fldCharType="begin"/>
      </w:r>
      <w:r w:rsidR="004E331D">
        <w:rPr>
          <w:noProof/>
        </w:rPr>
        <w:instrText xml:space="preserve"> PAGEREF _Toc151587386 \h </w:instrText>
      </w:r>
      <w:r w:rsidR="004E331D">
        <w:rPr>
          <w:noProof/>
        </w:rPr>
      </w:r>
      <w:r w:rsidR="004E331D">
        <w:rPr>
          <w:noProof/>
        </w:rPr>
        <w:fldChar w:fldCharType="separate"/>
      </w:r>
      <w:r w:rsidR="004E331D">
        <w:rPr>
          <w:noProof/>
        </w:rPr>
        <w:t>3</w:t>
      </w:r>
      <w:r w:rsidR="004E331D">
        <w:rPr>
          <w:noProof/>
        </w:rPr>
        <w:fldChar w:fldCharType="end"/>
      </w:r>
    </w:p>
    <w:p w14:paraId="303F2F5F" w14:textId="2FA0E478" w:rsidR="004E331D" w:rsidRDefault="004E331D">
      <w:pPr>
        <w:pStyle w:val="TOC1"/>
        <w:rPr>
          <w:rFonts w:asciiTheme="minorHAnsi" w:eastAsiaTheme="minorEastAsia" w:hAnsiTheme="minorHAnsi" w:cstheme="minorBidi"/>
          <w:b w:val="0"/>
          <w:noProof/>
          <w:szCs w:val="22"/>
        </w:rPr>
      </w:pPr>
      <w:r>
        <w:rPr>
          <w:noProof/>
        </w:rPr>
        <w:t>2</w:t>
      </w:r>
      <w:r>
        <w:rPr>
          <w:rFonts w:asciiTheme="minorHAnsi" w:eastAsiaTheme="minorEastAsia" w:hAnsiTheme="minorHAnsi" w:cstheme="minorBidi"/>
          <w:b w:val="0"/>
          <w:noProof/>
          <w:szCs w:val="22"/>
        </w:rPr>
        <w:tab/>
      </w:r>
      <w:r>
        <w:rPr>
          <w:noProof/>
        </w:rPr>
        <w:t>Background and rationale for the Project</w:t>
      </w:r>
      <w:r>
        <w:rPr>
          <w:noProof/>
        </w:rPr>
        <w:tab/>
      </w:r>
      <w:r>
        <w:rPr>
          <w:noProof/>
        </w:rPr>
        <w:fldChar w:fldCharType="begin"/>
      </w:r>
      <w:r>
        <w:rPr>
          <w:noProof/>
        </w:rPr>
        <w:instrText xml:space="preserve"> PAGEREF _Toc151587387 \h </w:instrText>
      </w:r>
      <w:r>
        <w:rPr>
          <w:noProof/>
        </w:rPr>
      </w:r>
      <w:r>
        <w:rPr>
          <w:noProof/>
        </w:rPr>
        <w:fldChar w:fldCharType="separate"/>
      </w:r>
      <w:r>
        <w:rPr>
          <w:noProof/>
        </w:rPr>
        <w:t>4</w:t>
      </w:r>
      <w:r>
        <w:rPr>
          <w:noProof/>
        </w:rPr>
        <w:fldChar w:fldCharType="end"/>
      </w:r>
    </w:p>
    <w:p w14:paraId="03091E0A" w14:textId="6614C943" w:rsidR="004E331D" w:rsidRDefault="004E331D">
      <w:pPr>
        <w:pStyle w:val="TOC1"/>
        <w:rPr>
          <w:rFonts w:asciiTheme="minorHAnsi" w:eastAsiaTheme="minorEastAsia" w:hAnsiTheme="minorHAnsi" w:cstheme="minorBidi"/>
          <w:b w:val="0"/>
          <w:noProof/>
          <w:szCs w:val="22"/>
        </w:rPr>
      </w:pPr>
      <w:r>
        <w:rPr>
          <w:noProof/>
        </w:rPr>
        <w:t>3</w:t>
      </w:r>
      <w:r>
        <w:rPr>
          <w:rFonts w:asciiTheme="minorHAnsi" w:eastAsiaTheme="minorEastAsia" w:hAnsiTheme="minorHAnsi" w:cstheme="minorBidi"/>
          <w:b w:val="0"/>
          <w:noProof/>
          <w:szCs w:val="22"/>
        </w:rPr>
        <w:tab/>
      </w:r>
      <w:r>
        <w:rPr>
          <w:noProof/>
        </w:rPr>
        <w:t>Findings and Recommendations</w:t>
      </w:r>
      <w:r>
        <w:rPr>
          <w:noProof/>
        </w:rPr>
        <w:tab/>
      </w:r>
      <w:r>
        <w:rPr>
          <w:noProof/>
        </w:rPr>
        <w:fldChar w:fldCharType="begin"/>
      </w:r>
      <w:r>
        <w:rPr>
          <w:noProof/>
        </w:rPr>
        <w:instrText xml:space="preserve"> PAGEREF _Toc151587388 \h </w:instrText>
      </w:r>
      <w:r>
        <w:rPr>
          <w:noProof/>
        </w:rPr>
      </w:r>
      <w:r>
        <w:rPr>
          <w:noProof/>
        </w:rPr>
        <w:fldChar w:fldCharType="separate"/>
      </w:r>
      <w:r>
        <w:rPr>
          <w:noProof/>
        </w:rPr>
        <w:t>8</w:t>
      </w:r>
      <w:r>
        <w:rPr>
          <w:noProof/>
        </w:rPr>
        <w:fldChar w:fldCharType="end"/>
      </w:r>
    </w:p>
    <w:p w14:paraId="0FD226E6" w14:textId="389DE136" w:rsidR="004E331D" w:rsidRDefault="004E331D">
      <w:pPr>
        <w:pStyle w:val="TOC1"/>
        <w:rPr>
          <w:rFonts w:asciiTheme="minorHAnsi" w:eastAsiaTheme="minorEastAsia" w:hAnsiTheme="minorHAnsi" w:cstheme="minorBidi"/>
          <w:b w:val="0"/>
          <w:noProof/>
          <w:szCs w:val="22"/>
        </w:rPr>
      </w:pPr>
      <w:r>
        <w:rPr>
          <w:noProof/>
        </w:rPr>
        <w:t>4</w:t>
      </w:r>
      <w:r>
        <w:rPr>
          <w:rFonts w:asciiTheme="minorHAnsi" w:eastAsiaTheme="minorEastAsia" w:hAnsiTheme="minorHAnsi" w:cstheme="minorBidi"/>
          <w:b w:val="0"/>
          <w:noProof/>
          <w:szCs w:val="22"/>
        </w:rPr>
        <w:tab/>
      </w:r>
      <w:r>
        <w:rPr>
          <w:noProof/>
        </w:rPr>
        <w:t>Key issues raised in response to consultation</w:t>
      </w:r>
      <w:r>
        <w:rPr>
          <w:noProof/>
        </w:rPr>
        <w:tab/>
      </w:r>
      <w:r>
        <w:rPr>
          <w:noProof/>
        </w:rPr>
        <w:fldChar w:fldCharType="begin"/>
      </w:r>
      <w:r>
        <w:rPr>
          <w:noProof/>
        </w:rPr>
        <w:instrText xml:space="preserve"> PAGEREF _Toc151587389 \h </w:instrText>
      </w:r>
      <w:r>
        <w:rPr>
          <w:noProof/>
        </w:rPr>
      </w:r>
      <w:r>
        <w:rPr>
          <w:noProof/>
        </w:rPr>
        <w:fldChar w:fldCharType="separate"/>
      </w:r>
      <w:r>
        <w:rPr>
          <w:noProof/>
        </w:rPr>
        <w:t>10</w:t>
      </w:r>
      <w:r>
        <w:rPr>
          <w:noProof/>
        </w:rPr>
        <w:fldChar w:fldCharType="end"/>
      </w:r>
    </w:p>
    <w:p w14:paraId="0C2B010E" w14:textId="264FB213" w:rsidR="004E331D" w:rsidRDefault="004E331D">
      <w:pPr>
        <w:pStyle w:val="TOC1"/>
        <w:rPr>
          <w:rFonts w:asciiTheme="minorHAnsi" w:eastAsiaTheme="minorEastAsia" w:hAnsiTheme="minorHAnsi" w:cstheme="minorBidi"/>
          <w:b w:val="0"/>
          <w:noProof/>
          <w:szCs w:val="22"/>
        </w:rPr>
      </w:pPr>
      <w:r>
        <w:rPr>
          <w:noProof/>
        </w:rPr>
        <w:t>5</w:t>
      </w:r>
      <w:r>
        <w:rPr>
          <w:rFonts w:asciiTheme="minorHAnsi" w:eastAsiaTheme="minorEastAsia" w:hAnsiTheme="minorHAnsi" w:cstheme="minorBidi"/>
          <w:b w:val="0"/>
          <w:noProof/>
          <w:szCs w:val="22"/>
        </w:rPr>
        <w:tab/>
      </w:r>
      <w:r>
        <w:rPr>
          <w:noProof/>
        </w:rPr>
        <w:t>Analysis of privacy impacts and risks</w:t>
      </w:r>
      <w:r>
        <w:rPr>
          <w:noProof/>
        </w:rPr>
        <w:tab/>
      </w:r>
      <w:r w:rsidR="00354299">
        <w:rPr>
          <w:noProof/>
        </w:rPr>
        <w:t>18</w:t>
      </w:r>
    </w:p>
    <w:p w14:paraId="68D422BE" w14:textId="5FAD6319" w:rsidR="004E331D" w:rsidRDefault="004E331D">
      <w:pPr>
        <w:pStyle w:val="TOC1"/>
        <w:rPr>
          <w:rFonts w:asciiTheme="minorHAnsi" w:eastAsiaTheme="minorEastAsia" w:hAnsiTheme="minorHAnsi" w:cstheme="minorBidi"/>
          <w:b w:val="0"/>
          <w:noProof/>
          <w:szCs w:val="22"/>
        </w:rPr>
      </w:pPr>
      <w:r>
        <w:rPr>
          <w:noProof/>
        </w:rPr>
        <w:t>6</w:t>
      </w:r>
      <w:r>
        <w:rPr>
          <w:rFonts w:asciiTheme="minorHAnsi" w:eastAsiaTheme="minorEastAsia" w:hAnsiTheme="minorHAnsi" w:cstheme="minorBidi"/>
          <w:b w:val="0"/>
          <w:noProof/>
          <w:szCs w:val="22"/>
        </w:rPr>
        <w:tab/>
      </w:r>
      <w:r>
        <w:rPr>
          <w:noProof/>
        </w:rPr>
        <w:t>Overall Analysis</w:t>
      </w:r>
      <w:r>
        <w:rPr>
          <w:noProof/>
        </w:rPr>
        <w:tab/>
      </w:r>
      <w:r w:rsidR="00354299">
        <w:rPr>
          <w:noProof/>
        </w:rPr>
        <w:t>30</w:t>
      </w:r>
    </w:p>
    <w:p w14:paraId="2D45B6C1" w14:textId="5B303264" w:rsidR="004E331D" w:rsidRDefault="004E331D">
      <w:pPr>
        <w:pStyle w:val="TOC1"/>
        <w:rPr>
          <w:rFonts w:asciiTheme="minorHAnsi" w:eastAsiaTheme="minorEastAsia" w:hAnsiTheme="minorHAnsi" w:cstheme="minorBidi"/>
          <w:b w:val="0"/>
          <w:noProof/>
          <w:szCs w:val="22"/>
        </w:rPr>
      </w:pPr>
      <w:r>
        <w:rPr>
          <w:noProof/>
        </w:rPr>
        <w:t>7</w:t>
      </w:r>
      <w:r>
        <w:rPr>
          <w:rFonts w:asciiTheme="minorHAnsi" w:eastAsiaTheme="minorEastAsia" w:hAnsiTheme="minorHAnsi" w:cstheme="minorBidi"/>
          <w:b w:val="0"/>
          <w:noProof/>
          <w:szCs w:val="22"/>
        </w:rPr>
        <w:tab/>
      </w:r>
      <w:r>
        <w:rPr>
          <w:noProof/>
        </w:rPr>
        <w:t>Next Steps</w:t>
      </w:r>
      <w:r>
        <w:rPr>
          <w:noProof/>
        </w:rPr>
        <w:tab/>
      </w:r>
      <w:r w:rsidR="00354299">
        <w:rPr>
          <w:noProof/>
        </w:rPr>
        <w:t>30</w:t>
      </w:r>
    </w:p>
    <w:p w14:paraId="6680DAE2" w14:textId="4FE06761" w:rsidR="004E331D" w:rsidRDefault="004E331D">
      <w:pPr>
        <w:pStyle w:val="TOC1"/>
        <w:tabs>
          <w:tab w:val="left" w:pos="2160"/>
        </w:tabs>
        <w:rPr>
          <w:rFonts w:asciiTheme="minorHAnsi" w:eastAsiaTheme="minorEastAsia" w:hAnsiTheme="minorHAnsi" w:cstheme="minorBidi"/>
          <w:b w:val="0"/>
          <w:noProof/>
          <w:szCs w:val="22"/>
        </w:rPr>
      </w:pPr>
      <w:r>
        <w:rPr>
          <w:noProof/>
        </w:rPr>
        <w:t xml:space="preserve">Attachment A </w:t>
      </w:r>
      <w:r>
        <w:rPr>
          <w:rFonts w:asciiTheme="minorHAnsi" w:eastAsiaTheme="minorEastAsia" w:hAnsiTheme="minorHAnsi" w:cstheme="minorBidi"/>
          <w:b w:val="0"/>
          <w:noProof/>
          <w:szCs w:val="22"/>
        </w:rPr>
        <w:tab/>
      </w:r>
      <w:r>
        <w:rPr>
          <w:noProof/>
        </w:rPr>
        <w:t>Glossary</w:t>
      </w:r>
      <w:r>
        <w:rPr>
          <w:noProof/>
        </w:rPr>
        <w:tab/>
      </w:r>
      <w:r w:rsidR="00354299">
        <w:rPr>
          <w:noProof/>
        </w:rPr>
        <w:t>31</w:t>
      </w:r>
    </w:p>
    <w:p w14:paraId="6A089EA6" w14:textId="7E4B6B48" w:rsidR="00981CDE" w:rsidRDefault="00E37094" w:rsidP="00DF7993">
      <w:pPr>
        <w:pStyle w:val="TOC1"/>
        <w:ind w:left="0" w:firstLine="0"/>
        <w:sectPr w:rsidR="00981CDE" w:rsidSect="00CC7417">
          <w:headerReference w:type="even" r:id="rId14"/>
          <w:headerReference w:type="default" r:id="rId15"/>
          <w:headerReference w:type="first" r:id="rId16"/>
          <w:pgSz w:w="11906" w:h="16838"/>
          <w:pgMar w:top="1701" w:right="1440" w:bottom="1440" w:left="1440" w:header="567" w:footer="709" w:gutter="0"/>
          <w:cols w:space="708"/>
          <w:docGrid w:linePitch="360"/>
        </w:sectPr>
      </w:pPr>
      <w:r>
        <w:rPr>
          <w:b w:val="0"/>
        </w:rPr>
        <w:fldChar w:fldCharType="end"/>
      </w:r>
    </w:p>
    <w:p w14:paraId="67BB2A2F" w14:textId="672DECCA" w:rsidR="0064458B" w:rsidRPr="00894C99" w:rsidRDefault="00672FD6" w:rsidP="00672FD6">
      <w:pPr>
        <w:pStyle w:val="Probity1"/>
      </w:pPr>
      <w:bookmarkStart w:id="53" w:name="_Toc151587386"/>
      <w:r w:rsidRPr="00894C99">
        <w:t>Executive Summary</w:t>
      </w:r>
      <w:bookmarkEnd w:id="53"/>
    </w:p>
    <w:p w14:paraId="321BF419" w14:textId="340D9220" w:rsidR="00AB0BCD" w:rsidRPr="002B57FA" w:rsidRDefault="00685CBF" w:rsidP="00AB0BCD">
      <w:pPr>
        <w:pStyle w:val="Probity2"/>
      </w:pPr>
      <w:r>
        <w:t>This</w:t>
      </w:r>
      <w:r w:rsidR="00EF7EA6">
        <w:t xml:space="preserve"> supplementary</w:t>
      </w:r>
      <w:r>
        <w:t xml:space="preserve"> privacy impact assessment (</w:t>
      </w:r>
      <w:r w:rsidRPr="00AB0BCD">
        <w:rPr>
          <w:b/>
          <w:bCs/>
        </w:rPr>
        <w:t>PIA</w:t>
      </w:r>
      <w:r w:rsidRPr="00EA04C5">
        <w:t>)</w:t>
      </w:r>
      <w:r>
        <w:t xml:space="preserve"> considers</w:t>
      </w:r>
      <w:r w:rsidR="00861933">
        <w:t xml:space="preserve"> the impact </w:t>
      </w:r>
      <w:r w:rsidR="008E7466">
        <w:t>the</w:t>
      </w:r>
      <w:r w:rsidR="009668E4">
        <w:t xml:space="preserve"> </w:t>
      </w:r>
      <w:r w:rsidR="00095DEB">
        <w:t xml:space="preserve">Department of </w:t>
      </w:r>
      <w:r w:rsidR="000019EB">
        <w:t xml:space="preserve">the </w:t>
      </w:r>
      <w:r w:rsidR="00095DEB">
        <w:t>Treasury</w:t>
      </w:r>
      <w:r w:rsidR="00AB0BCD">
        <w:t>’s</w:t>
      </w:r>
      <w:r w:rsidR="004410A8">
        <w:t xml:space="preserve"> (</w:t>
      </w:r>
      <w:r w:rsidR="007F3389">
        <w:rPr>
          <w:b/>
          <w:bCs/>
        </w:rPr>
        <w:t>Treasury</w:t>
      </w:r>
      <w:r w:rsidR="004410A8">
        <w:t>)</w:t>
      </w:r>
      <w:r w:rsidR="008E7466">
        <w:t xml:space="preserve"> </w:t>
      </w:r>
      <w:r w:rsidR="00095DEB">
        <w:t>rollout</w:t>
      </w:r>
      <w:r w:rsidR="008E7466">
        <w:t xml:space="preserve"> </w:t>
      </w:r>
      <w:r w:rsidR="008E7466" w:rsidRPr="00AB0BCD">
        <w:rPr>
          <w:rFonts w:cs="Arial"/>
        </w:rPr>
        <w:t>of</w:t>
      </w:r>
      <w:r w:rsidR="00095DEB">
        <w:rPr>
          <w:rFonts w:cs="Arial"/>
        </w:rPr>
        <w:t xml:space="preserve"> the Consumer Data Right </w:t>
      </w:r>
      <w:r w:rsidR="00095DEB" w:rsidRPr="00095DEB">
        <w:rPr>
          <w:rFonts w:cs="Arial"/>
        </w:rPr>
        <w:t>(</w:t>
      </w:r>
      <w:r w:rsidR="00095DEB">
        <w:rPr>
          <w:rFonts w:cs="Arial"/>
          <w:b/>
          <w:bCs/>
        </w:rPr>
        <w:t>CDR</w:t>
      </w:r>
      <w:r w:rsidR="00095DEB">
        <w:rPr>
          <w:rFonts w:cs="Arial"/>
        </w:rPr>
        <w:t>) to the non-bank lending (</w:t>
      </w:r>
      <w:r w:rsidR="00095DEB">
        <w:rPr>
          <w:rFonts w:cs="Arial"/>
          <w:b/>
          <w:bCs/>
        </w:rPr>
        <w:t>NBL</w:t>
      </w:r>
      <w:r w:rsidR="00095DEB">
        <w:rPr>
          <w:rFonts w:cs="Arial"/>
        </w:rPr>
        <w:t xml:space="preserve">) sector (the </w:t>
      </w:r>
      <w:r w:rsidR="00095DEB">
        <w:rPr>
          <w:rFonts w:cs="Arial"/>
          <w:b/>
          <w:bCs/>
        </w:rPr>
        <w:t>Project</w:t>
      </w:r>
      <w:r w:rsidR="00095DEB">
        <w:rPr>
          <w:rFonts w:cs="Arial"/>
        </w:rPr>
        <w:t>)</w:t>
      </w:r>
      <w:r w:rsidR="00861933">
        <w:rPr>
          <w:rFonts w:cs="Arial"/>
        </w:rPr>
        <w:t xml:space="preserve"> will have</w:t>
      </w:r>
      <w:r w:rsidR="000E0160">
        <w:rPr>
          <w:rFonts w:cs="Arial"/>
        </w:rPr>
        <w:t xml:space="preserve"> on individuals’ privacy</w:t>
      </w:r>
      <w:r w:rsidR="00095DEB">
        <w:rPr>
          <w:rFonts w:cs="Arial"/>
        </w:rPr>
        <w:t>.</w:t>
      </w:r>
    </w:p>
    <w:p w14:paraId="53E06727" w14:textId="21AB7BC0" w:rsidR="002B57FA" w:rsidRPr="00B85B39" w:rsidRDefault="002B57FA" w:rsidP="00AB0BCD">
      <w:pPr>
        <w:pStyle w:val="Probity2"/>
      </w:pPr>
      <w:r>
        <w:rPr>
          <w:rFonts w:cs="Arial"/>
        </w:rPr>
        <w:t xml:space="preserve">This </w:t>
      </w:r>
      <w:r w:rsidR="00EF7EA6">
        <w:rPr>
          <w:rFonts w:cs="Arial"/>
        </w:rPr>
        <w:t xml:space="preserve">supplementary </w:t>
      </w:r>
      <w:r>
        <w:rPr>
          <w:rFonts w:cs="Arial"/>
        </w:rPr>
        <w:t xml:space="preserve">PIA builds on the privacy analysis completed by the </w:t>
      </w:r>
      <w:r w:rsidR="00DF7993">
        <w:rPr>
          <w:rFonts w:cs="Arial"/>
        </w:rPr>
        <w:t>Treasury</w:t>
      </w:r>
      <w:r w:rsidR="00621629">
        <w:rPr>
          <w:rFonts w:cs="Arial"/>
        </w:rPr>
        <w:t xml:space="preserve"> </w:t>
      </w:r>
      <w:r>
        <w:rPr>
          <w:rFonts w:cs="Arial"/>
        </w:rPr>
        <w:t>to date</w:t>
      </w:r>
      <w:r w:rsidR="003E3540">
        <w:rPr>
          <w:rFonts w:cs="Arial"/>
        </w:rPr>
        <w:t xml:space="preserve"> in respect of the CDR</w:t>
      </w:r>
      <w:r>
        <w:rPr>
          <w:rFonts w:cs="Arial"/>
        </w:rPr>
        <w:t>.</w:t>
      </w:r>
      <w:r w:rsidR="00BD7A04">
        <w:rPr>
          <w:rStyle w:val="FootnoteReference"/>
          <w:rFonts w:cs="Arial"/>
        </w:rPr>
        <w:footnoteReference w:id="2"/>
      </w:r>
      <w:r>
        <w:rPr>
          <w:rFonts w:cs="Arial"/>
        </w:rPr>
        <w:t xml:space="preserve"> This </w:t>
      </w:r>
      <w:r w:rsidR="00EF7EA6">
        <w:rPr>
          <w:rFonts w:cs="Arial"/>
        </w:rPr>
        <w:t xml:space="preserve">supplementary </w:t>
      </w:r>
      <w:r>
        <w:rPr>
          <w:rFonts w:cs="Arial"/>
        </w:rPr>
        <w:t xml:space="preserve">PIA only considers risks </w:t>
      </w:r>
      <w:r w:rsidR="00B3747B">
        <w:rPr>
          <w:rFonts w:cs="Arial"/>
        </w:rPr>
        <w:t>specific to the non-bank lending sector</w:t>
      </w:r>
      <w:r>
        <w:rPr>
          <w:rFonts w:cs="Arial"/>
        </w:rPr>
        <w:t xml:space="preserve"> not analysed in previous PIAs undertaken by the </w:t>
      </w:r>
      <w:r w:rsidR="00DF7993">
        <w:rPr>
          <w:rFonts w:cs="Arial"/>
        </w:rPr>
        <w:t>Treasury</w:t>
      </w:r>
      <w:r>
        <w:rPr>
          <w:rFonts w:cs="Arial"/>
        </w:rPr>
        <w:t>.</w:t>
      </w:r>
    </w:p>
    <w:p w14:paraId="561221CA" w14:textId="77777777" w:rsidR="005568A0" w:rsidRPr="005568A0" w:rsidRDefault="003E3540">
      <w:pPr>
        <w:pStyle w:val="Probity2"/>
      </w:pPr>
      <w:r w:rsidRPr="003E3540">
        <w:rPr>
          <w:rFonts w:cs="Arial"/>
        </w:rPr>
        <w:t>This supplementary PIA is specifically focused on privacy risks identified</w:t>
      </w:r>
      <w:r w:rsidR="005568A0">
        <w:rPr>
          <w:rFonts w:cs="Arial"/>
        </w:rPr>
        <w:t>:</w:t>
      </w:r>
    </w:p>
    <w:p w14:paraId="581571FA" w14:textId="0CEFA302" w:rsidR="005568A0" w:rsidRDefault="003E3540" w:rsidP="005568A0">
      <w:pPr>
        <w:pStyle w:val="Probity3"/>
      </w:pPr>
      <w:r w:rsidRPr="003E3540">
        <w:rPr>
          <w:rFonts w:cs="Arial"/>
        </w:rPr>
        <w:t xml:space="preserve">in response to consultation Treasury has </w:t>
      </w:r>
      <w:r w:rsidR="00110842">
        <w:rPr>
          <w:rFonts w:cs="Arial"/>
        </w:rPr>
        <w:t xml:space="preserve">undertaken in relation to </w:t>
      </w:r>
      <w:r w:rsidRPr="003E3540">
        <w:rPr>
          <w:rFonts w:cs="Arial"/>
        </w:rPr>
        <w:t xml:space="preserve">the </w:t>
      </w:r>
      <w:r w:rsidRPr="003E3540">
        <w:rPr>
          <w:i/>
          <w:iCs/>
        </w:rPr>
        <w:t>Consumer data right in non-bank lending CDR rules and data standards design paper</w:t>
      </w:r>
      <w:r>
        <w:t xml:space="preserve"> dated December 2022 (</w:t>
      </w:r>
      <w:r w:rsidRPr="003E3540">
        <w:rPr>
          <w:b/>
          <w:bCs/>
        </w:rPr>
        <w:t>NBL sector Design Paper</w:t>
      </w:r>
      <w:r>
        <w:t>)</w:t>
      </w:r>
      <w:r w:rsidR="003E4788">
        <w:rPr>
          <w:rStyle w:val="FootnoteReference"/>
        </w:rPr>
        <w:footnoteReference w:id="3"/>
      </w:r>
    </w:p>
    <w:p w14:paraId="6C478FF8" w14:textId="77777777" w:rsidR="00A77EAE" w:rsidRPr="00A77EAE" w:rsidRDefault="00A77EAE" w:rsidP="005568A0">
      <w:pPr>
        <w:pStyle w:val="Probity3"/>
      </w:pPr>
      <w:r>
        <w:t xml:space="preserve">our review of the </w:t>
      </w:r>
      <w:r w:rsidRPr="005A6CB4">
        <w:rPr>
          <w:rFonts w:cs="Arial"/>
          <w:i/>
          <w:iCs/>
        </w:rPr>
        <w:t>Competition and Consumer</w:t>
      </w:r>
      <w:r>
        <w:rPr>
          <w:rFonts w:cs="Arial"/>
          <w:i/>
          <w:iCs/>
        </w:rPr>
        <w:t xml:space="preserve"> </w:t>
      </w:r>
      <w:r>
        <w:rPr>
          <w:i/>
          <w:iCs/>
        </w:rPr>
        <w:t xml:space="preserve">(Consumer Data Right) Amendment Rules (No 2) 2023 </w:t>
      </w:r>
      <w:r w:rsidRPr="005A6CB4">
        <w:rPr>
          <w:rFonts w:cs="Arial"/>
        </w:rPr>
        <w:t>(</w:t>
      </w:r>
      <w:r w:rsidRPr="005A6CB4">
        <w:rPr>
          <w:rFonts w:cs="Arial"/>
          <w:b/>
          <w:bCs/>
        </w:rPr>
        <w:t>NBL CDR Rules</w:t>
      </w:r>
      <w:r w:rsidRPr="005A6CB4">
        <w:rPr>
          <w:rFonts w:cs="Arial"/>
        </w:rPr>
        <w:t>)</w:t>
      </w:r>
      <w:r>
        <w:rPr>
          <w:rFonts w:cs="Arial"/>
        </w:rPr>
        <w:t>,</w:t>
      </w:r>
      <w:r>
        <w:rPr>
          <w:rStyle w:val="FootnoteReference"/>
          <w:rFonts w:cs="Arial"/>
        </w:rPr>
        <w:footnoteReference w:id="4"/>
      </w:r>
      <w:r>
        <w:rPr>
          <w:rFonts w:cs="Arial"/>
        </w:rPr>
        <w:t xml:space="preserve"> and </w:t>
      </w:r>
    </w:p>
    <w:p w14:paraId="69FDE13D" w14:textId="0D0262BB" w:rsidR="003E3540" w:rsidRPr="00F02547" w:rsidRDefault="00A77EAE" w:rsidP="00A77EAE">
      <w:pPr>
        <w:pStyle w:val="Probity3"/>
      </w:pPr>
      <w:r>
        <w:rPr>
          <w:rFonts w:cs="Arial"/>
        </w:rPr>
        <w:t>in response to consultation Treasury has undertaken in respect to the NBL CDR Rules.</w:t>
      </w:r>
    </w:p>
    <w:p w14:paraId="33FDB61A" w14:textId="6DF0E271" w:rsidR="00F02547" w:rsidRPr="00F02547" w:rsidRDefault="004E331D">
      <w:pPr>
        <w:pStyle w:val="Probity2"/>
      </w:pPr>
      <w:r>
        <w:rPr>
          <w:rFonts w:cs="Arial"/>
        </w:rPr>
        <w:t>W</w:t>
      </w:r>
      <w:r w:rsidR="00F02547">
        <w:rPr>
          <w:rFonts w:cs="Arial"/>
        </w:rPr>
        <w:t xml:space="preserve">e consider the proposed amendment to the CDR to include the NBL sector </w:t>
      </w:r>
      <w:r w:rsidR="00F94507">
        <w:rPr>
          <w:rFonts w:cs="Arial"/>
        </w:rPr>
        <w:t>provide</w:t>
      </w:r>
      <w:r w:rsidR="00AB42F2">
        <w:rPr>
          <w:rFonts w:cs="Arial"/>
        </w:rPr>
        <w:t>s</w:t>
      </w:r>
      <w:r w:rsidR="00F94507">
        <w:rPr>
          <w:rFonts w:cs="Arial"/>
        </w:rPr>
        <w:t xml:space="preserve"> appropriate safeguards in respect to the handling of personal information of individuals who are NBL sector </w:t>
      </w:r>
      <w:r w:rsidR="00F04598">
        <w:rPr>
          <w:rFonts w:cs="Arial"/>
        </w:rPr>
        <w:t>consumers</w:t>
      </w:r>
      <w:r w:rsidR="00F02547">
        <w:rPr>
          <w:rFonts w:cs="Arial"/>
        </w:rPr>
        <w:t>.</w:t>
      </w:r>
    </w:p>
    <w:p w14:paraId="1FA7CA5D" w14:textId="77777777" w:rsidR="007177BF" w:rsidRPr="007177BF" w:rsidRDefault="00F02547">
      <w:pPr>
        <w:pStyle w:val="Probity2"/>
      </w:pPr>
      <w:r>
        <w:rPr>
          <w:rFonts w:cs="Arial"/>
        </w:rPr>
        <w:t xml:space="preserve">However, the inclusion of the NBL sector into the CDR does give rise to some unique privacy risks and it is these risks which are considered in this supplementary PIA and </w:t>
      </w:r>
      <w:r w:rsidR="007177BF">
        <w:rPr>
          <w:rFonts w:cs="Arial"/>
        </w:rPr>
        <w:t xml:space="preserve">form </w:t>
      </w:r>
      <w:r>
        <w:rPr>
          <w:rFonts w:cs="Arial"/>
        </w:rPr>
        <w:t xml:space="preserve">the basis for our recommendations in Part </w:t>
      </w:r>
      <w:r>
        <w:rPr>
          <w:rFonts w:cs="Arial"/>
        </w:rPr>
        <w:fldChar w:fldCharType="begin"/>
      </w:r>
      <w:r>
        <w:rPr>
          <w:rFonts w:cs="Arial"/>
        </w:rPr>
        <w:instrText xml:space="preserve"> REF _Ref137122914 \r \h </w:instrText>
      </w:r>
      <w:r>
        <w:rPr>
          <w:rFonts w:cs="Arial"/>
        </w:rPr>
      </w:r>
      <w:r>
        <w:rPr>
          <w:rFonts w:cs="Arial"/>
        </w:rPr>
        <w:fldChar w:fldCharType="separate"/>
      </w:r>
      <w:r>
        <w:rPr>
          <w:rFonts w:cs="Arial"/>
        </w:rPr>
        <w:t>3</w:t>
      </w:r>
      <w:r>
        <w:rPr>
          <w:rFonts w:cs="Arial"/>
        </w:rPr>
        <w:fldChar w:fldCharType="end"/>
      </w:r>
      <w:r>
        <w:rPr>
          <w:rFonts w:cs="Arial"/>
        </w:rPr>
        <w:t>.</w:t>
      </w:r>
      <w:r w:rsidR="00110842">
        <w:rPr>
          <w:rFonts w:cs="Arial"/>
        </w:rPr>
        <w:t xml:space="preserve">  </w:t>
      </w:r>
    </w:p>
    <w:p w14:paraId="190FC228" w14:textId="0A1FF11C" w:rsidR="00893637" w:rsidRPr="00893637" w:rsidRDefault="00893637" w:rsidP="00893637">
      <w:pPr>
        <w:pStyle w:val="Probity2"/>
        <w:rPr>
          <w:rFonts w:cs="Arial"/>
        </w:rPr>
      </w:pPr>
      <w:r w:rsidRPr="00893637">
        <w:rPr>
          <w:rFonts w:cs="Arial"/>
        </w:rPr>
        <w:t xml:space="preserve">Subject to the Treasury’s consideration of our </w:t>
      </w:r>
      <w:r w:rsidR="00F94507">
        <w:rPr>
          <w:rFonts w:cs="Arial"/>
        </w:rPr>
        <w:t xml:space="preserve">observations and the </w:t>
      </w:r>
      <w:r w:rsidRPr="00893637">
        <w:rPr>
          <w:rFonts w:cs="Arial"/>
        </w:rPr>
        <w:t xml:space="preserve">recommendations </w:t>
      </w:r>
      <w:r w:rsidR="00F94507">
        <w:rPr>
          <w:rFonts w:cs="Arial"/>
        </w:rPr>
        <w:t xml:space="preserve">contained </w:t>
      </w:r>
      <w:r w:rsidRPr="00893637">
        <w:rPr>
          <w:rFonts w:cs="Arial"/>
        </w:rPr>
        <w:t xml:space="preserve">in this supplementary PIA, we </w:t>
      </w:r>
      <w:r w:rsidR="00F94507">
        <w:rPr>
          <w:rFonts w:cs="Arial"/>
        </w:rPr>
        <w:t xml:space="preserve">consider </w:t>
      </w:r>
      <w:r w:rsidRPr="00893637">
        <w:rPr>
          <w:rFonts w:cs="Arial"/>
        </w:rPr>
        <w:t xml:space="preserve">that the privacy risks associated with the Project can be effectively managed </w:t>
      </w:r>
      <w:r w:rsidR="00F94507">
        <w:rPr>
          <w:rFonts w:cs="Arial"/>
        </w:rPr>
        <w:t>such that the inclusion of the NBL sector in the CDR does not present a high privacy risk</w:t>
      </w:r>
      <w:r w:rsidR="00D43FC8">
        <w:rPr>
          <w:rFonts w:cs="Arial"/>
        </w:rPr>
        <w:t xml:space="preserve"> for customers</w:t>
      </w:r>
      <w:r w:rsidRPr="00893637">
        <w:rPr>
          <w:rFonts w:cs="Arial"/>
        </w:rPr>
        <w:t xml:space="preserve">.  </w:t>
      </w:r>
    </w:p>
    <w:p w14:paraId="770E0A28" w14:textId="44763137" w:rsidR="002B57FA" w:rsidRDefault="002B57FA">
      <w:pPr>
        <w:spacing w:before="0" w:after="200" w:line="276" w:lineRule="auto"/>
        <w:rPr>
          <w:color w:val="D95E00"/>
          <w:sz w:val="40"/>
          <w:szCs w:val="40"/>
        </w:rPr>
      </w:pPr>
      <w:r>
        <w:br w:type="page"/>
      </w:r>
    </w:p>
    <w:p w14:paraId="3E7F3672" w14:textId="292BCA39" w:rsidR="00445F5A" w:rsidRDefault="00445F5A" w:rsidP="00672FD6">
      <w:pPr>
        <w:pStyle w:val="Probity1"/>
      </w:pPr>
      <w:bookmarkStart w:id="54" w:name="_Toc151587387"/>
      <w:r>
        <w:t>Background</w:t>
      </w:r>
      <w:r w:rsidR="00D35119">
        <w:t xml:space="preserve"> and rationale for the Project</w:t>
      </w:r>
      <w:bookmarkEnd w:id="54"/>
    </w:p>
    <w:p w14:paraId="56BF3442" w14:textId="77777777" w:rsidR="00A8436A" w:rsidRPr="00A8436A" w:rsidRDefault="001469D1" w:rsidP="00A8436A">
      <w:pPr>
        <w:pStyle w:val="Probity2"/>
        <w:numPr>
          <w:ilvl w:val="0"/>
          <w:numId w:val="0"/>
        </w:numPr>
      </w:pPr>
      <w:r w:rsidRPr="001469D1">
        <w:rPr>
          <w:b/>
          <w:bCs/>
          <w:i/>
          <w:iCs/>
        </w:rPr>
        <w:t>(a)</w:t>
      </w:r>
      <w:r w:rsidRPr="001469D1">
        <w:rPr>
          <w:b/>
          <w:bCs/>
          <w:i/>
          <w:iCs/>
        </w:rPr>
        <w:tab/>
      </w:r>
      <w:bookmarkStart w:id="55" w:name="_Ref96554117"/>
      <w:bookmarkStart w:id="56" w:name="_Ref100610770"/>
      <w:r w:rsidR="00A8436A">
        <w:rPr>
          <w:b/>
          <w:bCs/>
          <w:i/>
          <w:iCs/>
        </w:rPr>
        <w:t xml:space="preserve">Overview </w:t>
      </w:r>
    </w:p>
    <w:p w14:paraId="28AE6B06" w14:textId="36EA4D0E" w:rsidR="00110842" w:rsidRDefault="00A8436A" w:rsidP="00A8436A">
      <w:pPr>
        <w:pStyle w:val="Probity2"/>
      </w:pPr>
      <w:r>
        <w:t xml:space="preserve">The purpose of this </w:t>
      </w:r>
      <w:r w:rsidR="008325D1">
        <w:t xml:space="preserve">supplementary </w:t>
      </w:r>
      <w:r>
        <w:t xml:space="preserve">PIA is to analyse the possible impacts on the privacy of individuals resulting from the </w:t>
      </w:r>
      <w:r w:rsidR="00110842">
        <w:t>inclusion of the NBL sector into the CDR.</w:t>
      </w:r>
      <w:r w:rsidR="001F5D5F">
        <w:t xml:space="preserve">  </w:t>
      </w:r>
    </w:p>
    <w:p w14:paraId="04C870EC" w14:textId="4D2C0954" w:rsidR="00110842" w:rsidRDefault="00110842" w:rsidP="00110842">
      <w:pPr>
        <w:pStyle w:val="Probity2"/>
      </w:pPr>
      <w:r>
        <w:rPr>
          <w:rFonts w:cs="Arial"/>
        </w:rPr>
        <w:t>This supplementary PIA builds on the privacy analysis completed by the Treasury to date in respect of the CDR,</w:t>
      </w:r>
      <w:r>
        <w:rPr>
          <w:rStyle w:val="FootnoteReference"/>
          <w:rFonts w:cs="Arial"/>
        </w:rPr>
        <w:footnoteReference w:id="5"/>
      </w:r>
      <w:r>
        <w:rPr>
          <w:rFonts w:cs="Arial"/>
        </w:rPr>
        <w:t xml:space="preserve"> including the </w:t>
      </w:r>
      <w:r>
        <w:t xml:space="preserve">PIA </w:t>
      </w:r>
      <w:r w:rsidR="001F5D5F">
        <w:t xml:space="preserve">undertaken to </w:t>
      </w:r>
      <w:r>
        <w:t xml:space="preserve">support the development of the </w:t>
      </w:r>
      <w:r w:rsidR="00D768CF">
        <w:rPr>
          <w:i/>
          <w:iCs/>
        </w:rPr>
        <w:t xml:space="preserve">Consumer data right: Non-bank lending sectoral assessment </w:t>
      </w:r>
      <w:r w:rsidR="00D768CF">
        <w:t>final report dated August 2022</w:t>
      </w:r>
      <w:r w:rsidR="00D768CF">
        <w:rPr>
          <w:rStyle w:val="FootnoteReference"/>
        </w:rPr>
        <w:footnoteReference w:id="6"/>
      </w:r>
      <w:r w:rsidR="001F5D5F" w:rsidRPr="004E331D">
        <w:t xml:space="preserve"> </w:t>
      </w:r>
      <w:r w:rsidR="00D768CF">
        <w:t>(</w:t>
      </w:r>
      <w:r w:rsidR="00D768CF">
        <w:rPr>
          <w:b/>
          <w:bCs/>
        </w:rPr>
        <w:t>NBL Sector Report</w:t>
      </w:r>
      <w:r w:rsidR="00D768CF">
        <w:t xml:space="preserve">) </w:t>
      </w:r>
      <w:r>
        <w:t xml:space="preserve">and </w:t>
      </w:r>
      <w:r w:rsidR="001F5D5F">
        <w:t xml:space="preserve">the </w:t>
      </w:r>
      <w:r>
        <w:t>consultation process</w:t>
      </w:r>
      <w:r w:rsidR="001F5D5F">
        <w:t xml:space="preserve"> </w:t>
      </w:r>
      <w:r w:rsidR="007177BF">
        <w:t xml:space="preserve">undertaken in respect to the NBL </w:t>
      </w:r>
      <w:r w:rsidR="001F5D5F" w:rsidRPr="001F5D5F">
        <w:t>sector Design Paper</w:t>
      </w:r>
      <w:r>
        <w:t>.</w:t>
      </w:r>
      <w:r w:rsidR="00D768CF">
        <w:rPr>
          <w:rStyle w:val="FootnoteReference"/>
        </w:rPr>
        <w:footnoteReference w:id="7"/>
      </w:r>
      <w:r w:rsidR="007177BF">
        <w:t xml:space="preserve">  We discuss the themes raised during that consultation process in Part</w:t>
      </w:r>
      <w:r w:rsidR="007E5561">
        <w:t> </w:t>
      </w:r>
      <w:r w:rsidR="007177BF">
        <w:fldChar w:fldCharType="begin"/>
      </w:r>
      <w:r w:rsidR="007177BF">
        <w:instrText xml:space="preserve"> REF _Ref136952642 \r \h </w:instrText>
      </w:r>
      <w:r w:rsidR="007177BF">
        <w:fldChar w:fldCharType="separate"/>
      </w:r>
      <w:r w:rsidR="007177BF">
        <w:t>4</w:t>
      </w:r>
      <w:r w:rsidR="007177BF">
        <w:fldChar w:fldCharType="end"/>
      </w:r>
      <w:r w:rsidR="007177BF">
        <w:t xml:space="preserve"> of this supplementary PIA</w:t>
      </w:r>
      <w:r w:rsidR="007E5561">
        <w:t>.</w:t>
      </w:r>
    </w:p>
    <w:p w14:paraId="487E35FD" w14:textId="28AB5D81" w:rsidR="003E4788" w:rsidRPr="003E4788" w:rsidRDefault="001F5D5F" w:rsidP="001F5D5F">
      <w:pPr>
        <w:pStyle w:val="Probity2"/>
      </w:pPr>
      <w:r w:rsidRPr="003E3540">
        <w:rPr>
          <w:rFonts w:cs="Arial"/>
        </w:rPr>
        <w:t>This supplementary PIA is specifically focused on privacy risks identified in response</w:t>
      </w:r>
      <w:r w:rsidR="003E4788">
        <w:rPr>
          <w:rFonts w:cs="Arial"/>
        </w:rPr>
        <w:t xml:space="preserve"> to:</w:t>
      </w:r>
    </w:p>
    <w:p w14:paraId="17118E7E" w14:textId="3A09F3FF" w:rsidR="003E4788" w:rsidRDefault="003E4788" w:rsidP="003E4788">
      <w:pPr>
        <w:pStyle w:val="Probity3"/>
      </w:pPr>
      <w:r w:rsidRPr="003E3540">
        <w:rPr>
          <w:rFonts w:cs="Arial"/>
        </w:rPr>
        <w:t xml:space="preserve">consultation Treasury has </w:t>
      </w:r>
      <w:r>
        <w:rPr>
          <w:rFonts w:cs="Arial"/>
        </w:rPr>
        <w:t xml:space="preserve">undertaken in relation to </w:t>
      </w:r>
      <w:r w:rsidRPr="003E3540">
        <w:rPr>
          <w:rFonts w:cs="Arial"/>
        </w:rPr>
        <w:t xml:space="preserve">the </w:t>
      </w:r>
      <w:r>
        <w:rPr>
          <w:rFonts w:cs="Arial"/>
        </w:rPr>
        <w:t xml:space="preserve">NBL sector Design Paper (conducted in December 2022) </w:t>
      </w:r>
    </w:p>
    <w:p w14:paraId="4049091C" w14:textId="77777777" w:rsidR="003E4788" w:rsidRPr="003E4788" w:rsidRDefault="003E4788" w:rsidP="003E4788">
      <w:pPr>
        <w:pStyle w:val="Probity3"/>
      </w:pPr>
      <w:r>
        <w:t xml:space="preserve">our review of the </w:t>
      </w:r>
      <w:r w:rsidRPr="003E4788">
        <w:rPr>
          <w:rFonts w:cs="Arial"/>
        </w:rPr>
        <w:t>NBL CDR Rule</w:t>
      </w:r>
      <w:r>
        <w:rPr>
          <w:rFonts w:cs="Arial"/>
        </w:rPr>
        <w:t xml:space="preserve">s, and </w:t>
      </w:r>
    </w:p>
    <w:p w14:paraId="56F339A8" w14:textId="5D037E36" w:rsidR="003E4788" w:rsidRPr="003E4788" w:rsidRDefault="003E4788" w:rsidP="003E4788">
      <w:pPr>
        <w:pStyle w:val="Probity3"/>
      </w:pPr>
      <w:r w:rsidRPr="003E4788">
        <w:rPr>
          <w:rFonts w:cs="Arial"/>
        </w:rPr>
        <w:t>consultation Treasury has undertaken in respect to the NBL CDR Rules</w:t>
      </w:r>
      <w:r>
        <w:rPr>
          <w:rFonts w:cs="Arial"/>
        </w:rPr>
        <w:t xml:space="preserve"> (August 2023)</w:t>
      </w:r>
      <w:r w:rsidRPr="003E4788">
        <w:rPr>
          <w:rFonts w:cs="Arial"/>
        </w:rPr>
        <w:t>.</w:t>
      </w:r>
      <w:r w:rsidR="001F5D5F" w:rsidRPr="003E4788">
        <w:rPr>
          <w:rFonts w:cs="Arial"/>
        </w:rPr>
        <w:t xml:space="preserve"> </w:t>
      </w:r>
    </w:p>
    <w:p w14:paraId="365A0A79" w14:textId="4C5794C5" w:rsidR="001F5D5F" w:rsidRDefault="001F5D5F" w:rsidP="003E4788">
      <w:pPr>
        <w:pStyle w:val="Probity2"/>
      </w:pPr>
      <w:r w:rsidRPr="003E4788">
        <w:rPr>
          <w:rFonts w:cs="Arial"/>
        </w:rPr>
        <w:t xml:space="preserve">Privacy risks associated with the CDR generally and the designation of the </w:t>
      </w:r>
      <w:r w:rsidRPr="001F5D5F">
        <w:t>banking, energy and telecommunications sectors</w:t>
      </w:r>
      <w:r>
        <w:rPr>
          <w:rStyle w:val="FootnoteReference"/>
        </w:rPr>
        <w:footnoteReference w:id="8"/>
      </w:r>
      <w:r>
        <w:t xml:space="preserve"> are not revisited in this supplementary PIA where they have already been assessed</w:t>
      </w:r>
      <w:r w:rsidR="0017742B">
        <w:t xml:space="preserve"> and are not affected by the proposed inclusion of the NBL sector in the CDR</w:t>
      </w:r>
      <w:r>
        <w:t>.</w:t>
      </w:r>
    </w:p>
    <w:p w14:paraId="1B2176D7" w14:textId="45E8B584" w:rsidR="00A8436A" w:rsidRDefault="00A8436A" w:rsidP="00A8436A">
      <w:pPr>
        <w:pStyle w:val="Probity2"/>
      </w:pPr>
      <w:r>
        <w:t xml:space="preserve">This </w:t>
      </w:r>
      <w:r w:rsidR="008325D1">
        <w:t xml:space="preserve">supplementary </w:t>
      </w:r>
      <w:r>
        <w:t>PIA assess</w:t>
      </w:r>
      <w:r w:rsidR="007E5561">
        <w:t>es</w:t>
      </w:r>
      <w:r>
        <w:t xml:space="preserve"> </w:t>
      </w:r>
      <w:r w:rsidR="007E5561">
        <w:t xml:space="preserve">the </w:t>
      </w:r>
      <w:r>
        <w:t xml:space="preserve">privacy risk </w:t>
      </w:r>
      <w:r w:rsidR="007E5561">
        <w:t xml:space="preserve">of the Project </w:t>
      </w:r>
      <w:r>
        <w:t xml:space="preserve">with respect to the following legislative schemes: </w:t>
      </w:r>
    </w:p>
    <w:p w14:paraId="6DD8D6FE" w14:textId="396E9C09" w:rsidR="00A8436A" w:rsidRDefault="00A8436A" w:rsidP="00A8436A">
      <w:pPr>
        <w:pStyle w:val="Probity3"/>
      </w:pPr>
      <w:r>
        <w:rPr>
          <w:i/>
          <w:iCs/>
        </w:rPr>
        <w:t xml:space="preserve">Privacy Act 1988 </w:t>
      </w:r>
      <w:r>
        <w:t>(</w:t>
      </w:r>
      <w:proofErr w:type="spellStart"/>
      <w:r>
        <w:t>Cth</w:t>
      </w:r>
      <w:proofErr w:type="spellEnd"/>
      <w:r>
        <w:t>) (</w:t>
      </w:r>
      <w:r>
        <w:rPr>
          <w:b/>
          <w:bCs/>
        </w:rPr>
        <w:t>Privacy Act</w:t>
      </w:r>
      <w:r>
        <w:t>), including the Australian Privacy Principles (</w:t>
      </w:r>
      <w:r w:rsidRPr="00A272D2">
        <w:rPr>
          <w:b/>
          <w:bCs/>
        </w:rPr>
        <w:t>APPs</w:t>
      </w:r>
      <w:r>
        <w:t>)</w:t>
      </w:r>
    </w:p>
    <w:p w14:paraId="32BCB3A7" w14:textId="6CCCE50E" w:rsidR="00A8436A" w:rsidRDefault="003C2FCA" w:rsidP="00A8436A">
      <w:pPr>
        <w:pStyle w:val="Probity3"/>
      </w:pPr>
      <w:r>
        <w:t xml:space="preserve">Part IVD of the </w:t>
      </w:r>
      <w:r w:rsidR="00A8436A">
        <w:rPr>
          <w:i/>
          <w:iCs/>
        </w:rPr>
        <w:t xml:space="preserve">Competition and Consumer Act 2010 </w:t>
      </w:r>
      <w:r w:rsidR="00A8436A">
        <w:t>(</w:t>
      </w:r>
      <w:proofErr w:type="spellStart"/>
      <w:r w:rsidR="00A8436A">
        <w:t>Cth</w:t>
      </w:r>
      <w:proofErr w:type="spellEnd"/>
      <w:r w:rsidR="00A8436A">
        <w:t>)</w:t>
      </w:r>
      <w:r w:rsidR="009C484C">
        <w:t xml:space="preserve"> (</w:t>
      </w:r>
      <w:r w:rsidR="007E5561">
        <w:rPr>
          <w:b/>
          <w:bCs/>
        </w:rPr>
        <w:t xml:space="preserve">Competition and </w:t>
      </w:r>
      <w:r w:rsidR="009C484C">
        <w:rPr>
          <w:b/>
          <w:bCs/>
        </w:rPr>
        <w:t>C</w:t>
      </w:r>
      <w:r w:rsidR="007E5561">
        <w:rPr>
          <w:b/>
          <w:bCs/>
        </w:rPr>
        <w:t>onsumer</w:t>
      </w:r>
      <w:r w:rsidR="009C484C">
        <w:rPr>
          <w:b/>
          <w:bCs/>
        </w:rPr>
        <w:t xml:space="preserve"> Act</w:t>
      </w:r>
      <w:r w:rsidR="009C484C">
        <w:t>)</w:t>
      </w:r>
      <w:r w:rsidR="00C36245">
        <w:t xml:space="preserve"> (the </w:t>
      </w:r>
      <w:r w:rsidR="00C36245">
        <w:rPr>
          <w:b/>
          <w:bCs/>
        </w:rPr>
        <w:t>Privacy Safeguards</w:t>
      </w:r>
      <w:r w:rsidR="00C36245">
        <w:t>)</w:t>
      </w:r>
      <w:r w:rsidR="00184E12">
        <w:t xml:space="preserve">, and </w:t>
      </w:r>
    </w:p>
    <w:p w14:paraId="0C44DE5F" w14:textId="33322B58" w:rsidR="00A8436A" w:rsidRDefault="00A8436A" w:rsidP="00A8436A">
      <w:pPr>
        <w:pStyle w:val="Probity3"/>
      </w:pPr>
      <w:r>
        <w:rPr>
          <w:i/>
          <w:iCs/>
        </w:rPr>
        <w:t xml:space="preserve">Competition and Consumer (Consumer Data Right) Rules 2020 </w:t>
      </w:r>
      <w:r>
        <w:t>(</w:t>
      </w:r>
      <w:proofErr w:type="spellStart"/>
      <w:r>
        <w:t>Cth</w:t>
      </w:r>
      <w:proofErr w:type="spellEnd"/>
      <w:r>
        <w:t>) (</w:t>
      </w:r>
      <w:r>
        <w:rPr>
          <w:b/>
          <w:bCs/>
        </w:rPr>
        <w:t>CDR Rules</w:t>
      </w:r>
      <w:r>
        <w:t>)</w:t>
      </w:r>
      <w:r w:rsidR="00184E12">
        <w:t>.</w:t>
      </w:r>
    </w:p>
    <w:p w14:paraId="26B58FA2" w14:textId="2D54BD62" w:rsidR="00231A43" w:rsidRDefault="00231A43" w:rsidP="00231A43">
      <w:pPr>
        <w:pStyle w:val="Probity2"/>
      </w:pPr>
      <w:r>
        <w:t xml:space="preserve">Materially, </w:t>
      </w:r>
      <w:r w:rsidR="00CF1B6F">
        <w:t>by Division 5 of Part IVD of the C</w:t>
      </w:r>
      <w:r w:rsidR="007E5561">
        <w:t xml:space="preserve">ompetition and </w:t>
      </w:r>
      <w:r w:rsidR="00CF1B6F">
        <w:t>C</w:t>
      </w:r>
      <w:r w:rsidR="007E5561">
        <w:t xml:space="preserve">onsumer </w:t>
      </w:r>
      <w:r w:rsidR="00CF1B6F">
        <w:t>A</w:t>
      </w:r>
      <w:r w:rsidR="007E5561">
        <w:t>ct</w:t>
      </w:r>
      <w:r w:rsidR="00CF1B6F">
        <w:t xml:space="preserve">, </w:t>
      </w:r>
      <w:r w:rsidR="00C36245">
        <w:t>P</w:t>
      </w:r>
      <w:r w:rsidR="00CF1B6F">
        <w:t xml:space="preserve">rivacy </w:t>
      </w:r>
      <w:r w:rsidR="00C36245">
        <w:t>S</w:t>
      </w:r>
      <w:r w:rsidR="00CF1B6F">
        <w:t>afeguards</w:t>
      </w:r>
      <w:r w:rsidR="00F05663">
        <w:t xml:space="preserve"> 1,</w:t>
      </w:r>
      <w:r w:rsidR="00057932">
        <w:t xml:space="preserve"> </w:t>
      </w:r>
      <w:r w:rsidR="00F05663">
        <w:t>10,</w:t>
      </w:r>
      <w:r w:rsidR="00057932">
        <w:t xml:space="preserve"> </w:t>
      </w:r>
      <w:r w:rsidR="00F05663">
        <w:t>11,</w:t>
      </w:r>
      <w:r w:rsidR="00057932">
        <w:t xml:space="preserve"> </w:t>
      </w:r>
      <w:r w:rsidR="00F05663">
        <w:t xml:space="preserve">13 and all </w:t>
      </w:r>
      <w:r w:rsidR="006B1827">
        <w:t xml:space="preserve">of the </w:t>
      </w:r>
      <w:r w:rsidR="00F05663">
        <w:t>APPs</w:t>
      </w:r>
      <w:r w:rsidR="00CF1B6F">
        <w:t xml:space="preserve"> apply in respect to an entity’s</w:t>
      </w:r>
      <w:r w:rsidR="0017742B">
        <w:t xml:space="preserve"> (data holders)</w:t>
      </w:r>
      <w:r w:rsidR="00CF1B6F">
        <w:t xml:space="preserve"> handling of CDR data</w:t>
      </w:r>
      <w:r w:rsidR="0073680D">
        <w:t>.</w:t>
      </w:r>
      <w:r w:rsidR="00CF1B6F">
        <w:t xml:space="preserve">  </w:t>
      </w:r>
      <w:r w:rsidR="006B1827">
        <w:t xml:space="preserve">While the </w:t>
      </w:r>
      <w:r w:rsidR="00057932">
        <w:t>APPs do not apply for accredited persons and accredited data recipients (</w:t>
      </w:r>
      <w:r w:rsidR="00057932" w:rsidRPr="00057932">
        <w:rPr>
          <w:b/>
          <w:bCs/>
        </w:rPr>
        <w:t>ADRs</w:t>
      </w:r>
      <w:r w:rsidR="00057932">
        <w:t>)</w:t>
      </w:r>
      <w:r w:rsidR="006B1827">
        <w:t>, the Privacy Safeguards apply.</w:t>
      </w:r>
      <w:r w:rsidR="006B1827">
        <w:rPr>
          <w:rStyle w:val="FootnoteReference"/>
        </w:rPr>
        <w:footnoteReference w:id="9"/>
      </w:r>
      <w:r w:rsidR="00057932">
        <w:t xml:space="preserve"> </w:t>
      </w:r>
      <w:r w:rsidR="00CF1B6F">
        <w:t>In order to assess the privacy impact of the Project, we have considered the Privacy Safeguards and APPs (</w:t>
      </w:r>
      <w:r w:rsidR="00F46D4B">
        <w:t xml:space="preserve">as </w:t>
      </w:r>
      <w:r w:rsidR="007B1A4A">
        <w:t xml:space="preserve">they </w:t>
      </w:r>
      <w:r w:rsidR="00CF1B6F">
        <w:t>apply).</w:t>
      </w:r>
    </w:p>
    <w:p w14:paraId="7EBEA636" w14:textId="54D51E48" w:rsidR="000019EB" w:rsidRDefault="000019EB" w:rsidP="002404DE">
      <w:pPr>
        <w:pStyle w:val="Probity2"/>
        <w:keepNext/>
        <w:numPr>
          <w:ilvl w:val="0"/>
          <w:numId w:val="0"/>
        </w:numPr>
        <w:ind w:left="709" w:hanging="709"/>
        <w:rPr>
          <w:b/>
          <w:bCs/>
          <w:i/>
          <w:iCs/>
        </w:rPr>
      </w:pPr>
      <w:r>
        <w:rPr>
          <w:b/>
          <w:bCs/>
          <w:i/>
          <w:iCs/>
        </w:rPr>
        <w:t>(b)</w:t>
      </w:r>
      <w:r>
        <w:rPr>
          <w:b/>
          <w:bCs/>
          <w:i/>
          <w:iCs/>
        </w:rPr>
        <w:tab/>
        <w:t>Previous PIAs</w:t>
      </w:r>
    </w:p>
    <w:p w14:paraId="31C8B7AD" w14:textId="72A11399" w:rsidR="000019EB" w:rsidRDefault="000019EB" w:rsidP="000019EB">
      <w:pPr>
        <w:pStyle w:val="Probity2"/>
      </w:pPr>
      <w:bookmarkStart w:id="57" w:name="_Ref126152650"/>
      <w:r>
        <w:t xml:space="preserve">Multiple PIAs </w:t>
      </w:r>
      <w:r w:rsidR="000E0160">
        <w:t>have been</w:t>
      </w:r>
      <w:r>
        <w:t xml:space="preserve"> completed </w:t>
      </w:r>
      <w:r w:rsidR="000E0160">
        <w:t xml:space="preserve">for </w:t>
      </w:r>
      <w:r w:rsidR="0017742B">
        <w:t xml:space="preserve">CDR and </w:t>
      </w:r>
      <w:r w:rsidR="000E0160">
        <w:t>the</w:t>
      </w:r>
      <w:r>
        <w:t xml:space="preserve"> progressive rollout</w:t>
      </w:r>
      <w:r w:rsidR="000E0160">
        <w:t xml:space="preserve"> of the CDR</w:t>
      </w:r>
      <w:r>
        <w:t xml:space="preserve"> to new sectors. These PIA are:</w:t>
      </w:r>
      <w:bookmarkEnd w:id="57"/>
    </w:p>
    <w:p w14:paraId="17B8928B" w14:textId="7D203838" w:rsidR="00B87A17" w:rsidRDefault="000019EB">
      <w:pPr>
        <w:pStyle w:val="Probity3"/>
      </w:pPr>
      <w:r>
        <w:t xml:space="preserve">March 2019 – </w:t>
      </w:r>
      <w:r w:rsidRPr="000019EB">
        <w:t xml:space="preserve">Implementing the </w:t>
      </w:r>
      <w:r>
        <w:t>CDR</w:t>
      </w:r>
      <w:r w:rsidRPr="000019EB">
        <w:t xml:space="preserve"> to give consumers better access and control over their data</w:t>
      </w:r>
      <w:r w:rsidR="005A793C">
        <w:t xml:space="preserve"> (</w:t>
      </w:r>
      <w:r w:rsidR="009845CD" w:rsidRPr="009845CD">
        <w:rPr>
          <w:b/>
          <w:bCs/>
        </w:rPr>
        <w:t>2019</w:t>
      </w:r>
      <w:r w:rsidR="009845CD">
        <w:t xml:space="preserve"> </w:t>
      </w:r>
      <w:r w:rsidR="009845CD">
        <w:rPr>
          <w:b/>
          <w:bCs/>
        </w:rPr>
        <w:t>CDR</w:t>
      </w:r>
      <w:r w:rsidR="005A793C" w:rsidRPr="005A793C">
        <w:rPr>
          <w:b/>
          <w:bCs/>
        </w:rPr>
        <w:t xml:space="preserve"> PIA</w:t>
      </w:r>
      <w:r w:rsidR="005A793C">
        <w:t>)</w:t>
      </w:r>
    </w:p>
    <w:p w14:paraId="2F5B5B37" w14:textId="3B829727" w:rsidR="000019EB" w:rsidRDefault="000019EB">
      <w:pPr>
        <w:pStyle w:val="Probity3"/>
      </w:pPr>
      <w:r>
        <w:t xml:space="preserve">November 2019 – </w:t>
      </w:r>
      <w:r w:rsidRPr="000019EB">
        <w:t>Implementing the CDR to give consumers better access and control over their data</w:t>
      </w:r>
      <w:r w:rsidR="009845CD">
        <w:t xml:space="preserve"> (</w:t>
      </w:r>
      <w:r w:rsidR="009845CD">
        <w:rPr>
          <w:b/>
          <w:bCs/>
        </w:rPr>
        <w:t>2019 Banking PIA</w:t>
      </w:r>
      <w:r w:rsidR="009845CD">
        <w:t>)</w:t>
      </w:r>
    </w:p>
    <w:p w14:paraId="1863EE51" w14:textId="7F440167" w:rsidR="000019EB" w:rsidRDefault="000019EB" w:rsidP="000019EB">
      <w:pPr>
        <w:pStyle w:val="Probity3"/>
      </w:pPr>
      <w:r>
        <w:t xml:space="preserve">June 2020 – </w:t>
      </w:r>
      <w:r w:rsidRPr="000019EB">
        <w:t>Supplementar</w:t>
      </w:r>
      <w:r>
        <w:t>y</w:t>
      </w:r>
      <w:r w:rsidRPr="000019EB">
        <w:t xml:space="preserve"> PIA focusing on expanding the CDR to the energy sector</w:t>
      </w:r>
      <w:r w:rsidR="00C03B59">
        <w:t xml:space="preserve"> (</w:t>
      </w:r>
      <w:r w:rsidR="00C03B59" w:rsidRPr="00C03B59">
        <w:rPr>
          <w:b/>
          <w:bCs/>
        </w:rPr>
        <w:t>2020 Energy PIA</w:t>
      </w:r>
      <w:r w:rsidR="00C03B59">
        <w:t>)</w:t>
      </w:r>
    </w:p>
    <w:p w14:paraId="181A6DDB" w14:textId="17639CA2" w:rsidR="000019EB" w:rsidRDefault="000019EB" w:rsidP="000019EB">
      <w:pPr>
        <w:pStyle w:val="Probity3"/>
      </w:pPr>
      <w:r>
        <w:t xml:space="preserve">September 2021 – </w:t>
      </w:r>
      <w:r w:rsidRPr="000019EB">
        <w:t xml:space="preserve">PIA update: ‘version 3’ </w:t>
      </w:r>
      <w:r w:rsidR="004E09D5">
        <w:t>CDR Rules</w:t>
      </w:r>
      <w:r w:rsidRPr="000019EB">
        <w:t xml:space="preserve"> amendments to expand participation pathways for businesses and give consumers better access and control over their data</w:t>
      </w:r>
    </w:p>
    <w:p w14:paraId="4C6AE9B4" w14:textId="637CA0B5" w:rsidR="000019EB" w:rsidRDefault="000019EB" w:rsidP="000019EB">
      <w:pPr>
        <w:pStyle w:val="Probity3"/>
      </w:pPr>
      <w:r>
        <w:t xml:space="preserve">November 2021 – </w:t>
      </w:r>
      <w:r w:rsidRPr="000019EB">
        <w:t xml:space="preserve">PIA update: ‘version 4’ </w:t>
      </w:r>
      <w:r w:rsidR="004E09D5">
        <w:t>CDR Rules</w:t>
      </w:r>
      <w:r w:rsidRPr="000019EB">
        <w:t xml:space="preserve"> amendments as they relate to the energy sector</w:t>
      </w:r>
    </w:p>
    <w:p w14:paraId="6EAFEBAD" w14:textId="26F2149F" w:rsidR="000019EB" w:rsidRDefault="000019EB" w:rsidP="000019EB">
      <w:pPr>
        <w:pStyle w:val="Probity3"/>
      </w:pPr>
      <w:r>
        <w:t xml:space="preserve">November 2021 – </w:t>
      </w:r>
      <w:r w:rsidRPr="000019EB">
        <w:t>PIA update: examining the privacy impact of designating the telecommunications sector to the CDR</w:t>
      </w:r>
      <w:r w:rsidR="00207C3B">
        <w:t xml:space="preserve"> </w:t>
      </w:r>
    </w:p>
    <w:p w14:paraId="6A9EA140" w14:textId="2B9D1321" w:rsidR="00E35489" w:rsidRDefault="000019EB" w:rsidP="000B1752">
      <w:pPr>
        <w:pStyle w:val="Probity3"/>
      </w:pPr>
      <w:r>
        <w:t xml:space="preserve">August 2022 – </w:t>
      </w:r>
      <w:r w:rsidRPr="000019EB">
        <w:t>PIA update: examining the privacy impact of designating the non-bank lending sector to the CDR</w:t>
      </w:r>
      <w:r w:rsidR="00C36245">
        <w:t xml:space="preserve"> (</w:t>
      </w:r>
      <w:r w:rsidR="00C36245" w:rsidRPr="00C36245">
        <w:rPr>
          <w:b/>
          <w:bCs/>
        </w:rPr>
        <w:t>NBL Sector PIA</w:t>
      </w:r>
      <w:r w:rsidR="00C36245">
        <w:t>)</w:t>
      </w:r>
      <w:r w:rsidR="0017742B">
        <w:t xml:space="preserve"> which is Attachment A to the </w:t>
      </w:r>
      <w:r w:rsidR="0017742B" w:rsidRPr="0017742B">
        <w:t>NBL Sector Report</w:t>
      </w:r>
      <w:r w:rsidR="00B85C95">
        <w:t xml:space="preserve">, and </w:t>
      </w:r>
    </w:p>
    <w:p w14:paraId="659F4A54" w14:textId="7756E680" w:rsidR="00B85C95" w:rsidRDefault="00B85C95" w:rsidP="000B1752">
      <w:pPr>
        <w:pStyle w:val="Probity3"/>
      </w:pPr>
      <w:r>
        <w:t>July 2023 – PIA update ‘version 5’ operational enhancements to the CDR Rules’</w:t>
      </w:r>
    </w:p>
    <w:p w14:paraId="2A2A7CE2" w14:textId="4AD195FB" w:rsidR="000B1752" w:rsidRDefault="00E35489" w:rsidP="00E35489">
      <w:pPr>
        <w:pStyle w:val="Probity3"/>
        <w:numPr>
          <w:ilvl w:val="0"/>
          <w:numId w:val="0"/>
        </w:numPr>
        <w:ind w:left="1418"/>
      </w:pPr>
      <w:r>
        <w:t xml:space="preserve">(collectively, the </w:t>
      </w:r>
      <w:r>
        <w:rPr>
          <w:b/>
          <w:bCs/>
        </w:rPr>
        <w:t>CDR PIAs</w:t>
      </w:r>
      <w:r>
        <w:t>)</w:t>
      </w:r>
      <w:r w:rsidR="000019EB" w:rsidRPr="000019EB">
        <w:t>.</w:t>
      </w:r>
    </w:p>
    <w:p w14:paraId="65739FAA" w14:textId="11BB6433" w:rsidR="00486DBD" w:rsidRDefault="00486DBD" w:rsidP="00486DBD">
      <w:pPr>
        <w:pStyle w:val="Probity2"/>
      </w:pPr>
      <w:r>
        <w:t>We have had regard to these CDR PIAs in undertaking this supplementary PIA.</w:t>
      </w:r>
    </w:p>
    <w:p w14:paraId="491387AD" w14:textId="10C5AA63" w:rsidR="00A8436A" w:rsidRPr="00254ABE" w:rsidRDefault="00A8436A" w:rsidP="00A8436A">
      <w:pPr>
        <w:pStyle w:val="Probity2"/>
        <w:numPr>
          <w:ilvl w:val="0"/>
          <w:numId w:val="0"/>
        </w:numPr>
        <w:ind w:left="709" w:hanging="709"/>
        <w:rPr>
          <w:i/>
          <w:iCs/>
        </w:rPr>
      </w:pPr>
      <w:r w:rsidRPr="00254ABE">
        <w:rPr>
          <w:b/>
          <w:bCs/>
          <w:i/>
          <w:iCs/>
        </w:rPr>
        <w:t>(</w:t>
      </w:r>
      <w:r w:rsidR="000019EB">
        <w:rPr>
          <w:b/>
          <w:bCs/>
          <w:i/>
          <w:iCs/>
        </w:rPr>
        <w:t>c</w:t>
      </w:r>
      <w:r w:rsidRPr="00254ABE">
        <w:rPr>
          <w:b/>
          <w:bCs/>
          <w:i/>
          <w:iCs/>
        </w:rPr>
        <w:t>)</w:t>
      </w:r>
      <w:r w:rsidRPr="00254ABE">
        <w:rPr>
          <w:b/>
          <w:bCs/>
          <w:i/>
          <w:iCs/>
        </w:rPr>
        <w:tab/>
      </w:r>
      <w:r>
        <w:rPr>
          <w:b/>
          <w:bCs/>
          <w:i/>
          <w:iCs/>
        </w:rPr>
        <w:t>Current Status of the CDR Rollout</w:t>
      </w:r>
    </w:p>
    <w:p w14:paraId="6FE83AE9" w14:textId="0C8536FB" w:rsidR="000E0160" w:rsidRPr="000E0160" w:rsidRDefault="003E3FED" w:rsidP="00A8436A">
      <w:pPr>
        <w:pStyle w:val="Probity2"/>
        <w:rPr>
          <w:b/>
          <w:bCs/>
          <w:i/>
          <w:iCs/>
        </w:rPr>
      </w:pPr>
      <w:r w:rsidRPr="003E3FED">
        <w:t xml:space="preserve">The </w:t>
      </w:r>
      <w:r w:rsidR="00237E46">
        <w:t>CDR</w:t>
      </w:r>
      <w:r w:rsidRPr="003E3FED">
        <w:t xml:space="preserve"> is Australia’s national data portability initiative.</w:t>
      </w:r>
      <w:r w:rsidR="00A34A85">
        <w:t xml:space="preserve"> </w:t>
      </w:r>
      <w:r w:rsidR="00D85BE9" w:rsidRPr="00D85BE9">
        <w:t>It gives individuals and businesses the ability to share their data with trusted and accredited third parties, along with limited types of data with non</w:t>
      </w:r>
      <w:r w:rsidR="00D85BE9" w:rsidRPr="00D85BE9">
        <w:rPr>
          <w:rFonts w:ascii="Cambria Math" w:hAnsi="Cambria Math" w:cs="Cambria Math"/>
        </w:rPr>
        <w:t>‐</w:t>
      </w:r>
      <w:r w:rsidR="00D85BE9" w:rsidRPr="00D85BE9">
        <w:t>accredited parties. In turn, these third parties can use this data to provide products, services and insights that benefit consumers</w:t>
      </w:r>
      <w:r w:rsidR="00D85BE9">
        <w:t xml:space="preserve">.  </w:t>
      </w:r>
    </w:p>
    <w:p w14:paraId="426F1821" w14:textId="4EA93900" w:rsidR="000E0160" w:rsidRPr="000E0160" w:rsidRDefault="00AD2D6C" w:rsidP="00A8436A">
      <w:pPr>
        <w:pStyle w:val="Probity2"/>
        <w:rPr>
          <w:b/>
          <w:bCs/>
          <w:i/>
          <w:iCs/>
        </w:rPr>
      </w:pPr>
      <w:r w:rsidRPr="00AD2D6C">
        <w:t>The Treasury leads CDR policy and program delivery, including</w:t>
      </w:r>
      <w:r w:rsidR="00FF20AA">
        <w:t xml:space="preserve"> the</w:t>
      </w:r>
      <w:r w:rsidRPr="00AD2D6C">
        <w:t xml:space="preserve"> development of</w:t>
      </w:r>
      <w:r w:rsidR="00FF20AA">
        <w:t xml:space="preserve"> th</w:t>
      </w:r>
      <w:r w:rsidR="003447EC">
        <w:t xml:space="preserve">e </w:t>
      </w:r>
      <w:r w:rsidR="00AE446E">
        <w:t>legislative framework</w:t>
      </w:r>
      <w:r w:rsidR="00D330B6">
        <w:t xml:space="preserve">. </w:t>
      </w:r>
      <w:r w:rsidR="00D85BE9" w:rsidRPr="00D85BE9">
        <w:t xml:space="preserve">The </w:t>
      </w:r>
      <w:r w:rsidR="00DD3CD8">
        <w:t>CDR</w:t>
      </w:r>
      <w:r w:rsidR="00D85BE9" w:rsidRPr="00D85BE9">
        <w:t xml:space="preserve"> </w:t>
      </w:r>
      <w:r w:rsidR="00DD49D9">
        <w:t>is</w:t>
      </w:r>
      <w:r w:rsidR="00D85BE9" w:rsidRPr="00D85BE9">
        <w:t xml:space="preserve"> regulated by the Office of the Australian Information Commissioner (</w:t>
      </w:r>
      <w:r w:rsidR="00D85BE9" w:rsidRPr="00F30A95">
        <w:rPr>
          <w:b/>
        </w:rPr>
        <w:t>OAIC</w:t>
      </w:r>
      <w:r w:rsidR="00D85BE9" w:rsidRPr="00D85BE9">
        <w:t>) and the Australia Competition and Consumer Commission (</w:t>
      </w:r>
      <w:r w:rsidR="00D85BE9" w:rsidRPr="00F30A95">
        <w:rPr>
          <w:b/>
        </w:rPr>
        <w:t>ACCC</w:t>
      </w:r>
      <w:r w:rsidR="00D85BE9" w:rsidRPr="00D85BE9">
        <w:t>).</w:t>
      </w:r>
      <w:r w:rsidR="00314E11">
        <w:t xml:space="preserve"> The Data Standards Body </w:t>
      </w:r>
      <w:r w:rsidR="00F30A95">
        <w:t>(</w:t>
      </w:r>
      <w:r w:rsidR="00F30A95" w:rsidRPr="00F30A95">
        <w:rPr>
          <w:b/>
          <w:bCs/>
        </w:rPr>
        <w:t>DSB</w:t>
      </w:r>
      <w:r w:rsidR="00F30A95">
        <w:t xml:space="preserve">) </w:t>
      </w:r>
      <w:r w:rsidR="00314E11">
        <w:t>develops the technical and consumer experience standards, which are made by the Data Standards Chair.</w:t>
      </w:r>
    </w:p>
    <w:p w14:paraId="0D48D549" w14:textId="417881F6" w:rsidR="00A8436A" w:rsidRDefault="00255505" w:rsidP="00A8436A">
      <w:pPr>
        <w:pStyle w:val="Probity2"/>
        <w:rPr>
          <w:b/>
          <w:bCs/>
          <w:i/>
          <w:iCs/>
        </w:rPr>
      </w:pPr>
      <w:r w:rsidRPr="00255505">
        <w:t xml:space="preserve">The CDR is </w:t>
      </w:r>
      <w:r w:rsidR="00AE1D63" w:rsidRPr="00AE1D63">
        <w:t>being implemented on a sector</w:t>
      </w:r>
      <w:r w:rsidR="00AE1D63" w:rsidRPr="00AE1D63">
        <w:rPr>
          <w:rFonts w:ascii="Cambria Math" w:hAnsi="Cambria Math" w:cs="Cambria Math"/>
        </w:rPr>
        <w:t>‐</w:t>
      </w:r>
      <w:r w:rsidR="00AE1D63" w:rsidRPr="00AE1D63">
        <w:t>by</w:t>
      </w:r>
      <w:r w:rsidR="00AE1D63" w:rsidRPr="00AE1D63">
        <w:rPr>
          <w:rFonts w:ascii="Cambria Math" w:hAnsi="Cambria Math" w:cs="Cambria Math"/>
        </w:rPr>
        <w:t>‐</w:t>
      </w:r>
      <w:r w:rsidR="00AE1D63" w:rsidRPr="00AE1D63">
        <w:t>sector basis</w:t>
      </w:r>
      <w:r w:rsidR="00FF20AA">
        <w:t>.</w:t>
      </w:r>
      <w:r w:rsidR="00AC40A8">
        <w:rPr>
          <w:rFonts w:cs="Arial"/>
        </w:rPr>
        <w:t xml:space="preserve"> </w:t>
      </w:r>
      <w:r w:rsidR="00791468" w:rsidRPr="00791468">
        <w:rPr>
          <w:rFonts w:cs="Arial"/>
        </w:rPr>
        <w:t xml:space="preserve">The CDR is </w:t>
      </w:r>
      <w:r w:rsidR="00FF20AA">
        <w:rPr>
          <w:rFonts w:cs="Arial"/>
        </w:rPr>
        <w:t xml:space="preserve">currently </w:t>
      </w:r>
      <w:r w:rsidRPr="00791468">
        <w:rPr>
          <w:rFonts w:cs="Arial"/>
        </w:rPr>
        <w:t xml:space="preserve">active in </w:t>
      </w:r>
      <w:r w:rsidR="00791468" w:rsidRPr="00791468">
        <w:rPr>
          <w:rFonts w:cs="Arial"/>
        </w:rPr>
        <w:t xml:space="preserve">the </w:t>
      </w:r>
      <w:r w:rsidRPr="00791468">
        <w:rPr>
          <w:rFonts w:cs="Arial"/>
        </w:rPr>
        <w:t>banking and energy</w:t>
      </w:r>
      <w:r w:rsidR="00791468" w:rsidRPr="00791468">
        <w:rPr>
          <w:rFonts w:cs="Arial"/>
        </w:rPr>
        <w:t xml:space="preserve"> sectors</w:t>
      </w:r>
      <w:r w:rsidR="00FF20AA">
        <w:rPr>
          <w:rFonts w:cs="Arial"/>
        </w:rPr>
        <w:t>.</w:t>
      </w:r>
    </w:p>
    <w:p w14:paraId="3E2B1867" w14:textId="257B91C3" w:rsidR="00A8436A" w:rsidRPr="001B1592" w:rsidRDefault="00A8436A" w:rsidP="00A8436A">
      <w:pPr>
        <w:pStyle w:val="Probity2"/>
        <w:numPr>
          <w:ilvl w:val="0"/>
          <w:numId w:val="0"/>
        </w:numPr>
        <w:ind w:left="709" w:hanging="709"/>
        <w:rPr>
          <w:b/>
          <w:bCs/>
          <w:i/>
          <w:iCs/>
        </w:rPr>
      </w:pPr>
      <w:r>
        <w:rPr>
          <w:b/>
          <w:bCs/>
          <w:i/>
          <w:iCs/>
        </w:rPr>
        <w:t>(</w:t>
      </w:r>
      <w:r w:rsidR="000019EB">
        <w:rPr>
          <w:b/>
          <w:bCs/>
          <w:i/>
          <w:iCs/>
        </w:rPr>
        <w:t>d</w:t>
      </w:r>
      <w:r>
        <w:rPr>
          <w:b/>
          <w:bCs/>
          <w:i/>
          <w:iCs/>
        </w:rPr>
        <w:t>)</w:t>
      </w:r>
      <w:r>
        <w:rPr>
          <w:b/>
          <w:bCs/>
          <w:i/>
          <w:iCs/>
        </w:rPr>
        <w:tab/>
        <w:t xml:space="preserve">Rollout of the CDR to the </w:t>
      </w:r>
      <w:r w:rsidR="007177BF">
        <w:rPr>
          <w:b/>
          <w:bCs/>
          <w:i/>
          <w:iCs/>
        </w:rPr>
        <w:t>NBL</w:t>
      </w:r>
      <w:r>
        <w:rPr>
          <w:b/>
          <w:bCs/>
          <w:i/>
          <w:iCs/>
        </w:rPr>
        <w:t xml:space="preserve"> sector</w:t>
      </w:r>
    </w:p>
    <w:p w14:paraId="7E76315A" w14:textId="4919E4FB" w:rsidR="005F6DD6" w:rsidRDefault="00A8436A" w:rsidP="00A8436A">
      <w:pPr>
        <w:pStyle w:val="Probity2"/>
      </w:pPr>
      <w:r>
        <w:t xml:space="preserve">Following the release of the </w:t>
      </w:r>
      <w:r w:rsidR="00423859">
        <w:t xml:space="preserve">Treasury’s </w:t>
      </w:r>
      <w:r>
        <w:t>‘Strategic Assessment Outcomes’ report in January 2022,</w:t>
      </w:r>
      <w:r w:rsidR="00B67CBC">
        <w:t xml:space="preserve"> Treasury has assessed the expansion of the CDR to the NBL sector</w:t>
      </w:r>
      <w:r w:rsidR="005F6DD6">
        <w:t>.</w:t>
      </w:r>
      <w:r>
        <w:t xml:space="preserve"> </w:t>
      </w:r>
    </w:p>
    <w:p w14:paraId="7210CEE4" w14:textId="5838D954" w:rsidR="008325D1" w:rsidRDefault="00A8436A" w:rsidP="00A8436A">
      <w:pPr>
        <w:pStyle w:val="Probity2"/>
      </w:pPr>
      <w:r>
        <w:t xml:space="preserve">In August 2022, the </w:t>
      </w:r>
      <w:r w:rsidR="00423859">
        <w:t xml:space="preserve">Treasury </w:t>
      </w:r>
      <w:r>
        <w:t xml:space="preserve">released the final </w:t>
      </w:r>
      <w:r w:rsidR="0017742B" w:rsidRPr="0017742B">
        <w:t>NBL Sector Report</w:t>
      </w:r>
      <w:r w:rsidR="0017742B">
        <w:rPr>
          <w:b/>
          <w:bCs/>
        </w:rPr>
        <w:t xml:space="preserve"> </w:t>
      </w:r>
      <w:r>
        <w:t>which recommends the designation of the NBL sector for the CDR</w:t>
      </w:r>
      <w:r w:rsidR="0017742B">
        <w:t>.</w:t>
      </w:r>
      <w:r>
        <w:t xml:space="preserve"> </w:t>
      </w:r>
      <w:r w:rsidR="000B1752">
        <w:t>T</w:t>
      </w:r>
      <w:r>
        <w:t xml:space="preserve">he </w:t>
      </w:r>
      <w:r w:rsidR="0017742B" w:rsidRPr="0017742B">
        <w:t>NBL Sector Report</w:t>
      </w:r>
      <w:r w:rsidR="0017742B" w:rsidRPr="004E331D">
        <w:t xml:space="preserve"> </w:t>
      </w:r>
      <w:r>
        <w:t xml:space="preserve">identified that extending the CDR to the NBL sector would complement the rollout of the </w:t>
      </w:r>
      <w:r w:rsidR="00BD4426">
        <w:t xml:space="preserve">CDR </w:t>
      </w:r>
      <w:r>
        <w:t>in the banking sector, allowing consumers to ‘easily access and share a complete picture of their lending information’.</w:t>
      </w:r>
      <w:r w:rsidR="00C57C65">
        <w:rPr>
          <w:rStyle w:val="FootnoteReference"/>
        </w:rPr>
        <w:footnoteReference w:id="10"/>
      </w:r>
      <w:r>
        <w:t xml:space="preserve"> </w:t>
      </w:r>
      <w:r w:rsidR="00C57C65">
        <w:t xml:space="preserve"> </w:t>
      </w:r>
    </w:p>
    <w:p w14:paraId="1653FAD1" w14:textId="675978F5" w:rsidR="00A8436A" w:rsidRDefault="00C57C65" w:rsidP="00A8436A">
      <w:pPr>
        <w:pStyle w:val="Probity2"/>
      </w:pPr>
      <w:r>
        <w:t xml:space="preserve">Other benefits identified for the </w:t>
      </w:r>
      <w:r w:rsidR="00F50B4E">
        <w:t>expansion of</w:t>
      </w:r>
      <w:r>
        <w:t xml:space="preserve"> </w:t>
      </w:r>
      <w:r w:rsidR="002D11DA">
        <w:t xml:space="preserve">the CDR to </w:t>
      </w:r>
      <w:r>
        <w:t>the NBL sector</w:t>
      </w:r>
      <w:r w:rsidR="002D11DA">
        <w:t xml:space="preserve"> (</w:t>
      </w:r>
      <w:r w:rsidR="00C36245">
        <w:t xml:space="preserve">identified in the </w:t>
      </w:r>
      <w:r w:rsidR="0017742B" w:rsidRPr="0017742B">
        <w:t>NBL Sector Report</w:t>
      </w:r>
      <w:r w:rsidR="002D11DA">
        <w:t>)</w:t>
      </w:r>
      <w:r w:rsidR="00F50B4E">
        <w:t>,</w:t>
      </w:r>
      <w:r w:rsidR="0017742B" w:rsidRPr="004E331D">
        <w:t xml:space="preserve"> </w:t>
      </w:r>
      <w:r>
        <w:t>include:</w:t>
      </w:r>
    </w:p>
    <w:p w14:paraId="017E97BC" w14:textId="2E0A372F" w:rsidR="00C57C65" w:rsidRDefault="00C57C65" w:rsidP="00C57C65">
      <w:pPr>
        <w:pStyle w:val="Probity3"/>
      </w:pPr>
      <w:r>
        <w:t xml:space="preserve">empowering individuals and business consumers to make more informed decisions about non-bank lending products, leading to better outcomes </w:t>
      </w:r>
      <w:r w:rsidR="00F50B4E">
        <w:t xml:space="preserve">for </w:t>
      </w:r>
      <w:r>
        <w:t xml:space="preserve">individuals and businesses.  For example, </w:t>
      </w:r>
      <w:r w:rsidR="008325D1">
        <w:t>comparator websites indicated they could provide better advice to consumers about lending products if they could take into account NBL products</w:t>
      </w:r>
    </w:p>
    <w:p w14:paraId="741CCA71" w14:textId="5CD5294F" w:rsidR="008325D1" w:rsidRDefault="008325D1" w:rsidP="00C57C65">
      <w:pPr>
        <w:pStyle w:val="Probity3"/>
      </w:pPr>
      <w:r>
        <w:t>reducing barriers for consumers to switch between lender or lending products by providing an efficient and secure means for a consumer’s financial data to be shared with an accredited lender and facilitate better lending decisions which take into account a more comprehensive assessment of the consumer’s credit profile, history and risk</w:t>
      </w:r>
    </w:p>
    <w:p w14:paraId="789E9BAE" w14:textId="5B2FEF45" w:rsidR="008325D1" w:rsidRDefault="00167BBF" w:rsidP="00C57C65">
      <w:pPr>
        <w:pStyle w:val="Probity3"/>
      </w:pPr>
      <w:r>
        <w:t>facilitat</w:t>
      </w:r>
      <w:r w:rsidR="00010859">
        <w:t>ing</w:t>
      </w:r>
      <w:r>
        <w:t xml:space="preserve"> investment in financial technology</w:t>
      </w:r>
      <w:r w:rsidR="005F77C4">
        <w:t>,</w:t>
      </w:r>
      <w:r>
        <w:t xml:space="preserve"> which will give consumers a comprehensive picture of their day-to-day finances and better equip consumers to improve their financial planning </w:t>
      </w:r>
    </w:p>
    <w:p w14:paraId="3B1965B2" w14:textId="6A1329D7" w:rsidR="00167BBF" w:rsidRDefault="00167BBF" w:rsidP="00C57C65">
      <w:pPr>
        <w:pStyle w:val="Probity3"/>
      </w:pPr>
      <w:r>
        <w:t xml:space="preserve">promoting competition by </w:t>
      </w:r>
      <w:r w:rsidR="00CB3554">
        <w:t>making it easier for consumers to identify and evaluate</w:t>
      </w:r>
      <w:r>
        <w:t xml:space="preserve"> alternative form of funding in competition with the banking sector</w:t>
      </w:r>
      <w:r w:rsidR="00CB3554">
        <w:t>,</w:t>
      </w:r>
      <w:r w:rsidR="00010859">
        <w:t xml:space="preserve"> and</w:t>
      </w:r>
    </w:p>
    <w:p w14:paraId="73F5CD4F" w14:textId="52F8D634" w:rsidR="00167BBF" w:rsidRDefault="00CB3554" w:rsidP="00C57C65">
      <w:pPr>
        <w:pStyle w:val="Probity3"/>
      </w:pPr>
      <w:r>
        <w:t>lead</w:t>
      </w:r>
      <w:r w:rsidR="00010859">
        <w:t>ing</w:t>
      </w:r>
      <w:r>
        <w:t xml:space="preserve"> to the development of new financial products and services for vulnerable customers experiencing financial hardship, for example, financial counsellors.</w:t>
      </w:r>
    </w:p>
    <w:p w14:paraId="4FE9C27D" w14:textId="13E0CC9A" w:rsidR="00E9400E" w:rsidRDefault="00E9400E" w:rsidP="00A8436A">
      <w:pPr>
        <w:pStyle w:val="Probity2"/>
      </w:pPr>
      <w:r>
        <w:t>Relevant to this</w:t>
      </w:r>
      <w:r w:rsidR="00F968ED">
        <w:t xml:space="preserve"> </w:t>
      </w:r>
      <w:r w:rsidR="00F968ED">
        <w:rPr>
          <w:rFonts w:cs="Arial"/>
        </w:rPr>
        <w:t xml:space="preserve">supplementary </w:t>
      </w:r>
      <w:r>
        <w:t xml:space="preserve">PIA, the </w:t>
      </w:r>
      <w:r w:rsidR="003A4455" w:rsidRPr="0017742B">
        <w:t>NBL Sector Report</w:t>
      </w:r>
      <w:r w:rsidR="003A4455" w:rsidRPr="00D1014B">
        <w:t xml:space="preserve"> </w:t>
      </w:r>
      <w:r>
        <w:t>notes that extending the CDR to the N</w:t>
      </w:r>
      <w:r w:rsidR="00D0082D">
        <w:t>B</w:t>
      </w:r>
      <w:r>
        <w:t>L sector is likely to present the same privacy risks as it did when rolled out to the banking sector.</w:t>
      </w:r>
      <w:r>
        <w:rPr>
          <w:rStyle w:val="FootnoteReference"/>
        </w:rPr>
        <w:footnoteReference w:id="11"/>
      </w:r>
    </w:p>
    <w:p w14:paraId="62B71B11" w14:textId="7670AAB0" w:rsidR="003A4455" w:rsidRDefault="00F472EE" w:rsidP="00A8436A">
      <w:pPr>
        <w:pStyle w:val="Probity2"/>
      </w:pPr>
      <w:r w:rsidRPr="00F472EE">
        <w:t>Following designation</w:t>
      </w:r>
      <w:r w:rsidR="003A4455">
        <w:t xml:space="preserve"> of the NBL sector (discussed below)</w:t>
      </w:r>
      <w:r w:rsidRPr="00F472EE">
        <w:t>,</w:t>
      </w:r>
      <w:r w:rsidR="00A25224">
        <w:t xml:space="preserve"> </w:t>
      </w:r>
      <w:r w:rsidR="006B433B" w:rsidRPr="006B433B">
        <w:t xml:space="preserve">the </w:t>
      </w:r>
      <w:r w:rsidR="00423859">
        <w:t>Treasury</w:t>
      </w:r>
      <w:r w:rsidR="00A25224" w:rsidRPr="00A25224">
        <w:t xml:space="preserve">, in conjunction with the </w:t>
      </w:r>
      <w:r w:rsidR="002A2493" w:rsidRPr="002A2493">
        <w:t>DSB</w:t>
      </w:r>
      <w:r w:rsidR="00A25224" w:rsidRPr="00A25224">
        <w:t xml:space="preserve">, </w:t>
      </w:r>
      <w:r w:rsidR="002A2493" w:rsidRPr="002A2493">
        <w:t xml:space="preserve">is developing </w:t>
      </w:r>
      <w:r w:rsidR="00283EFF" w:rsidRPr="00283EFF">
        <w:t xml:space="preserve">CDR </w:t>
      </w:r>
      <w:r w:rsidR="003A4455">
        <w:t>r</w:t>
      </w:r>
      <w:r w:rsidR="00283EFF" w:rsidRPr="00283EFF">
        <w:t>ules and</w:t>
      </w:r>
      <w:r w:rsidR="00310CFC">
        <w:t xml:space="preserve"> </w:t>
      </w:r>
      <w:r w:rsidR="000C4825" w:rsidRPr="000C4825">
        <w:t>data standards</w:t>
      </w:r>
      <w:r w:rsidR="00BB325F">
        <w:t xml:space="preserve"> </w:t>
      </w:r>
      <w:r w:rsidR="00BB325F" w:rsidRPr="00BB325F">
        <w:t xml:space="preserve">specific to the </w:t>
      </w:r>
      <w:r w:rsidR="001D0DA1" w:rsidRPr="001D0DA1">
        <w:t>NBL</w:t>
      </w:r>
      <w:r w:rsidR="00BB325F" w:rsidRPr="00BB325F">
        <w:t xml:space="preserve"> sector.</w:t>
      </w:r>
      <w:r w:rsidR="000C4825" w:rsidRPr="00F472EE">
        <w:t xml:space="preserve"> </w:t>
      </w:r>
    </w:p>
    <w:p w14:paraId="2EC9DDC6" w14:textId="12E6594E" w:rsidR="00A8436A" w:rsidRDefault="002875D2" w:rsidP="00A8436A">
      <w:pPr>
        <w:pStyle w:val="Probity2"/>
      </w:pPr>
      <w:r>
        <w:t xml:space="preserve">See Part </w:t>
      </w:r>
      <w:r w:rsidR="00F968ED">
        <w:fldChar w:fldCharType="begin"/>
      </w:r>
      <w:r w:rsidR="00F968ED">
        <w:instrText xml:space="preserve"> REF _Ref136952642 \r \h </w:instrText>
      </w:r>
      <w:r w:rsidR="00F968ED">
        <w:fldChar w:fldCharType="separate"/>
      </w:r>
      <w:r w:rsidR="003A4455">
        <w:t>4</w:t>
      </w:r>
      <w:r w:rsidR="00F968ED">
        <w:fldChar w:fldCharType="end"/>
      </w:r>
      <w:r>
        <w:t xml:space="preserve"> of this PIA for a discussion of the consultation that has been conducted, to date, in respect of the Project</w:t>
      </w:r>
      <w:r w:rsidR="00EE6F2D">
        <w:t xml:space="preserve"> and the consultation process(es) that have been considered as part of undertaking this </w:t>
      </w:r>
      <w:r w:rsidR="00F968ED">
        <w:rPr>
          <w:rFonts w:cs="Arial"/>
        </w:rPr>
        <w:t xml:space="preserve">supplementary </w:t>
      </w:r>
      <w:r w:rsidR="00EE6F2D">
        <w:t xml:space="preserve">PIA. </w:t>
      </w:r>
    </w:p>
    <w:p w14:paraId="2C8C9ED5" w14:textId="300DDE32" w:rsidR="00CB3554" w:rsidRPr="00CB3554" w:rsidRDefault="00CB3554" w:rsidP="00CB3554">
      <w:pPr>
        <w:pStyle w:val="Probity2"/>
        <w:numPr>
          <w:ilvl w:val="0"/>
          <w:numId w:val="0"/>
        </w:numPr>
        <w:ind w:left="705" w:hanging="705"/>
        <w:rPr>
          <w:b/>
          <w:bCs/>
        </w:rPr>
      </w:pPr>
      <w:r w:rsidRPr="00CB3554">
        <w:rPr>
          <w:b/>
          <w:bCs/>
          <w:i/>
          <w:iCs/>
        </w:rPr>
        <w:t>(e)</w:t>
      </w:r>
      <w:r>
        <w:tab/>
      </w:r>
      <w:r w:rsidR="00385C10" w:rsidRPr="00385C10">
        <w:rPr>
          <w:b/>
          <w:bCs/>
          <w:i/>
          <w:iCs/>
        </w:rPr>
        <w:t xml:space="preserve">NBL </w:t>
      </w:r>
      <w:r w:rsidR="00C36245">
        <w:rPr>
          <w:b/>
          <w:bCs/>
          <w:i/>
          <w:iCs/>
        </w:rPr>
        <w:t>S</w:t>
      </w:r>
      <w:r w:rsidR="00385C10" w:rsidRPr="00385C10">
        <w:rPr>
          <w:b/>
          <w:bCs/>
          <w:i/>
          <w:iCs/>
        </w:rPr>
        <w:t xml:space="preserve">ector </w:t>
      </w:r>
      <w:r w:rsidR="00C36245">
        <w:rPr>
          <w:b/>
          <w:bCs/>
          <w:i/>
          <w:iCs/>
        </w:rPr>
        <w:t>D</w:t>
      </w:r>
      <w:r w:rsidR="00385C10" w:rsidRPr="00385C10">
        <w:rPr>
          <w:b/>
          <w:bCs/>
          <w:i/>
          <w:iCs/>
        </w:rPr>
        <w:t>esignation and</w:t>
      </w:r>
      <w:r w:rsidR="00385C10">
        <w:t xml:space="preserve"> </w:t>
      </w:r>
      <w:r w:rsidRPr="00CB3554">
        <w:rPr>
          <w:b/>
          <w:bCs/>
          <w:i/>
          <w:iCs/>
        </w:rPr>
        <w:t xml:space="preserve">NBL CDR Rules </w:t>
      </w:r>
    </w:p>
    <w:p w14:paraId="5A77171C" w14:textId="0B9FEA30" w:rsidR="005A6CB4" w:rsidRDefault="00253DA0" w:rsidP="00164312">
      <w:pPr>
        <w:pStyle w:val="Probity2"/>
      </w:pPr>
      <w:r w:rsidRPr="00CE4F7D">
        <w:t xml:space="preserve">On </w:t>
      </w:r>
      <w:r w:rsidRPr="008877B6">
        <w:t>21 November 2022</w:t>
      </w:r>
      <w:r>
        <w:t xml:space="preserve">, </w:t>
      </w:r>
      <w:r w:rsidRPr="00CE4F7D">
        <w:t xml:space="preserve">the Minister formally designated the </w:t>
      </w:r>
      <w:r w:rsidRPr="007B61E8">
        <w:t xml:space="preserve">NBL </w:t>
      </w:r>
      <w:r w:rsidRPr="00CE4F7D">
        <w:t>sector</w:t>
      </w:r>
      <w:r>
        <w:t xml:space="preserve"> by the </w:t>
      </w:r>
      <w:r w:rsidR="003A4455" w:rsidRPr="003A4455">
        <w:rPr>
          <w:i/>
          <w:iCs/>
        </w:rPr>
        <w:t>Consumer Data Right (Non-Bank Lenders) Designation 2022</w:t>
      </w:r>
      <w:r w:rsidR="003A4455">
        <w:rPr>
          <w:i/>
          <w:iCs/>
        </w:rPr>
        <w:t xml:space="preserve"> </w:t>
      </w:r>
      <w:r w:rsidR="003A4455">
        <w:t>(</w:t>
      </w:r>
      <w:proofErr w:type="spellStart"/>
      <w:r w:rsidR="003A4455">
        <w:t>Cth</w:t>
      </w:r>
      <w:proofErr w:type="spellEnd"/>
      <w:r w:rsidR="003A4455">
        <w:t>) (</w:t>
      </w:r>
      <w:r w:rsidRPr="003A4455">
        <w:rPr>
          <w:b/>
          <w:bCs/>
        </w:rPr>
        <w:t>NBL Sector Designation</w:t>
      </w:r>
      <w:r w:rsidR="003A4455">
        <w:t>)</w:t>
      </w:r>
      <w:r w:rsidRPr="00CE4F7D">
        <w:t>.</w:t>
      </w:r>
      <w:r>
        <w:rPr>
          <w:rStyle w:val="FootnoteReference"/>
        </w:rPr>
        <w:footnoteReference w:id="12"/>
      </w:r>
    </w:p>
    <w:p w14:paraId="6249BAE4" w14:textId="70F14B3B" w:rsidR="0025148D" w:rsidRDefault="00164312">
      <w:pPr>
        <w:pStyle w:val="Probity2"/>
      </w:pPr>
      <w:r>
        <w:t xml:space="preserve">The </w:t>
      </w:r>
      <w:r w:rsidR="00385C10">
        <w:t xml:space="preserve">NBL </w:t>
      </w:r>
      <w:r w:rsidR="00C36245">
        <w:t>S</w:t>
      </w:r>
      <w:r w:rsidR="00385C10">
        <w:t xml:space="preserve">ector </w:t>
      </w:r>
      <w:r w:rsidR="00945F56">
        <w:t>Designation</w:t>
      </w:r>
      <w:r w:rsidR="0025148D">
        <w:t xml:space="preserve"> provides that a </w:t>
      </w:r>
      <w:r w:rsidR="00945F56">
        <w:t>“</w:t>
      </w:r>
      <w:r w:rsidR="0025148D" w:rsidRPr="0025148D">
        <w:t>relevant non-bank lender</w:t>
      </w:r>
      <w:r w:rsidR="00945F56">
        <w:t>”</w:t>
      </w:r>
      <w:r w:rsidR="0025148D">
        <w:t xml:space="preserve"> (being an entity </w:t>
      </w:r>
      <w:r>
        <w:t>providing finance or ‘credit like’ products</w:t>
      </w:r>
      <w:r w:rsidR="003A4455">
        <w:t xml:space="preserve"> </w:t>
      </w:r>
      <w:r w:rsidR="00DB41FD">
        <w:t xml:space="preserve">other than excluded </w:t>
      </w:r>
      <w:r w:rsidR="00884A08">
        <w:t>data holders</w:t>
      </w:r>
      <w:r w:rsidR="0025148D">
        <w:t xml:space="preserve">) </w:t>
      </w:r>
      <w:r w:rsidR="00884A08">
        <w:t>is</w:t>
      </w:r>
      <w:r w:rsidR="003A4455">
        <w:t xml:space="preserve"> required to comply with the CDR in respect to </w:t>
      </w:r>
      <w:r w:rsidR="001C58C9">
        <w:t>specifi</w:t>
      </w:r>
      <w:r w:rsidR="003A4455">
        <w:t>c</w:t>
      </w:r>
      <w:r w:rsidR="001C58C9">
        <w:t xml:space="preserve">s classes of information </w:t>
      </w:r>
      <w:r w:rsidR="003A4455">
        <w:t>designated as CDR data</w:t>
      </w:r>
      <w:r w:rsidR="00945F56">
        <w:t>.  Credit information is excluded.</w:t>
      </w:r>
      <w:r w:rsidR="00945F56">
        <w:rPr>
          <w:rStyle w:val="FootnoteReference"/>
        </w:rPr>
        <w:footnoteReference w:id="13"/>
      </w:r>
    </w:p>
    <w:p w14:paraId="6849082C" w14:textId="1F11F41D" w:rsidR="00164312" w:rsidRDefault="00C36245">
      <w:pPr>
        <w:pStyle w:val="Probity2"/>
      </w:pPr>
      <w:r>
        <w:t>T</w:t>
      </w:r>
      <w:r w:rsidR="00164312">
        <w:t>he NBL CD</w:t>
      </w:r>
      <w:r w:rsidR="00165D88">
        <w:t>R</w:t>
      </w:r>
      <w:r w:rsidR="00164312">
        <w:t xml:space="preserve"> Rules </w:t>
      </w:r>
      <w:r w:rsidR="00165D88">
        <w:t>will amend the CDR Ru</w:t>
      </w:r>
      <w:r w:rsidR="00BF29C0">
        <w:t>l</w:t>
      </w:r>
      <w:r w:rsidR="00165D88">
        <w:t>es for the banking sector</w:t>
      </w:r>
      <w:r w:rsidR="00884A08">
        <w:t xml:space="preserve"> (Schedule 3 of the CDR Rules)</w:t>
      </w:r>
      <w:r w:rsidR="00165D88">
        <w:t xml:space="preserve"> and extend rules for the </w:t>
      </w:r>
      <w:r w:rsidR="00164312">
        <w:t xml:space="preserve">sharing of the </w:t>
      </w:r>
      <w:r w:rsidR="00291590">
        <w:t>same</w:t>
      </w:r>
      <w:r w:rsidR="00164312">
        <w:t xml:space="preserve"> </w:t>
      </w:r>
      <w:r w:rsidR="00291590">
        <w:t xml:space="preserve">classes of </w:t>
      </w:r>
      <w:r w:rsidR="00164312">
        <w:t>information</w:t>
      </w:r>
      <w:r w:rsidR="00291590">
        <w:t>, being</w:t>
      </w:r>
      <w:r w:rsidR="00164312">
        <w:t>:</w:t>
      </w:r>
    </w:p>
    <w:p w14:paraId="1AB74901" w14:textId="1E6CCB05" w:rsidR="00164312" w:rsidRDefault="00164312" w:rsidP="00164312">
      <w:pPr>
        <w:pStyle w:val="Probity3"/>
      </w:pPr>
      <w:r>
        <w:t xml:space="preserve">information about the user of a product (‘customer data’), </w:t>
      </w:r>
    </w:p>
    <w:p w14:paraId="58F72DFD" w14:textId="3D4A26FC" w:rsidR="00623072" w:rsidRDefault="00623072" w:rsidP="00164312">
      <w:pPr>
        <w:pStyle w:val="Probity3"/>
      </w:pPr>
      <w:r>
        <w:t xml:space="preserve">information about the operation of a user’s account (‘account data’) </w:t>
      </w:r>
    </w:p>
    <w:p w14:paraId="60C6714E" w14:textId="27B6CDE5" w:rsidR="00623072" w:rsidRDefault="00623072" w:rsidP="00164312">
      <w:pPr>
        <w:pStyle w:val="Probity3"/>
      </w:pPr>
      <w:r>
        <w:t>information that describes the transactions of a user (‘transaction data’)</w:t>
      </w:r>
      <w:r w:rsidR="00E003AA">
        <w:t xml:space="preserve">, and </w:t>
      </w:r>
    </w:p>
    <w:p w14:paraId="0478709A" w14:textId="5D0CB56B" w:rsidR="00164312" w:rsidRDefault="00164312" w:rsidP="00164312">
      <w:pPr>
        <w:pStyle w:val="Probity3"/>
      </w:pPr>
      <w:r>
        <w:t>information about the use of a product (‘product-specific data’)</w:t>
      </w:r>
      <w:r w:rsidR="00BF29C0">
        <w:t>,</w:t>
      </w:r>
    </w:p>
    <w:p w14:paraId="4B98B6F7" w14:textId="4037BB51" w:rsidR="00BF29C0" w:rsidRDefault="00AC40A8" w:rsidP="00BF29C0">
      <w:pPr>
        <w:pStyle w:val="Probity3"/>
        <w:numPr>
          <w:ilvl w:val="0"/>
          <w:numId w:val="0"/>
        </w:numPr>
        <w:ind w:left="709"/>
      </w:pPr>
      <w:r>
        <w:t xml:space="preserve">by </w:t>
      </w:r>
      <w:r w:rsidR="00884A08">
        <w:t>a “</w:t>
      </w:r>
      <w:r w:rsidR="00884A08" w:rsidRPr="0025148D">
        <w:t>relevant non-bank lender</w:t>
      </w:r>
      <w:r w:rsidR="00884A08">
        <w:t xml:space="preserve">” </w:t>
      </w:r>
      <w:r w:rsidR="00BF29C0">
        <w:t>other than excluded data holders.</w:t>
      </w:r>
    </w:p>
    <w:p w14:paraId="31BC6095" w14:textId="0ECECF1C" w:rsidR="00BF29C0" w:rsidRDefault="00165D88" w:rsidP="00EC5DFF">
      <w:pPr>
        <w:pStyle w:val="Probity2"/>
      </w:pPr>
      <w:r>
        <w:t xml:space="preserve">Recognising that there are benefits to consumers, competition and innovation from small businesses and start-ups and the cost of compliance on small business, the NBL CDR Rules establish a </w:t>
      </w:r>
      <w:r>
        <w:rPr>
          <w:i/>
          <w:iCs/>
        </w:rPr>
        <w:t xml:space="preserve">de minimis </w:t>
      </w:r>
      <w:r>
        <w:t xml:space="preserve">threshold </w:t>
      </w:r>
      <w:r w:rsidR="00BF29C0">
        <w:t xml:space="preserve">for </w:t>
      </w:r>
      <w:r w:rsidR="00E003AA">
        <w:t xml:space="preserve">mandatory data sharing. </w:t>
      </w:r>
      <w:r w:rsidR="00BF29C0">
        <w:t xml:space="preserve">  </w:t>
      </w:r>
    </w:p>
    <w:p w14:paraId="66BA81B7" w14:textId="7383F120" w:rsidR="00165D88" w:rsidRDefault="00BF29C0" w:rsidP="00EC5DFF">
      <w:pPr>
        <w:pStyle w:val="Probity2"/>
      </w:pPr>
      <w:bookmarkStart w:id="58" w:name="_Hlk138091630"/>
      <w:r>
        <w:t>W</w:t>
      </w:r>
      <w:r w:rsidR="00165D88">
        <w:t xml:space="preserve">here the total value of the </w:t>
      </w:r>
      <w:r w:rsidR="00AC40A8">
        <w:t xml:space="preserve">NBL sector </w:t>
      </w:r>
      <w:r w:rsidR="00165D88">
        <w:t>lender’s resident loans and finance leases:</w:t>
      </w:r>
    </w:p>
    <w:p w14:paraId="5F4815BC" w14:textId="03B63053" w:rsidR="00165D88" w:rsidRDefault="00165D88" w:rsidP="00165D88">
      <w:pPr>
        <w:pStyle w:val="Probity3"/>
      </w:pPr>
      <w:r>
        <w:t xml:space="preserve">is </w:t>
      </w:r>
      <w:r w:rsidR="00845887">
        <w:t xml:space="preserve">over </w:t>
      </w:r>
      <w:r>
        <w:t>$500 million for the preceding calendar month,</w:t>
      </w:r>
    </w:p>
    <w:p w14:paraId="4B16FC8D" w14:textId="67877518" w:rsidR="00165D88" w:rsidRDefault="00165D88" w:rsidP="00165D88">
      <w:pPr>
        <w:pStyle w:val="Probity3"/>
      </w:pPr>
      <w:r>
        <w:t xml:space="preserve">averages </w:t>
      </w:r>
      <w:r w:rsidR="00845887">
        <w:t xml:space="preserve">over </w:t>
      </w:r>
      <w:r>
        <w:t>$500 million for the pre</w:t>
      </w:r>
      <w:r w:rsidR="00845887">
        <w:t>vious</w:t>
      </w:r>
      <w:r>
        <w:t xml:space="preserve"> 11 </w:t>
      </w:r>
      <w:r w:rsidR="00845887">
        <w:t xml:space="preserve">calendar </w:t>
      </w:r>
      <w:r>
        <w:t xml:space="preserve">months, and </w:t>
      </w:r>
    </w:p>
    <w:p w14:paraId="25D17AE3" w14:textId="2EEC1F18" w:rsidR="00BF29C0" w:rsidRDefault="00165D88" w:rsidP="00165D88">
      <w:pPr>
        <w:pStyle w:val="Probity3"/>
      </w:pPr>
      <w:r>
        <w:t>the lender has</w:t>
      </w:r>
      <w:r w:rsidR="00845887">
        <w:t xml:space="preserve"> more</w:t>
      </w:r>
      <w:r>
        <w:t xml:space="preserve"> than </w:t>
      </w:r>
      <w:r w:rsidR="00845887">
        <w:t xml:space="preserve">500 </w:t>
      </w:r>
      <w:r>
        <w:t>customers</w:t>
      </w:r>
      <w:r w:rsidR="00BF29C0">
        <w:t>,</w:t>
      </w:r>
    </w:p>
    <w:p w14:paraId="4DDFE093" w14:textId="28E807CF" w:rsidR="00165D88" w:rsidRDefault="00845887" w:rsidP="00BF29C0">
      <w:pPr>
        <w:pStyle w:val="Probity3"/>
        <w:numPr>
          <w:ilvl w:val="0"/>
          <w:numId w:val="0"/>
        </w:numPr>
        <w:ind w:left="709"/>
      </w:pPr>
      <w:r>
        <w:t>the entity is a data holder for the purposes of the NBL CDR Rules and is required to comply.</w:t>
      </w:r>
      <w:bookmarkEnd w:id="58"/>
      <w:r w:rsidR="009F0F39">
        <w:rPr>
          <w:rStyle w:val="FootnoteReference"/>
        </w:rPr>
        <w:footnoteReference w:id="14"/>
      </w:r>
      <w:r w:rsidR="00BF29C0">
        <w:t xml:space="preserve"> </w:t>
      </w:r>
    </w:p>
    <w:p w14:paraId="547F3B29" w14:textId="68805847" w:rsidR="004731A4" w:rsidRDefault="00BF29C0" w:rsidP="004731A4">
      <w:pPr>
        <w:pStyle w:val="Probity2"/>
      </w:pPr>
      <w:r>
        <w:t xml:space="preserve">Finally, the NBL CDR Rules propose a </w:t>
      </w:r>
      <w:r w:rsidR="00AC40A8">
        <w:t xml:space="preserve">phased </w:t>
      </w:r>
      <w:r>
        <w:t>application of the CDR to the NBL sector depending on the size of the provider, the complexity of the request and date for the relevant tranche being reached</w:t>
      </w:r>
      <w:r w:rsidR="009F0F39">
        <w:t>.</w:t>
      </w:r>
      <w:r w:rsidR="009F0F39">
        <w:rPr>
          <w:rStyle w:val="FootnoteReference"/>
        </w:rPr>
        <w:footnoteReference w:id="15"/>
      </w:r>
      <w:r>
        <w:t xml:space="preserve"> </w:t>
      </w:r>
      <w:r w:rsidR="004731A4">
        <w:t xml:space="preserve"> A phased approach to implementation balances the benefits of consumers receiving access to data sharing </w:t>
      </w:r>
      <w:r w:rsidR="000633E7">
        <w:t xml:space="preserve">under the CDR </w:t>
      </w:r>
      <w:r w:rsidR="004731A4">
        <w:t>while ensuring that smaller entities have adequate time to build the relevant IT systems under the CDR framework.</w:t>
      </w:r>
    </w:p>
    <w:p w14:paraId="0EA70F6E" w14:textId="77777777" w:rsidR="002B57FA" w:rsidRDefault="002B57FA">
      <w:pPr>
        <w:spacing w:before="0" w:after="200" w:line="276" w:lineRule="auto"/>
        <w:rPr>
          <w:color w:val="D95E00"/>
          <w:sz w:val="40"/>
          <w:szCs w:val="40"/>
        </w:rPr>
      </w:pPr>
      <w:bookmarkStart w:id="59" w:name="_Toc100520814"/>
      <w:bookmarkStart w:id="60" w:name="_Toc100520815"/>
      <w:bookmarkStart w:id="61" w:name="_Toc100520816"/>
      <w:bookmarkStart w:id="62" w:name="_Toc100520817"/>
      <w:bookmarkStart w:id="63" w:name="_Toc100520818"/>
      <w:bookmarkStart w:id="64" w:name="_Toc100520819"/>
      <w:bookmarkStart w:id="65" w:name="_Toc100520820"/>
      <w:bookmarkStart w:id="66" w:name="_Toc100520821"/>
      <w:bookmarkStart w:id="67" w:name="_Toc100520822"/>
      <w:bookmarkStart w:id="68" w:name="_Toc100520823"/>
      <w:bookmarkStart w:id="69" w:name="_Toc100520824"/>
      <w:bookmarkStart w:id="70" w:name="_Toc100520825"/>
      <w:bookmarkStart w:id="71" w:name="_Toc100520826"/>
      <w:bookmarkStart w:id="72" w:name="_Toc100520827"/>
      <w:bookmarkStart w:id="73" w:name="_Toc100520828"/>
      <w:bookmarkStart w:id="74" w:name="_Toc100520829"/>
      <w:bookmarkStart w:id="75" w:name="_Toc100520830"/>
      <w:bookmarkStart w:id="76" w:name="_Toc100520831"/>
      <w:bookmarkStart w:id="77" w:name="_Toc100520832"/>
      <w:bookmarkStart w:id="78" w:name="_Toc100520833"/>
      <w:bookmarkStart w:id="79" w:name="_Toc100520834"/>
      <w:bookmarkStart w:id="80" w:name="_Toc67172722"/>
      <w:bookmarkStart w:id="81" w:name="_Ref104541038"/>
      <w:bookmarkEnd w:id="55"/>
      <w:bookmarkEnd w:id="56"/>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br w:type="page"/>
      </w:r>
    </w:p>
    <w:p w14:paraId="6AAD8D2C" w14:textId="0581B1D5" w:rsidR="00274149" w:rsidRPr="006F62E8" w:rsidRDefault="00EF7EA6" w:rsidP="006F62E8">
      <w:pPr>
        <w:pStyle w:val="Probity1"/>
        <w:keepNext/>
      </w:pPr>
      <w:bookmarkStart w:id="82" w:name="_Ref137122914"/>
      <w:bookmarkStart w:id="83" w:name="_Toc151587388"/>
      <w:r>
        <w:t xml:space="preserve">Findings and </w:t>
      </w:r>
      <w:r w:rsidR="00274149" w:rsidRPr="006F62E8">
        <w:t>Recommendations</w:t>
      </w:r>
      <w:bookmarkEnd w:id="80"/>
      <w:bookmarkEnd w:id="81"/>
      <w:bookmarkEnd w:id="82"/>
      <w:bookmarkEnd w:id="83"/>
    </w:p>
    <w:p w14:paraId="243E08DC" w14:textId="2AE341E0" w:rsidR="00AB42F2" w:rsidRDefault="007A419B" w:rsidP="008E104C">
      <w:pPr>
        <w:pStyle w:val="Probity2"/>
      </w:pPr>
      <w:r>
        <w:t xml:space="preserve">We consider the extension of the CDR to the NBL sector </w:t>
      </w:r>
      <w:r w:rsidR="00AB42F2">
        <w:t xml:space="preserve">will have a positive </w:t>
      </w:r>
      <w:r w:rsidR="00F548B1">
        <w:t xml:space="preserve">privacy outcome </w:t>
      </w:r>
      <w:r w:rsidR="00AB42F2">
        <w:t>for consumers</w:t>
      </w:r>
      <w:r w:rsidR="00794527">
        <w:t>, particularly when compared to current data sharing arrangements in use by the sector</w:t>
      </w:r>
      <w:r w:rsidR="009212EF">
        <w:t>.  By</w:t>
      </w:r>
      <w:r>
        <w:t xml:space="preserve"> requiring a “</w:t>
      </w:r>
      <w:r w:rsidRPr="0025148D">
        <w:t>relevant non-bank lender</w:t>
      </w:r>
      <w:r>
        <w:t xml:space="preserve">” to share CDR data in accordance with the CDR framework, </w:t>
      </w:r>
      <w:r w:rsidR="001C58C9">
        <w:t>individuals</w:t>
      </w:r>
      <w:r w:rsidR="00656395">
        <w:t xml:space="preserve"> </w:t>
      </w:r>
      <w:r w:rsidR="00F548B1">
        <w:t>get</w:t>
      </w:r>
      <w:r w:rsidR="00656395">
        <w:t xml:space="preserve"> the</w:t>
      </w:r>
      <w:r w:rsidR="001C58C9">
        <w:t xml:space="preserve"> benefit</w:t>
      </w:r>
      <w:r w:rsidR="00656395">
        <w:t xml:space="preserve"> of the application of the </w:t>
      </w:r>
      <w:r w:rsidR="001C58C9">
        <w:t xml:space="preserve">Privacy Safeguards </w:t>
      </w:r>
      <w:r w:rsidR="00A1754A">
        <w:t xml:space="preserve">to the handling of their information, together with </w:t>
      </w:r>
      <w:r w:rsidR="00656395">
        <w:t xml:space="preserve">the requirement that consumer </w:t>
      </w:r>
      <w:r w:rsidR="00E95A76">
        <w:t>information be</w:t>
      </w:r>
      <w:r w:rsidR="001C58C9">
        <w:t xml:space="preserve"> handled in accordance with</w:t>
      </w:r>
      <w:r w:rsidR="00E95A76">
        <w:t xml:space="preserve"> specified</w:t>
      </w:r>
      <w:r w:rsidR="001C58C9">
        <w:t xml:space="preserve"> data security requirements.</w:t>
      </w:r>
      <w:r w:rsidR="00E95A76">
        <w:t xml:space="preserve">  The data minimisation principle </w:t>
      </w:r>
      <w:r w:rsidR="00A1754A">
        <w:t xml:space="preserve">also </w:t>
      </w:r>
      <w:r w:rsidR="00E95A76">
        <w:t>applies</w:t>
      </w:r>
      <w:r w:rsidR="00A1754A">
        <w:t>,</w:t>
      </w:r>
      <w:r w:rsidR="00E95A76">
        <w:t xml:space="preserve"> as do the </w:t>
      </w:r>
      <w:r w:rsidR="00D31F2B">
        <w:t xml:space="preserve">express </w:t>
      </w:r>
      <w:r w:rsidR="00E95A76">
        <w:t>consent provisions for data sharing and the requirements around accreditation.</w:t>
      </w:r>
      <w:r w:rsidR="003447EC">
        <w:t xml:space="preserve"> Th</w:t>
      </w:r>
      <w:r w:rsidR="00794527">
        <w:t>ese changes reflect a more secure</w:t>
      </w:r>
      <w:r w:rsidR="000633E7">
        <w:t xml:space="preserve"> and transparent</w:t>
      </w:r>
      <w:r w:rsidR="00794527">
        <w:t xml:space="preserve"> framework for data sharing</w:t>
      </w:r>
      <w:r w:rsidR="00E11B2E">
        <w:t>.</w:t>
      </w:r>
    </w:p>
    <w:p w14:paraId="2EEF86E2" w14:textId="05CDD7A5" w:rsidR="009F0F39" w:rsidRDefault="009F0F39" w:rsidP="007C6F2B">
      <w:pPr>
        <w:pStyle w:val="Probity2"/>
      </w:pPr>
      <w:r>
        <w:t xml:space="preserve">We consider this improves the current position where </w:t>
      </w:r>
      <w:r w:rsidR="00F548B1">
        <w:t xml:space="preserve">NBL </w:t>
      </w:r>
      <w:r>
        <w:t>data</w:t>
      </w:r>
      <w:r w:rsidR="00F548B1">
        <w:t xml:space="preserve"> </w:t>
      </w:r>
      <w:r>
        <w:t>is shared by</w:t>
      </w:r>
      <w:r w:rsidR="000D3728">
        <w:t xml:space="preserve"> sharing passwords, screen scraping, or by other</w:t>
      </w:r>
      <w:r>
        <w:t xml:space="preserve"> less formal channels and without the benefit of the informed consent requirements imposed by Privacy Safeguard 3.  </w:t>
      </w:r>
    </w:p>
    <w:p w14:paraId="46BD3168" w14:textId="1288DA2F" w:rsidR="009F0F39" w:rsidRDefault="009F0F39" w:rsidP="007C6F2B">
      <w:pPr>
        <w:pStyle w:val="Probity2"/>
      </w:pPr>
      <w:r>
        <w:t xml:space="preserve">However, the inclusion of the NBL sector in the CDR does give rise to some unique privacy risks, which we consider can be mitigated by the implementation of the recommendations set out below. </w:t>
      </w:r>
    </w:p>
    <w:p w14:paraId="1EE4DB63" w14:textId="60987745" w:rsidR="007C6F2B" w:rsidRPr="00B90392" w:rsidRDefault="00B90392" w:rsidP="00B90392">
      <w:pPr>
        <w:pStyle w:val="Probity2"/>
        <w:numPr>
          <w:ilvl w:val="0"/>
          <w:numId w:val="0"/>
        </w:numPr>
        <w:ind w:left="705" w:hanging="705"/>
        <w:rPr>
          <w:b/>
          <w:bCs/>
          <w:i/>
          <w:iCs/>
        </w:rPr>
      </w:pPr>
      <w:r w:rsidRPr="00B90392">
        <w:rPr>
          <w:b/>
          <w:bCs/>
          <w:i/>
          <w:iCs/>
        </w:rPr>
        <w:t>(a)</w:t>
      </w:r>
      <w:r w:rsidRPr="00B90392">
        <w:rPr>
          <w:b/>
          <w:bCs/>
          <w:i/>
          <w:iCs/>
        </w:rPr>
        <w:tab/>
      </w:r>
      <w:r w:rsidR="007C6F2B" w:rsidRPr="00B90392">
        <w:rPr>
          <w:b/>
          <w:bCs/>
          <w:i/>
          <w:iCs/>
        </w:rPr>
        <w:t xml:space="preserve">Recommendations </w:t>
      </w:r>
    </w:p>
    <w:p w14:paraId="395A96F5" w14:textId="0391536C" w:rsidR="00F548B1" w:rsidRDefault="002C4E7A" w:rsidP="002C4E7A">
      <w:pPr>
        <w:pStyle w:val="Probity2"/>
      </w:pPr>
      <w:r>
        <w:t xml:space="preserve">We have reviewed the NBL CDR Rules </w:t>
      </w:r>
      <w:r w:rsidR="00112C63">
        <w:t>and the</w:t>
      </w:r>
      <w:r w:rsidR="007C6F2B">
        <w:t xml:space="preserve"> </w:t>
      </w:r>
      <w:r w:rsidR="00112C63">
        <w:t xml:space="preserve">responses received </w:t>
      </w:r>
      <w:r w:rsidR="00F548B1">
        <w:t xml:space="preserve">by the Treasury, to date, </w:t>
      </w:r>
      <w:r w:rsidR="00112C63">
        <w:t xml:space="preserve">in </w:t>
      </w:r>
      <w:r w:rsidR="00F548B1">
        <w:t xml:space="preserve">response to </w:t>
      </w:r>
      <w:r w:rsidR="007C6F2B">
        <w:t xml:space="preserve">consultation on the </w:t>
      </w:r>
      <w:r w:rsidR="00F02547">
        <w:t>NBL sector Design Paper</w:t>
      </w:r>
      <w:r w:rsidR="00E11B2E">
        <w:t xml:space="preserve"> (December 2022) and the NBL CRD Rules (Aug</w:t>
      </w:r>
      <w:r w:rsidR="00320D7D">
        <w:t>u</w:t>
      </w:r>
      <w:r w:rsidR="00E11B2E">
        <w:t>st 2023)</w:t>
      </w:r>
      <w:r>
        <w:t xml:space="preserve">. </w:t>
      </w:r>
    </w:p>
    <w:p w14:paraId="06AB3AA4" w14:textId="5710C4CB" w:rsidR="002C4E7A" w:rsidRDefault="002C4E7A" w:rsidP="002C4E7A">
      <w:pPr>
        <w:pStyle w:val="Probity2"/>
      </w:pPr>
      <w:r>
        <w:t>Having regard to:</w:t>
      </w:r>
    </w:p>
    <w:p w14:paraId="441C367A" w14:textId="793A1B8A" w:rsidR="002C4E7A" w:rsidRDefault="002C4E7A" w:rsidP="002C4E7A">
      <w:pPr>
        <w:pStyle w:val="Probity3"/>
      </w:pPr>
      <w:r>
        <w:t>the content of the NBL CDR Rules</w:t>
      </w:r>
    </w:p>
    <w:p w14:paraId="0962B320" w14:textId="453F7E02" w:rsidR="002C4E7A" w:rsidRDefault="002C4E7A" w:rsidP="002C4E7A">
      <w:pPr>
        <w:pStyle w:val="Probity3"/>
      </w:pPr>
      <w:r>
        <w:t>the extent to which the NBL CDR Rules propose amendments to the CDR Rules</w:t>
      </w:r>
    </w:p>
    <w:p w14:paraId="2A7E8D12" w14:textId="6C462ABB" w:rsidR="002C4E7A" w:rsidRDefault="002C4E7A" w:rsidP="002C4E7A">
      <w:pPr>
        <w:pStyle w:val="Probity3"/>
      </w:pPr>
      <w:r>
        <w:t>the extent to which issues have been addressed in previous CDR PIAs</w:t>
      </w:r>
      <w:r w:rsidR="00112C63">
        <w:t xml:space="preserve">, and </w:t>
      </w:r>
    </w:p>
    <w:p w14:paraId="65493251" w14:textId="490BC421" w:rsidR="002C4E7A" w:rsidRDefault="00112C63" w:rsidP="00112C63">
      <w:pPr>
        <w:pStyle w:val="Probity3"/>
      </w:pPr>
      <w:r w:rsidRPr="00112C63">
        <w:t>the issue</w:t>
      </w:r>
      <w:r w:rsidR="00F548B1">
        <w:t>s</w:t>
      </w:r>
      <w:r w:rsidRPr="00112C63">
        <w:t xml:space="preserve"> raised in the consultation on the NBL sector Design Paper</w:t>
      </w:r>
      <w:r w:rsidR="00F548B1">
        <w:t>,</w:t>
      </w:r>
    </w:p>
    <w:p w14:paraId="248B71A8" w14:textId="0EF4191C" w:rsidR="001C58C9" w:rsidRDefault="007C6F2B" w:rsidP="00112C63">
      <w:pPr>
        <w:pStyle w:val="Probity2"/>
        <w:numPr>
          <w:ilvl w:val="0"/>
          <w:numId w:val="0"/>
        </w:numPr>
        <w:ind w:left="709"/>
      </w:pPr>
      <w:r>
        <w:t>we make the following recommendations:</w:t>
      </w:r>
    </w:p>
    <w:p w14:paraId="7DBDC183" w14:textId="77777777" w:rsidR="002C4E7A" w:rsidRDefault="002C4E7A" w:rsidP="00112C63">
      <w:pPr>
        <w:pStyle w:val="Probity2"/>
        <w:numPr>
          <w:ilvl w:val="0"/>
          <w:numId w:val="0"/>
        </w:numPr>
        <w:ind w:left="709"/>
      </w:pPr>
    </w:p>
    <w:tbl>
      <w:tblPr>
        <w:tblStyle w:val="TableGrid"/>
        <w:tblW w:w="9021" w:type="dxa"/>
        <w:tblInd w:w="-5" w:type="dxa"/>
        <w:tblBorders>
          <w:top w:val="single" w:sz="4" w:space="0" w:color="F79646"/>
          <w:left w:val="single" w:sz="4" w:space="0" w:color="F79646"/>
          <w:bottom w:val="single" w:sz="4" w:space="0" w:color="F79646"/>
          <w:right w:val="single" w:sz="4" w:space="0" w:color="F79646"/>
          <w:insideH w:val="none" w:sz="0" w:space="0" w:color="auto"/>
          <w:insideV w:val="none" w:sz="0" w:space="0" w:color="auto"/>
        </w:tblBorders>
        <w:tblLook w:val="04A0" w:firstRow="1" w:lastRow="0" w:firstColumn="1" w:lastColumn="0" w:noHBand="0" w:noVBand="1"/>
      </w:tblPr>
      <w:tblGrid>
        <w:gridCol w:w="2694"/>
        <w:gridCol w:w="6327"/>
      </w:tblGrid>
      <w:tr w:rsidR="009A0411" w:rsidRPr="009B43F5" w14:paraId="3B2108F2" w14:textId="77777777" w:rsidTr="00B90392">
        <w:tc>
          <w:tcPr>
            <w:tcW w:w="2694" w:type="dxa"/>
            <w:tcBorders>
              <w:top w:val="single" w:sz="4" w:space="0" w:color="F79646" w:themeColor="accent6"/>
              <w:bottom w:val="single" w:sz="4" w:space="0" w:color="F79646" w:themeColor="accent6"/>
              <w:right w:val="single" w:sz="4" w:space="0" w:color="F79646" w:themeColor="accent6"/>
            </w:tcBorders>
            <w:shd w:val="clear" w:color="auto" w:fill="F79646" w:themeFill="accent6"/>
          </w:tcPr>
          <w:p w14:paraId="72144953" w14:textId="4F343D6F" w:rsidR="007C6F2B" w:rsidRPr="007C6F2B" w:rsidRDefault="007C6F2B">
            <w:pPr>
              <w:spacing w:line="276" w:lineRule="auto"/>
              <w:rPr>
                <w:rFonts w:cs="Arial"/>
                <w:b/>
                <w:color w:val="FFFFFF" w:themeColor="background1"/>
              </w:rPr>
            </w:pPr>
            <w:r w:rsidRPr="007C6F2B">
              <w:rPr>
                <w:rFonts w:cs="Arial"/>
                <w:b/>
                <w:color w:val="FFFFFF" w:themeColor="background1"/>
              </w:rPr>
              <w:t>No.</w:t>
            </w:r>
          </w:p>
        </w:tc>
        <w:tc>
          <w:tcPr>
            <w:tcW w:w="6327" w:type="dxa"/>
            <w:tcBorders>
              <w:top w:val="single" w:sz="4" w:space="0" w:color="F79646" w:themeColor="accent6"/>
              <w:left w:val="single" w:sz="4" w:space="0" w:color="F79646" w:themeColor="accent6"/>
              <w:bottom w:val="single" w:sz="4" w:space="0" w:color="F79646" w:themeColor="accent6"/>
            </w:tcBorders>
            <w:shd w:val="clear" w:color="auto" w:fill="F79646" w:themeFill="accent6"/>
          </w:tcPr>
          <w:p w14:paraId="0F4DEA45" w14:textId="39E1804E" w:rsidR="007C6F2B" w:rsidRPr="007C6F2B" w:rsidRDefault="007C6F2B">
            <w:pPr>
              <w:pStyle w:val="Probity4"/>
              <w:numPr>
                <w:ilvl w:val="0"/>
                <w:numId w:val="0"/>
              </w:numPr>
              <w:rPr>
                <w:color w:val="FFFFFF" w:themeColor="background1"/>
              </w:rPr>
            </w:pPr>
            <w:r w:rsidRPr="007C6F2B">
              <w:rPr>
                <w:rFonts w:cs="Arial"/>
                <w:b/>
                <w:color w:val="FFFFFF" w:themeColor="background1"/>
              </w:rPr>
              <w:t xml:space="preserve">Recommendation </w:t>
            </w:r>
          </w:p>
        </w:tc>
      </w:tr>
      <w:tr w:rsidR="009A0411" w:rsidRPr="009B43F5" w14:paraId="1FC7CC7F" w14:textId="77777777" w:rsidTr="009F0F39">
        <w:tc>
          <w:tcPr>
            <w:tcW w:w="2694" w:type="dxa"/>
            <w:tcBorders>
              <w:top w:val="single" w:sz="4" w:space="0" w:color="F79646" w:themeColor="accent6"/>
              <w:bottom w:val="single" w:sz="4" w:space="0" w:color="F79646" w:themeColor="accent6"/>
              <w:right w:val="single" w:sz="4" w:space="0" w:color="F79646" w:themeColor="accent6"/>
            </w:tcBorders>
            <w:shd w:val="clear" w:color="auto" w:fill="FDE9D9" w:themeFill="accent6" w:themeFillTint="33"/>
          </w:tcPr>
          <w:p w14:paraId="6B7AA8DD" w14:textId="0FE44CD1" w:rsidR="007C6F2B" w:rsidRPr="001A78DB" w:rsidRDefault="007C6F2B">
            <w:pPr>
              <w:spacing w:line="276" w:lineRule="auto"/>
              <w:rPr>
                <w:rFonts w:cs="Arial"/>
                <w:b/>
              </w:rPr>
            </w:pPr>
            <w:r>
              <w:rPr>
                <w:rFonts w:cs="Arial"/>
                <w:b/>
              </w:rPr>
              <w:t>Recommendation 1</w:t>
            </w:r>
          </w:p>
        </w:tc>
        <w:tc>
          <w:tcPr>
            <w:tcW w:w="6327" w:type="dxa"/>
            <w:tcBorders>
              <w:top w:val="single" w:sz="4" w:space="0" w:color="F79646" w:themeColor="accent6"/>
              <w:left w:val="single" w:sz="4" w:space="0" w:color="F79646" w:themeColor="accent6"/>
              <w:bottom w:val="single" w:sz="4" w:space="0" w:color="F79646" w:themeColor="accent6"/>
            </w:tcBorders>
            <w:shd w:val="clear" w:color="auto" w:fill="FDE9D9" w:themeFill="accent6" w:themeFillTint="33"/>
          </w:tcPr>
          <w:p w14:paraId="1CD7D9B6" w14:textId="1974F022" w:rsidR="007C6F2B" w:rsidRPr="009B43F5" w:rsidRDefault="007C6F2B">
            <w:pPr>
              <w:pStyle w:val="Probity4"/>
              <w:numPr>
                <w:ilvl w:val="0"/>
                <w:numId w:val="0"/>
              </w:numPr>
              <w:rPr>
                <w:rFonts w:cs="Arial"/>
              </w:rPr>
            </w:pPr>
            <w:r>
              <w:t>Treasury, together with the OAIC and ACCC</w:t>
            </w:r>
            <w:r w:rsidR="001D3F58">
              <w:t>,</w:t>
            </w:r>
            <w:r>
              <w:t xml:space="preserve"> consider what instructions or guidance can be developed for credit providers to ensure credit providers comply with the CDR, Part IIIA of the Privacy Act and the CCR in relation to the handling of credit reporting information. </w:t>
            </w:r>
          </w:p>
        </w:tc>
      </w:tr>
      <w:tr w:rsidR="00C55724" w:rsidRPr="009B43F5" w14:paraId="28BDD948" w14:textId="77777777" w:rsidTr="009F0F39">
        <w:tc>
          <w:tcPr>
            <w:tcW w:w="9021" w:type="dxa"/>
            <w:gridSpan w:val="2"/>
            <w:tcBorders>
              <w:top w:val="single" w:sz="4" w:space="0" w:color="F79646" w:themeColor="accent6"/>
              <w:left w:val="nil"/>
              <w:bottom w:val="nil"/>
              <w:right w:val="nil"/>
            </w:tcBorders>
          </w:tcPr>
          <w:p w14:paraId="1A6B7D97" w14:textId="77777777" w:rsidR="009F0F39" w:rsidRDefault="009F0F39" w:rsidP="00CC1439">
            <w:pPr>
              <w:pStyle w:val="Probity4"/>
              <w:numPr>
                <w:ilvl w:val="0"/>
                <w:numId w:val="0"/>
              </w:numPr>
              <w:rPr>
                <w:rFonts w:cs="Arial"/>
                <w:b/>
                <w:bCs/>
                <w:iCs/>
              </w:rPr>
            </w:pPr>
          </w:p>
        </w:tc>
      </w:tr>
      <w:tr w:rsidR="009A0411" w:rsidRPr="009B43F5" w14:paraId="4AAC5497" w14:textId="77777777" w:rsidTr="001D3F58">
        <w:tc>
          <w:tcPr>
            <w:tcW w:w="2694" w:type="dxa"/>
            <w:tcBorders>
              <w:top w:val="single" w:sz="4" w:space="0" w:color="F79646" w:themeColor="accent6"/>
              <w:bottom w:val="single" w:sz="4" w:space="0" w:color="F79646" w:themeColor="accent6"/>
              <w:right w:val="single" w:sz="4" w:space="0" w:color="F79646" w:themeColor="accent6"/>
            </w:tcBorders>
            <w:shd w:val="clear" w:color="auto" w:fill="F79646" w:themeFill="accent6"/>
          </w:tcPr>
          <w:p w14:paraId="383D66AC" w14:textId="7A568666" w:rsidR="001D3F58" w:rsidRDefault="001D3F58" w:rsidP="001D3F58">
            <w:pPr>
              <w:spacing w:line="276" w:lineRule="auto"/>
              <w:rPr>
                <w:rFonts w:cs="Arial"/>
                <w:b/>
              </w:rPr>
            </w:pPr>
            <w:r w:rsidRPr="007C6F2B">
              <w:rPr>
                <w:rFonts w:cs="Arial"/>
                <w:b/>
                <w:color w:val="FFFFFF" w:themeColor="background1"/>
              </w:rPr>
              <w:t>No.</w:t>
            </w:r>
          </w:p>
        </w:tc>
        <w:tc>
          <w:tcPr>
            <w:tcW w:w="6327" w:type="dxa"/>
            <w:tcBorders>
              <w:top w:val="single" w:sz="4" w:space="0" w:color="F79646" w:themeColor="accent6"/>
              <w:left w:val="single" w:sz="4" w:space="0" w:color="F79646" w:themeColor="accent6"/>
              <w:bottom w:val="single" w:sz="4" w:space="0" w:color="F79646" w:themeColor="accent6"/>
            </w:tcBorders>
            <w:shd w:val="clear" w:color="auto" w:fill="F79646" w:themeFill="accent6"/>
          </w:tcPr>
          <w:p w14:paraId="2698B033" w14:textId="646F0138" w:rsidR="001D3F58" w:rsidRDefault="001D3F58" w:rsidP="001D3F58">
            <w:pPr>
              <w:pStyle w:val="Probity4"/>
              <w:numPr>
                <w:ilvl w:val="0"/>
                <w:numId w:val="0"/>
              </w:numPr>
            </w:pPr>
            <w:r w:rsidRPr="007C6F2B">
              <w:rPr>
                <w:rFonts w:cs="Arial"/>
                <w:b/>
                <w:color w:val="FFFFFF" w:themeColor="background1"/>
              </w:rPr>
              <w:t xml:space="preserve">Recommendation </w:t>
            </w:r>
          </w:p>
        </w:tc>
      </w:tr>
      <w:tr w:rsidR="009A0411" w:rsidRPr="009B43F5" w14:paraId="2F659EE1" w14:textId="77777777" w:rsidTr="009F0F39">
        <w:tc>
          <w:tcPr>
            <w:tcW w:w="2694" w:type="dxa"/>
            <w:tcBorders>
              <w:top w:val="single" w:sz="4" w:space="0" w:color="F79646" w:themeColor="accent6"/>
              <w:bottom w:val="single" w:sz="4" w:space="0" w:color="F79646" w:themeColor="accent6"/>
              <w:right w:val="single" w:sz="4" w:space="0" w:color="F79646" w:themeColor="accent6"/>
            </w:tcBorders>
            <w:shd w:val="clear" w:color="auto" w:fill="FDE9D9" w:themeFill="accent6" w:themeFillTint="33"/>
          </w:tcPr>
          <w:p w14:paraId="19EF7D82" w14:textId="2B20BE94" w:rsidR="001D3F58" w:rsidRDefault="001D3F58" w:rsidP="001D3F58">
            <w:pPr>
              <w:spacing w:line="276" w:lineRule="auto"/>
              <w:rPr>
                <w:rFonts w:cs="Arial"/>
                <w:b/>
              </w:rPr>
            </w:pPr>
            <w:r>
              <w:rPr>
                <w:rFonts w:cs="Arial"/>
                <w:b/>
              </w:rPr>
              <w:t xml:space="preserve">Recommendation 2 </w:t>
            </w:r>
          </w:p>
        </w:tc>
        <w:tc>
          <w:tcPr>
            <w:tcW w:w="6327" w:type="dxa"/>
            <w:tcBorders>
              <w:top w:val="single" w:sz="4" w:space="0" w:color="F79646" w:themeColor="accent6"/>
              <w:left w:val="single" w:sz="4" w:space="0" w:color="F79646" w:themeColor="accent6"/>
              <w:bottom w:val="single" w:sz="4" w:space="0" w:color="F79646" w:themeColor="accent6"/>
            </w:tcBorders>
            <w:shd w:val="clear" w:color="auto" w:fill="FDE9D9" w:themeFill="accent6" w:themeFillTint="33"/>
          </w:tcPr>
          <w:p w14:paraId="13AEAE69" w14:textId="7D9658AF" w:rsidR="001D3F58" w:rsidRPr="009B43F5" w:rsidRDefault="00F10A87" w:rsidP="00B54191">
            <w:pPr>
              <w:pStyle w:val="Probity4"/>
              <w:numPr>
                <w:ilvl w:val="0"/>
                <w:numId w:val="0"/>
              </w:numPr>
              <w:rPr>
                <w:rFonts w:cs="Arial"/>
              </w:rPr>
            </w:pPr>
            <w:r>
              <w:rPr>
                <w:rFonts w:cs="Arial"/>
              </w:rPr>
              <w:t xml:space="preserve">Treasury </w:t>
            </w:r>
            <w:r>
              <w:t>consider whether the exclusion to financial hardship information and repayment history information from “customer data” is sufficient or whether the exclusion should be extended so as to protect the privacy of vulnerable consumers.</w:t>
            </w:r>
          </w:p>
        </w:tc>
      </w:tr>
    </w:tbl>
    <w:p w14:paraId="5DB741C4" w14:textId="075158B6" w:rsidR="007C6F2B" w:rsidRDefault="007C6F2B" w:rsidP="001D3F58">
      <w:pPr>
        <w:pStyle w:val="Probity3"/>
        <w:numPr>
          <w:ilvl w:val="0"/>
          <w:numId w:val="0"/>
        </w:numPr>
        <w:ind w:left="1418" w:hanging="709"/>
      </w:pPr>
    </w:p>
    <w:tbl>
      <w:tblPr>
        <w:tblStyle w:val="TableGrid"/>
        <w:tblW w:w="9021" w:type="dxa"/>
        <w:tblInd w:w="-5" w:type="dxa"/>
        <w:tblBorders>
          <w:top w:val="single" w:sz="4" w:space="0" w:color="F79646"/>
          <w:left w:val="single" w:sz="4" w:space="0" w:color="F79646"/>
          <w:bottom w:val="single" w:sz="4" w:space="0" w:color="F79646"/>
          <w:right w:val="single" w:sz="4" w:space="0" w:color="F79646"/>
          <w:insideH w:val="none" w:sz="0" w:space="0" w:color="auto"/>
          <w:insideV w:val="none" w:sz="0" w:space="0" w:color="auto"/>
        </w:tblBorders>
        <w:tblLook w:val="04A0" w:firstRow="1" w:lastRow="0" w:firstColumn="1" w:lastColumn="0" w:noHBand="0" w:noVBand="1"/>
      </w:tblPr>
      <w:tblGrid>
        <w:gridCol w:w="2694"/>
        <w:gridCol w:w="6327"/>
      </w:tblGrid>
      <w:tr w:rsidR="009A0411" w:rsidRPr="009B43F5" w14:paraId="3E882510" w14:textId="77777777" w:rsidTr="00CC7417">
        <w:tc>
          <w:tcPr>
            <w:tcW w:w="2694" w:type="dxa"/>
            <w:tcBorders>
              <w:top w:val="nil"/>
              <w:bottom w:val="single" w:sz="4" w:space="0" w:color="F79646" w:themeColor="accent6"/>
              <w:right w:val="single" w:sz="4" w:space="0" w:color="F79646" w:themeColor="accent6"/>
            </w:tcBorders>
            <w:shd w:val="clear" w:color="auto" w:fill="F79646" w:themeFill="accent6"/>
          </w:tcPr>
          <w:p w14:paraId="22724EA9" w14:textId="7086DF3E" w:rsidR="001D3F58" w:rsidRPr="001D3F58" w:rsidRDefault="001D3F58" w:rsidP="001D3F58">
            <w:pPr>
              <w:spacing w:line="276" w:lineRule="auto"/>
              <w:rPr>
                <w:rFonts w:cs="Arial"/>
                <w:bCs/>
              </w:rPr>
            </w:pPr>
            <w:r w:rsidRPr="007C6F2B">
              <w:rPr>
                <w:rFonts w:cs="Arial"/>
                <w:b/>
                <w:color w:val="FFFFFF" w:themeColor="background1"/>
              </w:rPr>
              <w:t>No.</w:t>
            </w:r>
          </w:p>
        </w:tc>
        <w:tc>
          <w:tcPr>
            <w:tcW w:w="6327" w:type="dxa"/>
            <w:tcBorders>
              <w:top w:val="single" w:sz="4" w:space="0" w:color="F79646" w:themeColor="accent6"/>
              <w:left w:val="single" w:sz="4" w:space="0" w:color="F79646" w:themeColor="accent6"/>
              <w:bottom w:val="single" w:sz="4" w:space="0" w:color="F79646" w:themeColor="accent6"/>
            </w:tcBorders>
            <w:shd w:val="clear" w:color="auto" w:fill="F79646" w:themeFill="accent6"/>
          </w:tcPr>
          <w:p w14:paraId="16405EF9" w14:textId="012F3F58" w:rsidR="001D3F58" w:rsidRDefault="001D3F58" w:rsidP="001D3F58">
            <w:pPr>
              <w:pStyle w:val="Probity3"/>
              <w:numPr>
                <w:ilvl w:val="0"/>
                <w:numId w:val="0"/>
              </w:numPr>
              <w:rPr>
                <w:rFonts w:cs="Arial"/>
              </w:rPr>
            </w:pPr>
            <w:r w:rsidRPr="007C6F2B">
              <w:rPr>
                <w:rFonts w:cs="Arial"/>
                <w:b/>
                <w:color w:val="FFFFFF" w:themeColor="background1"/>
              </w:rPr>
              <w:t xml:space="preserve">Recommendation </w:t>
            </w:r>
          </w:p>
        </w:tc>
      </w:tr>
      <w:tr w:rsidR="009A0411" w:rsidRPr="009B43F5" w14:paraId="324E43EA" w14:textId="77777777" w:rsidTr="00CC7417">
        <w:tc>
          <w:tcPr>
            <w:tcW w:w="2694" w:type="dxa"/>
            <w:tcBorders>
              <w:top w:val="single" w:sz="4" w:space="0" w:color="F79646" w:themeColor="accent6"/>
              <w:bottom w:val="single" w:sz="4" w:space="0" w:color="E36C0A" w:themeColor="accent6" w:themeShade="BF"/>
              <w:right w:val="single" w:sz="4" w:space="0" w:color="F79646" w:themeColor="accent6"/>
            </w:tcBorders>
            <w:shd w:val="clear" w:color="auto" w:fill="FDE9D9" w:themeFill="accent6" w:themeFillTint="33"/>
          </w:tcPr>
          <w:p w14:paraId="1D0FAD98" w14:textId="0BD53467" w:rsidR="00A17786" w:rsidRDefault="00A17786" w:rsidP="00A17786">
            <w:pPr>
              <w:spacing w:line="276" w:lineRule="auto"/>
              <w:rPr>
                <w:rFonts w:cs="Arial"/>
                <w:b/>
              </w:rPr>
            </w:pPr>
            <w:r>
              <w:rPr>
                <w:rFonts w:cs="Arial"/>
                <w:b/>
              </w:rPr>
              <w:t>Recommendation 3</w:t>
            </w:r>
          </w:p>
        </w:tc>
        <w:tc>
          <w:tcPr>
            <w:tcW w:w="6327" w:type="dxa"/>
            <w:tcBorders>
              <w:top w:val="single" w:sz="4" w:space="0" w:color="F79646" w:themeColor="accent6"/>
              <w:left w:val="single" w:sz="4" w:space="0" w:color="F79646" w:themeColor="accent6"/>
              <w:bottom w:val="single" w:sz="4" w:space="0" w:color="E36C0A" w:themeColor="accent6" w:themeShade="BF"/>
            </w:tcBorders>
            <w:shd w:val="clear" w:color="auto" w:fill="FDE9D9" w:themeFill="accent6" w:themeFillTint="33"/>
          </w:tcPr>
          <w:p w14:paraId="7D835484" w14:textId="1897D05A" w:rsidR="00A17786" w:rsidRPr="00870FFE" w:rsidRDefault="00A17786" w:rsidP="00A17786">
            <w:pPr>
              <w:pStyle w:val="Probity3"/>
              <w:numPr>
                <w:ilvl w:val="0"/>
                <w:numId w:val="0"/>
              </w:numPr>
            </w:pPr>
            <w:r>
              <w:t>Treasury monitor the regulation of certain NBL sector products, such as Buy Now, Pay Later products in order to identify any high privacy risks such that the NBL CDR Rules should be amended to address those risks (for example, in relation to the marketing of such products).</w:t>
            </w:r>
          </w:p>
        </w:tc>
      </w:tr>
      <w:tr w:rsidR="00C840CC" w:rsidRPr="009B43F5" w14:paraId="11CF8E27" w14:textId="77777777" w:rsidTr="00320D7D">
        <w:tc>
          <w:tcPr>
            <w:tcW w:w="2694" w:type="dxa"/>
            <w:tcBorders>
              <w:top w:val="single" w:sz="4" w:space="0" w:color="E36C0A" w:themeColor="accent6" w:themeShade="BF"/>
              <w:left w:val="nil"/>
              <w:bottom w:val="single" w:sz="4" w:space="0" w:color="E36C0A" w:themeColor="accent6" w:themeShade="BF"/>
              <w:right w:val="nil"/>
            </w:tcBorders>
            <w:shd w:val="clear" w:color="auto" w:fill="auto"/>
          </w:tcPr>
          <w:p w14:paraId="1441055E" w14:textId="77777777" w:rsidR="00CC7417" w:rsidRDefault="00CC7417" w:rsidP="001D3F58">
            <w:pPr>
              <w:spacing w:line="276" w:lineRule="auto"/>
              <w:rPr>
                <w:rFonts w:cs="Arial"/>
                <w:b/>
              </w:rPr>
            </w:pPr>
          </w:p>
        </w:tc>
        <w:tc>
          <w:tcPr>
            <w:tcW w:w="6327" w:type="dxa"/>
            <w:tcBorders>
              <w:top w:val="single" w:sz="4" w:space="0" w:color="E36C0A" w:themeColor="accent6" w:themeShade="BF"/>
              <w:left w:val="nil"/>
              <w:bottom w:val="single" w:sz="4" w:space="0" w:color="E36C0A" w:themeColor="accent6" w:themeShade="BF"/>
              <w:right w:val="nil"/>
            </w:tcBorders>
            <w:shd w:val="clear" w:color="auto" w:fill="auto"/>
          </w:tcPr>
          <w:p w14:paraId="1D77A3B1" w14:textId="77777777" w:rsidR="00CC7417" w:rsidRDefault="00CC7417" w:rsidP="00D424F8">
            <w:pPr>
              <w:pStyle w:val="Probity3"/>
              <w:numPr>
                <w:ilvl w:val="0"/>
                <w:numId w:val="0"/>
              </w:numPr>
              <w:rPr>
                <w:rFonts w:cs="Arial"/>
              </w:rPr>
            </w:pPr>
          </w:p>
        </w:tc>
      </w:tr>
      <w:tr w:rsidR="00C55724" w14:paraId="246DF800" w14:textId="77777777" w:rsidTr="00320D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shd w:val="clear" w:color="auto" w:fill="F79646" w:themeFill="accent6"/>
          </w:tcPr>
          <w:p w14:paraId="1492F153" w14:textId="28B2F24D" w:rsidR="00CC7417" w:rsidRPr="001D3F58" w:rsidRDefault="00CC7417" w:rsidP="00CC7417">
            <w:pPr>
              <w:spacing w:line="276" w:lineRule="auto"/>
              <w:rPr>
                <w:rFonts w:cs="Arial"/>
                <w:bCs/>
              </w:rPr>
            </w:pPr>
            <w:r w:rsidRPr="007C6F2B">
              <w:rPr>
                <w:rFonts w:cs="Arial"/>
                <w:b/>
                <w:color w:val="FFFFFF" w:themeColor="background1"/>
              </w:rPr>
              <w:t>No.</w:t>
            </w:r>
          </w:p>
        </w:tc>
        <w:tc>
          <w:tcPr>
            <w:tcW w:w="6327"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shd w:val="clear" w:color="auto" w:fill="F79646" w:themeFill="accent6"/>
          </w:tcPr>
          <w:p w14:paraId="6440C90E" w14:textId="2CE1C468" w:rsidR="00CC7417" w:rsidRDefault="00CC7417" w:rsidP="00CC7417">
            <w:pPr>
              <w:pStyle w:val="Probity3"/>
              <w:numPr>
                <w:ilvl w:val="0"/>
                <w:numId w:val="0"/>
              </w:numPr>
              <w:rPr>
                <w:rFonts w:cs="Arial"/>
              </w:rPr>
            </w:pPr>
            <w:r w:rsidRPr="007C6F2B">
              <w:rPr>
                <w:rFonts w:cs="Arial"/>
                <w:b/>
                <w:color w:val="FFFFFF" w:themeColor="background1"/>
              </w:rPr>
              <w:t xml:space="preserve">Recommendation </w:t>
            </w:r>
          </w:p>
        </w:tc>
      </w:tr>
      <w:tr w:rsidR="00C55724" w:rsidRPr="00870FFE" w14:paraId="7D4776FB" w14:textId="77777777" w:rsidTr="00320D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shd w:val="clear" w:color="auto" w:fill="FDE9D9" w:themeFill="accent6" w:themeFillTint="33"/>
          </w:tcPr>
          <w:p w14:paraId="383369FF" w14:textId="6EB8409A" w:rsidR="00A17786" w:rsidRDefault="00A17786" w:rsidP="00A17786">
            <w:pPr>
              <w:spacing w:line="276" w:lineRule="auto"/>
              <w:rPr>
                <w:rFonts w:cs="Arial"/>
                <w:b/>
              </w:rPr>
            </w:pPr>
            <w:r>
              <w:rPr>
                <w:rFonts w:cs="Arial"/>
                <w:b/>
              </w:rPr>
              <w:t xml:space="preserve">Recommendation </w:t>
            </w:r>
            <w:r w:rsidR="009D31E3">
              <w:rPr>
                <w:rFonts w:cs="Arial"/>
                <w:b/>
              </w:rPr>
              <w:t>4</w:t>
            </w:r>
          </w:p>
        </w:tc>
        <w:tc>
          <w:tcPr>
            <w:tcW w:w="6327"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shd w:val="clear" w:color="auto" w:fill="FDE9D9" w:themeFill="accent6" w:themeFillTint="33"/>
          </w:tcPr>
          <w:p w14:paraId="277637CD" w14:textId="55E7DB1F" w:rsidR="00A17786" w:rsidRDefault="00A17786" w:rsidP="00A17786">
            <w:pPr>
              <w:pStyle w:val="Probity3"/>
              <w:numPr>
                <w:ilvl w:val="0"/>
                <w:numId w:val="0"/>
              </w:numPr>
            </w:pPr>
            <w:r>
              <w:rPr>
                <w:rFonts w:cs="Arial"/>
              </w:rPr>
              <w:t xml:space="preserve">Treasury </w:t>
            </w:r>
            <w:r>
              <w:t xml:space="preserve">consider ways to support non-bank lenders who do not meet the </w:t>
            </w:r>
            <w:r>
              <w:rPr>
                <w:rFonts w:cs="Arial"/>
                <w:i/>
                <w:iCs/>
              </w:rPr>
              <w:t xml:space="preserve">de minimis </w:t>
            </w:r>
            <w:r>
              <w:rPr>
                <w:rFonts w:cs="Arial"/>
              </w:rPr>
              <w:t xml:space="preserve">threshold </w:t>
            </w:r>
            <w:r>
              <w:t>understand the benefits of the CDR and encourage them to voluntarily participate in the CDR and comply with the obligations of a data holder.</w:t>
            </w:r>
          </w:p>
        </w:tc>
      </w:tr>
      <w:tr w:rsidR="00C840CC" w:rsidRPr="00870FFE" w14:paraId="60753385" w14:textId="77777777" w:rsidTr="00320D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E36C0A" w:themeColor="accent6" w:themeShade="BF"/>
              <w:left w:val="nil"/>
              <w:bottom w:val="nil"/>
              <w:right w:val="nil"/>
            </w:tcBorders>
            <w:shd w:val="clear" w:color="auto" w:fill="FFFFFF" w:themeFill="background1"/>
          </w:tcPr>
          <w:p w14:paraId="40CF754C" w14:textId="77777777" w:rsidR="00320D7D" w:rsidRDefault="00320D7D" w:rsidP="00A17786">
            <w:pPr>
              <w:spacing w:line="276" w:lineRule="auto"/>
              <w:rPr>
                <w:rFonts w:cs="Arial"/>
                <w:b/>
              </w:rPr>
            </w:pPr>
          </w:p>
        </w:tc>
        <w:tc>
          <w:tcPr>
            <w:tcW w:w="6327" w:type="dxa"/>
            <w:tcBorders>
              <w:top w:val="single" w:sz="4" w:space="0" w:color="E36C0A" w:themeColor="accent6" w:themeShade="BF"/>
              <w:left w:val="nil"/>
              <w:bottom w:val="nil"/>
              <w:right w:val="nil"/>
            </w:tcBorders>
            <w:shd w:val="clear" w:color="auto" w:fill="FFFFFF" w:themeFill="background1"/>
          </w:tcPr>
          <w:p w14:paraId="71D3ABDD" w14:textId="77777777" w:rsidR="00320D7D" w:rsidRDefault="00320D7D" w:rsidP="00A17786">
            <w:pPr>
              <w:pStyle w:val="Probity3"/>
              <w:numPr>
                <w:ilvl w:val="0"/>
                <w:numId w:val="0"/>
              </w:numPr>
              <w:rPr>
                <w:rFonts w:cs="Arial"/>
              </w:rPr>
            </w:pPr>
          </w:p>
        </w:tc>
      </w:tr>
      <w:tr w:rsidR="00C840CC" w:rsidRPr="00870FFE" w14:paraId="34FA76B9" w14:textId="77777777" w:rsidTr="00320D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nil"/>
              <w:left w:val="single" w:sz="4" w:space="0" w:color="E36C0A" w:themeColor="accent6" w:themeShade="BF"/>
              <w:bottom w:val="single" w:sz="4" w:space="0" w:color="E36C0A" w:themeColor="accent6" w:themeShade="BF"/>
              <w:right w:val="single" w:sz="4" w:space="0" w:color="E36C0A" w:themeColor="accent6" w:themeShade="BF"/>
            </w:tcBorders>
            <w:shd w:val="clear" w:color="auto" w:fill="F79646" w:themeFill="accent6"/>
          </w:tcPr>
          <w:p w14:paraId="07C1E218" w14:textId="527C4263" w:rsidR="00320D7D" w:rsidRPr="000455FA" w:rsidRDefault="00320D7D" w:rsidP="00320D7D">
            <w:pPr>
              <w:spacing w:line="276" w:lineRule="auto"/>
              <w:rPr>
                <w:rFonts w:cs="Arial"/>
                <w:b/>
                <w:bCs/>
              </w:rPr>
            </w:pPr>
            <w:r w:rsidRPr="007C6F2B">
              <w:rPr>
                <w:rFonts w:cs="Arial"/>
                <w:b/>
                <w:color w:val="FFFFFF" w:themeColor="background1"/>
              </w:rPr>
              <w:t>No.</w:t>
            </w:r>
          </w:p>
        </w:tc>
        <w:tc>
          <w:tcPr>
            <w:tcW w:w="6327" w:type="dxa"/>
            <w:tcBorders>
              <w:top w:val="nil"/>
              <w:left w:val="single" w:sz="4" w:space="0" w:color="E36C0A" w:themeColor="accent6" w:themeShade="BF"/>
              <w:bottom w:val="single" w:sz="4" w:space="0" w:color="E36C0A" w:themeColor="accent6" w:themeShade="BF"/>
              <w:right w:val="single" w:sz="4" w:space="0" w:color="E36C0A" w:themeColor="accent6" w:themeShade="BF"/>
            </w:tcBorders>
            <w:shd w:val="clear" w:color="auto" w:fill="F79646" w:themeFill="accent6"/>
          </w:tcPr>
          <w:p w14:paraId="340B6A51" w14:textId="040BB2B9" w:rsidR="00320D7D" w:rsidRDefault="00320D7D" w:rsidP="00320D7D">
            <w:pPr>
              <w:spacing w:line="276" w:lineRule="auto"/>
              <w:rPr>
                <w:rFonts w:cs="Arial"/>
              </w:rPr>
            </w:pPr>
            <w:r w:rsidRPr="007C6F2B">
              <w:rPr>
                <w:rFonts w:cs="Arial"/>
                <w:b/>
                <w:color w:val="FFFFFF" w:themeColor="background1"/>
              </w:rPr>
              <w:t xml:space="preserve">Recommendation </w:t>
            </w:r>
          </w:p>
        </w:tc>
      </w:tr>
      <w:tr w:rsidR="00C840CC" w:rsidRPr="00870FFE" w14:paraId="5E46FC84" w14:textId="77777777" w:rsidTr="00320D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nil"/>
              <w:left w:val="single" w:sz="4" w:space="0" w:color="E36C0A" w:themeColor="accent6" w:themeShade="BF"/>
              <w:bottom w:val="single" w:sz="4" w:space="0" w:color="E36C0A" w:themeColor="accent6" w:themeShade="BF"/>
              <w:right w:val="single" w:sz="4" w:space="0" w:color="E36C0A" w:themeColor="accent6" w:themeShade="BF"/>
            </w:tcBorders>
            <w:shd w:val="clear" w:color="auto" w:fill="FDE9D9" w:themeFill="accent6" w:themeFillTint="33"/>
          </w:tcPr>
          <w:p w14:paraId="23368FC5" w14:textId="45FBE055" w:rsidR="00320D7D" w:rsidRDefault="00320D7D" w:rsidP="00A17786">
            <w:pPr>
              <w:spacing w:line="276" w:lineRule="auto"/>
              <w:rPr>
                <w:rFonts w:cs="Arial"/>
                <w:b/>
              </w:rPr>
            </w:pPr>
            <w:r w:rsidRPr="000455FA">
              <w:rPr>
                <w:rFonts w:cs="Arial"/>
                <w:b/>
                <w:bCs/>
              </w:rPr>
              <w:t xml:space="preserve">Recommendation </w:t>
            </w:r>
            <w:r>
              <w:rPr>
                <w:rFonts w:cs="Arial"/>
                <w:b/>
                <w:bCs/>
              </w:rPr>
              <w:t>5</w:t>
            </w:r>
            <w:r>
              <w:rPr>
                <w:rFonts w:cs="Arial"/>
              </w:rPr>
              <w:t xml:space="preserve"> </w:t>
            </w:r>
          </w:p>
        </w:tc>
        <w:tc>
          <w:tcPr>
            <w:tcW w:w="6327" w:type="dxa"/>
            <w:tcBorders>
              <w:top w:val="nil"/>
              <w:left w:val="single" w:sz="4" w:space="0" w:color="E36C0A" w:themeColor="accent6" w:themeShade="BF"/>
              <w:bottom w:val="single" w:sz="4" w:space="0" w:color="E36C0A" w:themeColor="accent6" w:themeShade="BF"/>
              <w:right w:val="single" w:sz="4" w:space="0" w:color="E36C0A" w:themeColor="accent6" w:themeShade="BF"/>
            </w:tcBorders>
            <w:shd w:val="clear" w:color="auto" w:fill="FDE9D9" w:themeFill="accent6" w:themeFillTint="33"/>
          </w:tcPr>
          <w:p w14:paraId="5937F55C" w14:textId="77777777" w:rsidR="00320D7D" w:rsidRDefault="00320D7D" w:rsidP="00320D7D">
            <w:pPr>
              <w:spacing w:line="276" w:lineRule="auto"/>
            </w:pPr>
            <w:r>
              <w:rPr>
                <w:rFonts w:cs="Arial"/>
              </w:rPr>
              <w:t>Treasury</w:t>
            </w:r>
            <w:r>
              <w:t xml:space="preserve"> monitor the implementation of data holder’s obligations to see if any privacy concerns arise. </w:t>
            </w:r>
          </w:p>
          <w:p w14:paraId="7F363973" w14:textId="52CCABC1" w:rsidR="00320D7D" w:rsidRDefault="00320D7D" w:rsidP="00320D7D">
            <w:pPr>
              <w:pStyle w:val="Probity3"/>
              <w:numPr>
                <w:ilvl w:val="0"/>
                <w:numId w:val="0"/>
              </w:numPr>
              <w:rPr>
                <w:rFonts w:cs="Arial"/>
              </w:rPr>
            </w:pPr>
            <w:r>
              <w:t xml:space="preserve">Treasury should engage with industry and stakeholders to identify instances where the information security / privacy-related IT infrastructure is particularly difficult to implement and if so, consider whether the timing of obligations should be amended. </w:t>
            </w:r>
          </w:p>
        </w:tc>
      </w:tr>
    </w:tbl>
    <w:p w14:paraId="37DDE76E" w14:textId="6BF4A372" w:rsidR="007C6F2B" w:rsidRDefault="007C6F2B" w:rsidP="00EE45FB">
      <w:pPr>
        <w:pStyle w:val="Probity3"/>
        <w:numPr>
          <w:ilvl w:val="0"/>
          <w:numId w:val="0"/>
        </w:numPr>
        <w:rPr>
          <w:rFonts w:cs="Arial"/>
          <w:b/>
          <w:bCs/>
        </w:rPr>
      </w:pPr>
    </w:p>
    <w:p w14:paraId="6248A1EA" w14:textId="77777777" w:rsidR="002B57FA" w:rsidRDefault="002B57FA">
      <w:pPr>
        <w:spacing w:before="0" w:after="200" w:line="276" w:lineRule="auto"/>
        <w:rPr>
          <w:color w:val="D95E00"/>
          <w:sz w:val="40"/>
          <w:szCs w:val="40"/>
        </w:rPr>
      </w:pPr>
      <w:r>
        <w:br w:type="page"/>
      </w:r>
    </w:p>
    <w:p w14:paraId="3D57AB36" w14:textId="70F3FF6F" w:rsidR="00EF7EA6" w:rsidRDefault="00EF7EA6" w:rsidP="001A78DB">
      <w:pPr>
        <w:pStyle w:val="Probity1"/>
        <w:keepNext/>
      </w:pPr>
      <w:bookmarkStart w:id="84" w:name="_Ref136952642"/>
      <w:bookmarkStart w:id="85" w:name="_Toc151587389"/>
      <w:r>
        <w:t>Key issues raised in response to consultation</w:t>
      </w:r>
      <w:bookmarkEnd w:id="84"/>
      <w:bookmarkEnd w:id="85"/>
      <w:r>
        <w:t xml:space="preserve"> </w:t>
      </w:r>
    </w:p>
    <w:p w14:paraId="3B6DFCFE" w14:textId="12DA3FB6" w:rsidR="005A6CB4" w:rsidRDefault="005A6CB4" w:rsidP="005A6CB4">
      <w:pPr>
        <w:pStyle w:val="Probity2"/>
      </w:pPr>
      <w:bookmarkStart w:id="86" w:name="_Ref24616154"/>
      <w:r>
        <w:t xml:space="preserve">The Treasury </w:t>
      </w:r>
      <w:r w:rsidRPr="00B96D8A">
        <w:t xml:space="preserve">and the </w:t>
      </w:r>
      <w:r w:rsidRPr="00306EEC">
        <w:t xml:space="preserve">DSB </w:t>
      </w:r>
      <w:r w:rsidRPr="000274AA">
        <w:t>have</w:t>
      </w:r>
      <w:r>
        <w:t xml:space="preserve"> undertaken a number of consultation processes as part of the Project.</w:t>
      </w:r>
    </w:p>
    <w:p w14:paraId="058F6D34" w14:textId="77777777" w:rsidR="005A6CB4" w:rsidRPr="007B61E8" w:rsidRDefault="005A6CB4" w:rsidP="005A6CB4">
      <w:pPr>
        <w:pStyle w:val="Probity2"/>
        <w:numPr>
          <w:ilvl w:val="0"/>
          <w:numId w:val="0"/>
        </w:numPr>
        <w:rPr>
          <w:b/>
          <w:bCs/>
          <w:i/>
          <w:iCs/>
        </w:rPr>
      </w:pPr>
      <w:r>
        <w:rPr>
          <w:b/>
          <w:bCs/>
          <w:i/>
          <w:iCs/>
        </w:rPr>
        <w:t>(a)</w:t>
      </w:r>
      <w:r>
        <w:rPr>
          <w:b/>
          <w:bCs/>
          <w:i/>
          <w:iCs/>
        </w:rPr>
        <w:tab/>
        <w:t>Previ</w:t>
      </w:r>
      <w:r w:rsidRPr="007B61E8">
        <w:rPr>
          <w:b/>
          <w:bCs/>
          <w:i/>
          <w:iCs/>
        </w:rPr>
        <w:t xml:space="preserve">ous consultation processes in respect of the Project </w:t>
      </w:r>
    </w:p>
    <w:p w14:paraId="6A5D0E99" w14:textId="7F963CEC" w:rsidR="005A6CB4" w:rsidRDefault="005A6CB4" w:rsidP="005A6CB4">
      <w:pPr>
        <w:pStyle w:val="Probity2"/>
      </w:pPr>
      <w:r w:rsidRPr="00FF2D79">
        <w:t xml:space="preserve">On </w:t>
      </w:r>
      <w:r w:rsidRPr="00A24E4B">
        <w:t>15 March 2022</w:t>
      </w:r>
      <w:r w:rsidRPr="00FF2D79">
        <w:t>,</w:t>
      </w:r>
      <w:r>
        <w:t xml:space="preserve"> </w:t>
      </w:r>
      <w:r w:rsidRPr="00FB210A">
        <w:t xml:space="preserve">the </w:t>
      </w:r>
      <w:r>
        <w:t xml:space="preserve">Treasury </w:t>
      </w:r>
      <w:r w:rsidR="001D3F58">
        <w:t xml:space="preserve">undertook a consultation process so as to assess </w:t>
      </w:r>
      <w:r w:rsidRPr="001F0A8C">
        <w:t xml:space="preserve">whether to </w:t>
      </w:r>
      <w:r w:rsidRPr="00665CB8">
        <w:t>expand the</w:t>
      </w:r>
      <w:r w:rsidRPr="00C04CAF">
        <w:t xml:space="preserve"> CDR to the</w:t>
      </w:r>
      <w:r w:rsidRPr="007202A5">
        <w:t xml:space="preserve"> </w:t>
      </w:r>
      <w:r w:rsidRPr="007B61E8">
        <w:t xml:space="preserve">NBL </w:t>
      </w:r>
      <w:r w:rsidRPr="006962B2">
        <w:t>sector</w:t>
      </w:r>
      <w:r w:rsidR="001D3F58">
        <w:t xml:space="preserve">, by the </w:t>
      </w:r>
      <w:r w:rsidRPr="00C316CF">
        <w:rPr>
          <w:i/>
          <w:iCs/>
        </w:rPr>
        <w:t>Consumer Data Right Non-Bank Lending Sectoral Assessment: Consultation Paper</w:t>
      </w:r>
      <w:r w:rsidRPr="006962B2">
        <w:t>.</w:t>
      </w:r>
      <w:r>
        <w:rPr>
          <w:rStyle w:val="FootnoteReference"/>
        </w:rPr>
        <w:footnoteReference w:id="16"/>
      </w:r>
      <w:r>
        <w:t xml:space="preserve"> </w:t>
      </w:r>
      <w:r w:rsidRPr="0026014E">
        <w:t>Responses to</w:t>
      </w:r>
      <w:r>
        <w:t xml:space="preserve"> </w:t>
      </w:r>
      <w:r w:rsidRPr="004618DC">
        <w:t>t</w:t>
      </w:r>
      <w:r w:rsidR="001D3F58">
        <w:t>hat</w:t>
      </w:r>
      <w:r w:rsidRPr="004618DC">
        <w:t xml:space="preserve"> consultation</w:t>
      </w:r>
      <w:r>
        <w:t xml:space="preserve"> </w:t>
      </w:r>
      <w:r w:rsidRPr="00DE4B24">
        <w:t>informed</w:t>
      </w:r>
      <w:r>
        <w:t xml:space="preserve"> </w:t>
      </w:r>
      <w:r w:rsidR="00C36245">
        <w:t>the</w:t>
      </w:r>
      <w:r>
        <w:t xml:space="preserve"> </w:t>
      </w:r>
      <w:r w:rsidR="001D3F58" w:rsidRPr="0017742B">
        <w:t>NBL Sector Report</w:t>
      </w:r>
      <w:r w:rsidRPr="00DB0C90">
        <w:t xml:space="preserve">, </w:t>
      </w:r>
      <w:r w:rsidRPr="003B52A4">
        <w:t xml:space="preserve">which </w:t>
      </w:r>
      <w:r w:rsidRPr="00AF4976">
        <w:t>recommended that the CDR be designated</w:t>
      </w:r>
      <w:r>
        <w:t xml:space="preserve"> </w:t>
      </w:r>
      <w:r w:rsidRPr="009F7B23">
        <w:t xml:space="preserve">in the </w:t>
      </w:r>
      <w:r w:rsidRPr="00857BA1">
        <w:t xml:space="preserve">NBL </w:t>
      </w:r>
      <w:r w:rsidRPr="009F7B23">
        <w:t>sector.</w:t>
      </w:r>
    </w:p>
    <w:p w14:paraId="0C418D58" w14:textId="1C936B71" w:rsidR="00C36245" w:rsidRDefault="005A6CB4" w:rsidP="005A6CB4">
      <w:pPr>
        <w:pStyle w:val="Probity2"/>
      </w:pPr>
      <w:r w:rsidRPr="007B61E8">
        <w:t xml:space="preserve">Following the release of the </w:t>
      </w:r>
      <w:r w:rsidR="001D3F58" w:rsidRPr="0017742B">
        <w:t>NBL Sector Report</w:t>
      </w:r>
      <w:r w:rsidRPr="007B61E8">
        <w:t>,</w:t>
      </w:r>
      <w:r>
        <w:t xml:space="preserve"> </w:t>
      </w:r>
      <w:r w:rsidRPr="00FB210A">
        <w:t xml:space="preserve">the </w:t>
      </w:r>
      <w:r>
        <w:t xml:space="preserve">Treasury </w:t>
      </w:r>
      <w:r w:rsidRPr="00D275F1">
        <w:t>consulted on the</w:t>
      </w:r>
      <w:r>
        <w:t xml:space="preserve"> </w:t>
      </w:r>
      <w:r w:rsidRPr="007618C6">
        <w:t>draft</w:t>
      </w:r>
      <w:r>
        <w:t xml:space="preserve"> </w:t>
      </w:r>
      <w:r w:rsidR="001D3F58" w:rsidRPr="001D3F58">
        <w:t>NBL Sector Designation</w:t>
      </w:r>
      <w:r w:rsidRPr="004C05EE">
        <w:t>.</w:t>
      </w:r>
      <w:r>
        <w:t xml:space="preserve"> </w:t>
      </w:r>
      <w:r w:rsidR="00666FD4">
        <w:t>While designation does not of itself impose any data sharing obligations, t</w:t>
      </w:r>
      <w:r w:rsidRPr="005C48EE">
        <w:t>his</w:t>
      </w:r>
      <w:r>
        <w:t xml:space="preserve"> </w:t>
      </w:r>
      <w:r w:rsidR="00666FD4">
        <w:t xml:space="preserve">designation </w:t>
      </w:r>
      <w:r w:rsidRPr="00952E70">
        <w:t>specified</w:t>
      </w:r>
      <w:r>
        <w:t xml:space="preserve"> the classes of information that may be shared through the CDR, as well as the non-bank lenders that may be data holders</w:t>
      </w:r>
      <w:r w:rsidRPr="00E1755B">
        <w:t>.</w:t>
      </w:r>
      <w:r>
        <w:rPr>
          <w:rStyle w:val="FootnoteReference"/>
        </w:rPr>
        <w:footnoteReference w:id="17"/>
      </w:r>
      <w:r>
        <w:t xml:space="preserve"> </w:t>
      </w:r>
    </w:p>
    <w:p w14:paraId="0F05F1F4" w14:textId="3541D435" w:rsidR="005A6CB4" w:rsidRDefault="005A6CB4" w:rsidP="005A6CB4">
      <w:pPr>
        <w:pStyle w:val="Probity2"/>
      </w:pPr>
      <w:r w:rsidRPr="00CE4F7D">
        <w:t xml:space="preserve">On </w:t>
      </w:r>
      <w:r w:rsidRPr="008877B6">
        <w:t>21 November 2022</w:t>
      </w:r>
      <w:r>
        <w:t xml:space="preserve">, </w:t>
      </w:r>
      <w:r w:rsidRPr="00CE4F7D">
        <w:t xml:space="preserve">the Minister formally designated the </w:t>
      </w:r>
      <w:r w:rsidRPr="007B61E8">
        <w:t xml:space="preserve">NBL </w:t>
      </w:r>
      <w:r w:rsidRPr="00CE4F7D">
        <w:t>sector</w:t>
      </w:r>
      <w:r w:rsidR="00691327">
        <w:t xml:space="preserve"> for inclusion in the CDR</w:t>
      </w:r>
      <w:r w:rsidRPr="00CE4F7D">
        <w:t>.</w:t>
      </w:r>
      <w:r>
        <w:rPr>
          <w:rStyle w:val="FootnoteReference"/>
        </w:rPr>
        <w:footnoteReference w:id="18"/>
      </w:r>
    </w:p>
    <w:p w14:paraId="4CD978B6" w14:textId="6DD22C57" w:rsidR="005A6CB4" w:rsidRPr="007B61E8" w:rsidRDefault="005A6CB4" w:rsidP="005A6CB4">
      <w:pPr>
        <w:pStyle w:val="Probity2"/>
        <w:numPr>
          <w:ilvl w:val="0"/>
          <w:numId w:val="0"/>
        </w:numPr>
        <w:rPr>
          <w:b/>
          <w:bCs/>
          <w:i/>
          <w:iCs/>
        </w:rPr>
      </w:pPr>
      <w:r w:rsidRPr="007B61E8">
        <w:rPr>
          <w:rFonts w:cs="Arial"/>
          <w:b/>
          <w:bCs/>
          <w:i/>
          <w:iCs/>
          <w:shd w:val="clear" w:color="auto" w:fill="FFFFFF"/>
        </w:rPr>
        <w:t>(</w:t>
      </w:r>
      <w:r w:rsidRPr="004E68EF">
        <w:rPr>
          <w:rFonts w:cs="Arial"/>
          <w:b/>
          <w:bCs/>
          <w:i/>
          <w:iCs/>
          <w:shd w:val="clear" w:color="auto" w:fill="FFFFFF"/>
        </w:rPr>
        <w:t>b)</w:t>
      </w:r>
      <w:r w:rsidRPr="004E68EF">
        <w:rPr>
          <w:rFonts w:cs="Arial"/>
          <w:b/>
          <w:bCs/>
          <w:i/>
          <w:iCs/>
          <w:shd w:val="clear" w:color="auto" w:fill="FFFFFF"/>
        </w:rPr>
        <w:tab/>
        <w:t xml:space="preserve">Consultation in relation to the </w:t>
      </w:r>
      <w:r w:rsidR="00691327" w:rsidRPr="00691327">
        <w:rPr>
          <w:b/>
          <w:bCs/>
          <w:i/>
          <w:iCs/>
        </w:rPr>
        <w:t>NBL sector Design Paper</w:t>
      </w:r>
    </w:p>
    <w:p w14:paraId="4DF8C658" w14:textId="08395EA1" w:rsidR="005A6CB4" w:rsidRPr="007B61E8" w:rsidRDefault="0021269C" w:rsidP="005A6CB4">
      <w:pPr>
        <w:pStyle w:val="Probity2"/>
      </w:pPr>
      <w:r>
        <w:t>In December 2022, t</w:t>
      </w:r>
      <w:r w:rsidR="005A6CB4" w:rsidRPr="007B61E8">
        <w:t xml:space="preserve">he </w:t>
      </w:r>
      <w:r w:rsidR="005A6CB4">
        <w:t>Treasury</w:t>
      </w:r>
      <w:r w:rsidR="00666FD4">
        <w:t xml:space="preserve"> and DSB</w:t>
      </w:r>
      <w:r w:rsidR="005A6CB4" w:rsidRPr="007B61E8">
        <w:t xml:space="preserve"> undert</w:t>
      </w:r>
      <w:r w:rsidR="00D516E3">
        <w:t>oo</w:t>
      </w:r>
      <w:r w:rsidR="005A6CB4" w:rsidRPr="007B61E8">
        <w:t xml:space="preserve">k a consultation to inform the </w:t>
      </w:r>
      <w:r w:rsidR="005A6CB4">
        <w:t xml:space="preserve">Treasury </w:t>
      </w:r>
      <w:r w:rsidR="005A6CB4" w:rsidRPr="007B61E8">
        <w:t xml:space="preserve">and the DSB </w:t>
      </w:r>
      <w:r w:rsidR="005A6CB4" w:rsidRPr="007B61E8">
        <w:rPr>
          <w:rFonts w:cs="Arial"/>
          <w:shd w:val="clear" w:color="auto" w:fill="FFFFFF"/>
        </w:rPr>
        <w:t>on the development of rules and data standards to implement the CDR in the NBL sector.</w:t>
      </w:r>
      <w:r w:rsidR="005A6CB4" w:rsidRPr="007B61E8">
        <w:rPr>
          <w:rStyle w:val="FootnoteReference"/>
          <w:rFonts w:cs="Arial"/>
          <w:shd w:val="clear" w:color="auto" w:fill="FFFFFF"/>
        </w:rPr>
        <w:footnoteReference w:id="19"/>
      </w:r>
      <w:r w:rsidR="005A6CB4" w:rsidRPr="007B61E8">
        <w:rPr>
          <w:rFonts w:cs="Arial"/>
          <w:shd w:val="clear" w:color="auto" w:fill="FFFFFF"/>
        </w:rPr>
        <w:t xml:space="preserve">  </w:t>
      </w:r>
      <w:r w:rsidR="00D516E3">
        <w:rPr>
          <w:rFonts w:cs="Arial"/>
          <w:shd w:val="clear" w:color="auto" w:fill="FFFFFF"/>
        </w:rPr>
        <w:t xml:space="preserve">The </w:t>
      </w:r>
      <w:r w:rsidR="00D516E3" w:rsidRPr="00D516E3">
        <w:t>NBL sector Design Paper</w:t>
      </w:r>
      <w:r w:rsidR="00D516E3" w:rsidRPr="00D1014B">
        <w:t xml:space="preserve"> </w:t>
      </w:r>
      <w:r w:rsidR="005A6CB4" w:rsidRPr="007B61E8">
        <w:rPr>
          <w:rFonts w:cs="Arial"/>
          <w:shd w:val="clear" w:color="auto" w:fill="FFFFFF"/>
        </w:rPr>
        <w:t xml:space="preserve">was </w:t>
      </w:r>
      <w:r w:rsidR="005A6CB4" w:rsidRPr="007B61E8">
        <w:t>made available for stakeholders’ consideration, which sought to elicit feedback on a range of issues in respect to the rules and data standards.  That consultation closed on 31 January 2023.</w:t>
      </w:r>
      <w:r w:rsidR="005A6CB4" w:rsidRPr="007B61E8">
        <w:rPr>
          <w:rFonts w:cs="Arial"/>
          <w:shd w:val="clear" w:color="auto" w:fill="FFFFFF"/>
        </w:rPr>
        <w:t xml:space="preserve"> </w:t>
      </w:r>
    </w:p>
    <w:p w14:paraId="5BDDEAD8" w14:textId="443CDD91" w:rsidR="005A6CB4" w:rsidRPr="00D516E3" w:rsidRDefault="005A6CB4" w:rsidP="005A6CB4">
      <w:pPr>
        <w:pStyle w:val="Probity2"/>
      </w:pPr>
      <w:bookmarkStart w:id="87" w:name="_Ref137071041"/>
      <w:r w:rsidRPr="007B61E8">
        <w:t xml:space="preserve">We have considered the following responses </w:t>
      </w:r>
      <w:r w:rsidR="00D516E3">
        <w:t xml:space="preserve">to that </w:t>
      </w:r>
      <w:r w:rsidR="00D516E3" w:rsidRPr="00D516E3">
        <w:t>NBL sector Design Paper consultation process</w:t>
      </w:r>
      <w:r w:rsidRPr="00D516E3">
        <w:t>:</w:t>
      </w:r>
      <w:bookmarkEnd w:id="87"/>
    </w:p>
    <w:p w14:paraId="62961F27" w14:textId="77777777" w:rsidR="00215CF4" w:rsidRDefault="00215CF4" w:rsidP="00215CF4">
      <w:pPr>
        <w:pStyle w:val="Probity3"/>
      </w:pPr>
      <w:proofErr w:type="spellStart"/>
      <w:r>
        <w:t>Adatree</w:t>
      </w:r>
      <w:proofErr w:type="spellEnd"/>
      <w:r>
        <w:t xml:space="preserve"> </w:t>
      </w:r>
    </w:p>
    <w:p w14:paraId="139DDEAC" w14:textId="77777777" w:rsidR="00215CF4" w:rsidRDefault="00215CF4" w:rsidP="00215CF4">
      <w:pPr>
        <w:pStyle w:val="Probity3"/>
      </w:pPr>
      <w:r>
        <w:t>Australian Banking Association</w:t>
      </w:r>
    </w:p>
    <w:p w14:paraId="15ED4848" w14:textId="7EAC19B4" w:rsidR="00215CF4" w:rsidRPr="004E68EF" w:rsidRDefault="00215CF4" w:rsidP="00215CF4">
      <w:pPr>
        <w:pStyle w:val="Probity3"/>
      </w:pPr>
      <w:r w:rsidRPr="004E68EF">
        <w:t xml:space="preserve">Australian Collectors &amp; Debt Buyers Association </w:t>
      </w:r>
    </w:p>
    <w:p w14:paraId="1E93DD51" w14:textId="77777777" w:rsidR="00215CF4" w:rsidRPr="004E68EF" w:rsidRDefault="00215CF4" w:rsidP="00215CF4">
      <w:pPr>
        <w:pStyle w:val="Probity3"/>
      </w:pPr>
      <w:r w:rsidRPr="004E68EF">
        <w:t xml:space="preserve">Australian Competition and Consumer Commission </w:t>
      </w:r>
    </w:p>
    <w:p w14:paraId="44C53BB7" w14:textId="77777777" w:rsidR="00215CF4" w:rsidRPr="004E68EF" w:rsidRDefault="00215CF4" w:rsidP="00215CF4">
      <w:pPr>
        <w:pStyle w:val="Probity3"/>
      </w:pPr>
      <w:r w:rsidRPr="004E68EF">
        <w:t xml:space="preserve">Australian Finance Group </w:t>
      </w:r>
    </w:p>
    <w:p w14:paraId="6B87483E" w14:textId="08A3294F" w:rsidR="005A6CB4" w:rsidRDefault="005A6CB4" w:rsidP="005A6CB4">
      <w:pPr>
        <w:pStyle w:val="Probity3"/>
      </w:pPr>
      <w:r w:rsidRPr="004E68EF">
        <w:t>Australian Financial Industry Association</w:t>
      </w:r>
    </w:p>
    <w:p w14:paraId="572FA545" w14:textId="77777777" w:rsidR="00215CF4" w:rsidRPr="004E68EF" w:rsidRDefault="00215CF4" w:rsidP="00215CF4">
      <w:pPr>
        <w:pStyle w:val="Probity3"/>
      </w:pPr>
      <w:r w:rsidRPr="004E68EF">
        <w:t xml:space="preserve">Australian </w:t>
      </w:r>
      <w:r>
        <w:t xml:space="preserve">Retail </w:t>
      </w:r>
      <w:r w:rsidRPr="004E68EF">
        <w:t xml:space="preserve">Credit Association </w:t>
      </w:r>
    </w:p>
    <w:p w14:paraId="0B5D2458" w14:textId="5895C0AA" w:rsidR="00215CF4" w:rsidRDefault="00215CF4" w:rsidP="00215CF4">
      <w:pPr>
        <w:pStyle w:val="Probity3"/>
      </w:pPr>
      <w:r>
        <w:t xml:space="preserve">Australian Securitisation Forum </w:t>
      </w:r>
    </w:p>
    <w:p w14:paraId="37B215C3" w14:textId="77777777" w:rsidR="00215CF4" w:rsidRPr="004E68EF" w:rsidRDefault="00215CF4" w:rsidP="00215CF4">
      <w:pPr>
        <w:pStyle w:val="Probity3"/>
      </w:pPr>
      <w:r w:rsidRPr="004E68EF">
        <w:t xml:space="preserve">Australian Small Business and Family Enterprise Ombudsman </w:t>
      </w:r>
    </w:p>
    <w:p w14:paraId="3716ABD3" w14:textId="77777777" w:rsidR="00215CF4" w:rsidRPr="004E68EF" w:rsidRDefault="00215CF4" w:rsidP="00215CF4">
      <w:pPr>
        <w:pStyle w:val="Probity3"/>
      </w:pPr>
      <w:proofErr w:type="spellStart"/>
      <w:r w:rsidRPr="004E68EF">
        <w:t>Basiq</w:t>
      </w:r>
      <w:proofErr w:type="spellEnd"/>
      <w:r w:rsidRPr="004E68EF">
        <w:t xml:space="preserve"> </w:t>
      </w:r>
    </w:p>
    <w:p w14:paraId="43C58134" w14:textId="77777777" w:rsidR="00215CF4" w:rsidRPr="004E68EF" w:rsidRDefault="00215CF4" w:rsidP="00215CF4">
      <w:pPr>
        <w:pStyle w:val="Probity3"/>
      </w:pPr>
      <w:r w:rsidRPr="004E68EF">
        <w:t xml:space="preserve">Biza.io </w:t>
      </w:r>
    </w:p>
    <w:p w14:paraId="0AFA7479" w14:textId="77777777" w:rsidR="00215CF4" w:rsidRDefault="00215CF4" w:rsidP="00215CF4">
      <w:pPr>
        <w:pStyle w:val="Probity3"/>
      </w:pPr>
      <w:r w:rsidRPr="004E68EF">
        <w:t xml:space="preserve">Block, Inc </w:t>
      </w:r>
    </w:p>
    <w:p w14:paraId="53C7BE76" w14:textId="77777777" w:rsidR="00215CF4" w:rsidRPr="004E68EF" w:rsidRDefault="00215CF4" w:rsidP="00215CF4">
      <w:pPr>
        <w:pStyle w:val="Probity3"/>
      </w:pPr>
      <w:r w:rsidRPr="004E68EF">
        <w:t xml:space="preserve">CDFP Limited </w:t>
      </w:r>
    </w:p>
    <w:p w14:paraId="02DFF504" w14:textId="77777777" w:rsidR="00215CF4" w:rsidRDefault="00215CF4" w:rsidP="00215CF4">
      <w:pPr>
        <w:pStyle w:val="Probity3"/>
      </w:pPr>
      <w:r w:rsidRPr="004E68EF">
        <w:t xml:space="preserve">Cuscal </w:t>
      </w:r>
    </w:p>
    <w:p w14:paraId="359E3B3B" w14:textId="3879983A" w:rsidR="00215CF4" w:rsidRPr="004E68EF" w:rsidRDefault="00215CF4" w:rsidP="00215CF4">
      <w:pPr>
        <w:pStyle w:val="Probity3"/>
      </w:pPr>
      <w:r w:rsidRPr="004E68EF">
        <w:t xml:space="preserve">Finance Brokers of Australia Limited </w:t>
      </w:r>
    </w:p>
    <w:p w14:paraId="3719CBEA" w14:textId="77777777" w:rsidR="00215CF4" w:rsidRDefault="00215CF4" w:rsidP="00215CF4">
      <w:pPr>
        <w:pStyle w:val="Probity3"/>
      </w:pPr>
      <w:r w:rsidRPr="004E68EF">
        <w:t xml:space="preserve">Financial Legal Rights Centre </w:t>
      </w:r>
    </w:p>
    <w:p w14:paraId="2C488CCE" w14:textId="77777777" w:rsidR="00215CF4" w:rsidRDefault="00215CF4" w:rsidP="00215CF4">
      <w:pPr>
        <w:pStyle w:val="Probity3"/>
      </w:pPr>
      <w:r>
        <w:t>FinTech Australia</w:t>
      </w:r>
    </w:p>
    <w:p w14:paraId="74C088C9" w14:textId="77777777" w:rsidR="00215CF4" w:rsidRPr="004E68EF" w:rsidRDefault="00215CF4" w:rsidP="00215CF4">
      <w:pPr>
        <w:pStyle w:val="Probity3"/>
      </w:pPr>
      <w:r w:rsidRPr="004E68EF">
        <w:t xml:space="preserve">Frollo </w:t>
      </w:r>
    </w:p>
    <w:p w14:paraId="32AFD863" w14:textId="5E8D96E1" w:rsidR="00215CF4" w:rsidRPr="004E68EF" w:rsidRDefault="00215CF4" w:rsidP="00215CF4">
      <w:pPr>
        <w:pStyle w:val="Probity3"/>
      </w:pPr>
      <w:r w:rsidRPr="004E68EF">
        <w:t>Joint submission from Chartered Accountants Australian &amp; New Zealand, CPA Australia, and the Institute of Public Accountants</w:t>
      </w:r>
      <w:r w:rsidR="00693D5C">
        <w:t>,</w:t>
      </w:r>
    </w:p>
    <w:p w14:paraId="44279791" w14:textId="16ACCDB6" w:rsidR="005A6CB4" w:rsidRDefault="005A6CB4" w:rsidP="005A6CB4">
      <w:pPr>
        <w:pStyle w:val="Probity3"/>
      </w:pPr>
      <w:r w:rsidRPr="004E68EF">
        <w:t>Tech Council of Australia</w:t>
      </w:r>
      <w:r w:rsidR="00693D5C">
        <w:t xml:space="preserve">, and </w:t>
      </w:r>
    </w:p>
    <w:p w14:paraId="5F819554" w14:textId="1A889BCD" w:rsidR="00693D5C" w:rsidRPr="004E68EF" w:rsidRDefault="00693D5C" w:rsidP="005A6CB4">
      <w:pPr>
        <w:pStyle w:val="Probity3"/>
      </w:pPr>
      <w:r>
        <w:t xml:space="preserve">Officer level feedback from the OAIC. </w:t>
      </w:r>
    </w:p>
    <w:p w14:paraId="37139C55" w14:textId="3A077C58" w:rsidR="005A6CB4" w:rsidRDefault="005A6CB4" w:rsidP="005A6CB4">
      <w:pPr>
        <w:pStyle w:val="Probity2"/>
      </w:pPr>
      <w:bookmarkStart w:id="88" w:name="_Ref137103589"/>
      <w:r>
        <w:t>We have also considered three additional submissions that were received on a confidential basis.</w:t>
      </w:r>
      <w:bookmarkEnd w:id="88"/>
      <w:r>
        <w:t xml:space="preserve"> </w:t>
      </w:r>
    </w:p>
    <w:p w14:paraId="0349C8BC" w14:textId="40DA3C62" w:rsidR="002806F3" w:rsidRPr="002806F3" w:rsidRDefault="002806F3" w:rsidP="002806F3">
      <w:pPr>
        <w:pStyle w:val="Probity2"/>
        <w:numPr>
          <w:ilvl w:val="0"/>
          <w:numId w:val="0"/>
        </w:numPr>
        <w:ind w:left="705" w:hanging="705"/>
        <w:rPr>
          <w:rFonts w:cs="Arial"/>
          <w:b/>
          <w:bCs/>
          <w:i/>
          <w:iCs/>
          <w:shd w:val="clear" w:color="auto" w:fill="FFFFFF"/>
        </w:rPr>
      </w:pPr>
      <w:r>
        <w:rPr>
          <w:rFonts w:cs="Arial"/>
          <w:b/>
          <w:bCs/>
          <w:i/>
          <w:iCs/>
          <w:shd w:val="clear" w:color="auto" w:fill="FFFFFF"/>
        </w:rPr>
        <w:t>(c)</w:t>
      </w:r>
      <w:r>
        <w:rPr>
          <w:rFonts w:cs="Arial"/>
          <w:b/>
          <w:bCs/>
          <w:i/>
          <w:iCs/>
          <w:shd w:val="clear" w:color="auto" w:fill="FFFFFF"/>
        </w:rPr>
        <w:tab/>
      </w:r>
      <w:r w:rsidRPr="002806F3">
        <w:rPr>
          <w:rFonts w:cs="Arial"/>
          <w:b/>
          <w:bCs/>
          <w:i/>
          <w:iCs/>
          <w:shd w:val="clear" w:color="auto" w:fill="FFFFFF"/>
        </w:rPr>
        <w:t>Consultation in relation to the</w:t>
      </w:r>
      <w:r w:rsidR="00DA59F8">
        <w:rPr>
          <w:rFonts w:cs="Arial"/>
          <w:b/>
          <w:bCs/>
          <w:i/>
          <w:iCs/>
          <w:shd w:val="clear" w:color="auto" w:fill="FFFFFF"/>
        </w:rPr>
        <w:t xml:space="preserve"> NBL</w:t>
      </w:r>
      <w:r w:rsidRPr="002806F3">
        <w:rPr>
          <w:rFonts w:cs="Arial"/>
          <w:b/>
          <w:bCs/>
          <w:i/>
          <w:iCs/>
          <w:shd w:val="clear" w:color="auto" w:fill="FFFFFF"/>
        </w:rPr>
        <w:t xml:space="preserve"> CDR </w:t>
      </w:r>
      <w:r w:rsidR="00DA59F8">
        <w:rPr>
          <w:rFonts w:cs="Arial"/>
          <w:b/>
          <w:bCs/>
          <w:i/>
          <w:iCs/>
          <w:shd w:val="clear" w:color="auto" w:fill="FFFFFF"/>
        </w:rPr>
        <w:t>R</w:t>
      </w:r>
      <w:r w:rsidRPr="002806F3">
        <w:rPr>
          <w:rFonts w:cs="Arial"/>
          <w:b/>
          <w:bCs/>
          <w:i/>
          <w:iCs/>
          <w:shd w:val="clear" w:color="auto" w:fill="FFFFFF"/>
        </w:rPr>
        <w:t>ules draft amendments, explanatory materials and draft of this PIA</w:t>
      </w:r>
    </w:p>
    <w:p w14:paraId="38234C28" w14:textId="6E5A6834" w:rsidR="001269F1" w:rsidRDefault="0021269C" w:rsidP="005A6CB4">
      <w:pPr>
        <w:pStyle w:val="Probity2"/>
      </w:pPr>
      <w:r>
        <w:t xml:space="preserve">In August 2023, the </w:t>
      </w:r>
      <w:r w:rsidR="00CB358E">
        <w:t>Treasury and DSB subsequently undertook a public consultation on the</w:t>
      </w:r>
      <w:r w:rsidR="001269F1">
        <w:t xml:space="preserve"> following material: </w:t>
      </w:r>
    </w:p>
    <w:p w14:paraId="653AFBB7" w14:textId="35EC25E6" w:rsidR="001269F1" w:rsidRDefault="00CB358E" w:rsidP="00D1014B">
      <w:pPr>
        <w:pStyle w:val="Probity3"/>
      </w:pPr>
      <w:r w:rsidRPr="00CB358E">
        <w:t>exposure draft amendments to the CDR Rules</w:t>
      </w:r>
      <w:r w:rsidR="001269F1">
        <w:t>;</w:t>
      </w:r>
    </w:p>
    <w:p w14:paraId="5C3250F9" w14:textId="77777777" w:rsidR="001269F1" w:rsidRDefault="00CB358E" w:rsidP="00D1014B">
      <w:pPr>
        <w:pStyle w:val="Probity3"/>
      </w:pPr>
      <w:r w:rsidRPr="00CB358E">
        <w:t>explanatory materials</w:t>
      </w:r>
      <w:r w:rsidR="001269F1">
        <w:t>;</w:t>
      </w:r>
      <w:r w:rsidRPr="00CB358E">
        <w:t xml:space="preserve"> and</w:t>
      </w:r>
      <w:r w:rsidR="00946438">
        <w:t xml:space="preserve"> </w:t>
      </w:r>
    </w:p>
    <w:p w14:paraId="4B4A19F9" w14:textId="1540274E" w:rsidR="001269F1" w:rsidRDefault="00CB358E" w:rsidP="00D1014B">
      <w:pPr>
        <w:pStyle w:val="Probity3"/>
      </w:pPr>
      <w:r w:rsidRPr="00CB358E">
        <w:t>draft</w:t>
      </w:r>
      <w:r w:rsidR="00946438">
        <w:t xml:space="preserve"> version of this</w:t>
      </w:r>
      <w:r w:rsidRPr="00CB358E">
        <w:t xml:space="preserve"> </w:t>
      </w:r>
      <w:r w:rsidR="00946438">
        <w:t xml:space="preserve">PIA. </w:t>
      </w:r>
    </w:p>
    <w:p w14:paraId="4C3A1E93" w14:textId="70215F18" w:rsidR="00CB358E" w:rsidRDefault="00946438" w:rsidP="001269F1">
      <w:pPr>
        <w:pStyle w:val="Probity2"/>
      </w:pPr>
      <w:r>
        <w:t>This consultation closed on 6 October 2023.</w:t>
      </w:r>
    </w:p>
    <w:p w14:paraId="576D85C1" w14:textId="48158D05" w:rsidR="00DA59F8" w:rsidRDefault="001269F1" w:rsidP="005A6CB4">
      <w:pPr>
        <w:pStyle w:val="Probity2"/>
      </w:pPr>
      <w:r>
        <w:t>W</w:t>
      </w:r>
      <w:r w:rsidR="00DA59F8">
        <w:t>e have considered the following responses received</w:t>
      </w:r>
      <w:r>
        <w:t xml:space="preserve"> in response to this consultation process</w:t>
      </w:r>
      <w:r w:rsidR="00DA59F8">
        <w:t>:</w:t>
      </w:r>
    </w:p>
    <w:p w14:paraId="61E9ADD4" w14:textId="0D5D2B0F" w:rsidR="00DA59F8" w:rsidRDefault="00DA59F8" w:rsidP="00DA59F8">
      <w:pPr>
        <w:pStyle w:val="Probity3"/>
      </w:pPr>
      <w:r>
        <w:t>Australian Competition and Consumer Commission</w:t>
      </w:r>
    </w:p>
    <w:p w14:paraId="4A4984E3" w14:textId="194659C2" w:rsidR="00DA59F8" w:rsidRDefault="00DA59F8" w:rsidP="00DA59F8">
      <w:pPr>
        <w:pStyle w:val="Probity3"/>
      </w:pPr>
      <w:r w:rsidRPr="00DA59F8">
        <w:t xml:space="preserve">Australian Finance Industry Association </w:t>
      </w:r>
    </w:p>
    <w:p w14:paraId="3AEE304F" w14:textId="0BE198C7" w:rsidR="00DA59F8" w:rsidRDefault="00DA59F8" w:rsidP="00DA59F8">
      <w:pPr>
        <w:pStyle w:val="Probity3"/>
      </w:pPr>
      <w:r w:rsidRPr="00DA59F8">
        <w:t xml:space="preserve">Australian Retail Credit Association </w:t>
      </w:r>
    </w:p>
    <w:p w14:paraId="68AEBEBE" w14:textId="4B3830C4" w:rsidR="00DA59F8" w:rsidRDefault="00DA59F8" w:rsidP="00DA59F8">
      <w:pPr>
        <w:pStyle w:val="Probity3"/>
      </w:pPr>
      <w:proofErr w:type="spellStart"/>
      <w:r w:rsidRPr="00DA59F8">
        <w:t>Basiq</w:t>
      </w:r>
      <w:proofErr w:type="spellEnd"/>
    </w:p>
    <w:p w14:paraId="45B39A22" w14:textId="1AD76BBA" w:rsidR="00DA59F8" w:rsidRDefault="00DA59F8" w:rsidP="00DA59F8">
      <w:pPr>
        <w:pStyle w:val="Probity3"/>
      </w:pPr>
      <w:r w:rsidRPr="00DA59F8">
        <w:t xml:space="preserve">Cuscal Limited </w:t>
      </w:r>
    </w:p>
    <w:p w14:paraId="554C6F93" w14:textId="06D34583" w:rsidR="00DA59F8" w:rsidRDefault="00DA59F8" w:rsidP="00DA59F8">
      <w:pPr>
        <w:pStyle w:val="Probity3"/>
      </w:pPr>
      <w:r w:rsidRPr="00DA59F8">
        <w:t>FinTech Australia</w:t>
      </w:r>
      <w:r w:rsidR="0021269C">
        <w:t xml:space="preserve">, and </w:t>
      </w:r>
      <w:r w:rsidRPr="00DA59F8">
        <w:t xml:space="preserve"> </w:t>
      </w:r>
    </w:p>
    <w:p w14:paraId="3E3B4FD6" w14:textId="62375B0A" w:rsidR="00946438" w:rsidRPr="004E68EF" w:rsidRDefault="00DA59F8" w:rsidP="001269F1">
      <w:pPr>
        <w:pStyle w:val="Probity3"/>
      </w:pPr>
      <w:r w:rsidRPr="00DA59F8">
        <w:t>Office of the Australian Information Commissioner</w:t>
      </w:r>
      <w:r w:rsidR="0021269C">
        <w:t>.</w:t>
      </w:r>
      <w:r w:rsidRPr="00DA59F8">
        <w:t xml:space="preserve"> </w:t>
      </w:r>
    </w:p>
    <w:p w14:paraId="066133BC" w14:textId="6E0CE7EE" w:rsidR="005A6CB4" w:rsidRPr="007B61E8" w:rsidRDefault="005A6CB4" w:rsidP="005A6CB4">
      <w:pPr>
        <w:pStyle w:val="Probity2"/>
      </w:pPr>
      <w:r w:rsidRPr="007B61E8">
        <w:rPr>
          <w:rFonts w:cs="Arial"/>
          <w:shd w:val="clear" w:color="auto" w:fill="FFFFFF"/>
        </w:rPr>
        <w:t>The consultation response</w:t>
      </w:r>
      <w:r w:rsidR="00D516E3">
        <w:rPr>
          <w:rFonts w:cs="Arial"/>
          <w:shd w:val="clear" w:color="auto" w:fill="FFFFFF"/>
        </w:rPr>
        <w:t>s</w:t>
      </w:r>
      <w:r w:rsidRPr="007B61E8">
        <w:rPr>
          <w:rFonts w:cs="Arial"/>
          <w:shd w:val="clear" w:color="auto" w:fill="FFFFFF"/>
        </w:rPr>
        <w:t xml:space="preserve"> raised the following key issues:</w:t>
      </w:r>
    </w:p>
    <w:p w14:paraId="5A0A7861" w14:textId="06481427" w:rsidR="005A6CB4" w:rsidRPr="007B61E8" w:rsidRDefault="00E95A76" w:rsidP="005A6CB4">
      <w:pPr>
        <w:pStyle w:val="Probity3"/>
      </w:pPr>
      <w:r>
        <w:t>h</w:t>
      </w:r>
      <w:r w:rsidR="005A6CB4" w:rsidRPr="007B61E8">
        <w:t>ow the CDR and the Comprehensive Credit Regime (</w:t>
      </w:r>
      <w:r w:rsidR="005A6CB4" w:rsidRPr="007B61E8">
        <w:rPr>
          <w:b/>
          <w:bCs/>
        </w:rPr>
        <w:t>CCR</w:t>
      </w:r>
      <w:r w:rsidR="005A6CB4" w:rsidRPr="007B61E8">
        <w:t>) will interact in the NBL sector</w:t>
      </w:r>
      <w:r w:rsidR="00215CF4">
        <w:t xml:space="preserve"> (</w:t>
      </w:r>
      <w:r w:rsidR="00215CF4" w:rsidRPr="00215CF4">
        <w:rPr>
          <w:b/>
          <w:bCs/>
        </w:rPr>
        <w:t>Issue 1</w:t>
      </w:r>
      <w:r w:rsidR="00215CF4">
        <w:t>)</w:t>
      </w:r>
      <w:r w:rsidR="004B0F87">
        <w:t xml:space="preserve"> </w:t>
      </w:r>
    </w:p>
    <w:p w14:paraId="5EB90D35" w14:textId="429501FA" w:rsidR="005A6CB4" w:rsidRDefault="00E95A76" w:rsidP="005A6CB4">
      <w:pPr>
        <w:pStyle w:val="Probity3"/>
      </w:pPr>
      <w:r>
        <w:t>t</w:t>
      </w:r>
      <w:r w:rsidR="005A6CB4" w:rsidRPr="007B61E8">
        <w:t>he appropriateness of including or excluding Financial Hardship Information (</w:t>
      </w:r>
      <w:r w:rsidR="005A6CB4" w:rsidRPr="007B61E8">
        <w:rPr>
          <w:b/>
          <w:bCs/>
        </w:rPr>
        <w:t>FHI</w:t>
      </w:r>
      <w:r w:rsidR="005A6CB4" w:rsidRPr="007B61E8">
        <w:t>) from the scope of the CDR in the NBL sector</w:t>
      </w:r>
      <w:r w:rsidR="00215CF4">
        <w:t xml:space="preserve"> (</w:t>
      </w:r>
      <w:r w:rsidR="00215CF4" w:rsidRPr="00215CF4">
        <w:rPr>
          <w:b/>
          <w:bCs/>
        </w:rPr>
        <w:t>Issue 2</w:t>
      </w:r>
      <w:r w:rsidR="00215CF4">
        <w:t>)</w:t>
      </w:r>
      <w:r w:rsidR="004B0F87">
        <w:t xml:space="preserve"> </w:t>
      </w:r>
    </w:p>
    <w:p w14:paraId="7C3CA0A3" w14:textId="1376925D" w:rsidR="005A6CB4" w:rsidRPr="007B61E8" w:rsidRDefault="00E95A76" w:rsidP="005A6CB4">
      <w:pPr>
        <w:pStyle w:val="Probity3"/>
      </w:pPr>
      <w:r>
        <w:t>u</w:t>
      </w:r>
      <w:r w:rsidR="005A6CB4" w:rsidRPr="00C33B63">
        <w:t>sing non-credit information to inform credit assessments</w:t>
      </w:r>
      <w:r w:rsidR="00215CF4">
        <w:t xml:space="preserve"> (</w:t>
      </w:r>
      <w:r w:rsidR="00215CF4" w:rsidRPr="00215CF4">
        <w:rPr>
          <w:b/>
          <w:bCs/>
        </w:rPr>
        <w:t>Issue 3</w:t>
      </w:r>
      <w:r w:rsidR="00215CF4">
        <w:t>)</w:t>
      </w:r>
      <w:r w:rsidR="004B0F87">
        <w:t>,</w:t>
      </w:r>
      <w:r w:rsidR="001A0BD3">
        <w:t xml:space="preserve"> and</w:t>
      </w:r>
    </w:p>
    <w:p w14:paraId="3CEB8D1E" w14:textId="4AE3168C" w:rsidR="005A6CB4" w:rsidRPr="007B61E8" w:rsidRDefault="00E95A76" w:rsidP="005A6CB4">
      <w:pPr>
        <w:pStyle w:val="Probity3"/>
      </w:pPr>
      <w:r>
        <w:t>w</w:t>
      </w:r>
      <w:r w:rsidR="005A6CB4" w:rsidRPr="007B61E8">
        <w:t xml:space="preserve">hether some products deemed to be </w:t>
      </w:r>
      <w:r w:rsidR="00D516E3">
        <w:t>‘</w:t>
      </w:r>
      <w:r w:rsidR="005A6CB4" w:rsidRPr="007B61E8">
        <w:t>high</w:t>
      </w:r>
      <w:r w:rsidR="00C36245">
        <w:t>-</w:t>
      </w:r>
      <w:r w:rsidR="005A6CB4">
        <w:t>cost</w:t>
      </w:r>
      <w:r w:rsidR="00D516E3">
        <w:t>’</w:t>
      </w:r>
      <w:r w:rsidR="005A6CB4">
        <w:t xml:space="preserve"> products</w:t>
      </w:r>
      <w:r w:rsidR="005A6CB4" w:rsidRPr="007B61E8">
        <w:t xml:space="preserve"> should be excluded from the scope of the CDR in the NBL sector</w:t>
      </w:r>
      <w:r w:rsidR="00215CF4">
        <w:t xml:space="preserve"> (</w:t>
      </w:r>
      <w:r w:rsidR="00215CF4" w:rsidRPr="00215CF4">
        <w:rPr>
          <w:b/>
          <w:bCs/>
        </w:rPr>
        <w:t>Issue 4</w:t>
      </w:r>
      <w:r w:rsidR="00215CF4">
        <w:t>)</w:t>
      </w:r>
      <w:r w:rsidR="005A6CB4" w:rsidRPr="007B61E8">
        <w:t>.</w:t>
      </w:r>
    </w:p>
    <w:p w14:paraId="33919423" w14:textId="7211BD8F" w:rsidR="005A6CB4" w:rsidRDefault="00215CF4">
      <w:pPr>
        <w:pStyle w:val="Probity2"/>
      </w:pPr>
      <w:r>
        <w:t xml:space="preserve">Our response to these issues </w:t>
      </w:r>
      <w:r w:rsidR="00292A38">
        <w:t>is</w:t>
      </w:r>
      <w:r>
        <w:t xml:space="preserve"> set out below</w:t>
      </w:r>
      <w:r w:rsidR="000615E4">
        <w:t xml:space="preserve"> and otherwise </w:t>
      </w:r>
      <w:r w:rsidR="00B704F8">
        <w:t xml:space="preserve">addressed in the Privacy Risk table. </w:t>
      </w:r>
    </w:p>
    <w:p w14:paraId="598742F7" w14:textId="5DF9A58F" w:rsidR="005D221B" w:rsidRDefault="000615E4" w:rsidP="005D221B">
      <w:pPr>
        <w:pStyle w:val="Probity2"/>
        <w:numPr>
          <w:ilvl w:val="0"/>
          <w:numId w:val="0"/>
        </w:numPr>
        <w:rPr>
          <w:b/>
          <w:bCs/>
          <w:i/>
          <w:iCs/>
        </w:rPr>
      </w:pPr>
      <w:r w:rsidRPr="0080350E">
        <w:rPr>
          <w:b/>
          <w:bCs/>
          <w:i/>
          <w:iCs/>
        </w:rPr>
        <w:t>(</w:t>
      </w:r>
      <w:r w:rsidR="00CE7FA6">
        <w:rPr>
          <w:b/>
          <w:bCs/>
          <w:i/>
          <w:iCs/>
        </w:rPr>
        <w:t>c</w:t>
      </w:r>
      <w:r w:rsidRPr="0080350E">
        <w:rPr>
          <w:b/>
          <w:bCs/>
          <w:i/>
          <w:iCs/>
        </w:rPr>
        <w:t>)</w:t>
      </w:r>
      <w:r w:rsidRPr="0080350E">
        <w:rPr>
          <w:b/>
          <w:bCs/>
          <w:i/>
          <w:iCs/>
        </w:rPr>
        <w:tab/>
        <w:t xml:space="preserve">Response to </w:t>
      </w:r>
      <w:r w:rsidR="0080350E" w:rsidRPr="0080350E">
        <w:rPr>
          <w:b/>
          <w:bCs/>
          <w:i/>
          <w:iCs/>
        </w:rPr>
        <w:t>consultation</w:t>
      </w:r>
      <w:r w:rsidRPr="0080350E">
        <w:rPr>
          <w:b/>
          <w:bCs/>
          <w:i/>
          <w:iCs/>
        </w:rPr>
        <w:t xml:space="preserve"> </w:t>
      </w:r>
      <w:r w:rsidR="0080350E" w:rsidRPr="0080350E">
        <w:rPr>
          <w:b/>
          <w:bCs/>
          <w:i/>
          <w:iCs/>
        </w:rPr>
        <w:t>t</w:t>
      </w:r>
      <w:r w:rsidRPr="0080350E">
        <w:rPr>
          <w:b/>
          <w:bCs/>
          <w:i/>
          <w:iCs/>
        </w:rPr>
        <w:t xml:space="preserve">hemes </w:t>
      </w:r>
    </w:p>
    <w:p w14:paraId="3B62A817" w14:textId="4D514DC5" w:rsidR="00035746" w:rsidRPr="00035746" w:rsidRDefault="00035746" w:rsidP="00035746">
      <w:pPr>
        <w:pStyle w:val="Probity2"/>
        <w:rPr>
          <w:b/>
          <w:bCs/>
          <w:i/>
          <w:iCs/>
        </w:rPr>
      </w:pPr>
      <w:r>
        <w:t>We discuss below our analysis of the privacy issues arising from the consultation.</w:t>
      </w:r>
    </w:p>
    <w:p w14:paraId="6C143D90" w14:textId="77777777" w:rsidR="00AF5CAA" w:rsidRPr="0080350E" w:rsidRDefault="00AF5CAA" w:rsidP="00414098">
      <w:pPr>
        <w:pStyle w:val="Probity2"/>
        <w:numPr>
          <w:ilvl w:val="0"/>
          <w:numId w:val="0"/>
        </w:numPr>
        <w:rPr>
          <w:b/>
          <w:bCs/>
          <w:i/>
          <w:iCs/>
        </w:rPr>
      </w:pPr>
    </w:p>
    <w:tbl>
      <w:tblPr>
        <w:tblStyle w:val="TableGrid"/>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21"/>
      </w:tblGrid>
      <w:tr w:rsidR="00912919" w:rsidRPr="008D6F92" w14:paraId="59823EB4" w14:textId="77777777">
        <w:tc>
          <w:tcPr>
            <w:tcW w:w="9021" w:type="dxa"/>
            <w:shd w:val="clear" w:color="auto" w:fill="F79646" w:themeFill="accent6"/>
          </w:tcPr>
          <w:p w14:paraId="7DA5B79F" w14:textId="71F54879" w:rsidR="007A419B" w:rsidRPr="008D6F92" w:rsidRDefault="007A419B" w:rsidP="00292A38">
            <w:pPr>
              <w:pStyle w:val="Probity2"/>
              <w:numPr>
                <w:ilvl w:val="0"/>
                <w:numId w:val="0"/>
              </w:numPr>
              <w:rPr>
                <w:b/>
                <w:bCs/>
                <w:i/>
                <w:iCs/>
                <w:color w:val="FFFFFF" w:themeColor="background1"/>
              </w:rPr>
            </w:pPr>
            <w:r w:rsidRPr="008D6F92">
              <w:rPr>
                <w:b/>
                <w:bCs/>
                <w:i/>
                <w:iCs/>
                <w:color w:val="FFFFFF" w:themeColor="background1"/>
              </w:rPr>
              <w:t>Issue 1 – interaction between NBL sector and CCR</w:t>
            </w:r>
          </w:p>
        </w:tc>
      </w:tr>
      <w:tr w:rsidR="00912919" w:rsidRPr="008D6F92" w14:paraId="3AC206EF" w14:textId="77777777" w:rsidTr="007A419B">
        <w:tc>
          <w:tcPr>
            <w:tcW w:w="9021" w:type="dxa"/>
            <w:shd w:val="clear" w:color="auto" w:fill="FDE9D9" w:themeFill="accent6" w:themeFillTint="33"/>
          </w:tcPr>
          <w:p w14:paraId="0FCF17F5" w14:textId="5E172D9D" w:rsidR="00414098" w:rsidRDefault="00414098" w:rsidP="00292A38">
            <w:pPr>
              <w:pStyle w:val="Probity2"/>
              <w:numPr>
                <w:ilvl w:val="0"/>
                <w:numId w:val="0"/>
              </w:numPr>
            </w:pPr>
            <w:r>
              <w:t>A number of responses to consultation raised issues in respect to the interaction between the NBL sector and the CCR.  Those issues recommended Treasury consider the following:</w:t>
            </w:r>
          </w:p>
          <w:p w14:paraId="01A9F163" w14:textId="43214AD8" w:rsidR="008E104C" w:rsidRDefault="00414098" w:rsidP="0018095F">
            <w:pPr>
              <w:pStyle w:val="Probity2"/>
              <w:numPr>
                <w:ilvl w:val="0"/>
                <w:numId w:val="27"/>
              </w:numPr>
            </w:pPr>
            <w:r>
              <w:t>whether</w:t>
            </w:r>
            <w:r w:rsidRPr="008D6F92">
              <w:t xml:space="preserve"> the extension of the CDR to the NBL sector may enable non-bank lenders to circumvent the </w:t>
            </w:r>
            <w:r>
              <w:t>CCR</w:t>
            </w:r>
            <w:r w:rsidRPr="008D6F92">
              <w:t xml:space="preserve"> regime</w:t>
            </w:r>
            <w:r w:rsidR="00932B6C">
              <w:t xml:space="preserve"> (for example, in relation to the </w:t>
            </w:r>
            <w:r w:rsidR="00B05880">
              <w:t xml:space="preserve">disclosing </w:t>
            </w:r>
            <w:r w:rsidR="00932B6C">
              <w:t>of credit information</w:t>
            </w:r>
            <w:r w:rsidR="00B05880">
              <w:t xml:space="preserve"> in a manner that is inconsistent with the requirements of Part IIIA of the Privacy Act</w:t>
            </w:r>
            <w:r w:rsidR="00932B6C">
              <w:t>)</w:t>
            </w:r>
            <w:r w:rsidR="008E104C">
              <w:t>, and</w:t>
            </w:r>
          </w:p>
          <w:p w14:paraId="6F74AA7F" w14:textId="64F8E381" w:rsidR="00E72C16" w:rsidRDefault="008E104C" w:rsidP="0018095F">
            <w:pPr>
              <w:pStyle w:val="Probity2"/>
              <w:numPr>
                <w:ilvl w:val="0"/>
                <w:numId w:val="27"/>
              </w:numPr>
            </w:pPr>
            <w:r>
              <w:t>whether, for credit providers, the requirement to comply with three overlapping regulatory regimes (</w:t>
            </w:r>
            <w:r w:rsidRPr="00781F6A">
              <w:t>CDR for the NBL sector</w:t>
            </w:r>
            <w:r>
              <w:t xml:space="preserve">, </w:t>
            </w:r>
            <w:r w:rsidRPr="00781F6A">
              <w:t>Part IIIA of the Privacy Act and the CCR</w:t>
            </w:r>
            <w:r>
              <w:t>) will create risks that credit providers will fail to understand their obligations, increasing the risk of inadvertent breaches.</w:t>
            </w:r>
          </w:p>
          <w:p w14:paraId="40E9C589" w14:textId="6C55DC83" w:rsidR="009F3125" w:rsidRDefault="007A419B" w:rsidP="00E72C16">
            <w:pPr>
              <w:pStyle w:val="Probity2"/>
              <w:numPr>
                <w:ilvl w:val="0"/>
                <w:numId w:val="0"/>
              </w:numPr>
            </w:pPr>
            <w:r w:rsidRPr="008D6F92">
              <w:t xml:space="preserve">This issue was considered in the </w:t>
            </w:r>
            <w:r w:rsidR="00E95A76" w:rsidRPr="008D6F92">
              <w:t>NB</w:t>
            </w:r>
            <w:r w:rsidR="006544A7" w:rsidRPr="008D6F92">
              <w:t>L</w:t>
            </w:r>
            <w:r w:rsidR="00E95A76" w:rsidRPr="008D6F92">
              <w:t xml:space="preserve"> sector PIA</w:t>
            </w:r>
            <w:r w:rsidR="006544A7" w:rsidRPr="008D6F92">
              <w:t>.</w:t>
            </w:r>
            <w:r w:rsidR="006544A7" w:rsidRPr="008D6F92">
              <w:rPr>
                <w:rStyle w:val="FootnoteReference"/>
              </w:rPr>
              <w:footnoteReference w:id="20"/>
            </w:r>
            <w:r w:rsidR="006544A7" w:rsidRPr="008D6F92">
              <w:t xml:space="preserve">  </w:t>
            </w:r>
          </w:p>
          <w:p w14:paraId="454CC321" w14:textId="6F4116DC" w:rsidR="0092615E" w:rsidRDefault="0092615E" w:rsidP="00292A38">
            <w:pPr>
              <w:pStyle w:val="Probity2"/>
              <w:numPr>
                <w:ilvl w:val="0"/>
                <w:numId w:val="0"/>
              </w:numPr>
            </w:pPr>
            <w:r>
              <w:t>C</w:t>
            </w:r>
            <w:r w:rsidR="005F231C">
              <w:t xml:space="preserve">redit providers </w:t>
            </w:r>
            <w:r w:rsidR="006C09A6">
              <w:t>in the NBL sector may</w:t>
            </w:r>
            <w:r w:rsidR="005F231C">
              <w:t xml:space="preserve"> have obligations under each of the CDR for the NBL sector, the Privacy</w:t>
            </w:r>
            <w:r w:rsidR="002553FF">
              <w:t xml:space="preserve"> Act and the CCR as follows:</w:t>
            </w:r>
          </w:p>
          <w:p w14:paraId="2C6A0D27" w14:textId="7C2EAA36" w:rsidR="002553FF" w:rsidRPr="008D6F92" w:rsidRDefault="005F231C" w:rsidP="0018095F">
            <w:pPr>
              <w:pStyle w:val="Probity2"/>
              <w:numPr>
                <w:ilvl w:val="0"/>
                <w:numId w:val="43"/>
              </w:numPr>
            </w:pPr>
            <w:r>
              <w:t>I</w:t>
            </w:r>
            <w:r w:rsidR="009F3125" w:rsidRPr="008D6F92">
              <w:t>n respect to the handling of credit information,</w:t>
            </w:r>
            <w:r w:rsidR="00BA7E22">
              <w:rPr>
                <w:rStyle w:val="FootnoteReference"/>
              </w:rPr>
              <w:footnoteReference w:id="21"/>
            </w:r>
            <w:r w:rsidR="009F3125" w:rsidRPr="008D6F92">
              <w:t xml:space="preserve"> credit providers (and credit reporting bodies) are regulated by Part III</w:t>
            </w:r>
            <w:r w:rsidR="00BA3ECD">
              <w:t xml:space="preserve">A </w:t>
            </w:r>
            <w:r w:rsidR="009F3125" w:rsidRPr="008D6F92">
              <w:t>of the Privacy Ac</w:t>
            </w:r>
            <w:r w:rsidR="00B3379C">
              <w:t xml:space="preserve">t and must comply with </w:t>
            </w:r>
            <w:r w:rsidR="00B3379C" w:rsidRPr="008D6F92">
              <w:t xml:space="preserve">Subdivision D of Division 3, Part IIIA of the Privacy Act </w:t>
            </w:r>
            <w:r w:rsidR="00B3379C">
              <w:t>in respect</w:t>
            </w:r>
            <w:r w:rsidR="00B3379C" w:rsidRPr="008D6F92">
              <w:t xml:space="preserve"> to </w:t>
            </w:r>
            <w:r w:rsidR="00B3379C">
              <w:t xml:space="preserve">the </w:t>
            </w:r>
            <w:r w:rsidR="00B3379C" w:rsidRPr="008D6F92">
              <w:t>disclos</w:t>
            </w:r>
            <w:r w:rsidR="00A23C8F">
              <w:t>ur</w:t>
            </w:r>
            <w:r w:rsidR="00B3379C" w:rsidRPr="008D6F92">
              <w:t xml:space="preserve">e </w:t>
            </w:r>
            <w:r w:rsidR="00B3379C">
              <w:t xml:space="preserve">of </w:t>
            </w:r>
            <w:r w:rsidR="00B3379C" w:rsidRPr="00EC6EF2">
              <w:t xml:space="preserve">credit eligibility </w:t>
            </w:r>
            <w:r w:rsidR="00B3379C" w:rsidRPr="008D6F92">
              <w:t>information about an individual</w:t>
            </w:r>
            <w:r w:rsidR="00A23C8F">
              <w:t>,</w:t>
            </w:r>
            <w:r w:rsidR="00B3379C" w:rsidRPr="008D6F92" w:rsidDel="00B3379C">
              <w:t xml:space="preserve"> </w:t>
            </w:r>
            <w:r w:rsidR="0092615E">
              <w:t xml:space="preserve"> </w:t>
            </w:r>
          </w:p>
          <w:p w14:paraId="68CA8212" w14:textId="40C468D2" w:rsidR="00BA3ECD" w:rsidRDefault="009F3125" w:rsidP="0018095F">
            <w:pPr>
              <w:pStyle w:val="Probity2"/>
              <w:numPr>
                <w:ilvl w:val="0"/>
                <w:numId w:val="43"/>
              </w:numPr>
            </w:pPr>
            <w:r w:rsidRPr="008D6F92">
              <w:t>A</w:t>
            </w:r>
            <w:r w:rsidR="0088021B" w:rsidRPr="008D6F92">
              <w:t xml:space="preserve"> </w:t>
            </w:r>
            <w:r w:rsidR="00B704F8" w:rsidRPr="008D6F92">
              <w:t xml:space="preserve">“relevant non-bank lender” who is a registered financial corporation and a credit provider may be a licensee for the purposes of the </w:t>
            </w:r>
            <w:r w:rsidR="00BA7E22">
              <w:rPr>
                <w:i/>
                <w:iCs/>
              </w:rPr>
              <w:t xml:space="preserve">National Consumer Credit Protection Act 2009 </w:t>
            </w:r>
            <w:r w:rsidR="00BA7E22">
              <w:t>(</w:t>
            </w:r>
            <w:proofErr w:type="spellStart"/>
            <w:r w:rsidR="00BA7E22">
              <w:t>Cth</w:t>
            </w:r>
            <w:proofErr w:type="spellEnd"/>
            <w:r w:rsidR="00BA7E22">
              <w:t>) (</w:t>
            </w:r>
            <w:r w:rsidR="00B704F8" w:rsidRPr="00BA7E22">
              <w:rPr>
                <w:b/>
                <w:bCs/>
              </w:rPr>
              <w:t>NCCP Act</w:t>
            </w:r>
            <w:r w:rsidR="00BA7E22">
              <w:t>)</w:t>
            </w:r>
            <w:r w:rsidR="00B704F8" w:rsidRPr="008D6F92">
              <w:t xml:space="preserve"> and be required to comply with the CCR.  </w:t>
            </w:r>
            <w:r w:rsidR="002553FF">
              <w:t xml:space="preserve">The CCR provides limitations on </w:t>
            </w:r>
            <w:r w:rsidR="003A6EB2">
              <w:t>sharing information about a person’s credit history</w:t>
            </w:r>
            <w:r w:rsidR="00B3379C">
              <w:t xml:space="preserve"> and how that information can be used</w:t>
            </w:r>
            <w:r w:rsidR="003A6EB2">
              <w:t>,</w:t>
            </w:r>
            <w:r w:rsidR="00B3379C">
              <w:rPr>
                <w:rStyle w:val="FootnoteReference"/>
              </w:rPr>
              <w:footnoteReference w:id="22"/>
            </w:r>
            <w:r w:rsidR="003A6EB2">
              <w:t xml:space="preserve"> and </w:t>
            </w:r>
          </w:p>
          <w:p w14:paraId="6D1EFB7A" w14:textId="77777777" w:rsidR="00B3379C" w:rsidRDefault="00BA3ECD" w:rsidP="0018095F">
            <w:pPr>
              <w:pStyle w:val="Probity2"/>
              <w:numPr>
                <w:ilvl w:val="0"/>
                <w:numId w:val="43"/>
              </w:numPr>
            </w:pPr>
            <w:r w:rsidRPr="008D6F92">
              <w:t xml:space="preserve">A credit provider who is a “relevant non-bank lender” will be required to comply with the CDR in relation to the sharing of CDR data.  </w:t>
            </w:r>
          </w:p>
          <w:p w14:paraId="54D055D6" w14:textId="01B9D123" w:rsidR="00B3379C" w:rsidRDefault="00BA3ECD" w:rsidP="003A6EB2">
            <w:pPr>
              <w:pStyle w:val="Probity2"/>
              <w:numPr>
                <w:ilvl w:val="0"/>
                <w:numId w:val="0"/>
              </w:numPr>
            </w:pPr>
            <w:r w:rsidRPr="008D6F92">
              <w:t xml:space="preserve">The </w:t>
            </w:r>
            <w:r w:rsidR="009F716F" w:rsidRPr="009F716F">
              <w:t>NBL Sector Designation</w:t>
            </w:r>
            <w:r w:rsidR="009F716F" w:rsidRPr="003A6EB2">
              <w:rPr>
                <w:b/>
                <w:bCs/>
              </w:rPr>
              <w:t xml:space="preserve"> </w:t>
            </w:r>
            <w:r w:rsidRPr="008D6F92">
              <w:t>provides that credit information is excluded as a specified class of information.</w:t>
            </w:r>
            <w:r w:rsidR="00472EF2">
              <w:rPr>
                <w:rStyle w:val="FootnoteReference"/>
              </w:rPr>
              <w:footnoteReference w:id="23"/>
            </w:r>
            <w:r w:rsidRPr="008D6F92">
              <w:t xml:space="preserve">  </w:t>
            </w:r>
            <w:r>
              <w:t xml:space="preserve">However, </w:t>
            </w:r>
            <w:r w:rsidR="008E104C">
              <w:t xml:space="preserve">stakeholders have identified, as an </w:t>
            </w:r>
            <w:r w:rsidR="00B3379C">
              <w:t xml:space="preserve">example, a situation where </w:t>
            </w:r>
            <w:r w:rsidR="00EE17C9" w:rsidRPr="008D6F92">
              <w:t>a</w:t>
            </w:r>
            <w:r w:rsidR="00225A3F" w:rsidRPr="008D6F92">
              <w:t xml:space="preserve"> credit provider who receives credit reporting information from a credit reporting body in accordance with Part IIIA of the Privacy Act </w:t>
            </w:r>
            <w:r w:rsidR="003A6EB2">
              <w:t xml:space="preserve">or </w:t>
            </w:r>
            <w:r w:rsidR="00FB3F5D">
              <w:t xml:space="preserve">holds </w:t>
            </w:r>
            <w:r w:rsidR="003A6EB2">
              <w:t xml:space="preserve">information about a person’s credit history in the performance of the CCR, </w:t>
            </w:r>
            <w:r w:rsidR="00225A3F" w:rsidRPr="008D6F92">
              <w:t>receive</w:t>
            </w:r>
            <w:r w:rsidR="00AA3593">
              <w:t>s</w:t>
            </w:r>
            <w:r w:rsidR="00225A3F" w:rsidRPr="008D6F92">
              <w:t xml:space="preserve"> a </w:t>
            </w:r>
            <w:r w:rsidR="00AA3593">
              <w:t xml:space="preserve">separate </w:t>
            </w:r>
            <w:r w:rsidR="00225A3F" w:rsidRPr="008D6F92">
              <w:t>request from a</w:t>
            </w:r>
            <w:r w:rsidR="0088021B" w:rsidRPr="008D6F92">
              <w:t>n ADR under the CDR to share th</w:t>
            </w:r>
            <w:r>
              <w:t>at</w:t>
            </w:r>
            <w:r w:rsidR="0088021B" w:rsidRPr="008D6F92">
              <w:t xml:space="preserve"> data</w:t>
            </w:r>
            <w:r w:rsidR="0092615E">
              <w:t xml:space="preserve"> (for example, to the extent credit reporting information may form part of transaction data). </w:t>
            </w:r>
            <w:r w:rsidR="003A6EB2">
              <w:t xml:space="preserve"> </w:t>
            </w:r>
            <w:r w:rsidR="00B3379C">
              <w:t xml:space="preserve">If the credit provider was to share that information (in the form of transaction data) </w:t>
            </w:r>
            <w:r w:rsidR="00AA3593">
              <w:t>stakeholders consider there</w:t>
            </w:r>
            <w:r w:rsidR="00B3379C">
              <w:t xml:space="preserve"> is a risk the information could be used in a way that is inconsistent with the limitations in the CCR (specifically, to disadvantage consumers by affecting their credit rating).</w:t>
            </w:r>
          </w:p>
          <w:p w14:paraId="22A72A11" w14:textId="4085A9AE" w:rsidR="003E74F9" w:rsidRDefault="008E104C" w:rsidP="003E74F9">
            <w:pPr>
              <w:pStyle w:val="Probity2"/>
              <w:numPr>
                <w:ilvl w:val="0"/>
                <w:numId w:val="0"/>
              </w:numPr>
            </w:pPr>
            <w:r>
              <w:t>In terms of the privacy risk, w</w:t>
            </w:r>
            <w:r w:rsidR="00AA3593">
              <w:t xml:space="preserve">e agree with the analysis set out in the </w:t>
            </w:r>
            <w:r w:rsidR="00AA3593" w:rsidRPr="008D6F92">
              <w:t>NBL sector PIA</w:t>
            </w:r>
            <w:r w:rsidR="00AA3593">
              <w:t xml:space="preserve"> that the</w:t>
            </w:r>
            <w:r w:rsidR="007646B1">
              <w:t xml:space="preserve"> CDR consent rules mitigate the privacy </w:t>
            </w:r>
            <w:r w:rsidR="00AA3593">
              <w:t xml:space="preserve">risk by requiring ADRs to obtain informed consent from consumers before their data is shared in response to a </w:t>
            </w:r>
            <w:r>
              <w:t>data request.</w:t>
            </w:r>
            <w:r w:rsidR="00FB3F5D">
              <w:t xml:space="preserve">  Further, </w:t>
            </w:r>
            <w:r w:rsidR="003E74F9">
              <w:t xml:space="preserve">CDR Rule 3.5(1)(a) permits a data holder to refuse to disclose customer data in response to a request where, relevantly, the data holder considers this is necessary to prevent financial harm or abuse.  </w:t>
            </w:r>
          </w:p>
          <w:p w14:paraId="7EBEE72C" w14:textId="2CE23A7A" w:rsidR="003E74F9" w:rsidRDefault="003E74F9" w:rsidP="003E74F9">
            <w:pPr>
              <w:pStyle w:val="Probity2"/>
              <w:numPr>
                <w:ilvl w:val="0"/>
                <w:numId w:val="0"/>
              </w:numPr>
            </w:pPr>
            <w:r>
              <w:t xml:space="preserve">In relation to the risk of credit providers inadvertently breaching one or more of the requirements of Part IIIA of the Privacy Act, the CCR and / or the CDR for the NBL sector, </w:t>
            </w:r>
            <w:r w:rsidR="00C04978">
              <w:t>we acknowledge non-compliance may give rise to a privacy risk for customers (depending on the nature of the non-compliance</w:t>
            </w:r>
            <w:r w:rsidR="007646B1">
              <w:t>)</w:t>
            </w:r>
            <w:r w:rsidR="00C04978">
              <w:t>.  For example, non-compliance with the consent provisions in the CDR Rules could have a substantial privacy impact</w:t>
            </w:r>
            <w:r w:rsidR="007646B1">
              <w:t xml:space="preserve"> if transaction data (which includes </w:t>
            </w:r>
            <w:r w:rsidR="007646B1" w:rsidRPr="008D6F92">
              <w:t>credit reporting information</w:t>
            </w:r>
            <w:r w:rsidR="007646B1">
              <w:t xml:space="preserve"> that is also personal information) is disclosed by a credit provider in a manner which is inconsistent with Part IIIA of the Privacy Act.</w:t>
            </w:r>
          </w:p>
          <w:p w14:paraId="12219145" w14:textId="4A2D7959" w:rsidR="004B0F87" w:rsidRDefault="00A378CA" w:rsidP="00292A38">
            <w:pPr>
              <w:pStyle w:val="Probity2"/>
              <w:numPr>
                <w:ilvl w:val="0"/>
                <w:numId w:val="0"/>
              </w:numPr>
            </w:pPr>
            <w:r>
              <w:t xml:space="preserve">We </w:t>
            </w:r>
            <w:r w:rsidR="00AA3964">
              <w:t>consider</w:t>
            </w:r>
            <w:r>
              <w:t xml:space="preserve"> that for credit providers</w:t>
            </w:r>
            <w:r w:rsidR="00F10EB0">
              <w:t xml:space="preserve"> who are a </w:t>
            </w:r>
            <w:r w:rsidR="00F10EB0" w:rsidRPr="008D6F92">
              <w:t>“relevant non-bank lender”</w:t>
            </w:r>
            <w:r>
              <w:t>, compliance with the CDR for the NBL sector in addition to Part III</w:t>
            </w:r>
            <w:r w:rsidR="00E34BCA">
              <w:t>A</w:t>
            </w:r>
            <w:r>
              <w:t xml:space="preserve"> of the Privacy Act and the CCR </w:t>
            </w:r>
            <w:r w:rsidR="00AA3964">
              <w:t>will</w:t>
            </w:r>
            <w:r>
              <w:t xml:space="preserve"> require a detailed understanding of the different regimes and how they operate</w:t>
            </w:r>
            <w:r w:rsidR="00BA3ECD">
              <w:t xml:space="preserve"> in relation to credit reporting information that is held</w:t>
            </w:r>
            <w:r w:rsidR="00AA3964">
              <w:t xml:space="preserve"> by the credit provider</w:t>
            </w:r>
            <w:r>
              <w:t xml:space="preserve">.  Failure to understand how the obligations for the handling of credit reporting </w:t>
            </w:r>
            <w:r w:rsidR="00BA3ECD">
              <w:t>information apply may lead to a breach of one or more of the CDR, Part</w:t>
            </w:r>
            <w:r w:rsidR="00A75723">
              <w:t> </w:t>
            </w:r>
            <w:r w:rsidR="00BA3ECD">
              <w:t>III</w:t>
            </w:r>
            <w:r w:rsidR="00E34BCA">
              <w:t>A</w:t>
            </w:r>
            <w:r w:rsidR="00BA3ECD">
              <w:t xml:space="preserve"> of the Privacy Act or the CCR</w:t>
            </w:r>
            <w:r w:rsidR="007646B1">
              <w:t xml:space="preserve">, which </w:t>
            </w:r>
            <w:r w:rsidR="00BA3ECD">
              <w:t>could have a negative impact on the handling of an individual’s personal information (in the form of their credit reporting information).</w:t>
            </w:r>
            <w:r>
              <w:t xml:space="preserve">  </w:t>
            </w:r>
          </w:p>
          <w:p w14:paraId="69DF68BD" w14:textId="7694ED06" w:rsidR="00BA3ECD" w:rsidRPr="008D6F92" w:rsidRDefault="00A378CA" w:rsidP="00292A38">
            <w:pPr>
              <w:pStyle w:val="Probity2"/>
              <w:numPr>
                <w:ilvl w:val="0"/>
                <w:numId w:val="0"/>
              </w:numPr>
            </w:pPr>
            <w:r>
              <w:t xml:space="preserve">We make </w:t>
            </w:r>
            <w:r w:rsidRPr="00A378CA">
              <w:rPr>
                <w:b/>
                <w:bCs/>
              </w:rPr>
              <w:t xml:space="preserve">Recommendation 1 </w:t>
            </w:r>
            <w:r>
              <w:t xml:space="preserve">accordingly. </w:t>
            </w:r>
          </w:p>
        </w:tc>
      </w:tr>
      <w:tr w:rsidR="00912919" w:rsidRPr="008D6F92" w14:paraId="0636923D" w14:textId="77777777" w:rsidTr="00144DE9">
        <w:tc>
          <w:tcPr>
            <w:tcW w:w="9021" w:type="dxa"/>
            <w:shd w:val="clear" w:color="auto" w:fill="FFFFFF" w:themeFill="background1"/>
          </w:tcPr>
          <w:p w14:paraId="3CA44D4F" w14:textId="77777777" w:rsidR="00144DE9" w:rsidRPr="008D6F92" w:rsidRDefault="00144DE9" w:rsidP="00292A38">
            <w:pPr>
              <w:pStyle w:val="Probity2"/>
              <w:numPr>
                <w:ilvl w:val="0"/>
                <w:numId w:val="0"/>
              </w:numPr>
            </w:pPr>
          </w:p>
        </w:tc>
      </w:tr>
      <w:tr w:rsidR="00912919" w:rsidRPr="008D6F92" w14:paraId="3BD2FC7C" w14:textId="77777777" w:rsidTr="00144DE9">
        <w:tc>
          <w:tcPr>
            <w:tcW w:w="9021" w:type="dxa"/>
            <w:shd w:val="clear" w:color="auto" w:fill="F79646" w:themeFill="accent6"/>
          </w:tcPr>
          <w:p w14:paraId="1EFBC576" w14:textId="0609052A" w:rsidR="001C58C9" w:rsidRPr="00A378CA" w:rsidRDefault="00A378CA" w:rsidP="00292A38">
            <w:pPr>
              <w:pStyle w:val="Probity2"/>
              <w:numPr>
                <w:ilvl w:val="0"/>
                <w:numId w:val="0"/>
              </w:numPr>
              <w:rPr>
                <w:b/>
                <w:bCs/>
              </w:rPr>
            </w:pPr>
            <w:r w:rsidRPr="00A378CA">
              <w:rPr>
                <w:b/>
                <w:bCs/>
              </w:rPr>
              <w:t xml:space="preserve">Recommendation 1 </w:t>
            </w:r>
            <w:r>
              <w:rPr>
                <w:b/>
                <w:bCs/>
              </w:rPr>
              <w:t xml:space="preserve">– </w:t>
            </w:r>
            <w:r>
              <w:t>Treasury, together with the OAIC and ACCC</w:t>
            </w:r>
            <w:r w:rsidR="00481D10">
              <w:t>,</w:t>
            </w:r>
            <w:r>
              <w:t xml:space="preserve"> consider what instructions or guidance can be developed for credit providers to ensure </w:t>
            </w:r>
            <w:r w:rsidR="00BA3ECD">
              <w:t>credit providers comply with the CDR, Part III</w:t>
            </w:r>
            <w:r w:rsidR="00E34BCA">
              <w:t>A</w:t>
            </w:r>
            <w:r w:rsidR="00BA3ECD">
              <w:t xml:space="preserve"> of the Privacy Act and the CCR in relation to the handling of credit reporting information. </w:t>
            </w:r>
          </w:p>
        </w:tc>
      </w:tr>
      <w:tr w:rsidR="00912919" w:rsidRPr="008D6F92" w14:paraId="75FFACF6" w14:textId="77777777" w:rsidTr="001C58C9">
        <w:tc>
          <w:tcPr>
            <w:tcW w:w="9021" w:type="dxa"/>
            <w:shd w:val="clear" w:color="auto" w:fill="FFFFFF" w:themeFill="background1"/>
          </w:tcPr>
          <w:p w14:paraId="0B95342F" w14:textId="77777777" w:rsidR="001C58C9" w:rsidRPr="008D6F92" w:rsidRDefault="001C58C9" w:rsidP="00292A38">
            <w:pPr>
              <w:pStyle w:val="Probity2"/>
              <w:numPr>
                <w:ilvl w:val="0"/>
                <w:numId w:val="0"/>
              </w:numPr>
            </w:pPr>
          </w:p>
        </w:tc>
      </w:tr>
      <w:tr w:rsidR="00912919" w:rsidRPr="008D6F92" w14:paraId="1DDB965C" w14:textId="77777777">
        <w:tc>
          <w:tcPr>
            <w:tcW w:w="9021" w:type="dxa"/>
            <w:shd w:val="clear" w:color="auto" w:fill="F79646" w:themeFill="accent6"/>
          </w:tcPr>
          <w:p w14:paraId="150FE547" w14:textId="5E6D671E" w:rsidR="007A419B" w:rsidRPr="008D6F92" w:rsidRDefault="001C58C9" w:rsidP="00292A38">
            <w:pPr>
              <w:pStyle w:val="Probity2"/>
              <w:numPr>
                <w:ilvl w:val="0"/>
                <w:numId w:val="0"/>
              </w:numPr>
              <w:rPr>
                <w:b/>
                <w:bCs/>
                <w:color w:val="FDE9D9" w:themeColor="accent6" w:themeTint="33"/>
              </w:rPr>
            </w:pPr>
            <w:r w:rsidRPr="008D6F92">
              <w:rPr>
                <w:b/>
                <w:bCs/>
                <w:i/>
                <w:iCs/>
                <w:color w:val="FFFFFF" w:themeColor="background1"/>
              </w:rPr>
              <w:t>Issue 2 – excluding F</w:t>
            </w:r>
            <w:r w:rsidR="00AF5CAA">
              <w:rPr>
                <w:b/>
                <w:bCs/>
                <w:i/>
                <w:iCs/>
                <w:color w:val="FFFFFF" w:themeColor="background1"/>
              </w:rPr>
              <w:t xml:space="preserve">inancial </w:t>
            </w:r>
            <w:r w:rsidRPr="008D6F92">
              <w:rPr>
                <w:b/>
                <w:bCs/>
                <w:i/>
                <w:iCs/>
                <w:color w:val="FFFFFF" w:themeColor="background1"/>
              </w:rPr>
              <w:t>H</w:t>
            </w:r>
            <w:r w:rsidR="00AF5CAA">
              <w:rPr>
                <w:b/>
                <w:bCs/>
                <w:i/>
                <w:iCs/>
                <w:color w:val="FFFFFF" w:themeColor="background1"/>
              </w:rPr>
              <w:t xml:space="preserve">ardship </w:t>
            </w:r>
            <w:r w:rsidRPr="008D6F92">
              <w:rPr>
                <w:b/>
                <w:bCs/>
                <w:i/>
                <w:iCs/>
                <w:color w:val="FFFFFF" w:themeColor="background1"/>
              </w:rPr>
              <w:t>I</w:t>
            </w:r>
            <w:r w:rsidR="00AF5CAA">
              <w:rPr>
                <w:b/>
                <w:bCs/>
                <w:i/>
                <w:iCs/>
                <w:color w:val="FFFFFF" w:themeColor="background1"/>
              </w:rPr>
              <w:t>nformation</w:t>
            </w:r>
            <w:r w:rsidRPr="008D6F92">
              <w:rPr>
                <w:b/>
                <w:bCs/>
                <w:i/>
                <w:iCs/>
                <w:color w:val="FFFFFF" w:themeColor="background1"/>
              </w:rPr>
              <w:t xml:space="preserve"> from NBL sector </w:t>
            </w:r>
          </w:p>
        </w:tc>
      </w:tr>
      <w:tr w:rsidR="00912919" w:rsidRPr="008D6F92" w14:paraId="66D6B311" w14:textId="77777777" w:rsidTr="001C58C9">
        <w:tc>
          <w:tcPr>
            <w:tcW w:w="9021" w:type="dxa"/>
            <w:shd w:val="clear" w:color="auto" w:fill="FDE9D9" w:themeFill="accent6" w:themeFillTint="33"/>
          </w:tcPr>
          <w:p w14:paraId="7FD28EB9" w14:textId="2F16E052" w:rsidR="00F10A87" w:rsidRDefault="006934F0" w:rsidP="00E71683">
            <w:pPr>
              <w:pStyle w:val="Probity2"/>
              <w:numPr>
                <w:ilvl w:val="0"/>
                <w:numId w:val="0"/>
              </w:numPr>
            </w:pPr>
            <w:r>
              <w:t xml:space="preserve">A number of </w:t>
            </w:r>
            <w:r w:rsidR="00886926">
              <w:t>stakeholders</w:t>
            </w:r>
            <w:r w:rsidR="00853547">
              <w:t xml:space="preserve"> have</w:t>
            </w:r>
            <w:r w:rsidR="00886926">
              <w:t xml:space="preserve"> recommended that Treasury consider the risks and benefits of excluding FHI from the CDR for the NBL sector. </w:t>
            </w:r>
            <w:r w:rsidR="002C2AF4">
              <w:t xml:space="preserve"> </w:t>
            </w:r>
          </w:p>
          <w:p w14:paraId="4D6CD6C4" w14:textId="0C80E802" w:rsidR="0018095F" w:rsidRDefault="0018095F" w:rsidP="00E71683">
            <w:pPr>
              <w:pStyle w:val="Probity2"/>
              <w:numPr>
                <w:ilvl w:val="0"/>
                <w:numId w:val="0"/>
              </w:numPr>
            </w:pPr>
            <w:r>
              <w:t xml:space="preserve">Some </w:t>
            </w:r>
            <w:r w:rsidR="006934F0">
              <w:t>of the</w:t>
            </w:r>
            <w:r>
              <w:t xml:space="preserve"> concerns about excluding FHI and “repayment history information” from the CDR for the NBL sector</w:t>
            </w:r>
            <w:r w:rsidR="006934F0">
              <w:t xml:space="preserve"> were as follows</w:t>
            </w:r>
            <w:r>
              <w:t>:</w:t>
            </w:r>
          </w:p>
          <w:p w14:paraId="42FE26B2" w14:textId="1162860A" w:rsidR="0018095F" w:rsidRDefault="0018095F" w:rsidP="0018095F">
            <w:pPr>
              <w:pStyle w:val="Probity2"/>
              <w:numPr>
                <w:ilvl w:val="0"/>
                <w:numId w:val="45"/>
              </w:numPr>
            </w:pPr>
            <w:r>
              <w:t xml:space="preserve">that a broad exclusion of FHI and “repayment history information” from the CDR for the NBL sector could result in data holders adopting a broad interpretation of those terms in order to </w:t>
            </w:r>
            <w:r w:rsidR="006934F0">
              <w:t xml:space="preserve">avoid sharing that data in response to </w:t>
            </w:r>
            <w:r>
              <w:t>a consumer data request</w:t>
            </w:r>
            <w:r w:rsidR="006934F0">
              <w:t xml:space="preserve"> (for example, when sharing information about a customer’s </w:t>
            </w:r>
            <w:r>
              <w:t xml:space="preserve">transaction data), and </w:t>
            </w:r>
          </w:p>
          <w:p w14:paraId="35A4D347" w14:textId="50A63399" w:rsidR="0018095F" w:rsidRDefault="0018095F" w:rsidP="0018095F">
            <w:pPr>
              <w:pStyle w:val="Probity2"/>
              <w:numPr>
                <w:ilvl w:val="0"/>
                <w:numId w:val="45"/>
              </w:numPr>
            </w:pPr>
            <w:r>
              <w:t>by excluding FHI and “repayment history information”, data holders would not have a complete picture of a consumer’s financial position which may adversely affect the</w:t>
            </w:r>
            <w:r w:rsidR="006934F0">
              <w:t xml:space="preserve"> consumer because certain</w:t>
            </w:r>
            <w:r>
              <w:t xml:space="preserve"> types of products </w:t>
            </w:r>
            <w:r w:rsidR="006934F0">
              <w:t xml:space="preserve">may not be </w:t>
            </w:r>
            <w:r>
              <w:t xml:space="preserve">offered to </w:t>
            </w:r>
            <w:r w:rsidR="006934F0">
              <w:t xml:space="preserve">them </w:t>
            </w:r>
            <w:r>
              <w:t>(for example, financial counselling).</w:t>
            </w:r>
          </w:p>
          <w:p w14:paraId="3E38F5DF" w14:textId="22763137" w:rsidR="006934F0" w:rsidRDefault="0018095F" w:rsidP="00422202">
            <w:pPr>
              <w:pStyle w:val="Probity2"/>
              <w:numPr>
                <w:ilvl w:val="0"/>
                <w:numId w:val="0"/>
              </w:numPr>
            </w:pPr>
            <w:r>
              <w:t xml:space="preserve">On the other hand, some stakeholders raised concerns that </w:t>
            </w:r>
            <w:r w:rsidR="006934F0">
              <w:t>including FHI and “repayment history information” could lead to data holders exploiting the information to the detriment of vulnerable customers.  For example, customers could be refused certain products, on the basis of their FHI.</w:t>
            </w:r>
          </w:p>
          <w:p w14:paraId="4774FA8A" w14:textId="7D9320CA" w:rsidR="00842534" w:rsidRDefault="006934F0" w:rsidP="00422202">
            <w:pPr>
              <w:pStyle w:val="Probity2"/>
              <w:numPr>
                <w:ilvl w:val="0"/>
                <w:numId w:val="0"/>
              </w:numPr>
            </w:pPr>
            <w:r>
              <w:t xml:space="preserve">One stakeholder also raised a concern that </w:t>
            </w:r>
            <w:r w:rsidR="0018095F">
              <w:t xml:space="preserve">even if FHI and “repayment history information” is excluded from the CDR for the NBL sector, </w:t>
            </w:r>
            <w:r w:rsidR="00842534">
              <w:t xml:space="preserve">whether or not a customer is experiencing hardship can still be inferred from their transaction data. As an example, transaction data includes whether the transaction is a debit, a credit or a fee. </w:t>
            </w:r>
            <w:r w:rsidR="00422202">
              <w:t>If that transaction data indicated that</w:t>
            </w:r>
            <w:r w:rsidR="00842534">
              <w:t xml:space="preserve"> a customer was regularly paying fees as a result of not making their minimum repayments, you could infer, however tenuously, that they were experiencing financial hardship. </w:t>
            </w:r>
            <w:r>
              <w:t>This could lead to a risk that the information could then be exploited to the detriment of the customer.</w:t>
            </w:r>
          </w:p>
          <w:p w14:paraId="6DBC4E95" w14:textId="394338FF" w:rsidR="00842534" w:rsidRDefault="00422202" w:rsidP="00D45039">
            <w:pPr>
              <w:pStyle w:val="Probity2"/>
              <w:numPr>
                <w:ilvl w:val="0"/>
                <w:numId w:val="0"/>
              </w:numPr>
            </w:pPr>
            <w:r>
              <w:t>Financial hardship information is a customer’s personal information (but not sensitive information).</w:t>
            </w:r>
            <w:r>
              <w:rPr>
                <w:rStyle w:val="FootnoteReference"/>
              </w:rPr>
              <w:footnoteReference w:id="24"/>
            </w:r>
          </w:p>
          <w:p w14:paraId="29FDC352" w14:textId="4EDA41ED" w:rsidR="005E4B1F" w:rsidRDefault="005E4B1F" w:rsidP="005E4B1F">
            <w:pPr>
              <w:pStyle w:val="Probity2"/>
              <w:numPr>
                <w:ilvl w:val="0"/>
                <w:numId w:val="0"/>
              </w:numPr>
            </w:pPr>
            <w:r>
              <w:t xml:space="preserve">We note this issue was not considered in the </w:t>
            </w:r>
            <w:r w:rsidRPr="0077224D">
              <w:t>2019 CDR PIA</w:t>
            </w:r>
            <w:r>
              <w:t xml:space="preserve"> or the </w:t>
            </w:r>
            <w:r w:rsidRPr="0077224D">
              <w:t>2019 Banking PIA</w:t>
            </w:r>
            <w:r>
              <w:t xml:space="preserve"> given the timing of the commencement of the CCR. </w:t>
            </w:r>
            <w:r w:rsidRPr="008D6F92">
              <w:t>This issue was considered in the NBL sector PIA</w:t>
            </w:r>
            <w:r w:rsidRPr="008D6F92">
              <w:rPr>
                <w:rStyle w:val="FootnoteReference"/>
              </w:rPr>
              <w:footnoteReference w:id="25"/>
            </w:r>
            <w:r>
              <w:t xml:space="preserve"> and the </w:t>
            </w:r>
            <w:r w:rsidRPr="00C03B59">
              <w:t>2020 Energy PIA</w:t>
            </w:r>
            <w:r>
              <w:t>.</w:t>
            </w:r>
            <w:r>
              <w:rPr>
                <w:rStyle w:val="FootnoteReference"/>
              </w:rPr>
              <w:footnoteReference w:id="26"/>
            </w:r>
          </w:p>
          <w:p w14:paraId="264C35B1" w14:textId="77777777" w:rsidR="00A60315" w:rsidRDefault="002A4B65" w:rsidP="00F10A87">
            <w:pPr>
              <w:pStyle w:val="Probity2"/>
              <w:numPr>
                <w:ilvl w:val="0"/>
                <w:numId w:val="0"/>
              </w:numPr>
            </w:pPr>
            <w:r w:rsidRPr="002A4B65">
              <w:t>The NBL Sector Report discusses a number of policy reasons to support the inclusion of FHI in the NBL sector, including that inclusion of data of this nature may enable a lender to proce</w:t>
            </w:r>
            <w:r w:rsidR="00E939FC">
              <w:t>s</w:t>
            </w:r>
            <w:r w:rsidRPr="002A4B65">
              <w:t>s hardship applications and aid customers more quickly and enable industry to develop tools to educate and assist individuals experiencing hardship.  The contrary view is that inclusion of data of this nature may be misused by NBL sector participants to target vulnerable customers.</w:t>
            </w:r>
            <w:r w:rsidR="0043570E">
              <w:t xml:space="preserve">  </w:t>
            </w:r>
          </w:p>
          <w:p w14:paraId="53670B8F" w14:textId="6CB81500" w:rsidR="00F10A87" w:rsidRDefault="002C2AF4" w:rsidP="00F10A87">
            <w:pPr>
              <w:pStyle w:val="Probity2"/>
              <w:numPr>
                <w:ilvl w:val="0"/>
                <w:numId w:val="0"/>
              </w:numPr>
            </w:pPr>
            <w:r>
              <w:t xml:space="preserve">Taking into account the above, and balancing the </w:t>
            </w:r>
            <w:r w:rsidR="00703092">
              <w:t xml:space="preserve">policy </w:t>
            </w:r>
            <w:r>
              <w:t xml:space="preserve">considerations, </w:t>
            </w:r>
            <w:r w:rsidR="00F10A87">
              <w:t>“financial hardship information” and “repayment history information” as those terms are defined in the Privacy Act ha</w:t>
            </w:r>
            <w:r w:rsidR="00703092">
              <w:t>ve</w:t>
            </w:r>
            <w:r w:rsidR="00F10A87">
              <w:t xml:space="preserve"> been excluded from the meaning of “customer data”, where such information was disclosed by or to a credit reporting body within the meaning of the Privacy Act.</w:t>
            </w:r>
            <w:r w:rsidR="00F10A87">
              <w:rPr>
                <w:rStyle w:val="FootnoteReference"/>
              </w:rPr>
              <w:footnoteReference w:id="27"/>
            </w:r>
            <w:r w:rsidR="00A23C8F">
              <w:t xml:space="preserve">  Information about financial hardship and a consumer’s repayment history is otherwise captured (for example, as transaction data).</w:t>
            </w:r>
            <w:r w:rsidR="00703092">
              <w:t xml:space="preserve"> </w:t>
            </w:r>
          </w:p>
          <w:p w14:paraId="24C9236F" w14:textId="41159191" w:rsidR="00F10A87" w:rsidRDefault="00A17786" w:rsidP="00E939FC">
            <w:pPr>
              <w:pStyle w:val="Probity2"/>
              <w:numPr>
                <w:ilvl w:val="0"/>
                <w:numId w:val="0"/>
              </w:numPr>
            </w:pPr>
            <w:r>
              <w:t>We acknowledge this</w:t>
            </w:r>
            <w:r w:rsidR="00A60315">
              <w:t xml:space="preserve"> approach seeks to balance the risks and benefits discussed above, while being consistent with the overall objective of the CDR which is to enable consumers to consent to the sharing of their information in a secure manner and with enhanced privacy protections (in addition to the APPs). </w:t>
            </w:r>
          </w:p>
          <w:p w14:paraId="42D65198" w14:textId="6F7EACD3" w:rsidR="0043570E" w:rsidRPr="008D6F92" w:rsidRDefault="00703092" w:rsidP="00703092">
            <w:pPr>
              <w:pStyle w:val="Probity2"/>
              <w:numPr>
                <w:ilvl w:val="0"/>
                <w:numId w:val="0"/>
              </w:numPr>
            </w:pPr>
            <w:r>
              <w:t>By this approach, to the</w:t>
            </w:r>
            <w:r w:rsidR="00A17786">
              <w:t xml:space="preserve"> extent</w:t>
            </w:r>
            <w:r w:rsidR="0066655C">
              <w:t xml:space="preserve"> information about financial hardship could be </w:t>
            </w:r>
            <w:r>
              <w:t xml:space="preserve">inferred from transaction data, </w:t>
            </w:r>
            <w:r w:rsidR="00E939FC">
              <w:t>f</w:t>
            </w:r>
            <w:r w:rsidR="0043570E">
              <w:t xml:space="preserve">rom a privacy perspective, </w:t>
            </w:r>
            <w:r w:rsidR="002C2AF4">
              <w:t xml:space="preserve">we consider the CDR provides adequate protections in respect of the use and disclosure of </w:t>
            </w:r>
            <w:r>
              <w:t xml:space="preserve">that </w:t>
            </w:r>
            <w:r w:rsidR="002C2AF4">
              <w:t>data noting:</w:t>
            </w:r>
          </w:p>
          <w:p w14:paraId="5A6179E2" w14:textId="5116ABD0" w:rsidR="00DC56F7" w:rsidRDefault="008948F0" w:rsidP="0001039D">
            <w:pPr>
              <w:pStyle w:val="Probity2"/>
              <w:numPr>
                <w:ilvl w:val="0"/>
                <w:numId w:val="28"/>
              </w:numPr>
            </w:pPr>
            <w:r>
              <w:t>CDR Rule 4.11 requires an accredited person to obtain express consent from a CDR customer in relation to the disclosure of CDR data.  This would include data which evidences financial hardship</w:t>
            </w:r>
            <w:r w:rsidR="00703092">
              <w:t xml:space="preserve"> and / or repayment history</w:t>
            </w:r>
            <w:r>
              <w:t>.</w:t>
            </w:r>
            <w:r w:rsidR="00AA3964">
              <w:t xml:space="preserve"> The consent may not be valid for a period of more than </w:t>
            </w:r>
            <w:r w:rsidR="00401A55">
              <w:t>12 </w:t>
            </w:r>
            <w:r w:rsidR="00AA3964">
              <w:t xml:space="preserve">months (CDR Rule 4.12(1)) and at the end of the consent period, data needs to be de-identified or deleted (CDR Rule 7.12 and 7.13 and Privacy Safeguard 12). </w:t>
            </w:r>
            <w:r w:rsidR="00352046">
              <w:t xml:space="preserve"> </w:t>
            </w:r>
          </w:p>
          <w:p w14:paraId="1C608E11" w14:textId="08D75522" w:rsidR="00352046" w:rsidRDefault="002C2AF4" w:rsidP="0001039D">
            <w:pPr>
              <w:pStyle w:val="Probity2"/>
              <w:numPr>
                <w:ilvl w:val="0"/>
                <w:numId w:val="28"/>
              </w:numPr>
            </w:pPr>
            <w:r>
              <w:t>W</w:t>
            </w:r>
            <w:r w:rsidR="00352046">
              <w:t>hen seeking authorisation to disc</w:t>
            </w:r>
            <w:r w:rsidR="00E33483">
              <w:t xml:space="preserve">lose CDR data (or amend a current authorisation) </w:t>
            </w:r>
            <w:r w:rsidR="00DC56F7">
              <w:t>a</w:t>
            </w:r>
            <w:r w:rsidR="00E33483">
              <w:t xml:space="preserve"> data holder must give the customer certain information including, relevantly, information about the types of data the data holder is seeking authorisation to disclose (CDR </w:t>
            </w:r>
            <w:r>
              <w:t>Rule </w:t>
            </w:r>
            <w:r w:rsidR="00E33483">
              <w:t>4.23(1)(c))</w:t>
            </w:r>
            <w:r>
              <w:t>.  This would include transaction data which evidences financial hardship</w:t>
            </w:r>
            <w:r w:rsidR="00703092">
              <w:t xml:space="preserve"> and transaction history information</w:t>
            </w:r>
            <w:r w:rsidR="00E33483">
              <w:t xml:space="preserve">.  </w:t>
            </w:r>
          </w:p>
          <w:p w14:paraId="5CE4955D" w14:textId="1545437A" w:rsidR="000C6426" w:rsidRDefault="000C6426" w:rsidP="0001039D">
            <w:pPr>
              <w:pStyle w:val="Probity2"/>
              <w:numPr>
                <w:ilvl w:val="0"/>
                <w:numId w:val="28"/>
              </w:numPr>
            </w:pPr>
            <w:r>
              <w:t xml:space="preserve">CDR Rule 3.5(1)(a) permits a data holder to refuse to disclose customer data in response to a request where, relevantly, the data holder considers this is necessary to prevent financial harm or abuse.  The data holder </w:t>
            </w:r>
            <w:r w:rsidR="00183A47">
              <w:t xml:space="preserve">must also provide the </w:t>
            </w:r>
            <w:r w:rsidR="00C36D16">
              <w:t>customer with access to the customer dashboard if the data holder receives a request from an accredited person on behalf of an eligible customer (CDR Rule 1.15 and Schedule 3 Rule 2.3).</w:t>
            </w:r>
          </w:p>
          <w:p w14:paraId="024FC1D7" w14:textId="6284346E" w:rsidR="00AF7BD4" w:rsidRDefault="00AF7BD4" w:rsidP="00401A55">
            <w:pPr>
              <w:pStyle w:val="Probity2"/>
              <w:keepNext/>
              <w:numPr>
                <w:ilvl w:val="0"/>
                <w:numId w:val="28"/>
              </w:numPr>
              <w:ind w:left="714" w:hanging="357"/>
            </w:pPr>
            <w:r>
              <w:t>W</w:t>
            </w:r>
            <w:r w:rsidR="000C6426">
              <w:t>e</w:t>
            </w:r>
            <w:r>
              <w:t xml:space="preserve"> further</w:t>
            </w:r>
            <w:r w:rsidR="000C6426">
              <w:t xml:space="preserve"> note</w:t>
            </w:r>
            <w:r>
              <w:t>:</w:t>
            </w:r>
          </w:p>
          <w:p w14:paraId="7DE81DD4" w14:textId="6E58716A" w:rsidR="00AF7BD4" w:rsidRDefault="000C6426" w:rsidP="002C2AF4">
            <w:pPr>
              <w:pStyle w:val="Probity4"/>
            </w:pPr>
            <w:r>
              <w:t>the data minimisation principle (CDR Rule 1.8)</w:t>
            </w:r>
            <w:r w:rsidR="005D221B">
              <w:t xml:space="preserve"> </w:t>
            </w:r>
          </w:p>
          <w:p w14:paraId="02015E4E" w14:textId="67E4C825" w:rsidR="002C2AF4" w:rsidRDefault="00AF7BD4" w:rsidP="002C2AF4">
            <w:pPr>
              <w:pStyle w:val="Probity4"/>
            </w:pPr>
            <w:r>
              <w:t>that accredited persons need to be accredited in accordance with Part 5 of the CDR Rules</w:t>
            </w:r>
          </w:p>
          <w:p w14:paraId="0B63CACA" w14:textId="4EDF29E7" w:rsidR="002C2AF4" w:rsidRDefault="00AF7BD4" w:rsidP="002C2AF4">
            <w:pPr>
              <w:pStyle w:val="Probity4"/>
            </w:pPr>
            <w:r>
              <w:t xml:space="preserve">that accredited persons can only use and disclose CDR data in accordance with the CDR Rules or otherwise in accordance with Privacy Safeguard 6, and </w:t>
            </w:r>
          </w:p>
          <w:p w14:paraId="3DC3A89A" w14:textId="32FDAE71" w:rsidR="000C6426" w:rsidRPr="005D221B" w:rsidRDefault="005D221B" w:rsidP="002C2AF4">
            <w:pPr>
              <w:pStyle w:val="Probity4"/>
            </w:pPr>
            <w:r>
              <w:t>the</w:t>
            </w:r>
            <w:r w:rsidR="00414098">
              <w:t xml:space="preserve"> </w:t>
            </w:r>
            <w:r w:rsidR="00B86354" w:rsidRPr="002C2AF4">
              <w:rPr>
                <w:i/>
                <w:iCs/>
              </w:rPr>
              <w:t xml:space="preserve">de </w:t>
            </w:r>
            <w:r w:rsidRPr="002C2AF4">
              <w:rPr>
                <w:i/>
                <w:iCs/>
              </w:rPr>
              <w:t>minim</w:t>
            </w:r>
            <w:r w:rsidR="00B86354" w:rsidRPr="002C2AF4">
              <w:rPr>
                <w:i/>
                <w:iCs/>
              </w:rPr>
              <w:t>i</w:t>
            </w:r>
            <w:r w:rsidRPr="002C2AF4">
              <w:rPr>
                <w:i/>
                <w:iCs/>
              </w:rPr>
              <w:t xml:space="preserve">s </w:t>
            </w:r>
            <w:r>
              <w:t xml:space="preserve">principle will mean smaller players in the NBL sector will not be captured by the CDR </w:t>
            </w:r>
            <w:r w:rsidR="009857C3" w:rsidRPr="009857C3">
              <w:t>R</w:t>
            </w:r>
            <w:r w:rsidR="00B86354">
              <w:t>ules</w:t>
            </w:r>
            <w:r>
              <w:t>.</w:t>
            </w:r>
          </w:p>
          <w:p w14:paraId="5AFE3F7E" w14:textId="5C3956F7" w:rsidR="00F10EB0" w:rsidRPr="008D6F92" w:rsidRDefault="00703092" w:rsidP="00E939FC">
            <w:pPr>
              <w:pStyle w:val="Probity2"/>
              <w:numPr>
                <w:ilvl w:val="0"/>
                <w:numId w:val="0"/>
              </w:numPr>
            </w:pPr>
            <w:r>
              <w:t xml:space="preserve">Notwithstanding the above, having regard to the concerns raised by stakeholders in response to </w:t>
            </w:r>
            <w:r w:rsidR="00E60BA8">
              <w:t>consultation</w:t>
            </w:r>
            <w:r>
              <w:t xml:space="preserve"> and the </w:t>
            </w:r>
            <w:r w:rsidR="00E60BA8">
              <w:t>Treasury’s</w:t>
            </w:r>
            <w:r>
              <w:t xml:space="preserve"> policy objective, we make </w:t>
            </w:r>
            <w:r>
              <w:rPr>
                <w:b/>
                <w:bCs/>
              </w:rPr>
              <w:t>Recommendation 2</w:t>
            </w:r>
            <w:r w:rsidR="00E60BA8">
              <w:t>.</w:t>
            </w:r>
            <w:r w:rsidR="00E939FC">
              <w:t xml:space="preserve"> </w:t>
            </w:r>
          </w:p>
        </w:tc>
      </w:tr>
      <w:tr w:rsidR="00912919" w:rsidRPr="008D6F92" w14:paraId="4EB4D4ED" w14:textId="77777777" w:rsidTr="001C58C9">
        <w:tc>
          <w:tcPr>
            <w:tcW w:w="9021" w:type="dxa"/>
            <w:shd w:val="clear" w:color="auto" w:fill="FFFFFF" w:themeFill="background1"/>
          </w:tcPr>
          <w:p w14:paraId="1D8692A7" w14:textId="77777777" w:rsidR="001C58C9" w:rsidRPr="008D6F92" w:rsidRDefault="001C58C9" w:rsidP="00292A38">
            <w:pPr>
              <w:pStyle w:val="Probity2"/>
              <w:numPr>
                <w:ilvl w:val="0"/>
                <w:numId w:val="0"/>
              </w:numPr>
            </w:pPr>
          </w:p>
        </w:tc>
      </w:tr>
      <w:tr w:rsidR="00F10A87" w:rsidRPr="008D6F92" w14:paraId="417B729C" w14:textId="77777777" w:rsidTr="00F10A87">
        <w:tc>
          <w:tcPr>
            <w:tcW w:w="9021" w:type="dxa"/>
            <w:shd w:val="clear" w:color="auto" w:fill="F79646" w:themeFill="accent6"/>
          </w:tcPr>
          <w:p w14:paraId="4B06085B" w14:textId="40C81F61" w:rsidR="00F10A87" w:rsidRPr="008D6F92" w:rsidRDefault="00F10A87" w:rsidP="00F10A87">
            <w:pPr>
              <w:pStyle w:val="Probity2"/>
              <w:numPr>
                <w:ilvl w:val="0"/>
                <w:numId w:val="0"/>
              </w:numPr>
            </w:pPr>
            <w:r w:rsidRPr="00A378CA">
              <w:rPr>
                <w:b/>
                <w:bCs/>
              </w:rPr>
              <w:t xml:space="preserve">Recommendation </w:t>
            </w:r>
            <w:r>
              <w:rPr>
                <w:b/>
                <w:bCs/>
              </w:rPr>
              <w:t>2</w:t>
            </w:r>
            <w:r w:rsidRPr="00A378CA">
              <w:rPr>
                <w:b/>
                <w:bCs/>
              </w:rPr>
              <w:t xml:space="preserve"> </w:t>
            </w:r>
            <w:r>
              <w:rPr>
                <w:b/>
                <w:bCs/>
              </w:rPr>
              <w:t xml:space="preserve">– </w:t>
            </w:r>
            <w:r w:rsidR="00E60BA8">
              <w:rPr>
                <w:rFonts w:cs="Arial"/>
              </w:rPr>
              <w:t xml:space="preserve">Treasury </w:t>
            </w:r>
            <w:r w:rsidR="00E60BA8">
              <w:t>consider whether the exclusion to financial hardship information and repayment history information from “customer data” is sufficient or whether the exclusion should be extended so as to protect the privacy of vulnerable consumers.</w:t>
            </w:r>
          </w:p>
        </w:tc>
      </w:tr>
      <w:tr w:rsidR="00F10A87" w:rsidRPr="008D6F92" w14:paraId="07A577D2" w14:textId="77777777" w:rsidTr="001C58C9">
        <w:tc>
          <w:tcPr>
            <w:tcW w:w="9021" w:type="dxa"/>
            <w:shd w:val="clear" w:color="auto" w:fill="FFFFFF" w:themeFill="background1"/>
          </w:tcPr>
          <w:p w14:paraId="76286B33" w14:textId="77777777" w:rsidR="00F10A87" w:rsidRPr="008D6F92" w:rsidRDefault="00F10A87" w:rsidP="00F10A87">
            <w:pPr>
              <w:pStyle w:val="Probity2"/>
              <w:numPr>
                <w:ilvl w:val="0"/>
                <w:numId w:val="0"/>
              </w:numPr>
            </w:pPr>
          </w:p>
        </w:tc>
      </w:tr>
      <w:tr w:rsidR="00F10A87" w:rsidRPr="008D6F92" w14:paraId="20118406" w14:textId="77777777">
        <w:tc>
          <w:tcPr>
            <w:tcW w:w="9021" w:type="dxa"/>
            <w:shd w:val="clear" w:color="auto" w:fill="F79646" w:themeFill="accent6"/>
          </w:tcPr>
          <w:p w14:paraId="08AAEB4C" w14:textId="0A5F6AF4" w:rsidR="00F10A87" w:rsidRPr="008D6F92" w:rsidRDefault="00F10A87" w:rsidP="00F10A87">
            <w:pPr>
              <w:pStyle w:val="Probity2"/>
              <w:keepNext/>
              <w:numPr>
                <w:ilvl w:val="0"/>
                <w:numId w:val="0"/>
              </w:numPr>
              <w:rPr>
                <w:b/>
                <w:bCs/>
              </w:rPr>
            </w:pPr>
            <w:r w:rsidRPr="008D6F92">
              <w:rPr>
                <w:b/>
                <w:bCs/>
                <w:i/>
                <w:iCs/>
                <w:color w:val="FFFFFF" w:themeColor="background1"/>
              </w:rPr>
              <w:t xml:space="preserve">Issue 3 – use of non-credit information to inform credit assessments </w:t>
            </w:r>
          </w:p>
        </w:tc>
      </w:tr>
      <w:tr w:rsidR="00F10A87" w:rsidRPr="008D6F92" w14:paraId="3B42335F" w14:textId="77777777" w:rsidTr="001C58C9">
        <w:tc>
          <w:tcPr>
            <w:tcW w:w="9021" w:type="dxa"/>
            <w:shd w:val="clear" w:color="auto" w:fill="FDE9D9" w:themeFill="accent6" w:themeFillTint="33"/>
          </w:tcPr>
          <w:p w14:paraId="21841D0E" w14:textId="3BCFFF33" w:rsidR="00F10A87" w:rsidRDefault="00F10A87" w:rsidP="00F10A87">
            <w:pPr>
              <w:pStyle w:val="Probity2"/>
              <w:numPr>
                <w:ilvl w:val="0"/>
                <w:numId w:val="0"/>
              </w:numPr>
            </w:pPr>
            <w:r w:rsidRPr="008D6F92">
              <w:t xml:space="preserve">Consultation </w:t>
            </w:r>
            <w:r>
              <w:t xml:space="preserve">responses </w:t>
            </w:r>
            <w:r w:rsidRPr="008D6F92">
              <w:t xml:space="preserve">raised </w:t>
            </w:r>
            <w:r>
              <w:t>a</w:t>
            </w:r>
            <w:r w:rsidRPr="008D6F92">
              <w:t xml:space="preserve"> concern </w:t>
            </w:r>
            <w:r>
              <w:t xml:space="preserve">about the use of non-credit information to inform credit assessments under the CDR.  </w:t>
            </w:r>
          </w:p>
          <w:p w14:paraId="639583F0" w14:textId="7385355B" w:rsidR="00F10A87" w:rsidRDefault="00F10A87" w:rsidP="00F10A87">
            <w:pPr>
              <w:pStyle w:val="Probity2"/>
              <w:numPr>
                <w:ilvl w:val="0"/>
                <w:numId w:val="0"/>
              </w:numPr>
            </w:pPr>
            <w:r>
              <w:t xml:space="preserve">Currently, by Part IIIA of the Privacy Act, an individual’s creditworthiness is assessed based on the </w:t>
            </w:r>
            <w:r w:rsidRPr="000B5602">
              <w:t>credit reporting information about the individual that was disclosed to a credit provider by a credit reporting body under Division 2 of Part IIIA</w:t>
            </w:r>
            <w:r>
              <w:t>.</w:t>
            </w:r>
          </w:p>
          <w:p w14:paraId="33D288A4" w14:textId="1ECA2CA8" w:rsidR="00F10A87" w:rsidRDefault="00F10A87" w:rsidP="00F10A87">
            <w:pPr>
              <w:pStyle w:val="Probity2"/>
              <w:numPr>
                <w:ilvl w:val="0"/>
                <w:numId w:val="0"/>
              </w:numPr>
            </w:pPr>
            <w:r>
              <w:t xml:space="preserve">Stakeholders raised a concern that under the CDR, aggregate data from different sources may be used to assess an individual’s creditworthiness.  For example, if transaction data evidences that an individual is a frequent users of BNPL products, which could then be used to adversely affect a customer’s creditworthiness. </w:t>
            </w:r>
          </w:p>
          <w:p w14:paraId="13942BE8" w14:textId="77777777" w:rsidR="00F10A87" w:rsidRDefault="00F10A87" w:rsidP="00F10A87">
            <w:pPr>
              <w:pStyle w:val="Probity2"/>
              <w:numPr>
                <w:ilvl w:val="0"/>
                <w:numId w:val="0"/>
              </w:numPr>
            </w:pPr>
            <w:r w:rsidRPr="008D6F92">
              <w:t>Th</w:t>
            </w:r>
            <w:r>
              <w:t>e</w:t>
            </w:r>
            <w:r w:rsidRPr="008D6F92">
              <w:t xml:space="preserve"> issue </w:t>
            </w:r>
            <w:r>
              <w:t xml:space="preserve">of consumer data being collected from multiple sources </w:t>
            </w:r>
            <w:r w:rsidRPr="008D6F92">
              <w:t>was considered in the NBL sector PIA</w:t>
            </w:r>
            <w:r>
              <w:t xml:space="preserve"> generally, but not specifically in relation to creditworthiness.</w:t>
            </w:r>
            <w:r w:rsidRPr="008D6F92">
              <w:rPr>
                <w:rStyle w:val="FootnoteReference"/>
              </w:rPr>
              <w:footnoteReference w:id="28"/>
            </w:r>
            <w:r>
              <w:t xml:space="preserve">  </w:t>
            </w:r>
          </w:p>
          <w:p w14:paraId="7B483437" w14:textId="653674D0" w:rsidR="00F10A87" w:rsidRDefault="00F10A87" w:rsidP="00F10A87">
            <w:pPr>
              <w:pStyle w:val="Probity2"/>
              <w:numPr>
                <w:ilvl w:val="0"/>
                <w:numId w:val="0"/>
              </w:numPr>
            </w:pPr>
            <w:r>
              <w:t xml:space="preserve">As discussed in response to Issue 2 above, to the extent this concern raises a privacy issue, we consider the CDR provides a robust framework for the handling of CDR data with informed consent being the key mechanism by which customer privacy is protected (see CDR Rules 4.12(1), 4.23(1)(c), 7.12 and 7.13 and Privacy Safeguards 3, 5 and 6).  </w:t>
            </w:r>
          </w:p>
          <w:p w14:paraId="75ABE638" w14:textId="45A47A5F" w:rsidR="00F10A87" w:rsidRDefault="00F10A87" w:rsidP="00F10A87">
            <w:pPr>
              <w:pStyle w:val="Probity2"/>
              <w:numPr>
                <w:ilvl w:val="0"/>
                <w:numId w:val="0"/>
              </w:numPr>
            </w:pPr>
            <w:r>
              <w:t>We consider these provisions adequately address the privacy risks associated with the combining various datasets in order to more accurately assess an individual’s creditworthiness.</w:t>
            </w:r>
          </w:p>
          <w:p w14:paraId="45E69DD8" w14:textId="67C15F6A" w:rsidR="00F10A87" w:rsidRPr="008B482F" w:rsidRDefault="00F10A87" w:rsidP="00F10A87">
            <w:pPr>
              <w:pStyle w:val="Probity2"/>
              <w:numPr>
                <w:ilvl w:val="0"/>
                <w:numId w:val="0"/>
              </w:numPr>
            </w:pPr>
            <w:r>
              <w:t xml:space="preserve">In circumstances where we consider the privacy risks are adequately addressed by the CDR, we make no recommendation in relation to Issue 3. </w:t>
            </w:r>
          </w:p>
        </w:tc>
      </w:tr>
      <w:tr w:rsidR="00F10A87" w:rsidRPr="008D6F92" w14:paraId="2D5083E7" w14:textId="77777777" w:rsidTr="001C58C9">
        <w:tc>
          <w:tcPr>
            <w:tcW w:w="9021" w:type="dxa"/>
            <w:shd w:val="clear" w:color="auto" w:fill="FFFFFF" w:themeFill="background1"/>
          </w:tcPr>
          <w:p w14:paraId="791B747B" w14:textId="77777777" w:rsidR="00F10A87" w:rsidRPr="008D6F92" w:rsidRDefault="00F10A87" w:rsidP="00F10A87">
            <w:pPr>
              <w:pStyle w:val="Probity2"/>
              <w:numPr>
                <w:ilvl w:val="0"/>
                <w:numId w:val="0"/>
              </w:numPr>
              <w:rPr>
                <w:b/>
                <w:bCs/>
                <w:i/>
                <w:iCs/>
                <w:color w:val="FFFFFF" w:themeColor="background1"/>
              </w:rPr>
            </w:pPr>
          </w:p>
        </w:tc>
      </w:tr>
      <w:tr w:rsidR="00F10A87" w:rsidRPr="008D6F92" w14:paraId="5C59FFBE" w14:textId="77777777">
        <w:tc>
          <w:tcPr>
            <w:tcW w:w="9021" w:type="dxa"/>
            <w:shd w:val="clear" w:color="auto" w:fill="F79646" w:themeFill="accent6"/>
          </w:tcPr>
          <w:p w14:paraId="0F4B71D0" w14:textId="68B2F93D" w:rsidR="00F10A87" w:rsidRPr="008D6F92" w:rsidRDefault="00F10A87" w:rsidP="00F10A87">
            <w:pPr>
              <w:pStyle w:val="Probity2"/>
              <w:numPr>
                <w:ilvl w:val="0"/>
                <w:numId w:val="0"/>
              </w:numPr>
              <w:rPr>
                <w:b/>
                <w:bCs/>
              </w:rPr>
            </w:pPr>
            <w:r w:rsidRPr="008D6F92">
              <w:rPr>
                <w:b/>
                <w:bCs/>
                <w:i/>
                <w:iCs/>
                <w:color w:val="FFFFFF" w:themeColor="background1"/>
              </w:rPr>
              <w:t xml:space="preserve">Issue 4 – excluding </w:t>
            </w:r>
            <w:r>
              <w:rPr>
                <w:b/>
                <w:bCs/>
                <w:i/>
                <w:iCs/>
                <w:color w:val="FFFFFF" w:themeColor="background1"/>
              </w:rPr>
              <w:t>‘</w:t>
            </w:r>
            <w:r w:rsidRPr="008D6F92">
              <w:rPr>
                <w:b/>
                <w:bCs/>
                <w:i/>
                <w:iCs/>
                <w:color w:val="FFFFFF" w:themeColor="background1"/>
              </w:rPr>
              <w:t>high-cost</w:t>
            </w:r>
            <w:r>
              <w:rPr>
                <w:b/>
                <w:bCs/>
                <w:i/>
                <w:iCs/>
                <w:color w:val="FFFFFF" w:themeColor="background1"/>
              </w:rPr>
              <w:t>’</w:t>
            </w:r>
            <w:r w:rsidRPr="008D6F92">
              <w:rPr>
                <w:b/>
                <w:bCs/>
                <w:i/>
                <w:iCs/>
                <w:color w:val="FFFFFF" w:themeColor="background1"/>
              </w:rPr>
              <w:t xml:space="preserve"> products </w:t>
            </w:r>
          </w:p>
        </w:tc>
      </w:tr>
      <w:tr w:rsidR="00F10A87" w:rsidRPr="008D6F92" w14:paraId="2ADAC179" w14:textId="77777777" w:rsidTr="001C58C9">
        <w:tc>
          <w:tcPr>
            <w:tcW w:w="9021" w:type="dxa"/>
            <w:shd w:val="clear" w:color="auto" w:fill="FDE9D9" w:themeFill="accent6" w:themeFillTint="33"/>
          </w:tcPr>
          <w:p w14:paraId="78DAD2BB" w14:textId="66EC5F06" w:rsidR="00F10A87" w:rsidRDefault="00F10A87" w:rsidP="00F10A87">
            <w:pPr>
              <w:spacing w:line="276" w:lineRule="auto"/>
            </w:pPr>
            <w:r>
              <w:t xml:space="preserve">Consultation </w:t>
            </w:r>
            <w:r w:rsidRPr="00CC5818">
              <w:rPr>
                <w:rFonts w:cs="Arial"/>
              </w:rPr>
              <w:t>responses</w:t>
            </w:r>
            <w:r>
              <w:t xml:space="preserve"> raised concerns about the inclusion of</w:t>
            </w:r>
            <w:r w:rsidR="00A17786">
              <w:t xml:space="preserve"> certain types of products in the NBL sector which may be marketed towards vulnerable customers, such as Buy Now, Pay Later </w:t>
            </w:r>
            <w:r w:rsidR="00571B3B">
              <w:t>(</w:t>
            </w:r>
            <w:r w:rsidR="00571B3B" w:rsidRPr="00571B3B">
              <w:rPr>
                <w:b/>
                <w:bCs/>
              </w:rPr>
              <w:t>BNPL</w:t>
            </w:r>
            <w:r w:rsidR="00571B3B">
              <w:t xml:space="preserve">) </w:t>
            </w:r>
            <w:r w:rsidR="00A17786">
              <w:t>products</w:t>
            </w:r>
            <w:r>
              <w:t xml:space="preserve">, given the impact of those products on vulnerable individuals. Some stakeholders suggested that </w:t>
            </w:r>
            <w:r w:rsidRPr="00886926">
              <w:t>Treasury should consult with industry about the</w:t>
            </w:r>
            <w:r>
              <w:t xml:space="preserve"> specific</w:t>
            </w:r>
            <w:r w:rsidRPr="00886926">
              <w:t xml:space="preserve"> types of products which are to be included in </w:t>
            </w:r>
            <w:r>
              <w:t xml:space="preserve">the </w:t>
            </w:r>
            <w:r w:rsidRPr="00886926">
              <w:t xml:space="preserve">list of </w:t>
            </w:r>
            <w:r w:rsidR="00571B3B">
              <w:t>“</w:t>
            </w:r>
            <w:r w:rsidRPr="00886926">
              <w:t>covered products</w:t>
            </w:r>
            <w:r w:rsidR="00571B3B">
              <w:t>”</w:t>
            </w:r>
            <w:r w:rsidRPr="00886926">
              <w:t xml:space="preserve"> to assess any privacy risks that may arise by the inclusion of those products in the CDR for the NBL sector.  </w:t>
            </w:r>
          </w:p>
          <w:p w14:paraId="33C0B779" w14:textId="511A4BCD" w:rsidR="00F10A87" w:rsidRDefault="00F10A87" w:rsidP="00F10A87">
            <w:pPr>
              <w:spacing w:line="276" w:lineRule="auto"/>
              <w:rPr>
                <w:rFonts w:cs="Arial"/>
              </w:rPr>
            </w:pPr>
            <w:r>
              <w:rPr>
                <w:rFonts w:cs="Arial"/>
              </w:rPr>
              <w:t>We note feedback from consultation on the NBL sector Design Paper was that the CDR data categories were appropriate for the NBL sector.</w:t>
            </w:r>
          </w:p>
          <w:p w14:paraId="1985AB03" w14:textId="150649D7" w:rsidR="00F10A87" w:rsidRDefault="00F10A87" w:rsidP="00F10A87">
            <w:pPr>
              <w:pStyle w:val="Probity2"/>
              <w:numPr>
                <w:ilvl w:val="0"/>
                <w:numId w:val="0"/>
              </w:numPr>
            </w:pPr>
            <w:r>
              <w:t>Further, it doesn’t appear to us that a product-by-product review of covered products is required, from a privacy perspective, noting that the products that may be “covered products” by the NBL CDR Rules are the same products as those currently included in the CDR Rules (save for BNPL products)</w:t>
            </w:r>
            <w:r>
              <w:rPr>
                <w:rStyle w:val="FootnoteReference"/>
              </w:rPr>
              <w:footnoteReference w:id="29"/>
            </w:r>
            <w:r>
              <w:t xml:space="preserve"> and the CDR Rules apply consistently in respect of the handling of personal information collected and handled in the offering of those products by CDR participants. </w:t>
            </w:r>
          </w:p>
          <w:p w14:paraId="451604B9" w14:textId="51DF68B6" w:rsidR="00F10A87" w:rsidRPr="00A75723" w:rsidRDefault="00571B3B" w:rsidP="00F10A87">
            <w:pPr>
              <w:pStyle w:val="Probity2"/>
              <w:numPr>
                <w:ilvl w:val="0"/>
                <w:numId w:val="0"/>
              </w:numPr>
            </w:pPr>
            <w:r>
              <w:t>To the extent the concern raised by stakeholders is that BNPL products may be used to target more vulnerable customers, we acknowledge that t</w:t>
            </w:r>
            <w:r w:rsidR="00F10A87">
              <w:t xml:space="preserve">he </w:t>
            </w:r>
            <w:r>
              <w:t>profiling</w:t>
            </w:r>
            <w:r w:rsidR="00F10A87">
              <w:t xml:space="preserve"> and targeting of vulnerable customers by providers of high-cost products could have serious privacy impacts and consequences for affected individuals. </w:t>
            </w:r>
          </w:p>
          <w:p w14:paraId="710E7495" w14:textId="7E41F023" w:rsidR="00F10A87" w:rsidRDefault="00F10A87" w:rsidP="00571B3B">
            <w:pPr>
              <w:pStyle w:val="Probity3"/>
              <w:numPr>
                <w:ilvl w:val="0"/>
                <w:numId w:val="0"/>
              </w:numPr>
            </w:pPr>
            <w:r>
              <w:t>However, we consider that privacy risk is appropriately mitigated in circumstances where the CDR requires an individual’s consent prior to the disclosure of their data by a data holder, meaning individuals can refuse to consent to the disclosure of information which may make them a target for the marketing of ‘high-risk’ products (</w:t>
            </w:r>
            <w:r w:rsidR="00CC5818">
              <w:t xml:space="preserve">and </w:t>
            </w:r>
            <w:r>
              <w:t>noting our discussion in respect of Issue 2 above that “financial hardship information” and “repayment history information” has been excluded from the meaning of “</w:t>
            </w:r>
            <w:r w:rsidR="00571B3B">
              <w:t>customer</w:t>
            </w:r>
            <w:r>
              <w:t xml:space="preserve"> data”). </w:t>
            </w:r>
          </w:p>
          <w:p w14:paraId="75F8CC36" w14:textId="34D1AAF6" w:rsidR="00A53F8B" w:rsidRDefault="00F10A87" w:rsidP="00F10A87">
            <w:pPr>
              <w:pStyle w:val="Probity3"/>
              <w:numPr>
                <w:ilvl w:val="0"/>
                <w:numId w:val="0"/>
              </w:numPr>
            </w:pPr>
            <w:r>
              <w:t xml:space="preserve">Some stakeholders have expressed concern regarding reliance on consent as the main strategy for mitigating risk, and have submitted that protections offered by the CDR consent framework should be supported by other mechanisms to protect consumers, noting that consumers are not always well-placed to assess the risks and benefits of sharing their data, particularly in circumstances where the consumer is experiencing vulnerability. </w:t>
            </w:r>
            <w:r w:rsidR="00571B3B">
              <w:t>We do not share this sentiment.  Consent is a key feature of the CDR (the consent framework often being described as “rigorous”</w:t>
            </w:r>
            <w:r w:rsidR="00CC5818">
              <w:t xml:space="preserve"> and being the “bedrock of the CDR system”</w:t>
            </w:r>
            <w:r w:rsidR="00571B3B">
              <w:t>)</w:t>
            </w:r>
            <w:r w:rsidR="00CC5818">
              <w:t xml:space="preserve">.  It does not follow, in our view, that because a customer is vulnerable they are not in a position to give their informed and express consent to the use and disclosure of their CDR data.  </w:t>
            </w:r>
            <w:r w:rsidR="00A53F8B">
              <w:t xml:space="preserve">Indeed, for the reasons discussed above in respect of Issue 2, there are genuine policy reasons for sharing a more complete </w:t>
            </w:r>
            <w:r w:rsidR="0081275A">
              <w:t>picture</w:t>
            </w:r>
            <w:r w:rsidR="00A53F8B">
              <w:t xml:space="preserve"> of a customer’s financial position (for example, so customers can be offered financial counselling services).</w:t>
            </w:r>
          </w:p>
          <w:p w14:paraId="11C1CD40" w14:textId="6FC1B990" w:rsidR="00CC5818" w:rsidRDefault="00CC5818" w:rsidP="00F10A87">
            <w:pPr>
              <w:pStyle w:val="Probity3"/>
              <w:numPr>
                <w:ilvl w:val="0"/>
                <w:numId w:val="0"/>
              </w:numPr>
            </w:pPr>
            <w:r>
              <w:t xml:space="preserve">We think the preferable approach is that the CDR framework have adequate protections to protect consumers, whether vulnerable or not, such that information that prejudices or unfairly targets vulnerable consumers ought not be disclosed. </w:t>
            </w:r>
          </w:p>
          <w:p w14:paraId="32D90B10" w14:textId="48255330" w:rsidR="00F10A87" w:rsidRDefault="00F10A87" w:rsidP="00F10A87">
            <w:pPr>
              <w:pStyle w:val="Probity3"/>
              <w:numPr>
                <w:ilvl w:val="0"/>
                <w:numId w:val="0"/>
              </w:numPr>
            </w:pPr>
            <w:r>
              <w:t>We note that the Treasury and DSB are currently undertaking a consent review and authentication uplift in respect of the CDR.  While the outcome of this process is not known at the time of the preparation of this PIA, this process may make specific recommendations in relation to consents for</w:t>
            </w:r>
            <w:r w:rsidR="0081275A">
              <w:t xml:space="preserve"> certain types of products, such as BNPL </w:t>
            </w:r>
            <w:r>
              <w:t>products.</w:t>
            </w:r>
            <w:r>
              <w:rPr>
                <w:rStyle w:val="FootnoteReference"/>
              </w:rPr>
              <w:footnoteReference w:id="30"/>
            </w:r>
            <w:r>
              <w:t xml:space="preserve"> </w:t>
            </w:r>
            <w:r w:rsidR="0081275A">
              <w:t>Some</w:t>
            </w:r>
            <w:r>
              <w:t xml:space="preserve"> stakeholder</w:t>
            </w:r>
            <w:r w:rsidR="0081275A">
              <w:t>s</w:t>
            </w:r>
            <w:r>
              <w:t xml:space="preserve"> </w:t>
            </w:r>
            <w:r w:rsidR="0081275A">
              <w:t xml:space="preserve">recommended </w:t>
            </w:r>
            <w:r>
              <w:t xml:space="preserve">that Treasury consider the impact of any proposed changes to the consent framework </w:t>
            </w:r>
            <w:r w:rsidR="0081275A">
              <w:t>to the regulation of higher cost products in the NBL sector</w:t>
            </w:r>
            <w:r>
              <w:t xml:space="preserve">. </w:t>
            </w:r>
          </w:p>
          <w:p w14:paraId="71F539D1" w14:textId="095D7913" w:rsidR="00F10A87" w:rsidRDefault="0081275A" w:rsidP="0081275A">
            <w:pPr>
              <w:pStyle w:val="Probity3"/>
              <w:numPr>
                <w:ilvl w:val="0"/>
                <w:numId w:val="0"/>
              </w:numPr>
            </w:pPr>
            <w:r>
              <w:t>We further note that, as</w:t>
            </w:r>
            <w:r w:rsidR="00F10A87">
              <w:t xml:space="preserve"> identified in the NBL Sector Report,</w:t>
            </w:r>
            <w:r w:rsidR="00F10A87" w:rsidRPr="00017663">
              <w:rPr>
                <w:rStyle w:val="FootnoteReference"/>
              </w:rPr>
              <w:footnoteReference w:id="31"/>
            </w:r>
            <w:r w:rsidR="00F10A87">
              <w:t xml:space="preserve"> the CDR operates alongside regulatory frameworks for the banking sector, including the </w:t>
            </w:r>
            <w:r w:rsidR="00F10A87" w:rsidRPr="00917097">
              <w:t>Credit Act</w:t>
            </w:r>
            <w:r w:rsidR="00F10A87">
              <w:t>,</w:t>
            </w:r>
            <w:r w:rsidR="00F10A87" w:rsidRPr="00017663">
              <w:t xml:space="preserve"> </w:t>
            </w:r>
            <w:r w:rsidR="00F10A87">
              <w:t xml:space="preserve">which contains a range of protections to prevent lenders from targeting consumers with inappropriate lending products.  The regulation of those products is arguably better managed under those specific legislative schemes.  </w:t>
            </w:r>
          </w:p>
          <w:p w14:paraId="684413C1" w14:textId="7B79DBFB" w:rsidR="00F10A87" w:rsidRDefault="00F10A87" w:rsidP="00F10A87">
            <w:pPr>
              <w:pStyle w:val="Probity2"/>
              <w:numPr>
                <w:ilvl w:val="0"/>
                <w:numId w:val="0"/>
              </w:numPr>
            </w:pPr>
            <w:r>
              <w:t>In relation to BNPL products</w:t>
            </w:r>
            <w:r w:rsidR="00E45A64">
              <w:t>,</w:t>
            </w:r>
            <w:r>
              <w:t xml:space="preserve"> pay day loans and consumer leases</w:t>
            </w:r>
            <w:r w:rsidR="0081275A">
              <w:t>,</w:t>
            </w:r>
            <w:r>
              <w:t xml:space="preserve"> the Commonwealth is currently taking steps to better regulate those products, with one option being th</w:t>
            </w:r>
            <w:r w:rsidR="0081275A">
              <w:t>at</w:t>
            </w:r>
            <w:r>
              <w:t xml:space="preserve"> BNPL products will be treated as credit contracts and subject to the Credit Act.</w:t>
            </w:r>
            <w:r w:rsidRPr="00017663">
              <w:rPr>
                <w:rStyle w:val="FootnoteReference"/>
              </w:rPr>
              <w:footnoteReference w:id="32"/>
            </w:r>
            <w:r w:rsidRPr="00017663">
              <w:rPr>
                <w:rStyle w:val="FootnoteReference"/>
              </w:rPr>
              <w:t xml:space="preserve"> </w:t>
            </w:r>
            <w:r>
              <w:t xml:space="preserve"> Further reforms are also proposed by the </w:t>
            </w:r>
            <w:r w:rsidRPr="00017663">
              <w:rPr>
                <w:i/>
                <w:iCs/>
              </w:rPr>
              <w:t>Financial Sector Reform Bill 2022</w:t>
            </w:r>
            <w:r w:rsidRPr="00017663">
              <w:t xml:space="preserve"> </w:t>
            </w:r>
            <w:r>
              <w:t>(</w:t>
            </w:r>
            <w:proofErr w:type="spellStart"/>
            <w:r>
              <w:t>Cth</w:t>
            </w:r>
            <w:proofErr w:type="spellEnd"/>
            <w:r>
              <w:t>)</w:t>
            </w:r>
            <w:r w:rsidRPr="00017663">
              <w:rPr>
                <w:rStyle w:val="FootnoteReference"/>
              </w:rPr>
              <w:footnoteReference w:id="33"/>
            </w:r>
            <w:r>
              <w:t xml:space="preserve"> which includes, relevantly, an amendment to the Credit Act to impose additional protections on the offering of small amount credit contracts including the marketing of those contracts.  For example, section 133CF of the </w:t>
            </w:r>
            <w:r w:rsidRPr="00017663">
              <w:rPr>
                <w:i/>
                <w:iCs/>
              </w:rPr>
              <w:t xml:space="preserve">Financial Sector Reform Bill </w:t>
            </w:r>
            <w:r>
              <w:t>prohibits a licensee from direct marketing (unsolicited communications) in relation to a small amount credit contract.</w:t>
            </w:r>
          </w:p>
          <w:p w14:paraId="57CB3C72" w14:textId="47750299" w:rsidR="00F10A87" w:rsidRPr="00D31F2B" w:rsidRDefault="00F10A87" w:rsidP="00F10A87">
            <w:pPr>
              <w:pStyle w:val="Probity2"/>
              <w:numPr>
                <w:ilvl w:val="0"/>
                <w:numId w:val="0"/>
              </w:numPr>
            </w:pPr>
            <w:r>
              <w:t xml:space="preserve">In circumstances where </w:t>
            </w:r>
            <w:r w:rsidR="0081275A">
              <w:t xml:space="preserve">BNPL </w:t>
            </w:r>
            <w:r>
              <w:t xml:space="preserve">products are being actively considered by the Commonwealth for regulation (by the Credit Act and </w:t>
            </w:r>
            <w:r w:rsidRPr="00017663">
              <w:rPr>
                <w:i/>
                <w:iCs/>
              </w:rPr>
              <w:t>Financial Sector Reform Bill</w:t>
            </w:r>
            <w:r>
              <w:t xml:space="preserve">), we make </w:t>
            </w:r>
            <w:r>
              <w:rPr>
                <w:b/>
                <w:bCs/>
              </w:rPr>
              <w:t xml:space="preserve">Recommendation </w:t>
            </w:r>
            <w:r w:rsidR="0081275A">
              <w:rPr>
                <w:b/>
                <w:bCs/>
              </w:rPr>
              <w:t>3</w:t>
            </w:r>
            <w:r>
              <w:rPr>
                <w:b/>
                <w:bCs/>
              </w:rPr>
              <w:t xml:space="preserve"> </w:t>
            </w:r>
            <w:r>
              <w:t>below.</w:t>
            </w:r>
          </w:p>
        </w:tc>
      </w:tr>
      <w:tr w:rsidR="00F10A87" w:rsidRPr="008D6F92" w14:paraId="43B4738B" w14:textId="77777777" w:rsidTr="00144DE9">
        <w:tc>
          <w:tcPr>
            <w:tcW w:w="9021" w:type="dxa"/>
            <w:shd w:val="clear" w:color="auto" w:fill="FFFFFF" w:themeFill="background1"/>
          </w:tcPr>
          <w:p w14:paraId="28AB0390" w14:textId="77777777" w:rsidR="00F10A87" w:rsidRDefault="00F10A87" w:rsidP="00F10A87">
            <w:pPr>
              <w:pStyle w:val="Probity2"/>
              <w:numPr>
                <w:ilvl w:val="0"/>
                <w:numId w:val="0"/>
              </w:numPr>
            </w:pPr>
          </w:p>
        </w:tc>
      </w:tr>
      <w:tr w:rsidR="00F10A87" w:rsidRPr="008D6F92" w14:paraId="000E85E0" w14:textId="77777777" w:rsidTr="00144DE9">
        <w:tc>
          <w:tcPr>
            <w:tcW w:w="9021" w:type="dxa"/>
            <w:shd w:val="clear" w:color="auto" w:fill="F79646" w:themeFill="accent6"/>
          </w:tcPr>
          <w:p w14:paraId="62CD7BAD" w14:textId="46BE193D" w:rsidR="00F10A87" w:rsidRPr="00017663" w:rsidRDefault="00F10A87" w:rsidP="00F10A87">
            <w:pPr>
              <w:pStyle w:val="Probity2"/>
              <w:numPr>
                <w:ilvl w:val="0"/>
                <w:numId w:val="0"/>
              </w:numPr>
            </w:pPr>
            <w:r w:rsidRPr="00A378CA">
              <w:rPr>
                <w:b/>
                <w:bCs/>
              </w:rPr>
              <w:t xml:space="preserve">Recommendation </w:t>
            </w:r>
            <w:r w:rsidR="0081275A">
              <w:rPr>
                <w:b/>
                <w:bCs/>
              </w:rPr>
              <w:t>3</w:t>
            </w:r>
            <w:r w:rsidRPr="00A378CA">
              <w:rPr>
                <w:b/>
                <w:bCs/>
              </w:rPr>
              <w:t xml:space="preserve"> </w:t>
            </w:r>
            <w:r>
              <w:rPr>
                <w:b/>
                <w:bCs/>
              </w:rPr>
              <w:t xml:space="preserve">– </w:t>
            </w:r>
            <w:r w:rsidR="004F570F">
              <w:t>Treasury monitor the regulation of certain NBL sector products, such as Buy Now, Pay Later products in order to identify any high privacy risks such that the NBL CDR Rules should be amended to address those risks (for example, in relation to the marketing of such products).</w:t>
            </w:r>
          </w:p>
        </w:tc>
      </w:tr>
    </w:tbl>
    <w:p w14:paraId="3398F28F" w14:textId="77777777" w:rsidR="00481D10" w:rsidRDefault="00481D10" w:rsidP="005A6CB4">
      <w:pPr>
        <w:pStyle w:val="Probity2"/>
        <w:numPr>
          <w:ilvl w:val="0"/>
          <w:numId w:val="0"/>
        </w:numPr>
        <w:rPr>
          <w:rFonts w:cs="Arial"/>
          <w:b/>
          <w:bCs/>
          <w:i/>
          <w:iCs/>
          <w:shd w:val="clear" w:color="auto" w:fill="FFFFFF"/>
        </w:rPr>
      </w:pPr>
    </w:p>
    <w:p w14:paraId="47E1DA9D" w14:textId="348AAD2B" w:rsidR="00EF7EA6" w:rsidRDefault="008D359E" w:rsidP="008D359E">
      <w:pPr>
        <w:pStyle w:val="Probity1"/>
      </w:pPr>
      <w:bookmarkStart w:id="89" w:name="_Ref137134979"/>
      <w:bookmarkStart w:id="90" w:name="_Toc151587390"/>
      <w:bookmarkEnd w:id="86"/>
      <w:r>
        <w:t>Analysis of privacy impacts and risks</w:t>
      </w:r>
      <w:bookmarkEnd w:id="89"/>
      <w:bookmarkEnd w:id="90"/>
    </w:p>
    <w:p w14:paraId="23F95522" w14:textId="1C5F5A00" w:rsidR="00BD09D1" w:rsidRPr="00FC58F1" w:rsidRDefault="001F6785" w:rsidP="001A78DB">
      <w:pPr>
        <w:pStyle w:val="Probity2"/>
        <w:keepNext/>
        <w:numPr>
          <w:ilvl w:val="0"/>
          <w:numId w:val="0"/>
        </w:numPr>
        <w:rPr>
          <w:b/>
          <w:bCs/>
          <w:i/>
          <w:iCs/>
        </w:rPr>
      </w:pPr>
      <w:r w:rsidRPr="00FC58F1">
        <w:rPr>
          <w:b/>
          <w:bCs/>
          <w:i/>
          <w:iCs/>
        </w:rPr>
        <w:t>(a)</w:t>
      </w:r>
      <w:r w:rsidRPr="00FC58F1">
        <w:rPr>
          <w:b/>
          <w:bCs/>
          <w:i/>
          <w:iCs/>
        </w:rPr>
        <w:tab/>
      </w:r>
      <w:r w:rsidR="00BD09D1" w:rsidRPr="00FC58F1">
        <w:rPr>
          <w:b/>
          <w:bCs/>
          <w:i/>
          <w:iCs/>
        </w:rPr>
        <w:t>Documentation</w:t>
      </w:r>
      <w:r w:rsidR="00E35489">
        <w:rPr>
          <w:b/>
          <w:bCs/>
          <w:i/>
          <w:iCs/>
        </w:rPr>
        <w:t xml:space="preserve"> considered as part of this supplementary PIA </w:t>
      </w:r>
    </w:p>
    <w:p w14:paraId="5DD7EA0E" w14:textId="0556221C" w:rsidR="00734120" w:rsidRPr="00AB0BCD" w:rsidRDefault="00734120" w:rsidP="00FC58F1">
      <w:pPr>
        <w:pStyle w:val="Probity2"/>
        <w:rPr>
          <w:b/>
          <w:bCs/>
        </w:rPr>
      </w:pPr>
      <w:bookmarkStart w:id="91" w:name="_Ref67244158"/>
      <w:r w:rsidRPr="00A06669">
        <w:t xml:space="preserve">This </w:t>
      </w:r>
      <w:r w:rsidR="00E35489">
        <w:t xml:space="preserve">supplementary </w:t>
      </w:r>
      <w:r w:rsidRPr="00A06669">
        <w:t>PIA is informed by the following documentation:</w:t>
      </w:r>
      <w:bookmarkEnd w:id="91"/>
      <w:r w:rsidRPr="00A06669">
        <w:t xml:space="preserve"> </w:t>
      </w:r>
    </w:p>
    <w:p w14:paraId="3F4DFF01" w14:textId="273AD615" w:rsidR="00AB0BCD" w:rsidRPr="00917097" w:rsidRDefault="00DC6DD2" w:rsidP="00AB0BCD">
      <w:pPr>
        <w:pStyle w:val="Probity3"/>
      </w:pPr>
      <w:r w:rsidRPr="00917097">
        <w:t xml:space="preserve">NBL </w:t>
      </w:r>
      <w:r w:rsidR="00D768CF" w:rsidRPr="00917097">
        <w:t>S</w:t>
      </w:r>
      <w:r w:rsidRPr="00917097">
        <w:t xml:space="preserve">ector </w:t>
      </w:r>
      <w:r w:rsidR="00D768CF" w:rsidRPr="00917097">
        <w:t>R</w:t>
      </w:r>
      <w:r w:rsidRPr="00917097">
        <w:t>eport</w:t>
      </w:r>
    </w:p>
    <w:p w14:paraId="1617227E" w14:textId="34D92EB6" w:rsidR="001936C2" w:rsidRPr="00917097" w:rsidRDefault="00E35489" w:rsidP="00AB0BCD">
      <w:pPr>
        <w:pStyle w:val="Probity3"/>
      </w:pPr>
      <w:r w:rsidRPr="00917097">
        <w:t xml:space="preserve">NBL sector </w:t>
      </w:r>
      <w:r w:rsidR="001936C2" w:rsidRPr="00917097">
        <w:t xml:space="preserve">Design </w:t>
      </w:r>
      <w:r w:rsidR="00F02547" w:rsidRPr="00917097">
        <w:t>Paper</w:t>
      </w:r>
    </w:p>
    <w:p w14:paraId="5C86A0DE" w14:textId="666EBF7D" w:rsidR="00E35489" w:rsidRPr="00917097" w:rsidRDefault="00E35489" w:rsidP="00E35489">
      <w:pPr>
        <w:pStyle w:val="Probity3"/>
        <w:rPr>
          <w:i/>
          <w:iCs/>
        </w:rPr>
      </w:pPr>
      <w:r w:rsidRPr="00917097">
        <w:t>NBL CDR Rules</w:t>
      </w:r>
    </w:p>
    <w:p w14:paraId="5BB8393A" w14:textId="24F026F4" w:rsidR="00917097" w:rsidRPr="00917097" w:rsidRDefault="00917097" w:rsidP="00E35489">
      <w:pPr>
        <w:pStyle w:val="Probity3"/>
        <w:rPr>
          <w:i/>
          <w:iCs/>
        </w:rPr>
      </w:pPr>
      <w:r>
        <w:t xml:space="preserve">NBL Designation </w:t>
      </w:r>
    </w:p>
    <w:p w14:paraId="1E64F147" w14:textId="3ADB9258" w:rsidR="00E35489" w:rsidRPr="00917097" w:rsidRDefault="00E35489" w:rsidP="00AB0BCD">
      <w:pPr>
        <w:pStyle w:val="Probity3"/>
      </w:pPr>
      <w:r w:rsidRPr="00917097">
        <w:t>the CDR PIAs</w:t>
      </w:r>
    </w:p>
    <w:p w14:paraId="1489FBAF" w14:textId="1500F3D5" w:rsidR="006413FD" w:rsidRDefault="006413FD" w:rsidP="00AB0BCD">
      <w:pPr>
        <w:pStyle w:val="Probity3"/>
      </w:pPr>
      <w:r>
        <w:t xml:space="preserve">OAIC’s </w:t>
      </w:r>
      <w:r w:rsidRPr="006413FD">
        <w:rPr>
          <w:i/>
          <w:iCs/>
        </w:rPr>
        <w:t>Report on the draft Consumer Data Right (Non-bank Lenders) Designation 2022</w:t>
      </w:r>
      <w:r w:rsidRPr="006413FD">
        <w:rPr>
          <w:rStyle w:val="FootnoteReference"/>
        </w:rPr>
        <w:footnoteReference w:id="34"/>
      </w:r>
    </w:p>
    <w:p w14:paraId="6B203186" w14:textId="75AE3C1F" w:rsidR="00153E97" w:rsidRDefault="00153E97" w:rsidP="00E9400E">
      <w:pPr>
        <w:pStyle w:val="Probity3"/>
      </w:pPr>
      <w:r>
        <w:t>Consent flow public design document</w:t>
      </w:r>
      <w:r>
        <w:rPr>
          <w:rStyle w:val="FootnoteReference"/>
        </w:rPr>
        <w:footnoteReference w:id="35"/>
      </w:r>
    </w:p>
    <w:p w14:paraId="0BDCD2F7" w14:textId="38456A46" w:rsidR="00153E97" w:rsidRDefault="00153E97" w:rsidP="00E9400E">
      <w:pPr>
        <w:pStyle w:val="Probity3"/>
      </w:pPr>
      <w:r>
        <w:t>CDR consent flows</w:t>
      </w:r>
      <w:r>
        <w:rPr>
          <w:rStyle w:val="FootnoteReference"/>
        </w:rPr>
        <w:footnoteReference w:id="36"/>
      </w:r>
    </w:p>
    <w:p w14:paraId="3F812DD5" w14:textId="5A0AC064" w:rsidR="00153E97" w:rsidRDefault="00153E97" w:rsidP="00E9400E">
      <w:pPr>
        <w:pStyle w:val="Probity3"/>
      </w:pPr>
      <w:r>
        <w:t>Consent management for Data Holders</w:t>
      </w:r>
      <w:r>
        <w:rPr>
          <w:rStyle w:val="FootnoteReference"/>
        </w:rPr>
        <w:footnoteReference w:id="37"/>
      </w:r>
    </w:p>
    <w:p w14:paraId="6BC32432" w14:textId="6983A8AC" w:rsidR="00153E97" w:rsidRDefault="00153E97" w:rsidP="00E9400E">
      <w:pPr>
        <w:pStyle w:val="Probity3"/>
      </w:pPr>
      <w:r>
        <w:t>Consumer experience guidelines</w:t>
      </w:r>
      <w:r>
        <w:rPr>
          <w:rStyle w:val="FootnoteReference"/>
        </w:rPr>
        <w:footnoteReference w:id="38"/>
      </w:r>
    </w:p>
    <w:p w14:paraId="0F755669" w14:textId="7AEAC159" w:rsidR="00963C96" w:rsidRDefault="00963C96" w:rsidP="00E9400E">
      <w:pPr>
        <w:pStyle w:val="Probity3"/>
      </w:pPr>
      <w:r>
        <w:t>CX Guidelines for collection and use consents</w:t>
      </w:r>
      <w:r>
        <w:rPr>
          <w:rStyle w:val="FootnoteReference"/>
        </w:rPr>
        <w:footnoteReference w:id="39"/>
      </w:r>
    </w:p>
    <w:p w14:paraId="44A2D387" w14:textId="1B085EA2" w:rsidR="00153E97" w:rsidRPr="00153E97" w:rsidRDefault="00153E97" w:rsidP="00E9400E">
      <w:pPr>
        <w:pStyle w:val="Probity3"/>
      </w:pPr>
      <w:r>
        <w:t>CX Artefacts Design Paper for the Telecommunications Sector</w:t>
      </w:r>
    </w:p>
    <w:p w14:paraId="496CC1FE" w14:textId="733268AE" w:rsidR="00E9400E" w:rsidRDefault="00E9400E" w:rsidP="00E9400E">
      <w:pPr>
        <w:pStyle w:val="Probity3"/>
      </w:pPr>
      <w:r w:rsidRPr="00917097">
        <w:t>Privacy Act</w:t>
      </w:r>
      <w:r>
        <w:rPr>
          <w:i/>
          <w:iCs/>
        </w:rPr>
        <w:t xml:space="preserve"> </w:t>
      </w:r>
      <w:r w:rsidR="00917097">
        <w:t xml:space="preserve">and </w:t>
      </w:r>
      <w:r>
        <w:t xml:space="preserve">the </w:t>
      </w:r>
      <w:r w:rsidR="00917097">
        <w:t>APPs</w:t>
      </w:r>
    </w:p>
    <w:p w14:paraId="6C5AFFD8" w14:textId="6FE6E1EE" w:rsidR="00E9400E" w:rsidRDefault="00E9400E" w:rsidP="00E9400E">
      <w:pPr>
        <w:pStyle w:val="Probity3"/>
      </w:pPr>
      <w:r>
        <w:t xml:space="preserve">Part IVD of the </w:t>
      </w:r>
      <w:r w:rsidRPr="00917097">
        <w:t>Competition and Consumer Act</w:t>
      </w:r>
      <w:r>
        <w:rPr>
          <w:i/>
          <w:iCs/>
        </w:rPr>
        <w:t xml:space="preserve"> </w:t>
      </w:r>
    </w:p>
    <w:p w14:paraId="552F1699" w14:textId="2410A599" w:rsidR="00E9400E" w:rsidRPr="00917097" w:rsidRDefault="00917097" w:rsidP="00E9400E">
      <w:pPr>
        <w:pStyle w:val="Probity3"/>
      </w:pPr>
      <w:r w:rsidRPr="00917097">
        <w:t>CDR Rules</w:t>
      </w:r>
    </w:p>
    <w:p w14:paraId="322C8898" w14:textId="77777777" w:rsidR="00917097" w:rsidRPr="00917097" w:rsidRDefault="00E9400E">
      <w:pPr>
        <w:pStyle w:val="Probity3"/>
        <w:rPr>
          <w:i/>
          <w:iCs/>
        </w:rPr>
      </w:pPr>
      <w:r w:rsidRPr="00917097">
        <w:rPr>
          <w:i/>
          <w:iCs/>
        </w:rPr>
        <w:t>Consumer Data Right (Authorised Deposit-Taking Institutions) Designation 2019</w:t>
      </w:r>
      <w:r>
        <w:t xml:space="preserve"> </w:t>
      </w:r>
    </w:p>
    <w:p w14:paraId="0522658A" w14:textId="77777777" w:rsidR="00917097" w:rsidRPr="00917097" w:rsidRDefault="00E9400E">
      <w:pPr>
        <w:pStyle w:val="Probity3"/>
        <w:rPr>
          <w:i/>
          <w:iCs/>
        </w:rPr>
      </w:pPr>
      <w:r w:rsidRPr="00917097">
        <w:rPr>
          <w:i/>
          <w:iCs/>
        </w:rPr>
        <w:t>Consumer Data Right (Energy Sector) Designation 2020</w:t>
      </w:r>
      <w:r>
        <w:t xml:space="preserve"> </w:t>
      </w:r>
    </w:p>
    <w:p w14:paraId="192AB46A" w14:textId="7A7F6A6A" w:rsidR="005542B3" w:rsidRPr="00917097" w:rsidRDefault="005542B3">
      <w:pPr>
        <w:pStyle w:val="Probity3"/>
        <w:rPr>
          <w:i/>
          <w:iCs/>
        </w:rPr>
      </w:pPr>
      <w:r>
        <w:t xml:space="preserve">OAIC’s </w:t>
      </w:r>
      <w:r w:rsidRPr="00917097">
        <w:rPr>
          <w:i/>
          <w:iCs/>
        </w:rPr>
        <w:t>APP Guidelines</w:t>
      </w:r>
      <w:r>
        <w:rPr>
          <w:rStyle w:val="FootnoteReference"/>
        </w:rPr>
        <w:footnoteReference w:id="40"/>
      </w:r>
    </w:p>
    <w:p w14:paraId="68FE1E04" w14:textId="1853105A" w:rsidR="005542B3" w:rsidRPr="00153E97" w:rsidRDefault="005542B3" w:rsidP="00E9400E">
      <w:pPr>
        <w:pStyle w:val="Probity3"/>
        <w:rPr>
          <w:i/>
          <w:iCs/>
        </w:rPr>
      </w:pPr>
      <w:r>
        <w:t xml:space="preserve">OAIC’s </w:t>
      </w:r>
      <w:r w:rsidRPr="005542B3">
        <w:rPr>
          <w:i/>
          <w:iCs/>
        </w:rPr>
        <w:t>Guide to Undertaking Privacy Impact Assessments</w:t>
      </w:r>
      <w:r w:rsidR="0023618C">
        <w:rPr>
          <w:rStyle w:val="FootnoteReference"/>
        </w:rPr>
        <w:footnoteReference w:id="41"/>
      </w:r>
    </w:p>
    <w:p w14:paraId="13094E47" w14:textId="792FA2BF" w:rsidR="00153E97" w:rsidRPr="00E35489" w:rsidRDefault="00153E97" w:rsidP="00E9400E">
      <w:pPr>
        <w:pStyle w:val="Probity3"/>
      </w:pPr>
      <w:r>
        <w:t xml:space="preserve">OAIC’s </w:t>
      </w:r>
      <w:r w:rsidRPr="00153E97">
        <w:rPr>
          <w:i/>
          <w:iCs/>
        </w:rPr>
        <w:t>CDR Privacy Safeguards Guidelines</w:t>
      </w:r>
      <w:r w:rsidR="00E35489" w:rsidRPr="00E35489">
        <w:t>,</w:t>
      </w:r>
      <w:r>
        <w:rPr>
          <w:rStyle w:val="FootnoteReference"/>
        </w:rPr>
        <w:footnoteReference w:id="42"/>
      </w:r>
      <w:r w:rsidR="00E35489">
        <w:rPr>
          <w:i/>
          <w:iCs/>
        </w:rPr>
        <w:t xml:space="preserve"> </w:t>
      </w:r>
      <w:r w:rsidR="00E35489" w:rsidRPr="00E35489">
        <w:t xml:space="preserve">and </w:t>
      </w:r>
    </w:p>
    <w:p w14:paraId="2C79A2E8" w14:textId="054EADB3" w:rsidR="00DC6DD2" w:rsidRPr="00153E97" w:rsidRDefault="002D58F5" w:rsidP="00153E97">
      <w:pPr>
        <w:pStyle w:val="Probity3"/>
        <w:rPr>
          <w:i/>
          <w:iCs/>
        </w:rPr>
      </w:pPr>
      <w:r w:rsidRPr="00FC58F1">
        <w:rPr>
          <w:i/>
          <w:iCs/>
        </w:rPr>
        <w:t>Privacy (Australian Government Agencies – Governance) APP Code 2017</w:t>
      </w:r>
      <w:r>
        <w:rPr>
          <w:i/>
          <w:iCs/>
        </w:rPr>
        <w:t xml:space="preserve"> </w:t>
      </w:r>
      <w:r>
        <w:t>(</w:t>
      </w:r>
      <w:proofErr w:type="spellStart"/>
      <w:r>
        <w:t>Cth</w:t>
      </w:r>
      <w:proofErr w:type="spellEnd"/>
      <w:r>
        <w:t>).</w:t>
      </w:r>
    </w:p>
    <w:p w14:paraId="33EE7052" w14:textId="0C2F25C1" w:rsidR="00917097" w:rsidRDefault="00F664AA" w:rsidP="006F62E8">
      <w:pPr>
        <w:pStyle w:val="Probity2"/>
      </w:pPr>
      <w:bookmarkStart w:id="92" w:name="_Ref67244164"/>
      <w:r w:rsidRPr="006F62E8">
        <w:t xml:space="preserve">We have </w:t>
      </w:r>
      <w:r w:rsidR="001F6785" w:rsidRPr="006F62E8">
        <w:t xml:space="preserve">also </w:t>
      </w:r>
      <w:r w:rsidRPr="006F62E8">
        <w:t xml:space="preserve">incorporated </w:t>
      </w:r>
      <w:r w:rsidR="00917097">
        <w:t>into this supplementary PIA:</w:t>
      </w:r>
    </w:p>
    <w:p w14:paraId="5439C3EF" w14:textId="46AF1FF0" w:rsidR="00917097" w:rsidRDefault="00917097" w:rsidP="00917097">
      <w:pPr>
        <w:pStyle w:val="Probity3"/>
      </w:pPr>
      <w:r w:rsidRPr="006F62E8">
        <w:t xml:space="preserve">feedback </w:t>
      </w:r>
      <w:r w:rsidR="00F664AA" w:rsidRPr="006F62E8">
        <w:t xml:space="preserve">from the </w:t>
      </w:r>
      <w:r w:rsidR="00423859">
        <w:t>Treasury</w:t>
      </w:r>
      <w:r w:rsidR="000F3BA1">
        <w:t xml:space="preserve">, and </w:t>
      </w:r>
    </w:p>
    <w:bookmarkEnd w:id="92"/>
    <w:p w14:paraId="4D2693DF" w14:textId="1ED6D3CD" w:rsidR="006F62E8" w:rsidRDefault="00E35489" w:rsidP="00917097">
      <w:pPr>
        <w:pStyle w:val="Probity3"/>
      </w:pPr>
      <w:r>
        <w:t xml:space="preserve">responses to the </w:t>
      </w:r>
      <w:r w:rsidR="00EE6F2D">
        <w:t xml:space="preserve">consultation undertaken in respect of </w:t>
      </w:r>
      <w:r w:rsidR="00917097">
        <w:t xml:space="preserve">the NBL CDR Rules (see Part </w:t>
      </w:r>
      <w:r w:rsidR="00917097">
        <w:fldChar w:fldCharType="begin"/>
      </w:r>
      <w:r w:rsidR="00917097">
        <w:instrText xml:space="preserve"> REF _Ref136952642 \r \h </w:instrText>
      </w:r>
      <w:r w:rsidR="00917097">
        <w:fldChar w:fldCharType="separate"/>
      </w:r>
      <w:r w:rsidR="00917097">
        <w:t>4</w:t>
      </w:r>
      <w:r w:rsidR="00917097">
        <w:fldChar w:fldCharType="end"/>
      </w:r>
      <w:r w:rsidR="00917097">
        <w:t xml:space="preserve"> of this PIA) and </w:t>
      </w:r>
      <w:r>
        <w:t>this draft supplementary PIA</w:t>
      </w:r>
      <w:r w:rsidR="00917097">
        <w:t>.</w:t>
      </w:r>
      <w:r>
        <w:t xml:space="preserve"> </w:t>
      </w:r>
    </w:p>
    <w:p w14:paraId="6B6E1562" w14:textId="23B0B543" w:rsidR="00DA5E1F" w:rsidRPr="006F62E8" w:rsidRDefault="001F6785" w:rsidP="00626CE4">
      <w:pPr>
        <w:pStyle w:val="Probity2"/>
        <w:keepNext/>
        <w:numPr>
          <w:ilvl w:val="0"/>
          <w:numId w:val="0"/>
        </w:numPr>
        <w:rPr>
          <w:b/>
          <w:bCs/>
          <w:i/>
          <w:iCs/>
        </w:rPr>
      </w:pPr>
      <w:r w:rsidRPr="006F62E8">
        <w:rPr>
          <w:b/>
          <w:bCs/>
          <w:i/>
          <w:iCs/>
        </w:rPr>
        <w:t>(b)</w:t>
      </w:r>
      <w:r w:rsidRPr="006F62E8">
        <w:rPr>
          <w:b/>
          <w:bCs/>
          <w:i/>
          <w:iCs/>
        </w:rPr>
        <w:tab/>
      </w:r>
      <w:r w:rsidR="007C1673" w:rsidRPr="006F62E8">
        <w:rPr>
          <w:b/>
          <w:bCs/>
          <w:i/>
          <w:iCs/>
        </w:rPr>
        <w:t>Scope of this PIA</w:t>
      </w:r>
    </w:p>
    <w:p w14:paraId="518CE3DD" w14:textId="52E7D35B" w:rsidR="00E215DB" w:rsidRPr="00AC40A8" w:rsidRDefault="0039772C" w:rsidP="008B4C95">
      <w:pPr>
        <w:pStyle w:val="Probity2"/>
        <w:keepNext/>
        <w:numPr>
          <w:ilvl w:val="0"/>
          <w:numId w:val="0"/>
        </w:numPr>
        <w:ind w:left="709"/>
        <w:rPr>
          <w:i/>
          <w:iCs/>
        </w:rPr>
      </w:pPr>
      <w:r w:rsidRPr="00AC40A8">
        <w:rPr>
          <w:i/>
          <w:iCs/>
        </w:rPr>
        <w:t>In s</w:t>
      </w:r>
      <w:r w:rsidR="00E215DB" w:rsidRPr="00AC40A8">
        <w:rPr>
          <w:i/>
          <w:iCs/>
        </w:rPr>
        <w:t xml:space="preserve">cope of this </w:t>
      </w:r>
      <w:r w:rsidR="00AC40A8">
        <w:rPr>
          <w:i/>
          <w:iCs/>
        </w:rPr>
        <w:t xml:space="preserve">supplementary </w:t>
      </w:r>
      <w:r w:rsidR="00E215DB" w:rsidRPr="00AC40A8">
        <w:rPr>
          <w:i/>
          <w:iCs/>
        </w:rPr>
        <w:t>PIA</w:t>
      </w:r>
    </w:p>
    <w:p w14:paraId="25968552" w14:textId="2728E875" w:rsidR="00865990" w:rsidRPr="00AB0BCD" w:rsidRDefault="00865990" w:rsidP="00865990">
      <w:pPr>
        <w:pStyle w:val="Probity2"/>
      </w:pPr>
      <w:bookmarkStart w:id="93" w:name="_Hlk104450089"/>
      <w:r>
        <w:t>T</w:t>
      </w:r>
      <w:r w:rsidR="005542B3">
        <w:t xml:space="preserve">his </w:t>
      </w:r>
      <w:r>
        <w:t xml:space="preserve">supplementary </w:t>
      </w:r>
      <w:r w:rsidR="005542B3">
        <w:t xml:space="preserve">PIA </w:t>
      </w:r>
      <w:r>
        <w:rPr>
          <w:rFonts w:cs="Arial"/>
        </w:rPr>
        <w:t xml:space="preserve">considers risks specific to the </w:t>
      </w:r>
      <w:r w:rsidR="00917097">
        <w:rPr>
          <w:rFonts w:cs="Arial"/>
        </w:rPr>
        <w:t>NBL</w:t>
      </w:r>
      <w:r>
        <w:rPr>
          <w:rFonts w:cs="Arial"/>
        </w:rPr>
        <w:t xml:space="preserve"> sector not analysed in previous PIAs undertaken by the Treasury regarding the CDR.</w:t>
      </w:r>
    </w:p>
    <w:bookmarkEnd w:id="93"/>
    <w:p w14:paraId="642F428B" w14:textId="7D6BFBD6" w:rsidR="00E215DB" w:rsidRPr="00AC40A8" w:rsidRDefault="00E215DB" w:rsidP="008B4C95">
      <w:pPr>
        <w:pStyle w:val="Probity2"/>
        <w:numPr>
          <w:ilvl w:val="0"/>
          <w:numId w:val="0"/>
        </w:numPr>
        <w:ind w:left="709"/>
        <w:rPr>
          <w:i/>
          <w:iCs/>
        </w:rPr>
      </w:pPr>
      <w:r w:rsidRPr="00AC40A8">
        <w:rPr>
          <w:i/>
          <w:iCs/>
        </w:rPr>
        <w:t>Out of scope of this</w:t>
      </w:r>
      <w:r w:rsidR="00AC40A8">
        <w:rPr>
          <w:i/>
          <w:iCs/>
        </w:rPr>
        <w:t xml:space="preserve"> supplementary </w:t>
      </w:r>
      <w:r w:rsidRPr="00AC40A8">
        <w:rPr>
          <w:i/>
          <w:iCs/>
        </w:rPr>
        <w:t>PIA</w:t>
      </w:r>
    </w:p>
    <w:p w14:paraId="28B616F3" w14:textId="11FAA56F" w:rsidR="00AB0BCD" w:rsidRPr="005542B3" w:rsidRDefault="00865990" w:rsidP="00AB0BCD">
      <w:pPr>
        <w:pStyle w:val="Probity2"/>
        <w:rPr>
          <w:b/>
          <w:bCs/>
          <w:i/>
          <w:iCs/>
        </w:rPr>
      </w:pPr>
      <w:r>
        <w:t>This supplementary PIA does not consider</w:t>
      </w:r>
      <w:r w:rsidR="005542B3">
        <w:t>:</w:t>
      </w:r>
    </w:p>
    <w:p w14:paraId="6A9389F8" w14:textId="2E5B841F" w:rsidR="005542B3" w:rsidRDefault="005542B3" w:rsidP="005542B3">
      <w:pPr>
        <w:pStyle w:val="Probity3"/>
      </w:pPr>
      <w:r>
        <w:t>the privacy risks previously assessed in the previous CDR PIAs</w:t>
      </w:r>
    </w:p>
    <w:p w14:paraId="6E66CC56" w14:textId="77DD08EC" w:rsidR="0023618C" w:rsidRDefault="0023618C" w:rsidP="005542B3">
      <w:pPr>
        <w:pStyle w:val="Probity3"/>
      </w:pPr>
      <w:r>
        <w:t xml:space="preserve">applicability or impact of any proposed amendments to the Privacy Act that have not received Royal Assent as at the date of this </w:t>
      </w:r>
      <w:r w:rsidR="00865990">
        <w:t xml:space="preserve">supplementary </w:t>
      </w:r>
      <w:r>
        <w:t>PIA</w:t>
      </w:r>
      <w:r w:rsidR="00865990">
        <w:t>,</w:t>
      </w:r>
      <w:r w:rsidR="000F7BEE">
        <w:t xml:space="preserve"> and </w:t>
      </w:r>
    </w:p>
    <w:p w14:paraId="7AB75E0C" w14:textId="4674F48D" w:rsidR="0023618C" w:rsidRPr="00AB0BCD" w:rsidRDefault="0023618C" w:rsidP="005542B3">
      <w:pPr>
        <w:pStyle w:val="Probity3"/>
      </w:pPr>
      <w:r>
        <w:t xml:space="preserve">other risks on individuals, businesses or </w:t>
      </w:r>
      <w:r w:rsidR="0008193F">
        <w:t>g</w:t>
      </w:r>
      <w:r>
        <w:t>overnment departments or agencies, for example commercial or competition law risks.</w:t>
      </w:r>
    </w:p>
    <w:p w14:paraId="6CE32FB4" w14:textId="5FD27A99" w:rsidR="007C1673" w:rsidRPr="00FC58F1" w:rsidRDefault="00670072" w:rsidP="00AB0BCD">
      <w:pPr>
        <w:pStyle w:val="Probity2"/>
        <w:numPr>
          <w:ilvl w:val="0"/>
          <w:numId w:val="0"/>
        </w:numPr>
        <w:rPr>
          <w:b/>
          <w:bCs/>
          <w:i/>
          <w:iCs/>
        </w:rPr>
      </w:pPr>
      <w:r>
        <w:rPr>
          <w:b/>
          <w:bCs/>
          <w:i/>
          <w:iCs/>
        </w:rPr>
        <w:t>(c)</w:t>
      </w:r>
      <w:r>
        <w:rPr>
          <w:b/>
          <w:bCs/>
          <w:i/>
          <w:iCs/>
        </w:rPr>
        <w:tab/>
      </w:r>
      <w:r w:rsidR="007C1673" w:rsidRPr="00FC58F1">
        <w:rPr>
          <w:b/>
          <w:bCs/>
          <w:i/>
          <w:iCs/>
        </w:rPr>
        <w:t>How should this PIA be used</w:t>
      </w:r>
      <w:r w:rsidR="00621EC8" w:rsidRPr="00FC58F1">
        <w:rPr>
          <w:b/>
          <w:bCs/>
          <w:i/>
          <w:iCs/>
        </w:rPr>
        <w:t>?</w:t>
      </w:r>
    </w:p>
    <w:p w14:paraId="01523FAC" w14:textId="0FDA945F" w:rsidR="00621EC8" w:rsidRDefault="00621EC8" w:rsidP="00FC58F1">
      <w:pPr>
        <w:pStyle w:val="Probity2"/>
      </w:pPr>
      <w:r>
        <w:t xml:space="preserve">This </w:t>
      </w:r>
      <w:r w:rsidR="00A84537">
        <w:t xml:space="preserve">supplementary </w:t>
      </w:r>
      <w:r>
        <w:t xml:space="preserve">PIA: </w:t>
      </w:r>
    </w:p>
    <w:p w14:paraId="734F086C" w14:textId="2497FCF5" w:rsidR="005D2766" w:rsidRDefault="00C53141" w:rsidP="005E67E9">
      <w:pPr>
        <w:pStyle w:val="Probity3"/>
      </w:pPr>
      <w:r>
        <w:t>e</w:t>
      </w:r>
      <w:r w:rsidR="005D2766">
        <w:t>xamines how the</w:t>
      </w:r>
      <w:r w:rsidR="0023618C">
        <w:t xml:space="preserve"> CDR </w:t>
      </w:r>
      <w:r w:rsidR="00A934AB">
        <w:t>rollout</w:t>
      </w:r>
      <w:r w:rsidR="0023618C">
        <w:t xml:space="preserve"> to the NBL sector will affect individuals from a privacy perspective</w:t>
      </w:r>
    </w:p>
    <w:p w14:paraId="1F34D2DA" w14:textId="49B635BF" w:rsidR="005E67E9" w:rsidRDefault="00C53141" w:rsidP="005E67E9">
      <w:pPr>
        <w:pStyle w:val="Probity3"/>
      </w:pPr>
      <w:r>
        <w:t>i</w:t>
      </w:r>
      <w:r w:rsidR="005E67E9">
        <w:t>dentifies risk areas</w:t>
      </w:r>
      <w:r w:rsidR="0023618C">
        <w:t xml:space="preserve"> that the CDR will likely pose to the N</w:t>
      </w:r>
      <w:r w:rsidR="007E0740">
        <w:t>B</w:t>
      </w:r>
      <w:r w:rsidR="0023618C">
        <w:t>L sector</w:t>
      </w:r>
      <w:r w:rsidR="005E67E9">
        <w:t xml:space="preserve"> in relation to compliance with privacy laws and community expectations</w:t>
      </w:r>
      <w:r w:rsidR="00B87A17">
        <w:t>,</w:t>
      </w:r>
      <w:r w:rsidR="005E67E9">
        <w:t xml:space="preserve"> and</w:t>
      </w:r>
    </w:p>
    <w:p w14:paraId="4889C5F8" w14:textId="05EE276C" w:rsidR="005E67E9" w:rsidRDefault="00C53141" w:rsidP="005E67E9">
      <w:pPr>
        <w:pStyle w:val="Probity3"/>
      </w:pPr>
      <w:r>
        <w:t>s</w:t>
      </w:r>
      <w:r w:rsidR="005E67E9">
        <w:t xml:space="preserve">uggests strategies to address identified risks by minimising privacy intrusions, and maximising privacy protections </w:t>
      </w:r>
      <w:r>
        <w:t xml:space="preserve">for the </w:t>
      </w:r>
      <w:r w:rsidR="00836DD9">
        <w:t>implementation and operation of the</w:t>
      </w:r>
      <w:r w:rsidR="00514E5D">
        <w:t xml:space="preserve"> Project</w:t>
      </w:r>
      <w:r w:rsidR="005E67E9">
        <w:t xml:space="preserve">. </w:t>
      </w:r>
    </w:p>
    <w:p w14:paraId="6E22BDF7" w14:textId="173BDF38" w:rsidR="00BD09D1" w:rsidRDefault="00621EC8" w:rsidP="002669DF">
      <w:pPr>
        <w:pStyle w:val="Probity2"/>
      </w:pPr>
      <w:r>
        <w:t>Th</w:t>
      </w:r>
      <w:r w:rsidR="002669DF">
        <w:t>is</w:t>
      </w:r>
      <w:r>
        <w:t xml:space="preserve"> </w:t>
      </w:r>
      <w:r w:rsidR="00A84537">
        <w:t xml:space="preserve">supplementary </w:t>
      </w:r>
      <w:r>
        <w:t xml:space="preserve">PIA can also be used to further inform and educate those involved in, or affected by, the initiative as it is </w:t>
      </w:r>
      <w:r w:rsidR="00953BD7">
        <w:t>implemented,</w:t>
      </w:r>
      <w:r>
        <w:t xml:space="preserve"> for example, in the design of guidelines, educational materials for users, staff training, system design and program evaluation. </w:t>
      </w:r>
    </w:p>
    <w:p w14:paraId="1B243D64" w14:textId="1D8A20C9" w:rsidR="007C1673" w:rsidRPr="00FC58F1" w:rsidRDefault="001F6785" w:rsidP="005A71E3">
      <w:pPr>
        <w:pStyle w:val="Probity2"/>
        <w:keepNext/>
        <w:numPr>
          <w:ilvl w:val="0"/>
          <w:numId w:val="0"/>
        </w:numPr>
        <w:rPr>
          <w:b/>
          <w:bCs/>
          <w:i/>
          <w:iCs/>
        </w:rPr>
      </w:pPr>
      <w:r w:rsidRPr="00FC58F1">
        <w:rPr>
          <w:b/>
          <w:bCs/>
          <w:i/>
          <w:iCs/>
        </w:rPr>
        <w:t>(</w:t>
      </w:r>
      <w:r w:rsidR="005A71E3">
        <w:rPr>
          <w:b/>
          <w:bCs/>
          <w:i/>
          <w:iCs/>
        </w:rPr>
        <w:t>d</w:t>
      </w:r>
      <w:r w:rsidRPr="00FC58F1">
        <w:rPr>
          <w:b/>
          <w:bCs/>
          <w:i/>
          <w:iCs/>
        </w:rPr>
        <w:t>)</w:t>
      </w:r>
      <w:r w:rsidRPr="00FC58F1">
        <w:rPr>
          <w:b/>
          <w:bCs/>
          <w:i/>
          <w:iCs/>
        </w:rPr>
        <w:tab/>
      </w:r>
      <w:r w:rsidR="007C1673" w:rsidRPr="00FC58F1">
        <w:rPr>
          <w:b/>
          <w:bCs/>
          <w:i/>
          <w:iCs/>
        </w:rPr>
        <w:t>Methodology</w:t>
      </w:r>
    </w:p>
    <w:p w14:paraId="431D6AC2" w14:textId="75B22220" w:rsidR="00621EC8" w:rsidRDefault="00621EC8" w:rsidP="00FC58F1">
      <w:pPr>
        <w:pStyle w:val="Probity2"/>
      </w:pPr>
      <w:r>
        <w:t xml:space="preserve">To </w:t>
      </w:r>
      <w:r w:rsidR="004A701F">
        <w:t xml:space="preserve">develop </w:t>
      </w:r>
      <w:r>
        <w:t>this</w:t>
      </w:r>
      <w:r w:rsidR="00A84537">
        <w:t xml:space="preserve"> supplementary</w:t>
      </w:r>
      <w:r>
        <w:t xml:space="preserve"> </w:t>
      </w:r>
      <w:r w:rsidR="00EE7245">
        <w:t>PIA</w:t>
      </w:r>
      <w:r w:rsidR="00BD09D1">
        <w:t>,</w:t>
      </w:r>
      <w:r>
        <w:t xml:space="preserve"> we</w:t>
      </w:r>
      <w:r w:rsidR="00B137FF">
        <w:t xml:space="preserve"> have had regard to the </w:t>
      </w:r>
      <w:r>
        <w:t xml:space="preserve">documents </w:t>
      </w:r>
      <w:r w:rsidR="00B137FF">
        <w:t xml:space="preserve">and discussions </w:t>
      </w:r>
      <w:r>
        <w:t xml:space="preserve">specified in </w:t>
      </w:r>
      <w:r w:rsidR="00B137FF">
        <w:t>paragraph</w:t>
      </w:r>
      <w:r w:rsidR="00C02852">
        <w:t xml:space="preserve">s </w:t>
      </w:r>
      <w:r w:rsidR="00C02852" w:rsidRPr="008B4FCD">
        <w:fldChar w:fldCharType="begin"/>
      </w:r>
      <w:r w:rsidR="00C02852" w:rsidRPr="008B4FCD">
        <w:instrText xml:space="preserve"> REF _Ref67244158 \r \h </w:instrText>
      </w:r>
      <w:r w:rsidR="00130232" w:rsidRPr="008B4FCD">
        <w:instrText xml:space="preserve"> \* MERGEFORMAT </w:instrText>
      </w:r>
      <w:r w:rsidR="00C02852" w:rsidRPr="008B4FCD">
        <w:fldChar w:fldCharType="separate"/>
      </w:r>
      <w:r w:rsidR="00917097">
        <w:t>5.1</w:t>
      </w:r>
      <w:r w:rsidR="00C02852" w:rsidRPr="008B4FCD">
        <w:fldChar w:fldCharType="end"/>
      </w:r>
      <w:r w:rsidR="00C02852" w:rsidRPr="008B4FCD">
        <w:t xml:space="preserve"> and </w:t>
      </w:r>
      <w:r w:rsidR="00C02852" w:rsidRPr="008B4FCD">
        <w:fldChar w:fldCharType="begin"/>
      </w:r>
      <w:r w:rsidR="00C02852" w:rsidRPr="008B4FCD">
        <w:instrText xml:space="preserve"> REF _Ref67244164 \r \h </w:instrText>
      </w:r>
      <w:r w:rsidR="00130232" w:rsidRPr="008B4FCD">
        <w:instrText xml:space="preserve"> \* MERGEFORMAT </w:instrText>
      </w:r>
      <w:r w:rsidR="00C02852" w:rsidRPr="008B4FCD">
        <w:fldChar w:fldCharType="separate"/>
      </w:r>
      <w:r w:rsidR="00917097">
        <w:t>5.2</w:t>
      </w:r>
      <w:r w:rsidR="00C02852" w:rsidRPr="008B4FCD">
        <w:fldChar w:fldCharType="end"/>
      </w:r>
      <w:r w:rsidR="004A701F">
        <w:t xml:space="preserve"> above</w:t>
      </w:r>
      <w:r w:rsidR="00B137FF" w:rsidRPr="008B4FCD">
        <w:t>.</w:t>
      </w:r>
    </w:p>
    <w:p w14:paraId="1A0D29F8" w14:textId="77777777" w:rsidR="00C02852" w:rsidRPr="00F664AA" w:rsidRDefault="00C02852" w:rsidP="00C02852">
      <w:pPr>
        <w:pStyle w:val="Probity2"/>
      </w:pPr>
      <w:r>
        <w:t>Our</w:t>
      </w:r>
      <w:r w:rsidRPr="00F664AA">
        <w:t xml:space="preserve"> process </w:t>
      </w:r>
      <w:r>
        <w:t>for</w:t>
      </w:r>
      <w:r w:rsidRPr="00F664AA">
        <w:t xml:space="preserve"> assessing privacy impacts</w:t>
      </w:r>
      <w:r>
        <w:t xml:space="preserve"> is as follows:</w:t>
      </w:r>
    </w:p>
    <w:p w14:paraId="060FD874" w14:textId="7756BC2B" w:rsidR="00C02852" w:rsidRDefault="00A84537" w:rsidP="00C02852">
      <w:pPr>
        <w:pStyle w:val="Probity3"/>
      </w:pPr>
      <w:r>
        <w:t>i</w:t>
      </w:r>
      <w:r w:rsidR="00C02852">
        <w:t>dentifying privacy impacts and risks involves an examination of how the</w:t>
      </w:r>
      <w:r w:rsidR="007B2019">
        <w:t xml:space="preserve"> Project</w:t>
      </w:r>
      <w:r w:rsidR="00C02852">
        <w:t xml:space="preserve"> will:</w:t>
      </w:r>
    </w:p>
    <w:p w14:paraId="28EF86F3" w14:textId="6A28633E" w:rsidR="00C02852" w:rsidRDefault="004A701F" w:rsidP="00C02852">
      <w:pPr>
        <w:pStyle w:val="Probity2"/>
        <w:numPr>
          <w:ilvl w:val="0"/>
          <w:numId w:val="0"/>
        </w:numPr>
        <w:ind w:left="2127"/>
      </w:pPr>
      <w:r>
        <w:rPr>
          <w:i/>
          <w:iCs/>
        </w:rPr>
        <w:t>[a]</w:t>
      </w:r>
      <w:proofErr w:type="spellStart"/>
      <w:r w:rsidRPr="00FC58F1">
        <w:rPr>
          <w:i/>
          <w:iCs/>
        </w:rPr>
        <w:t>ffect</w:t>
      </w:r>
      <w:proofErr w:type="spellEnd"/>
      <w:r w:rsidRPr="00FC58F1">
        <w:rPr>
          <w:i/>
          <w:iCs/>
        </w:rPr>
        <w:t xml:space="preserve"> </w:t>
      </w:r>
      <w:r w:rsidR="00C02852" w:rsidRPr="00FC58F1">
        <w:rPr>
          <w:i/>
          <w:iCs/>
        </w:rPr>
        <w:t>the choices consumers have regarding how information about them is handled, the potential degree of intrusiveness into the private lives of consumers, compliance with privacy law, and how the project fits into community expectations</w:t>
      </w:r>
      <w:r w:rsidR="00C02852">
        <w:rPr>
          <w:i/>
          <w:iCs/>
        </w:rPr>
        <w:t>.</w:t>
      </w:r>
      <w:r w:rsidR="00C02852">
        <w:rPr>
          <w:rStyle w:val="FootnoteReference"/>
        </w:rPr>
        <w:footnoteReference w:id="43"/>
      </w:r>
      <w:r w:rsidR="00C02852">
        <w:t xml:space="preserve"> </w:t>
      </w:r>
    </w:p>
    <w:p w14:paraId="0818E396" w14:textId="21497071" w:rsidR="00C02852" w:rsidRDefault="00A84537" w:rsidP="00C02852">
      <w:pPr>
        <w:pStyle w:val="Probity3"/>
      </w:pPr>
      <w:r>
        <w:t>t</w:t>
      </w:r>
      <w:r w:rsidR="00C02852">
        <w:t>he</w:t>
      </w:r>
      <w:r w:rsidR="00514E5D">
        <w:t xml:space="preserve"> Project</w:t>
      </w:r>
      <w:r w:rsidR="00130232">
        <w:t xml:space="preserve"> is</w:t>
      </w:r>
      <w:r w:rsidR="00C02852">
        <w:t xml:space="preserve"> therefore assessed </w:t>
      </w:r>
      <w:r w:rsidR="00917097">
        <w:t>for</w:t>
      </w:r>
      <w:r w:rsidR="00C02852">
        <w:t xml:space="preserve"> compliance with privacy laws, and whether the </w:t>
      </w:r>
      <w:r w:rsidR="00A64366">
        <w:t xml:space="preserve">Project </w:t>
      </w:r>
      <w:r w:rsidR="00C02852">
        <w:t>can meet community expectations</w:t>
      </w:r>
      <w:r w:rsidR="00917097">
        <w:t xml:space="preserve">, and </w:t>
      </w:r>
      <w:r w:rsidR="00C02852">
        <w:t xml:space="preserve"> </w:t>
      </w:r>
    </w:p>
    <w:p w14:paraId="382691F4" w14:textId="77777777" w:rsidR="00917097" w:rsidRDefault="00A84537" w:rsidP="00C02852">
      <w:pPr>
        <w:pStyle w:val="Probity3"/>
      </w:pPr>
      <w:r>
        <w:t>t</w:t>
      </w:r>
      <w:r w:rsidR="00C02852">
        <w:t xml:space="preserve">he </w:t>
      </w:r>
      <w:r w:rsidR="00FC1199">
        <w:t>Privacy Risk</w:t>
      </w:r>
      <w:r w:rsidR="00C02852">
        <w:t xml:space="preserve"> table </w:t>
      </w:r>
      <w:r w:rsidR="004A701F">
        <w:t xml:space="preserve">(set out below) </w:t>
      </w:r>
      <w:r w:rsidR="00C02852">
        <w:t>outlines specific recommendations to minimise privacy risks relating to the</w:t>
      </w:r>
      <w:r w:rsidR="007B2019">
        <w:t xml:space="preserve"> Project</w:t>
      </w:r>
      <w:r w:rsidR="00917097">
        <w:t xml:space="preserve">. </w:t>
      </w:r>
    </w:p>
    <w:p w14:paraId="5AE1F1AA" w14:textId="60CB7F96" w:rsidR="007C1673" w:rsidRPr="00FC58F1" w:rsidRDefault="00D22D89" w:rsidP="00FC58F1">
      <w:pPr>
        <w:pStyle w:val="Probity2"/>
        <w:numPr>
          <w:ilvl w:val="0"/>
          <w:numId w:val="0"/>
        </w:numPr>
        <w:ind w:left="709" w:hanging="709"/>
        <w:rPr>
          <w:b/>
          <w:bCs/>
          <w:i/>
          <w:iCs/>
        </w:rPr>
      </w:pPr>
      <w:r w:rsidRPr="00FC58F1">
        <w:rPr>
          <w:b/>
          <w:bCs/>
          <w:i/>
          <w:iCs/>
        </w:rPr>
        <w:t>(</w:t>
      </w:r>
      <w:r w:rsidR="005A71E3">
        <w:rPr>
          <w:b/>
          <w:bCs/>
          <w:i/>
          <w:iCs/>
        </w:rPr>
        <w:t>e</w:t>
      </w:r>
      <w:r w:rsidRPr="00FC58F1">
        <w:rPr>
          <w:b/>
          <w:bCs/>
          <w:i/>
          <w:iCs/>
        </w:rPr>
        <w:t>)</w:t>
      </w:r>
      <w:r w:rsidRPr="00FC58F1">
        <w:rPr>
          <w:b/>
          <w:bCs/>
          <w:i/>
          <w:iCs/>
        </w:rPr>
        <w:tab/>
        <w:t xml:space="preserve">Privacy laws considered by this </w:t>
      </w:r>
      <w:r w:rsidR="00A84537">
        <w:rPr>
          <w:b/>
          <w:bCs/>
          <w:i/>
          <w:iCs/>
        </w:rPr>
        <w:t xml:space="preserve">supplementary </w:t>
      </w:r>
      <w:r w:rsidRPr="00FC58F1">
        <w:rPr>
          <w:b/>
          <w:bCs/>
          <w:i/>
          <w:iCs/>
        </w:rPr>
        <w:t>PIA</w:t>
      </w:r>
      <w:r w:rsidR="007C1673" w:rsidRPr="00FC58F1">
        <w:rPr>
          <w:b/>
          <w:bCs/>
          <w:i/>
          <w:iCs/>
        </w:rPr>
        <w:t xml:space="preserve"> </w:t>
      </w:r>
    </w:p>
    <w:p w14:paraId="6E982F1A" w14:textId="328815F2" w:rsidR="002D58F5" w:rsidRDefault="00130232" w:rsidP="00291A62">
      <w:pPr>
        <w:pStyle w:val="Probity2"/>
      </w:pPr>
      <w:r>
        <w:t xml:space="preserve">This </w:t>
      </w:r>
      <w:r w:rsidR="00A84537">
        <w:t xml:space="preserve">supplementary </w:t>
      </w:r>
      <w:r>
        <w:t xml:space="preserve">PIA considers privacy impacts by reference to the </w:t>
      </w:r>
      <w:r w:rsidR="00056DB1">
        <w:t>Privacy Act</w:t>
      </w:r>
      <w:r>
        <w:t xml:space="preserve">, including the </w:t>
      </w:r>
      <w:r w:rsidR="004A701F">
        <w:t xml:space="preserve">APPs </w:t>
      </w:r>
      <w:r>
        <w:t>set out in Schedule 1</w:t>
      </w:r>
      <w:r w:rsidR="004A701F">
        <w:t xml:space="preserve"> to the Privacy Act</w:t>
      </w:r>
      <w:r w:rsidR="00291A62">
        <w:t xml:space="preserve">, the </w:t>
      </w:r>
      <w:r w:rsidR="002D58F5">
        <w:t xml:space="preserve">13 </w:t>
      </w:r>
      <w:r w:rsidR="007E0740">
        <w:t>P</w:t>
      </w:r>
      <w:r w:rsidR="002D58F5">
        <w:t xml:space="preserve">rivacy </w:t>
      </w:r>
      <w:r w:rsidR="007E0740">
        <w:t>S</w:t>
      </w:r>
      <w:r w:rsidR="002D58F5">
        <w:t xml:space="preserve">afeguards within </w:t>
      </w:r>
      <w:r w:rsidR="002F7EEE">
        <w:t>Division </w:t>
      </w:r>
      <w:r w:rsidR="002D58F5">
        <w:t>5, Part</w:t>
      </w:r>
      <w:r w:rsidR="00B90392">
        <w:t> </w:t>
      </w:r>
      <w:r w:rsidR="002D58F5">
        <w:t xml:space="preserve">VID of the </w:t>
      </w:r>
      <w:r w:rsidR="002D58F5" w:rsidRPr="00291A62">
        <w:t>Competition and Consumer Act</w:t>
      </w:r>
      <w:r w:rsidR="002D58F5">
        <w:rPr>
          <w:i/>
          <w:iCs/>
        </w:rPr>
        <w:t xml:space="preserve"> </w:t>
      </w:r>
      <w:r w:rsidR="00230D92">
        <w:t>and the extent to which the Privacy Safeguards are further discussed in the CDR Rules (Part 7, Division 7.2)</w:t>
      </w:r>
      <w:r w:rsidR="002D58F5">
        <w:t>.</w:t>
      </w:r>
    </w:p>
    <w:p w14:paraId="439C4697" w14:textId="0B723906" w:rsidR="001E108E" w:rsidRPr="00FC58F1" w:rsidRDefault="001E108E" w:rsidP="001E108E">
      <w:pPr>
        <w:pStyle w:val="Probity2"/>
        <w:numPr>
          <w:ilvl w:val="0"/>
          <w:numId w:val="0"/>
        </w:numPr>
        <w:ind w:left="709" w:hanging="709"/>
        <w:rPr>
          <w:b/>
          <w:bCs/>
          <w:i/>
          <w:iCs/>
        </w:rPr>
      </w:pPr>
      <w:r w:rsidRPr="00FC58F1">
        <w:rPr>
          <w:b/>
          <w:bCs/>
          <w:i/>
          <w:iCs/>
        </w:rPr>
        <w:t>(</w:t>
      </w:r>
      <w:r w:rsidR="005A71E3">
        <w:rPr>
          <w:b/>
          <w:bCs/>
          <w:i/>
          <w:iCs/>
        </w:rPr>
        <w:t>f</w:t>
      </w:r>
      <w:r w:rsidRPr="00FC58F1">
        <w:rPr>
          <w:b/>
          <w:bCs/>
          <w:i/>
          <w:iCs/>
        </w:rPr>
        <w:t>)</w:t>
      </w:r>
      <w:r w:rsidRPr="00FC58F1">
        <w:rPr>
          <w:b/>
          <w:bCs/>
          <w:i/>
          <w:iCs/>
        </w:rPr>
        <w:tab/>
        <w:t>Making recommendations</w:t>
      </w:r>
    </w:p>
    <w:p w14:paraId="5D4CE0C0" w14:textId="77777777" w:rsidR="001E108E" w:rsidRDefault="001E108E" w:rsidP="001E108E">
      <w:pPr>
        <w:pStyle w:val="Probity2"/>
      </w:pPr>
      <w:r>
        <w:t xml:space="preserve">A PIA should identify avoidable risks and recommend measures to remove or reduce them to an appropriate level. </w:t>
      </w:r>
    </w:p>
    <w:p w14:paraId="6957140B" w14:textId="205660F4" w:rsidR="001E108E" w:rsidRDefault="001E108E" w:rsidP="001E108E">
      <w:pPr>
        <w:pStyle w:val="Probity2"/>
      </w:pPr>
      <w:r>
        <w:t xml:space="preserve">However, recommendations should seek to achieve a balance between the interests of the </w:t>
      </w:r>
      <w:r w:rsidR="00FC2B2E">
        <w:t xml:space="preserve">Treasury </w:t>
      </w:r>
      <w:r w:rsidR="00291A62">
        <w:t xml:space="preserve">in </w:t>
      </w:r>
      <w:r>
        <w:t>making the proposal, and the people affected by that proposal.</w:t>
      </w:r>
    </w:p>
    <w:p w14:paraId="3053913F" w14:textId="20428DE7" w:rsidR="00611892" w:rsidRDefault="001E108E" w:rsidP="001E108E">
      <w:pPr>
        <w:pStyle w:val="Probity2"/>
      </w:pPr>
      <w:r>
        <w:t xml:space="preserve">Our recommendations in this </w:t>
      </w:r>
      <w:r w:rsidR="00A84537">
        <w:t xml:space="preserve">supplementary </w:t>
      </w:r>
      <w:r>
        <w:t>PIA reflect the above principles.</w:t>
      </w:r>
    </w:p>
    <w:p w14:paraId="73CD4B65" w14:textId="27094815" w:rsidR="00A84537" w:rsidRDefault="00A84537" w:rsidP="00A84537">
      <w:pPr>
        <w:pStyle w:val="Probity2"/>
        <w:numPr>
          <w:ilvl w:val="0"/>
          <w:numId w:val="0"/>
        </w:numPr>
        <w:rPr>
          <w:rFonts w:cs="Arial"/>
          <w:b/>
          <w:bCs/>
          <w:i/>
          <w:iCs/>
        </w:rPr>
      </w:pPr>
      <w:r>
        <w:rPr>
          <w:rFonts w:cs="Arial"/>
          <w:b/>
          <w:bCs/>
          <w:i/>
          <w:iCs/>
        </w:rPr>
        <w:t xml:space="preserve">(g) </w:t>
      </w:r>
      <w:r>
        <w:rPr>
          <w:rFonts w:cs="Arial"/>
          <w:b/>
          <w:bCs/>
          <w:i/>
          <w:iCs/>
        </w:rPr>
        <w:tab/>
        <w:t>Information flows for the Project</w:t>
      </w:r>
    </w:p>
    <w:p w14:paraId="1321009B" w14:textId="77777777" w:rsidR="009D36D7" w:rsidRPr="009D36D7" w:rsidRDefault="00A84537" w:rsidP="00A84537">
      <w:pPr>
        <w:pStyle w:val="Probity2"/>
        <w:rPr>
          <w:rFonts w:cs="Arial"/>
          <w:i/>
          <w:iCs/>
        </w:rPr>
      </w:pPr>
      <w:r>
        <w:rPr>
          <w:rFonts w:cs="Arial"/>
        </w:rPr>
        <w:t xml:space="preserve">The </w:t>
      </w:r>
      <w:r w:rsidRPr="00A84537">
        <w:t>NBL sector information flows</w:t>
      </w:r>
      <w:r>
        <w:t xml:space="preserve"> </w:t>
      </w:r>
      <w:r w:rsidR="009845CD">
        <w:t xml:space="preserve">are discussed in the </w:t>
      </w:r>
      <w:r w:rsidR="009D36D7">
        <w:t>following documents:</w:t>
      </w:r>
    </w:p>
    <w:p w14:paraId="46E1E2DC" w14:textId="5403273D" w:rsidR="009D36D7" w:rsidRPr="009D36D7" w:rsidRDefault="009D36D7" w:rsidP="009D36D7">
      <w:pPr>
        <w:pStyle w:val="Probity3"/>
        <w:rPr>
          <w:rFonts w:cs="Arial"/>
          <w:i/>
          <w:iCs/>
        </w:rPr>
      </w:pPr>
      <w:r>
        <w:t xml:space="preserve">the </w:t>
      </w:r>
      <w:r w:rsidR="009845CD">
        <w:t>2019 CDR PIA</w:t>
      </w:r>
      <w:r w:rsidR="009845CD">
        <w:rPr>
          <w:rStyle w:val="FootnoteReference"/>
        </w:rPr>
        <w:footnoteReference w:id="44"/>
      </w:r>
      <w:r w:rsidR="009845CD">
        <w:t xml:space="preserve"> </w:t>
      </w:r>
    </w:p>
    <w:p w14:paraId="0DC53973" w14:textId="77777777" w:rsidR="009D36D7" w:rsidRPr="009D36D7" w:rsidRDefault="009845CD" w:rsidP="009D36D7">
      <w:pPr>
        <w:pStyle w:val="Probity3"/>
        <w:rPr>
          <w:rFonts w:cs="Arial"/>
          <w:i/>
          <w:iCs/>
        </w:rPr>
      </w:pPr>
      <w:r>
        <w:t>the 2019 Banking PIA</w:t>
      </w:r>
      <w:r w:rsidR="009D36D7">
        <w:t>,</w:t>
      </w:r>
      <w:r>
        <w:rPr>
          <w:rStyle w:val="FootnoteReference"/>
        </w:rPr>
        <w:footnoteReference w:id="45"/>
      </w:r>
      <w:r>
        <w:t xml:space="preserve"> </w:t>
      </w:r>
      <w:r w:rsidR="009D36D7">
        <w:t>and</w:t>
      </w:r>
    </w:p>
    <w:p w14:paraId="3B0811D0" w14:textId="3910B23E" w:rsidR="009D36D7" w:rsidRPr="009D36D7" w:rsidRDefault="009D36D7" w:rsidP="009D36D7">
      <w:pPr>
        <w:pStyle w:val="Probity3"/>
        <w:rPr>
          <w:rFonts w:cs="Arial"/>
          <w:i/>
          <w:iCs/>
        </w:rPr>
      </w:pPr>
      <w:r>
        <w:t xml:space="preserve">the </w:t>
      </w:r>
      <w:r w:rsidRPr="009D36D7">
        <w:t>OAIC PS Guidelines</w:t>
      </w:r>
      <w:r>
        <w:t>.</w:t>
      </w:r>
      <w:r>
        <w:rPr>
          <w:rStyle w:val="FootnoteReference"/>
        </w:rPr>
        <w:footnoteReference w:id="46"/>
      </w:r>
    </w:p>
    <w:p w14:paraId="2A1F0F0B" w14:textId="29BEC0C7" w:rsidR="00A84537" w:rsidRPr="00A84537" w:rsidRDefault="009D36D7" w:rsidP="00A84537">
      <w:pPr>
        <w:pStyle w:val="Probity2"/>
        <w:rPr>
          <w:rFonts w:cs="Arial"/>
          <w:i/>
          <w:iCs/>
        </w:rPr>
      </w:pPr>
      <w:r w:rsidRPr="009D36D7">
        <w:t>Th</w:t>
      </w:r>
      <w:r>
        <w:t xml:space="preserve">e same information flows will apply for the NBL sector by the operation of the NBL CDR Rules.  </w:t>
      </w:r>
      <w:r w:rsidR="008F6D4E">
        <w:t>We have not repeated the data flows in this supplementary PIA on that basis.</w:t>
      </w:r>
    </w:p>
    <w:p w14:paraId="4EB9AF74" w14:textId="6155F323" w:rsidR="00A84537" w:rsidRDefault="00A84537" w:rsidP="00A84537">
      <w:pPr>
        <w:pStyle w:val="Probity2"/>
        <w:numPr>
          <w:ilvl w:val="0"/>
          <w:numId w:val="0"/>
        </w:numPr>
        <w:rPr>
          <w:rFonts w:cs="Arial"/>
          <w:b/>
          <w:bCs/>
          <w:i/>
          <w:iCs/>
        </w:rPr>
      </w:pPr>
      <w:r>
        <w:rPr>
          <w:rFonts w:cs="Arial"/>
          <w:b/>
          <w:bCs/>
          <w:i/>
          <w:iCs/>
        </w:rPr>
        <w:t>(h)</w:t>
      </w:r>
      <w:r>
        <w:rPr>
          <w:rFonts w:cs="Arial"/>
          <w:b/>
          <w:bCs/>
          <w:i/>
          <w:iCs/>
        </w:rPr>
        <w:tab/>
      </w:r>
      <w:r w:rsidR="00FC1199" w:rsidRPr="00FC1199">
        <w:rPr>
          <w:rFonts w:cs="Arial"/>
          <w:b/>
          <w:bCs/>
          <w:i/>
          <w:iCs/>
        </w:rPr>
        <w:t>Privacy Risk</w:t>
      </w:r>
      <w:r w:rsidR="00FC1199">
        <w:t xml:space="preserve"> </w:t>
      </w:r>
      <w:r>
        <w:rPr>
          <w:rFonts w:cs="Arial"/>
          <w:b/>
          <w:bCs/>
          <w:i/>
          <w:iCs/>
        </w:rPr>
        <w:t>table</w:t>
      </w:r>
    </w:p>
    <w:p w14:paraId="0091141B" w14:textId="27D8FA75" w:rsidR="009D6044" w:rsidRDefault="00AC40A8" w:rsidP="00A84537">
      <w:pPr>
        <w:pStyle w:val="Probity2"/>
        <w:rPr>
          <w:rFonts w:cs="Arial"/>
        </w:rPr>
      </w:pPr>
      <w:r>
        <w:rPr>
          <w:rFonts w:cs="Arial"/>
        </w:rPr>
        <w:t>T</w:t>
      </w:r>
      <w:r w:rsidR="00A84537">
        <w:rPr>
          <w:rFonts w:cs="Arial"/>
        </w:rPr>
        <w:t>he</w:t>
      </w:r>
      <w:r w:rsidR="00A84537" w:rsidRPr="00DF7993">
        <w:rPr>
          <w:rFonts w:cs="Arial"/>
        </w:rPr>
        <w:t xml:space="preserve"> </w:t>
      </w:r>
      <w:r w:rsidR="00FC1199">
        <w:t xml:space="preserve">Privacy Risk table </w:t>
      </w:r>
      <w:r>
        <w:rPr>
          <w:rFonts w:cs="Arial"/>
        </w:rPr>
        <w:t>set</w:t>
      </w:r>
      <w:r w:rsidR="00291A62">
        <w:rPr>
          <w:rFonts w:cs="Arial"/>
        </w:rPr>
        <w:t>s</w:t>
      </w:r>
      <w:r>
        <w:rPr>
          <w:rFonts w:cs="Arial"/>
        </w:rPr>
        <w:t xml:space="preserve"> out</w:t>
      </w:r>
      <w:r w:rsidR="00A84537" w:rsidRPr="00DF7993">
        <w:rPr>
          <w:rFonts w:cs="Arial"/>
        </w:rPr>
        <w:t xml:space="preserve"> our analysis</w:t>
      </w:r>
      <w:r w:rsidR="008F6D4E">
        <w:rPr>
          <w:rFonts w:cs="Arial"/>
        </w:rPr>
        <w:t xml:space="preserve"> of the </w:t>
      </w:r>
      <w:r w:rsidR="00FC1199">
        <w:rPr>
          <w:rFonts w:cs="Arial"/>
        </w:rPr>
        <w:t xml:space="preserve">privacy risks identified for the </w:t>
      </w:r>
      <w:r w:rsidR="008F6D4E">
        <w:rPr>
          <w:rFonts w:cs="Arial"/>
        </w:rPr>
        <w:t>Project against the Privacy Safeguards</w:t>
      </w:r>
      <w:r w:rsidR="009D36D7">
        <w:rPr>
          <w:rFonts w:cs="Arial"/>
        </w:rPr>
        <w:t xml:space="preserve"> and the APPs (if applicable)</w:t>
      </w:r>
      <w:r w:rsidR="00A84537" w:rsidRPr="00DF7993">
        <w:rPr>
          <w:rFonts w:cs="Arial"/>
        </w:rPr>
        <w:t>.</w:t>
      </w:r>
      <w:r w:rsidR="009F53B8">
        <w:rPr>
          <w:rFonts w:cs="Arial"/>
        </w:rPr>
        <w:t xml:space="preserve">  These privacy risks have been identified based on our review of the</w:t>
      </w:r>
      <w:r w:rsidR="00110842">
        <w:rPr>
          <w:rFonts w:cs="Arial"/>
        </w:rPr>
        <w:t xml:space="preserve"> </w:t>
      </w:r>
      <w:r w:rsidR="009D6044">
        <w:rPr>
          <w:rFonts w:cs="Arial"/>
        </w:rPr>
        <w:t xml:space="preserve">NBL </w:t>
      </w:r>
      <w:r w:rsidR="00110842">
        <w:rPr>
          <w:rFonts w:cs="Arial"/>
        </w:rPr>
        <w:t xml:space="preserve">CDR </w:t>
      </w:r>
      <w:r w:rsidR="009D6044">
        <w:rPr>
          <w:rFonts w:cs="Arial"/>
        </w:rPr>
        <w:t>Rules with a focus on what is intended to change as a consequence of the</w:t>
      </w:r>
      <w:r w:rsidR="00291A62">
        <w:rPr>
          <w:rFonts w:cs="Arial"/>
        </w:rPr>
        <w:t xml:space="preserve"> inclusion of the </w:t>
      </w:r>
      <w:r w:rsidR="009D6044">
        <w:rPr>
          <w:rFonts w:cs="Arial"/>
        </w:rPr>
        <w:t>NBL sector</w:t>
      </w:r>
      <w:r w:rsidR="00291A62">
        <w:rPr>
          <w:rFonts w:cs="Arial"/>
        </w:rPr>
        <w:t xml:space="preserve"> in the CDR</w:t>
      </w:r>
      <w:r w:rsidR="009D6044">
        <w:rPr>
          <w:rFonts w:cs="Arial"/>
        </w:rPr>
        <w:t xml:space="preserve">.  </w:t>
      </w:r>
    </w:p>
    <w:p w14:paraId="5D68C5E0" w14:textId="26779845" w:rsidR="009D6044" w:rsidRDefault="009D6044" w:rsidP="009D6044">
      <w:pPr>
        <w:pStyle w:val="Probity2"/>
      </w:pPr>
      <w:r>
        <w:t>Where privacy risks have been adequately assessed in previous CDR PIAs, we have not further considered the issue.  In particular, we have not revised the</w:t>
      </w:r>
      <w:r w:rsidR="00291A62">
        <w:t xml:space="preserve"> privacy assessment of the overall</w:t>
      </w:r>
      <w:r>
        <w:t xml:space="preserve"> operation of the CDR (addressed in the 2019 </w:t>
      </w:r>
      <w:r w:rsidRPr="009D6044">
        <w:t>CDR PIA</w:t>
      </w:r>
      <w:r>
        <w:t xml:space="preserve">) nor the operation of the CDR to the banking sector (addressed in the </w:t>
      </w:r>
      <w:r w:rsidRPr="009D6044">
        <w:t>2019 Banking PIA</w:t>
      </w:r>
      <w:r>
        <w:t>).</w:t>
      </w:r>
    </w:p>
    <w:p w14:paraId="1A72155D" w14:textId="4A0D32D8" w:rsidR="00291A62" w:rsidRDefault="00EF5C93">
      <w:pPr>
        <w:pStyle w:val="Probity2"/>
        <w:rPr>
          <w:rFonts w:cs="Arial"/>
        </w:rPr>
      </w:pPr>
      <w:r w:rsidRPr="00AC40A8">
        <w:rPr>
          <w:rFonts w:cs="Arial"/>
        </w:rPr>
        <w:t xml:space="preserve">In summary, and in circumstances where the </w:t>
      </w:r>
      <w:r w:rsidR="009D6044">
        <w:rPr>
          <w:rFonts w:cs="Arial"/>
        </w:rPr>
        <w:t xml:space="preserve">NBL </w:t>
      </w:r>
      <w:r w:rsidR="00110842">
        <w:rPr>
          <w:rFonts w:cs="Arial"/>
        </w:rPr>
        <w:t xml:space="preserve">CDR </w:t>
      </w:r>
      <w:r w:rsidR="009D6044">
        <w:rPr>
          <w:rFonts w:cs="Arial"/>
        </w:rPr>
        <w:t xml:space="preserve">Rules </w:t>
      </w:r>
      <w:r w:rsidRPr="00AC40A8">
        <w:rPr>
          <w:rFonts w:cs="Arial"/>
        </w:rPr>
        <w:t xml:space="preserve">will require those </w:t>
      </w:r>
      <w:r w:rsidR="00291A62">
        <w:rPr>
          <w:rFonts w:cs="Arial"/>
        </w:rPr>
        <w:t>relevant non-bank lenders</w:t>
      </w:r>
      <w:r w:rsidRPr="00AC40A8">
        <w:rPr>
          <w:rFonts w:cs="Arial"/>
        </w:rPr>
        <w:t xml:space="preserve"> (other than excluded entities) to share the same datasets </w:t>
      </w:r>
      <w:r w:rsidR="00291A62">
        <w:rPr>
          <w:rFonts w:cs="Arial"/>
        </w:rPr>
        <w:t xml:space="preserve">those shared by the banking sector, in </w:t>
      </w:r>
      <w:r w:rsidR="005A793C" w:rsidRPr="00AC40A8">
        <w:rPr>
          <w:rFonts w:cs="Arial"/>
        </w:rPr>
        <w:t xml:space="preserve">the same way as data is shared in the banking sector, </w:t>
      </w:r>
      <w:r w:rsidRPr="00AC40A8">
        <w:rPr>
          <w:rFonts w:cs="Arial"/>
        </w:rPr>
        <w:t>we</w:t>
      </w:r>
      <w:r w:rsidR="00291A62">
        <w:rPr>
          <w:rFonts w:cs="Arial"/>
        </w:rPr>
        <w:t xml:space="preserve"> </w:t>
      </w:r>
      <w:r w:rsidR="00291A62">
        <w:t xml:space="preserve">consider the overall effect of the designation of the NBL sector to </w:t>
      </w:r>
      <w:r w:rsidR="00C56E71">
        <w:t>provide appropriate safeguards for the handling of the personal information of NBL sector customers.</w:t>
      </w:r>
      <w:r w:rsidR="00AD67D3">
        <w:t xml:space="preserve"> </w:t>
      </w:r>
    </w:p>
    <w:p w14:paraId="42075B66" w14:textId="579A42F2" w:rsidR="009D6044" w:rsidRPr="005A793C" w:rsidRDefault="009D6044" w:rsidP="00A84537">
      <w:pPr>
        <w:pStyle w:val="Probity2"/>
        <w:rPr>
          <w:rFonts w:cs="Arial"/>
        </w:rPr>
      </w:pPr>
      <w:r>
        <w:t xml:space="preserve">However, where the operation of the CDR in the NBL sector raises privacy risks, we have discussed those in the Privacy Risk table and made a number of recommendations for Treasury’s consideration at this stage in the Project. </w:t>
      </w:r>
    </w:p>
    <w:p w14:paraId="0CF21DCC" w14:textId="7799BABE" w:rsidR="00A84537" w:rsidRDefault="00A84537" w:rsidP="00A84537">
      <w:pPr>
        <w:pStyle w:val="Probity2"/>
        <w:numPr>
          <w:ilvl w:val="0"/>
          <w:numId w:val="0"/>
        </w:numPr>
        <w:sectPr w:rsidR="00A84537" w:rsidSect="00CC7417">
          <w:pgSz w:w="11906" w:h="16838"/>
          <w:pgMar w:top="1701" w:right="1440" w:bottom="1440" w:left="1440" w:header="567" w:footer="709" w:gutter="0"/>
          <w:cols w:space="708"/>
          <w:docGrid w:linePitch="360"/>
        </w:sectPr>
      </w:pPr>
    </w:p>
    <w:tbl>
      <w:tblPr>
        <w:tblStyle w:val="GridTable5Dark-Accent1"/>
        <w:tblW w:w="14312" w:type="dxa"/>
        <w:tblLayout w:type="fixed"/>
        <w:tblLook w:val="04A0" w:firstRow="1" w:lastRow="0" w:firstColumn="1" w:lastColumn="0" w:noHBand="0" w:noVBand="1"/>
      </w:tblPr>
      <w:tblGrid>
        <w:gridCol w:w="704"/>
        <w:gridCol w:w="3119"/>
        <w:gridCol w:w="3543"/>
        <w:gridCol w:w="6946"/>
      </w:tblGrid>
      <w:tr w:rsidR="00FC1199" w:rsidRPr="00317ABA" w14:paraId="240FC4EF" w14:textId="77777777" w:rsidTr="009F53B8">
        <w:trPr>
          <w:cnfStyle w:val="100000000000" w:firstRow="1" w:lastRow="0" w:firstColumn="0" w:lastColumn="0" w:oddVBand="0" w:evenVBand="0" w:oddHBand="0" w:evenHBand="0" w:firstRowFirstColumn="0" w:firstRowLastColumn="0" w:lastRowFirstColumn="0" w:lastRowLastColumn="0"/>
          <w:trHeight w:val="355"/>
          <w:tblHeader/>
        </w:trPr>
        <w:tc>
          <w:tcPr>
            <w:cnfStyle w:val="001000000000" w:firstRow="0" w:lastRow="0" w:firstColumn="1" w:lastColumn="0" w:oddVBand="0" w:evenVBand="0" w:oddHBand="0" w:evenHBand="0" w:firstRowFirstColumn="0" w:firstRowLastColumn="0" w:lastRowFirstColumn="0" w:lastRowLastColumn="0"/>
            <w:tcW w:w="704" w:type="dxa"/>
            <w:shd w:val="clear" w:color="auto" w:fill="F79646" w:themeFill="accent6"/>
          </w:tcPr>
          <w:p w14:paraId="405CAE5C" w14:textId="6474AEBA" w:rsidR="00FC1199" w:rsidRPr="00FC1199" w:rsidRDefault="00FC1199">
            <w:pPr>
              <w:spacing w:line="276" w:lineRule="auto"/>
            </w:pPr>
            <w:r w:rsidRPr="00FC1199">
              <w:t>No.</w:t>
            </w:r>
          </w:p>
        </w:tc>
        <w:tc>
          <w:tcPr>
            <w:tcW w:w="3119" w:type="dxa"/>
            <w:shd w:val="clear" w:color="auto" w:fill="F79646" w:themeFill="accent6"/>
          </w:tcPr>
          <w:p w14:paraId="3E99D477" w14:textId="3CD2D5B3" w:rsidR="00FC1199" w:rsidRPr="009F53B8" w:rsidRDefault="00772432">
            <w:pPr>
              <w:spacing w:line="276" w:lineRule="auto"/>
              <w:cnfStyle w:val="100000000000" w:firstRow="1" w:lastRow="0" w:firstColumn="0" w:lastColumn="0" w:oddVBand="0" w:evenVBand="0" w:oddHBand="0" w:evenHBand="0" w:firstRowFirstColumn="0" w:firstRowLastColumn="0" w:lastRowFirstColumn="0" w:lastRowLastColumn="0"/>
              <w:rPr>
                <w:rFonts w:cs="Arial"/>
                <w:i/>
                <w:iCs/>
              </w:rPr>
            </w:pPr>
            <w:r>
              <w:rPr>
                <w:rFonts w:cs="Arial"/>
                <w:i/>
                <w:iCs/>
              </w:rPr>
              <w:t xml:space="preserve">Issue/Risk </w:t>
            </w:r>
          </w:p>
        </w:tc>
        <w:tc>
          <w:tcPr>
            <w:tcW w:w="3543" w:type="dxa"/>
            <w:shd w:val="clear" w:color="auto" w:fill="F79646" w:themeFill="accent6"/>
          </w:tcPr>
          <w:p w14:paraId="2E78B94A" w14:textId="3DC05F13" w:rsidR="00FC1199" w:rsidRPr="009F53B8" w:rsidRDefault="00FC1199" w:rsidP="009F53B8">
            <w:pPr>
              <w:spacing w:line="276" w:lineRule="auto"/>
              <w:cnfStyle w:val="100000000000" w:firstRow="1" w:lastRow="0" w:firstColumn="0" w:lastColumn="0" w:oddVBand="0" w:evenVBand="0" w:oddHBand="0" w:evenHBand="0" w:firstRowFirstColumn="0" w:firstRowLastColumn="0" w:lastRowFirstColumn="0" w:lastRowLastColumn="0"/>
              <w:rPr>
                <w:rFonts w:cs="Arial"/>
                <w:i/>
                <w:iCs/>
              </w:rPr>
            </w:pPr>
            <w:r w:rsidRPr="009F53B8">
              <w:rPr>
                <w:rFonts w:cs="Arial"/>
                <w:i/>
                <w:iCs/>
              </w:rPr>
              <w:t xml:space="preserve">Existing mitigation strategies </w:t>
            </w:r>
          </w:p>
        </w:tc>
        <w:tc>
          <w:tcPr>
            <w:tcW w:w="6946" w:type="dxa"/>
            <w:shd w:val="clear" w:color="auto" w:fill="F79646" w:themeFill="accent6"/>
          </w:tcPr>
          <w:p w14:paraId="6869207A" w14:textId="118D82EF" w:rsidR="00FC1199" w:rsidRPr="009F53B8" w:rsidRDefault="00FC1199">
            <w:pPr>
              <w:spacing w:line="276" w:lineRule="auto"/>
              <w:cnfStyle w:val="100000000000" w:firstRow="1" w:lastRow="0" w:firstColumn="0" w:lastColumn="0" w:oddVBand="0" w:evenVBand="0" w:oddHBand="0" w:evenHBand="0" w:firstRowFirstColumn="0" w:firstRowLastColumn="0" w:lastRowFirstColumn="0" w:lastRowLastColumn="0"/>
              <w:rPr>
                <w:rFonts w:cs="Arial"/>
                <w:i/>
                <w:iCs/>
              </w:rPr>
            </w:pPr>
            <w:r w:rsidRPr="009F53B8">
              <w:rPr>
                <w:rFonts w:cs="Arial"/>
                <w:i/>
                <w:iCs/>
              </w:rPr>
              <w:t xml:space="preserve">Gap analysis and privacy recommendation </w:t>
            </w:r>
          </w:p>
        </w:tc>
      </w:tr>
      <w:tr w:rsidR="00057ED0" w:rsidRPr="00317ABA" w14:paraId="14312B5D" w14:textId="77777777">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4312" w:type="dxa"/>
            <w:gridSpan w:val="4"/>
            <w:shd w:val="clear" w:color="auto" w:fill="F79646" w:themeFill="accent6"/>
          </w:tcPr>
          <w:p w14:paraId="2ADDA5DF" w14:textId="20B6183C" w:rsidR="00057ED0" w:rsidRDefault="00057ED0" w:rsidP="00270F46">
            <w:pPr>
              <w:pStyle w:val="Probity2"/>
              <w:numPr>
                <w:ilvl w:val="0"/>
                <w:numId w:val="0"/>
              </w:numPr>
              <w:rPr>
                <w:rFonts w:cs="Arial"/>
              </w:rPr>
            </w:pPr>
            <w:r>
              <w:rPr>
                <w:rFonts w:cs="Arial"/>
              </w:rPr>
              <w:t xml:space="preserve">Excluded entities  </w:t>
            </w:r>
          </w:p>
        </w:tc>
      </w:tr>
      <w:tr w:rsidR="00292A38" w:rsidRPr="00317ABA" w14:paraId="0377B6E4" w14:textId="77777777" w:rsidTr="009F53B8">
        <w:trPr>
          <w:trHeight w:val="355"/>
        </w:trPr>
        <w:tc>
          <w:tcPr>
            <w:cnfStyle w:val="001000000000" w:firstRow="0" w:lastRow="0" w:firstColumn="1" w:lastColumn="0" w:oddVBand="0" w:evenVBand="0" w:oddHBand="0" w:evenHBand="0" w:firstRowFirstColumn="0" w:firstRowLastColumn="0" w:lastRowFirstColumn="0" w:lastRowLastColumn="0"/>
            <w:tcW w:w="704" w:type="dxa"/>
            <w:shd w:val="clear" w:color="auto" w:fill="F79646" w:themeFill="accent6"/>
          </w:tcPr>
          <w:p w14:paraId="683D0C6A" w14:textId="7F5CFFED" w:rsidR="00292A38" w:rsidRPr="0053249F" w:rsidRDefault="00772432" w:rsidP="00292A38">
            <w:pPr>
              <w:spacing w:line="276" w:lineRule="auto"/>
            </w:pPr>
            <w:r>
              <w:t>1</w:t>
            </w:r>
          </w:p>
        </w:tc>
        <w:tc>
          <w:tcPr>
            <w:tcW w:w="3119" w:type="dxa"/>
            <w:shd w:val="clear" w:color="auto" w:fill="FDE9D9" w:themeFill="accent6" w:themeFillTint="33"/>
          </w:tcPr>
          <w:p w14:paraId="56A33931" w14:textId="77646839" w:rsidR="00B90392" w:rsidRDefault="00123F38" w:rsidP="00123F38">
            <w:pPr>
              <w:spacing w:line="276" w:lineRule="auto"/>
              <w:cnfStyle w:val="000000000000" w:firstRow="0" w:lastRow="0" w:firstColumn="0" w:lastColumn="0" w:oddVBand="0" w:evenVBand="0" w:oddHBand="0" w:evenHBand="0" w:firstRowFirstColumn="0" w:firstRowLastColumn="0" w:lastRowFirstColumn="0" w:lastRowLastColumn="0"/>
            </w:pPr>
            <w:r>
              <w:rPr>
                <w:rFonts w:cs="Arial"/>
              </w:rPr>
              <w:t>T</w:t>
            </w:r>
            <w:r w:rsidR="00B90392">
              <w:t xml:space="preserve">he NBL CDR Rules establish a </w:t>
            </w:r>
            <w:r w:rsidR="00B90392">
              <w:rPr>
                <w:i/>
                <w:iCs/>
              </w:rPr>
              <w:t xml:space="preserve">de minimis </w:t>
            </w:r>
            <w:r w:rsidR="00B90392">
              <w:t xml:space="preserve">threshold </w:t>
            </w:r>
            <w:r w:rsidR="00826252">
              <w:t xml:space="preserve">to limit mandatory data sharing obligations </w:t>
            </w:r>
            <w:r w:rsidR="00CA18CA">
              <w:t>to relevant</w:t>
            </w:r>
            <w:r w:rsidR="000615E4">
              <w:t xml:space="preserve"> non-bank lenders</w:t>
            </w:r>
            <w:r w:rsidR="00B90392">
              <w:t>.</w:t>
            </w:r>
            <w:r>
              <w:rPr>
                <w:rStyle w:val="FootnoteReference"/>
              </w:rPr>
              <w:footnoteReference w:id="47"/>
            </w:r>
            <w:r w:rsidR="00B90392">
              <w:t xml:space="preserve">  </w:t>
            </w:r>
          </w:p>
          <w:p w14:paraId="6B117FD4" w14:textId="2DE220DB" w:rsidR="00123F38" w:rsidRDefault="00B90392" w:rsidP="00123F38">
            <w:pPr>
              <w:pStyle w:val="Probity2"/>
              <w:numPr>
                <w:ilvl w:val="0"/>
                <w:numId w:val="0"/>
              </w:numPr>
              <w:cnfStyle w:val="000000000000" w:firstRow="0" w:lastRow="0" w:firstColumn="0" w:lastColumn="0" w:oddVBand="0" w:evenVBand="0" w:oddHBand="0" w:evenHBand="0" w:firstRowFirstColumn="0" w:firstRowLastColumn="0" w:lastRowFirstColumn="0" w:lastRowLastColumn="0"/>
            </w:pPr>
            <w:r>
              <w:t>Where</w:t>
            </w:r>
            <w:r w:rsidR="00E01D04">
              <w:t>, on a particular day,</w:t>
            </w:r>
            <w:r>
              <w:t xml:space="preserve"> the total value of the </w:t>
            </w:r>
            <w:r w:rsidR="00E01D04">
              <w:t xml:space="preserve">relevant non-bank </w:t>
            </w:r>
            <w:r>
              <w:t>lender’s resident loans and finance leases</w:t>
            </w:r>
            <w:r w:rsidR="00123F38">
              <w:t>:</w:t>
            </w:r>
          </w:p>
          <w:p w14:paraId="200C5201" w14:textId="66730611" w:rsidR="00123F38" w:rsidRDefault="00123F38" w:rsidP="00123F38">
            <w:pPr>
              <w:pStyle w:val="Probity2"/>
              <w:numPr>
                <w:ilvl w:val="0"/>
                <w:numId w:val="0"/>
              </w:numPr>
              <w:cnfStyle w:val="000000000000" w:firstRow="0" w:lastRow="0" w:firstColumn="0" w:lastColumn="0" w:oddVBand="0" w:evenVBand="0" w:oddHBand="0" w:evenHBand="0" w:firstRowFirstColumn="0" w:firstRowLastColumn="0" w:lastRowFirstColumn="0" w:lastRowLastColumn="0"/>
            </w:pPr>
            <w:r>
              <w:t>(a) is</w:t>
            </w:r>
            <w:r w:rsidR="00817C9B">
              <w:t xml:space="preserve"> over</w:t>
            </w:r>
            <w:r>
              <w:t xml:space="preserve"> $500 million for the preceding calendar month,</w:t>
            </w:r>
          </w:p>
          <w:p w14:paraId="5FCA76ED" w14:textId="65BC98CF" w:rsidR="00123F38" w:rsidRDefault="00123F38" w:rsidP="00123F38">
            <w:pPr>
              <w:pStyle w:val="Probity2"/>
              <w:numPr>
                <w:ilvl w:val="0"/>
                <w:numId w:val="0"/>
              </w:numPr>
              <w:cnfStyle w:val="000000000000" w:firstRow="0" w:lastRow="0" w:firstColumn="0" w:lastColumn="0" w:oddVBand="0" w:evenVBand="0" w:oddHBand="0" w:evenHBand="0" w:firstRowFirstColumn="0" w:firstRowLastColumn="0" w:lastRowFirstColumn="0" w:lastRowLastColumn="0"/>
            </w:pPr>
            <w:r>
              <w:t>(b) averages</w:t>
            </w:r>
            <w:r w:rsidR="00817C9B">
              <w:t xml:space="preserve"> over</w:t>
            </w:r>
            <w:r>
              <w:t xml:space="preserve"> $500 million for the preceding 11 months, and</w:t>
            </w:r>
          </w:p>
          <w:p w14:paraId="53FD54C5" w14:textId="04C23105" w:rsidR="00B90392" w:rsidRDefault="00123F38" w:rsidP="00123F38">
            <w:pPr>
              <w:pStyle w:val="Probity2"/>
              <w:numPr>
                <w:ilvl w:val="0"/>
                <w:numId w:val="0"/>
              </w:numPr>
              <w:cnfStyle w:val="000000000000" w:firstRow="0" w:lastRow="0" w:firstColumn="0" w:lastColumn="0" w:oddVBand="0" w:evenVBand="0" w:oddHBand="0" w:evenHBand="0" w:firstRowFirstColumn="0" w:firstRowLastColumn="0" w:lastRowFirstColumn="0" w:lastRowLastColumn="0"/>
            </w:pPr>
            <w:r>
              <w:t xml:space="preserve">(c) the lender has </w:t>
            </w:r>
            <w:r w:rsidR="00817C9B">
              <w:t>more than</w:t>
            </w:r>
            <w:r>
              <w:t xml:space="preserve"> </w:t>
            </w:r>
            <w:r w:rsidR="00817C9B">
              <w:t>500</w:t>
            </w:r>
            <w:r>
              <w:t xml:space="preserve"> customers,</w:t>
            </w:r>
          </w:p>
          <w:p w14:paraId="091221CB" w14:textId="61FF5827" w:rsidR="00B90392" w:rsidRPr="00123F38" w:rsidRDefault="00B90392" w:rsidP="00123F38">
            <w:pPr>
              <w:pStyle w:val="Probity3"/>
              <w:numPr>
                <w:ilvl w:val="0"/>
                <w:numId w:val="0"/>
              </w:numPr>
              <w:cnfStyle w:val="000000000000" w:firstRow="0" w:lastRow="0" w:firstColumn="0" w:lastColumn="0" w:oddVBand="0" w:evenVBand="0" w:oddHBand="0" w:evenHBand="0" w:firstRowFirstColumn="0" w:firstRowLastColumn="0" w:lastRowFirstColumn="0" w:lastRowLastColumn="0"/>
            </w:pPr>
            <w:r>
              <w:t xml:space="preserve">the entity is an excluded </w:t>
            </w:r>
            <w:r w:rsidR="00291A62">
              <w:t>entity</w:t>
            </w:r>
            <w:r>
              <w:t xml:space="preserve"> for the purposes of the NBL CDR Rules and not required to comply (although they may do so voluntarily)</w:t>
            </w:r>
            <w:r w:rsidR="00123F38">
              <w:t>.</w:t>
            </w:r>
            <w:r>
              <w:t xml:space="preserve"> </w:t>
            </w:r>
          </w:p>
        </w:tc>
        <w:tc>
          <w:tcPr>
            <w:tcW w:w="3543" w:type="dxa"/>
            <w:shd w:val="clear" w:color="auto" w:fill="FDE9D9" w:themeFill="accent6" w:themeFillTint="33"/>
          </w:tcPr>
          <w:p w14:paraId="0FA8DAA2" w14:textId="5909F1F4" w:rsidR="00EE45FB" w:rsidRDefault="00EE45FB" w:rsidP="00EE45FB">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Non-bank lenders who will not met the </w:t>
            </w:r>
            <w:r>
              <w:rPr>
                <w:rFonts w:cs="Arial"/>
                <w:i/>
                <w:iCs/>
              </w:rPr>
              <w:t>de min</w:t>
            </w:r>
            <w:r w:rsidR="009D31E3">
              <w:rPr>
                <w:rFonts w:cs="Arial"/>
                <w:i/>
                <w:iCs/>
              </w:rPr>
              <w:t>i</w:t>
            </w:r>
            <w:r>
              <w:rPr>
                <w:rFonts w:cs="Arial"/>
                <w:i/>
                <w:iCs/>
              </w:rPr>
              <w:t>m</w:t>
            </w:r>
            <w:r w:rsidR="00CA18CA">
              <w:rPr>
                <w:rFonts w:cs="Arial"/>
                <w:i/>
                <w:iCs/>
              </w:rPr>
              <w:t>i</w:t>
            </w:r>
            <w:r>
              <w:rPr>
                <w:rFonts w:cs="Arial"/>
                <w:i/>
                <w:iCs/>
              </w:rPr>
              <w:t xml:space="preserve">s </w:t>
            </w:r>
            <w:r>
              <w:rPr>
                <w:rFonts w:cs="Arial"/>
              </w:rPr>
              <w:t xml:space="preserve">threshold will not be subject to the CDR for the NBL sector.  </w:t>
            </w:r>
          </w:p>
          <w:p w14:paraId="17A70FB6" w14:textId="1EA7B803" w:rsidR="00EE45FB" w:rsidRPr="00BF000E" w:rsidRDefault="00EE45FB" w:rsidP="00EE45FB">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Depending on the nature and size of a non-bank lender, they may be regulated by the Credit Act and the Privacy Act</w:t>
            </w:r>
            <w:r w:rsidR="00291A62">
              <w:rPr>
                <w:rFonts w:cs="Arial"/>
              </w:rPr>
              <w:t xml:space="preserve"> (in terms of their being an APP entity)</w:t>
            </w:r>
            <w:r>
              <w:rPr>
                <w:rFonts w:cs="Arial"/>
              </w:rPr>
              <w:t>.  Credit providers will also be regulated by Part IIIA of the Privacy Act.</w:t>
            </w:r>
          </w:p>
        </w:tc>
        <w:tc>
          <w:tcPr>
            <w:tcW w:w="6946" w:type="dxa"/>
            <w:shd w:val="clear" w:color="auto" w:fill="FDE9D9" w:themeFill="accent6" w:themeFillTint="33"/>
          </w:tcPr>
          <w:p w14:paraId="634A1185" w14:textId="1D307C76" w:rsidR="00186B53" w:rsidRDefault="00BB5C8C" w:rsidP="00270F46">
            <w:pPr>
              <w:pStyle w:val="Probity2"/>
              <w:numPr>
                <w:ilvl w:val="0"/>
                <w:numId w:val="0"/>
              </w:numPr>
              <w:cnfStyle w:val="000000000000" w:firstRow="0" w:lastRow="0" w:firstColumn="0" w:lastColumn="0" w:oddVBand="0" w:evenVBand="0" w:oddHBand="0" w:evenHBand="0" w:firstRowFirstColumn="0" w:firstRowLastColumn="0" w:lastRowFirstColumn="0" w:lastRowLastColumn="0"/>
            </w:pPr>
            <w:r>
              <w:rPr>
                <w:rFonts w:cs="Arial"/>
              </w:rPr>
              <w:t xml:space="preserve">The </w:t>
            </w:r>
            <w:r w:rsidR="00270F46" w:rsidRPr="00270F46">
              <w:t xml:space="preserve">NBL </w:t>
            </w:r>
            <w:r w:rsidR="00291A62">
              <w:t>S</w:t>
            </w:r>
            <w:r w:rsidR="00270F46" w:rsidRPr="00270F46">
              <w:t xml:space="preserve">ector </w:t>
            </w:r>
            <w:r w:rsidR="00291A62">
              <w:t>R</w:t>
            </w:r>
            <w:r w:rsidR="00270F46" w:rsidRPr="00270F46">
              <w:t>eport</w:t>
            </w:r>
            <w:r w:rsidR="00186B53">
              <w:t xml:space="preserve"> and the NBL sector </w:t>
            </w:r>
            <w:r w:rsidR="00291A62">
              <w:t>D</w:t>
            </w:r>
            <w:r w:rsidR="00186B53">
              <w:t xml:space="preserve">esign </w:t>
            </w:r>
            <w:r w:rsidR="00291A62">
              <w:t>R</w:t>
            </w:r>
            <w:r w:rsidR="00186B53">
              <w:t>eport</w:t>
            </w:r>
            <w:r w:rsidR="00270F46">
              <w:t xml:space="preserve"> discuss the rationale for the </w:t>
            </w:r>
            <w:r w:rsidR="00270F46">
              <w:rPr>
                <w:i/>
                <w:iCs/>
              </w:rPr>
              <w:t xml:space="preserve">de minimis </w:t>
            </w:r>
            <w:r w:rsidR="00270F46">
              <w:t xml:space="preserve">threshold. </w:t>
            </w:r>
          </w:p>
          <w:p w14:paraId="4A981C1B" w14:textId="2EC4C686" w:rsidR="00291A62" w:rsidRDefault="00186B53" w:rsidP="00270F46">
            <w:pPr>
              <w:pStyle w:val="Probity2"/>
              <w:numPr>
                <w:ilvl w:val="0"/>
                <w:numId w:val="0"/>
              </w:numPr>
              <w:cnfStyle w:val="000000000000" w:firstRow="0" w:lastRow="0" w:firstColumn="0" w:lastColumn="0" w:oddVBand="0" w:evenVBand="0" w:oddHBand="0" w:evenHBand="0" w:firstRowFirstColumn="0" w:firstRowLastColumn="0" w:lastRowFirstColumn="0" w:lastRowLastColumn="0"/>
            </w:pPr>
            <w:r>
              <w:t xml:space="preserve">The </w:t>
            </w:r>
            <w:r>
              <w:rPr>
                <w:i/>
                <w:iCs/>
              </w:rPr>
              <w:t>de minim</w:t>
            </w:r>
            <w:r w:rsidR="00B86354">
              <w:rPr>
                <w:i/>
                <w:iCs/>
              </w:rPr>
              <w:t>i</w:t>
            </w:r>
            <w:r>
              <w:rPr>
                <w:i/>
                <w:iCs/>
              </w:rPr>
              <w:t xml:space="preserve">s </w:t>
            </w:r>
            <w:r>
              <w:t>threshold</w:t>
            </w:r>
            <w:r w:rsidR="00270F46">
              <w:t xml:space="preserve"> </w:t>
            </w:r>
            <w:r>
              <w:t xml:space="preserve">has an impact from a privacy perspective because the NBL sector has a long tail of smaller providers who will not meet the </w:t>
            </w:r>
            <w:r w:rsidRPr="00186B53">
              <w:rPr>
                <w:i/>
                <w:iCs/>
              </w:rPr>
              <w:t>de minim</w:t>
            </w:r>
            <w:r w:rsidR="00B86354">
              <w:rPr>
                <w:i/>
                <w:iCs/>
              </w:rPr>
              <w:t>i</w:t>
            </w:r>
            <w:r w:rsidRPr="00186B53">
              <w:rPr>
                <w:i/>
                <w:iCs/>
              </w:rPr>
              <w:t>s</w:t>
            </w:r>
            <w:r>
              <w:t xml:space="preserve"> threshold</w:t>
            </w:r>
            <w:r w:rsidR="00A24747">
              <w:t>, meaning their collection and handling of information will not be required to comply with the CDR and the Privacy Safeguards</w:t>
            </w:r>
            <w:r>
              <w:t>.</w:t>
            </w:r>
            <w:r w:rsidR="00A24747">
              <w:t xml:space="preserve"> </w:t>
            </w:r>
            <w:r w:rsidR="006D7E84">
              <w:t xml:space="preserve"> They will also be exempt from the requirement to comply with the internal and external dispute resolution requirements</w:t>
            </w:r>
            <w:r w:rsidR="00291A62">
              <w:t xml:space="preserve"> set out in the CDR for the banking sector</w:t>
            </w:r>
            <w:r w:rsidR="006D7E84">
              <w:t xml:space="preserve">. </w:t>
            </w:r>
            <w:r w:rsidR="00A24747">
              <w:t xml:space="preserve"> </w:t>
            </w:r>
          </w:p>
          <w:p w14:paraId="16D7339D" w14:textId="50C5EBDA" w:rsidR="00186B53" w:rsidRDefault="00A24747" w:rsidP="00270F46">
            <w:pPr>
              <w:pStyle w:val="Probity2"/>
              <w:numPr>
                <w:ilvl w:val="0"/>
                <w:numId w:val="0"/>
              </w:numPr>
              <w:cnfStyle w:val="000000000000" w:firstRow="0" w:lastRow="0" w:firstColumn="0" w:lastColumn="0" w:oddVBand="0" w:evenVBand="0" w:oddHBand="0" w:evenHBand="0" w:firstRowFirstColumn="0" w:firstRowLastColumn="0" w:lastRowFirstColumn="0" w:lastRowLastColumn="0"/>
            </w:pPr>
            <w:r>
              <w:t xml:space="preserve">Some </w:t>
            </w:r>
            <w:r w:rsidR="006D7E84">
              <w:t xml:space="preserve">NBL sector </w:t>
            </w:r>
            <w:r>
              <w:t>providers will be regulated by other laws, including the Credit Act and the Privacy Act (generally</w:t>
            </w:r>
            <w:r w:rsidR="00291A62">
              <w:t xml:space="preserve"> as an APP entity</w:t>
            </w:r>
            <w:r w:rsidR="006D7E84">
              <w:t>,</w:t>
            </w:r>
            <w:r>
              <w:t xml:space="preserve"> and Part IIIA in relation to credit providers) </w:t>
            </w:r>
            <w:r w:rsidR="006D7E84">
              <w:t>while</w:t>
            </w:r>
            <w:r>
              <w:t xml:space="preserve"> others (for example, providers of BNPL products) are not currently regulated </w:t>
            </w:r>
            <w:r w:rsidR="00291A62">
              <w:t xml:space="preserve">by the Credit Act </w:t>
            </w:r>
            <w:r>
              <w:t>for the provision of ‘credit-type’ products.</w:t>
            </w:r>
          </w:p>
          <w:p w14:paraId="138D3094" w14:textId="7368081B" w:rsidR="00123F38" w:rsidRDefault="006D7E84" w:rsidP="00270F46">
            <w:pPr>
              <w:pStyle w:val="Probity2"/>
              <w:numPr>
                <w:ilvl w:val="0"/>
                <w:numId w:val="0"/>
              </w:numPr>
              <w:cnfStyle w:val="000000000000" w:firstRow="0" w:lastRow="0" w:firstColumn="0" w:lastColumn="0" w:oddVBand="0" w:evenVBand="0" w:oddHBand="0" w:evenHBand="0" w:firstRowFirstColumn="0" w:firstRowLastColumn="0" w:lastRowFirstColumn="0" w:lastRowLastColumn="0"/>
            </w:pPr>
            <w:r>
              <w:t xml:space="preserve">We consider the </w:t>
            </w:r>
            <w:r w:rsidR="00270F46">
              <w:t>exten</w:t>
            </w:r>
            <w:r w:rsidR="0066655C">
              <w:t xml:space="preserve">sion </w:t>
            </w:r>
            <w:r w:rsidR="00270F46">
              <w:t xml:space="preserve">of the CDR to the NBL sector will </w:t>
            </w:r>
            <w:r w:rsidR="00886926">
              <w:t xml:space="preserve">improve </w:t>
            </w:r>
            <w:r w:rsidR="00270F46">
              <w:t>privacy protections</w:t>
            </w:r>
            <w:r>
              <w:t xml:space="preserve"> for consumers</w:t>
            </w:r>
            <w:r w:rsidR="009D31E3">
              <w:t xml:space="preserve"> when compared to current data sharing arrangements being used by NBL sector entities</w:t>
            </w:r>
            <w:r>
              <w:t>.  However</w:t>
            </w:r>
            <w:r w:rsidR="00270F46">
              <w:t xml:space="preserve">, </w:t>
            </w:r>
            <w:r w:rsidR="00E01D04">
              <w:t xml:space="preserve">we acknowledge Treasury’s concern that </w:t>
            </w:r>
            <w:r w:rsidR="00270F46">
              <w:t>the</w:t>
            </w:r>
            <w:r>
              <w:t xml:space="preserve"> CDR </w:t>
            </w:r>
            <w:r w:rsidR="00270F46">
              <w:t xml:space="preserve">requirements </w:t>
            </w:r>
            <w:r w:rsidR="00291A62">
              <w:t>should be</w:t>
            </w:r>
            <w:r w:rsidR="00E01D04">
              <w:t xml:space="preserve"> </w:t>
            </w:r>
            <w:r w:rsidR="00270F46">
              <w:t>balanced against</w:t>
            </w:r>
            <w:r w:rsidR="00EE45FB">
              <w:t xml:space="preserve"> the</w:t>
            </w:r>
            <w:r w:rsidR="00270F46">
              <w:t xml:space="preserve"> </w:t>
            </w:r>
            <w:r w:rsidR="00A24747">
              <w:t>substantial costs of compliance with the CDR, especially for smaller players</w:t>
            </w:r>
            <w:r w:rsidR="00E01D04">
              <w:t xml:space="preserve"> </w:t>
            </w:r>
            <w:r>
              <w:t xml:space="preserve">in the NBL sector, </w:t>
            </w:r>
            <w:r w:rsidR="00E01D04">
              <w:t xml:space="preserve">and the important role those entities have in facilitating innovation and encouraging competition. </w:t>
            </w:r>
          </w:p>
          <w:p w14:paraId="088B3712" w14:textId="273DF7AC" w:rsidR="006D7E84" w:rsidRDefault="006D7E84" w:rsidP="00270F46">
            <w:pPr>
              <w:pStyle w:val="Probity2"/>
              <w:numPr>
                <w:ilvl w:val="0"/>
                <w:numId w:val="0"/>
              </w:numPr>
              <w:cnfStyle w:val="000000000000" w:firstRow="0" w:lastRow="0" w:firstColumn="0" w:lastColumn="0" w:oddVBand="0" w:evenVBand="0" w:oddHBand="0" w:evenHBand="0" w:firstRowFirstColumn="0" w:firstRowLastColumn="0" w:lastRowFirstColumn="0" w:lastRowLastColumn="0"/>
            </w:pPr>
            <w:r>
              <w:t xml:space="preserve">We note that Treasury has sought feedback from industry as part of the consultation about the </w:t>
            </w:r>
            <w:r>
              <w:rPr>
                <w:i/>
                <w:iCs/>
              </w:rPr>
              <w:t>de minim</w:t>
            </w:r>
            <w:r w:rsidR="00B86354">
              <w:rPr>
                <w:i/>
                <w:iCs/>
              </w:rPr>
              <w:t>i</w:t>
            </w:r>
            <w:r>
              <w:rPr>
                <w:i/>
                <w:iCs/>
              </w:rPr>
              <w:t xml:space="preserve">s </w:t>
            </w:r>
            <w:r>
              <w:t xml:space="preserve">threshold and, based on the </w:t>
            </w:r>
            <w:r w:rsidR="00D51A1E">
              <w:t xml:space="preserve">feedback we have reviewed (see paragraphs </w:t>
            </w:r>
            <w:r w:rsidR="00D51A1E">
              <w:fldChar w:fldCharType="begin"/>
            </w:r>
            <w:r w:rsidR="00D51A1E">
              <w:instrText xml:space="preserve"> REF _Ref137071041 \r \h </w:instrText>
            </w:r>
            <w:r w:rsidR="00D51A1E">
              <w:fldChar w:fldCharType="separate"/>
            </w:r>
            <w:r w:rsidR="00E87066">
              <w:t>4.6</w:t>
            </w:r>
            <w:r w:rsidR="00D51A1E">
              <w:fldChar w:fldCharType="end"/>
            </w:r>
            <w:r w:rsidR="00D51A1E">
              <w:t xml:space="preserve"> to </w:t>
            </w:r>
            <w:r w:rsidR="00D51A1E">
              <w:fldChar w:fldCharType="begin"/>
            </w:r>
            <w:r w:rsidR="00D51A1E">
              <w:instrText xml:space="preserve"> REF _Ref137103589 \r \h </w:instrText>
            </w:r>
            <w:r w:rsidR="00D51A1E">
              <w:fldChar w:fldCharType="separate"/>
            </w:r>
            <w:r w:rsidR="00E87066">
              <w:t>4.7</w:t>
            </w:r>
            <w:r w:rsidR="00D51A1E">
              <w:fldChar w:fldCharType="end"/>
            </w:r>
            <w:r w:rsidR="00D51A1E">
              <w:t xml:space="preserve">) industry is generally supportive of a </w:t>
            </w:r>
            <w:r w:rsidR="00D51A1E">
              <w:rPr>
                <w:i/>
                <w:iCs/>
              </w:rPr>
              <w:t>de minim</w:t>
            </w:r>
            <w:r w:rsidR="00B86354">
              <w:rPr>
                <w:i/>
                <w:iCs/>
              </w:rPr>
              <w:t>i</w:t>
            </w:r>
            <w:r w:rsidR="00D51A1E">
              <w:rPr>
                <w:i/>
                <w:iCs/>
              </w:rPr>
              <w:t xml:space="preserve">s </w:t>
            </w:r>
            <w:r w:rsidR="00D51A1E">
              <w:t>threshold</w:t>
            </w:r>
            <w:r w:rsidR="00EE45FB">
              <w:t>, although the financial threshold proposed varies.</w:t>
            </w:r>
          </w:p>
          <w:p w14:paraId="6EA2702A" w14:textId="332F1A24" w:rsidR="00886926" w:rsidRDefault="00886926" w:rsidP="00270F46">
            <w:pPr>
              <w:pStyle w:val="Probity2"/>
              <w:numPr>
                <w:ilvl w:val="0"/>
                <w:numId w:val="0"/>
              </w:numPr>
              <w:cnfStyle w:val="000000000000" w:firstRow="0" w:lastRow="0" w:firstColumn="0" w:lastColumn="0" w:oddVBand="0" w:evenVBand="0" w:oddHBand="0" w:evenHBand="0" w:firstRowFirstColumn="0" w:firstRowLastColumn="0" w:lastRowFirstColumn="0" w:lastRowLastColumn="0"/>
            </w:pPr>
            <w:r>
              <w:t>Some stakeholders</w:t>
            </w:r>
            <w:r w:rsidRPr="00886926">
              <w:t xml:space="preserve"> recommend</w:t>
            </w:r>
            <w:r>
              <w:t>ed</w:t>
            </w:r>
            <w:r w:rsidRPr="00886926">
              <w:t xml:space="preserve"> Treasury consider what guidance it can provide to non-bank lenders who will not meet the </w:t>
            </w:r>
            <w:r w:rsidRPr="0066655C">
              <w:rPr>
                <w:i/>
                <w:iCs/>
              </w:rPr>
              <w:t>de minim</w:t>
            </w:r>
            <w:r w:rsidR="00893637" w:rsidRPr="0066655C">
              <w:rPr>
                <w:i/>
                <w:iCs/>
              </w:rPr>
              <w:t>i</w:t>
            </w:r>
            <w:r w:rsidRPr="0066655C">
              <w:rPr>
                <w:i/>
                <w:iCs/>
              </w:rPr>
              <w:t>s</w:t>
            </w:r>
            <w:r w:rsidRPr="00886926">
              <w:t xml:space="preserve"> threshold, to support voluntary compliance with the CDR. </w:t>
            </w:r>
          </w:p>
          <w:p w14:paraId="594B434D" w14:textId="0F535A21" w:rsidR="00EE45FB" w:rsidRDefault="00EE45FB" w:rsidP="00EE45FB">
            <w:pPr>
              <w:spacing w:line="276" w:lineRule="auto"/>
              <w:cnfStyle w:val="000000000000" w:firstRow="0" w:lastRow="0" w:firstColumn="0" w:lastColumn="0" w:oddVBand="0" w:evenVBand="0" w:oddHBand="0" w:evenHBand="0" w:firstRowFirstColumn="0" w:firstRowLastColumn="0" w:lastRowFirstColumn="0" w:lastRowLastColumn="0"/>
            </w:pPr>
            <w:r>
              <w:rPr>
                <w:rFonts w:cs="Arial"/>
              </w:rPr>
              <w:t xml:space="preserve">Non-bank lenders who do not met the </w:t>
            </w:r>
            <w:r>
              <w:rPr>
                <w:rFonts w:cs="Arial"/>
                <w:i/>
                <w:iCs/>
              </w:rPr>
              <w:t>de min</w:t>
            </w:r>
            <w:r w:rsidR="009D31E3">
              <w:rPr>
                <w:rFonts w:cs="Arial"/>
                <w:i/>
                <w:iCs/>
              </w:rPr>
              <w:t>i</w:t>
            </w:r>
            <w:r>
              <w:rPr>
                <w:rFonts w:cs="Arial"/>
                <w:i/>
                <w:iCs/>
              </w:rPr>
              <w:t>m</w:t>
            </w:r>
            <w:r w:rsidR="00B86354">
              <w:rPr>
                <w:rFonts w:cs="Arial"/>
                <w:i/>
                <w:iCs/>
              </w:rPr>
              <w:t>i</w:t>
            </w:r>
            <w:r>
              <w:rPr>
                <w:rFonts w:cs="Arial"/>
                <w:i/>
                <w:iCs/>
              </w:rPr>
              <w:t xml:space="preserve">s </w:t>
            </w:r>
            <w:r>
              <w:rPr>
                <w:rFonts w:cs="Arial"/>
              </w:rPr>
              <w:t xml:space="preserve">threshold will be able to elect to share data through the CDR on a voluntary basis.  For example, a non-bank lender may </w:t>
            </w:r>
            <w:r>
              <w:t xml:space="preserve">voluntarily elect to share </w:t>
            </w:r>
            <w:r w:rsidR="009D31E3">
              <w:t>“</w:t>
            </w:r>
            <w:r>
              <w:t>product data</w:t>
            </w:r>
            <w:r w:rsidR="009D31E3">
              <w:t>”</w:t>
            </w:r>
            <w:r>
              <w:t xml:space="preserve"> without also needing to share </w:t>
            </w:r>
            <w:r w:rsidR="009D31E3">
              <w:t>“</w:t>
            </w:r>
            <w:r>
              <w:t>consumer data</w:t>
            </w:r>
            <w:r w:rsidR="009D31E3">
              <w:t>”</w:t>
            </w:r>
            <w:r>
              <w:t xml:space="preserve">. Sharing product data allows entities to have their products considered as part of product comparison services and can be provided at a lower cost than consumer data which requires authentication. </w:t>
            </w:r>
          </w:p>
          <w:p w14:paraId="247B71B9" w14:textId="1D0C4E4D" w:rsidR="00EE45FB" w:rsidRDefault="00EE45FB" w:rsidP="00EE45FB">
            <w:pPr>
              <w:spacing w:line="276" w:lineRule="auto"/>
              <w:cnfStyle w:val="000000000000" w:firstRow="0" w:lastRow="0" w:firstColumn="0" w:lastColumn="0" w:oddVBand="0" w:evenVBand="0" w:oddHBand="0" w:evenHBand="0" w:firstRowFirstColumn="0" w:firstRowLastColumn="0" w:lastRowFirstColumn="0" w:lastRowLastColumn="0"/>
            </w:pPr>
            <w:r>
              <w:t>Participation in the CDR, even on a voluntary basis,</w:t>
            </w:r>
            <w:r w:rsidR="00817C9B">
              <w:t xml:space="preserve"> increases the </w:t>
            </w:r>
            <w:r w:rsidR="001926A7">
              <w:t xml:space="preserve">safety and </w:t>
            </w:r>
            <w:r w:rsidR="00817C9B">
              <w:t xml:space="preserve">security of data sharing. </w:t>
            </w:r>
          </w:p>
          <w:p w14:paraId="7BCB87F2" w14:textId="422EDCA5" w:rsidR="00EE45FB" w:rsidRDefault="00EE45FB" w:rsidP="00EE45FB">
            <w:pPr>
              <w:spacing w:line="276" w:lineRule="auto"/>
              <w:cnfStyle w:val="000000000000" w:firstRow="0" w:lastRow="0" w:firstColumn="0" w:lastColumn="0" w:oddVBand="0" w:evenVBand="0" w:oddHBand="0" w:evenHBand="0" w:firstRowFirstColumn="0" w:firstRowLastColumn="0" w:lastRowFirstColumn="0" w:lastRowLastColumn="0"/>
            </w:pPr>
            <w:r>
              <w:t xml:space="preserve">In her </w:t>
            </w:r>
            <w:r w:rsidRPr="006413FD">
              <w:rPr>
                <w:i/>
                <w:iCs/>
              </w:rPr>
              <w:t>Report on the draft Consumer Data Right (Non-bank Lenders) Designation 2022</w:t>
            </w:r>
            <w:r w:rsidRPr="006413FD">
              <w:rPr>
                <w:rStyle w:val="FootnoteReference"/>
              </w:rPr>
              <w:footnoteReference w:id="48"/>
            </w:r>
            <w:r>
              <w:rPr>
                <w:i/>
                <w:iCs/>
              </w:rPr>
              <w:t xml:space="preserve"> </w:t>
            </w:r>
            <w:r>
              <w:t xml:space="preserve">the Information Commissioner recommended the Treasury consider ways to support NBL sector lenders who choose to voluntarily participate in the CDR to help the understand and comply with their obligations as a data holder (see Recommendation 1(b)).  </w:t>
            </w:r>
          </w:p>
          <w:p w14:paraId="5B70A925" w14:textId="7674A8B0" w:rsidR="00EE45FB" w:rsidRDefault="00EE45FB" w:rsidP="00EE45FB">
            <w:pPr>
              <w:spacing w:line="276" w:lineRule="auto"/>
              <w:cnfStyle w:val="000000000000" w:firstRow="0" w:lastRow="0" w:firstColumn="0" w:lastColumn="0" w:oddVBand="0" w:evenVBand="0" w:oddHBand="0" w:evenHBand="0" w:firstRowFirstColumn="0" w:firstRowLastColumn="0" w:lastRowFirstColumn="0" w:lastRowLastColumn="0"/>
              <w:rPr>
                <w:rFonts w:cs="Arial"/>
              </w:rPr>
            </w:pPr>
            <w:r>
              <w:t>We agree that</w:t>
            </w:r>
            <w:r>
              <w:rPr>
                <w:rFonts w:cs="Arial"/>
              </w:rPr>
              <w:t xml:space="preserve"> such assistance will help develop the maturity of the NBL sector and </w:t>
            </w:r>
            <w:r w:rsidR="00AD67D3">
              <w:rPr>
                <w:rFonts w:cs="Arial"/>
              </w:rPr>
              <w:t xml:space="preserve">improve </w:t>
            </w:r>
            <w:r>
              <w:rPr>
                <w:rFonts w:cs="Arial"/>
              </w:rPr>
              <w:t xml:space="preserve">privacy outcomes for consumers who engage with those </w:t>
            </w:r>
            <w:r>
              <w:t xml:space="preserve">NBL sector lenders </w:t>
            </w:r>
            <w:r>
              <w:rPr>
                <w:rFonts w:cs="Arial"/>
              </w:rPr>
              <w:t xml:space="preserve">without the protection of the CDR.  </w:t>
            </w:r>
          </w:p>
          <w:p w14:paraId="0C15E183" w14:textId="0BB552E6" w:rsidR="00EE45FB" w:rsidRDefault="00EE45FB" w:rsidP="00EE45FB">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We make </w:t>
            </w:r>
            <w:r>
              <w:rPr>
                <w:rFonts w:cs="Arial"/>
                <w:b/>
                <w:bCs/>
              </w:rPr>
              <w:t xml:space="preserve">Recommendation </w:t>
            </w:r>
            <w:r w:rsidR="00E20756">
              <w:rPr>
                <w:rFonts w:cs="Arial"/>
                <w:b/>
                <w:bCs/>
              </w:rPr>
              <w:t>4</w:t>
            </w:r>
            <w:r w:rsidR="00057ED0">
              <w:rPr>
                <w:rFonts w:cs="Arial"/>
                <w:b/>
                <w:bCs/>
              </w:rPr>
              <w:t xml:space="preserve"> </w:t>
            </w:r>
            <w:r>
              <w:rPr>
                <w:rFonts w:cs="Arial"/>
              </w:rPr>
              <w:t>on that basis.</w:t>
            </w:r>
          </w:p>
          <w:p w14:paraId="1CCED199" w14:textId="0BEAF757" w:rsidR="00320D7D" w:rsidRDefault="00320D7D" w:rsidP="00EE45FB">
            <w:pPr>
              <w:spacing w:line="276" w:lineRule="auto"/>
              <w:cnfStyle w:val="000000000000" w:firstRow="0" w:lastRow="0" w:firstColumn="0" w:lastColumn="0" w:oddVBand="0" w:evenVBand="0" w:oddHBand="0" w:evenHBand="0" w:firstRowFirstColumn="0" w:firstRowLastColumn="0" w:lastRowFirstColumn="0" w:lastRowLastColumn="0"/>
              <w:rPr>
                <w:rFonts w:cs="Arial"/>
              </w:rPr>
            </w:pPr>
          </w:p>
          <w:p w14:paraId="501F8079" w14:textId="60EF2984" w:rsidR="00320D7D" w:rsidRDefault="00320D7D" w:rsidP="00EE45FB">
            <w:pPr>
              <w:spacing w:line="276" w:lineRule="auto"/>
              <w:cnfStyle w:val="000000000000" w:firstRow="0" w:lastRow="0" w:firstColumn="0" w:lastColumn="0" w:oddVBand="0" w:evenVBand="0" w:oddHBand="0" w:evenHBand="0" w:firstRowFirstColumn="0" w:firstRowLastColumn="0" w:lastRowFirstColumn="0" w:lastRowLastColumn="0"/>
              <w:rPr>
                <w:rFonts w:cs="Arial"/>
              </w:rPr>
            </w:pPr>
          </w:p>
          <w:p w14:paraId="1C133B6A" w14:textId="77777777" w:rsidR="00B85B39" w:rsidRDefault="00B85B39" w:rsidP="00EE45FB">
            <w:pPr>
              <w:spacing w:line="276" w:lineRule="auto"/>
              <w:cnfStyle w:val="000000000000" w:firstRow="0" w:lastRow="0" w:firstColumn="0" w:lastColumn="0" w:oddVBand="0" w:evenVBand="0" w:oddHBand="0" w:evenHBand="0" w:firstRowFirstColumn="0" w:firstRowLastColumn="0" w:lastRowFirstColumn="0" w:lastRowLastColumn="0"/>
              <w:rPr>
                <w:rFonts w:cs="Arial"/>
              </w:rPr>
            </w:pPr>
          </w:p>
          <w:tbl>
            <w:tblPr>
              <w:tblStyle w:val="TableGrid"/>
              <w:tblpPr w:leftFromText="180" w:rightFromText="180" w:vertAnchor="text" w:horzAnchor="margin" w:tblpY="-163"/>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79646" w:themeFill="accent6"/>
              <w:tblLayout w:type="fixed"/>
              <w:tblLook w:val="04A0" w:firstRow="1" w:lastRow="0" w:firstColumn="1" w:lastColumn="0" w:noHBand="0" w:noVBand="1"/>
            </w:tblPr>
            <w:tblGrid>
              <w:gridCol w:w="6720"/>
            </w:tblGrid>
            <w:tr w:rsidR="00B85B39" w14:paraId="50E1A68E" w14:textId="77777777" w:rsidTr="00B85B39">
              <w:tc>
                <w:tcPr>
                  <w:tcW w:w="6720" w:type="dxa"/>
                  <w:shd w:val="clear" w:color="auto" w:fill="F79646" w:themeFill="accent6"/>
                </w:tcPr>
                <w:p w14:paraId="29AF9B32" w14:textId="36CAD8FA" w:rsidR="00B85B39" w:rsidRDefault="00B85B39" w:rsidP="00D424F8">
                  <w:pPr>
                    <w:spacing w:line="276" w:lineRule="auto"/>
                    <w:rPr>
                      <w:rFonts w:cs="Arial"/>
                    </w:rPr>
                  </w:pPr>
                  <w:r w:rsidRPr="000455FA">
                    <w:rPr>
                      <w:rFonts w:cs="Arial"/>
                      <w:b/>
                      <w:bCs/>
                    </w:rPr>
                    <w:t xml:space="preserve">Recommendation </w:t>
                  </w:r>
                  <w:r w:rsidR="00E20756">
                    <w:rPr>
                      <w:rFonts w:cs="Arial"/>
                      <w:b/>
                      <w:bCs/>
                    </w:rPr>
                    <w:t>4</w:t>
                  </w:r>
                  <w:r>
                    <w:rPr>
                      <w:rFonts w:cs="Arial"/>
                    </w:rPr>
                    <w:t xml:space="preserve"> – Treasury </w:t>
                  </w:r>
                  <w:r>
                    <w:t xml:space="preserve">consider ways to support non-bank lenders </w:t>
                  </w:r>
                  <w:r w:rsidR="00D424F8">
                    <w:t xml:space="preserve">who do not meet the </w:t>
                  </w:r>
                  <w:r w:rsidR="00D424F8">
                    <w:rPr>
                      <w:rFonts w:cs="Arial"/>
                      <w:i/>
                      <w:iCs/>
                    </w:rPr>
                    <w:t>de min</w:t>
                  </w:r>
                  <w:r w:rsidR="009D31E3">
                    <w:rPr>
                      <w:rFonts w:cs="Arial"/>
                      <w:i/>
                      <w:iCs/>
                    </w:rPr>
                    <w:t>i</w:t>
                  </w:r>
                  <w:r w:rsidR="00D424F8">
                    <w:rPr>
                      <w:rFonts w:cs="Arial"/>
                      <w:i/>
                      <w:iCs/>
                    </w:rPr>
                    <w:t xml:space="preserve">mis </w:t>
                  </w:r>
                  <w:r w:rsidR="00D424F8">
                    <w:rPr>
                      <w:rFonts w:cs="Arial"/>
                    </w:rPr>
                    <w:t xml:space="preserve">threshold </w:t>
                  </w:r>
                  <w:r w:rsidR="00D424F8">
                    <w:t xml:space="preserve">understand the benefits of the CDR and encourage them </w:t>
                  </w:r>
                  <w:r>
                    <w:t xml:space="preserve">to voluntarily participate in the CDR and comply with the obligations </w:t>
                  </w:r>
                  <w:r w:rsidR="00870FFE">
                    <w:t xml:space="preserve">of </w:t>
                  </w:r>
                  <w:r>
                    <w:t xml:space="preserve">a data holder. </w:t>
                  </w:r>
                </w:p>
              </w:tc>
            </w:tr>
          </w:tbl>
          <w:p w14:paraId="7F127DF9" w14:textId="3F82E633" w:rsidR="00A24747" w:rsidRPr="00BF000E" w:rsidRDefault="00A24747" w:rsidP="00270F46">
            <w:pPr>
              <w:pStyle w:val="Probity2"/>
              <w:numPr>
                <w:ilvl w:val="0"/>
                <w:numId w:val="0"/>
              </w:numPr>
              <w:cnfStyle w:val="000000000000" w:firstRow="0" w:lastRow="0" w:firstColumn="0" w:lastColumn="0" w:oddVBand="0" w:evenVBand="0" w:oddHBand="0" w:evenHBand="0" w:firstRowFirstColumn="0" w:firstRowLastColumn="0" w:lastRowFirstColumn="0" w:lastRowLastColumn="0"/>
              <w:rPr>
                <w:rFonts w:cs="Arial"/>
              </w:rPr>
            </w:pPr>
          </w:p>
        </w:tc>
      </w:tr>
      <w:tr w:rsidR="00EE45FB" w:rsidRPr="00317ABA" w14:paraId="00BDBBF2" w14:textId="77777777">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4312" w:type="dxa"/>
            <w:gridSpan w:val="4"/>
            <w:shd w:val="clear" w:color="auto" w:fill="F79646" w:themeFill="accent6"/>
          </w:tcPr>
          <w:p w14:paraId="24FFB489" w14:textId="2639D49E" w:rsidR="00EE45FB" w:rsidRDefault="001A6781" w:rsidP="00B85B39">
            <w:pPr>
              <w:pStyle w:val="Probity2"/>
              <w:keepNext/>
              <w:numPr>
                <w:ilvl w:val="0"/>
                <w:numId w:val="0"/>
              </w:numPr>
              <w:ind w:left="709" w:hanging="709"/>
              <w:contextualSpacing/>
              <w:rPr>
                <w:rFonts w:cs="Arial"/>
                <w:i w:val="0"/>
                <w:iCs w:val="0"/>
                <w:u w:val="single"/>
              </w:rPr>
            </w:pPr>
            <w:r>
              <w:rPr>
                <w:rFonts w:cs="Arial"/>
              </w:rPr>
              <w:t>Categories of CDR data</w:t>
            </w:r>
            <w:r w:rsidR="00EE45FB">
              <w:rPr>
                <w:rFonts w:cs="Arial"/>
                <w:i w:val="0"/>
                <w:iCs w:val="0"/>
                <w:u w:val="single"/>
              </w:rPr>
              <w:t xml:space="preserve"> </w:t>
            </w:r>
          </w:p>
        </w:tc>
      </w:tr>
      <w:tr w:rsidR="00EE45FB" w:rsidRPr="00317ABA" w14:paraId="2DC39643" w14:textId="77777777" w:rsidTr="009F53B8">
        <w:trPr>
          <w:trHeight w:val="355"/>
        </w:trPr>
        <w:tc>
          <w:tcPr>
            <w:cnfStyle w:val="001000000000" w:firstRow="0" w:lastRow="0" w:firstColumn="1" w:lastColumn="0" w:oddVBand="0" w:evenVBand="0" w:oddHBand="0" w:evenHBand="0" w:firstRowFirstColumn="0" w:firstRowLastColumn="0" w:lastRowFirstColumn="0" w:lastRowLastColumn="0"/>
            <w:tcW w:w="704" w:type="dxa"/>
            <w:shd w:val="clear" w:color="auto" w:fill="F79646" w:themeFill="accent6"/>
          </w:tcPr>
          <w:p w14:paraId="377A5883" w14:textId="26063309" w:rsidR="00EE45FB" w:rsidRPr="0053249F" w:rsidRDefault="00772432" w:rsidP="00EE45FB">
            <w:pPr>
              <w:spacing w:line="276" w:lineRule="auto"/>
            </w:pPr>
            <w:r>
              <w:t>2</w:t>
            </w:r>
          </w:p>
        </w:tc>
        <w:tc>
          <w:tcPr>
            <w:tcW w:w="3119" w:type="dxa"/>
            <w:shd w:val="clear" w:color="auto" w:fill="FDE9D9" w:themeFill="accent6" w:themeFillTint="33"/>
          </w:tcPr>
          <w:p w14:paraId="6BA2596D" w14:textId="639E4657" w:rsidR="00EE45FB" w:rsidRPr="00270F46" w:rsidRDefault="00EE45FB" w:rsidP="00EE45FB">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Four (4) categories of information </w:t>
            </w:r>
            <w:r w:rsidR="008E7378">
              <w:rPr>
                <w:rFonts w:cs="Arial"/>
              </w:rPr>
              <w:t>are CDR data</w:t>
            </w:r>
            <w:r w:rsidR="00EA225B">
              <w:rPr>
                <w:rFonts w:cs="Arial"/>
              </w:rPr>
              <w:t xml:space="preserve"> sets</w:t>
            </w:r>
            <w:r w:rsidR="008E7378">
              <w:rPr>
                <w:rFonts w:cs="Arial"/>
              </w:rPr>
              <w:t xml:space="preserve"> for the purposes of the</w:t>
            </w:r>
            <w:r w:rsidR="009D31E3">
              <w:rPr>
                <w:rFonts w:cs="Arial"/>
              </w:rPr>
              <w:t xml:space="preserve"> </w:t>
            </w:r>
            <w:r w:rsidR="008E7378">
              <w:t xml:space="preserve">NBL CDR Rules </w:t>
            </w:r>
            <w:r>
              <w:rPr>
                <w:rFonts w:cs="Arial"/>
              </w:rPr>
              <w:t xml:space="preserve">being </w:t>
            </w:r>
            <w:r w:rsidRPr="00270F46">
              <w:rPr>
                <w:rFonts w:cs="Arial"/>
                <w:i/>
                <w:iCs/>
              </w:rPr>
              <w:t>customer data</w:t>
            </w:r>
            <w:r>
              <w:rPr>
                <w:rFonts w:cs="Arial"/>
              </w:rPr>
              <w:t xml:space="preserve">, </w:t>
            </w:r>
            <w:r w:rsidRPr="00270F46">
              <w:rPr>
                <w:rFonts w:cs="Arial"/>
                <w:i/>
                <w:iCs/>
              </w:rPr>
              <w:t>account data</w:t>
            </w:r>
            <w:r>
              <w:rPr>
                <w:rFonts w:cs="Arial"/>
              </w:rPr>
              <w:t xml:space="preserve">, </w:t>
            </w:r>
            <w:r w:rsidRPr="00270F46">
              <w:rPr>
                <w:rFonts w:cs="Arial"/>
                <w:i/>
                <w:iCs/>
              </w:rPr>
              <w:t>transaction data</w:t>
            </w:r>
            <w:r>
              <w:rPr>
                <w:rFonts w:cs="Arial"/>
              </w:rPr>
              <w:t xml:space="preserve"> and </w:t>
            </w:r>
            <w:r>
              <w:rPr>
                <w:rFonts w:cs="Arial"/>
                <w:i/>
                <w:iCs/>
              </w:rPr>
              <w:t>product specific data</w:t>
            </w:r>
            <w:r>
              <w:rPr>
                <w:rFonts w:cs="Arial"/>
              </w:rPr>
              <w:t>.</w:t>
            </w:r>
            <w:r w:rsidR="008E7378">
              <w:rPr>
                <w:rStyle w:val="FootnoteReference"/>
                <w:rFonts w:cs="Arial"/>
              </w:rPr>
              <w:footnoteReference w:id="49"/>
            </w:r>
            <w:r>
              <w:rPr>
                <w:rFonts w:cs="Arial"/>
              </w:rPr>
              <w:t xml:space="preserve">  </w:t>
            </w:r>
          </w:p>
        </w:tc>
        <w:tc>
          <w:tcPr>
            <w:tcW w:w="3543" w:type="dxa"/>
            <w:shd w:val="clear" w:color="auto" w:fill="FDE9D9" w:themeFill="accent6" w:themeFillTint="33"/>
          </w:tcPr>
          <w:p w14:paraId="095FD344" w14:textId="2D91DEDC" w:rsidR="00147EA9" w:rsidRDefault="008E7378" w:rsidP="00147EA9">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The four (4) c</w:t>
            </w:r>
            <w:r w:rsidR="00EE45FB">
              <w:rPr>
                <w:rFonts w:cs="Arial"/>
              </w:rPr>
              <w:t xml:space="preserve">ategories of </w:t>
            </w:r>
            <w:r>
              <w:rPr>
                <w:rFonts w:cs="Arial"/>
              </w:rPr>
              <w:t xml:space="preserve">CDR data identified in the </w:t>
            </w:r>
            <w:r>
              <w:t xml:space="preserve">NBL CDR Rules are identical to the categories </w:t>
            </w:r>
            <w:r w:rsidR="002F7EEE">
              <w:t xml:space="preserve">of </w:t>
            </w:r>
            <w:r>
              <w:t xml:space="preserve">CDR data already captured by the </w:t>
            </w:r>
            <w:bookmarkStart w:id="94" w:name="_Hlk95228066"/>
            <w:r w:rsidR="00E87066" w:rsidRPr="00E87066">
              <w:t>CDR</w:t>
            </w:r>
            <w:r w:rsidRPr="00E87066">
              <w:t xml:space="preserve"> Rules</w:t>
            </w:r>
            <w:r w:rsidRPr="008E7378">
              <w:rPr>
                <w:i/>
                <w:iCs/>
              </w:rPr>
              <w:t xml:space="preserve"> </w:t>
            </w:r>
            <w:bookmarkEnd w:id="94"/>
            <w:r>
              <w:t xml:space="preserve">for the banking sector (Schedule 3) save for the </w:t>
            </w:r>
            <w:r w:rsidR="00EE45FB">
              <w:rPr>
                <w:rFonts w:cs="Arial"/>
              </w:rPr>
              <w:t xml:space="preserve">express exclusion of </w:t>
            </w:r>
            <w:r w:rsidR="00E87066">
              <w:rPr>
                <w:rFonts w:cs="Arial"/>
              </w:rPr>
              <w:t>FHI</w:t>
            </w:r>
            <w:r w:rsidR="00EE45FB">
              <w:rPr>
                <w:rFonts w:cs="Arial"/>
              </w:rPr>
              <w:t xml:space="preserve"> or repayment history information </w:t>
            </w:r>
            <w:r w:rsidR="009D31E3">
              <w:rPr>
                <w:rFonts w:cs="Arial"/>
              </w:rPr>
              <w:t xml:space="preserve">(as those terms are defined in the Privacy Act) </w:t>
            </w:r>
            <w:r w:rsidR="00EE45FB">
              <w:rPr>
                <w:rFonts w:cs="Arial"/>
              </w:rPr>
              <w:t>from the definition</w:t>
            </w:r>
            <w:r>
              <w:rPr>
                <w:rFonts w:cs="Arial"/>
              </w:rPr>
              <w:t xml:space="preserve"> of </w:t>
            </w:r>
            <w:r w:rsidR="009D31E3">
              <w:rPr>
                <w:rFonts w:cs="Arial"/>
                <w:i/>
                <w:iCs/>
              </w:rPr>
              <w:t>customer</w:t>
            </w:r>
            <w:r w:rsidR="009D31E3" w:rsidRPr="00270F46">
              <w:rPr>
                <w:rFonts w:cs="Arial"/>
                <w:i/>
                <w:iCs/>
              </w:rPr>
              <w:t xml:space="preserve"> </w:t>
            </w:r>
            <w:r w:rsidRPr="00270F46">
              <w:rPr>
                <w:rFonts w:cs="Arial"/>
                <w:i/>
                <w:iCs/>
              </w:rPr>
              <w:t>data</w:t>
            </w:r>
            <w:r>
              <w:rPr>
                <w:rFonts w:cs="Arial"/>
              </w:rPr>
              <w:t>.</w:t>
            </w:r>
          </w:p>
          <w:p w14:paraId="4E4DA182" w14:textId="0550C15C" w:rsidR="00147EA9" w:rsidRPr="008E7378" w:rsidRDefault="00147EA9" w:rsidP="00147EA9">
            <w:pPr>
              <w:spacing w:line="276" w:lineRule="auto"/>
              <w:cnfStyle w:val="000000000000" w:firstRow="0" w:lastRow="0" w:firstColumn="0" w:lastColumn="0" w:oddVBand="0" w:evenVBand="0" w:oddHBand="0" w:evenHBand="0" w:firstRowFirstColumn="0" w:firstRowLastColumn="0" w:lastRowFirstColumn="0" w:lastRowLastColumn="0"/>
            </w:pPr>
            <w:r>
              <w:rPr>
                <w:rFonts w:cs="Arial"/>
              </w:rPr>
              <w:t>This CDR data is also</w:t>
            </w:r>
            <w:r>
              <w:t xml:space="preserve"> broadly consistent with the required data in the energy </w:t>
            </w:r>
            <w:r w:rsidR="00817C9B">
              <w:t xml:space="preserve">sector. </w:t>
            </w:r>
          </w:p>
        </w:tc>
        <w:tc>
          <w:tcPr>
            <w:tcW w:w="6946" w:type="dxa"/>
            <w:shd w:val="clear" w:color="auto" w:fill="FDE9D9" w:themeFill="accent6" w:themeFillTint="33"/>
          </w:tcPr>
          <w:p w14:paraId="096F51D1" w14:textId="790BDD61" w:rsidR="001A6781" w:rsidRDefault="00931C09" w:rsidP="00EE45FB">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Some of the categories of CDR data</w:t>
            </w:r>
            <w:r w:rsidR="00E87066">
              <w:rPr>
                <w:rFonts w:cs="Arial"/>
              </w:rPr>
              <w:t xml:space="preserve"> in the </w:t>
            </w:r>
            <w:r w:rsidR="00E87066">
              <w:t xml:space="preserve">NBL CDR Rules </w:t>
            </w:r>
            <w:r w:rsidR="00870FFE">
              <w:rPr>
                <w:rFonts w:cs="Arial"/>
              </w:rPr>
              <w:t xml:space="preserve">clearly relate to the personal information of consumers.  For example, </w:t>
            </w:r>
            <w:r w:rsidR="00870FFE">
              <w:rPr>
                <w:rFonts w:cs="Arial"/>
                <w:i/>
                <w:iCs/>
              </w:rPr>
              <w:t xml:space="preserve">customer data </w:t>
            </w:r>
            <w:r w:rsidR="00870FFE">
              <w:rPr>
                <w:rFonts w:cs="Arial"/>
              </w:rPr>
              <w:t xml:space="preserve">which requires the collection of identifying information of a person.  Other categories will also include the personal information of customers.  For example, </w:t>
            </w:r>
            <w:r w:rsidR="00870FFE">
              <w:rPr>
                <w:rFonts w:cs="Arial"/>
                <w:i/>
                <w:iCs/>
              </w:rPr>
              <w:t>account data</w:t>
            </w:r>
            <w:r w:rsidR="00870FFE">
              <w:rPr>
                <w:rFonts w:cs="Arial"/>
              </w:rPr>
              <w:t xml:space="preserve"> includes information such as “account name” (</w:t>
            </w:r>
            <w:r w:rsidR="00E87066">
              <w:t xml:space="preserve">NBL CDR Rules Schedule 3 </w:t>
            </w:r>
            <w:r w:rsidR="00870FFE">
              <w:rPr>
                <w:rFonts w:cs="Arial"/>
              </w:rPr>
              <w:t>item 2(b)(ii)) and “details of payees stored with the account</w:t>
            </w:r>
            <w:r w:rsidR="00E87066">
              <w:rPr>
                <w:rFonts w:cs="Arial"/>
              </w:rPr>
              <w:t>”</w:t>
            </w:r>
            <w:r w:rsidR="00870FFE">
              <w:rPr>
                <w:rFonts w:cs="Arial"/>
              </w:rPr>
              <w:t xml:space="preserve"> (</w:t>
            </w:r>
            <w:r w:rsidR="00E87066">
              <w:t xml:space="preserve">NBL CDR Rules Schedule 3 </w:t>
            </w:r>
            <w:r w:rsidR="00870FFE">
              <w:rPr>
                <w:rFonts w:cs="Arial"/>
              </w:rPr>
              <w:t xml:space="preserve">item 2(b)(C)).  </w:t>
            </w:r>
            <w:r w:rsidR="00870FFE">
              <w:rPr>
                <w:rFonts w:cs="Arial"/>
                <w:i/>
                <w:iCs/>
              </w:rPr>
              <w:t xml:space="preserve">Transaction data </w:t>
            </w:r>
            <w:r w:rsidR="00870FFE">
              <w:rPr>
                <w:rFonts w:cs="Arial"/>
              </w:rPr>
              <w:t>includes</w:t>
            </w:r>
            <w:r w:rsidR="001A6781">
              <w:rPr>
                <w:rFonts w:cs="Arial"/>
              </w:rPr>
              <w:t>, relevantly, “any description of the transaction” (</w:t>
            </w:r>
            <w:r w:rsidR="00E87066">
              <w:t xml:space="preserve">NBL CDR Rules Schedule 3 </w:t>
            </w:r>
            <w:r w:rsidR="001A6781">
              <w:rPr>
                <w:rFonts w:cs="Arial"/>
              </w:rPr>
              <w:t>item 3(b)(v)).</w:t>
            </w:r>
          </w:p>
          <w:p w14:paraId="396167B9" w14:textId="6C78F757" w:rsidR="001A6781" w:rsidRDefault="001A6781" w:rsidP="00EE45FB">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Where this CDR information identifies (or reasonably identifies) at least one person, the Privacy Safeguards apply.</w:t>
            </w:r>
            <w:r>
              <w:rPr>
                <w:rStyle w:val="FootnoteReference"/>
                <w:rFonts w:cs="Arial"/>
              </w:rPr>
              <w:footnoteReference w:id="50"/>
            </w:r>
            <w:r>
              <w:rPr>
                <w:rFonts w:cs="Arial"/>
              </w:rPr>
              <w:t xml:space="preserve">  This includes Privacy Safeguard 3 in relation to the soliciting of CDR data from a consumer.</w:t>
            </w:r>
            <w:r w:rsidR="00147EA9">
              <w:rPr>
                <w:rFonts w:cs="Arial"/>
              </w:rPr>
              <w:t xml:space="preserve">  The data minimisation principle also applies</w:t>
            </w:r>
            <w:r w:rsidR="002F7EEE">
              <w:rPr>
                <w:rFonts w:cs="Arial"/>
              </w:rPr>
              <w:t>.</w:t>
            </w:r>
            <w:r w:rsidR="00EA225B">
              <w:rPr>
                <w:rStyle w:val="FootnoteReference"/>
                <w:rFonts w:cs="Arial"/>
              </w:rPr>
              <w:footnoteReference w:id="51"/>
            </w:r>
            <w:r w:rsidR="00147EA9">
              <w:rPr>
                <w:rFonts w:cs="Arial"/>
              </w:rPr>
              <w:t xml:space="preserve"> </w:t>
            </w:r>
            <w:r w:rsidR="001926A7">
              <w:rPr>
                <w:rFonts w:cs="Arial"/>
              </w:rPr>
              <w:t xml:space="preserve">This principle </w:t>
            </w:r>
            <w:r w:rsidR="00817C9B">
              <w:rPr>
                <w:rFonts w:cs="Arial"/>
              </w:rPr>
              <w:t>requires that an accredited person must not seek to collect data beyond what is reasonably needed to provide the good or service to which a consumer has consented, or for a longer time than is reasonably needed.</w:t>
            </w:r>
            <w:r w:rsidR="00817C9B">
              <w:rPr>
                <w:rStyle w:val="FootnoteReference"/>
                <w:rFonts w:cs="Arial"/>
              </w:rPr>
              <w:footnoteReference w:id="52"/>
            </w:r>
          </w:p>
          <w:p w14:paraId="1C48DCFB" w14:textId="1C42A3B8" w:rsidR="00EE45FB" w:rsidRDefault="001A6781" w:rsidP="00EE45FB">
            <w:pPr>
              <w:spacing w:line="276" w:lineRule="auto"/>
              <w:cnfStyle w:val="000000000000" w:firstRow="0" w:lastRow="0" w:firstColumn="0" w:lastColumn="0" w:oddVBand="0" w:evenVBand="0" w:oddHBand="0" w:evenHBand="0" w:firstRowFirstColumn="0" w:firstRowLastColumn="0" w:lastRowFirstColumn="0" w:lastRowLastColumn="0"/>
            </w:pPr>
            <w:r>
              <w:rPr>
                <w:rFonts w:cs="Arial"/>
              </w:rPr>
              <w:t xml:space="preserve">The </w:t>
            </w:r>
            <w:r w:rsidR="00EE45FB">
              <w:rPr>
                <w:rFonts w:cs="Arial"/>
              </w:rPr>
              <w:t xml:space="preserve">basis for the inclusion of categories of information </w:t>
            </w:r>
            <w:r>
              <w:rPr>
                <w:rFonts w:cs="Arial"/>
              </w:rPr>
              <w:t xml:space="preserve">as CDR data was </w:t>
            </w:r>
            <w:r w:rsidR="00EE45FB">
              <w:rPr>
                <w:rFonts w:cs="Arial"/>
              </w:rPr>
              <w:t xml:space="preserve">considered in the Banking PIA (save for the express exclusion of </w:t>
            </w:r>
            <w:r w:rsidR="00E87066">
              <w:rPr>
                <w:rFonts w:cs="Arial"/>
              </w:rPr>
              <w:t>FHI</w:t>
            </w:r>
            <w:r w:rsidR="00EE45FB">
              <w:rPr>
                <w:rFonts w:cs="Arial"/>
              </w:rPr>
              <w:t xml:space="preserve"> or repayment history information from the definition)</w:t>
            </w:r>
            <w:r w:rsidR="00147EA9">
              <w:rPr>
                <w:rFonts w:cs="Arial"/>
              </w:rPr>
              <w:t xml:space="preserve"> and </w:t>
            </w:r>
            <w:r w:rsidR="00147EA9">
              <w:t>broadly consistent with the required data in the energy sector.</w:t>
            </w:r>
          </w:p>
          <w:p w14:paraId="3C423CDB" w14:textId="4207DDE3" w:rsidR="00147EA9" w:rsidRDefault="00147EA9" w:rsidP="00EE45FB">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We note feedback from consultation was that the CDR data categories were appropriate for the NBL sector.</w:t>
            </w:r>
          </w:p>
          <w:p w14:paraId="573979B5" w14:textId="7C293467" w:rsidR="00EE45FB" w:rsidRDefault="00147EA9" w:rsidP="00EE45FB">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In circumstances where the Treasury (in consultation with the OAIC, ACCC and industry)</w:t>
            </w:r>
            <w:r w:rsidR="00EA225B">
              <w:rPr>
                <w:rFonts w:cs="Arial"/>
              </w:rPr>
              <w:t xml:space="preserve"> are satisfied that the CDR data categories continue to reflect data required to be collected for the performance of the sector, we make no recommendations in relation to the CDR data sets.</w:t>
            </w:r>
          </w:p>
          <w:p w14:paraId="1339DC42" w14:textId="7AF27B49" w:rsidR="00EA225B" w:rsidRDefault="00EA225B" w:rsidP="00EE45FB">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See below for a discussion about </w:t>
            </w:r>
            <w:r w:rsidR="00E87066">
              <w:rPr>
                <w:rFonts w:cs="Arial"/>
              </w:rPr>
              <w:t>FHI</w:t>
            </w:r>
            <w:r>
              <w:rPr>
                <w:rFonts w:cs="Arial"/>
              </w:rPr>
              <w:t xml:space="preserve"> or repayment history information from the </w:t>
            </w:r>
            <w:r w:rsidR="003A715D">
              <w:rPr>
                <w:rFonts w:cs="Arial"/>
                <w:i/>
                <w:iCs/>
              </w:rPr>
              <w:t>customer</w:t>
            </w:r>
            <w:r w:rsidR="003A715D" w:rsidRPr="00EA225B">
              <w:rPr>
                <w:rFonts w:cs="Arial"/>
                <w:i/>
                <w:iCs/>
              </w:rPr>
              <w:t xml:space="preserve"> </w:t>
            </w:r>
            <w:r w:rsidRPr="00EA225B">
              <w:rPr>
                <w:rFonts w:cs="Arial"/>
                <w:i/>
                <w:iCs/>
              </w:rPr>
              <w:t>data</w:t>
            </w:r>
            <w:r>
              <w:rPr>
                <w:rFonts w:cs="Arial"/>
                <w:i/>
                <w:iCs/>
              </w:rPr>
              <w:t xml:space="preserve"> </w:t>
            </w:r>
            <w:r>
              <w:rPr>
                <w:rFonts w:cs="Arial"/>
              </w:rPr>
              <w:t>CDR data set.</w:t>
            </w:r>
          </w:p>
        </w:tc>
      </w:tr>
      <w:tr w:rsidR="00EA225B" w:rsidRPr="00317ABA" w14:paraId="25C2513C" w14:textId="77777777" w:rsidTr="009F53B8">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704" w:type="dxa"/>
            <w:shd w:val="clear" w:color="auto" w:fill="F79646" w:themeFill="accent6"/>
          </w:tcPr>
          <w:p w14:paraId="65525DCD" w14:textId="61269DE8" w:rsidR="00EA225B" w:rsidRDefault="00772432" w:rsidP="00EA225B">
            <w:pPr>
              <w:spacing w:line="276" w:lineRule="auto"/>
            </w:pPr>
            <w:r>
              <w:t>3</w:t>
            </w:r>
          </w:p>
        </w:tc>
        <w:tc>
          <w:tcPr>
            <w:tcW w:w="3119" w:type="dxa"/>
            <w:shd w:val="clear" w:color="auto" w:fill="FDE9D9" w:themeFill="accent6" w:themeFillTint="33"/>
          </w:tcPr>
          <w:p w14:paraId="23E57DB5" w14:textId="4370AA23" w:rsidR="00EA225B" w:rsidRPr="00EA225B" w:rsidRDefault="00EA225B" w:rsidP="00EA225B">
            <w:pPr>
              <w:spacing w:line="276"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Express exclusion of </w:t>
            </w:r>
            <w:r w:rsidR="00E87066">
              <w:rPr>
                <w:rFonts w:cs="Arial"/>
              </w:rPr>
              <w:t>FHI</w:t>
            </w:r>
            <w:r>
              <w:rPr>
                <w:rFonts w:cs="Arial"/>
              </w:rPr>
              <w:t xml:space="preserve"> and repayment history information from the </w:t>
            </w:r>
            <w:r w:rsidR="003A715D">
              <w:rPr>
                <w:rFonts w:cs="Arial"/>
                <w:i/>
                <w:iCs/>
              </w:rPr>
              <w:t xml:space="preserve">customer </w:t>
            </w:r>
            <w:r>
              <w:rPr>
                <w:rFonts w:cs="Arial"/>
                <w:i/>
                <w:iCs/>
              </w:rPr>
              <w:t xml:space="preserve">data </w:t>
            </w:r>
            <w:r>
              <w:rPr>
                <w:rFonts w:cs="Arial"/>
              </w:rPr>
              <w:t>CDR data set</w:t>
            </w:r>
            <w:r w:rsidR="00561527">
              <w:rPr>
                <w:rFonts w:cs="Arial"/>
              </w:rPr>
              <w:t>.</w:t>
            </w:r>
          </w:p>
        </w:tc>
        <w:tc>
          <w:tcPr>
            <w:tcW w:w="3543" w:type="dxa"/>
            <w:shd w:val="clear" w:color="auto" w:fill="FDE9D9" w:themeFill="accent6" w:themeFillTint="33"/>
          </w:tcPr>
          <w:p w14:paraId="26F57533" w14:textId="543BDC0D" w:rsidR="00EA225B" w:rsidRDefault="00EA225B" w:rsidP="00EA225B">
            <w:pPr>
              <w:spacing w:line="276"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The CDR Rules for the banking sector do not currently exclude </w:t>
            </w:r>
            <w:r w:rsidR="00E87066">
              <w:rPr>
                <w:rFonts w:cs="Arial"/>
              </w:rPr>
              <w:t>FHI</w:t>
            </w:r>
            <w:r>
              <w:rPr>
                <w:rFonts w:cs="Arial"/>
              </w:rPr>
              <w:t xml:space="preserve"> and repayment history information</w:t>
            </w:r>
            <w:r w:rsidR="003A715D">
              <w:rPr>
                <w:rFonts w:cs="Arial"/>
              </w:rPr>
              <w:t xml:space="preserve"> (as defined in the Privacy Act)</w:t>
            </w:r>
            <w:r>
              <w:rPr>
                <w:rFonts w:cs="Arial"/>
              </w:rPr>
              <w:t xml:space="preserve"> from the </w:t>
            </w:r>
            <w:r w:rsidR="003A715D">
              <w:rPr>
                <w:rFonts w:cs="Arial"/>
                <w:i/>
                <w:iCs/>
              </w:rPr>
              <w:t xml:space="preserve">customer </w:t>
            </w:r>
            <w:r>
              <w:rPr>
                <w:rFonts w:cs="Arial"/>
                <w:i/>
                <w:iCs/>
              </w:rPr>
              <w:t xml:space="preserve">data </w:t>
            </w:r>
            <w:r>
              <w:rPr>
                <w:rFonts w:cs="Arial"/>
              </w:rPr>
              <w:t xml:space="preserve">CDR data set. </w:t>
            </w:r>
          </w:p>
          <w:p w14:paraId="36144260" w14:textId="1CA0422F" w:rsidR="00EA225B" w:rsidRDefault="00E87066" w:rsidP="00EA225B">
            <w:pPr>
              <w:spacing w:line="276"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By the </w:t>
            </w:r>
            <w:r w:rsidR="00EA225B">
              <w:t>NBL CDR Rules</w:t>
            </w:r>
            <w:r w:rsidR="003A715D">
              <w:t xml:space="preserve"> </w:t>
            </w:r>
            <w:r>
              <w:t xml:space="preserve">this category of data will be excluded from </w:t>
            </w:r>
            <w:r w:rsidR="00EA225B">
              <w:t>the CDR</w:t>
            </w:r>
            <w:r w:rsidR="0090019F">
              <w:t xml:space="preserve"> and the application of the Privacy Safeguards.</w:t>
            </w:r>
          </w:p>
        </w:tc>
        <w:tc>
          <w:tcPr>
            <w:tcW w:w="6946" w:type="dxa"/>
            <w:shd w:val="clear" w:color="auto" w:fill="FDE9D9" w:themeFill="accent6" w:themeFillTint="33"/>
          </w:tcPr>
          <w:p w14:paraId="303C4492" w14:textId="56C7042F" w:rsidR="003A715D" w:rsidRDefault="00EA225B" w:rsidP="008C66E1">
            <w:pPr>
              <w:spacing w:line="276" w:lineRule="auto"/>
              <w:cnfStyle w:val="000000100000" w:firstRow="0" w:lastRow="0" w:firstColumn="0" w:lastColumn="0" w:oddVBand="0" w:evenVBand="0" w:oddHBand="1" w:evenHBand="0" w:firstRowFirstColumn="0" w:firstRowLastColumn="0" w:lastRowFirstColumn="0" w:lastRowLastColumn="0"/>
            </w:pPr>
            <w:r>
              <w:rPr>
                <w:rFonts w:cs="Arial"/>
              </w:rPr>
              <w:t xml:space="preserve">See our discussion </w:t>
            </w:r>
            <w:r w:rsidR="0090019F">
              <w:rPr>
                <w:rFonts w:cs="Arial"/>
              </w:rPr>
              <w:t xml:space="preserve">at </w:t>
            </w:r>
            <w:r>
              <w:rPr>
                <w:rFonts w:cs="Arial"/>
              </w:rPr>
              <w:t xml:space="preserve">Issue 2 </w:t>
            </w:r>
            <w:r w:rsidR="0090019F">
              <w:rPr>
                <w:rFonts w:cs="Arial"/>
              </w:rPr>
              <w:t>above (page 1</w:t>
            </w:r>
            <w:r w:rsidR="003A715D">
              <w:rPr>
                <w:rFonts w:cs="Arial"/>
              </w:rPr>
              <w:t>3</w:t>
            </w:r>
            <w:r w:rsidR="0090019F">
              <w:rPr>
                <w:rFonts w:cs="Arial"/>
              </w:rPr>
              <w:t xml:space="preserve">) </w:t>
            </w:r>
            <w:r>
              <w:rPr>
                <w:rFonts w:cs="Arial"/>
              </w:rPr>
              <w:t xml:space="preserve">in relation to the </w:t>
            </w:r>
            <w:r w:rsidR="0090019F">
              <w:rPr>
                <w:rFonts w:cs="Arial"/>
              </w:rPr>
              <w:t>exclusion</w:t>
            </w:r>
            <w:r>
              <w:rPr>
                <w:rFonts w:cs="Arial"/>
              </w:rPr>
              <w:t xml:space="preserve"> of FHI</w:t>
            </w:r>
            <w:r w:rsidR="003A715D">
              <w:rPr>
                <w:rFonts w:cs="Arial"/>
              </w:rPr>
              <w:t xml:space="preserve"> and repayment history information</w:t>
            </w:r>
            <w:r w:rsidR="0090019F">
              <w:rPr>
                <w:rFonts w:cs="Arial"/>
              </w:rPr>
              <w:t xml:space="preserve"> from </w:t>
            </w:r>
            <w:r w:rsidR="003A715D">
              <w:rPr>
                <w:rFonts w:cs="Arial"/>
              </w:rPr>
              <w:t xml:space="preserve">“customer data” but noting that financial history </w:t>
            </w:r>
            <w:r w:rsidR="00D66C4C">
              <w:rPr>
                <w:rFonts w:cs="Arial"/>
              </w:rPr>
              <w:t>information</w:t>
            </w:r>
            <w:r w:rsidR="003A715D">
              <w:rPr>
                <w:rFonts w:cs="Arial"/>
              </w:rPr>
              <w:t xml:space="preserve"> and repayment history information may be inferred from </w:t>
            </w:r>
            <w:r w:rsidR="008C66E1">
              <w:t>transaction data</w:t>
            </w:r>
            <w:r w:rsidR="003A715D">
              <w:t>.</w:t>
            </w:r>
          </w:p>
          <w:p w14:paraId="42432A80" w14:textId="26D454BD" w:rsidR="001926A7" w:rsidRDefault="003A715D" w:rsidP="008C66E1">
            <w:pPr>
              <w:spacing w:line="276" w:lineRule="auto"/>
              <w:cnfStyle w:val="000000100000" w:firstRow="0" w:lastRow="0" w:firstColumn="0" w:lastColumn="0" w:oddVBand="0" w:evenVBand="0" w:oddHBand="1" w:evenHBand="0" w:firstRowFirstColumn="0" w:firstRowLastColumn="0" w:lastRowFirstColumn="0" w:lastRowLastColumn="0"/>
              <w:rPr>
                <w:rFonts w:cs="Arial"/>
              </w:rPr>
            </w:pPr>
            <w:r>
              <w:t xml:space="preserve">See </w:t>
            </w:r>
            <w:r>
              <w:rPr>
                <w:b/>
                <w:bCs/>
              </w:rPr>
              <w:t>Recommendation 2</w:t>
            </w:r>
            <w:r w:rsidR="00D66C4C">
              <w:rPr>
                <w:b/>
                <w:bCs/>
              </w:rPr>
              <w:t xml:space="preserve"> </w:t>
            </w:r>
            <w:r w:rsidR="00D66C4C">
              <w:rPr>
                <w:rFonts w:cs="Arial"/>
              </w:rPr>
              <w:t>above</w:t>
            </w:r>
            <w:r w:rsidR="008C66E1">
              <w:rPr>
                <w:rFonts w:cs="Arial"/>
              </w:rPr>
              <w:t>.</w:t>
            </w:r>
          </w:p>
        </w:tc>
      </w:tr>
      <w:tr w:rsidR="00EA225B" w:rsidRPr="00317ABA" w14:paraId="0E47C1CF" w14:textId="77777777" w:rsidTr="009F53B8">
        <w:trPr>
          <w:trHeight w:val="355"/>
        </w:trPr>
        <w:tc>
          <w:tcPr>
            <w:cnfStyle w:val="001000000000" w:firstRow="0" w:lastRow="0" w:firstColumn="1" w:lastColumn="0" w:oddVBand="0" w:evenVBand="0" w:oddHBand="0" w:evenHBand="0" w:firstRowFirstColumn="0" w:firstRowLastColumn="0" w:lastRowFirstColumn="0" w:lastRowLastColumn="0"/>
            <w:tcW w:w="704" w:type="dxa"/>
            <w:shd w:val="clear" w:color="auto" w:fill="F79646" w:themeFill="accent6"/>
          </w:tcPr>
          <w:p w14:paraId="315CCE02" w14:textId="79E0D85C" w:rsidR="00EA225B" w:rsidRDefault="00772432" w:rsidP="00EA225B">
            <w:pPr>
              <w:spacing w:line="276" w:lineRule="auto"/>
            </w:pPr>
            <w:r>
              <w:t>4</w:t>
            </w:r>
          </w:p>
        </w:tc>
        <w:tc>
          <w:tcPr>
            <w:tcW w:w="3119" w:type="dxa"/>
            <w:shd w:val="clear" w:color="auto" w:fill="FDE9D9" w:themeFill="accent6" w:themeFillTint="33"/>
          </w:tcPr>
          <w:p w14:paraId="5057F66C" w14:textId="7D6B91CB" w:rsidR="00EA225B" w:rsidRDefault="0090019F" w:rsidP="00EA225B">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The NBL CDR Rules </w:t>
            </w:r>
            <w:r w:rsidR="003A715D">
              <w:rPr>
                <w:rFonts w:cs="Arial"/>
              </w:rPr>
              <w:t>will</w:t>
            </w:r>
            <w:r>
              <w:rPr>
                <w:rFonts w:cs="Arial"/>
              </w:rPr>
              <w:t xml:space="preserve"> implement the same approach to h</w:t>
            </w:r>
            <w:r w:rsidR="00EA225B">
              <w:rPr>
                <w:rFonts w:cs="Arial"/>
              </w:rPr>
              <w:t xml:space="preserve">istorical data and closed accounts </w:t>
            </w:r>
            <w:r>
              <w:rPr>
                <w:rFonts w:cs="Arial"/>
              </w:rPr>
              <w:t>as is currently set out in the CDR Rules for the banking sector.</w:t>
            </w:r>
          </w:p>
        </w:tc>
        <w:tc>
          <w:tcPr>
            <w:tcW w:w="3543" w:type="dxa"/>
            <w:shd w:val="clear" w:color="auto" w:fill="FDE9D9" w:themeFill="accent6" w:themeFillTint="33"/>
          </w:tcPr>
          <w:p w14:paraId="027298BE" w14:textId="6A701C28" w:rsidR="006727FE" w:rsidRDefault="0090019F" w:rsidP="00144DE9">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The CDR for the banking sector deals with historical data and closed accounts in Schedule 3</w:t>
            </w:r>
            <w:r w:rsidR="00BF12E4">
              <w:rPr>
                <w:rFonts w:cs="Arial"/>
              </w:rPr>
              <w:t>,</w:t>
            </w:r>
            <w:r>
              <w:rPr>
                <w:rFonts w:cs="Arial"/>
              </w:rPr>
              <w:t xml:space="preserve"> </w:t>
            </w:r>
            <w:r w:rsidR="00144DE9">
              <w:rPr>
                <w:rFonts w:cs="Arial"/>
              </w:rPr>
              <w:t>clause</w:t>
            </w:r>
            <w:r w:rsidR="00BF12E4">
              <w:rPr>
                <w:rFonts w:cs="Arial"/>
              </w:rPr>
              <w:t>s</w:t>
            </w:r>
            <w:r w:rsidR="00144DE9">
              <w:rPr>
                <w:rFonts w:cs="Arial"/>
              </w:rPr>
              <w:t xml:space="preserve"> 3.2(4) and 3.2(5)</w:t>
            </w:r>
            <w:r w:rsidR="006727FE">
              <w:rPr>
                <w:rFonts w:cs="Arial"/>
              </w:rPr>
              <w:t xml:space="preserve">.  It provides that the following data is not </w:t>
            </w:r>
            <w:r w:rsidR="006727FE">
              <w:rPr>
                <w:rFonts w:cs="Arial"/>
                <w:i/>
                <w:iCs/>
              </w:rPr>
              <w:t>required customer data</w:t>
            </w:r>
            <w:r w:rsidR="006727FE">
              <w:rPr>
                <w:rFonts w:cs="Arial"/>
              </w:rPr>
              <w:t xml:space="preserve"> for the purposes of the CDR in the following circumstances:</w:t>
            </w:r>
          </w:p>
          <w:p w14:paraId="704C9618" w14:textId="015A56DE" w:rsidR="006727FE" w:rsidRDefault="006727FE" w:rsidP="00144DE9">
            <w:pPr>
              <w:spacing w:line="276" w:lineRule="auto"/>
              <w:cnfStyle w:val="000000000000" w:firstRow="0" w:lastRow="0" w:firstColumn="0" w:lastColumn="0" w:oddVBand="0" w:evenVBand="0" w:oddHBand="0" w:evenHBand="0" w:firstRowFirstColumn="0" w:firstRowLastColumn="0" w:lastRowFirstColumn="0" w:lastRowLastColumn="0"/>
            </w:pPr>
            <w:r>
              <w:rPr>
                <w:rFonts w:cs="Arial"/>
              </w:rPr>
              <w:t xml:space="preserve">(a) </w:t>
            </w:r>
            <w:r>
              <w:t xml:space="preserve">where an account is open: transaction data that is more than 7 years old, and data on direct debits more than 13 months old </w:t>
            </w:r>
          </w:p>
          <w:p w14:paraId="01C32BB7" w14:textId="541AD661" w:rsidR="006727FE" w:rsidRDefault="006727FE" w:rsidP="00144DE9">
            <w:pPr>
              <w:spacing w:line="276" w:lineRule="auto"/>
              <w:cnfStyle w:val="000000000000" w:firstRow="0" w:lastRow="0" w:firstColumn="0" w:lastColumn="0" w:oddVBand="0" w:evenVBand="0" w:oddHBand="0" w:evenHBand="0" w:firstRowFirstColumn="0" w:firstRowLastColumn="0" w:lastRowFirstColumn="0" w:lastRowLastColumn="0"/>
            </w:pPr>
            <w:r>
              <w:t xml:space="preserve">(b) where an account has been closed for more than 24 months: account data, transaction data, and product specific data </w:t>
            </w:r>
          </w:p>
          <w:p w14:paraId="249F2593" w14:textId="4CD33B7C" w:rsidR="006727FE" w:rsidRDefault="006727FE" w:rsidP="00144DE9">
            <w:pPr>
              <w:spacing w:line="276" w:lineRule="auto"/>
              <w:cnfStyle w:val="000000000000" w:firstRow="0" w:lastRow="0" w:firstColumn="0" w:lastColumn="0" w:oddVBand="0" w:evenVBand="0" w:oddHBand="0" w:evenHBand="0" w:firstRowFirstColumn="0" w:firstRowLastColumn="0" w:lastRowFirstColumn="0" w:lastRowLastColumn="0"/>
            </w:pPr>
            <w:r>
              <w:rPr>
                <w:rFonts w:cs="Arial"/>
              </w:rPr>
              <w:t xml:space="preserve">(c) </w:t>
            </w:r>
            <w:r>
              <w:t>where an account has been closed for any period of time: all data on direct debits, and</w:t>
            </w:r>
          </w:p>
          <w:p w14:paraId="599562F3" w14:textId="2E3FBC32" w:rsidR="00144DE9" w:rsidRPr="006727FE" w:rsidRDefault="006727FE" w:rsidP="00144DE9">
            <w:pPr>
              <w:spacing w:line="276" w:lineRule="auto"/>
              <w:cnfStyle w:val="000000000000" w:firstRow="0" w:lastRow="0" w:firstColumn="0" w:lastColumn="0" w:oddVBand="0" w:evenVBand="0" w:oddHBand="0" w:evenHBand="0" w:firstRowFirstColumn="0" w:firstRowLastColumn="0" w:lastRowFirstColumn="0" w:lastRowLastColumn="0"/>
              <w:rPr>
                <w:rFonts w:cs="Arial"/>
              </w:rPr>
            </w:pPr>
            <w:r>
              <w:t>(d) where an account has been closed for less than 24 months: transaction data for a transaction that occurred more than 12 months before the account was closed.</w:t>
            </w:r>
          </w:p>
        </w:tc>
        <w:tc>
          <w:tcPr>
            <w:tcW w:w="6946" w:type="dxa"/>
            <w:shd w:val="clear" w:color="auto" w:fill="FDE9D9" w:themeFill="accent6" w:themeFillTint="33"/>
          </w:tcPr>
          <w:p w14:paraId="4D419EB5" w14:textId="7DE23974" w:rsidR="00144DE9" w:rsidRDefault="00144DE9" w:rsidP="00EA225B">
            <w:pPr>
              <w:spacing w:line="276" w:lineRule="auto"/>
              <w:cnfStyle w:val="000000000000" w:firstRow="0" w:lastRow="0" w:firstColumn="0" w:lastColumn="0" w:oddVBand="0" w:evenVBand="0" w:oddHBand="0" w:evenHBand="0" w:firstRowFirstColumn="0" w:firstRowLastColumn="0" w:lastRowFirstColumn="0" w:lastRowLastColumn="0"/>
            </w:pPr>
            <w:r>
              <w:rPr>
                <w:rFonts w:cs="Arial"/>
              </w:rPr>
              <w:t xml:space="preserve">By </w:t>
            </w:r>
            <w:r w:rsidR="00110842">
              <w:rPr>
                <w:rFonts w:cs="Arial"/>
              </w:rPr>
              <w:t xml:space="preserve">the </w:t>
            </w:r>
            <w:r>
              <w:t>NBL CDR Rules</w:t>
            </w:r>
            <w:r>
              <w:rPr>
                <w:rStyle w:val="FootnoteReference"/>
              </w:rPr>
              <w:footnoteReference w:id="53"/>
            </w:r>
            <w:r>
              <w:t xml:space="preserve"> the Treasury </w:t>
            </w:r>
            <w:r w:rsidR="0053186C">
              <w:t>will</w:t>
            </w:r>
            <w:r>
              <w:t xml:space="preserve"> take the same approach as it has taken in the CDR Rules for the banking sector in relation to historical data sharing.</w:t>
            </w:r>
          </w:p>
          <w:p w14:paraId="03C9CA63" w14:textId="6695A465" w:rsidR="006727FE" w:rsidRDefault="006727FE" w:rsidP="006727FE">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Feedback from consultation was that the treatment of historical data and closed accounts was appropriate for the NBL sector</w:t>
            </w:r>
            <w:r w:rsidR="001926A7">
              <w:rPr>
                <w:rFonts w:cs="Arial"/>
              </w:rPr>
              <w:t>.</w:t>
            </w:r>
          </w:p>
          <w:p w14:paraId="503C2EFA" w14:textId="6DECA219" w:rsidR="00EA225B" w:rsidRDefault="00F063EC" w:rsidP="00EA225B">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Some</w:t>
            </w:r>
            <w:r w:rsidR="006727FE">
              <w:rPr>
                <w:rFonts w:cs="Arial"/>
              </w:rPr>
              <w:t xml:space="preserve"> feedback</w:t>
            </w:r>
            <w:r w:rsidR="001926A7">
              <w:rPr>
                <w:rFonts w:cs="Arial"/>
              </w:rPr>
              <w:t xml:space="preserve"> received</w:t>
            </w:r>
            <w:r w:rsidR="006727FE">
              <w:rPr>
                <w:rFonts w:cs="Arial"/>
              </w:rPr>
              <w:t xml:space="preserve"> on the NBL sector Design Paper</w:t>
            </w:r>
            <w:r>
              <w:rPr>
                <w:rFonts w:cs="Arial"/>
              </w:rPr>
              <w:t xml:space="preserve"> recommended </w:t>
            </w:r>
            <w:r w:rsidR="006727FE">
              <w:rPr>
                <w:rFonts w:cs="Arial"/>
              </w:rPr>
              <w:t xml:space="preserve">the Treasury consider the approach taken in the CDR to the handling of historical data sets, in </w:t>
            </w:r>
            <w:r w:rsidR="006727FE" w:rsidRPr="006727FE">
              <w:rPr>
                <w:rFonts w:cs="Arial"/>
              </w:rPr>
              <w:t>view of recent high profile data breaches and changing community attitudes about the retention of historical data</w:t>
            </w:r>
            <w:r w:rsidR="006727FE">
              <w:rPr>
                <w:rFonts w:cs="Arial"/>
              </w:rPr>
              <w:t>.  In the</w:t>
            </w:r>
            <w:r w:rsidR="001F0E2D">
              <w:rPr>
                <w:rFonts w:cs="Arial"/>
              </w:rPr>
              <w:t>se</w:t>
            </w:r>
            <w:r w:rsidR="006727FE">
              <w:rPr>
                <w:rFonts w:cs="Arial"/>
              </w:rPr>
              <w:t xml:space="preserve"> circumstances, </w:t>
            </w:r>
            <w:r w:rsidR="001F0E2D">
              <w:rPr>
                <w:rFonts w:cs="Arial"/>
              </w:rPr>
              <w:t>certain stakeholders</w:t>
            </w:r>
            <w:r w:rsidR="006727FE">
              <w:rPr>
                <w:rFonts w:cs="Arial"/>
              </w:rPr>
              <w:t xml:space="preserve"> recommended</w:t>
            </w:r>
            <w:r w:rsidR="006727FE" w:rsidRPr="006727FE">
              <w:rPr>
                <w:rFonts w:cs="Arial"/>
              </w:rPr>
              <w:t xml:space="preserve"> Treasury consider whether the limitations in terms of historical data sharing are sufficient and adequately address the privacy risks to consumers in the sharing of historical data.</w:t>
            </w:r>
            <w:r w:rsidR="00D66C4C">
              <w:rPr>
                <w:rFonts w:cs="Arial"/>
              </w:rPr>
              <w:t xml:space="preserve"> Other stakeholders noted the value of historical data in </w:t>
            </w:r>
            <w:r w:rsidR="00D66C4C">
              <w:t>providing a complete picture of the consumer’s financial position so that a data holder can provide goods / services tailored to their needs.</w:t>
            </w:r>
          </w:p>
          <w:p w14:paraId="5301FCB0" w14:textId="23C6229B" w:rsidR="006727FE" w:rsidRDefault="006727FE" w:rsidP="0038630C">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This recommendation goes beyond the scope of this supplementary PIA on the CDR for the NBL sector</w:t>
            </w:r>
            <w:r w:rsidR="001F0E2D">
              <w:rPr>
                <w:rFonts w:cs="Arial"/>
              </w:rPr>
              <w:t>.</w:t>
            </w:r>
            <w:r w:rsidR="0038630C">
              <w:rPr>
                <w:rFonts w:cs="Arial"/>
              </w:rPr>
              <w:t xml:space="preserve"> However, w</w:t>
            </w:r>
            <w:r w:rsidR="001F0E2D">
              <w:rPr>
                <w:rFonts w:cs="Arial"/>
              </w:rPr>
              <w:t xml:space="preserve">e consider that the existing rules around historical account data </w:t>
            </w:r>
            <w:r w:rsidR="00F063EC">
              <w:rPr>
                <w:rFonts w:cs="Arial"/>
              </w:rPr>
              <w:t>are</w:t>
            </w:r>
            <w:r w:rsidR="001F0E2D">
              <w:rPr>
                <w:rFonts w:cs="Arial"/>
              </w:rPr>
              <w:t xml:space="preserve"> sufficient</w:t>
            </w:r>
            <w:r w:rsidR="00F063EC">
              <w:rPr>
                <w:rFonts w:cs="Arial"/>
              </w:rPr>
              <w:t xml:space="preserve"> to mitigate this privacy risk</w:t>
            </w:r>
            <w:r w:rsidR="001F0E2D">
              <w:rPr>
                <w:rFonts w:cs="Arial"/>
              </w:rPr>
              <w:t xml:space="preserve">. </w:t>
            </w:r>
          </w:p>
        </w:tc>
      </w:tr>
      <w:tr w:rsidR="00EA225B" w:rsidRPr="00317ABA" w14:paraId="5B927DCD" w14:textId="77777777">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4312" w:type="dxa"/>
            <w:gridSpan w:val="4"/>
            <w:shd w:val="clear" w:color="auto" w:fill="F79646" w:themeFill="accent6"/>
          </w:tcPr>
          <w:p w14:paraId="0F160A36" w14:textId="122283A1" w:rsidR="00EA225B" w:rsidRPr="001A6781" w:rsidRDefault="00EA225B" w:rsidP="000633E7">
            <w:pPr>
              <w:keepNext/>
              <w:spacing w:line="276" w:lineRule="auto"/>
              <w:rPr>
                <w:rFonts w:cs="Arial"/>
              </w:rPr>
            </w:pPr>
            <w:r w:rsidRPr="001A6781">
              <w:rPr>
                <w:rFonts w:cs="Arial"/>
              </w:rPr>
              <w:t xml:space="preserve">Types of </w:t>
            </w:r>
            <w:r>
              <w:rPr>
                <w:rFonts w:cs="Arial"/>
              </w:rPr>
              <w:t xml:space="preserve">products </w:t>
            </w:r>
          </w:p>
        </w:tc>
      </w:tr>
      <w:tr w:rsidR="00EA225B" w:rsidRPr="00317ABA" w14:paraId="738214BF" w14:textId="77777777" w:rsidTr="009F53B8">
        <w:trPr>
          <w:trHeight w:val="355"/>
        </w:trPr>
        <w:tc>
          <w:tcPr>
            <w:cnfStyle w:val="001000000000" w:firstRow="0" w:lastRow="0" w:firstColumn="1" w:lastColumn="0" w:oddVBand="0" w:evenVBand="0" w:oddHBand="0" w:evenHBand="0" w:firstRowFirstColumn="0" w:firstRowLastColumn="0" w:lastRowFirstColumn="0" w:lastRowLastColumn="0"/>
            <w:tcW w:w="704" w:type="dxa"/>
            <w:shd w:val="clear" w:color="auto" w:fill="F79646" w:themeFill="accent6"/>
          </w:tcPr>
          <w:p w14:paraId="4C565EC3" w14:textId="385F34EB" w:rsidR="00EA225B" w:rsidRPr="0053249F" w:rsidRDefault="00772432" w:rsidP="00EA225B">
            <w:pPr>
              <w:spacing w:line="276" w:lineRule="auto"/>
            </w:pPr>
            <w:r>
              <w:t>5</w:t>
            </w:r>
          </w:p>
        </w:tc>
        <w:tc>
          <w:tcPr>
            <w:tcW w:w="3119" w:type="dxa"/>
            <w:shd w:val="clear" w:color="auto" w:fill="FDE9D9" w:themeFill="accent6" w:themeFillTint="33"/>
          </w:tcPr>
          <w:p w14:paraId="287E31F0" w14:textId="459FF519" w:rsidR="00EA225B" w:rsidRDefault="001137DB" w:rsidP="00EA225B">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Inclusion of </w:t>
            </w:r>
            <w:r w:rsidR="00EA225B">
              <w:rPr>
                <w:rFonts w:cs="Arial"/>
              </w:rPr>
              <w:t>BNPL</w:t>
            </w:r>
            <w:r>
              <w:rPr>
                <w:rFonts w:cs="Arial"/>
              </w:rPr>
              <w:t xml:space="preserve"> products in the definition of </w:t>
            </w:r>
            <w:r>
              <w:rPr>
                <w:rFonts w:cs="Arial"/>
                <w:i/>
                <w:iCs/>
              </w:rPr>
              <w:t>covered products</w:t>
            </w:r>
            <w:r w:rsidR="00561527">
              <w:rPr>
                <w:rFonts w:cs="Arial"/>
              </w:rPr>
              <w:t>.</w:t>
            </w:r>
          </w:p>
        </w:tc>
        <w:tc>
          <w:tcPr>
            <w:tcW w:w="3543" w:type="dxa"/>
            <w:shd w:val="clear" w:color="auto" w:fill="FDE9D9" w:themeFill="accent6" w:themeFillTint="33"/>
          </w:tcPr>
          <w:p w14:paraId="3515A658" w14:textId="3C442D09" w:rsidR="00EA225B" w:rsidRDefault="00561527" w:rsidP="00EA225B">
            <w:pPr>
              <w:spacing w:line="276" w:lineRule="auto"/>
              <w:cnfStyle w:val="000000000000" w:firstRow="0" w:lastRow="0" w:firstColumn="0" w:lastColumn="0" w:oddVBand="0" w:evenVBand="0" w:oddHBand="0" w:evenHBand="0" w:firstRowFirstColumn="0" w:firstRowLastColumn="0" w:lastRowFirstColumn="0" w:lastRowLastColumn="0"/>
              <w:rPr>
                <w:rFonts w:cs="Arial"/>
                <w:i/>
                <w:iCs/>
              </w:rPr>
            </w:pPr>
            <w:r>
              <w:rPr>
                <w:rFonts w:cs="Arial"/>
              </w:rPr>
              <w:t xml:space="preserve">The CDR Rules </w:t>
            </w:r>
            <w:r w:rsidR="001137DB">
              <w:rPr>
                <w:rFonts w:cs="Arial"/>
              </w:rPr>
              <w:t xml:space="preserve">for the banking sector do not currently include BNPL products in the definition of </w:t>
            </w:r>
            <w:bookmarkStart w:id="95" w:name="_Toc96610705"/>
            <w:r w:rsidR="001137DB" w:rsidRPr="001137DB">
              <w:rPr>
                <w:rFonts w:cs="Arial"/>
                <w:i/>
                <w:iCs/>
              </w:rPr>
              <w:t>phase 1 product</w:t>
            </w:r>
            <w:r w:rsidR="001137DB" w:rsidRPr="001137DB">
              <w:rPr>
                <w:rFonts w:cs="Arial"/>
              </w:rPr>
              <w:t>,</w:t>
            </w:r>
            <w:r w:rsidR="001137DB">
              <w:rPr>
                <w:rFonts w:cs="Arial"/>
              </w:rPr>
              <w:t xml:space="preserve"> </w:t>
            </w:r>
            <w:r w:rsidR="001137DB" w:rsidRPr="001137DB">
              <w:rPr>
                <w:rFonts w:cs="Arial"/>
                <w:i/>
                <w:iCs/>
              </w:rPr>
              <w:t>phase 2 product</w:t>
            </w:r>
            <w:r w:rsidR="001137DB">
              <w:rPr>
                <w:rFonts w:cs="Arial"/>
              </w:rPr>
              <w:t xml:space="preserve"> or </w:t>
            </w:r>
            <w:r w:rsidR="001137DB" w:rsidRPr="001137DB">
              <w:rPr>
                <w:rFonts w:cs="Arial"/>
              </w:rPr>
              <w:t>and</w:t>
            </w:r>
            <w:r w:rsidR="001137DB">
              <w:rPr>
                <w:rFonts w:cs="Arial"/>
              </w:rPr>
              <w:t xml:space="preserve"> </w:t>
            </w:r>
            <w:r w:rsidR="001137DB" w:rsidRPr="001137DB">
              <w:rPr>
                <w:rFonts w:cs="Arial"/>
                <w:i/>
                <w:iCs/>
              </w:rPr>
              <w:t>phase 3 product</w:t>
            </w:r>
            <w:bookmarkEnd w:id="95"/>
            <w:r w:rsidR="001137DB">
              <w:rPr>
                <w:rFonts w:cs="Arial"/>
                <w:i/>
                <w:iCs/>
              </w:rPr>
              <w:t>.</w:t>
            </w:r>
            <w:r w:rsidR="000B006E" w:rsidRPr="000B006E">
              <w:rPr>
                <w:rStyle w:val="FootnoteReference"/>
                <w:rFonts w:cs="Arial"/>
              </w:rPr>
              <w:footnoteReference w:id="54"/>
            </w:r>
            <w:r w:rsidR="001137DB">
              <w:rPr>
                <w:rFonts w:cs="Arial"/>
                <w:i/>
                <w:iCs/>
              </w:rPr>
              <w:t xml:space="preserve"> </w:t>
            </w:r>
          </w:p>
          <w:p w14:paraId="0C4E8887" w14:textId="492A2529" w:rsidR="001137DB" w:rsidRPr="001137DB" w:rsidRDefault="00E87066" w:rsidP="00EA225B">
            <w:pPr>
              <w:spacing w:line="276" w:lineRule="auto"/>
              <w:cnfStyle w:val="000000000000" w:firstRow="0" w:lastRow="0" w:firstColumn="0" w:lastColumn="0" w:oddVBand="0" w:evenVBand="0" w:oddHBand="0" w:evenHBand="0" w:firstRowFirstColumn="0" w:firstRowLastColumn="0" w:lastRowFirstColumn="0" w:lastRowLastColumn="0"/>
              <w:rPr>
                <w:rFonts w:cs="Arial"/>
                <w:i/>
                <w:iCs/>
              </w:rPr>
            </w:pPr>
            <w:r>
              <w:rPr>
                <w:rFonts w:cs="Arial"/>
              </w:rPr>
              <w:t xml:space="preserve">By the </w:t>
            </w:r>
            <w:r>
              <w:t xml:space="preserve">NBL CDR Rules, </w:t>
            </w:r>
            <w:r>
              <w:rPr>
                <w:rFonts w:cs="Arial"/>
              </w:rPr>
              <w:t xml:space="preserve">BNPL products </w:t>
            </w:r>
            <w:r>
              <w:t xml:space="preserve">will be </w:t>
            </w:r>
            <w:r w:rsidR="001137DB">
              <w:rPr>
                <w:rFonts w:cs="Arial"/>
              </w:rPr>
              <w:t>inclu</w:t>
            </w:r>
            <w:r>
              <w:rPr>
                <w:rFonts w:cs="Arial"/>
              </w:rPr>
              <w:t xml:space="preserve">ded </w:t>
            </w:r>
            <w:r w:rsidR="001137DB">
              <w:rPr>
                <w:rFonts w:cs="Arial"/>
              </w:rPr>
              <w:t xml:space="preserve">in the definition of </w:t>
            </w:r>
            <w:r w:rsidR="001137DB">
              <w:rPr>
                <w:rFonts w:cs="Arial"/>
                <w:i/>
                <w:iCs/>
              </w:rPr>
              <w:t>covered products</w:t>
            </w:r>
            <w:r w:rsidR="001137DB">
              <w:rPr>
                <w:rFonts w:cs="Arial"/>
              </w:rPr>
              <w:t xml:space="preserve"> in </w:t>
            </w:r>
            <w:r>
              <w:rPr>
                <w:rFonts w:cs="Arial"/>
              </w:rPr>
              <w:t xml:space="preserve">both the NBL sector and the banking sector and </w:t>
            </w:r>
            <w:r w:rsidR="008E63F5">
              <w:rPr>
                <w:rFonts w:cs="Arial"/>
              </w:rPr>
              <w:t xml:space="preserve">the collection and handling of those </w:t>
            </w:r>
            <w:r w:rsidR="00ED5827">
              <w:t xml:space="preserve">BNPL </w:t>
            </w:r>
            <w:r w:rsidR="00776073">
              <w:t xml:space="preserve">products </w:t>
            </w:r>
            <w:r w:rsidR="008E63F5">
              <w:t xml:space="preserve">will be subject to the CDR and the </w:t>
            </w:r>
            <w:r w:rsidR="001137DB">
              <w:t>Privacy Safeguards.</w:t>
            </w:r>
          </w:p>
        </w:tc>
        <w:tc>
          <w:tcPr>
            <w:tcW w:w="6946" w:type="dxa"/>
            <w:shd w:val="clear" w:color="auto" w:fill="FDE9D9" w:themeFill="accent6" w:themeFillTint="33"/>
          </w:tcPr>
          <w:p w14:paraId="3840F0EB" w14:textId="12A523D3" w:rsidR="00EA225B" w:rsidRDefault="00EA225B" w:rsidP="00EA225B">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The </w:t>
            </w:r>
            <w:r>
              <w:t xml:space="preserve">NBL CDR Rules proposes to include BNPL products as </w:t>
            </w:r>
            <w:r w:rsidRPr="00776073">
              <w:rPr>
                <w:i/>
                <w:iCs/>
              </w:rPr>
              <w:t>covered products</w:t>
            </w:r>
            <w:r>
              <w:t xml:space="preserve"> for both the banking and NBL sector.  </w:t>
            </w:r>
            <w:r w:rsidR="00D66C4C">
              <w:t>T</w:t>
            </w:r>
            <w:r w:rsidR="00776073">
              <w:t xml:space="preserve">his inclusion will add a new product category to the </w:t>
            </w:r>
            <w:r>
              <w:t xml:space="preserve">CDR. </w:t>
            </w:r>
          </w:p>
          <w:p w14:paraId="3BD84955" w14:textId="645C04A1" w:rsidR="00EA225B" w:rsidRPr="00BF000E" w:rsidRDefault="00EA225B" w:rsidP="00EA225B">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See our comments </w:t>
            </w:r>
            <w:r w:rsidR="00776073">
              <w:rPr>
                <w:rFonts w:cs="Arial"/>
              </w:rPr>
              <w:t>in relation to Issue 4</w:t>
            </w:r>
            <w:r w:rsidR="00D66C4C">
              <w:rPr>
                <w:rFonts w:cs="Arial"/>
              </w:rPr>
              <w:t xml:space="preserve"> (page 16)</w:t>
            </w:r>
            <w:r w:rsidR="00776073">
              <w:rPr>
                <w:rFonts w:cs="Arial"/>
              </w:rPr>
              <w:t xml:space="preserve"> </w:t>
            </w:r>
            <w:r>
              <w:rPr>
                <w:rFonts w:cs="Arial"/>
              </w:rPr>
              <w:t xml:space="preserve">and </w:t>
            </w:r>
            <w:r w:rsidRPr="00754B8F">
              <w:rPr>
                <w:rFonts w:cs="Arial"/>
                <w:b/>
                <w:bCs/>
              </w:rPr>
              <w:t xml:space="preserve">Recommendation </w:t>
            </w:r>
            <w:r w:rsidR="00D66C4C">
              <w:rPr>
                <w:rFonts w:cs="Arial"/>
                <w:b/>
                <w:bCs/>
              </w:rPr>
              <w:t>3</w:t>
            </w:r>
            <w:r>
              <w:rPr>
                <w:rFonts w:cs="Arial"/>
              </w:rPr>
              <w:t xml:space="preserve"> above.</w:t>
            </w:r>
          </w:p>
        </w:tc>
      </w:tr>
      <w:tr w:rsidR="0090019F" w:rsidRPr="00317ABA" w14:paraId="4E5469D4" w14:textId="77777777" w:rsidTr="009F53B8">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704" w:type="dxa"/>
            <w:shd w:val="clear" w:color="auto" w:fill="F79646" w:themeFill="accent6"/>
          </w:tcPr>
          <w:p w14:paraId="7B5B01E0" w14:textId="392A906C" w:rsidR="0090019F" w:rsidRPr="0053249F" w:rsidRDefault="00D66C4C" w:rsidP="0090019F">
            <w:pPr>
              <w:spacing w:line="276" w:lineRule="auto"/>
            </w:pPr>
            <w:r>
              <w:t>6</w:t>
            </w:r>
          </w:p>
        </w:tc>
        <w:tc>
          <w:tcPr>
            <w:tcW w:w="3119" w:type="dxa"/>
            <w:shd w:val="clear" w:color="auto" w:fill="FDE9D9" w:themeFill="accent6" w:themeFillTint="33"/>
          </w:tcPr>
          <w:p w14:paraId="6D63F8C4" w14:textId="3AC37414" w:rsidR="0090019F" w:rsidRDefault="0090019F" w:rsidP="0090019F">
            <w:pPr>
              <w:spacing w:line="276"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White labelling </w:t>
            </w:r>
            <w:r w:rsidR="00A06845">
              <w:rPr>
                <w:rFonts w:cs="Arial"/>
              </w:rPr>
              <w:t>has been identified as a practice which</w:t>
            </w:r>
            <w:r>
              <w:rPr>
                <w:rFonts w:cs="Arial"/>
              </w:rPr>
              <w:t xml:space="preserve"> present</w:t>
            </w:r>
            <w:r w:rsidR="00F2080F">
              <w:rPr>
                <w:rFonts w:cs="Arial"/>
              </w:rPr>
              <w:t>s</w:t>
            </w:r>
            <w:r>
              <w:rPr>
                <w:rFonts w:cs="Arial"/>
              </w:rPr>
              <w:t xml:space="preserve"> unique privacy risks </w:t>
            </w:r>
            <w:r w:rsidR="00F2080F">
              <w:rPr>
                <w:rFonts w:cs="Arial"/>
              </w:rPr>
              <w:t xml:space="preserve">given it </w:t>
            </w:r>
            <w:r>
              <w:rPr>
                <w:rFonts w:cs="Arial"/>
              </w:rPr>
              <w:t>involve</w:t>
            </w:r>
            <w:r w:rsidR="00F2080F">
              <w:rPr>
                <w:rFonts w:cs="Arial"/>
              </w:rPr>
              <w:t>s</w:t>
            </w:r>
            <w:r>
              <w:rPr>
                <w:rFonts w:cs="Arial"/>
              </w:rPr>
              <w:t xml:space="preserve"> multiple businesses providing a product, so it is not always clear who is the relevant CDR participant and which entity will receive</w:t>
            </w:r>
            <w:r w:rsidR="002B77A3">
              <w:rPr>
                <w:rFonts w:cs="Arial"/>
              </w:rPr>
              <w:t xml:space="preserve"> and </w:t>
            </w:r>
            <w:r>
              <w:rPr>
                <w:rFonts w:cs="Arial"/>
              </w:rPr>
              <w:t xml:space="preserve">use </w:t>
            </w:r>
            <w:r w:rsidR="008E63F5">
              <w:rPr>
                <w:rFonts w:cs="Arial"/>
              </w:rPr>
              <w:t>a</w:t>
            </w:r>
            <w:r>
              <w:rPr>
                <w:rFonts w:cs="Arial"/>
              </w:rPr>
              <w:t xml:space="preserve"> customer’s data. This risk is magnified in the NBL sector, given the number of smaller entities</w:t>
            </w:r>
            <w:r w:rsidR="008E63F5">
              <w:rPr>
                <w:rFonts w:cs="Arial"/>
              </w:rPr>
              <w:t xml:space="preserve"> offering white labelled products.</w:t>
            </w:r>
          </w:p>
        </w:tc>
        <w:tc>
          <w:tcPr>
            <w:tcW w:w="3543" w:type="dxa"/>
            <w:shd w:val="clear" w:color="auto" w:fill="FDE9D9" w:themeFill="accent6" w:themeFillTint="33"/>
          </w:tcPr>
          <w:p w14:paraId="2F4B63ED" w14:textId="11D5F71B" w:rsidR="00F2080F" w:rsidRPr="00BF000E" w:rsidRDefault="000B006E" w:rsidP="0090019F">
            <w:pPr>
              <w:spacing w:line="276"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 </w:t>
            </w:r>
          </w:p>
        </w:tc>
        <w:tc>
          <w:tcPr>
            <w:tcW w:w="6946" w:type="dxa"/>
            <w:shd w:val="clear" w:color="auto" w:fill="FDE9D9" w:themeFill="accent6" w:themeFillTint="33"/>
          </w:tcPr>
          <w:p w14:paraId="295B2E52" w14:textId="0F2B111A" w:rsidR="004C4F5A" w:rsidRDefault="000615E4" w:rsidP="0090019F">
            <w:pPr>
              <w:spacing w:line="276"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No specific provisions are made in the NBL </w:t>
            </w:r>
            <w:r w:rsidR="00110842">
              <w:rPr>
                <w:rFonts w:cs="Arial"/>
              </w:rPr>
              <w:t>CDR</w:t>
            </w:r>
            <w:r>
              <w:rPr>
                <w:rFonts w:cs="Arial"/>
              </w:rPr>
              <w:t xml:space="preserve"> Rules for </w:t>
            </w:r>
            <w:r w:rsidR="000633E7">
              <w:rPr>
                <w:rFonts w:cs="Arial"/>
              </w:rPr>
              <w:t xml:space="preserve">data holders with respect to </w:t>
            </w:r>
            <w:r>
              <w:rPr>
                <w:rFonts w:cs="Arial"/>
              </w:rPr>
              <w:t>white labelling</w:t>
            </w:r>
            <w:r w:rsidR="00B944AD">
              <w:rPr>
                <w:rFonts w:cs="Arial"/>
              </w:rPr>
              <w:t>.</w:t>
            </w:r>
            <w:r w:rsidR="004C4F5A">
              <w:rPr>
                <w:rFonts w:cs="Arial"/>
              </w:rPr>
              <w:t xml:space="preserve"> Accordingly, the approach taken in the CDR applies which allows for </w:t>
            </w:r>
            <w:r w:rsidR="004C4F5A">
              <w:t>data holder obligations to be managed between the white labeller and brand owner to ensure the entity most suitable for meeting data holder obligations can provide the required data.</w:t>
            </w:r>
          </w:p>
          <w:p w14:paraId="2ACF7E95" w14:textId="27F59788" w:rsidR="00F2080F" w:rsidRDefault="00886926" w:rsidP="0090019F">
            <w:pPr>
              <w:spacing w:line="276"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Some stakeholders</w:t>
            </w:r>
            <w:r w:rsidR="002011D6">
              <w:rPr>
                <w:rFonts w:cs="Arial"/>
              </w:rPr>
              <w:t xml:space="preserve"> have </w:t>
            </w:r>
            <w:r>
              <w:rPr>
                <w:rFonts w:cs="Arial"/>
              </w:rPr>
              <w:t>raised the concern that t</w:t>
            </w:r>
            <w:r w:rsidRPr="00886926">
              <w:rPr>
                <w:rFonts w:cs="Arial"/>
              </w:rPr>
              <w:t>he use of white labelling can give rise to unique privacy risks in circumstances where it is common practice in the banking sector</w:t>
            </w:r>
            <w:r>
              <w:rPr>
                <w:rFonts w:cs="Arial"/>
              </w:rPr>
              <w:t xml:space="preserve"> and that t</w:t>
            </w:r>
            <w:r w:rsidRPr="00886926">
              <w:rPr>
                <w:rFonts w:cs="Arial"/>
              </w:rPr>
              <w:t xml:space="preserve">his risk is magnified in the NBL sector, given the number of smaller entities. </w:t>
            </w:r>
            <w:r>
              <w:rPr>
                <w:rFonts w:cs="Arial"/>
              </w:rPr>
              <w:t>Some stakeholders are concerned that</w:t>
            </w:r>
            <w:r w:rsidRPr="00886926">
              <w:rPr>
                <w:rFonts w:cs="Arial"/>
              </w:rPr>
              <w:t xml:space="preserve"> </w:t>
            </w:r>
            <w:r>
              <w:rPr>
                <w:rFonts w:cs="Arial"/>
              </w:rPr>
              <w:t>t</w:t>
            </w:r>
            <w:r w:rsidRPr="00886926">
              <w:rPr>
                <w:rFonts w:cs="Arial"/>
              </w:rPr>
              <w:t>his practice has the potential to undermine informed and specific consent.</w:t>
            </w:r>
            <w:r>
              <w:rPr>
                <w:rFonts w:cs="Arial"/>
              </w:rPr>
              <w:t xml:space="preserve"> In light of this, some stakeholders</w:t>
            </w:r>
            <w:r w:rsidR="0038630C">
              <w:rPr>
                <w:rFonts w:cs="Arial"/>
              </w:rPr>
              <w:t xml:space="preserve"> </w:t>
            </w:r>
            <w:r w:rsidR="002011D6">
              <w:rPr>
                <w:rFonts w:cs="Arial"/>
              </w:rPr>
              <w:t xml:space="preserve">recommended that </w:t>
            </w:r>
            <w:r w:rsidR="002011D6" w:rsidRPr="002011D6">
              <w:rPr>
                <w:rFonts w:cs="Arial"/>
              </w:rPr>
              <w:t>Treasury should consider whether additional protections are required for the NBL sector, given the prevalence of white labelling in the NBL sector.</w:t>
            </w:r>
            <w:r w:rsidR="002011D6">
              <w:rPr>
                <w:shd w:val="clear" w:color="auto" w:fill="FFFFFF"/>
              </w:rPr>
              <w:t xml:space="preserve"> </w:t>
            </w:r>
            <w:r w:rsidR="00F2080F">
              <w:rPr>
                <w:rFonts w:cs="Arial"/>
              </w:rPr>
              <w:t xml:space="preserve"> </w:t>
            </w:r>
          </w:p>
          <w:p w14:paraId="54A2BB3C" w14:textId="0C6750E0" w:rsidR="004C4F5A" w:rsidRDefault="00D66C4C" w:rsidP="0090019F">
            <w:pPr>
              <w:spacing w:line="276"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It is not clear to us </w:t>
            </w:r>
            <w:r w:rsidR="00B944AD">
              <w:rPr>
                <w:rFonts w:cs="Arial"/>
              </w:rPr>
              <w:t>how the practice of white labelling gives rise to privacy risks in the context of a customer data request</w:t>
            </w:r>
            <w:r w:rsidR="0087502E">
              <w:rPr>
                <w:rFonts w:cs="Arial"/>
              </w:rPr>
              <w:t xml:space="preserve"> in circumstances where arrangements are made between parties to a white labelling arrangement as to who has responsibility for responding to a data request (accordingly, the data sharing principle is still achieved)</w:t>
            </w:r>
            <w:r w:rsidR="00215CBC">
              <w:rPr>
                <w:rFonts w:cs="Arial"/>
              </w:rPr>
              <w:t xml:space="preserve"> and the customer’s consent is required.</w:t>
            </w:r>
          </w:p>
          <w:p w14:paraId="13C2FBE0" w14:textId="3AC5E303" w:rsidR="00D66C4C" w:rsidRDefault="004C4F5A" w:rsidP="0090019F">
            <w:pPr>
              <w:spacing w:line="276"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Further, in respect of a product data request, we do not consider white labelling arrangements give rise to a privacy risk in circumstances where product data is not personal information (but information about the product, its features, fees, charges and eligibility criteria). </w:t>
            </w:r>
          </w:p>
          <w:p w14:paraId="4B32962F" w14:textId="59818EC5" w:rsidR="0087502E" w:rsidRDefault="0087502E" w:rsidP="0090019F">
            <w:pPr>
              <w:spacing w:line="276"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We note that white label brands need to be published on the CDR Register which is consistent with transparency requirements.</w:t>
            </w:r>
          </w:p>
          <w:p w14:paraId="7A454426" w14:textId="752A0686" w:rsidR="00B944AD" w:rsidRPr="00F2080F" w:rsidRDefault="00B944AD" w:rsidP="000633E7">
            <w:pPr>
              <w:spacing w:line="276" w:lineRule="auto"/>
              <w:cnfStyle w:val="000000100000" w:firstRow="0" w:lastRow="0" w:firstColumn="0" w:lastColumn="0" w:oddVBand="0" w:evenVBand="0" w:oddHBand="1" w:evenHBand="0" w:firstRowFirstColumn="0" w:firstRowLastColumn="0" w:lastRowFirstColumn="0" w:lastRowLastColumn="0"/>
            </w:pPr>
            <w:r>
              <w:rPr>
                <w:rFonts w:cs="Arial"/>
              </w:rPr>
              <w:t>We make no recommendations in respect to white labelling on that basis.</w:t>
            </w:r>
          </w:p>
        </w:tc>
      </w:tr>
      <w:tr w:rsidR="0090019F" w:rsidRPr="00317ABA" w14:paraId="5B8C7975" w14:textId="77777777" w:rsidTr="009F53B8">
        <w:trPr>
          <w:trHeight w:val="355"/>
        </w:trPr>
        <w:tc>
          <w:tcPr>
            <w:cnfStyle w:val="001000000000" w:firstRow="0" w:lastRow="0" w:firstColumn="1" w:lastColumn="0" w:oddVBand="0" w:evenVBand="0" w:oddHBand="0" w:evenHBand="0" w:firstRowFirstColumn="0" w:firstRowLastColumn="0" w:lastRowFirstColumn="0" w:lastRowLastColumn="0"/>
            <w:tcW w:w="704" w:type="dxa"/>
            <w:shd w:val="clear" w:color="auto" w:fill="F79646" w:themeFill="accent6"/>
          </w:tcPr>
          <w:p w14:paraId="1E9085BC" w14:textId="6849340B" w:rsidR="0090019F" w:rsidRPr="0053249F" w:rsidRDefault="00D66C4C" w:rsidP="0038630C">
            <w:pPr>
              <w:spacing w:line="276" w:lineRule="auto"/>
            </w:pPr>
            <w:r>
              <w:t>7</w:t>
            </w:r>
          </w:p>
        </w:tc>
        <w:tc>
          <w:tcPr>
            <w:tcW w:w="3119" w:type="dxa"/>
            <w:shd w:val="clear" w:color="auto" w:fill="FDE9D9" w:themeFill="accent6" w:themeFillTint="33"/>
          </w:tcPr>
          <w:p w14:paraId="29672E87" w14:textId="0ADA4A52" w:rsidR="0090019F" w:rsidRDefault="000B006E" w:rsidP="0038630C">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Inclusion of a</w:t>
            </w:r>
            <w:r w:rsidR="0090019F">
              <w:rPr>
                <w:rFonts w:cs="Arial"/>
              </w:rPr>
              <w:t>rrangements for trial products</w:t>
            </w:r>
            <w:r w:rsidR="005227E7">
              <w:rPr>
                <w:rFonts w:cs="Arial"/>
              </w:rPr>
              <w:t>.</w:t>
            </w:r>
            <w:r w:rsidR="0090019F">
              <w:rPr>
                <w:rFonts w:cs="Arial"/>
              </w:rPr>
              <w:t xml:space="preserve"> </w:t>
            </w:r>
          </w:p>
        </w:tc>
        <w:tc>
          <w:tcPr>
            <w:tcW w:w="3543" w:type="dxa"/>
            <w:shd w:val="clear" w:color="auto" w:fill="FDE9D9" w:themeFill="accent6" w:themeFillTint="33"/>
          </w:tcPr>
          <w:p w14:paraId="7670B17A" w14:textId="279AD73C" w:rsidR="0090019F" w:rsidRPr="00BF000E" w:rsidRDefault="000B006E" w:rsidP="0090019F">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The CDR Rules for the banking sector do not currently make provision of trial or pilot products.</w:t>
            </w:r>
          </w:p>
        </w:tc>
        <w:tc>
          <w:tcPr>
            <w:tcW w:w="6946" w:type="dxa"/>
            <w:shd w:val="clear" w:color="auto" w:fill="FDE9D9" w:themeFill="accent6" w:themeFillTint="33"/>
          </w:tcPr>
          <w:p w14:paraId="53AC2E4F" w14:textId="5B5E8374" w:rsidR="005227E7" w:rsidRDefault="000B006E" w:rsidP="0090019F">
            <w:pPr>
              <w:spacing w:line="276" w:lineRule="auto"/>
              <w:cnfStyle w:val="000000000000" w:firstRow="0" w:lastRow="0" w:firstColumn="0" w:lastColumn="0" w:oddVBand="0" w:evenVBand="0" w:oddHBand="0" w:evenHBand="0" w:firstRowFirstColumn="0" w:firstRowLastColumn="0" w:lastRowFirstColumn="0" w:lastRowLastColumn="0"/>
            </w:pPr>
            <w:r>
              <w:rPr>
                <w:rFonts w:cs="Arial"/>
              </w:rPr>
              <w:t xml:space="preserve">The </w:t>
            </w:r>
            <w:r>
              <w:t xml:space="preserve">NBL CDR Rules </w:t>
            </w:r>
            <w:r w:rsidR="006C6D36">
              <w:t>defines a ‘trial product’ as a product which is</w:t>
            </w:r>
            <w:r w:rsidR="005227E7">
              <w:t>:</w:t>
            </w:r>
          </w:p>
          <w:p w14:paraId="45C5FCC9" w14:textId="35627BC2" w:rsidR="005227E7" w:rsidRDefault="006C6D36" w:rsidP="000633E7">
            <w:pPr>
              <w:pStyle w:val="Probity2"/>
              <w:numPr>
                <w:ilvl w:val="0"/>
                <w:numId w:val="47"/>
              </w:numPr>
              <w:cnfStyle w:val="000000000000" w:firstRow="0" w:lastRow="0" w:firstColumn="0" w:lastColumn="0" w:oddVBand="0" w:evenVBand="0" w:oddHBand="0" w:evenHBand="0" w:firstRowFirstColumn="0" w:firstRowLastColumn="0" w:lastRowFirstColumn="0" w:lastRowLastColumn="0"/>
            </w:pPr>
            <w:r>
              <w:t>described as a ‘trial or pilot’</w:t>
            </w:r>
          </w:p>
          <w:p w14:paraId="6D6B9B6C" w14:textId="1571F021" w:rsidR="005227E7" w:rsidRDefault="006C6D36" w:rsidP="000633E7">
            <w:pPr>
              <w:pStyle w:val="Probity2"/>
              <w:numPr>
                <w:ilvl w:val="0"/>
                <w:numId w:val="47"/>
              </w:numPr>
              <w:cnfStyle w:val="000000000000" w:firstRow="0" w:lastRow="0" w:firstColumn="0" w:lastColumn="0" w:oddVBand="0" w:evenVBand="0" w:oddHBand="0" w:evenHBand="0" w:firstRowFirstColumn="0" w:firstRowLastColumn="0" w:lastRowFirstColumn="0" w:lastRowLastColumn="0"/>
            </w:pPr>
            <w:r>
              <w:t>not offered for more than 6 months (trial period)</w:t>
            </w:r>
          </w:p>
          <w:p w14:paraId="7F23EE57" w14:textId="138B6954" w:rsidR="005227E7" w:rsidRDefault="006C6D36" w:rsidP="000633E7">
            <w:pPr>
              <w:pStyle w:val="Probity2"/>
              <w:numPr>
                <w:ilvl w:val="0"/>
                <w:numId w:val="47"/>
              </w:numPr>
              <w:cnfStyle w:val="000000000000" w:firstRow="0" w:lastRow="0" w:firstColumn="0" w:lastColumn="0" w:oddVBand="0" w:evenVBand="0" w:oddHBand="0" w:evenHBand="0" w:firstRowFirstColumn="0" w:firstRowLastColumn="0" w:lastRowFirstColumn="0" w:lastRowLastColumn="0"/>
            </w:pPr>
            <w:r>
              <w:t>is limited to not more than 1,000 customers</w:t>
            </w:r>
            <w:r w:rsidR="005227E7">
              <w:t>,</w:t>
            </w:r>
            <w:r>
              <w:t xml:space="preserve"> and </w:t>
            </w:r>
          </w:p>
          <w:p w14:paraId="1BF60FEF" w14:textId="66547582" w:rsidR="005227E7" w:rsidRDefault="006C6D36" w:rsidP="000633E7">
            <w:pPr>
              <w:pStyle w:val="Probity2"/>
              <w:numPr>
                <w:ilvl w:val="0"/>
                <w:numId w:val="47"/>
              </w:numPr>
              <w:cnfStyle w:val="000000000000" w:firstRow="0" w:lastRow="0" w:firstColumn="0" w:lastColumn="0" w:oddVBand="0" w:evenVBand="0" w:oddHBand="0" w:evenHBand="0" w:firstRowFirstColumn="0" w:firstRowLastColumn="0" w:lastRowFirstColumn="0" w:lastRowLastColumn="0"/>
            </w:pPr>
            <w:r>
              <w:t xml:space="preserve">includes a statement that the </w:t>
            </w:r>
            <w:r w:rsidR="00E2271B">
              <w:t>product may be terminated before the end of the trial period in which case the CDR data in relation to the trial product may not be available</w:t>
            </w:r>
            <w:r w:rsidR="004948C8">
              <w:t>,</w:t>
            </w:r>
          </w:p>
          <w:p w14:paraId="3B25D0AE" w14:textId="49CE0649" w:rsidR="000B006E" w:rsidRPr="005227E7" w:rsidRDefault="00E2271B" w:rsidP="0090019F">
            <w:pPr>
              <w:spacing w:line="276" w:lineRule="auto"/>
              <w:cnfStyle w:val="000000000000" w:firstRow="0" w:lastRow="0" w:firstColumn="0" w:lastColumn="0" w:oddVBand="0" w:evenVBand="0" w:oddHBand="0" w:evenHBand="0" w:firstRowFirstColumn="0" w:firstRowLastColumn="0" w:lastRowFirstColumn="0" w:lastRowLastColumn="0"/>
            </w:pPr>
            <w:r>
              <w:t xml:space="preserve">unless the </w:t>
            </w:r>
            <w:r>
              <w:rPr>
                <w:rFonts w:cs="Arial"/>
              </w:rPr>
              <w:t xml:space="preserve">trial product is a </w:t>
            </w:r>
            <w:r>
              <w:rPr>
                <w:rFonts w:cs="Arial"/>
                <w:i/>
                <w:iCs/>
              </w:rPr>
              <w:t>covered product</w:t>
            </w:r>
            <w:r>
              <w:rPr>
                <w:rFonts w:cs="Arial"/>
              </w:rPr>
              <w:t xml:space="preserve">, in which case once it ceases to be a trial product the CDR data generated while the product was a trial is taken to be </w:t>
            </w:r>
            <w:r>
              <w:rPr>
                <w:rFonts w:cs="Arial"/>
                <w:i/>
                <w:iCs/>
              </w:rPr>
              <w:t>required consumer data</w:t>
            </w:r>
            <w:r>
              <w:rPr>
                <w:rFonts w:cs="Arial"/>
              </w:rPr>
              <w:t xml:space="preserve">, </w:t>
            </w:r>
            <w:r>
              <w:rPr>
                <w:rFonts w:cs="Arial"/>
                <w:i/>
                <w:iCs/>
              </w:rPr>
              <w:t>required product data</w:t>
            </w:r>
            <w:r>
              <w:rPr>
                <w:rFonts w:cs="Arial"/>
              </w:rPr>
              <w:t xml:space="preserve">, or </w:t>
            </w:r>
            <w:r>
              <w:rPr>
                <w:rFonts w:cs="Arial"/>
                <w:i/>
                <w:iCs/>
              </w:rPr>
              <w:t xml:space="preserve">voluntary consumer data </w:t>
            </w:r>
            <w:r>
              <w:rPr>
                <w:rFonts w:cs="Arial"/>
              </w:rPr>
              <w:t>for the purposes of the CDR.</w:t>
            </w:r>
            <w:r>
              <w:rPr>
                <w:rStyle w:val="FootnoteReference"/>
                <w:rFonts w:cs="Arial"/>
              </w:rPr>
              <w:footnoteReference w:id="55"/>
            </w:r>
            <w:r>
              <w:rPr>
                <w:rFonts w:cs="Arial"/>
              </w:rPr>
              <w:t xml:space="preserve"> </w:t>
            </w:r>
          </w:p>
          <w:p w14:paraId="4ED6E52C" w14:textId="7CC0A016" w:rsidR="00F61D01" w:rsidRDefault="00573222" w:rsidP="0090019F">
            <w:pPr>
              <w:spacing w:line="276" w:lineRule="auto"/>
              <w:cnfStyle w:val="000000000000" w:firstRow="0" w:lastRow="0" w:firstColumn="0" w:lastColumn="0" w:oddVBand="0" w:evenVBand="0" w:oddHBand="0" w:evenHBand="0" w:firstRowFirstColumn="0" w:firstRowLastColumn="0" w:lastRowFirstColumn="0" w:lastRowLastColumn="0"/>
            </w:pPr>
            <w:r>
              <w:t>Trial product data will continue to be protected by the Privacy Safeguards for the duration of the trial.</w:t>
            </w:r>
          </w:p>
          <w:p w14:paraId="54CDFE8B" w14:textId="7DADF127" w:rsidR="00573222" w:rsidRDefault="000F5FB0" w:rsidP="0090019F">
            <w:pPr>
              <w:spacing w:line="276" w:lineRule="auto"/>
              <w:cnfStyle w:val="000000000000" w:firstRow="0" w:lastRow="0" w:firstColumn="0" w:lastColumn="0" w:oddVBand="0" w:evenVBand="0" w:oddHBand="0" w:evenHBand="0" w:firstRowFirstColumn="0" w:firstRowLastColumn="0" w:lastRowFirstColumn="0" w:lastRowLastColumn="0"/>
            </w:pPr>
            <w:r>
              <w:t>While we note that some stakeholders had concerns about the length of the trial period and the customer threshold number</w:t>
            </w:r>
            <w:r w:rsidR="0066655C">
              <w:t xml:space="preserve"> not being high enough</w:t>
            </w:r>
            <w:r>
              <w:t>,</w:t>
            </w:r>
            <w:r w:rsidR="00830DE5">
              <w:t xml:space="preserve"> </w:t>
            </w:r>
            <w:r>
              <w:t>w</w:t>
            </w:r>
            <w:r w:rsidR="00573222">
              <w:t xml:space="preserve">e consider the proposed approach to trial products to be appropriate from a privacy perspective and balances the privacy needs of customers with encouraging NBL sector entities to continue to innovate and offer new products to the market. </w:t>
            </w:r>
          </w:p>
          <w:p w14:paraId="5C559D9D" w14:textId="691A1EA9" w:rsidR="00B73D3B" w:rsidRPr="00573222" w:rsidRDefault="00B73D3B" w:rsidP="0090019F">
            <w:pPr>
              <w:spacing w:line="276" w:lineRule="auto"/>
              <w:cnfStyle w:val="000000000000" w:firstRow="0" w:lastRow="0" w:firstColumn="0" w:lastColumn="0" w:oddVBand="0" w:evenVBand="0" w:oddHBand="0" w:evenHBand="0" w:firstRowFirstColumn="0" w:firstRowLastColumn="0" w:lastRowFirstColumn="0" w:lastRowLastColumn="0"/>
              <w:rPr>
                <w:i/>
                <w:iCs/>
              </w:rPr>
            </w:pPr>
            <w:r>
              <w:t xml:space="preserve">We make no recommendation in relation to trial products on that basis. </w:t>
            </w:r>
          </w:p>
        </w:tc>
      </w:tr>
      <w:tr w:rsidR="0090019F" w:rsidRPr="00317ABA" w14:paraId="7F531810" w14:textId="77777777">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4312" w:type="dxa"/>
            <w:gridSpan w:val="4"/>
            <w:shd w:val="clear" w:color="auto" w:fill="F79646" w:themeFill="accent6"/>
          </w:tcPr>
          <w:p w14:paraId="6BA3A08C" w14:textId="19B2520A" w:rsidR="0090019F" w:rsidRPr="00BF000E" w:rsidRDefault="0090019F" w:rsidP="00573222">
            <w:pPr>
              <w:keepNext/>
              <w:spacing w:line="276" w:lineRule="auto"/>
              <w:rPr>
                <w:rFonts w:cs="Arial"/>
              </w:rPr>
            </w:pPr>
            <w:r w:rsidRPr="00BF000E">
              <w:rPr>
                <w:rFonts w:cs="Arial"/>
              </w:rPr>
              <w:t xml:space="preserve">Other issues </w:t>
            </w:r>
          </w:p>
        </w:tc>
      </w:tr>
      <w:tr w:rsidR="0090019F" w:rsidRPr="00317ABA" w14:paraId="6A4FADE2" w14:textId="77777777" w:rsidTr="009F53B8">
        <w:trPr>
          <w:trHeight w:val="355"/>
        </w:trPr>
        <w:tc>
          <w:tcPr>
            <w:cnfStyle w:val="001000000000" w:firstRow="0" w:lastRow="0" w:firstColumn="1" w:lastColumn="0" w:oddVBand="0" w:evenVBand="0" w:oddHBand="0" w:evenHBand="0" w:firstRowFirstColumn="0" w:firstRowLastColumn="0" w:lastRowFirstColumn="0" w:lastRowLastColumn="0"/>
            <w:tcW w:w="704" w:type="dxa"/>
            <w:shd w:val="clear" w:color="auto" w:fill="F79646" w:themeFill="accent6"/>
          </w:tcPr>
          <w:p w14:paraId="348789F0" w14:textId="438134CB" w:rsidR="0090019F" w:rsidRPr="0053249F" w:rsidRDefault="00D66C4C" w:rsidP="0090019F">
            <w:pPr>
              <w:spacing w:line="276" w:lineRule="auto"/>
            </w:pPr>
            <w:r>
              <w:t>8</w:t>
            </w:r>
          </w:p>
        </w:tc>
        <w:tc>
          <w:tcPr>
            <w:tcW w:w="3119" w:type="dxa"/>
            <w:shd w:val="clear" w:color="auto" w:fill="FDE9D9" w:themeFill="accent6" w:themeFillTint="33"/>
          </w:tcPr>
          <w:p w14:paraId="4EC3949A" w14:textId="7651B113" w:rsidR="0090019F" w:rsidRPr="00B85B39" w:rsidRDefault="0090019F" w:rsidP="0090019F">
            <w:pPr>
              <w:spacing w:line="276" w:lineRule="auto"/>
              <w:cnfStyle w:val="000000000000" w:firstRow="0" w:lastRow="0" w:firstColumn="0" w:lastColumn="0" w:oddVBand="0" w:evenVBand="0" w:oddHBand="0" w:evenHBand="0" w:firstRowFirstColumn="0" w:firstRowLastColumn="0" w:lastRowFirstColumn="0" w:lastRowLastColumn="0"/>
            </w:pPr>
            <w:r>
              <w:rPr>
                <w:rFonts w:cs="Arial"/>
              </w:rPr>
              <w:t xml:space="preserve">The </w:t>
            </w:r>
            <w:r>
              <w:t>phased implementation of the CDR to the NBL sector.</w:t>
            </w:r>
          </w:p>
        </w:tc>
        <w:tc>
          <w:tcPr>
            <w:tcW w:w="3543" w:type="dxa"/>
            <w:shd w:val="clear" w:color="auto" w:fill="FDE9D9" w:themeFill="accent6" w:themeFillTint="33"/>
          </w:tcPr>
          <w:p w14:paraId="4028BEAC" w14:textId="4ED31834" w:rsidR="0090019F" w:rsidRPr="006C6D36" w:rsidRDefault="0090019F" w:rsidP="0090019F">
            <w:pPr>
              <w:spacing w:line="276" w:lineRule="auto"/>
              <w:cnfStyle w:val="000000000000" w:firstRow="0" w:lastRow="0" w:firstColumn="0" w:lastColumn="0" w:oddVBand="0" w:evenVBand="0" w:oddHBand="0" w:evenHBand="0" w:firstRowFirstColumn="0" w:firstRowLastColumn="0" w:lastRowFirstColumn="0" w:lastRowLastColumn="0"/>
            </w:pPr>
            <w:r>
              <w:rPr>
                <w:rFonts w:cs="Arial"/>
              </w:rPr>
              <w:t xml:space="preserve">This is a new concept for the </w:t>
            </w:r>
            <w:r>
              <w:t>NBL CDR Rules.</w:t>
            </w:r>
          </w:p>
        </w:tc>
        <w:tc>
          <w:tcPr>
            <w:tcW w:w="6946" w:type="dxa"/>
            <w:shd w:val="clear" w:color="auto" w:fill="FDE9D9" w:themeFill="accent6" w:themeFillTint="33"/>
          </w:tcPr>
          <w:p w14:paraId="03FE965C" w14:textId="13544F2C" w:rsidR="00573222" w:rsidRDefault="00573222" w:rsidP="0090019F">
            <w:pPr>
              <w:spacing w:line="276" w:lineRule="auto"/>
              <w:cnfStyle w:val="000000000000" w:firstRow="0" w:lastRow="0" w:firstColumn="0" w:lastColumn="0" w:oddVBand="0" w:evenVBand="0" w:oddHBand="0" w:evenHBand="0" w:firstRowFirstColumn="0" w:firstRowLastColumn="0" w:lastRowFirstColumn="0" w:lastRowLastColumn="0"/>
            </w:pPr>
            <w:r>
              <w:rPr>
                <w:rFonts w:cs="Arial"/>
              </w:rPr>
              <w:t xml:space="preserve">The </w:t>
            </w:r>
            <w:r>
              <w:t>NBL CDR Rules propose the phased implementation of the CDR to the NBL sector</w:t>
            </w:r>
            <w:r w:rsidR="00B944AD">
              <w:t xml:space="preserve"> as detailed in Schedule 3, Part 6 clause 6.1</w:t>
            </w:r>
            <w:r>
              <w:t>.</w:t>
            </w:r>
            <w:r>
              <w:rPr>
                <w:rStyle w:val="FootnoteReference"/>
              </w:rPr>
              <w:footnoteReference w:id="56"/>
            </w:r>
          </w:p>
          <w:p w14:paraId="78C30A9C" w14:textId="4A7A5C91" w:rsidR="00B944AD" w:rsidRDefault="00573222" w:rsidP="0090019F">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Treasury has indicated in its NBL </w:t>
            </w:r>
            <w:r w:rsidR="00F02547">
              <w:rPr>
                <w:rFonts w:cs="Arial"/>
              </w:rPr>
              <w:t>s</w:t>
            </w:r>
            <w:r>
              <w:rPr>
                <w:rFonts w:cs="Arial"/>
              </w:rPr>
              <w:t xml:space="preserve">ector </w:t>
            </w:r>
            <w:r w:rsidR="00F02547">
              <w:rPr>
                <w:rFonts w:cs="Arial"/>
              </w:rPr>
              <w:t>D</w:t>
            </w:r>
            <w:r>
              <w:rPr>
                <w:rFonts w:cs="Arial"/>
              </w:rPr>
              <w:t xml:space="preserve">esign </w:t>
            </w:r>
            <w:r w:rsidR="00F02547">
              <w:rPr>
                <w:rFonts w:cs="Arial"/>
              </w:rPr>
              <w:t>P</w:t>
            </w:r>
            <w:r>
              <w:rPr>
                <w:rFonts w:cs="Arial"/>
              </w:rPr>
              <w:t xml:space="preserve">aper that the basis for the phased implementation of the CDR to the NBL sector is to allow sufficient time </w:t>
            </w:r>
            <w:r w:rsidR="00B73D3B">
              <w:rPr>
                <w:rFonts w:cs="Arial"/>
              </w:rPr>
              <w:t xml:space="preserve">for </w:t>
            </w:r>
            <w:r w:rsidR="00B73D3B" w:rsidRPr="00B73D3B">
              <w:rPr>
                <w:rFonts w:cs="Arial"/>
              </w:rPr>
              <w:t>relevant non-bank lender</w:t>
            </w:r>
            <w:r w:rsidR="00B73D3B">
              <w:rPr>
                <w:rFonts w:cs="Arial"/>
              </w:rPr>
              <w:t xml:space="preserve">s to comply with the CDR. </w:t>
            </w:r>
            <w:r w:rsidR="00B944AD">
              <w:t>This also gives data holders time to build for their data sharing obligations and develop more sophisticated and secure CDR systems</w:t>
            </w:r>
            <w:r w:rsidR="00320D7D">
              <w:t xml:space="preserve"> (including IT systems)</w:t>
            </w:r>
            <w:r w:rsidR="00B944AD">
              <w:t xml:space="preserve">. </w:t>
            </w:r>
            <w:r w:rsidR="00320D7D">
              <w:t xml:space="preserve"> While not strictly a privacy issue, we consider this approach is sensible having regard to the diversity of players in the NBL sector. </w:t>
            </w:r>
          </w:p>
          <w:p w14:paraId="78A03ECF" w14:textId="60F96E00" w:rsidR="00084E98" w:rsidRDefault="00853547" w:rsidP="0090019F">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Some stakeholders are </w:t>
            </w:r>
            <w:r w:rsidR="00B73D3B">
              <w:rPr>
                <w:rFonts w:cs="Arial"/>
              </w:rPr>
              <w:t xml:space="preserve">supportive of the phased implementation of the CDR to the NBL sector and </w:t>
            </w:r>
            <w:r>
              <w:rPr>
                <w:rFonts w:cs="Arial"/>
              </w:rPr>
              <w:t xml:space="preserve">have suggested </w:t>
            </w:r>
            <w:r w:rsidR="00B73D3B">
              <w:rPr>
                <w:rFonts w:cs="Arial"/>
              </w:rPr>
              <w:t xml:space="preserve">that this phasing period be no less than 12 months from the making (amendment) of the </w:t>
            </w:r>
            <w:r w:rsidR="0003774A">
              <w:rPr>
                <w:rFonts w:cs="Arial"/>
              </w:rPr>
              <w:t xml:space="preserve">NBL </w:t>
            </w:r>
            <w:r w:rsidR="00B73D3B">
              <w:rPr>
                <w:rFonts w:cs="Arial"/>
              </w:rPr>
              <w:t>CDR Rule</w:t>
            </w:r>
            <w:r w:rsidR="0003774A">
              <w:rPr>
                <w:rFonts w:cs="Arial"/>
              </w:rPr>
              <w:t>s</w:t>
            </w:r>
            <w:r>
              <w:rPr>
                <w:rFonts w:cs="Arial"/>
              </w:rPr>
              <w:t xml:space="preserve"> </w:t>
            </w:r>
            <w:r w:rsidRPr="00853547">
              <w:rPr>
                <w:rFonts w:cs="Arial"/>
              </w:rPr>
              <w:t xml:space="preserve">to ensure data holders have an opportunity to understand the requirements and their compliance obligations and have sufficient time to prepare to comply.  </w:t>
            </w:r>
            <w:r w:rsidR="00616ADD">
              <w:rPr>
                <w:rFonts w:cs="Arial"/>
              </w:rPr>
              <w:t xml:space="preserve"> </w:t>
            </w:r>
          </w:p>
          <w:p w14:paraId="421BE897" w14:textId="13710E73" w:rsidR="0090019F" w:rsidRDefault="00616ADD" w:rsidP="0090019F">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Some stakeholders have expressed concern </w:t>
            </w:r>
            <w:r w:rsidR="00084E98">
              <w:rPr>
                <w:rFonts w:cs="Arial"/>
              </w:rPr>
              <w:t>that, due</w:t>
            </w:r>
            <w:r>
              <w:rPr>
                <w:rFonts w:cs="Arial"/>
              </w:rPr>
              <w:t xml:space="preserve"> to the significant technical and compliance uplift required,</w:t>
            </w:r>
            <w:r w:rsidR="00084E98">
              <w:rPr>
                <w:rFonts w:cs="Arial"/>
              </w:rPr>
              <w:t xml:space="preserve"> </w:t>
            </w:r>
            <w:r>
              <w:rPr>
                <w:rFonts w:cs="Arial"/>
              </w:rPr>
              <w:t>a longer transition period is necessary</w:t>
            </w:r>
            <w:r w:rsidR="00084E98">
              <w:rPr>
                <w:rFonts w:cs="Arial"/>
              </w:rPr>
              <w:t>, and that reconsideration of the proposed timelines for implementation should be undertaken.</w:t>
            </w:r>
            <w:r w:rsidR="00FB12B1">
              <w:rPr>
                <w:rFonts w:cs="Arial"/>
              </w:rPr>
              <w:t xml:space="preserve"> Stakeholders have also expressed concerns regarding awareness of the CDR expansion to the NBL sector among non-bank lender, suggesting that further awareness campaigns may be require</w:t>
            </w:r>
            <w:r w:rsidR="00F362F7">
              <w:rPr>
                <w:rFonts w:cs="Arial"/>
              </w:rPr>
              <w:t>d</w:t>
            </w:r>
            <w:r w:rsidR="00FB12B1">
              <w:rPr>
                <w:rFonts w:cs="Arial"/>
              </w:rPr>
              <w:t xml:space="preserve">. </w:t>
            </w:r>
            <w:r w:rsidR="00084E98">
              <w:rPr>
                <w:rFonts w:cs="Arial"/>
              </w:rPr>
              <w:t xml:space="preserve"> </w:t>
            </w:r>
          </w:p>
          <w:p w14:paraId="4F3FE1EE" w14:textId="68A6CBED" w:rsidR="00B73D3B" w:rsidRDefault="00B73D3B" w:rsidP="00B73D3B">
            <w:pPr>
              <w:spacing w:line="276" w:lineRule="auto"/>
              <w:cnfStyle w:val="000000000000" w:firstRow="0" w:lastRow="0" w:firstColumn="0" w:lastColumn="0" w:oddVBand="0" w:evenVBand="0" w:oddHBand="0" w:evenHBand="0" w:firstRowFirstColumn="0" w:firstRowLastColumn="0" w:lastRowFirstColumn="0" w:lastRowLastColumn="0"/>
            </w:pPr>
            <w:r>
              <w:t xml:space="preserve">We consider the proposal to phase the implementation of the CDR to the NBL sector does not give rise to any high privacy risks and recognises the scale of the regulatory change for the NBL sector. </w:t>
            </w:r>
          </w:p>
          <w:p w14:paraId="1BE378B4" w14:textId="14A37374" w:rsidR="00320D7D" w:rsidRDefault="00320D7D" w:rsidP="00320D7D">
            <w:pPr>
              <w:spacing w:line="276" w:lineRule="auto"/>
              <w:cnfStyle w:val="000000000000" w:firstRow="0" w:lastRow="0" w:firstColumn="0" w:lastColumn="0" w:oddVBand="0" w:evenVBand="0" w:oddHBand="0" w:evenHBand="0" w:firstRowFirstColumn="0" w:firstRowLastColumn="0" w:lastRowFirstColumn="0" w:lastRowLastColumn="0"/>
            </w:pPr>
            <w:r>
              <w:t xml:space="preserve">Having said that, having regard to stakeholder feedback about the NBL sector awareness (and preparedness) for compliance with the CDR, we make </w:t>
            </w:r>
            <w:r>
              <w:rPr>
                <w:b/>
                <w:bCs/>
              </w:rPr>
              <w:t>Recommendation 5</w:t>
            </w:r>
            <w:r>
              <w:t>.</w:t>
            </w:r>
          </w:p>
          <w:tbl>
            <w:tblPr>
              <w:tblStyle w:val="TableGrid"/>
              <w:tblpPr w:leftFromText="180" w:rightFromText="180" w:vertAnchor="text" w:horzAnchor="margin" w:tblpY="109"/>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79646" w:themeFill="accent6"/>
              <w:tblLayout w:type="fixed"/>
              <w:tblLook w:val="04A0" w:firstRow="1" w:lastRow="0" w:firstColumn="1" w:lastColumn="0" w:noHBand="0" w:noVBand="1"/>
            </w:tblPr>
            <w:tblGrid>
              <w:gridCol w:w="6720"/>
            </w:tblGrid>
            <w:tr w:rsidR="00320D7D" w14:paraId="56DAC7B0" w14:textId="77777777" w:rsidTr="00320D7D">
              <w:tc>
                <w:tcPr>
                  <w:tcW w:w="6720" w:type="dxa"/>
                  <w:shd w:val="clear" w:color="auto" w:fill="F79646" w:themeFill="accent6"/>
                </w:tcPr>
                <w:p w14:paraId="448253DE" w14:textId="77777777" w:rsidR="00320D7D" w:rsidRDefault="00320D7D" w:rsidP="00320D7D">
                  <w:pPr>
                    <w:spacing w:line="276" w:lineRule="auto"/>
                  </w:pPr>
                  <w:r w:rsidRPr="000455FA">
                    <w:rPr>
                      <w:rFonts w:cs="Arial"/>
                      <w:b/>
                      <w:bCs/>
                    </w:rPr>
                    <w:t xml:space="preserve">Recommendation </w:t>
                  </w:r>
                  <w:r>
                    <w:rPr>
                      <w:rFonts w:cs="Arial"/>
                      <w:b/>
                      <w:bCs/>
                    </w:rPr>
                    <w:t>5</w:t>
                  </w:r>
                  <w:r>
                    <w:rPr>
                      <w:rFonts w:cs="Arial"/>
                    </w:rPr>
                    <w:t xml:space="preserve"> – Treasury</w:t>
                  </w:r>
                  <w:r>
                    <w:t xml:space="preserve"> monitor the implementation of data holder’s obligations to see if any privacy concerns arise. </w:t>
                  </w:r>
                </w:p>
                <w:p w14:paraId="16265014" w14:textId="68E9BBD6" w:rsidR="00320D7D" w:rsidRDefault="00320D7D" w:rsidP="00320D7D">
                  <w:pPr>
                    <w:spacing w:line="276" w:lineRule="auto"/>
                    <w:rPr>
                      <w:rFonts w:cs="Arial"/>
                    </w:rPr>
                  </w:pPr>
                  <w:r>
                    <w:t xml:space="preserve">Treasury should engage with industry and stakeholders to identify instances where the information security / privacy-related IT infrastructure is particularly difficult to implement and if so, consider whether the timing of obligations should be amended. </w:t>
                  </w:r>
                </w:p>
              </w:tc>
            </w:tr>
          </w:tbl>
          <w:p w14:paraId="7627A772" w14:textId="114D0D23" w:rsidR="00B73D3B" w:rsidRPr="00B73D3B" w:rsidRDefault="00B73D3B" w:rsidP="00320D7D">
            <w:pPr>
              <w:spacing w:line="276" w:lineRule="auto"/>
              <w:cnfStyle w:val="000000000000" w:firstRow="0" w:lastRow="0" w:firstColumn="0" w:lastColumn="0" w:oddVBand="0" w:evenVBand="0" w:oddHBand="0" w:evenHBand="0" w:firstRowFirstColumn="0" w:firstRowLastColumn="0" w:lastRowFirstColumn="0" w:lastRowLastColumn="0"/>
              <w:rPr>
                <w:rFonts w:cs="Arial"/>
              </w:rPr>
            </w:pPr>
          </w:p>
        </w:tc>
      </w:tr>
    </w:tbl>
    <w:p w14:paraId="5360FF67" w14:textId="1A1E06A8" w:rsidR="00A84537" w:rsidRDefault="00A84537" w:rsidP="00A84537">
      <w:pPr>
        <w:pStyle w:val="Probity2"/>
        <w:numPr>
          <w:ilvl w:val="0"/>
          <w:numId w:val="0"/>
        </w:numPr>
      </w:pPr>
    </w:p>
    <w:p w14:paraId="3C9C52E6" w14:textId="77777777" w:rsidR="00A84537" w:rsidRDefault="00A84537" w:rsidP="00A84537">
      <w:pPr>
        <w:pStyle w:val="Probity2"/>
        <w:numPr>
          <w:ilvl w:val="0"/>
          <w:numId w:val="0"/>
        </w:numPr>
      </w:pPr>
    </w:p>
    <w:p w14:paraId="7DDD907B" w14:textId="0BEA7522" w:rsidR="00AC40A8" w:rsidRDefault="00AC40A8" w:rsidP="00A84537">
      <w:pPr>
        <w:pStyle w:val="Probity2"/>
        <w:numPr>
          <w:ilvl w:val="0"/>
          <w:numId w:val="0"/>
        </w:numPr>
        <w:sectPr w:rsidR="00AC40A8" w:rsidSect="00CC7417">
          <w:pgSz w:w="16838" w:h="11906" w:orient="landscape"/>
          <w:pgMar w:top="1440" w:right="1701" w:bottom="1440" w:left="1440" w:header="567" w:footer="709" w:gutter="0"/>
          <w:cols w:space="708"/>
          <w:docGrid w:linePitch="360"/>
        </w:sectPr>
      </w:pPr>
    </w:p>
    <w:p w14:paraId="6B8190C8" w14:textId="77777777" w:rsidR="00CA3609" w:rsidRPr="0053249F" w:rsidRDefault="00CA3609" w:rsidP="00CA3609">
      <w:pPr>
        <w:pStyle w:val="Probity1"/>
      </w:pPr>
      <w:bookmarkStart w:id="96" w:name="_Toc151587391"/>
      <w:bookmarkStart w:id="97" w:name="_Ref10120594"/>
      <w:bookmarkStart w:id="98" w:name="_Ref9606663"/>
      <w:r w:rsidRPr="0053249F">
        <w:t xml:space="preserve">Overall </w:t>
      </w:r>
      <w:r>
        <w:t>A</w:t>
      </w:r>
      <w:r w:rsidRPr="0053249F">
        <w:t>nalysis</w:t>
      </w:r>
      <w:bookmarkEnd w:id="96"/>
      <w:r w:rsidRPr="0053249F">
        <w:t xml:space="preserve"> </w:t>
      </w:r>
    </w:p>
    <w:p w14:paraId="649C451C" w14:textId="77777777" w:rsidR="00CA3609" w:rsidRPr="0053249F" w:rsidRDefault="00CA3609" w:rsidP="00CA3609">
      <w:pPr>
        <w:pStyle w:val="Probity2"/>
      </w:pPr>
      <w:r w:rsidRPr="0053249F">
        <w:t>We have made several recommendations in order to mitigate the privacy risks associated with the</w:t>
      </w:r>
      <w:r>
        <w:t xml:space="preserve"> Project. </w:t>
      </w:r>
    </w:p>
    <w:bookmarkEnd w:id="97"/>
    <w:p w14:paraId="5A143822" w14:textId="69820B09" w:rsidR="00CA3609" w:rsidRPr="0053249F" w:rsidRDefault="00CA3609" w:rsidP="00CA3609">
      <w:pPr>
        <w:pStyle w:val="Probity2"/>
      </w:pPr>
      <w:r w:rsidRPr="0053249F">
        <w:t xml:space="preserve">Subject to the </w:t>
      </w:r>
      <w:r>
        <w:t>Treasury’s</w:t>
      </w:r>
      <w:r w:rsidRPr="0053249F">
        <w:t xml:space="preserve"> consideration of our recommendations and observations in this </w:t>
      </w:r>
      <w:r w:rsidR="005227E7">
        <w:t xml:space="preserve">supplementary </w:t>
      </w:r>
      <w:r w:rsidRPr="0053249F">
        <w:t>PIA, we believe that the privacy risks associated with the</w:t>
      </w:r>
      <w:r>
        <w:t xml:space="preserve"> Project </w:t>
      </w:r>
      <w:r w:rsidRPr="0053249F">
        <w:t xml:space="preserve">can be effectively managed and mitigated against.  </w:t>
      </w:r>
    </w:p>
    <w:p w14:paraId="54BA5EF2" w14:textId="449BC885" w:rsidR="00CA3609" w:rsidRPr="0053249F" w:rsidRDefault="00CA3609" w:rsidP="00CA3609">
      <w:pPr>
        <w:pStyle w:val="Probity2"/>
      </w:pPr>
      <w:r w:rsidRPr="0053249F">
        <w:t xml:space="preserve">We otherwise remind the </w:t>
      </w:r>
      <w:r>
        <w:t>Treasury</w:t>
      </w:r>
      <w:r w:rsidRPr="0053249F">
        <w:t xml:space="preserve"> of the importance of ensuring that </w:t>
      </w:r>
      <w:r>
        <w:t xml:space="preserve">as the Project advances, further privacy risks may arise. As such we recommend reviewing this </w:t>
      </w:r>
      <w:r w:rsidR="005227E7">
        <w:t xml:space="preserve">supplementary </w:t>
      </w:r>
      <w:r>
        <w:t xml:space="preserve">PIA </w:t>
      </w:r>
      <w:r w:rsidR="005227E7">
        <w:t>to address emerging risks and issues</w:t>
      </w:r>
      <w:r w:rsidRPr="0053249F">
        <w:t xml:space="preserve">. </w:t>
      </w:r>
    </w:p>
    <w:p w14:paraId="0CD947A7" w14:textId="77777777" w:rsidR="00CA3609" w:rsidRPr="0053249F" w:rsidRDefault="00CA3609" w:rsidP="00CA3609">
      <w:pPr>
        <w:pStyle w:val="Probity1"/>
        <w:keepNext/>
      </w:pPr>
      <w:bookmarkStart w:id="99" w:name="_Toc151587392"/>
      <w:r w:rsidRPr="0053249F">
        <w:t xml:space="preserve">Next </w:t>
      </w:r>
      <w:r>
        <w:t>S</w:t>
      </w:r>
      <w:r w:rsidRPr="0053249F">
        <w:t>teps</w:t>
      </w:r>
      <w:bookmarkEnd w:id="99"/>
    </w:p>
    <w:p w14:paraId="069E8E10" w14:textId="77777777" w:rsidR="00CA3609" w:rsidRPr="0053249F" w:rsidRDefault="00CA3609" w:rsidP="00CA3609">
      <w:pPr>
        <w:pStyle w:val="Probity2"/>
        <w:keepNext/>
      </w:pPr>
      <w:r w:rsidRPr="0053249F">
        <w:t xml:space="preserve">We would be pleased to discuss our draft recommendations with you and discuss the next steps. </w:t>
      </w:r>
    </w:p>
    <w:p w14:paraId="0BBCBEBA" w14:textId="77777777" w:rsidR="00CA3609" w:rsidRPr="0053249F" w:rsidRDefault="00CA3609" w:rsidP="00CA3609">
      <w:pPr>
        <w:pStyle w:val="Probity3"/>
        <w:numPr>
          <w:ilvl w:val="0"/>
          <w:numId w:val="0"/>
        </w:numPr>
        <w:spacing w:before="0" w:after="200" w:line="276" w:lineRule="auto"/>
      </w:pPr>
    </w:p>
    <w:p w14:paraId="62EDA0E9" w14:textId="77777777" w:rsidR="00CA3609" w:rsidRPr="0053249F" w:rsidRDefault="00CA3609" w:rsidP="00CA3609">
      <w:pPr>
        <w:pStyle w:val="Probity3"/>
        <w:numPr>
          <w:ilvl w:val="0"/>
          <w:numId w:val="0"/>
        </w:numPr>
        <w:spacing w:before="0" w:after="200"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32"/>
        <w:gridCol w:w="4494"/>
      </w:tblGrid>
      <w:tr w:rsidR="00CA3609" w:rsidRPr="0053249F" w14:paraId="33D0E64B" w14:textId="77777777">
        <w:tc>
          <w:tcPr>
            <w:tcW w:w="4532" w:type="dxa"/>
            <w:shd w:val="clear" w:color="auto" w:fill="auto"/>
          </w:tcPr>
          <w:p w14:paraId="51430574" w14:textId="77777777" w:rsidR="00CA3609" w:rsidRPr="0053249F" w:rsidRDefault="00CA3609">
            <w:pPr>
              <w:pStyle w:val="NoSpacing"/>
              <w:keepNext/>
            </w:pPr>
            <w:r w:rsidRPr="0053249F">
              <w:t>Chantal Tipene, Partner</w:t>
            </w:r>
          </w:p>
          <w:p w14:paraId="133501D2" w14:textId="77777777" w:rsidR="00CA3609" w:rsidRPr="0053249F" w:rsidRDefault="00CA3609">
            <w:pPr>
              <w:pStyle w:val="NoSpacing"/>
              <w:keepNext/>
              <w:tabs>
                <w:tab w:val="left" w:pos="283"/>
              </w:tabs>
            </w:pPr>
            <w:r w:rsidRPr="0053249F">
              <w:t>t:</w:t>
            </w:r>
            <w:r w:rsidRPr="0053249F">
              <w:tab/>
              <w:t>+61 2 9260 2542</w:t>
            </w:r>
          </w:p>
          <w:p w14:paraId="73937E1F" w14:textId="77777777" w:rsidR="00CA3609" w:rsidRPr="0053249F" w:rsidRDefault="00CA3609">
            <w:pPr>
              <w:pStyle w:val="NoSpacing"/>
              <w:tabs>
                <w:tab w:val="left" w:pos="283"/>
              </w:tabs>
              <w:rPr>
                <w:highlight w:val="yellow"/>
              </w:rPr>
            </w:pPr>
            <w:r w:rsidRPr="0053249F">
              <w:t>e:</w:t>
            </w:r>
            <w:r w:rsidRPr="0053249F">
              <w:tab/>
              <w:t>Chantal.Tipene@sparke.com.au</w:t>
            </w:r>
          </w:p>
        </w:tc>
        <w:tc>
          <w:tcPr>
            <w:tcW w:w="4494" w:type="dxa"/>
            <w:shd w:val="clear" w:color="auto" w:fill="auto"/>
          </w:tcPr>
          <w:p w14:paraId="7C5A6B3C" w14:textId="77777777" w:rsidR="00CA3609" w:rsidRPr="0053249F" w:rsidRDefault="00CA3609">
            <w:pPr>
              <w:pStyle w:val="NoSpacing"/>
              <w:keepNext/>
            </w:pPr>
          </w:p>
        </w:tc>
      </w:tr>
    </w:tbl>
    <w:p w14:paraId="4FFE1D66" w14:textId="77777777" w:rsidR="00CA3609" w:rsidRDefault="00CA3609">
      <w:pPr>
        <w:spacing w:before="0" w:after="200" w:line="276" w:lineRule="auto"/>
        <w:rPr>
          <w:color w:val="D95E00"/>
          <w:sz w:val="40"/>
          <w:szCs w:val="40"/>
        </w:rPr>
      </w:pPr>
      <w:r>
        <w:br w:type="page"/>
      </w:r>
    </w:p>
    <w:p w14:paraId="64DFC0CA" w14:textId="0B15EEAA" w:rsidR="00E95A76" w:rsidRDefault="00CA3609" w:rsidP="00CA3609">
      <w:pPr>
        <w:pStyle w:val="Probity1"/>
        <w:keepNext/>
        <w:numPr>
          <w:ilvl w:val="0"/>
          <w:numId w:val="0"/>
        </w:numPr>
        <w:ind w:left="709" w:hanging="709"/>
      </w:pPr>
      <w:bookmarkStart w:id="100" w:name="_Toc151587393"/>
      <w:r>
        <w:t xml:space="preserve">Attachment A </w:t>
      </w:r>
      <w:r>
        <w:tab/>
      </w:r>
      <w:r w:rsidR="00E95A76">
        <w:t>Glossary</w:t>
      </w:r>
      <w:bookmarkEnd w:id="100"/>
      <w:r w:rsidR="00E95A76">
        <w:t xml:space="preserve"> </w:t>
      </w:r>
    </w:p>
    <w:p w14:paraId="67C620AC" w14:textId="3D730116" w:rsidR="00CA3609" w:rsidRDefault="00CA3609" w:rsidP="00CA3609">
      <w:pPr>
        <w:pStyle w:val="Probity2"/>
        <w:numPr>
          <w:ilvl w:val="0"/>
          <w:numId w:val="0"/>
        </w:numPr>
        <w:ind w:left="709" w:hanging="709"/>
      </w:pPr>
      <w:r>
        <w:t xml:space="preserve">In this supplementary PIA, terms defined in </w:t>
      </w:r>
      <w:r>
        <w:rPr>
          <w:b/>
          <w:bCs/>
        </w:rPr>
        <w:t>bold</w:t>
      </w:r>
      <w:r>
        <w:t xml:space="preserve"> have the following meaning: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907973" w14:paraId="3049C7E9" w14:textId="77777777" w:rsidTr="00907973">
        <w:tc>
          <w:tcPr>
            <w:tcW w:w="2405" w:type="dxa"/>
          </w:tcPr>
          <w:p w14:paraId="4BDB9143" w14:textId="51C6D70D" w:rsidR="00907973" w:rsidRPr="00A272D2" w:rsidRDefault="00907973" w:rsidP="00907973">
            <w:pPr>
              <w:pStyle w:val="Probity2"/>
              <w:numPr>
                <w:ilvl w:val="0"/>
                <w:numId w:val="0"/>
              </w:numPr>
              <w:rPr>
                <w:b/>
                <w:bCs/>
              </w:rPr>
            </w:pPr>
            <w:r>
              <w:rPr>
                <w:b/>
                <w:bCs/>
              </w:rPr>
              <w:t>2019 Banking PIA</w:t>
            </w:r>
          </w:p>
        </w:tc>
        <w:tc>
          <w:tcPr>
            <w:tcW w:w="6611" w:type="dxa"/>
          </w:tcPr>
          <w:p w14:paraId="41608E8E" w14:textId="5434DD5F" w:rsidR="00907973" w:rsidRDefault="00907973" w:rsidP="00907973">
            <w:pPr>
              <w:pStyle w:val="Probity2"/>
              <w:numPr>
                <w:ilvl w:val="0"/>
                <w:numId w:val="0"/>
              </w:numPr>
            </w:pPr>
            <w:r>
              <w:t xml:space="preserve">November 2019 – </w:t>
            </w:r>
            <w:r w:rsidRPr="000019EB">
              <w:t>Implementing the CDR to give consumers better access and control over their data</w:t>
            </w:r>
            <w:r>
              <w:t xml:space="preserve"> available at </w:t>
            </w:r>
            <w:hyperlink r:id="rId17" w:history="1">
              <w:r>
                <w:rPr>
                  <w:rStyle w:val="Hyperlink"/>
                </w:rPr>
                <w:t>Consumer Data Right | Treasury.gov.au</w:t>
              </w:r>
            </w:hyperlink>
            <w:r>
              <w:rPr>
                <w:rStyle w:val="Hyperlink"/>
              </w:rPr>
              <w:t xml:space="preserve"> </w:t>
            </w:r>
          </w:p>
        </w:tc>
      </w:tr>
      <w:tr w:rsidR="00907973" w14:paraId="45465068" w14:textId="77777777" w:rsidTr="00907973">
        <w:tc>
          <w:tcPr>
            <w:tcW w:w="2405" w:type="dxa"/>
          </w:tcPr>
          <w:p w14:paraId="7F56E556" w14:textId="0B1D6294" w:rsidR="00907973" w:rsidRPr="00A272D2" w:rsidRDefault="00907973" w:rsidP="00907973">
            <w:pPr>
              <w:pStyle w:val="Probity2"/>
              <w:numPr>
                <w:ilvl w:val="0"/>
                <w:numId w:val="0"/>
              </w:numPr>
              <w:rPr>
                <w:b/>
                <w:bCs/>
              </w:rPr>
            </w:pPr>
            <w:r w:rsidRPr="009845CD">
              <w:rPr>
                <w:b/>
                <w:bCs/>
              </w:rPr>
              <w:t>2019</w:t>
            </w:r>
            <w:r>
              <w:t xml:space="preserve"> </w:t>
            </w:r>
            <w:r>
              <w:rPr>
                <w:b/>
                <w:bCs/>
              </w:rPr>
              <w:t>CDR</w:t>
            </w:r>
            <w:r w:rsidRPr="005A793C">
              <w:rPr>
                <w:b/>
                <w:bCs/>
              </w:rPr>
              <w:t xml:space="preserve"> PIA</w:t>
            </w:r>
          </w:p>
        </w:tc>
        <w:tc>
          <w:tcPr>
            <w:tcW w:w="6611" w:type="dxa"/>
          </w:tcPr>
          <w:p w14:paraId="43A8FEDE" w14:textId="015B6BCF" w:rsidR="00907973" w:rsidRDefault="00907973" w:rsidP="00907973">
            <w:pPr>
              <w:pStyle w:val="Probity2"/>
              <w:numPr>
                <w:ilvl w:val="0"/>
                <w:numId w:val="0"/>
              </w:numPr>
            </w:pPr>
            <w:r>
              <w:t xml:space="preserve">March 2019 – </w:t>
            </w:r>
            <w:r w:rsidRPr="000019EB">
              <w:t xml:space="preserve">Implementing the </w:t>
            </w:r>
            <w:r>
              <w:t>CDR</w:t>
            </w:r>
            <w:r w:rsidRPr="000019EB">
              <w:t xml:space="preserve"> to give consumers better access and control over their data</w:t>
            </w:r>
            <w:r>
              <w:t xml:space="preserve"> available at </w:t>
            </w:r>
            <w:hyperlink r:id="rId18" w:history="1">
              <w:r>
                <w:rPr>
                  <w:rStyle w:val="Hyperlink"/>
                </w:rPr>
                <w:t>Consumer Data Right | Treasury.gov.au</w:t>
              </w:r>
            </w:hyperlink>
            <w:r>
              <w:rPr>
                <w:rStyle w:val="Hyperlink"/>
              </w:rPr>
              <w:t xml:space="preserve"> </w:t>
            </w:r>
          </w:p>
        </w:tc>
      </w:tr>
      <w:tr w:rsidR="00907973" w14:paraId="5D07162D" w14:textId="77777777" w:rsidTr="00907973">
        <w:tc>
          <w:tcPr>
            <w:tcW w:w="2405" w:type="dxa"/>
          </w:tcPr>
          <w:p w14:paraId="74C6E9B8" w14:textId="2B43A5D7" w:rsidR="00907973" w:rsidRPr="00A272D2" w:rsidRDefault="00907973" w:rsidP="00907973">
            <w:pPr>
              <w:pStyle w:val="Probity2"/>
              <w:numPr>
                <w:ilvl w:val="0"/>
                <w:numId w:val="0"/>
              </w:numPr>
              <w:rPr>
                <w:b/>
                <w:bCs/>
              </w:rPr>
            </w:pPr>
            <w:r w:rsidRPr="00D768CF">
              <w:rPr>
                <w:b/>
                <w:bCs/>
              </w:rPr>
              <w:t>2020 Energy PIA</w:t>
            </w:r>
          </w:p>
        </w:tc>
        <w:tc>
          <w:tcPr>
            <w:tcW w:w="6611" w:type="dxa"/>
          </w:tcPr>
          <w:p w14:paraId="0E012578" w14:textId="5D3DE114" w:rsidR="00907973" w:rsidRDefault="00907973" w:rsidP="00907973">
            <w:pPr>
              <w:pStyle w:val="Probity2"/>
              <w:numPr>
                <w:ilvl w:val="0"/>
                <w:numId w:val="0"/>
              </w:numPr>
            </w:pPr>
            <w:r>
              <w:t xml:space="preserve">June 2020 – </w:t>
            </w:r>
            <w:r w:rsidRPr="000019EB">
              <w:t>Supplementar</w:t>
            </w:r>
            <w:r>
              <w:t>y</w:t>
            </w:r>
            <w:r w:rsidRPr="000019EB">
              <w:t xml:space="preserve"> PIA focusing on expanding the CDR to the energy sector</w:t>
            </w:r>
            <w:r>
              <w:t xml:space="preserve"> available at </w:t>
            </w:r>
            <w:hyperlink r:id="rId19" w:history="1">
              <w:r>
                <w:rPr>
                  <w:rStyle w:val="Hyperlink"/>
                </w:rPr>
                <w:t>Consumer Data Right | Treasury.gov.au</w:t>
              </w:r>
            </w:hyperlink>
            <w:r>
              <w:rPr>
                <w:rStyle w:val="Hyperlink"/>
              </w:rPr>
              <w:t xml:space="preserve"> </w:t>
            </w:r>
          </w:p>
        </w:tc>
      </w:tr>
      <w:tr w:rsidR="00907973" w14:paraId="2C17A032" w14:textId="77777777" w:rsidTr="00907973">
        <w:tc>
          <w:tcPr>
            <w:tcW w:w="2405" w:type="dxa"/>
          </w:tcPr>
          <w:p w14:paraId="2A5812B9" w14:textId="7ED7E493" w:rsidR="00907973" w:rsidRPr="00A272D2" w:rsidRDefault="00907973" w:rsidP="00907973">
            <w:pPr>
              <w:pStyle w:val="Probity2"/>
              <w:numPr>
                <w:ilvl w:val="0"/>
                <w:numId w:val="0"/>
              </w:numPr>
              <w:rPr>
                <w:b/>
                <w:bCs/>
              </w:rPr>
            </w:pPr>
            <w:r w:rsidRPr="00F30A95">
              <w:rPr>
                <w:b/>
              </w:rPr>
              <w:t>ACCC</w:t>
            </w:r>
          </w:p>
        </w:tc>
        <w:tc>
          <w:tcPr>
            <w:tcW w:w="6611" w:type="dxa"/>
          </w:tcPr>
          <w:p w14:paraId="0FD2FBEE" w14:textId="3B68C833" w:rsidR="00907973" w:rsidRDefault="00907973" w:rsidP="00907973">
            <w:pPr>
              <w:pStyle w:val="Probity2"/>
              <w:numPr>
                <w:ilvl w:val="0"/>
                <w:numId w:val="0"/>
              </w:numPr>
            </w:pPr>
            <w:r w:rsidRPr="00D85BE9">
              <w:t>Australia Competition and Consumer Commission</w:t>
            </w:r>
          </w:p>
        </w:tc>
      </w:tr>
      <w:tr w:rsidR="00907973" w14:paraId="3939CEA1" w14:textId="77777777" w:rsidTr="00907973">
        <w:tc>
          <w:tcPr>
            <w:tcW w:w="2405" w:type="dxa"/>
          </w:tcPr>
          <w:p w14:paraId="5D5B21FD" w14:textId="7D642303" w:rsidR="00907973" w:rsidRDefault="00907973" w:rsidP="00907973">
            <w:pPr>
              <w:pStyle w:val="Probity2"/>
              <w:numPr>
                <w:ilvl w:val="0"/>
                <w:numId w:val="0"/>
              </w:numPr>
            </w:pPr>
            <w:r w:rsidRPr="00A272D2">
              <w:rPr>
                <w:b/>
                <w:bCs/>
              </w:rPr>
              <w:t>APPs</w:t>
            </w:r>
          </w:p>
        </w:tc>
        <w:tc>
          <w:tcPr>
            <w:tcW w:w="6611" w:type="dxa"/>
          </w:tcPr>
          <w:p w14:paraId="0C33C5D9" w14:textId="05A021D4" w:rsidR="00907973" w:rsidRDefault="00907973" w:rsidP="00907973">
            <w:pPr>
              <w:pStyle w:val="Probity2"/>
              <w:numPr>
                <w:ilvl w:val="0"/>
                <w:numId w:val="0"/>
              </w:numPr>
            </w:pPr>
            <w:r>
              <w:t xml:space="preserve">Australian Privacy Principles </w:t>
            </w:r>
          </w:p>
        </w:tc>
      </w:tr>
      <w:tr w:rsidR="00907973" w14:paraId="23DB208B" w14:textId="77777777" w:rsidTr="00907973">
        <w:tc>
          <w:tcPr>
            <w:tcW w:w="2405" w:type="dxa"/>
          </w:tcPr>
          <w:p w14:paraId="79B8C430" w14:textId="63332983" w:rsidR="00907973" w:rsidRPr="00907973" w:rsidRDefault="00907973" w:rsidP="00907973">
            <w:pPr>
              <w:pStyle w:val="Probity2"/>
              <w:numPr>
                <w:ilvl w:val="0"/>
                <w:numId w:val="0"/>
              </w:numPr>
              <w:rPr>
                <w:b/>
                <w:bCs/>
              </w:rPr>
            </w:pPr>
            <w:r w:rsidRPr="00907973">
              <w:rPr>
                <w:b/>
                <w:bCs/>
              </w:rPr>
              <w:t xml:space="preserve">BNPL </w:t>
            </w:r>
          </w:p>
        </w:tc>
        <w:tc>
          <w:tcPr>
            <w:tcW w:w="6611" w:type="dxa"/>
          </w:tcPr>
          <w:p w14:paraId="404B4D23" w14:textId="3CCC71D0" w:rsidR="00907973" w:rsidRDefault="00907973" w:rsidP="00907973">
            <w:pPr>
              <w:pStyle w:val="Probity2"/>
              <w:numPr>
                <w:ilvl w:val="0"/>
                <w:numId w:val="0"/>
              </w:numPr>
            </w:pPr>
            <w:r>
              <w:t>Buy Now, Pay Later</w:t>
            </w:r>
          </w:p>
        </w:tc>
      </w:tr>
      <w:tr w:rsidR="00907973" w14:paraId="62D42BED" w14:textId="77777777" w:rsidTr="00907973">
        <w:tc>
          <w:tcPr>
            <w:tcW w:w="2405" w:type="dxa"/>
          </w:tcPr>
          <w:p w14:paraId="287C2C65" w14:textId="124CD94A" w:rsidR="00907973" w:rsidRDefault="00907973" w:rsidP="00907973">
            <w:pPr>
              <w:pStyle w:val="Probity2"/>
              <w:numPr>
                <w:ilvl w:val="0"/>
                <w:numId w:val="0"/>
              </w:numPr>
            </w:pPr>
            <w:r w:rsidRPr="007B61E8">
              <w:rPr>
                <w:b/>
                <w:bCs/>
              </w:rPr>
              <w:t>CCR</w:t>
            </w:r>
          </w:p>
        </w:tc>
        <w:tc>
          <w:tcPr>
            <w:tcW w:w="6611" w:type="dxa"/>
          </w:tcPr>
          <w:p w14:paraId="3EBFE580" w14:textId="2938A428" w:rsidR="00907973" w:rsidRDefault="00907973" w:rsidP="00907973">
            <w:pPr>
              <w:pStyle w:val="Probity2"/>
              <w:numPr>
                <w:ilvl w:val="0"/>
                <w:numId w:val="0"/>
              </w:numPr>
            </w:pPr>
            <w:r w:rsidRPr="007B61E8">
              <w:t xml:space="preserve">Comprehensive Credit Regime </w:t>
            </w:r>
          </w:p>
        </w:tc>
      </w:tr>
      <w:tr w:rsidR="00907973" w14:paraId="502E3114" w14:textId="77777777" w:rsidTr="00907973">
        <w:tc>
          <w:tcPr>
            <w:tcW w:w="2405" w:type="dxa"/>
          </w:tcPr>
          <w:p w14:paraId="5CB04573" w14:textId="782E8A86" w:rsidR="00907973" w:rsidRPr="007B61E8" w:rsidRDefault="00907973" w:rsidP="00907973">
            <w:pPr>
              <w:pStyle w:val="Probity2"/>
              <w:numPr>
                <w:ilvl w:val="0"/>
                <w:numId w:val="0"/>
              </w:numPr>
              <w:rPr>
                <w:b/>
                <w:bCs/>
              </w:rPr>
            </w:pPr>
            <w:r w:rsidRPr="001F5D5F">
              <w:rPr>
                <w:b/>
                <w:bCs/>
              </w:rPr>
              <w:t>CDR</w:t>
            </w:r>
          </w:p>
        </w:tc>
        <w:tc>
          <w:tcPr>
            <w:tcW w:w="6611" w:type="dxa"/>
          </w:tcPr>
          <w:p w14:paraId="7165244A" w14:textId="2C853589" w:rsidR="00907973" w:rsidRPr="007B61E8" w:rsidRDefault="00907973" w:rsidP="00907973">
            <w:pPr>
              <w:pStyle w:val="Probity2"/>
              <w:numPr>
                <w:ilvl w:val="0"/>
                <w:numId w:val="0"/>
              </w:numPr>
            </w:pPr>
            <w:r>
              <w:t xml:space="preserve">Consumer Data Right as set out in Part IVD of the </w:t>
            </w:r>
            <w:r w:rsidRPr="008438CD">
              <w:rPr>
                <w:rFonts w:cs="Arial"/>
              </w:rPr>
              <w:t xml:space="preserve">Competition and Consumer Act </w:t>
            </w:r>
          </w:p>
        </w:tc>
      </w:tr>
      <w:tr w:rsidR="00907973" w14:paraId="0809DF4A" w14:textId="77777777" w:rsidTr="00907973">
        <w:tc>
          <w:tcPr>
            <w:tcW w:w="2405" w:type="dxa"/>
          </w:tcPr>
          <w:p w14:paraId="4ED6A441" w14:textId="433F0B36" w:rsidR="00907973" w:rsidRPr="001F5D5F" w:rsidRDefault="00907973" w:rsidP="00907973">
            <w:pPr>
              <w:pStyle w:val="Probity2"/>
              <w:numPr>
                <w:ilvl w:val="0"/>
                <w:numId w:val="0"/>
              </w:numPr>
              <w:rPr>
                <w:b/>
                <w:bCs/>
              </w:rPr>
            </w:pPr>
            <w:r w:rsidRPr="001F5D5F">
              <w:rPr>
                <w:b/>
                <w:bCs/>
              </w:rPr>
              <w:t>CDR Rule</w:t>
            </w:r>
            <w:r>
              <w:rPr>
                <w:b/>
                <w:bCs/>
              </w:rPr>
              <w:t>s</w:t>
            </w:r>
          </w:p>
        </w:tc>
        <w:tc>
          <w:tcPr>
            <w:tcW w:w="6611" w:type="dxa"/>
          </w:tcPr>
          <w:p w14:paraId="1B6836C5" w14:textId="649DE3B7" w:rsidR="00907973" w:rsidRDefault="00907973" w:rsidP="00907973">
            <w:pPr>
              <w:pStyle w:val="Probity2"/>
              <w:numPr>
                <w:ilvl w:val="0"/>
                <w:numId w:val="0"/>
              </w:numPr>
            </w:pPr>
            <w:r w:rsidRPr="001F5D5F">
              <w:rPr>
                <w:rFonts w:cs="Arial"/>
                <w:i/>
                <w:iCs/>
              </w:rPr>
              <w:t>Competition and Consumer (Consumer Data Right) Rules 2020</w:t>
            </w:r>
            <w:r>
              <w:rPr>
                <w:rFonts w:cs="Arial"/>
                <w:i/>
                <w:iCs/>
              </w:rPr>
              <w:t xml:space="preserve"> </w:t>
            </w:r>
            <w:r>
              <w:rPr>
                <w:rFonts w:cs="Arial"/>
              </w:rPr>
              <w:t>(</w:t>
            </w:r>
            <w:proofErr w:type="spellStart"/>
            <w:r>
              <w:rPr>
                <w:rFonts w:cs="Arial"/>
              </w:rPr>
              <w:t>Cth</w:t>
            </w:r>
            <w:proofErr w:type="spellEnd"/>
            <w:r>
              <w:rPr>
                <w:rFonts w:cs="Arial"/>
              </w:rPr>
              <w:t xml:space="preserve">) including Schedule 3 in respect to the banking sector </w:t>
            </w:r>
          </w:p>
        </w:tc>
      </w:tr>
      <w:tr w:rsidR="00907973" w14:paraId="19773E02" w14:textId="77777777" w:rsidTr="00907973">
        <w:tc>
          <w:tcPr>
            <w:tcW w:w="2405" w:type="dxa"/>
          </w:tcPr>
          <w:p w14:paraId="00A6076E" w14:textId="59773E72" w:rsidR="00907973" w:rsidRDefault="00907973" w:rsidP="00907973">
            <w:pPr>
              <w:pStyle w:val="Probity2"/>
              <w:numPr>
                <w:ilvl w:val="0"/>
                <w:numId w:val="0"/>
              </w:numPr>
            </w:pPr>
            <w:r w:rsidRPr="008438CD">
              <w:rPr>
                <w:rFonts w:cs="Arial"/>
                <w:b/>
                <w:bCs/>
              </w:rPr>
              <w:t xml:space="preserve">Competition and Consumer Act </w:t>
            </w:r>
          </w:p>
        </w:tc>
        <w:tc>
          <w:tcPr>
            <w:tcW w:w="6611" w:type="dxa"/>
          </w:tcPr>
          <w:p w14:paraId="7C77C2C0" w14:textId="4EA382D1" w:rsidR="00907973" w:rsidRDefault="00907973" w:rsidP="00907973">
            <w:pPr>
              <w:pStyle w:val="Probity2"/>
              <w:numPr>
                <w:ilvl w:val="0"/>
                <w:numId w:val="0"/>
              </w:numPr>
            </w:pPr>
            <w:r w:rsidRPr="008438CD">
              <w:rPr>
                <w:rFonts w:cs="Arial"/>
                <w:i/>
                <w:iCs/>
              </w:rPr>
              <w:t>Competition and Consumer Act 2010</w:t>
            </w:r>
            <w:r>
              <w:rPr>
                <w:rFonts w:cs="Arial"/>
                <w:i/>
                <w:iCs/>
              </w:rPr>
              <w:t xml:space="preserve"> </w:t>
            </w:r>
            <w:r>
              <w:rPr>
                <w:rFonts w:cs="Arial"/>
              </w:rPr>
              <w:t>(</w:t>
            </w:r>
            <w:proofErr w:type="spellStart"/>
            <w:r>
              <w:rPr>
                <w:rFonts w:cs="Arial"/>
              </w:rPr>
              <w:t>Cth</w:t>
            </w:r>
            <w:proofErr w:type="spellEnd"/>
            <w:r>
              <w:rPr>
                <w:rFonts w:cs="Arial"/>
              </w:rPr>
              <w:t>)</w:t>
            </w:r>
          </w:p>
        </w:tc>
      </w:tr>
      <w:tr w:rsidR="00907973" w14:paraId="14761326" w14:textId="77777777" w:rsidTr="00907973">
        <w:tc>
          <w:tcPr>
            <w:tcW w:w="2405" w:type="dxa"/>
          </w:tcPr>
          <w:p w14:paraId="0E92944B" w14:textId="213C6B03" w:rsidR="00907973" w:rsidRPr="00907973" w:rsidRDefault="00907973" w:rsidP="00907973">
            <w:pPr>
              <w:pStyle w:val="Probity2"/>
              <w:numPr>
                <w:ilvl w:val="0"/>
                <w:numId w:val="0"/>
              </w:numPr>
              <w:rPr>
                <w:b/>
                <w:bCs/>
              </w:rPr>
            </w:pPr>
            <w:r w:rsidRPr="00907973">
              <w:rPr>
                <w:b/>
                <w:bCs/>
              </w:rPr>
              <w:t xml:space="preserve">Credit Act </w:t>
            </w:r>
          </w:p>
        </w:tc>
        <w:tc>
          <w:tcPr>
            <w:tcW w:w="6611" w:type="dxa"/>
          </w:tcPr>
          <w:p w14:paraId="284FB240" w14:textId="27B5A12B" w:rsidR="00907973" w:rsidRPr="00907973" w:rsidRDefault="00907973" w:rsidP="00907973">
            <w:pPr>
              <w:pStyle w:val="Probity2"/>
              <w:numPr>
                <w:ilvl w:val="0"/>
                <w:numId w:val="0"/>
              </w:numPr>
            </w:pPr>
            <w:r w:rsidRPr="00907973">
              <w:rPr>
                <w:rFonts w:cs="Arial"/>
                <w:i/>
                <w:iCs/>
              </w:rPr>
              <w:t>National Consumer Credit Protection Act 2009</w:t>
            </w:r>
            <w:r>
              <w:rPr>
                <w:rFonts w:cs="Arial"/>
                <w:i/>
                <w:iCs/>
              </w:rPr>
              <w:t xml:space="preserve"> </w:t>
            </w:r>
            <w:r>
              <w:rPr>
                <w:rFonts w:cs="Arial"/>
              </w:rPr>
              <w:t>(</w:t>
            </w:r>
            <w:proofErr w:type="spellStart"/>
            <w:r>
              <w:rPr>
                <w:rFonts w:cs="Arial"/>
              </w:rPr>
              <w:t>Cth</w:t>
            </w:r>
            <w:proofErr w:type="spellEnd"/>
            <w:r>
              <w:rPr>
                <w:rFonts w:cs="Arial"/>
              </w:rPr>
              <w:t>)</w:t>
            </w:r>
          </w:p>
        </w:tc>
      </w:tr>
      <w:tr w:rsidR="00907973" w14:paraId="4FD15C94" w14:textId="77777777" w:rsidTr="00907973">
        <w:tc>
          <w:tcPr>
            <w:tcW w:w="2405" w:type="dxa"/>
          </w:tcPr>
          <w:p w14:paraId="523EB83A" w14:textId="6FE65FCF" w:rsidR="00907973" w:rsidRPr="005A6CB4" w:rsidRDefault="00907973" w:rsidP="00907973">
            <w:pPr>
              <w:pStyle w:val="Probity2"/>
              <w:numPr>
                <w:ilvl w:val="0"/>
                <w:numId w:val="0"/>
              </w:numPr>
              <w:rPr>
                <w:rFonts w:cs="Arial"/>
                <w:b/>
                <w:bCs/>
              </w:rPr>
            </w:pPr>
            <w:r w:rsidRPr="00F30A95">
              <w:rPr>
                <w:b/>
                <w:bCs/>
              </w:rPr>
              <w:t>DSB</w:t>
            </w:r>
          </w:p>
        </w:tc>
        <w:tc>
          <w:tcPr>
            <w:tcW w:w="6611" w:type="dxa"/>
          </w:tcPr>
          <w:p w14:paraId="4B2E71D2" w14:textId="73F67D16" w:rsidR="00907973" w:rsidRDefault="00907973" w:rsidP="00907973">
            <w:pPr>
              <w:pStyle w:val="Probity2"/>
              <w:numPr>
                <w:ilvl w:val="0"/>
                <w:numId w:val="0"/>
              </w:numPr>
              <w:rPr>
                <w:rFonts w:cs="Arial"/>
              </w:rPr>
            </w:pPr>
            <w:r>
              <w:t>Data Standards Body</w:t>
            </w:r>
          </w:p>
        </w:tc>
      </w:tr>
      <w:tr w:rsidR="00907973" w14:paraId="7130A0C7" w14:textId="77777777" w:rsidTr="00907973">
        <w:tc>
          <w:tcPr>
            <w:tcW w:w="2405" w:type="dxa"/>
          </w:tcPr>
          <w:p w14:paraId="6A7DD777" w14:textId="490880CF" w:rsidR="00907973" w:rsidRPr="008438CD" w:rsidRDefault="00907973" w:rsidP="00907973">
            <w:pPr>
              <w:pStyle w:val="Probity2"/>
              <w:numPr>
                <w:ilvl w:val="0"/>
                <w:numId w:val="0"/>
              </w:numPr>
              <w:rPr>
                <w:b/>
                <w:bCs/>
              </w:rPr>
            </w:pPr>
            <w:r w:rsidRPr="00D516E3">
              <w:rPr>
                <w:b/>
                <w:bCs/>
              </w:rPr>
              <w:t>FHI</w:t>
            </w:r>
          </w:p>
        </w:tc>
        <w:tc>
          <w:tcPr>
            <w:tcW w:w="6611" w:type="dxa"/>
          </w:tcPr>
          <w:p w14:paraId="78BFCD37" w14:textId="66424F73" w:rsidR="00907973" w:rsidRPr="008438CD" w:rsidRDefault="00907973" w:rsidP="00907973">
            <w:pPr>
              <w:pStyle w:val="Probity2"/>
              <w:numPr>
                <w:ilvl w:val="0"/>
                <w:numId w:val="0"/>
              </w:numPr>
              <w:rPr>
                <w:rFonts w:cs="Arial"/>
                <w:b/>
                <w:bCs/>
              </w:rPr>
            </w:pPr>
            <w:r>
              <w:t xml:space="preserve">Financial hardship information as defined in section </w:t>
            </w:r>
            <w:r w:rsidRPr="00D516E3">
              <w:t>6QA(4) of the Privac</w:t>
            </w:r>
            <w:r>
              <w:t>y</w:t>
            </w:r>
            <w:r w:rsidRPr="00D516E3">
              <w:t xml:space="preserve"> Act</w:t>
            </w:r>
          </w:p>
        </w:tc>
      </w:tr>
      <w:tr w:rsidR="00907973" w14:paraId="6E6B4500" w14:textId="77777777" w:rsidTr="00907973">
        <w:tc>
          <w:tcPr>
            <w:tcW w:w="2405" w:type="dxa"/>
          </w:tcPr>
          <w:p w14:paraId="3300ABB1" w14:textId="58ABBF05" w:rsidR="00907973" w:rsidRPr="003E3540" w:rsidRDefault="00907973" w:rsidP="00907973">
            <w:pPr>
              <w:pStyle w:val="Probity2"/>
              <w:numPr>
                <w:ilvl w:val="0"/>
                <w:numId w:val="0"/>
              </w:numPr>
              <w:rPr>
                <w:b/>
                <w:bCs/>
              </w:rPr>
            </w:pPr>
            <w:r w:rsidRPr="003A4455">
              <w:rPr>
                <w:b/>
                <w:bCs/>
              </w:rPr>
              <w:t>NBL Sector Designation</w:t>
            </w:r>
          </w:p>
        </w:tc>
        <w:tc>
          <w:tcPr>
            <w:tcW w:w="6611" w:type="dxa"/>
          </w:tcPr>
          <w:p w14:paraId="3BC7789F" w14:textId="4FCC0CB0" w:rsidR="00907973" w:rsidRPr="003E3540" w:rsidRDefault="00907973" w:rsidP="00907973">
            <w:pPr>
              <w:pStyle w:val="Probity2"/>
              <w:numPr>
                <w:ilvl w:val="0"/>
                <w:numId w:val="0"/>
              </w:numPr>
              <w:rPr>
                <w:i/>
                <w:iCs/>
              </w:rPr>
            </w:pPr>
            <w:r w:rsidRPr="003A4455">
              <w:rPr>
                <w:i/>
                <w:iCs/>
              </w:rPr>
              <w:t>Consumer Data Right (Non-Bank Lenders) Designation 2022</w:t>
            </w:r>
            <w:r>
              <w:rPr>
                <w:i/>
                <w:iCs/>
              </w:rPr>
              <w:t xml:space="preserve"> </w:t>
            </w:r>
            <w:r>
              <w:t>(</w:t>
            </w:r>
            <w:proofErr w:type="spellStart"/>
            <w:r>
              <w:t>Cth</w:t>
            </w:r>
            <w:proofErr w:type="spellEnd"/>
            <w:r>
              <w:t xml:space="preserve">) </w:t>
            </w:r>
          </w:p>
        </w:tc>
      </w:tr>
      <w:tr w:rsidR="00456FFC" w14:paraId="1255BE03" w14:textId="77777777" w:rsidTr="00907973">
        <w:tc>
          <w:tcPr>
            <w:tcW w:w="2405" w:type="dxa"/>
          </w:tcPr>
          <w:p w14:paraId="7EA420E9" w14:textId="2EBD6482" w:rsidR="00456FFC" w:rsidRPr="003A4455" w:rsidRDefault="00456FFC" w:rsidP="00456FFC">
            <w:pPr>
              <w:pStyle w:val="Probity2"/>
              <w:numPr>
                <w:ilvl w:val="0"/>
                <w:numId w:val="0"/>
              </w:numPr>
              <w:rPr>
                <w:b/>
                <w:bCs/>
              </w:rPr>
            </w:pPr>
            <w:r w:rsidRPr="005A6CB4">
              <w:rPr>
                <w:rFonts w:cs="Arial"/>
                <w:b/>
                <w:bCs/>
              </w:rPr>
              <w:t>NBL CDR Rules</w:t>
            </w:r>
          </w:p>
        </w:tc>
        <w:tc>
          <w:tcPr>
            <w:tcW w:w="6611" w:type="dxa"/>
          </w:tcPr>
          <w:p w14:paraId="798F87B2" w14:textId="0F24C44F" w:rsidR="00456FFC" w:rsidRPr="003A4455" w:rsidRDefault="00456FFC" w:rsidP="00456FFC">
            <w:pPr>
              <w:pStyle w:val="Probity2"/>
              <w:numPr>
                <w:ilvl w:val="0"/>
                <w:numId w:val="0"/>
              </w:numPr>
              <w:rPr>
                <w:i/>
                <w:iCs/>
              </w:rPr>
            </w:pPr>
            <w:r>
              <w:rPr>
                <w:i/>
                <w:iCs/>
              </w:rPr>
              <w:t xml:space="preserve">Competition and Consumer (Consumer Data Right) Amendment Rules (No 2) 2023 </w:t>
            </w:r>
            <w:r>
              <w:t>as at 27 November 2023</w:t>
            </w:r>
          </w:p>
        </w:tc>
      </w:tr>
      <w:tr w:rsidR="00907973" w14:paraId="77675A7B" w14:textId="77777777" w:rsidTr="00907973">
        <w:tc>
          <w:tcPr>
            <w:tcW w:w="2405" w:type="dxa"/>
          </w:tcPr>
          <w:p w14:paraId="3137FB97" w14:textId="2811E63B" w:rsidR="00907973" w:rsidRPr="001F5D5F" w:rsidRDefault="00907973" w:rsidP="00907973">
            <w:pPr>
              <w:pStyle w:val="Probity2"/>
              <w:numPr>
                <w:ilvl w:val="0"/>
                <w:numId w:val="0"/>
              </w:numPr>
              <w:rPr>
                <w:b/>
                <w:bCs/>
              </w:rPr>
            </w:pPr>
            <w:r w:rsidRPr="003E3540">
              <w:rPr>
                <w:b/>
                <w:bCs/>
              </w:rPr>
              <w:t>NBL sector Design Paper</w:t>
            </w:r>
          </w:p>
        </w:tc>
        <w:tc>
          <w:tcPr>
            <w:tcW w:w="6611" w:type="dxa"/>
          </w:tcPr>
          <w:p w14:paraId="4BBB9C48" w14:textId="51BA39F4" w:rsidR="00907973" w:rsidRDefault="00907973" w:rsidP="00907973">
            <w:pPr>
              <w:pStyle w:val="Probity2"/>
              <w:numPr>
                <w:ilvl w:val="0"/>
                <w:numId w:val="0"/>
              </w:numPr>
            </w:pPr>
            <w:r w:rsidRPr="003E3540">
              <w:rPr>
                <w:i/>
                <w:iCs/>
              </w:rPr>
              <w:t>Consumer data right in non-bank lending CDR rules and data standards design paper</w:t>
            </w:r>
            <w:r>
              <w:t xml:space="preserve"> dated December 2022 accessed at </w:t>
            </w:r>
            <w:hyperlink r:id="rId20" w:history="1">
              <w:r>
                <w:rPr>
                  <w:rStyle w:val="Hyperlink"/>
                </w:rPr>
                <w:t>Consumer data right in non-bank lending - CDR rules and data standards design paper (treasury.gov.au)</w:t>
              </w:r>
            </w:hyperlink>
            <w:r>
              <w:t>.</w:t>
            </w:r>
          </w:p>
        </w:tc>
      </w:tr>
      <w:tr w:rsidR="00F46D4B" w14:paraId="45A55906" w14:textId="77777777" w:rsidTr="00907973">
        <w:tc>
          <w:tcPr>
            <w:tcW w:w="2405" w:type="dxa"/>
          </w:tcPr>
          <w:p w14:paraId="042C2FB2" w14:textId="184A2C04" w:rsidR="00F46D4B" w:rsidRPr="003E3540" w:rsidRDefault="00F46D4B" w:rsidP="00907973">
            <w:pPr>
              <w:pStyle w:val="Probity2"/>
              <w:numPr>
                <w:ilvl w:val="0"/>
                <w:numId w:val="0"/>
              </w:numPr>
              <w:rPr>
                <w:b/>
                <w:bCs/>
              </w:rPr>
            </w:pPr>
            <w:r w:rsidRPr="00C36245">
              <w:rPr>
                <w:b/>
                <w:bCs/>
              </w:rPr>
              <w:t>NBL Sector PIA</w:t>
            </w:r>
          </w:p>
        </w:tc>
        <w:tc>
          <w:tcPr>
            <w:tcW w:w="6611" w:type="dxa"/>
          </w:tcPr>
          <w:p w14:paraId="2E2E6A00" w14:textId="1F4FD7A1" w:rsidR="00F46D4B" w:rsidRPr="00F46D4B" w:rsidRDefault="00F46D4B" w:rsidP="00F46D4B">
            <w:pPr>
              <w:pStyle w:val="Probity3"/>
              <w:numPr>
                <w:ilvl w:val="0"/>
                <w:numId w:val="0"/>
              </w:numPr>
            </w:pPr>
            <w:r w:rsidRPr="000019EB">
              <w:t>PIA update: examining the privacy impact of designating the non-bank lending sector to the CDR</w:t>
            </w:r>
            <w:r>
              <w:t xml:space="preserve"> dated August 2022 (see Attachment A to the </w:t>
            </w:r>
            <w:r w:rsidRPr="0017742B">
              <w:t>NBL Sector Report</w:t>
            </w:r>
            <w:r>
              <w:t>)</w:t>
            </w:r>
          </w:p>
        </w:tc>
      </w:tr>
      <w:tr w:rsidR="00907973" w14:paraId="0FA74060" w14:textId="77777777" w:rsidTr="00907973">
        <w:tc>
          <w:tcPr>
            <w:tcW w:w="2405" w:type="dxa"/>
          </w:tcPr>
          <w:p w14:paraId="2C9FCCF6" w14:textId="3A95CD28" w:rsidR="00907973" w:rsidRPr="003E3540" w:rsidRDefault="00907973" w:rsidP="00907973">
            <w:pPr>
              <w:pStyle w:val="Probity2"/>
              <w:numPr>
                <w:ilvl w:val="0"/>
                <w:numId w:val="0"/>
              </w:numPr>
              <w:rPr>
                <w:b/>
                <w:bCs/>
              </w:rPr>
            </w:pPr>
            <w:r>
              <w:rPr>
                <w:b/>
                <w:bCs/>
              </w:rPr>
              <w:t>NBL Sector Report</w:t>
            </w:r>
          </w:p>
        </w:tc>
        <w:tc>
          <w:tcPr>
            <w:tcW w:w="6611" w:type="dxa"/>
          </w:tcPr>
          <w:p w14:paraId="0986B3AA" w14:textId="1FEC57BE" w:rsidR="00907973" w:rsidRPr="003E3540" w:rsidRDefault="00907973" w:rsidP="00907973">
            <w:pPr>
              <w:pStyle w:val="Probity2"/>
              <w:numPr>
                <w:ilvl w:val="0"/>
                <w:numId w:val="0"/>
              </w:numPr>
              <w:rPr>
                <w:i/>
                <w:iCs/>
              </w:rPr>
            </w:pPr>
            <w:r>
              <w:rPr>
                <w:i/>
                <w:iCs/>
              </w:rPr>
              <w:t xml:space="preserve">Consumer data right: Non-bank lending sectoral assessment </w:t>
            </w:r>
            <w:r>
              <w:t xml:space="preserve">final report dated August 2022 available at </w:t>
            </w:r>
            <w:hyperlink r:id="rId21" w:history="1">
              <w:r>
                <w:rPr>
                  <w:rStyle w:val="Hyperlink"/>
                </w:rPr>
                <w:t>Consumer Data Right – Sectoral Assessment for Non-Bank Lending – Final Report | Treasury.gov.au</w:t>
              </w:r>
            </w:hyperlink>
          </w:p>
        </w:tc>
      </w:tr>
      <w:tr w:rsidR="00907973" w14:paraId="7464FBAB" w14:textId="77777777" w:rsidTr="00907973">
        <w:tc>
          <w:tcPr>
            <w:tcW w:w="2405" w:type="dxa"/>
          </w:tcPr>
          <w:p w14:paraId="2E5FF6AA" w14:textId="144DBF3D" w:rsidR="00907973" w:rsidRDefault="00907973" w:rsidP="00907973">
            <w:pPr>
              <w:pStyle w:val="Probity2"/>
              <w:numPr>
                <w:ilvl w:val="0"/>
                <w:numId w:val="0"/>
              </w:numPr>
              <w:rPr>
                <w:b/>
                <w:bCs/>
              </w:rPr>
            </w:pPr>
            <w:r w:rsidRPr="00F30A95">
              <w:rPr>
                <w:b/>
              </w:rPr>
              <w:t>OAIC</w:t>
            </w:r>
          </w:p>
        </w:tc>
        <w:tc>
          <w:tcPr>
            <w:tcW w:w="6611" w:type="dxa"/>
          </w:tcPr>
          <w:p w14:paraId="3286B1EF" w14:textId="05AE3E50" w:rsidR="00907973" w:rsidRDefault="00907973" w:rsidP="00907973">
            <w:pPr>
              <w:pStyle w:val="Probity2"/>
              <w:numPr>
                <w:ilvl w:val="0"/>
                <w:numId w:val="0"/>
              </w:numPr>
              <w:rPr>
                <w:i/>
                <w:iCs/>
              </w:rPr>
            </w:pPr>
            <w:r w:rsidRPr="00D85BE9">
              <w:t xml:space="preserve">Office of the Australian Information Commissioner </w:t>
            </w:r>
          </w:p>
        </w:tc>
      </w:tr>
      <w:tr w:rsidR="00907973" w14:paraId="11B9CD1F" w14:textId="77777777" w:rsidTr="00907973">
        <w:tc>
          <w:tcPr>
            <w:tcW w:w="2405" w:type="dxa"/>
          </w:tcPr>
          <w:p w14:paraId="316D805D" w14:textId="798A88A1" w:rsidR="00907973" w:rsidRPr="001F5D5F" w:rsidRDefault="00907973" w:rsidP="00907973">
            <w:pPr>
              <w:pStyle w:val="Probity2"/>
              <w:numPr>
                <w:ilvl w:val="0"/>
                <w:numId w:val="0"/>
              </w:numPr>
              <w:rPr>
                <w:b/>
                <w:bCs/>
              </w:rPr>
            </w:pPr>
            <w:r w:rsidRPr="001F5D5F">
              <w:rPr>
                <w:b/>
                <w:bCs/>
              </w:rPr>
              <w:t>PIA</w:t>
            </w:r>
          </w:p>
        </w:tc>
        <w:tc>
          <w:tcPr>
            <w:tcW w:w="6611" w:type="dxa"/>
          </w:tcPr>
          <w:p w14:paraId="50E23937" w14:textId="6FE18A59" w:rsidR="00F46D4B" w:rsidRDefault="00907973" w:rsidP="00907973">
            <w:pPr>
              <w:pStyle w:val="Probity2"/>
              <w:numPr>
                <w:ilvl w:val="0"/>
                <w:numId w:val="0"/>
              </w:numPr>
            </w:pPr>
            <w:r>
              <w:t>Privacy Impact Assessment undertaken in accordance with the OAIC’s</w:t>
            </w:r>
            <w:r w:rsidR="00F46D4B">
              <w:t xml:space="preserve"> </w:t>
            </w:r>
            <w:r w:rsidR="00F46D4B">
              <w:rPr>
                <w:i/>
                <w:iCs/>
              </w:rPr>
              <w:t>Guide to undertaking privacy impact assessments</w:t>
            </w:r>
            <w:r>
              <w:t xml:space="preserve"> </w:t>
            </w:r>
          </w:p>
        </w:tc>
      </w:tr>
      <w:tr w:rsidR="00907973" w14:paraId="11160020" w14:textId="77777777" w:rsidTr="00907973">
        <w:tc>
          <w:tcPr>
            <w:tcW w:w="2405" w:type="dxa"/>
          </w:tcPr>
          <w:p w14:paraId="4FBDD55B" w14:textId="26247A9D" w:rsidR="00907973" w:rsidRPr="001F5D5F" w:rsidRDefault="00907973" w:rsidP="00907973">
            <w:pPr>
              <w:pStyle w:val="Probity2"/>
              <w:numPr>
                <w:ilvl w:val="0"/>
                <w:numId w:val="0"/>
              </w:numPr>
              <w:rPr>
                <w:b/>
                <w:bCs/>
              </w:rPr>
            </w:pPr>
            <w:r>
              <w:rPr>
                <w:b/>
                <w:bCs/>
              </w:rPr>
              <w:t>Privacy Act</w:t>
            </w:r>
          </w:p>
        </w:tc>
        <w:tc>
          <w:tcPr>
            <w:tcW w:w="6611" w:type="dxa"/>
          </w:tcPr>
          <w:p w14:paraId="40AEE863" w14:textId="6080A157" w:rsidR="00907973" w:rsidRDefault="00907973" w:rsidP="00907973">
            <w:pPr>
              <w:pStyle w:val="Probity2"/>
              <w:numPr>
                <w:ilvl w:val="0"/>
                <w:numId w:val="0"/>
              </w:numPr>
            </w:pPr>
            <w:r>
              <w:rPr>
                <w:i/>
                <w:iCs/>
              </w:rPr>
              <w:t xml:space="preserve">Privacy Act 1988 </w:t>
            </w:r>
            <w:r>
              <w:t>(</w:t>
            </w:r>
            <w:proofErr w:type="spellStart"/>
            <w:r>
              <w:t>Cth</w:t>
            </w:r>
            <w:proofErr w:type="spellEnd"/>
            <w:r>
              <w:t xml:space="preserve">) </w:t>
            </w:r>
          </w:p>
        </w:tc>
      </w:tr>
      <w:tr w:rsidR="00907973" w14:paraId="0D198C84" w14:textId="77777777" w:rsidTr="00907973">
        <w:tc>
          <w:tcPr>
            <w:tcW w:w="2405" w:type="dxa"/>
          </w:tcPr>
          <w:p w14:paraId="1FFEE572" w14:textId="18E985E1" w:rsidR="00907973" w:rsidRPr="00D516E3" w:rsidRDefault="00907973" w:rsidP="00907973">
            <w:pPr>
              <w:pStyle w:val="Probity2"/>
              <w:numPr>
                <w:ilvl w:val="0"/>
                <w:numId w:val="0"/>
              </w:numPr>
              <w:rPr>
                <w:b/>
                <w:bCs/>
              </w:rPr>
            </w:pPr>
            <w:r w:rsidRPr="001F5D5F">
              <w:rPr>
                <w:b/>
                <w:bCs/>
              </w:rPr>
              <w:t xml:space="preserve">Privacy Safeguards </w:t>
            </w:r>
          </w:p>
        </w:tc>
        <w:tc>
          <w:tcPr>
            <w:tcW w:w="6611" w:type="dxa"/>
          </w:tcPr>
          <w:p w14:paraId="10B50F53" w14:textId="51C1C3DB" w:rsidR="00907973" w:rsidRDefault="00907973" w:rsidP="00907973">
            <w:pPr>
              <w:pStyle w:val="Probity2"/>
              <w:numPr>
                <w:ilvl w:val="0"/>
                <w:numId w:val="0"/>
              </w:numPr>
            </w:pPr>
            <w:r>
              <w:t xml:space="preserve">the privacy safeguards set out in Part IVD of the </w:t>
            </w:r>
            <w:r w:rsidRPr="008438CD">
              <w:rPr>
                <w:rFonts w:cs="Arial"/>
              </w:rPr>
              <w:t xml:space="preserve">Competition and Consumer Act </w:t>
            </w:r>
            <w:r>
              <w:rPr>
                <w:rFonts w:cs="Arial"/>
              </w:rPr>
              <w:t xml:space="preserve">and the application of those privacy safeguards to the CDR in </w:t>
            </w:r>
            <w:r>
              <w:t>Division 7.2 of Part 7 of the CDR Rules</w:t>
            </w:r>
          </w:p>
        </w:tc>
      </w:tr>
    </w:tbl>
    <w:p w14:paraId="7FFD7DF5" w14:textId="77777777" w:rsidR="00CA3609" w:rsidRDefault="00CA3609" w:rsidP="00CA3609">
      <w:pPr>
        <w:pStyle w:val="Probity2"/>
        <w:numPr>
          <w:ilvl w:val="0"/>
          <w:numId w:val="0"/>
        </w:numPr>
      </w:pPr>
    </w:p>
    <w:p w14:paraId="6991AAC1" w14:textId="145093F2" w:rsidR="0031688E" w:rsidRDefault="0031688E" w:rsidP="00EF5288">
      <w:pPr>
        <w:spacing w:before="0" w:after="200" w:line="276" w:lineRule="auto"/>
      </w:pPr>
      <w:bookmarkStart w:id="101" w:name="subsection2"/>
      <w:bookmarkStart w:id="102" w:name="notetext"/>
      <w:bookmarkEnd w:id="98"/>
      <w:bookmarkEnd w:id="101"/>
      <w:bookmarkEnd w:id="102"/>
    </w:p>
    <w:sectPr w:rsidR="0031688E" w:rsidSect="00CC7417">
      <w:pgSz w:w="11906" w:h="16838"/>
      <w:pgMar w:top="1701" w:right="1440"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F3572" w14:textId="77777777" w:rsidR="00562577" w:rsidRDefault="00562577" w:rsidP="0064458B">
      <w:pPr>
        <w:spacing w:before="0" w:after="0" w:line="240" w:lineRule="auto"/>
      </w:pPr>
      <w:r>
        <w:separator/>
      </w:r>
    </w:p>
  </w:endnote>
  <w:endnote w:type="continuationSeparator" w:id="0">
    <w:p w14:paraId="16E380BA" w14:textId="77777777" w:rsidR="00562577" w:rsidRDefault="00562577" w:rsidP="0064458B">
      <w:pPr>
        <w:spacing w:before="0" w:after="0" w:line="240" w:lineRule="auto"/>
      </w:pPr>
      <w:r>
        <w:continuationSeparator/>
      </w:r>
    </w:p>
  </w:endnote>
  <w:endnote w:type="continuationNotice" w:id="1">
    <w:p w14:paraId="6EB76E44" w14:textId="77777777" w:rsidR="00562577" w:rsidRDefault="005625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1">
    <w:altName w:val="Calibri"/>
    <w:panose1 w:val="00000000000000000000"/>
    <w:charset w:val="00"/>
    <w:family w:val="swiss"/>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imSun-ExtB">
    <w:panose1 w:val="02010609060101010101"/>
    <w:charset w:val="86"/>
    <w:family w:val="modern"/>
    <w:pitch w:val="fixed"/>
    <w:sig w:usb0="00000003" w:usb1="0A0E0000" w:usb2="00000010"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BB39" w14:textId="77777777" w:rsidR="00C56E71" w:rsidRDefault="00C56E71" w:rsidP="00C22F8C">
    <w:pPr>
      <w:framePr w:wrap="around" w:vAnchor="text" w:hAnchor="margin" w:xAlign="right" w:y="1"/>
    </w:pPr>
    <w:r>
      <w:fldChar w:fldCharType="begin"/>
    </w:r>
    <w:r>
      <w:instrText xml:space="preserve">PAGE  </w:instrText>
    </w:r>
    <w:r>
      <w:fldChar w:fldCharType="separate"/>
    </w:r>
    <w:r>
      <w:t>1</w:t>
    </w:r>
    <w:r>
      <w:fldChar w:fldCharType="end"/>
    </w:r>
  </w:p>
  <w:p w14:paraId="7F7B3785" w14:textId="77777777" w:rsidR="00C56E71" w:rsidRPr="00081D8D" w:rsidRDefault="00C56E71" w:rsidP="00C22F8C">
    <w:pPr>
      <w:ind w:right="360"/>
    </w:pPr>
    <w:r>
      <w:t>PREC\</w:t>
    </w:r>
    <w:smartTag w:uri="urn:schemas-microsoft-com:office:smarttags" w:element="country-region">
      <w:r>
        <w:t>SJT</w:t>
      </w:r>
    </w:smartTag>
    <w:r>
      <w:t>\DSYD\21923645\1</w:t>
    </w:r>
  </w:p>
  <w:p w14:paraId="350DE3E6" w14:textId="77777777" w:rsidR="00C56E71" w:rsidRDefault="00C56E71" w:rsidP="00C22F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9E620" w14:textId="1D3429F2" w:rsidR="00C56E71" w:rsidRPr="00C90561" w:rsidRDefault="00C56E71" w:rsidP="00BA6808">
    <w:pPr>
      <w:pStyle w:val="Footer"/>
      <w:tabs>
        <w:tab w:val="clear" w:pos="9072"/>
        <w:tab w:val="right" w:pos="9071"/>
      </w:tabs>
      <w:jc w:val="right"/>
    </w:pPr>
    <w:r>
      <w:t xml:space="preserve">Page </w:t>
    </w:r>
    <w:r>
      <w:fldChar w:fldCharType="begin"/>
    </w:r>
    <w:r>
      <w:instrText xml:space="preserve"> PAGE  \* Arabic  \* MERGEFORMAT </w:instrText>
    </w:r>
    <w:r>
      <w:fldChar w:fldCharType="separate"/>
    </w:r>
    <w:r w:rsidR="0038630C">
      <w:rPr>
        <w:noProof/>
      </w:rPr>
      <w:t>34</w:t>
    </w:r>
    <w:r>
      <w:fldChar w:fldCharType="end"/>
    </w:r>
    <w:r>
      <w:t xml:space="preserve"> of </w:t>
    </w:r>
    <w:r>
      <w:rPr>
        <w:noProof/>
      </w:rPr>
      <w:fldChar w:fldCharType="begin"/>
    </w:r>
    <w:r>
      <w:rPr>
        <w:noProof/>
      </w:rPr>
      <w:instrText xml:space="preserve"> NUMPAGES  \* Arabic  \* MERGEFORMAT </w:instrText>
    </w:r>
    <w:r>
      <w:rPr>
        <w:noProof/>
      </w:rPr>
      <w:fldChar w:fldCharType="separate"/>
    </w:r>
    <w:r w:rsidR="0038630C">
      <w:rPr>
        <w:noProof/>
      </w:rPr>
      <w:t>36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F5E4" w14:textId="77777777" w:rsidR="00C56E71" w:rsidRDefault="00C56E71" w:rsidP="00C22F8C">
    <w:pPr>
      <w:pStyle w:val="Footer"/>
      <w:tabs>
        <w:tab w:val="clear" w:pos="4536"/>
        <w:tab w:val="clear" w:pos="9072"/>
        <w:tab w:val="right" w:pos="9071"/>
      </w:tabs>
      <w:spacing w:before="0" w:after="0"/>
      <w:rPr>
        <w:b/>
      </w:rPr>
    </w:pPr>
    <w:r>
      <w:rPr>
        <w:b/>
      </w:rPr>
      <w:t>Sydney</w:t>
    </w:r>
  </w:p>
  <w:p w14:paraId="0A3101ED" w14:textId="77777777" w:rsidR="00C56E71" w:rsidRDefault="00C56E71" w:rsidP="00C22F8C">
    <w:pPr>
      <w:pStyle w:val="Footer"/>
    </w:pPr>
    <w:r>
      <w:t>Level 29, 25 Martin Place, Sydney NSW 2000</w:t>
    </w:r>
  </w:p>
  <w:p w14:paraId="15238943" w14:textId="77777777" w:rsidR="00C56E71" w:rsidRDefault="00C56E71" w:rsidP="00C22F8C">
    <w:pPr>
      <w:pStyle w:val="Footer"/>
    </w:pPr>
    <w:r>
      <w:t>PO Box Q1164, QVB Post Office, Sydney NSW 1230</w:t>
    </w:r>
  </w:p>
  <w:p w14:paraId="0F55909B" w14:textId="77777777" w:rsidR="00C56E71" w:rsidRDefault="00C56E71" w:rsidP="00C22F8C">
    <w:pPr>
      <w:pStyle w:val="Footer"/>
      <w:rPr>
        <w:lang w:val="en-GB"/>
      </w:rPr>
    </w:pPr>
    <w:r>
      <w:t>t:</w:t>
    </w:r>
    <w:r>
      <w:rPr>
        <w:snapToGrid w:val="0"/>
        <w:color w:val="000000"/>
        <w:lang w:eastAsia="en-US"/>
      </w:rPr>
      <w:t xml:space="preserve"> +61 2 9373 3555 | </w:t>
    </w:r>
    <w:r>
      <w:t xml:space="preserve">f: +61 </w:t>
    </w:r>
    <w:r>
      <w:rPr>
        <w:snapToGrid w:val="0"/>
        <w:color w:val="000000"/>
        <w:lang w:eastAsia="en-US"/>
      </w:rPr>
      <w:t>2 9373 3599 | www.sparke.com.au</w:t>
    </w:r>
  </w:p>
  <w:p w14:paraId="609945CD" w14:textId="397E2E1F" w:rsidR="00C56E71" w:rsidRPr="00C90561" w:rsidRDefault="00C56E71" w:rsidP="00C22F8C">
    <w:pPr>
      <w:pStyle w:val="Footer"/>
      <w:tabs>
        <w:tab w:val="clear" w:pos="4536"/>
        <w:tab w:val="clear" w:pos="9072"/>
        <w:tab w:val="right" w:pos="9071"/>
      </w:tabs>
    </w:pPr>
    <w:proofErr w:type="spellStart"/>
    <w:r>
      <w:t>adelaide</w:t>
    </w:r>
    <w:proofErr w:type="spellEnd"/>
    <w:r>
      <w:t xml:space="preserve"> | </w:t>
    </w:r>
    <w:proofErr w:type="spellStart"/>
    <w:r>
      <w:t>brisbane</w:t>
    </w:r>
    <w:proofErr w:type="spellEnd"/>
    <w:r>
      <w:t xml:space="preserve"> | </w:t>
    </w:r>
    <w:proofErr w:type="spellStart"/>
    <w:r>
      <w:t>canberra</w:t>
    </w:r>
    <w:proofErr w:type="spellEnd"/>
    <w:r>
      <w:t xml:space="preserve"> | </w:t>
    </w:r>
    <w:proofErr w:type="spellStart"/>
    <w:r>
      <w:t>darwin</w:t>
    </w:r>
    <w:proofErr w:type="spellEnd"/>
    <w:r>
      <w:t xml:space="preserve"> | </w:t>
    </w:r>
    <w:proofErr w:type="spellStart"/>
    <w:r>
      <w:t>melbourne</w:t>
    </w:r>
    <w:proofErr w:type="spellEnd"/>
    <w:r>
      <w:t xml:space="preserve"> | </w:t>
    </w:r>
    <w:proofErr w:type="spellStart"/>
    <w:r>
      <w:t>newcastle</w:t>
    </w:r>
    <w:proofErr w:type="spellEnd"/>
    <w:r>
      <w:t xml:space="preserve"> | </w:t>
    </w:r>
    <w:proofErr w:type="spellStart"/>
    <w:r>
      <w:t>perth</w:t>
    </w:r>
    <w:proofErr w:type="spellEnd"/>
    <w:r>
      <w:t xml:space="preserve"> | </w:t>
    </w:r>
    <w:proofErr w:type="spellStart"/>
    <w:r>
      <w:t>sydney</w:t>
    </w:r>
    <w:proofErr w:type="spellEnd"/>
    <w:r>
      <w:t xml:space="preserve"> | upper hunter</w:t>
    </w:r>
    <w:r>
      <w:tab/>
    </w:r>
    <w:sdt>
      <w:sdtPr>
        <w:alias w:val="DocID"/>
        <w:tag w:val="DocID"/>
        <w:id w:val="347068504"/>
        <w:text/>
      </w:sdtPr>
      <w:sdtEndPr/>
      <w:sdtContent>
        <w:r w:rsidR="005F20EF">
          <w:t>CLT\CLT\90284441\7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0C17E" w14:textId="77777777" w:rsidR="00562577" w:rsidRDefault="00562577" w:rsidP="0064458B">
      <w:pPr>
        <w:spacing w:before="0" w:after="0" w:line="240" w:lineRule="auto"/>
      </w:pPr>
      <w:r>
        <w:separator/>
      </w:r>
    </w:p>
  </w:footnote>
  <w:footnote w:type="continuationSeparator" w:id="0">
    <w:p w14:paraId="330F77B2" w14:textId="77777777" w:rsidR="00562577" w:rsidRDefault="00562577" w:rsidP="0064458B">
      <w:pPr>
        <w:spacing w:before="0" w:after="0" w:line="240" w:lineRule="auto"/>
      </w:pPr>
      <w:r>
        <w:continuationSeparator/>
      </w:r>
    </w:p>
  </w:footnote>
  <w:footnote w:type="continuationNotice" w:id="1">
    <w:p w14:paraId="1D854FE5" w14:textId="77777777" w:rsidR="00562577" w:rsidRDefault="00562577">
      <w:pPr>
        <w:spacing w:before="0" w:after="0" w:line="240" w:lineRule="auto"/>
      </w:pPr>
    </w:p>
  </w:footnote>
  <w:footnote w:id="2">
    <w:p w14:paraId="5F8C65EA" w14:textId="6BD13C09" w:rsidR="00C56E71" w:rsidRDefault="00C56E71">
      <w:pPr>
        <w:pStyle w:val="FootnoteText"/>
      </w:pPr>
      <w:r>
        <w:rPr>
          <w:rStyle w:val="FootnoteReference"/>
        </w:rPr>
        <w:footnoteRef/>
      </w:r>
      <w:r>
        <w:t xml:space="preserve"> For PIAs prepared for Treasury to date, see </w:t>
      </w:r>
      <w:hyperlink r:id="rId1" w:history="1">
        <w:r>
          <w:rPr>
            <w:rStyle w:val="Hyperlink"/>
          </w:rPr>
          <w:t>Consumer Data Right | Treasury.gov.au</w:t>
        </w:r>
      </w:hyperlink>
      <w:r>
        <w:rPr>
          <w:rStyle w:val="Hyperlink"/>
        </w:rPr>
        <w:t xml:space="preserve"> </w:t>
      </w:r>
      <w:r w:rsidRPr="00EF7EA6">
        <w:t>and see paragraph</w:t>
      </w:r>
      <w:r>
        <w:t xml:space="preserve"> </w:t>
      </w:r>
      <w:r>
        <w:fldChar w:fldCharType="begin"/>
      </w:r>
      <w:r>
        <w:instrText xml:space="preserve"> REF _Ref126152650 \r \h </w:instrText>
      </w:r>
      <w:r>
        <w:fldChar w:fldCharType="separate"/>
      </w:r>
      <w:r>
        <w:t>2.3</w:t>
      </w:r>
      <w:r>
        <w:fldChar w:fldCharType="end"/>
      </w:r>
      <w:r>
        <w:t xml:space="preserve"> in this supplementary PIA.</w:t>
      </w:r>
    </w:p>
  </w:footnote>
  <w:footnote w:id="3">
    <w:p w14:paraId="49601680" w14:textId="77777777" w:rsidR="003E4788" w:rsidRDefault="003E4788" w:rsidP="003E4788">
      <w:pPr>
        <w:pStyle w:val="FootnoteText"/>
      </w:pPr>
      <w:r>
        <w:rPr>
          <w:rStyle w:val="FootnoteReference"/>
        </w:rPr>
        <w:footnoteRef/>
      </w:r>
      <w:r>
        <w:t xml:space="preserve"> See </w:t>
      </w:r>
      <w:hyperlink r:id="rId2" w:history="1">
        <w:r>
          <w:rPr>
            <w:rStyle w:val="Hyperlink"/>
          </w:rPr>
          <w:t>Consumer data right in non-bank lending - CDR rules and data standards design paper (treasury.gov.au)</w:t>
        </w:r>
      </w:hyperlink>
      <w:r>
        <w:t>.</w:t>
      </w:r>
    </w:p>
  </w:footnote>
  <w:footnote w:id="4">
    <w:p w14:paraId="729555BF" w14:textId="77777777" w:rsidR="00A77EAE" w:rsidRDefault="00A77EAE" w:rsidP="00A77EAE">
      <w:pPr>
        <w:pStyle w:val="FootnoteText"/>
      </w:pPr>
      <w:r>
        <w:rPr>
          <w:rStyle w:val="FootnoteReference"/>
        </w:rPr>
        <w:footnoteRef/>
      </w:r>
      <w:r>
        <w:t xml:space="preserve"> See </w:t>
      </w:r>
      <w:r>
        <w:rPr>
          <w:i/>
          <w:iCs/>
        </w:rPr>
        <w:t xml:space="preserve">Competition and Consumer (Consumer Data Right) Amendment Rules (No 2) 2023 </w:t>
      </w:r>
      <w:r>
        <w:t xml:space="preserve">as </w:t>
      </w:r>
      <w:r>
        <w:t>at 27 November 2023.</w:t>
      </w:r>
    </w:p>
  </w:footnote>
  <w:footnote w:id="5">
    <w:p w14:paraId="75CA5AB8" w14:textId="44912C5D" w:rsidR="00C56E71" w:rsidRDefault="00C56E71" w:rsidP="00110842">
      <w:pPr>
        <w:pStyle w:val="FootnoteText"/>
      </w:pPr>
      <w:r>
        <w:rPr>
          <w:rStyle w:val="FootnoteReference"/>
        </w:rPr>
        <w:footnoteRef/>
      </w:r>
      <w:r>
        <w:t xml:space="preserve"> For PIAs prepared for Treasury to date, see </w:t>
      </w:r>
      <w:hyperlink r:id="rId3" w:history="1">
        <w:r>
          <w:rPr>
            <w:rStyle w:val="Hyperlink"/>
          </w:rPr>
          <w:t>Consumer Data Right | Treasury.gov.au</w:t>
        </w:r>
      </w:hyperlink>
      <w:r>
        <w:rPr>
          <w:rStyle w:val="Hyperlink"/>
        </w:rPr>
        <w:t xml:space="preserve"> </w:t>
      </w:r>
      <w:r w:rsidRPr="00EF7EA6">
        <w:t>and see paragraph</w:t>
      </w:r>
      <w:r>
        <w:t xml:space="preserve"> </w:t>
      </w:r>
      <w:r>
        <w:fldChar w:fldCharType="begin"/>
      </w:r>
      <w:r>
        <w:instrText xml:space="preserve"> REF _Ref126152650 \r \h </w:instrText>
      </w:r>
      <w:r>
        <w:fldChar w:fldCharType="separate"/>
      </w:r>
      <w:r>
        <w:t>2.6</w:t>
      </w:r>
      <w:r>
        <w:fldChar w:fldCharType="end"/>
      </w:r>
      <w:r>
        <w:t xml:space="preserve"> in this supplementary PIA.</w:t>
      </w:r>
    </w:p>
  </w:footnote>
  <w:footnote w:id="6">
    <w:p w14:paraId="2AA136D0" w14:textId="192305AE" w:rsidR="00C56E71" w:rsidRDefault="00C56E71">
      <w:pPr>
        <w:pStyle w:val="FootnoteText"/>
      </w:pPr>
      <w:r>
        <w:rPr>
          <w:rStyle w:val="FootnoteReference"/>
        </w:rPr>
        <w:footnoteRef/>
      </w:r>
      <w:r>
        <w:t xml:space="preserve"> See </w:t>
      </w:r>
      <w:hyperlink r:id="rId4" w:history="1">
        <w:r>
          <w:rPr>
            <w:rStyle w:val="Hyperlink"/>
          </w:rPr>
          <w:t>Consumer Data Right – Sectoral Assessment for Non-Bank Lending – Final Report | Treasury.gov.au</w:t>
        </w:r>
      </w:hyperlink>
      <w:r>
        <w:t>.</w:t>
      </w:r>
    </w:p>
  </w:footnote>
  <w:footnote w:id="7">
    <w:p w14:paraId="4CF329CE" w14:textId="77777777" w:rsidR="00C56E71" w:rsidRDefault="00C56E71" w:rsidP="00D768CF">
      <w:pPr>
        <w:pStyle w:val="FootnoteText"/>
      </w:pPr>
      <w:r>
        <w:rPr>
          <w:rStyle w:val="FootnoteReference"/>
        </w:rPr>
        <w:footnoteRef/>
      </w:r>
      <w:r>
        <w:t xml:space="preserve"> See </w:t>
      </w:r>
      <w:hyperlink r:id="rId5" w:history="1">
        <w:r>
          <w:rPr>
            <w:rStyle w:val="Hyperlink"/>
          </w:rPr>
          <w:t xml:space="preserve">Consumer data right: </w:t>
        </w:r>
        <w:r>
          <w:rPr>
            <w:rStyle w:val="Hyperlink"/>
          </w:rPr>
          <w:t>Non-bank lending sectoral assessment - Final report (treasury.gov.au)</w:t>
        </w:r>
      </w:hyperlink>
      <w:r>
        <w:t xml:space="preserve"> Attachment A.</w:t>
      </w:r>
    </w:p>
  </w:footnote>
  <w:footnote w:id="8">
    <w:p w14:paraId="725D06E7" w14:textId="3DCBA344" w:rsidR="00C56E71" w:rsidRDefault="00C56E71" w:rsidP="001F5D5F">
      <w:pPr>
        <w:pStyle w:val="FootnoteText"/>
      </w:pPr>
      <w:r>
        <w:rPr>
          <w:rStyle w:val="FootnoteReference"/>
        </w:rPr>
        <w:footnoteRef/>
      </w:r>
      <w:r>
        <w:t xml:space="preserve"> A sector can be designated to be subject to the CDR under section 56AC of the Competition and Consumer Act.</w:t>
      </w:r>
    </w:p>
  </w:footnote>
  <w:footnote w:id="9">
    <w:p w14:paraId="2FD9C073" w14:textId="1307538C" w:rsidR="00C56E71" w:rsidRDefault="00C56E71">
      <w:pPr>
        <w:pStyle w:val="FootnoteText"/>
      </w:pPr>
      <w:r>
        <w:rPr>
          <w:rStyle w:val="FootnoteReference"/>
        </w:rPr>
        <w:footnoteRef/>
      </w:r>
      <w:r>
        <w:t xml:space="preserve"> For ADRs, Privacy Safeguards 1, 2, and 5 to 13 (inclusive) apply.  For accredited persons, Privacy Safeguards 1 to 4 (inclusive) apply (see Competition and Consumer Act section 56</w:t>
      </w:r>
      <w:r>
        <w:t>EC(4) and (5</w:t>
      </w:r>
      <w:r w:rsidR="002404DE">
        <w:t>)</w:t>
      </w:r>
      <w:r>
        <w:t xml:space="preserve">). </w:t>
      </w:r>
    </w:p>
  </w:footnote>
  <w:footnote w:id="10">
    <w:p w14:paraId="6B875F99" w14:textId="6DD9A07E" w:rsidR="00C56E71" w:rsidRDefault="00C56E71">
      <w:pPr>
        <w:pStyle w:val="FootnoteText"/>
      </w:pPr>
      <w:r>
        <w:rPr>
          <w:rStyle w:val="FootnoteReference"/>
        </w:rPr>
        <w:footnoteRef/>
      </w:r>
      <w:r>
        <w:t xml:space="preserve"> See </w:t>
      </w:r>
      <w:hyperlink r:id="rId6" w:history="1">
        <w:r>
          <w:rPr>
            <w:rStyle w:val="Hyperlink"/>
          </w:rPr>
          <w:t xml:space="preserve">Consumer data right: </w:t>
        </w:r>
        <w:r>
          <w:rPr>
            <w:rStyle w:val="Hyperlink"/>
          </w:rPr>
          <w:t>Non-bank lending sectoral assessment - Final report (treasury.gov.au)</w:t>
        </w:r>
      </w:hyperlink>
      <w:r>
        <w:t xml:space="preserve"> page 7.</w:t>
      </w:r>
    </w:p>
  </w:footnote>
  <w:footnote w:id="11">
    <w:p w14:paraId="3AC516D6" w14:textId="09F6372F" w:rsidR="00C56E71" w:rsidRDefault="00C56E71">
      <w:pPr>
        <w:pStyle w:val="FootnoteText"/>
      </w:pPr>
      <w:r>
        <w:rPr>
          <w:rStyle w:val="FootnoteReference"/>
        </w:rPr>
        <w:footnoteRef/>
      </w:r>
      <w:r>
        <w:t xml:space="preserve"> </w:t>
      </w:r>
      <w:r w:rsidRPr="00E9400E">
        <w:rPr>
          <w:i/>
          <w:iCs/>
        </w:rPr>
        <w:t xml:space="preserve">Consumer data right: </w:t>
      </w:r>
      <w:r w:rsidRPr="00E9400E">
        <w:rPr>
          <w:i/>
          <w:iCs/>
        </w:rPr>
        <w:t>Non-bank lending sectoral assessment – Final Report August 2022</w:t>
      </w:r>
      <w:r>
        <w:t>, page 22.</w:t>
      </w:r>
    </w:p>
  </w:footnote>
  <w:footnote w:id="12">
    <w:p w14:paraId="69B24EED" w14:textId="415D5476" w:rsidR="00C56E71" w:rsidRDefault="00C56E71" w:rsidP="00253DA0">
      <w:pPr>
        <w:pStyle w:val="FootnoteText"/>
      </w:pPr>
      <w:r>
        <w:rPr>
          <w:rStyle w:val="FootnoteReference"/>
        </w:rPr>
        <w:footnoteRef/>
      </w:r>
      <w:r>
        <w:t xml:space="preserve"> </w:t>
      </w:r>
      <w:hyperlink r:id="rId7" w:history="1">
        <w:r>
          <w:rPr>
            <w:rStyle w:val="Hyperlink"/>
          </w:rPr>
          <w:t>Consumer Data Right (Non-Bank Lenders) Designation 2022 (legislation.gov.au)</w:t>
        </w:r>
      </w:hyperlink>
      <w:r w:rsidR="00D1014B">
        <w:rPr>
          <w:rStyle w:val="Hyperlink"/>
        </w:rPr>
        <w:t>.</w:t>
      </w:r>
    </w:p>
  </w:footnote>
  <w:footnote w:id="13">
    <w:p w14:paraId="02044658" w14:textId="683B2CF3" w:rsidR="00C56E71" w:rsidRDefault="00C56E71">
      <w:pPr>
        <w:pStyle w:val="FootnoteText"/>
      </w:pPr>
      <w:r>
        <w:rPr>
          <w:rStyle w:val="FootnoteReference"/>
        </w:rPr>
        <w:footnoteRef/>
      </w:r>
      <w:r>
        <w:t xml:space="preserve"> See NBL Sector Designation clause 10 and Privacy Act section </w:t>
      </w:r>
      <w:r w:rsidRPr="00945F56">
        <w:t>6N(d), (</w:t>
      </w:r>
      <w:r w:rsidRPr="00945F56">
        <w:t>i), (j) or (l)</w:t>
      </w:r>
      <w:r>
        <w:t xml:space="preserve"> and section 6</w:t>
      </w:r>
      <w:r>
        <w:t>S(2).</w:t>
      </w:r>
    </w:p>
  </w:footnote>
  <w:footnote w:id="14">
    <w:p w14:paraId="4DAE2201" w14:textId="3A4006BA" w:rsidR="00C56E71" w:rsidRDefault="00C56E71">
      <w:pPr>
        <w:pStyle w:val="FootnoteText"/>
      </w:pPr>
      <w:r>
        <w:rPr>
          <w:rStyle w:val="FootnoteReference"/>
        </w:rPr>
        <w:footnoteRef/>
      </w:r>
      <w:r>
        <w:t xml:space="preserve"> see NBL CDR Rules definition of </w:t>
      </w:r>
      <w:r w:rsidR="004731A4">
        <w:rPr>
          <w:i/>
          <w:iCs/>
        </w:rPr>
        <w:t>large provider</w:t>
      </w:r>
      <w:r>
        <w:rPr>
          <w:i/>
          <w:iCs/>
        </w:rPr>
        <w:t xml:space="preserve"> </w:t>
      </w:r>
      <w:r>
        <w:t>Schedule 3</w:t>
      </w:r>
      <w:r w:rsidR="004731A4">
        <w:t xml:space="preserve"> Part 6</w:t>
      </w:r>
      <w:r>
        <w:t xml:space="preserve"> </w:t>
      </w:r>
      <w:r w:rsidR="004731A4">
        <w:t xml:space="preserve">Division 6.1 </w:t>
      </w:r>
      <w:r>
        <w:t xml:space="preserve">clause </w:t>
      </w:r>
      <w:r w:rsidR="004731A4">
        <w:t>6.1</w:t>
      </w:r>
      <w:r>
        <w:t>.</w:t>
      </w:r>
    </w:p>
  </w:footnote>
  <w:footnote w:id="15">
    <w:p w14:paraId="6FA2A327" w14:textId="454EEC5B" w:rsidR="00C56E71" w:rsidRDefault="00C56E71">
      <w:pPr>
        <w:pStyle w:val="FootnoteText"/>
      </w:pPr>
      <w:r>
        <w:rPr>
          <w:rStyle w:val="FootnoteReference"/>
        </w:rPr>
        <w:footnoteRef/>
      </w:r>
      <w:r>
        <w:t xml:space="preserve"> see NBL CDR Rules Schedule 3 Part 6 Division 6.1.  </w:t>
      </w:r>
    </w:p>
  </w:footnote>
  <w:footnote w:id="16">
    <w:p w14:paraId="19865C97" w14:textId="77777777" w:rsidR="00C56E71" w:rsidRDefault="00C56E71" w:rsidP="005A6CB4">
      <w:pPr>
        <w:pStyle w:val="FootnoteText"/>
      </w:pPr>
      <w:r>
        <w:rPr>
          <w:rStyle w:val="FootnoteReference"/>
        </w:rPr>
        <w:footnoteRef/>
      </w:r>
      <w:r>
        <w:t xml:space="preserve"> See </w:t>
      </w:r>
      <w:hyperlink r:id="rId8" w:history="1">
        <w:r>
          <w:rPr>
            <w:rStyle w:val="Hyperlink"/>
          </w:rPr>
          <w:t>Consumer Data Right Sectoral Assessment for Non-Bank Lending – Open Finance | Treasury.gov.au</w:t>
        </w:r>
      </w:hyperlink>
      <w:r>
        <w:t xml:space="preserve"> for a copy of the submissions received in response to the Department’s consultation undertaken in respect of the NBL sector report.  That consultation closed in April 2022.  </w:t>
      </w:r>
    </w:p>
  </w:footnote>
  <w:footnote w:id="17">
    <w:p w14:paraId="529AC50D" w14:textId="77777777" w:rsidR="00C56E71" w:rsidRDefault="00C56E71" w:rsidP="005A6CB4">
      <w:pPr>
        <w:pStyle w:val="FootnoteText"/>
      </w:pPr>
      <w:r>
        <w:rPr>
          <w:rStyle w:val="FootnoteReference"/>
        </w:rPr>
        <w:footnoteRef/>
      </w:r>
      <w:r>
        <w:t xml:space="preserve"> </w:t>
      </w:r>
      <w:r w:rsidRPr="00A82C45">
        <w:t>https://treasury.gov.au/consultation/c2022-300402</w:t>
      </w:r>
    </w:p>
  </w:footnote>
  <w:footnote w:id="18">
    <w:p w14:paraId="16866668" w14:textId="77777777" w:rsidR="00C56E71" w:rsidRDefault="00C56E71" w:rsidP="005A6CB4">
      <w:pPr>
        <w:pStyle w:val="FootnoteText"/>
      </w:pPr>
      <w:r>
        <w:rPr>
          <w:rStyle w:val="FootnoteReference"/>
        </w:rPr>
        <w:footnoteRef/>
      </w:r>
      <w:r>
        <w:t xml:space="preserve"> </w:t>
      </w:r>
      <w:r w:rsidRPr="00252255">
        <w:t>https://www.legislation.gov.au/Details/F2022L01522</w:t>
      </w:r>
    </w:p>
  </w:footnote>
  <w:footnote w:id="19">
    <w:p w14:paraId="3D135FB9" w14:textId="77777777" w:rsidR="00C56E71" w:rsidRDefault="00C56E71" w:rsidP="005A6CB4">
      <w:pPr>
        <w:pStyle w:val="FootnoteText"/>
      </w:pPr>
      <w:r>
        <w:rPr>
          <w:rStyle w:val="FootnoteReference"/>
        </w:rPr>
        <w:footnoteRef/>
      </w:r>
      <w:r>
        <w:t xml:space="preserve"> See </w:t>
      </w:r>
      <w:hyperlink r:id="rId9" w:history="1">
        <w:r>
          <w:rPr>
            <w:rStyle w:val="Hyperlink"/>
          </w:rPr>
          <w:t>Consumer Data Right rules and data standards design paper for non-bank lending sector | Treasury.gov.au</w:t>
        </w:r>
      </w:hyperlink>
    </w:p>
  </w:footnote>
  <w:footnote w:id="20">
    <w:p w14:paraId="0D5798E4" w14:textId="5B04CB61" w:rsidR="00C56E71" w:rsidRDefault="00C56E71">
      <w:pPr>
        <w:pStyle w:val="FootnoteText"/>
      </w:pPr>
      <w:r>
        <w:rPr>
          <w:rStyle w:val="FootnoteReference"/>
        </w:rPr>
        <w:footnoteRef/>
      </w:r>
      <w:r>
        <w:t xml:space="preserve"> See </w:t>
      </w:r>
      <w:hyperlink r:id="rId10" w:history="1">
        <w:r>
          <w:rPr>
            <w:rStyle w:val="Hyperlink"/>
          </w:rPr>
          <w:t>Consumer data right: Non-bank lending sectoral assessment - Final report (treasury.gov.au)</w:t>
        </w:r>
      </w:hyperlink>
      <w:r>
        <w:t xml:space="preserve"> at page Item 5 page 40.</w:t>
      </w:r>
    </w:p>
  </w:footnote>
  <w:footnote w:id="21">
    <w:p w14:paraId="6D92B00E" w14:textId="5438E963" w:rsidR="00C56E71" w:rsidRDefault="00C56E71">
      <w:pPr>
        <w:pStyle w:val="FootnoteText"/>
      </w:pPr>
      <w:r>
        <w:rPr>
          <w:rStyle w:val="FootnoteReference"/>
        </w:rPr>
        <w:footnoteRef/>
      </w:r>
      <w:r>
        <w:t xml:space="preserve"> Defined in section 6N of the Privacy Act.</w:t>
      </w:r>
    </w:p>
  </w:footnote>
  <w:footnote w:id="22">
    <w:p w14:paraId="20F50993" w14:textId="7FACDB3E" w:rsidR="00C56E71" w:rsidRDefault="00C56E71">
      <w:pPr>
        <w:pStyle w:val="FootnoteText"/>
      </w:pPr>
      <w:r>
        <w:rPr>
          <w:rStyle w:val="FootnoteReference"/>
        </w:rPr>
        <w:footnoteRef/>
      </w:r>
      <w:r>
        <w:t xml:space="preserve"> See Part 3-2CA of the NCCP Act and Part 3.8 of the </w:t>
      </w:r>
      <w:r>
        <w:rPr>
          <w:i/>
        </w:rPr>
        <w:t xml:space="preserve">National Consume Credit Protection Regulations 2010 </w:t>
      </w:r>
      <w:r>
        <w:t>(</w:t>
      </w:r>
      <w:r>
        <w:t xml:space="preserve">Cth). </w:t>
      </w:r>
    </w:p>
  </w:footnote>
  <w:footnote w:id="23">
    <w:p w14:paraId="594534A0" w14:textId="14397226" w:rsidR="00C56E71" w:rsidRDefault="00C56E71">
      <w:pPr>
        <w:pStyle w:val="FootnoteText"/>
      </w:pPr>
      <w:r>
        <w:rPr>
          <w:rStyle w:val="FootnoteReference"/>
        </w:rPr>
        <w:footnoteRef/>
      </w:r>
      <w:r>
        <w:t xml:space="preserve"> See </w:t>
      </w:r>
      <w:hyperlink r:id="rId11" w:history="1">
        <w:r>
          <w:rPr>
            <w:rStyle w:val="Hyperlink"/>
          </w:rPr>
          <w:t>Consumer Data Right (Non-Bank Lenders) Designation 2022 (legislation.gov.au)</w:t>
        </w:r>
      </w:hyperlink>
      <w:r>
        <w:t xml:space="preserve"> clause 10.  We note this is also the case in relation to ADIs (see </w:t>
      </w:r>
      <w:hyperlink r:id="rId12" w:history="1">
        <w:r>
          <w:rPr>
            <w:rStyle w:val="Hyperlink"/>
          </w:rPr>
          <w:t>Consumer Data Right (Authorised Deposit-Taking Institutions) Designation 2019 (legislation.gov.au)</w:t>
        </w:r>
      </w:hyperlink>
      <w:r>
        <w:t xml:space="preserve"> clause 9).</w:t>
      </w:r>
    </w:p>
  </w:footnote>
  <w:footnote w:id="24">
    <w:p w14:paraId="48D64569" w14:textId="7AFF5ED3" w:rsidR="00C56E71" w:rsidRDefault="00C56E71">
      <w:pPr>
        <w:pStyle w:val="FootnoteText"/>
      </w:pPr>
      <w:r>
        <w:rPr>
          <w:rStyle w:val="FootnoteReference"/>
        </w:rPr>
        <w:footnoteRef/>
      </w:r>
      <w:r>
        <w:t xml:space="preserve"> See Privacy Act section 6</w:t>
      </w:r>
      <w:r>
        <w:t>AQ(4) (definition of “financial hardship information”) and section 6V(1) (definition of “repayment history information”).</w:t>
      </w:r>
    </w:p>
  </w:footnote>
  <w:footnote w:id="25">
    <w:p w14:paraId="073AF204" w14:textId="77777777" w:rsidR="00C56E71" w:rsidRDefault="00C56E71" w:rsidP="005E4B1F">
      <w:pPr>
        <w:pStyle w:val="FootnoteText"/>
      </w:pPr>
      <w:r>
        <w:rPr>
          <w:rStyle w:val="FootnoteReference"/>
        </w:rPr>
        <w:footnoteRef/>
      </w:r>
      <w:r>
        <w:t xml:space="preserve"> See </w:t>
      </w:r>
      <w:hyperlink r:id="rId13" w:history="1">
        <w:r>
          <w:rPr>
            <w:rStyle w:val="Hyperlink"/>
          </w:rPr>
          <w:t>Consumer data right: Non-bank lending sectoral assessment - Final report (treasury.gov.au)</w:t>
        </w:r>
      </w:hyperlink>
      <w:r>
        <w:t xml:space="preserve"> at pages 13 – 15 and Item 5 page 41.</w:t>
      </w:r>
    </w:p>
  </w:footnote>
  <w:footnote w:id="26">
    <w:p w14:paraId="7B633307" w14:textId="77777777" w:rsidR="00C56E71" w:rsidRDefault="00C56E71" w:rsidP="005E4B1F">
      <w:pPr>
        <w:pStyle w:val="FootnoteText"/>
      </w:pPr>
      <w:r>
        <w:rPr>
          <w:rStyle w:val="FootnoteReference"/>
        </w:rPr>
        <w:footnoteRef/>
      </w:r>
      <w:r>
        <w:t xml:space="preserve"> See </w:t>
      </w:r>
      <w:hyperlink r:id="rId14" w:history="1">
        <w:r>
          <w:rPr>
            <w:rStyle w:val="Hyperlink"/>
          </w:rPr>
          <w:t>Consumer Data Right in energy (treasury.gov.au)</w:t>
        </w:r>
      </w:hyperlink>
      <w:r>
        <w:t xml:space="preserve"> at page 42.</w:t>
      </w:r>
    </w:p>
  </w:footnote>
  <w:footnote w:id="27">
    <w:p w14:paraId="170A2BE8" w14:textId="77777777" w:rsidR="00F10A87" w:rsidRDefault="00F10A87" w:rsidP="00F10A87">
      <w:pPr>
        <w:pStyle w:val="FootnoteText"/>
      </w:pPr>
      <w:r>
        <w:rPr>
          <w:rStyle w:val="FootnoteReference"/>
        </w:rPr>
        <w:footnoteRef/>
      </w:r>
      <w:r>
        <w:t xml:space="preserve"> See NBL CDR Rules Schedule 3 Part 2 clause 1.3 (definition of “customer data”). </w:t>
      </w:r>
    </w:p>
  </w:footnote>
  <w:footnote w:id="28">
    <w:p w14:paraId="1C080F74" w14:textId="61DA7012" w:rsidR="00F10A87" w:rsidRDefault="00F10A87" w:rsidP="00854558">
      <w:pPr>
        <w:pStyle w:val="FootnoteText"/>
      </w:pPr>
      <w:r>
        <w:rPr>
          <w:rStyle w:val="FootnoteReference"/>
        </w:rPr>
        <w:footnoteRef/>
      </w:r>
      <w:r>
        <w:t xml:space="preserve"> See </w:t>
      </w:r>
      <w:hyperlink r:id="rId15" w:history="1">
        <w:r>
          <w:rPr>
            <w:rStyle w:val="Hyperlink"/>
          </w:rPr>
          <w:t>Consumer data right: Non-bank lending sectoral assessment - Final report (treasury.gov.au)</w:t>
        </w:r>
      </w:hyperlink>
      <w:r>
        <w:t xml:space="preserve"> at Item 6 page 42.</w:t>
      </w:r>
    </w:p>
  </w:footnote>
  <w:footnote w:id="29">
    <w:p w14:paraId="650E285F" w14:textId="64A81140" w:rsidR="00F10A87" w:rsidRDefault="00F10A87">
      <w:pPr>
        <w:pStyle w:val="FootnoteText"/>
      </w:pPr>
      <w:r>
        <w:rPr>
          <w:rStyle w:val="FootnoteReference"/>
        </w:rPr>
        <w:footnoteRef/>
      </w:r>
      <w:r>
        <w:t xml:space="preserve"> See CDR Rules Schedule 3 clause 1.4.</w:t>
      </w:r>
    </w:p>
  </w:footnote>
  <w:footnote w:id="30">
    <w:p w14:paraId="71BDF468" w14:textId="758BB4C4" w:rsidR="00F10A87" w:rsidRDefault="00F10A87">
      <w:pPr>
        <w:pStyle w:val="FootnoteText"/>
      </w:pPr>
      <w:r>
        <w:rPr>
          <w:rStyle w:val="FootnoteReference"/>
        </w:rPr>
        <w:footnoteRef/>
      </w:r>
      <w:r>
        <w:t xml:space="preserve"> See </w:t>
      </w:r>
      <w:hyperlink r:id="rId16" w:history="1">
        <w:r>
          <w:rPr>
            <w:rStyle w:val="Hyperlink"/>
          </w:rPr>
          <w:t xml:space="preserve">Noting Paper 273 - Consent Review · Issue #273 · </w:t>
        </w:r>
        <w:r>
          <w:rPr>
            <w:rStyle w:val="Hyperlink"/>
          </w:rPr>
          <w:t>ConsumerDataStandardsAustralia/standards · GitHub</w:t>
        </w:r>
      </w:hyperlink>
      <w:r>
        <w:t xml:space="preserve"> and </w:t>
      </w:r>
      <w:hyperlink r:id="rId17" w:history="1">
        <w:r>
          <w:rPr>
            <w:rStyle w:val="Hyperlink"/>
          </w:rPr>
          <w:t>Noting Paper 280: The CX of Authentication Uplift · Issue #280 · ConsumerDataStandardsAustralia/standards · GitHub</w:t>
        </w:r>
      </w:hyperlink>
      <w:r>
        <w:t>.</w:t>
      </w:r>
    </w:p>
  </w:footnote>
  <w:footnote w:id="31">
    <w:p w14:paraId="32AD51A4" w14:textId="6AC9BFEB" w:rsidR="00F10A87" w:rsidRDefault="00F10A87">
      <w:pPr>
        <w:pStyle w:val="FootnoteText"/>
      </w:pPr>
      <w:r>
        <w:rPr>
          <w:rStyle w:val="FootnoteReference"/>
        </w:rPr>
        <w:footnoteRef/>
      </w:r>
      <w:r>
        <w:t xml:space="preserve"> See </w:t>
      </w:r>
      <w:hyperlink r:id="rId18" w:history="1">
        <w:r>
          <w:rPr>
            <w:rStyle w:val="Hyperlink"/>
          </w:rPr>
          <w:t xml:space="preserve">Consumer data right: </w:t>
        </w:r>
        <w:r>
          <w:rPr>
            <w:rStyle w:val="Hyperlink"/>
          </w:rPr>
          <w:t>Non-bank lending sectoral assessment - Final report (treasury.gov.au)</w:t>
        </w:r>
      </w:hyperlink>
      <w:r>
        <w:t xml:space="preserve"> page 23.</w:t>
      </w:r>
    </w:p>
  </w:footnote>
  <w:footnote w:id="32">
    <w:p w14:paraId="606304D3" w14:textId="5DB1D149" w:rsidR="00F10A87" w:rsidRDefault="00F10A87">
      <w:pPr>
        <w:pStyle w:val="FootnoteText"/>
      </w:pPr>
      <w:r>
        <w:rPr>
          <w:rStyle w:val="FootnoteReference"/>
        </w:rPr>
        <w:footnoteRef/>
      </w:r>
      <w:r>
        <w:t xml:space="preserve"> See </w:t>
      </w:r>
      <w:hyperlink r:id="rId19" w:history="1">
        <w:r>
          <w:rPr>
            <w:rStyle w:val="Hyperlink"/>
          </w:rPr>
          <w:t>Address to the Responsible Lending &amp; Borrowing Summit | Treasury Ministers</w:t>
        </w:r>
      </w:hyperlink>
      <w:r>
        <w:t xml:space="preserve"> and </w:t>
      </w:r>
      <w:hyperlink r:id="rId20" w:history="1">
        <w:r>
          <w:rPr>
            <w:rStyle w:val="Hyperlink"/>
          </w:rPr>
          <w:t>Regulating Buy Now, Pay Later in Australia | Treasury.gov.au</w:t>
        </w:r>
      </w:hyperlink>
      <w:r>
        <w:t xml:space="preserve"> accessed 1 June 2023. </w:t>
      </w:r>
    </w:p>
  </w:footnote>
  <w:footnote w:id="33">
    <w:p w14:paraId="38E60136" w14:textId="75768F64" w:rsidR="00F10A87" w:rsidRDefault="00F10A87">
      <w:pPr>
        <w:pStyle w:val="FootnoteText"/>
      </w:pPr>
      <w:r>
        <w:rPr>
          <w:rStyle w:val="FootnoteReference"/>
        </w:rPr>
        <w:footnoteRef/>
      </w:r>
      <w:r>
        <w:t xml:space="preserve"> See </w:t>
      </w:r>
      <w:hyperlink r:id="rId21" w:history="1">
        <w:r>
          <w:rPr>
            <w:rStyle w:val="Hyperlink"/>
          </w:rPr>
          <w:t>22087b01.pdf;fileType=application/pdf (aph.gov.au)</w:t>
        </w:r>
      </w:hyperlink>
      <w:r>
        <w:t>.</w:t>
      </w:r>
    </w:p>
  </w:footnote>
  <w:footnote w:id="34">
    <w:p w14:paraId="72607CF6" w14:textId="77777777" w:rsidR="00C56E71" w:rsidRDefault="00C56E71" w:rsidP="006413FD">
      <w:pPr>
        <w:pStyle w:val="FootnoteText"/>
      </w:pPr>
      <w:r>
        <w:rPr>
          <w:rStyle w:val="FootnoteReference"/>
        </w:rPr>
        <w:footnoteRef/>
      </w:r>
      <w:r>
        <w:t xml:space="preserve"> See </w:t>
      </w:r>
      <w:hyperlink r:id="rId22" w:history="1">
        <w:r>
          <w:rPr>
            <w:rStyle w:val="Hyperlink"/>
          </w:rPr>
          <w:t>Report on the draft Consumer Data Right (Non-bank Lenders) Designation 2022 (oaic.gov.au)</w:t>
        </w:r>
      </w:hyperlink>
    </w:p>
  </w:footnote>
  <w:footnote w:id="35">
    <w:p w14:paraId="27E83564" w14:textId="47CE4EED" w:rsidR="00C56E71" w:rsidRDefault="00C56E71">
      <w:pPr>
        <w:pStyle w:val="FootnoteText"/>
      </w:pPr>
      <w:r>
        <w:rPr>
          <w:rStyle w:val="FootnoteReference"/>
        </w:rPr>
        <w:footnoteRef/>
      </w:r>
      <w:r>
        <w:t xml:space="preserve"> Available at </w:t>
      </w:r>
      <w:hyperlink r:id="rId23" w:history="1">
        <w:r w:rsidRPr="001A42C5">
          <w:rPr>
            <w:rStyle w:val="Hyperlink"/>
          </w:rPr>
          <w:t>https://miro.com/app/board/uXjVPD76GlY=/</w:t>
        </w:r>
      </w:hyperlink>
      <w:r>
        <w:t xml:space="preserve">. </w:t>
      </w:r>
    </w:p>
  </w:footnote>
  <w:footnote w:id="36">
    <w:p w14:paraId="235895CE" w14:textId="469400BC" w:rsidR="00C56E71" w:rsidRDefault="00C56E71">
      <w:pPr>
        <w:pStyle w:val="FootnoteText"/>
      </w:pPr>
      <w:r>
        <w:rPr>
          <w:rStyle w:val="FootnoteReference"/>
        </w:rPr>
        <w:footnoteRef/>
      </w:r>
      <w:r>
        <w:t xml:space="preserve"> Available at </w:t>
      </w:r>
      <w:hyperlink r:id="rId24" w:history="1">
        <w:r w:rsidRPr="001A42C5">
          <w:rPr>
            <w:rStyle w:val="Hyperlink"/>
          </w:rPr>
          <w:t>https://www.figma.com/proto/jHG3HstULWcr7KfCUWxFtD/WIP-%7C-Design-paper-%7C-NBL?page-id=0%3A1&amp;node-id=18%3A4734&amp;viewport=1717%2C927%2C0.25&amp;scaling=scale-down&amp;starting-point-node-id=1%3A3263</w:t>
        </w:r>
      </w:hyperlink>
      <w:r>
        <w:t xml:space="preserve">. </w:t>
      </w:r>
    </w:p>
  </w:footnote>
  <w:footnote w:id="37">
    <w:p w14:paraId="07335EC4" w14:textId="6A5F26F3" w:rsidR="00C56E71" w:rsidRDefault="00C56E71">
      <w:pPr>
        <w:pStyle w:val="FootnoteText"/>
      </w:pPr>
      <w:r>
        <w:rPr>
          <w:rStyle w:val="FootnoteReference"/>
        </w:rPr>
        <w:footnoteRef/>
      </w:r>
      <w:r>
        <w:t xml:space="preserve"> Available at </w:t>
      </w:r>
      <w:hyperlink r:id="rId25" w:history="1">
        <w:r w:rsidRPr="001A42C5">
          <w:rPr>
            <w:rStyle w:val="Hyperlink"/>
          </w:rPr>
          <w:t>https://d61cds.notion.site/Consent-Management-Data-holder-33ff846f68f3466ab189d97c6c0afd28</w:t>
        </w:r>
      </w:hyperlink>
      <w:r>
        <w:t xml:space="preserve">. </w:t>
      </w:r>
    </w:p>
  </w:footnote>
  <w:footnote w:id="38">
    <w:p w14:paraId="0FBD99E0" w14:textId="4BF41F9D" w:rsidR="00C56E71" w:rsidRDefault="00C56E71">
      <w:pPr>
        <w:pStyle w:val="FootnoteText"/>
      </w:pPr>
      <w:r>
        <w:rPr>
          <w:rStyle w:val="FootnoteReference"/>
        </w:rPr>
        <w:footnoteRef/>
      </w:r>
      <w:r>
        <w:t xml:space="preserve"> Available at </w:t>
      </w:r>
      <w:hyperlink r:id="rId26" w:history="1">
        <w:r w:rsidRPr="001A42C5">
          <w:rPr>
            <w:rStyle w:val="Hyperlink"/>
          </w:rPr>
          <w:t>https://d61cds.notion.site/</w:t>
        </w:r>
      </w:hyperlink>
      <w:r>
        <w:t xml:space="preserve">. </w:t>
      </w:r>
    </w:p>
  </w:footnote>
  <w:footnote w:id="39">
    <w:p w14:paraId="07518AF9" w14:textId="5FAEDFB7" w:rsidR="00C56E71" w:rsidRDefault="00C56E71">
      <w:pPr>
        <w:pStyle w:val="FootnoteText"/>
      </w:pPr>
      <w:r>
        <w:rPr>
          <w:rStyle w:val="FootnoteReference"/>
        </w:rPr>
        <w:footnoteRef/>
      </w:r>
      <w:r>
        <w:t xml:space="preserve"> Available at </w:t>
      </w:r>
      <w:hyperlink r:id="rId27" w:history="1">
        <w:r w:rsidRPr="00C118FB">
          <w:rPr>
            <w:rStyle w:val="Hyperlink"/>
          </w:rPr>
          <w:t>https://d61cds.notion.site/Collection-and-use-consents-fcf5e47455274d26b028d218b22f017a</w:t>
        </w:r>
      </w:hyperlink>
      <w:r>
        <w:t xml:space="preserve">. </w:t>
      </w:r>
    </w:p>
  </w:footnote>
  <w:footnote w:id="40">
    <w:p w14:paraId="3B178FD1" w14:textId="4DB62AD3" w:rsidR="00C56E71" w:rsidRDefault="00C56E71">
      <w:pPr>
        <w:pStyle w:val="FootnoteText"/>
      </w:pPr>
      <w:r>
        <w:rPr>
          <w:rStyle w:val="FootnoteReference"/>
        </w:rPr>
        <w:footnoteRef/>
      </w:r>
      <w:r>
        <w:t xml:space="preserve"> Available at </w:t>
      </w:r>
      <w:hyperlink r:id="rId28" w:history="1">
        <w:r w:rsidRPr="00DA43DA">
          <w:rPr>
            <w:rStyle w:val="Hyperlink"/>
          </w:rPr>
          <w:t>https://www.oaic.gov.au/privacy/australian-privacy-principles-guidelines</w:t>
        </w:r>
      </w:hyperlink>
      <w:r>
        <w:t xml:space="preserve">. </w:t>
      </w:r>
    </w:p>
  </w:footnote>
  <w:footnote w:id="41">
    <w:p w14:paraId="6135D88B" w14:textId="6C472140" w:rsidR="00C56E71" w:rsidRDefault="00C56E71">
      <w:pPr>
        <w:pStyle w:val="FootnoteText"/>
      </w:pPr>
      <w:r>
        <w:rPr>
          <w:rStyle w:val="FootnoteReference"/>
        </w:rPr>
        <w:footnoteRef/>
      </w:r>
      <w:r>
        <w:t xml:space="preserve"> Available at </w:t>
      </w:r>
      <w:hyperlink r:id="rId29" w:history="1">
        <w:r w:rsidRPr="00DA43DA">
          <w:rPr>
            <w:rStyle w:val="Hyperlink"/>
          </w:rPr>
          <w:t>https://www.oaic.gov.au/privacy/guidance-and-advice/guide-to-undertaking-privacy-impact-assessments</w:t>
        </w:r>
      </w:hyperlink>
      <w:r>
        <w:t xml:space="preserve">. </w:t>
      </w:r>
    </w:p>
  </w:footnote>
  <w:footnote w:id="42">
    <w:p w14:paraId="48C71E91" w14:textId="212ADF9D" w:rsidR="00C56E71" w:rsidRDefault="00C56E71">
      <w:pPr>
        <w:pStyle w:val="FootnoteText"/>
      </w:pPr>
      <w:r>
        <w:rPr>
          <w:rStyle w:val="FootnoteReference"/>
        </w:rPr>
        <w:footnoteRef/>
      </w:r>
      <w:r>
        <w:t xml:space="preserve"> Available at </w:t>
      </w:r>
      <w:hyperlink r:id="rId30" w:history="1">
        <w:r w:rsidRPr="001A42C5">
          <w:rPr>
            <w:rStyle w:val="Hyperlink"/>
          </w:rPr>
          <w:t>https://www.oaic.gov.au/consumer-data-right/cdr-privacy-safeguard-guidelines</w:t>
        </w:r>
      </w:hyperlink>
      <w:r>
        <w:t xml:space="preserve">. </w:t>
      </w:r>
    </w:p>
  </w:footnote>
  <w:footnote w:id="43">
    <w:p w14:paraId="7F276F00" w14:textId="77777777" w:rsidR="00C56E71" w:rsidRDefault="00C56E71" w:rsidP="00C02852">
      <w:pPr>
        <w:pStyle w:val="FootnoteText"/>
      </w:pPr>
      <w:r>
        <w:rPr>
          <w:rStyle w:val="FootnoteReference"/>
        </w:rPr>
        <w:footnoteRef/>
      </w:r>
      <w:r>
        <w:t xml:space="preserve"> OAIC, </w:t>
      </w:r>
      <w:r w:rsidRPr="00FC58F1">
        <w:t xml:space="preserve">Privacy </w:t>
      </w:r>
      <w:r>
        <w:t>i</w:t>
      </w:r>
      <w:r w:rsidRPr="00FC58F1">
        <w:t xml:space="preserve">mpact </w:t>
      </w:r>
      <w:r>
        <w:t>a</w:t>
      </w:r>
      <w:r w:rsidRPr="00FC58F1">
        <w:t xml:space="preserve">ssessment </w:t>
      </w:r>
      <w:r>
        <w:t>g</w:t>
      </w:r>
      <w:r w:rsidRPr="00FC58F1">
        <w:t>uide</w:t>
      </w:r>
      <w:r>
        <w:t xml:space="preserve"> dated August 2006, at page xxi.</w:t>
      </w:r>
    </w:p>
  </w:footnote>
  <w:footnote w:id="44">
    <w:p w14:paraId="5A4C4469" w14:textId="676E3812" w:rsidR="00C56E71" w:rsidRDefault="00C56E71">
      <w:pPr>
        <w:pStyle w:val="FootnoteText"/>
      </w:pPr>
      <w:r>
        <w:rPr>
          <w:rStyle w:val="FootnoteReference"/>
        </w:rPr>
        <w:footnoteRef/>
      </w:r>
      <w:r>
        <w:t xml:space="preserve"> See </w:t>
      </w:r>
      <w:hyperlink r:id="rId31" w:history="1">
        <w:r>
          <w:rPr>
            <w:rStyle w:val="Hyperlink"/>
          </w:rPr>
          <w:t>Privacy Impact Assessment (treasury.gov.au)</w:t>
        </w:r>
      </w:hyperlink>
      <w:r>
        <w:t xml:space="preserve"> page 53 to 58 (inclusive).</w:t>
      </w:r>
    </w:p>
  </w:footnote>
  <w:footnote w:id="45">
    <w:p w14:paraId="69438D6C" w14:textId="7ABF55F3" w:rsidR="00C56E71" w:rsidRDefault="00C56E71">
      <w:pPr>
        <w:pStyle w:val="FootnoteText"/>
      </w:pPr>
      <w:r>
        <w:rPr>
          <w:rStyle w:val="FootnoteReference"/>
        </w:rPr>
        <w:footnoteRef/>
      </w:r>
      <w:r>
        <w:t xml:space="preserve"> See </w:t>
      </w:r>
      <w:hyperlink r:id="rId32" w:history="1">
        <w:r>
          <w:rPr>
            <w:rStyle w:val="Hyperlink"/>
          </w:rPr>
          <w:t>Consumer Data Right Regime PIA (treasury.gov.au)</w:t>
        </w:r>
      </w:hyperlink>
      <w:r>
        <w:t xml:space="preserve"> Part G page 71.</w:t>
      </w:r>
    </w:p>
  </w:footnote>
  <w:footnote w:id="46">
    <w:p w14:paraId="49256F63" w14:textId="055F6E22" w:rsidR="00C56E71" w:rsidRDefault="00C56E71">
      <w:pPr>
        <w:pStyle w:val="FootnoteText"/>
      </w:pPr>
      <w:r>
        <w:rPr>
          <w:rStyle w:val="FootnoteReference"/>
        </w:rPr>
        <w:footnoteRef/>
      </w:r>
      <w:r>
        <w:t xml:space="preserve"> See </w:t>
      </w:r>
      <w:hyperlink r:id="rId33" w:history="1">
        <w:r>
          <w:rPr>
            <w:rStyle w:val="Hyperlink"/>
          </w:rPr>
          <w:t>Privacy-Safeguard-Guidelines-v4-Nov-2022-rev2.pdf (oaic.gov.au)</w:t>
        </w:r>
      </w:hyperlink>
      <w:r>
        <w:t xml:space="preserve"> Chapter C page 37.</w:t>
      </w:r>
    </w:p>
  </w:footnote>
  <w:footnote w:id="47">
    <w:p w14:paraId="6D8584E5" w14:textId="241F101A" w:rsidR="00C56E71" w:rsidRDefault="00C56E71">
      <w:pPr>
        <w:pStyle w:val="FootnoteText"/>
      </w:pPr>
      <w:r>
        <w:rPr>
          <w:rStyle w:val="FootnoteReference"/>
        </w:rPr>
        <w:footnoteRef/>
      </w:r>
      <w:r>
        <w:t xml:space="preserve"> See NBL CDR Rules definition of </w:t>
      </w:r>
      <w:r>
        <w:rPr>
          <w:i/>
          <w:iCs/>
        </w:rPr>
        <w:t xml:space="preserve">excluded data holder </w:t>
      </w:r>
      <w:r>
        <w:t>Schedule 3 item 1.2 (clause 1</w:t>
      </w:r>
      <w:r w:rsidR="00E20756">
        <w:t>.1A)</w:t>
      </w:r>
      <w:r>
        <w:t>.</w:t>
      </w:r>
    </w:p>
  </w:footnote>
  <w:footnote w:id="48">
    <w:p w14:paraId="4A2B5855" w14:textId="77777777" w:rsidR="00C56E71" w:rsidRDefault="00C56E71" w:rsidP="00EE45FB">
      <w:pPr>
        <w:pStyle w:val="FootnoteText"/>
      </w:pPr>
      <w:r>
        <w:rPr>
          <w:rStyle w:val="FootnoteReference"/>
        </w:rPr>
        <w:footnoteRef/>
      </w:r>
      <w:r>
        <w:t xml:space="preserve"> See </w:t>
      </w:r>
      <w:hyperlink r:id="rId34" w:history="1">
        <w:r>
          <w:rPr>
            <w:rStyle w:val="Hyperlink"/>
          </w:rPr>
          <w:t>Report on the draft Consumer Data Right (Non-bank Lenders) Designation 2022 (oaic.gov.au)</w:t>
        </w:r>
      </w:hyperlink>
    </w:p>
  </w:footnote>
  <w:footnote w:id="49">
    <w:p w14:paraId="06E8AF85" w14:textId="56B9761B" w:rsidR="00C56E71" w:rsidRDefault="00C56E71" w:rsidP="008E7378">
      <w:pPr>
        <w:pStyle w:val="FootnoteText"/>
      </w:pPr>
      <w:r>
        <w:rPr>
          <w:rStyle w:val="FootnoteReference"/>
        </w:rPr>
        <w:footnoteRef/>
      </w:r>
      <w:r>
        <w:t xml:space="preserve"> See NBL CDR Rules Schedule 1 item 1.3.</w:t>
      </w:r>
    </w:p>
  </w:footnote>
  <w:footnote w:id="50">
    <w:p w14:paraId="32E26304" w14:textId="734F81F7" w:rsidR="00C56E71" w:rsidRDefault="00C56E71">
      <w:pPr>
        <w:pStyle w:val="FootnoteText"/>
      </w:pPr>
      <w:r>
        <w:rPr>
          <w:rStyle w:val="FootnoteReference"/>
        </w:rPr>
        <w:footnoteRef/>
      </w:r>
      <w:r>
        <w:t xml:space="preserve"> See </w:t>
      </w:r>
      <w:r w:rsidRPr="00E87066">
        <w:t xml:space="preserve">Competition and Consumer Act </w:t>
      </w:r>
      <w:r>
        <w:t xml:space="preserve">section </w:t>
      </w:r>
      <w:r w:rsidRPr="001A6781">
        <w:t>56AI(3)(c)).</w:t>
      </w:r>
    </w:p>
  </w:footnote>
  <w:footnote w:id="51">
    <w:p w14:paraId="0971734B" w14:textId="1033A5AA" w:rsidR="00C56E71" w:rsidRDefault="00C56E71">
      <w:pPr>
        <w:pStyle w:val="FootnoteText"/>
      </w:pPr>
      <w:r>
        <w:rPr>
          <w:rStyle w:val="FootnoteReference"/>
        </w:rPr>
        <w:footnoteRef/>
      </w:r>
      <w:r>
        <w:t xml:space="preserve"> See </w:t>
      </w:r>
      <w:r w:rsidRPr="00E87066">
        <w:t xml:space="preserve">Competition and Consumer Act </w:t>
      </w:r>
      <w:r>
        <w:t>section 1.</w:t>
      </w:r>
      <w:r w:rsidRPr="00147EA9">
        <w:rPr>
          <w:rFonts w:cs="Arial"/>
        </w:rPr>
        <w:t>8</w:t>
      </w:r>
      <w:r>
        <w:rPr>
          <w:rFonts w:cs="Arial"/>
        </w:rPr>
        <w:t>.</w:t>
      </w:r>
    </w:p>
  </w:footnote>
  <w:footnote w:id="52">
    <w:p w14:paraId="52C83248" w14:textId="04B44CD2" w:rsidR="00C56E71" w:rsidRDefault="00C56E71">
      <w:pPr>
        <w:pStyle w:val="FootnoteText"/>
      </w:pPr>
      <w:r>
        <w:rPr>
          <w:rStyle w:val="FootnoteReference"/>
        </w:rPr>
        <w:footnoteRef/>
      </w:r>
      <w:r>
        <w:t xml:space="preserve"> See </w:t>
      </w:r>
      <w:hyperlink r:id="rId35" w:anchor=":~:text=This%20includes%20the%20'data%20minimisation,period%20than%20is%20reasonably%20needed." w:history="1">
        <w:r w:rsidRPr="001926A7">
          <w:rPr>
            <w:rStyle w:val="Hyperlink"/>
          </w:rPr>
          <w:t>Chapter 3: Privacy Safeguard 3 – Seeking to collect CDR data from CDR participants</w:t>
        </w:r>
      </w:hyperlink>
      <w:r>
        <w:t xml:space="preserve"> (oaic.gov.au). </w:t>
      </w:r>
    </w:p>
  </w:footnote>
  <w:footnote w:id="53">
    <w:p w14:paraId="72B04A28" w14:textId="30BFCBE6" w:rsidR="00C56E71" w:rsidRDefault="00C56E71">
      <w:pPr>
        <w:pStyle w:val="FootnoteText"/>
      </w:pPr>
      <w:r>
        <w:rPr>
          <w:rStyle w:val="FootnoteReference"/>
        </w:rPr>
        <w:footnoteRef/>
      </w:r>
      <w:r>
        <w:t xml:space="preserve"> NBL CDR Rules Schedule 3 item 3.2 (clause 3.2(</w:t>
      </w:r>
      <w:r w:rsidR="003A715D">
        <w:t>5</w:t>
      </w:r>
      <w:r>
        <w:t>) and (</w:t>
      </w:r>
      <w:r w:rsidR="003A715D">
        <w:t>6</w:t>
      </w:r>
      <w:r>
        <w:t>)).</w:t>
      </w:r>
    </w:p>
  </w:footnote>
  <w:footnote w:id="54">
    <w:p w14:paraId="1E809733" w14:textId="06F84D63" w:rsidR="00C56E71" w:rsidRDefault="00C56E71">
      <w:pPr>
        <w:pStyle w:val="FootnoteText"/>
      </w:pPr>
      <w:r>
        <w:rPr>
          <w:rStyle w:val="FootnoteReference"/>
        </w:rPr>
        <w:footnoteRef/>
      </w:r>
      <w:r>
        <w:t xml:space="preserve"> See </w:t>
      </w:r>
      <w:r>
        <w:rPr>
          <w:i/>
          <w:iCs/>
        </w:rPr>
        <w:t xml:space="preserve">Competition and Consumer Act 2020 </w:t>
      </w:r>
      <w:r>
        <w:t>(</w:t>
      </w:r>
      <w:r>
        <w:t>Cth) Schedule 3 clause 1.4</w:t>
      </w:r>
      <w:r w:rsidRPr="001A6781">
        <w:t>.</w:t>
      </w:r>
    </w:p>
  </w:footnote>
  <w:footnote w:id="55">
    <w:p w14:paraId="32B9D93E" w14:textId="52C56706" w:rsidR="00C56E71" w:rsidRDefault="00C56E71">
      <w:pPr>
        <w:pStyle w:val="FootnoteText"/>
      </w:pPr>
      <w:r>
        <w:rPr>
          <w:rStyle w:val="FootnoteReference"/>
        </w:rPr>
        <w:footnoteRef/>
      </w:r>
      <w:r>
        <w:t xml:space="preserve"> See NBL CDR Rules Schedule 3 item 1.5.</w:t>
      </w:r>
    </w:p>
  </w:footnote>
  <w:footnote w:id="56">
    <w:p w14:paraId="33B7A0D0" w14:textId="02954B78" w:rsidR="00C56E71" w:rsidRDefault="00C56E71" w:rsidP="00573222">
      <w:pPr>
        <w:pStyle w:val="FootnoteText"/>
      </w:pPr>
      <w:r>
        <w:rPr>
          <w:rStyle w:val="FootnoteReference"/>
        </w:rPr>
        <w:footnoteRef/>
      </w:r>
      <w:r>
        <w:t xml:space="preserve"> See Draft NBL CDR Rules Schedule 3 clause 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CDCDF" w14:textId="579F1102" w:rsidR="00C56E71" w:rsidRDefault="00C56E71" w:rsidP="00C22F8C"/>
  <w:p w14:paraId="01E21B93" w14:textId="77777777" w:rsidR="00C56E71" w:rsidRDefault="00C56E71" w:rsidP="00C22F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206F" w14:textId="0C5C70B7" w:rsidR="00C56E71" w:rsidRPr="00C90561" w:rsidRDefault="00C56E71" w:rsidP="00C22F8C">
    <w:pPr>
      <w:pStyle w:val="Header"/>
      <w:tabs>
        <w:tab w:val="clear" w:pos="4536"/>
        <w:tab w:val="clear" w:pos="9072"/>
        <w:tab w:val="right" w:pos="9071"/>
      </w:tabs>
      <w:rPr>
        <w:color w:val="787878"/>
      </w:rPr>
    </w:pPr>
    <w:r>
      <w:tab/>
      <w:t xml:space="preserve">Sparke Helmore </w:t>
    </w:r>
    <w:r>
      <w:rPr>
        <w:color w:val="787878"/>
      </w:rPr>
      <w:t>Lawyers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1550A" w14:textId="06F09C0B" w:rsidR="00C56E71" w:rsidRPr="00C90561" w:rsidRDefault="00C56E71" w:rsidP="00C22F8C">
    <w:pPr>
      <w:pStyle w:val="Header"/>
      <w:spacing w:after="1416"/>
    </w:pPr>
    <w:r>
      <w:rPr>
        <w:noProof/>
      </w:rPr>
      <w:drawing>
        <wp:anchor distT="0" distB="0" distL="114300" distR="114300" simplePos="0" relativeHeight="251658240" behindDoc="0" locked="0" layoutInCell="1" allowOverlap="1" wp14:anchorId="0B082173" wp14:editId="51F7F0D3">
          <wp:simplePos x="0" y="0"/>
          <wp:positionH relativeFrom="page">
            <wp:posOffset>5904865</wp:posOffset>
          </wp:positionH>
          <wp:positionV relativeFrom="page">
            <wp:posOffset>360045</wp:posOffset>
          </wp:positionV>
          <wp:extent cx="1296000" cy="720000"/>
          <wp:effectExtent l="0" t="0" r="0" b="4445"/>
          <wp:wrapNone/>
          <wp:docPr id="1" name="Picture 1" descr="Sparke Helmo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 logo standard.JPG"/>
                  <pic:cNvPicPr/>
                </pic:nvPicPr>
                <pic:blipFill>
                  <a:blip r:embed="rId1">
                    <a:extLst>
                      <a:ext uri="{28A0092B-C50C-407E-A947-70E740481C1C}">
                        <a14:useLocalDpi xmlns:a14="http://schemas.microsoft.com/office/drawing/2010/main" val="0"/>
                      </a:ext>
                    </a:extLst>
                  </a:blip>
                  <a:stretch>
                    <a:fillRect/>
                  </a:stretch>
                </pic:blipFill>
                <pic:spPr>
                  <a:xfrm>
                    <a:off x="0" y="0"/>
                    <a:ext cx="1296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29D70" w14:textId="73321E30" w:rsidR="00C56E71" w:rsidRDefault="00C56E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4731A" w14:textId="64BD044E" w:rsidR="00C56E71" w:rsidRDefault="00C56E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01D4F" w14:textId="515CE10A" w:rsidR="00C56E71" w:rsidRDefault="00C56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A44A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E3AD1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24AC2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9FE60D4"/>
    <w:lvl w:ilvl="0">
      <w:start w:val="1"/>
      <w:numFmt w:val="decimal"/>
      <w:pStyle w:val="ListNumber2"/>
      <w:lvlText w:val="%1."/>
      <w:lvlJc w:val="left"/>
      <w:pPr>
        <w:tabs>
          <w:tab w:val="num" w:pos="643"/>
        </w:tabs>
        <w:ind w:left="643" w:hanging="360"/>
      </w:pPr>
    </w:lvl>
  </w:abstractNum>
  <w:abstractNum w:abstractNumId="4" w15:restartNumberingAfterBreak="0">
    <w:nsid w:val="FFFFFF81"/>
    <w:multiLevelType w:val="singleLevel"/>
    <w:tmpl w:val="A8AC3A40"/>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CBE291E"/>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137A84FE"/>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D3B8F3E4"/>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256042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331E7E"/>
    <w:multiLevelType w:val="multilevel"/>
    <w:tmpl w:val="4F9A5E6C"/>
    <w:styleLink w:val="11111111"/>
    <w:lvl w:ilvl="0">
      <w:start w:val="1"/>
      <w:numFmt w:val="decimal"/>
      <w:pStyle w:val="Probity1"/>
      <w:lvlText w:val="%1"/>
      <w:lvlJc w:val="left"/>
      <w:pPr>
        <w:ind w:left="709" w:hanging="709"/>
      </w:pPr>
      <w:rPr>
        <w:rFonts w:ascii="Arial" w:hAnsi="Arial" w:hint="default"/>
        <w:b w:val="0"/>
        <w:i w:val="0"/>
        <w:color w:val="D95E00"/>
        <w:sz w:val="40"/>
      </w:rPr>
    </w:lvl>
    <w:lvl w:ilvl="1">
      <w:start w:val="1"/>
      <w:numFmt w:val="decimal"/>
      <w:pStyle w:val="Probity2"/>
      <w:lvlText w:val="%1.%2"/>
      <w:lvlJc w:val="left"/>
      <w:pPr>
        <w:ind w:left="709" w:hanging="709"/>
      </w:pPr>
      <w:rPr>
        <w:rFonts w:ascii="Arial" w:hAnsi="Arial" w:hint="default"/>
        <w:b w:val="0"/>
        <w:i w:val="0"/>
        <w:color w:val="auto"/>
        <w:sz w:val="20"/>
      </w:rPr>
    </w:lvl>
    <w:lvl w:ilvl="2">
      <w:start w:val="1"/>
      <w:numFmt w:val="lowerLetter"/>
      <w:pStyle w:val="Probity3"/>
      <w:lvlText w:val="(%3)"/>
      <w:lvlJc w:val="left"/>
      <w:pPr>
        <w:ind w:left="1418" w:hanging="709"/>
      </w:pPr>
      <w:rPr>
        <w:rFonts w:ascii="Arial" w:eastAsia="Times New Roman" w:hAnsi="Arial" w:cs="Times New Roman"/>
        <w:b w:val="0"/>
        <w:i w:val="0"/>
        <w:iCs/>
        <w:color w:val="auto"/>
        <w:sz w:val="20"/>
        <w:szCs w:val="20"/>
      </w:rPr>
    </w:lvl>
    <w:lvl w:ilvl="3">
      <w:start w:val="1"/>
      <w:numFmt w:val="lowerRoman"/>
      <w:pStyle w:val="Probity4"/>
      <w:lvlText w:val="(%4)"/>
      <w:lvlJc w:val="left"/>
      <w:pPr>
        <w:ind w:left="2126" w:hanging="708"/>
      </w:pPr>
      <w:rPr>
        <w:rFonts w:ascii="Arial" w:hAnsi="Arial" w:hint="default"/>
        <w:b w:val="0"/>
        <w:i w:val="0"/>
        <w:iCs/>
        <w:color w:val="auto"/>
        <w:sz w:val="20"/>
      </w:rPr>
    </w:lvl>
    <w:lvl w:ilvl="4">
      <w:start w:val="1"/>
      <w:numFmt w:val="upperLetter"/>
      <w:pStyle w:val="Probity5"/>
      <w:lvlText w:val="(%5)"/>
      <w:lvlJc w:val="left"/>
      <w:pPr>
        <w:ind w:left="2835" w:hanging="709"/>
      </w:pPr>
      <w:rPr>
        <w:rFonts w:ascii="Arial" w:hAnsi="Arial" w:hint="default"/>
        <w:b w:val="0"/>
        <w:i w:val="0"/>
        <w:color w:val="auto"/>
        <w:sz w:val="20"/>
      </w:rPr>
    </w:lvl>
    <w:lvl w:ilvl="5">
      <w:start w:val="1"/>
      <w:numFmt w:val="decimal"/>
      <w:lvlText w:val="%1"/>
      <w:lvlJc w:val="left"/>
      <w:pPr>
        <w:tabs>
          <w:tab w:val="num" w:pos="4680"/>
        </w:tabs>
        <w:ind w:left="3456" w:hanging="936"/>
      </w:pPr>
      <w:rPr>
        <w:rFonts w:hint="default"/>
      </w:rPr>
    </w:lvl>
    <w:lvl w:ilvl="6">
      <w:start w:val="1"/>
      <w:numFmt w:val="decimal"/>
      <w:lvlText w:val="%1.%2.%3.%4.%5.%6.%7."/>
      <w:lvlJc w:val="left"/>
      <w:pPr>
        <w:tabs>
          <w:tab w:val="num" w:pos="5400"/>
        </w:tabs>
        <w:ind w:left="3960" w:hanging="1080"/>
      </w:pPr>
      <w:rPr>
        <w:rFonts w:hint="default"/>
      </w:rPr>
    </w:lvl>
    <w:lvl w:ilvl="7">
      <w:start w:val="1"/>
      <w:numFmt w:val="decimal"/>
      <w:lvlText w:val="%1"/>
      <w:lvlJc w:val="left"/>
      <w:pPr>
        <w:tabs>
          <w:tab w:val="num" w:pos="6120"/>
        </w:tabs>
        <w:ind w:left="4464" w:hanging="1224"/>
      </w:pPr>
      <w:rPr>
        <w:rFonts w:hint="default"/>
      </w:rPr>
    </w:lvl>
    <w:lvl w:ilvl="8">
      <w:start w:val="1"/>
      <w:numFmt w:val="decimal"/>
      <w:lvlText w:val="%1"/>
      <w:lvlJc w:val="left"/>
      <w:pPr>
        <w:tabs>
          <w:tab w:val="num" w:pos="6840"/>
        </w:tabs>
        <w:ind w:left="5040" w:hanging="1440"/>
      </w:pPr>
      <w:rPr>
        <w:rFonts w:hint="default"/>
      </w:rPr>
    </w:lvl>
  </w:abstractNum>
  <w:abstractNum w:abstractNumId="10" w15:restartNumberingAfterBreak="0">
    <w:nsid w:val="02AB0AB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0146F1"/>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D134C43"/>
    <w:multiLevelType w:val="hybridMultilevel"/>
    <w:tmpl w:val="183E76D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84354E"/>
    <w:multiLevelType w:val="multilevel"/>
    <w:tmpl w:val="0C090023"/>
    <w:styleLink w:val="ArticleSection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8732A84"/>
    <w:multiLevelType w:val="hybridMultilevel"/>
    <w:tmpl w:val="A3464A6C"/>
    <w:lvl w:ilvl="0" w:tplc="62D06564">
      <w:start w:val="1"/>
      <w:numFmt w:val="bullet"/>
      <w:lvlText w:val=""/>
      <w:lvlJc w:val="left"/>
      <w:pPr>
        <w:ind w:left="1440" w:hanging="360"/>
      </w:pPr>
      <w:rPr>
        <w:rFonts w:ascii="Symbol" w:hAnsi="Symbol"/>
      </w:rPr>
    </w:lvl>
    <w:lvl w:ilvl="1" w:tplc="1F92762A">
      <w:start w:val="1"/>
      <w:numFmt w:val="bullet"/>
      <w:lvlText w:val=""/>
      <w:lvlJc w:val="left"/>
      <w:pPr>
        <w:ind w:left="1440" w:hanging="360"/>
      </w:pPr>
      <w:rPr>
        <w:rFonts w:ascii="Symbol" w:hAnsi="Symbol"/>
      </w:rPr>
    </w:lvl>
    <w:lvl w:ilvl="2" w:tplc="A40E16C4">
      <w:start w:val="1"/>
      <w:numFmt w:val="bullet"/>
      <w:lvlText w:val=""/>
      <w:lvlJc w:val="left"/>
      <w:pPr>
        <w:ind w:left="1440" w:hanging="360"/>
      </w:pPr>
      <w:rPr>
        <w:rFonts w:ascii="Symbol" w:hAnsi="Symbol"/>
      </w:rPr>
    </w:lvl>
    <w:lvl w:ilvl="3" w:tplc="9EDE208C">
      <w:start w:val="1"/>
      <w:numFmt w:val="bullet"/>
      <w:lvlText w:val=""/>
      <w:lvlJc w:val="left"/>
      <w:pPr>
        <w:ind w:left="1440" w:hanging="360"/>
      </w:pPr>
      <w:rPr>
        <w:rFonts w:ascii="Symbol" w:hAnsi="Symbol"/>
      </w:rPr>
    </w:lvl>
    <w:lvl w:ilvl="4" w:tplc="109A6330">
      <w:start w:val="1"/>
      <w:numFmt w:val="bullet"/>
      <w:lvlText w:val=""/>
      <w:lvlJc w:val="left"/>
      <w:pPr>
        <w:ind w:left="1440" w:hanging="360"/>
      </w:pPr>
      <w:rPr>
        <w:rFonts w:ascii="Symbol" w:hAnsi="Symbol"/>
      </w:rPr>
    </w:lvl>
    <w:lvl w:ilvl="5" w:tplc="A266BE46">
      <w:start w:val="1"/>
      <w:numFmt w:val="bullet"/>
      <w:lvlText w:val=""/>
      <w:lvlJc w:val="left"/>
      <w:pPr>
        <w:ind w:left="1440" w:hanging="360"/>
      </w:pPr>
      <w:rPr>
        <w:rFonts w:ascii="Symbol" w:hAnsi="Symbol"/>
      </w:rPr>
    </w:lvl>
    <w:lvl w:ilvl="6" w:tplc="03C85020">
      <w:start w:val="1"/>
      <w:numFmt w:val="bullet"/>
      <w:lvlText w:val=""/>
      <w:lvlJc w:val="left"/>
      <w:pPr>
        <w:ind w:left="1440" w:hanging="360"/>
      </w:pPr>
      <w:rPr>
        <w:rFonts w:ascii="Symbol" w:hAnsi="Symbol"/>
      </w:rPr>
    </w:lvl>
    <w:lvl w:ilvl="7" w:tplc="5664CA5E">
      <w:start w:val="1"/>
      <w:numFmt w:val="bullet"/>
      <w:lvlText w:val=""/>
      <w:lvlJc w:val="left"/>
      <w:pPr>
        <w:ind w:left="1440" w:hanging="360"/>
      </w:pPr>
      <w:rPr>
        <w:rFonts w:ascii="Symbol" w:hAnsi="Symbol"/>
      </w:rPr>
    </w:lvl>
    <w:lvl w:ilvl="8" w:tplc="FD646BF0">
      <w:start w:val="1"/>
      <w:numFmt w:val="bullet"/>
      <w:lvlText w:val=""/>
      <w:lvlJc w:val="left"/>
      <w:pPr>
        <w:ind w:left="1440" w:hanging="360"/>
      </w:pPr>
      <w:rPr>
        <w:rFonts w:ascii="Symbol" w:hAnsi="Symbol"/>
      </w:rPr>
    </w:lvl>
  </w:abstractNum>
  <w:abstractNum w:abstractNumId="15" w15:restartNumberingAfterBreak="0">
    <w:nsid w:val="1A9B62EE"/>
    <w:multiLevelType w:val="multilevel"/>
    <w:tmpl w:val="F4A29034"/>
    <w:lvl w:ilvl="0">
      <w:start w:val="1"/>
      <w:numFmt w:val="decimal"/>
      <w:lvlText w:val="%1"/>
      <w:lvlJc w:val="left"/>
      <w:pPr>
        <w:ind w:left="709" w:hanging="709"/>
      </w:pPr>
      <w:rPr>
        <w:rFonts w:ascii="Arial" w:hAnsi="Arial" w:hint="default"/>
        <w:b w:val="0"/>
        <w:i w:val="0"/>
        <w:color w:val="D95E00"/>
        <w:sz w:val="40"/>
      </w:rPr>
    </w:lvl>
    <w:lvl w:ilvl="1">
      <w:start w:val="1"/>
      <w:numFmt w:val="decimal"/>
      <w:lvlText w:val="%1.%2"/>
      <w:lvlJc w:val="left"/>
      <w:pPr>
        <w:ind w:left="709" w:hanging="709"/>
      </w:pPr>
      <w:rPr>
        <w:rFonts w:ascii="Arial" w:hAnsi="Arial" w:hint="default"/>
        <w:b w:val="0"/>
        <w:i w:val="0"/>
        <w:color w:val="auto"/>
        <w:sz w:val="20"/>
      </w:rPr>
    </w:lvl>
    <w:lvl w:ilvl="2">
      <w:start w:val="1"/>
      <w:numFmt w:val="bullet"/>
      <w:lvlText w:val=""/>
      <w:lvlJc w:val="left"/>
      <w:pPr>
        <w:ind w:left="1069" w:hanging="360"/>
      </w:pPr>
      <w:rPr>
        <w:rFonts w:ascii="Symbol" w:hAnsi="Symbol" w:hint="default"/>
      </w:rPr>
    </w:lvl>
    <w:lvl w:ilvl="3">
      <w:start w:val="1"/>
      <w:numFmt w:val="lowerRoman"/>
      <w:lvlText w:val="(%4)"/>
      <w:lvlJc w:val="left"/>
      <w:pPr>
        <w:ind w:left="2126" w:hanging="708"/>
      </w:pPr>
      <w:rPr>
        <w:rFonts w:ascii="Arial" w:hAnsi="Arial" w:hint="default"/>
        <w:b w:val="0"/>
        <w:i w:val="0"/>
        <w:iCs/>
        <w:color w:val="auto"/>
        <w:sz w:val="20"/>
      </w:rPr>
    </w:lvl>
    <w:lvl w:ilvl="4">
      <w:start w:val="1"/>
      <w:numFmt w:val="upperLetter"/>
      <w:lvlText w:val="(%5)"/>
      <w:lvlJc w:val="left"/>
      <w:pPr>
        <w:ind w:left="2835" w:hanging="709"/>
      </w:pPr>
      <w:rPr>
        <w:rFonts w:ascii="Arial" w:hAnsi="Arial" w:hint="default"/>
        <w:b w:val="0"/>
        <w:i w:val="0"/>
        <w:color w:val="auto"/>
        <w:sz w:val="20"/>
      </w:rPr>
    </w:lvl>
    <w:lvl w:ilvl="5">
      <w:start w:val="1"/>
      <w:numFmt w:val="decimal"/>
      <w:lvlText w:val="%1"/>
      <w:lvlJc w:val="left"/>
      <w:pPr>
        <w:tabs>
          <w:tab w:val="num" w:pos="4680"/>
        </w:tabs>
        <w:ind w:left="3456" w:hanging="936"/>
      </w:pPr>
      <w:rPr>
        <w:rFonts w:hint="default"/>
      </w:rPr>
    </w:lvl>
    <w:lvl w:ilvl="6">
      <w:start w:val="1"/>
      <w:numFmt w:val="decimal"/>
      <w:lvlText w:val="%1.%2.%3.%4.%5.%6.%7."/>
      <w:lvlJc w:val="left"/>
      <w:pPr>
        <w:tabs>
          <w:tab w:val="num" w:pos="5400"/>
        </w:tabs>
        <w:ind w:left="3960" w:hanging="1080"/>
      </w:pPr>
      <w:rPr>
        <w:rFonts w:hint="default"/>
      </w:rPr>
    </w:lvl>
    <w:lvl w:ilvl="7">
      <w:start w:val="1"/>
      <w:numFmt w:val="decimal"/>
      <w:lvlText w:val="%1"/>
      <w:lvlJc w:val="left"/>
      <w:pPr>
        <w:tabs>
          <w:tab w:val="num" w:pos="6120"/>
        </w:tabs>
        <w:ind w:left="4464" w:hanging="1224"/>
      </w:pPr>
      <w:rPr>
        <w:rFonts w:hint="default"/>
      </w:rPr>
    </w:lvl>
    <w:lvl w:ilvl="8">
      <w:start w:val="1"/>
      <w:numFmt w:val="decimal"/>
      <w:lvlText w:val="%1"/>
      <w:lvlJc w:val="left"/>
      <w:pPr>
        <w:tabs>
          <w:tab w:val="num" w:pos="6840"/>
        </w:tabs>
        <w:ind w:left="5040" w:hanging="1440"/>
      </w:pPr>
      <w:rPr>
        <w:rFonts w:hint="default"/>
      </w:rPr>
    </w:lvl>
  </w:abstractNum>
  <w:abstractNum w:abstractNumId="16" w15:restartNumberingAfterBreak="0">
    <w:nsid w:val="1CD8442B"/>
    <w:multiLevelType w:val="hybridMultilevel"/>
    <w:tmpl w:val="BAF620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DC513F"/>
    <w:multiLevelType w:val="hybridMultilevel"/>
    <w:tmpl w:val="36969010"/>
    <w:lvl w:ilvl="0" w:tplc="2FE81FFE">
      <w:start w:val="1"/>
      <w:numFmt w:val="bullet"/>
      <w:lvlText w:val=""/>
      <w:lvlJc w:val="left"/>
      <w:pPr>
        <w:ind w:left="1440" w:hanging="360"/>
      </w:pPr>
      <w:rPr>
        <w:rFonts w:ascii="Symbol" w:hAnsi="Symbol"/>
      </w:rPr>
    </w:lvl>
    <w:lvl w:ilvl="1" w:tplc="AE58F8EA">
      <w:start w:val="1"/>
      <w:numFmt w:val="bullet"/>
      <w:lvlText w:val=""/>
      <w:lvlJc w:val="left"/>
      <w:pPr>
        <w:ind w:left="1440" w:hanging="360"/>
      </w:pPr>
      <w:rPr>
        <w:rFonts w:ascii="Symbol" w:hAnsi="Symbol"/>
      </w:rPr>
    </w:lvl>
    <w:lvl w:ilvl="2" w:tplc="D15C77B6">
      <w:start w:val="1"/>
      <w:numFmt w:val="bullet"/>
      <w:lvlText w:val=""/>
      <w:lvlJc w:val="left"/>
      <w:pPr>
        <w:ind w:left="1440" w:hanging="360"/>
      </w:pPr>
      <w:rPr>
        <w:rFonts w:ascii="Symbol" w:hAnsi="Symbol"/>
      </w:rPr>
    </w:lvl>
    <w:lvl w:ilvl="3" w:tplc="E9389816">
      <w:start w:val="1"/>
      <w:numFmt w:val="bullet"/>
      <w:lvlText w:val=""/>
      <w:lvlJc w:val="left"/>
      <w:pPr>
        <w:ind w:left="1440" w:hanging="360"/>
      </w:pPr>
      <w:rPr>
        <w:rFonts w:ascii="Symbol" w:hAnsi="Symbol"/>
      </w:rPr>
    </w:lvl>
    <w:lvl w:ilvl="4" w:tplc="FD1E2160">
      <w:start w:val="1"/>
      <w:numFmt w:val="bullet"/>
      <w:lvlText w:val=""/>
      <w:lvlJc w:val="left"/>
      <w:pPr>
        <w:ind w:left="1440" w:hanging="360"/>
      </w:pPr>
      <w:rPr>
        <w:rFonts w:ascii="Symbol" w:hAnsi="Symbol"/>
      </w:rPr>
    </w:lvl>
    <w:lvl w:ilvl="5" w:tplc="C3842B72">
      <w:start w:val="1"/>
      <w:numFmt w:val="bullet"/>
      <w:lvlText w:val=""/>
      <w:lvlJc w:val="left"/>
      <w:pPr>
        <w:ind w:left="1440" w:hanging="360"/>
      </w:pPr>
      <w:rPr>
        <w:rFonts w:ascii="Symbol" w:hAnsi="Symbol"/>
      </w:rPr>
    </w:lvl>
    <w:lvl w:ilvl="6" w:tplc="2B2A5828">
      <w:start w:val="1"/>
      <w:numFmt w:val="bullet"/>
      <w:lvlText w:val=""/>
      <w:lvlJc w:val="left"/>
      <w:pPr>
        <w:ind w:left="1440" w:hanging="360"/>
      </w:pPr>
      <w:rPr>
        <w:rFonts w:ascii="Symbol" w:hAnsi="Symbol"/>
      </w:rPr>
    </w:lvl>
    <w:lvl w:ilvl="7" w:tplc="52B69882">
      <w:start w:val="1"/>
      <w:numFmt w:val="bullet"/>
      <w:lvlText w:val=""/>
      <w:lvlJc w:val="left"/>
      <w:pPr>
        <w:ind w:left="1440" w:hanging="360"/>
      </w:pPr>
      <w:rPr>
        <w:rFonts w:ascii="Symbol" w:hAnsi="Symbol"/>
      </w:rPr>
    </w:lvl>
    <w:lvl w:ilvl="8" w:tplc="23ACDB38">
      <w:start w:val="1"/>
      <w:numFmt w:val="bullet"/>
      <w:lvlText w:val=""/>
      <w:lvlJc w:val="left"/>
      <w:pPr>
        <w:ind w:left="1440" w:hanging="360"/>
      </w:pPr>
      <w:rPr>
        <w:rFonts w:ascii="Symbol" w:hAnsi="Symbol"/>
      </w:rPr>
    </w:lvl>
  </w:abstractNum>
  <w:abstractNum w:abstractNumId="18" w15:restartNumberingAfterBreak="0">
    <w:nsid w:val="22AF57CC"/>
    <w:multiLevelType w:val="multilevel"/>
    <w:tmpl w:val="709C917A"/>
    <w:styleLink w:val="Headings"/>
    <w:lvl w:ilvl="0">
      <w:start w:val="1"/>
      <w:numFmt w:val="lowerLetter"/>
      <w:lvlText w:val="%1."/>
      <w:lvlJc w:val="left"/>
      <w:pPr>
        <w:ind w:left="567" w:hanging="567"/>
      </w:pPr>
      <w:rPr>
        <w:rFonts w:hint="default"/>
        <w:color w:val="auto"/>
      </w:rPr>
    </w:lvl>
    <w:lvl w:ilvl="1">
      <w:start w:val="1"/>
      <w:numFmt w:val="lowerRoman"/>
      <w:lvlText w:val="%2."/>
      <w:lvlJc w:val="left"/>
      <w:pPr>
        <w:ind w:left="1134" w:hanging="567"/>
      </w:pPr>
      <w:rPr>
        <w:rFonts w:hint="default"/>
      </w:rPr>
    </w:lvl>
    <w:lvl w:ilvl="2">
      <w:start w:val="1"/>
      <w:numFmt w:val="upperLetter"/>
      <w:lvlText w:val="%3."/>
      <w:lvlJc w:val="left"/>
      <w:pPr>
        <w:ind w:left="1701"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2FF364F"/>
    <w:multiLevelType w:val="multilevel"/>
    <w:tmpl w:val="0C09001D"/>
    <w:styleLink w:val="1a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72E5273"/>
    <w:multiLevelType w:val="hybridMultilevel"/>
    <w:tmpl w:val="E4A2B296"/>
    <w:lvl w:ilvl="0" w:tplc="BF827A52">
      <w:start w:val="1"/>
      <w:numFmt w:val="decimal"/>
      <w:lvlText w:val="%1."/>
      <w:lvlJc w:val="left"/>
      <w:pPr>
        <w:ind w:left="720" w:hanging="360"/>
      </w:pPr>
      <w:rPr>
        <w:rFonts w:ascii="Arial" w:eastAsia="Times New Roman" w:hAnsi="Arial"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305BDB"/>
    <w:multiLevelType w:val="multilevel"/>
    <w:tmpl w:val="621A0B42"/>
    <w:name w:val="List of numbers (no headings)2"/>
    <w:numStyleLink w:val="Listofnumbersnoheadings"/>
  </w:abstractNum>
  <w:abstractNum w:abstractNumId="22" w15:restartNumberingAfterBreak="0">
    <w:nsid w:val="42142C28"/>
    <w:multiLevelType w:val="multilevel"/>
    <w:tmpl w:val="0C09001F"/>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6D2F31"/>
    <w:multiLevelType w:val="multilevel"/>
    <w:tmpl w:val="75FCC67A"/>
    <w:name w:val="StandardNumberedList"/>
    <w:lvl w:ilvl="0">
      <w:start w:val="1"/>
      <w:numFmt w:val="decimal"/>
      <w:pStyle w:val="OutlineNumbered1"/>
      <w:lvlText w:val="%1."/>
      <w:lvlJc w:val="left"/>
      <w:pPr>
        <w:tabs>
          <w:tab w:val="num" w:pos="472"/>
        </w:tabs>
        <w:ind w:left="472" w:hanging="472"/>
      </w:pPr>
    </w:lvl>
    <w:lvl w:ilvl="1">
      <w:start w:val="1"/>
      <w:numFmt w:val="decimal"/>
      <w:pStyle w:val="OutlineNumbered2"/>
      <w:lvlText w:val="%1.%2."/>
      <w:lvlJc w:val="left"/>
      <w:pPr>
        <w:tabs>
          <w:tab w:val="num" w:pos="944"/>
        </w:tabs>
        <w:ind w:left="944" w:hanging="472"/>
      </w:pPr>
    </w:lvl>
    <w:lvl w:ilvl="2">
      <w:start w:val="1"/>
      <w:numFmt w:val="decimal"/>
      <w:pStyle w:val="OutlineNumbered3"/>
      <w:lvlText w:val="%1.%2.%3."/>
      <w:lvlJc w:val="left"/>
      <w:pPr>
        <w:tabs>
          <w:tab w:val="num" w:pos="1416"/>
        </w:tabs>
        <w:ind w:left="1416" w:hanging="4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7CD37D9"/>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04830A5"/>
    <w:multiLevelType w:val="hybridMultilevel"/>
    <w:tmpl w:val="C8EA681E"/>
    <w:lvl w:ilvl="0" w:tplc="DCC4EC18">
      <w:start w:val="1"/>
      <w:numFmt w:val="bullet"/>
      <w:lvlText w:val=""/>
      <w:lvlJc w:val="left"/>
      <w:pPr>
        <w:ind w:left="1440" w:hanging="360"/>
      </w:pPr>
      <w:rPr>
        <w:rFonts w:ascii="Symbol" w:hAnsi="Symbol"/>
      </w:rPr>
    </w:lvl>
    <w:lvl w:ilvl="1" w:tplc="D47631FE">
      <w:start w:val="1"/>
      <w:numFmt w:val="bullet"/>
      <w:lvlText w:val=""/>
      <w:lvlJc w:val="left"/>
      <w:pPr>
        <w:ind w:left="1440" w:hanging="360"/>
      </w:pPr>
      <w:rPr>
        <w:rFonts w:ascii="Symbol" w:hAnsi="Symbol"/>
      </w:rPr>
    </w:lvl>
    <w:lvl w:ilvl="2" w:tplc="25AED312">
      <w:start w:val="1"/>
      <w:numFmt w:val="bullet"/>
      <w:lvlText w:val=""/>
      <w:lvlJc w:val="left"/>
      <w:pPr>
        <w:ind w:left="1440" w:hanging="360"/>
      </w:pPr>
      <w:rPr>
        <w:rFonts w:ascii="Symbol" w:hAnsi="Symbol"/>
      </w:rPr>
    </w:lvl>
    <w:lvl w:ilvl="3" w:tplc="100C0F76">
      <w:start w:val="1"/>
      <w:numFmt w:val="bullet"/>
      <w:lvlText w:val=""/>
      <w:lvlJc w:val="left"/>
      <w:pPr>
        <w:ind w:left="1440" w:hanging="360"/>
      </w:pPr>
      <w:rPr>
        <w:rFonts w:ascii="Symbol" w:hAnsi="Symbol"/>
      </w:rPr>
    </w:lvl>
    <w:lvl w:ilvl="4" w:tplc="63FA0572">
      <w:start w:val="1"/>
      <w:numFmt w:val="bullet"/>
      <w:lvlText w:val=""/>
      <w:lvlJc w:val="left"/>
      <w:pPr>
        <w:ind w:left="1440" w:hanging="360"/>
      </w:pPr>
      <w:rPr>
        <w:rFonts w:ascii="Symbol" w:hAnsi="Symbol"/>
      </w:rPr>
    </w:lvl>
    <w:lvl w:ilvl="5" w:tplc="5162A518">
      <w:start w:val="1"/>
      <w:numFmt w:val="bullet"/>
      <w:lvlText w:val=""/>
      <w:lvlJc w:val="left"/>
      <w:pPr>
        <w:ind w:left="1440" w:hanging="360"/>
      </w:pPr>
      <w:rPr>
        <w:rFonts w:ascii="Symbol" w:hAnsi="Symbol"/>
      </w:rPr>
    </w:lvl>
    <w:lvl w:ilvl="6" w:tplc="FF08A060">
      <w:start w:val="1"/>
      <w:numFmt w:val="bullet"/>
      <w:lvlText w:val=""/>
      <w:lvlJc w:val="left"/>
      <w:pPr>
        <w:ind w:left="1440" w:hanging="360"/>
      </w:pPr>
      <w:rPr>
        <w:rFonts w:ascii="Symbol" w:hAnsi="Symbol"/>
      </w:rPr>
    </w:lvl>
    <w:lvl w:ilvl="7" w:tplc="2BD4C28E">
      <w:start w:val="1"/>
      <w:numFmt w:val="bullet"/>
      <w:lvlText w:val=""/>
      <w:lvlJc w:val="left"/>
      <w:pPr>
        <w:ind w:left="1440" w:hanging="360"/>
      </w:pPr>
      <w:rPr>
        <w:rFonts w:ascii="Symbol" w:hAnsi="Symbol"/>
      </w:rPr>
    </w:lvl>
    <w:lvl w:ilvl="8" w:tplc="38965750">
      <w:start w:val="1"/>
      <w:numFmt w:val="bullet"/>
      <w:lvlText w:val=""/>
      <w:lvlJc w:val="left"/>
      <w:pPr>
        <w:ind w:left="1440" w:hanging="360"/>
      </w:pPr>
      <w:rPr>
        <w:rFonts w:ascii="Symbol" w:hAnsi="Symbol"/>
      </w:rPr>
    </w:lvl>
  </w:abstractNum>
  <w:abstractNum w:abstractNumId="26" w15:restartNumberingAfterBreak="0">
    <w:nsid w:val="5C2253B8"/>
    <w:multiLevelType w:val="hybridMultilevel"/>
    <w:tmpl w:val="183E76D6"/>
    <w:lvl w:ilvl="0" w:tplc="B5982BA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EC74396"/>
    <w:multiLevelType w:val="multilevel"/>
    <w:tmpl w:val="D4929662"/>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FFC0A51"/>
    <w:multiLevelType w:val="multilevel"/>
    <w:tmpl w:val="6B701D5A"/>
    <w:lvl w:ilvl="0">
      <w:start w:val="1"/>
      <w:numFmt w:val="decimal"/>
      <w:lvlRestart w:val="0"/>
      <w:pStyle w:val="ListParagraph"/>
      <w:lvlText w:val="%1"/>
      <w:lvlJc w:val="left"/>
      <w:pPr>
        <w:tabs>
          <w:tab w:val="num" w:pos="709"/>
        </w:tabs>
        <w:ind w:left="709" w:hanging="709"/>
      </w:pPr>
      <w:rPr>
        <w:rFonts w:hint="default"/>
      </w:rPr>
    </w:lvl>
    <w:lvl w:ilvl="1">
      <w:start w:val="1"/>
      <w:numFmt w:val="lowerLetter"/>
      <w:lvlText w:val="(%2)"/>
      <w:lvlJc w:val="left"/>
      <w:pPr>
        <w:tabs>
          <w:tab w:val="num" w:pos="1276"/>
        </w:tabs>
        <w:ind w:left="1276" w:hanging="567"/>
      </w:pPr>
      <w:rPr>
        <w:rFonts w:hint="default"/>
      </w:rPr>
    </w:lvl>
    <w:lvl w:ilvl="2">
      <w:start w:val="1"/>
      <w:numFmt w:val="lowerRoman"/>
      <w:lvlText w:val="(%3)"/>
      <w:lvlJc w:val="left"/>
      <w:pPr>
        <w:tabs>
          <w:tab w:val="num" w:pos="1843"/>
        </w:tabs>
        <w:ind w:left="1843" w:hanging="567"/>
      </w:pPr>
      <w:rPr>
        <w:rFonts w:hint="default"/>
      </w:rPr>
    </w:lvl>
    <w:lvl w:ilvl="3">
      <w:start w:val="1"/>
      <w:numFmt w:val="upperLetter"/>
      <w:lvlText w:val="(%4)"/>
      <w:lvlJc w:val="left"/>
      <w:pPr>
        <w:tabs>
          <w:tab w:val="num" w:pos="2410"/>
        </w:tabs>
        <w:ind w:left="2410"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5" w:hanging="566"/>
      </w:pPr>
      <w:rPr>
        <w:rFonts w:hint="default"/>
      </w:rPr>
    </w:lvl>
    <w:lvl w:ilvl="8">
      <w:start w:val="1"/>
      <w:numFmt w:val="lowerRoman"/>
      <w:lvlText w:val="%9."/>
      <w:lvlJc w:val="left"/>
      <w:pPr>
        <w:ind w:left="5102" w:hanging="567"/>
      </w:pPr>
      <w:rPr>
        <w:rFonts w:hint="default"/>
      </w:rPr>
    </w:lvl>
  </w:abstractNum>
  <w:abstractNum w:abstractNumId="29" w15:restartNumberingAfterBreak="0">
    <w:nsid w:val="632143F3"/>
    <w:multiLevelType w:val="hybridMultilevel"/>
    <w:tmpl w:val="0CD48D94"/>
    <w:styleLink w:val="ArticleSection11"/>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30" w15:restartNumberingAfterBreak="0">
    <w:nsid w:val="661F72AE"/>
    <w:multiLevelType w:val="multilevel"/>
    <w:tmpl w:val="621A0B42"/>
    <w:styleLink w:val="Listofnumbersnoheadings"/>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67520293"/>
    <w:multiLevelType w:val="hybridMultilevel"/>
    <w:tmpl w:val="BAF620CA"/>
    <w:lvl w:ilvl="0" w:tplc="3278AF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5E20D0"/>
    <w:multiLevelType w:val="multilevel"/>
    <w:tmpl w:val="EA5A020E"/>
    <w:styleLink w:val="1ai11"/>
    <w:lvl w:ilvl="0">
      <w:start w:val="1"/>
      <w:numFmt w:val="decimal"/>
      <w:lvlText w:val="%1"/>
      <w:lvlJc w:val="left"/>
      <w:pPr>
        <w:ind w:left="709" w:hanging="709"/>
      </w:pPr>
      <w:rPr>
        <w:rFonts w:ascii="Arial" w:hAnsi="Arial" w:hint="default"/>
        <w:b w:val="0"/>
        <w:i w:val="0"/>
        <w:color w:val="D95E00"/>
        <w:sz w:val="40"/>
      </w:rPr>
    </w:lvl>
    <w:lvl w:ilvl="1">
      <w:start w:val="1"/>
      <w:numFmt w:val="decimal"/>
      <w:lvlText w:val="%1.%2"/>
      <w:lvlJc w:val="left"/>
      <w:pPr>
        <w:ind w:left="709" w:hanging="709"/>
      </w:pPr>
      <w:rPr>
        <w:rFonts w:ascii="Arial" w:hAnsi="Arial" w:hint="default"/>
        <w:b w:val="0"/>
        <w:i w:val="0"/>
        <w:color w:val="auto"/>
        <w:sz w:val="20"/>
      </w:rPr>
    </w:lvl>
    <w:lvl w:ilvl="2">
      <w:start w:val="1"/>
      <w:numFmt w:val="bullet"/>
      <w:lvlText w:val=""/>
      <w:lvlJc w:val="left"/>
      <w:pPr>
        <w:ind w:left="1418" w:hanging="709"/>
      </w:pPr>
      <w:rPr>
        <w:rFonts w:ascii="Symbol" w:hAnsi="Symbol" w:hint="default"/>
        <w:b w:val="0"/>
        <w:i w:val="0"/>
        <w:iCs/>
        <w:color w:val="auto"/>
        <w:sz w:val="20"/>
        <w:szCs w:val="18"/>
      </w:rPr>
    </w:lvl>
    <w:lvl w:ilvl="3">
      <w:start w:val="1"/>
      <w:numFmt w:val="lowerRoman"/>
      <w:lvlText w:val="(%4)"/>
      <w:lvlJc w:val="left"/>
      <w:pPr>
        <w:ind w:left="2126" w:hanging="708"/>
      </w:pPr>
      <w:rPr>
        <w:rFonts w:ascii="Arial" w:hAnsi="Arial" w:hint="default"/>
        <w:b w:val="0"/>
        <w:i w:val="0"/>
        <w:iCs/>
        <w:color w:val="auto"/>
        <w:sz w:val="20"/>
      </w:rPr>
    </w:lvl>
    <w:lvl w:ilvl="4">
      <w:start w:val="1"/>
      <w:numFmt w:val="upperLetter"/>
      <w:lvlText w:val="(%5)"/>
      <w:lvlJc w:val="left"/>
      <w:pPr>
        <w:ind w:left="2835" w:hanging="709"/>
      </w:pPr>
      <w:rPr>
        <w:rFonts w:ascii="Arial" w:hAnsi="Arial" w:hint="default"/>
        <w:b w:val="0"/>
        <w:i w:val="0"/>
        <w:color w:val="auto"/>
        <w:sz w:val="20"/>
      </w:rPr>
    </w:lvl>
    <w:lvl w:ilvl="5">
      <w:start w:val="1"/>
      <w:numFmt w:val="decimal"/>
      <w:lvlText w:val="%1"/>
      <w:lvlJc w:val="left"/>
      <w:pPr>
        <w:tabs>
          <w:tab w:val="num" w:pos="4680"/>
        </w:tabs>
        <w:ind w:left="3456" w:hanging="936"/>
      </w:pPr>
      <w:rPr>
        <w:rFonts w:hint="default"/>
      </w:rPr>
    </w:lvl>
    <w:lvl w:ilvl="6">
      <w:start w:val="1"/>
      <w:numFmt w:val="decimal"/>
      <w:lvlText w:val="%1.%2.%3.%4.%5.%6.%7."/>
      <w:lvlJc w:val="left"/>
      <w:pPr>
        <w:tabs>
          <w:tab w:val="num" w:pos="5400"/>
        </w:tabs>
        <w:ind w:left="3960" w:hanging="1080"/>
      </w:pPr>
      <w:rPr>
        <w:rFonts w:hint="default"/>
      </w:rPr>
    </w:lvl>
    <w:lvl w:ilvl="7">
      <w:start w:val="1"/>
      <w:numFmt w:val="decimal"/>
      <w:lvlText w:val="%1"/>
      <w:lvlJc w:val="left"/>
      <w:pPr>
        <w:tabs>
          <w:tab w:val="num" w:pos="6120"/>
        </w:tabs>
        <w:ind w:left="4464" w:hanging="1224"/>
      </w:pPr>
      <w:rPr>
        <w:rFonts w:hint="default"/>
      </w:rPr>
    </w:lvl>
    <w:lvl w:ilvl="8">
      <w:start w:val="1"/>
      <w:numFmt w:val="decimal"/>
      <w:lvlText w:val="%1"/>
      <w:lvlJc w:val="left"/>
      <w:pPr>
        <w:tabs>
          <w:tab w:val="num" w:pos="6840"/>
        </w:tabs>
        <w:ind w:left="5040" w:hanging="1440"/>
      </w:pPr>
      <w:rPr>
        <w:rFonts w:hint="default"/>
      </w:rPr>
    </w:lvl>
  </w:abstractNum>
  <w:abstractNum w:abstractNumId="33" w15:restartNumberingAfterBreak="0">
    <w:nsid w:val="6CAC446C"/>
    <w:multiLevelType w:val="multilevel"/>
    <w:tmpl w:val="6F4E79FC"/>
    <w:lvl w:ilvl="0">
      <w:start w:val="1"/>
      <w:numFmt w:val="lowerLetter"/>
      <w:lvlText w:val="(%1)"/>
      <w:lvlJc w:val="left"/>
      <w:pPr>
        <w:tabs>
          <w:tab w:val="num" w:pos="709"/>
        </w:tabs>
        <w:ind w:left="709" w:hanging="709"/>
      </w:pPr>
      <w:rPr>
        <w:rFonts w:hint="default"/>
        <w:color w:val="auto"/>
      </w:rPr>
    </w:lvl>
    <w:lvl w:ilvl="1">
      <w:start w:val="1"/>
      <w:numFmt w:val="lowerRoman"/>
      <w:pStyle w:val="Heading2"/>
      <w:lvlText w:val="(%2)"/>
      <w:lvlJc w:val="left"/>
      <w:pPr>
        <w:tabs>
          <w:tab w:val="num" w:pos="1276"/>
        </w:tabs>
        <w:ind w:left="1276" w:hanging="567"/>
      </w:pPr>
      <w:rPr>
        <w:rFonts w:hint="default"/>
      </w:rPr>
    </w:lvl>
    <w:lvl w:ilvl="2">
      <w:start w:val="1"/>
      <w:numFmt w:val="upperLetter"/>
      <w:pStyle w:val="Heading3"/>
      <w:lvlText w:val="(%3)"/>
      <w:lvlJc w:val="left"/>
      <w:pPr>
        <w:tabs>
          <w:tab w:val="num" w:pos="1843"/>
        </w:tabs>
        <w:ind w:left="1843"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714F27AC"/>
    <w:multiLevelType w:val="hybridMultilevel"/>
    <w:tmpl w:val="BAF620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24D356C"/>
    <w:multiLevelType w:val="multilevel"/>
    <w:tmpl w:val="6B0418DE"/>
    <w:styleLink w:val="Bullets"/>
    <w:lvl w:ilvl="0">
      <w:start w:val="1"/>
      <w:numFmt w:val="bullet"/>
      <w:pStyle w:val="Bullet1"/>
      <w:lvlText w:val=""/>
      <w:lvlJc w:val="left"/>
      <w:pPr>
        <w:tabs>
          <w:tab w:val="num" w:pos="709"/>
        </w:tabs>
        <w:ind w:left="709" w:hanging="709"/>
      </w:pPr>
      <w:rPr>
        <w:rFonts w:ascii="Symbol" w:hAnsi="Symbol" w:hint="default"/>
        <w:color w:val="auto"/>
      </w:rPr>
    </w:lvl>
    <w:lvl w:ilvl="1">
      <w:start w:val="1"/>
      <w:numFmt w:val="bullet"/>
      <w:pStyle w:val="Bullet2"/>
      <w:lvlText w:val=""/>
      <w:lvlJc w:val="left"/>
      <w:pPr>
        <w:tabs>
          <w:tab w:val="num" w:pos="1276"/>
        </w:tabs>
        <w:ind w:left="1276" w:hanging="567"/>
      </w:pPr>
      <w:rPr>
        <w:rFonts w:ascii="Symbol" w:hAnsi="Symbol" w:hint="default"/>
        <w:color w:val="auto"/>
      </w:rPr>
    </w:lvl>
    <w:lvl w:ilvl="2">
      <w:start w:val="1"/>
      <w:numFmt w:val="none"/>
      <w:pStyle w:val="Bullet3"/>
      <w:lvlText w:val="-"/>
      <w:lvlJc w:val="left"/>
      <w:pPr>
        <w:tabs>
          <w:tab w:val="num" w:pos="1843"/>
        </w:tabs>
        <w:ind w:left="1843" w:hanging="567"/>
      </w:pPr>
      <w:rPr>
        <w:rFonts w:hint="default"/>
      </w:rPr>
    </w:lvl>
    <w:lvl w:ilvl="3">
      <w:start w:val="1"/>
      <w:numFmt w:val="bullet"/>
      <w:pStyle w:val="Bullet4"/>
      <w:lvlText w:val=""/>
      <w:lvlJc w:val="left"/>
      <w:pPr>
        <w:tabs>
          <w:tab w:val="num" w:pos="2410"/>
        </w:tabs>
        <w:ind w:left="2410" w:hanging="567"/>
      </w:pPr>
      <w:rPr>
        <w:rFonts w:ascii="Symbol" w:hAnsi="Symbol" w:hint="default"/>
        <w:color w:val="auto"/>
      </w:rPr>
    </w:lvl>
    <w:lvl w:ilvl="4">
      <w:start w:val="1"/>
      <w:numFmt w:val="bullet"/>
      <w:pStyle w:val="Bullet5"/>
      <w:lvlText w:val=""/>
      <w:lvlJc w:val="left"/>
      <w:pPr>
        <w:tabs>
          <w:tab w:val="num" w:pos="2977"/>
        </w:tabs>
        <w:ind w:left="2977" w:hanging="567"/>
      </w:pPr>
      <w:rPr>
        <w:rFonts w:ascii="Symbol" w:hAnsi="Symbol" w:hint="default"/>
        <w:color w:val="auto"/>
      </w:rPr>
    </w:lvl>
    <w:lvl w:ilvl="5">
      <w:start w:val="1"/>
      <w:numFmt w:val="none"/>
      <w:lvlText w:val=""/>
      <w:lvlJc w:val="left"/>
      <w:pPr>
        <w:tabs>
          <w:tab w:val="num" w:pos="2835"/>
        </w:tabs>
        <w:ind w:left="2835" w:firstLine="0"/>
      </w:pPr>
      <w:rPr>
        <w:rFonts w:hint="default"/>
      </w:rPr>
    </w:lvl>
    <w:lvl w:ilvl="6">
      <w:start w:val="1"/>
      <w:numFmt w:val="none"/>
      <w:lvlText w:val="%7"/>
      <w:lvlJc w:val="left"/>
      <w:pPr>
        <w:tabs>
          <w:tab w:val="num" w:pos="2835"/>
        </w:tabs>
        <w:ind w:left="2835" w:firstLine="0"/>
      </w:pPr>
      <w:rPr>
        <w:rFonts w:hint="default"/>
      </w:rPr>
    </w:lvl>
    <w:lvl w:ilvl="7">
      <w:start w:val="1"/>
      <w:numFmt w:val="none"/>
      <w:lvlText w:val="%8"/>
      <w:lvlJc w:val="left"/>
      <w:pPr>
        <w:ind w:left="2835" w:firstLine="0"/>
      </w:pPr>
      <w:rPr>
        <w:rFonts w:hint="default"/>
      </w:rPr>
    </w:lvl>
    <w:lvl w:ilvl="8">
      <w:start w:val="1"/>
      <w:numFmt w:val="none"/>
      <w:lvlText w:val="%9"/>
      <w:lvlJc w:val="left"/>
      <w:pPr>
        <w:ind w:left="2835" w:firstLine="0"/>
      </w:pPr>
      <w:rPr>
        <w:rFonts w:hint="default"/>
      </w:rPr>
    </w:lvl>
  </w:abstractNum>
  <w:num w:numId="1" w16cid:durableId="1612206040">
    <w:abstractNumId w:val="30"/>
  </w:num>
  <w:num w:numId="2" w16cid:durableId="294485879">
    <w:abstractNumId w:val="35"/>
  </w:num>
  <w:num w:numId="3" w16cid:durableId="355275580">
    <w:abstractNumId w:val="18"/>
  </w:num>
  <w:num w:numId="4" w16cid:durableId="1555503668">
    <w:abstractNumId w:val="8"/>
  </w:num>
  <w:num w:numId="5" w16cid:durableId="670715034">
    <w:abstractNumId w:val="6"/>
  </w:num>
  <w:num w:numId="6" w16cid:durableId="1811749007">
    <w:abstractNumId w:val="5"/>
  </w:num>
  <w:num w:numId="7" w16cid:durableId="1169784168">
    <w:abstractNumId w:val="4"/>
  </w:num>
  <w:num w:numId="8" w16cid:durableId="1511529324">
    <w:abstractNumId w:val="7"/>
  </w:num>
  <w:num w:numId="9" w16cid:durableId="1468009773">
    <w:abstractNumId w:val="3"/>
  </w:num>
  <w:num w:numId="10" w16cid:durableId="549414939">
    <w:abstractNumId w:val="2"/>
  </w:num>
  <w:num w:numId="11" w16cid:durableId="628440146">
    <w:abstractNumId w:val="1"/>
  </w:num>
  <w:num w:numId="12" w16cid:durableId="768278579">
    <w:abstractNumId w:val="0"/>
  </w:num>
  <w:num w:numId="13" w16cid:durableId="223685085">
    <w:abstractNumId w:val="33"/>
  </w:num>
  <w:num w:numId="14" w16cid:durableId="842823708">
    <w:abstractNumId w:val="28"/>
  </w:num>
  <w:num w:numId="15" w16cid:durableId="2106225108">
    <w:abstractNumId w:val="11"/>
  </w:num>
  <w:num w:numId="16" w16cid:durableId="1904756342">
    <w:abstractNumId w:val="10"/>
  </w:num>
  <w:num w:numId="17" w16cid:durableId="1573465005">
    <w:abstractNumId w:val="24"/>
  </w:num>
  <w:num w:numId="18" w16cid:durableId="407191200">
    <w:abstractNumId w:val="9"/>
  </w:num>
  <w:num w:numId="19" w16cid:durableId="1744377935">
    <w:abstractNumId w:val="32"/>
  </w:num>
  <w:num w:numId="20" w16cid:durableId="62070196">
    <w:abstractNumId w:val="29"/>
  </w:num>
  <w:num w:numId="21" w16cid:durableId="15087184">
    <w:abstractNumId w:val="23"/>
  </w:num>
  <w:num w:numId="22" w16cid:durableId="618148681">
    <w:abstractNumId w:val="22"/>
  </w:num>
  <w:num w:numId="23" w16cid:durableId="534270164">
    <w:abstractNumId w:val="19"/>
  </w:num>
  <w:num w:numId="24" w16cid:durableId="1877889829">
    <w:abstractNumId w:val="13"/>
  </w:num>
  <w:num w:numId="25" w16cid:durableId="412702703">
    <w:abstractNumId w:val="27"/>
  </w:num>
  <w:num w:numId="26" w16cid:durableId="816459565">
    <w:abstractNumId w:val="20"/>
  </w:num>
  <w:num w:numId="27" w16cid:durableId="995574638">
    <w:abstractNumId w:val="31"/>
  </w:num>
  <w:num w:numId="28" w16cid:durableId="1184629966">
    <w:abstractNumId w:val="26"/>
  </w:num>
  <w:num w:numId="29" w16cid:durableId="1719893439">
    <w:abstractNumId w:val="9"/>
  </w:num>
  <w:num w:numId="30" w16cid:durableId="670910078">
    <w:abstractNumId w:val="9"/>
  </w:num>
  <w:num w:numId="31" w16cid:durableId="684332871">
    <w:abstractNumId w:val="9"/>
  </w:num>
  <w:num w:numId="32" w16cid:durableId="502555600">
    <w:abstractNumId w:val="15"/>
  </w:num>
  <w:num w:numId="33" w16cid:durableId="1031957875">
    <w:abstractNumId w:val="9"/>
  </w:num>
  <w:num w:numId="34" w16cid:durableId="1280377961">
    <w:abstractNumId w:val="9"/>
  </w:num>
  <w:num w:numId="35" w16cid:durableId="875119023">
    <w:abstractNumId w:val="9"/>
  </w:num>
  <w:num w:numId="36" w16cid:durableId="405037129">
    <w:abstractNumId w:val="14"/>
  </w:num>
  <w:num w:numId="37" w16cid:durableId="1144472024">
    <w:abstractNumId w:val="17"/>
  </w:num>
  <w:num w:numId="38" w16cid:durableId="63917307">
    <w:abstractNumId w:val="25"/>
  </w:num>
  <w:num w:numId="39" w16cid:durableId="1464276542">
    <w:abstractNumId w:val="9"/>
  </w:num>
  <w:num w:numId="40" w16cid:durableId="1732725198">
    <w:abstractNumId w:val="9"/>
  </w:num>
  <w:num w:numId="41" w16cid:durableId="286354171">
    <w:abstractNumId w:val="9"/>
  </w:num>
  <w:num w:numId="42" w16cid:durableId="1562054900">
    <w:abstractNumId w:val="9"/>
  </w:num>
  <w:num w:numId="43" w16cid:durableId="1956669640">
    <w:abstractNumId w:val="16"/>
  </w:num>
  <w:num w:numId="44" w16cid:durableId="777602770">
    <w:abstractNumId w:val="9"/>
  </w:num>
  <w:num w:numId="45" w16cid:durableId="565455297">
    <w:abstractNumId w:val="34"/>
  </w:num>
  <w:num w:numId="46" w16cid:durableId="1789543981">
    <w:abstractNumId w:val="9"/>
  </w:num>
  <w:num w:numId="47" w16cid:durableId="1584686209">
    <w:abstractNumId w:val="12"/>
  </w:num>
  <w:num w:numId="48" w16cid:durableId="1098213617">
    <w:abstractNumId w:val="9"/>
  </w:num>
  <w:num w:numId="49" w16cid:durableId="237449586">
    <w:abstractNumId w:val="9"/>
  </w:num>
  <w:num w:numId="50" w16cid:durableId="1297681177">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Moves/>
  <w:doNotTrackFormatting/>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772F29E-7673-43F6-B952-31B426914F78}"/>
    <w:docVar w:name="dgnword-eventsink" w:val="3141603565152"/>
    <w:docVar w:name="dgnword-lastRevisionsView" w:val="0"/>
    <w:docVar w:name="DocAssist_AuthorID" w:val="MAY"/>
    <w:docVar w:name="filename" w:val="CLT\CLT\90284441\7"/>
  </w:docVars>
  <w:rsids>
    <w:rsidRoot w:val="0064458B"/>
    <w:rsid w:val="000003FF"/>
    <w:rsid w:val="000006E4"/>
    <w:rsid w:val="00000A17"/>
    <w:rsid w:val="00000AEB"/>
    <w:rsid w:val="00000B29"/>
    <w:rsid w:val="00000D9B"/>
    <w:rsid w:val="00000F43"/>
    <w:rsid w:val="00000FDE"/>
    <w:rsid w:val="00001195"/>
    <w:rsid w:val="000019EB"/>
    <w:rsid w:val="00002131"/>
    <w:rsid w:val="00002510"/>
    <w:rsid w:val="000026F7"/>
    <w:rsid w:val="00002838"/>
    <w:rsid w:val="00002F5F"/>
    <w:rsid w:val="00003304"/>
    <w:rsid w:val="000035B9"/>
    <w:rsid w:val="00003CAA"/>
    <w:rsid w:val="00004178"/>
    <w:rsid w:val="00004328"/>
    <w:rsid w:val="000043A4"/>
    <w:rsid w:val="000045FD"/>
    <w:rsid w:val="000047E0"/>
    <w:rsid w:val="00004907"/>
    <w:rsid w:val="00004CAF"/>
    <w:rsid w:val="00005324"/>
    <w:rsid w:val="0000538C"/>
    <w:rsid w:val="00005D22"/>
    <w:rsid w:val="00005E8D"/>
    <w:rsid w:val="00006172"/>
    <w:rsid w:val="00006182"/>
    <w:rsid w:val="0000674B"/>
    <w:rsid w:val="00006EE3"/>
    <w:rsid w:val="00007262"/>
    <w:rsid w:val="000077EA"/>
    <w:rsid w:val="00007B46"/>
    <w:rsid w:val="00007BE3"/>
    <w:rsid w:val="00007C96"/>
    <w:rsid w:val="00010389"/>
    <w:rsid w:val="0001039D"/>
    <w:rsid w:val="00010775"/>
    <w:rsid w:val="00010813"/>
    <w:rsid w:val="00010859"/>
    <w:rsid w:val="00010AE1"/>
    <w:rsid w:val="00010D22"/>
    <w:rsid w:val="00010D76"/>
    <w:rsid w:val="00010DA7"/>
    <w:rsid w:val="00010E8E"/>
    <w:rsid w:val="00011603"/>
    <w:rsid w:val="00011845"/>
    <w:rsid w:val="00011B61"/>
    <w:rsid w:val="00011D62"/>
    <w:rsid w:val="000122F0"/>
    <w:rsid w:val="00012427"/>
    <w:rsid w:val="00012512"/>
    <w:rsid w:val="0001275A"/>
    <w:rsid w:val="00012894"/>
    <w:rsid w:val="0001289D"/>
    <w:rsid w:val="00012939"/>
    <w:rsid w:val="00013739"/>
    <w:rsid w:val="00013D06"/>
    <w:rsid w:val="00013D82"/>
    <w:rsid w:val="00013DD7"/>
    <w:rsid w:val="0001435B"/>
    <w:rsid w:val="0001500E"/>
    <w:rsid w:val="00015392"/>
    <w:rsid w:val="00015417"/>
    <w:rsid w:val="000154B4"/>
    <w:rsid w:val="00015893"/>
    <w:rsid w:val="00015BE7"/>
    <w:rsid w:val="00015F7F"/>
    <w:rsid w:val="00016A81"/>
    <w:rsid w:val="0001748F"/>
    <w:rsid w:val="0001750A"/>
    <w:rsid w:val="00017663"/>
    <w:rsid w:val="000177FE"/>
    <w:rsid w:val="000178D9"/>
    <w:rsid w:val="00020383"/>
    <w:rsid w:val="00020694"/>
    <w:rsid w:val="000209A8"/>
    <w:rsid w:val="0002110B"/>
    <w:rsid w:val="00021715"/>
    <w:rsid w:val="00021FC8"/>
    <w:rsid w:val="00022304"/>
    <w:rsid w:val="0002284E"/>
    <w:rsid w:val="00022B9B"/>
    <w:rsid w:val="00022DF7"/>
    <w:rsid w:val="00022E01"/>
    <w:rsid w:val="00023109"/>
    <w:rsid w:val="000231DF"/>
    <w:rsid w:val="00023443"/>
    <w:rsid w:val="00023B72"/>
    <w:rsid w:val="00023E35"/>
    <w:rsid w:val="00023F9B"/>
    <w:rsid w:val="0002410A"/>
    <w:rsid w:val="000244D1"/>
    <w:rsid w:val="00024850"/>
    <w:rsid w:val="00024AEA"/>
    <w:rsid w:val="0002600E"/>
    <w:rsid w:val="0002625B"/>
    <w:rsid w:val="000268D5"/>
    <w:rsid w:val="00026DF2"/>
    <w:rsid w:val="00027458"/>
    <w:rsid w:val="000274AA"/>
    <w:rsid w:val="00027904"/>
    <w:rsid w:val="00027CB8"/>
    <w:rsid w:val="00027D88"/>
    <w:rsid w:val="0003064D"/>
    <w:rsid w:val="00030909"/>
    <w:rsid w:val="00030BC2"/>
    <w:rsid w:val="00030CCF"/>
    <w:rsid w:val="00030DF4"/>
    <w:rsid w:val="00031378"/>
    <w:rsid w:val="000329A6"/>
    <w:rsid w:val="00032B57"/>
    <w:rsid w:val="00032FC7"/>
    <w:rsid w:val="0003358D"/>
    <w:rsid w:val="000337D8"/>
    <w:rsid w:val="00033C7F"/>
    <w:rsid w:val="0003410A"/>
    <w:rsid w:val="00034578"/>
    <w:rsid w:val="00034776"/>
    <w:rsid w:val="00034926"/>
    <w:rsid w:val="00034B85"/>
    <w:rsid w:val="00034BE3"/>
    <w:rsid w:val="00034EB9"/>
    <w:rsid w:val="000354EC"/>
    <w:rsid w:val="00035535"/>
    <w:rsid w:val="00035746"/>
    <w:rsid w:val="00036672"/>
    <w:rsid w:val="00037067"/>
    <w:rsid w:val="00037577"/>
    <w:rsid w:val="00037653"/>
    <w:rsid w:val="0003774A"/>
    <w:rsid w:val="000378B6"/>
    <w:rsid w:val="000402BF"/>
    <w:rsid w:val="000402DF"/>
    <w:rsid w:val="00040EC1"/>
    <w:rsid w:val="00041159"/>
    <w:rsid w:val="00041421"/>
    <w:rsid w:val="00041683"/>
    <w:rsid w:val="00041CCE"/>
    <w:rsid w:val="00043072"/>
    <w:rsid w:val="0004307C"/>
    <w:rsid w:val="000430FB"/>
    <w:rsid w:val="00043199"/>
    <w:rsid w:val="0004328C"/>
    <w:rsid w:val="000435FA"/>
    <w:rsid w:val="000437CE"/>
    <w:rsid w:val="00043B50"/>
    <w:rsid w:val="00043ECA"/>
    <w:rsid w:val="00044738"/>
    <w:rsid w:val="0004493D"/>
    <w:rsid w:val="0004515D"/>
    <w:rsid w:val="000454C9"/>
    <w:rsid w:val="000455FA"/>
    <w:rsid w:val="0004560D"/>
    <w:rsid w:val="00045651"/>
    <w:rsid w:val="00045E3A"/>
    <w:rsid w:val="00045F6F"/>
    <w:rsid w:val="0004624B"/>
    <w:rsid w:val="0004637F"/>
    <w:rsid w:val="00046A77"/>
    <w:rsid w:val="00047250"/>
    <w:rsid w:val="000475F7"/>
    <w:rsid w:val="00050103"/>
    <w:rsid w:val="0005044D"/>
    <w:rsid w:val="00050544"/>
    <w:rsid w:val="000505FF"/>
    <w:rsid w:val="00050F4F"/>
    <w:rsid w:val="00050FB1"/>
    <w:rsid w:val="0005145D"/>
    <w:rsid w:val="00051854"/>
    <w:rsid w:val="0005195F"/>
    <w:rsid w:val="00051C8F"/>
    <w:rsid w:val="00051D04"/>
    <w:rsid w:val="00051E0B"/>
    <w:rsid w:val="00052203"/>
    <w:rsid w:val="00052420"/>
    <w:rsid w:val="000527CF"/>
    <w:rsid w:val="00052951"/>
    <w:rsid w:val="0005297C"/>
    <w:rsid w:val="000529DF"/>
    <w:rsid w:val="00052A13"/>
    <w:rsid w:val="00053102"/>
    <w:rsid w:val="0005312F"/>
    <w:rsid w:val="000535CE"/>
    <w:rsid w:val="00053A9E"/>
    <w:rsid w:val="00054627"/>
    <w:rsid w:val="000549A1"/>
    <w:rsid w:val="00054B46"/>
    <w:rsid w:val="000550D8"/>
    <w:rsid w:val="000552CD"/>
    <w:rsid w:val="00055348"/>
    <w:rsid w:val="00055732"/>
    <w:rsid w:val="00055D60"/>
    <w:rsid w:val="00055F6C"/>
    <w:rsid w:val="00056DB1"/>
    <w:rsid w:val="000571C0"/>
    <w:rsid w:val="000571F7"/>
    <w:rsid w:val="00057379"/>
    <w:rsid w:val="000575B8"/>
    <w:rsid w:val="00057932"/>
    <w:rsid w:val="00057AFC"/>
    <w:rsid w:val="00057ED0"/>
    <w:rsid w:val="00060481"/>
    <w:rsid w:val="000604BF"/>
    <w:rsid w:val="00060607"/>
    <w:rsid w:val="0006108C"/>
    <w:rsid w:val="000615E4"/>
    <w:rsid w:val="000617EC"/>
    <w:rsid w:val="00061947"/>
    <w:rsid w:val="00061CA4"/>
    <w:rsid w:val="000631AA"/>
    <w:rsid w:val="00063361"/>
    <w:rsid w:val="000633E7"/>
    <w:rsid w:val="00063AF4"/>
    <w:rsid w:val="00063FEF"/>
    <w:rsid w:val="00064272"/>
    <w:rsid w:val="000643EA"/>
    <w:rsid w:val="00064745"/>
    <w:rsid w:val="000648CC"/>
    <w:rsid w:val="00064F24"/>
    <w:rsid w:val="00065232"/>
    <w:rsid w:val="0006561A"/>
    <w:rsid w:val="00065D85"/>
    <w:rsid w:val="00066924"/>
    <w:rsid w:val="00067176"/>
    <w:rsid w:val="000676A5"/>
    <w:rsid w:val="00067720"/>
    <w:rsid w:val="00067AEF"/>
    <w:rsid w:val="00067CED"/>
    <w:rsid w:val="000705E5"/>
    <w:rsid w:val="000708A5"/>
    <w:rsid w:val="00070A11"/>
    <w:rsid w:val="00070BB9"/>
    <w:rsid w:val="00071935"/>
    <w:rsid w:val="00071D52"/>
    <w:rsid w:val="00071D94"/>
    <w:rsid w:val="0007262D"/>
    <w:rsid w:val="00072B4A"/>
    <w:rsid w:val="000733F4"/>
    <w:rsid w:val="00073423"/>
    <w:rsid w:val="000735BD"/>
    <w:rsid w:val="000735D8"/>
    <w:rsid w:val="0007362B"/>
    <w:rsid w:val="000741E0"/>
    <w:rsid w:val="0007492B"/>
    <w:rsid w:val="00074DA2"/>
    <w:rsid w:val="00075506"/>
    <w:rsid w:val="0007582E"/>
    <w:rsid w:val="00075B38"/>
    <w:rsid w:val="00075E9B"/>
    <w:rsid w:val="000762CD"/>
    <w:rsid w:val="000764D7"/>
    <w:rsid w:val="000767D6"/>
    <w:rsid w:val="00077329"/>
    <w:rsid w:val="0007753B"/>
    <w:rsid w:val="00077B68"/>
    <w:rsid w:val="00077B71"/>
    <w:rsid w:val="00077EFD"/>
    <w:rsid w:val="0008037F"/>
    <w:rsid w:val="000803AC"/>
    <w:rsid w:val="000806D7"/>
    <w:rsid w:val="000809BE"/>
    <w:rsid w:val="00080CF8"/>
    <w:rsid w:val="00080E69"/>
    <w:rsid w:val="00080F30"/>
    <w:rsid w:val="000811C0"/>
    <w:rsid w:val="000813A0"/>
    <w:rsid w:val="0008173B"/>
    <w:rsid w:val="000817D0"/>
    <w:rsid w:val="0008189E"/>
    <w:rsid w:val="0008193F"/>
    <w:rsid w:val="00081ADB"/>
    <w:rsid w:val="00081B31"/>
    <w:rsid w:val="00081CEC"/>
    <w:rsid w:val="00082155"/>
    <w:rsid w:val="000822E7"/>
    <w:rsid w:val="000826F5"/>
    <w:rsid w:val="0008308C"/>
    <w:rsid w:val="00083529"/>
    <w:rsid w:val="0008364F"/>
    <w:rsid w:val="00083724"/>
    <w:rsid w:val="00083A87"/>
    <w:rsid w:val="00083FFF"/>
    <w:rsid w:val="00084BE1"/>
    <w:rsid w:val="00084E98"/>
    <w:rsid w:val="000854C8"/>
    <w:rsid w:val="00085AB8"/>
    <w:rsid w:val="00085B42"/>
    <w:rsid w:val="000865C0"/>
    <w:rsid w:val="00086AEC"/>
    <w:rsid w:val="00086CC9"/>
    <w:rsid w:val="00086E9F"/>
    <w:rsid w:val="00087203"/>
    <w:rsid w:val="0008796C"/>
    <w:rsid w:val="000879CB"/>
    <w:rsid w:val="0009018F"/>
    <w:rsid w:val="00091264"/>
    <w:rsid w:val="0009166A"/>
    <w:rsid w:val="00091811"/>
    <w:rsid w:val="00091983"/>
    <w:rsid w:val="000919EF"/>
    <w:rsid w:val="000920A0"/>
    <w:rsid w:val="0009233B"/>
    <w:rsid w:val="00092380"/>
    <w:rsid w:val="000926CC"/>
    <w:rsid w:val="000929BD"/>
    <w:rsid w:val="000929D6"/>
    <w:rsid w:val="00093599"/>
    <w:rsid w:val="000937B5"/>
    <w:rsid w:val="000937E4"/>
    <w:rsid w:val="00093EB2"/>
    <w:rsid w:val="000940C2"/>
    <w:rsid w:val="000947FB"/>
    <w:rsid w:val="000948BD"/>
    <w:rsid w:val="00094DB2"/>
    <w:rsid w:val="0009546C"/>
    <w:rsid w:val="00095DB5"/>
    <w:rsid w:val="00095DEB"/>
    <w:rsid w:val="00095F85"/>
    <w:rsid w:val="00096225"/>
    <w:rsid w:val="0009651E"/>
    <w:rsid w:val="00096594"/>
    <w:rsid w:val="00096E26"/>
    <w:rsid w:val="00097259"/>
    <w:rsid w:val="00097379"/>
    <w:rsid w:val="0009751C"/>
    <w:rsid w:val="00097D9F"/>
    <w:rsid w:val="00097FA1"/>
    <w:rsid w:val="000A00F1"/>
    <w:rsid w:val="000A01D5"/>
    <w:rsid w:val="000A0686"/>
    <w:rsid w:val="000A083B"/>
    <w:rsid w:val="000A0924"/>
    <w:rsid w:val="000A09E6"/>
    <w:rsid w:val="000A0B23"/>
    <w:rsid w:val="000A0B4B"/>
    <w:rsid w:val="000A0D96"/>
    <w:rsid w:val="000A1171"/>
    <w:rsid w:val="000A1315"/>
    <w:rsid w:val="000A15DC"/>
    <w:rsid w:val="000A1909"/>
    <w:rsid w:val="000A1F86"/>
    <w:rsid w:val="000A265E"/>
    <w:rsid w:val="000A2671"/>
    <w:rsid w:val="000A28C4"/>
    <w:rsid w:val="000A33BB"/>
    <w:rsid w:val="000A383C"/>
    <w:rsid w:val="000A43F3"/>
    <w:rsid w:val="000A4441"/>
    <w:rsid w:val="000A45AC"/>
    <w:rsid w:val="000A49F0"/>
    <w:rsid w:val="000A4A03"/>
    <w:rsid w:val="000A56BE"/>
    <w:rsid w:val="000A5A22"/>
    <w:rsid w:val="000A5D49"/>
    <w:rsid w:val="000A6A23"/>
    <w:rsid w:val="000A7923"/>
    <w:rsid w:val="000A79E0"/>
    <w:rsid w:val="000A79F6"/>
    <w:rsid w:val="000A7C3F"/>
    <w:rsid w:val="000A7E04"/>
    <w:rsid w:val="000A7E86"/>
    <w:rsid w:val="000A7E9D"/>
    <w:rsid w:val="000B006E"/>
    <w:rsid w:val="000B0164"/>
    <w:rsid w:val="000B0430"/>
    <w:rsid w:val="000B04B5"/>
    <w:rsid w:val="000B06DF"/>
    <w:rsid w:val="000B0D4A"/>
    <w:rsid w:val="000B0F16"/>
    <w:rsid w:val="000B12ED"/>
    <w:rsid w:val="000B13B6"/>
    <w:rsid w:val="000B1447"/>
    <w:rsid w:val="000B1752"/>
    <w:rsid w:val="000B1753"/>
    <w:rsid w:val="000B1AD3"/>
    <w:rsid w:val="000B2030"/>
    <w:rsid w:val="000B216C"/>
    <w:rsid w:val="000B2565"/>
    <w:rsid w:val="000B25C6"/>
    <w:rsid w:val="000B3050"/>
    <w:rsid w:val="000B3237"/>
    <w:rsid w:val="000B3392"/>
    <w:rsid w:val="000B35B4"/>
    <w:rsid w:val="000B3B35"/>
    <w:rsid w:val="000B3DD7"/>
    <w:rsid w:val="000B3F49"/>
    <w:rsid w:val="000B4128"/>
    <w:rsid w:val="000B45B8"/>
    <w:rsid w:val="000B4930"/>
    <w:rsid w:val="000B4E99"/>
    <w:rsid w:val="000B50A2"/>
    <w:rsid w:val="000B5511"/>
    <w:rsid w:val="000B5602"/>
    <w:rsid w:val="000B5889"/>
    <w:rsid w:val="000B59D7"/>
    <w:rsid w:val="000B60C6"/>
    <w:rsid w:val="000B6110"/>
    <w:rsid w:val="000B65BE"/>
    <w:rsid w:val="000B6A92"/>
    <w:rsid w:val="000B7548"/>
    <w:rsid w:val="000B78C0"/>
    <w:rsid w:val="000C056D"/>
    <w:rsid w:val="000C0CD2"/>
    <w:rsid w:val="000C1099"/>
    <w:rsid w:val="000C1899"/>
    <w:rsid w:val="000C1B22"/>
    <w:rsid w:val="000C1B62"/>
    <w:rsid w:val="000C1ED5"/>
    <w:rsid w:val="000C2386"/>
    <w:rsid w:val="000C2483"/>
    <w:rsid w:val="000C2555"/>
    <w:rsid w:val="000C25D7"/>
    <w:rsid w:val="000C2A52"/>
    <w:rsid w:val="000C32D4"/>
    <w:rsid w:val="000C3838"/>
    <w:rsid w:val="000C38D6"/>
    <w:rsid w:val="000C3F49"/>
    <w:rsid w:val="000C3F9F"/>
    <w:rsid w:val="000C420C"/>
    <w:rsid w:val="000C430B"/>
    <w:rsid w:val="000C463F"/>
    <w:rsid w:val="000C4825"/>
    <w:rsid w:val="000C493F"/>
    <w:rsid w:val="000C4B5F"/>
    <w:rsid w:val="000C4D9B"/>
    <w:rsid w:val="000C57FF"/>
    <w:rsid w:val="000C592C"/>
    <w:rsid w:val="000C5988"/>
    <w:rsid w:val="000C5ADC"/>
    <w:rsid w:val="000C6426"/>
    <w:rsid w:val="000C76D5"/>
    <w:rsid w:val="000C77E5"/>
    <w:rsid w:val="000C7D77"/>
    <w:rsid w:val="000D038B"/>
    <w:rsid w:val="000D03DD"/>
    <w:rsid w:val="000D0728"/>
    <w:rsid w:val="000D0E3F"/>
    <w:rsid w:val="000D117D"/>
    <w:rsid w:val="000D160F"/>
    <w:rsid w:val="000D19CA"/>
    <w:rsid w:val="000D1D90"/>
    <w:rsid w:val="000D1DF9"/>
    <w:rsid w:val="000D1F4D"/>
    <w:rsid w:val="000D238F"/>
    <w:rsid w:val="000D243E"/>
    <w:rsid w:val="000D2B78"/>
    <w:rsid w:val="000D3218"/>
    <w:rsid w:val="000D367D"/>
    <w:rsid w:val="000D3728"/>
    <w:rsid w:val="000D3775"/>
    <w:rsid w:val="000D382F"/>
    <w:rsid w:val="000D389F"/>
    <w:rsid w:val="000D3F34"/>
    <w:rsid w:val="000D451A"/>
    <w:rsid w:val="000D4975"/>
    <w:rsid w:val="000D49FF"/>
    <w:rsid w:val="000D4CCF"/>
    <w:rsid w:val="000D4D41"/>
    <w:rsid w:val="000D4D79"/>
    <w:rsid w:val="000D4F11"/>
    <w:rsid w:val="000D5198"/>
    <w:rsid w:val="000D56EA"/>
    <w:rsid w:val="000D5BE2"/>
    <w:rsid w:val="000D5C9C"/>
    <w:rsid w:val="000D5E62"/>
    <w:rsid w:val="000D6529"/>
    <w:rsid w:val="000D6785"/>
    <w:rsid w:val="000D6942"/>
    <w:rsid w:val="000D7D70"/>
    <w:rsid w:val="000E0072"/>
    <w:rsid w:val="000E0160"/>
    <w:rsid w:val="000E05BF"/>
    <w:rsid w:val="000E08D2"/>
    <w:rsid w:val="000E0DFA"/>
    <w:rsid w:val="000E14C7"/>
    <w:rsid w:val="000E16C5"/>
    <w:rsid w:val="000E2508"/>
    <w:rsid w:val="000E28B8"/>
    <w:rsid w:val="000E2C8F"/>
    <w:rsid w:val="000E3018"/>
    <w:rsid w:val="000E3243"/>
    <w:rsid w:val="000E3342"/>
    <w:rsid w:val="000E3613"/>
    <w:rsid w:val="000E36E4"/>
    <w:rsid w:val="000E3C0B"/>
    <w:rsid w:val="000E42DC"/>
    <w:rsid w:val="000E475F"/>
    <w:rsid w:val="000E4E5A"/>
    <w:rsid w:val="000E4E8F"/>
    <w:rsid w:val="000E4F6C"/>
    <w:rsid w:val="000E5032"/>
    <w:rsid w:val="000E509F"/>
    <w:rsid w:val="000E56F8"/>
    <w:rsid w:val="000E572C"/>
    <w:rsid w:val="000E5C92"/>
    <w:rsid w:val="000E5CC8"/>
    <w:rsid w:val="000E5F72"/>
    <w:rsid w:val="000E6086"/>
    <w:rsid w:val="000E68BC"/>
    <w:rsid w:val="000E6C30"/>
    <w:rsid w:val="000E6F02"/>
    <w:rsid w:val="000E7494"/>
    <w:rsid w:val="000E7A24"/>
    <w:rsid w:val="000E7B30"/>
    <w:rsid w:val="000E7FC9"/>
    <w:rsid w:val="000F00B9"/>
    <w:rsid w:val="000F0620"/>
    <w:rsid w:val="000F0D66"/>
    <w:rsid w:val="000F0F3E"/>
    <w:rsid w:val="000F12B6"/>
    <w:rsid w:val="000F1C82"/>
    <w:rsid w:val="000F1DF9"/>
    <w:rsid w:val="000F1FDA"/>
    <w:rsid w:val="000F2172"/>
    <w:rsid w:val="000F2702"/>
    <w:rsid w:val="000F29C6"/>
    <w:rsid w:val="000F322F"/>
    <w:rsid w:val="000F3BA1"/>
    <w:rsid w:val="000F3D84"/>
    <w:rsid w:val="000F53DC"/>
    <w:rsid w:val="000F561F"/>
    <w:rsid w:val="000F5FB0"/>
    <w:rsid w:val="000F6855"/>
    <w:rsid w:val="000F6CE2"/>
    <w:rsid w:val="000F6D68"/>
    <w:rsid w:val="000F6E03"/>
    <w:rsid w:val="000F75D0"/>
    <w:rsid w:val="000F768D"/>
    <w:rsid w:val="000F7BEE"/>
    <w:rsid w:val="000F7FF6"/>
    <w:rsid w:val="001000F9"/>
    <w:rsid w:val="00100FBA"/>
    <w:rsid w:val="001019EE"/>
    <w:rsid w:val="00101C25"/>
    <w:rsid w:val="00101D2D"/>
    <w:rsid w:val="00101DD2"/>
    <w:rsid w:val="00101E22"/>
    <w:rsid w:val="0010205C"/>
    <w:rsid w:val="00102169"/>
    <w:rsid w:val="001025CD"/>
    <w:rsid w:val="0010365F"/>
    <w:rsid w:val="00103B97"/>
    <w:rsid w:val="00103E63"/>
    <w:rsid w:val="001043B7"/>
    <w:rsid w:val="00104410"/>
    <w:rsid w:val="00104788"/>
    <w:rsid w:val="001047AC"/>
    <w:rsid w:val="00104BE7"/>
    <w:rsid w:val="00104F82"/>
    <w:rsid w:val="00106515"/>
    <w:rsid w:val="00106554"/>
    <w:rsid w:val="0010659B"/>
    <w:rsid w:val="00106724"/>
    <w:rsid w:val="00106830"/>
    <w:rsid w:val="00106C99"/>
    <w:rsid w:val="00106F3A"/>
    <w:rsid w:val="00107549"/>
    <w:rsid w:val="00107D0D"/>
    <w:rsid w:val="00107E11"/>
    <w:rsid w:val="00110181"/>
    <w:rsid w:val="0011021E"/>
    <w:rsid w:val="00110842"/>
    <w:rsid w:val="001109F4"/>
    <w:rsid w:val="00111649"/>
    <w:rsid w:val="00111795"/>
    <w:rsid w:val="0011211A"/>
    <w:rsid w:val="0011222C"/>
    <w:rsid w:val="001126E3"/>
    <w:rsid w:val="00112C63"/>
    <w:rsid w:val="001137D3"/>
    <w:rsid w:val="001137DB"/>
    <w:rsid w:val="00113954"/>
    <w:rsid w:val="001146F3"/>
    <w:rsid w:val="00114CB7"/>
    <w:rsid w:val="00114EC9"/>
    <w:rsid w:val="00115442"/>
    <w:rsid w:val="00115592"/>
    <w:rsid w:val="00115C38"/>
    <w:rsid w:val="0011602C"/>
    <w:rsid w:val="00116719"/>
    <w:rsid w:val="00116AA0"/>
    <w:rsid w:val="00117251"/>
    <w:rsid w:val="00117745"/>
    <w:rsid w:val="001178D0"/>
    <w:rsid w:val="0012011E"/>
    <w:rsid w:val="001206E7"/>
    <w:rsid w:val="00120AB2"/>
    <w:rsid w:val="001214BA"/>
    <w:rsid w:val="00121589"/>
    <w:rsid w:val="001215B9"/>
    <w:rsid w:val="001217AB"/>
    <w:rsid w:val="00121C8B"/>
    <w:rsid w:val="001222EE"/>
    <w:rsid w:val="001224A2"/>
    <w:rsid w:val="00122510"/>
    <w:rsid w:val="0012273A"/>
    <w:rsid w:val="0012283B"/>
    <w:rsid w:val="0012289F"/>
    <w:rsid w:val="001229BE"/>
    <w:rsid w:val="00123145"/>
    <w:rsid w:val="0012354D"/>
    <w:rsid w:val="0012357A"/>
    <w:rsid w:val="001235D1"/>
    <w:rsid w:val="00123985"/>
    <w:rsid w:val="00123F38"/>
    <w:rsid w:val="001245F1"/>
    <w:rsid w:val="00124AE5"/>
    <w:rsid w:val="00124FF3"/>
    <w:rsid w:val="001253CB"/>
    <w:rsid w:val="00125481"/>
    <w:rsid w:val="001255F4"/>
    <w:rsid w:val="001259C1"/>
    <w:rsid w:val="00125D83"/>
    <w:rsid w:val="001269F1"/>
    <w:rsid w:val="00126CFA"/>
    <w:rsid w:val="00127A6B"/>
    <w:rsid w:val="00127B7C"/>
    <w:rsid w:val="00127D1D"/>
    <w:rsid w:val="00127FB9"/>
    <w:rsid w:val="00130232"/>
    <w:rsid w:val="001302AC"/>
    <w:rsid w:val="001306A5"/>
    <w:rsid w:val="001306C0"/>
    <w:rsid w:val="00130900"/>
    <w:rsid w:val="0013099C"/>
    <w:rsid w:val="00130C7A"/>
    <w:rsid w:val="00130F72"/>
    <w:rsid w:val="0013135B"/>
    <w:rsid w:val="00131A20"/>
    <w:rsid w:val="00131A2C"/>
    <w:rsid w:val="00131AC9"/>
    <w:rsid w:val="00132107"/>
    <w:rsid w:val="0013244C"/>
    <w:rsid w:val="00132D4D"/>
    <w:rsid w:val="00132F57"/>
    <w:rsid w:val="001332BA"/>
    <w:rsid w:val="00133360"/>
    <w:rsid w:val="0013391A"/>
    <w:rsid w:val="00133C44"/>
    <w:rsid w:val="00134155"/>
    <w:rsid w:val="001344E1"/>
    <w:rsid w:val="0013463E"/>
    <w:rsid w:val="00134FCB"/>
    <w:rsid w:val="001353E6"/>
    <w:rsid w:val="00135E8F"/>
    <w:rsid w:val="00136138"/>
    <w:rsid w:val="001367B1"/>
    <w:rsid w:val="001368CF"/>
    <w:rsid w:val="00136C14"/>
    <w:rsid w:val="00137012"/>
    <w:rsid w:val="001378EE"/>
    <w:rsid w:val="00137B2C"/>
    <w:rsid w:val="001402A0"/>
    <w:rsid w:val="00140621"/>
    <w:rsid w:val="00140C68"/>
    <w:rsid w:val="00140EB8"/>
    <w:rsid w:val="001412D3"/>
    <w:rsid w:val="00141363"/>
    <w:rsid w:val="001415AA"/>
    <w:rsid w:val="00141640"/>
    <w:rsid w:val="001418F6"/>
    <w:rsid w:val="001419E7"/>
    <w:rsid w:val="00141A4D"/>
    <w:rsid w:val="001420B4"/>
    <w:rsid w:val="00142204"/>
    <w:rsid w:val="00142418"/>
    <w:rsid w:val="00143F62"/>
    <w:rsid w:val="0014415E"/>
    <w:rsid w:val="00144546"/>
    <w:rsid w:val="00144DE9"/>
    <w:rsid w:val="0014509E"/>
    <w:rsid w:val="00145706"/>
    <w:rsid w:val="001458CD"/>
    <w:rsid w:val="0014599E"/>
    <w:rsid w:val="001459BB"/>
    <w:rsid w:val="00145A26"/>
    <w:rsid w:val="00146165"/>
    <w:rsid w:val="001465D0"/>
    <w:rsid w:val="00146772"/>
    <w:rsid w:val="001469D1"/>
    <w:rsid w:val="00146A3A"/>
    <w:rsid w:val="00146B04"/>
    <w:rsid w:val="0014700A"/>
    <w:rsid w:val="00147094"/>
    <w:rsid w:val="001472C1"/>
    <w:rsid w:val="001475A6"/>
    <w:rsid w:val="0014783C"/>
    <w:rsid w:val="00147BC6"/>
    <w:rsid w:val="00147EA9"/>
    <w:rsid w:val="001503B4"/>
    <w:rsid w:val="001504B7"/>
    <w:rsid w:val="001506F9"/>
    <w:rsid w:val="0015081D"/>
    <w:rsid w:val="00150CA8"/>
    <w:rsid w:val="00150EC1"/>
    <w:rsid w:val="001512A5"/>
    <w:rsid w:val="00151366"/>
    <w:rsid w:val="00151899"/>
    <w:rsid w:val="001518CE"/>
    <w:rsid w:val="00151A22"/>
    <w:rsid w:val="00151C87"/>
    <w:rsid w:val="00151C90"/>
    <w:rsid w:val="00151E10"/>
    <w:rsid w:val="00152021"/>
    <w:rsid w:val="001520E9"/>
    <w:rsid w:val="0015213F"/>
    <w:rsid w:val="001525F4"/>
    <w:rsid w:val="00152A76"/>
    <w:rsid w:val="00152D71"/>
    <w:rsid w:val="00152DE3"/>
    <w:rsid w:val="00152F0C"/>
    <w:rsid w:val="001536E2"/>
    <w:rsid w:val="00153E97"/>
    <w:rsid w:val="0015410D"/>
    <w:rsid w:val="00154392"/>
    <w:rsid w:val="001543DD"/>
    <w:rsid w:val="0015537E"/>
    <w:rsid w:val="0015541E"/>
    <w:rsid w:val="0015568B"/>
    <w:rsid w:val="0015580C"/>
    <w:rsid w:val="00155E96"/>
    <w:rsid w:val="00155FAC"/>
    <w:rsid w:val="001564A0"/>
    <w:rsid w:val="001565C0"/>
    <w:rsid w:val="00156920"/>
    <w:rsid w:val="00156AF3"/>
    <w:rsid w:val="00156AF8"/>
    <w:rsid w:val="00156BA1"/>
    <w:rsid w:val="00156FAC"/>
    <w:rsid w:val="0015727C"/>
    <w:rsid w:val="00157291"/>
    <w:rsid w:val="00157579"/>
    <w:rsid w:val="00157E88"/>
    <w:rsid w:val="001604E8"/>
    <w:rsid w:val="00160731"/>
    <w:rsid w:val="0016102A"/>
    <w:rsid w:val="001612D0"/>
    <w:rsid w:val="00161CFE"/>
    <w:rsid w:val="00162036"/>
    <w:rsid w:val="00162290"/>
    <w:rsid w:val="001628AD"/>
    <w:rsid w:val="00163039"/>
    <w:rsid w:val="00163178"/>
    <w:rsid w:val="001632D5"/>
    <w:rsid w:val="0016338C"/>
    <w:rsid w:val="0016384A"/>
    <w:rsid w:val="001639A9"/>
    <w:rsid w:val="00163D1A"/>
    <w:rsid w:val="001642E3"/>
    <w:rsid w:val="00164312"/>
    <w:rsid w:val="001645D2"/>
    <w:rsid w:val="001646C5"/>
    <w:rsid w:val="00164CB9"/>
    <w:rsid w:val="0016501C"/>
    <w:rsid w:val="0016538E"/>
    <w:rsid w:val="00165867"/>
    <w:rsid w:val="00165B34"/>
    <w:rsid w:val="00165D1C"/>
    <w:rsid w:val="00165D88"/>
    <w:rsid w:val="00166180"/>
    <w:rsid w:val="00166C09"/>
    <w:rsid w:val="00166D6D"/>
    <w:rsid w:val="00167BBF"/>
    <w:rsid w:val="00170044"/>
    <w:rsid w:val="00170137"/>
    <w:rsid w:val="00170A7E"/>
    <w:rsid w:val="00170BA2"/>
    <w:rsid w:val="00170E27"/>
    <w:rsid w:val="00170E36"/>
    <w:rsid w:val="00171951"/>
    <w:rsid w:val="00171EBB"/>
    <w:rsid w:val="00172C91"/>
    <w:rsid w:val="00172E96"/>
    <w:rsid w:val="001735DA"/>
    <w:rsid w:val="00173766"/>
    <w:rsid w:val="00174070"/>
    <w:rsid w:val="001744A1"/>
    <w:rsid w:val="001746B0"/>
    <w:rsid w:val="00174776"/>
    <w:rsid w:val="001747C1"/>
    <w:rsid w:val="00174A1F"/>
    <w:rsid w:val="00174FF6"/>
    <w:rsid w:val="0017512B"/>
    <w:rsid w:val="001751EF"/>
    <w:rsid w:val="001756A5"/>
    <w:rsid w:val="00175A81"/>
    <w:rsid w:val="00175E4E"/>
    <w:rsid w:val="00175EBB"/>
    <w:rsid w:val="001760BE"/>
    <w:rsid w:val="00176406"/>
    <w:rsid w:val="00176446"/>
    <w:rsid w:val="0017674E"/>
    <w:rsid w:val="00176ACC"/>
    <w:rsid w:val="00176CDD"/>
    <w:rsid w:val="00176FDE"/>
    <w:rsid w:val="0017742B"/>
    <w:rsid w:val="0017766F"/>
    <w:rsid w:val="001803CF"/>
    <w:rsid w:val="001807C7"/>
    <w:rsid w:val="0018095F"/>
    <w:rsid w:val="00180BEF"/>
    <w:rsid w:val="00180D61"/>
    <w:rsid w:val="00180E8A"/>
    <w:rsid w:val="00181642"/>
    <w:rsid w:val="00182166"/>
    <w:rsid w:val="00182570"/>
    <w:rsid w:val="00182BA0"/>
    <w:rsid w:val="00183764"/>
    <w:rsid w:val="001839B8"/>
    <w:rsid w:val="00183A1D"/>
    <w:rsid w:val="00183A47"/>
    <w:rsid w:val="00183CD8"/>
    <w:rsid w:val="00183FF2"/>
    <w:rsid w:val="00184030"/>
    <w:rsid w:val="0018419F"/>
    <w:rsid w:val="001844B7"/>
    <w:rsid w:val="00184624"/>
    <w:rsid w:val="001846B3"/>
    <w:rsid w:val="001849FF"/>
    <w:rsid w:val="00184A65"/>
    <w:rsid w:val="00184A69"/>
    <w:rsid w:val="00184E12"/>
    <w:rsid w:val="00185366"/>
    <w:rsid w:val="0018539A"/>
    <w:rsid w:val="001856D3"/>
    <w:rsid w:val="00186093"/>
    <w:rsid w:val="0018633A"/>
    <w:rsid w:val="00186399"/>
    <w:rsid w:val="0018664E"/>
    <w:rsid w:val="001866A4"/>
    <w:rsid w:val="00186A81"/>
    <w:rsid w:val="00186B11"/>
    <w:rsid w:val="00186B53"/>
    <w:rsid w:val="00187007"/>
    <w:rsid w:val="001870E5"/>
    <w:rsid w:val="001872A8"/>
    <w:rsid w:val="001874DD"/>
    <w:rsid w:val="00187A24"/>
    <w:rsid w:val="00187C54"/>
    <w:rsid w:val="00190172"/>
    <w:rsid w:val="00190734"/>
    <w:rsid w:val="00190D0D"/>
    <w:rsid w:val="00191159"/>
    <w:rsid w:val="00191175"/>
    <w:rsid w:val="0019150A"/>
    <w:rsid w:val="00191A5E"/>
    <w:rsid w:val="00191CEB"/>
    <w:rsid w:val="00192013"/>
    <w:rsid w:val="001923B9"/>
    <w:rsid w:val="00192694"/>
    <w:rsid w:val="001926A7"/>
    <w:rsid w:val="00192DB0"/>
    <w:rsid w:val="00193166"/>
    <w:rsid w:val="001932A4"/>
    <w:rsid w:val="001936C2"/>
    <w:rsid w:val="00193767"/>
    <w:rsid w:val="0019378B"/>
    <w:rsid w:val="001937EC"/>
    <w:rsid w:val="00193902"/>
    <w:rsid w:val="00193E51"/>
    <w:rsid w:val="001946EF"/>
    <w:rsid w:val="00195246"/>
    <w:rsid w:val="00195364"/>
    <w:rsid w:val="0019561D"/>
    <w:rsid w:val="001959A5"/>
    <w:rsid w:val="001963E0"/>
    <w:rsid w:val="001965FE"/>
    <w:rsid w:val="00196716"/>
    <w:rsid w:val="001969AA"/>
    <w:rsid w:val="001976B4"/>
    <w:rsid w:val="00197773"/>
    <w:rsid w:val="00197F43"/>
    <w:rsid w:val="001A020C"/>
    <w:rsid w:val="001A0BC7"/>
    <w:rsid w:val="001A0BD3"/>
    <w:rsid w:val="001A0BF8"/>
    <w:rsid w:val="001A11AD"/>
    <w:rsid w:val="001A1278"/>
    <w:rsid w:val="001A1C76"/>
    <w:rsid w:val="001A1E8D"/>
    <w:rsid w:val="001A2A6C"/>
    <w:rsid w:val="001A2A9E"/>
    <w:rsid w:val="001A2EEF"/>
    <w:rsid w:val="001A2F42"/>
    <w:rsid w:val="001A3295"/>
    <w:rsid w:val="001A3507"/>
    <w:rsid w:val="001A3732"/>
    <w:rsid w:val="001A3B58"/>
    <w:rsid w:val="001A3BE6"/>
    <w:rsid w:val="001A3EAF"/>
    <w:rsid w:val="001A42A0"/>
    <w:rsid w:val="001A435C"/>
    <w:rsid w:val="001A49B8"/>
    <w:rsid w:val="001A4A90"/>
    <w:rsid w:val="001A4BDA"/>
    <w:rsid w:val="001A510F"/>
    <w:rsid w:val="001A5287"/>
    <w:rsid w:val="001A531D"/>
    <w:rsid w:val="001A5364"/>
    <w:rsid w:val="001A536D"/>
    <w:rsid w:val="001A5F5C"/>
    <w:rsid w:val="001A6781"/>
    <w:rsid w:val="001A6856"/>
    <w:rsid w:val="001A698C"/>
    <w:rsid w:val="001A6BFF"/>
    <w:rsid w:val="001A6FDE"/>
    <w:rsid w:val="001A785B"/>
    <w:rsid w:val="001A78DB"/>
    <w:rsid w:val="001A793E"/>
    <w:rsid w:val="001A7E1D"/>
    <w:rsid w:val="001B0ABD"/>
    <w:rsid w:val="001B0CB8"/>
    <w:rsid w:val="001B0D88"/>
    <w:rsid w:val="001B1504"/>
    <w:rsid w:val="001B1592"/>
    <w:rsid w:val="001B1817"/>
    <w:rsid w:val="001B2072"/>
    <w:rsid w:val="001B220B"/>
    <w:rsid w:val="001B261F"/>
    <w:rsid w:val="001B28DB"/>
    <w:rsid w:val="001B297A"/>
    <w:rsid w:val="001B2AB4"/>
    <w:rsid w:val="001B3314"/>
    <w:rsid w:val="001B337D"/>
    <w:rsid w:val="001B3518"/>
    <w:rsid w:val="001B3596"/>
    <w:rsid w:val="001B3713"/>
    <w:rsid w:val="001B3981"/>
    <w:rsid w:val="001B4344"/>
    <w:rsid w:val="001B461D"/>
    <w:rsid w:val="001B47A2"/>
    <w:rsid w:val="001B48D8"/>
    <w:rsid w:val="001B4CA6"/>
    <w:rsid w:val="001B4DBA"/>
    <w:rsid w:val="001B5426"/>
    <w:rsid w:val="001B5434"/>
    <w:rsid w:val="001B54D1"/>
    <w:rsid w:val="001B59C7"/>
    <w:rsid w:val="001B5A30"/>
    <w:rsid w:val="001B5A8B"/>
    <w:rsid w:val="001B5F73"/>
    <w:rsid w:val="001B5F7D"/>
    <w:rsid w:val="001B6199"/>
    <w:rsid w:val="001B65EE"/>
    <w:rsid w:val="001B661D"/>
    <w:rsid w:val="001B721D"/>
    <w:rsid w:val="001B72D3"/>
    <w:rsid w:val="001B764B"/>
    <w:rsid w:val="001B7751"/>
    <w:rsid w:val="001B7B67"/>
    <w:rsid w:val="001C1938"/>
    <w:rsid w:val="001C1E78"/>
    <w:rsid w:val="001C21ED"/>
    <w:rsid w:val="001C246E"/>
    <w:rsid w:val="001C24E4"/>
    <w:rsid w:val="001C2B87"/>
    <w:rsid w:val="001C2CAC"/>
    <w:rsid w:val="001C2E7C"/>
    <w:rsid w:val="001C2ECE"/>
    <w:rsid w:val="001C36C3"/>
    <w:rsid w:val="001C39A2"/>
    <w:rsid w:val="001C3E71"/>
    <w:rsid w:val="001C4091"/>
    <w:rsid w:val="001C42DE"/>
    <w:rsid w:val="001C4B07"/>
    <w:rsid w:val="001C4D34"/>
    <w:rsid w:val="001C529D"/>
    <w:rsid w:val="001C57E1"/>
    <w:rsid w:val="001C5875"/>
    <w:rsid w:val="001C5889"/>
    <w:rsid w:val="001C58C9"/>
    <w:rsid w:val="001C5C25"/>
    <w:rsid w:val="001C65FA"/>
    <w:rsid w:val="001C6D24"/>
    <w:rsid w:val="001C74FB"/>
    <w:rsid w:val="001C751E"/>
    <w:rsid w:val="001C7839"/>
    <w:rsid w:val="001C78D3"/>
    <w:rsid w:val="001C7D0F"/>
    <w:rsid w:val="001D02CC"/>
    <w:rsid w:val="001D082D"/>
    <w:rsid w:val="001D0AF8"/>
    <w:rsid w:val="001D0B93"/>
    <w:rsid w:val="001D0DA1"/>
    <w:rsid w:val="001D1A50"/>
    <w:rsid w:val="001D1B1E"/>
    <w:rsid w:val="001D1B85"/>
    <w:rsid w:val="001D2739"/>
    <w:rsid w:val="001D2799"/>
    <w:rsid w:val="001D2C00"/>
    <w:rsid w:val="001D2E28"/>
    <w:rsid w:val="001D338E"/>
    <w:rsid w:val="001D3B55"/>
    <w:rsid w:val="001D3CB8"/>
    <w:rsid w:val="001D3D10"/>
    <w:rsid w:val="001D3F58"/>
    <w:rsid w:val="001D40BC"/>
    <w:rsid w:val="001D433F"/>
    <w:rsid w:val="001D4435"/>
    <w:rsid w:val="001D4539"/>
    <w:rsid w:val="001D46D6"/>
    <w:rsid w:val="001D521E"/>
    <w:rsid w:val="001D52C9"/>
    <w:rsid w:val="001D5C64"/>
    <w:rsid w:val="001D5E57"/>
    <w:rsid w:val="001D6034"/>
    <w:rsid w:val="001D6150"/>
    <w:rsid w:val="001D64C7"/>
    <w:rsid w:val="001D67EB"/>
    <w:rsid w:val="001D6F69"/>
    <w:rsid w:val="001D7CD0"/>
    <w:rsid w:val="001E064F"/>
    <w:rsid w:val="001E06FB"/>
    <w:rsid w:val="001E083C"/>
    <w:rsid w:val="001E0AF9"/>
    <w:rsid w:val="001E0B29"/>
    <w:rsid w:val="001E108E"/>
    <w:rsid w:val="001E12E7"/>
    <w:rsid w:val="001E15DF"/>
    <w:rsid w:val="001E15E4"/>
    <w:rsid w:val="001E1BD0"/>
    <w:rsid w:val="001E2E81"/>
    <w:rsid w:val="001E34AD"/>
    <w:rsid w:val="001E38B9"/>
    <w:rsid w:val="001E40F5"/>
    <w:rsid w:val="001E42D4"/>
    <w:rsid w:val="001E4E80"/>
    <w:rsid w:val="001E5AF1"/>
    <w:rsid w:val="001E5B86"/>
    <w:rsid w:val="001E6503"/>
    <w:rsid w:val="001E65DA"/>
    <w:rsid w:val="001E6A06"/>
    <w:rsid w:val="001E6D0A"/>
    <w:rsid w:val="001E6DDC"/>
    <w:rsid w:val="001E719B"/>
    <w:rsid w:val="001E75E0"/>
    <w:rsid w:val="001E790D"/>
    <w:rsid w:val="001F00C8"/>
    <w:rsid w:val="001F0498"/>
    <w:rsid w:val="001F0779"/>
    <w:rsid w:val="001F0A8C"/>
    <w:rsid w:val="001F0BF8"/>
    <w:rsid w:val="001F0E2D"/>
    <w:rsid w:val="001F0E49"/>
    <w:rsid w:val="001F12E3"/>
    <w:rsid w:val="001F157F"/>
    <w:rsid w:val="001F18F1"/>
    <w:rsid w:val="001F1AC6"/>
    <w:rsid w:val="001F1D5C"/>
    <w:rsid w:val="001F1FB9"/>
    <w:rsid w:val="001F204C"/>
    <w:rsid w:val="001F27A1"/>
    <w:rsid w:val="001F2A39"/>
    <w:rsid w:val="001F2AF7"/>
    <w:rsid w:val="001F2DBD"/>
    <w:rsid w:val="001F2DE0"/>
    <w:rsid w:val="001F3269"/>
    <w:rsid w:val="001F3384"/>
    <w:rsid w:val="001F34B5"/>
    <w:rsid w:val="001F4014"/>
    <w:rsid w:val="001F4199"/>
    <w:rsid w:val="001F421C"/>
    <w:rsid w:val="001F4672"/>
    <w:rsid w:val="001F4F56"/>
    <w:rsid w:val="001F5128"/>
    <w:rsid w:val="001F55D3"/>
    <w:rsid w:val="001F57DA"/>
    <w:rsid w:val="001F5D5F"/>
    <w:rsid w:val="001F6005"/>
    <w:rsid w:val="001F63B5"/>
    <w:rsid w:val="001F665C"/>
    <w:rsid w:val="001F6785"/>
    <w:rsid w:val="001F685C"/>
    <w:rsid w:val="001F69D7"/>
    <w:rsid w:val="001F7568"/>
    <w:rsid w:val="001F7B53"/>
    <w:rsid w:val="00200720"/>
    <w:rsid w:val="0020089A"/>
    <w:rsid w:val="00200F41"/>
    <w:rsid w:val="00201166"/>
    <w:rsid w:val="002011D6"/>
    <w:rsid w:val="002013C5"/>
    <w:rsid w:val="00201A72"/>
    <w:rsid w:val="00201A93"/>
    <w:rsid w:val="00201EA0"/>
    <w:rsid w:val="0020216D"/>
    <w:rsid w:val="00202245"/>
    <w:rsid w:val="0020230A"/>
    <w:rsid w:val="0020276C"/>
    <w:rsid w:val="00202D7B"/>
    <w:rsid w:val="00202D99"/>
    <w:rsid w:val="002031A2"/>
    <w:rsid w:val="00203271"/>
    <w:rsid w:val="00203338"/>
    <w:rsid w:val="0020369E"/>
    <w:rsid w:val="00203A6C"/>
    <w:rsid w:val="00203D5E"/>
    <w:rsid w:val="00203DAA"/>
    <w:rsid w:val="0020478D"/>
    <w:rsid w:val="00204884"/>
    <w:rsid w:val="00204EBC"/>
    <w:rsid w:val="00205285"/>
    <w:rsid w:val="002054C0"/>
    <w:rsid w:val="00205699"/>
    <w:rsid w:val="0020598A"/>
    <w:rsid w:val="00205F1B"/>
    <w:rsid w:val="00206517"/>
    <w:rsid w:val="0020689B"/>
    <w:rsid w:val="002068A5"/>
    <w:rsid w:val="00206CE5"/>
    <w:rsid w:val="00206E71"/>
    <w:rsid w:val="0020794A"/>
    <w:rsid w:val="00207A0D"/>
    <w:rsid w:val="00207C3B"/>
    <w:rsid w:val="00207CBE"/>
    <w:rsid w:val="00207E53"/>
    <w:rsid w:val="00207F1A"/>
    <w:rsid w:val="002100F1"/>
    <w:rsid w:val="0021020C"/>
    <w:rsid w:val="00210210"/>
    <w:rsid w:val="002107F4"/>
    <w:rsid w:val="00211072"/>
    <w:rsid w:val="00211133"/>
    <w:rsid w:val="002118CD"/>
    <w:rsid w:val="002119D1"/>
    <w:rsid w:val="00211DB0"/>
    <w:rsid w:val="00211EA0"/>
    <w:rsid w:val="00211FEF"/>
    <w:rsid w:val="002124AC"/>
    <w:rsid w:val="0021269C"/>
    <w:rsid w:val="00212836"/>
    <w:rsid w:val="00212917"/>
    <w:rsid w:val="00213179"/>
    <w:rsid w:val="002133A5"/>
    <w:rsid w:val="00213832"/>
    <w:rsid w:val="00213B00"/>
    <w:rsid w:val="002141FF"/>
    <w:rsid w:val="0021485A"/>
    <w:rsid w:val="00214994"/>
    <w:rsid w:val="00214C12"/>
    <w:rsid w:val="00214F71"/>
    <w:rsid w:val="0021513F"/>
    <w:rsid w:val="002151D4"/>
    <w:rsid w:val="00215C29"/>
    <w:rsid w:val="00215CBC"/>
    <w:rsid w:val="00215CF4"/>
    <w:rsid w:val="00215EF7"/>
    <w:rsid w:val="00216131"/>
    <w:rsid w:val="0021624C"/>
    <w:rsid w:val="0021631F"/>
    <w:rsid w:val="00216AFE"/>
    <w:rsid w:val="00216BA3"/>
    <w:rsid w:val="00216F32"/>
    <w:rsid w:val="0021799F"/>
    <w:rsid w:val="002179AC"/>
    <w:rsid w:val="002204B3"/>
    <w:rsid w:val="00220683"/>
    <w:rsid w:val="002209F4"/>
    <w:rsid w:val="00220F08"/>
    <w:rsid w:val="002213AA"/>
    <w:rsid w:val="002214D3"/>
    <w:rsid w:val="002218BC"/>
    <w:rsid w:val="00221A60"/>
    <w:rsid w:val="00221BCA"/>
    <w:rsid w:val="00222263"/>
    <w:rsid w:val="00222486"/>
    <w:rsid w:val="00222673"/>
    <w:rsid w:val="00222734"/>
    <w:rsid w:val="002227E0"/>
    <w:rsid w:val="00222C0D"/>
    <w:rsid w:val="002233AD"/>
    <w:rsid w:val="00223730"/>
    <w:rsid w:val="00223C9B"/>
    <w:rsid w:val="00224359"/>
    <w:rsid w:val="002243AF"/>
    <w:rsid w:val="002244CC"/>
    <w:rsid w:val="00224686"/>
    <w:rsid w:val="00224A99"/>
    <w:rsid w:val="00224ACB"/>
    <w:rsid w:val="00224B14"/>
    <w:rsid w:val="0022532A"/>
    <w:rsid w:val="002254E6"/>
    <w:rsid w:val="00225601"/>
    <w:rsid w:val="0022577E"/>
    <w:rsid w:val="00225A3F"/>
    <w:rsid w:val="00225DFF"/>
    <w:rsid w:val="0022678B"/>
    <w:rsid w:val="00226B0A"/>
    <w:rsid w:val="00226E0F"/>
    <w:rsid w:val="00226E34"/>
    <w:rsid w:val="00227265"/>
    <w:rsid w:val="0022753A"/>
    <w:rsid w:val="002276B6"/>
    <w:rsid w:val="00227AAC"/>
    <w:rsid w:val="00227AB4"/>
    <w:rsid w:val="002303C1"/>
    <w:rsid w:val="00230564"/>
    <w:rsid w:val="00230B5F"/>
    <w:rsid w:val="00230D75"/>
    <w:rsid w:val="00230D92"/>
    <w:rsid w:val="00230F6D"/>
    <w:rsid w:val="0023102F"/>
    <w:rsid w:val="0023134F"/>
    <w:rsid w:val="0023172E"/>
    <w:rsid w:val="00231740"/>
    <w:rsid w:val="00231A43"/>
    <w:rsid w:val="00231B62"/>
    <w:rsid w:val="00231BE8"/>
    <w:rsid w:val="00231CCD"/>
    <w:rsid w:val="00231F4A"/>
    <w:rsid w:val="00232688"/>
    <w:rsid w:val="00232739"/>
    <w:rsid w:val="002328A6"/>
    <w:rsid w:val="0023297B"/>
    <w:rsid w:val="00232FC1"/>
    <w:rsid w:val="00233036"/>
    <w:rsid w:val="002330C6"/>
    <w:rsid w:val="00233419"/>
    <w:rsid w:val="002334CD"/>
    <w:rsid w:val="0023353B"/>
    <w:rsid w:val="00233747"/>
    <w:rsid w:val="00233F89"/>
    <w:rsid w:val="002342AF"/>
    <w:rsid w:val="002346CF"/>
    <w:rsid w:val="00234DE4"/>
    <w:rsid w:val="00234F2E"/>
    <w:rsid w:val="0023597B"/>
    <w:rsid w:val="00235A57"/>
    <w:rsid w:val="00235B7A"/>
    <w:rsid w:val="0023618C"/>
    <w:rsid w:val="002363E3"/>
    <w:rsid w:val="002369C6"/>
    <w:rsid w:val="00237295"/>
    <w:rsid w:val="002375EF"/>
    <w:rsid w:val="00237637"/>
    <w:rsid w:val="0023786C"/>
    <w:rsid w:val="00237B66"/>
    <w:rsid w:val="00237E46"/>
    <w:rsid w:val="00240255"/>
    <w:rsid w:val="002402B7"/>
    <w:rsid w:val="002404DE"/>
    <w:rsid w:val="00240531"/>
    <w:rsid w:val="002406F6"/>
    <w:rsid w:val="00240A94"/>
    <w:rsid w:val="00240D36"/>
    <w:rsid w:val="00240EC1"/>
    <w:rsid w:val="0024106E"/>
    <w:rsid w:val="002416C3"/>
    <w:rsid w:val="00241DAA"/>
    <w:rsid w:val="00241EF4"/>
    <w:rsid w:val="002421C3"/>
    <w:rsid w:val="00242437"/>
    <w:rsid w:val="00242583"/>
    <w:rsid w:val="002425D3"/>
    <w:rsid w:val="00242B65"/>
    <w:rsid w:val="0024302C"/>
    <w:rsid w:val="0024307D"/>
    <w:rsid w:val="00243419"/>
    <w:rsid w:val="002434D0"/>
    <w:rsid w:val="00244115"/>
    <w:rsid w:val="002444F6"/>
    <w:rsid w:val="002447E4"/>
    <w:rsid w:val="002447E7"/>
    <w:rsid w:val="00244AB3"/>
    <w:rsid w:val="00244CDA"/>
    <w:rsid w:val="002458CC"/>
    <w:rsid w:val="00245D64"/>
    <w:rsid w:val="00245FF0"/>
    <w:rsid w:val="00246335"/>
    <w:rsid w:val="00246340"/>
    <w:rsid w:val="002466CA"/>
    <w:rsid w:val="00246F8E"/>
    <w:rsid w:val="002474D9"/>
    <w:rsid w:val="00247813"/>
    <w:rsid w:val="002507FA"/>
    <w:rsid w:val="00250CB1"/>
    <w:rsid w:val="00250D62"/>
    <w:rsid w:val="00250F20"/>
    <w:rsid w:val="00250F7F"/>
    <w:rsid w:val="0025148D"/>
    <w:rsid w:val="002517C1"/>
    <w:rsid w:val="00251B1C"/>
    <w:rsid w:val="00251ED3"/>
    <w:rsid w:val="00251FA1"/>
    <w:rsid w:val="00252255"/>
    <w:rsid w:val="00252844"/>
    <w:rsid w:val="00252B11"/>
    <w:rsid w:val="00252B83"/>
    <w:rsid w:val="002535B9"/>
    <w:rsid w:val="00253DA0"/>
    <w:rsid w:val="0025475F"/>
    <w:rsid w:val="00254ABE"/>
    <w:rsid w:val="00254B34"/>
    <w:rsid w:val="00255055"/>
    <w:rsid w:val="002553FF"/>
    <w:rsid w:val="00255505"/>
    <w:rsid w:val="00255955"/>
    <w:rsid w:val="00256069"/>
    <w:rsid w:val="00256105"/>
    <w:rsid w:val="0025620D"/>
    <w:rsid w:val="00256619"/>
    <w:rsid w:val="00256EA3"/>
    <w:rsid w:val="0025722A"/>
    <w:rsid w:val="0025722D"/>
    <w:rsid w:val="00257267"/>
    <w:rsid w:val="0025780E"/>
    <w:rsid w:val="00257A2C"/>
    <w:rsid w:val="00257BAC"/>
    <w:rsid w:val="00257CEE"/>
    <w:rsid w:val="00257DAF"/>
    <w:rsid w:val="0026014E"/>
    <w:rsid w:val="00260697"/>
    <w:rsid w:val="0026082B"/>
    <w:rsid w:val="00260D0B"/>
    <w:rsid w:val="00260E54"/>
    <w:rsid w:val="002612D4"/>
    <w:rsid w:val="002615B8"/>
    <w:rsid w:val="002617CD"/>
    <w:rsid w:val="002619E9"/>
    <w:rsid w:val="00261C73"/>
    <w:rsid w:val="002622A5"/>
    <w:rsid w:val="0026239E"/>
    <w:rsid w:val="002625EC"/>
    <w:rsid w:val="00262D24"/>
    <w:rsid w:val="00262D4D"/>
    <w:rsid w:val="00262EB6"/>
    <w:rsid w:val="00263303"/>
    <w:rsid w:val="00263534"/>
    <w:rsid w:val="00263689"/>
    <w:rsid w:val="00263AB7"/>
    <w:rsid w:val="00263FEA"/>
    <w:rsid w:val="00264067"/>
    <w:rsid w:val="00264B30"/>
    <w:rsid w:val="002652B6"/>
    <w:rsid w:val="00265835"/>
    <w:rsid w:val="00265B2D"/>
    <w:rsid w:val="00265BE8"/>
    <w:rsid w:val="00265C93"/>
    <w:rsid w:val="00265DCB"/>
    <w:rsid w:val="002668AF"/>
    <w:rsid w:val="002669DF"/>
    <w:rsid w:val="00267246"/>
    <w:rsid w:val="002672D0"/>
    <w:rsid w:val="0026733E"/>
    <w:rsid w:val="00267508"/>
    <w:rsid w:val="002676FF"/>
    <w:rsid w:val="00267A1F"/>
    <w:rsid w:val="00267D9E"/>
    <w:rsid w:val="002702C5"/>
    <w:rsid w:val="00270C85"/>
    <w:rsid w:val="00270ECC"/>
    <w:rsid w:val="00270F46"/>
    <w:rsid w:val="00270FBB"/>
    <w:rsid w:val="002710C0"/>
    <w:rsid w:val="00271151"/>
    <w:rsid w:val="002711C1"/>
    <w:rsid w:val="00271874"/>
    <w:rsid w:val="00271D0D"/>
    <w:rsid w:val="002723AF"/>
    <w:rsid w:val="00272500"/>
    <w:rsid w:val="002725E7"/>
    <w:rsid w:val="0027285B"/>
    <w:rsid w:val="00272E65"/>
    <w:rsid w:val="00272EC5"/>
    <w:rsid w:val="00273306"/>
    <w:rsid w:val="00273A57"/>
    <w:rsid w:val="002740F5"/>
    <w:rsid w:val="00274149"/>
    <w:rsid w:val="002743D0"/>
    <w:rsid w:val="002744AA"/>
    <w:rsid w:val="00274585"/>
    <w:rsid w:val="0027482B"/>
    <w:rsid w:val="00274C0A"/>
    <w:rsid w:val="00274FBB"/>
    <w:rsid w:val="00275323"/>
    <w:rsid w:val="0027596A"/>
    <w:rsid w:val="00275F0C"/>
    <w:rsid w:val="002761B8"/>
    <w:rsid w:val="00276657"/>
    <w:rsid w:val="00276707"/>
    <w:rsid w:val="00276746"/>
    <w:rsid w:val="00276781"/>
    <w:rsid w:val="00276913"/>
    <w:rsid w:val="00276B32"/>
    <w:rsid w:val="00276B92"/>
    <w:rsid w:val="00276D61"/>
    <w:rsid w:val="00277066"/>
    <w:rsid w:val="002774CC"/>
    <w:rsid w:val="00277587"/>
    <w:rsid w:val="002779C6"/>
    <w:rsid w:val="00277C21"/>
    <w:rsid w:val="00277C9F"/>
    <w:rsid w:val="00280284"/>
    <w:rsid w:val="00280574"/>
    <w:rsid w:val="002806F3"/>
    <w:rsid w:val="0028092D"/>
    <w:rsid w:val="00280994"/>
    <w:rsid w:val="002817EC"/>
    <w:rsid w:val="00281ED4"/>
    <w:rsid w:val="00281F4E"/>
    <w:rsid w:val="00282B53"/>
    <w:rsid w:val="00282C17"/>
    <w:rsid w:val="00282C60"/>
    <w:rsid w:val="00282F97"/>
    <w:rsid w:val="0028311E"/>
    <w:rsid w:val="0028361F"/>
    <w:rsid w:val="0028371C"/>
    <w:rsid w:val="00283780"/>
    <w:rsid w:val="002839D6"/>
    <w:rsid w:val="00283D17"/>
    <w:rsid w:val="00283EFF"/>
    <w:rsid w:val="00283F12"/>
    <w:rsid w:val="0028443C"/>
    <w:rsid w:val="00284D00"/>
    <w:rsid w:val="00284DCA"/>
    <w:rsid w:val="0028516D"/>
    <w:rsid w:val="0028522D"/>
    <w:rsid w:val="0028548C"/>
    <w:rsid w:val="00285B6E"/>
    <w:rsid w:val="00285BDA"/>
    <w:rsid w:val="002872F9"/>
    <w:rsid w:val="002875D2"/>
    <w:rsid w:val="002879A6"/>
    <w:rsid w:val="00287FB2"/>
    <w:rsid w:val="002905F0"/>
    <w:rsid w:val="002907F2"/>
    <w:rsid w:val="0029089E"/>
    <w:rsid w:val="00290A1F"/>
    <w:rsid w:val="00290BE1"/>
    <w:rsid w:val="00290CBC"/>
    <w:rsid w:val="002911E7"/>
    <w:rsid w:val="00291282"/>
    <w:rsid w:val="00291590"/>
    <w:rsid w:val="00291A62"/>
    <w:rsid w:val="00291A83"/>
    <w:rsid w:val="00291B5A"/>
    <w:rsid w:val="00291C75"/>
    <w:rsid w:val="00292367"/>
    <w:rsid w:val="00292479"/>
    <w:rsid w:val="00292994"/>
    <w:rsid w:val="00292A38"/>
    <w:rsid w:val="00292ABD"/>
    <w:rsid w:val="00292D92"/>
    <w:rsid w:val="002931CD"/>
    <w:rsid w:val="0029342D"/>
    <w:rsid w:val="0029347E"/>
    <w:rsid w:val="002939CB"/>
    <w:rsid w:val="00293D1A"/>
    <w:rsid w:val="00293E56"/>
    <w:rsid w:val="00293FB2"/>
    <w:rsid w:val="00294790"/>
    <w:rsid w:val="00294FF1"/>
    <w:rsid w:val="0029553F"/>
    <w:rsid w:val="00295766"/>
    <w:rsid w:val="0029584B"/>
    <w:rsid w:val="00296057"/>
    <w:rsid w:val="00296176"/>
    <w:rsid w:val="0029649F"/>
    <w:rsid w:val="002967AD"/>
    <w:rsid w:val="002967CF"/>
    <w:rsid w:val="00296919"/>
    <w:rsid w:val="00296AD8"/>
    <w:rsid w:val="002A0908"/>
    <w:rsid w:val="002A0DBC"/>
    <w:rsid w:val="002A1328"/>
    <w:rsid w:val="002A1620"/>
    <w:rsid w:val="002A2493"/>
    <w:rsid w:val="002A2B73"/>
    <w:rsid w:val="002A3644"/>
    <w:rsid w:val="002A364B"/>
    <w:rsid w:val="002A36D0"/>
    <w:rsid w:val="002A3D14"/>
    <w:rsid w:val="002A3E8A"/>
    <w:rsid w:val="002A4B65"/>
    <w:rsid w:val="002A4FE2"/>
    <w:rsid w:val="002A50CC"/>
    <w:rsid w:val="002A54F3"/>
    <w:rsid w:val="002A5704"/>
    <w:rsid w:val="002A5CC3"/>
    <w:rsid w:val="002A622C"/>
    <w:rsid w:val="002A685A"/>
    <w:rsid w:val="002A6BB0"/>
    <w:rsid w:val="002A6D30"/>
    <w:rsid w:val="002A7070"/>
    <w:rsid w:val="002A7198"/>
    <w:rsid w:val="002A73EB"/>
    <w:rsid w:val="002A762F"/>
    <w:rsid w:val="002A78B1"/>
    <w:rsid w:val="002A7AAD"/>
    <w:rsid w:val="002B0400"/>
    <w:rsid w:val="002B0825"/>
    <w:rsid w:val="002B09E0"/>
    <w:rsid w:val="002B09EA"/>
    <w:rsid w:val="002B0ED2"/>
    <w:rsid w:val="002B117C"/>
    <w:rsid w:val="002B12D4"/>
    <w:rsid w:val="002B12E6"/>
    <w:rsid w:val="002B1EF9"/>
    <w:rsid w:val="002B1F91"/>
    <w:rsid w:val="002B2518"/>
    <w:rsid w:val="002B2EAA"/>
    <w:rsid w:val="002B338C"/>
    <w:rsid w:val="002B3550"/>
    <w:rsid w:val="002B395F"/>
    <w:rsid w:val="002B40B5"/>
    <w:rsid w:val="002B418D"/>
    <w:rsid w:val="002B42ED"/>
    <w:rsid w:val="002B4BE1"/>
    <w:rsid w:val="002B4D1C"/>
    <w:rsid w:val="002B5012"/>
    <w:rsid w:val="002B5200"/>
    <w:rsid w:val="002B54DB"/>
    <w:rsid w:val="002B57FA"/>
    <w:rsid w:val="002B5B83"/>
    <w:rsid w:val="002B5DA5"/>
    <w:rsid w:val="002B608F"/>
    <w:rsid w:val="002B651A"/>
    <w:rsid w:val="002B7218"/>
    <w:rsid w:val="002B7538"/>
    <w:rsid w:val="002B7719"/>
    <w:rsid w:val="002B77A3"/>
    <w:rsid w:val="002B794E"/>
    <w:rsid w:val="002B7B15"/>
    <w:rsid w:val="002C01D2"/>
    <w:rsid w:val="002C06ED"/>
    <w:rsid w:val="002C0A08"/>
    <w:rsid w:val="002C0CF9"/>
    <w:rsid w:val="002C1261"/>
    <w:rsid w:val="002C18CE"/>
    <w:rsid w:val="002C2A37"/>
    <w:rsid w:val="002C2A6B"/>
    <w:rsid w:val="002C2AF4"/>
    <w:rsid w:val="002C2E0D"/>
    <w:rsid w:val="002C2E36"/>
    <w:rsid w:val="002C3029"/>
    <w:rsid w:val="002C3262"/>
    <w:rsid w:val="002C394E"/>
    <w:rsid w:val="002C3ADC"/>
    <w:rsid w:val="002C3D7A"/>
    <w:rsid w:val="002C3DB3"/>
    <w:rsid w:val="002C3E75"/>
    <w:rsid w:val="002C3F40"/>
    <w:rsid w:val="002C4228"/>
    <w:rsid w:val="002C4E7A"/>
    <w:rsid w:val="002C4FA4"/>
    <w:rsid w:val="002C4FAB"/>
    <w:rsid w:val="002C4FF6"/>
    <w:rsid w:val="002C51FB"/>
    <w:rsid w:val="002C551C"/>
    <w:rsid w:val="002C5A80"/>
    <w:rsid w:val="002C5FB9"/>
    <w:rsid w:val="002C6178"/>
    <w:rsid w:val="002C625F"/>
    <w:rsid w:val="002C627D"/>
    <w:rsid w:val="002C63F8"/>
    <w:rsid w:val="002C7067"/>
    <w:rsid w:val="002C727D"/>
    <w:rsid w:val="002C74DE"/>
    <w:rsid w:val="002C7A98"/>
    <w:rsid w:val="002C7C39"/>
    <w:rsid w:val="002C7DDE"/>
    <w:rsid w:val="002D01FE"/>
    <w:rsid w:val="002D0A85"/>
    <w:rsid w:val="002D0C6B"/>
    <w:rsid w:val="002D11CC"/>
    <w:rsid w:val="002D11DA"/>
    <w:rsid w:val="002D16FE"/>
    <w:rsid w:val="002D1717"/>
    <w:rsid w:val="002D1F67"/>
    <w:rsid w:val="002D22B3"/>
    <w:rsid w:val="002D27D6"/>
    <w:rsid w:val="002D31D6"/>
    <w:rsid w:val="002D31E6"/>
    <w:rsid w:val="002D3552"/>
    <w:rsid w:val="002D380D"/>
    <w:rsid w:val="002D397B"/>
    <w:rsid w:val="002D3A50"/>
    <w:rsid w:val="002D3F11"/>
    <w:rsid w:val="002D436E"/>
    <w:rsid w:val="002D4971"/>
    <w:rsid w:val="002D4AEE"/>
    <w:rsid w:val="002D4D92"/>
    <w:rsid w:val="002D5020"/>
    <w:rsid w:val="002D502B"/>
    <w:rsid w:val="002D55DC"/>
    <w:rsid w:val="002D58F5"/>
    <w:rsid w:val="002D60B1"/>
    <w:rsid w:val="002D61F6"/>
    <w:rsid w:val="002D6792"/>
    <w:rsid w:val="002D681B"/>
    <w:rsid w:val="002D6D8B"/>
    <w:rsid w:val="002D6E72"/>
    <w:rsid w:val="002D6EA4"/>
    <w:rsid w:val="002D6FE5"/>
    <w:rsid w:val="002D7B89"/>
    <w:rsid w:val="002D7D07"/>
    <w:rsid w:val="002E007A"/>
    <w:rsid w:val="002E017B"/>
    <w:rsid w:val="002E03CF"/>
    <w:rsid w:val="002E0406"/>
    <w:rsid w:val="002E07F9"/>
    <w:rsid w:val="002E09CA"/>
    <w:rsid w:val="002E0A76"/>
    <w:rsid w:val="002E0FE1"/>
    <w:rsid w:val="002E121A"/>
    <w:rsid w:val="002E1690"/>
    <w:rsid w:val="002E1B7E"/>
    <w:rsid w:val="002E1CF7"/>
    <w:rsid w:val="002E2296"/>
    <w:rsid w:val="002E236B"/>
    <w:rsid w:val="002E3CF2"/>
    <w:rsid w:val="002E4042"/>
    <w:rsid w:val="002E4326"/>
    <w:rsid w:val="002E444C"/>
    <w:rsid w:val="002E4467"/>
    <w:rsid w:val="002E4F4C"/>
    <w:rsid w:val="002E512C"/>
    <w:rsid w:val="002E51FB"/>
    <w:rsid w:val="002E5383"/>
    <w:rsid w:val="002E53CB"/>
    <w:rsid w:val="002E54FC"/>
    <w:rsid w:val="002E5EB5"/>
    <w:rsid w:val="002E6475"/>
    <w:rsid w:val="002E652D"/>
    <w:rsid w:val="002E6912"/>
    <w:rsid w:val="002E7417"/>
    <w:rsid w:val="002E779D"/>
    <w:rsid w:val="002E77E4"/>
    <w:rsid w:val="002E7F11"/>
    <w:rsid w:val="002F0B0E"/>
    <w:rsid w:val="002F113D"/>
    <w:rsid w:val="002F1179"/>
    <w:rsid w:val="002F131C"/>
    <w:rsid w:val="002F1629"/>
    <w:rsid w:val="002F1A13"/>
    <w:rsid w:val="002F1B71"/>
    <w:rsid w:val="002F1D71"/>
    <w:rsid w:val="002F234C"/>
    <w:rsid w:val="002F2478"/>
    <w:rsid w:val="002F2B47"/>
    <w:rsid w:val="002F2BEB"/>
    <w:rsid w:val="002F2D18"/>
    <w:rsid w:val="002F393B"/>
    <w:rsid w:val="002F3A26"/>
    <w:rsid w:val="002F3D4A"/>
    <w:rsid w:val="002F493B"/>
    <w:rsid w:val="002F494D"/>
    <w:rsid w:val="002F4B4B"/>
    <w:rsid w:val="002F4DAD"/>
    <w:rsid w:val="002F58E7"/>
    <w:rsid w:val="002F5E70"/>
    <w:rsid w:val="002F6661"/>
    <w:rsid w:val="002F6816"/>
    <w:rsid w:val="002F6A2E"/>
    <w:rsid w:val="002F6E7F"/>
    <w:rsid w:val="002F7334"/>
    <w:rsid w:val="002F7EEE"/>
    <w:rsid w:val="003002B1"/>
    <w:rsid w:val="00300649"/>
    <w:rsid w:val="00300FCE"/>
    <w:rsid w:val="00301210"/>
    <w:rsid w:val="00301284"/>
    <w:rsid w:val="00301375"/>
    <w:rsid w:val="00301445"/>
    <w:rsid w:val="00301C42"/>
    <w:rsid w:val="00301E1D"/>
    <w:rsid w:val="00302812"/>
    <w:rsid w:val="0030285E"/>
    <w:rsid w:val="00302AA2"/>
    <w:rsid w:val="003030AE"/>
    <w:rsid w:val="003030EB"/>
    <w:rsid w:val="00303176"/>
    <w:rsid w:val="003031EB"/>
    <w:rsid w:val="0030335A"/>
    <w:rsid w:val="00303569"/>
    <w:rsid w:val="00303BFB"/>
    <w:rsid w:val="00303D41"/>
    <w:rsid w:val="00303DCA"/>
    <w:rsid w:val="00303F97"/>
    <w:rsid w:val="0030493E"/>
    <w:rsid w:val="00304AA1"/>
    <w:rsid w:val="00304C69"/>
    <w:rsid w:val="00304FD5"/>
    <w:rsid w:val="00305241"/>
    <w:rsid w:val="003052B0"/>
    <w:rsid w:val="00305356"/>
    <w:rsid w:val="003056EA"/>
    <w:rsid w:val="00305B88"/>
    <w:rsid w:val="00305C3D"/>
    <w:rsid w:val="00305E5E"/>
    <w:rsid w:val="00306076"/>
    <w:rsid w:val="00306162"/>
    <w:rsid w:val="003069D0"/>
    <w:rsid w:val="00306BF7"/>
    <w:rsid w:val="00306D08"/>
    <w:rsid w:val="00306D69"/>
    <w:rsid w:val="00306EEC"/>
    <w:rsid w:val="003073FF"/>
    <w:rsid w:val="00307C12"/>
    <w:rsid w:val="00310208"/>
    <w:rsid w:val="0031055E"/>
    <w:rsid w:val="00310931"/>
    <w:rsid w:val="00310AA9"/>
    <w:rsid w:val="00310CFC"/>
    <w:rsid w:val="00311883"/>
    <w:rsid w:val="00311C81"/>
    <w:rsid w:val="00311CCC"/>
    <w:rsid w:val="0031234A"/>
    <w:rsid w:val="00312832"/>
    <w:rsid w:val="00313427"/>
    <w:rsid w:val="00313510"/>
    <w:rsid w:val="00313543"/>
    <w:rsid w:val="003137A4"/>
    <w:rsid w:val="00314727"/>
    <w:rsid w:val="003147A3"/>
    <w:rsid w:val="00314E11"/>
    <w:rsid w:val="0031529E"/>
    <w:rsid w:val="00315A77"/>
    <w:rsid w:val="00315D0A"/>
    <w:rsid w:val="0031609B"/>
    <w:rsid w:val="003163B1"/>
    <w:rsid w:val="003165E6"/>
    <w:rsid w:val="0031688E"/>
    <w:rsid w:val="00316D9B"/>
    <w:rsid w:val="003174CA"/>
    <w:rsid w:val="003174FA"/>
    <w:rsid w:val="00317ABA"/>
    <w:rsid w:val="00317E87"/>
    <w:rsid w:val="003209BF"/>
    <w:rsid w:val="00320A8E"/>
    <w:rsid w:val="00320B5E"/>
    <w:rsid w:val="00320C4E"/>
    <w:rsid w:val="00320D7D"/>
    <w:rsid w:val="00320E0D"/>
    <w:rsid w:val="00321355"/>
    <w:rsid w:val="003213F2"/>
    <w:rsid w:val="00321625"/>
    <w:rsid w:val="0032177B"/>
    <w:rsid w:val="003217F2"/>
    <w:rsid w:val="00322C98"/>
    <w:rsid w:val="00322EDB"/>
    <w:rsid w:val="003230F1"/>
    <w:rsid w:val="0032321B"/>
    <w:rsid w:val="003232EA"/>
    <w:rsid w:val="003233A1"/>
    <w:rsid w:val="0032341A"/>
    <w:rsid w:val="00323884"/>
    <w:rsid w:val="003239A2"/>
    <w:rsid w:val="00323AFB"/>
    <w:rsid w:val="00324094"/>
    <w:rsid w:val="003246E6"/>
    <w:rsid w:val="00324CA8"/>
    <w:rsid w:val="00324D62"/>
    <w:rsid w:val="00324F91"/>
    <w:rsid w:val="00324FE9"/>
    <w:rsid w:val="00325260"/>
    <w:rsid w:val="003254C7"/>
    <w:rsid w:val="00325BEB"/>
    <w:rsid w:val="00325C25"/>
    <w:rsid w:val="003267FB"/>
    <w:rsid w:val="00326CCB"/>
    <w:rsid w:val="00327023"/>
    <w:rsid w:val="003275E1"/>
    <w:rsid w:val="0032763C"/>
    <w:rsid w:val="003279B1"/>
    <w:rsid w:val="00327EB9"/>
    <w:rsid w:val="0033010B"/>
    <w:rsid w:val="003302A6"/>
    <w:rsid w:val="00330693"/>
    <w:rsid w:val="003307B2"/>
    <w:rsid w:val="00330EBE"/>
    <w:rsid w:val="00330FD9"/>
    <w:rsid w:val="003313DF"/>
    <w:rsid w:val="0033177A"/>
    <w:rsid w:val="0033179A"/>
    <w:rsid w:val="00331F72"/>
    <w:rsid w:val="0033243E"/>
    <w:rsid w:val="0033276A"/>
    <w:rsid w:val="00332999"/>
    <w:rsid w:val="00332C53"/>
    <w:rsid w:val="00332C71"/>
    <w:rsid w:val="00332D0B"/>
    <w:rsid w:val="00332DD1"/>
    <w:rsid w:val="003331CA"/>
    <w:rsid w:val="00333325"/>
    <w:rsid w:val="0033373B"/>
    <w:rsid w:val="00333D0B"/>
    <w:rsid w:val="00333F0B"/>
    <w:rsid w:val="00334011"/>
    <w:rsid w:val="003340BA"/>
    <w:rsid w:val="003340D5"/>
    <w:rsid w:val="003346AE"/>
    <w:rsid w:val="003347AB"/>
    <w:rsid w:val="00334CF6"/>
    <w:rsid w:val="0033556F"/>
    <w:rsid w:val="00335A18"/>
    <w:rsid w:val="00335C39"/>
    <w:rsid w:val="00335CF1"/>
    <w:rsid w:val="003365C6"/>
    <w:rsid w:val="00336746"/>
    <w:rsid w:val="003367FE"/>
    <w:rsid w:val="00336C95"/>
    <w:rsid w:val="00336CE1"/>
    <w:rsid w:val="00337142"/>
    <w:rsid w:val="003376DB"/>
    <w:rsid w:val="00337D6B"/>
    <w:rsid w:val="00340902"/>
    <w:rsid w:val="00340AAD"/>
    <w:rsid w:val="00340D16"/>
    <w:rsid w:val="00340FE8"/>
    <w:rsid w:val="003413C4"/>
    <w:rsid w:val="00341FA6"/>
    <w:rsid w:val="003429F5"/>
    <w:rsid w:val="0034390D"/>
    <w:rsid w:val="003439C6"/>
    <w:rsid w:val="00343B46"/>
    <w:rsid w:val="00343E94"/>
    <w:rsid w:val="003447EC"/>
    <w:rsid w:val="003451C5"/>
    <w:rsid w:val="0034527B"/>
    <w:rsid w:val="0034538D"/>
    <w:rsid w:val="0034550F"/>
    <w:rsid w:val="00345898"/>
    <w:rsid w:val="00345971"/>
    <w:rsid w:val="003459D1"/>
    <w:rsid w:val="00345C47"/>
    <w:rsid w:val="00345E17"/>
    <w:rsid w:val="003461F3"/>
    <w:rsid w:val="003461F6"/>
    <w:rsid w:val="0034696D"/>
    <w:rsid w:val="00346A61"/>
    <w:rsid w:val="00346E24"/>
    <w:rsid w:val="00346E6C"/>
    <w:rsid w:val="0034709C"/>
    <w:rsid w:val="003478FC"/>
    <w:rsid w:val="00350314"/>
    <w:rsid w:val="0035086A"/>
    <w:rsid w:val="00350D4E"/>
    <w:rsid w:val="00350E02"/>
    <w:rsid w:val="00351301"/>
    <w:rsid w:val="0035185C"/>
    <w:rsid w:val="00352046"/>
    <w:rsid w:val="00352115"/>
    <w:rsid w:val="00352386"/>
    <w:rsid w:val="00352437"/>
    <w:rsid w:val="00352B32"/>
    <w:rsid w:val="00352C84"/>
    <w:rsid w:val="00352E3F"/>
    <w:rsid w:val="0035382A"/>
    <w:rsid w:val="00354299"/>
    <w:rsid w:val="003556CF"/>
    <w:rsid w:val="00355D28"/>
    <w:rsid w:val="0035600C"/>
    <w:rsid w:val="00356056"/>
    <w:rsid w:val="003560B9"/>
    <w:rsid w:val="003560CC"/>
    <w:rsid w:val="003563CA"/>
    <w:rsid w:val="003563D9"/>
    <w:rsid w:val="00356616"/>
    <w:rsid w:val="0035673B"/>
    <w:rsid w:val="00356C6F"/>
    <w:rsid w:val="00357092"/>
    <w:rsid w:val="00357361"/>
    <w:rsid w:val="003603E6"/>
    <w:rsid w:val="003606EE"/>
    <w:rsid w:val="00360A00"/>
    <w:rsid w:val="00361A21"/>
    <w:rsid w:val="00361DAB"/>
    <w:rsid w:val="00362128"/>
    <w:rsid w:val="00362179"/>
    <w:rsid w:val="00362693"/>
    <w:rsid w:val="00362A82"/>
    <w:rsid w:val="00362B93"/>
    <w:rsid w:val="0036302A"/>
    <w:rsid w:val="003633F5"/>
    <w:rsid w:val="00363546"/>
    <w:rsid w:val="00363937"/>
    <w:rsid w:val="00363D85"/>
    <w:rsid w:val="00363E2F"/>
    <w:rsid w:val="00364285"/>
    <w:rsid w:val="003642F5"/>
    <w:rsid w:val="003645A1"/>
    <w:rsid w:val="003647BA"/>
    <w:rsid w:val="00364CBE"/>
    <w:rsid w:val="00364D23"/>
    <w:rsid w:val="003652DA"/>
    <w:rsid w:val="003652EC"/>
    <w:rsid w:val="00365400"/>
    <w:rsid w:val="00365837"/>
    <w:rsid w:val="00365853"/>
    <w:rsid w:val="0036586A"/>
    <w:rsid w:val="00365CD6"/>
    <w:rsid w:val="00365DEB"/>
    <w:rsid w:val="0036634E"/>
    <w:rsid w:val="003663D8"/>
    <w:rsid w:val="003665C8"/>
    <w:rsid w:val="00366631"/>
    <w:rsid w:val="00366AA2"/>
    <w:rsid w:val="00366CEA"/>
    <w:rsid w:val="00367068"/>
    <w:rsid w:val="00367255"/>
    <w:rsid w:val="00367443"/>
    <w:rsid w:val="00367BAA"/>
    <w:rsid w:val="00367D06"/>
    <w:rsid w:val="00370F2B"/>
    <w:rsid w:val="00370FC3"/>
    <w:rsid w:val="0037160D"/>
    <w:rsid w:val="003716BE"/>
    <w:rsid w:val="00371A63"/>
    <w:rsid w:val="003720C3"/>
    <w:rsid w:val="00372425"/>
    <w:rsid w:val="00372613"/>
    <w:rsid w:val="00372992"/>
    <w:rsid w:val="00372F97"/>
    <w:rsid w:val="00372FAA"/>
    <w:rsid w:val="00372FB8"/>
    <w:rsid w:val="0037320A"/>
    <w:rsid w:val="00373614"/>
    <w:rsid w:val="00373852"/>
    <w:rsid w:val="0037389B"/>
    <w:rsid w:val="0037390A"/>
    <w:rsid w:val="00373E07"/>
    <w:rsid w:val="00373E5C"/>
    <w:rsid w:val="00373EA7"/>
    <w:rsid w:val="0037412F"/>
    <w:rsid w:val="003746E6"/>
    <w:rsid w:val="00374DDD"/>
    <w:rsid w:val="00374E72"/>
    <w:rsid w:val="0037519B"/>
    <w:rsid w:val="003751FA"/>
    <w:rsid w:val="003755D4"/>
    <w:rsid w:val="00375B31"/>
    <w:rsid w:val="00375ED1"/>
    <w:rsid w:val="0037612B"/>
    <w:rsid w:val="0037615F"/>
    <w:rsid w:val="003761C5"/>
    <w:rsid w:val="00376464"/>
    <w:rsid w:val="0037673B"/>
    <w:rsid w:val="003774E9"/>
    <w:rsid w:val="00377E98"/>
    <w:rsid w:val="00380A05"/>
    <w:rsid w:val="00380BB9"/>
    <w:rsid w:val="00380D31"/>
    <w:rsid w:val="00380F71"/>
    <w:rsid w:val="00381291"/>
    <w:rsid w:val="003814FE"/>
    <w:rsid w:val="00382019"/>
    <w:rsid w:val="00382211"/>
    <w:rsid w:val="0038258B"/>
    <w:rsid w:val="0038289C"/>
    <w:rsid w:val="00382A86"/>
    <w:rsid w:val="00382FA2"/>
    <w:rsid w:val="0038313E"/>
    <w:rsid w:val="0038324A"/>
    <w:rsid w:val="0038326F"/>
    <w:rsid w:val="003839F8"/>
    <w:rsid w:val="00383A9D"/>
    <w:rsid w:val="00383B50"/>
    <w:rsid w:val="00383DAB"/>
    <w:rsid w:val="00383DD3"/>
    <w:rsid w:val="003841D3"/>
    <w:rsid w:val="003843EE"/>
    <w:rsid w:val="00384602"/>
    <w:rsid w:val="00384A4A"/>
    <w:rsid w:val="00385081"/>
    <w:rsid w:val="00385896"/>
    <w:rsid w:val="00385C10"/>
    <w:rsid w:val="0038630C"/>
    <w:rsid w:val="003864B5"/>
    <w:rsid w:val="00386A0F"/>
    <w:rsid w:val="00386B42"/>
    <w:rsid w:val="00386CF2"/>
    <w:rsid w:val="00386F10"/>
    <w:rsid w:val="00387119"/>
    <w:rsid w:val="00387528"/>
    <w:rsid w:val="003875AF"/>
    <w:rsid w:val="00387D62"/>
    <w:rsid w:val="003902D0"/>
    <w:rsid w:val="00390C55"/>
    <w:rsid w:val="00390CF3"/>
    <w:rsid w:val="00390EC1"/>
    <w:rsid w:val="003911E1"/>
    <w:rsid w:val="00391498"/>
    <w:rsid w:val="00391A60"/>
    <w:rsid w:val="00392754"/>
    <w:rsid w:val="00392DC8"/>
    <w:rsid w:val="00392F74"/>
    <w:rsid w:val="0039376E"/>
    <w:rsid w:val="0039377F"/>
    <w:rsid w:val="003942A4"/>
    <w:rsid w:val="00394412"/>
    <w:rsid w:val="00394672"/>
    <w:rsid w:val="003947ED"/>
    <w:rsid w:val="003948F0"/>
    <w:rsid w:val="0039498D"/>
    <w:rsid w:val="0039508F"/>
    <w:rsid w:val="0039576F"/>
    <w:rsid w:val="00395B7C"/>
    <w:rsid w:val="00395EF9"/>
    <w:rsid w:val="00396076"/>
    <w:rsid w:val="003965CC"/>
    <w:rsid w:val="0039682A"/>
    <w:rsid w:val="00396D00"/>
    <w:rsid w:val="00396D0C"/>
    <w:rsid w:val="00397322"/>
    <w:rsid w:val="003976FD"/>
    <w:rsid w:val="0039772C"/>
    <w:rsid w:val="00397A57"/>
    <w:rsid w:val="003A01FA"/>
    <w:rsid w:val="003A0E4D"/>
    <w:rsid w:val="003A10E3"/>
    <w:rsid w:val="003A159E"/>
    <w:rsid w:val="003A18D9"/>
    <w:rsid w:val="003A1947"/>
    <w:rsid w:val="003A21C8"/>
    <w:rsid w:val="003A256F"/>
    <w:rsid w:val="003A285A"/>
    <w:rsid w:val="003A298C"/>
    <w:rsid w:val="003A2CEC"/>
    <w:rsid w:val="003A3DF8"/>
    <w:rsid w:val="003A41B9"/>
    <w:rsid w:val="003A4455"/>
    <w:rsid w:val="003A44DC"/>
    <w:rsid w:val="003A4A93"/>
    <w:rsid w:val="003A4B09"/>
    <w:rsid w:val="003A5045"/>
    <w:rsid w:val="003A5251"/>
    <w:rsid w:val="003A5252"/>
    <w:rsid w:val="003A54D7"/>
    <w:rsid w:val="003A56AB"/>
    <w:rsid w:val="003A589D"/>
    <w:rsid w:val="003A5C7F"/>
    <w:rsid w:val="003A5CC4"/>
    <w:rsid w:val="003A628D"/>
    <w:rsid w:val="003A6605"/>
    <w:rsid w:val="003A67E1"/>
    <w:rsid w:val="003A6982"/>
    <w:rsid w:val="003A6E19"/>
    <w:rsid w:val="003A6EB2"/>
    <w:rsid w:val="003A6F1F"/>
    <w:rsid w:val="003A715D"/>
    <w:rsid w:val="003A73F0"/>
    <w:rsid w:val="003A7A3D"/>
    <w:rsid w:val="003B00C5"/>
    <w:rsid w:val="003B016F"/>
    <w:rsid w:val="003B044E"/>
    <w:rsid w:val="003B0B40"/>
    <w:rsid w:val="003B1177"/>
    <w:rsid w:val="003B11A2"/>
    <w:rsid w:val="003B19D7"/>
    <w:rsid w:val="003B1A34"/>
    <w:rsid w:val="003B1D22"/>
    <w:rsid w:val="003B1DB8"/>
    <w:rsid w:val="003B1DC0"/>
    <w:rsid w:val="003B1EF8"/>
    <w:rsid w:val="003B1F0B"/>
    <w:rsid w:val="003B2DBB"/>
    <w:rsid w:val="003B30E3"/>
    <w:rsid w:val="003B30F8"/>
    <w:rsid w:val="003B3915"/>
    <w:rsid w:val="003B3F42"/>
    <w:rsid w:val="003B4120"/>
    <w:rsid w:val="003B42E5"/>
    <w:rsid w:val="003B5062"/>
    <w:rsid w:val="003B50F3"/>
    <w:rsid w:val="003B52A4"/>
    <w:rsid w:val="003B5619"/>
    <w:rsid w:val="003B591D"/>
    <w:rsid w:val="003B5967"/>
    <w:rsid w:val="003B5CD5"/>
    <w:rsid w:val="003B5EDB"/>
    <w:rsid w:val="003B5FBB"/>
    <w:rsid w:val="003B6139"/>
    <w:rsid w:val="003B67D5"/>
    <w:rsid w:val="003B6863"/>
    <w:rsid w:val="003B698C"/>
    <w:rsid w:val="003B721C"/>
    <w:rsid w:val="003C0244"/>
    <w:rsid w:val="003C0382"/>
    <w:rsid w:val="003C0C12"/>
    <w:rsid w:val="003C0D3F"/>
    <w:rsid w:val="003C10F0"/>
    <w:rsid w:val="003C1666"/>
    <w:rsid w:val="003C20AB"/>
    <w:rsid w:val="003C2294"/>
    <w:rsid w:val="003C263A"/>
    <w:rsid w:val="003C269E"/>
    <w:rsid w:val="003C2877"/>
    <w:rsid w:val="003C2AAD"/>
    <w:rsid w:val="003C2C58"/>
    <w:rsid w:val="003C2DC7"/>
    <w:rsid w:val="003C2E4C"/>
    <w:rsid w:val="003C2FCA"/>
    <w:rsid w:val="003C32AF"/>
    <w:rsid w:val="003C337A"/>
    <w:rsid w:val="003C3514"/>
    <w:rsid w:val="003C351B"/>
    <w:rsid w:val="003C376A"/>
    <w:rsid w:val="003C3969"/>
    <w:rsid w:val="003C397C"/>
    <w:rsid w:val="003C3D69"/>
    <w:rsid w:val="003C42C9"/>
    <w:rsid w:val="003C461A"/>
    <w:rsid w:val="003C48F6"/>
    <w:rsid w:val="003C4CE5"/>
    <w:rsid w:val="003C4DBC"/>
    <w:rsid w:val="003C4F08"/>
    <w:rsid w:val="003C5BFB"/>
    <w:rsid w:val="003C5E8E"/>
    <w:rsid w:val="003C5FEA"/>
    <w:rsid w:val="003C6067"/>
    <w:rsid w:val="003C6248"/>
    <w:rsid w:val="003C64EA"/>
    <w:rsid w:val="003C6668"/>
    <w:rsid w:val="003C68BE"/>
    <w:rsid w:val="003C68F3"/>
    <w:rsid w:val="003C6B57"/>
    <w:rsid w:val="003C7263"/>
    <w:rsid w:val="003C765C"/>
    <w:rsid w:val="003C77F2"/>
    <w:rsid w:val="003C7DE8"/>
    <w:rsid w:val="003D05CD"/>
    <w:rsid w:val="003D120A"/>
    <w:rsid w:val="003D152D"/>
    <w:rsid w:val="003D1B63"/>
    <w:rsid w:val="003D1CA8"/>
    <w:rsid w:val="003D1CBC"/>
    <w:rsid w:val="003D1D91"/>
    <w:rsid w:val="003D2517"/>
    <w:rsid w:val="003D26EB"/>
    <w:rsid w:val="003D29BA"/>
    <w:rsid w:val="003D2B02"/>
    <w:rsid w:val="003D2F75"/>
    <w:rsid w:val="003D3607"/>
    <w:rsid w:val="003D3B23"/>
    <w:rsid w:val="003D3C8C"/>
    <w:rsid w:val="003D3E03"/>
    <w:rsid w:val="003D430D"/>
    <w:rsid w:val="003D438C"/>
    <w:rsid w:val="003D45A2"/>
    <w:rsid w:val="003D45B6"/>
    <w:rsid w:val="003D586E"/>
    <w:rsid w:val="003D5A52"/>
    <w:rsid w:val="003D5A8A"/>
    <w:rsid w:val="003D5DD0"/>
    <w:rsid w:val="003D6092"/>
    <w:rsid w:val="003D6680"/>
    <w:rsid w:val="003D67FF"/>
    <w:rsid w:val="003D6B33"/>
    <w:rsid w:val="003D6C84"/>
    <w:rsid w:val="003D6FE2"/>
    <w:rsid w:val="003D7138"/>
    <w:rsid w:val="003D7283"/>
    <w:rsid w:val="003D771C"/>
    <w:rsid w:val="003D7899"/>
    <w:rsid w:val="003D79C0"/>
    <w:rsid w:val="003D7DA8"/>
    <w:rsid w:val="003E02C8"/>
    <w:rsid w:val="003E0463"/>
    <w:rsid w:val="003E060D"/>
    <w:rsid w:val="003E0B82"/>
    <w:rsid w:val="003E0DE6"/>
    <w:rsid w:val="003E0DED"/>
    <w:rsid w:val="003E0E20"/>
    <w:rsid w:val="003E10E6"/>
    <w:rsid w:val="003E1BC4"/>
    <w:rsid w:val="003E1E82"/>
    <w:rsid w:val="003E1F62"/>
    <w:rsid w:val="003E23AF"/>
    <w:rsid w:val="003E2EFA"/>
    <w:rsid w:val="003E3540"/>
    <w:rsid w:val="003E3999"/>
    <w:rsid w:val="003E3FED"/>
    <w:rsid w:val="003E4559"/>
    <w:rsid w:val="003E4752"/>
    <w:rsid w:val="003E4788"/>
    <w:rsid w:val="003E5578"/>
    <w:rsid w:val="003E5BD6"/>
    <w:rsid w:val="003E6187"/>
    <w:rsid w:val="003E6826"/>
    <w:rsid w:val="003E683B"/>
    <w:rsid w:val="003E74F9"/>
    <w:rsid w:val="003E7BF1"/>
    <w:rsid w:val="003E7EC4"/>
    <w:rsid w:val="003F0152"/>
    <w:rsid w:val="003F048B"/>
    <w:rsid w:val="003F0506"/>
    <w:rsid w:val="003F0983"/>
    <w:rsid w:val="003F0B1F"/>
    <w:rsid w:val="003F194A"/>
    <w:rsid w:val="003F20E3"/>
    <w:rsid w:val="003F21CD"/>
    <w:rsid w:val="003F21F9"/>
    <w:rsid w:val="003F24C6"/>
    <w:rsid w:val="003F250C"/>
    <w:rsid w:val="003F263B"/>
    <w:rsid w:val="003F270D"/>
    <w:rsid w:val="003F292D"/>
    <w:rsid w:val="003F2AA2"/>
    <w:rsid w:val="003F2CE6"/>
    <w:rsid w:val="003F2DE3"/>
    <w:rsid w:val="003F3260"/>
    <w:rsid w:val="003F32BD"/>
    <w:rsid w:val="003F3666"/>
    <w:rsid w:val="003F386E"/>
    <w:rsid w:val="003F38A7"/>
    <w:rsid w:val="003F38A9"/>
    <w:rsid w:val="003F3955"/>
    <w:rsid w:val="003F3A3A"/>
    <w:rsid w:val="003F3CEC"/>
    <w:rsid w:val="003F3DCF"/>
    <w:rsid w:val="003F445C"/>
    <w:rsid w:val="003F4D28"/>
    <w:rsid w:val="003F4D7B"/>
    <w:rsid w:val="003F549C"/>
    <w:rsid w:val="003F5562"/>
    <w:rsid w:val="003F5616"/>
    <w:rsid w:val="003F5C54"/>
    <w:rsid w:val="003F5E19"/>
    <w:rsid w:val="003F6427"/>
    <w:rsid w:val="003F6911"/>
    <w:rsid w:val="003F6921"/>
    <w:rsid w:val="003F73B1"/>
    <w:rsid w:val="00400152"/>
    <w:rsid w:val="00400375"/>
    <w:rsid w:val="00400557"/>
    <w:rsid w:val="004008B5"/>
    <w:rsid w:val="00400EAA"/>
    <w:rsid w:val="0040101B"/>
    <w:rsid w:val="00401A55"/>
    <w:rsid w:val="00401BF3"/>
    <w:rsid w:val="004020A6"/>
    <w:rsid w:val="004022C3"/>
    <w:rsid w:val="0040277E"/>
    <w:rsid w:val="00402A47"/>
    <w:rsid w:val="00403048"/>
    <w:rsid w:val="00403487"/>
    <w:rsid w:val="00403943"/>
    <w:rsid w:val="0040447C"/>
    <w:rsid w:val="00404A56"/>
    <w:rsid w:val="00404EA7"/>
    <w:rsid w:val="00404EE4"/>
    <w:rsid w:val="00406082"/>
    <w:rsid w:val="004060EE"/>
    <w:rsid w:val="0040648C"/>
    <w:rsid w:val="00406BD6"/>
    <w:rsid w:val="004077CA"/>
    <w:rsid w:val="004100C8"/>
    <w:rsid w:val="00410125"/>
    <w:rsid w:val="00410366"/>
    <w:rsid w:val="00410529"/>
    <w:rsid w:val="0041084D"/>
    <w:rsid w:val="00410DA8"/>
    <w:rsid w:val="0041104C"/>
    <w:rsid w:val="00411052"/>
    <w:rsid w:val="00411431"/>
    <w:rsid w:val="004114EE"/>
    <w:rsid w:val="0041156C"/>
    <w:rsid w:val="004118F7"/>
    <w:rsid w:val="004126EA"/>
    <w:rsid w:val="00412A84"/>
    <w:rsid w:val="004131BE"/>
    <w:rsid w:val="0041393F"/>
    <w:rsid w:val="00413A26"/>
    <w:rsid w:val="00414098"/>
    <w:rsid w:val="00415115"/>
    <w:rsid w:val="004152FD"/>
    <w:rsid w:val="0041537F"/>
    <w:rsid w:val="00415461"/>
    <w:rsid w:val="00415ED0"/>
    <w:rsid w:val="00416023"/>
    <w:rsid w:val="00416026"/>
    <w:rsid w:val="00416245"/>
    <w:rsid w:val="004166F7"/>
    <w:rsid w:val="00416E23"/>
    <w:rsid w:val="00417359"/>
    <w:rsid w:val="004173F2"/>
    <w:rsid w:val="004175C3"/>
    <w:rsid w:val="00417792"/>
    <w:rsid w:val="00417B63"/>
    <w:rsid w:val="00417D28"/>
    <w:rsid w:val="00420A37"/>
    <w:rsid w:val="00422202"/>
    <w:rsid w:val="00422568"/>
    <w:rsid w:val="004229FB"/>
    <w:rsid w:val="00422DAD"/>
    <w:rsid w:val="00422EAC"/>
    <w:rsid w:val="00422F8D"/>
    <w:rsid w:val="0042317A"/>
    <w:rsid w:val="00423859"/>
    <w:rsid w:val="00424490"/>
    <w:rsid w:val="00424C1B"/>
    <w:rsid w:val="00424D71"/>
    <w:rsid w:val="00425486"/>
    <w:rsid w:val="00425800"/>
    <w:rsid w:val="00425BB0"/>
    <w:rsid w:val="00425F61"/>
    <w:rsid w:val="0042607B"/>
    <w:rsid w:val="00426698"/>
    <w:rsid w:val="004269ED"/>
    <w:rsid w:val="00426E7C"/>
    <w:rsid w:val="00427199"/>
    <w:rsid w:val="00427309"/>
    <w:rsid w:val="00427964"/>
    <w:rsid w:val="00427C77"/>
    <w:rsid w:val="00427F30"/>
    <w:rsid w:val="00427FBA"/>
    <w:rsid w:val="00430186"/>
    <w:rsid w:val="00430780"/>
    <w:rsid w:val="00430817"/>
    <w:rsid w:val="0043083F"/>
    <w:rsid w:val="0043084F"/>
    <w:rsid w:val="004309BD"/>
    <w:rsid w:val="00430C6B"/>
    <w:rsid w:val="00430DEF"/>
    <w:rsid w:val="00431429"/>
    <w:rsid w:val="004315A9"/>
    <w:rsid w:val="004317E6"/>
    <w:rsid w:val="00431C7F"/>
    <w:rsid w:val="00432870"/>
    <w:rsid w:val="00432AF3"/>
    <w:rsid w:val="00432D3C"/>
    <w:rsid w:val="00433529"/>
    <w:rsid w:val="004339B4"/>
    <w:rsid w:val="00433E94"/>
    <w:rsid w:val="00433EEB"/>
    <w:rsid w:val="00433F6F"/>
    <w:rsid w:val="0043425F"/>
    <w:rsid w:val="00434824"/>
    <w:rsid w:val="00434A92"/>
    <w:rsid w:val="00434D04"/>
    <w:rsid w:val="0043570E"/>
    <w:rsid w:val="00435A2D"/>
    <w:rsid w:val="00435A9E"/>
    <w:rsid w:val="00435B75"/>
    <w:rsid w:val="00435FB2"/>
    <w:rsid w:val="004366AB"/>
    <w:rsid w:val="00436C91"/>
    <w:rsid w:val="00436EE9"/>
    <w:rsid w:val="00437369"/>
    <w:rsid w:val="0043748A"/>
    <w:rsid w:val="0043775D"/>
    <w:rsid w:val="004377AB"/>
    <w:rsid w:val="00437BA1"/>
    <w:rsid w:val="00437CBF"/>
    <w:rsid w:val="00440111"/>
    <w:rsid w:val="00440812"/>
    <w:rsid w:val="00440955"/>
    <w:rsid w:val="00440B9B"/>
    <w:rsid w:val="00440FEC"/>
    <w:rsid w:val="00441058"/>
    <w:rsid w:val="00441091"/>
    <w:rsid w:val="004410A8"/>
    <w:rsid w:val="0044123A"/>
    <w:rsid w:val="00441316"/>
    <w:rsid w:val="004413A6"/>
    <w:rsid w:val="004417BB"/>
    <w:rsid w:val="00441991"/>
    <w:rsid w:val="004423BF"/>
    <w:rsid w:val="00442628"/>
    <w:rsid w:val="00442836"/>
    <w:rsid w:val="004428A1"/>
    <w:rsid w:val="00442BD7"/>
    <w:rsid w:val="00442EBF"/>
    <w:rsid w:val="004433B6"/>
    <w:rsid w:val="00443769"/>
    <w:rsid w:val="00443F55"/>
    <w:rsid w:val="00444225"/>
    <w:rsid w:val="00444687"/>
    <w:rsid w:val="00444AAD"/>
    <w:rsid w:val="00444B8A"/>
    <w:rsid w:val="00444D7B"/>
    <w:rsid w:val="00444DB2"/>
    <w:rsid w:val="0044533E"/>
    <w:rsid w:val="0044597C"/>
    <w:rsid w:val="004459DF"/>
    <w:rsid w:val="00445E8D"/>
    <w:rsid w:val="00445F5A"/>
    <w:rsid w:val="00446A3D"/>
    <w:rsid w:val="00446A66"/>
    <w:rsid w:val="00446C2A"/>
    <w:rsid w:val="00446E39"/>
    <w:rsid w:val="00446FEB"/>
    <w:rsid w:val="00447244"/>
    <w:rsid w:val="0044745A"/>
    <w:rsid w:val="00447569"/>
    <w:rsid w:val="004478B8"/>
    <w:rsid w:val="0045014F"/>
    <w:rsid w:val="0045045C"/>
    <w:rsid w:val="004506F5"/>
    <w:rsid w:val="00450850"/>
    <w:rsid w:val="00450BD0"/>
    <w:rsid w:val="00451269"/>
    <w:rsid w:val="004512E6"/>
    <w:rsid w:val="00451784"/>
    <w:rsid w:val="00451875"/>
    <w:rsid w:val="00451C01"/>
    <w:rsid w:val="00452565"/>
    <w:rsid w:val="00452E58"/>
    <w:rsid w:val="00453477"/>
    <w:rsid w:val="00453CBE"/>
    <w:rsid w:val="00453D0C"/>
    <w:rsid w:val="00454134"/>
    <w:rsid w:val="00455C18"/>
    <w:rsid w:val="00455F47"/>
    <w:rsid w:val="00456183"/>
    <w:rsid w:val="00456FC0"/>
    <w:rsid w:val="00456FFC"/>
    <w:rsid w:val="004570D8"/>
    <w:rsid w:val="00457350"/>
    <w:rsid w:val="004574F6"/>
    <w:rsid w:val="0045759D"/>
    <w:rsid w:val="00457F0E"/>
    <w:rsid w:val="00460371"/>
    <w:rsid w:val="004608BE"/>
    <w:rsid w:val="004609DD"/>
    <w:rsid w:val="004618C0"/>
    <w:rsid w:val="004618DC"/>
    <w:rsid w:val="00461BB9"/>
    <w:rsid w:val="0046314D"/>
    <w:rsid w:val="00463182"/>
    <w:rsid w:val="004632C7"/>
    <w:rsid w:val="004632FD"/>
    <w:rsid w:val="0046330C"/>
    <w:rsid w:val="0046347F"/>
    <w:rsid w:val="004634E2"/>
    <w:rsid w:val="004636C4"/>
    <w:rsid w:val="0046374F"/>
    <w:rsid w:val="0046376B"/>
    <w:rsid w:val="00463823"/>
    <w:rsid w:val="004652AE"/>
    <w:rsid w:val="0046540C"/>
    <w:rsid w:val="00465831"/>
    <w:rsid w:val="00465EF3"/>
    <w:rsid w:val="0046625F"/>
    <w:rsid w:val="00466543"/>
    <w:rsid w:val="0046695E"/>
    <w:rsid w:val="00466A5C"/>
    <w:rsid w:val="00466BA1"/>
    <w:rsid w:val="00467299"/>
    <w:rsid w:val="004675AB"/>
    <w:rsid w:val="004677AC"/>
    <w:rsid w:val="004679A4"/>
    <w:rsid w:val="00467E74"/>
    <w:rsid w:val="00467F45"/>
    <w:rsid w:val="00470184"/>
    <w:rsid w:val="0047023A"/>
    <w:rsid w:val="00470374"/>
    <w:rsid w:val="00470ECE"/>
    <w:rsid w:val="0047114D"/>
    <w:rsid w:val="00471198"/>
    <w:rsid w:val="0047185E"/>
    <w:rsid w:val="004718BD"/>
    <w:rsid w:val="00471A88"/>
    <w:rsid w:val="00471B99"/>
    <w:rsid w:val="00471CDF"/>
    <w:rsid w:val="0047206E"/>
    <w:rsid w:val="004722F9"/>
    <w:rsid w:val="0047283D"/>
    <w:rsid w:val="00472C75"/>
    <w:rsid w:val="00472EF2"/>
    <w:rsid w:val="00472FB3"/>
    <w:rsid w:val="004731A4"/>
    <w:rsid w:val="0047362F"/>
    <w:rsid w:val="00473651"/>
    <w:rsid w:val="00473977"/>
    <w:rsid w:val="00473A71"/>
    <w:rsid w:val="0047464E"/>
    <w:rsid w:val="00474745"/>
    <w:rsid w:val="00474757"/>
    <w:rsid w:val="004747AF"/>
    <w:rsid w:val="00474FE0"/>
    <w:rsid w:val="0047587D"/>
    <w:rsid w:val="00475A15"/>
    <w:rsid w:val="00475FE0"/>
    <w:rsid w:val="00476243"/>
    <w:rsid w:val="00476C96"/>
    <w:rsid w:val="00477081"/>
    <w:rsid w:val="00477ADF"/>
    <w:rsid w:val="00480A49"/>
    <w:rsid w:val="00480C06"/>
    <w:rsid w:val="00480C8D"/>
    <w:rsid w:val="00480E52"/>
    <w:rsid w:val="0048172C"/>
    <w:rsid w:val="00481D10"/>
    <w:rsid w:val="0048216D"/>
    <w:rsid w:val="004821F4"/>
    <w:rsid w:val="00482210"/>
    <w:rsid w:val="0048245C"/>
    <w:rsid w:val="00482B35"/>
    <w:rsid w:val="00482E74"/>
    <w:rsid w:val="004832D4"/>
    <w:rsid w:val="00483492"/>
    <w:rsid w:val="0048362E"/>
    <w:rsid w:val="00483975"/>
    <w:rsid w:val="004839AE"/>
    <w:rsid w:val="00483F84"/>
    <w:rsid w:val="00484005"/>
    <w:rsid w:val="0048423D"/>
    <w:rsid w:val="004842EA"/>
    <w:rsid w:val="00484306"/>
    <w:rsid w:val="004843DF"/>
    <w:rsid w:val="00484445"/>
    <w:rsid w:val="0048465F"/>
    <w:rsid w:val="0048490C"/>
    <w:rsid w:val="00484B5C"/>
    <w:rsid w:val="00484F2D"/>
    <w:rsid w:val="0048543E"/>
    <w:rsid w:val="00485C17"/>
    <w:rsid w:val="00485D15"/>
    <w:rsid w:val="00485D94"/>
    <w:rsid w:val="004865DB"/>
    <w:rsid w:val="0048661F"/>
    <w:rsid w:val="00486745"/>
    <w:rsid w:val="00486A93"/>
    <w:rsid w:val="00486DBD"/>
    <w:rsid w:val="00486E84"/>
    <w:rsid w:val="00486EE6"/>
    <w:rsid w:val="0048748A"/>
    <w:rsid w:val="0048760A"/>
    <w:rsid w:val="00487CCC"/>
    <w:rsid w:val="00487CD0"/>
    <w:rsid w:val="00487F02"/>
    <w:rsid w:val="004908FD"/>
    <w:rsid w:val="00490AF7"/>
    <w:rsid w:val="00490C95"/>
    <w:rsid w:val="00490E71"/>
    <w:rsid w:val="00490F27"/>
    <w:rsid w:val="0049113A"/>
    <w:rsid w:val="004911B2"/>
    <w:rsid w:val="00491C8E"/>
    <w:rsid w:val="00491E3E"/>
    <w:rsid w:val="00492049"/>
    <w:rsid w:val="0049285F"/>
    <w:rsid w:val="00492A4C"/>
    <w:rsid w:val="00492B6D"/>
    <w:rsid w:val="00492D36"/>
    <w:rsid w:val="00492FFB"/>
    <w:rsid w:val="00493B33"/>
    <w:rsid w:val="00493F44"/>
    <w:rsid w:val="0049426E"/>
    <w:rsid w:val="004948C8"/>
    <w:rsid w:val="0049544F"/>
    <w:rsid w:val="004955E3"/>
    <w:rsid w:val="0049560B"/>
    <w:rsid w:val="0049561F"/>
    <w:rsid w:val="004956F2"/>
    <w:rsid w:val="00495792"/>
    <w:rsid w:val="004957DC"/>
    <w:rsid w:val="0049584A"/>
    <w:rsid w:val="00495A84"/>
    <w:rsid w:val="00495FEF"/>
    <w:rsid w:val="004961B6"/>
    <w:rsid w:val="00497217"/>
    <w:rsid w:val="00497829"/>
    <w:rsid w:val="00497B63"/>
    <w:rsid w:val="004A079F"/>
    <w:rsid w:val="004A07BA"/>
    <w:rsid w:val="004A097B"/>
    <w:rsid w:val="004A0C40"/>
    <w:rsid w:val="004A0D9B"/>
    <w:rsid w:val="004A1079"/>
    <w:rsid w:val="004A113A"/>
    <w:rsid w:val="004A12CC"/>
    <w:rsid w:val="004A145E"/>
    <w:rsid w:val="004A165D"/>
    <w:rsid w:val="004A176C"/>
    <w:rsid w:val="004A18E8"/>
    <w:rsid w:val="004A21FE"/>
    <w:rsid w:val="004A25C7"/>
    <w:rsid w:val="004A2972"/>
    <w:rsid w:val="004A30BB"/>
    <w:rsid w:val="004A3265"/>
    <w:rsid w:val="004A3587"/>
    <w:rsid w:val="004A36A3"/>
    <w:rsid w:val="004A3985"/>
    <w:rsid w:val="004A3B95"/>
    <w:rsid w:val="004A42DC"/>
    <w:rsid w:val="004A4540"/>
    <w:rsid w:val="004A4581"/>
    <w:rsid w:val="004A4AED"/>
    <w:rsid w:val="004A4CFD"/>
    <w:rsid w:val="004A511E"/>
    <w:rsid w:val="004A5708"/>
    <w:rsid w:val="004A57D9"/>
    <w:rsid w:val="004A63B7"/>
    <w:rsid w:val="004A693E"/>
    <w:rsid w:val="004A69B3"/>
    <w:rsid w:val="004A6E87"/>
    <w:rsid w:val="004A6ED4"/>
    <w:rsid w:val="004A6F8E"/>
    <w:rsid w:val="004A701F"/>
    <w:rsid w:val="004A7113"/>
    <w:rsid w:val="004A7900"/>
    <w:rsid w:val="004A7B7E"/>
    <w:rsid w:val="004A7C49"/>
    <w:rsid w:val="004A7D60"/>
    <w:rsid w:val="004B0394"/>
    <w:rsid w:val="004B08BF"/>
    <w:rsid w:val="004B0A4E"/>
    <w:rsid w:val="004B0EAA"/>
    <w:rsid w:val="004B0ED2"/>
    <w:rsid w:val="004B0F87"/>
    <w:rsid w:val="004B1138"/>
    <w:rsid w:val="004B171D"/>
    <w:rsid w:val="004B1FF1"/>
    <w:rsid w:val="004B313C"/>
    <w:rsid w:val="004B3791"/>
    <w:rsid w:val="004B3D77"/>
    <w:rsid w:val="004B3DC7"/>
    <w:rsid w:val="004B49BA"/>
    <w:rsid w:val="004B4AEF"/>
    <w:rsid w:val="004B4B1F"/>
    <w:rsid w:val="004B4DBE"/>
    <w:rsid w:val="004B4E60"/>
    <w:rsid w:val="004B540C"/>
    <w:rsid w:val="004B5A37"/>
    <w:rsid w:val="004B5A7B"/>
    <w:rsid w:val="004B5B79"/>
    <w:rsid w:val="004B60D9"/>
    <w:rsid w:val="004B63CC"/>
    <w:rsid w:val="004B658E"/>
    <w:rsid w:val="004B6948"/>
    <w:rsid w:val="004B7280"/>
    <w:rsid w:val="004B77FF"/>
    <w:rsid w:val="004B7891"/>
    <w:rsid w:val="004B7F85"/>
    <w:rsid w:val="004C05EE"/>
    <w:rsid w:val="004C06A1"/>
    <w:rsid w:val="004C082D"/>
    <w:rsid w:val="004C08A9"/>
    <w:rsid w:val="004C0B0D"/>
    <w:rsid w:val="004C11C0"/>
    <w:rsid w:val="004C123F"/>
    <w:rsid w:val="004C1C95"/>
    <w:rsid w:val="004C21D1"/>
    <w:rsid w:val="004C2A00"/>
    <w:rsid w:val="004C2CBA"/>
    <w:rsid w:val="004C30E7"/>
    <w:rsid w:val="004C36F6"/>
    <w:rsid w:val="004C410F"/>
    <w:rsid w:val="004C432F"/>
    <w:rsid w:val="004C4F5A"/>
    <w:rsid w:val="004C5324"/>
    <w:rsid w:val="004C5557"/>
    <w:rsid w:val="004C566A"/>
    <w:rsid w:val="004C5845"/>
    <w:rsid w:val="004C6181"/>
    <w:rsid w:val="004C6440"/>
    <w:rsid w:val="004C64DA"/>
    <w:rsid w:val="004C7335"/>
    <w:rsid w:val="004C7494"/>
    <w:rsid w:val="004C7702"/>
    <w:rsid w:val="004D0196"/>
    <w:rsid w:val="004D0778"/>
    <w:rsid w:val="004D188D"/>
    <w:rsid w:val="004D190C"/>
    <w:rsid w:val="004D1C39"/>
    <w:rsid w:val="004D20DC"/>
    <w:rsid w:val="004D2F84"/>
    <w:rsid w:val="004D302A"/>
    <w:rsid w:val="004D390A"/>
    <w:rsid w:val="004D3B8E"/>
    <w:rsid w:val="004D3E63"/>
    <w:rsid w:val="004D3F72"/>
    <w:rsid w:val="004D45FD"/>
    <w:rsid w:val="004D4BF5"/>
    <w:rsid w:val="004D5079"/>
    <w:rsid w:val="004D536E"/>
    <w:rsid w:val="004D54F9"/>
    <w:rsid w:val="004D5858"/>
    <w:rsid w:val="004D604B"/>
    <w:rsid w:val="004D61E3"/>
    <w:rsid w:val="004D6556"/>
    <w:rsid w:val="004D6B65"/>
    <w:rsid w:val="004D759D"/>
    <w:rsid w:val="004D7653"/>
    <w:rsid w:val="004D7BBA"/>
    <w:rsid w:val="004D7CD2"/>
    <w:rsid w:val="004D7D75"/>
    <w:rsid w:val="004E0040"/>
    <w:rsid w:val="004E024C"/>
    <w:rsid w:val="004E0709"/>
    <w:rsid w:val="004E09D5"/>
    <w:rsid w:val="004E0D12"/>
    <w:rsid w:val="004E11A0"/>
    <w:rsid w:val="004E1513"/>
    <w:rsid w:val="004E152A"/>
    <w:rsid w:val="004E2453"/>
    <w:rsid w:val="004E278D"/>
    <w:rsid w:val="004E2D6E"/>
    <w:rsid w:val="004E2F03"/>
    <w:rsid w:val="004E331D"/>
    <w:rsid w:val="004E3500"/>
    <w:rsid w:val="004E363D"/>
    <w:rsid w:val="004E3B42"/>
    <w:rsid w:val="004E4022"/>
    <w:rsid w:val="004E4915"/>
    <w:rsid w:val="004E4AD4"/>
    <w:rsid w:val="004E598C"/>
    <w:rsid w:val="004E5B61"/>
    <w:rsid w:val="004E5BC2"/>
    <w:rsid w:val="004E5ED7"/>
    <w:rsid w:val="004E630F"/>
    <w:rsid w:val="004E64C4"/>
    <w:rsid w:val="004E68EF"/>
    <w:rsid w:val="004E69E6"/>
    <w:rsid w:val="004E6B46"/>
    <w:rsid w:val="004E6CCB"/>
    <w:rsid w:val="004E6EEE"/>
    <w:rsid w:val="004E7035"/>
    <w:rsid w:val="004E723C"/>
    <w:rsid w:val="004E7287"/>
    <w:rsid w:val="004F00D8"/>
    <w:rsid w:val="004F0268"/>
    <w:rsid w:val="004F04D5"/>
    <w:rsid w:val="004F05C6"/>
    <w:rsid w:val="004F0717"/>
    <w:rsid w:val="004F0907"/>
    <w:rsid w:val="004F0E1E"/>
    <w:rsid w:val="004F1174"/>
    <w:rsid w:val="004F165E"/>
    <w:rsid w:val="004F169F"/>
    <w:rsid w:val="004F16AF"/>
    <w:rsid w:val="004F1A99"/>
    <w:rsid w:val="004F24EB"/>
    <w:rsid w:val="004F2CF3"/>
    <w:rsid w:val="004F2E37"/>
    <w:rsid w:val="004F32F4"/>
    <w:rsid w:val="004F3998"/>
    <w:rsid w:val="004F41AF"/>
    <w:rsid w:val="004F4251"/>
    <w:rsid w:val="004F442D"/>
    <w:rsid w:val="004F4794"/>
    <w:rsid w:val="004F4BE3"/>
    <w:rsid w:val="004F4D09"/>
    <w:rsid w:val="004F4E13"/>
    <w:rsid w:val="004F4F94"/>
    <w:rsid w:val="004F570F"/>
    <w:rsid w:val="004F5B7A"/>
    <w:rsid w:val="004F62F3"/>
    <w:rsid w:val="004F63D7"/>
    <w:rsid w:val="004F68CF"/>
    <w:rsid w:val="004F6B1A"/>
    <w:rsid w:val="004F6D11"/>
    <w:rsid w:val="004F70BF"/>
    <w:rsid w:val="004F7182"/>
    <w:rsid w:val="004F75E9"/>
    <w:rsid w:val="004F7646"/>
    <w:rsid w:val="004F773C"/>
    <w:rsid w:val="004F7CE7"/>
    <w:rsid w:val="00500182"/>
    <w:rsid w:val="005006DD"/>
    <w:rsid w:val="005010ED"/>
    <w:rsid w:val="0050130C"/>
    <w:rsid w:val="00501325"/>
    <w:rsid w:val="005013CF"/>
    <w:rsid w:val="00501703"/>
    <w:rsid w:val="00501E67"/>
    <w:rsid w:val="00502441"/>
    <w:rsid w:val="0050280B"/>
    <w:rsid w:val="00502AE8"/>
    <w:rsid w:val="00502D93"/>
    <w:rsid w:val="00502EB9"/>
    <w:rsid w:val="00503093"/>
    <w:rsid w:val="00503189"/>
    <w:rsid w:val="00503C57"/>
    <w:rsid w:val="00504C75"/>
    <w:rsid w:val="00504F1B"/>
    <w:rsid w:val="00505B7F"/>
    <w:rsid w:val="00505DB5"/>
    <w:rsid w:val="005064FB"/>
    <w:rsid w:val="0050726C"/>
    <w:rsid w:val="005073AB"/>
    <w:rsid w:val="005077DB"/>
    <w:rsid w:val="00510834"/>
    <w:rsid w:val="00510E8A"/>
    <w:rsid w:val="005112B1"/>
    <w:rsid w:val="005117B4"/>
    <w:rsid w:val="00511E95"/>
    <w:rsid w:val="00511F9C"/>
    <w:rsid w:val="005122C7"/>
    <w:rsid w:val="005123FE"/>
    <w:rsid w:val="00512603"/>
    <w:rsid w:val="0051262F"/>
    <w:rsid w:val="00512713"/>
    <w:rsid w:val="00512FEC"/>
    <w:rsid w:val="005134ED"/>
    <w:rsid w:val="0051357C"/>
    <w:rsid w:val="005135E0"/>
    <w:rsid w:val="0051438D"/>
    <w:rsid w:val="005147FC"/>
    <w:rsid w:val="00514B21"/>
    <w:rsid w:val="00514E5D"/>
    <w:rsid w:val="00514E73"/>
    <w:rsid w:val="0051587A"/>
    <w:rsid w:val="00515897"/>
    <w:rsid w:val="00516512"/>
    <w:rsid w:val="0051657A"/>
    <w:rsid w:val="00516783"/>
    <w:rsid w:val="00516E83"/>
    <w:rsid w:val="0051713F"/>
    <w:rsid w:val="00517379"/>
    <w:rsid w:val="00517B28"/>
    <w:rsid w:val="00517FA6"/>
    <w:rsid w:val="005205B4"/>
    <w:rsid w:val="005209F1"/>
    <w:rsid w:val="00520D91"/>
    <w:rsid w:val="00521388"/>
    <w:rsid w:val="005213AD"/>
    <w:rsid w:val="005214D9"/>
    <w:rsid w:val="00521CC7"/>
    <w:rsid w:val="00521EB0"/>
    <w:rsid w:val="00522186"/>
    <w:rsid w:val="005223EA"/>
    <w:rsid w:val="0052259E"/>
    <w:rsid w:val="00522644"/>
    <w:rsid w:val="005227E7"/>
    <w:rsid w:val="00522DC9"/>
    <w:rsid w:val="00523430"/>
    <w:rsid w:val="0052384E"/>
    <w:rsid w:val="005238A0"/>
    <w:rsid w:val="00523C98"/>
    <w:rsid w:val="00523D06"/>
    <w:rsid w:val="00523DF8"/>
    <w:rsid w:val="00523EF3"/>
    <w:rsid w:val="00524746"/>
    <w:rsid w:val="005247B5"/>
    <w:rsid w:val="005249D3"/>
    <w:rsid w:val="00524DE0"/>
    <w:rsid w:val="00524EEE"/>
    <w:rsid w:val="0052550E"/>
    <w:rsid w:val="00525796"/>
    <w:rsid w:val="00525993"/>
    <w:rsid w:val="00525B06"/>
    <w:rsid w:val="00525E51"/>
    <w:rsid w:val="00525EEA"/>
    <w:rsid w:val="00526027"/>
    <w:rsid w:val="0052653E"/>
    <w:rsid w:val="005267E3"/>
    <w:rsid w:val="00526F7C"/>
    <w:rsid w:val="00526FE5"/>
    <w:rsid w:val="00527351"/>
    <w:rsid w:val="005276C9"/>
    <w:rsid w:val="00527797"/>
    <w:rsid w:val="005278CC"/>
    <w:rsid w:val="00527C0F"/>
    <w:rsid w:val="00527DD9"/>
    <w:rsid w:val="00527DED"/>
    <w:rsid w:val="00527EEB"/>
    <w:rsid w:val="00527F06"/>
    <w:rsid w:val="0053019A"/>
    <w:rsid w:val="0053025B"/>
    <w:rsid w:val="0053051C"/>
    <w:rsid w:val="00530B29"/>
    <w:rsid w:val="00530D73"/>
    <w:rsid w:val="00530F5B"/>
    <w:rsid w:val="005312AB"/>
    <w:rsid w:val="005312B5"/>
    <w:rsid w:val="005315A9"/>
    <w:rsid w:val="0053160E"/>
    <w:rsid w:val="005316A3"/>
    <w:rsid w:val="0053186C"/>
    <w:rsid w:val="00531AFF"/>
    <w:rsid w:val="00531F3D"/>
    <w:rsid w:val="0053221B"/>
    <w:rsid w:val="0053249F"/>
    <w:rsid w:val="00532EBC"/>
    <w:rsid w:val="005337FD"/>
    <w:rsid w:val="00533861"/>
    <w:rsid w:val="00534003"/>
    <w:rsid w:val="00535FF9"/>
    <w:rsid w:val="0053600A"/>
    <w:rsid w:val="00536145"/>
    <w:rsid w:val="00536B2B"/>
    <w:rsid w:val="00537170"/>
    <w:rsid w:val="00537333"/>
    <w:rsid w:val="005375E3"/>
    <w:rsid w:val="00537636"/>
    <w:rsid w:val="00537B58"/>
    <w:rsid w:val="00540319"/>
    <w:rsid w:val="00540324"/>
    <w:rsid w:val="005404ED"/>
    <w:rsid w:val="0054051E"/>
    <w:rsid w:val="00540749"/>
    <w:rsid w:val="005414F0"/>
    <w:rsid w:val="005418DE"/>
    <w:rsid w:val="00541E34"/>
    <w:rsid w:val="005422DE"/>
    <w:rsid w:val="00544B44"/>
    <w:rsid w:val="00544FEA"/>
    <w:rsid w:val="005450A7"/>
    <w:rsid w:val="00545359"/>
    <w:rsid w:val="00545787"/>
    <w:rsid w:val="00545D95"/>
    <w:rsid w:val="00545E86"/>
    <w:rsid w:val="0054630D"/>
    <w:rsid w:val="00546431"/>
    <w:rsid w:val="005466E1"/>
    <w:rsid w:val="00546D13"/>
    <w:rsid w:val="005472B8"/>
    <w:rsid w:val="005477E9"/>
    <w:rsid w:val="00547822"/>
    <w:rsid w:val="005504B5"/>
    <w:rsid w:val="005505BB"/>
    <w:rsid w:val="00550762"/>
    <w:rsid w:val="00550A8A"/>
    <w:rsid w:val="00550AC9"/>
    <w:rsid w:val="00550C22"/>
    <w:rsid w:val="00550EAA"/>
    <w:rsid w:val="00551837"/>
    <w:rsid w:val="0055191E"/>
    <w:rsid w:val="00551B5E"/>
    <w:rsid w:val="00551B6F"/>
    <w:rsid w:val="00551FE4"/>
    <w:rsid w:val="00552055"/>
    <w:rsid w:val="005527AC"/>
    <w:rsid w:val="00553051"/>
    <w:rsid w:val="0055326D"/>
    <w:rsid w:val="005534EF"/>
    <w:rsid w:val="005542B3"/>
    <w:rsid w:val="00554A10"/>
    <w:rsid w:val="005550CB"/>
    <w:rsid w:val="005552EA"/>
    <w:rsid w:val="00555782"/>
    <w:rsid w:val="00555E63"/>
    <w:rsid w:val="005568A0"/>
    <w:rsid w:val="005569B2"/>
    <w:rsid w:val="00556AB9"/>
    <w:rsid w:val="00556C63"/>
    <w:rsid w:val="00556CD6"/>
    <w:rsid w:val="00557071"/>
    <w:rsid w:val="005571A7"/>
    <w:rsid w:val="00557A16"/>
    <w:rsid w:val="005601C8"/>
    <w:rsid w:val="00560744"/>
    <w:rsid w:val="00560D12"/>
    <w:rsid w:val="00560F3B"/>
    <w:rsid w:val="005611E3"/>
    <w:rsid w:val="005613F7"/>
    <w:rsid w:val="00561527"/>
    <w:rsid w:val="00561D0F"/>
    <w:rsid w:val="005621A3"/>
    <w:rsid w:val="00562577"/>
    <w:rsid w:val="00562A1F"/>
    <w:rsid w:val="005635A4"/>
    <w:rsid w:val="00563C4C"/>
    <w:rsid w:val="00563ED9"/>
    <w:rsid w:val="00563F0E"/>
    <w:rsid w:val="00564145"/>
    <w:rsid w:val="0056427A"/>
    <w:rsid w:val="005649AA"/>
    <w:rsid w:val="005650C5"/>
    <w:rsid w:val="00565587"/>
    <w:rsid w:val="0056575E"/>
    <w:rsid w:val="00565C3A"/>
    <w:rsid w:val="00565F7B"/>
    <w:rsid w:val="00566097"/>
    <w:rsid w:val="0056659C"/>
    <w:rsid w:val="00566C4D"/>
    <w:rsid w:val="00566F36"/>
    <w:rsid w:val="005672AB"/>
    <w:rsid w:val="00567313"/>
    <w:rsid w:val="0056741A"/>
    <w:rsid w:val="005676D6"/>
    <w:rsid w:val="005679C8"/>
    <w:rsid w:val="00567E92"/>
    <w:rsid w:val="005704D9"/>
    <w:rsid w:val="005705A7"/>
    <w:rsid w:val="00571438"/>
    <w:rsid w:val="00571B3B"/>
    <w:rsid w:val="005724C8"/>
    <w:rsid w:val="00573222"/>
    <w:rsid w:val="005735DC"/>
    <w:rsid w:val="00573866"/>
    <w:rsid w:val="00573AC1"/>
    <w:rsid w:val="00573CB2"/>
    <w:rsid w:val="00573D1A"/>
    <w:rsid w:val="00574459"/>
    <w:rsid w:val="005745B2"/>
    <w:rsid w:val="00574622"/>
    <w:rsid w:val="00575052"/>
    <w:rsid w:val="0057544D"/>
    <w:rsid w:val="005754F3"/>
    <w:rsid w:val="0057564A"/>
    <w:rsid w:val="00575E41"/>
    <w:rsid w:val="00576577"/>
    <w:rsid w:val="005772C6"/>
    <w:rsid w:val="005774DB"/>
    <w:rsid w:val="0057764B"/>
    <w:rsid w:val="005779BB"/>
    <w:rsid w:val="005779EE"/>
    <w:rsid w:val="00577A08"/>
    <w:rsid w:val="00580119"/>
    <w:rsid w:val="00580280"/>
    <w:rsid w:val="00580479"/>
    <w:rsid w:val="00580563"/>
    <w:rsid w:val="0058056D"/>
    <w:rsid w:val="0058089C"/>
    <w:rsid w:val="005809EE"/>
    <w:rsid w:val="005812A2"/>
    <w:rsid w:val="00581A98"/>
    <w:rsid w:val="00581CCC"/>
    <w:rsid w:val="00581FDB"/>
    <w:rsid w:val="0058272C"/>
    <w:rsid w:val="00582805"/>
    <w:rsid w:val="00582FA0"/>
    <w:rsid w:val="00583287"/>
    <w:rsid w:val="00583417"/>
    <w:rsid w:val="00583447"/>
    <w:rsid w:val="00583BBE"/>
    <w:rsid w:val="005847C7"/>
    <w:rsid w:val="005847E2"/>
    <w:rsid w:val="00584B6B"/>
    <w:rsid w:val="00584D53"/>
    <w:rsid w:val="0058528D"/>
    <w:rsid w:val="005858DA"/>
    <w:rsid w:val="005858F5"/>
    <w:rsid w:val="00585991"/>
    <w:rsid w:val="005859BE"/>
    <w:rsid w:val="00585AA5"/>
    <w:rsid w:val="00585C1C"/>
    <w:rsid w:val="00586F9C"/>
    <w:rsid w:val="00586FD7"/>
    <w:rsid w:val="005871C6"/>
    <w:rsid w:val="00587244"/>
    <w:rsid w:val="00587E34"/>
    <w:rsid w:val="005902BE"/>
    <w:rsid w:val="00590A29"/>
    <w:rsid w:val="00590A8A"/>
    <w:rsid w:val="00590CB0"/>
    <w:rsid w:val="00590E17"/>
    <w:rsid w:val="00590EB8"/>
    <w:rsid w:val="0059109E"/>
    <w:rsid w:val="005915B6"/>
    <w:rsid w:val="00591D46"/>
    <w:rsid w:val="00591E43"/>
    <w:rsid w:val="00591F49"/>
    <w:rsid w:val="0059214C"/>
    <w:rsid w:val="005922BD"/>
    <w:rsid w:val="005927A3"/>
    <w:rsid w:val="0059347F"/>
    <w:rsid w:val="0059446A"/>
    <w:rsid w:val="00594555"/>
    <w:rsid w:val="005945CF"/>
    <w:rsid w:val="005945D2"/>
    <w:rsid w:val="00595056"/>
    <w:rsid w:val="005958B6"/>
    <w:rsid w:val="005961E6"/>
    <w:rsid w:val="005963DF"/>
    <w:rsid w:val="005967AD"/>
    <w:rsid w:val="00596B55"/>
    <w:rsid w:val="00597170"/>
    <w:rsid w:val="005973B9"/>
    <w:rsid w:val="005975FE"/>
    <w:rsid w:val="0059765A"/>
    <w:rsid w:val="005A01BA"/>
    <w:rsid w:val="005A036F"/>
    <w:rsid w:val="005A08AE"/>
    <w:rsid w:val="005A08C7"/>
    <w:rsid w:val="005A103E"/>
    <w:rsid w:val="005A10FB"/>
    <w:rsid w:val="005A113E"/>
    <w:rsid w:val="005A123C"/>
    <w:rsid w:val="005A157A"/>
    <w:rsid w:val="005A15D4"/>
    <w:rsid w:val="005A15EA"/>
    <w:rsid w:val="005A1790"/>
    <w:rsid w:val="005A1B1C"/>
    <w:rsid w:val="005A1E56"/>
    <w:rsid w:val="005A2122"/>
    <w:rsid w:val="005A2505"/>
    <w:rsid w:val="005A2913"/>
    <w:rsid w:val="005A2AD0"/>
    <w:rsid w:val="005A2B50"/>
    <w:rsid w:val="005A2E1C"/>
    <w:rsid w:val="005A348E"/>
    <w:rsid w:val="005A3A48"/>
    <w:rsid w:val="005A4036"/>
    <w:rsid w:val="005A40E7"/>
    <w:rsid w:val="005A4768"/>
    <w:rsid w:val="005A4831"/>
    <w:rsid w:val="005A49C1"/>
    <w:rsid w:val="005A4DC3"/>
    <w:rsid w:val="005A4F7C"/>
    <w:rsid w:val="005A5499"/>
    <w:rsid w:val="005A56AD"/>
    <w:rsid w:val="005A56E1"/>
    <w:rsid w:val="005A5A72"/>
    <w:rsid w:val="005A5F64"/>
    <w:rsid w:val="005A6317"/>
    <w:rsid w:val="005A63EC"/>
    <w:rsid w:val="005A6CB4"/>
    <w:rsid w:val="005A6D4F"/>
    <w:rsid w:val="005A71E3"/>
    <w:rsid w:val="005A7283"/>
    <w:rsid w:val="005A72FF"/>
    <w:rsid w:val="005A76F8"/>
    <w:rsid w:val="005A7759"/>
    <w:rsid w:val="005A78E9"/>
    <w:rsid w:val="005A793C"/>
    <w:rsid w:val="005A7BC9"/>
    <w:rsid w:val="005B0537"/>
    <w:rsid w:val="005B0EEA"/>
    <w:rsid w:val="005B0FC7"/>
    <w:rsid w:val="005B19F9"/>
    <w:rsid w:val="005B1D27"/>
    <w:rsid w:val="005B1E9B"/>
    <w:rsid w:val="005B2121"/>
    <w:rsid w:val="005B2EF9"/>
    <w:rsid w:val="005B353E"/>
    <w:rsid w:val="005B36FA"/>
    <w:rsid w:val="005B4274"/>
    <w:rsid w:val="005B43BD"/>
    <w:rsid w:val="005B498E"/>
    <w:rsid w:val="005B4BB3"/>
    <w:rsid w:val="005B4BBA"/>
    <w:rsid w:val="005B50DF"/>
    <w:rsid w:val="005B51CC"/>
    <w:rsid w:val="005B54F1"/>
    <w:rsid w:val="005B5586"/>
    <w:rsid w:val="005B62F4"/>
    <w:rsid w:val="005B63DC"/>
    <w:rsid w:val="005B68C6"/>
    <w:rsid w:val="005B6AFE"/>
    <w:rsid w:val="005B6EE1"/>
    <w:rsid w:val="005B6FB5"/>
    <w:rsid w:val="005B6FBD"/>
    <w:rsid w:val="005B7386"/>
    <w:rsid w:val="005B76EA"/>
    <w:rsid w:val="005C0112"/>
    <w:rsid w:val="005C02FD"/>
    <w:rsid w:val="005C0327"/>
    <w:rsid w:val="005C0374"/>
    <w:rsid w:val="005C08A0"/>
    <w:rsid w:val="005C0E01"/>
    <w:rsid w:val="005C0F34"/>
    <w:rsid w:val="005C13B3"/>
    <w:rsid w:val="005C13D4"/>
    <w:rsid w:val="005C1698"/>
    <w:rsid w:val="005C1B8B"/>
    <w:rsid w:val="005C1DFA"/>
    <w:rsid w:val="005C2E08"/>
    <w:rsid w:val="005C3052"/>
    <w:rsid w:val="005C3269"/>
    <w:rsid w:val="005C3414"/>
    <w:rsid w:val="005C3B33"/>
    <w:rsid w:val="005C423A"/>
    <w:rsid w:val="005C4510"/>
    <w:rsid w:val="005C48C6"/>
    <w:rsid w:val="005C48EE"/>
    <w:rsid w:val="005C4A65"/>
    <w:rsid w:val="005C4BC8"/>
    <w:rsid w:val="005C4C39"/>
    <w:rsid w:val="005C4C5D"/>
    <w:rsid w:val="005C4DF7"/>
    <w:rsid w:val="005C5629"/>
    <w:rsid w:val="005C596D"/>
    <w:rsid w:val="005C5B06"/>
    <w:rsid w:val="005C5BBD"/>
    <w:rsid w:val="005C5ECD"/>
    <w:rsid w:val="005C5F91"/>
    <w:rsid w:val="005C679F"/>
    <w:rsid w:val="005C67BD"/>
    <w:rsid w:val="005C6A82"/>
    <w:rsid w:val="005C6F5C"/>
    <w:rsid w:val="005C70B9"/>
    <w:rsid w:val="005C72B0"/>
    <w:rsid w:val="005C73F2"/>
    <w:rsid w:val="005C7CE5"/>
    <w:rsid w:val="005C7DA0"/>
    <w:rsid w:val="005D00FC"/>
    <w:rsid w:val="005D0123"/>
    <w:rsid w:val="005D01FB"/>
    <w:rsid w:val="005D03CC"/>
    <w:rsid w:val="005D0626"/>
    <w:rsid w:val="005D083A"/>
    <w:rsid w:val="005D089E"/>
    <w:rsid w:val="005D0B8C"/>
    <w:rsid w:val="005D0C39"/>
    <w:rsid w:val="005D0C87"/>
    <w:rsid w:val="005D0D3C"/>
    <w:rsid w:val="005D0EE1"/>
    <w:rsid w:val="005D1026"/>
    <w:rsid w:val="005D1884"/>
    <w:rsid w:val="005D1E20"/>
    <w:rsid w:val="005D1E90"/>
    <w:rsid w:val="005D221B"/>
    <w:rsid w:val="005D2725"/>
    <w:rsid w:val="005D2766"/>
    <w:rsid w:val="005D28A4"/>
    <w:rsid w:val="005D28D2"/>
    <w:rsid w:val="005D2935"/>
    <w:rsid w:val="005D2EF8"/>
    <w:rsid w:val="005D2F6C"/>
    <w:rsid w:val="005D3491"/>
    <w:rsid w:val="005D34C3"/>
    <w:rsid w:val="005D3DBE"/>
    <w:rsid w:val="005D3EC7"/>
    <w:rsid w:val="005D3EFA"/>
    <w:rsid w:val="005D460D"/>
    <w:rsid w:val="005D480D"/>
    <w:rsid w:val="005D5A9C"/>
    <w:rsid w:val="005D5F12"/>
    <w:rsid w:val="005D64B8"/>
    <w:rsid w:val="005D6B3A"/>
    <w:rsid w:val="005D6D34"/>
    <w:rsid w:val="005D6F2B"/>
    <w:rsid w:val="005D7109"/>
    <w:rsid w:val="005D7759"/>
    <w:rsid w:val="005D7FE1"/>
    <w:rsid w:val="005E04A3"/>
    <w:rsid w:val="005E0A8C"/>
    <w:rsid w:val="005E1214"/>
    <w:rsid w:val="005E16FA"/>
    <w:rsid w:val="005E20BE"/>
    <w:rsid w:val="005E2203"/>
    <w:rsid w:val="005E221A"/>
    <w:rsid w:val="005E2364"/>
    <w:rsid w:val="005E2C07"/>
    <w:rsid w:val="005E2E14"/>
    <w:rsid w:val="005E2EA2"/>
    <w:rsid w:val="005E2FA5"/>
    <w:rsid w:val="005E30F0"/>
    <w:rsid w:val="005E335C"/>
    <w:rsid w:val="005E337A"/>
    <w:rsid w:val="005E35E7"/>
    <w:rsid w:val="005E35E9"/>
    <w:rsid w:val="005E375B"/>
    <w:rsid w:val="005E415B"/>
    <w:rsid w:val="005E464C"/>
    <w:rsid w:val="005E47DC"/>
    <w:rsid w:val="005E4AD1"/>
    <w:rsid w:val="005E4B14"/>
    <w:rsid w:val="005E4B1F"/>
    <w:rsid w:val="005E4C12"/>
    <w:rsid w:val="005E4C19"/>
    <w:rsid w:val="005E4CDA"/>
    <w:rsid w:val="005E4ECA"/>
    <w:rsid w:val="005E53E3"/>
    <w:rsid w:val="005E55FB"/>
    <w:rsid w:val="005E59B0"/>
    <w:rsid w:val="005E5DC2"/>
    <w:rsid w:val="005E5DFE"/>
    <w:rsid w:val="005E64A9"/>
    <w:rsid w:val="005E67E9"/>
    <w:rsid w:val="005E69AB"/>
    <w:rsid w:val="005E6C55"/>
    <w:rsid w:val="005E6E7D"/>
    <w:rsid w:val="005E74F7"/>
    <w:rsid w:val="005E7F51"/>
    <w:rsid w:val="005F019C"/>
    <w:rsid w:val="005F01A5"/>
    <w:rsid w:val="005F076C"/>
    <w:rsid w:val="005F0968"/>
    <w:rsid w:val="005F0D5E"/>
    <w:rsid w:val="005F0E09"/>
    <w:rsid w:val="005F124B"/>
    <w:rsid w:val="005F180E"/>
    <w:rsid w:val="005F1E2D"/>
    <w:rsid w:val="005F20EF"/>
    <w:rsid w:val="005F231C"/>
    <w:rsid w:val="005F2913"/>
    <w:rsid w:val="005F2AC8"/>
    <w:rsid w:val="005F2EC6"/>
    <w:rsid w:val="005F3095"/>
    <w:rsid w:val="005F34B5"/>
    <w:rsid w:val="005F35EC"/>
    <w:rsid w:val="005F3BA1"/>
    <w:rsid w:val="005F3BD9"/>
    <w:rsid w:val="005F3EE4"/>
    <w:rsid w:val="005F44DB"/>
    <w:rsid w:val="005F492C"/>
    <w:rsid w:val="005F4FA0"/>
    <w:rsid w:val="005F4FE8"/>
    <w:rsid w:val="005F5671"/>
    <w:rsid w:val="005F5D1A"/>
    <w:rsid w:val="005F5DD7"/>
    <w:rsid w:val="005F5FCA"/>
    <w:rsid w:val="005F6048"/>
    <w:rsid w:val="005F60D5"/>
    <w:rsid w:val="005F656E"/>
    <w:rsid w:val="005F6611"/>
    <w:rsid w:val="005F6789"/>
    <w:rsid w:val="005F67F7"/>
    <w:rsid w:val="005F6B45"/>
    <w:rsid w:val="005F6D4E"/>
    <w:rsid w:val="005F6DD6"/>
    <w:rsid w:val="005F7266"/>
    <w:rsid w:val="005F7512"/>
    <w:rsid w:val="005F77C4"/>
    <w:rsid w:val="005F7F2B"/>
    <w:rsid w:val="005F7F41"/>
    <w:rsid w:val="006002F5"/>
    <w:rsid w:val="00600304"/>
    <w:rsid w:val="00600943"/>
    <w:rsid w:val="00600E83"/>
    <w:rsid w:val="00600F03"/>
    <w:rsid w:val="006012EB"/>
    <w:rsid w:val="00601559"/>
    <w:rsid w:val="006015DD"/>
    <w:rsid w:val="00601754"/>
    <w:rsid w:val="00601EDD"/>
    <w:rsid w:val="00601FEF"/>
    <w:rsid w:val="006024D8"/>
    <w:rsid w:val="006024DA"/>
    <w:rsid w:val="00602628"/>
    <w:rsid w:val="00602650"/>
    <w:rsid w:val="006028A9"/>
    <w:rsid w:val="00602C78"/>
    <w:rsid w:val="0060319E"/>
    <w:rsid w:val="00603D33"/>
    <w:rsid w:val="00603E36"/>
    <w:rsid w:val="006044EC"/>
    <w:rsid w:val="006046FC"/>
    <w:rsid w:val="00604C12"/>
    <w:rsid w:val="006055AE"/>
    <w:rsid w:val="0060565F"/>
    <w:rsid w:val="00605AD8"/>
    <w:rsid w:val="00605B7C"/>
    <w:rsid w:val="00605C6F"/>
    <w:rsid w:val="00606556"/>
    <w:rsid w:val="00606713"/>
    <w:rsid w:val="00606A15"/>
    <w:rsid w:val="00607018"/>
    <w:rsid w:val="006070C2"/>
    <w:rsid w:val="00607346"/>
    <w:rsid w:val="006077B4"/>
    <w:rsid w:val="00607ADC"/>
    <w:rsid w:val="00610A0A"/>
    <w:rsid w:val="00610D9B"/>
    <w:rsid w:val="00610E6C"/>
    <w:rsid w:val="00610FB6"/>
    <w:rsid w:val="0061136F"/>
    <w:rsid w:val="00611892"/>
    <w:rsid w:val="006119B3"/>
    <w:rsid w:val="00611A88"/>
    <w:rsid w:val="00611E13"/>
    <w:rsid w:val="00611EFA"/>
    <w:rsid w:val="00612024"/>
    <w:rsid w:val="0061241C"/>
    <w:rsid w:val="00612513"/>
    <w:rsid w:val="006127FD"/>
    <w:rsid w:val="006129D1"/>
    <w:rsid w:val="00612D07"/>
    <w:rsid w:val="00612D7D"/>
    <w:rsid w:val="00612E86"/>
    <w:rsid w:val="0061306E"/>
    <w:rsid w:val="00613E1D"/>
    <w:rsid w:val="00613E9D"/>
    <w:rsid w:val="00613EA6"/>
    <w:rsid w:val="0061401C"/>
    <w:rsid w:val="006140CA"/>
    <w:rsid w:val="00614124"/>
    <w:rsid w:val="006141D3"/>
    <w:rsid w:val="006145EC"/>
    <w:rsid w:val="0061466F"/>
    <w:rsid w:val="00614683"/>
    <w:rsid w:val="006149B1"/>
    <w:rsid w:val="00614A84"/>
    <w:rsid w:val="00614CA9"/>
    <w:rsid w:val="0061523D"/>
    <w:rsid w:val="00615405"/>
    <w:rsid w:val="006154F8"/>
    <w:rsid w:val="00615649"/>
    <w:rsid w:val="006159C4"/>
    <w:rsid w:val="00616965"/>
    <w:rsid w:val="00616ADD"/>
    <w:rsid w:val="00616D0E"/>
    <w:rsid w:val="00616E65"/>
    <w:rsid w:val="0061747C"/>
    <w:rsid w:val="006174DE"/>
    <w:rsid w:val="0061758C"/>
    <w:rsid w:val="006200A8"/>
    <w:rsid w:val="006200C6"/>
    <w:rsid w:val="0062010A"/>
    <w:rsid w:val="0062017E"/>
    <w:rsid w:val="0062026C"/>
    <w:rsid w:val="0062079E"/>
    <w:rsid w:val="00620B03"/>
    <w:rsid w:val="00620BC1"/>
    <w:rsid w:val="006213A0"/>
    <w:rsid w:val="006214FC"/>
    <w:rsid w:val="00621629"/>
    <w:rsid w:val="00621870"/>
    <w:rsid w:val="00621D67"/>
    <w:rsid w:val="00621D96"/>
    <w:rsid w:val="00621D9C"/>
    <w:rsid w:val="00621EA3"/>
    <w:rsid w:val="00621EC8"/>
    <w:rsid w:val="00621FBE"/>
    <w:rsid w:val="00622644"/>
    <w:rsid w:val="00622B59"/>
    <w:rsid w:val="00623072"/>
    <w:rsid w:val="00623A8C"/>
    <w:rsid w:val="0062475C"/>
    <w:rsid w:val="00624B58"/>
    <w:rsid w:val="00624FA4"/>
    <w:rsid w:val="0062516D"/>
    <w:rsid w:val="00625704"/>
    <w:rsid w:val="00625831"/>
    <w:rsid w:val="0062637D"/>
    <w:rsid w:val="00626CE4"/>
    <w:rsid w:val="00627479"/>
    <w:rsid w:val="00630038"/>
    <w:rsid w:val="00630065"/>
    <w:rsid w:val="00630421"/>
    <w:rsid w:val="006304C4"/>
    <w:rsid w:val="00630B20"/>
    <w:rsid w:val="006315FC"/>
    <w:rsid w:val="0063195A"/>
    <w:rsid w:val="00632068"/>
    <w:rsid w:val="006326B1"/>
    <w:rsid w:val="0063271A"/>
    <w:rsid w:val="006328C1"/>
    <w:rsid w:val="006328D5"/>
    <w:rsid w:val="0063313A"/>
    <w:rsid w:val="006333C7"/>
    <w:rsid w:val="006335E5"/>
    <w:rsid w:val="0063363B"/>
    <w:rsid w:val="00633A2E"/>
    <w:rsid w:val="00633CC8"/>
    <w:rsid w:val="00634369"/>
    <w:rsid w:val="006344D8"/>
    <w:rsid w:val="0063484E"/>
    <w:rsid w:val="006351A1"/>
    <w:rsid w:val="0063564D"/>
    <w:rsid w:val="00635AB8"/>
    <w:rsid w:val="00635E96"/>
    <w:rsid w:val="00637211"/>
    <w:rsid w:val="006374D6"/>
    <w:rsid w:val="00637889"/>
    <w:rsid w:val="00637BB1"/>
    <w:rsid w:val="00640153"/>
    <w:rsid w:val="006401F8"/>
    <w:rsid w:val="006405FC"/>
    <w:rsid w:val="0064079E"/>
    <w:rsid w:val="00640ACC"/>
    <w:rsid w:val="00640E2D"/>
    <w:rsid w:val="0064127C"/>
    <w:rsid w:val="006413FD"/>
    <w:rsid w:val="006420C1"/>
    <w:rsid w:val="00642D43"/>
    <w:rsid w:val="00642DAA"/>
    <w:rsid w:val="00642EFA"/>
    <w:rsid w:val="006430CC"/>
    <w:rsid w:val="00643150"/>
    <w:rsid w:val="00643B84"/>
    <w:rsid w:val="00643FCA"/>
    <w:rsid w:val="00644032"/>
    <w:rsid w:val="006443AD"/>
    <w:rsid w:val="006444EB"/>
    <w:rsid w:val="0064458B"/>
    <w:rsid w:val="006445BB"/>
    <w:rsid w:val="00644A0F"/>
    <w:rsid w:val="00644C03"/>
    <w:rsid w:val="00644CEB"/>
    <w:rsid w:val="00644E57"/>
    <w:rsid w:val="0064502A"/>
    <w:rsid w:val="00645406"/>
    <w:rsid w:val="00645770"/>
    <w:rsid w:val="006457AF"/>
    <w:rsid w:val="0064591A"/>
    <w:rsid w:val="006459FC"/>
    <w:rsid w:val="00645A7E"/>
    <w:rsid w:val="00645AE9"/>
    <w:rsid w:val="00645CCC"/>
    <w:rsid w:val="00645CF2"/>
    <w:rsid w:val="00645D95"/>
    <w:rsid w:val="00645FA0"/>
    <w:rsid w:val="00646474"/>
    <w:rsid w:val="00646E10"/>
    <w:rsid w:val="006470B0"/>
    <w:rsid w:val="006470F1"/>
    <w:rsid w:val="006478FE"/>
    <w:rsid w:val="00647968"/>
    <w:rsid w:val="00647995"/>
    <w:rsid w:val="00647FB4"/>
    <w:rsid w:val="006501AC"/>
    <w:rsid w:val="006502DF"/>
    <w:rsid w:val="006502F6"/>
    <w:rsid w:val="00650AD7"/>
    <w:rsid w:val="00650C53"/>
    <w:rsid w:val="006512AA"/>
    <w:rsid w:val="006513D0"/>
    <w:rsid w:val="00651654"/>
    <w:rsid w:val="00651D44"/>
    <w:rsid w:val="00651E44"/>
    <w:rsid w:val="006521D8"/>
    <w:rsid w:val="006525ED"/>
    <w:rsid w:val="0065265E"/>
    <w:rsid w:val="0065266A"/>
    <w:rsid w:val="00652BD1"/>
    <w:rsid w:val="00652D7D"/>
    <w:rsid w:val="006532BA"/>
    <w:rsid w:val="00653EDA"/>
    <w:rsid w:val="006544A7"/>
    <w:rsid w:val="006547DC"/>
    <w:rsid w:val="00654816"/>
    <w:rsid w:val="00654A7D"/>
    <w:rsid w:val="00654ACA"/>
    <w:rsid w:val="00655261"/>
    <w:rsid w:val="00655E4D"/>
    <w:rsid w:val="00655FE9"/>
    <w:rsid w:val="00656047"/>
    <w:rsid w:val="00656118"/>
    <w:rsid w:val="00656395"/>
    <w:rsid w:val="00656D17"/>
    <w:rsid w:val="00656EFB"/>
    <w:rsid w:val="00657864"/>
    <w:rsid w:val="006578C8"/>
    <w:rsid w:val="006579FC"/>
    <w:rsid w:val="00660CF8"/>
    <w:rsid w:val="00661304"/>
    <w:rsid w:val="00661379"/>
    <w:rsid w:val="006617E1"/>
    <w:rsid w:val="00661CFA"/>
    <w:rsid w:val="0066229B"/>
    <w:rsid w:val="006623D5"/>
    <w:rsid w:val="0066247A"/>
    <w:rsid w:val="00662771"/>
    <w:rsid w:val="0066291A"/>
    <w:rsid w:val="00662B75"/>
    <w:rsid w:val="0066331B"/>
    <w:rsid w:val="006635D9"/>
    <w:rsid w:val="00663A6A"/>
    <w:rsid w:val="00663C8C"/>
    <w:rsid w:val="00663D68"/>
    <w:rsid w:val="00663E37"/>
    <w:rsid w:val="00663F88"/>
    <w:rsid w:val="00664093"/>
    <w:rsid w:val="00664171"/>
    <w:rsid w:val="006643BC"/>
    <w:rsid w:val="0066466A"/>
    <w:rsid w:val="0066468D"/>
    <w:rsid w:val="00664741"/>
    <w:rsid w:val="00664E57"/>
    <w:rsid w:val="006653ED"/>
    <w:rsid w:val="00665CB8"/>
    <w:rsid w:val="00666269"/>
    <w:rsid w:val="0066655C"/>
    <w:rsid w:val="00666764"/>
    <w:rsid w:val="0066685D"/>
    <w:rsid w:val="00666FD4"/>
    <w:rsid w:val="0066734A"/>
    <w:rsid w:val="00667373"/>
    <w:rsid w:val="00667F22"/>
    <w:rsid w:val="00670007"/>
    <w:rsid w:val="00670072"/>
    <w:rsid w:val="006701B7"/>
    <w:rsid w:val="006701CA"/>
    <w:rsid w:val="006710A8"/>
    <w:rsid w:val="00671584"/>
    <w:rsid w:val="006727FE"/>
    <w:rsid w:val="00672972"/>
    <w:rsid w:val="0067298C"/>
    <w:rsid w:val="00672A52"/>
    <w:rsid w:val="00672CA0"/>
    <w:rsid w:val="00672CFD"/>
    <w:rsid w:val="00672F75"/>
    <w:rsid w:val="00672FD6"/>
    <w:rsid w:val="00672FEC"/>
    <w:rsid w:val="00673378"/>
    <w:rsid w:val="006736B4"/>
    <w:rsid w:val="0067394D"/>
    <w:rsid w:val="00673ADC"/>
    <w:rsid w:val="00673BF7"/>
    <w:rsid w:val="00674021"/>
    <w:rsid w:val="0067426D"/>
    <w:rsid w:val="006747A6"/>
    <w:rsid w:val="00674B24"/>
    <w:rsid w:val="00675009"/>
    <w:rsid w:val="00675346"/>
    <w:rsid w:val="006754E4"/>
    <w:rsid w:val="00675548"/>
    <w:rsid w:val="0067563A"/>
    <w:rsid w:val="0067584A"/>
    <w:rsid w:val="006764BE"/>
    <w:rsid w:val="00676646"/>
    <w:rsid w:val="00676858"/>
    <w:rsid w:val="0067688D"/>
    <w:rsid w:val="00676D69"/>
    <w:rsid w:val="00677766"/>
    <w:rsid w:val="00677773"/>
    <w:rsid w:val="0067778C"/>
    <w:rsid w:val="0067787E"/>
    <w:rsid w:val="00677906"/>
    <w:rsid w:val="00677F83"/>
    <w:rsid w:val="006802C1"/>
    <w:rsid w:val="006808BD"/>
    <w:rsid w:val="006808BF"/>
    <w:rsid w:val="00680C01"/>
    <w:rsid w:val="00680DF1"/>
    <w:rsid w:val="00681116"/>
    <w:rsid w:val="006813EA"/>
    <w:rsid w:val="006815C5"/>
    <w:rsid w:val="00681917"/>
    <w:rsid w:val="0068191D"/>
    <w:rsid w:val="00681C40"/>
    <w:rsid w:val="00681D66"/>
    <w:rsid w:val="00681DE7"/>
    <w:rsid w:val="00681DEF"/>
    <w:rsid w:val="006824CD"/>
    <w:rsid w:val="0068265D"/>
    <w:rsid w:val="006827D7"/>
    <w:rsid w:val="00682E9E"/>
    <w:rsid w:val="00683C71"/>
    <w:rsid w:val="00683D10"/>
    <w:rsid w:val="00683DF2"/>
    <w:rsid w:val="00683EBD"/>
    <w:rsid w:val="00684553"/>
    <w:rsid w:val="0068458E"/>
    <w:rsid w:val="006847E1"/>
    <w:rsid w:val="00684AC0"/>
    <w:rsid w:val="00684B9C"/>
    <w:rsid w:val="00684DB5"/>
    <w:rsid w:val="00685153"/>
    <w:rsid w:val="00685CBF"/>
    <w:rsid w:val="006867D7"/>
    <w:rsid w:val="00686949"/>
    <w:rsid w:val="00686AC6"/>
    <w:rsid w:val="00686DE7"/>
    <w:rsid w:val="0068728E"/>
    <w:rsid w:val="006872B7"/>
    <w:rsid w:val="0069000C"/>
    <w:rsid w:val="0069004B"/>
    <w:rsid w:val="0069023B"/>
    <w:rsid w:val="0069054F"/>
    <w:rsid w:val="00690585"/>
    <w:rsid w:val="00691327"/>
    <w:rsid w:val="00691661"/>
    <w:rsid w:val="00691743"/>
    <w:rsid w:val="00691907"/>
    <w:rsid w:val="00691C4C"/>
    <w:rsid w:val="00692056"/>
    <w:rsid w:val="00692190"/>
    <w:rsid w:val="0069221B"/>
    <w:rsid w:val="00692932"/>
    <w:rsid w:val="00692EB6"/>
    <w:rsid w:val="006934F0"/>
    <w:rsid w:val="006935E6"/>
    <w:rsid w:val="00693D5C"/>
    <w:rsid w:val="00693E9A"/>
    <w:rsid w:val="00693F66"/>
    <w:rsid w:val="00694D80"/>
    <w:rsid w:val="00694FF4"/>
    <w:rsid w:val="0069516C"/>
    <w:rsid w:val="006951EF"/>
    <w:rsid w:val="00695200"/>
    <w:rsid w:val="0069534E"/>
    <w:rsid w:val="00695A06"/>
    <w:rsid w:val="00695BDA"/>
    <w:rsid w:val="00695E01"/>
    <w:rsid w:val="006962A3"/>
    <w:rsid w:val="006962B2"/>
    <w:rsid w:val="006966B7"/>
    <w:rsid w:val="00696917"/>
    <w:rsid w:val="00696A90"/>
    <w:rsid w:val="00696C71"/>
    <w:rsid w:val="00697665"/>
    <w:rsid w:val="006977A4"/>
    <w:rsid w:val="006978B3"/>
    <w:rsid w:val="00697B56"/>
    <w:rsid w:val="00697D77"/>
    <w:rsid w:val="006A05FD"/>
    <w:rsid w:val="006A063A"/>
    <w:rsid w:val="006A0691"/>
    <w:rsid w:val="006A06E8"/>
    <w:rsid w:val="006A0BE9"/>
    <w:rsid w:val="006A0CD6"/>
    <w:rsid w:val="006A0D56"/>
    <w:rsid w:val="006A1882"/>
    <w:rsid w:val="006A19AF"/>
    <w:rsid w:val="006A1F0C"/>
    <w:rsid w:val="006A24C9"/>
    <w:rsid w:val="006A252D"/>
    <w:rsid w:val="006A2923"/>
    <w:rsid w:val="006A2BCD"/>
    <w:rsid w:val="006A2F11"/>
    <w:rsid w:val="006A3281"/>
    <w:rsid w:val="006A3788"/>
    <w:rsid w:val="006A3BD3"/>
    <w:rsid w:val="006A4569"/>
    <w:rsid w:val="006A48E3"/>
    <w:rsid w:val="006A4E66"/>
    <w:rsid w:val="006A4EEF"/>
    <w:rsid w:val="006A52AC"/>
    <w:rsid w:val="006A5554"/>
    <w:rsid w:val="006A570D"/>
    <w:rsid w:val="006A6179"/>
    <w:rsid w:val="006A6417"/>
    <w:rsid w:val="006A65B7"/>
    <w:rsid w:val="006A68AA"/>
    <w:rsid w:val="006A6B45"/>
    <w:rsid w:val="006A730F"/>
    <w:rsid w:val="006A751D"/>
    <w:rsid w:val="006A7B90"/>
    <w:rsid w:val="006A7DC1"/>
    <w:rsid w:val="006A7E63"/>
    <w:rsid w:val="006A7F21"/>
    <w:rsid w:val="006B056E"/>
    <w:rsid w:val="006B0959"/>
    <w:rsid w:val="006B0CF7"/>
    <w:rsid w:val="006B140E"/>
    <w:rsid w:val="006B1827"/>
    <w:rsid w:val="006B1B51"/>
    <w:rsid w:val="006B1B70"/>
    <w:rsid w:val="006B1BAC"/>
    <w:rsid w:val="006B1D90"/>
    <w:rsid w:val="006B3145"/>
    <w:rsid w:val="006B3183"/>
    <w:rsid w:val="006B32F1"/>
    <w:rsid w:val="006B34D2"/>
    <w:rsid w:val="006B38E5"/>
    <w:rsid w:val="006B38FC"/>
    <w:rsid w:val="006B3C9B"/>
    <w:rsid w:val="006B4125"/>
    <w:rsid w:val="006B433B"/>
    <w:rsid w:val="006B4A25"/>
    <w:rsid w:val="006B4AA4"/>
    <w:rsid w:val="006B4B77"/>
    <w:rsid w:val="006B525E"/>
    <w:rsid w:val="006B566E"/>
    <w:rsid w:val="006B56A9"/>
    <w:rsid w:val="006B58CB"/>
    <w:rsid w:val="006B5A3C"/>
    <w:rsid w:val="006B5CB5"/>
    <w:rsid w:val="006B6145"/>
    <w:rsid w:val="006B641B"/>
    <w:rsid w:val="006B6433"/>
    <w:rsid w:val="006B6C18"/>
    <w:rsid w:val="006B6DC3"/>
    <w:rsid w:val="006B7385"/>
    <w:rsid w:val="006B7C07"/>
    <w:rsid w:val="006C09A6"/>
    <w:rsid w:val="006C0CA9"/>
    <w:rsid w:val="006C0CB6"/>
    <w:rsid w:val="006C0E7C"/>
    <w:rsid w:val="006C0FCA"/>
    <w:rsid w:val="006C1093"/>
    <w:rsid w:val="006C1094"/>
    <w:rsid w:val="006C1125"/>
    <w:rsid w:val="006C13AD"/>
    <w:rsid w:val="006C13E3"/>
    <w:rsid w:val="006C1D66"/>
    <w:rsid w:val="006C1D80"/>
    <w:rsid w:val="006C1F28"/>
    <w:rsid w:val="006C2337"/>
    <w:rsid w:val="006C2A5E"/>
    <w:rsid w:val="006C2B55"/>
    <w:rsid w:val="006C2D03"/>
    <w:rsid w:val="006C3251"/>
    <w:rsid w:val="006C32F8"/>
    <w:rsid w:val="006C396C"/>
    <w:rsid w:val="006C3D5F"/>
    <w:rsid w:val="006C3E0B"/>
    <w:rsid w:val="006C4560"/>
    <w:rsid w:val="006C4ABC"/>
    <w:rsid w:val="006C4D65"/>
    <w:rsid w:val="006C503C"/>
    <w:rsid w:val="006C5362"/>
    <w:rsid w:val="006C56B9"/>
    <w:rsid w:val="006C5797"/>
    <w:rsid w:val="006C59C9"/>
    <w:rsid w:val="006C5A41"/>
    <w:rsid w:val="006C5A75"/>
    <w:rsid w:val="006C60A1"/>
    <w:rsid w:val="006C619E"/>
    <w:rsid w:val="006C659D"/>
    <w:rsid w:val="006C6BCB"/>
    <w:rsid w:val="006C6D36"/>
    <w:rsid w:val="006C7B72"/>
    <w:rsid w:val="006C7E55"/>
    <w:rsid w:val="006D0050"/>
    <w:rsid w:val="006D0130"/>
    <w:rsid w:val="006D016B"/>
    <w:rsid w:val="006D05B2"/>
    <w:rsid w:val="006D0C68"/>
    <w:rsid w:val="006D112C"/>
    <w:rsid w:val="006D1311"/>
    <w:rsid w:val="006D1466"/>
    <w:rsid w:val="006D159A"/>
    <w:rsid w:val="006D1922"/>
    <w:rsid w:val="006D1C9E"/>
    <w:rsid w:val="006D2346"/>
    <w:rsid w:val="006D2635"/>
    <w:rsid w:val="006D2B05"/>
    <w:rsid w:val="006D3B18"/>
    <w:rsid w:val="006D40CA"/>
    <w:rsid w:val="006D435A"/>
    <w:rsid w:val="006D4A91"/>
    <w:rsid w:val="006D4C83"/>
    <w:rsid w:val="006D4CC0"/>
    <w:rsid w:val="006D4E57"/>
    <w:rsid w:val="006D5D01"/>
    <w:rsid w:val="006D5E5A"/>
    <w:rsid w:val="006D6466"/>
    <w:rsid w:val="006D64EF"/>
    <w:rsid w:val="006D67AE"/>
    <w:rsid w:val="006D68F5"/>
    <w:rsid w:val="006D6AD6"/>
    <w:rsid w:val="006D6B7F"/>
    <w:rsid w:val="006D6BEA"/>
    <w:rsid w:val="006D6C9D"/>
    <w:rsid w:val="006D6D8E"/>
    <w:rsid w:val="006D6FB0"/>
    <w:rsid w:val="006D7553"/>
    <w:rsid w:val="006D7A12"/>
    <w:rsid w:val="006D7E84"/>
    <w:rsid w:val="006E0574"/>
    <w:rsid w:val="006E074D"/>
    <w:rsid w:val="006E0786"/>
    <w:rsid w:val="006E083C"/>
    <w:rsid w:val="006E08FD"/>
    <w:rsid w:val="006E096D"/>
    <w:rsid w:val="006E0F2F"/>
    <w:rsid w:val="006E13B2"/>
    <w:rsid w:val="006E1487"/>
    <w:rsid w:val="006E1E31"/>
    <w:rsid w:val="006E1F9D"/>
    <w:rsid w:val="006E2970"/>
    <w:rsid w:val="006E2BB7"/>
    <w:rsid w:val="006E2BF8"/>
    <w:rsid w:val="006E2D0E"/>
    <w:rsid w:val="006E3395"/>
    <w:rsid w:val="006E35D6"/>
    <w:rsid w:val="006E3811"/>
    <w:rsid w:val="006E3982"/>
    <w:rsid w:val="006E3B33"/>
    <w:rsid w:val="006E3EC0"/>
    <w:rsid w:val="006E3F81"/>
    <w:rsid w:val="006E467C"/>
    <w:rsid w:val="006E4E91"/>
    <w:rsid w:val="006E5F08"/>
    <w:rsid w:val="006E671A"/>
    <w:rsid w:val="006E67C9"/>
    <w:rsid w:val="006E6903"/>
    <w:rsid w:val="006E7015"/>
    <w:rsid w:val="006E71BB"/>
    <w:rsid w:val="006E7439"/>
    <w:rsid w:val="006E75BA"/>
    <w:rsid w:val="006E777D"/>
    <w:rsid w:val="006E79FC"/>
    <w:rsid w:val="006E7A29"/>
    <w:rsid w:val="006F0014"/>
    <w:rsid w:val="006F00C2"/>
    <w:rsid w:val="006F0410"/>
    <w:rsid w:val="006F0560"/>
    <w:rsid w:val="006F05E8"/>
    <w:rsid w:val="006F09B3"/>
    <w:rsid w:val="006F0E1F"/>
    <w:rsid w:val="006F0F5F"/>
    <w:rsid w:val="006F103B"/>
    <w:rsid w:val="006F1129"/>
    <w:rsid w:val="006F11DE"/>
    <w:rsid w:val="006F1D6A"/>
    <w:rsid w:val="006F21AE"/>
    <w:rsid w:val="006F2D08"/>
    <w:rsid w:val="006F3597"/>
    <w:rsid w:val="006F3AE7"/>
    <w:rsid w:val="006F3B36"/>
    <w:rsid w:val="006F3DDE"/>
    <w:rsid w:val="006F3DF4"/>
    <w:rsid w:val="006F4149"/>
    <w:rsid w:val="006F4253"/>
    <w:rsid w:val="006F5017"/>
    <w:rsid w:val="006F5A6D"/>
    <w:rsid w:val="006F5A72"/>
    <w:rsid w:val="006F5B37"/>
    <w:rsid w:val="006F5C7E"/>
    <w:rsid w:val="006F612D"/>
    <w:rsid w:val="006F62E8"/>
    <w:rsid w:val="006F63D4"/>
    <w:rsid w:val="006F66EE"/>
    <w:rsid w:val="006F6842"/>
    <w:rsid w:val="006F76E0"/>
    <w:rsid w:val="006F79FD"/>
    <w:rsid w:val="006F7FE8"/>
    <w:rsid w:val="007004A0"/>
    <w:rsid w:val="007008C5"/>
    <w:rsid w:val="00700D36"/>
    <w:rsid w:val="00701B40"/>
    <w:rsid w:val="007020BC"/>
    <w:rsid w:val="00702341"/>
    <w:rsid w:val="00702926"/>
    <w:rsid w:val="00702EFE"/>
    <w:rsid w:val="00702F54"/>
    <w:rsid w:val="00703092"/>
    <w:rsid w:val="007032DF"/>
    <w:rsid w:val="00703510"/>
    <w:rsid w:val="00703665"/>
    <w:rsid w:val="00703C8B"/>
    <w:rsid w:val="007040AA"/>
    <w:rsid w:val="0070425A"/>
    <w:rsid w:val="00704335"/>
    <w:rsid w:val="00704351"/>
    <w:rsid w:val="007044A4"/>
    <w:rsid w:val="00704C23"/>
    <w:rsid w:val="00704C32"/>
    <w:rsid w:val="00704FB1"/>
    <w:rsid w:val="0070505E"/>
    <w:rsid w:val="00705375"/>
    <w:rsid w:val="0070595D"/>
    <w:rsid w:val="00705AF5"/>
    <w:rsid w:val="00705BEF"/>
    <w:rsid w:val="00705E19"/>
    <w:rsid w:val="007066DC"/>
    <w:rsid w:val="00706D24"/>
    <w:rsid w:val="00707202"/>
    <w:rsid w:val="00707F23"/>
    <w:rsid w:val="00707F9C"/>
    <w:rsid w:val="00710304"/>
    <w:rsid w:val="007105DF"/>
    <w:rsid w:val="00710680"/>
    <w:rsid w:val="007106C0"/>
    <w:rsid w:val="00710944"/>
    <w:rsid w:val="007109D0"/>
    <w:rsid w:val="00710BB5"/>
    <w:rsid w:val="00710BD0"/>
    <w:rsid w:val="00710C55"/>
    <w:rsid w:val="00710C5B"/>
    <w:rsid w:val="00710FC6"/>
    <w:rsid w:val="007113C3"/>
    <w:rsid w:val="007115F5"/>
    <w:rsid w:val="00711A98"/>
    <w:rsid w:val="00711E40"/>
    <w:rsid w:val="00712263"/>
    <w:rsid w:val="007125A9"/>
    <w:rsid w:val="0071273A"/>
    <w:rsid w:val="00712A5C"/>
    <w:rsid w:val="00713222"/>
    <w:rsid w:val="007138FC"/>
    <w:rsid w:val="00713A8D"/>
    <w:rsid w:val="00713F10"/>
    <w:rsid w:val="00713FBF"/>
    <w:rsid w:val="0071437F"/>
    <w:rsid w:val="0071480D"/>
    <w:rsid w:val="00714822"/>
    <w:rsid w:val="0071484A"/>
    <w:rsid w:val="00714A66"/>
    <w:rsid w:val="00714BA2"/>
    <w:rsid w:val="00715661"/>
    <w:rsid w:val="00715C6C"/>
    <w:rsid w:val="00715F56"/>
    <w:rsid w:val="0071652D"/>
    <w:rsid w:val="007165AF"/>
    <w:rsid w:val="0071665E"/>
    <w:rsid w:val="00716B2A"/>
    <w:rsid w:val="00716FBB"/>
    <w:rsid w:val="007172D6"/>
    <w:rsid w:val="00717602"/>
    <w:rsid w:val="00717712"/>
    <w:rsid w:val="007177BF"/>
    <w:rsid w:val="00717E9D"/>
    <w:rsid w:val="00717F28"/>
    <w:rsid w:val="007202A5"/>
    <w:rsid w:val="00720731"/>
    <w:rsid w:val="00720A19"/>
    <w:rsid w:val="00720E5B"/>
    <w:rsid w:val="0072120F"/>
    <w:rsid w:val="0072141E"/>
    <w:rsid w:val="00721E51"/>
    <w:rsid w:val="00723056"/>
    <w:rsid w:val="00723871"/>
    <w:rsid w:val="00723CB5"/>
    <w:rsid w:val="00723D7E"/>
    <w:rsid w:val="00723D90"/>
    <w:rsid w:val="0072439F"/>
    <w:rsid w:val="00724D13"/>
    <w:rsid w:val="00724F1D"/>
    <w:rsid w:val="0072503E"/>
    <w:rsid w:val="00725459"/>
    <w:rsid w:val="00725C41"/>
    <w:rsid w:val="00725DE3"/>
    <w:rsid w:val="00726512"/>
    <w:rsid w:val="007265C1"/>
    <w:rsid w:val="0072712B"/>
    <w:rsid w:val="00727E5B"/>
    <w:rsid w:val="00730982"/>
    <w:rsid w:val="00730990"/>
    <w:rsid w:val="00730B33"/>
    <w:rsid w:val="00730DC3"/>
    <w:rsid w:val="00730F2A"/>
    <w:rsid w:val="007311B7"/>
    <w:rsid w:val="00731569"/>
    <w:rsid w:val="00731A36"/>
    <w:rsid w:val="00731FD4"/>
    <w:rsid w:val="007325D6"/>
    <w:rsid w:val="0073281C"/>
    <w:rsid w:val="007328C7"/>
    <w:rsid w:val="007333BF"/>
    <w:rsid w:val="00733522"/>
    <w:rsid w:val="00733746"/>
    <w:rsid w:val="007338C4"/>
    <w:rsid w:val="00733B4B"/>
    <w:rsid w:val="00734120"/>
    <w:rsid w:val="007343F1"/>
    <w:rsid w:val="007344B2"/>
    <w:rsid w:val="0073471C"/>
    <w:rsid w:val="00734A30"/>
    <w:rsid w:val="00734E14"/>
    <w:rsid w:val="00735045"/>
    <w:rsid w:val="0073543B"/>
    <w:rsid w:val="007355DC"/>
    <w:rsid w:val="00735F60"/>
    <w:rsid w:val="0073616A"/>
    <w:rsid w:val="007362CF"/>
    <w:rsid w:val="007365DB"/>
    <w:rsid w:val="0073680D"/>
    <w:rsid w:val="00736878"/>
    <w:rsid w:val="00736977"/>
    <w:rsid w:val="00736EAF"/>
    <w:rsid w:val="0073715A"/>
    <w:rsid w:val="00737953"/>
    <w:rsid w:val="00737986"/>
    <w:rsid w:val="00737B17"/>
    <w:rsid w:val="00737F08"/>
    <w:rsid w:val="00740125"/>
    <w:rsid w:val="0074020A"/>
    <w:rsid w:val="007402D8"/>
    <w:rsid w:val="0074046A"/>
    <w:rsid w:val="00740AD2"/>
    <w:rsid w:val="00740CB1"/>
    <w:rsid w:val="00740E05"/>
    <w:rsid w:val="007412BD"/>
    <w:rsid w:val="007419FC"/>
    <w:rsid w:val="00741C88"/>
    <w:rsid w:val="0074246C"/>
    <w:rsid w:val="007425FA"/>
    <w:rsid w:val="00742F5B"/>
    <w:rsid w:val="0074337B"/>
    <w:rsid w:val="007438CB"/>
    <w:rsid w:val="00744283"/>
    <w:rsid w:val="0074452E"/>
    <w:rsid w:val="0074458A"/>
    <w:rsid w:val="007447CA"/>
    <w:rsid w:val="007449D1"/>
    <w:rsid w:val="00744AE9"/>
    <w:rsid w:val="00744C48"/>
    <w:rsid w:val="00744F05"/>
    <w:rsid w:val="00744F41"/>
    <w:rsid w:val="007452F3"/>
    <w:rsid w:val="00745342"/>
    <w:rsid w:val="00745376"/>
    <w:rsid w:val="00745485"/>
    <w:rsid w:val="00745730"/>
    <w:rsid w:val="00745831"/>
    <w:rsid w:val="0074588A"/>
    <w:rsid w:val="00745C54"/>
    <w:rsid w:val="00745D40"/>
    <w:rsid w:val="00745D69"/>
    <w:rsid w:val="00745E80"/>
    <w:rsid w:val="00747161"/>
    <w:rsid w:val="00747D5F"/>
    <w:rsid w:val="0075030A"/>
    <w:rsid w:val="00750717"/>
    <w:rsid w:val="0075081F"/>
    <w:rsid w:val="007508B7"/>
    <w:rsid w:val="00750CEA"/>
    <w:rsid w:val="00750D8E"/>
    <w:rsid w:val="00751496"/>
    <w:rsid w:val="007515AE"/>
    <w:rsid w:val="00751B5F"/>
    <w:rsid w:val="00751BD9"/>
    <w:rsid w:val="00751C50"/>
    <w:rsid w:val="00751E67"/>
    <w:rsid w:val="00751EE2"/>
    <w:rsid w:val="00752294"/>
    <w:rsid w:val="00752561"/>
    <w:rsid w:val="007525E8"/>
    <w:rsid w:val="007526F3"/>
    <w:rsid w:val="00752859"/>
    <w:rsid w:val="00752A00"/>
    <w:rsid w:val="00752D13"/>
    <w:rsid w:val="00752F73"/>
    <w:rsid w:val="00752FC2"/>
    <w:rsid w:val="007531CE"/>
    <w:rsid w:val="0075331D"/>
    <w:rsid w:val="0075367A"/>
    <w:rsid w:val="007538A9"/>
    <w:rsid w:val="00753EB1"/>
    <w:rsid w:val="007545D6"/>
    <w:rsid w:val="007549E4"/>
    <w:rsid w:val="00754B0A"/>
    <w:rsid w:val="00754B8F"/>
    <w:rsid w:val="00754CE4"/>
    <w:rsid w:val="00754F44"/>
    <w:rsid w:val="007551D1"/>
    <w:rsid w:val="0075566D"/>
    <w:rsid w:val="00755B69"/>
    <w:rsid w:val="00755D3D"/>
    <w:rsid w:val="00755D8E"/>
    <w:rsid w:val="007562B6"/>
    <w:rsid w:val="00756AED"/>
    <w:rsid w:val="00756CB1"/>
    <w:rsid w:val="00756FC3"/>
    <w:rsid w:val="007573D5"/>
    <w:rsid w:val="00757BAA"/>
    <w:rsid w:val="00757CB2"/>
    <w:rsid w:val="00760890"/>
    <w:rsid w:val="007610CA"/>
    <w:rsid w:val="007611A2"/>
    <w:rsid w:val="00761202"/>
    <w:rsid w:val="007614A1"/>
    <w:rsid w:val="00761682"/>
    <w:rsid w:val="007618C6"/>
    <w:rsid w:val="00761AA2"/>
    <w:rsid w:val="00761B7A"/>
    <w:rsid w:val="00761BE6"/>
    <w:rsid w:val="00761F7B"/>
    <w:rsid w:val="00762042"/>
    <w:rsid w:val="00762F49"/>
    <w:rsid w:val="007631BB"/>
    <w:rsid w:val="007631BC"/>
    <w:rsid w:val="007635AC"/>
    <w:rsid w:val="0076365D"/>
    <w:rsid w:val="00764098"/>
    <w:rsid w:val="0076436D"/>
    <w:rsid w:val="007646B1"/>
    <w:rsid w:val="007649E4"/>
    <w:rsid w:val="0076539B"/>
    <w:rsid w:val="007656A1"/>
    <w:rsid w:val="00765761"/>
    <w:rsid w:val="0076594A"/>
    <w:rsid w:val="00765BBE"/>
    <w:rsid w:val="00765BD9"/>
    <w:rsid w:val="00765CFB"/>
    <w:rsid w:val="00765DBF"/>
    <w:rsid w:val="00765FC3"/>
    <w:rsid w:val="00766734"/>
    <w:rsid w:val="00766799"/>
    <w:rsid w:val="00766C31"/>
    <w:rsid w:val="0076704D"/>
    <w:rsid w:val="00767147"/>
    <w:rsid w:val="007671DF"/>
    <w:rsid w:val="00767632"/>
    <w:rsid w:val="00767B8F"/>
    <w:rsid w:val="00767CFA"/>
    <w:rsid w:val="00767DC9"/>
    <w:rsid w:val="00767F23"/>
    <w:rsid w:val="00770065"/>
    <w:rsid w:val="00770236"/>
    <w:rsid w:val="007703A0"/>
    <w:rsid w:val="00770FD6"/>
    <w:rsid w:val="00770FE3"/>
    <w:rsid w:val="00771064"/>
    <w:rsid w:val="007713AD"/>
    <w:rsid w:val="00771D4A"/>
    <w:rsid w:val="00771DCD"/>
    <w:rsid w:val="0077212F"/>
    <w:rsid w:val="0077224D"/>
    <w:rsid w:val="00772432"/>
    <w:rsid w:val="007727D2"/>
    <w:rsid w:val="007728B1"/>
    <w:rsid w:val="00772A8D"/>
    <w:rsid w:val="00772AE4"/>
    <w:rsid w:val="00772B57"/>
    <w:rsid w:val="00772BF2"/>
    <w:rsid w:val="00772C60"/>
    <w:rsid w:val="00772CA9"/>
    <w:rsid w:val="00772EAF"/>
    <w:rsid w:val="007730E4"/>
    <w:rsid w:val="00773155"/>
    <w:rsid w:val="0077332D"/>
    <w:rsid w:val="007733A5"/>
    <w:rsid w:val="00773F18"/>
    <w:rsid w:val="007745FC"/>
    <w:rsid w:val="007746E6"/>
    <w:rsid w:val="0077489B"/>
    <w:rsid w:val="00774DEF"/>
    <w:rsid w:val="00774FCA"/>
    <w:rsid w:val="00775538"/>
    <w:rsid w:val="0077558F"/>
    <w:rsid w:val="00775B8D"/>
    <w:rsid w:val="00775BE5"/>
    <w:rsid w:val="00775E5F"/>
    <w:rsid w:val="00775E82"/>
    <w:rsid w:val="00775F1E"/>
    <w:rsid w:val="00776073"/>
    <w:rsid w:val="007760A0"/>
    <w:rsid w:val="007767FA"/>
    <w:rsid w:val="00777045"/>
    <w:rsid w:val="007776C3"/>
    <w:rsid w:val="0077792C"/>
    <w:rsid w:val="0077796C"/>
    <w:rsid w:val="00777A7B"/>
    <w:rsid w:val="00777E53"/>
    <w:rsid w:val="00780289"/>
    <w:rsid w:val="00780734"/>
    <w:rsid w:val="0078088A"/>
    <w:rsid w:val="0078093D"/>
    <w:rsid w:val="007814E0"/>
    <w:rsid w:val="00781F6A"/>
    <w:rsid w:val="007821A6"/>
    <w:rsid w:val="0078259E"/>
    <w:rsid w:val="00782729"/>
    <w:rsid w:val="007827F1"/>
    <w:rsid w:val="00782BEE"/>
    <w:rsid w:val="0078357A"/>
    <w:rsid w:val="007849B4"/>
    <w:rsid w:val="00784D33"/>
    <w:rsid w:val="00784D78"/>
    <w:rsid w:val="007854DD"/>
    <w:rsid w:val="00785643"/>
    <w:rsid w:val="0078579E"/>
    <w:rsid w:val="00785813"/>
    <w:rsid w:val="00785AB8"/>
    <w:rsid w:val="00786361"/>
    <w:rsid w:val="0078664E"/>
    <w:rsid w:val="00786760"/>
    <w:rsid w:val="00786B70"/>
    <w:rsid w:val="00786DA3"/>
    <w:rsid w:val="00787119"/>
    <w:rsid w:val="00787242"/>
    <w:rsid w:val="00787251"/>
    <w:rsid w:val="00787880"/>
    <w:rsid w:val="00787970"/>
    <w:rsid w:val="00787EF3"/>
    <w:rsid w:val="00787FC5"/>
    <w:rsid w:val="007906B7"/>
    <w:rsid w:val="007908C7"/>
    <w:rsid w:val="00790B20"/>
    <w:rsid w:val="00790CC0"/>
    <w:rsid w:val="00791110"/>
    <w:rsid w:val="00791468"/>
    <w:rsid w:val="00791498"/>
    <w:rsid w:val="00791D2A"/>
    <w:rsid w:val="007922F3"/>
    <w:rsid w:val="007927A0"/>
    <w:rsid w:val="00792A8B"/>
    <w:rsid w:val="00792E18"/>
    <w:rsid w:val="007933C2"/>
    <w:rsid w:val="00793652"/>
    <w:rsid w:val="00793E33"/>
    <w:rsid w:val="00793FE6"/>
    <w:rsid w:val="00794527"/>
    <w:rsid w:val="00795021"/>
    <w:rsid w:val="007952B7"/>
    <w:rsid w:val="007956B6"/>
    <w:rsid w:val="00795BFC"/>
    <w:rsid w:val="007960E3"/>
    <w:rsid w:val="007967A8"/>
    <w:rsid w:val="00796BE4"/>
    <w:rsid w:val="00796DDD"/>
    <w:rsid w:val="00796E29"/>
    <w:rsid w:val="00796EA6"/>
    <w:rsid w:val="007971CB"/>
    <w:rsid w:val="00797588"/>
    <w:rsid w:val="007977F1"/>
    <w:rsid w:val="00797C85"/>
    <w:rsid w:val="007A01F7"/>
    <w:rsid w:val="007A05F7"/>
    <w:rsid w:val="007A08EE"/>
    <w:rsid w:val="007A0B5C"/>
    <w:rsid w:val="007A11E0"/>
    <w:rsid w:val="007A17AF"/>
    <w:rsid w:val="007A24B0"/>
    <w:rsid w:val="007A2517"/>
    <w:rsid w:val="007A2CA8"/>
    <w:rsid w:val="007A3094"/>
    <w:rsid w:val="007A35D0"/>
    <w:rsid w:val="007A37B7"/>
    <w:rsid w:val="007A387C"/>
    <w:rsid w:val="007A3D27"/>
    <w:rsid w:val="007A40C7"/>
    <w:rsid w:val="007A419B"/>
    <w:rsid w:val="007A43DE"/>
    <w:rsid w:val="007A481E"/>
    <w:rsid w:val="007A4DF0"/>
    <w:rsid w:val="007A55CE"/>
    <w:rsid w:val="007A5791"/>
    <w:rsid w:val="007A5ABB"/>
    <w:rsid w:val="007A6022"/>
    <w:rsid w:val="007A6109"/>
    <w:rsid w:val="007A6166"/>
    <w:rsid w:val="007A66A2"/>
    <w:rsid w:val="007A6F5B"/>
    <w:rsid w:val="007A76F3"/>
    <w:rsid w:val="007A7A26"/>
    <w:rsid w:val="007A7C1D"/>
    <w:rsid w:val="007B0297"/>
    <w:rsid w:val="007B06FA"/>
    <w:rsid w:val="007B0E34"/>
    <w:rsid w:val="007B1142"/>
    <w:rsid w:val="007B13B3"/>
    <w:rsid w:val="007B1607"/>
    <w:rsid w:val="007B1799"/>
    <w:rsid w:val="007B1845"/>
    <w:rsid w:val="007B195D"/>
    <w:rsid w:val="007B1A47"/>
    <w:rsid w:val="007B1A4A"/>
    <w:rsid w:val="007B1C88"/>
    <w:rsid w:val="007B1DC3"/>
    <w:rsid w:val="007B2019"/>
    <w:rsid w:val="007B2055"/>
    <w:rsid w:val="007B20BF"/>
    <w:rsid w:val="007B212C"/>
    <w:rsid w:val="007B37BD"/>
    <w:rsid w:val="007B3F0F"/>
    <w:rsid w:val="007B41AE"/>
    <w:rsid w:val="007B41C9"/>
    <w:rsid w:val="007B4363"/>
    <w:rsid w:val="007B46ED"/>
    <w:rsid w:val="007B4D5C"/>
    <w:rsid w:val="007B4E26"/>
    <w:rsid w:val="007B5435"/>
    <w:rsid w:val="007B5654"/>
    <w:rsid w:val="007B5958"/>
    <w:rsid w:val="007B5977"/>
    <w:rsid w:val="007B5D9B"/>
    <w:rsid w:val="007B5F94"/>
    <w:rsid w:val="007B61E8"/>
    <w:rsid w:val="007B64CC"/>
    <w:rsid w:val="007B6A9E"/>
    <w:rsid w:val="007B7BE6"/>
    <w:rsid w:val="007C0008"/>
    <w:rsid w:val="007C0797"/>
    <w:rsid w:val="007C1134"/>
    <w:rsid w:val="007C1673"/>
    <w:rsid w:val="007C17B1"/>
    <w:rsid w:val="007C22A2"/>
    <w:rsid w:val="007C26E9"/>
    <w:rsid w:val="007C2A13"/>
    <w:rsid w:val="007C2A35"/>
    <w:rsid w:val="007C2C5D"/>
    <w:rsid w:val="007C3431"/>
    <w:rsid w:val="007C3573"/>
    <w:rsid w:val="007C39F1"/>
    <w:rsid w:val="007C3EF9"/>
    <w:rsid w:val="007C3F72"/>
    <w:rsid w:val="007C4BFE"/>
    <w:rsid w:val="007C4C74"/>
    <w:rsid w:val="007C4E30"/>
    <w:rsid w:val="007C501B"/>
    <w:rsid w:val="007C5587"/>
    <w:rsid w:val="007C562D"/>
    <w:rsid w:val="007C581F"/>
    <w:rsid w:val="007C5DD7"/>
    <w:rsid w:val="007C63A8"/>
    <w:rsid w:val="007C66F6"/>
    <w:rsid w:val="007C69BB"/>
    <w:rsid w:val="007C6DD4"/>
    <w:rsid w:val="007C6F2B"/>
    <w:rsid w:val="007C6F4E"/>
    <w:rsid w:val="007C71DF"/>
    <w:rsid w:val="007C74EC"/>
    <w:rsid w:val="007C7745"/>
    <w:rsid w:val="007C78E7"/>
    <w:rsid w:val="007C7AF3"/>
    <w:rsid w:val="007D00F1"/>
    <w:rsid w:val="007D0234"/>
    <w:rsid w:val="007D033E"/>
    <w:rsid w:val="007D0CA9"/>
    <w:rsid w:val="007D1266"/>
    <w:rsid w:val="007D183C"/>
    <w:rsid w:val="007D1F88"/>
    <w:rsid w:val="007D1FDC"/>
    <w:rsid w:val="007D242A"/>
    <w:rsid w:val="007D28D0"/>
    <w:rsid w:val="007D2EC1"/>
    <w:rsid w:val="007D34F6"/>
    <w:rsid w:val="007D35C6"/>
    <w:rsid w:val="007D3A0B"/>
    <w:rsid w:val="007D3A2E"/>
    <w:rsid w:val="007D3B98"/>
    <w:rsid w:val="007D3F14"/>
    <w:rsid w:val="007D415B"/>
    <w:rsid w:val="007D43E0"/>
    <w:rsid w:val="007D480D"/>
    <w:rsid w:val="007D4896"/>
    <w:rsid w:val="007D4910"/>
    <w:rsid w:val="007D4C69"/>
    <w:rsid w:val="007D4DCF"/>
    <w:rsid w:val="007D55DB"/>
    <w:rsid w:val="007D56D1"/>
    <w:rsid w:val="007D5780"/>
    <w:rsid w:val="007D60EB"/>
    <w:rsid w:val="007D6558"/>
    <w:rsid w:val="007D6B8A"/>
    <w:rsid w:val="007D71B5"/>
    <w:rsid w:val="007D7696"/>
    <w:rsid w:val="007D7B4C"/>
    <w:rsid w:val="007D7F32"/>
    <w:rsid w:val="007E02FF"/>
    <w:rsid w:val="007E0473"/>
    <w:rsid w:val="007E06B2"/>
    <w:rsid w:val="007E0740"/>
    <w:rsid w:val="007E08EA"/>
    <w:rsid w:val="007E0E60"/>
    <w:rsid w:val="007E0EB1"/>
    <w:rsid w:val="007E1314"/>
    <w:rsid w:val="007E13A0"/>
    <w:rsid w:val="007E1696"/>
    <w:rsid w:val="007E1850"/>
    <w:rsid w:val="007E1A26"/>
    <w:rsid w:val="007E231A"/>
    <w:rsid w:val="007E2395"/>
    <w:rsid w:val="007E23AE"/>
    <w:rsid w:val="007E2415"/>
    <w:rsid w:val="007E246F"/>
    <w:rsid w:val="007E2567"/>
    <w:rsid w:val="007E2AA7"/>
    <w:rsid w:val="007E38C3"/>
    <w:rsid w:val="007E4388"/>
    <w:rsid w:val="007E4439"/>
    <w:rsid w:val="007E4503"/>
    <w:rsid w:val="007E4D12"/>
    <w:rsid w:val="007E5146"/>
    <w:rsid w:val="007E5289"/>
    <w:rsid w:val="007E5561"/>
    <w:rsid w:val="007E5948"/>
    <w:rsid w:val="007E5D57"/>
    <w:rsid w:val="007E5F8C"/>
    <w:rsid w:val="007E64C6"/>
    <w:rsid w:val="007E65A9"/>
    <w:rsid w:val="007E6709"/>
    <w:rsid w:val="007E67B0"/>
    <w:rsid w:val="007E6E20"/>
    <w:rsid w:val="007E79B6"/>
    <w:rsid w:val="007E7D3F"/>
    <w:rsid w:val="007F02DB"/>
    <w:rsid w:val="007F0A88"/>
    <w:rsid w:val="007F0DD2"/>
    <w:rsid w:val="007F1547"/>
    <w:rsid w:val="007F1641"/>
    <w:rsid w:val="007F17A7"/>
    <w:rsid w:val="007F17B9"/>
    <w:rsid w:val="007F18A7"/>
    <w:rsid w:val="007F1954"/>
    <w:rsid w:val="007F1C58"/>
    <w:rsid w:val="007F25B9"/>
    <w:rsid w:val="007F2654"/>
    <w:rsid w:val="007F2A88"/>
    <w:rsid w:val="007F30CC"/>
    <w:rsid w:val="007F3389"/>
    <w:rsid w:val="007F364B"/>
    <w:rsid w:val="007F371A"/>
    <w:rsid w:val="007F39CC"/>
    <w:rsid w:val="007F3B6C"/>
    <w:rsid w:val="007F3EE7"/>
    <w:rsid w:val="007F3F50"/>
    <w:rsid w:val="007F4367"/>
    <w:rsid w:val="007F448F"/>
    <w:rsid w:val="007F48E8"/>
    <w:rsid w:val="007F4961"/>
    <w:rsid w:val="007F4B63"/>
    <w:rsid w:val="007F4BFF"/>
    <w:rsid w:val="007F53D6"/>
    <w:rsid w:val="007F5D30"/>
    <w:rsid w:val="007F6247"/>
    <w:rsid w:val="007F6337"/>
    <w:rsid w:val="007F6C58"/>
    <w:rsid w:val="007F6F0D"/>
    <w:rsid w:val="0080048E"/>
    <w:rsid w:val="0080049F"/>
    <w:rsid w:val="00800926"/>
    <w:rsid w:val="00800ABA"/>
    <w:rsid w:val="00800C9E"/>
    <w:rsid w:val="00800CEE"/>
    <w:rsid w:val="008014DF"/>
    <w:rsid w:val="008015F4"/>
    <w:rsid w:val="00801CC3"/>
    <w:rsid w:val="0080230E"/>
    <w:rsid w:val="00802D2A"/>
    <w:rsid w:val="0080300E"/>
    <w:rsid w:val="0080350E"/>
    <w:rsid w:val="00803BF9"/>
    <w:rsid w:val="00803F57"/>
    <w:rsid w:val="008044FD"/>
    <w:rsid w:val="00804FCF"/>
    <w:rsid w:val="0080524D"/>
    <w:rsid w:val="00805511"/>
    <w:rsid w:val="0080562F"/>
    <w:rsid w:val="0080572F"/>
    <w:rsid w:val="00805793"/>
    <w:rsid w:val="0080632B"/>
    <w:rsid w:val="00806C5F"/>
    <w:rsid w:val="00806CF7"/>
    <w:rsid w:val="0080715A"/>
    <w:rsid w:val="00807374"/>
    <w:rsid w:val="008073A4"/>
    <w:rsid w:val="00807477"/>
    <w:rsid w:val="008074BD"/>
    <w:rsid w:val="00807754"/>
    <w:rsid w:val="0080792A"/>
    <w:rsid w:val="00807F03"/>
    <w:rsid w:val="00807F9C"/>
    <w:rsid w:val="00810372"/>
    <w:rsid w:val="00810987"/>
    <w:rsid w:val="00810C09"/>
    <w:rsid w:val="00810D9B"/>
    <w:rsid w:val="00810FC6"/>
    <w:rsid w:val="00811A16"/>
    <w:rsid w:val="00811BE1"/>
    <w:rsid w:val="00811DA0"/>
    <w:rsid w:val="0081215F"/>
    <w:rsid w:val="008124E1"/>
    <w:rsid w:val="0081275A"/>
    <w:rsid w:val="00812A7E"/>
    <w:rsid w:val="00813030"/>
    <w:rsid w:val="008137D0"/>
    <w:rsid w:val="00813BCE"/>
    <w:rsid w:val="00813C11"/>
    <w:rsid w:val="00814397"/>
    <w:rsid w:val="008144F1"/>
    <w:rsid w:val="0081488F"/>
    <w:rsid w:val="00814DB7"/>
    <w:rsid w:val="00815805"/>
    <w:rsid w:val="0081593D"/>
    <w:rsid w:val="0081614B"/>
    <w:rsid w:val="00816323"/>
    <w:rsid w:val="00816BEB"/>
    <w:rsid w:val="008171DC"/>
    <w:rsid w:val="00817317"/>
    <w:rsid w:val="00817758"/>
    <w:rsid w:val="00817A28"/>
    <w:rsid w:val="00817C9B"/>
    <w:rsid w:val="00817D55"/>
    <w:rsid w:val="00817F4B"/>
    <w:rsid w:val="008205E2"/>
    <w:rsid w:val="008208F2"/>
    <w:rsid w:val="008209A1"/>
    <w:rsid w:val="00820BFE"/>
    <w:rsid w:val="00820D30"/>
    <w:rsid w:val="0082101B"/>
    <w:rsid w:val="00821426"/>
    <w:rsid w:val="00821FA0"/>
    <w:rsid w:val="0082201A"/>
    <w:rsid w:val="008220EA"/>
    <w:rsid w:val="00822758"/>
    <w:rsid w:val="00822EBF"/>
    <w:rsid w:val="00822F4C"/>
    <w:rsid w:val="00824609"/>
    <w:rsid w:val="00824620"/>
    <w:rsid w:val="00824673"/>
    <w:rsid w:val="008248E6"/>
    <w:rsid w:val="008249CB"/>
    <w:rsid w:val="00824C9A"/>
    <w:rsid w:val="00825063"/>
    <w:rsid w:val="0082513D"/>
    <w:rsid w:val="0082543B"/>
    <w:rsid w:val="0082546D"/>
    <w:rsid w:val="008257AD"/>
    <w:rsid w:val="0082598C"/>
    <w:rsid w:val="00825B72"/>
    <w:rsid w:val="00825D3E"/>
    <w:rsid w:val="00826252"/>
    <w:rsid w:val="0082635D"/>
    <w:rsid w:val="00826AA3"/>
    <w:rsid w:val="00827C9D"/>
    <w:rsid w:val="00827D50"/>
    <w:rsid w:val="00827DB5"/>
    <w:rsid w:val="00830007"/>
    <w:rsid w:val="008307A0"/>
    <w:rsid w:val="00830AE4"/>
    <w:rsid w:val="00830C97"/>
    <w:rsid w:val="00830DE5"/>
    <w:rsid w:val="00830E4A"/>
    <w:rsid w:val="00831317"/>
    <w:rsid w:val="008318C7"/>
    <w:rsid w:val="0083197E"/>
    <w:rsid w:val="00831A08"/>
    <w:rsid w:val="00831B93"/>
    <w:rsid w:val="00831E06"/>
    <w:rsid w:val="00831F91"/>
    <w:rsid w:val="00831F9C"/>
    <w:rsid w:val="00832043"/>
    <w:rsid w:val="00832089"/>
    <w:rsid w:val="00832328"/>
    <w:rsid w:val="00832441"/>
    <w:rsid w:val="008325D1"/>
    <w:rsid w:val="008328C1"/>
    <w:rsid w:val="00832BFE"/>
    <w:rsid w:val="00832FD0"/>
    <w:rsid w:val="008330CA"/>
    <w:rsid w:val="00833356"/>
    <w:rsid w:val="0083444C"/>
    <w:rsid w:val="00834502"/>
    <w:rsid w:val="0083474E"/>
    <w:rsid w:val="00834ACF"/>
    <w:rsid w:val="00834DA5"/>
    <w:rsid w:val="00834E49"/>
    <w:rsid w:val="00834FBC"/>
    <w:rsid w:val="0083517F"/>
    <w:rsid w:val="008351F6"/>
    <w:rsid w:val="00835E8C"/>
    <w:rsid w:val="00835FE5"/>
    <w:rsid w:val="0083632A"/>
    <w:rsid w:val="008363AA"/>
    <w:rsid w:val="008363E0"/>
    <w:rsid w:val="00836CEB"/>
    <w:rsid w:val="00836DD9"/>
    <w:rsid w:val="008371C3"/>
    <w:rsid w:val="00837484"/>
    <w:rsid w:val="00837AA7"/>
    <w:rsid w:val="00837BD1"/>
    <w:rsid w:val="00837F62"/>
    <w:rsid w:val="00837F6D"/>
    <w:rsid w:val="00840178"/>
    <w:rsid w:val="008404D0"/>
    <w:rsid w:val="00840B32"/>
    <w:rsid w:val="00840BFA"/>
    <w:rsid w:val="00840C41"/>
    <w:rsid w:val="00840D02"/>
    <w:rsid w:val="008410C7"/>
    <w:rsid w:val="00841106"/>
    <w:rsid w:val="00841457"/>
    <w:rsid w:val="008416B9"/>
    <w:rsid w:val="0084173F"/>
    <w:rsid w:val="00842251"/>
    <w:rsid w:val="00842534"/>
    <w:rsid w:val="00842EBC"/>
    <w:rsid w:val="00843177"/>
    <w:rsid w:val="008431B2"/>
    <w:rsid w:val="008438CD"/>
    <w:rsid w:val="00843969"/>
    <w:rsid w:val="00844020"/>
    <w:rsid w:val="008443B4"/>
    <w:rsid w:val="00844666"/>
    <w:rsid w:val="008448E9"/>
    <w:rsid w:val="00844AF1"/>
    <w:rsid w:val="00844C81"/>
    <w:rsid w:val="00844E98"/>
    <w:rsid w:val="00845222"/>
    <w:rsid w:val="00845704"/>
    <w:rsid w:val="0084575E"/>
    <w:rsid w:val="008457B1"/>
    <w:rsid w:val="00845848"/>
    <w:rsid w:val="00845887"/>
    <w:rsid w:val="00845928"/>
    <w:rsid w:val="0084602A"/>
    <w:rsid w:val="00846835"/>
    <w:rsid w:val="008468A9"/>
    <w:rsid w:val="008476E4"/>
    <w:rsid w:val="00847A5F"/>
    <w:rsid w:val="008506CA"/>
    <w:rsid w:val="00850725"/>
    <w:rsid w:val="00850C02"/>
    <w:rsid w:val="00850C1F"/>
    <w:rsid w:val="008513CA"/>
    <w:rsid w:val="00851763"/>
    <w:rsid w:val="008520BE"/>
    <w:rsid w:val="008528B4"/>
    <w:rsid w:val="00852C36"/>
    <w:rsid w:val="00852D97"/>
    <w:rsid w:val="00853008"/>
    <w:rsid w:val="008531A0"/>
    <w:rsid w:val="00853547"/>
    <w:rsid w:val="0085389C"/>
    <w:rsid w:val="008539A7"/>
    <w:rsid w:val="008540D7"/>
    <w:rsid w:val="00854284"/>
    <w:rsid w:val="008543EB"/>
    <w:rsid w:val="00854558"/>
    <w:rsid w:val="00854670"/>
    <w:rsid w:val="00854688"/>
    <w:rsid w:val="0085480F"/>
    <w:rsid w:val="00854CCE"/>
    <w:rsid w:val="00854E8C"/>
    <w:rsid w:val="00854F26"/>
    <w:rsid w:val="00855137"/>
    <w:rsid w:val="0085542D"/>
    <w:rsid w:val="00855A35"/>
    <w:rsid w:val="00855B1C"/>
    <w:rsid w:val="00855CAD"/>
    <w:rsid w:val="008560C5"/>
    <w:rsid w:val="008561B6"/>
    <w:rsid w:val="00856285"/>
    <w:rsid w:val="00856D90"/>
    <w:rsid w:val="00857177"/>
    <w:rsid w:val="00857292"/>
    <w:rsid w:val="008574A3"/>
    <w:rsid w:val="008574A8"/>
    <w:rsid w:val="0085773E"/>
    <w:rsid w:val="00857A48"/>
    <w:rsid w:val="00857AE6"/>
    <w:rsid w:val="00857B99"/>
    <w:rsid w:val="00857BA1"/>
    <w:rsid w:val="00857E26"/>
    <w:rsid w:val="0086030B"/>
    <w:rsid w:val="008605A7"/>
    <w:rsid w:val="00860637"/>
    <w:rsid w:val="008608D9"/>
    <w:rsid w:val="008610F0"/>
    <w:rsid w:val="008618C7"/>
    <w:rsid w:val="00861933"/>
    <w:rsid w:val="00861B81"/>
    <w:rsid w:val="00861E7F"/>
    <w:rsid w:val="00862099"/>
    <w:rsid w:val="008622EE"/>
    <w:rsid w:val="008625F2"/>
    <w:rsid w:val="0086270E"/>
    <w:rsid w:val="00862BF8"/>
    <w:rsid w:val="00862BF9"/>
    <w:rsid w:val="00862D47"/>
    <w:rsid w:val="00862EFD"/>
    <w:rsid w:val="008632EE"/>
    <w:rsid w:val="00863E57"/>
    <w:rsid w:val="008641E3"/>
    <w:rsid w:val="00864636"/>
    <w:rsid w:val="008647A1"/>
    <w:rsid w:val="00864993"/>
    <w:rsid w:val="00865113"/>
    <w:rsid w:val="00865397"/>
    <w:rsid w:val="008656DC"/>
    <w:rsid w:val="00865875"/>
    <w:rsid w:val="00865903"/>
    <w:rsid w:val="00865956"/>
    <w:rsid w:val="00865990"/>
    <w:rsid w:val="00865B8F"/>
    <w:rsid w:val="00865D3C"/>
    <w:rsid w:val="00865ECF"/>
    <w:rsid w:val="0086616B"/>
    <w:rsid w:val="0086663C"/>
    <w:rsid w:val="00866666"/>
    <w:rsid w:val="00866AAF"/>
    <w:rsid w:val="00866D33"/>
    <w:rsid w:val="00866EA6"/>
    <w:rsid w:val="00866EC0"/>
    <w:rsid w:val="00867DDE"/>
    <w:rsid w:val="00870FFE"/>
    <w:rsid w:val="00872729"/>
    <w:rsid w:val="008728B8"/>
    <w:rsid w:val="00872AAA"/>
    <w:rsid w:val="00872CEB"/>
    <w:rsid w:val="00872DC9"/>
    <w:rsid w:val="008733B7"/>
    <w:rsid w:val="00873877"/>
    <w:rsid w:val="00874116"/>
    <w:rsid w:val="00874298"/>
    <w:rsid w:val="008743BE"/>
    <w:rsid w:val="00874A00"/>
    <w:rsid w:val="00874BA8"/>
    <w:rsid w:val="0087502E"/>
    <w:rsid w:val="008753A0"/>
    <w:rsid w:val="00875541"/>
    <w:rsid w:val="00875625"/>
    <w:rsid w:val="00875805"/>
    <w:rsid w:val="00875E04"/>
    <w:rsid w:val="00876130"/>
    <w:rsid w:val="008762AF"/>
    <w:rsid w:val="008764E4"/>
    <w:rsid w:val="00876842"/>
    <w:rsid w:val="00876A67"/>
    <w:rsid w:val="00877470"/>
    <w:rsid w:val="008776EF"/>
    <w:rsid w:val="00877889"/>
    <w:rsid w:val="00877A9E"/>
    <w:rsid w:val="00880000"/>
    <w:rsid w:val="0088021B"/>
    <w:rsid w:val="0088056A"/>
    <w:rsid w:val="00880722"/>
    <w:rsid w:val="00880750"/>
    <w:rsid w:val="00880A03"/>
    <w:rsid w:val="008811EF"/>
    <w:rsid w:val="00881206"/>
    <w:rsid w:val="00881312"/>
    <w:rsid w:val="00881352"/>
    <w:rsid w:val="00881574"/>
    <w:rsid w:val="0088192D"/>
    <w:rsid w:val="00881C48"/>
    <w:rsid w:val="00881E05"/>
    <w:rsid w:val="00881E86"/>
    <w:rsid w:val="00881EE9"/>
    <w:rsid w:val="008821DB"/>
    <w:rsid w:val="008823E2"/>
    <w:rsid w:val="0088274D"/>
    <w:rsid w:val="00882C96"/>
    <w:rsid w:val="00882FFF"/>
    <w:rsid w:val="008830CC"/>
    <w:rsid w:val="008832A1"/>
    <w:rsid w:val="0088343D"/>
    <w:rsid w:val="0088351C"/>
    <w:rsid w:val="00883B1F"/>
    <w:rsid w:val="00883F24"/>
    <w:rsid w:val="00883FDA"/>
    <w:rsid w:val="008840B9"/>
    <w:rsid w:val="008840F1"/>
    <w:rsid w:val="00884652"/>
    <w:rsid w:val="008849E3"/>
    <w:rsid w:val="00884A08"/>
    <w:rsid w:val="00884B76"/>
    <w:rsid w:val="00884C0B"/>
    <w:rsid w:val="00884D20"/>
    <w:rsid w:val="00885074"/>
    <w:rsid w:val="0088573D"/>
    <w:rsid w:val="00885C6F"/>
    <w:rsid w:val="00885E2E"/>
    <w:rsid w:val="00885EFC"/>
    <w:rsid w:val="00886161"/>
    <w:rsid w:val="0088628E"/>
    <w:rsid w:val="008868AF"/>
    <w:rsid w:val="00886926"/>
    <w:rsid w:val="00886EFE"/>
    <w:rsid w:val="00886FB7"/>
    <w:rsid w:val="0088764A"/>
    <w:rsid w:val="0088772D"/>
    <w:rsid w:val="008877B6"/>
    <w:rsid w:val="00887844"/>
    <w:rsid w:val="00887AA7"/>
    <w:rsid w:val="008903F8"/>
    <w:rsid w:val="008913DA"/>
    <w:rsid w:val="008913FD"/>
    <w:rsid w:val="008918CB"/>
    <w:rsid w:val="00891AFB"/>
    <w:rsid w:val="00891BD2"/>
    <w:rsid w:val="00891E77"/>
    <w:rsid w:val="00891F7C"/>
    <w:rsid w:val="00893267"/>
    <w:rsid w:val="00893576"/>
    <w:rsid w:val="00893637"/>
    <w:rsid w:val="0089475D"/>
    <w:rsid w:val="008947AE"/>
    <w:rsid w:val="0089481F"/>
    <w:rsid w:val="008948F0"/>
    <w:rsid w:val="00894AF1"/>
    <w:rsid w:val="00894C18"/>
    <w:rsid w:val="00894C99"/>
    <w:rsid w:val="00895485"/>
    <w:rsid w:val="008959A5"/>
    <w:rsid w:val="00895A59"/>
    <w:rsid w:val="00896045"/>
    <w:rsid w:val="00896250"/>
    <w:rsid w:val="00896261"/>
    <w:rsid w:val="008962D0"/>
    <w:rsid w:val="00896F7E"/>
    <w:rsid w:val="0089720F"/>
    <w:rsid w:val="008973C6"/>
    <w:rsid w:val="00897456"/>
    <w:rsid w:val="008977B4"/>
    <w:rsid w:val="0089796B"/>
    <w:rsid w:val="008A0260"/>
    <w:rsid w:val="008A06B6"/>
    <w:rsid w:val="008A087C"/>
    <w:rsid w:val="008A0BF2"/>
    <w:rsid w:val="008A0E0D"/>
    <w:rsid w:val="008A0ECE"/>
    <w:rsid w:val="008A0F60"/>
    <w:rsid w:val="008A1C18"/>
    <w:rsid w:val="008A1D58"/>
    <w:rsid w:val="008A1EBF"/>
    <w:rsid w:val="008A1FB0"/>
    <w:rsid w:val="008A1FB1"/>
    <w:rsid w:val="008A20AE"/>
    <w:rsid w:val="008A2103"/>
    <w:rsid w:val="008A229D"/>
    <w:rsid w:val="008A268F"/>
    <w:rsid w:val="008A290F"/>
    <w:rsid w:val="008A294A"/>
    <w:rsid w:val="008A29F2"/>
    <w:rsid w:val="008A2B54"/>
    <w:rsid w:val="008A2CCE"/>
    <w:rsid w:val="008A3A52"/>
    <w:rsid w:val="008A3E0A"/>
    <w:rsid w:val="008A3ECE"/>
    <w:rsid w:val="008A4112"/>
    <w:rsid w:val="008A4B1F"/>
    <w:rsid w:val="008A4B8E"/>
    <w:rsid w:val="008A507A"/>
    <w:rsid w:val="008A52CA"/>
    <w:rsid w:val="008A54F3"/>
    <w:rsid w:val="008A55B6"/>
    <w:rsid w:val="008A5885"/>
    <w:rsid w:val="008A61BF"/>
    <w:rsid w:val="008A6619"/>
    <w:rsid w:val="008A67F5"/>
    <w:rsid w:val="008A6C81"/>
    <w:rsid w:val="008A6E21"/>
    <w:rsid w:val="008A7149"/>
    <w:rsid w:val="008A72E9"/>
    <w:rsid w:val="008A7306"/>
    <w:rsid w:val="008A7BFF"/>
    <w:rsid w:val="008A7C72"/>
    <w:rsid w:val="008B0BAD"/>
    <w:rsid w:val="008B0D7F"/>
    <w:rsid w:val="008B0DD7"/>
    <w:rsid w:val="008B11E4"/>
    <w:rsid w:val="008B1517"/>
    <w:rsid w:val="008B15C4"/>
    <w:rsid w:val="008B1611"/>
    <w:rsid w:val="008B16B5"/>
    <w:rsid w:val="008B172F"/>
    <w:rsid w:val="008B17F5"/>
    <w:rsid w:val="008B18CF"/>
    <w:rsid w:val="008B1EE9"/>
    <w:rsid w:val="008B2081"/>
    <w:rsid w:val="008B2325"/>
    <w:rsid w:val="008B3231"/>
    <w:rsid w:val="008B3377"/>
    <w:rsid w:val="008B392E"/>
    <w:rsid w:val="008B4593"/>
    <w:rsid w:val="008B459E"/>
    <w:rsid w:val="008B4803"/>
    <w:rsid w:val="008B482F"/>
    <w:rsid w:val="008B4847"/>
    <w:rsid w:val="008B49F2"/>
    <w:rsid w:val="008B4B63"/>
    <w:rsid w:val="008B4B73"/>
    <w:rsid w:val="008B4C95"/>
    <w:rsid w:val="008B4FCD"/>
    <w:rsid w:val="008B5C80"/>
    <w:rsid w:val="008B63DA"/>
    <w:rsid w:val="008B64A6"/>
    <w:rsid w:val="008B664D"/>
    <w:rsid w:val="008B7024"/>
    <w:rsid w:val="008B7158"/>
    <w:rsid w:val="008B7B9B"/>
    <w:rsid w:val="008B7E82"/>
    <w:rsid w:val="008B7F74"/>
    <w:rsid w:val="008C023A"/>
    <w:rsid w:val="008C05BA"/>
    <w:rsid w:val="008C0695"/>
    <w:rsid w:val="008C0745"/>
    <w:rsid w:val="008C0925"/>
    <w:rsid w:val="008C1076"/>
    <w:rsid w:val="008C163D"/>
    <w:rsid w:val="008C18EE"/>
    <w:rsid w:val="008C19F4"/>
    <w:rsid w:val="008C1B90"/>
    <w:rsid w:val="008C2471"/>
    <w:rsid w:val="008C2860"/>
    <w:rsid w:val="008C343F"/>
    <w:rsid w:val="008C3544"/>
    <w:rsid w:val="008C3C00"/>
    <w:rsid w:val="008C426A"/>
    <w:rsid w:val="008C4A51"/>
    <w:rsid w:val="008C4B7D"/>
    <w:rsid w:val="008C604E"/>
    <w:rsid w:val="008C6122"/>
    <w:rsid w:val="008C61E2"/>
    <w:rsid w:val="008C6213"/>
    <w:rsid w:val="008C6336"/>
    <w:rsid w:val="008C6557"/>
    <w:rsid w:val="008C65B0"/>
    <w:rsid w:val="008C66E1"/>
    <w:rsid w:val="008C672A"/>
    <w:rsid w:val="008C6A7D"/>
    <w:rsid w:val="008C6F68"/>
    <w:rsid w:val="008C6F86"/>
    <w:rsid w:val="008C7827"/>
    <w:rsid w:val="008C7918"/>
    <w:rsid w:val="008C7A8C"/>
    <w:rsid w:val="008C7BF0"/>
    <w:rsid w:val="008C7ED5"/>
    <w:rsid w:val="008D003A"/>
    <w:rsid w:val="008D0175"/>
    <w:rsid w:val="008D08A6"/>
    <w:rsid w:val="008D08D5"/>
    <w:rsid w:val="008D0D5E"/>
    <w:rsid w:val="008D0E17"/>
    <w:rsid w:val="008D0F48"/>
    <w:rsid w:val="008D0F87"/>
    <w:rsid w:val="008D1172"/>
    <w:rsid w:val="008D1751"/>
    <w:rsid w:val="008D18E4"/>
    <w:rsid w:val="008D1A5A"/>
    <w:rsid w:val="008D1C8E"/>
    <w:rsid w:val="008D1EDB"/>
    <w:rsid w:val="008D20EC"/>
    <w:rsid w:val="008D2224"/>
    <w:rsid w:val="008D2534"/>
    <w:rsid w:val="008D2AA9"/>
    <w:rsid w:val="008D2E0C"/>
    <w:rsid w:val="008D31B1"/>
    <w:rsid w:val="008D3300"/>
    <w:rsid w:val="008D33E4"/>
    <w:rsid w:val="008D34E2"/>
    <w:rsid w:val="008D359E"/>
    <w:rsid w:val="008D39E2"/>
    <w:rsid w:val="008D3AB5"/>
    <w:rsid w:val="008D4450"/>
    <w:rsid w:val="008D450E"/>
    <w:rsid w:val="008D4803"/>
    <w:rsid w:val="008D51CA"/>
    <w:rsid w:val="008D5362"/>
    <w:rsid w:val="008D53B7"/>
    <w:rsid w:val="008D5AAE"/>
    <w:rsid w:val="008D5FFB"/>
    <w:rsid w:val="008D647F"/>
    <w:rsid w:val="008D6750"/>
    <w:rsid w:val="008D68C7"/>
    <w:rsid w:val="008D6952"/>
    <w:rsid w:val="008D6A93"/>
    <w:rsid w:val="008D6F92"/>
    <w:rsid w:val="008D73DB"/>
    <w:rsid w:val="008D7636"/>
    <w:rsid w:val="008D79A1"/>
    <w:rsid w:val="008D7AEC"/>
    <w:rsid w:val="008E086A"/>
    <w:rsid w:val="008E0C25"/>
    <w:rsid w:val="008E0C78"/>
    <w:rsid w:val="008E0DC8"/>
    <w:rsid w:val="008E104C"/>
    <w:rsid w:val="008E187E"/>
    <w:rsid w:val="008E18AC"/>
    <w:rsid w:val="008E1919"/>
    <w:rsid w:val="008E1E89"/>
    <w:rsid w:val="008E1FA6"/>
    <w:rsid w:val="008E2144"/>
    <w:rsid w:val="008E23C2"/>
    <w:rsid w:val="008E244F"/>
    <w:rsid w:val="008E26BD"/>
    <w:rsid w:val="008E2C45"/>
    <w:rsid w:val="008E2D12"/>
    <w:rsid w:val="008E2E7F"/>
    <w:rsid w:val="008E30C1"/>
    <w:rsid w:val="008E38E6"/>
    <w:rsid w:val="008E3AB1"/>
    <w:rsid w:val="008E43A0"/>
    <w:rsid w:val="008E4D23"/>
    <w:rsid w:val="008E56B7"/>
    <w:rsid w:val="008E63F5"/>
    <w:rsid w:val="008E660C"/>
    <w:rsid w:val="008E6A7C"/>
    <w:rsid w:val="008E6CD4"/>
    <w:rsid w:val="008E72A7"/>
    <w:rsid w:val="008E7378"/>
    <w:rsid w:val="008E7466"/>
    <w:rsid w:val="008E78A5"/>
    <w:rsid w:val="008F0597"/>
    <w:rsid w:val="008F0A4E"/>
    <w:rsid w:val="008F18B0"/>
    <w:rsid w:val="008F1B78"/>
    <w:rsid w:val="008F1CD5"/>
    <w:rsid w:val="008F2151"/>
    <w:rsid w:val="008F2411"/>
    <w:rsid w:val="008F2842"/>
    <w:rsid w:val="008F2B49"/>
    <w:rsid w:val="008F2C41"/>
    <w:rsid w:val="008F343A"/>
    <w:rsid w:val="008F347D"/>
    <w:rsid w:val="008F3A9E"/>
    <w:rsid w:val="008F3C8F"/>
    <w:rsid w:val="008F457C"/>
    <w:rsid w:val="008F46F3"/>
    <w:rsid w:val="008F48B4"/>
    <w:rsid w:val="008F4EBC"/>
    <w:rsid w:val="008F4FBF"/>
    <w:rsid w:val="008F53C7"/>
    <w:rsid w:val="008F5BD1"/>
    <w:rsid w:val="008F691D"/>
    <w:rsid w:val="008F6D4E"/>
    <w:rsid w:val="008F7077"/>
    <w:rsid w:val="008F73E9"/>
    <w:rsid w:val="008F772D"/>
    <w:rsid w:val="008F7A98"/>
    <w:rsid w:val="008F7BBE"/>
    <w:rsid w:val="008F7D6B"/>
    <w:rsid w:val="008F7F89"/>
    <w:rsid w:val="00900155"/>
    <w:rsid w:val="0090019F"/>
    <w:rsid w:val="0090023E"/>
    <w:rsid w:val="00900701"/>
    <w:rsid w:val="00900F14"/>
    <w:rsid w:val="00900FA0"/>
    <w:rsid w:val="00900FB1"/>
    <w:rsid w:val="009017C9"/>
    <w:rsid w:val="00901A52"/>
    <w:rsid w:val="00901DD9"/>
    <w:rsid w:val="009021C1"/>
    <w:rsid w:val="009026B6"/>
    <w:rsid w:val="0090283A"/>
    <w:rsid w:val="00902C2E"/>
    <w:rsid w:val="00902E26"/>
    <w:rsid w:val="0090394E"/>
    <w:rsid w:val="00903D34"/>
    <w:rsid w:val="00903E39"/>
    <w:rsid w:val="0090421F"/>
    <w:rsid w:val="00904342"/>
    <w:rsid w:val="009043EF"/>
    <w:rsid w:val="00904B6F"/>
    <w:rsid w:val="009050BE"/>
    <w:rsid w:val="0090533D"/>
    <w:rsid w:val="00905D75"/>
    <w:rsid w:val="00905EAE"/>
    <w:rsid w:val="00905ECB"/>
    <w:rsid w:val="009061F4"/>
    <w:rsid w:val="00906654"/>
    <w:rsid w:val="0090667E"/>
    <w:rsid w:val="00906889"/>
    <w:rsid w:val="00906902"/>
    <w:rsid w:val="00906C13"/>
    <w:rsid w:val="00906E32"/>
    <w:rsid w:val="0090707F"/>
    <w:rsid w:val="009070D1"/>
    <w:rsid w:val="00907973"/>
    <w:rsid w:val="00907AA8"/>
    <w:rsid w:val="00910578"/>
    <w:rsid w:val="00910B79"/>
    <w:rsid w:val="00910E88"/>
    <w:rsid w:val="00910EF9"/>
    <w:rsid w:val="009112B9"/>
    <w:rsid w:val="009118B7"/>
    <w:rsid w:val="00911BD3"/>
    <w:rsid w:val="00912919"/>
    <w:rsid w:val="00913103"/>
    <w:rsid w:val="00913872"/>
    <w:rsid w:val="0091390C"/>
    <w:rsid w:val="00913939"/>
    <w:rsid w:val="00913A7F"/>
    <w:rsid w:val="00913E28"/>
    <w:rsid w:val="0091465E"/>
    <w:rsid w:val="00914749"/>
    <w:rsid w:val="00915567"/>
    <w:rsid w:val="0091573B"/>
    <w:rsid w:val="009162EF"/>
    <w:rsid w:val="009163CD"/>
    <w:rsid w:val="009168E3"/>
    <w:rsid w:val="00916A11"/>
    <w:rsid w:val="00916D76"/>
    <w:rsid w:val="00917097"/>
    <w:rsid w:val="009170B5"/>
    <w:rsid w:val="00917271"/>
    <w:rsid w:val="009172ED"/>
    <w:rsid w:val="0091734A"/>
    <w:rsid w:val="0091752D"/>
    <w:rsid w:val="0091779C"/>
    <w:rsid w:val="00920208"/>
    <w:rsid w:val="00920313"/>
    <w:rsid w:val="0092037E"/>
    <w:rsid w:val="0092056C"/>
    <w:rsid w:val="009212EF"/>
    <w:rsid w:val="009213F1"/>
    <w:rsid w:val="009215B4"/>
    <w:rsid w:val="009216F5"/>
    <w:rsid w:val="0092178E"/>
    <w:rsid w:val="0092182B"/>
    <w:rsid w:val="00921A52"/>
    <w:rsid w:val="00922326"/>
    <w:rsid w:val="009226D4"/>
    <w:rsid w:val="00922BF6"/>
    <w:rsid w:val="00922C05"/>
    <w:rsid w:val="0092372D"/>
    <w:rsid w:val="00924DD9"/>
    <w:rsid w:val="00924F1D"/>
    <w:rsid w:val="00925122"/>
    <w:rsid w:val="0092533E"/>
    <w:rsid w:val="00925478"/>
    <w:rsid w:val="0092571B"/>
    <w:rsid w:val="00925E3D"/>
    <w:rsid w:val="00925FD9"/>
    <w:rsid w:val="0092615E"/>
    <w:rsid w:val="0092660C"/>
    <w:rsid w:val="00926702"/>
    <w:rsid w:val="00926864"/>
    <w:rsid w:val="009268A4"/>
    <w:rsid w:val="00927B61"/>
    <w:rsid w:val="00927C67"/>
    <w:rsid w:val="009301F4"/>
    <w:rsid w:val="00930367"/>
    <w:rsid w:val="00930749"/>
    <w:rsid w:val="009310B0"/>
    <w:rsid w:val="0093189D"/>
    <w:rsid w:val="009319CC"/>
    <w:rsid w:val="00931C09"/>
    <w:rsid w:val="0093200B"/>
    <w:rsid w:val="00932461"/>
    <w:rsid w:val="00932ADB"/>
    <w:rsid w:val="00932B6C"/>
    <w:rsid w:val="00933264"/>
    <w:rsid w:val="00933422"/>
    <w:rsid w:val="009334B4"/>
    <w:rsid w:val="009338A4"/>
    <w:rsid w:val="00933950"/>
    <w:rsid w:val="0093396D"/>
    <w:rsid w:val="00933D69"/>
    <w:rsid w:val="00934BA4"/>
    <w:rsid w:val="00934BBB"/>
    <w:rsid w:val="00934C7A"/>
    <w:rsid w:val="00934CAE"/>
    <w:rsid w:val="0093541F"/>
    <w:rsid w:val="00935BA9"/>
    <w:rsid w:val="00935FD7"/>
    <w:rsid w:val="00935FE0"/>
    <w:rsid w:val="009360B0"/>
    <w:rsid w:val="009362D6"/>
    <w:rsid w:val="00936390"/>
    <w:rsid w:val="0093640B"/>
    <w:rsid w:val="009364F6"/>
    <w:rsid w:val="0093663C"/>
    <w:rsid w:val="0093695A"/>
    <w:rsid w:val="00936D52"/>
    <w:rsid w:val="00937285"/>
    <w:rsid w:val="009372F5"/>
    <w:rsid w:val="0093772C"/>
    <w:rsid w:val="00937794"/>
    <w:rsid w:val="00937933"/>
    <w:rsid w:val="00937A21"/>
    <w:rsid w:val="00937A3E"/>
    <w:rsid w:val="00937B91"/>
    <w:rsid w:val="00937F61"/>
    <w:rsid w:val="0094007A"/>
    <w:rsid w:val="00940331"/>
    <w:rsid w:val="00940808"/>
    <w:rsid w:val="00940C2A"/>
    <w:rsid w:val="00941239"/>
    <w:rsid w:val="00942100"/>
    <w:rsid w:val="0094210E"/>
    <w:rsid w:val="009429F4"/>
    <w:rsid w:val="00942A7B"/>
    <w:rsid w:val="00942B90"/>
    <w:rsid w:val="00942E80"/>
    <w:rsid w:val="00943384"/>
    <w:rsid w:val="0094365C"/>
    <w:rsid w:val="0094381B"/>
    <w:rsid w:val="009447DB"/>
    <w:rsid w:val="0094490C"/>
    <w:rsid w:val="00944A82"/>
    <w:rsid w:val="00944BAE"/>
    <w:rsid w:val="00944EFA"/>
    <w:rsid w:val="00945939"/>
    <w:rsid w:val="00945C93"/>
    <w:rsid w:val="00945D07"/>
    <w:rsid w:val="00945F19"/>
    <w:rsid w:val="00945F56"/>
    <w:rsid w:val="0094601C"/>
    <w:rsid w:val="00946096"/>
    <w:rsid w:val="00946328"/>
    <w:rsid w:val="00946438"/>
    <w:rsid w:val="00946858"/>
    <w:rsid w:val="00946B11"/>
    <w:rsid w:val="00946BBA"/>
    <w:rsid w:val="009470DA"/>
    <w:rsid w:val="009470F3"/>
    <w:rsid w:val="0094763E"/>
    <w:rsid w:val="00947A58"/>
    <w:rsid w:val="00947E00"/>
    <w:rsid w:val="00947EDA"/>
    <w:rsid w:val="0095047F"/>
    <w:rsid w:val="00950AF0"/>
    <w:rsid w:val="00950BCC"/>
    <w:rsid w:val="00951252"/>
    <w:rsid w:val="00951412"/>
    <w:rsid w:val="009514B2"/>
    <w:rsid w:val="009516F7"/>
    <w:rsid w:val="0095170F"/>
    <w:rsid w:val="00952270"/>
    <w:rsid w:val="00952605"/>
    <w:rsid w:val="009526E3"/>
    <w:rsid w:val="009528AC"/>
    <w:rsid w:val="00952E70"/>
    <w:rsid w:val="00952E88"/>
    <w:rsid w:val="0095341B"/>
    <w:rsid w:val="009534F5"/>
    <w:rsid w:val="0095359C"/>
    <w:rsid w:val="009535A6"/>
    <w:rsid w:val="009539C5"/>
    <w:rsid w:val="00953BD7"/>
    <w:rsid w:val="00954542"/>
    <w:rsid w:val="00954A88"/>
    <w:rsid w:val="00955821"/>
    <w:rsid w:val="00955DE8"/>
    <w:rsid w:val="00955EE2"/>
    <w:rsid w:val="00956142"/>
    <w:rsid w:val="00956220"/>
    <w:rsid w:val="00956520"/>
    <w:rsid w:val="009565D7"/>
    <w:rsid w:val="009569BA"/>
    <w:rsid w:val="00956D2D"/>
    <w:rsid w:val="009570F6"/>
    <w:rsid w:val="0095720E"/>
    <w:rsid w:val="009574CA"/>
    <w:rsid w:val="009578B1"/>
    <w:rsid w:val="0095797E"/>
    <w:rsid w:val="009601C0"/>
    <w:rsid w:val="00960248"/>
    <w:rsid w:val="00960252"/>
    <w:rsid w:val="009605A2"/>
    <w:rsid w:val="00960DEC"/>
    <w:rsid w:val="009615A9"/>
    <w:rsid w:val="00961A1D"/>
    <w:rsid w:val="00961C6B"/>
    <w:rsid w:val="00961CC5"/>
    <w:rsid w:val="00961EF0"/>
    <w:rsid w:val="00962068"/>
    <w:rsid w:val="009625CF"/>
    <w:rsid w:val="0096301B"/>
    <w:rsid w:val="009632AC"/>
    <w:rsid w:val="0096345B"/>
    <w:rsid w:val="0096363A"/>
    <w:rsid w:val="00963B09"/>
    <w:rsid w:val="00963C96"/>
    <w:rsid w:val="009642CC"/>
    <w:rsid w:val="00964567"/>
    <w:rsid w:val="00964729"/>
    <w:rsid w:val="00964BC2"/>
    <w:rsid w:val="00964C56"/>
    <w:rsid w:val="00964C96"/>
    <w:rsid w:val="00965486"/>
    <w:rsid w:val="00965DD2"/>
    <w:rsid w:val="00965E9B"/>
    <w:rsid w:val="00966197"/>
    <w:rsid w:val="00966240"/>
    <w:rsid w:val="009666DF"/>
    <w:rsid w:val="00966755"/>
    <w:rsid w:val="009668E4"/>
    <w:rsid w:val="00966964"/>
    <w:rsid w:val="00966FF6"/>
    <w:rsid w:val="0096704A"/>
    <w:rsid w:val="00967116"/>
    <w:rsid w:val="00967458"/>
    <w:rsid w:val="00967BED"/>
    <w:rsid w:val="00967DFA"/>
    <w:rsid w:val="00970086"/>
    <w:rsid w:val="009700A7"/>
    <w:rsid w:val="009701D3"/>
    <w:rsid w:val="0097021E"/>
    <w:rsid w:val="00970574"/>
    <w:rsid w:val="009719C7"/>
    <w:rsid w:val="009719F6"/>
    <w:rsid w:val="00971C2A"/>
    <w:rsid w:val="00971E32"/>
    <w:rsid w:val="00971E62"/>
    <w:rsid w:val="00971ED7"/>
    <w:rsid w:val="009727A8"/>
    <w:rsid w:val="0097286F"/>
    <w:rsid w:val="00972AC8"/>
    <w:rsid w:val="00972CEC"/>
    <w:rsid w:val="009730E9"/>
    <w:rsid w:val="009740F5"/>
    <w:rsid w:val="009744AA"/>
    <w:rsid w:val="00975892"/>
    <w:rsid w:val="009762EA"/>
    <w:rsid w:val="0097683F"/>
    <w:rsid w:val="00976B49"/>
    <w:rsid w:val="00976BE7"/>
    <w:rsid w:val="00977302"/>
    <w:rsid w:val="00980503"/>
    <w:rsid w:val="0098068D"/>
    <w:rsid w:val="009806A2"/>
    <w:rsid w:val="00980876"/>
    <w:rsid w:val="00981228"/>
    <w:rsid w:val="0098141A"/>
    <w:rsid w:val="00981CDE"/>
    <w:rsid w:val="00981EA8"/>
    <w:rsid w:val="009821BF"/>
    <w:rsid w:val="009825E3"/>
    <w:rsid w:val="0098265B"/>
    <w:rsid w:val="009828B9"/>
    <w:rsid w:val="009829A4"/>
    <w:rsid w:val="009829F6"/>
    <w:rsid w:val="00982B2C"/>
    <w:rsid w:val="00982CC8"/>
    <w:rsid w:val="00982E22"/>
    <w:rsid w:val="00982FE1"/>
    <w:rsid w:val="0098314D"/>
    <w:rsid w:val="00983265"/>
    <w:rsid w:val="00983582"/>
    <w:rsid w:val="009839E2"/>
    <w:rsid w:val="009839F7"/>
    <w:rsid w:val="00983C21"/>
    <w:rsid w:val="0098427A"/>
    <w:rsid w:val="009845CD"/>
    <w:rsid w:val="00984795"/>
    <w:rsid w:val="009848D0"/>
    <w:rsid w:val="0098493D"/>
    <w:rsid w:val="00984B01"/>
    <w:rsid w:val="009857C3"/>
    <w:rsid w:val="00986357"/>
    <w:rsid w:val="00986BAB"/>
    <w:rsid w:val="00986C9A"/>
    <w:rsid w:val="009870D5"/>
    <w:rsid w:val="00987838"/>
    <w:rsid w:val="00987957"/>
    <w:rsid w:val="009879B6"/>
    <w:rsid w:val="00987C33"/>
    <w:rsid w:val="00987CF3"/>
    <w:rsid w:val="00990114"/>
    <w:rsid w:val="00990134"/>
    <w:rsid w:val="00990AF7"/>
    <w:rsid w:val="00991223"/>
    <w:rsid w:val="009913F1"/>
    <w:rsid w:val="009917B7"/>
    <w:rsid w:val="00991B59"/>
    <w:rsid w:val="00991E5A"/>
    <w:rsid w:val="0099254D"/>
    <w:rsid w:val="00992796"/>
    <w:rsid w:val="00993550"/>
    <w:rsid w:val="00993A80"/>
    <w:rsid w:val="00994328"/>
    <w:rsid w:val="0099474B"/>
    <w:rsid w:val="00994C67"/>
    <w:rsid w:val="00994CEC"/>
    <w:rsid w:val="009950B1"/>
    <w:rsid w:val="009953C3"/>
    <w:rsid w:val="00995569"/>
    <w:rsid w:val="00995A75"/>
    <w:rsid w:val="00995B14"/>
    <w:rsid w:val="00995E77"/>
    <w:rsid w:val="00996084"/>
    <w:rsid w:val="009960CD"/>
    <w:rsid w:val="0099630F"/>
    <w:rsid w:val="00996519"/>
    <w:rsid w:val="009968DA"/>
    <w:rsid w:val="009973C0"/>
    <w:rsid w:val="0099754E"/>
    <w:rsid w:val="00997753"/>
    <w:rsid w:val="0099795D"/>
    <w:rsid w:val="00997D66"/>
    <w:rsid w:val="009A0411"/>
    <w:rsid w:val="009A0869"/>
    <w:rsid w:val="009A0FEF"/>
    <w:rsid w:val="009A12E6"/>
    <w:rsid w:val="009A17D9"/>
    <w:rsid w:val="009A1E14"/>
    <w:rsid w:val="009A2028"/>
    <w:rsid w:val="009A20A5"/>
    <w:rsid w:val="009A3084"/>
    <w:rsid w:val="009A31DB"/>
    <w:rsid w:val="009A3D13"/>
    <w:rsid w:val="009A3DD4"/>
    <w:rsid w:val="009A3EE3"/>
    <w:rsid w:val="009A432C"/>
    <w:rsid w:val="009A4D90"/>
    <w:rsid w:val="009A4EED"/>
    <w:rsid w:val="009A5BBD"/>
    <w:rsid w:val="009A5CB8"/>
    <w:rsid w:val="009A5FAD"/>
    <w:rsid w:val="009A6281"/>
    <w:rsid w:val="009A658B"/>
    <w:rsid w:val="009A6806"/>
    <w:rsid w:val="009A70BE"/>
    <w:rsid w:val="009A743B"/>
    <w:rsid w:val="009A746D"/>
    <w:rsid w:val="009A7629"/>
    <w:rsid w:val="009A7C4A"/>
    <w:rsid w:val="009A7DAA"/>
    <w:rsid w:val="009A7DFF"/>
    <w:rsid w:val="009B048F"/>
    <w:rsid w:val="009B0E42"/>
    <w:rsid w:val="009B0E5A"/>
    <w:rsid w:val="009B1279"/>
    <w:rsid w:val="009B17B1"/>
    <w:rsid w:val="009B1B62"/>
    <w:rsid w:val="009B1F35"/>
    <w:rsid w:val="009B21C7"/>
    <w:rsid w:val="009B2786"/>
    <w:rsid w:val="009B2DBA"/>
    <w:rsid w:val="009B2FDC"/>
    <w:rsid w:val="009B3F08"/>
    <w:rsid w:val="009B3F0E"/>
    <w:rsid w:val="009B4265"/>
    <w:rsid w:val="009B43F5"/>
    <w:rsid w:val="009B4708"/>
    <w:rsid w:val="009B4902"/>
    <w:rsid w:val="009B4973"/>
    <w:rsid w:val="009B54AB"/>
    <w:rsid w:val="009B54FD"/>
    <w:rsid w:val="009B553A"/>
    <w:rsid w:val="009B5EC1"/>
    <w:rsid w:val="009B64D5"/>
    <w:rsid w:val="009B7415"/>
    <w:rsid w:val="009B7819"/>
    <w:rsid w:val="009B795F"/>
    <w:rsid w:val="009B7C3C"/>
    <w:rsid w:val="009B7F50"/>
    <w:rsid w:val="009C0A49"/>
    <w:rsid w:val="009C0A86"/>
    <w:rsid w:val="009C0AAB"/>
    <w:rsid w:val="009C1518"/>
    <w:rsid w:val="009C1905"/>
    <w:rsid w:val="009C1A31"/>
    <w:rsid w:val="009C2425"/>
    <w:rsid w:val="009C29A3"/>
    <w:rsid w:val="009C2E44"/>
    <w:rsid w:val="009C345D"/>
    <w:rsid w:val="009C47C2"/>
    <w:rsid w:val="009C484C"/>
    <w:rsid w:val="009C4CCC"/>
    <w:rsid w:val="009C50BA"/>
    <w:rsid w:val="009C54E3"/>
    <w:rsid w:val="009C5C2A"/>
    <w:rsid w:val="009C5C33"/>
    <w:rsid w:val="009C5EF4"/>
    <w:rsid w:val="009C5F31"/>
    <w:rsid w:val="009C6063"/>
    <w:rsid w:val="009C60D1"/>
    <w:rsid w:val="009C6BEC"/>
    <w:rsid w:val="009C6DD5"/>
    <w:rsid w:val="009C6FD1"/>
    <w:rsid w:val="009C721E"/>
    <w:rsid w:val="009C75CA"/>
    <w:rsid w:val="009C7BEC"/>
    <w:rsid w:val="009D08D2"/>
    <w:rsid w:val="009D0DCA"/>
    <w:rsid w:val="009D124D"/>
    <w:rsid w:val="009D1514"/>
    <w:rsid w:val="009D1EEE"/>
    <w:rsid w:val="009D24A6"/>
    <w:rsid w:val="009D26C2"/>
    <w:rsid w:val="009D2ABE"/>
    <w:rsid w:val="009D300F"/>
    <w:rsid w:val="009D3159"/>
    <w:rsid w:val="009D31E3"/>
    <w:rsid w:val="009D3619"/>
    <w:rsid w:val="009D36D7"/>
    <w:rsid w:val="009D3F0A"/>
    <w:rsid w:val="009D3F27"/>
    <w:rsid w:val="009D42EB"/>
    <w:rsid w:val="009D444E"/>
    <w:rsid w:val="009D4600"/>
    <w:rsid w:val="009D4A1C"/>
    <w:rsid w:val="009D4A45"/>
    <w:rsid w:val="009D4A82"/>
    <w:rsid w:val="009D4BB0"/>
    <w:rsid w:val="009D544D"/>
    <w:rsid w:val="009D588B"/>
    <w:rsid w:val="009D593E"/>
    <w:rsid w:val="009D594E"/>
    <w:rsid w:val="009D5A95"/>
    <w:rsid w:val="009D6044"/>
    <w:rsid w:val="009D606E"/>
    <w:rsid w:val="009D6070"/>
    <w:rsid w:val="009D6525"/>
    <w:rsid w:val="009D704D"/>
    <w:rsid w:val="009D7328"/>
    <w:rsid w:val="009D74DD"/>
    <w:rsid w:val="009D7730"/>
    <w:rsid w:val="009D7A94"/>
    <w:rsid w:val="009E0C14"/>
    <w:rsid w:val="009E103F"/>
    <w:rsid w:val="009E1423"/>
    <w:rsid w:val="009E1CF7"/>
    <w:rsid w:val="009E21E2"/>
    <w:rsid w:val="009E26B1"/>
    <w:rsid w:val="009E292A"/>
    <w:rsid w:val="009E2A07"/>
    <w:rsid w:val="009E2A90"/>
    <w:rsid w:val="009E2CF4"/>
    <w:rsid w:val="009E2CFE"/>
    <w:rsid w:val="009E31AD"/>
    <w:rsid w:val="009E32FB"/>
    <w:rsid w:val="009E3BF8"/>
    <w:rsid w:val="009E4092"/>
    <w:rsid w:val="009E5696"/>
    <w:rsid w:val="009E6479"/>
    <w:rsid w:val="009E6512"/>
    <w:rsid w:val="009E6649"/>
    <w:rsid w:val="009E68A4"/>
    <w:rsid w:val="009E68D5"/>
    <w:rsid w:val="009E69B2"/>
    <w:rsid w:val="009E6F83"/>
    <w:rsid w:val="009E739C"/>
    <w:rsid w:val="009E73C4"/>
    <w:rsid w:val="009E7819"/>
    <w:rsid w:val="009E7D0F"/>
    <w:rsid w:val="009E7DBE"/>
    <w:rsid w:val="009E7F2E"/>
    <w:rsid w:val="009F015E"/>
    <w:rsid w:val="009F02F6"/>
    <w:rsid w:val="009F0CAF"/>
    <w:rsid w:val="009F0CB6"/>
    <w:rsid w:val="009F0F39"/>
    <w:rsid w:val="009F1795"/>
    <w:rsid w:val="009F27F1"/>
    <w:rsid w:val="009F283A"/>
    <w:rsid w:val="009F2B46"/>
    <w:rsid w:val="009F3125"/>
    <w:rsid w:val="009F31E2"/>
    <w:rsid w:val="009F3241"/>
    <w:rsid w:val="009F327B"/>
    <w:rsid w:val="009F3337"/>
    <w:rsid w:val="009F35E9"/>
    <w:rsid w:val="009F3625"/>
    <w:rsid w:val="009F381D"/>
    <w:rsid w:val="009F43C7"/>
    <w:rsid w:val="009F4568"/>
    <w:rsid w:val="009F4706"/>
    <w:rsid w:val="009F49BE"/>
    <w:rsid w:val="009F4B6C"/>
    <w:rsid w:val="009F4B80"/>
    <w:rsid w:val="009F4DEC"/>
    <w:rsid w:val="009F4EB9"/>
    <w:rsid w:val="009F51F1"/>
    <w:rsid w:val="009F53B8"/>
    <w:rsid w:val="009F570E"/>
    <w:rsid w:val="009F5913"/>
    <w:rsid w:val="009F5AFD"/>
    <w:rsid w:val="009F603A"/>
    <w:rsid w:val="009F68EB"/>
    <w:rsid w:val="009F6DDF"/>
    <w:rsid w:val="009F6EE5"/>
    <w:rsid w:val="009F6F83"/>
    <w:rsid w:val="009F716F"/>
    <w:rsid w:val="009F719C"/>
    <w:rsid w:val="009F72E6"/>
    <w:rsid w:val="009F78DA"/>
    <w:rsid w:val="009F7B23"/>
    <w:rsid w:val="00A004F7"/>
    <w:rsid w:val="00A008B4"/>
    <w:rsid w:val="00A00A30"/>
    <w:rsid w:val="00A00AAF"/>
    <w:rsid w:val="00A0106D"/>
    <w:rsid w:val="00A014C9"/>
    <w:rsid w:val="00A01584"/>
    <w:rsid w:val="00A015A8"/>
    <w:rsid w:val="00A01967"/>
    <w:rsid w:val="00A01D1E"/>
    <w:rsid w:val="00A02630"/>
    <w:rsid w:val="00A028CA"/>
    <w:rsid w:val="00A02F13"/>
    <w:rsid w:val="00A033CE"/>
    <w:rsid w:val="00A03542"/>
    <w:rsid w:val="00A0395E"/>
    <w:rsid w:val="00A03E0D"/>
    <w:rsid w:val="00A03FD8"/>
    <w:rsid w:val="00A04755"/>
    <w:rsid w:val="00A0499D"/>
    <w:rsid w:val="00A0511D"/>
    <w:rsid w:val="00A05125"/>
    <w:rsid w:val="00A051D6"/>
    <w:rsid w:val="00A0554A"/>
    <w:rsid w:val="00A05596"/>
    <w:rsid w:val="00A05D74"/>
    <w:rsid w:val="00A05E94"/>
    <w:rsid w:val="00A0631B"/>
    <w:rsid w:val="00A06669"/>
    <w:rsid w:val="00A06845"/>
    <w:rsid w:val="00A06C7A"/>
    <w:rsid w:val="00A06F68"/>
    <w:rsid w:val="00A07584"/>
    <w:rsid w:val="00A07C43"/>
    <w:rsid w:val="00A07F81"/>
    <w:rsid w:val="00A101A4"/>
    <w:rsid w:val="00A102AF"/>
    <w:rsid w:val="00A1052D"/>
    <w:rsid w:val="00A1136C"/>
    <w:rsid w:val="00A1141C"/>
    <w:rsid w:val="00A115E8"/>
    <w:rsid w:val="00A11673"/>
    <w:rsid w:val="00A1203A"/>
    <w:rsid w:val="00A120CC"/>
    <w:rsid w:val="00A12379"/>
    <w:rsid w:val="00A12948"/>
    <w:rsid w:val="00A12AAE"/>
    <w:rsid w:val="00A1324E"/>
    <w:rsid w:val="00A1349B"/>
    <w:rsid w:val="00A136DE"/>
    <w:rsid w:val="00A13A29"/>
    <w:rsid w:val="00A13BBD"/>
    <w:rsid w:val="00A13F80"/>
    <w:rsid w:val="00A14216"/>
    <w:rsid w:val="00A142CF"/>
    <w:rsid w:val="00A1439C"/>
    <w:rsid w:val="00A148E0"/>
    <w:rsid w:val="00A14E1E"/>
    <w:rsid w:val="00A15130"/>
    <w:rsid w:val="00A15891"/>
    <w:rsid w:val="00A15B22"/>
    <w:rsid w:val="00A15CB9"/>
    <w:rsid w:val="00A15F69"/>
    <w:rsid w:val="00A16778"/>
    <w:rsid w:val="00A167D2"/>
    <w:rsid w:val="00A168C7"/>
    <w:rsid w:val="00A16BBA"/>
    <w:rsid w:val="00A16C45"/>
    <w:rsid w:val="00A16DD6"/>
    <w:rsid w:val="00A16E2C"/>
    <w:rsid w:val="00A16F49"/>
    <w:rsid w:val="00A17198"/>
    <w:rsid w:val="00A1754A"/>
    <w:rsid w:val="00A17786"/>
    <w:rsid w:val="00A177D1"/>
    <w:rsid w:val="00A209B6"/>
    <w:rsid w:val="00A209FD"/>
    <w:rsid w:val="00A20D53"/>
    <w:rsid w:val="00A21E99"/>
    <w:rsid w:val="00A22045"/>
    <w:rsid w:val="00A2266E"/>
    <w:rsid w:val="00A235F5"/>
    <w:rsid w:val="00A23777"/>
    <w:rsid w:val="00A23C8F"/>
    <w:rsid w:val="00A23F3D"/>
    <w:rsid w:val="00A243E5"/>
    <w:rsid w:val="00A24747"/>
    <w:rsid w:val="00A24981"/>
    <w:rsid w:val="00A24E4B"/>
    <w:rsid w:val="00A24FA6"/>
    <w:rsid w:val="00A25224"/>
    <w:rsid w:val="00A2555A"/>
    <w:rsid w:val="00A25817"/>
    <w:rsid w:val="00A25EA6"/>
    <w:rsid w:val="00A2639D"/>
    <w:rsid w:val="00A2666F"/>
    <w:rsid w:val="00A267E6"/>
    <w:rsid w:val="00A27132"/>
    <w:rsid w:val="00A27149"/>
    <w:rsid w:val="00A27217"/>
    <w:rsid w:val="00A27300"/>
    <w:rsid w:val="00A274F2"/>
    <w:rsid w:val="00A27B78"/>
    <w:rsid w:val="00A300AE"/>
    <w:rsid w:val="00A303C7"/>
    <w:rsid w:val="00A30598"/>
    <w:rsid w:val="00A3059E"/>
    <w:rsid w:val="00A30BC3"/>
    <w:rsid w:val="00A3183B"/>
    <w:rsid w:val="00A319BF"/>
    <w:rsid w:val="00A31E10"/>
    <w:rsid w:val="00A31F6A"/>
    <w:rsid w:val="00A320CE"/>
    <w:rsid w:val="00A3235C"/>
    <w:rsid w:val="00A326D5"/>
    <w:rsid w:val="00A32986"/>
    <w:rsid w:val="00A32A64"/>
    <w:rsid w:val="00A32CCC"/>
    <w:rsid w:val="00A33430"/>
    <w:rsid w:val="00A33CA0"/>
    <w:rsid w:val="00A33D23"/>
    <w:rsid w:val="00A33E47"/>
    <w:rsid w:val="00A33ED0"/>
    <w:rsid w:val="00A34A85"/>
    <w:rsid w:val="00A34DA3"/>
    <w:rsid w:val="00A350E4"/>
    <w:rsid w:val="00A3565C"/>
    <w:rsid w:val="00A35DB0"/>
    <w:rsid w:val="00A36767"/>
    <w:rsid w:val="00A36A63"/>
    <w:rsid w:val="00A36BC9"/>
    <w:rsid w:val="00A37010"/>
    <w:rsid w:val="00A3707A"/>
    <w:rsid w:val="00A37111"/>
    <w:rsid w:val="00A372ED"/>
    <w:rsid w:val="00A37645"/>
    <w:rsid w:val="00A378CA"/>
    <w:rsid w:val="00A37D2C"/>
    <w:rsid w:val="00A37D56"/>
    <w:rsid w:val="00A37E0A"/>
    <w:rsid w:val="00A40DCE"/>
    <w:rsid w:val="00A40E4B"/>
    <w:rsid w:val="00A4103E"/>
    <w:rsid w:val="00A413FE"/>
    <w:rsid w:val="00A416F0"/>
    <w:rsid w:val="00A41B6D"/>
    <w:rsid w:val="00A420D3"/>
    <w:rsid w:val="00A422BE"/>
    <w:rsid w:val="00A4324B"/>
    <w:rsid w:val="00A435DE"/>
    <w:rsid w:val="00A4374B"/>
    <w:rsid w:val="00A43773"/>
    <w:rsid w:val="00A43DA9"/>
    <w:rsid w:val="00A443D2"/>
    <w:rsid w:val="00A445AF"/>
    <w:rsid w:val="00A44611"/>
    <w:rsid w:val="00A44997"/>
    <w:rsid w:val="00A44DFB"/>
    <w:rsid w:val="00A4545F"/>
    <w:rsid w:val="00A45636"/>
    <w:rsid w:val="00A45975"/>
    <w:rsid w:val="00A45F3B"/>
    <w:rsid w:val="00A461AB"/>
    <w:rsid w:val="00A46224"/>
    <w:rsid w:val="00A46453"/>
    <w:rsid w:val="00A46A00"/>
    <w:rsid w:val="00A47282"/>
    <w:rsid w:val="00A476EB"/>
    <w:rsid w:val="00A47905"/>
    <w:rsid w:val="00A47AB1"/>
    <w:rsid w:val="00A47D43"/>
    <w:rsid w:val="00A50154"/>
    <w:rsid w:val="00A5030D"/>
    <w:rsid w:val="00A505F5"/>
    <w:rsid w:val="00A509A3"/>
    <w:rsid w:val="00A50B85"/>
    <w:rsid w:val="00A5125D"/>
    <w:rsid w:val="00A51448"/>
    <w:rsid w:val="00A51B70"/>
    <w:rsid w:val="00A51B7E"/>
    <w:rsid w:val="00A51BDF"/>
    <w:rsid w:val="00A51CCA"/>
    <w:rsid w:val="00A522F6"/>
    <w:rsid w:val="00A52908"/>
    <w:rsid w:val="00A52926"/>
    <w:rsid w:val="00A52C9C"/>
    <w:rsid w:val="00A52DEA"/>
    <w:rsid w:val="00A52F52"/>
    <w:rsid w:val="00A53096"/>
    <w:rsid w:val="00A53F8B"/>
    <w:rsid w:val="00A54109"/>
    <w:rsid w:val="00A54281"/>
    <w:rsid w:val="00A54503"/>
    <w:rsid w:val="00A54AC6"/>
    <w:rsid w:val="00A54C82"/>
    <w:rsid w:val="00A54CC7"/>
    <w:rsid w:val="00A55072"/>
    <w:rsid w:val="00A559FF"/>
    <w:rsid w:val="00A55A8F"/>
    <w:rsid w:val="00A55AFB"/>
    <w:rsid w:val="00A56375"/>
    <w:rsid w:val="00A56780"/>
    <w:rsid w:val="00A57138"/>
    <w:rsid w:val="00A57736"/>
    <w:rsid w:val="00A57896"/>
    <w:rsid w:val="00A57A8B"/>
    <w:rsid w:val="00A57AF1"/>
    <w:rsid w:val="00A57BF1"/>
    <w:rsid w:val="00A60315"/>
    <w:rsid w:val="00A605A5"/>
    <w:rsid w:val="00A60A09"/>
    <w:rsid w:val="00A60BBD"/>
    <w:rsid w:val="00A60DB9"/>
    <w:rsid w:val="00A61377"/>
    <w:rsid w:val="00A61420"/>
    <w:rsid w:val="00A61602"/>
    <w:rsid w:val="00A61F74"/>
    <w:rsid w:val="00A62288"/>
    <w:rsid w:val="00A62755"/>
    <w:rsid w:val="00A628DD"/>
    <w:rsid w:val="00A62967"/>
    <w:rsid w:val="00A62C10"/>
    <w:rsid w:val="00A62D35"/>
    <w:rsid w:val="00A63964"/>
    <w:rsid w:val="00A63968"/>
    <w:rsid w:val="00A63BF0"/>
    <w:rsid w:val="00A63F84"/>
    <w:rsid w:val="00A64019"/>
    <w:rsid w:val="00A640F7"/>
    <w:rsid w:val="00A64366"/>
    <w:rsid w:val="00A64451"/>
    <w:rsid w:val="00A645F0"/>
    <w:rsid w:val="00A648DC"/>
    <w:rsid w:val="00A64B2A"/>
    <w:rsid w:val="00A6511E"/>
    <w:rsid w:val="00A651FC"/>
    <w:rsid w:val="00A652BB"/>
    <w:rsid w:val="00A65310"/>
    <w:rsid w:val="00A65572"/>
    <w:rsid w:val="00A65959"/>
    <w:rsid w:val="00A65A75"/>
    <w:rsid w:val="00A66970"/>
    <w:rsid w:val="00A66DE2"/>
    <w:rsid w:val="00A66E46"/>
    <w:rsid w:val="00A6728D"/>
    <w:rsid w:val="00A676FB"/>
    <w:rsid w:val="00A6779C"/>
    <w:rsid w:val="00A67B62"/>
    <w:rsid w:val="00A67E56"/>
    <w:rsid w:val="00A70113"/>
    <w:rsid w:val="00A70418"/>
    <w:rsid w:val="00A704FD"/>
    <w:rsid w:val="00A71003"/>
    <w:rsid w:val="00A71087"/>
    <w:rsid w:val="00A71C5E"/>
    <w:rsid w:val="00A71F43"/>
    <w:rsid w:val="00A726A7"/>
    <w:rsid w:val="00A72701"/>
    <w:rsid w:val="00A729BC"/>
    <w:rsid w:val="00A72B20"/>
    <w:rsid w:val="00A72B51"/>
    <w:rsid w:val="00A73724"/>
    <w:rsid w:val="00A73A5B"/>
    <w:rsid w:val="00A73AB2"/>
    <w:rsid w:val="00A73AF0"/>
    <w:rsid w:val="00A73C18"/>
    <w:rsid w:val="00A73EA9"/>
    <w:rsid w:val="00A73F3C"/>
    <w:rsid w:val="00A740E3"/>
    <w:rsid w:val="00A74EE2"/>
    <w:rsid w:val="00A7566C"/>
    <w:rsid w:val="00A75723"/>
    <w:rsid w:val="00A75A33"/>
    <w:rsid w:val="00A75BFD"/>
    <w:rsid w:val="00A75ECA"/>
    <w:rsid w:val="00A761E8"/>
    <w:rsid w:val="00A769F4"/>
    <w:rsid w:val="00A76A2F"/>
    <w:rsid w:val="00A76CE0"/>
    <w:rsid w:val="00A76E06"/>
    <w:rsid w:val="00A77397"/>
    <w:rsid w:val="00A77EAE"/>
    <w:rsid w:val="00A803BF"/>
    <w:rsid w:val="00A80BF3"/>
    <w:rsid w:val="00A8143E"/>
    <w:rsid w:val="00A816A8"/>
    <w:rsid w:val="00A8174D"/>
    <w:rsid w:val="00A81DFB"/>
    <w:rsid w:val="00A82560"/>
    <w:rsid w:val="00A8290D"/>
    <w:rsid w:val="00A82966"/>
    <w:rsid w:val="00A82B39"/>
    <w:rsid w:val="00A82B9F"/>
    <w:rsid w:val="00A82C45"/>
    <w:rsid w:val="00A82DBE"/>
    <w:rsid w:val="00A83384"/>
    <w:rsid w:val="00A8347A"/>
    <w:rsid w:val="00A838A0"/>
    <w:rsid w:val="00A83B56"/>
    <w:rsid w:val="00A83BA3"/>
    <w:rsid w:val="00A84005"/>
    <w:rsid w:val="00A8436A"/>
    <w:rsid w:val="00A84537"/>
    <w:rsid w:val="00A84A49"/>
    <w:rsid w:val="00A84C57"/>
    <w:rsid w:val="00A84D78"/>
    <w:rsid w:val="00A854FE"/>
    <w:rsid w:val="00A85628"/>
    <w:rsid w:val="00A85A07"/>
    <w:rsid w:val="00A85B37"/>
    <w:rsid w:val="00A85EDD"/>
    <w:rsid w:val="00A860BD"/>
    <w:rsid w:val="00A86212"/>
    <w:rsid w:val="00A86F24"/>
    <w:rsid w:val="00A876B4"/>
    <w:rsid w:val="00A87E88"/>
    <w:rsid w:val="00A90744"/>
    <w:rsid w:val="00A90A7F"/>
    <w:rsid w:val="00A90CA3"/>
    <w:rsid w:val="00A90D1D"/>
    <w:rsid w:val="00A91042"/>
    <w:rsid w:val="00A91331"/>
    <w:rsid w:val="00A913B1"/>
    <w:rsid w:val="00A91BC2"/>
    <w:rsid w:val="00A91DA3"/>
    <w:rsid w:val="00A91E81"/>
    <w:rsid w:val="00A91F9A"/>
    <w:rsid w:val="00A92112"/>
    <w:rsid w:val="00A92326"/>
    <w:rsid w:val="00A92639"/>
    <w:rsid w:val="00A929FB"/>
    <w:rsid w:val="00A92E51"/>
    <w:rsid w:val="00A93207"/>
    <w:rsid w:val="00A93382"/>
    <w:rsid w:val="00A934AB"/>
    <w:rsid w:val="00A93A1B"/>
    <w:rsid w:val="00A93EEC"/>
    <w:rsid w:val="00A93FDC"/>
    <w:rsid w:val="00A947CC"/>
    <w:rsid w:val="00A94B1D"/>
    <w:rsid w:val="00A953DC"/>
    <w:rsid w:val="00A96A62"/>
    <w:rsid w:val="00A973A6"/>
    <w:rsid w:val="00A97B42"/>
    <w:rsid w:val="00A97FBC"/>
    <w:rsid w:val="00A97FC1"/>
    <w:rsid w:val="00AA07BD"/>
    <w:rsid w:val="00AA140E"/>
    <w:rsid w:val="00AA163F"/>
    <w:rsid w:val="00AA1F00"/>
    <w:rsid w:val="00AA22DF"/>
    <w:rsid w:val="00AA23E3"/>
    <w:rsid w:val="00AA274D"/>
    <w:rsid w:val="00AA2ACE"/>
    <w:rsid w:val="00AA31AC"/>
    <w:rsid w:val="00AA3593"/>
    <w:rsid w:val="00AA3964"/>
    <w:rsid w:val="00AA3F27"/>
    <w:rsid w:val="00AA489E"/>
    <w:rsid w:val="00AA4E84"/>
    <w:rsid w:val="00AA5319"/>
    <w:rsid w:val="00AA581C"/>
    <w:rsid w:val="00AA5826"/>
    <w:rsid w:val="00AA589E"/>
    <w:rsid w:val="00AA5E93"/>
    <w:rsid w:val="00AA64D4"/>
    <w:rsid w:val="00AA6561"/>
    <w:rsid w:val="00AA675F"/>
    <w:rsid w:val="00AA6E2E"/>
    <w:rsid w:val="00AA6F2D"/>
    <w:rsid w:val="00AA76DE"/>
    <w:rsid w:val="00AB054C"/>
    <w:rsid w:val="00AB0589"/>
    <w:rsid w:val="00AB0713"/>
    <w:rsid w:val="00AB0788"/>
    <w:rsid w:val="00AB07D8"/>
    <w:rsid w:val="00AB0BCD"/>
    <w:rsid w:val="00AB0D40"/>
    <w:rsid w:val="00AB0FDC"/>
    <w:rsid w:val="00AB11CE"/>
    <w:rsid w:val="00AB1289"/>
    <w:rsid w:val="00AB164A"/>
    <w:rsid w:val="00AB16DF"/>
    <w:rsid w:val="00AB1714"/>
    <w:rsid w:val="00AB17C7"/>
    <w:rsid w:val="00AB196A"/>
    <w:rsid w:val="00AB1C69"/>
    <w:rsid w:val="00AB1D78"/>
    <w:rsid w:val="00AB1DA8"/>
    <w:rsid w:val="00AB2309"/>
    <w:rsid w:val="00AB26B0"/>
    <w:rsid w:val="00AB28E7"/>
    <w:rsid w:val="00AB29D4"/>
    <w:rsid w:val="00AB2DBC"/>
    <w:rsid w:val="00AB329D"/>
    <w:rsid w:val="00AB3460"/>
    <w:rsid w:val="00AB402E"/>
    <w:rsid w:val="00AB41BC"/>
    <w:rsid w:val="00AB42F2"/>
    <w:rsid w:val="00AB4F1B"/>
    <w:rsid w:val="00AB50AC"/>
    <w:rsid w:val="00AB53CE"/>
    <w:rsid w:val="00AB58BB"/>
    <w:rsid w:val="00AB5C4F"/>
    <w:rsid w:val="00AB5F06"/>
    <w:rsid w:val="00AB5F9A"/>
    <w:rsid w:val="00AB686D"/>
    <w:rsid w:val="00AB6923"/>
    <w:rsid w:val="00AB69FA"/>
    <w:rsid w:val="00AB6E37"/>
    <w:rsid w:val="00AB7346"/>
    <w:rsid w:val="00AC016D"/>
    <w:rsid w:val="00AC0869"/>
    <w:rsid w:val="00AC0E40"/>
    <w:rsid w:val="00AC0FB6"/>
    <w:rsid w:val="00AC1134"/>
    <w:rsid w:val="00AC16A9"/>
    <w:rsid w:val="00AC1D7F"/>
    <w:rsid w:val="00AC1EE7"/>
    <w:rsid w:val="00AC205E"/>
    <w:rsid w:val="00AC217B"/>
    <w:rsid w:val="00AC237C"/>
    <w:rsid w:val="00AC2400"/>
    <w:rsid w:val="00AC24E8"/>
    <w:rsid w:val="00AC2A10"/>
    <w:rsid w:val="00AC35EF"/>
    <w:rsid w:val="00AC3779"/>
    <w:rsid w:val="00AC378E"/>
    <w:rsid w:val="00AC3989"/>
    <w:rsid w:val="00AC40A8"/>
    <w:rsid w:val="00AC42AA"/>
    <w:rsid w:val="00AC47F5"/>
    <w:rsid w:val="00AC4A03"/>
    <w:rsid w:val="00AC502C"/>
    <w:rsid w:val="00AC5285"/>
    <w:rsid w:val="00AC5980"/>
    <w:rsid w:val="00AC5EBC"/>
    <w:rsid w:val="00AC6101"/>
    <w:rsid w:val="00AC6B9E"/>
    <w:rsid w:val="00AC707C"/>
    <w:rsid w:val="00AC70EF"/>
    <w:rsid w:val="00AC71EF"/>
    <w:rsid w:val="00AC7363"/>
    <w:rsid w:val="00AC7458"/>
    <w:rsid w:val="00AC7901"/>
    <w:rsid w:val="00AC7B63"/>
    <w:rsid w:val="00AC7CD2"/>
    <w:rsid w:val="00AD0074"/>
    <w:rsid w:val="00AD1285"/>
    <w:rsid w:val="00AD2319"/>
    <w:rsid w:val="00AD258E"/>
    <w:rsid w:val="00AD27A4"/>
    <w:rsid w:val="00AD2B87"/>
    <w:rsid w:val="00AD2C9E"/>
    <w:rsid w:val="00AD2D6C"/>
    <w:rsid w:val="00AD354E"/>
    <w:rsid w:val="00AD3B02"/>
    <w:rsid w:val="00AD3B48"/>
    <w:rsid w:val="00AD3CDE"/>
    <w:rsid w:val="00AD3DC4"/>
    <w:rsid w:val="00AD3F13"/>
    <w:rsid w:val="00AD426C"/>
    <w:rsid w:val="00AD458B"/>
    <w:rsid w:val="00AD46B3"/>
    <w:rsid w:val="00AD4B72"/>
    <w:rsid w:val="00AD507A"/>
    <w:rsid w:val="00AD5366"/>
    <w:rsid w:val="00AD54F5"/>
    <w:rsid w:val="00AD5962"/>
    <w:rsid w:val="00AD5F61"/>
    <w:rsid w:val="00AD6046"/>
    <w:rsid w:val="00AD63B2"/>
    <w:rsid w:val="00AD67D3"/>
    <w:rsid w:val="00AD71A7"/>
    <w:rsid w:val="00AD71B5"/>
    <w:rsid w:val="00AD745E"/>
    <w:rsid w:val="00AD74F3"/>
    <w:rsid w:val="00AD7821"/>
    <w:rsid w:val="00AD7B55"/>
    <w:rsid w:val="00AE0A07"/>
    <w:rsid w:val="00AE0ABA"/>
    <w:rsid w:val="00AE0E03"/>
    <w:rsid w:val="00AE0F79"/>
    <w:rsid w:val="00AE11F1"/>
    <w:rsid w:val="00AE196B"/>
    <w:rsid w:val="00AE19D1"/>
    <w:rsid w:val="00AE1D63"/>
    <w:rsid w:val="00AE239C"/>
    <w:rsid w:val="00AE2618"/>
    <w:rsid w:val="00AE28A9"/>
    <w:rsid w:val="00AE2BE1"/>
    <w:rsid w:val="00AE2C4F"/>
    <w:rsid w:val="00AE3136"/>
    <w:rsid w:val="00AE3A9A"/>
    <w:rsid w:val="00AE3B4A"/>
    <w:rsid w:val="00AE3C41"/>
    <w:rsid w:val="00AE3D07"/>
    <w:rsid w:val="00AE3DCB"/>
    <w:rsid w:val="00AE446E"/>
    <w:rsid w:val="00AE45B9"/>
    <w:rsid w:val="00AE4638"/>
    <w:rsid w:val="00AE4903"/>
    <w:rsid w:val="00AE4A8D"/>
    <w:rsid w:val="00AE4AF9"/>
    <w:rsid w:val="00AE4CA6"/>
    <w:rsid w:val="00AE564A"/>
    <w:rsid w:val="00AE58E7"/>
    <w:rsid w:val="00AE591C"/>
    <w:rsid w:val="00AE5A9F"/>
    <w:rsid w:val="00AE5C4E"/>
    <w:rsid w:val="00AE6202"/>
    <w:rsid w:val="00AE62E3"/>
    <w:rsid w:val="00AE6310"/>
    <w:rsid w:val="00AE68A5"/>
    <w:rsid w:val="00AE68B2"/>
    <w:rsid w:val="00AE6D10"/>
    <w:rsid w:val="00AE6F87"/>
    <w:rsid w:val="00AE7581"/>
    <w:rsid w:val="00AE7C0D"/>
    <w:rsid w:val="00AE7DFD"/>
    <w:rsid w:val="00AE7E31"/>
    <w:rsid w:val="00AF02B9"/>
    <w:rsid w:val="00AF0E7C"/>
    <w:rsid w:val="00AF0F12"/>
    <w:rsid w:val="00AF0F73"/>
    <w:rsid w:val="00AF1154"/>
    <w:rsid w:val="00AF13F7"/>
    <w:rsid w:val="00AF14F3"/>
    <w:rsid w:val="00AF245B"/>
    <w:rsid w:val="00AF2544"/>
    <w:rsid w:val="00AF284D"/>
    <w:rsid w:val="00AF2ADE"/>
    <w:rsid w:val="00AF3248"/>
    <w:rsid w:val="00AF35F8"/>
    <w:rsid w:val="00AF3828"/>
    <w:rsid w:val="00AF39BA"/>
    <w:rsid w:val="00AF4376"/>
    <w:rsid w:val="00AF4976"/>
    <w:rsid w:val="00AF4AFB"/>
    <w:rsid w:val="00AF4BE3"/>
    <w:rsid w:val="00AF4FAF"/>
    <w:rsid w:val="00AF5235"/>
    <w:rsid w:val="00AF56B8"/>
    <w:rsid w:val="00AF574E"/>
    <w:rsid w:val="00AF5839"/>
    <w:rsid w:val="00AF5C77"/>
    <w:rsid w:val="00AF5CAA"/>
    <w:rsid w:val="00AF5D2B"/>
    <w:rsid w:val="00AF6496"/>
    <w:rsid w:val="00AF66BB"/>
    <w:rsid w:val="00AF6BCA"/>
    <w:rsid w:val="00AF6C6D"/>
    <w:rsid w:val="00AF6E1A"/>
    <w:rsid w:val="00AF74F6"/>
    <w:rsid w:val="00AF7BD4"/>
    <w:rsid w:val="00AF7F98"/>
    <w:rsid w:val="00B00122"/>
    <w:rsid w:val="00B00497"/>
    <w:rsid w:val="00B007BE"/>
    <w:rsid w:val="00B0089A"/>
    <w:rsid w:val="00B00A7F"/>
    <w:rsid w:val="00B01097"/>
    <w:rsid w:val="00B01356"/>
    <w:rsid w:val="00B01BEE"/>
    <w:rsid w:val="00B01DDC"/>
    <w:rsid w:val="00B01F0F"/>
    <w:rsid w:val="00B020C0"/>
    <w:rsid w:val="00B02327"/>
    <w:rsid w:val="00B02595"/>
    <w:rsid w:val="00B03346"/>
    <w:rsid w:val="00B034AC"/>
    <w:rsid w:val="00B035A6"/>
    <w:rsid w:val="00B03CB9"/>
    <w:rsid w:val="00B03D3E"/>
    <w:rsid w:val="00B03D85"/>
    <w:rsid w:val="00B03E0C"/>
    <w:rsid w:val="00B0408B"/>
    <w:rsid w:val="00B04311"/>
    <w:rsid w:val="00B04353"/>
    <w:rsid w:val="00B043CC"/>
    <w:rsid w:val="00B04665"/>
    <w:rsid w:val="00B04751"/>
    <w:rsid w:val="00B04874"/>
    <w:rsid w:val="00B04A90"/>
    <w:rsid w:val="00B0542D"/>
    <w:rsid w:val="00B05500"/>
    <w:rsid w:val="00B05695"/>
    <w:rsid w:val="00B05880"/>
    <w:rsid w:val="00B05BBD"/>
    <w:rsid w:val="00B06136"/>
    <w:rsid w:val="00B0635D"/>
    <w:rsid w:val="00B063F1"/>
    <w:rsid w:val="00B06637"/>
    <w:rsid w:val="00B06845"/>
    <w:rsid w:val="00B07520"/>
    <w:rsid w:val="00B0759E"/>
    <w:rsid w:val="00B076E2"/>
    <w:rsid w:val="00B07E98"/>
    <w:rsid w:val="00B10285"/>
    <w:rsid w:val="00B10A26"/>
    <w:rsid w:val="00B10BC7"/>
    <w:rsid w:val="00B10C11"/>
    <w:rsid w:val="00B10CCC"/>
    <w:rsid w:val="00B10D3C"/>
    <w:rsid w:val="00B10E1C"/>
    <w:rsid w:val="00B10F07"/>
    <w:rsid w:val="00B10F4C"/>
    <w:rsid w:val="00B112DC"/>
    <w:rsid w:val="00B113D6"/>
    <w:rsid w:val="00B11634"/>
    <w:rsid w:val="00B11688"/>
    <w:rsid w:val="00B12858"/>
    <w:rsid w:val="00B12A05"/>
    <w:rsid w:val="00B12CB2"/>
    <w:rsid w:val="00B1367F"/>
    <w:rsid w:val="00B137FF"/>
    <w:rsid w:val="00B13A89"/>
    <w:rsid w:val="00B13AFD"/>
    <w:rsid w:val="00B140BA"/>
    <w:rsid w:val="00B140E9"/>
    <w:rsid w:val="00B14279"/>
    <w:rsid w:val="00B14426"/>
    <w:rsid w:val="00B14A49"/>
    <w:rsid w:val="00B14B94"/>
    <w:rsid w:val="00B14D8D"/>
    <w:rsid w:val="00B150A1"/>
    <w:rsid w:val="00B15469"/>
    <w:rsid w:val="00B15C5A"/>
    <w:rsid w:val="00B15CAD"/>
    <w:rsid w:val="00B16C44"/>
    <w:rsid w:val="00B17119"/>
    <w:rsid w:val="00B17127"/>
    <w:rsid w:val="00B172D1"/>
    <w:rsid w:val="00B1748C"/>
    <w:rsid w:val="00B17635"/>
    <w:rsid w:val="00B176E0"/>
    <w:rsid w:val="00B17A59"/>
    <w:rsid w:val="00B2011C"/>
    <w:rsid w:val="00B20489"/>
    <w:rsid w:val="00B205F2"/>
    <w:rsid w:val="00B20733"/>
    <w:rsid w:val="00B20D50"/>
    <w:rsid w:val="00B20FAA"/>
    <w:rsid w:val="00B21027"/>
    <w:rsid w:val="00B21CB3"/>
    <w:rsid w:val="00B22483"/>
    <w:rsid w:val="00B22566"/>
    <w:rsid w:val="00B22618"/>
    <w:rsid w:val="00B2270F"/>
    <w:rsid w:val="00B227AF"/>
    <w:rsid w:val="00B22918"/>
    <w:rsid w:val="00B22CB7"/>
    <w:rsid w:val="00B22E08"/>
    <w:rsid w:val="00B230E3"/>
    <w:rsid w:val="00B23524"/>
    <w:rsid w:val="00B237F4"/>
    <w:rsid w:val="00B23973"/>
    <w:rsid w:val="00B23B13"/>
    <w:rsid w:val="00B23CCE"/>
    <w:rsid w:val="00B23DF7"/>
    <w:rsid w:val="00B23ECD"/>
    <w:rsid w:val="00B24A0B"/>
    <w:rsid w:val="00B24D97"/>
    <w:rsid w:val="00B25302"/>
    <w:rsid w:val="00B25E34"/>
    <w:rsid w:val="00B26BF5"/>
    <w:rsid w:val="00B26CF8"/>
    <w:rsid w:val="00B27253"/>
    <w:rsid w:val="00B276D9"/>
    <w:rsid w:val="00B276E1"/>
    <w:rsid w:val="00B30119"/>
    <w:rsid w:val="00B30B4B"/>
    <w:rsid w:val="00B311F7"/>
    <w:rsid w:val="00B3159C"/>
    <w:rsid w:val="00B31C54"/>
    <w:rsid w:val="00B31FE6"/>
    <w:rsid w:val="00B3218F"/>
    <w:rsid w:val="00B322FD"/>
    <w:rsid w:val="00B32413"/>
    <w:rsid w:val="00B32436"/>
    <w:rsid w:val="00B3246B"/>
    <w:rsid w:val="00B32837"/>
    <w:rsid w:val="00B32C0E"/>
    <w:rsid w:val="00B32CA4"/>
    <w:rsid w:val="00B32D34"/>
    <w:rsid w:val="00B32FD8"/>
    <w:rsid w:val="00B33109"/>
    <w:rsid w:val="00B335B7"/>
    <w:rsid w:val="00B3373E"/>
    <w:rsid w:val="00B3379C"/>
    <w:rsid w:val="00B34178"/>
    <w:rsid w:val="00B3462F"/>
    <w:rsid w:val="00B348AF"/>
    <w:rsid w:val="00B34B35"/>
    <w:rsid w:val="00B3526C"/>
    <w:rsid w:val="00B356C8"/>
    <w:rsid w:val="00B358D5"/>
    <w:rsid w:val="00B360A6"/>
    <w:rsid w:val="00B3644B"/>
    <w:rsid w:val="00B36B2B"/>
    <w:rsid w:val="00B37405"/>
    <w:rsid w:val="00B3747B"/>
    <w:rsid w:val="00B37DFB"/>
    <w:rsid w:val="00B37EAC"/>
    <w:rsid w:val="00B4029A"/>
    <w:rsid w:val="00B40E50"/>
    <w:rsid w:val="00B410C8"/>
    <w:rsid w:val="00B41DC6"/>
    <w:rsid w:val="00B4201F"/>
    <w:rsid w:val="00B4256A"/>
    <w:rsid w:val="00B425C3"/>
    <w:rsid w:val="00B42C78"/>
    <w:rsid w:val="00B43103"/>
    <w:rsid w:val="00B43A4E"/>
    <w:rsid w:val="00B445AA"/>
    <w:rsid w:val="00B4475C"/>
    <w:rsid w:val="00B4521B"/>
    <w:rsid w:val="00B453FC"/>
    <w:rsid w:val="00B45579"/>
    <w:rsid w:val="00B455AE"/>
    <w:rsid w:val="00B457F2"/>
    <w:rsid w:val="00B45943"/>
    <w:rsid w:val="00B4626E"/>
    <w:rsid w:val="00B46680"/>
    <w:rsid w:val="00B466AF"/>
    <w:rsid w:val="00B474BF"/>
    <w:rsid w:val="00B4761C"/>
    <w:rsid w:val="00B476A6"/>
    <w:rsid w:val="00B47780"/>
    <w:rsid w:val="00B479F1"/>
    <w:rsid w:val="00B510AD"/>
    <w:rsid w:val="00B5198B"/>
    <w:rsid w:val="00B51994"/>
    <w:rsid w:val="00B519F8"/>
    <w:rsid w:val="00B51E99"/>
    <w:rsid w:val="00B51FBF"/>
    <w:rsid w:val="00B52143"/>
    <w:rsid w:val="00B5223C"/>
    <w:rsid w:val="00B5240E"/>
    <w:rsid w:val="00B52F38"/>
    <w:rsid w:val="00B53010"/>
    <w:rsid w:val="00B531C4"/>
    <w:rsid w:val="00B53323"/>
    <w:rsid w:val="00B534A5"/>
    <w:rsid w:val="00B537E6"/>
    <w:rsid w:val="00B53EA4"/>
    <w:rsid w:val="00B53FF3"/>
    <w:rsid w:val="00B54191"/>
    <w:rsid w:val="00B541D6"/>
    <w:rsid w:val="00B54AED"/>
    <w:rsid w:val="00B553F6"/>
    <w:rsid w:val="00B55507"/>
    <w:rsid w:val="00B55B74"/>
    <w:rsid w:val="00B55C10"/>
    <w:rsid w:val="00B56190"/>
    <w:rsid w:val="00B565FA"/>
    <w:rsid w:val="00B569E3"/>
    <w:rsid w:val="00B56BB0"/>
    <w:rsid w:val="00B57214"/>
    <w:rsid w:val="00B574A9"/>
    <w:rsid w:val="00B574B5"/>
    <w:rsid w:val="00B576BC"/>
    <w:rsid w:val="00B576C3"/>
    <w:rsid w:val="00B57AE2"/>
    <w:rsid w:val="00B57C0E"/>
    <w:rsid w:val="00B57E66"/>
    <w:rsid w:val="00B5A949"/>
    <w:rsid w:val="00B600C3"/>
    <w:rsid w:val="00B6054F"/>
    <w:rsid w:val="00B60C4D"/>
    <w:rsid w:val="00B61215"/>
    <w:rsid w:val="00B61325"/>
    <w:rsid w:val="00B6176F"/>
    <w:rsid w:val="00B61E14"/>
    <w:rsid w:val="00B61EFD"/>
    <w:rsid w:val="00B62117"/>
    <w:rsid w:val="00B62207"/>
    <w:rsid w:val="00B623FF"/>
    <w:rsid w:val="00B62955"/>
    <w:rsid w:val="00B62FCD"/>
    <w:rsid w:val="00B6369C"/>
    <w:rsid w:val="00B63B8D"/>
    <w:rsid w:val="00B63F42"/>
    <w:rsid w:val="00B63F9A"/>
    <w:rsid w:val="00B63FDD"/>
    <w:rsid w:val="00B64175"/>
    <w:rsid w:val="00B641E9"/>
    <w:rsid w:val="00B6459B"/>
    <w:rsid w:val="00B65FA3"/>
    <w:rsid w:val="00B65FC5"/>
    <w:rsid w:val="00B66662"/>
    <w:rsid w:val="00B6674B"/>
    <w:rsid w:val="00B66A83"/>
    <w:rsid w:val="00B66C03"/>
    <w:rsid w:val="00B66CFF"/>
    <w:rsid w:val="00B6705E"/>
    <w:rsid w:val="00B67130"/>
    <w:rsid w:val="00B67176"/>
    <w:rsid w:val="00B673B2"/>
    <w:rsid w:val="00B6763A"/>
    <w:rsid w:val="00B67CBC"/>
    <w:rsid w:val="00B67D9A"/>
    <w:rsid w:val="00B67E60"/>
    <w:rsid w:val="00B67EB6"/>
    <w:rsid w:val="00B70298"/>
    <w:rsid w:val="00B70463"/>
    <w:rsid w:val="00B704F8"/>
    <w:rsid w:val="00B705C1"/>
    <w:rsid w:val="00B709B4"/>
    <w:rsid w:val="00B70BE8"/>
    <w:rsid w:val="00B70CBC"/>
    <w:rsid w:val="00B70E67"/>
    <w:rsid w:val="00B7119E"/>
    <w:rsid w:val="00B713AF"/>
    <w:rsid w:val="00B714AD"/>
    <w:rsid w:val="00B719F3"/>
    <w:rsid w:val="00B71B00"/>
    <w:rsid w:val="00B722C8"/>
    <w:rsid w:val="00B7235D"/>
    <w:rsid w:val="00B7277D"/>
    <w:rsid w:val="00B729C7"/>
    <w:rsid w:val="00B72AAC"/>
    <w:rsid w:val="00B72B16"/>
    <w:rsid w:val="00B72F91"/>
    <w:rsid w:val="00B733B2"/>
    <w:rsid w:val="00B736E1"/>
    <w:rsid w:val="00B73D3B"/>
    <w:rsid w:val="00B73DFF"/>
    <w:rsid w:val="00B73E11"/>
    <w:rsid w:val="00B74204"/>
    <w:rsid w:val="00B74259"/>
    <w:rsid w:val="00B74789"/>
    <w:rsid w:val="00B7495B"/>
    <w:rsid w:val="00B74A1F"/>
    <w:rsid w:val="00B74D13"/>
    <w:rsid w:val="00B74E92"/>
    <w:rsid w:val="00B75191"/>
    <w:rsid w:val="00B75708"/>
    <w:rsid w:val="00B7590C"/>
    <w:rsid w:val="00B75DD5"/>
    <w:rsid w:val="00B75F73"/>
    <w:rsid w:val="00B76003"/>
    <w:rsid w:val="00B76334"/>
    <w:rsid w:val="00B763F2"/>
    <w:rsid w:val="00B76488"/>
    <w:rsid w:val="00B76EBF"/>
    <w:rsid w:val="00B770A1"/>
    <w:rsid w:val="00B772F5"/>
    <w:rsid w:val="00B800B3"/>
    <w:rsid w:val="00B804A2"/>
    <w:rsid w:val="00B81807"/>
    <w:rsid w:val="00B81828"/>
    <w:rsid w:val="00B81880"/>
    <w:rsid w:val="00B818C5"/>
    <w:rsid w:val="00B81D20"/>
    <w:rsid w:val="00B81EE0"/>
    <w:rsid w:val="00B81EE3"/>
    <w:rsid w:val="00B81FD1"/>
    <w:rsid w:val="00B8333D"/>
    <w:rsid w:val="00B83C16"/>
    <w:rsid w:val="00B84166"/>
    <w:rsid w:val="00B841C2"/>
    <w:rsid w:val="00B844B0"/>
    <w:rsid w:val="00B84535"/>
    <w:rsid w:val="00B849E0"/>
    <w:rsid w:val="00B84BC1"/>
    <w:rsid w:val="00B84D0B"/>
    <w:rsid w:val="00B8509C"/>
    <w:rsid w:val="00B858AB"/>
    <w:rsid w:val="00B85B39"/>
    <w:rsid w:val="00B85C95"/>
    <w:rsid w:val="00B86354"/>
    <w:rsid w:val="00B8659F"/>
    <w:rsid w:val="00B8682C"/>
    <w:rsid w:val="00B869BD"/>
    <w:rsid w:val="00B86AA4"/>
    <w:rsid w:val="00B86B3A"/>
    <w:rsid w:val="00B879C5"/>
    <w:rsid w:val="00B87A17"/>
    <w:rsid w:val="00B87B13"/>
    <w:rsid w:val="00B87C2A"/>
    <w:rsid w:val="00B87E6C"/>
    <w:rsid w:val="00B87F8E"/>
    <w:rsid w:val="00B90392"/>
    <w:rsid w:val="00B903EA"/>
    <w:rsid w:val="00B912F0"/>
    <w:rsid w:val="00B91450"/>
    <w:rsid w:val="00B91CB2"/>
    <w:rsid w:val="00B922B6"/>
    <w:rsid w:val="00B9247C"/>
    <w:rsid w:val="00B92692"/>
    <w:rsid w:val="00B931A5"/>
    <w:rsid w:val="00B9365D"/>
    <w:rsid w:val="00B93861"/>
    <w:rsid w:val="00B93CBB"/>
    <w:rsid w:val="00B93F4C"/>
    <w:rsid w:val="00B94091"/>
    <w:rsid w:val="00B9409F"/>
    <w:rsid w:val="00B94144"/>
    <w:rsid w:val="00B944AD"/>
    <w:rsid w:val="00B946FE"/>
    <w:rsid w:val="00B9475F"/>
    <w:rsid w:val="00B94CD8"/>
    <w:rsid w:val="00B94FC3"/>
    <w:rsid w:val="00B94FF3"/>
    <w:rsid w:val="00B954A4"/>
    <w:rsid w:val="00B95985"/>
    <w:rsid w:val="00B95C76"/>
    <w:rsid w:val="00B95D3A"/>
    <w:rsid w:val="00B95E32"/>
    <w:rsid w:val="00B95E92"/>
    <w:rsid w:val="00B96360"/>
    <w:rsid w:val="00B96362"/>
    <w:rsid w:val="00B96D8A"/>
    <w:rsid w:val="00B96E0D"/>
    <w:rsid w:val="00B96F9F"/>
    <w:rsid w:val="00B96FEA"/>
    <w:rsid w:val="00B9705B"/>
    <w:rsid w:val="00B971E8"/>
    <w:rsid w:val="00B9727A"/>
    <w:rsid w:val="00B97288"/>
    <w:rsid w:val="00B9736B"/>
    <w:rsid w:val="00B97471"/>
    <w:rsid w:val="00B97816"/>
    <w:rsid w:val="00B979BF"/>
    <w:rsid w:val="00B97CC5"/>
    <w:rsid w:val="00B97E32"/>
    <w:rsid w:val="00B97EA7"/>
    <w:rsid w:val="00BA0991"/>
    <w:rsid w:val="00BA0D04"/>
    <w:rsid w:val="00BA1549"/>
    <w:rsid w:val="00BA16B6"/>
    <w:rsid w:val="00BA2C00"/>
    <w:rsid w:val="00BA2D1D"/>
    <w:rsid w:val="00BA32A7"/>
    <w:rsid w:val="00BA3973"/>
    <w:rsid w:val="00BA3A92"/>
    <w:rsid w:val="00BA3ECD"/>
    <w:rsid w:val="00BA412E"/>
    <w:rsid w:val="00BA45D7"/>
    <w:rsid w:val="00BA540D"/>
    <w:rsid w:val="00BA55E3"/>
    <w:rsid w:val="00BA5D58"/>
    <w:rsid w:val="00BA665A"/>
    <w:rsid w:val="00BA6808"/>
    <w:rsid w:val="00BA6C0E"/>
    <w:rsid w:val="00BA6C4A"/>
    <w:rsid w:val="00BA6E97"/>
    <w:rsid w:val="00BA6E98"/>
    <w:rsid w:val="00BA76EA"/>
    <w:rsid w:val="00BA781D"/>
    <w:rsid w:val="00BA784F"/>
    <w:rsid w:val="00BA7CD7"/>
    <w:rsid w:val="00BA7E22"/>
    <w:rsid w:val="00BB021B"/>
    <w:rsid w:val="00BB0BFB"/>
    <w:rsid w:val="00BB0DA9"/>
    <w:rsid w:val="00BB110B"/>
    <w:rsid w:val="00BB147A"/>
    <w:rsid w:val="00BB1931"/>
    <w:rsid w:val="00BB1BCB"/>
    <w:rsid w:val="00BB22C2"/>
    <w:rsid w:val="00BB24FF"/>
    <w:rsid w:val="00BB2C10"/>
    <w:rsid w:val="00BB2F92"/>
    <w:rsid w:val="00BB2F9B"/>
    <w:rsid w:val="00BB325F"/>
    <w:rsid w:val="00BB3321"/>
    <w:rsid w:val="00BB364D"/>
    <w:rsid w:val="00BB3769"/>
    <w:rsid w:val="00BB38C3"/>
    <w:rsid w:val="00BB3DAA"/>
    <w:rsid w:val="00BB3F38"/>
    <w:rsid w:val="00BB40DD"/>
    <w:rsid w:val="00BB4332"/>
    <w:rsid w:val="00BB46CF"/>
    <w:rsid w:val="00BB4C39"/>
    <w:rsid w:val="00BB5469"/>
    <w:rsid w:val="00BB5493"/>
    <w:rsid w:val="00BB57A7"/>
    <w:rsid w:val="00BB5C8C"/>
    <w:rsid w:val="00BB5F23"/>
    <w:rsid w:val="00BB6067"/>
    <w:rsid w:val="00BB68CE"/>
    <w:rsid w:val="00BB6C2A"/>
    <w:rsid w:val="00BB6E51"/>
    <w:rsid w:val="00BB729B"/>
    <w:rsid w:val="00BB72E4"/>
    <w:rsid w:val="00BB7501"/>
    <w:rsid w:val="00BB7698"/>
    <w:rsid w:val="00BB7787"/>
    <w:rsid w:val="00BB7ACE"/>
    <w:rsid w:val="00BB7AD4"/>
    <w:rsid w:val="00BB7B11"/>
    <w:rsid w:val="00BB7E47"/>
    <w:rsid w:val="00BB7E5F"/>
    <w:rsid w:val="00BB7E99"/>
    <w:rsid w:val="00BC009E"/>
    <w:rsid w:val="00BC04AB"/>
    <w:rsid w:val="00BC0B72"/>
    <w:rsid w:val="00BC1311"/>
    <w:rsid w:val="00BC1BB6"/>
    <w:rsid w:val="00BC1C14"/>
    <w:rsid w:val="00BC213F"/>
    <w:rsid w:val="00BC2263"/>
    <w:rsid w:val="00BC283A"/>
    <w:rsid w:val="00BC28F2"/>
    <w:rsid w:val="00BC3345"/>
    <w:rsid w:val="00BC39B4"/>
    <w:rsid w:val="00BC3A0B"/>
    <w:rsid w:val="00BC3F1F"/>
    <w:rsid w:val="00BC4653"/>
    <w:rsid w:val="00BC46DC"/>
    <w:rsid w:val="00BC4780"/>
    <w:rsid w:val="00BC48F9"/>
    <w:rsid w:val="00BC49B6"/>
    <w:rsid w:val="00BC4CAA"/>
    <w:rsid w:val="00BC4EA6"/>
    <w:rsid w:val="00BC5F1C"/>
    <w:rsid w:val="00BC5F88"/>
    <w:rsid w:val="00BC5F9F"/>
    <w:rsid w:val="00BC68DF"/>
    <w:rsid w:val="00BC6910"/>
    <w:rsid w:val="00BC6C6D"/>
    <w:rsid w:val="00BC6CC4"/>
    <w:rsid w:val="00BC6ED2"/>
    <w:rsid w:val="00BC73B9"/>
    <w:rsid w:val="00BC75FA"/>
    <w:rsid w:val="00BC7822"/>
    <w:rsid w:val="00BC7A09"/>
    <w:rsid w:val="00BD08AF"/>
    <w:rsid w:val="00BD09D1"/>
    <w:rsid w:val="00BD134F"/>
    <w:rsid w:val="00BD18FE"/>
    <w:rsid w:val="00BD1E63"/>
    <w:rsid w:val="00BD2880"/>
    <w:rsid w:val="00BD30D9"/>
    <w:rsid w:val="00BD34E4"/>
    <w:rsid w:val="00BD38B5"/>
    <w:rsid w:val="00BD39BB"/>
    <w:rsid w:val="00BD3C0D"/>
    <w:rsid w:val="00BD3DD8"/>
    <w:rsid w:val="00BD3FAE"/>
    <w:rsid w:val="00BD417B"/>
    <w:rsid w:val="00BD4408"/>
    <w:rsid w:val="00BD4426"/>
    <w:rsid w:val="00BD44EF"/>
    <w:rsid w:val="00BD450E"/>
    <w:rsid w:val="00BD4558"/>
    <w:rsid w:val="00BD47E8"/>
    <w:rsid w:val="00BD5020"/>
    <w:rsid w:val="00BD539A"/>
    <w:rsid w:val="00BD6188"/>
    <w:rsid w:val="00BD6267"/>
    <w:rsid w:val="00BD67C4"/>
    <w:rsid w:val="00BD6B36"/>
    <w:rsid w:val="00BD6B74"/>
    <w:rsid w:val="00BD6FCC"/>
    <w:rsid w:val="00BD701D"/>
    <w:rsid w:val="00BD7808"/>
    <w:rsid w:val="00BD784B"/>
    <w:rsid w:val="00BD7A04"/>
    <w:rsid w:val="00BD7E2C"/>
    <w:rsid w:val="00BD7EA4"/>
    <w:rsid w:val="00BD7F83"/>
    <w:rsid w:val="00BE00D1"/>
    <w:rsid w:val="00BE02A7"/>
    <w:rsid w:val="00BE0A75"/>
    <w:rsid w:val="00BE16DF"/>
    <w:rsid w:val="00BE189C"/>
    <w:rsid w:val="00BE1907"/>
    <w:rsid w:val="00BE1FD5"/>
    <w:rsid w:val="00BE25B4"/>
    <w:rsid w:val="00BE265E"/>
    <w:rsid w:val="00BE2835"/>
    <w:rsid w:val="00BE2A8D"/>
    <w:rsid w:val="00BE3138"/>
    <w:rsid w:val="00BE34CB"/>
    <w:rsid w:val="00BE3800"/>
    <w:rsid w:val="00BE3D0D"/>
    <w:rsid w:val="00BE3ED6"/>
    <w:rsid w:val="00BE3F20"/>
    <w:rsid w:val="00BE4057"/>
    <w:rsid w:val="00BE42E1"/>
    <w:rsid w:val="00BE44D4"/>
    <w:rsid w:val="00BE48D5"/>
    <w:rsid w:val="00BE4AFA"/>
    <w:rsid w:val="00BE4CD8"/>
    <w:rsid w:val="00BE4DFF"/>
    <w:rsid w:val="00BE4FC1"/>
    <w:rsid w:val="00BE57A5"/>
    <w:rsid w:val="00BE59EB"/>
    <w:rsid w:val="00BE5C5F"/>
    <w:rsid w:val="00BE5CB2"/>
    <w:rsid w:val="00BE5EC7"/>
    <w:rsid w:val="00BE6963"/>
    <w:rsid w:val="00BE6AFF"/>
    <w:rsid w:val="00BE70DE"/>
    <w:rsid w:val="00BE71EC"/>
    <w:rsid w:val="00BE7317"/>
    <w:rsid w:val="00BE731B"/>
    <w:rsid w:val="00BF000E"/>
    <w:rsid w:val="00BF05A9"/>
    <w:rsid w:val="00BF0838"/>
    <w:rsid w:val="00BF0A5E"/>
    <w:rsid w:val="00BF1245"/>
    <w:rsid w:val="00BF129E"/>
    <w:rsid w:val="00BF12E4"/>
    <w:rsid w:val="00BF1476"/>
    <w:rsid w:val="00BF1597"/>
    <w:rsid w:val="00BF1937"/>
    <w:rsid w:val="00BF1C3D"/>
    <w:rsid w:val="00BF1F39"/>
    <w:rsid w:val="00BF201F"/>
    <w:rsid w:val="00BF215F"/>
    <w:rsid w:val="00BF252C"/>
    <w:rsid w:val="00BF29C0"/>
    <w:rsid w:val="00BF2AE2"/>
    <w:rsid w:val="00BF3A1A"/>
    <w:rsid w:val="00BF3BF4"/>
    <w:rsid w:val="00BF3EFF"/>
    <w:rsid w:val="00BF3F87"/>
    <w:rsid w:val="00BF3FEF"/>
    <w:rsid w:val="00BF423B"/>
    <w:rsid w:val="00BF44F8"/>
    <w:rsid w:val="00BF4539"/>
    <w:rsid w:val="00BF5020"/>
    <w:rsid w:val="00BF587E"/>
    <w:rsid w:val="00BF5C88"/>
    <w:rsid w:val="00BF5EAB"/>
    <w:rsid w:val="00BF6409"/>
    <w:rsid w:val="00BF6C6F"/>
    <w:rsid w:val="00BF6D57"/>
    <w:rsid w:val="00BF6F61"/>
    <w:rsid w:val="00BF6FD0"/>
    <w:rsid w:val="00BF700F"/>
    <w:rsid w:val="00BF7652"/>
    <w:rsid w:val="00BF77A6"/>
    <w:rsid w:val="00BF7DEA"/>
    <w:rsid w:val="00C0022A"/>
    <w:rsid w:val="00C00412"/>
    <w:rsid w:val="00C004CA"/>
    <w:rsid w:val="00C007BD"/>
    <w:rsid w:val="00C00841"/>
    <w:rsid w:val="00C008DD"/>
    <w:rsid w:val="00C00C70"/>
    <w:rsid w:val="00C00E12"/>
    <w:rsid w:val="00C00E9F"/>
    <w:rsid w:val="00C00F58"/>
    <w:rsid w:val="00C0125D"/>
    <w:rsid w:val="00C0144E"/>
    <w:rsid w:val="00C01723"/>
    <w:rsid w:val="00C01CC6"/>
    <w:rsid w:val="00C01FBF"/>
    <w:rsid w:val="00C026C4"/>
    <w:rsid w:val="00C02852"/>
    <w:rsid w:val="00C02D55"/>
    <w:rsid w:val="00C030B6"/>
    <w:rsid w:val="00C0375E"/>
    <w:rsid w:val="00C03B59"/>
    <w:rsid w:val="00C03DF1"/>
    <w:rsid w:val="00C03F48"/>
    <w:rsid w:val="00C04540"/>
    <w:rsid w:val="00C04978"/>
    <w:rsid w:val="00C04CAF"/>
    <w:rsid w:val="00C04D0F"/>
    <w:rsid w:val="00C04DBF"/>
    <w:rsid w:val="00C050BE"/>
    <w:rsid w:val="00C05106"/>
    <w:rsid w:val="00C05132"/>
    <w:rsid w:val="00C0529E"/>
    <w:rsid w:val="00C0541A"/>
    <w:rsid w:val="00C059E9"/>
    <w:rsid w:val="00C05D82"/>
    <w:rsid w:val="00C05FCD"/>
    <w:rsid w:val="00C06227"/>
    <w:rsid w:val="00C06666"/>
    <w:rsid w:val="00C06798"/>
    <w:rsid w:val="00C069B8"/>
    <w:rsid w:val="00C0735C"/>
    <w:rsid w:val="00C0738A"/>
    <w:rsid w:val="00C07500"/>
    <w:rsid w:val="00C07597"/>
    <w:rsid w:val="00C07C56"/>
    <w:rsid w:val="00C07C75"/>
    <w:rsid w:val="00C1013F"/>
    <w:rsid w:val="00C10147"/>
    <w:rsid w:val="00C10A6E"/>
    <w:rsid w:val="00C10C25"/>
    <w:rsid w:val="00C1118D"/>
    <w:rsid w:val="00C115DD"/>
    <w:rsid w:val="00C11D78"/>
    <w:rsid w:val="00C12165"/>
    <w:rsid w:val="00C12411"/>
    <w:rsid w:val="00C12737"/>
    <w:rsid w:val="00C127B1"/>
    <w:rsid w:val="00C12D24"/>
    <w:rsid w:val="00C12E73"/>
    <w:rsid w:val="00C1329B"/>
    <w:rsid w:val="00C134CC"/>
    <w:rsid w:val="00C1357D"/>
    <w:rsid w:val="00C136C8"/>
    <w:rsid w:val="00C139C7"/>
    <w:rsid w:val="00C13ADA"/>
    <w:rsid w:val="00C14102"/>
    <w:rsid w:val="00C14111"/>
    <w:rsid w:val="00C141B0"/>
    <w:rsid w:val="00C14892"/>
    <w:rsid w:val="00C14BEA"/>
    <w:rsid w:val="00C14DB1"/>
    <w:rsid w:val="00C1592F"/>
    <w:rsid w:val="00C15AE1"/>
    <w:rsid w:val="00C15BF3"/>
    <w:rsid w:val="00C15CBE"/>
    <w:rsid w:val="00C168AC"/>
    <w:rsid w:val="00C16BB6"/>
    <w:rsid w:val="00C16BF1"/>
    <w:rsid w:val="00C16DB7"/>
    <w:rsid w:val="00C1707E"/>
    <w:rsid w:val="00C176F9"/>
    <w:rsid w:val="00C17947"/>
    <w:rsid w:val="00C20159"/>
    <w:rsid w:val="00C20248"/>
    <w:rsid w:val="00C20327"/>
    <w:rsid w:val="00C20781"/>
    <w:rsid w:val="00C20987"/>
    <w:rsid w:val="00C20DE7"/>
    <w:rsid w:val="00C20F2C"/>
    <w:rsid w:val="00C21067"/>
    <w:rsid w:val="00C21205"/>
    <w:rsid w:val="00C214CB"/>
    <w:rsid w:val="00C21639"/>
    <w:rsid w:val="00C2165F"/>
    <w:rsid w:val="00C218C0"/>
    <w:rsid w:val="00C2215B"/>
    <w:rsid w:val="00C22B64"/>
    <w:rsid w:val="00C22ED2"/>
    <w:rsid w:val="00C22F8C"/>
    <w:rsid w:val="00C236D2"/>
    <w:rsid w:val="00C23869"/>
    <w:rsid w:val="00C23964"/>
    <w:rsid w:val="00C239E9"/>
    <w:rsid w:val="00C23AD9"/>
    <w:rsid w:val="00C23D43"/>
    <w:rsid w:val="00C2411D"/>
    <w:rsid w:val="00C241EF"/>
    <w:rsid w:val="00C246C3"/>
    <w:rsid w:val="00C2478F"/>
    <w:rsid w:val="00C249E7"/>
    <w:rsid w:val="00C24EE0"/>
    <w:rsid w:val="00C2513A"/>
    <w:rsid w:val="00C25750"/>
    <w:rsid w:val="00C25D11"/>
    <w:rsid w:val="00C26014"/>
    <w:rsid w:val="00C26182"/>
    <w:rsid w:val="00C263BA"/>
    <w:rsid w:val="00C26474"/>
    <w:rsid w:val="00C26C8A"/>
    <w:rsid w:val="00C26E1F"/>
    <w:rsid w:val="00C27087"/>
    <w:rsid w:val="00C270DD"/>
    <w:rsid w:val="00C306C8"/>
    <w:rsid w:val="00C31199"/>
    <w:rsid w:val="00C316CF"/>
    <w:rsid w:val="00C31AFA"/>
    <w:rsid w:val="00C31C2A"/>
    <w:rsid w:val="00C32E3A"/>
    <w:rsid w:val="00C32FD4"/>
    <w:rsid w:val="00C33433"/>
    <w:rsid w:val="00C339F4"/>
    <w:rsid w:val="00C33B63"/>
    <w:rsid w:val="00C34213"/>
    <w:rsid w:val="00C344AE"/>
    <w:rsid w:val="00C34FBC"/>
    <w:rsid w:val="00C35EA7"/>
    <w:rsid w:val="00C36245"/>
    <w:rsid w:val="00C367EB"/>
    <w:rsid w:val="00C36D16"/>
    <w:rsid w:val="00C36DE4"/>
    <w:rsid w:val="00C36DF4"/>
    <w:rsid w:val="00C36F27"/>
    <w:rsid w:val="00C37716"/>
    <w:rsid w:val="00C37B0E"/>
    <w:rsid w:val="00C37BFC"/>
    <w:rsid w:val="00C37C44"/>
    <w:rsid w:val="00C404C4"/>
    <w:rsid w:val="00C417D5"/>
    <w:rsid w:val="00C41A85"/>
    <w:rsid w:val="00C4233A"/>
    <w:rsid w:val="00C425B5"/>
    <w:rsid w:val="00C42C57"/>
    <w:rsid w:val="00C42E7D"/>
    <w:rsid w:val="00C43083"/>
    <w:rsid w:val="00C43657"/>
    <w:rsid w:val="00C436E9"/>
    <w:rsid w:val="00C439BD"/>
    <w:rsid w:val="00C43AEC"/>
    <w:rsid w:val="00C43BD0"/>
    <w:rsid w:val="00C43BF6"/>
    <w:rsid w:val="00C4424D"/>
    <w:rsid w:val="00C4481D"/>
    <w:rsid w:val="00C449CC"/>
    <w:rsid w:val="00C452C9"/>
    <w:rsid w:val="00C454B5"/>
    <w:rsid w:val="00C454D0"/>
    <w:rsid w:val="00C4554C"/>
    <w:rsid w:val="00C45C50"/>
    <w:rsid w:val="00C45D4B"/>
    <w:rsid w:val="00C45FE6"/>
    <w:rsid w:val="00C461D9"/>
    <w:rsid w:val="00C461DF"/>
    <w:rsid w:val="00C464C3"/>
    <w:rsid w:val="00C46570"/>
    <w:rsid w:val="00C4698B"/>
    <w:rsid w:val="00C469F0"/>
    <w:rsid w:val="00C46AA8"/>
    <w:rsid w:val="00C46C3E"/>
    <w:rsid w:val="00C46EC7"/>
    <w:rsid w:val="00C470CA"/>
    <w:rsid w:val="00C475AC"/>
    <w:rsid w:val="00C47BD1"/>
    <w:rsid w:val="00C503AB"/>
    <w:rsid w:val="00C50C59"/>
    <w:rsid w:val="00C50D3A"/>
    <w:rsid w:val="00C50F58"/>
    <w:rsid w:val="00C50F66"/>
    <w:rsid w:val="00C51063"/>
    <w:rsid w:val="00C5132A"/>
    <w:rsid w:val="00C51946"/>
    <w:rsid w:val="00C519F0"/>
    <w:rsid w:val="00C523AB"/>
    <w:rsid w:val="00C52709"/>
    <w:rsid w:val="00C52A29"/>
    <w:rsid w:val="00C52B1F"/>
    <w:rsid w:val="00C53141"/>
    <w:rsid w:val="00C531B0"/>
    <w:rsid w:val="00C5349D"/>
    <w:rsid w:val="00C53694"/>
    <w:rsid w:val="00C53CCA"/>
    <w:rsid w:val="00C53F38"/>
    <w:rsid w:val="00C54075"/>
    <w:rsid w:val="00C5427B"/>
    <w:rsid w:val="00C54578"/>
    <w:rsid w:val="00C54716"/>
    <w:rsid w:val="00C549C5"/>
    <w:rsid w:val="00C54C6B"/>
    <w:rsid w:val="00C55724"/>
    <w:rsid w:val="00C557BE"/>
    <w:rsid w:val="00C557ED"/>
    <w:rsid w:val="00C55B92"/>
    <w:rsid w:val="00C55E42"/>
    <w:rsid w:val="00C56339"/>
    <w:rsid w:val="00C56C39"/>
    <w:rsid w:val="00C56CC5"/>
    <w:rsid w:val="00C56E71"/>
    <w:rsid w:val="00C5790B"/>
    <w:rsid w:val="00C57BE5"/>
    <w:rsid w:val="00C57C65"/>
    <w:rsid w:val="00C6020A"/>
    <w:rsid w:val="00C6048C"/>
    <w:rsid w:val="00C60B59"/>
    <w:rsid w:val="00C60BA3"/>
    <w:rsid w:val="00C60C2F"/>
    <w:rsid w:val="00C60E1A"/>
    <w:rsid w:val="00C6125F"/>
    <w:rsid w:val="00C61C89"/>
    <w:rsid w:val="00C62059"/>
    <w:rsid w:val="00C6261F"/>
    <w:rsid w:val="00C627D6"/>
    <w:rsid w:val="00C634F2"/>
    <w:rsid w:val="00C636F4"/>
    <w:rsid w:val="00C6417E"/>
    <w:rsid w:val="00C6425B"/>
    <w:rsid w:val="00C647C4"/>
    <w:rsid w:val="00C64B64"/>
    <w:rsid w:val="00C64DB5"/>
    <w:rsid w:val="00C65A97"/>
    <w:rsid w:val="00C65B99"/>
    <w:rsid w:val="00C65EDA"/>
    <w:rsid w:val="00C661FD"/>
    <w:rsid w:val="00C6640D"/>
    <w:rsid w:val="00C66572"/>
    <w:rsid w:val="00C66F6E"/>
    <w:rsid w:val="00C671F5"/>
    <w:rsid w:val="00C67240"/>
    <w:rsid w:val="00C6769A"/>
    <w:rsid w:val="00C70AF7"/>
    <w:rsid w:val="00C70BFB"/>
    <w:rsid w:val="00C70CF6"/>
    <w:rsid w:val="00C7103A"/>
    <w:rsid w:val="00C710A3"/>
    <w:rsid w:val="00C7136B"/>
    <w:rsid w:val="00C714E0"/>
    <w:rsid w:val="00C72259"/>
    <w:rsid w:val="00C7229F"/>
    <w:rsid w:val="00C7235D"/>
    <w:rsid w:val="00C72683"/>
    <w:rsid w:val="00C727A0"/>
    <w:rsid w:val="00C72866"/>
    <w:rsid w:val="00C72DDC"/>
    <w:rsid w:val="00C73C14"/>
    <w:rsid w:val="00C73CE5"/>
    <w:rsid w:val="00C73D9E"/>
    <w:rsid w:val="00C741CC"/>
    <w:rsid w:val="00C746B0"/>
    <w:rsid w:val="00C746BB"/>
    <w:rsid w:val="00C74716"/>
    <w:rsid w:val="00C74B95"/>
    <w:rsid w:val="00C74BBF"/>
    <w:rsid w:val="00C74F8A"/>
    <w:rsid w:val="00C75986"/>
    <w:rsid w:val="00C75C62"/>
    <w:rsid w:val="00C76593"/>
    <w:rsid w:val="00C7661F"/>
    <w:rsid w:val="00C76B76"/>
    <w:rsid w:val="00C76BC6"/>
    <w:rsid w:val="00C770E3"/>
    <w:rsid w:val="00C773C2"/>
    <w:rsid w:val="00C777DA"/>
    <w:rsid w:val="00C778F0"/>
    <w:rsid w:val="00C77BB4"/>
    <w:rsid w:val="00C77E41"/>
    <w:rsid w:val="00C8068A"/>
    <w:rsid w:val="00C808CD"/>
    <w:rsid w:val="00C814DF"/>
    <w:rsid w:val="00C814F3"/>
    <w:rsid w:val="00C81AA8"/>
    <w:rsid w:val="00C822BD"/>
    <w:rsid w:val="00C82598"/>
    <w:rsid w:val="00C828EF"/>
    <w:rsid w:val="00C8297E"/>
    <w:rsid w:val="00C82B8B"/>
    <w:rsid w:val="00C82BD9"/>
    <w:rsid w:val="00C83276"/>
    <w:rsid w:val="00C835C3"/>
    <w:rsid w:val="00C83B16"/>
    <w:rsid w:val="00C83E3A"/>
    <w:rsid w:val="00C840CC"/>
    <w:rsid w:val="00C84305"/>
    <w:rsid w:val="00C84345"/>
    <w:rsid w:val="00C846EB"/>
    <w:rsid w:val="00C84F7B"/>
    <w:rsid w:val="00C8527F"/>
    <w:rsid w:val="00C85634"/>
    <w:rsid w:val="00C85C1E"/>
    <w:rsid w:val="00C86067"/>
    <w:rsid w:val="00C86617"/>
    <w:rsid w:val="00C86CA1"/>
    <w:rsid w:val="00C87316"/>
    <w:rsid w:val="00C87694"/>
    <w:rsid w:val="00C9007D"/>
    <w:rsid w:val="00C902CF"/>
    <w:rsid w:val="00C90312"/>
    <w:rsid w:val="00C903B4"/>
    <w:rsid w:val="00C9070B"/>
    <w:rsid w:val="00C908DA"/>
    <w:rsid w:val="00C90A9B"/>
    <w:rsid w:val="00C91237"/>
    <w:rsid w:val="00C9154C"/>
    <w:rsid w:val="00C915DE"/>
    <w:rsid w:val="00C916AF"/>
    <w:rsid w:val="00C9181A"/>
    <w:rsid w:val="00C91878"/>
    <w:rsid w:val="00C919F8"/>
    <w:rsid w:val="00C921BA"/>
    <w:rsid w:val="00C922F7"/>
    <w:rsid w:val="00C9299A"/>
    <w:rsid w:val="00C929F5"/>
    <w:rsid w:val="00C92B66"/>
    <w:rsid w:val="00C931AE"/>
    <w:rsid w:val="00C93265"/>
    <w:rsid w:val="00C93D70"/>
    <w:rsid w:val="00C93E88"/>
    <w:rsid w:val="00C93FDA"/>
    <w:rsid w:val="00C94702"/>
    <w:rsid w:val="00C94766"/>
    <w:rsid w:val="00C94B91"/>
    <w:rsid w:val="00C94D4B"/>
    <w:rsid w:val="00C94DBC"/>
    <w:rsid w:val="00C95268"/>
    <w:rsid w:val="00C95969"/>
    <w:rsid w:val="00C95AD7"/>
    <w:rsid w:val="00C95B2D"/>
    <w:rsid w:val="00C95F1C"/>
    <w:rsid w:val="00C95F7A"/>
    <w:rsid w:val="00C96085"/>
    <w:rsid w:val="00C9627B"/>
    <w:rsid w:val="00C96510"/>
    <w:rsid w:val="00C96640"/>
    <w:rsid w:val="00C96646"/>
    <w:rsid w:val="00C97056"/>
    <w:rsid w:val="00C97167"/>
    <w:rsid w:val="00C971C9"/>
    <w:rsid w:val="00C971CA"/>
    <w:rsid w:val="00C97328"/>
    <w:rsid w:val="00C97A8D"/>
    <w:rsid w:val="00CA0B2D"/>
    <w:rsid w:val="00CA0D71"/>
    <w:rsid w:val="00CA116B"/>
    <w:rsid w:val="00CA163B"/>
    <w:rsid w:val="00CA18CA"/>
    <w:rsid w:val="00CA18F7"/>
    <w:rsid w:val="00CA1A73"/>
    <w:rsid w:val="00CA20F4"/>
    <w:rsid w:val="00CA227B"/>
    <w:rsid w:val="00CA29BF"/>
    <w:rsid w:val="00CA2A1F"/>
    <w:rsid w:val="00CA2D52"/>
    <w:rsid w:val="00CA3415"/>
    <w:rsid w:val="00CA3609"/>
    <w:rsid w:val="00CA3825"/>
    <w:rsid w:val="00CA3C84"/>
    <w:rsid w:val="00CA3CE2"/>
    <w:rsid w:val="00CA3D8B"/>
    <w:rsid w:val="00CA408E"/>
    <w:rsid w:val="00CA44AB"/>
    <w:rsid w:val="00CA4F51"/>
    <w:rsid w:val="00CA546B"/>
    <w:rsid w:val="00CA550B"/>
    <w:rsid w:val="00CA5756"/>
    <w:rsid w:val="00CA660D"/>
    <w:rsid w:val="00CA6695"/>
    <w:rsid w:val="00CA6CA2"/>
    <w:rsid w:val="00CA6DCA"/>
    <w:rsid w:val="00CA7286"/>
    <w:rsid w:val="00CA76A5"/>
    <w:rsid w:val="00CA78B8"/>
    <w:rsid w:val="00CA7997"/>
    <w:rsid w:val="00CB003A"/>
    <w:rsid w:val="00CB0150"/>
    <w:rsid w:val="00CB061F"/>
    <w:rsid w:val="00CB07BC"/>
    <w:rsid w:val="00CB0847"/>
    <w:rsid w:val="00CB0923"/>
    <w:rsid w:val="00CB0C8D"/>
    <w:rsid w:val="00CB0FDA"/>
    <w:rsid w:val="00CB1332"/>
    <w:rsid w:val="00CB1E20"/>
    <w:rsid w:val="00CB1EF1"/>
    <w:rsid w:val="00CB202C"/>
    <w:rsid w:val="00CB2313"/>
    <w:rsid w:val="00CB2F4B"/>
    <w:rsid w:val="00CB3213"/>
    <w:rsid w:val="00CB3295"/>
    <w:rsid w:val="00CB3554"/>
    <w:rsid w:val="00CB358E"/>
    <w:rsid w:val="00CB3E79"/>
    <w:rsid w:val="00CB3FD4"/>
    <w:rsid w:val="00CB4484"/>
    <w:rsid w:val="00CB4D1B"/>
    <w:rsid w:val="00CB4DF3"/>
    <w:rsid w:val="00CB5059"/>
    <w:rsid w:val="00CB5081"/>
    <w:rsid w:val="00CB56BF"/>
    <w:rsid w:val="00CB5A08"/>
    <w:rsid w:val="00CB5E44"/>
    <w:rsid w:val="00CB633C"/>
    <w:rsid w:val="00CB66A7"/>
    <w:rsid w:val="00CB67F7"/>
    <w:rsid w:val="00CB7193"/>
    <w:rsid w:val="00CB730B"/>
    <w:rsid w:val="00CB7747"/>
    <w:rsid w:val="00CB7AC9"/>
    <w:rsid w:val="00CB7AF1"/>
    <w:rsid w:val="00CC035C"/>
    <w:rsid w:val="00CC084F"/>
    <w:rsid w:val="00CC0BE3"/>
    <w:rsid w:val="00CC0DA3"/>
    <w:rsid w:val="00CC1439"/>
    <w:rsid w:val="00CC164C"/>
    <w:rsid w:val="00CC1C04"/>
    <w:rsid w:val="00CC1E7C"/>
    <w:rsid w:val="00CC21C4"/>
    <w:rsid w:val="00CC2512"/>
    <w:rsid w:val="00CC2BE7"/>
    <w:rsid w:val="00CC2CC1"/>
    <w:rsid w:val="00CC2D34"/>
    <w:rsid w:val="00CC32D5"/>
    <w:rsid w:val="00CC3413"/>
    <w:rsid w:val="00CC34C8"/>
    <w:rsid w:val="00CC381A"/>
    <w:rsid w:val="00CC3823"/>
    <w:rsid w:val="00CC39A1"/>
    <w:rsid w:val="00CC3A05"/>
    <w:rsid w:val="00CC3D5A"/>
    <w:rsid w:val="00CC406F"/>
    <w:rsid w:val="00CC4071"/>
    <w:rsid w:val="00CC451B"/>
    <w:rsid w:val="00CC45BA"/>
    <w:rsid w:val="00CC486B"/>
    <w:rsid w:val="00CC4BA2"/>
    <w:rsid w:val="00CC510B"/>
    <w:rsid w:val="00CC52E2"/>
    <w:rsid w:val="00CC53F5"/>
    <w:rsid w:val="00CC560D"/>
    <w:rsid w:val="00CC566A"/>
    <w:rsid w:val="00CC57C4"/>
    <w:rsid w:val="00CC5818"/>
    <w:rsid w:val="00CC5B14"/>
    <w:rsid w:val="00CC5C15"/>
    <w:rsid w:val="00CC60F1"/>
    <w:rsid w:val="00CC6193"/>
    <w:rsid w:val="00CC63BE"/>
    <w:rsid w:val="00CC649B"/>
    <w:rsid w:val="00CC6791"/>
    <w:rsid w:val="00CC6997"/>
    <w:rsid w:val="00CC6A06"/>
    <w:rsid w:val="00CC6B6F"/>
    <w:rsid w:val="00CC73C8"/>
    <w:rsid w:val="00CC7417"/>
    <w:rsid w:val="00CC755F"/>
    <w:rsid w:val="00CC76B9"/>
    <w:rsid w:val="00CC7722"/>
    <w:rsid w:val="00CC7819"/>
    <w:rsid w:val="00CC7B30"/>
    <w:rsid w:val="00CD07E5"/>
    <w:rsid w:val="00CD1121"/>
    <w:rsid w:val="00CD1262"/>
    <w:rsid w:val="00CD13C3"/>
    <w:rsid w:val="00CD1502"/>
    <w:rsid w:val="00CD1896"/>
    <w:rsid w:val="00CD1EE2"/>
    <w:rsid w:val="00CD20C2"/>
    <w:rsid w:val="00CD2470"/>
    <w:rsid w:val="00CD26D2"/>
    <w:rsid w:val="00CD27BB"/>
    <w:rsid w:val="00CD2A4C"/>
    <w:rsid w:val="00CD2B0D"/>
    <w:rsid w:val="00CD2BC2"/>
    <w:rsid w:val="00CD2E1A"/>
    <w:rsid w:val="00CD2E1C"/>
    <w:rsid w:val="00CD2ECC"/>
    <w:rsid w:val="00CD3265"/>
    <w:rsid w:val="00CD369B"/>
    <w:rsid w:val="00CD42D3"/>
    <w:rsid w:val="00CD441C"/>
    <w:rsid w:val="00CD4738"/>
    <w:rsid w:val="00CD4790"/>
    <w:rsid w:val="00CD49B5"/>
    <w:rsid w:val="00CD4B8C"/>
    <w:rsid w:val="00CD4C4D"/>
    <w:rsid w:val="00CD4E47"/>
    <w:rsid w:val="00CD5000"/>
    <w:rsid w:val="00CD5245"/>
    <w:rsid w:val="00CD529C"/>
    <w:rsid w:val="00CD588D"/>
    <w:rsid w:val="00CD5C1C"/>
    <w:rsid w:val="00CD5EEF"/>
    <w:rsid w:val="00CD5F70"/>
    <w:rsid w:val="00CD6620"/>
    <w:rsid w:val="00CD68A8"/>
    <w:rsid w:val="00CD6DFB"/>
    <w:rsid w:val="00CD70F6"/>
    <w:rsid w:val="00CD7160"/>
    <w:rsid w:val="00CD71BD"/>
    <w:rsid w:val="00CD72FD"/>
    <w:rsid w:val="00CD749C"/>
    <w:rsid w:val="00CD7C2F"/>
    <w:rsid w:val="00CE0401"/>
    <w:rsid w:val="00CE0AE3"/>
    <w:rsid w:val="00CE0C2A"/>
    <w:rsid w:val="00CE1114"/>
    <w:rsid w:val="00CE1478"/>
    <w:rsid w:val="00CE189D"/>
    <w:rsid w:val="00CE18D2"/>
    <w:rsid w:val="00CE1D0A"/>
    <w:rsid w:val="00CE2192"/>
    <w:rsid w:val="00CE21CF"/>
    <w:rsid w:val="00CE2538"/>
    <w:rsid w:val="00CE27D7"/>
    <w:rsid w:val="00CE29E7"/>
    <w:rsid w:val="00CE2A6A"/>
    <w:rsid w:val="00CE2D06"/>
    <w:rsid w:val="00CE33B4"/>
    <w:rsid w:val="00CE38CD"/>
    <w:rsid w:val="00CE3BA7"/>
    <w:rsid w:val="00CE3E05"/>
    <w:rsid w:val="00CE4132"/>
    <w:rsid w:val="00CE4F6B"/>
    <w:rsid w:val="00CE4F7D"/>
    <w:rsid w:val="00CE4FF6"/>
    <w:rsid w:val="00CE589F"/>
    <w:rsid w:val="00CE5DE7"/>
    <w:rsid w:val="00CE671E"/>
    <w:rsid w:val="00CE6779"/>
    <w:rsid w:val="00CE6A5D"/>
    <w:rsid w:val="00CE6B6A"/>
    <w:rsid w:val="00CE6C69"/>
    <w:rsid w:val="00CE6D22"/>
    <w:rsid w:val="00CE6DA9"/>
    <w:rsid w:val="00CE73EC"/>
    <w:rsid w:val="00CE7FA6"/>
    <w:rsid w:val="00CF0220"/>
    <w:rsid w:val="00CF0828"/>
    <w:rsid w:val="00CF0F1E"/>
    <w:rsid w:val="00CF11AC"/>
    <w:rsid w:val="00CF1258"/>
    <w:rsid w:val="00CF128A"/>
    <w:rsid w:val="00CF1B6F"/>
    <w:rsid w:val="00CF1C97"/>
    <w:rsid w:val="00CF2072"/>
    <w:rsid w:val="00CF2459"/>
    <w:rsid w:val="00CF263D"/>
    <w:rsid w:val="00CF28E0"/>
    <w:rsid w:val="00CF335D"/>
    <w:rsid w:val="00CF3435"/>
    <w:rsid w:val="00CF38A1"/>
    <w:rsid w:val="00CF391D"/>
    <w:rsid w:val="00CF4A2F"/>
    <w:rsid w:val="00CF4E8C"/>
    <w:rsid w:val="00CF5003"/>
    <w:rsid w:val="00CF51E0"/>
    <w:rsid w:val="00CF54D8"/>
    <w:rsid w:val="00CF5747"/>
    <w:rsid w:val="00CF5D4F"/>
    <w:rsid w:val="00CF5E10"/>
    <w:rsid w:val="00CF6017"/>
    <w:rsid w:val="00CF60C4"/>
    <w:rsid w:val="00CF626B"/>
    <w:rsid w:val="00CF6804"/>
    <w:rsid w:val="00CF74CD"/>
    <w:rsid w:val="00CF7734"/>
    <w:rsid w:val="00CF7B0F"/>
    <w:rsid w:val="00D0082D"/>
    <w:rsid w:val="00D01419"/>
    <w:rsid w:val="00D01A43"/>
    <w:rsid w:val="00D02584"/>
    <w:rsid w:val="00D0281E"/>
    <w:rsid w:val="00D02BED"/>
    <w:rsid w:val="00D02C9F"/>
    <w:rsid w:val="00D03AF5"/>
    <w:rsid w:val="00D04339"/>
    <w:rsid w:val="00D04965"/>
    <w:rsid w:val="00D04B13"/>
    <w:rsid w:val="00D04BE2"/>
    <w:rsid w:val="00D04ECE"/>
    <w:rsid w:val="00D04FBB"/>
    <w:rsid w:val="00D0556E"/>
    <w:rsid w:val="00D055A8"/>
    <w:rsid w:val="00D05CEA"/>
    <w:rsid w:val="00D05E0F"/>
    <w:rsid w:val="00D05E1F"/>
    <w:rsid w:val="00D05E2B"/>
    <w:rsid w:val="00D06E3E"/>
    <w:rsid w:val="00D072F4"/>
    <w:rsid w:val="00D07406"/>
    <w:rsid w:val="00D0790D"/>
    <w:rsid w:val="00D07FB4"/>
    <w:rsid w:val="00D10037"/>
    <w:rsid w:val="00D1007F"/>
    <w:rsid w:val="00D1014B"/>
    <w:rsid w:val="00D102CE"/>
    <w:rsid w:val="00D10769"/>
    <w:rsid w:val="00D1084B"/>
    <w:rsid w:val="00D109B8"/>
    <w:rsid w:val="00D10EBE"/>
    <w:rsid w:val="00D1175E"/>
    <w:rsid w:val="00D11A1C"/>
    <w:rsid w:val="00D11B6A"/>
    <w:rsid w:val="00D11B8A"/>
    <w:rsid w:val="00D1206A"/>
    <w:rsid w:val="00D1250B"/>
    <w:rsid w:val="00D1256F"/>
    <w:rsid w:val="00D127AD"/>
    <w:rsid w:val="00D139D7"/>
    <w:rsid w:val="00D13A89"/>
    <w:rsid w:val="00D13F91"/>
    <w:rsid w:val="00D14336"/>
    <w:rsid w:val="00D14385"/>
    <w:rsid w:val="00D14656"/>
    <w:rsid w:val="00D148BE"/>
    <w:rsid w:val="00D14BA9"/>
    <w:rsid w:val="00D154A0"/>
    <w:rsid w:val="00D1570B"/>
    <w:rsid w:val="00D161DF"/>
    <w:rsid w:val="00D167A8"/>
    <w:rsid w:val="00D16CE7"/>
    <w:rsid w:val="00D1717C"/>
    <w:rsid w:val="00D17A43"/>
    <w:rsid w:val="00D201E3"/>
    <w:rsid w:val="00D202D5"/>
    <w:rsid w:val="00D20DD3"/>
    <w:rsid w:val="00D213B9"/>
    <w:rsid w:val="00D21979"/>
    <w:rsid w:val="00D21BC2"/>
    <w:rsid w:val="00D21C28"/>
    <w:rsid w:val="00D222C7"/>
    <w:rsid w:val="00D2260A"/>
    <w:rsid w:val="00D22D89"/>
    <w:rsid w:val="00D22DF7"/>
    <w:rsid w:val="00D22F41"/>
    <w:rsid w:val="00D22FA5"/>
    <w:rsid w:val="00D2365F"/>
    <w:rsid w:val="00D23E45"/>
    <w:rsid w:val="00D23E85"/>
    <w:rsid w:val="00D23F21"/>
    <w:rsid w:val="00D240EC"/>
    <w:rsid w:val="00D2441C"/>
    <w:rsid w:val="00D24D24"/>
    <w:rsid w:val="00D24F14"/>
    <w:rsid w:val="00D2500C"/>
    <w:rsid w:val="00D25472"/>
    <w:rsid w:val="00D2553A"/>
    <w:rsid w:val="00D255B0"/>
    <w:rsid w:val="00D25E10"/>
    <w:rsid w:val="00D25F12"/>
    <w:rsid w:val="00D260AB"/>
    <w:rsid w:val="00D26B06"/>
    <w:rsid w:val="00D271BE"/>
    <w:rsid w:val="00D27588"/>
    <w:rsid w:val="00D275F1"/>
    <w:rsid w:val="00D27B23"/>
    <w:rsid w:val="00D27C1F"/>
    <w:rsid w:val="00D30885"/>
    <w:rsid w:val="00D30FF4"/>
    <w:rsid w:val="00D3129C"/>
    <w:rsid w:val="00D31CE5"/>
    <w:rsid w:val="00D31D39"/>
    <w:rsid w:val="00D31E58"/>
    <w:rsid w:val="00D31F2B"/>
    <w:rsid w:val="00D330B6"/>
    <w:rsid w:val="00D33107"/>
    <w:rsid w:val="00D3315D"/>
    <w:rsid w:val="00D336E3"/>
    <w:rsid w:val="00D33C5F"/>
    <w:rsid w:val="00D33F13"/>
    <w:rsid w:val="00D340B4"/>
    <w:rsid w:val="00D34729"/>
    <w:rsid w:val="00D34FF1"/>
    <w:rsid w:val="00D3510C"/>
    <w:rsid w:val="00D35119"/>
    <w:rsid w:val="00D35306"/>
    <w:rsid w:val="00D358E2"/>
    <w:rsid w:val="00D359F5"/>
    <w:rsid w:val="00D35CBA"/>
    <w:rsid w:val="00D35CD7"/>
    <w:rsid w:val="00D362EE"/>
    <w:rsid w:val="00D36542"/>
    <w:rsid w:val="00D36719"/>
    <w:rsid w:val="00D36EC7"/>
    <w:rsid w:val="00D377C5"/>
    <w:rsid w:val="00D3780A"/>
    <w:rsid w:val="00D37996"/>
    <w:rsid w:val="00D37EF6"/>
    <w:rsid w:val="00D37FAC"/>
    <w:rsid w:val="00D40071"/>
    <w:rsid w:val="00D40732"/>
    <w:rsid w:val="00D424A7"/>
    <w:rsid w:val="00D424F8"/>
    <w:rsid w:val="00D42D43"/>
    <w:rsid w:val="00D42FD4"/>
    <w:rsid w:val="00D4313A"/>
    <w:rsid w:val="00D43608"/>
    <w:rsid w:val="00D43879"/>
    <w:rsid w:val="00D43EF4"/>
    <w:rsid w:val="00D43FC8"/>
    <w:rsid w:val="00D44112"/>
    <w:rsid w:val="00D442DF"/>
    <w:rsid w:val="00D443DB"/>
    <w:rsid w:val="00D447B8"/>
    <w:rsid w:val="00D44B3B"/>
    <w:rsid w:val="00D45039"/>
    <w:rsid w:val="00D450BD"/>
    <w:rsid w:val="00D45412"/>
    <w:rsid w:val="00D4542A"/>
    <w:rsid w:val="00D455CD"/>
    <w:rsid w:val="00D455E2"/>
    <w:rsid w:val="00D457A5"/>
    <w:rsid w:val="00D457B2"/>
    <w:rsid w:val="00D4587E"/>
    <w:rsid w:val="00D45C18"/>
    <w:rsid w:val="00D45CED"/>
    <w:rsid w:val="00D45D54"/>
    <w:rsid w:val="00D4620C"/>
    <w:rsid w:val="00D46A51"/>
    <w:rsid w:val="00D46D99"/>
    <w:rsid w:val="00D4749D"/>
    <w:rsid w:val="00D47CC7"/>
    <w:rsid w:val="00D5022B"/>
    <w:rsid w:val="00D50916"/>
    <w:rsid w:val="00D5097C"/>
    <w:rsid w:val="00D50BC1"/>
    <w:rsid w:val="00D50C20"/>
    <w:rsid w:val="00D50C2B"/>
    <w:rsid w:val="00D50DFD"/>
    <w:rsid w:val="00D50FDE"/>
    <w:rsid w:val="00D5107A"/>
    <w:rsid w:val="00D51216"/>
    <w:rsid w:val="00D514BE"/>
    <w:rsid w:val="00D515F3"/>
    <w:rsid w:val="00D51633"/>
    <w:rsid w:val="00D5168A"/>
    <w:rsid w:val="00D516E3"/>
    <w:rsid w:val="00D5190A"/>
    <w:rsid w:val="00D51A1E"/>
    <w:rsid w:val="00D52104"/>
    <w:rsid w:val="00D52234"/>
    <w:rsid w:val="00D522E8"/>
    <w:rsid w:val="00D529EA"/>
    <w:rsid w:val="00D52BB6"/>
    <w:rsid w:val="00D53FD6"/>
    <w:rsid w:val="00D54077"/>
    <w:rsid w:val="00D540A5"/>
    <w:rsid w:val="00D54CA5"/>
    <w:rsid w:val="00D54EF6"/>
    <w:rsid w:val="00D54F2D"/>
    <w:rsid w:val="00D5525B"/>
    <w:rsid w:val="00D5579A"/>
    <w:rsid w:val="00D55870"/>
    <w:rsid w:val="00D558BD"/>
    <w:rsid w:val="00D566C9"/>
    <w:rsid w:val="00D569A8"/>
    <w:rsid w:val="00D56A6E"/>
    <w:rsid w:val="00D56A72"/>
    <w:rsid w:val="00D56B54"/>
    <w:rsid w:val="00D5739D"/>
    <w:rsid w:val="00D57411"/>
    <w:rsid w:val="00D577FC"/>
    <w:rsid w:val="00D5796D"/>
    <w:rsid w:val="00D57BF9"/>
    <w:rsid w:val="00D60357"/>
    <w:rsid w:val="00D60825"/>
    <w:rsid w:val="00D609C6"/>
    <w:rsid w:val="00D60A33"/>
    <w:rsid w:val="00D60B91"/>
    <w:rsid w:val="00D610B0"/>
    <w:rsid w:val="00D6136E"/>
    <w:rsid w:val="00D613E9"/>
    <w:rsid w:val="00D61D3C"/>
    <w:rsid w:val="00D61D42"/>
    <w:rsid w:val="00D61E25"/>
    <w:rsid w:val="00D61F75"/>
    <w:rsid w:val="00D623BE"/>
    <w:rsid w:val="00D62AB0"/>
    <w:rsid w:val="00D62AD6"/>
    <w:rsid w:val="00D62B39"/>
    <w:rsid w:val="00D62D90"/>
    <w:rsid w:val="00D62F93"/>
    <w:rsid w:val="00D63110"/>
    <w:rsid w:val="00D63198"/>
    <w:rsid w:val="00D63779"/>
    <w:rsid w:val="00D637DE"/>
    <w:rsid w:val="00D63E8F"/>
    <w:rsid w:val="00D640AF"/>
    <w:rsid w:val="00D6436D"/>
    <w:rsid w:val="00D647A2"/>
    <w:rsid w:val="00D64E29"/>
    <w:rsid w:val="00D64FC8"/>
    <w:rsid w:val="00D65088"/>
    <w:rsid w:val="00D65092"/>
    <w:rsid w:val="00D65529"/>
    <w:rsid w:val="00D65A3B"/>
    <w:rsid w:val="00D65BE8"/>
    <w:rsid w:val="00D66483"/>
    <w:rsid w:val="00D66C4C"/>
    <w:rsid w:val="00D66FCC"/>
    <w:rsid w:val="00D671C2"/>
    <w:rsid w:val="00D6773D"/>
    <w:rsid w:val="00D678CE"/>
    <w:rsid w:val="00D70768"/>
    <w:rsid w:val="00D70AC3"/>
    <w:rsid w:val="00D70FE3"/>
    <w:rsid w:val="00D7125B"/>
    <w:rsid w:val="00D71335"/>
    <w:rsid w:val="00D7194A"/>
    <w:rsid w:val="00D71E01"/>
    <w:rsid w:val="00D728C0"/>
    <w:rsid w:val="00D72ABB"/>
    <w:rsid w:val="00D73188"/>
    <w:rsid w:val="00D7345B"/>
    <w:rsid w:val="00D7349D"/>
    <w:rsid w:val="00D7353A"/>
    <w:rsid w:val="00D73675"/>
    <w:rsid w:val="00D73AED"/>
    <w:rsid w:val="00D73B94"/>
    <w:rsid w:val="00D74140"/>
    <w:rsid w:val="00D7431C"/>
    <w:rsid w:val="00D74395"/>
    <w:rsid w:val="00D745EA"/>
    <w:rsid w:val="00D74D4B"/>
    <w:rsid w:val="00D74DE1"/>
    <w:rsid w:val="00D74F52"/>
    <w:rsid w:val="00D7523B"/>
    <w:rsid w:val="00D7569B"/>
    <w:rsid w:val="00D7575E"/>
    <w:rsid w:val="00D75806"/>
    <w:rsid w:val="00D75D31"/>
    <w:rsid w:val="00D7631A"/>
    <w:rsid w:val="00D7648B"/>
    <w:rsid w:val="00D765F1"/>
    <w:rsid w:val="00D766FD"/>
    <w:rsid w:val="00D768CF"/>
    <w:rsid w:val="00D76AF8"/>
    <w:rsid w:val="00D7719F"/>
    <w:rsid w:val="00D77306"/>
    <w:rsid w:val="00D7748F"/>
    <w:rsid w:val="00D7788C"/>
    <w:rsid w:val="00D77945"/>
    <w:rsid w:val="00D80379"/>
    <w:rsid w:val="00D80A2F"/>
    <w:rsid w:val="00D80BC7"/>
    <w:rsid w:val="00D80D52"/>
    <w:rsid w:val="00D80FE9"/>
    <w:rsid w:val="00D811E5"/>
    <w:rsid w:val="00D8149A"/>
    <w:rsid w:val="00D816F3"/>
    <w:rsid w:val="00D8182A"/>
    <w:rsid w:val="00D819CC"/>
    <w:rsid w:val="00D81E41"/>
    <w:rsid w:val="00D82279"/>
    <w:rsid w:val="00D824FB"/>
    <w:rsid w:val="00D826CA"/>
    <w:rsid w:val="00D826E0"/>
    <w:rsid w:val="00D827BB"/>
    <w:rsid w:val="00D82801"/>
    <w:rsid w:val="00D82E8C"/>
    <w:rsid w:val="00D82FE5"/>
    <w:rsid w:val="00D83760"/>
    <w:rsid w:val="00D83DB8"/>
    <w:rsid w:val="00D83ECF"/>
    <w:rsid w:val="00D84077"/>
    <w:rsid w:val="00D84482"/>
    <w:rsid w:val="00D849CA"/>
    <w:rsid w:val="00D85398"/>
    <w:rsid w:val="00D85533"/>
    <w:rsid w:val="00D85B11"/>
    <w:rsid w:val="00D85BE9"/>
    <w:rsid w:val="00D85C37"/>
    <w:rsid w:val="00D85CE6"/>
    <w:rsid w:val="00D8635F"/>
    <w:rsid w:val="00D8641C"/>
    <w:rsid w:val="00D86612"/>
    <w:rsid w:val="00D86684"/>
    <w:rsid w:val="00D879BE"/>
    <w:rsid w:val="00D87CD0"/>
    <w:rsid w:val="00D87ED0"/>
    <w:rsid w:val="00D87F29"/>
    <w:rsid w:val="00D9036C"/>
    <w:rsid w:val="00D91210"/>
    <w:rsid w:val="00D913D9"/>
    <w:rsid w:val="00D91773"/>
    <w:rsid w:val="00D91AFE"/>
    <w:rsid w:val="00D9235E"/>
    <w:rsid w:val="00D92E71"/>
    <w:rsid w:val="00D930EB"/>
    <w:rsid w:val="00D931D1"/>
    <w:rsid w:val="00D934A5"/>
    <w:rsid w:val="00D93608"/>
    <w:rsid w:val="00D936DD"/>
    <w:rsid w:val="00D93782"/>
    <w:rsid w:val="00D93EB7"/>
    <w:rsid w:val="00D93FDB"/>
    <w:rsid w:val="00D948D8"/>
    <w:rsid w:val="00D958CB"/>
    <w:rsid w:val="00D9599F"/>
    <w:rsid w:val="00D95B37"/>
    <w:rsid w:val="00D95BF5"/>
    <w:rsid w:val="00D963BA"/>
    <w:rsid w:val="00D9667E"/>
    <w:rsid w:val="00D968D7"/>
    <w:rsid w:val="00D96A02"/>
    <w:rsid w:val="00D96A5D"/>
    <w:rsid w:val="00D96B28"/>
    <w:rsid w:val="00D97384"/>
    <w:rsid w:val="00D978C9"/>
    <w:rsid w:val="00DA0138"/>
    <w:rsid w:val="00DA0326"/>
    <w:rsid w:val="00DA05F0"/>
    <w:rsid w:val="00DA0891"/>
    <w:rsid w:val="00DA0921"/>
    <w:rsid w:val="00DA0AF7"/>
    <w:rsid w:val="00DA11EF"/>
    <w:rsid w:val="00DA129F"/>
    <w:rsid w:val="00DA18D8"/>
    <w:rsid w:val="00DA18EC"/>
    <w:rsid w:val="00DA1B79"/>
    <w:rsid w:val="00DA20F8"/>
    <w:rsid w:val="00DA2980"/>
    <w:rsid w:val="00DA2BBA"/>
    <w:rsid w:val="00DA2D00"/>
    <w:rsid w:val="00DA2E5B"/>
    <w:rsid w:val="00DA3269"/>
    <w:rsid w:val="00DA3672"/>
    <w:rsid w:val="00DA3A15"/>
    <w:rsid w:val="00DA5468"/>
    <w:rsid w:val="00DA59F8"/>
    <w:rsid w:val="00DA5C2C"/>
    <w:rsid w:val="00DA5E1F"/>
    <w:rsid w:val="00DA5F4B"/>
    <w:rsid w:val="00DA6143"/>
    <w:rsid w:val="00DA62CB"/>
    <w:rsid w:val="00DA70DB"/>
    <w:rsid w:val="00DA7334"/>
    <w:rsid w:val="00DA73D6"/>
    <w:rsid w:val="00DA78F5"/>
    <w:rsid w:val="00DA7B6C"/>
    <w:rsid w:val="00DB036A"/>
    <w:rsid w:val="00DB0AFF"/>
    <w:rsid w:val="00DB0B53"/>
    <w:rsid w:val="00DB0BC0"/>
    <w:rsid w:val="00DB0C6F"/>
    <w:rsid w:val="00DB0C90"/>
    <w:rsid w:val="00DB0ED8"/>
    <w:rsid w:val="00DB11E5"/>
    <w:rsid w:val="00DB1759"/>
    <w:rsid w:val="00DB1D3B"/>
    <w:rsid w:val="00DB22FE"/>
    <w:rsid w:val="00DB2346"/>
    <w:rsid w:val="00DB23BC"/>
    <w:rsid w:val="00DB23E9"/>
    <w:rsid w:val="00DB2B3D"/>
    <w:rsid w:val="00DB2B95"/>
    <w:rsid w:val="00DB2C1B"/>
    <w:rsid w:val="00DB34AD"/>
    <w:rsid w:val="00DB38BD"/>
    <w:rsid w:val="00DB3B10"/>
    <w:rsid w:val="00DB4134"/>
    <w:rsid w:val="00DB4181"/>
    <w:rsid w:val="00DB41FD"/>
    <w:rsid w:val="00DB43F6"/>
    <w:rsid w:val="00DB4D2C"/>
    <w:rsid w:val="00DB5183"/>
    <w:rsid w:val="00DB5ABD"/>
    <w:rsid w:val="00DB6675"/>
    <w:rsid w:val="00DB682F"/>
    <w:rsid w:val="00DB7028"/>
    <w:rsid w:val="00DB7148"/>
    <w:rsid w:val="00DB742F"/>
    <w:rsid w:val="00DB74E4"/>
    <w:rsid w:val="00DB796C"/>
    <w:rsid w:val="00DB7F7A"/>
    <w:rsid w:val="00DC0560"/>
    <w:rsid w:val="00DC06F3"/>
    <w:rsid w:val="00DC16D3"/>
    <w:rsid w:val="00DC18AD"/>
    <w:rsid w:val="00DC193F"/>
    <w:rsid w:val="00DC1B75"/>
    <w:rsid w:val="00DC1D1C"/>
    <w:rsid w:val="00DC253E"/>
    <w:rsid w:val="00DC27F5"/>
    <w:rsid w:val="00DC2ED2"/>
    <w:rsid w:val="00DC2FCB"/>
    <w:rsid w:val="00DC3466"/>
    <w:rsid w:val="00DC3716"/>
    <w:rsid w:val="00DC3C90"/>
    <w:rsid w:val="00DC4484"/>
    <w:rsid w:val="00DC44BF"/>
    <w:rsid w:val="00DC47A1"/>
    <w:rsid w:val="00DC4B30"/>
    <w:rsid w:val="00DC4C80"/>
    <w:rsid w:val="00DC4D29"/>
    <w:rsid w:val="00DC5461"/>
    <w:rsid w:val="00DC56F7"/>
    <w:rsid w:val="00DC5A03"/>
    <w:rsid w:val="00DC63E4"/>
    <w:rsid w:val="00DC6822"/>
    <w:rsid w:val="00DC6962"/>
    <w:rsid w:val="00DC6DD2"/>
    <w:rsid w:val="00DC7477"/>
    <w:rsid w:val="00DC76D2"/>
    <w:rsid w:val="00DC7C3A"/>
    <w:rsid w:val="00DD00A9"/>
    <w:rsid w:val="00DD0260"/>
    <w:rsid w:val="00DD0D51"/>
    <w:rsid w:val="00DD1413"/>
    <w:rsid w:val="00DD1858"/>
    <w:rsid w:val="00DD18EE"/>
    <w:rsid w:val="00DD195F"/>
    <w:rsid w:val="00DD1B17"/>
    <w:rsid w:val="00DD1C03"/>
    <w:rsid w:val="00DD2046"/>
    <w:rsid w:val="00DD2156"/>
    <w:rsid w:val="00DD26F9"/>
    <w:rsid w:val="00DD279E"/>
    <w:rsid w:val="00DD2B2B"/>
    <w:rsid w:val="00DD3613"/>
    <w:rsid w:val="00DD3B7F"/>
    <w:rsid w:val="00DD3CD8"/>
    <w:rsid w:val="00DD3DF6"/>
    <w:rsid w:val="00DD4396"/>
    <w:rsid w:val="00DD4474"/>
    <w:rsid w:val="00DD49D9"/>
    <w:rsid w:val="00DD50B6"/>
    <w:rsid w:val="00DD55A5"/>
    <w:rsid w:val="00DD56F4"/>
    <w:rsid w:val="00DD5DB2"/>
    <w:rsid w:val="00DD66B8"/>
    <w:rsid w:val="00DD673B"/>
    <w:rsid w:val="00DD6CB8"/>
    <w:rsid w:val="00DD6D86"/>
    <w:rsid w:val="00DD6EBF"/>
    <w:rsid w:val="00DD6F59"/>
    <w:rsid w:val="00DD7764"/>
    <w:rsid w:val="00DD7DFF"/>
    <w:rsid w:val="00DE011A"/>
    <w:rsid w:val="00DE0900"/>
    <w:rsid w:val="00DE0C9C"/>
    <w:rsid w:val="00DE1149"/>
    <w:rsid w:val="00DE1C46"/>
    <w:rsid w:val="00DE1F64"/>
    <w:rsid w:val="00DE228E"/>
    <w:rsid w:val="00DE2A25"/>
    <w:rsid w:val="00DE2B2B"/>
    <w:rsid w:val="00DE2E40"/>
    <w:rsid w:val="00DE308E"/>
    <w:rsid w:val="00DE3147"/>
    <w:rsid w:val="00DE3373"/>
    <w:rsid w:val="00DE34AD"/>
    <w:rsid w:val="00DE3B9C"/>
    <w:rsid w:val="00DE3EA6"/>
    <w:rsid w:val="00DE3FF5"/>
    <w:rsid w:val="00DE41E9"/>
    <w:rsid w:val="00DE486B"/>
    <w:rsid w:val="00DE4990"/>
    <w:rsid w:val="00DE4B24"/>
    <w:rsid w:val="00DE4BD3"/>
    <w:rsid w:val="00DE4EFA"/>
    <w:rsid w:val="00DE51A4"/>
    <w:rsid w:val="00DE5244"/>
    <w:rsid w:val="00DE52C3"/>
    <w:rsid w:val="00DE5458"/>
    <w:rsid w:val="00DE555A"/>
    <w:rsid w:val="00DE597B"/>
    <w:rsid w:val="00DE5AC1"/>
    <w:rsid w:val="00DE5B7B"/>
    <w:rsid w:val="00DE5DF2"/>
    <w:rsid w:val="00DE600C"/>
    <w:rsid w:val="00DE626C"/>
    <w:rsid w:val="00DE65ED"/>
    <w:rsid w:val="00DE7336"/>
    <w:rsid w:val="00DE77E7"/>
    <w:rsid w:val="00DE791B"/>
    <w:rsid w:val="00DE7B6C"/>
    <w:rsid w:val="00DE7BD2"/>
    <w:rsid w:val="00DF018C"/>
    <w:rsid w:val="00DF0480"/>
    <w:rsid w:val="00DF07BB"/>
    <w:rsid w:val="00DF08A1"/>
    <w:rsid w:val="00DF0CB9"/>
    <w:rsid w:val="00DF111B"/>
    <w:rsid w:val="00DF138B"/>
    <w:rsid w:val="00DF1984"/>
    <w:rsid w:val="00DF1D03"/>
    <w:rsid w:val="00DF1FC4"/>
    <w:rsid w:val="00DF2517"/>
    <w:rsid w:val="00DF2965"/>
    <w:rsid w:val="00DF35AE"/>
    <w:rsid w:val="00DF3CA9"/>
    <w:rsid w:val="00DF3DC8"/>
    <w:rsid w:val="00DF3F13"/>
    <w:rsid w:val="00DF3FE0"/>
    <w:rsid w:val="00DF48ED"/>
    <w:rsid w:val="00DF500A"/>
    <w:rsid w:val="00DF5065"/>
    <w:rsid w:val="00DF519C"/>
    <w:rsid w:val="00DF51DD"/>
    <w:rsid w:val="00DF537D"/>
    <w:rsid w:val="00DF5445"/>
    <w:rsid w:val="00DF565B"/>
    <w:rsid w:val="00DF585C"/>
    <w:rsid w:val="00DF5A5C"/>
    <w:rsid w:val="00DF5F59"/>
    <w:rsid w:val="00DF5FD6"/>
    <w:rsid w:val="00DF6025"/>
    <w:rsid w:val="00DF60DD"/>
    <w:rsid w:val="00DF6381"/>
    <w:rsid w:val="00DF67B1"/>
    <w:rsid w:val="00DF688C"/>
    <w:rsid w:val="00DF6CB6"/>
    <w:rsid w:val="00DF702C"/>
    <w:rsid w:val="00DF7993"/>
    <w:rsid w:val="00DF7ECA"/>
    <w:rsid w:val="00DF7F81"/>
    <w:rsid w:val="00E000DB"/>
    <w:rsid w:val="00E00123"/>
    <w:rsid w:val="00E00242"/>
    <w:rsid w:val="00E003AA"/>
    <w:rsid w:val="00E00622"/>
    <w:rsid w:val="00E006C2"/>
    <w:rsid w:val="00E00BAD"/>
    <w:rsid w:val="00E0154E"/>
    <w:rsid w:val="00E017E2"/>
    <w:rsid w:val="00E01CDC"/>
    <w:rsid w:val="00E01D04"/>
    <w:rsid w:val="00E01E12"/>
    <w:rsid w:val="00E01EB8"/>
    <w:rsid w:val="00E024A7"/>
    <w:rsid w:val="00E024CF"/>
    <w:rsid w:val="00E02CC3"/>
    <w:rsid w:val="00E02E4A"/>
    <w:rsid w:val="00E02E63"/>
    <w:rsid w:val="00E030D7"/>
    <w:rsid w:val="00E03461"/>
    <w:rsid w:val="00E0372D"/>
    <w:rsid w:val="00E03808"/>
    <w:rsid w:val="00E03938"/>
    <w:rsid w:val="00E03FE9"/>
    <w:rsid w:val="00E040D4"/>
    <w:rsid w:val="00E04125"/>
    <w:rsid w:val="00E04978"/>
    <w:rsid w:val="00E04A2E"/>
    <w:rsid w:val="00E052D1"/>
    <w:rsid w:val="00E054A6"/>
    <w:rsid w:val="00E05833"/>
    <w:rsid w:val="00E05BBD"/>
    <w:rsid w:val="00E062F9"/>
    <w:rsid w:val="00E065EB"/>
    <w:rsid w:val="00E07256"/>
    <w:rsid w:val="00E07530"/>
    <w:rsid w:val="00E0777B"/>
    <w:rsid w:val="00E07C85"/>
    <w:rsid w:val="00E10085"/>
    <w:rsid w:val="00E102B7"/>
    <w:rsid w:val="00E10963"/>
    <w:rsid w:val="00E10AEF"/>
    <w:rsid w:val="00E10BB2"/>
    <w:rsid w:val="00E10C61"/>
    <w:rsid w:val="00E10EBA"/>
    <w:rsid w:val="00E10ED7"/>
    <w:rsid w:val="00E11458"/>
    <w:rsid w:val="00E115E3"/>
    <w:rsid w:val="00E11B2E"/>
    <w:rsid w:val="00E12593"/>
    <w:rsid w:val="00E125A0"/>
    <w:rsid w:val="00E12914"/>
    <w:rsid w:val="00E12A5A"/>
    <w:rsid w:val="00E12BC4"/>
    <w:rsid w:val="00E12BFA"/>
    <w:rsid w:val="00E12C03"/>
    <w:rsid w:val="00E12C4B"/>
    <w:rsid w:val="00E12C90"/>
    <w:rsid w:val="00E12DBA"/>
    <w:rsid w:val="00E1315E"/>
    <w:rsid w:val="00E13682"/>
    <w:rsid w:val="00E144FF"/>
    <w:rsid w:val="00E1495B"/>
    <w:rsid w:val="00E14A25"/>
    <w:rsid w:val="00E14FC6"/>
    <w:rsid w:val="00E15035"/>
    <w:rsid w:val="00E150AB"/>
    <w:rsid w:val="00E15183"/>
    <w:rsid w:val="00E15C10"/>
    <w:rsid w:val="00E16E3C"/>
    <w:rsid w:val="00E16EAE"/>
    <w:rsid w:val="00E16F10"/>
    <w:rsid w:val="00E16F4C"/>
    <w:rsid w:val="00E17040"/>
    <w:rsid w:val="00E170CE"/>
    <w:rsid w:val="00E1755B"/>
    <w:rsid w:val="00E17836"/>
    <w:rsid w:val="00E17C3A"/>
    <w:rsid w:val="00E2006D"/>
    <w:rsid w:val="00E2022D"/>
    <w:rsid w:val="00E20756"/>
    <w:rsid w:val="00E20A00"/>
    <w:rsid w:val="00E20AD4"/>
    <w:rsid w:val="00E20DFA"/>
    <w:rsid w:val="00E2140B"/>
    <w:rsid w:val="00E215DB"/>
    <w:rsid w:val="00E21E17"/>
    <w:rsid w:val="00E22133"/>
    <w:rsid w:val="00E2271B"/>
    <w:rsid w:val="00E22BC8"/>
    <w:rsid w:val="00E22E95"/>
    <w:rsid w:val="00E22E99"/>
    <w:rsid w:val="00E237C3"/>
    <w:rsid w:val="00E241AE"/>
    <w:rsid w:val="00E24397"/>
    <w:rsid w:val="00E247D6"/>
    <w:rsid w:val="00E247DC"/>
    <w:rsid w:val="00E248E5"/>
    <w:rsid w:val="00E24BF9"/>
    <w:rsid w:val="00E2540F"/>
    <w:rsid w:val="00E25412"/>
    <w:rsid w:val="00E2586D"/>
    <w:rsid w:val="00E2588C"/>
    <w:rsid w:val="00E26003"/>
    <w:rsid w:val="00E260B0"/>
    <w:rsid w:val="00E26823"/>
    <w:rsid w:val="00E26A48"/>
    <w:rsid w:val="00E26E1F"/>
    <w:rsid w:val="00E26FBA"/>
    <w:rsid w:val="00E270C0"/>
    <w:rsid w:val="00E30127"/>
    <w:rsid w:val="00E30D30"/>
    <w:rsid w:val="00E30DF6"/>
    <w:rsid w:val="00E310D0"/>
    <w:rsid w:val="00E31262"/>
    <w:rsid w:val="00E3130F"/>
    <w:rsid w:val="00E31660"/>
    <w:rsid w:val="00E31701"/>
    <w:rsid w:val="00E31B1A"/>
    <w:rsid w:val="00E32061"/>
    <w:rsid w:val="00E3234B"/>
    <w:rsid w:val="00E32997"/>
    <w:rsid w:val="00E32A5B"/>
    <w:rsid w:val="00E32B2B"/>
    <w:rsid w:val="00E33483"/>
    <w:rsid w:val="00E334AB"/>
    <w:rsid w:val="00E337AB"/>
    <w:rsid w:val="00E339A9"/>
    <w:rsid w:val="00E33BA1"/>
    <w:rsid w:val="00E3409D"/>
    <w:rsid w:val="00E349BB"/>
    <w:rsid w:val="00E34A2E"/>
    <w:rsid w:val="00E34A86"/>
    <w:rsid w:val="00E34BCA"/>
    <w:rsid w:val="00E34FB4"/>
    <w:rsid w:val="00E35489"/>
    <w:rsid w:val="00E35EA1"/>
    <w:rsid w:val="00E3601B"/>
    <w:rsid w:val="00E3656D"/>
    <w:rsid w:val="00E36997"/>
    <w:rsid w:val="00E36EA1"/>
    <w:rsid w:val="00E36EE1"/>
    <w:rsid w:val="00E36F7F"/>
    <w:rsid w:val="00E36F9F"/>
    <w:rsid w:val="00E37094"/>
    <w:rsid w:val="00E374AD"/>
    <w:rsid w:val="00E375F9"/>
    <w:rsid w:val="00E37FFD"/>
    <w:rsid w:val="00E4006C"/>
    <w:rsid w:val="00E40CCB"/>
    <w:rsid w:val="00E40CE8"/>
    <w:rsid w:val="00E40D15"/>
    <w:rsid w:val="00E40FAD"/>
    <w:rsid w:val="00E4174A"/>
    <w:rsid w:val="00E41F3A"/>
    <w:rsid w:val="00E42116"/>
    <w:rsid w:val="00E4233A"/>
    <w:rsid w:val="00E42482"/>
    <w:rsid w:val="00E42A4D"/>
    <w:rsid w:val="00E42A55"/>
    <w:rsid w:val="00E42AB8"/>
    <w:rsid w:val="00E42EA4"/>
    <w:rsid w:val="00E438D0"/>
    <w:rsid w:val="00E438E3"/>
    <w:rsid w:val="00E43AE8"/>
    <w:rsid w:val="00E43FE8"/>
    <w:rsid w:val="00E442E2"/>
    <w:rsid w:val="00E44A9E"/>
    <w:rsid w:val="00E450EB"/>
    <w:rsid w:val="00E454F3"/>
    <w:rsid w:val="00E45A64"/>
    <w:rsid w:val="00E45BBA"/>
    <w:rsid w:val="00E45C93"/>
    <w:rsid w:val="00E463AA"/>
    <w:rsid w:val="00E46654"/>
    <w:rsid w:val="00E47026"/>
    <w:rsid w:val="00E4730A"/>
    <w:rsid w:val="00E479CB"/>
    <w:rsid w:val="00E47BFA"/>
    <w:rsid w:val="00E47D89"/>
    <w:rsid w:val="00E47E4B"/>
    <w:rsid w:val="00E503DD"/>
    <w:rsid w:val="00E505B9"/>
    <w:rsid w:val="00E506B9"/>
    <w:rsid w:val="00E50BBA"/>
    <w:rsid w:val="00E50E65"/>
    <w:rsid w:val="00E51184"/>
    <w:rsid w:val="00E51485"/>
    <w:rsid w:val="00E51C21"/>
    <w:rsid w:val="00E5208B"/>
    <w:rsid w:val="00E526EA"/>
    <w:rsid w:val="00E52818"/>
    <w:rsid w:val="00E530D9"/>
    <w:rsid w:val="00E53A72"/>
    <w:rsid w:val="00E53E54"/>
    <w:rsid w:val="00E5409E"/>
    <w:rsid w:val="00E54B5A"/>
    <w:rsid w:val="00E54D66"/>
    <w:rsid w:val="00E54F9C"/>
    <w:rsid w:val="00E5531C"/>
    <w:rsid w:val="00E55701"/>
    <w:rsid w:val="00E55DD8"/>
    <w:rsid w:val="00E561F7"/>
    <w:rsid w:val="00E56281"/>
    <w:rsid w:val="00E56516"/>
    <w:rsid w:val="00E56AC1"/>
    <w:rsid w:val="00E56D93"/>
    <w:rsid w:val="00E57086"/>
    <w:rsid w:val="00E571BC"/>
    <w:rsid w:val="00E5769F"/>
    <w:rsid w:val="00E57C6D"/>
    <w:rsid w:val="00E57F07"/>
    <w:rsid w:val="00E6028C"/>
    <w:rsid w:val="00E60599"/>
    <w:rsid w:val="00E607D7"/>
    <w:rsid w:val="00E60BA8"/>
    <w:rsid w:val="00E61077"/>
    <w:rsid w:val="00E61411"/>
    <w:rsid w:val="00E614E7"/>
    <w:rsid w:val="00E61D3B"/>
    <w:rsid w:val="00E627DF"/>
    <w:rsid w:val="00E629CF"/>
    <w:rsid w:val="00E62C78"/>
    <w:rsid w:val="00E62FF0"/>
    <w:rsid w:val="00E6327F"/>
    <w:rsid w:val="00E63B27"/>
    <w:rsid w:val="00E63CDF"/>
    <w:rsid w:val="00E6415C"/>
    <w:rsid w:val="00E64421"/>
    <w:rsid w:val="00E64554"/>
    <w:rsid w:val="00E64648"/>
    <w:rsid w:val="00E64ABC"/>
    <w:rsid w:val="00E64DA7"/>
    <w:rsid w:val="00E654B2"/>
    <w:rsid w:val="00E65771"/>
    <w:rsid w:val="00E65CF5"/>
    <w:rsid w:val="00E65F26"/>
    <w:rsid w:val="00E66BCA"/>
    <w:rsid w:val="00E66E95"/>
    <w:rsid w:val="00E675DC"/>
    <w:rsid w:val="00E676F5"/>
    <w:rsid w:val="00E6785A"/>
    <w:rsid w:val="00E67CAB"/>
    <w:rsid w:val="00E67CB5"/>
    <w:rsid w:val="00E7001B"/>
    <w:rsid w:val="00E713B9"/>
    <w:rsid w:val="00E71683"/>
    <w:rsid w:val="00E717E9"/>
    <w:rsid w:val="00E71EF4"/>
    <w:rsid w:val="00E728E5"/>
    <w:rsid w:val="00E72A14"/>
    <w:rsid w:val="00E72C16"/>
    <w:rsid w:val="00E73331"/>
    <w:rsid w:val="00E734E3"/>
    <w:rsid w:val="00E73DCA"/>
    <w:rsid w:val="00E73ED3"/>
    <w:rsid w:val="00E741EE"/>
    <w:rsid w:val="00E74577"/>
    <w:rsid w:val="00E749FE"/>
    <w:rsid w:val="00E74CDE"/>
    <w:rsid w:val="00E75429"/>
    <w:rsid w:val="00E76138"/>
    <w:rsid w:val="00E76659"/>
    <w:rsid w:val="00E76B46"/>
    <w:rsid w:val="00E76E61"/>
    <w:rsid w:val="00E7723E"/>
    <w:rsid w:val="00E773B5"/>
    <w:rsid w:val="00E7751B"/>
    <w:rsid w:val="00E80220"/>
    <w:rsid w:val="00E80E54"/>
    <w:rsid w:val="00E81039"/>
    <w:rsid w:val="00E81270"/>
    <w:rsid w:val="00E81477"/>
    <w:rsid w:val="00E81B3B"/>
    <w:rsid w:val="00E81E3B"/>
    <w:rsid w:val="00E81F0A"/>
    <w:rsid w:val="00E81FC8"/>
    <w:rsid w:val="00E82877"/>
    <w:rsid w:val="00E82B23"/>
    <w:rsid w:val="00E82D0B"/>
    <w:rsid w:val="00E834B8"/>
    <w:rsid w:val="00E83E2F"/>
    <w:rsid w:val="00E845A8"/>
    <w:rsid w:val="00E846A9"/>
    <w:rsid w:val="00E84A17"/>
    <w:rsid w:val="00E85376"/>
    <w:rsid w:val="00E854A5"/>
    <w:rsid w:val="00E85528"/>
    <w:rsid w:val="00E85CB1"/>
    <w:rsid w:val="00E869E3"/>
    <w:rsid w:val="00E86C63"/>
    <w:rsid w:val="00E86CF6"/>
    <w:rsid w:val="00E86DE3"/>
    <w:rsid w:val="00E86EDE"/>
    <w:rsid w:val="00E87066"/>
    <w:rsid w:val="00E875A3"/>
    <w:rsid w:val="00E875F3"/>
    <w:rsid w:val="00E87B43"/>
    <w:rsid w:val="00E87D22"/>
    <w:rsid w:val="00E87D5C"/>
    <w:rsid w:val="00E906DD"/>
    <w:rsid w:val="00E90C1C"/>
    <w:rsid w:val="00E91DBF"/>
    <w:rsid w:val="00E91ED6"/>
    <w:rsid w:val="00E91FB2"/>
    <w:rsid w:val="00E924F3"/>
    <w:rsid w:val="00E92999"/>
    <w:rsid w:val="00E92A28"/>
    <w:rsid w:val="00E92E31"/>
    <w:rsid w:val="00E92EB0"/>
    <w:rsid w:val="00E9320C"/>
    <w:rsid w:val="00E93623"/>
    <w:rsid w:val="00E93863"/>
    <w:rsid w:val="00E939FC"/>
    <w:rsid w:val="00E93ACA"/>
    <w:rsid w:val="00E93CB2"/>
    <w:rsid w:val="00E9400E"/>
    <w:rsid w:val="00E943AE"/>
    <w:rsid w:val="00E94A99"/>
    <w:rsid w:val="00E94EE8"/>
    <w:rsid w:val="00E95887"/>
    <w:rsid w:val="00E95891"/>
    <w:rsid w:val="00E95A76"/>
    <w:rsid w:val="00E95CA3"/>
    <w:rsid w:val="00E969F2"/>
    <w:rsid w:val="00E971AD"/>
    <w:rsid w:val="00E97A8C"/>
    <w:rsid w:val="00EA013D"/>
    <w:rsid w:val="00EA037D"/>
    <w:rsid w:val="00EA0A1C"/>
    <w:rsid w:val="00EA0C3D"/>
    <w:rsid w:val="00EA1444"/>
    <w:rsid w:val="00EA165F"/>
    <w:rsid w:val="00EA19DF"/>
    <w:rsid w:val="00EA1AC3"/>
    <w:rsid w:val="00EA225B"/>
    <w:rsid w:val="00EA257D"/>
    <w:rsid w:val="00EA30A4"/>
    <w:rsid w:val="00EA3600"/>
    <w:rsid w:val="00EA3888"/>
    <w:rsid w:val="00EA4477"/>
    <w:rsid w:val="00EA4678"/>
    <w:rsid w:val="00EA5778"/>
    <w:rsid w:val="00EA5835"/>
    <w:rsid w:val="00EA618A"/>
    <w:rsid w:val="00EA6498"/>
    <w:rsid w:val="00EA688C"/>
    <w:rsid w:val="00EA69F4"/>
    <w:rsid w:val="00EA6BCD"/>
    <w:rsid w:val="00EA709D"/>
    <w:rsid w:val="00EA7257"/>
    <w:rsid w:val="00EA79D6"/>
    <w:rsid w:val="00EA7F8E"/>
    <w:rsid w:val="00EB0155"/>
    <w:rsid w:val="00EB018C"/>
    <w:rsid w:val="00EB0689"/>
    <w:rsid w:val="00EB06EF"/>
    <w:rsid w:val="00EB1434"/>
    <w:rsid w:val="00EB168E"/>
    <w:rsid w:val="00EB1B4C"/>
    <w:rsid w:val="00EB1DB3"/>
    <w:rsid w:val="00EB2654"/>
    <w:rsid w:val="00EB289C"/>
    <w:rsid w:val="00EB2AF8"/>
    <w:rsid w:val="00EB2B80"/>
    <w:rsid w:val="00EB2C4C"/>
    <w:rsid w:val="00EB32DD"/>
    <w:rsid w:val="00EB3634"/>
    <w:rsid w:val="00EB3C9A"/>
    <w:rsid w:val="00EB41AB"/>
    <w:rsid w:val="00EB4BCC"/>
    <w:rsid w:val="00EB504E"/>
    <w:rsid w:val="00EB5857"/>
    <w:rsid w:val="00EB5D61"/>
    <w:rsid w:val="00EB5FDA"/>
    <w:rsid w:val="00EB68C7"/>
    <w:rsid w:val="00EB68CC"/>
    <w:rsid w:val="00EB6CC0"/>
    <w:rsid w:val="00EB700F"/>
    <w:rsid w:val="00EB710A"/>
    <w:rsid w:val="00EB736D"/>
    <w:rsid w:val="00EB794D"/>
    <w:rsid w:val="00EC01C8"/>
    <w:rsid w:val="00EC057F"/>
    <w:rsid w:val="00EC09D1"/>
    <w:rsid w:val="00EC0B22"/>
    <w:rsid w:val="00EC12FD"/>
    <w:rsid w:val="00EC140C"/>
    <w:rsid w:val="00EC1B2F"/>
    <w:rsid w:val="00EC1E71"/>
    <w:rsid w:val="00EC1F50"/>
    <w:rsid w:val="00EC213E"/>
    <w:rsid w:val="00EC2442"/>
    <w:rsid w:val="00EC3261"/>
    <w:rsid w:val="00EC3B36"/>
    <w:rsid w:val="00EC4362"/>
    <w:rsid w:val="00EC4383"/>
    <w:rsid w:val="00EC4EB1"/>
    <w:rsid w:val="00EC4F95"/>
    <w:rsid w:val="00EC5082"/>
    <w:rsid w:val="00EC508F"/>
    <w:rsid w:val="00EC5DFF"/>
    <w:rsid w:val="00EC6300"/>
    <w:rsid w:val="00EC6390"/>
    <w:rsid w:val="00EC6C42"/>
    <w:rsid w:val="00EC6DB0"/>
    <w:rsid w:val="00EC6E00"/>
    <w:rsid w:val="00EC6EF2"/>
    <w:rsid w:val="00EC701F"/>
    <w:rsid w:val="00EC7578"/>
    <w:rsid w:val="00EC797C"/>
    <w:rsid w:val="00ED0329"/>
    <w:rsid w:val="00ED109E"/>
    <w:rsid w:val="00ED112D"/>
    <w:rsid w:val="00ED142B"/>
    <w:rsid w:val="00ED15DD"/>
    <w:rsid w:val="00ED198A"/>
    <w:rsid w:val="00ED1B61"/>
    <w:rsid w:val="00ED20EA"/>
    <w:rsid w:val="00ED27B5"/>
    <w:rsid w:val="00ED2B24"/>
    <w:rsid w:val="00ED3162"/>
    <w:rsid w:val="00ED33EC"/>
    <w:rsid w:val="00ED3464"/>
    <w:rsid w:val="00ED352A"/>
    <w:rsid w:val="00ED36F2"/>
    <w:rsid w:val="00ED3770"/>
    <w:rsid w:val="00ED3A9A"/>
    <w:rsid w:val="00ED3C0E"/>
    <w:rsid w:val="00ED3CD7"/>
    <w:rsid w:val="00ED41A5"/>
    <w:rsid w:val="00ED430F"/>
    <w:rsid w:val="00ED453E"/>
    <w:rsid w:val="00ED4D0B"/>
    <w:rsid w:val="00ED5009"/>
    <w:rsid w:val="00ED54C1"/>
    <w:rsid w:val="00ED5827"/>
    <w:rsid w:val="00ED58F0"/>
    <w:rsid w:val="00ED593B"/>
    <w:rsid w:val="00ED596D"/>
    <w:rsid w:val="00ED5B12"/>
    <w:rsid w:val="00ED642A"/>
    <w:rsid w:val="00ED6ACE"/>
    <w:rsid w:val="00ED71B9"/>
    <w:rsid w:val="00ED73FD"/>
    <w:rsid w:val="00ED7747"/>
    <w:rsid w:val="00ED7AF9"/>
    <w:rsid w:val="00EE016A"/>
    <w:rsid w:val="00EE024F"/>
    <w:rsid w:val="00EE078F"/>
    <w:rsid w:val="00EE07FA"/>
    <w:rsid w:val="00EE159A"/>
    <w:rsid w:val="00EE16AA"/>
    <w:rsid w:val="00EE17C9"/>
    <w:rsid w:val="00EE1B1D"/>
    <w:rsid w:val="00EE1F8B"/>
    <w:rsid w:val="00EE2157"/>
    <w:rsid w:val="00EE2305"/>
    <w:rsid w:val="00EE3352"/>
    <w:rsid w:val="00EE33C6"/>
    <w:rsid w:val="00EE33F9"/>
    <w:rsid w:val="00EE34A9"/>
    <w:rsid w:val="00EE3899"/>
    <w:rsid w:val="00EE3A1A"/>
    <w:rsid w:val="00EE3AAE"/>
    <w:rsid w:val="00EE3CBE"/>
    <w:rsid w:val="00EE42BA"/>
    <w:rsid w:val="00EE4363"/>
    <w:rsid w:val="00EE45FB"/>
    <w:rsid w:val="00EE470D"/>
    <w:rsid w:val="00EE520D"/>
    <w:rsid w:val="00EE58D3"/>
    <w:rsid w:val="00EE58DE"/>
    <w:rsid w:val="00EE5999"/>
    <w:rsid w:val="00EE5BE3"/>
    <w:rsid w:val="00EE5ECE"/>
    <w:rsid w:val="00EE6206"/>
    <w:rsid w:val="00EE6367"/>
    <w:rsid w:val="00EE6823"/>
    <w:rsid w:val="00EE6F2D"/>
    <w:rsid w:val="00EE721C"/>
    <w:rsid w:val="00EE7245"/>
    <w:rsid w:val="00EE7C04"/>
    <w:rsid w:val="00EF198C"/>
    <w:rsid w:val="00EF19FE"/>
    <w:rsid w:val="00EF1A25"/>
    <w:rsid w:val="00EF2037"/>
    <w:rsid w:val="00EF2107"/>
    <w:rsid w:val="00EF21D9"/>
    <w:rsid w:val="00EF2243"/>
    <w:rsid w:val="00EF2EF7"/>
    <w:rsid w:val="00EF3072"/>
    <w:rsid w:val="00EF332F"/>
    <w:rsid w:val="00EF3543"/>
    <w:rsid w:val="00EF46F2"/>
    <w:rsid w:val="00EF4939"/>
    <w:rsid w:val="00EF4AFC"/>
    <w:rsid w:val="00EF5288"/>
    <w:rsid w:val="00EF5C93"/>
    <w:rsid w:val="00EF6543"/>
    <w:rsid w:val="00EF6ECF"/>
    <w:rsid w:val="00EF6FC3"/>
    <w:rsid w:val="00EF7399"/>
    <w:rsid w:val="00EF7536"/>
    <w:rsid w:val="00EF7706"/>
    <w:rsid w:val="00EF77C5"/>
    <w:rsid w:val="00EF7EA6"/>
    <w:rsid w:val="00F00114"/>
    <w:rsid w:val="00F003F5"/>
    <w:rsid w:val="00F008FD"/>
    <w:rsid w:val="00F00F85"/>
    <w:rsid w:val="00F016DD"/>
    <w:rsid w:val="00F016F8"/>
    <w:rsid w:val="00F016FC"/>
    <w:rsid w:val="00F018D1"/>
    <w:rsid w:val="00F01904"/>
    <w:rsid w:val="00F01F71"/>
    <w:rsid w:val="00F023CB"/>
    <w:rsid w:val="00F02547"/>
    <w:rsid w:val="00F02A85"/>
    <w:rsid w:val="00F02B14"/>
    <w:rsid w:val="00F02B21"/>
    <w:rsid w:val="00F03233"/>
    <w:rsid w:val="00F03705"/>
    <w:rsid w:val="00F04598"/>
    <w:rsid w:val="00F04999"/>
    <w:rsid w:val="00F05039"/>
    <w:rsid w:val="00F051A9"/>
    <w:rsid w:val="00F05663"/>
    <w:rsid w:val="00F05C32"/>
    <w:rsid w:val="00F05E50"/>
    <w:rsid w:val="00F05EAF"/>
    <w:rsid w:val="00F0600C"/>
    <w:rsid w:val="00F06202"/>
    <w:rsid w:val="00F063AF"/>
    <w:rsid w:val="00F063EC"/>
    <w:rsid w:val="00F0676D"/>
    <w:rsid w:val="00F06866"/>
    <w:rsid w:val="00F0692A"/>
    <w:rsid w:val="00F06B75"/>
    <w:rsid w:val="00F06D58"/>
    <w:rsid w:val="00F0703A"/>
    <w:rsid w:val="00F07065"/>
    <w:rsid w:val="00F07177"/>
    <w:rsid w:val="00F071C1"/>
    <w:rsid w:val="00F0728F"/>
    <w:rsid w:val="00F07717"/>
    <w:rsid w:val="00F078D6"/>
    <w:rsid w:val="00F101AE"/>
    <w:rsid w:val="00F10207"/>
    <w:rsid w:val="00F10793"/>
    <w:rsid w:val="00F10A87"/>
    <w:rsid w:val="00F10B39"/>
    <w:rsid w:val="00F10EB0"/>
    <w:rsid w:val="00F110CF"/>
    <w:rsid w:val="00F1119F"/>
    <w:rsid w:val="00F11354"/>
    <w:rsid w:val="00F11AE5"/>
    <w:rsid w:val="00F124F1"/>
    <w:rsid w:val="00F12D6B"/>
    <w:rsid w:val="00F13171"/>
    <w:rsid w:val="00F1350B"/>
    <w:rsid w:val="00F135A5"/>
    <w:rsid w:val="00F1372B"/>
    <w:rsid w:val="00F13934"/>
    <w:rsid w:val="00F13D2F"/>
    <w:rsid w:val="00F14014"/>
    <w:rsid w:val="00F1457D"/>
    <w:rsid w:val="00F146D7"/>
    <w:rsid w:val="00F14895"/>
    <w:rsid w:val="00F14D60"/>
    <w:rsid w:val="00F14E74"/>
    <w:rsid w:val="00F15ED4"/>
    <w:rsid w:val="00F1636D"/>
    <w:rsid w:val="00F16374"/>
    <w:rsid w:val="00F1659A"/>
    <w:rsid w:val="00F16632"/>
    <w:rsid w:val="00F16771"/>
    <w:rsid w:val="00F16780"/>
    <w:rsid w:val="00F17078"/>
    <w:rsid w:val="00F1726F"/>
    <w:rsid w:val="00F17464"/>
    <w:rsid w:val="00F17713"/>
    <w:rsid w:val="00F17B11"/>
    <w:rsid w:val="00F17B4E"/>
    <w:rsid w:val="00F204DF"/>
    <w:rsid w:val="00F2080F"/>
    <w:rsid w:val="00F2089F"/>
    <w:rsid w:val="00F20ABE"/>
    <w:rsid w:val="00F20D95"/>
    <w:rsid w:val="00F21112"/>
    <w:rsid w:val="00F214E8"/>
    <w:rsid w:val="00F21AA2"/>
    <w:rsid w:val="00F21C1E"/>
    <w:rsid w:val="00F222E6"/>
    <w:rsid w:val="00F226D9"/>
    <w:rsid w:val="00F23529"/>
    <w:rsid w:val="00F23D51"/>
    <w:rsid w:val="00F240A1"/>
    <w:rsid w:val="00F242C1"/>
    <w:rsid w:val="00F24360"/>
    <w:rsid w:val="00F2450C"/>
    <w:rsid w:val="00F24F37"/>
    <w:rsid w:val="00F250ED"/>
    <w:rsid w:val="00F252D8"/>
    <w:rsid w:val="00F256CD"/>
    <w:rsid w:val="00F25B6C"/>
    <w:rsid w:val="00F25C6F"/>
    <w:rsid w:val="00F25D98"/>
    <w:rsid w:val="00F25DA1"/>
    <w:rsid w:val="00F25E4B"/>
    <w:rsid w:val="00F25EB0"/>
    <w:rsid w:val="00F25F1F"/>
    <w:rsid w:val="00F261F3"/>
    <w:rsid w:val="00F2639E"/>
    <w:rsid w:val="00F26404"/>
    <w:rsid w:val="00F268FB"/>
    <w:rsid w:val="00F270EE"/>
    <w:rsid w:val="00F2787C"/>
    <w:rsid w:val="00F27D3C"/>
    <w:rsid w:val="00F27D73"/>
    <w:rsid w:val="00F3028C"/>
    <w:rsid w:val="00F30A94"/>
    <w:rsid w:val="00F30A95"/>
    <w:rsid w:val="00F30D6F"/>
    <w:rsid w:val="00F310C8"/>
    <w:rsid w:val="00F311C6"/>
    <w:rsid w:val="00F31E97"/>
    <w:rsid w:val="00F324C4"/>
    <w:rsid w:val="00F32521"/>
    <w:rsid w:val="00F32893"/>
    <w:rsid w:val="00F328EF"/>
    <w:rsid w:val="00F340DE"/>
    <w:rsid w:val="00F34173"/>
    <w:rsid w:val="00F341B0"/>
    <w:rsid w:val="00F34225"/>
    <w:rsid w:val="00F342AB"/>
    <w:rsid w:val="00F345D9"/>
    <w:rsid w:val="00F34E96"/>
    <w:rsid w:val="00F359AB"/>
    <w:rsid w:val="00F35C6E"/>
    <w:rsid w:val="00F35FDD"/>
    <w:rsid w:val="00F362F7"/>
    <w:rsid w:val="00F3638B"/>
    <w:rsid w:val="00F3640B"/>
    <w:rsid w:val="00F365F1"/>
    <w:rsid w:val="00F36600"/>
    <w:rsid w:val="00F36A60"/>
    <w:rsid w:val="00F3758B"/>
    <w:rsid w:val="00F375D9"/>
    <w:rsid w:val="00F3762C"/>
    <w:rsid w:val="00F40065"/>
    <w:rsid w:val="00F4013E"/>
    <w:rsid w:val="00F40181"/>
    <w:rsid w:val="00F401E2"/>
    <w:rsid w:val="00F401F4"/>
    <w:rsid w:val="00F4063D"/>
    <w:rsid w:val="00F4066C"/>
    <w:rsid w:val="00F40AD0"/>
    <w:rsid w:val="00F40F7F"/>
    <w:rsid w:val="00F40FCF"/>
    <w:rsid w:val="00F4169F"/>
    <w:rsid w:val="00F41AE2"/>
    <w:rsid w:val="00F41DED"/>
    <w:rsid w:val="00F41EDF"/>
    <w:rsid w:val="00F42499"/>
    <w:rsid w:val="00F42863"/>
    <w:rsid w:val="00F4293B"/>
    <w:rsid w:val="00F42945"/>
    <w:rsid w:val="00F42A49"/>
    <w:rsid w:val="00F43064"/>
    <w:rsid w:val="00F430A2"/>
    <w:rsid w:val="00F43193"/>
    <w:rsid w:val="00F4319A"/>
    <w:rsid w:val="00F432AC"/>
    <w:rsid w:val="00F4358A"/>
    <w:rsid w:val="00F43AE7"/>
    <w:rsid w:val="00F43E25"/>
    <w:rsid w:val="00F43FA3"/>
    <w:rsid w:val="00F44213"/>
    <w:rsid w:val="00F44D45"/>
    <w:rsid w:val="00F45A57"/>
    <w:rsid w:val="00F45AAD"/>
    <w:rsid w:val="00F45DE6"/>
    <w:rsid w:val="00F4604B"/>
    <w:rsid w:val="00F460CE"/>
    <w:rsid w:val="00F46A8C"/>
    <w:rsid w:val="00F46D4B"/>
    <w:rsid w:val="00F472EE"/>
    <w:rsid w:val="00F4761B"/>
    <w:rsid w:val="00F4775B"/>
    <w:rsid w:val="00F5020C"/>
    <w:rsid w:val="00F50340"/>
    <w:rsid w:val="00F50503"/>
    <w:rsid w:val="00F50541"/>
    <w:rsid w:val="00F50595"/>
    <w:rsid w:val="00F506A1"/>
    <w:rsid w:val="00F507CB"/>
    <w:rsid w:val="00F50B4E"/>
    <w:rsid w:val="00F50F63"/>
    <w:rsid w:val="00F51205"/>
    <w:rsid w:val="00F52009"/>
    <w:rsid w:val="00F525B5"/>
    <w:rsid w:val="00F5275F"/>
    <w:rsid w:val="00F52D07"/>
    <w:rsid w:val="00F52D31"/>
    <w:rsid w:val="00F53DE9"/>
    <w:rsid w:val="00F545D0"/>
    <w:rsid w:val="00F54650"/>
    <w:rsid w:val="00F548B1"/>
    <w:rsid w:val="00F548BC"/>
    <w:rsid w:val="00F54BCD"/>
    <w:rsid w:val="00F54E80"/>
    <w:rsid w:val="00F554BF"/>
    <w:rsid w:val="00F5565E"/>
    <w:rsid w:val="00F55D58"/>
    <w:rsid w:val="00F55E3F"/>
    <w:rsid w:val="00F56574"/>
    <w:rsid w:val="00F56BFF"/>
    <w:rsid w:val="00F56D80"/>
    <w:rsid w:val="00F56E05"/>
    <w:rsid w:val="00F56FEF"/>
    <w:rsid w:val="00F572C9"/>
    <w:rsid w:val="00F57CD6"/>
    <w:rsid w:val="00F57DE9"/>
    <w:rsid w:val="00F57F91"/>
    <w:rsid w:val="00F60DF1"/>
    <w:rsid w:val="00F6110B"/>
    <w:rsid w:val="00F61178"/>
    <w:rsid w:val="00F614CB"/>
    <w:rsid w:val="00F6180E"/>
    <w:rsid w:val="00F618E6"/>
    <w:rsid w:val="00F61BF6"/>
    <w:rsid w:val="00F61C8D"/>
    <w:rsid w:val="00F61D01"/>
    <w:rsid w:val="00F61EC2"/>
    <w:rsid w:val="00F624DF"/>
    <w:rsid w:val="00F62675"/>
    <w:rsid w:val="00F627DA"/>
    <w:rsid w:val="00F629BC"/>
    <w:rsid w:val="00F62B54"/>
    <w:rsid w:val="00F62C4E"/>
    <w:rsid w:val="00F62FE2"/>
    <w:rsid w:val="00F63271"/>
    <w:rsid w:val="00F63559"/>
    <w:rsid w:val="00F63762"/>
    <w:rsid w:val="00F6379D"/>
    <w:rsid w:val="00F63AB0"/>
    <w:rsid w:val="00F63BDE"/>
    <w:rsid w:val="00F63E7E"/>
    <w:rsid w:val="00F64192"/>
    <w:rsid w:val="00F64C10"/>
    <w:rsid w:val="00F64F90"/>
    <w:rsid w:val="00F65884"/>
    <w:rsid w:val="00F65F13"/>
    <w:rsid w:val="00F664AA"/>
    <w:rsid w:val="00F664BB"/>
    <w:rsid w:val="00F66BBE"/>
    <w:rsid w:val="00F66C07"/>
    <w:rsid w:val="00F66F47"/>
    <w:rsid w:val="00F66FA5"/>
    <w:rsid w:val="00F6712D"/>
    <w:rsid w:val="00F67767"/>
    <w:rsid w:val="00F67B9F"/>
    <w:rsid w:val="00F7008C"/>
    <w:rsid w:val="00F701B8"/>
    <w:rsid w:val="00F704E4"/>
    <w:rsid w:val="00F705AC"/>
    <w:rsid w:val="00F706C4"/>
    <w:rsid w:val="00F70B7E"/>
    <w:rsid w:val="00F70B99"/>
    <w:rsid w:val="00F70ECF"/>
    <w:rsid w:val="00F70FDC"/>
    <w:rsid w:val="00F7122D"/>
    <w:rsid w:val="00F71365"/>
    <w:rsid w:val="00F71491"/>
    <w:rsid w:val="00F714A2"/>
    <w:rsid w:val="00F71766"/>
    <w:rsid w:val="00F724C5"/>
    <w:rsid w:val="00F72AC8"/>
    <w:rsid w:val="00F72B72"/>
    <w:rsid w:val="00F72C6D"/>
    <w:rsid w:val="00F72F61"/>
    <w:rsid w:val="00F7317C"/>
    <w:rsid w:val="00F739BF"/>
    <w:rsid w:val="00F73A89"/>
    <w:rsid w:val="00F73B39"/>
    <w:rsid w:val="00F74148"/>
    <w:rsid w:val="00F742AC"/>
    <w:rsid w:val="00F7496F"/>
    <w:rsid w:val="00F74987"/>
    <w:rsid w:val="00F74E49"/>
    <w:rsid w:val="00F74F5E"/>
    <w:rsid w:val="00F750BF"/>
    <w:rsid w:val="00F75227"/>
    <w:rsid w:val="00F7568D"/>
    <w:rsid w:val="00F757F5"/>
    <w:rsid w:val="00F76C3E"/>
    <w:rsid w:val="00F76DFA"/>
    <w:rsid w:val="00F7717D"/>
    <w:rsid w:val="00F774D3"/>
    <w:rsid w:val="00F77808"/>
    <w:rsid w:val="00F801CF"/>
    <w:rsid w:val="00F802E7"/>
    <w:rsid w:val="00F8033F"/>
    <w:rsid w:val="00F80351"/>
    <w:rsid w:val="00F807F9"/>
    <w:rsid w:val="00F813B6"/>
    <w:rsid w:val="00F813E4"/>
    <w:rsid w:val="00F81604"/>
    <w:rsid w:val="00F82666"/>
    <w:rsid w:val="00F82A45"/>
    <w:rsid w:val="00F82C16"/>
    <w:rsid w:val="00F82CB3"/>
    <w:rsid w:val="00F82FDF"/>
    <w:rsid w:val="00F830CF"/>
    <w:rsid w:val="00F83282"/>
    <w:rsid w:val="00F8336C"/>
    <w:rsid w:val="00F836CA"/>
    <w:rsid w:val="00F83CA0"/>
    <w:rsid w:val="00F84132"/>
    <w:rsid w:val="00F84253"/>
    <w:rsid w:val="00F845C5"/>
    <w:rsid w:val="00F84614"/>
    <w:rsid w:val="00F846BF"/>
    <w:rsid w:val="00F8494A"/>
    <w:rsid w:val="00F849A1"/>
    <w:rsid w:val="00F849D8"/>
    <w:rsid w:val="00F84A82"/>
    <w:rsid w:val="00F84FD9"/>
    <w:rsid w:val="00F85018"/>
    <w:rsid w:val="00F8522F"/>
    <w:rsid w:val="00F853B7"/>
    <w:rsid w:val="00F860A3"/>
    <w:rsid w:val="00F870A7"/>
    <w:rsid w:val="00F87755"/>
    <w:rsid w:val="00F87FEC"/>
    <w:rsid w:val="00F901C3"/>
    <w:rsid w:val="00F901EF"/>
    <w:rsid w:val="00F904B8"/>
    <w:rsid w:val="00F90C82"/>
    <w:rsid w:val="00F90CA7"/>
    <w:rsid w:val="00F919B7"/>
    <w:rsid w:val="00F91A4C"/>
    <w:rsid w:val="00F91CEA"/>
    <w:rsid w:val="00F91CEE"/>
    <w:rsid w:val="00F91E16"/>
    <w:rsid w:val="00F92070"/>
    <w:rsid w:val="00F92C16"/>
    <w:rsid w:val="00F92E4D"/>
    <w:rsid w:val="00F932F4"/>
    <w:rsid w:val="00F937F2"/>
    <w:rsid w:val="00F93A85"/>
    <w:rsid w:val="00F93AAD"/>
    <w:rsid w:val="00F943C9"/>
    <w:rsid w:val="00F94507"/>
    <w:rsid w:val="00F948F6"/>
    <w:rsid w:val="00F9545A"/>
    <w:rsid w:val="00F968ED"/>
    <w:rsid w:val="00F96C01"/>
    <w:rsid w:val="00F96CDF"/>
    <w:rsid w:val="00F96EB0"/>
    <w:rsid w:val="00F97056"/>
    <w:rsid w:val="00F974DA"/>
    <w:rsid w:val="00F978E4"/>
    <w:rsid w:val="00FA03C6"/>
    <w:rsid w:val="00FA0428"/>
    <w:rsid w:val="00FA05A0"/>
    <w:rsid w:val="00FA0872"/>
    <w:rsid w:val="00FA0A40"/>
    <w:rsid w:val="00FA0F96"/>
    <w:rsid w:val="00FA1227"/>
    <w:rsid w:val="00FA27BA"/>
    <w:rsid w:val="00FA27E7"/>
    <w:rsid w:val="00FA2D54"/>
    <w:rsid w:val="00FA3547"/>
    <w:rsid w:val="00FA3A65"/>
    <w:rsid w:val="00FA3D63"/>
    <w:rsid w:val="00FA4254"/>
    <w:rsid w:val="00FA434E"/>
    <w:rsid w:val="00FA4472"/>
    <w:rsid w:val="00FA45D6"/>
    <w:rsid w:val="00FA4978"/>
    <w:rsid w:val="00FA5048"/>
    <w:rsid w:val="00FA5530"/>
    <w:rsid w:val="00FA55DE"/>
    <w:rsid w:val="00FA58E3"/>
    <w:rsid w:val="00FA5E6C"/>
    <w:rsid w:val="00FA62E8"/>
    <w:rsid w:val="00FA6509"/>
    <w:rsid w:val="00FA6639"/>
    <w:rsid w:val="00FA6680"/>
    <w:rsid w:val="00FA678A"/>
    <w:rsid w:val="00FA6E53"/>
    <w:rsid w:val="00FA6F3A"/>
    <w:rsid w:val="00FA7309"/>
    <w:rsid w:val="00FA77D5"/>
    <w:rsid w:val="00FA7F2A"/>
    <w:rsid w:val="00FB00A1"/>
    <w:rsid w:val="00FB0994"/>
    <w:rsid w:val="00FB0DB8"/>
    <w:rsid w:val="00FB0FB9"/>
    <w:rsid w:val="00FB12B1"/>
    <w:rsid w:val="00FB13D9"/>
    <w:rsid w:val="00FB1466"/>
    <w:rsid w:val="00FB1F5D"/>
    <w:rsid w:val="00FB20E7"/>
    <w:rsid w:val="00FB210A"/>
    <w:rsid w:val="00FB23FD"/>
    <w:rsid w:val="00FB24C6"/>
    <w:rsid w:val="00FB3310"/>
    <w:rsid w:val="00FB3618"/>
    <w:rsid w:val="00FB3ACC"/>
    <w:rsid w:val="00FB3EC9"/>
    <w:rsid w:val="00FB3F5D"/>
    <w:rsid w:val="00FB42F5"/>
    <w:rsid w:val="00FB4308"/>
    <w:rsid w:val="00FB46A5"/>
    <w:rsid w:val="00FB4A90"/>
    <w:rsid w:val="00FB5345"/>
    <w:rsid w:val="00FB590E"/>
    <w:rsid w:val="00FB5B18"/>
    <w:rsid w:val="00FB604E"/>
    <w:rsid w:val="00FB63AD"/>
    <w:rsid w:val="00FB658B"/>
    <w:rsid w:val="00FB676C"/>
    <w:rsid w:val="00FB699B"/>
    <w:rsid w:val="00FB699D"/>
    <w:rsid w:val="00FB717D"/>
    <w:rsid w:val="00FB765C"/>
    <w:rsid w:val="00FB7720"/>
    <w:rsid w:val="00FC055B"/>
    <w:rsid w:val="00FC06B3"/>
    <w:rsid w:val="00FC10F2"/>
    <w:rsid w:val="00FC1199"/>
    <w:rsid w:val="00FC1853"/>
    <w:rsid w:val="00FC1BD4"/>
    <w:rsid w:val="00FC1C2A"/>
    <w:rsid w:val="00FC1F36"/>
    <w:rsid w:val="00FC2044"/>
    <w:rsid w:val="00FC2927"/>
    <w:rsid w:val="00FC2B2E"/>
    <w:rsid w:val="00FC2F20"/>
    <w:rsid w:val="00FC2F92"/>
    <w:rsid w:val="00FC3121"/>
    <w:rsid w:val="00FC33C7"/>
    <w:rsid w:val="00FC3778"/>
    <w:rsid w:val="00FC3ABF"/>
    <w:rsid w:val="00FC3ADA"/>
    <w:rsid w:val="00FC3D71"/>
    <w:rsid w:val="00FC3D72"/>
    <w:rsid w:val="00FC3EB7"/>
    <w:rsid w:val="00FC405B"/>
    <w:rsid w:val="00FC45A3"/>
    <w:rsid w:val="00FC49FE"/>
    <w:rsid w:val="00FC4E6A"/>
    <w:rsid w:val="00FC4EF1"/>
    <w:rsid w:val="00FC58C7"/>
    <w:rsid w:val="00FC58F1"/>
    <w:rsid w:val="00FC59C2"/>
    <w:rsid w:val="00FC5A96"/>
    <w:rsid w:val="00FC6978"/>
    <w:rsid w:val="00FC6A55"/>
    <w:rsid w:val="00FC6B53"/>
    <w:rsid w:val="00FC7677"/>
    <w:rsid w:val="00FC7941"/>
    <w:rsid w:val="00FC7C59"/>
    <w:rsid w:val="00FC7E07"/>
    <w:rsid w:val="00FC7FAE"/>
    <w:rsid w:val="00FD0391"/>
    <w:rsid w:val="00FD1146"/>
    <w:rsid w:val="00FD1575"/>
    <w:rsid w:val="00FD1627"/>
    <w:rsid w:val="00FD1BEF"/>
    <w:rsid w:val="00FD1FA3"/>
    <w:rsid w:val="00FD2043"/>
    <w:rsid w:val="00FD21F4"/>
    <w:rsid w:val="00FD27A8"/>
    <w:rsid w:val="00FD30A5"/>
    <w:rsid w:val="00FD3318"/>
    <w:rsid w:val="00FD3401"/>
    <w:rsid w:val="00FD4065"/>
    <w:rsid w:val="00FD45C5"/>
    <w:rsid w:val="00FD4B61"/>
    <w:rsid w:val="00FD4C32"/>
    <w:rsid w:val="00FD4CBD"/>
    <w:rsid w:val="00FD4CBE"/>
    <w:rsid w:val="00FD4D27"/>
    <w:rsid w:val="00FD4E25"/>
    <w:rsid w:val="00FD50B0"/>
    <w:rsid w:val="00FD5E05"/>
    <w:rsid w:val="00FD622E"/>
    <w:rsid w:val="00FD6312"/>
    <w:rsid w:val="00FD63AC"/>
    <w:rsid w:val="00FD6589"/>
    <w:rsid w:val="00FD679A"/>
    <w:rsid w:val="00FD6AB8"/>
    <w:rsid w:val="00FD6E13"/>
    <w:rsid w:val="00FD706F"/>
    <w:rsid w:val="00FD7438"/>
    <w:rsid w:val="00FD7454"/>
    <w:rsid w:val="00FD7B37"/>
    <w:rsid w:val="00FD7D26"/>
    <w:rsid w:val="00FE027D"/>
    <w:rsid w:val="00FE0673"/>
    <w:rsid w:val="00FE0698"/>
    <w:rsid w:val="00FE13F5"/>
    <w:rsid w:val="00FE153C"/>
    <w:rsid w:val="00FE1694"/>
    <w:rsid w:val="00FE16FE"/>
    <w:rsid w:val="00FE23FD"/>
    <w:rsid w:val="00FE2843"/>
    <w:rsid w:val="00FE2A84"/>
    <w:rsid w:val="00FE2D83"/>
    <w:rsid w:val="00FE2DA7"/>
    <w:rsid w:val="00FE3255"/>
    <w:rsid w:val="00FE349B"/>
    <w:rsid w:val="00FE3800"/>
    <w:rsid w:val="00FE39F6"/>
    <w:rsid w:val="00FE3D88"/>
    <w:rsid w:val="00FE3E42"/>
    <w:rsid w:val="00FE4420"/>
    <w:rsid w:val="00FE4485"/>
    <w:rsid w:val="00FE48D0"/>
    <w:rsid w:val="00FE498B"/>
    <w:rsid w:val="00FE4E84"/>
    <w:rsid w:val="00FE5DCF"/>
    <w:rsid w:val="00FE5FED"/>
    <w:rsid w:val="00FE6A2C"/>
    <w:rsid w:val="00FE6A73"/>
    <w:rsid w:val="00FE6B61"/>
    <w:rsid w:val="00FE702A"/>
    <w:rsid w:val="00FE7289"/>
    <w:rsid w:val="00FE73B6"/>
    <w:rsid w:val="00FE7683"/>
    <w:rsid w:val="00FE7CD4"/>
    <w:rsid w:val="00FF0057"/>
    <w:rsid w:val="00FF0151"/>
    <w:rsid w:val="00FF09C4"/>
    <w:rsid w:val="00FF12F1"/>
    <w:rsid w:val="00FF13BA"/>
    <w:rsid w:val="00FF154A"/>
    <w:rsid w:val="00FF172D"/>
    <w:rsid w:val="00FF1F16"/>
    <w:rsid w:val="00FF20AA"/>
    <w:rsid w:val="00FF2325"/>
    <w:rsid w:val="00FF23A6"/>
    <w:rsid w:val="00FF25D6"/>
    <w:rsid w:val="00FF2670"/>
    <w:rsid w:val="00FF2D79"/>
    <w:rsid w:val="00FF2F78"/>
    <w:rsid w:val="00FF33A4"/>
    <w:rsid w:val="00FF3599"/>
    <w:rsid w:val="00FF3AF1"/>
    <w:rsid w:val="00FF42AF"/>
    <w:rsid w:val="00FF48C1"/>
    <w:rsid w:val="00FF49D5"/>
    <w:rsid w:val="00FF5F30"/>
    <w:rsid w:val="00FF5F85"/>
    <w:rsid w:val="00FF606D"/>
    <w:rsid w:val="00FF6452"/>
    <w:rsid w:val="00FF67AD"/>
    <w:rsid w:val="00FF6B8C"/>
    <w:rsid w:val="00FF6E37"/>
    <w:rsid w:val="00FF72DD"/>
    <w:rsid w:val="00FF7935"/>
    <w:rsid w:val="00FF7BE5"/>
    <w:rsid w:val="00FF7C06"/>
    <w:rsid w:val="02A41F07"/>
    <w:rsid w:val="04BBAA98"/>
    <w:rsid w:val="073DBFFD"/>
    <w:rsid w:val="092E7B5F"/>
    <w:rsid w:val="0A730C94"/>
    <w:rsid w:val="0B1CE47A"/>
    <w:rsid w:val="0C909D77"/>
    <w:rsid w:val="0DE94A86"/>
    <w:rsid w:val="0F2EB72C"/>
    <w:rsid w:val="120F9C77"/>
    <w:rsid w:val="12A56A8C"/>
    <w:rsid w:val="134096ED"/>
    <w:rsid w:val="138919D6"/>
    <w:rsid w:val="150F9EB8"/>
    <w:rsid w:val="16A4575F"/>
    <w:rsid w:val="17164072"/>
    <w:rsid w:val="19CDBA6D"/>
    <w:rsid w:val="1B6FE12D"/>
    <w:rsid w:val="1BB6D717"/>
    <w:rsid w:val="1C1ED9D1"/>
    <w:rsid w:val="1CA6B3BA"/>
    <w:rsid w:val="1CB41DF2"/>
    <w:rsid w:val="1D69C73B"/>
    <w:rsid w:val="1FE6D683"/>
    <w:rsid w:val="22183690"/>
    <w:rsid w:val="22E32765"/>
    <w:rsid w:val="237CDD2E"/>
    <w:rsid w:val="25AF9933"/>
    <w:rsid w:val="268CC5A7"/>
    <w:rsid w:val="288D59BB"/>
    <w:rsid w:val="2A3616BB"/>
    <w:rsid w:val="2AA60420"/>
    <w:rsid w:val="2BDEDD17"/>
    <w:rsid w:val="2CE5E915"/>
    <w:rsid w:val="2FE6A83B"/>
    <w:rsid w:val="31C59EA0"/>
    <w:rsid w:val="329573D8"/>
    <w:rsid w:val="334110BA"/>
    <w:rsid w:val="3370CA6B"/>
    <w:rsid w:val="345D8C91"/>
    <w:rsid w:val="35FF4C81"/>
    <w:rsid w:val="36982816"/>
    <w:rsid w:val="378A62BD"/>
    <w:rsid w:val="385D8AD1"/>
    <w:rsid w:val="38864F7F"/>
    <w:rsid w:val="38AF06A4"/>
    <w:rsid w:val="39DE466F"/>
    <w:rsid w:val="3A5A59D4"/>
    <w:rsid w:val="3C6BDD60"/>
    <w:rsid w:val="3C6F8C19"/>
    <w:rsid w:val="3CDDEC0B"/>
    <w:rsid w:val="3D8817BD"/>
    <w:rsid w:val="3DF8F0FB"/>
    <w:rsid w:val="3E8447A3"/>
    <w:rsid w:val="41254B13"/>
    <w:rsid w:val="44A8E112"/>
    <w:rsid w:val="4591FB03"/>
    <w:rsid w:val="45E7F81D"/>
    <w:rsid w:val="4681A7A7"/>
    <w:rsid w:val="4C0CA337"/>
    <w:rsid w:val="4D7D11E9"/>
    <w:rsid w:val="4ED639CC"/>
    <w:rsid w:val="4F107155"/>
    <w:rsid w:val="4FF0598A"/>
    <w:rsid w:val="50559D53"/>
    <w:rsid w:val="50E185A1"/>
    <w:rsid w:val="52162F8D"/>
    <w:rsid w:val="5307C53A"/>
    <w:rsid w:val="53088FB3"/>
    <w:rsid w:val="5345A3E4"/>
    <w:rsid w:val="5466E28C"/>
    <w:rsid w:val="57FEC9CE"/>
    <w:rsid w:val="59F9A942"/>
    <w:rsid w:val="5A38BF1D"/>
    <w:rsid w:val="5B463845"/>
    <w:rsid w:val="5E8CA63C"/>
    <w:rsid w:val="5F8CE424"/>
    <w:rsid w:val="5FD6415B"/>
    <w:rsid w:val="611EB3C8"/>
    <w:rsid w:val="6271D662"/>
    <w:rsid w:val="62C86D4A"/>
    <w:rsid w:val="64087278"/>
    <w:rsid w:val="64482417"/>
    <w:rsid w:val="65BF8176"/>
    <w:rsid w:val="67699856"/>
    <w:rsid w:val="685C73C5"/>
    <w:rsid w:val="699F68D6"/>
    <w:rsid w:val="6B553F5E"/>
    <w:rsid w:val="6BDDA682"/>
    <w:rsid w:val="6D95A393"/>
    <w:rsid w:val="6DA6D08D"/>
    <w:rsid w:val="6F8A59C3"/>
    <w:rsid w:val="6FC3B9BE"/>
    <w:rsid w:val="7094828F"/>
    <w:rsid w:val="70CD18AA"/>
    <w:rsid w:val="7578A33E"/>
    <w:rsid w:val="75B79A6C"/>
    <w:rsid w:val="766E7FB2"/>
    <w:rsid w:val="76BBD637"/>
    <w:rsid w:val="77918C4E"/>
    <w:rsid w:val="78A2F534"/>
    <w:rsid w:val="7CB89188"/>
    <w:rsid w:val="7D7A5AA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hapeDefaults>
    <o:shapedefaults v:ext="edit" spidmax="2050"/>
    <o:shapelayout v:ext="edit">
      <o:idmap v:ext="edit" data="2"/>
    </o:shapelayout>
  </w:shapeDefaults>
  <w:decimalSymbol w:val="."/>
  <w:listSeparator w:val=","/>
  <w14:docId w14:val="5DE3B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3524"/>
    <w:pPr>
      <w:spacing w:before="120" w:after="120" w:line="280" w:lineRule="atLeast"/>
    </w:pPr>
    <w:rPr>
      <w:rFonts w:ascii="Arial" w:hAnsi="Arial" w:cs="Times New Roman"/>
      <w:sz w:val="20"/>
      <w:szCs w:val="20"/>
      <w:lang w:eastAsia="en-AU"/>
    </w:rPr>
  </w:style>
  <w:style w:type="paragraph" w:styleId="Heading1">
    <w:name w:val="heading 1"/>
    <w:basedOn w:val="Normal"/>
    <w:link w:val="Heading1Char"/>
    <w:qFormat/>
    <w:rsid w:val="007425FA"/>
    <w:pPr>
      <w:widowControl w:val="0"/>
      <w:outlineLvl w:val="0"/>
    </w:pPr>
    <w:rPr>
      <w:rFonts w:cs="Arial"/>
      <w:bCs/>
      <w:kern w:val="32"/>
      <w:szCs w:val="32"/>
    </w:rPr>
  </w:style>
  <w:style w:type="paragraph" w:styleId="Heading2">
    <w:name w:val="heading 2"/>
    <w:basedOn w:val="Normal"/>
    <w:link w:val="Heading2Char"/>
    <w:qFormat/>
    <w:rsid w:val="007425FA"/>
    <w:pPr>
      <w:numPr>
        <w:ilvl w:val="1"/>
        <w:numId w:val="13"/>
      </w:numPr>
      <w:outlineLvl w:val="1"/>
    </w:pPr>
    <w:rPr>
      <w:rFonts w:cs="Arial"/>
      <w:bCs/>
      <w:iCs/>
      <w:szCs w:val="28"/>
    </w:rPr>
  </w:style>
  <w:style w:type="paragraph" w:styleId="Heading3">
    <w:name w:val="heading 3"/>
    <w:basedOn w:val="Normal"/>
    <w:link w:val="Heading3Char"/>
    <w:qFormat/>
    <w:rsid w:val="007425FA"/>
    <w:pPr>
      <w:numPr>
        <w:ilvl w:val="2"/>
        <w:numId w:val="13"/>
      </w:numPr>
      <w:outlineLvl w:val="2"/>
    </w:pPr>
    <w:rPr>
      <w:rFonts w:cs="Arial"/>
      <w:bCs/>
      <w:szCs w:val="26"/>
    </w:rPr>
  </w:style>
  <w:style w:type="paragraph" w:styleId="Heading4">
    <w:name w:val="heading 4"/>
    <w:basedOn w:val="Normal"/>
    <w:link w:val="Heading4Char"/>
    <w:semiHidden/>
    <w:rsid w:val="007425FA"/>
    <w:pPr>
      <w:outlineLvl w:val="3"/>
    </w:pPr>
    <w:rPr>
      <w:bCs/>
      <w:szCs w:val="28"/>
    </w:rPr>
  </w:style>
  <w:style w:type="paragraph" w:styleId="Heading5">
    <w:name w:val="heading 5"/>
    <w:basedOn w:val="Normal"/>
    <w:link w:val="Heading5Char"/>
    <w:semiHidden/>
    <w:rsid w:val="007425FA"/>
    <w:pPr>
      <w:outlineLvl w:val="4"/>
    </w:pPr>
    <w:rPr>
      <w:bCs/>
      <w:iCs/>
      <w:szCs w:val="26"/>
    </w:rPr>
  </w:style>
  <w:style w:type="paragraph" w:styleId="Heading6">
    <w:name w:val="heading 6"/>
    <w:basedOn w:val="Normal"/>
    <w:link w:val="Heading6Char"/>
    <w:semiHidden/>
    <w:rsid w:val="007425FA"/>
    <w:pPr>
      <w:spacing w:line="240" w:lineRule="auto"/>
      <w:outlineLvl w:val="5"/>
    </w:pPr>
    <w:rPr>
      <w:kern w:val="24"/>
    </w:rPr>
  </w:style>
  <w:style w:type="paragraph" w:styleId="Heading7">
    <w:name w:val="heading 7"/>
    <w:basedOn w:val="Normal"/>
    <w:link w:val="Heading7Char"/>
    <w:semiHidden/>
    <w:rsid w:val="007425FA"/>
    <w:pPr>
      <w:spacing w:line="240" w:lineRule="auto"/>
      <w:outlineLvl w:val="6"/>
    </w:pPr>
  </w:style>
  <w:style w:type="paragraph" w:styleId="Heading8">
    <w:name w:val="heading 8"/>
    <w:basedOn w:val="Normal"/>
    <w:next w:val="Normal"/>
    <w:link w:val="Heading8Char"/>
    <w:semiHidden/>
    <w:rsid w:val="007425FA"/>
    <w:pPr>
      <w:spacing w:line="240" w:lineRule="auto"/>
      <w:outlineLvl w:val="7"/>
    </w:pPr>
    <w:rPr>
      <w:iCs/>
    </w:rPr>
  </w:style>
  <w:style w:type="paragraph" w:styleId="Heading9">
    <w:name w:val="heading 9"/>
    <w:basedOn w:val="Normal"/>
    <w:next w:val="Normal"/>
    <w:link w:val="Heading9Char"/>
    <w:semiHidden/>
    <w:rsid w:val="007425FA"/>
    <w:pPr>
      <w:spacing w:line="240" w:lineRule="auto"/>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111"/>
    <w:rPr>
      <w:rFonts w:ascii="Arial" w:hAnsi="Arial" w:cs="Arial"/>
      <w:bCs/>
      <w:kern w:val="32"/>
      <w:sz w:val="20"/>
      <w:szCs w:val="32"/>
      <w:lang w:eastAsia="en-AU"/>
    </w:rPr>
  </w:style>
  <w:style w:type="character" w:customStyle="1" w:styleId="Heading2Char">
    <w:name w:val="Heading 2 Char"/>
    <w:basedOn w:val="DefaultParagraphFont"/>
    <w:link w:val="Heading2"/>
    <w:rsid w:val="00440111"/>
    <w:rPr>
      <w:rFonts w:ascii="Arial" w:hAnsi="Arial" w:cs="Arial"/>
      <w:bCs/>
      <w:iCs/>
      <w:sz w:val="20"/>
      <w:szCs w:val="28"/>
      <w:lang w:eastAsia="en-AU"/>
    </w:rPr>
  </w:style>
  <w:style w:type="character" w:customStyle="1" w:styleId="Heading3Char">
    <w:name w:val="Heading 3 Char"/>
    <w:basedOn w:val="DefaultParagraphFont"/>
    <w:link w:val="Heading3"/>
    <w:rsid w:val="00440111"/>
    <w:rPr>
      <w:rFonts w:ascii="Arial" w:hAnsi="Arial" w:cs="Arial"/>
      <w:bCs/>
      <w:sz w:val="20"/>
      <w:szCs w:val="26"/>
      <w:lang w:eastAsia="en-AU"/>
    </w:rPr>
  </w:style>
  <w:style w:type="character" w:customStyle="1" w:styleId="Heading4Char">
    <w:name w:val="Heading 4 Char"/>
    <w:basedOn w:val="DefaultParagraphFont"/>
    <w:link w:val="Heading4"/>
    <w:semiHidden/>
    <w:rsid w:val="007425FA"/>
    <w:rPr>
      <w:rFonts w:ascii="Arial" w:eastAsia="Times New Roman" w:hAnsi="Arial" w:cs="Times New Roman"/>
      <w:bCs/>
      <w:sz w:val="20"/>
      <w:szCs w:val="28"/>
      <w:lang w:eastAsia="en-AU"/>
    </w:rPr>
  </w:style>
  <w:style w:type="character" w:customStyle="1" w:styleId="Heading5Char">
    <w:name w:val="Heading 5 Char"/>
    <w:basedOn w:val="DefaultParagraphFont"/>
    <w:link w:val="Heading5"/>
    <w:semiHidden/>
    <w:rsid w:val="007425FA"/>
    <w:rPr>
      <w:rFonts w:ascii="Arial" w:eastAsia="Times New Roman" w:hAnsi="Arial" w:cs="Times New Roman"/>
      <w:bCs/>
      <w:iCs/>
      <w:sz w:val="20"/>
      <w:szCs w:val="26"/>
      <w:lang w:eastAsia="en-AU"/>
    </w:rPr>
  </w:style>
  <w:style w:type="character" w:customStyle="1" w:styleId="Heading6Char">
    <w:name w:val="Heading 6 Char"/>
    <w:basedOn w:val="DefaultParagraphFont"/>
    <w:link w:val="Heading6"/>
    <w:semiHidden/>
    <w:rsid w:val="007425FA"/>
    <w:rPr>
      <w:rFonts w:ascii="Arial" w:eastAsia="Times New Roman" w:hAnsi="Arial" w:cs="Times New Roman"/>
      <w:kern w:val="24"/>
      <w:sz w:val="20"/>
      <w:szCs w:val="20"/>
      <w:lang w:eastAsia="en-AU"/>
    </w:rPr>
  </w:style>
  <w:style w:type="character" w:customStyle="1" w:styleId="Heading7Char">
    <w:name w:val="Heading 7 Char"/>
    <w:basedOn w:val="DefaultParagraphFont"/>
    <w:link w:val="Heading7"/>
    <w:semiHidden/>
    <w:rsid w:val="007425FA"/>
    <w:rPr>
      <w:rFonts w:ascii="Arial" w:eastAsia="Times New Roman" w:hAnsi="Arial" w:cs="Times New Roman"/>
      <w:sz w:val="20"/>
      <w:szCs w:val="20"/>
      <w:lang w:eastAsia="en-AU"/>
    </w:rPr>
  </w:style>
  <w:style w:type="character" w:customStyle="1" w:styleId="Heading8Char">
    <w:name w:val="Heading 8 Char"/>
    <w:basedOn w:val="DefaultParagraphFont"/>
    <w:link w:val="Heading8"/>
    <w:semiHidden/>
    <w:rsid w:val="007425FA"/>
    <w:rPr>
      <w:rFonts w:ascii="Arial" w:eastAsia="Times New Roman" w:hAnsi="Arial" w:cs="Times New Roman"/>
      <w:iCs/>
      <w:sz w:val="20"/>
      <w:szCs w:val="20"/>
      <w:lang w:eastAsia="en-AU"/>
    </w:rPr>
  </w:style>
  <w:style w:type="character" w:customStyle="1" w:styleId="Heading9Char">
    <w:name w:val="Heading 9 Char"/>
    <w:basedOn w:val="DefaultParagraphFont"/>
    <w:link w:val="Heading9"/>
    <w:semiHidden/>
    <w:rsid w:val="007425FA"/>
    <w:rPr>
      <w:rFonts w:ascii="Arial" w:eastAsia="Times New Roman" w:hAnsi="Arial" w:cs="Arial"/>
      <w:sz w:val="20"/>
      <w:lang w:eastAsia="en-AU"/>
    </w:rPr>
  </w:style>
  <w:style w:type="paragraph" w:customStyle="1" w:styleId="Bullet1">
    <w:name w:val="Bullet 1"/>
    <w:basedOn w:val="Normal"/>
    <w:uiPriority w:val="5"/>
    <w:rsid w:val="007425FA"/>
    <w:pPr>
      <w:numPr>
        <w:numId w:val="2"/>
      </w:numPr>
    </w:pPr>
  </w:style>
  <w:style w:type="paragraph" w:customStyle="1" w:styleId="Bullet2">
    <w:name w:val="Bullet 2"/>
    <w:basedOn w:val="Normal"/>
    <w:uiPriority w:val="5"/>
    <w:rsid w:val="007425FA"/>
    <w:pPr>
      <w:numPr>
        <w:ilvl w:val="1"/>
        <w:numId w:val="2"/>
      </w:numPr>
    </w:pPr>
  </w:style>
  <w:style w:type="paragraph" w:customStyle="1" w:styleId="Bullet3">
    <w:name w:val="Bullet 3"/>
    <w:basedOn w:val="Normal"/>
    <w:uiPriority w:val="5"/>
    <w:rsid w:val="007425FA"/>
    <w:pPr>
      <w:numPr>
        <w:ilvl w:val="2"/>
        <w:numId w:val="2"/>
      </w:numPr>
    </w:pPr>
  </w:style>
  <w:style w:type="paragraph" w:customStyle="1" w:styleId="Bullet4">
    <w:name w:val="Bullet 4"/>
    <w:basedOn w:val="Normal"/>
    <w:uiPriority w:val="5"/>
    <w:rsid w:val="007425FA"/>
    <w:pPr>
      <w:numPr>
        <w:ilvl w:val="3"/>
        <w:numId w:val="2"/>
      </w:numPr>
    </w:pPr>
  </w:style>
  <w:style w:type="paragraph" w:customStyle="1" w:styleId="Bullet5">
    <w:name w:val="Bullet 5"/>
    <w:basedOn w:val="Normal"/>
    <w:uiPriority w:val="5"/>
    <w:rsid w:val="007425FA"/>
    <w:pPr>
      <w:numPr>
        <w:ilvl w:val="4"/>
        <w:numId w:val="2"/>
      </w:numPr>
    </w:pPr>
  </w:style>
  <w:style w:type="character" w:styleId="EndnoteReference">
    <w:name w:val="endnote reference"/>
    <w:semiHidden/>
    <w:rsid w:val="007425FA"/>
    <w:rPr>
      <w:vertAlign w:val="superscript"/>
    </w:rPr>
  </w:style>
  <w:style w:type="paragraph" w:styleId="EndnoteText">
    <w:name w:val="endnote text"/>
    <w:basedOn w:val="Normal"/>
    <w:link w:val="EndnoteTextChar"/>
    <w:semiHidden/>
    <w:rsid w:val="007425FA"/>
    <w:pPr>
      <w:tabs>
        <w:tab w:val="left" w:pos="360"/>
      </w:tabs>
      <w:ind w:left="357" w:hanging="357"/>
    </w:pPr>
    <w:rPr>
      <w:sz w:val="16"/>
    </w:rPr>
  </w:style>
  <w:style w:type="character" w:customStyle="1" w:styleId="EndnoteTextChar">
    <w:name w:val="Endnote Text Char"/>
    <w:basedOn w:val="DefaultParagraphFont"/>
    <w:link w:val="EndnoteText"/>
    <w:semiHidden/>
    <w:rsid w:val="007425FA"/>
    <w:rPr>
      <w:rFonts w:ascii="Arial" w:eastAsia="Times New Roman" w:hAnsi="Arial" w:cs="Times New Roman"/>
      <w:sz w:val="16"/>
      <w:szCs w:val="20"/>
      <w:lang w:eastAsia="en-AU"/>
    </w:rPr>
  </w:style>
  <w:style w:type="paragraph" w:styleId="Footer">
    <w:name w:val="footer"/>
    <w:basedOn w:val="Normal"/>
    <w:link w:val="FooterChar"/>
    <w:rsid w:val="007425FA"/>
    <w:pPr>
      <w:tabs>
        <w:tab w:val="center" w:pos="4536"/>
        <w:tab w:val="right" w:pos="9072"/>
      </w:tabs>
      <w:spacing w:before="400" w:line="220" w:lineRule="exact"/>
      <w:contextualSpacing/>
    </w:pPr>
    <w:rPr>
      <w:rFonts w:cs="Arial"/>
      <w:color w:val="3B3B3B"/>
      <w:sz w:val="16"/>
      <w:szCs w:val="16"/>
    </w:rPr>
  </w:style>
  <w:style w:type="character" w:customStyle="1" w:styleId="FooterChar">
    <w:name w:val="Footer Char"/>
    <w:basedOn w:val="DefaultParagraphFont"/>
    <w:link w:val="Footer"/>
    <w:rsid w:val="00440111"/>
    <w:rPr>
      <w:rFonts w:ascii="Arial" w:hAnsi="Arial" w:cs="Arial"/>
      <w:color w:val="3B3B3B"/>
      <w:sz w:val="16"/>
      <w:szCs w:val="16"/>
      <w:lang w:eastAsia="en-AU"/>
    </w:rPr>
  </w:style>
  <w:style w:type="character" w:styleId="FootnoteReference">
    <w:name w:val="footnote reference"/>
    <w:semiHidden/>
    <w:rsid w:val="007425FA"/>
    <w:rPr>
      <w:vertAlign w:val="superscript"/>
    </w:rPr>
  </w:style>
  <w:style w:type="paragraph" w:styleId="FootnoteText">
    <w:name w:val="footnote text"/>
    <w:basedOn w:val="Normal"/>
    <w:link w:val="FootnoteTextChar"/>
    <w:semiHidden/>
    <w:rsid w:val="007425FA"/>
    <w:pPr>
      <w:tabs>
        <w:tab w:val="left" w:pos="284"/>
      </w:tabs>
      <w:spacing w:before="60" w:after="0" w:line="240" w:lineRule="auto"/>
      <w:ind w:left="284" w:hanging="284"/>
    </w:pPr>
    <w:rPr>
      <w:sz w:val="16"/>
    </w:rPr>
  </w:style>
  <w:style w:type="character" w:customStyle="1" w:styleId="FootnoteTextChar">
    <w:name w:val="Footnote Text Char"/>
    <w:basedOn w:val="DefaultParagraphFont"/>
    <w:link w:val="FootnoteText"/>
    <w:semiHidden/>
    <w:rsid w:val="007425FA"/>
    <w:rPr>
      <w:rFonts w:ascii="Arial" w:eastAsia="Times New Roman" w:hAnsi="Arial" w:cs="Times New Roman"/>
      <w:sz w:val="16"/>
      <w:szCs w:val="20"/>
      <w:lang w:eastAsia="en-AU"/>
    </w:rPr>
  </w:style>
  <w:style w:type="character" w:customStyle="1" w:styleId="PrecedentNoteChar">
    <w:name w:val="Precedent Note Char"/>
    <w:link w:val="PrecedentNote"/>
    <w:semiHidden/>
    <w:rsid w:val="007425FA"/>
    <w:rPr>
      <w:rFonts w:ascii="Arial" w:hAnsi="Arial"/>
      <w:b/>
      <w:i/>
      <w:color w:val="0000FF"/>
      <w:szCs w:val="24"/>
    </w:rPr>
  </w:style>
  <w:style w:type="paragraph" w:styleId="Header">
    <w:name w:val="header"/>
    <w:basedOn w:val="Normal"/>
    <w:link w:val="HeaderChar"/>
    <w:rsid w:val="007425FA"/>
    <w:pPr>
      <w:tabs>
        <w:tab w:val="center" w:pos="4536"/>
        <w:tab w:val="right" w:pos="9072"/>
      </w:tabs>
      <w:spacing w:line="240" w:lineRule="auto"/>
    </w:pPr>
    <w:rPr>
      <w:color w:val="3B3B3B"/>
      <w:sz w:val="16"/>
    </w:rPr>
  </w:style>
  <w:style w:type="character" w:customStyle="1" w:styleId="HeaderChar">
    <w:name w:val="Header Char"/>
    <w:basedOn w:val="DefaultParagraphFont"/>
    <w:link w:val="Header"/>
    <w:rsid w:val="00440111"/>
    <w:rPr>
      <w:rFonts w:ascii="Arial" w:hAnsi="Arial" w:cs="Times New Roman"/>
      <w:color w:val="3B3B3B"/>
      <w:sz w:val="16"/>
      <w:szCs w:val="20"/>
      <w:lang w:eastAsia="en-AU"/>
    </w:rPr>
  </w:style>
  <w:style w:type="character" w:styleId="Hyperlink">
    <w:name w:val="Hyperlink"/>
    <w:rsid w:val="007425FA"/>
    <w:rPr>
      <w:color w:val="0000FF"/>
      <w:u w:val="single"/>
    </w:rPr>
  </w:style>
  <w:style w:type="numbering" w:customStyle="1" w:styleId="Listofnumbersnoheadings">
    <w:name w:val="List of numbers (no headings)"/>
    <w:rsid w:val="007425FA"/>
    <w:pPr>
      <w:numPr>
        <w:numId w:val="1"/>
      </w:numPr>
    </w:pPr>
  </w:style>
  <w:style w:type="paragraph" w:customStyle="1" w:styleId="PrecedentNote">
    <w:name w:val="Precedent Note"/>
    <w:basedOn w:val="Normal"/>
    <w:next w:val="Normal"/>
    <w:link w:val="PrecedentNoteChar"/>
    <w:semiHidden/>
    <w:rsid w:val="007425FA"/>
    <w:rPr>
      <w:rFonts w:eastAsiaTheme="minorHAnsi" w:cstheme="minorBidi"/>
      <w:b/>
      <w:i/>
      <w:color w:val="0000FF"/>
      <w:sz w:val="22"/>
      <w:szCs w:val="24"/>
      <w:lang w:eastAsia="en-US"/>
    </w:rPr>
  </w:style>
  <w:style w:type="paragraph" w:customStyle="1" w:styleId="Indent1">
    <w:name w:val="Indent 1"/>
    <w:basedOn w:val="Normal"/>
    <w:uiPriority w:val="4"/>
    <w:rsid w:val="007425FA"/>
    <w:pPr>
      <w:ind w:left="709"/>
    </w:pPr>
  </w:style>
  <w:style w:type="paragraph" w:customStyle="1" w:styleId="Indent2">
    <w:name w:val="Indent 2"/>
    <w:basedOn w:val="Normal"/>
    <w:uiPriority w:val="4"/>
    <w:rsid w:val="007425FA"/>
    <w:pPr>
      <w:ind w:left="1276"/>
    </w:pPr>
  </w:style>
  <w:style w:type="paragraph" w:customStyle="1" w:styleId="Indent3">
    <w:name w:val="Indent 3"/>
    <w:basedOn w:val="Normal"/>
    <w:uiPriority w:val="4"/>
    <w:rsid w:val="007425FA"/>
    <w:pPr>
      <w:ind w:left="1843"/>
    </w:pPr>
  </w:style>
  <w:style w:type="paragraph" w:customStyle="1" w:styleId="Indent4">
    <w:name w:val="Indent 4"/>
    <w:basedOn w:val="Normal"/>
    <w:uiPriority w:val="4"/>
    <w:rsid w:val="007425FA"/>
    <w:pPr>
      <w:ind w:left="2410"/>
    </w:pPr>
  </w:style>
  <w:style w:type="paragraph" w:customStyle="1" w:styleId="SHHeading-Italic">
    <w:name w:val="SH Heading - Italic"/>
    <w:next w:val="Heading2"/>
    <w:rsid w:val="007425FA"/>
    <w:pPr>
      <w:spacing w:before="120" w:after="120" w:line="280" w:lineRule="atLeast"/>
    </w:pPr>
    <w:rPr>
      <w:rFonts w:ascii="Arial" w:hAnsi="Arial" w:cs="Times New Roman"/>
      <w:i/>
      <w:szCs w:val="24"/>
      <w:lang w:eastAsia="en-AU"/>
    </w:rPr>
  </w:style>
  <w:style w:type="paragraph" w:customStyle="1" w:styleId="Subjectheading">
    <w:name w:val="Subject heading"/>
    <w:basedOn w:val="Normal"/>
    <w:qFormat/>
    <w:rsid w:val="007425FA"/>
    <w:pPr>
      <w:widowControl w:val="0"/>
      <w:suppressAutoHyphens/>
      <w:autoSpaceDE w:val="0"/>
      <w:autoSpaceDN w:val="0"/>
      <w:adjustRightInd w:val="0"/>
      <w:spacing w:before="0" w:after="0" w:line="288" w:lineRule="auto"/>
      <w:textAlignment w:val="center"/>
    </w:pPr>
    <w:rPr>
      <w:rFonts w:eastAsia="Cambria" w:cs="Arial-BoldMT"/>
      <w:b/>
      <w:bCs/>
      <w:sz w:val="22"/>
      <w:szCs w:val="22"/>
      <w:lang w:eastAsia="en-US"/>
    </w:rPr>
  </w:style>
  <w:style w:type="table" w:styleId="TableGrid">
    <w:name w:val="Table Grid"/>
    <w:basedOn w:val="TableNormal"/>
    <w:rsid w:val="007425FA"/>
    <w:pPr>
      <w:spacing w:before="120" w:after="120" w:line="280" w:lineRule="atLeast"/>
    </w:pPr>
    <w:rPr>
      <w:rFonts w:ascii="Arial"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paragraphs">
    <w:name w:val="Heading paragraphs"/>
    <w:basedOn w:val="Normal"/>
    <w:qFormat/>
    <w:rsid w:val="007425FA"/>
    <w:pPr>
      <w:keepNext/>
      <w:spacing w:before="240" w:line="240" w:lineRule="auto"/>
    </w:pPr>
    <w:rPr>
      <w:rFonts w:cs="Arial"/>
      <w:b/>
      <w:bCs/>
      <w:kern w:val="28"/>
      <w:sz w:val="22"/>
      <w:szCs w:val="32"/>
    </w:rPr>
  </w:style>
  <w:style w:type="paragraph" w:styleId="TOC1">
    <w:name w:val="toc 1"/>
    <w:basedOn w:val="Normal"/>
    <w:next w:val="Normal"/>
    <w:uiPriority w:val="39"/>
    <w:rsid w:val="00E37094"/>
    <w:pPr>
      <w:tabs>
        <w:tab w:val="right" w:leader="dot" w:pos="9072"/>
      </w:tabs>
      <w:ind w:left="703" w:right="284" w:hanging="703"/>
    </w:pPr>
    <w:rPr>
      <w:b/>
      <w:sz w:val="22"/>
    </w:rPr>
  </w:style>
  <w:style w:type="paragraph" w:styleId="TOC2">
    <w:name w:val="toc 2"/>
    <w:basedOn w:val="Normal"/>
    <w:next w:val="Normal"/>
    <w:autoRedefine/>
    <w:uiPriority w:val="39"/>
    <w:rsid w:val="007425FA"/>
    <w:pPr>
      <w:tabs>
        <w:tab w:val="right" w:leader="dot" w:pos="9072"/>
      </w:tabs>
      <w:ind w:left="1440" w:right="284" w:hanging="720"/>
    </w:pPr>
  </w:style>
  <w:style w:type="paragraph" w:styleId="TOC3">
    <w:name w:val="toc 3"/>
    <w:basedOn w:val="Normal"/>
    <w:next w:val="Normal"/>
    <w:autoRedefine/>
    <w:semiHidden/>
    <w:rsid w:val="007425FA"/>
    <w:pPr>
      <w:tabs>
        <w:tab w:val="left" w:pos="2160"/>
        <w:tab w:val="right" w:leader="dot" w:pos="9072"/>
      </w:tabs>
      <w:ind w:left="2160" w:right="284" w:hanging="720"/>
    </w:pPr>
  </w:style>
  <w:style w:type="paragraph" w:styleId="NoSpacing">
    <w:name w:val="No Spacing"/>
    <w:basedOn w:val="Normal"/>
    <w:uiPriority w:val="1"/>
    <w:qFormat/>
    <w:rsid w:val="007425FA"/>
    <w:pPr>
      <w:spacing w:before="0" w:after="0"/>
    </w:pPr>
  </w:style>
  <w:style w:type="paragraph" w:customStyle="1" w:styleId="Addressblock">
    <w:name w:val="Address block"/>
    <w:basedOn w:val="Normal"/>
    <w:rsid w:val="007425FA"/>
    <w:pPr>
      <w:spacing w:before="0" w:after="0" w:line="240" w:lineRule="atLeast"/>
    </w:pPr>
  </w:style>
  <w:style w:type="character" w:styleId="PlaceholderText">
    <w:name w:val="Placeholder Text"/>
    <w:basedOn w:val="DefaultParagraphFont"/>
    <w:uiPriority w:val="99"/>
    <w:semiHidden/>
    <w:rsid w:val="007425FA"/>
    <w:rPr>
      <w:color w:val="808080"/>
    </w:rPr>
  </w:style>
  <w:style w:type="paragraph" w:styleId="Salutation">
    <w:name w:val="Salutation"/>
    <w:basedOn w:val="Normal"/>
    <w:next w:val="Normal"/>
    <w:link w:val="SalutationChar"/>
    <w:semiHidden/>
    <w:rsid w:val="007425FA"/>
    <w:pPr>
      <w:spacing w:before="520"/>
    </w:pPr>
  </w:style>
  <w:style w:type="character" w:customStyle="1" w:styleId="SalutationChar">
    <w:name w:val="Salutation Char"/>
    <w:basedOn w:val="DefaultParagraphFont"/>
    <w:link w:val="Salutation"/>
    <w:semiHidden/>
    <w:rsid w:val="007425FA"/>
    <w:rPr>
      <w:rFonts w:ascii="Arial" w:eastAsia="Times New Roman" w:hAnsi="Arial" w:cs="Times New Roman"/>
      <w:sz w:val="20"/>
      <w:szCs w:val="20"/>
      <w:lang w:eastAsia="en-AU"/>
    </w:rPr>
  </w:style>
  <w:style w:type="paragraph" w:styleId="NormalIndent">
    <w:name w:val="Normal Indent"/>
    <w:basedOn w:val="Normal"/>
    <w:semiHidden/>
    <w:rsid w:val="007425FA"/>
    <w:pPr>
      <w:ind w:left="567"/>
    </w:pPr>
  </w:style>
  <w:style w:type="paragraph" w:styleId="ListParagraph">
    <w:name w:val="List Paragraph"/>
    <w:basedOn w:val="Normal"/>
    <w:uiPriority w:val="34"/>
    <w:qFormat/>
    <w:rsid w:val="007425FA"/>
    <w:pPr>
      <w:numPr>
        <w:numId w:val="14"/>
      </w:numPr>
    </w:pPr>
  </w:style>
  <w:style w:type="numbering" w:customStyle="1" w:styleId="Headings">
    <w:name w:val="Headings"/>
    <w:uiPriority w:val="99"/>
    <w:rsid w:val="007425FA"/>
    <w:pPr>
      <w:numPr>
        <w:numId w:val="3"/>
      </w:numPr>
    </w:pPr>
  </w:style>
  <w:style w:type="numbering" w:customStyle="1" w:styleId="Bullets">
    <w:name w:val="Bullets"/>
    <w:uiPriority w:val="99"/>
    <w:rsid w:val="007425FA"/>
    <w:pPr>
      <w:numPr>
        <w:numId w:val="2"/>
      </w:numPr>
    </w:pPr>
  </w:style>
  <w:style w:type="paragraph" w:styleId="Quote">
    <w:name w:val="Quote"/>
    <w:basedOn w:val="Normal"/>
    <w:next w:val="Normal"/>
    <w:link w:val="QuoteChar"/>
    <w:uiPriority w:val="29"/>
    <w:rsid w:val="007425FA"/>
    <w:pPr>
      <w:ind w:left="709"/>
    </w:pPr>
    <w:rPr>
      <w:iCs/>
      <w:sz w:val="18"/>
    </w:rPr>
  </w:style>
  <w:style w:type="character" w:customStyle="1" w:styleId="QuoteChar">
    <w:name w:val="Quote Char"/>
    <w:basedOn w:val="DefaultParagraphFont"/>
    <w:link w:val="Quote"/>
    <w:uiPriority w:val="29"/>
    <w:rsid w:val="007425FA"/>
    <w:rPr>
      <w:rFonts w:ascii="Arial" w:eastAsia="Times New Roman" w:hAnsi="Arial" w:cs="Times New Roman"/>
      <w:iCs/>
      <w:sz w:val="18"/>
      <w:szCs w:val="20"/>
      <w:lang w:eastAsia="en-AU"/>
    </w:rPr>
  </w:style>
  <w:style w:type="character" w:customStyle="1" w:styleId="GuidanceNote">
    <w:name w:val="Guidance Note"/>
    <w:uiPriority w:val="1"/>
    <w:semiHidden/>
    <w:qFormat/>
    <w:rsid w:val="007425FA"/>
    <w:rPr>
      <w:color w:val="0E0399"/>
      <w:bdr w:val="none" w:sz="0" w:space="0" w:color="auto"/>
      <w:shd w:val="pct25" w:color="auto" w:fill="auto"/>
    </w:rPr>
  </w:style>
  <w:style w:type="paragraph" w:styleId="BalloonText">
    <w:name w:val="Balloon Text"/>
    <w:basedOn w:val="Normal"/>
    <w:link w:val="BalloonTextChar"/>
    <w:uiPriority w:val="99"/>
    <w:semiHidden/>
    <w:unhideWhenUsed/>
    <w:rsid w:val="007425F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5FA"/>
    <w:rPr>
      <w:rFonts w:ascii="Tahoma" w:eastAsia="Times New Roman" w:hAnsi="Tahoma" w:cs="Tahoma"/>
      <w:sz w:val="16"/>
      <w:szCs w:val="16"/>
      <w:lang w:eastAsia="en-AU"/>
    </w:rPr>
  </w:style>
  <w:style w:type="table" w:customStyle="1" w:styleId="SparkeHelmoreTable">
    <w:name w:val="Sparke Helmore Table"/>
    <w:basedOn w:val="TableNormal"/>
    <w:rsid w:val="007425FA"/>
    <w:pPr>
      <w:spacing w:before="120" w:after="120" w:line="280" w:lineRule="atLeast"/>
    </w:pPr>
    <w:rPr>
      <w:rFonts w:ascii="Arial"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BodyText">
    <w:name w:val="Body Text"/>
    <w:basedOn w:val="Normal"/>
    <w:link w:val="BodyTextChar"/>
    <w:uiPriority w:val="99"/>
    <w:semiHidden/>
    <w:unhideWhenUsed/>
    <w:rsid w:val="007425FA"/>
  </w:style>
  <w:style w:type="character" w:customStyle="1" w:styleId="BodyTextChar">
    <w:name w:val="Body Text Char"/>
    <w:basedOn w:val="DefaultParagraphFont"/>
    <w:link w:val="BodyText"/>
    <w:uiPriority w:val="99"/>
    <w:semiHidden/>
    <w:rsid w:val="007425FA"/>
    <w:rPr>
      <w:rFonts w:ascii="Arial" w:eastAsia="Times New Roman" w:hAnsi="Arial" w:cs="Times New Roman"/>
      <w:sz w:val="20"/>
      <w:szCs w:val="20"/>
      <w:lang w:eastAsia="en-AU"/>
    </w:rPr>
  </w:style>
  <w:style w:type="table" w:styleId="ColorfulGrid">
    <w:name w:val="Colorful Grid"/>
    <w:basedOn w:val="TableNormal"/>
    <w:uiPriority w:val="73"/>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7425FA"/>
    <w:pPr>
      <w:spacing w:before="120" w:after="120" w:line="280" w:lineRule="atLeast"/>
    </w:pPr>
    <w:rPr>
      <w:rFonts w:ascii="Arial" w:hAnsi="Arial" w:cs="Times New Roman"/>
      <w:color w:val="FFFFFF" w:themeColor="background1"/>
      <w:sz w:val="20"/>
      <w:szCs w:val="20"/>
      <w:lang w:eastAsia="en-A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425FA"/>
    <w:pPr>
      <w:spacing w:before="120" w:after="120" w:line="280" w:lineRule="atLeast"/>
    </w:pPr>
    <w:rPr>
      <w:rFonts w:ascii="Arial" w:hAnsi="Arial" w:cs="Times New Roman"/>
      <w:color w:val="FFFFFF" w:themeColor="background1"/>
      <w:sz w:val="20"/>
      <w:szCs w:val="20"/>
      <w:lang w:eastAsia="en-AU"/>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7425FA"/>
    <w:pPr>
      <w:spacing w:before="120" w:after="120" w:line="280" w:lineRule="atLeast"/>
    </w:pPr>
    <w:rPr>
      <w:rFonts w:ascii="Arial" w:hAnsi="Arial" w:cs="Times New Roman"/>
      <w:color w:val="FFFFFF" w:themeColor="background1"/>
      <w:sz w:val="20"/>
      <w:szCs w:val="20"/>
      <w:lang w:eastAsia="en-AU"/>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7425FA"/>
    <w:pPr>
      <w:spacing w:before="120" w:after="120" w:line="280" w:lineRule="atLeast"/>
    </w:pPr>
    <w:rPr>
      <w:rFonts w:ascii="Arial" w:hAnsi="Arial" w:cs="Times New Roman"/>
      <w:color w:val="FFFFFF" w:themeColor="background1"/>
      <w:sz w:val="20"/>
      <w:szCs w:val="20"/>
      <w:lang w:eastAsia="en-AU"/>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7425FA"/>
    <w:pPr>
      <w:spacing w:before="120" w:after="120" w:line="280" w:lineRule="atLeast"/>
    </w:pPr>
    <w:rPr>
      <w:rFonts w:ascii="Arial" w:hAnsi="Arial" w:cs="Times New Roman"/>
      <w:color w:val="FFFFFF" w:themeColor="background1"/>
      <w:sz w:val="20"/>
      <w:szCs w:val="20"/>
      <w:lang w:eastAsia="en-AU"/>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7425FA"/>
    <w:pPr>
      <w:spacing w:before="120" w:after="120" w:line="280" w:lineRule="atLeast"/>
    </w:pPr>
    <w:rPr>
      <w:rFonts w:ascii="Arial" w:hAnsi="Arial" w:cs="Times New Roman"/>
      <w:color w:val="FFFFFF" w:themeColor="background1"/>
      <w:sz w:val="20"/>
      <w:szCs w:val="20"/>
      <w:lang w:eastAsia="en-AU"/>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7425FA"/>
    <w:pPr>
      <w:spacing w:before="120" w:after="120" w:line="280" w:lineRule="atLeast"/>
    </w:pPr>
    <w:rPr>
      <w:rFonts w:ascii="Arial" w:hAnsi="Arial" w:cs="Times New Roman"/>
      <w:color w:val="FFFFFF" w:themeColor="background1"/>
      <w:sz w:val="20"/>
      <w:szCs w:val="20"/>
      <w:lang w:eastAsia="en-AU"/>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Index1">
    <w:name w:val="index 1"/>
    <w:basedOn w:val="Normal"/>
    <w:next w:val="Normal"/>
    <w:autoRedefine/>
    <w:uiPriority w:val="99"/>
    <w:semiHidden/>
    <w:unhideWhenUsed/>
    <w:rsid w:val="007425FA"/>
    <w:pPr>
      <w:spacing w:before="0" w:after="0" w:line="240" w:lineRule="auto"/>
      <w:ind w:left="200" w:hanging="200"/>
    </w:pPr>
  </w:style>
  <w:style w:type="table" w:styleId="LightGrid">
    <w:name w:val="Light Grid"/>
    <w:basedOn w:val="TableNormal"/>
    <w:uiPriority w:val="62"/>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7425FA"/>
    <w:pPr>
      <w:spacing w:before="120" w:after="120" w:line="280" w:lineRule="atLeast"/>
    </w:pPr>
    <w:rPr>
      <w:rFonts w:ascii="Arial" w:hAnsi="Arial" w:cs="Times New Roman"/>
      <w:color w:val="000000" w:themeColor="text1" w:themeShade="BF"/>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425FA"/>
    <w:pPr>
      <w:spacing w:before="120" w:after="120" w:line="280" w:lineRule="atLeast"/>
    </w:pPr>
    <w:rPr>
      <w:rFonts w:ascii="Arial" w:hAnsi="Arial" w:cs="Times New Roman"/>
      <w:color w:val="365F91" w:themeColor="accent1" w:themeShade="BF"/>
      <w:sz w:val="20"/>
      <w:szCs w:val="20"/>
      <w:lang w:eastAsia="en-AU"/>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425FA"/>
    <w:pPr>
      <w:spacing w:before="120" w:after="120" w:line="280" w:lineRule="atLeast"/>
    </w:pPr>
    <w:rPr>
      <w:rFonts w:ascii="Arial" w:hAnsi="Arial" w:cs="Times New Roman"/>
      <w:color w:val="943634" w:themeColor="accent2" w:themeShade="BF"/>
      <w:sz w:val="20"/>
      <w:szCs w:val="20"/>
      <w:lang w:eastAsia="en-AU"/>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425FA"/>
    <w:pPr>
      <w:spacing w:before="120" w:after="120" w:line="280" w:lineRule="atLeast"/>
    </w:pPr>
    <w:rPr>
      <w:rFonts w:ascii="Arial" w:hAnsi="Arial" w:cs="Times New Roman"/>
      <w:color w:val="76923C" w:themeColor="accent3" w:themeShade="BF"/>
      <w:sz w:val="20"/>
      <w:szCs w:val="20"/>
      <w:lang w:eastAsia="en-AU"/>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7425FA"/>
    <w:pPr>
      <w:spacing w:before="120" w:after="120" w:line="280" w:lineRule="atLeast"/>
    </w:pPr>
    <w:rPr>
      <w:rFonts w:ascii="Arial" w:hAnsi="Arial" w:cs="Times New Roman"/>
      <w:color w:val="5F497A" w:themeColor="accent4" w:themeShade="BF"/>
      <w:sz w:val="20"/>
      <w:szCs w:val="20"/>
      <w:lang w:eastAsia="en-AU"/>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7425FA"/>
    <w:pPr>
      <w:spacing w:before="120" w:after="120" w:line="280" w:lineRule="atLeast"/>
    </w:pPr>
    <w:rPr>
      <w:rFonts w:ascii="Arial" w:hAnsi="Arial" w:cs="Times New Roman"/>
      <w:color w:val="31849B" w:themeColor="accent5" w:themeShade="BF"/>
      <w:sz w:val="20"/>
      <w:szCs w:val="20"/>
      <w:lang w:eastAsia="en-AU"/>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7425FA"/>
    <w:pPr>
      <w:spacing w:before="120" w:after="120" w:line="280" w:lineRule="atLeast"/>
    </w:pPr>
    <w:rPr>
      <w:rFonts w:ascii="Arial" w:hAnsi="Arial" w:cs="Times New Roman"/>
      <w:color w:val="E36C0A" w:themeColor="accent6" w:themeShade="BF"/>
      <w:sz w:val="20"/>
      <w:szCs w:val="20"/>
      <w:lang w:eastAsia="en-AU"/>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Grid1">
    <w:name w:val="Medium Grid 1"/>
    <w:basedOn w:val="TableNormal"/>
    <w:uiPriority w:val="67"/>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7425FA"/>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425FA"/>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425FA"/>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425FA"/>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425FA"/>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425FA"/>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425FA"/>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7425FA"/>
    <w:pPr>
      <w:spacing w:before="120" w:after="120" w:line="280" w:lineRule="atLeast"/>
    </w:pPr>
    <w:rPr>
      <w:rFonts w:ascii="Arial" w:hAnsi="Arial" w:cs="Times New Roman"/>
      <w:color w:val="000000" w:themeColor="text1"/>
      <w:sz w:val="20"/>
      <w:szCs w:val="20"/>
      <w:lang w:eastAsia="en-AU"/>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7425FA"/>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425FA"/>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425FA"/>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425FA"/>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425FA"/>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425FA"/>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425FA"/>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425FA"/>
    <w:pPr>
      <w:spacing w:before="120" w:after="120" w:line="280" w:lineRule="atLeast"/>
    </w:pPr>
    <w:rPr>
      <w:rFonts w:ascii="Arial"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unhideWhenUsed/>
    <w:rsid w:val="007425FA"/>
    <w:pPr>
      <w:spacing w:before="120" w:after="120" w:line="280" w:lineRule="atLeast"/>
      <w:jc w:val="both"/>
    </w:pPr>
    <w:rPr>
      <w:rFonts w:ascii="Arial" w:hAnsi="Arial"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7425FA"/>
    <w:pPr>
      <w:spacing w:before="120" w:after="120" w:line="280" w:lineRule="atLeast"/>
      <w:jc w:val="both"/>
    </w:pPr>
    <w:rPr>
      <w:rFonts w:ascii="Arial" w:hAnsi="Arial"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7425FA"/>
    <w:pPr>
      <w:spacing w:before="120" w:after="120" w:line="280" w:lineRule="atLeast"/>
      <w:jc w:val="both"/>
    </w:pPr>
    <w:rPr>
      <w:rFonts w:ascii="Arial" w:hAnsi="Arial"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7425FA"/>
    <w:pPr>
      <w:spacing w:before="120" w:after="120" w:line="280" w:lineRule="atLeast"/>
      <w:jc w:val="both"/>
    </w:pPr>
    <w:rPr>
      <w:rFonts w:ascii="Arial" w:hAnsi="Arial"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7425FA"/>
    <w:pPr>
      <w:spacing w:before="120" w:after="120" w:line="280" w:lineRule="atLeast"/>
      <w:jc w:val="both"/>
    </w:pPr>
    <w:rPr>
      <w:rFonts w:ascii="Arial" w:hAnsi="Arial"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7425FA"/>
    <w:pPr>
      <w:spacing w:before="120" w:after="120" w:line="280" w:lineRule="atLeast"/>
      <w:jc w:val="both"/>
    </w:pPr>
    <w:rPr>
      <w:rFonts w:ascii="Arial" w:hAnsi="Arial"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7425FA"/>
    <w:pPr>
      <w:spacing w:before="120" w:after="120" w:line="280" w:lineRule="atLeast"/>
      <w:jc w:val="both"/>
    </w:pPr>
    <w:rPr>
      <w:rFonts w:ascii="Arial" w:hAnsi="Arial"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7425FA"/>
    <w:pPr>
      <w:spacing w:before="120" w:after="120" w:line="280" w:lineRule="atLeast"/>
      <w:jc w:val="both"/>
    </w:pPr>
    <w:rPr>
      <w:rFonts w:ascii="Arial" w:hAnsi="Arial"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7425FA"/>
    <w:pPr>
      <w:spacing w:before="120" w:after="120" w:line="280" w:lineRule="atLeast"/>
      <w:jc w:val="both"/>
    </w:pPr>
    <w:rPr>
      <w:rFonts w:ascii="Arial" w:hAnsi="Arial"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7425FA"/>
    <w:pPr>
      <w:spacing w:before="120" w:after="120" w:line="280" w:lineRule="atLeast"/>
      <w:jc w:val="both"/>
    </w:pPr>
    <w:rPr>
      <w:rFonts w:ascii="Arial" w:hAnsi="Arial"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7425FA"/>
    <w:pPr>
      <w:spacing w:before="120" w:after="120" w:line="280" w:lineRule="atLeast"/>
      <w:jc w:val="both"/>
    </w:pPr>
    <w:rPr>
      <w:rFonts w:ascii="Arial" w:hAnsi="Arial"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7425FA"/>
    <w:pPr>
      <w:spacing w:before="120" w:after="120" w:line="280" w:lineRule="atLeast"/>
      <w:jc w:val="both"/>
    </w:pPr>
    <w:rPr>
      <w:rFonts w:ascii="Arial" w:hAnsi="Arial"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7425FA"/>
    <w:pPr>
      <w:spacing w:before="120" w:after="120" w:line="280" w:lineRule="atLeast"/>
      <w:jc w:val="both"/>
    </w:pPr>
    <w:rPr>
      <w:rFonts w:ascii="Arial" w:hAnsi="Arial"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7425FA"/>
    <w:pPr>
      <w:spacing w:before="120" w:after="120" w:line="280" w:lineRule="atLeast"/>
      <w:jc w:val="both"/>
    </w:pPr>
    <w:rPr>
      <w:rFonts w:ascii="Arial" w:hAnsi="Arial"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7425FA"/>
    <w:pPr>
      <w:spacing w:before="120" w:after="120" w:line="280" w:lineRule="atLeast"/>
      <w:jc w:val="both"/>
    </w:pPr>
    <w:rPr>
      <w:rFonts w:ascii="Arial" w:hAnsi="Arial"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7425FA"/>
    <w:pPr>
      <w:spacing w:before="120" w:after="120" w:line="280" w:lineRule="atLeast"/>
      <w:jc w:val="both"/>
    </w:pPr>
    <w:rPr>
      <w:rFonts w:ascii="Arial" w:hAnsi="Arial"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7425FA"/>
    <w:pPr>
      <w:spacing w:before="120" w:after="120" w:line="280" w:lineRule="atLeast"/>
      <w:jc w:val="both"/>
    </w:pPr>
    <w:rPr>
      <w:rFonts w:ascii="Arial" w:hAnsi="Arial"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7425FA"/>
    <w:pPr>
      <w:spacing w:before="120" w:after="120" w:line="280" w:lineRule="atLeast"/>
      <w:jc w:val="both"/>
    </w:pPr>
    <w:rPr>
      <w:rFonts w:ascii="Arial" w:hAnsi="Arial"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7425FA"/>
    <w:pPr>
      <w:spacing w:before="120" w:after="120" w:line="280" w:lineRule="atLeast"/>
      <w:jc w:val="both"/>
    </w:pPr>
    <w:rPr>
      <w:rFonts w:ascii="Arial" w:hAnsi="Arial"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7425FA"/>
    <w:pPr>
      <w:spacing w:before="120" w:after="120" w:line="280" w:lineRule="atLeast"/>
      <w:jc w:val="both"/>
    </w:pPr>
    <w:rPr>
      <w:rFonts w:ascii="Arial"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7425FA"/>
    <w:pPr>
      <w:spacing w:before="120" w:after="120" w:line="280" w:lineRule="atLeast"/>
      <w:jc w:val="both"/>
    </w:pPr>
    <w:rPr>
      <w:rFonts w:ascii="Arial" w:hAnsi="Arial"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7425FA"/>
    <w:pPr>
      <w:spacing w:before="120" w:after="120" w:line="280" w:lineRule="atLeast"/>
      <w:jc w:val="both"/>
    </w:pPr>
    <w:rPr>
      <w:rFonts w:ascii="Arial" w:hAnsi="Arial"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7425FA"/>
    <w:pPr>
      <w:spacing w:before="120" w:after="120" w:line="280" w:lineRule="atLeast"/>
      <w:jc w:val="both"/>
    </w:pPr>
    <w:rPr>
      <w:rFonts w:ascii="Arial" w:hAnsi="Arial"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Bullet5">
    <w:name w:val="List Bullet 5"/>
    <w:basedOn w:val="Normal"/>
    <w:semiHidden/>
    <w:rsid w:val="007425FA"/>
    <w:pPr>
      <w:contextualSpacing/>
    </w:pPr>
  </w:style>
  <w:style w:type="paragraph" w:customStyle="1" w:styleId="Encl">
    <w:name w:val="Encl"/>
    <w:basedOn w:val="Normal"/>
    <w:next w:val="Normal"/>
    <w:semiHidden/>
    <w:qFormat/>
    <w:rsid w:val="007425FA"/>
    <w:pPr>
      <w:spacing w:before="280"/>
    </w:pPr>
    <w:rPr>
      <w:b/>
    </w:rPr>
  </w:style>
  <w:style w:type="numbering" w:styleId="111111">
    <w:name w:val="Outline List 2"/>
    <w:basedOn w:val="NoList"/>
    <w:rsid w:val="007425FA"/>
    <w:pPr>
      <w:numPr>
        <w:numId w:val="15"/>
      </w:numPr>
    </w:pPr>
  </w:style>
  <w:style w:type="numbering" w:styleId="1ai">
    <w:name w:val="Outline List 1"/>
    <w:basedOn w:val="NoList"/>
    <w:rsid w:val="007425FA"/>
    <w:pPr>
      <w:numPr>
        <w:numId w:val="16"/>
      </w:numPr>
    </w:pPr>
  </w:style>
  <w:style w:type="numbering" w:styleId="ArticleSection">
    <w:name w:val="Outline List 3"/>
    <w:basedOn w:val="NoList"/>
    <w:rsid w:val="007425FA"/>
    <w:pPr>
      <w:numPr>
        <w:numId w:val="17"/>
      </w:numPr>
    </w:pPr>
  </w:style>
  <w:style w:type="paragraph" w:styleId="Bibliography">
    <w:name w:val="Bibliography"/>
    <w:basedOn w:val="Normal"/>
    <w:next w:val="Normal"/>
    <w:uiPriority w:val="37"/>
    <w:semiHidden/>
    <w:unhideWhenUsed/>
    <w:rsid w:val="007425FA"/>
  </w:style>
  <w:style w:type="paragraph" w:styleId="BlockText">
    <w:name w:val="Block Text"/>
    <w:basedOn w:val="Normal"/>
    <w:semiHidden/>
    <w:rsid w:val="007425FA"/>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rsid w:val="007425FA"/>
    <w:pPr>
      <w:spacing w:line="480" w:lineRule="auto"/>
    </w:pPr>
  </w:style>
  <w:style w:type="character" w:customStyle="1" w:styleId="BodyText2Char">
    <w:name w:val="Body Text 2 Char"/>
    <w:basedOn w:val="DefaultParagraphFont"/>
    <w:link w:val="BodyText2"/>
    <w:uiPriority w:val="99"/>
    <w:semiHidden/>
    <w:rsid w:val="007425FA"/>
    <w:rPr>
      <w:rFonts w:ascii="Arial" w:eastAsia="Times New Roman" w:hAnsi="Arial" w:cs="Times New Roman"/>
      <w:sz w:val="20"/>
      <w:szCs w:val="20"/>
      <w:lang w:eastAsia="en-AU"/>
    </w:rPr>
  </w:style>
  <w:style w:type="paragraph" w:styleId="BodyText3">
    <w:name w:val="Body Text 3"/>
    <w:basedOn w:val="Normal"/>
    <w:link w:val="BodyText3Char"/>
    <w:semiHidden/>
    <w:rsid w:val="007425FA"/>
    <w:rPr>
      <w:sz w:val="16"/>
      <w:szCs w:val="16"/>
    </w:rPr>
  </w:style>
  <w:style w:type="character" w:customStyle="1" w:styleId="BodyText3Char">
    <w:name w:val="Body Text 3 Char"/>
    <w:basedOn w:val="DefaultParagraphFont"/>
    <w:link w:val="BodyText3"/>
    <w:uiPriority w:val="99"/>
    <w:semiHidden/>
    <w:rsid w:val="007425FA"/>
    <w:rPr>
      <w:rFonts w:ascii="Arial" w:eastAsia="Times New Roman" w:hAnsi="Arial" w:cs="Times New Roman"/>
      <w:sz w:val="16"/>
      <w:szCs w:val="16"/>
      <w:lang w:eastAsia="en-AU"/>
    </w:rPr>
  </w:style>
  <w:style w:type="paragraph" w:styleId="BodyTextFirstIndent">
    <w:name w:val="Body Text First Indent"/>
    <w:basedOn w:val="BodyText"/>
    <w:link w:val="BodyTextFirstIndentChar"/>
    <w:semiHidden/>
    <w:rsid w:val="007425FA"/>
    <w:pPr>
      <w:ind w:firstLine="360"/>
    </w:pPr>
  </w:style>
  <w:style w:type="character" w:customStyle="1" w:styleId="BodyTextFirstIndentChar">
    <w:name w:val="Body Text First Indent Char"/>
    <w:basedOn w:val="BodyTextChar"/>
    <w:link w:val="BodyTextFirstIndent"/>
    <w:uiPriority w:val="99"/>
    <w:semiHidden/>
    <w:rsid w:val="007425FA"/>
    <w:rPr>
      <w:rFonts w:ascii="Arial" w:eastAsia="Times New Roman" w:hAnsi="Arial" w:cs="Times New Roman"/>
      <w:sz w:val="20"/>
      <w:szCs w:val="20"/>
      <w:lang w:eastAsia="en-AU"/>
    </w:rPr>
  </w:style>
  <w:style w:type="paragraph" w:styleId="BodyTextIndent">
    <w:name w:val="Body Text Indent"/>
    <w:basedOn w:val="Normal"/>
    <w:link w:val="BodyTextIndentChar"/>
    <w:semiHidden/>
    <w:rsid w:val="007425FA"/>
    <w:pPr>
      <w:ind w:left="283"/>
    </w:pPr>
  </w:style>
  <w:style w:type="character" w:customStyle="1" w:styleId="BodyTextIndentChar">
    <w:name w:val="Body Text Indent Char"/>
    <w:basedOn w:val="DefaultParagraphFont"/>
    <w:link w:val="BodyTextIndent"/>
    <w:uiPriority w:val="99"/>
    <w:semiHidden/>
    <w:rsid w:val="007425FA"/>
    <w:rPr>
      <w:rFonts w:ascii="Arial" w:eastAsia="Times New Roman" w:hAnsi="Arial" w:cs="Times New Roman"/>
      <w:sz w:val="20"/>
      <w:szCs w:val="20"/>
      <w:lang w:eastAsia="en-AU"/>
    </w:rPr>
  </w:style>
  <w:style w:type="paragraph" w:styleId="BodyTextFirstIndent2">
    <w:name w:val="Body Text First Indent 2"/>
    <w:basedOn w:val="BodyTextIndent"/>
    <w:link w:val="BodyTextFirstIndent2Char"/>
    <w:semiHidden/>
    <w:rsid w:val="007425FA"/>
    <w:pPr>
      <w:ind w:left="360" w:firstLine="360"/>
    </w:pPr>
  </w:style>
  <w:style w:type="character" w:customStyle="1" w:styleId="BodyTextFirstIndent2Char">
    <w:name w:val="Body Text First Indent 2 Char"/>
    <w:basedOn w:val="BodyTextIndentChar"/>
    <w:link w:val="BodyTextFirstIndent2"/>
    <w:uiPriority w:val="99"/>
    <w:semiHidden/>
    <w:rsid w:val="007425FA"/>
    <w:rPr>
      <w:rFonts w:ascii="Arial" w:eastAsia="Times New Roman" w:hAnsi="Arial" w:cs="Times New Roman"/>
      <w:sz w:val="20"/>
      <w:szCs w:val="20"/>
      <w:lang w:eastAsia="en-AU"/>
    </w:rPr>
  </w:style>
  <w:style w:type="paragraph" w:styleId="BodyTextIndent2">
    <w:name w:val="Body Text Indent 2"/>
    <w:basedOn w:val="Normal"/>
    <w:link w:val="BodyTextIndent2Char"/>
    <w:semiHidden/>
    <w:rsid w:val="007425FA"/>
    <w:pPr>
      <w:spacing w:line="480" w:lineRule="auto"/>
      <w:ind w:left="283"/>
    </w:pPr>
  </w:style>
  <w:style w:type="character" w:customStyle="1" w:styleId="BodyTextIndent2Char">
    <w:name w:val="Body Text Indent 2 Char"/>
    <w:basedOn w:val="DefaultParagraphFont"/>
    <w:link w:val="BodyTextIndent2"/>
    <w:uiPriority w:val="99"/>
    <w:semiHidden/>
    <w:rsid w:val="007425FA"/>
    <w:rPr>
      <w:rFonts w:ascii="Arial" w:eastAsia="Times New Roman" w:hAnsi="Arial" w:cs="Times New Roman"/>
      <w:sz w:val="20"/>
      <w:szCs w:val="20"/>
      <w:lang w:eastAsia="en-AU"/>
    </w:rPr>
  </w:style>
  <w:style w:type="paragraph" w:styleId="BodyTextIndent3">
    <w:name w:val="Body Text Indent 3"/>
    <w:basedOn w:val="Normal"/>
    <w:link w:val="BodyTextIndent3Char"/>
    <w:semiHidden/>
    <w:rsid w:val="007425FA"/>
    <w:pPr>
      <w:ind w:left="283"/>
    </w:pPr>
    <w:rPr>
      <w:sz w:val="16"/>
      <w:szCs w:val="16"/>
    </w:rPr>
  </w:style>
  <w:style w:type="character" w:customStyle="1" w:styleId="BodyTextIndent3Char">
    <w:name w:val="Body Text Indent 3 Char"/>
    <w:basedOn w:val="DefaultParagraphFont"/>
    <w:link w:val="BodyTextIndent3"/>
    <w:uiPriority w:val="99"/>
    <w:semiHidden/>
    <w:rsid w:val="007425FA"/>
    <w:rPr>
      <w:rFonts w:ascii="Arial" w:eastAsia="Times New Roman" w:hAnsi="Arial" w:cs="Times New Roman"/>
      <w:sz w:val="16"/>
      <w:szCs w:val="16"/>
      <w:lang w:eastAsia="en-AU"/>
    </w:rPr>
  </w:style>
  <w:style w:type="character" w:styleId="BookTitle">
    <w:name w:val="Book Title"/>
    <w:basedOn w:val="DefaultParagraphFont"/>
    <w:uiPriority w:val="33"/>
    <w:semiHidden/>
    <w:rsid w:val="007425FA"/>
    <w:rPr>
      <w:b/>
      <w:bCs/>
      <w:smallCaps/>
      <w:spacing w:val="5"/>
    </w:rPr>
  </w:style>
  <w:style w:type="paragraph" w:styleId="Caption">
    <w:name w:val="caption"/>
    <w:basedOn w:val="Normal"/>
    <w:next w:val="Normal"/>
    <w:semiHidden/>
    <w:unhideWhenUsed/>
    <w:qFormat/>
    <w:rsid w:val="007425FA"/>
    <w:pPr>
      <w:spacing w:before="0" w:after="200" w:line="240" w:lineRule="auto"/>
    </w:pPr>
    <w:rPr>
      <w:b/>
      <w:bCs/>
      <w:color w:val="4F81BD" w:themeColor="accent1"/>
      <w:sz w:val="18"/>
      <w:szCs w:val="18"/>
    </w:rPr>
  </w:style>
  <w:style w:type="paragraph" w:styleId="Closing">
    <w:name w:val="Closing"/>
    <w:basedOn w:val="Normal"/>
    <w:link w:val="ClosingChar"/>
    <w:semiHidden/>
    <w:rsid w:val="007425FA"/>
    <w:pPr>
      <w:spacing w:before="0" w:after="0" w:line="240" w:lineRule="auto"/>
      <w:ind w:left="4252"/>
    </w:pPr>
  </w:style>
  <w:style w:type="character" w:customStyle="1" w:styleId="ClosingChar">
    <w:name w:val="Closing Char"/>
    <w:basedOn w:val="DefaultParagraphFont"/>
    <w:link w:val="Closing"/>
    <w:uiPriority w:val="99"/>
    <w:semiHidden/>
    <w:rsid w:val="007425FA"/>
    <w:rPr>
      <w:rFonts w:ascii="Arial" w:eastAsia="Times New Roman" w:hAnsi="Arial" w:cs="Times New Roman"/>
      <w:sz w:val="20"/>
      <w:szCs w:val="20"/>
      <w:lang w:eastAsia="en-AU"/>
    </w:rPr>
  </w:style>
  <w:style w:type="character" w:styleId="CommentReference">
    <w:name w:val="annotation reference"/>
    <w:basedOn w:val="DefaultParagraphFont"/>
    <w:semiHidden/>
    <w:rsid w:val="007425FA"/>
    <w:rPr>
      <w:sz w:val="16"/>
      <w:szCs w:val="16"/>
    </w:rPr>
  </w:style>
  <w:style w:type="paragraph" w:styleId="CommentText">
    <w:name w:val="annotation text"/>
    <w:basedOn w:val="Normal"/>
    <w:link w:val="CommentTextChar"/>
    <w:semiHidden/>
    <w:rsid w:val="007425FA"/>
    <w:pPr>
      <w:spacing w:line="240" w:lineRule="auto"/>
    </w:pPr>
  </w:style>
  <w:style w:type="character" w:customStyle="1" w:styleId="CommentTextChar">
    <w:name w:val="Comment Text Char"/>
    <w:basedOn w:val="DefaultParagraphFont"/>
    <w:link w:val="CommentText"/>
    <w:semiHidden/>
    <w:rsid w:val="007425FA"/>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semiHidden/>
    <w:rsid w:val="007425FA"/>
    <w:rPr>
      <w:b/>
      <w:bCs/>
    </w:rPr>
  </w:style>
  <w:style w:type="character" w:customStyle="1" w:styleId="CommentSubjectChar">
    <w:name w:val="Comment Subject Char"/>
    <w:basedOn w:val="CommentTextChar"/>
    <w:link w:val="CommentSubject"/>
    <w:uiPriority w:val="99"/>
    <w:semiHidden/>
    <w:rsid w:val="007425FA"/>
    <w:rPr>
      <w:rFonts w:ascii="Arial" w:eastAsia="Times New Roman" w:hAnsi="Arial" w:cs="Times New Roman"/>
      <w:b/>
      <w:bCs/>
      <w:sz w:val="20"/>
      <w:szCs w:val="20"/>
      <w:lang w:eastAsia="en-AU"/>
    </w:rPr>
  </w:style>
  <w:style w:type="paragraph" w:styleId="Date">
    <w:name w:val="Date"/>
    <w:basedOn w:val="Normal"/>
    <w:next w:val="Normal"/>
    <w:link w:val="DateChar"/>
    <w:semiHidden/>
    <w:rsid w:val="007425FA"/>
  </w:style>
  <w:style w:type="character" w:customStyle="1" w:styleId="DateChar">
    <w:name w:val="Date Char"/>
    <w:basedOn w:val="DefaultParagraphFont"/>
    <w:link w:val="Date"/>
    <w:uiPriority w:val="99"/>
    <w:semiHidden/>
    <w:rsid w:val="007425FA"/>
    <w:rPr>
      <w:rFonts w:ascii="Arial" w:eastAsia="Times New Roman" w:hAnsi="Arial" w:cs="Times New Roman"/>
      <w:sz w:val="20"/>
      <w:szCs w:val="20"/>
      <w:lang w:eastAsia="en-AU"/>
    </w:rPr>
  </w:style>
  <w:style w:type="paragraph" w:styleId="DocumentMap">
    <w:name w:val="Document Map"/>
    <w:basedOn w:val="Normal"/>
    <w:link w:val="DocumentMapChar"/>
    <w:semiHidden/>
    <w:rsid w:val="007425FA"/>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425FA"/>
    <w:rPr>
      <w:rFonts w:ascii="Tahoma" w:eastAsia="Times New Roman" w:hAnsi="Tahoma" w:cs="Tahoma"/>
      <w:sz w:val="16"/>
      <w:szCs w:val="16"/>
      <w:lang w:eastAsia="en-AU"/>
    </w:rPr>
  </w:style>
  <w:style w:type="paragraph" w:styleId="E-mailSignature">
    <w:name w:val="E-mail Signature"/>
    <w:basedOn w:val="Normal"/>
    <w:link w:val="E-mailSignatureChar"/>
    <w:semiHidden/>
    <w:rsid w:val="007425FA"/>
    <w:pPr>
      <w:spacing w:before="0" w:after="0" w:line="240" w:lineRule="auto"/>
    </w:pPr>
  </w:style>
  <w:style w:type="character" w:customStyle="1" w:styleId="E-mailSignatureChar">
    <w:name w:val="E-mail Signature Char"/>
    <w:basedOn w:val="DefaultParagraphFont"/>
    <w:link w:val="E-mailSignature"/>
    <w:uiPriority w:val="99"/>
    <w:semiHidden/>
    <w:rsid w:val="007425FA"/>
    <w:rPr>
      <w:rFonts w:ascii="Arial" w:eastAsia="Times New Roman" w:hAnsi="Arial" w:cs="Times New Roman"/>
      <w:sz w:val="20"/>
      <w:szCs w:val="20"/>
      <w:lang w:eastAsia="en-AU"/>
    </w:rPr>
  </w:style>
  <w:style w:type="character" w:styleId="Emphasis">
    <w:name w:val="Emphasis"/>
    <w:basedOn w:val="DefaultParagraphFont"/>
    <w:uiPriority w:val="20"/>
    <w:qFormat/>
    <w:rsid w:val="007425FA"/>
    <w:rPr>
      <w:i/>
      <w:iCs/>
    </w:rPr>
  </w:style>
  <w:style w:type="paragraph" w:styleId="EnvelopeAddress">
    <w:name w:val="envelope address"/>
    <w:basedOn w:val="Normal"/>
    <w:semiHidden/>
    <w:rsid w:val="007425FA"/>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7425FA"/>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semiHidden/>
    <w:rsid w:val="007425FA"/>
    <w:rPr>
      <w:color w:val="800080" w:themeColor="followedHyperlink"/>
      <w:u w:val="single"/>
    </w:rPr>
  </w:style>
  <w:style w:type="character" w:styleId="HTMLAcronym">
    <w:name w:val="HTML Acronym"/>
    <w:basedOn w:val="DefaultParagraphFont"/>
    <w:semiHidden/>
    <w:rsid w:val="007425FA"/>
  </w:style>
  <w:style w:type="paragraph" w:styleId="HTMLAddress">
    <w:name w:val="HTML Address"/>
    <w:basedOn w:val="Normal"/>
    <w:link w:val="HTMLAddressChar"/>
    <w:semiHidden/>
    <w:rsid w:val="007425FA"/>
    <w:pPr>
      <w:spacing w:before="0" w:after="0" w:line="240" w:lineRule="auto"/>
    </w:pPr>
    <w:rPr>
      <w:i/>
      <w:iCs/>
    </w:rPr>
  </w:style>
  <w:style w:type="character" w:customStyle="1" w:styleId="HTMLAddressChar">
    <w:name w:val="HTML Address Char"/>
    <w:basedOn w:val="DefaultParagraphFont"/>
    <w:link w:val="HTMLAddress"/>
    <w:uiPriority w:val="99"/>
    <w:semiHidden/>
    <w:rsid w:val="007425FA"/>
    <w:rPr>
      <w:rFonts w:ascii="Arial" w:eastAsia="Times New Roman" w:hAnsi="Arial" w:cs="Times New Roman"/>
      <w:i/>
      <w:iCs/>
      <w:sz w:val="20"/>
      <w:szCs w:val="20"/>
      <w:lang w:eastAsia="en-AU"/>
    </w:rPr>
  </w:style>
  <w:style w:type="character" w:styleId="HTMLCite">
    <w:name w:val="HTML Cite"/>
    <w:basedOn w:val="DefaultParagraphFont"/>
    <w:semiHidden/>
    <w:rsid w:val="007425FA"/>
    <w:rPr>
      <w:i/>
      <w:iCs/>
    </w:rPr>
  </w:style>
  <w:style w:type="character" w:styleId="HTMLCode">
    <w:name w:val="HTML Code"/>
    <w:basedOn w:val="DefaultParagraphFont"/>
    <w:semiHidden/>
    <w:rsid w:val="007425FA"/>
    <w:rPr>
      <w:rFonts w:ascii="Consolas" w:hAnsi="Consolas"/>
      <w:sz w:val="20"/>
      <w:szCs w:val="20"/>
    </w:rPr>
  </w:style>
  <w:style w:type="character" w:styleId="HTMLDefinition">
    <w:name w:val="HTML Definition"/>
    <w:basedOn w:val="DefaultParagraphFont"/>
    <w:semiHidden/>
    <w:rsid w:val="007425FA"/>
    <w:rPr>
      <w:i/>
      <w:iCs/>
    </w:rPr>
  </w:style>
  <w:style w:type="character" w:styleId="HTMLKeyboard">
    <w:name w:val="HTML Keyboard"/>
    <w:basedOn w:val="DefaultParagraphFont"/>
    <w:semiHidden/>
    <w:rsid w:val="007425FA"/>
    <w:rPr>
      <w:rFonts w:ascii="Consolas" w:hAnsi="Consolas"/>
      <w:sz w:val="20"/>
      <w:szCs w:val="20"/>
    </w:rPr>
  </w:style>
  <w:style w:type="paragraph" w:styleId="HTMLPreformatted">
    <w:name w:val="HTML Preformatted"/>
    <w:basedOn w:val="Normal"/>
    <w:link w:val="HTMLPreformattedChar"/>
    <w:semiHidden/>
    <w:rsid w:val="007425FA"/>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425FA"/>
    <w:rPr>
      <w:rFonts w:ascii="Consolas" w:eastAsia="Times New Roman" w:hAnsi="Consolas" w:cs="Times New Roman"/>
      <w:sz w:val="20"/>
      <w:szCs w:val="20"/>
      <w:lang w:eastAsia="en-AU"/>
    </w:rPr>
  </w:style>
  <w:style w:type="character" w:styleId="HTMLSample">
    <w:name w:val="HTML Sample"/>
    <w:basedOn w:val="DefaultParagraphFont"/>
    <w:semiHidden/>
    <w:rsid w:val="007425FA"/>
    <w:rPr>
      <w:rFonts w:ascii="Consolas" w:hAnsi="Consolas"/>
      <w:sz w:val="24"/>
      <w:szCs w:val="24"/>
    </w:rPr>
  </w:style>
  <w:style w:type="character" w:styleId="HTMLTypewriter">
    <w:name w:val="HTML Typewriter"/>
    <w:basedOn w:val="DefaultParagraphFont"/>
    <w:semiHidden/>
    <w:rsid w:val="007425FA"/>
    <w:rPr>
      <w:rFonts w:ascii="Consolas" w:hAnsi="Consolas"/>
      <w:sz w:val="20"/>
      <w:szCs w:val="20"/>
    </w:rPr>
  </w:style>
  <w:style w:type="character" w:styleId="HTMLVariable">
    <w:name w:val="HTML Variable"/>
    <w:basedOn w:val="DefaultParagraphFont"/>
    <w:semiHidden/>
    <w:rsid w:val="007425FA"/>
    <w:rPr>
      <w:i/>
      <w:iCs/>
    </w:rPr>
  </w:style>
  <w:style w:type="paragraph" w:styleId="Index2">
    <w:name w:val="index 2"/>
    <w:basedOn w:val="Normal"/>
    <w:next w:val="Normal"/>
    <w:autoRedefine/>
    <w:semiHidden/>
    <w:rsid w:val="007425FA"/>
    <w:pPr>
      <w:spacing w:before="0" w:after="0" w:line="240" w:lineRule="auto"/>
      <w:ind w:left="400" w:hanging="200"/>
    </w:pPr>
  </w:style>
  <w:style w:type="paragraph" w:styleId="Index3">
    <w:name w:val="index 3"/>
    <w:basedOn w:val="Normal"/>
    <w:next w:val="Normal"/>
    <w:autoRedefine/>
    <w:semiHidden/>
    <w:rsid w:val="007425FA"/>
    <w:pPr>
      <w:spacing w:before="0" w:after="0" w:line="240" w:lineRule="auto"/>
      <w:ind w:left="600" w:hanging="200"/>
    </w:pPr>
  </w:style>
  <w:style w:type="paragraph" w:styleId="Index4">
    <w:name w:val="index 4"/>
    <w:basedOn w:val="Normal"/>
    <w:next w:val="Normal"/>
    <w:autoRedefine/>
    <w:semiHidden/>
    <w:rsid w:val="007425FA"/>
    <w:pPr>
      <w:spacing w:before="0" w:after="0" w:line="240" w:lineRule="auto"/>
      <w:ind w:left="800" w:hanging="200"/>
    </w:pPr>
  </w:style>
  <w:style w:type="paragraph" w:styleId="Index5">
    <w:name w:val="index 5"/>
    <w:basedOn w:val="Normal"/>
    <w:next w:val="Normal"/>
    <w:autoRedefine/>
    <w:semiHidden/>
    <w:rsid w:val="007425FA"/>
    <w:pPr>
      <w:spacing w:before="0" w:after="0" w:line="240" w:lineRule="auto"/>
      <w:ind w:left="1000" w:hanging="200"/>
    </w:pPr>
  </w:style>
  <w:style w:type="paragraph" w:styleId="Index6">
    <w:name w:val="index 6"/>
    <w:basedOn w:val="Normal"/>
    <w:next w:val="Normal"/>
    <w:autoRedefine/>
    <w:semiHidden/>
    <w:rsid w:val="007425FA"/>
    <w:pPr>
      <w:spacing w:before="0" w:after="0" w:line="240" w:lineRule="auto"/>
      <w:ind w:left="1200" w:hanging="200"/>
    </w:pPr>
  </w:style>
  <w:style w:type="paragraph" w:styleId="Index7">
    <w:name w:val="index 7"/>
    <w:basedOn w:val="Normal"/>
    <w:next w:val="Normal"/>
    <w:autoRedefine/>
    <w:semiHidden/>
    <w:rsid w:val="007425FA"/>
    <w:pPr>
      <w:spacing w:before="0" w:after="0" w:line="240" w:lineRule="auto"/>
      <w:ind w:left="1400" w:hanging="200"/>
    </w:pPr>
  </w:style>
  <w:style w:type="paragraph" w:styleId="Index8">
    <w:name w:val="index 8"/>
    <w:basedOn w:val="Normal"/>
    <w:next w:val="Normal"/>
    <w:autoRedefine/>
    <w:semiHidden/>
    <w:rsid w:val="007425FA"/>
    <w:pPr>
      <w:spacing w:before="0" w:after="0" w:line="240" w:lineRule="auto"/>
      <w:ind w:left="1600" w:hanging="200"/>
    </w:pPr>
  </w:style>
  <w:style w:type="paragraph" w:styleId="Index9">
    <w:name w:val="index 9"/>
    <w:basedOn w:val="Normal"/>
    <w:next w:val="Normal"/>
    <w:autoRedefine/>
    <w:semiHidden/>
    <w:rsid w:val="007425FA"/>
    <w:pPr>
      <w:spacing w:before="0" w:after="0" w:line="240" w:lineRule="auto"/>
      <w:ind w:left="1800" w:hanging="200"/>
    </w:pPr>
  </w:style>
  <w:style w:type="paragraph" w:styleId="IndexHeading">
    <w:name w:val="index heading"/>
    <w:basedOn w:val="Normal"/>
    <w:next w:val="Index1"/>
    <w:semiHidden/>
    <w:rsid w:val="007425FA"/>
    <w:rPr>
      <w:rFonts w:asciiTheme="majorHAnsi" w:eastAsiaTheme="majorEastAsia" w:hAnsiTheme="majorHAnsi" w:cstheme="majorBidi"/>
      <w:b/>
      <w:bCs/>
    </w:rPr>
  </w:style>
  <w:style w:type="character" w:styleId="IntenseEmphasis">
    <w:name w:val="Intense Emphasis"/>
    <w:basedOn w:val="DefaultParagraphFont"/>
    <w:uiPriority w:val="21"/>
    <w:semiHidden/>
    <w:rsid w:val="007425FA"/>
    <w:rPr>
      <w:b/>
      <w:bCs/>
      <w:i/>
      <w:iCs/>
      <w:color w:val="4F81BD" w:themeColor="accent1"/>
    </w:rPr>
  </w:style>
  <w:style w:type="paragraph" w:styleId="IntenseQuote">
    <w:name w:val="Intense Quote"/>
    <w:basedOn w:val="Normal"/>
    <w:next w:val="Normal"/>
    <w:link w:val="IntenseQuoteChar"/>
    <w:uiPriority w:val="30"/>
    <w:rsid w:val="007425F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425FA"/>
    <w:rPr>
      <w:rFonts w:ascii="Arial" w:eastAsia="Times New Roman" w:hAnsi="Arial" w:cs="Times New Roman"/>
      <w:b/>
      <w:bCs/>
      <w:i/>
      <w:iCs/>
      <w:color w:val="4F81BD" w:themeColor="accent1"/>
      <w:sz w:val="20"/>
      <w:szCs w:val="20"/>
      <w:lang w:eastAsia="en-AU"/>
    </w:rPr>
  </w:style>
  <w:style w:type="character" w:styleId="IntenseReference">
    <w:name w:val="Intense Reference"/>
    <w:basedOn w:val="DefaultParagraphFont"/>
    <w:uiPriority w:val="32"/>
    <w:semiHidden/>
    <w:rsid w:val="007425FA"/>
    <w:rPr>
      <w:b/>
      <w:bCs/>
      <w:smallCaps/>
      <w:color w:val="C0504D" w:themeColor="accent2"/>
      <w:spacing w:val="5"/>
      <w:u w:val="single"/>
    </w:rPr>
  </w:style>
  <w:style w:type="character" w:styleId="LineNumber">
    <w:name w:val="line number"/>
    <w:basedOn w:val="DefaultParagraphFont"/>
    <w:semiHidden/>
    <w:rsid w:val="007425FA"/>
  </w:style>
  <w:style w:type="paragraph" w:styleId="List">
    <w:name w:val="List"/>
    <w:basedOn w:val="Normal"/>
    <w:semiHidden/>
    <w:rsid w:val="007425FA"/>
    <w:pPr>
      <w:ind w:left="283" w:hanging="283"/>
      <w:contextualSpacing/>
    </w:pPr>
  </w:style>
  <w:style w:type="paragraph" w:styleId="List2">
    <w:name w:val="List 2"/>
    <w:basedOn w:val="Normal"/>
    <w:semiHidden/>
    <w:rsid w:val="007425FA"/>
    <w:pPr>
      <w:ind w:left="566" w:hanging="283"/>
      <w:contextualSpacing/>
    </w:pPr>
  </w:style>
  <w:style w:type="paragraph" w:styleId="List3">
    <w:name w:val="List 3"/>
    <w:basedOn w:val="Normal"/>
    <w:semiHidden/>
    <w:rsid w:val="007425FA"/>
    <w:pPr>
      <w:ind w:left="849" w:hanging="283"/>
      <w:contextualSpacing/>
    </w:pPr>
  </w:style>
  <w:style w:type="paragraph" w:styleId="List4">
    <w:name w:val="List 4"/>
    <w:basedOn w:val="Normal"/>
    <w:semiHidden/>
    <w:rsid w:val="007425FA"/>
    <w:pPr>
      <w:ind w:left="1132" w:hanging="283"/>
      <w:contextualSpacing/>
    </w:pPr>
  </w:style>
  <w:style w:type="paragraph" w:styleId="List5">
    <w:name w:val="List 5"/>
    <w:basedOn w:val="Normal"/>
    <w:semiHidden/>
    <w:rsid w:val="007425FA"/>
    <w:pPr>
      <w:ind w:left="1415" w:hanging="283"/>
      <w:contextualSpacing/>
    </w:pPr>
  </w:style>
  <w:style w:type="paragraph" w:styleId="ListBullet">
    <w:name w:val="List Bullet"/>
    <w:basedOn w:val="Normal"/>
    <w:semiHidden/>
    <w:rsid w:val="007425FA"/>
    <w:pPr>
      <w:numPr>
        <w:numId w:val="4"/>
      </w:numPr>
      <w:contextualSpacing/>
    </w:pPr>
  </w:style>
  <w:style w:type="paragraph" w:styleId="ListBullet2">
    <w:name w:val="List Bullet 2"/>
    <w:basedOn w:val="Normal"/>
    <w:semiHidden/>
    <w:rsid w:val="007425FA"/>
    <w:pPr>
      <w:numPr>
        <w:numId w:val="5"/>
      </w:numPr>
      <w:contextualSpacing/>
    </w:pPr>
  </w:style>
  <w:style w:type="paragraph" w:styleId="ListBullet3">
    <w:name w:val="List Bullet 3"/>
    <w:basedOn w:val="Normal"/>
    <w:semiHidden/>
    <w:rsid w:val="007425FA"/>
    <w:pPr>
      <w:numPr>
        <w:numId w:val="6"/>
      </w:numPr>
      <w:contextualSpacing/>
    </w:pPr>
  </w:style>
  <w:style w:type="paragraph" w:styleId="ListBullet4">
    <w:name w:val="List Bullet 4"/>
    <w:basedOn w:val="Normal"/>
    <w:semiHidden/>
    <w:rsid w:val="007425FA"/>
    <w:pPr>
      <w:numPr>
        <w:numId w:val="7"/>
      </w:numPr>
      <w:contextualSpacing/>
    </w:pPr>
  </w:style>
  <w:style w:type="paragraph" w:styleId="ListContinue">
    <w:name w:val="List Continue"/>
    <w:basedOn w:val="Normal"/>
    <w:semiHidden/>
    <w:rsid w:val="007425FA"/>
    <w:pPr>
      <w:ind w:left="283"/>
      <w:contextualSpacing/>
    </w:pPr>
  </w:style>
  <w:style w:type="paragraph" w:styleId="ListContinue2">
    <w:name w:val="List Continue 2"/>
    <w:basedOn w:val="Normal"/>
    <w:semiHidden/>
    <w:rsid w:val="007425FA"/>
    <w:pPr>
      <w:ind w:left="566"/>
      <w:contextualSpacing/>
    </w:pPr>
  </w:style>
  <w:style w:type="paragraph" w:styleId="ListContinue3">
    <w:name w:val="List Continue 3"/>
    <w:basedOn w:val="Normal"/>
    <w:semiHidden/>
    <w:rsid w:val="007425FA"/>
    <w:pPr>
      <w:ind w:left="849"/>
      <w:contextualSpacing/>
    </w:pPr>
  </w:style>
  <w:style w:type="paragraph" w:styleId="ListContinue4">
    <w:name w:val="List Continue 4"/>
    <w:basedOn w:val="Normal"/>
    <w:semiHidden/>
    <w:rsid w:val="007425FA"/>
    <w:pPr>
      <w:ind w:left="1132"/>
      <w:contextualSpacing/>
    </w:pPr>
  </w:style>
  <w:style w:type="paragraph" w:styleId="ListContinue5">
    <w:name w:val="List Continue 5"/>
    <w:basedOn w:val="Normal"/>
    <w:semiHidden/>
    <w:rsid w:val="007425FA"/>
    <w:pPr>
      <w:ind w:left="1415"/>
      <w:contextualSpacing/>
    </w:pPr>
  </w:style>
  <w:style w:type="paragraph" w:styleId="ListNumber">
    <w:name w:val="List Number"/>
    <w:basedOn w:val="Normal"/>
    <w:semiHidden/>
    <w:rsid w:val="007425FA"/>
    <w:pPr>
      <w:numPr>
        <w:numId w:val="8"/>
      </w:numPr>
      <w:contextualSpacing/>
    </w:pPr>
  </w:style>
  <w:style w:type="paragraph" w:styleId="ListNumber2">
    <w:name w:val="List Number 2"/>
    <w:basedOn w:val="Normal"/>
    <w:semiHidden/>
    <w:rsid w:val="007425FA"/>
    <w:pPr>
      <w:numPr>
        <w:numId w:val="9"/>
      </w:numPr>
      <w:contextualSpacing/>
    </w:pPr>
  </w:style>
  <w:style w:type="paragraph" w:styleId="ListNumber3">
    <w:name w:val="List Number 3"/>
    <w:basedOn w:val="Normal"/>
    <w:semiHidden/>
    <w:rsid w:val="007425FA"/>
    <w:pPr>
      <w:numPr>
        <w:numId w:val="10"/>
      </w:numPr>
      <w:contextualSpacing/>
    </w:pPr>
  </w:style>
  <w:style w:type="paragraph" w:styleId="ListNumber4">
    <w:name w:val="List Number 4"/>
    <w:basedOn w:val="Normal"/>
    <w:semiHidden/>
    <w:rsid w:val="007425FA"/>
    <w:pPr>
      <w:numPr>
        <w:numId w:val="11"/>
      </w:numPr>
      <w:contextualSpacing/>
    </w:pPr>
  </w:style>
  <w:style w:type="paragraph" w:styleId="ListNumber5">
    <w:name w:val="List Number 5"/>
    <w:basedOn w:val="Normal"/>
    <w:semiHidden/>
    <w:rsid w:val="007425FA"/>
    <w:pPr>
      <w:numPr>
        <w:numId w:val="12"/>
      </w:numPr>
      <w:contextualSpacing/>
    </w:pPr>
  </w:style>
  <w:style w:type="paragraph" w:styleId="MacroText">
    <w:name w:val="macro"/>
    <w:link w:val="MacroTextChar"/>
    <w:semiHidden/>
    <w:rsid w:val="007425FA"/>
    <w:pPr>
      <w:tabs>
        <w:tab w:val="left" w:pos="480"/>
        <w:tab w:val="left" w:pos="960"/>
        <w:tab w:val="left" w:pos="1440"/>
        <w:tab w:val="left" w:pos="1920"/>
        <w:tab w:val="left" w:pos="2400"/>
        <w:tab w:val="left" w:pos="2880"/>
        <w:tab w:val="left" w:pos="3360"/>
        <w:tab w:val="left" w:pos="3840"/>
        <w:tab w:val="left" w:pos="4320"/>
      </w:tabs>
      <w:spacing w:before="120" w:after="0" w:line="280" w:lineRule="atLeast"/>
    </w:pPr>
    <w:rPr>
      <w:rFonts w:ascii="Consolas" w:hAnsi="Consolas" w:cs="Times New Roman"/>
      <w:sz w:val="20"/>
      <w:szCs w:val="20"/>
      <w:lang w:eastAsia="en-AU"/>
    </w:rPr>
  </w:style>
  <w:style w:type="character" w:customStyle="1" w:styleId="MacroTextChar">
    <w:name w:val="Macro Text Char"/>
    <w:basedOn w:val="DefaultParagraphFont"/>
    <w:link w:val="MacroText"/>
    <w:uiPriority w:val="99"/>
    <w:semiHidden/>
    <w:rsid w:val="007425FA"/>
    <w:rPr>
      <w:rFonts w:ascii="Consolas" w:eastAsia="Times New Roman" w:hAnsi="Consolas" w:cs="Times New Roman"/>
      <w:sz w:val="20"/>
      <w:szCs w:val="20"/>
      <w:lang w:eastAsia="en-AU"/>
    </w:rPr>
  </w:style>
  <w:style w:type="paragraph" w:styleId="MessageHeader">
    <w:name w:val="Message Header"/>
    <w:basedOn w:val="Normal"/>
    <w:link w:val="MessageHeaderChar"/>
    <w:semiHidden/>
    <w:rsid w:val="007425FA"/>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425FA"/>
    <w:rPr>
      <w:rFonts w:asciiTheme="majorHAnsi" w:eastAsiaTheme="majorEastAsia" w:hAnsiTheme="majorHAnsi" w:cstheme="majorBidi"/>
      <w:sz w:val="24"/>
      <w:szCs w:val="24"/>
      <w:shd w:val="pct20" w:color="auto" w:fill="auto"/>
      <w:lang w:eastAsia="en-AU"/>
    </w:rPr>
  </w:style>
  <w:style w:type="paragraph" w:styleId="NormalWeb">
    <w:name w:val="Normal (Web)"/>
    <w:basedOn w:val="Normal"/>
    <w:uiPriority w:val="99"/>
    <w:semiHidden/>
    <w:rsid w:val="007425FA"/>
    <w:rPr>
      <w:rFonts w:ascii="Times New Roman" w:hAnsi="Times New Roman"/>
      <w:sz w:val="24"/>
      <w:szCs w:val="24"/>
    </w:rPr>
  </w:style>
  <w:style w:type="paragraph" w:styleId="NoteHeading">
    <w:name w:val="Note Heading"/>
    <w:basedOn w:val="Normal"/>
    <w:next w:val="Normal"/>
    <w:link w:val="NoteHeadingChar"/>
    <w:semiHidden/>
    <w:rsid w:val="007425FA"/>
    <w:pPr>
      <w:spacing w:before="0" w:after="0" w:line="240" w:lineRule="auto"/>
    </w:pPr>
  </w:style>
  <w:style w:type="character" w:customStyle="1" w:styleId="NoteHeadingChar">
    <w:name w:val="Note Heading Char"/>
    <w:basedOn w:val="DefaultParagraphFont"/>
    <w:link w:val="NoteHeading"/>
    <w:uiPriority w:val="99"/>
    <w:semiHidden/>
    <w:rsid w:val="007425FA"/>
    <w:rPr>
      <w:rFonts w:ascii="Arial" w:eastAsia="Times New Roman" w:hAnsi="Arial" w:cs="Times New Roman"/>
      <w:sz w:val="20"/>
      <w:szCs w:val="20"/>
      <w:lang w:eastAsia="en-AU"/>
    </w:rPr>
  </w:style>
  <w:style w:type="character" w:styleId="PageNumber">
    <w:name w:val="page number"/>
    <w:basedOn w:val="DefaultParagraphFont"/>
    <w:semiHidden/>
    <w:rsid w:val="007425FA"/>
  </w:style>
  <w:style w:type="paragraph" w:styleId="PlainText">
    <w:name w:val="Plain Text"/>
    <w:basedOn w:val="Normal"/>
    <w:link w:val="PlainTextChar"/>
    <w:semiHidden/>
    <w:rsid w:val="007425FA"/>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25FA"/>
    <w:rPr>
      <w:rFonts w:ascii="Consolas" w:eastAsia="Times New Roman" w:hAnsi="Consolas" w:cs="Times New Roman"/>
      <w:sz w:val="21"/>
      <w:szCs w:val="21"/>
      <w:lang w:eastAsia="en-AU"/>
    </w:rPr>
  </w:style>
  <w:style w:type="paragraph" w:styleId="Signature">
    <w:name w:val="Signature"/>
    <w:basedOn w:val="Normal"/>
    <w:link w:val="SignatureChar"/>
    <w:semiHidden/>
    <w:rsid w:val="007425FA"/>
    <w:pPr>
      <w:spacing w:before="0" w:after="0" w:line="240" w:lineRule="auto"/>
      <w:ind w:left="4252"/>
    </w:pPr>
  </w:style>
  <w:style w:type="character" w:customStyle="1" w:styleId="SignatureChar">
    <w:name w:val="Signature Char"/>
    <w:basedOn w:val="DefaultParagraphFont"/>
    <w:link w:val="Signature"/>
    <w:uiPriority w:val="99"/>
    <w:semiHidden/>
    <w:rsid w:val="007425FA"/>
    <w:rPr>
      <w:rFonts w:ascii="Arial" w:eastAsia="Times New Roman" w:hAnsi="Arial" w:cs="Times New Roman"/>
      <w:sz w:val="20"/>
      <w:szCs w:val="20"/>
      <w:lang w:eastAsia="en-AU"/>
    </w:rPr>
  </w:style>
  <w:style w:type="character" w:styleId="Strong">
    <w:name w:val="Strong"/>
    <w:basedOn w:val="DefaultParagraphFont"/>
    <w:uiPriority w:val="22"/>
    <w:qFormat/>
    <w:rsid w:val="007425FA"/>
    <w:rPr>
      <w:b/>
      <w:bCs/>
    </w:rPr>
  </w:style>
  <w:style w:type="paragraph" w:styleId="Subtitle">
    <w:name w:val="Subtitle"/>
    <w:basedOn w:val="Normal"/>
    <w:next w:val="Normal"/>
    <w:link w:val="SubtitleChar"/>
    <w:rsid w:val="007425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425FA"/>
    <w:rPr>
      <w:rFonts w:asciiTheme="majorHAnsi" w:eastAsiaTheme="majorEastAsia" w:hAnsiTheme="majorHAnsi" w:cstheme="majorBidi"/>
      <w:i/>
      <w:iCs/>
      <w:color w:val="4F81BD" w:themeColor="accent1"/>
      <w:spacing w:val="15"/>
      <w:sz w:val="24"/>
      <w:szCs w:val="24"/>
      <w:lang w:eastAsia="en-AU"/>
    </w:rPr>
  </w:style>
  <w:style w:type="character" w:styleId="SubtleEmphasis">
    <w:name w:val="Subtle Emphasis"/>
    <w:basedOn w:val="DefaultParagraphFont"/>
    <w:uiPriority w:val="19"/>
    <w:rsid w:val="007425FA"/>
    <w:rPr>
      <w:i/>
      <w:iCs/>
      <w:color w:val="808080" w:themeColor="text1" w:themeTint="7F"/>
    </w:rPr>
  </w:style>
  <w:style w:type="character" w:styleId="SubtleReference">
    <w:name w:val="Subtle Reference"/>
    <w:basedOn w:val="DefaultParagraphFont"/>
    <w:uiPriority w:val="31"/>
    <w:semiHidden/>
    <w:rsid w:val="007425FA"/>
    <w:rPr>
      <w:smallCaps/>
      <w:color w:val="C0504D" w:themeColor="accent2"/>
      <w:u w:val="single"/>
    </w:rPr>
  </w:style>
  <w:style w:type="paragraph" w:styleId="TableofAuthorities">
    <w:name w:val="table of authorities"/>
    <w:basedOn w:val="Normal"/>
    <w:next w:val="Normal"/>
    <w:semiHidden/>
    <w:rsid w:val="007425FA"/>
    <w:pPr>
      <w:spacing w:after="0"/>
      <w:ind w:left="200" w:hanging="200"/>
    </w:pPr>
  </w:style>
  <w:style w:type="paragraph" w:styleId="TableofFigures">
    <w:name w:val="table of figures"/>
    <w:basedOn w:val="Normal"/>
    <w:next w:val="Normal"/>
    <w:semiHidden/>
    <w:rsid w:val="007425FA"/>
    <w:pPr>
      <w:spacing w:after="0"/>
    </w:pPr>
  </w:style>
  <w:style w:type="paragraph" w:styleId="Title">
    <w:name w:val="Title"/>
    <w:basedOn w:val="Normal"/>
    <w:next w:val="Normal"/>
    <w:link w:val="TitleChar"/>
    <w:rsid w:val="007425FA"/>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425FA"/>
    <w:rPr>
      <w:rFonts w:asciiTheme="majorHAnsi" w:eastAsiaTheme="majorEastAsia" w:hAnsiTheme="majorHAnsi" w:cstheme="majorBidi"/>
      <w:color w:val="17365D" w:themeColor="text2" w:themeShade="BF"/>
      <w:spacing w:val="5"/>
      <w:kern w:val="28"/>
      <w:sz w:val="52"/>
      <w:szCs w:val="52"/>
      <w:lang w:eastAsia="en-AU"/>
    </w:rPr>
  </w:style>
  <w:style w:type="paragraph" w:styleId="TOAHeading">
    <w:name w:val="toa heading"/>
    <w:basedOn w:val="Normal"/>
    <w:next w:val="Normal"/>
    <w:semiHidden/>
    <w:rsid w:val="007425FA"/>
    <w:rPr>
      <w:rFonts w:asciiTheme="majorHAnsi" w:eastAsiaTheme="majorEastAsia" w:hAnsiTheme="majorHAnsi" w:cstheme="majorBidi"/>
      <w:b/>
      <w:bCs/>
      <w:sz w:val="24"/>
      <w:szCs w:val="24"/>
    </w:rPr>
  </w:style>
  <w:style w:type="paragraph" w:styleId="TOC4">
    <w:name w:val="toc 4"/>
    <w:basedOn w:val="Normal"/>
    <w:next w:val="Normal"/>
    <w:autoRedefine/>
    <w:semiHidden/>
    <w:rsid w:val="007425FA"/>
    <w:pPr>
      <w:spacing w:after="100"/>
      <w:ind w:left="600"/>
    </w:pPr>
  </w:style>
  <w:style w:type="paragraph" w:styleId="TOC5">
    <w:name w:val="toc 5"/>
    <w:basedOn w:val="Normal"/>
    <w:next w:val="Normal"/>
    <w:autoRedefine/>
    <w:semiHidden/>
    <w:rsid w:val="007425FA"/>
    <w:pPr>
      <w:spacing w:after="100"/>
      <w:ind w:left="800"/>
    </w:pPr>
  </w:style>
  <w:style w:type="paragraph" w:styleId="TOC6">
    <w:name w:val="toc 6"/>
    <w:basedOn w:val="Normal"/>
    <w:next w:val="Normal"/>
    <w:autoRedefine/>
    <w:semiHidden/>
    <w:rsid w:val="007425FA"/>
    <w:pPr>
      <w:spacing w:after="100"/>
      <w:ind w:left="1000"/>
    </w:pPr>
  </w:style>
  <w:style w:type="paragraph" w:styleId="TOC7">
    <w:name w:val="toc 7"/>
    <w:basedOn w:val="Normal"/>
    <w:next w:val="Normal"/>
    <w:autoRedefine/>
    <w:semiHidden/>
    <w:rsid w:val="007425FA"/>
    <w:pPr>
      <w:spacing w:after="100"/>
      <w:ind w:left="1200"/>
    </w:pPr>
  </w:style>
  <w:style w:type="paragraph" w:styleId="TOC8">
    <w:name w:val="toc 8"/>
    <w:basedOn w:val="Normal"/>
    <w:next w:val="Normal"/>
    <w:autoRedefine/>
    <w:semiHidden/>
    <w:rsid w:val="007425FA"/>
    <w:pPr>
      <w:spacing w:after="100"/>
      <w:ind w:left="1400"/>
    </w:pPr>
  </w:style>
  <w:style w:type="paragraph" w:styleId="TOC9">
    <w:name w:val="toc 9"/>
    <w:basedOn w:val="Normal"/>
    <w:next w:val="Normal"/>
    <w:autoRedefine/>
    <w:semiHidden/>
    <w:rsid w:val="007425FA"/>
    <w:pPr>
      <w:spacing w:after="100"/>
      <w:ind w:left="1600"/>
    </w:pPr>
  </w:style>
  <w:style w:type="paragraph" w:styleId="TOCHeading">
    <w:name w:val="TOC Heading"/>
    <w:basedOn w:val="Heading1"/>
    <w:next w:val="Normal"/>
    <w:uiPriority w:val="39"/>
    <w:semiHidden/>
    <w:unhideWhenUsed/>
    <w:qFormat/>
    <w:rsid w:val="007425FA"/>
    <w:pPr>
      <w:keepNext/>
      <w:keepLines/>
      <w:widowControl/>
      <w:spacing w:before="480" w:after="0"/>
      <w:outlineLvl w:val="9"/>
    </w:pPr>
    <w:rPr>
      <w:rFonts w:asciiTheme="majorHAnsi" w:eastAsiaTheme="majorEastAsia" w:hAnsiTheme="majorHAnsi" w:cstheme="majorBidi"/>
      <w:b/>
      <w:color w:val="365F91" w:themeColor="accent1" w:themeShade="BF"/>
      <w:kern w:val="0"/>
      <w:sz w:val="28"/>
      <w:szCs w:val="28"/>
    </w:rPr>
  </w:style>
  <w:style w:type="paragraph" w:customStyle="1" w:styleId="Coverpageparties">
    <w:name w:val="Cover page parties"/>
    <w:basedOn w:val="Normal"/>
    <w:semiHidden/>
    <w:rsid w:val="0064458B"/>
    <w:pPr>
      <w:ind w:right="1136"/>
    </w:pPr>
    <w:rPr>
      <w:sz w:val="28"/>
    </w:rPr>
  </w:style>
  <w:style w:type="paragraph" w:customStyle="1" w:styleId="Probity1">
    <w:name w:val="Probity1"/>
    <w:basedOn w:val="ListParagraph"/>
    <w:link w:val="Probity1Char"/>
    <w:qFormat/>
    <w:rsid w:val="00D6436D"/>
    <w:pPr>
      <w:numPr>
        <w:numId w:val="18"/>
      </w:numPr>
      <w:spacing w:before="360"/>
    </w:pPr>
    <w:rPr>
      <w:color w:val="D95E00"/>
      <w:sz w:val="40"/>
      <w:szCs w:val="40"/>
    </w:rPr>
  </w:style>
  <w:style w:type="character" w:customStyle="1" w:styleId="Probity1Char">
    <w:name w:val="Probity1 Char"/>
    <w:basedOn w:val="DefaultParagraphFont"/>
    <w:link w:val="Probity1"/>
    <w:rsid w:val="00D6436D"/>
    <w:rPr>
      <w:rFonts w:ascii="Arial" w:hAnsi="Arial" w:cs="Times New Roman"/>
      <w:color w:val="D95E00"/>
      <w:sz w:val="40"/>
      <w:szCs w:val="40"/>
      <w:lang w:eastAsia="en-AU"/>
    </w:rPr>
  </w:style>
  <w:style w:type="paragraph" w:customStyle="1" w:styleId="Probity2">
    <w:name w:val="Probity2"/>
    <w:basedOn w:val="ListParagraph"/>
    <w:link w:val="Probity2Char"/>
    <w:qFormat/>
    <w:rsid w:val="00672FD6"/>
    <w:pPr>
      <w:numPr>
        <w:ilvl w:val="1"/>
        <w:numId w:val="18"/>
      </w:numPr>
    </w:pPr>
  </w:style>
  <w:style w:type="character" w:customStyle="1" w:styleId="Probity2Char">
    <w:name w:val="Probity2 Char"/>
    <w:basedOn w:val="DefaultParagraphFont"/>
    <w:link w:val="Probity2"/>
    <w:rsid w:val="00672FD6"/>
    <w:rPr>
      <w:rFonts w:ascii="Arial" w:hAnsi="Arial" w:cs="Times New Roman"/>
      <w:sz w:val="20"/>
      <w:szCs w:val="20"/>
      <w:lang w:eastAsia="en-AU"/>
    </w:rPr>
  </w:style>
  <w:style w:type="paragraph" w:customStyle="1" w:styleId="Probity3">
    <w:name w:val="Probity3"/>
    <w:basedOn w:val="ListParagraph"/>
    <w:link w:val="Probity3Char"/>
    <w:qFormat/>
    <w:rsid w:val="00672FD6"/>
    <w:pPr>
      <w:numPr>
        <w:ilvl w:val="2"/>
        <w:numId w:val="18"/>
      </w:numPr>
    </w:pPr>
  </w:style>
  <w:style w:type="character" w:customStyle="1" w:styleId="Probity3Char">
    <w:name w:val="Probity3 Char"/>
    <w:basedOn w:val="DefaultParagraphFont"/>
    <w:link w:val="Probity3"/>
    <w:rsid w:val="00672FD6"/>
    <w:rPr>
      <w:rFonts w:ascii="Arial" w:hAnsi="Arial" w:cs="Times New Roman"/>
      <w:sz w:val="20"/>
      <w:szCs w:val="20"/>
      <w:lang w:eastAsia="en-AU"/>
    </w:rPr>
  </w:style>
  <w:style w:type="paragraph" w:customStyle="1" w:styleId="Probity4">
    <w:name w:val="Probity4"/>
    <w:basedOn w:val="ListParagraph"/>
    <w:link w:val="Probity4Char"/>
    <w:qFormat/>
    <w:rsid w:val="00672FD6"/>
    <w:pPr>
      <w:numPr>
        <w:ilvl w:val="3"/>
        <w:numId w:val="18"/>
      </w:numPr>
    </w:pPr>
  </w:style>
  <w:style w:type="character" w:customStyle="1" w:styleId="Probity4Char">
    <w:name w:val="Probity4 Char"/>
    <w:basedOn w:val="DefaultParagraphFont"/>
    <w:link w:val="Probity4"/>
    <w:rsid w:val="00672FD6"/>
    <w:rPr>
      <w:rFonts w:ascii="Arial" w:hAnsi="Arial" w:cs="Times New Roman"/>
      <w:sz w:val="20"/>
      <w:szCs w:val="20"/>
      <w:lang w:eastAsia="en-AU"/>
    </w:rPr>
  </w:style>
  <w:style w:type="paragraph" w:customStyle="1" w:styleId="Probity5">
    <w:name w:val="Probity5"/>
    <w:basedOn w:val="Probity4"/>
    <w:link w:val="Probity5Char"/>
    <w:qFormat/>
    <w:rsid w:val="00672FD6"/>
    <w:pPr>
      <w:numPr>
        <w:ilvl w:val="4"/>
      </w:numPr>
    </w:pPr>
  </w:style>
  <w:style w:type="character" w:customStyle="1" w:styleId="Probity5Char">
    <w:name w:val="Probity5 Char"/>
    <w:basedOn w:val="Probity4Char"/>
    <w:link w:val="Probity5"/>
    <w:rsid w:val="00672FD6"/>
    <w:rPr>
      <w:rFonts w:ascii="Arial" w:hAnsi="Arial" w:cs="Times New Roman"/>
      <w:sz w:val="20"/>
      <w:szCs w:val="20"/>
      <w:lang w:eastAsia="en-AU"/>
    </w:rPr>
  </w:style>
  <w:style w:type="character" w:customStyle="1" w:styleId="frag-heading">
    <w:name w:val="frag-heading"/>
    <w:basedOn w:val="DefaultParagraphFont"/>
    <w:rsid w:val="00F91A4C"/>
  </w:style>
  <w:style w:type="paragraph" w:styleId="Revision">
    <w:name w:val="Revision"/>
    <w:hidden/>
    <w:uiPriority w:val="99"/>
    <w:semiHidden/>
    <w:rsid w:val="00E34A86"/>
    <w:pPr>
      <w:spacing w:after="0" w:line="240" w:lineRule="auto"/>
    </w:pPr>
    <w:rPr>
      <w:rFonts w:ascii="Arial" w:hAnsi="Arial" w:cs="Times New Roman"/>
      <w:sz w:val="20"/>
      <w:szCs w:val="20"/>
      <w:lang w:eastAsia="en-AU"/>
    </w:rPr>
  </w:style>
  <w:style w:type="table" w:styleId="GridTable5Dark-Accent1">
    <w:name w:val="Grid Table 5 Dark Accent 1"/>
    <w:basedOn w:val="TableNormal"/>
    <w:uiPriority w:val="50"/>
    <w:rsid w:val="006B1B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i/>
        <w:i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i/>
        <w:i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UnresolvedMention1">
    <w:name w:val="Unresolved Mention1"/>
    <w:basedOn w:val="DefaultParagraphFont"/>
    <w:uiPriority w:val="99"/>
    <w:semiHidden/>
    <w:unhideWhenUsed/>
    <w:rsid w:val="006E3982"/>
    <w:rPr>
      <w:color w:val="605E5C"/>
      <w:shd w:val="clear" w:color="auto" w:fill="E1DFDD"/>
    </w:rPr>
  </w:style>
  <w:style w:type="paragraph" w:customStyle="1" w:styleId="Default">
    <w:name w:val="Default"/>
    <w:rsid w:val="00273306"/>
    <w:pPr>
      <w:autoSpaceDE w:val="0"/>
      <w:autoSpaceDN w:val="0"/>
      <w:adjustRightInd w:val="0"/>
      <w:spacing w:after="0" w:line="240" w:lineRule="auto"/>
    </w:pPr>
    <w:rPr>
      <w:rFonts w:ascii="1" w:hAnsi="1" w:cs="1"/>
      <w:color w:val="000000"/>
      <w:sz w:val="24"/>
      <w:szCs w:val="24"/>
    </w:rPr>
  </w:style>
  <w:style w:type="character" w:customStyle="1" w:styleId="UnresolvedMention2">
    <w:name w:val="Unresolved Mention2"/>
    <w:basedOn w:val="DefaultParagraphFont"/>
    <w:uiPriority w:val="99"/>
    <w:semiHidden/>
    <w:unhideWhenUsed/>
    <w:rsid w:val="00CC451B"/>
    <w:rPr>
      <w:color w:val="605E5C"/>
      <w:shd w:val="clear" w:color="auto" w:fill="E1DFDD"/>
    </w:rPr>
  </w:style>
  <w:style w:type="paragraph" w:customStyle="1" w:styleId="subsection">
    <w:name w:val="subsection"/>
    <w:basedOn w:val="Normal"/>
    <w:rsid w:val="00762F49"/>
    <w:pPr>
      <w:spacing w:before="100" w:beforeAutospacing="1" w:after="100" w:afterAutospacing="1" w:line="240" w:lineRule="auto"/>
    </w:pPr>
    <w:rPr>
      <w:rFonts w:ascii="Times New Roman" w:hAnsi="Times New Roman"/>
      <w:sz w:val="24"/>
      <w:szCs w:val="24"/>
    </w:rPr>
  </w:style>
  <w:style w:type="paragraph" w:customStyle="1" w:styleId="paragraph">
    <w:name w:val="paragraph"/>
    <w:basedOn w:val="Normal"/>
    <w:rsid w:val="00762F49"/>
    <w:pPr>
      <w:spacing w:before="100" w:beforeAutospacing="1" w:after="100" w:afterAutospacing="1" w:line="240" w:lineRule="auto"/>
    </w:pPr>
    <w:rPr>
      <w:rFonts w:ascii="Times New Roman" w:hAnsi="Times New Roman"/>
      <w:sz w:val="24"/>
      <w:szCs w:val="24"/>
    </w:rPr>
  </w:style>
  <w:style w:type="paragraph" w:customStyle="1" w:styleId="paragraphsub">
    <w:name w:val="paragraphsub"/>
    <w:basedOn w:val="Normal"/>
    <w:rsid w:val="00762F49"/>
    <w:pPr>
      <w:spacing w:before="100" w:beforeAutospacing="1" w:after="100" w:afterAutospacing="1" w:line="240" w:lineRule="auto"/>
    </w:pPr>
    <w:rPr>
      <w:rFonts w:ascii="Times New Roman" w:hAnsi="Times New Roman"/>
      <w:sz w:val="24"/>
      <w:szCs w:val="24"/>
    </w:rPr>
  </w:style>
  <w:style w:type="paragraph" w:customStyle="1" w:styleId="subsectionhead">
    <w:name w:val="subsectionhead"/>
    <w:basedOn w:val="Normal"/>
    <w:rsid w:val="00896045"/>
    <w:pPr>
      <w:spacing w:before="100" w:beforeAutospacing="1" w:after="100" w:afterAutospacing="1" w:line="240" w:lineRule="auto"/>
    </w:pPr>
    <w:rPr>
      <w:rFonts w:ascii="Times New Roman" w:hAnsi="Times New Roman"/>
      <w:sz w:val="24"/>
      <w:szCs w:val="24"/>
    </w:rPr>
  </w:style>
  <w:style w:type="paragraph" w:customStyle="1" w:styleId="acthead5">
    <w:name w:val="acthead5"/>
    <w:basedOn w:val="Normal"/>
    <w:rsid w:val="0020689B"/>
    <w:pPr>
      <w:spacing w:before="100" w:beforeAutospacing="1" w:after="100" w:afterAutospacing="1" w:line="240" w:lineRule="auto"/>
    </w:pPr>
    <w:rPr>
      <w:rFonts w:ascii="Times New Roman" w:hAnsi="Times New Roman"/>
      <w:sz w:val="24"/>
      <w:szCs w:val="24"/>
    </w:rPr>
  </w:style>
  <w:style w:type="character" w:customStyle="1" w:styleId="charsectno">
    <w:name w:val="charsectno"/>
    <w:basedOn w:val="DefaultParagraphFont"/>
    <w:rsid w:val="0020689B"/>
  </w:style>
  <w:style w:type="paragraph" w:customStyle="1" w:styleId="gov-is-numbered-paragraph">
    <w:name w:val="gov-is-numbered-paragraph"/>
    <w:basedOn w:val="Normal"/>
    <w:rsid w:val="00C77E41"/>
    <w:pPr>
      <w:spacing w:before="100" w:beforeAutospacing="1" w:after="100" w:afterAutospacing="1" w:line="240" w:lineRule="auto"/>
    </w:pPr>
    <w:rPr>
      <w:rFonts w:ascii="Times New Roman" w:hAnsi="Times New Roman"/>
      <w:sz w:val="24"/>
      <w:szCs w:val="24"/>
    </w:rPr>
  </w:style>
  <w:style w:type="paragraph" w:customStyle="1" w:styleId="notetext">
    <w:name w:val="notetext"/>
    <w:basedOn w:val="Normal"/>
    <w:rsid w:val="007344B2"/>
    <w:pPr>
      <w:spacing w:before="100" w:beforeAutospacing="1" w:after="100" w:afterAutospacing="1" w:line="240" w:lineRule="auto"/>
    </w:pPr>
    <w:rPr>
      <w:rFonts w:ascii="Times New Roman" w:hAnsi="Times New Roman"/>
      <w:sz w:val="24"/>
      <w:szCs w:val="24"/>
    </w:rPr>
  </w:style>
  <w:style w:type="paragraph" w:customStyle="1" w:styleId="penalty">
    <w:name w:val="penalty"/>
    <w:basedOn w:val="Normal"/>
    <w:rsid w:val="007344B2"/>
    <w:pPr>
      <w:spacing w:before="100" w:beforeAutospacing="1" w:after="100" w:afterAutospacing="1" w:line="240" w:lineRule="auto"/>
    </w:pPr>
    <w:rPr>
      <w:rFonts w:ascii="Times New Roman" w:hAnsi="Times New Roman"/>
      <w:sz w:val="24"/>
      <w:szCs w:val="24"/>
    </w:rPr>
  </w:style>
  <w:style w:type="paragraph" w:customStyle="1" w:styleId="acthead3">
    <w:name w:val="acthead3"/>
    <w:basedOn w:val="Normal"/>
    <w:rsid w:val="00824620"/>
    <w:pPr>
      <w:spacing w:before="100" w:beforeAutospacing="1" w:after="100" w:afterAutospacing="1" w:line="240" w:lineRule="auto"/>
    </w:pPr>
    <w:rPr>
      <w:rFonts w:ascii="Times New Roman" w:hAnsi="Times New Roman"/>
      <w:sz w:val="24"/>
      <w:szCs w:val="24"/>
    </w:rPr>
  </w:style>
  <w:style w:type="character" w:customStyle="1" w:styleId="chardivno">
    <w:name w:val="chardivno"/>
    <w:basedOn w:val="DefaultParagraphFont"/>
    <w:rsid w:val="00824620"/>
  </w:style>
  <w:style w:type="character" w:customStyle="1" w:styleId="chardivtext">
    <w:name w:val="chardivtext"/>
    <w:basedOn w:val="DefaultParagraphFont"/>
    <w:rsid w:val="00824620"/>
  </w:style>
  <w:style w:type="paragraph" w:customStyle="1" w:styleId="definition">
    <w:name w:val="definition"/>
    <w:basedOn w:val="Normal"/>
    <w:rsid w:val="004F70BF"/>
    <w:pPr>
      <w:spacing w:before="100" w:beforeAutospacing="1" w:after="100" w:afterAutospacing="1" w:line="240" w:lineRule="auto"/>
    </w:pPr>
    <w:rPr>
      <w:rFonts w:ascii="Times New Roman" w:hAnsi="Times New Roman"/>
      <w:sz w:val="24"/>
      <w:szCs w:val="24"/>
    </w:rPr>
  </w:style>
  <w:style w:type="paragraph" w:customStyle="1" w:styleId="notemargin">
    <w:name w:val="notemargin"/>
    <w:basedOn w:val="Normal"/>
    <w:rsid w:val="00F92070"/>
    <w:pPr>
      <w:spacing w:before="100" w:beforeAutospacing="1" w:after="100" w:afterAutospacing="1" w:line="240" w:lineRule="auto"/>
    </w:pPr>
    <w:rPr>
      <w:rFonts w:ascii="Times New Roman" w:hAnsi="Times New Roman"/>
      <w:sz w:val="24"/>
      <w:szCs w:val="24"/>
    </w:rPr>
  </w:style>
  <w:style w:type="paragraph" w:customStyle="1" w:styleId="paragraphsub-sub">
    <w:name w:val="paragraphsub-sub"/>
    <w:basedOn w:val="Normal"/>
    <w:rsid w:val="00F92070"/>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Normal"/>
    <w:uiPriority w:val="1"/>
    <w:qFormat/>
    <w:rsid w:val="00600943"/>
    <w:pPr>
      <w:widowControl w:val="0"/>
      <w:autoSpaceDE w:val="0"/>
      <w:autoSpaceDN w:val="0"/>
      <w:spacing w:before="0" w:after="0" w:line="240" w:lineRule="auto"/>
    </w:pPr>
    <w:rPr>
      <w:rFonts w:ascii="Calibri" w:eastAsia="Calibri" w:hAnsi="Calibri" w:cs="Calibri"/>
      <w:sz w:val="22"/>
      <w:szCs w:val="22"/>
      <w:lang w:eastAsia="en-US"/>
    </w:rPr>
  </w:style>
  <w:style w:type="table" w:styleId="ListTable3-Accent1">
    <w:name w:val="List Table 3 Accent 1"/>
    <w:basedOn w:val="TableNormal"/>
    <w:uiPriority w:val="48"/>
    <w:rsid w:val="00600943"/>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6">
    <w:name w:val="List Table 3 Accent 6"/>
    <w:basedOn w:val="TableNormal"/>
    <w:uiPriority w:val="48"/>
    <w:rsid w:val="003563D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customStyle="1" w:styleId="msonormal0">
    <w:name w:val="msonormal"/>
    <w:basedOn w:val="Normal"/>
    <w:rsid w:val="005006DD"/>
    <w:pPr>
      <w:spacing w:before="100" w:beforeAutospacing="1" w:after="100" w:afterAutospacing="1" w:line="240" w:lineRule="auto"/>
    </w:pPr>
    <w:rPr>
      <w:rFonts w:ascii="Times New Roman" w:hAnsi="Times New Roman"/>
      <w:sz w:val="24"/>
      <w:szCs w:val="24"/>
    </w:rPr>
  </w:style>
  <w:style w:type="paragraph" w:customStyle="1" w:styleId="shortt">
    <w:name w:val="shortt"/>
    <w:basedOn w:val="Normal"/>
    <w:rsid w:val="005006DD"/>
    <w:pPr>
      <w:spacing w:before="100" w:beforeAutospacing="1" w:after="100" w:afterAutospacing="1" w:line="240" w:lineRule="auto"/>
    </w:pPr>
    <w:rPr>
      <w:rFonts w:ascii="Times New Roman" w:hAnsi="Times New Roman"/>
      <w:sz w:val="24"/>
      <w:szCs w:val="24"/>
    </w:rPr>
  </w:style>
  <w:style w:type="paragraph" w:customStyle="1" w:styleId="madeundertext">
    <w:name w:val="madeundertext"/>
    <w:basedOn w:val="Normal"/>
    <w:rsid w:val="005006DD"/>
    <w:pPr>
      <w:spacing w:before="100" w:beforeAutospacing="1" w:after="100" w:afterAutospacing="1" w:line="240" w:lineRule="auto"/>
    </w:pPr>
    <w:rPr>
      <w:rFonts w:ascii="Times New Roman" w:hAnsi="Times New Roman"/>
      <w:sz w:val="24"/>
      <w:szCs w:val="24"/>
    </w:rPr>
  </w:style>
  <w:style w:type="paragraph" w:customStyle="1" w:styleId="compiledmadeunder">
    <w:name w:val="compiledmadeunder"/>
    <w:basedOn w:val="Normal"/>
    <w:rsid w:val="005006DD"/>
    <w:pPr>
      <w:spacing w:before="100" w:beforeAutospacing="1" w:after="100" w:afterAutospacing="1" w:line="240" w:lineRule="auto"/>
    </w:pPr>
    <w:rPr>
      <w:rFonts w:ascii="Times New Roman" w:hAnsi="Times New Roman"/>
      <w:sz w:val="24"/>
      <w:szCs w:val="24"/>
    </w:rPr>
  </w:style>
  <w:style w:type="character" w:customStyle="1" w:styleId="charchapno">
    <w:name w:val="charchapno"/>
    <w:basedOn w:val="DefaultParagraphFont"/>
    <w:rsid w:val="005006DD"/>
  </w:style>
  <w:style w:type="character" w:customStyle="1" w:styleId="charchaptext">
    <w:name w:val="charchaptext"/>
    <w:basedOn w:val="DefaultParagraphFont"/>
    <w:rsid w:val="005006DD"/>
  </w:style>
  <w:style w:type="character" w:customStyle="1" w:styleId="charpartno">
    <w:name w:val="charpartno"/>
    <w:basedOn w:val="DefaultParagraphFont"/>
    <w:rsid w:val="005006DD"/>
  </w:style>
  <w:style w:type="character" w:customStyle="1" w:styleId="charparttext">
    <w:name w:val="charparttext"/>
    <w:basedOn w:val="DefaultParagraphFont"/>
    <w:rsid w:val="005006DD"/>
  </w:style>
  <w:style w:type="paragraph" w:customStyle="1" w:styleId="acthead2">
    <w:name w:val="acthead2"/>
    <w:basedOn w:val="Normal"/>
    <w:rsid w:val="005006DD"/>
    <w:pPr>
      <w:spacing w:before="100" w:beforeAutospacing="1" w:after="100" w:afterAutospacing="1" w:line="240" w:lineRule="auto"/>
    </w:pPr>
    <w:rPr>
      <w:rFonts w:ascii="Times New Roman" w:hAnsi="Times New Roman"/>
      <w:sz w:val="24"/>
      <w:szCs w:val="24"/>
    </w:rPr>
  </w:style>
  <w:style w:type="paragraph" w:customStyle="1" w:styleId="sotext">
    <w:name w:val="sotext"/>
    <w:basedOn w:val="Normal"/>
    <w:rsid w:val="005006DD"/>
    <w:pPr>
      <w:spacing w:before="100" w:beforeAutospacing="1" w:after="100" w:afterAutospacing="1" w:line="240" w:lineRule="auto"/>
    </w:pPr>
    <w:rPr>
      <w:rFonts w:ascii="Times New Roman" w:hAnsi="Times New Roman"/>
      <w:sz w:val="24"/>
      <w:szCs w:val="24"/>
    </w:rPr>
  </w:style>
  <w:style w:type="paragraph" w:customStyle="1" w:styleId="soheadbold">
    <w:name w:val="soheadbold"/>
    <w:basedOn w:val="Normal"/>
    <w:rsid w:val="005006DD"/>
    <w:pPr>
      <w:spacing w:before="100" w:beforeAutospacing="1" w:after="100" w:afterAutospacing="1" w:line="240" w:lineRule="auto"/>
    </w:pPr>
    <w:rPr>
      <w:rFonts w:ascii="Times New Roman" w:hAnsi="Times New Roman"/>
      <w:sz w:val="24"/>
      <w:szCs w:val="24"/>
    </w:rPr>
  </w:style>
  <w:style w:type="paragraph" w:customStyle="1" w:styleId="sopara">
    <w:name w:val="sopara"/>
    <w:basedOn w:val="Normal"/>
    <w:rsid w:val="005006DD"/>
    <w:pPr>
      <w:spacing w:before="100" w:beforeAutospacing="1" w:after="100" w:afterAutospacing="1" w:line="240" w:lineRule="auto"/>
    </w:pPr>
    <w:rPr>
      <w:rFonts w:ascii="Times New Roman" w:hAnsi="Times New Roman"/>
      <w:sz w:val="24"/>
      <w:szCs w:val="24"/>
    </w:rPr>
  </w:style>
  <w:style w:type="paragraph" w:customStyle="1" w:styleId="notepara">
    <w:name w:val="notepara"/>
    <w:basedOn w:val="Normal"/>
    <w:rsid w:val="005006DD"/>
    <w:pPr>
      <w:spacing w:before="100" w:beforeAutospacing="1" w:after="100" w:afterAutospacing="1" w:line="240" w:lineRule="auto"/>
    </w:pPr>
    <w:rPr>
      <w:rFonts w:ascii="Times New Roman" w:hAnsi="Times New Roman"/>
      <w:sz w:val="24"/>
      <w:szCs w:val="24"/>
    </w:rPr>
  </w:style>
  <w:style w:type="paragraph" w:customStyle="1" w:styleId="subsection20">
    <w:name w:val="subsection20"/>
    <w:basedOn w:val="Normal"/>
    <w:rsid w:val="005006DD"/>
    <w:pPr>
      <w:spacing w:before="100" w:beforeAutospacing="1" w:after="100" w:afterAutospacing="1" w:line="240" w:lineRule="auto"/>
    </w:pPr>
    <w:rPr>
      <w:rFonts w:ascii="Times New Roman" w:hAnsi="Times New Roman"/>
      <w:sz w:val="24"/>
      <w:szCs w:val="24"/>
    </w:rPr>
  </w:style>
  <w:style w:type="paragraph" w:customStyle="1" w:styleId="definition0">
    <w:name w:val="definition0"/>
    <w:basedOn w:val="Normal"/>
    <w:rsid w:val="005006DD"/>
    <w:pPr>
      <w:spacing w:before="100" w:beforeAutospacing="1" w:after="100" w:afterAutospacing="1" w:line="240" w:lineRule="auto"/>
    </w:pPr>
    <w:rPr>
      <w:rFonts w:ascii="Times New Roman" w:hAnsi="Times New Roman"/>
      <w:sz w:val="24"/>
      <w:szCs w:val="24"/>
    </w:rPr>
  </w:style>
  <w:style w:type="paragraph" w:customStyle="1" w:styleId="tableheading">
    <w:name w:val="tableheading"/>
    <w:basedOn w:val="Normal"/>
    <w:rsid w:val="005006DD"/>
    <w:pPr>
      <w:spacing w:before="100" w:beforeAutospacing="1" w:after="100" w:afterAutospacing="1" w:line="240" w:lineRule="auto"/>
    </w:pPr>
    <w:rPr>
      <w:rFonts w:ascii="Times New Roman" w:hAnsi="Times New Roman"/>
      <w:sz w:val="24"/>
      <w:szCs w:val="24"/>
    </w:rPr>
  </w:style>
  <w:style w:type="paragraph" w:customStyle="1" w:styleId="tabletext">
    <w:name w:val="tabletext"/>
    <w:basedOn w:val="Normal"/>
    <w:rsid w:val="005006DD"/>
    <w:pPr>
      <w:spacing w:before="100" w:beforeAutospacing="1" w:after="100" w:afterAutospacing="1" w:line="240" w:lineRule="auto"/>
    </w:pPr>
    <w:rPr>
      <w:rFonts w:ascii="Times New Roman" w:hAnsi="Times New Roman"/>
      <w:sz w:val="24"/>
      <w:szCs w:val="24"/>
    </w:rPr>
  </w:style>
  <w:style w:type="paragraph" w:customStyle="1" w:styleId="tablea">
    <w:name w:val="tablea"/>
    <w:basedOn w:val="Normal"/>
    <w:rsid w:val="005006DD"/>
    <w:pPr>
      <w:spacing w:before="100" w:beforeAutospacing="1" w:after="100" w:afterAutospacing="1" w:line="240" w:lineRule="auto"/>
    </w:pPr>
    <w:rPr>
      <w:rFonts w:ascii="Times New Roman" w:hAnsi="Times New Roman"/>
      <w:sz w:val="24"/>
      <w:szCs w:val="24"/>
    </w:rPr>
  </w:style>
  <w:style w:type="paragraph" w:customStyle="1" w:styleId="tablei">
    <w:name w:val="tablei"/>
    <w:basedOn w:val="Normal"/>
    <w:rsid w:val="005006DD"/>
    <w:pPr>
      <w:spacing w:before="100" w:beforeAutospacing="1" w:after="100" w:afterAutospacing="1" w:line="240" w:lineRule="auto"/>
    </w:pPr>
    <w:rPr>
      <w:rFonts w:ascii="Times New Roman" w:hAnsi="Times New Roman"/>
      <w:sz w:val="24"/>
      <w:szCs w:val="24"/>
    </w:rPr>
  </w:style>
  <w:style w:type="paragraph" w:customStyle="1" w:styleId="acthead4">
    <w:name w:val="acthead4"/>
    <w:basedOn w:val="Normal"/>
    <w:rsid w:val="005006DD"/>
    <w:pPr>
      <w:spacing w:before="100" w:beforeAutospacing="1" w:after="100" w:afterAutospacing="1" w:line="240" w:lineRule="auto"/>
    </w:pPr>
    <w:rPr>
      <w:rFonts w:ascii="Times New Roman" w:hAnsi="Times New Roman"/>
      <w:sz w:val="24"/>
      <w:szCs w:val="24"/>
    </w:rPr>
  </w:style>
  <w:style w:type="paragraph" w:customStyle="1" w:styleId="subsection2">
    <w:name w:val="subsection2"/>
    <w:basedOn w:val="Normal"/>
    <w:rsid w:val="007745FC"/>
    <w:pPr>
      <w:spacing w:before="100" w:beforeAutospacing="1" w:after="100" w:afterAutospacing="1" w:line="240" w:lineRule="auto"/>
    </w:pPr>
    <w:rPr>
      <w:rFonts w:ascii="Times New Roman" w:hAnsi="Times New Roman"/>
      <w:sz w:val="24"/>
      <w:szCs w:val="24"/>
    </w:rPr>
  </w:style>
  <w:style w:type="paragraph" w:customStyle="1" w:styleId="OutlineNumbered1">
    <w:name w:val="Outline Numbered 1"/>
    <w:basedOn w:val="Normal"/>
    <w:link w:val="OutlineNumbered1Char"/>
    <w:rsid w:val="00AA23E3"/>
    <w:pPr>
      <w:numPr>
        <w:numId w:val="21"/>
      </w:numPr>
    </w:pPr>
    <w:rPr>
      <w:rFonts w:ascii="Lato" w:hAnsi="Lato"/>
    </w:rPr>
  </w:style>
  <w:style w:type="character" w:customStyle="1" w:styleId="OutlineNumbered1Char">
    <w:name w:val="Outline Numbered 1 Char"/>
    <w:basedOn w:val="CommentTextChar"/>
    <w:link w:val="OutlineNumbered1"/>
    <w:rsid w:val="00AA23E3"/>
    <w:rPr>
      <w:rFonts w:ascii="Lato" w:eastAsia="Times New Roman" w:hAnsi="Lato" w:cs="Times New Roman"/>
      <w:sz w:val="20"/>
      <w:szCs w:val="20"/>
      <w:lang w:eastAsia="en-AU"/>
    </w:rPr>
  </w:style>
  <w:style w:type="paragraph" w:customStyle="1" w:styleId="OutlineNumbered2">
    <w:name w:val="Outline Numbered 2"/>
    <w:basedOn w:val="Normal"/>
    <w:link w:val="OutlineNumbered2Char"/>
    <w:rsid w:val="00AA23E3"/>
    <w:pPr>
      <w:numPr>
        <w:ilvl w:val="1"/>
        <w:numId w:val="21"/>
      </w:numPr>
    </w:pPr>
    <w:rPr>
      <w:rFonts w:ascii="Lato" w:hAnsi="Lato"/>
    </w:rPr>
  </w:style>
  <w:style w:type="character" w:customStyle="1" w:styleId="OutlineNumbered2Char">
    <w:name w:val="Outline Numbered 2 Char"/>
    <w:basedOn w:val="CommentTextChar"/>
    <w:link w:val="OutlineNumbered2"/>
    <w:rsid w:val="00AA23E3"/>
    <w:rPr>
      <w:rFonts w:ascii="Lato" w:eastAsia="Times New Roman" w:hAnsi="Lato" w:cs="Times New Roman"/>
      <w:sz w:val="20"/>
      <w:szCs w:val="20"/>
      <w:lang w:eastAsia="en-AU"/>
    </w:rPr>
  </w:style>
  <w:style w:type="paragraph" w:customStyle="1" w:styleId="OutlineNumbered3">
    <w:name w:val="Outline Numbered 3"/>
    <w:basedOn w:val="Normal"/>
    <w:link w:val="OutlineNumbered3Char"/>
    <w:rsid w:val="00AA23E3"/>
    <w:pPr>
      <w:numPr>
        <w:ilvl w:val="2"/>
        <w:numId w:val="21"/>
      </w:numPr>
    </w:pPr>
    <w:rPr>
      <w:rFonts w:ascii="Lato" w:hAnsi="Lato"/>
    </w:rPr>
  </w:style>
  <w:style w:type="character" w:customStyle="1" w:styleId="OutlineNumbered3Char">
    <w:name w:val="Outline Numbered 3 Char"/>
    <w:basedOn w:val="CommentTextChar"/>
    <w:link w:val="OutlineNumbered3"/>
    <w:rsid w:val="00AA23E3"/>
    <w:rPr>
      <w:rFonts w:ascii="Lato" w:eastAsia="Times New Roman" w:hAnsi="Lato" w:cs="Times New Roman"/>
      <w:sz w:val="20"/>
      <w:szCs w:val="20"/>
      <w:lang w:eastAsia="en-AU"/>
    </w:rPr>
  </w:style>
  <w:style w:type="numbering" w:customStyle="1" w:styleId="1111111">
    <w:name w:val="1 / 1.1 / 1.1.11"/>
    <w:basedOn w:val="NoList"/>
    <w:next w:val="111111"/>
    <w:semiHidden/>
    <w:unhideWhenUsed/>
    <w:rsid w:val="009D444E"/>
    <w:pPr>
      <w:numPr>
        <w:numId w:val="22"/>
      </w:numPr>
    </w:pPr>
  </w:style>
  <w:style w:type="numbering" w:customStyle="1" w:styleId="1ai1">
    <w:name w:val="1 / a / i1"/>
    <w:basedOn w:val="NoList"/>
    <w:next w:val="1ai"/>
    <w:semiHidden/>
    <w:unhideWhenUsed/>
    <w:rsid w:val="009D444E"/>
    <w:pPr>
      <w:numPr>
        <w:numId w:val="23"/>
      </w:numPr>
    </w:pPr>
  </w:style>
  <w:style w:type="numbering" w:customStyle="1" w:styleId="ArticleSection1">
    <w:name w:val="Article / Section1"/>
    <w:basedOn w:val="NoList"/>
    <w:next w:val="ArticleSection"/>
    <w:semiHidden/>
    <w:unhideWhenUsed/>
    <w:rsid w:val="009D444E"/>
    <w:pPr>
      <w:numPr>
        <w:numId w:val="24"/>
      </w:numPr>
    </w:pPr>
  </w:style>
  <w:style w:type="table" w:customStyle="1" w:styleId="GridTable1Light1">
    <w:name w:val="Grid Table 1 Light1"/>
    <w:basedOn w:val="TableNormal"/>
    <w:next w:val="GridTable1Light"/>
    <w:uiPriority w:val="46"/>
    <w:rsid w:val="009D444E"/>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9D444E"/>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9D444E"/>
    <w:pPr>
      <w:spacing w:after="0" w:line="240" w:lineRule="auto"/>
    </w:p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9D444E"/>
    <w:pPr>
      <w:spacing w:after="0" w:line="240" w:lineRule="auto"/>
    </w:p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9D444E"/>
    <w:pPr>
      <w:spacing w:after="0" w:line="240" w:lineRule="auto"/>
    </w:p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9D444E"/>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rsid w:val="009D444E"/>
    <w:pPr>
      <w:spacing w:after="0" w:line="240" w:lineRule="auto"/>
    </w:p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rsid w:val="009D444E"/>
    <w:pPr>
      <w:spacing w:after="0" w:line="240" w:lineRule="auto"/>
    </w:p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next w:val="GridTable2-Accent1"/>
    <w:uiPriority w:val="47"/>
    <w:rsid w:val="009D444E"/>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21">
    <w:name w:val="Grid Table 2 - Accent 21"/>
    <w:basedOn w:val="TableNormal"/>
    <w:next w:val="GridTable2-Accent2"/>
    <w:uiPriority w:val="47"/>
    <w:rsid w:val="009D444E"/>
    <w:pPr>
      <w:spacing w:after="0" w:line="240" w:lineRule="auto"/>
    </w:p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31">
    <w:name w:val="Grid Table 2 - Accent 31"/>
    <w:basedOn w:val="TableNormal"/>
    <w:next w:val="GridTable2-Accent3"/>
    <w:uiPriority w:val="47"/>
    <w:rsid w:val="009D444E"/>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41">
    <w:name w:val="Grid Table 2 - Accent 41"/>
    <w:basedOn w:val="TableNormal"/>
    <w:next w:val="GridTable2-Accent4"/>
    <w:uiPriority w:val="47"/>
    <w:rsid w:val="009D444E"/>
    <w:pPr>
      <w:spacing w:after="0" w:line="240" w:lineRule="auto"/>
    </w:p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2-Accent51">
    <w:name w:val="Grid Table 2 - Accent 51"/>
    <w:basedOn w:val="TableNormal"/>
    <w:next w:val="GridTable2-Accent5"/>
    <w:uiPriority w:val="47"/>
    <w:rsid w:val="009D444E"/>
    <w:pPr>
      <w:spacing w:after="0" w:line="240" w:lineRule="auto"/>
    </w:p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61">
    <w:name w:val="Grid Table 2 - Accent 61"/>
    <w:basedOn w:val="TableNormal"/>
    <w:next w:val="GridTable2-Accent6"/>
    <w:uiPriority w:val="47"/>
    <w:rsid w:val="009D444E"/>
    <w:pPr>
      <w:spacing w:after="0" w:line="240" w:lineRule="auto"/>
    </w:p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31">
    <w:name w:val="Grid Table 31"/>
    <w:basedOn w:val="TableNormal"/>
    <w:next w:val="GridTable3"/>
    <w:uiPriority w:val="48"/>
    <w:rsid w:val="009D444E"/>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next w:val="GridTable3-Accent1"/>
    <w:uiPriority w:val="48"/>
    <w:rsid w:val="009D444E"/>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21">
    <w:name w:val="Grid Table 3 - Accent 21"/>
    <w:basedOn w:val="TableNormal"/>
    <w:next w:val="GridTable3-Accent2"/>
    <w:uiPriority w:val="48"/>
    <w:rsid w:val="009D444E"/>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1">
    <w:name w:val="Grid Table 3 - Accent 31"/>
    <w:basedOn w:val="TableNormal"/>
    <w:next w:val="GridTable3-Accent3"/>
    <w:uiPriority w:val="48"/>
    <w:rsid w:val="009D444E"/>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1">
    <w:name w:val="Grid Table 3 - Accent 41"/>
    <w:basedOn w:val="TableNormal"/>
    <w:next w:val="GridTable3-Accent4"/>
    <w:uiPriority w:val="48"/>
    <w:rsid w:val="009D444E"/>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1">
    <w:name w:val="Grid Table 3 - Accent 51"/>
    <w:basedOn w:val="TableNormal"/>
    <w:next w:val="GridTable3-Accent5"/>
    <w:uiPriority w:val="48"/>
    <w:rsid w:val="009D444E"/>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61">
    <w:name w:val="Grid Table 3 - Accent 61"/>
    <w:basedOn w:val="TableNormal"/>
    <w:next w:val="GridTable3-Accent6"/>
    <w:uiPriority w:val="48"/>
    <w:rsid w:val="009D444E"/>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1">
    <w:name w:val="Grid Table 41"/>
    <w:basedOn w:val="TableNormal"/>
    <w:next w:val="GridTable4"/>
    <w:uiPriority w:val="49"/>
    <w:rsid w:val="009D444E"/>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next w:val="GridTable4-Accent1"/>
    <w:uiPriority w:val="49"/>
    <w:rsid w:val="009D444E"/>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21">
    <w:name w:val="Grid Table 4 - Accent 21"/>
    <w:basedOn w:val="TableNormal"/>
    <w:next w:val="GridTable4-Accent2"/>
    <w:uiPriority w:val="49"/>
    <w:rsid w:val="009D444E"/>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31">
    <w:name w:val="Grid Table 4 - Accent 31"/>
    <w:basedOn w:val="TableNormal"/>
    <w:next w:val="GridTable4-Accent3"/>
    <w:uiPriority w:val="49"/>
    <w:rsid w:val="009D444E"/>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next w:val="GridTable4-Accent4"/>
    <w:uiPriority w:val="49"/>
    <w:rsid w:val="009D444E"/>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
    <w:name w:val="Grid Table 4 - Accent 51"/>
    <w:basedOn w:val="TableNormal"/>
    <w:next w:val="GridTable4-Accent5"/>
    <w:uiPriority w:val="49"/>
    <w:rsid w:val="009D444E"/>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61">
    <w:name w:val="Grid Table 4 - Accent 61"/>
    <w:basedOn w:val="TableNormal"/>
    <w:next w:val="GridTable4-Accent6"/>
    <w:uiPriority w:val="49"/>
    <w:rsid w:val="009D444E"/>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1">
    <w:name w:val="Grid Table 5 Dark1"/>
    <w:basedOn w:val="TableNormal"/>
    <w:next w:val="GridTable5Dark"/>
    <w:uiPriority w:val="50"/>
    <w:rsid w:val="009D444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21">
    <w:name w:val="Grid Table 5 Dark - Accent 21"/>
    <w:basedOn w:val="TableNormal"/>
    <w:next w:val="GridTable5Dark-Accent2"/>
    <w:uiPriority w:val="50"/>
    <w:rsid w:val="009D444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31">
    <w:name w:val="Grid Table 5 Dark - Accent 31"/>
    <w:basedOn w:val="TableNormal"/>
    <w:next w:val="GridTable5Dark-Accent3"/>
    <w:uiPriority w:val="50"/>
    <w:rsid w:val="009D444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41">
    <w:name w:val="Grid Table 5 Dark - Accent 41"/>
    <w:basedOn w:val="TableNormal"/>
    <w:next w:val="GridTable5Dark-Accent4"/>
    <w:uiPriority w:val="50"/>
    <w:rsid w:val="009D444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51">
    <w:name w:val="Grid Table 5 Dark - Accent 51"/>
    <w:basedOn w:val="TableNormal"/>
    <w:next w:val="GridTable5Dark-Accent5"/>
    <w:uiPriority w:val="50"/>
    <w:rsid w:val="009D444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61">
    <w:name w:val="Grid Table 5 Dark - Accent 61"/>
    <w:basedOn w:val="TableNormal"/>
    <w:next w:val="GridTable5Dark-Accent6"/>
    <w:uiPriority w:val="50"/>
    <w:rsid w:val="009D444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1">
    <w:name w:val="Grid Table 6 Colorful1"/>
    <w:basedOn w:val="TableNormal"/>
    <w:next w:val="GridTable6Colorful"/>
    <w:uiPriority w:val="51"/>
    <w:rsid w:val="009D444E"/>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next w:val="GridTable6Colorful-Accent1"/>
    <w:uiPriority w:val="51"/>
    <w:rsid w:val="009D444E"/>
    <w:pPr>
      <w:spacing w:after="0" w:line="240" w:lineRule="auto"/>
    </w:pPr>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21">
    <w:name w:val="Grid Table 6 Colorful - Accent 21"/>
    <w:basedOn w:val="TableNormal"/>
    <w:next w:val="GridTable6Colorful-Accent2"/>
    <w:uiPriority w:val="51"/>
    <w:rsid w:val="009D444E"/>
    <w:pPr>
      <w:spacing w:after="0" w:line="240" w:lineRule="auto"/>
    </w:pPr>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31">
    <w:name w:val="Grid Table 6 Colorful - Accent 31"/>
    <w:basedOn w:val="TableNormal"/>
    <w:next w:val="GridTable6Colorful-Accent3"/>
    <w:uiPriority w:val="51"/>
    <w:rsid w:val="009D444E"/>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41">
    <w:name w:val="Grid Table 6 Colorful - Accent 41"/>
    <w:basedOn w:val="TableNormal"/>
    <w:next w:val="GridTable6Colorful-Accent4"/>
    <w:uiPriority w:val="51"/>
    <w:rsid w:val="009D444E"/>
    <w:pPr>
      <w:spacing w:after="0" w:line="240" w:lineRule="auto"/>
    </w:pPr>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51">
    <w:name w:val="Grid Table 6 Colorful - Accent 51"/>
    <w:basedOn w:val="TableNormal"/>
    <w:next w:val="GridTable6Colorful-Accent5"/>
    <w:uiPriority w:val="51"/>
    <w:rsid w:val="009D444E"/>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61">
    <w:name w:val="Grid Table 6 Colorful - Accent 61"/>
    <w:basedOn w:val="TableNormal"/>
    <w:next w:val="GridTable6Colorful-Accent6"/>
    <w:uiPriority w:val="51"/>
    <w:rsid w:val="009D444E"/>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7Colorful1">
    <w:name w:val="Grid Table 7 Colorful1"/>
    <w:basedOn w:val="TableNormal"/>
    <w:next w:val="GridTable7Colorful"/>
    <w:uiPriority w:val="52"/>
    <w:rsid w:val="009D444E"/>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next w:val="GridTable7Colorful-Accent1"/>
    <w:uiPriority w:val="52"/>
    <w:rsid w:val="009D444E"/>
    <w:pPr>
      <w:spacing w:after="0" w:line="240" w:lineRule="auto"/>
    </w:pPr>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21">
    <w:name w:val="Grid Table 7 Colorful - Accent 21"/>
    <w:basedOn w:val="TableNormal"/>
    <w:next w:val="GridTable7Colorful-Accent2"/>
    <w:uiPriority w:val="52"/>
    <w:rsid w:val="009D444E"/>
    <w:pPr>
      <w:spacing w:after="0" w:line="240" w:lineRule="auto"/>
    </w:pPr>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1">
    <w:name w:val="Grid Table 7 Colorful - Accent 31"/>
    <w:basedOn w:val="TableNormal"/>
    <w:next w:val="GridTable7Colorful-Accent3"/>
    <w:uiPriority w:val="52"/>
    <w:rsid w:val="009D444E"/>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1">
    <w:name w:val="Grid Table 7 Colorful - Accent 41"/>
    <w:basedOn w:val="TableNormal"/>
    <w:next w:val="GridTable7Colorful-Accent4"/>
    <w:uiPriority w:val="52"/>
    <w:rsid w:val="009D444E"/>
    <w:pPr>
      <w:spacing w:after="0" w:line="240" w:lineRule="auto"/>
    </w:pPr>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1">
    <w:name w:val="Grid Table 7 Colorful - Accent 51"/>
    <w:basedOn w:val="TableNormal"/>
    <w:next w:val="GridTable7Colorful-Accent5"/>
    <w:uiPriority w:val="52"/>
    <w:rsid w:val="009D444E"/>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61">
    <w:name w:val="Grid Table 7 Colorful - Accent 61"/>
    <w:basedOn w:val="TableNormal"/>
    <w:next w:val="GridTable7Colorful-Accent6"/>
    <w:uiPriority w:val="52"/>
    <w:rsid w:val="009D444E"/>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Hashtag1">
    <w:name w:val="Hashtag1"/>
    <w:basedOn w:val="DefaultParagraphFont"/>
    <w:uiPriority w:val="99"/>
    <w:semiHidden/>
    <w:unhideWhenUsed/>
    <w:rsid w:val="009D444E"/>
    <w:rPr>
      <w:color w:val="2B579A"/>
      <w:shd w:val="clear" w:color="auto" w:fill="E1DFDD"/>
    </w:rPr>
  </w:style>
  <w:style w:type="table" w:customStyle="1" w:styleId="ListTable1Light1">
    <w:name w:val="List Table 1 Light1"/>
    <w:basedOn w:val="TableNormal"/>
    <w:next w:val="ListTable1Light"/>
    <w:uiPriority w:val="46"/>
    <w:rsid w:val="009D444E"/>
    <w:pPr>
      <w:spacing w:after="0" w:line="240" w:lineRule="auto"/>
    </w:p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next w:val="ListTable1Light-Accent1"/>
    <w:uiPriority w:val="46"/>
    <w:rsid w:val="009D444E"/>
    <w:pPr>
      <w:spacing w:after="0" w:line="240" w:lineRule="auto"/>
    </w:p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21">
    <w:name w:val="List Table 1 Light - Accent 21"/>
    <w:basedOn w:val="TableNormal"/>
    <w:next w:val="ListTable1Light-Accent2"/>
    <w:uiPriority w:val="46"/>
    <w:rsid w:val="009D444E"/>
    <w:pPr>
      <w:spacing w:after="0" w:line="240" w:lineRule="auto"/>
    </w:p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
    <w:name w:val="List Table 1 Light - Accent 31"/>
    <w:basedOn w:val="TableNormal"/>
    <w:next w:val="ListTable1Light-Accent3"/>
    <w:uiPriority w:val="46"/>
    <w:rsid w:val="009D444E"/>
    <w:pPr>
      <w:spacing w:after="0" w:line="240" w:lineRule="auto"/>
    </w:p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
    <w:name w:val="List Table 1 Light - Accent 41"/>
    <w:basedOn w:val="TableNormal"/>
    <w:next w:val="ListTable1Light-Accent4"/>
    <w:uiPriority w:val="46"/>
    <w:rsid w:val="009D444E"/>
    <w:pPr>
      <w:spacing w:after="0" w:line="240" w:lineRule="auto"/>
    </w:p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
    <w:name w:val="List Table 1 Light - Accent 51"/>
    <w:basedOn w:val="TableNormal"/>
    <w:next w:val="ListTable1Light-Accent5"/>
    <w:uiPriority w:val="46"/>
    <w:rsid w:val="009D444E"/>
    <w:pPr>
      <w:spacing w:after="0" w:line="240" w:lineRule="auto"/>
    </w:p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61">
    <w:name w:val="List Table 1 Light - Accent 61"/>
    <w:basedOn w:val="TableNormal"/>
    <w:next w:val="ListTable1Light-Accent6"/>
    <w:uiPriority w:val="46"/>
    <w:rsid w:val="009D444E"/>
    <w:pPr>
      <w:spacing w:after="0" w:line="240" w:lineRule="auto"/>
    </w:p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
    <w:name w:val="List Table 21"/>
    <w:basedOn w:val="TableNormal"/>
    <w:next w:val="ListTable2"/>
    <w:uiPriority w:val="47"/>
    <w:rsid w:val="009D444E"/>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next w:val="ListTable2-Accent1"/>
    <w:uiPriority w:val="47"/>
    <w:rsid w:val="009D444E"/>
    <w:pPr>
      <w:spacing w:after="0" w:line="240" w:lineRule="auto"/>
    </w:p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21">
    <w:name w:val="List Table 2 - Accent 21"/>
    <w:basedOn w:val="TableNormal"/>
    <w:next w:val="ListTable2-Accent2"/>
    <w:uiPriority w:val="47"/>
    <w:rsid w:val="009D444E"/>
    <w:pPr>
      <w:spacing w:after="0" w:line="240" w:lineRule="auto"/>
    </w:p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
    <w:name w:val="List Table 2 - Accent 31"/>
    <w:basedOn w:val="TableNormal"/>
    <w:next w:val="ListTable2-Accent3"/>
    <w:uiPriority w:val="47"/>
    <w:rsid w:val="009D444E"/>
    <w:pPr>
      <w:spacing w:after="0" w:line="240" w:lineRule="auto"/>
    </w:p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
    <w:name w:val="List Table 2 - Accent 41"/>
    <w:basedOn w:val="TableNormal"/>
    <w:next w:val="ListTable2-Accent4"/>
    <w:uiPriority w:val="47"/>
    <w:rsid w:val="009D444E"/>
    <w:pPr>
      <w:spacing w:after="0" w:line="240" w:lineRule="auto"/>
    </w:p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
    <w:name w:val="List Table 2 - Accent 51"/>
    <w:basedOn w:val="TableNormal"/>
    <w:next w:val="ListTable2-Accent5"/>
    <w:uiPriority w:val="47"/>
    <w:rsid w:val="009D444E"/>
    <w:pPr>
      <w:spacing w:after="0" w:line="240" w:lineRule="auto"/>
    </w:p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61">
    <w:name w:val="List Table 2 - Accent 61"/>
    <w:basedOn w:val="TableNormal"/>
    <w:next w:val="ListTable2-Accent6"/>
    <w:uiPriority w:val="47"/>
    <w:rsid w:val="009D444E"/>
    <w:pPr>
      <w:spacing w:after="0" w:line="240" w:lineRule="auto"/>
    </w:p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1">
    <w:name w:val="List Table 31"/>
    <w:basedOn w:val="TableNormal"/>
    <w:next w:val="ListTable3"/>
    <w:uiPriority w:val="48"/>
    <w:rsid w:val="009D444E"/>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21">
    <w:name w:val="List Table 3 - Accent 21"/>
    <w:basedOn w:val="TableNormal"/>
    <w:next w:val="ListTable3-Accent2"/>
    <w:uiPriority w:val="48"/>
    <w:rsid w:val="009D444E"/>
    <w:pPr>
      <w:spacing w:after="0" w:line="240" w:lineRule="auto"/>
    </w:p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1">
    <w:name w:val="List Table 3 - Accent 31"/>
    <w:basedOn w:val="TableNormal"/>
    <w:next w:val="ListTable3-Accent3"/>
    <w:uiPriority w:val="48"/>
    <w:rsid w:val="009D444E"/>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1">
    <w:name w:val="List Table 3 - Accent 41"/>
    <w:basedOn w:val="TableNormal"/>
    <w:next w:val="ListTable3-Accent4"/>
    <w:uiPriority w:val="48"/>
    <w:rsid w:val="009D444E"/>
    <w:pPr>
      <w:spacing w:after="0" w:line="240" w:lineRule="auto"/>
    </w:p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1">
    <w:name w:val="List Table 3 - Accent 51"/>
    <w:basedOn w:val="TableNormal"/>
    <w:next w:val="ListTable3-Accent5"/>
    <w:uiPriority w:val="48"/>
    <w:rsid w:val="009D444E"/>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41">
    <w:name w:val="List Table 41"/>
    <w:basedOn w:val="TableNormal"/>
    <w:next w:val="ListTable4"/>
    <w:uiPriority w:val="49"/>
    <w:rsid w:val="009D444E"/>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next w:val="ListTable4-Accent1"/>
    <w:uiPriority w:val="49"/>
    <w:rsid w:val="009D444E"/>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1">
    <w:name w:val="List Table 4 - Accent 21"/>
    <w:basedOn w:val="TableNormal"/>
    <w:next w:val="ListTable4-Accent2"/>
    <w:uiPriority w:val="49"/>
    <w:rsid w:val="009D444E"/>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4-Accent31">
    <w:name w:val="List Table 4 - Accent 31"/>
    <w:basedOn w:val="TableNormal"/>
    <w:next w:val="ListTable4-Accent3"/>
    <w:uiPriority w:val="49"/>
    <w:rsid w:val="009D444E"/>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41">
    <w:name w:val="List Table 4 - Accent 41"/>
    <w:basedOn w:val="TableNormal"/>
    <w:next w:val="ListTable4-Accent4"/>
    <w:uiPriority w:val="49"/>
    <w:rsid w:val="009D444E"/>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
    <w:name w:val="List Table 4 - Accent 51"/>
    <w:basedOn w:val="TableNormal"/>
    <w:next w:val="ListTable4-Accent5"/>
    <w:uiPriority w:val="49"/>
    <w:rsid w:val="009D444E"/>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61">
    <w:name w:val="List Table 4 - Accent 61"/>
    <w:basedOn w:val="TableNormal"/>
    <w:next w:val="ListTable4-Accent6"/>
    <w:uiPriority w:val="49"/>
    <w:rsid w:val="009D444E"/>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5Dark1">
    <w:name w:val="List Table 5 Dark1"/>
    <w:basedOn w:val="TableNormal"/>
    <w:next w:val="ListTable5Dark"/>
    <w:uiPriority w:val="50"/>
    <w:rsid w:val="009D444E"/>
    <w:pPr>
      <w:spacing w:after="0" w:line="240" w:lineRule="auto"/>
    </w:pPr>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uiPriority w:val="50"/>
    <w:rsid w:val="009D444E"/>
    <w:pPr>
      <w:spacing w:after="0" w:line="240" w:lineRule="auto"/>
    </w:pPr>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uiPriority w:val="50"/>
    <w:rsid w:val="009D444E"/>
    <w:pPr>
      <w:spacing w:after="0" w:line="240" w:lineRule="auto"/>
    </w:pPr>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uiPriority w:val="50"/>
    <w:rsid w:val="009D444E"/>
    <w:pPr>
      <w:spacing w:after="0" w:line="240" w:lineRule="auto"/>
    </w:pPr>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uiPriority w:val="50"/>
    <w:rsid w:val="009D444E"/>
    <w:pPr>
      <w:spacing w:after="0" w:line="240" w:lineRule="auto"/>
    </w:pPr>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uiPriority w:val="50"/>
    <w:rsid w:val="009D444E"/>
    <w:pPr>
      <w:spacing w:after="0" w:line="240" w:lineRule="auto"/>
    </w:pPr>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uiPriority w:val="50"/>
    <w:rsid w:val="009D444E"/>
    <w:pPr>
      <w:spacing w:after="0" w:line="240" w:lineRule="auto"/>
    </w:pPr>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uiPriority w:val="51"/>
    <w:rsid w:val="009D444E"/>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next w:val="ListTable6Colorful-Accent1"/>
    <w:uiPriority w:val="51"/>
    <w:rsid w:val="009D444E"/>
    <w:pPr>
      <w:spacing w:after="0" w:line="240" w:lineRule="auto"/>
    </w:pPr>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21">
    <w:name w:val="List Table 6 Colorful - Accent 21"/>
    <w:basedOn w:val="TableNormal"/>
    <w:next w:val="ListTable6Colorful-Accent2"/>
    <w:uiPriority w:val="51"/>
    <w:rsid w:val="009D444E"/>
    <w:pPr>
      <w:spacing w:after="0" w:line="240" w:lineRule="auto"/>
    </w:pPr>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31">
    <w:name w:val="List Table 6 Colorful - Accent 31"/>
    <w:basedOn w:val="TableNormal"/>
    <w:next w:val="ListTable6Colorful-Accent3"/>
    <w:uiPriority w:val="51"/>
    <w:rsid w:val="009D444E"/>
    <w:pPr>
      <w:spacing w:after="0" w:line="240" w:lineRule="auto"/>
    </w:pPr>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Accent41">
    <w:name w:val="List Table 6 Colorful - Accent 41"/>
    <w:basedOn w:val="TableNormal"/>
    <w:next w:val="ListTable6Colorful-Accent4"/>
    <w:uiPriority w:val="51"/>
    <w:rsid w:val="009D444E"/>
    <w:pPr>
      <w:spacing w:after="0" w:line="240" w:lineRule="auto"/>
    </w:pPr>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next w:val="ListTable6Colorful-Accent5"/>
    <w:uiPriority w:val="51"/>
    <w:rsid w:val="009D444E"/>
    <w:pPr>
      <w:spacing w:after="0" w:line="240" w:lineRule="auto"/>
    </w:pPr>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61">
    <w:name w:val="List Table 6 Colorful - Accent 61"/>
    <w:basedOn w:val="TableNormal"/>
    <w:next w:val="ListTable6Colorful-Accent6"/>
    <w:uiPriority w:val="51"/>
    <w:rsid w:val="009D444E"/>
    <w:pPr>
      <w:spacing w:after="0" w:line="240" w:lineRule="auto"/>
    </w:pPr>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7Colorful1">
    <w:name w:val="List Table 7 Colorful1"/>
    <w:basedOn w:val="TableNormal"/>
    <w:next w:val="ListTable7Colorful"/>
    <w:uiPriority w:val="52"/>
    <w:rsid w:val="009D444E"/>
    <w:pPr>
      <w:spacing w:after="0" w:line="240" w:lineRule="auto"/>
    </w:pPr>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next w:val="ListTable7Colorful-Accent1"/>
    <w:uiPriority w:val="52"/>
    <w:rsid w:val="009D444E"/>
    <w:pPr>
      <w:spacing w:after="0" w:line="240" w:lineRule="auto"/>
    </w:pPr>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next w:val="ListTable7Colorful-Accent2"/>
    <w:uiPriority w:val="52"/>
    <w:rsid w:val="009D444E"/>
    <w:pPr>
      <w:spacing w:after="0" w:line="240" w:lineRule="auto"/>
    </w:pPr>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next w:val="ListTable7Colorful-Accent3"/>
    <w:uiPriority w:val="52"/>
    <w:rsid w:val="009D444E"/>
    <w:pPr>
      <w:spacing w:after="0" w:line="240" w:lineRule="auto"/>
    </w:pPr>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uiPriority w:val="52"/>
    <w:rsid w:val="009D444E"/>
    <w:pPr>
      <w:spacing w:after="0" w:line="240" w:lineRule="auto"/>
    </w:pPr>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next w:val="ListTable7Colorful-Accent5"/>
    <w:uiPriority w:val="52"/>
    <w:rsid w:val="009D444E"/>
    <w:pPr>
      <w:spacing w:after="0" w:line="240" w:lineRule="auto"/>
    </w:pPr>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next w:val="ListTable7Colorful-Accent6"/>
    <w:uiPriority w:val="52"/>
    <w:rsid w:val="009D444E"/>
    <w:pPr>
      <w:spacing w:after="0" w:line="240" w:lineRule="auto"/>
    </w:pPr>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9D444E"/>
    <w:rPr>
      <w:color w:val="2B579A"/>
      <w:shd w:val="clear" w:color="auto" w:fill="E1DFDD"/>
    </w:rPr>
  </w:style>
  <w:style w:type="table" w:customStyle="1" w:styleId="PlainTable11">
    <w:name w:val="Plain Table 11"/>
    <w:basedOn w:val="TableNormal"/>
    <w:next w:val="PlainTable1"/>
    <w:uiPriority w:val="41"/>
    <w:rsid w:val="009D444E"/>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uiPriority w:val="42"/>
    <w:rsid w:val="009D444E"/>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uiPriority w:val="43"/>
    <w:rsid w:val="009D444E"/>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9D44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uiPriority w:val="45"/>
    <w:rsid w:val="009D444E"/>
    <w:pPr>
      <w:spacing w:after="0" w:line="240" w:lineRule="auto"/>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9D444E"/>
    <w:rPr>
      <w:u w:val="dotted"/>
    </w:rPr>
  </w:style>
  <w:style w:type="character" w:customStyle="1" w:styleId="SmartLink1">
    <w:name w:val="SmartLink1"/>
    <w:basedOn w:val="DefaultParagraphFont"/>
    <w:uiPriority w:val="99"/>
    <w:semiHidden/>
    <w:unhideWhenUsed/>
    <w:rsid w:val="009D444E"/>
    <w:rPr>
      <w:color w:val="0563C1"/>
      <w:u w:val="single"/>
      <w:shd w:val="clear" w:color="auto" w:fill="E1DFDD"/>
    </w:rPr>
  </w:style>
  <w:style w:type="character" w:customStyle="1" w:styleId="SmartLinkError">
    <w:name w:val="Smart Link Error"/>
    <w:basedOn w:val="DefaultParagraphFont"/>
    <w:uiPriority w:val="99"/>
    <w:semiHidden/>
    <w:unhideWhenUsed/>
    <w:rsid w:val="009D444E"/>
    <w:rPr>
      <w:color w:val="FF0000"/>
    </w:rPr>
  </w:style>
  <w:style w:type="table" w:customStyle="1" w:styleId="TableGridLight1">
    <w:name w:val="Table Grid Light1"/>
    <w:basedOn w:val="TableNormal"/>
    <w:next w:val="TableGridLight"/>
    <w:uiPriority w:val="40"/>
    <w:rsid w:val="009D444E"/>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ullet">
    <w:name w:val="Bullet"/>
    <w:basedOn w:val="Normal"/>
    <w:link w:val="BulletChar"/>
    <w:rsid w:val="00F901EF"/>
    <w:pPr>
      <w:numPr>
        <w:numId w:val="25"/>
      </w:numPr>
    </w:pPr>
  </w:style>
  <w:style w:type="table" w:customStyle="1" w:styleId="TableGrid10">
    <w:name w:val="Table Grid1"/>
    <w:basedOn w:val="TableNormal"/>
    <w:next w:val="TableGrid"/>
    <w:rsid w:val="009D444E"/>
    <w:pPr>
      <w:spacing w:before="120" w:after="120" w:line="280" w:lineRule="atLeast"/>
    </w:pPr>
    <w:rPr>
      <w:rFonts w:ascii="Arial"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parkeHelmoreTable1">
    <w:name w:val="Sparke Helmore Table1"/>
    <w:basedOn w:val="TableNormal"/>
    <w:rsid w:val="009D444E"/>
    <w:pPr>
      <w:spacing w:before="120" w:after="120" w:line="280" w:lineRule="atLeast"/>
    </w:pPr>
    <w:rPr>
      <w:rFonts w:ascii="Arial"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customStyle="1" w:styleId="ColorfulGrid1">
    <w:name w:val="Colorful Grid1"/>
    <w:basedOn w:val="TableNormal"/>
    <w:next w:val="ColorfulGrid"/>
    <w:uiPriority w:val="73"/>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next w:val="ColorfulList"/>
    <w:uiPriority w:val="72"/>
    <w:rsid w:val="009D444E"/>
    <w:pPr>
      <w:spacing w:before="120" w:after="120" w:line="280" w:lineRule="atLeast"/>
    </w:pPr>
    <w:rPr>
      <w:rFonts w:ascii="Arial" w:hAnsi="Arial" w:cs="Times New Roman"/>
      <w:color w:val="000000"/>
      <w:sz w:val="20"/>
      <w:szCs w:val="20"/>
      <w:lang w:eastAsia="en-A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9D444E"/>
    <w:pPr>
      <w:spacing w:before="120" w:after="120" w:line="280" w:lineRule="atLeast"/>
    </w:pPr>
    <w:rPr>
      <w:rFonts w:ascii="Arial" w:hAnsi="Arial" w:cs="Times New Roman"/>
      <w:color w:val="000000"/>
      <w:sz w:val="20"/>
      <w:szCs w:val="20"/>
      <w:lang w:eastAsia="en-AU"/>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9D444E"/>
    <w:pPr>
      <w:spacing w:before="120" w:after="120" w:line="280" w:lineRule="atLeast"/>
    </w:pPr>
    <w:rPr>
      <w:rFonts w:ascii="Arial" w:hAnsi="Arial" w:cs="Times New Roman"/>
      <w:color w:val="000000"/>
      <w:sz w:val="20"/>
      <w:szCs w:val="20"/>
      <w:lang w:eastAsia="en-AU"/>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9D444E"/>
    <w:pPr>
      <w:spacing w:before="120" w:after="120" w:line="280" w:lineRule="atLeast"/>
    </w:pPr>
    <w:rPr>
      <w:rFonts w:ascii="Arial" w:hAnsi="Arial" w:cs="Times New Roman"/>
      <w:color w:val="000000"/>
      <w:sz w:val="20"/>
      <w:szCs w:val="20"/>
      <w:lang w:eastAsia="en-AU"/>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9D444E"/>
    <w:pPr>
      <w:spacing w:before="120" w:after="120" w:line="280" w:lineRule="atLeast"/>
    </w:pPr>
    <w:rPr>
      <w:rFonts w:ascii="Arial" w:hAnsi="Arial" w:cs="Times New Roman"/>
      <w:color w:val="000000"/>
      <w:sz w:val="20"/>
      <w:szCs w:val="20"/>
      <w:lang w:eastAsia="en-AU"/>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9D444E"/>
    <w:pPr>
      <w:spacing w:before="120" w:after="120" w:line="280" w:lineRule="atLeast"/>
    </w:pPr>
    <w:rPr>
      <w:rFonts w:ascii="Arial" w:hAnsi="Arial" w:cs="Times New Roman"/>
      <w:color w:val="000000"/>
      <w:sz w:val="20"/>
      <w:szCs w:val="20"/>
      <w:lang w:eastAsia="en-AU"/>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9D444E"/>
    <w:pPr>
      <w:spacing w:before="120" w:after="120" w:line="280" w:lineRule="atLeast"/>
    </w:pPr>
    <w:rPr>
      <w:rFonts w:ascii="Arial" w:hAnsi="Arial" w:cs="Times New Roman"/>
      <w:color w:val="000000"/>
      <w:sz w:val="20"/>
      <w:szCs w:val="20"/>
      <w:lang w:eastAsia="en-AU"/>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next w:val="ColorfulShading"/>
    <w:uiPriority w:val="71"/>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rsid w:val="009D444E"/>
    <w:pPr>
      <w:spacing w:before="120" w:after="120" w:line="280" w:lineRule="atLeast"/>
    </w:pPr>
    <w:rPr>
      <w:rFonts w:ascii="Arial" w:hAnsi="Arial" w:cs="Times New Roman"/>
      <w:color w:val="FFFFFF"/>
      <w:sz w:val="20"/>
      <w:szCs w:val="20"/>
      <w:lang w:eastAsia="en-A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9D444E"/>
    <w:pPr>
      <w:spacing w:before="120" w:after="120" w:line="280" w:lineRule="atLeast"/>
    </w:pPr>
    <w:rPr>
      <w:rFonts w:ascii="Arial" w:hAnsi="Arial" w:cs="Times New Roman"/>
      <w:color w:val="FFFFFF"/>
      <w:sz w:val="20"/>
      <w:szCs w:val="20"/>
      <w:lang w:eastAsia="en-AU"/>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9D444E"/>
    <w:pPr>
      <w:spacing w:before="120" w:after="120" w:line="280" w:lineRule="atLeast"/>
    </w:pPr>
    <w:rPr>
      <w:rFonts w:ascii="Arial" w:hAnsi="Arial" w:cs="Times New Roman"/>
      <w:color w:val="FFFFFF"/>
      <w:sz w:val="20"/>
      <w:szCs w:val="20"/>
      <w:lang w:eastAsia="en-AU"/>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9D444E"/>
    <w:pPr>
      <w:spacing w:before="120" w:after="120" w:line="280" w:lineRule="atLeast"/>
    </w:pPr>
    <w:rPr>
      <w:rFonts w:ascii="Arial" w:hAnsi="Arial" w:cs="Times New Roman"/>
      <w:color w:val="FFFFFF"/>
      <w:sz w:val="20"/>
      <w:szCs w:val="20"/>
      <w:lang w:eastAsia="en-AU"/>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9D444E"/>
    <w:pPr>
      <w:spacing w:before="120" w:after="120" w:line="280" w:lineRule="atLeast"/>
    </w:pPr>
    <w:rPr>
      <w:rFonts w:ascii="Arial" w:hAnsi="Arial" w:cs="Times New Roman"/>
      <w:color w:val="FFFFFF"/>
      <w:sz w:val="20"/>
      <w:szCs w:val="20"/>
      <w:lang w:eastAsia="en-AU"/>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9D444E"/>
    <w:pPr>
      <w:spacing w:before="120" w:after="120" w:line="280" w:lineRule="atLeast"/>
    </w:pPr>
    <w:rPr>
      <w:rFonts w:ascii="Arial" w:hAnsi="Arial" w:cs="Times New Roman"/>
      <w:color w:val="FFFFFF"/>
      <w:sz w:val="20"/>
      <w:szCs w:val="20"/>
      <w:lang w:eastAsia="en-AU"/>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9D444E"/>
    <w:pPr>
      <w:spacing w:before="120" w:after="120" w:line="280" w:lineRule="atLeast"/>
    </w:pPr>
    <w:rPr>
      <w:rFonts w:ascii="Arial" w:hAnsi="Arial" w:cs="Times New Roman"/>
      <w:color w:val="FFFFFF"/>
      <w:sz w:val="20"/>
      <w:szCs w:val="20"/>
      <w:lang w:eastAsia="en-AU"/>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ghtGrid1">
    <w:name w:val="Light Grid1"/>
    <w:basedOn w:val="TableNormal"/>
    <w:next w:val="LightGrid"/>
    <w:uiPriority w:val="62"/>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imSun-ExtB" w:eastAsia="SimSun" w:hAnsi="SimSun-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imSun-ExtB" w:eastAsia="SimSun" w:hAnsi="SimSun-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imSun-ExtB" w:eastAsia="SimSun" w:hAnsi="SimSun-ExtB" w:cs="Times New Roman"/>
        <w:b/>
        <w:bCs/>
      </w:rPr>
    </w:tblStylePr>
    <w:tblStylePr w:type="lastCol">
      <w:rPr>
        <w:rFonts w:ascii="SimSun-ExtB" w:eastAsia="SimSun" w:hAnsi="SimSun-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imSun-ExtB" w:eastAsia="SimSun" w:hAnsi="SimSun-ExtB"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imSun-ExtB" w:eastAsia="SimSun" w:hAnsi="SimSun-ExtB"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imSun-ExtB" w:eastAsia="SimSun" w:hAnsi="SimSun-ExtB" w:cs="Times New Roman"/>
        <w:b/>
        <w:bCs/>
      </w:rPr>
    </w:tblStylePr>
    <w:tblStylePr w:type="lastCol">
      <w:rPr>
        <w:rFonts w:ascii="SimSun-ExtB" w:eastAsia="SimSun" w:hAnsi="SimSun-ExtB"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imSun-ExtB" w:eastAsia="SimSun" w:hAnsi="SimSun-ExtB"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imSun-ExtB" w:eastAsia="SimSun" w:hAnsi="SimSun-ExtB"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imSun-ExtB" w:eastAsia="SimSun" w:hAnsi="SimSun-ExtB" w:cs="Times New Roman"/>
        <w:b/>
        <w:bCs/>
      </w:rPr>
    </w:tblStylePr>
    <w:tblStylePr w:type="lastCol">
      <w:rPr>
        <w:rFonts w:ascii="SimSun-ExtB" w:eastAsia="SimSun" w:hAnsi="SimSun-ExtB"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imSun-ExtB" w:eastAsia="SimSun" w:hAnsi="SimSun-ExtB"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imSun-ExtB" w:eastAsia="SimSun" w:hAnsi="SimSun-ExtB"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imSun-ExtB" w:eastAsia="SimSun" w:hAnsi="SimSun-ExtB" w:cs="Times New Roman"/>
        <w:b/>
        <w:bCs/>
      </w:rPr>
    </w:tblStylePr>
    <w:tblStylePr w:type="lastCol">
      <w:rPr>
        <w:rFonts w:ascii="SimSun-ExtB" w:eastAsia="SimSun" w:hAnsi="SimSun-ExtB"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imSun-ExtB" w:eastAsia="SimSun" w:hAnsi="SimSun-ExtB"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imSun-ExtB" w:eastAsia="SimSun" w:hAnsi="SimSun-ExtB"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imSun-ExtB" w:eastAsia="SimSun" w:hAnsi="SimSun-ExtB" w:cs="Times New Roman"/>
        <w:b/>
        <w:bCs/>
      </w:rPr>
    </w:tblStylePr>
    <w:tblStylePr w:type="lastCol">
      <w:rPr>
        <w:rFonts w:ascii="SimSun-ExtB" w:eastAsia="SimSun" w:hAnsi="SimSun-ExtB"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imSun-ExtB" w:eastAsia="SimSun" w:hAnsi="SimSun-ExtB"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Sun-ExtB" w:eastAsia="SimSun" w:hAnsi="SimSun-ExtB"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Sun-ExtB" w:eastAsia="SimSun" w:hAnsi="SimSun-ExtB" w:cs="Times New Roman"/>
        <w:b/>
        <w:bCs/>
      </w:rPr>
    </w:tblStylePr>
    <w:tblStylePr w:type="lastCol">
      <w:rPr>
        <w:rFonts w:ascii="SimSun-ExtB" w:eastAsia="SimSun" w:hAnsi="SimSun-ExtB"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imSun-ExtB" w:eastAsia="SimSun" w:hAnsi="SimSun-ExtB"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imSun-ExtB" w:eastAsia="SimSun" w:hAnsi="SimSun-ExtB"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Sun-ExtB" w:eastAsia="SimSun" w:hAnsi="SimSun-ExtB" w:cs="Times New Roman"/>
        <w:b/>
        <w:bCs/>
      </w:rPr>
    </w:tblStylePr>
    <w:tblStylePr w:type="lastCol">
      <w:rPr>
        <w:rFonts w:ascii="SimSun-ExtB" w:eastAsia="SimSun" w:hAnsi="SimSun-ExtB"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next w:val="LightList"/>
    <w:uiPriority w:val="61"/>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next w:val="LightShading"/>
    <w:uiPriority w:val="60"/>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9D444E"/>
    <w:pPr>
      <w:spacing w:before="120" w:after="120" w:line="280" w:lineRule="atLeast"/>
    </w:pPr>
    <w:rPr>
      <w:rFonts w:ascii="Arial" w:hAnsi="Arial" w:cs="Times New Roman"/>
      <w:color w:val="365F91"/>
      <w:sz w:val="20"/>
      <w:szCs w:val="20"/>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9D444E"/>
    <w:pPr>
      <w:spacing w:before="120" w:after="120" w:line="280" w:lineRule="atLeast"/>
    </w:pPr>
    <w:rPr>
      <w:rFonts w:ascii="Arial" w:hAnsi="Arial" w:cs="Times New Roman"/>
      <w:color w:val="943634"/>
      <w:sz w:val="20"/>
      <w:szCs w:val="20"/>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9D444E"/>
    <w:pPr>
      <w:spacing w:before="120" w:after="120" w:line="280" w:lineRule="atLeast"/>
    </w:pPr>
    <w:rPr>
      <w:rFonts w:ascii="Arial" w:hAnsi="Arial" w:cs="Times New Roman"/>
      <w:color w:val="76923C"/>
      <w:sz w:val="20"/>
      <w:szCs w:val="20"/>
      <w:lang w:eastAsia="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9D444E"/>
    <w:pPr>
      <w:spacing w:before="120" w:after="120" w:line="280" w:lineRule="atLeast"/>
    </w:pPr>
    <w:rPr>
      <w:rFonts w:ascii="Arial" w:hAnsi="Arial" w:cs="Times New Roman"/>
      <w:color w:val="5F497A"/>
      <w:sz w:val="20"/>
      <w:szCs w:val="20"/>
      <w:lang w:eastAsia="en-A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9D444E"/>
    <w:pPr>
      <w:spacing w:before="120" w:after="120" w:line="280" w:lineRule="atLeast"/>
    </w:pPr>
    <w:rPr>
      <w:rFonts w:ascii="Arial" w:hAnsi="Arial" w:cs="Times New Roman"/>
      <w:color w:val="31849B"/>
      <w:sz w:val="20"/>
      <w:szCs w:val="20"/>
      <w:lang w:eastAsia="en-A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9D444E"/>
    <w:pPr>
      <w:spacing w:before="120" w:after="120" w:line="280" w:lineRule="atLeast"/>
    </w:pPr>
    <w:rPr>
      <w:rFonts w:ascii="Arial" w:hAnsi="Arial" w:cs="Times New Roman"/>
      <w:color w:val="E36C0A"/>
      <w:sz w:val="20"/>
      <w:szCs w:val="20"/>
      <w:lang w:eastAsia="en-A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1">
    <w:name w:val="Medium Grid 11"/>
    <w:basedOn w:val="TableNormal"/>
    <w:next w:val="MediumGrid1"/>
    <w:uiPriority w:val="67"/>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9D444E"/>
    <w:pPr>
      <w:spacing w:before="120" w:after="120" w:line="280" w:lineRule="atLeast"/>
    </w:pPr>
    <w:rPr>
      <w:rFonts w:ascii="Cambria" w:eastAsia="SimSun" w:hAnsi="Cambria" w:cs="Times New Roman"/>
      <w:color w:val="000000"/>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9D444E"/>
    <w:pPr>
      <w:spacing w:before="120" w:after="120" w:line="280" w:lineRule="atLeast"/>
    </w:pPr>
    <w:rPr>
      <w:rFonts w:ascii="Cambria" w:eastAsia="SimSun" w:hAnsi="Cambria" w:cs="Times New Roman"/>
      <w:color w:val="000000"/>
      <w:sz w:val="20"/>
      <w:szCs w:val="20"/>
      <w:lang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9D444E"/>
    <w:pPr>
      <w:spacing w:before="120" w:after="120" w:line="280" w:lineRule="atLeast"/>
    </w:pPr>
    <w:rPr>
      <w:rFonts w:ascii="Cambria" w:eastAsia="SimSun" w:hAnsi="Cambria" w:cs="Times New Roman"/>
      <w:color w:val="000000"/>
      <w:sz w:val="20"/>
      <w:szCs w:val="20"/>
      <w:lang w:eastAsia="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9D444E"/>
    <w:pPr>
      <w:spacing w:before="120" w:after="120" w:line="280" w:lineRule="atLeast"/>
    </w:pPr>
    <w:rPr>
      <w:rFonts w:ascii="Cambria" w:eastAsia="SimSun" w:hAnsi="Cambria" w:cs="Times New Roman"/>
      <w:color w:val="000000"/>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9D444E"/>
    <w:pPr>
      <w:spacing w:before="120" w:after="120" w:line="280" w:lineRule="atLeast"/>
    </w:pPr>
    <w:rPr>
      <w:rFonts w:ascii="Cambria" w:eastAsia="SimSun" w:hAnsi="Cambria" w:cs="Times New Roman"/>
      <w:color w:val="000000"/>
      <w:sz w:val="20"/>
      <w:szCs w:val="20"/>
      <w:lang w:eastAsia="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9D444E"/>
    <w:pPr>
      <w:spacing w:before="120" w:after="120" w:line="280" w:lineRule="atLeast"/>
    </w:pPr>
    <w:rPr>
      <w:rFonts w:ascii="Cambria" w:eastAsia="SimSun" w:hAnsi="Cambria" w:cs="Times New Roman"/>
      <w:color w:val="000000"/>
      <w:sz w:val="20"/>
      <w:szCs w:val="20"/>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9D444E"/>
    <w:pPr>
      <w:spacing w:before="120" w:after="120" w:line="280" w:lineRule="atLeast"/>
    </w:pPr>
    <w:rPr>
      <w:rFonts w:ascii="Cambria" w:eastAsia="SimSun" w:hAnsi="Cambria" w:cs="Times New Roman"/>
      <w:color w:val="000000"/>
      <w:sz w:val="20"/>
      <w:szCs w:val="20"/>
      <w:lang w:eastAsia="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next w:val="MediumList1"/>
    <w:uiPriority w:val="65"/>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rPr>
        <w:rFonts w:ascii="SimSun-ExtB" w:eastAsia="SimSun" w:hAnsi="SimSun-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top w:val="single" w:sz="8" w:space="0" w:color="4F81BD"/>
        <w:bottom w:val="single" w:sz="8" w:space="0" w:color="4F81BD"/>
      </w:tblBorders>
    </w:tblPr>
    <w:tblStylePr w:type="firstRow">
      <w:rPr>
        <w:rFonts w:ascii="SimSun-ExtB" w:eastAsia="SimSun" w:hAnsi="SimSun-ExtB"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top w:val="single" w:sz="8" w:space="0" w:color="C0504D"/>
        <w:bottom w:val="single" w:sz="8" w:space="0" w:color="C0504D"/>
      </w:tblBorders>
    </w:tblPr>
    <w:tblStylePr w:type="firstRow">
      <w:rPr>
        <w:rFonts w:ascii="SimSun-ExtB" w:eastAsia="SimSun" w:hAnsi="SimSun-ExtB"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top w:val="single" w:sz="8" w:space="0" w:color="9BBB59"/>
        <w:bottom w:val="single" w:sz="8" w:space="0" w:color="9BBB59"/>
      </w:tblBorders>
    </w:tblPr>
    <w:tblStylePr w:type="firstRow">
      <w:rPr>
        <w:rFonts w:ascii="SimSun-ExtB" w:eastAsia="SimSun" w:hAnsi="SimSun-ExtB"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top w:val="single" w:sz="8" w:space="0" w:color="8064A2"/>
        <w:bottom w:val="single" w:sz="8" w:space="0" w:color="8064A2"/>
      </w:tblBorders>
    </w:tblPr>
    <w:tblStylePr w:type="firstRow">
      <w:rPr>
        <w:rFonts w:ascii="SimSun-ExtB" w:eastAsia="SimSun" w:hAnsi="SimSun-ExtB"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top w:val="single" w:sz="8" w:space="0" w:color="4BACC6"/>
        <w:bottom w:val="single" w:sz="8" w:space="0" w:color="4BACC6"/>
      </w:tblBorders>
    </w:tblPr>
    <w:tblStylePr w:type="firstRow">
      <w:rPr>
        <w:rFonts w:ascii="SimSun-ExtB" w:eastAsia="SimSun" w:hAnsi="SimSun-ExtB"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9D444E"/>
    <w:pPr>
      <w:spacing w:before="120" w:after="120" w:line="280" w:lineRule="atLeast"/>
    </w:pPr>
    <w:rPr>
      <w:rFonts w:ascii="Arial" w:hAnsi="Arial" w:cs="Times New Roman"/>
      <w:color w:val="000000"/>
      <w:sz w:val="20"/>
      <w:szCs w:val="20"/>
      <w:lang w:eastAsia="en-AU"/>
    </w:rPr>
    <w:tblPr>
      <w:tblStyleRowBandSize w:val="1"/>
      <w:tblStyleColBandSize w:val="1"/>
      <w:tblBorders>
        <w:top w:val="single" w:sz="8" w:space="0" w:color="F79646"/>
        <w:bottom w:val="single" w:sz="8" w:space="0" w:color="F79646"/>
      </w:tblBorders>
    </w:tblPr>
    <w:tblStylePr w:type="firstRow">
      <w:rPr>
        <w:rFonts w:ascii="SimSun-ExtB" w:eastAsia="SimSun" w:hAnsi="SimSun-ExtB"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9D444E"/>
    <w:pPr>
      <w:spacing w:before="120" w:after="120" w:line="280" w:lineRule="atLeast"/>
    </w:pPr>
    <w:rPr>
      <w:rFonts w:ascii="Cambria" w:eastAsia="SimSun" w:hAnsi="Cambria" w:cs="Times New Roman"/>
      <w:color w:val="000000"/>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9D444E"/>
    <w:pPr>
      <w:spacing w:before="120" w:after="120" w:line="280" w:lineRule="atLeast"/>
    </w:pPr>
    <w:rPr>
      <w:rFonts w:ascii="Cambria" w:eastAsia="SimSun" w:hAnsi="Cambria" w:cs="Times New Roman"/>
      <w:color w:val="000000"/>
      <w:sz w:val="20"/>
      <w:szCs w:val="20"/>
      <w:lang w:eastAsia="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9D444E"/>
    <w:pPr>
      <w:spacing w:before="120" w:after="120" w:line="280" w:lineRule="atLeast"/>
    </w:pPr>
    <w:rPr>
      <w:rFonts w:ascii="Cambria" w:eastAsia="SimSun" w:hAnsi="Cambria" w:cs="Times New Roman"/>
      <w:color w:val="000000"/>
      <w:sz w:val="20"/>
      <w:szCs w:val="20"/>
      <w:lang w:eastAsia="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9D444E"/>
    <w:pPr>
      <w:spacing w:before="120" w:after="120" w:line="280" w:lineRule="atLeast"/>
    </w:pPr>
    <w:rPr>
      <w:rFonts w:ascii="Cambria" w:eastAsia="SimSun" w:hAnsi="Cambria" w:cs="Times New Roman"/>
      <w:color w:val="000000"/>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9D444E"/>
    <w:pPr>
      <w:spacing w:before="120" w:after="120" w:line="280" w:lineRule="atLeast"/>
    </w:pPr>
    <w:rPr>
      <w:rFonts w:ascii="Cambria" w:eastAsia="SimSun" w:hAnsi="Cambria" w:cs="Times New Roman"/>
      <w:color w:val="000000"/>
      <w:sz w:val="20"/>
      <w:szCs w:val="20"/>
      <w:lang w:eastAsia="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9D444E"/>
    <w:pPr>
      <w:spacing w:before="120" w:after="120" w:line="280" w:lineRule="atLeast"/>
    </w:pPr>
    <w:rPr>
      <w:rFonts w:ascii="Cambria" w:eastAsia="SimSun" w:hAnsi="Cambria" w:cs="Times New Roman"/>
      <w:color w:val="000000"/>
      <w:sz w:val="20"/>
      <w:szCs w:val="20"/>
      <w:lang w:eastAsia="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9D444E"/>
    <w:pPr>
      <w:spacing w:before="120" w:after="120" w:line="280" w:lineRule="atLeast"/>
    </w:pPr>
    <w:rPr>
      <w:rFonts w:ascii="Cambria" w:eastAsia="SimSun" w:hAnsi="Cambria" w:cs="Times New Roman"/>
      <w:color w:val="000000"/>
      <w:sz w:val="20"/>
      <w:szCs w:val="20"/>
      <w:lang w:eastAsia="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9D444E"/>
    <w:pPr>
      <w:spacing w:before="120" w:after="120" w:line="280" w:lineRule="atLeast"/>
    </w:pPr>
    <w:rPr>
      <w:rFonts w:ascii="Arial"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1">
    <w:name w:val="Table 3D effects 11"/>
    <w:basedOn w:val="TableNormal"/>
    <w:next w:val="Table3Deffects1"/>
    <w:uiPriority w:val="99"/>
    <w:unhideWhenUsed/>
    <w:rsid w:val="009D444E"/>
    <w:pPr>
      <w:spacing w:before="120" w:after="120" w:line="280" w:lineRule="atLeast"/>
      <w:jc w:val="both"/>
    </w:pPr>
    <w:rPr>
      <w:rFonts w:ascii="Arial" w:hAnsi="Arial"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unhideWhenUsed/>
    <w:rsid w:val="009D444E"/>
    <w:pPr>
      <w:spacing w:before="120" w:after="120" w:line="280" w:lineRule="atLeast"/>
      <w:jc w:val="both"/>
    </w:pPr>
    <w:rPr>
      <w:rFonts w:ascii="Arial" w:hAnsi="Arial"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unhideWhenUsed/>
    <w:rsid w:val="009D444E"/>
    <w:pPr>
      <w:spacing w:before="120" w:after="120" w:line="280" w:lineRule="atLeast"/>
      <w:jc w:val="both"/>
    </w:pPr>
    <w:rPr>
      <w:rFonts w:ascii="Arial" w:hAnsi="Arial"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unhideWhenUsed/>
    <w:rsid w:val="009D444E"/>
    <w:pPr>
      <w:spacing w:before="120" w:after="120" w:line="280" w:lineRule="atLeast"/>
      <w:jc w:val="both"/>
    </w:pPr>
    <w:rPr>
      <w:rFonts w:ascii="Arial" w:hAnsi="Arial"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unhideWhenUsed/>
    <w:rsid w:val="009D444E"/>
    <w:pPr>
      <w:spacing w:before="120" w:after="120" w:line="280" w:lineRule="atLeast"/>
      <w:jc w:val="both"/>
    </w:pPr>
    <w:rPr>
      <w:rFonts w:ascii="Arial" w:hAnsi="Arial"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unhideWhenUsed/>
    <w:rsid w:val="009D444E"/>
    <w:pPr>
      <w:spacing w:before="120" w:after="120" w:line="280" w:lineRule="atLeast"/>
      <w:jc w:val="both"/>
    </w:pPr>
    <w:rPr>
      <w:rFonts w:ascii="Arial" w:hAnsi="Arial"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unhideWhenUsed/>
    <w:rsid w:val="009D444E"/>
    <w:pPr>
      <w:spacing w:before="120" w:after="120" w:line="280" w:lineRule="atLeast"/>
      <w:jc w:val="both"/>
    </w:pPr>
    <w:rPr>
      <w:rFonts w:ascii="Arial" w:hAnsi="Arial"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unhideWhenUsed/>
    <w:rsid w:val="009D444E"/>
    <w:pPr>
      <w:spacing w:before="120" w:after="120" w:line="280" w:lineRule="atLeast"/>
      <w:jc w:val="both"/>
    </w:pPr>
    <w:rPr>
      <w:rFonts w:ascii="Arial" w:hAnsi="Arial"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unhideWhenUsed/>
    <w:rsid w:val="009D444E"/>
    <w:pPr>
      <w:spacing w:before="120" w:after="120" w:line="280" w:lineRule="atLeast"/>
      <w:jc w:val="both"/>
    </w:pPr>
    <w:rPr>
      <w:rFonts w:ascii="Arial" w:hAnsi="Arial"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unhideWhenUsed/>
    <w:rsid w:val="009D444E"/>
    <w:pPr>
      <w:spacing w:before="120" w:after="120" w:line="280" w:lineRule="atLeast"/>
      <w:jc w:val="both"/>
    </w:pPr>
    <w:rPr>
      <w:rFonts w:ascii="Arial" w:hAnsi="Arial"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unhideWhenUsed/>
    <w:rsid w:val="009D444E"/>
    <w:pPr>
      <w:spacing w:before="120" w:after="120" w:line="280" w:lineRule="atLeast"/>
      <w:jc w:val="both"/>
    </w:pPr>
    <w:rPr>
      <w:rFonts w:ascii="Arial" w:hAnsi="Arial"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unhideWhenUsed/>
    <w:rsid w:val="009D444E"/>
    <w:pPr>
      <w:spacing w:before="120" w:after="120" w:line="280" w:lineRule="atLeast"/>
      <w:jc w:val="both"/>
    </w:pPr>
    <w:rPr>
      <w:rFonts w:ascii="Arial" w:hAnsi="Arial"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unhideWhenUsed/>
    <w:rsid w:val="009D444E"/>
    <w:pPr>
      <w:spacing w:before="120" w:after="120" w:line="280" w:lineRule="atLeast"/>
      <w:jc w:val="both"/>
    </w:pPr>
    <w:rPr>
      <w:rFonts w:ascii="Arial" w:hAnsi="Arial"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unhideWhenUsed/>
    <w:rsid w:val="009D444E"/>
    <w:pPr>
      <w:spacing w:before="120" w:after="120" w:line="280" w:lineRule="atLeast"/>
      <w:jc w:val="both"/>
    </w:pPr>
    <w:rPr>
      <w:rFonts w:ascii="Arial" w:hAnsi="Arial"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unhideWhenUsed/>
    <w:rsid w:val="009D444E"/>
    <w:pPr>
      <w:spacing w:before="120" w:after="120" w:line="280" w:lineRule="atLeast"/>
      <w:jc w:val="both"/>
    </w:pPr>
    <w:rPr>
      <w:rFonts w:ascii="Arial" w:hAnsi="Arial"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unhideWhenUsed/>
    <w:rsid w:val="009D444E"/>
    <w:pPr>
      <w:spacing w:before="120" w:after="120" w:line="280" w:lineRule="atLeast"/>
      <w:jc w:val="both"/>
    </w:pPr>
    <w:rPr>
      <w:rFonts w:ascii="Arial" w:hAnsi="Arial"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unhideWhenUsed/>
    <w:rsid w:val="009D444E"/>
    <w:pPr>
      <w:spacing w:before="120" w:after="120" w:line="280" w:lineRule="atLeast"/>
      <w:jc w:val="both"/>
    </w:pPr>
    <w:rPr>
      <w:rFonts w:ascii="Arial" w:hAnsi="Arial"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unhideWhenUsed/>
    <w:rsid w:val="009D444E"/>
    <w:pPr>
      <w:spacing w:before="120" w:after="120" w:line="280" w:lineRule="atLeast"/>
      <w:jc w:val="both"/>
    </w:pPr>
    <w:rPr>
      <w:rFonts w:ascii="Arial" w:hAnsi="Arial"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unhideWhenUsed/>
    <w:rsid w:val="009D444E"/>
    <w:pPr>
      <w:spacing w:before="120" w:after="120" w:line="280" w:lineRule="atLeast"/>
      <w:jc w:val="both"/>
    </w:pPr>
    <w:rPr>
      <w:rFonts w:ascii="Arial" w:hAnsi="Arial"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unhideWhenUsed/>
    <w:rsid w:val="009D444E"/>
    <w:pPr>
      <w:spacing w:before="120" w:after="120" w:line="280" w:lineRule="atLeast"/>
      <w:jc w:val="both"/>
    </w:pPr>
    <w:rPr>
      <w:rFonts w:ascii="Arial" w:hAnsi="Arial"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unhideWhenUsed/>
    <w:rsid w:val="009D444E"/>
    <w:pPr>
      <w:spacing w:before="120" w:after="120" w:line="280" w:lineRule="atLeast"/>
      <w:jc w:val="both"/>
    </w:pPr>
    <w:rPr>
      <w:rFonts w:ascii="Arial" w:hAnsi="Arial"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unhideWhenUsed/>
    <w:rsid w:val="009D444E"/>
    <w:pPr>
      <w:spacing w:before="120" w:after="120" w:line="280" w:lineRule="atLeast"/>
      <w:jc w:val="both"/>
    </w:pPr>
    <w:rPr>
      <w:rFonts w:ascii="Arial" w:hAnsi="Arial"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unhideWhenUsed/>
    <w:rsid w:val="009D444E"/>
    <w:pPr>
      <w:spacing w:before="120" w:after="120" w:line="280" w:lineRule="atLeast"/>
      <w:jc w:val="both"/>
    </w:pPr>
    <w:rPr>
      <w:rFonts w:ascii="Arial" w:hAnsi="Arial"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unhideWhenUsed/>
    <w:rsid w:val="009D444E"/>
    <w:pPr>
      <w:spacing w:before="120" w:after="120" w:line="280" w:lineRule="atLeast"/>
      <w:jc w:val="both"/>
    </w:pPr>
    <w:rPr>
      <w:rFonts w:ascii="Arial" w:hAnsi="Arial"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unhideWhenUsed/>
    <w:rsid w:val="009D444E"/>
    <w:pPr>
      <w:spacing w:before="120" w:after="120" w:line="280" w:lineRule="atLeast"/>
      <w:jc w:val="both"/>
    </w:pPr>
    <w:rPr>
      <w:rFonts w:ascii="Arial" w:hAnsi="Arial"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unhideWhenUsed/>
    <w:rsid w:val="009D444E"/>
    <w:pPr>
      <w:spacing w:before="120" w:after="120" w:line="280" w:lineRule="atLeast"/>
      <w:jc w:val="both"/>
    </w:pPr>
    <w:rPr>
      <w:rFonts w:ascii="Arial" w:hAnsi="Arial"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unhideWhenUsed/>
    <w:rsid w:val="009D444E"/>
    <w:pPr>
      <w:spacing w:before="120" w:after="120" w:line="280" w:lineRule="atLeast"/>
      <w:jc w:val="both"/>
    </w:pPr>
    <w:rPr>
      <w:rFonts w:ascii="Arial" w:hAnsi="Arial"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unhideWhenUsed/>
    <w:rsid w:val="009D444E"/>
    <w:pPr>
      <w:spacing w:before="120" w:after="120" w:line="280" w:lineRule="atLeast"/>
      <w:jc w:val="both"/>
    </w:pPr>
    <w:rPr>
      <w:rFonts w:ascii="Arial" w:hAnsi="Arial"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unhideWhenUsed/>
    <w:rsid w:val="009D444E"/>
    <w:pPr>
      <w:spacing w:before="120" w:after="120" w:line="280" w:lineRule="atLeast"/>
      <w:jc w:val="both"/>
    </w:pPr>
    <w:rPr>
      <w:rFonts w:ascii="Arial" w:hAnsi="Arial"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unhideWhenUsed/>
    <w:rsid w:val="009D444E"/>
    <w:pPr>
      <w:spacing w:before="120" w:after="120" w:line="280" w:lineRule="atLeast"/>
      <w:jc w:val="both"/>
    </w:pPr>
    <w:rPr>
      <w:rFonts w:ascii="Arial" w:hAnsi="Arial"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unhideWhenUsed/>
    <w:rsid w:val="009D444E"/>
    <w:pPr>
      <w:spacing w:before="120" w:after="120" w:line="280" w:lineRule="atLeast"/>
      <w:jc w:val="both"/>
    </w:pPr>
    <w:rPr>
      <w:rFonts w:ascii="Arial" w:hAnsi="Arial"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unhideWhenUsed/>
    <w:rsid w:val="009D444E"/>
    <w:pPr>
      <w:spacing w:before="120" w:after="120" w:line="280" w:lineRule="atLeast"/>
      <w:jc w:val="both"/>
    </w:pPr>
    <w:rPr>
      <w:rFonts w:ascii="Arial" w:hAnsi="Arial"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unhideWhenUsed/>
    <w:rsid w:val="009D444E"/>
    <w:pPr>
      <w:spacing w:before="120" w:after="120" w:line="280" w:lineRule="atLeast"/>
      <w:jc w:val="both"/>
    </w:pPr>
    <w:rPr>
      <w:rFonts w:ascii="Arial" w:hAnsi="Arial"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unhideWhenUsed/>
    <w:rsid w:val="009D444E"/>
    <w:pPr>
      <w:spacing w:before="120" w:after="120" w:line="280" w:lineRule="atLeast"/>
      <w:jc w:val="both"/>
    </w:pPr>
    <w:rPr>
      <w:rFonts w:ascii="Arial" w:hAnsi="Arial"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unhideWhenUsed/>
    <w:rsid w:val="009D444E"/>
    <w:pPr>
      <w:spacing w:before="120" w:after="120" w:line="280" w:lineRule="atLeast"/>
      <w:jc w:val="both"/>
    </w:pPr>
    <w:rPr>
      <w:rFonts w:ascii="Arial" w:hAnsi="Arial"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unhideWhenUsed/>
    <w:rsid w:val="009D444E"/>
    <w:pPr>
      <w:spacing w:before="120" w:after="120" w:line="280" w:lineRule="atLeast"/>
      <w:jc w:val="both"/>
    </w:pPr>
    <w:rPr>
      <w:rFonts w:ascii="Arial" w:hAnsi="Arial"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unhideWhenUsed/>
    <w:rsid w:val="009D444E"/>
    <w:pPr>
      <w:spacing w:before="120" w:after="120" w:line="280" w:lineRule="atLeast"/>
      <w:jc w:val="both"/>
    </w:pPr>
    <w:rPr>
      <w:rFonts w:ascii="Arial" w:hAnsi="Arial"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unhideWhenUsed/>
    <w:rsid w:val="009D444E"/>
    <w:pPr>
      <w:spacing w:before="120" w:after="120" w:line="280" w:lineRule="atLeast"/>
      <w:jc w:val="both"/>
    </w:pPr>
    <w:rPr>
      <w:rFonts w:ascii="Arial" w:hAnsi="Arial"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unhideWhenUsed/>
    <w:rsid w:val="009D444E"/>
    <w:pPr>
      <w:spacing w:before="120" w:after="120" w:line="280" w:lineRule="atLeast"/>
      <w:jc w:val="both"/>
    </w:pPr>
    <w:rPr>
      <w:rFonts w:ascii="Arial" w:hAnsi="Arial"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unhideWhenUsed/>
    <w:rsid w:val="009D444E"/>
    <w:pPr>
      <w:spacing w:before="120" w:after="120" w:line="280" w:lineRule="atLeast"/>
      <w:jc w:val="both"/>
    </w:pPr>
    <w:rPr>
      <w:rFonts w:ascii="Arial"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unhideWhenUsed/>
    <w:rsid w:val="009D444E"/>
    <w:pPr>
      <w:spacing w:before="120" w:after="120" w:line="280" w:lineRule="atLeast"/>
      <w:jc w:val="both"/>
    </w:pPr>
    <w:rPr>
      <w:rFonts w:ascii="Arial" w:hAnsi="Arial"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unhideWhenUsed/>
    <w:rsid w:val="009D444E"/>
    <w:pPr>
      <w:spacing w:before="120" w:after="120" w:line="280" w:lineRule="atLeast"/>
      <w:jc w:val="both"/>
    </w:pPr>
    <w:rPr>
      <w:rFonts w:ascii="Arial" w:hAnsi="Arial"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unhideWhenUsed/>
    <w:rsid w:val="009D444E"/>
    <w:pPr>
      <w:spacing w:before="120" w:after="120" w:line="280" w:lineRule="atLeast"/>
      <w:jc w:val="both"/>
    </w:pPr>
    <w:rPr>
      <w:rFonts w:ascii="Arial" w:hAnsi="Arial"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11">
    <w:name w:val="1 / 1.1 / 1.1.111"/>
    <w:basedOn w:val="NoList"/>
    <w:next w:val="111111"/>
    <w:rsid w:val="009D444E"/>
    <w:pPr>
      <w:numPr>
        <w:numId w:val="18"/>
      </w:numPr>
    </w:pPr>
  </w:style>
  <w:style w:type="numbering" w:customStyle="1" w:styleId="1ai11">
    <w:name w:val="1 / a / i11"/>
    <w:basedOn w:val="NoList"/>
    <w:next w:val="1ai"/>
    <w:rsid w:val="009D444E"/>
    <w:pPr>
      <w:numPr>
        <w:numId w:val="19"/>
      </w:numPr>
    </w:pPr>
  </w:style>
  <w:style w:type="numbering" w:customStyle="1" w:styleId="ArticleSection11">
    <w:name w:val="Article / Section11"/>
    <w:basedOn w:val="NoList"/>
    <w:next w:val="ArticleSection"/>
    <w:rsid w:val="009D444E"/>
    <w:pPr>
      <w:numPr>
        <w:numId w:val="20"/>
      </w:numPr>
    </w:pPr>
  </w:style>
  <w:style w:type="table" w:customStyle="1" w:styleId="GridTable5Dark-Accent11">
    <w:name w:val="Grid Table 5 Dark - Accent 11"/>
    <w:basedOn w:val="TableNormal"/>
    <w:next w:val="GridTable5Dark-Accent1"/>
    <w:uiPriority w:val="50"/>
    <w:rsid w:val="009D444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ListTable3-Accent11">
    <w:name w:val="List Table 3 - Accent 11"/>
    <w:basedOn w:val="TableNormal"/>
    <w:next w:val="ListTable3-Accent1"/>
    <w:uiPriority w:val="48"/>
    <w:rsid w:val="009D444E"/>
    <w:pPr>
      <w:spacing w:after="0" w:line="240" w:lineRule="auto"/>
    </w:p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3-Accent61">
    <w:name w:val="List Table 3 - Accent 61"/>
    <w:basedOn w:val="TableNormal"/>
    <w:next w:val="ListTable3-Accent6"/>
    <w:uiPriority w:val="48"/>
    <w:rsid w:val="009D444E"/>
    <w:pPr>
      <w:spacing w:after="0" w:line="240" w:lineRule="auto"/>
    </w:p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styleId="GridTable1Light">
    <w:name w:val="Grid Table 1 Light"/>
    <w:basedOn w:val="TableNormal"/>
    <w:uiPriority w:val="46"/>
    <w:rsid w:val="009D444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D444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D444E"/>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D444E"/>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D444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D444E"/>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D444E"/>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D444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D444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D444E"/>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D444E"/>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D444E"/>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D444E"/>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D444E"/>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D444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D444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D444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D444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D444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D444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D444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D444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D444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D444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D444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D444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D444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D444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D44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2">
    <w:name w:val="Grid Table 5 Dark Accent 2"/>
    <w:basedOn w:val="TableNormal"/>
    <w:uiPriority w:val="50"/>
    <w:rsid w:val="009D44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D44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D44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D44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D44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D444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D444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D444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D444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D444E"/>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D444E"/>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D444E"/>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D444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D444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D444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D444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D444E"/>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D444E"/>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D444E"/>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stTable1Light">
    <w:name w:val="List Table 1 Light"/>
    <w:basedOn w:val="TableNormal"/>
    <w:uiPriority w:val="46"/>
    <w:rsid w:val="009D444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D444E"/>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D444E"/>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D444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D444E"/>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D444E"/>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D444E"/>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D444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D444E"/>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D444E"/>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D444E"/>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D444E"/>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D444E"/>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D444E"/>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D444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2">
    <w:name w:val="List Table 3 Accent 2"/>
    <w:basedOn w:val="TableNormal"/>
    <w:uiPriority w:val="48"/>
    <w:rsid w:val="009D444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D444E"/>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D444E"/>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D444E"/>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4">
    <w:name w:val="List Table 4"/>
    <w:basedOn w:val="TableNormal"/>
    <w:uiPriority w:val="49"/>
    <w:rsid w:val="009D444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D444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D444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D444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D444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D444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D444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D444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D444E"/>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D444E"/>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D444E"/>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D444E"/>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D444E"/>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D444E"/>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D444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D444E"/>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D444E"/>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D444E"/>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D444E"/>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D444E"/>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D444E"/>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D444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D444E"/>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D444E"/>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D444E"/>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D444E"/>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D444E"/>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D444E"/>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9D444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D44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D444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D44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D444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Link2">
    <w:name w:val="SmartLink2"/>
    <w:basedOn w:val="DefaultParagraphFont"/>
    <w:uiPriority w:val="99"/>
    <w:semiHidden/>
    <w:unhideWhenUsed/>
    <w:rsid w:val="009D444E"/>
    <w:rPr>
      <w:color w:val="0000FF"/>
      <w:u w:val="single"/>
      <w:shd w:val="clear" w:color="auto" w:fill="F3F2F1"/>
    </w:rPr>
  </w:style>
  <w:style w:type="table" w:styleId="TableGridLight">
    <w:name w:val="Grid Table Light"/>
    <w:basedOn w:val="TableNormal"/>
    <w:uiPriority w:val="40"/>
    <w:rsid w:val="009D44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ulletChar">
    <w:name w:val="Bullet Char"/>
    <w:basedOn w:val="CommentTextChar"/>
    <w:link w:val="Bullet"/>
    <w:rsid w:val="006D4A91"/>
    <w:rPr>
      <w:rFonts w:ascii="Arial" w:eastAsia="Times New Roman" w:hAnsi="Arial" w:cs="Times New Roman"/>
      <w:sz w:val="20"/>
      <w:szCs w:val="20"/>
      <w:lang w:eastAsia="en-AU"/>
    </w:rPr>
  </w:style>
  <w:style w:type="paragraph" w:customStyle="1" w:styleId="Dash">
    <w:name w:val="Dash"/>
    <w:basedOn w:val="Normal"/>
    <w:link w:val="DashChar"/>
    <w:rsid w:val="006D4A91"/>
    <w:pPr>
      <w:numPr>
        <w:ilvl w:val="1"/>
        <w:numId w:val="25"/>
      </w:numPr>
    </w:pPr>
  </w:style>
  <w:style w:type="character" w:customStyle="1" w:styleId="DashChar">
    <w:name w:val="Dash Char"/>
    <w:basedOn w:val="CommentTextChar"/>
    <w:link w:val="Dash"/>
    <w:rsid w:val="006D4A91"/>
    <w:rPr>
      <w:rFonts w:ascii="Arial" w:eastAsia="Times New Roman" w:hAnsi="Arial" w:cs="Times New Roman"/>
      <w:sz w:val="20"/>
      <w:szCs w:val="20"/>
      <w:lang w:eastAsia="en-AU"/>
    </w:rPr>
  </w:style>
  <w:style w:type="paragraph" w:customStyle="1" w:styleId="DoubleDot">
    <w:name w:val="Double Dot"/>
    <w:basedOn w:val="Normal"/>
    <w:link w:val="DoubleDotChar"/>
    <w:rsid w:val="006D4A91"/>
    <w:pPr>
      <w:numPr>
        <w:ilvl w:val="2"/>
        <w:numId w:val="25"/>
      </w:numPr>
    </w:pPr>
  </w:style>
  <w:style w:type="character" w:customStyle="1" w:styleId="DoubleDotChar">
    <w:name w:val="Double Dot Char"/>
    <w:basedOn w:val="CommentTextChar"/>
    <w:link w:val="DoubleDot"/>
    <w:rsid w:val="006D4A91"/>
    <w:rPr>
      <w:rFonts w:ascii="Arial" w:eastAsia="Times New Roman" w:hAnsi="Arial" w:cs="Times New Roman"/>
      <w:sz w:val="20"/>
      <w:szCs w:val="20"/>
      <w:lang w:eastAsia="en-AU"/>
    </w:rPr>
  </w:style>
  <w:style w:type="character" w:styleId="UnresolvedMention">
    <w:name w:val="Unresolved Mention"/>
    <w:basedOn w:val="DefaultParagraphFont"/>
    <w:uiPriority w:val="99"/>
    <w:unhideWhenUsed/>
    <w:rsid w:val="003B19D7"/>
    <w:rPr>
      <w:color w:val="605E5C"/>
      <w:shd w:val="clear" w:color="auto" w:fill="E1DFDD"/>
    </w:rPr>
  </w:style>
  <w:style w:type="character" w:styleId="Mention">
    <w:name w:val="Mention"/>
    <w:basedOn w:val="DefaultParagraphFont"/>
    <w:uiPriority w:val="99"/>
    <w:unhideWhenUsed/>
    <w:rsid w:val="003B19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705">
      <w:bodyDiv w:val="1"/>
      <w:marLeft w:val="0"/>
      <w:marRight w:val="0"/>
      <w:marTop w:val="0"/>
      <w:marBottom w:val="0"/>
      <w:divBdr>
        <w:top w:val="none" w:sz="0" w:space="0" w:color="auto"/>
        <w:left w:val="none" w:sz="0" w:space="0" w:color="auto"/>
        <w:bottom w:val="none" w:sz="0" w:space="0" w:color="auto"/>
        <w:right w:val="none" w:sz="0" w:space="0" w:color="auto"/>
      </w:divBdr>
    </w:div>
    <w:div w:id="23361225">
      <w:bodyDiv w:val="1"/>
      <w:marLeft w:val="0"/>
      <w:marRight w:val="0"/>
      <w:marTop w:val="0"/>
      <w:marBottom w:val="0"/>
      <w:divBdr>
        <w:top w:val="none" w:sz="0" w:space="0" w:color="auto"/>
        <w:left w:val="none" w:sz="0" w:space="0" w:color="auto"/>
        <w:bottom w:val="none" w:sz="0" w:space="0" w:color="auto"/>
        <w:right w:val="none" w:sz="0" w:space="0" w:color="auto"/>
      </w:divBdr>
    </w:div>
    <w:div w:id="27418411">
      <w:bodyDiv w:val="1"/>
      <w:marLeft w:val="0"/>
      <w:marRight w:val="0"/>
      <w:marTop w:val="0"/>
      <w:marBottom w:val="0"/>
      <w:divBdr>
        <w:top w:val="none" w:sz="0" w:space="0" w:color="auto"/>
        <w:left w:val="none" w:sz="0" w:space="0" w:color="auto"/>
        <w:bottom w:val="none" w:sz="0" w:space="0" w:color="auto"/>
        <w:right w:val="none" w:sz="0" w:space="0" w:color="auto"/>
      </w:divBdr>
    </w:div>
    <w:div w:id="39401813">
      <w:bodyDiv w:val="1"/>
      <w:marLeft w:val="0"/>
      <w:marRight w:val="0"/>
      <w:marTop w:val="0"/>
      <w:marBottom w:val="0"/>
      <w:divBdr>
        <w:top w:val="none" w:sz="0" w:space="0" w:color="auto"/>
        <w:left w:val="none" w:sz="0" w:space="0" w:color="auto"/>
        <w:bottom w:val="none" w:sz="0" w:space="0" w:color="auto"/>
        <w:right w:val="none" w:sz="0" w:space="0" w:color="auto"/>
      </w:divBdr>
    </w:div>
    <w:div w:id="44260044">
      <w:bodyDiv w:val="1"/>
      <w:marLeft w:val="0"/>
      <w:marRight w:val="0"/>
      <w:marTop w:val="0"/>
      <w:marBottom w:val="0"/>
      <w:divBdr>
        <w:top w:val="none" w:sz="0" w:space="0" w:color="auto"/>
        <w:left w:val="none" w:sz="0" w:space="0" w:color="auto"/>
        <w:bottom w:val="none" w:sz="0" w:space="0" w:color="auto"/>
        <w:right w:val="none" w:sz="0" w:space="0" w:color="auto"/>
      </w:divBdr>
    </w:div>
    <w:div w:id="44959388">
      <w:bodyDiv w:val="1"/>
      <w:marLeft w:val="0"/>
      <w:marRight w:val="0"/>
      <w:marTop w:val="0"/>
      <w:marBottom w:val="0"/>
      <w:divBdr>
        <w:top w:val="none" w:sz="0" w:space="0" w:color="auto"/>
        <w:left w:val="none" w:sz="0" w:space="0" w:color="auto"/>
        <w:bottom w:val="none" w:sz="0" w:space="0" w:color="auto"/>
        <w:right w:val="none" w:sz="0" w:space="0" w:color="auto"/>
      </w:divBdr>
    </w:div>
    <w:div w:id="62336116">
      <w:bodyDiv w:val="1"/>
      <w:marLeft w:val="0"/>
      <w:marRight w:val="0"/>
      <w:marTop w:val="0"/>
      <w:marBottom w:val="0"/>
      <w:divBdr>
        <w:top w:val="none" w:sz="0" w:space="0" w:color="auto"/>
        <w:left w:val="none" w:sz="0" w:space="0" w:color="auto"/>
        <w:bottom w:val="none" w:sz="0" w:space="0" w:color="auto"/>
        <w:right w:val="none" w:sz="0" w:space="0" w:color="auto"/>
      </w:divBdr>
    </w:div>
    <w:div w:id="70348740">
      <w:bodyDiv w:val="1"/>
      <w:marLeft w:val="0"/>
      <w:marRight w:val="0"/>
      <w:marTop w:val="0"/>
      <w:marBottom w:val="0"/>
      <w:divBdr>
        <w:top w:val="none" w:sz="0" w:space="0" w:color="auto"/>
        <w:left w:val="none" w:sz="0" w:space="0" w:color="auto"/>
        <w:bottom w:val="none" w:sz="0" w:space="0" w:color="auto"/>
        <w:right w:val="none" w:sz="0" w:space="0" w:color="auto"/>
      </w:divBdr>
    </w:div>
    <w:div w:id="79375077">
      <w:bodyDiv w:val="1"/>
      <w:marLeft w:val="0"/>
      <w:marRight w:val="0"/>
      <w:marTop w:val="0"/>
      <w:marBottom w:val="0"/>
      <w:divBdr>
        <w:top w:val="none" w:sz="0" w:space="0" w:color="auto"/>
        <w:left w:val="none" w:sz="0" w:space="0" w:color="auto"/>
        <w:bottom w:val="none" w:sz="0" w:space="0" w:color="auto"/>
        <w:right w:val="none" w:sz="0" w:space="0" w:color="auto"/>
      </w:divBdr>
    </w:div>
    <w:div w:id="134446001">
      <w:bodyDiv w:val="1"/>
      <w:marLeft w:val="0"/>
      <w:marRight w:val="0"/>
      <w:marTop w:val="0"/>
      <w:marBottom w:val="0"/>
      <w:divBdr>
        <w:top w:val="none" w:sz="0" w:space="0" w:color="auto"/>
        <w:left w:val="none" w:sz="0" w:space="0" w:color="auto"/>
        <w:bottom w:val="none" w:sz="0" w:space="0" w:color="auto"/>
        <w:right w:val="none" w:sz="0" w:space="0" w:color="auto"/>
      </w:divBdr>
    </w:div>
    <w:div w:id="135412768">
      <w:bodyDiv w:val="1"/>
      <w:marLeft w:val="0"/>
      <w:marRight w:val="0"/>
      <w:marTop w:val="0"/>
      <w:marBottom w:val="0"/>
      <w:divBdr>
        <w:top w:val="none" w:sz="0" w:space="0" w:color="auto"/>
        <w:left w:val="none" w:sz="0" w:space="0" w:color="auto"/>
        <w:bottom w:val="none" w:sz="0" w:space="0" w:color="auto"/>
        <w:right w:val="none" w:sz="0" w:space="0" w:color="auto"/>
      </w:divBdr>
    </w:div>
    <w:div w:id="136919509">
      <w:bodyDiv w:val="1"/>
      <w:marLeft w:val="0"/>
      <w:marRight w:val="0"/>
      <w:marTop w:val="0"/>
      <w:marBottom w:val="0"/>
      <w:divBdr>
        <w:top w:val="none" w:sz="0" w:space="0" w:color="auto"/>
        <w:left w:val="none" w:sz="0" w:space="0" w:color="auto"/>
        <w:bottom w:val="none" w:sz="0" w:space="0" w:color="auto"/>
        <w:right w:val="none" w:sz="0" w:space="0" w:color="auto"/>
      </w:divBdr>
    </w:div>
    <w:div w:id="151525010">
      <w:bodyDiv w:val="1"/>
      <w:marLeft w:val="0"/>
      <w:marRight w:val="0"/>
      <w:marTop w:val="0"/>
      <w:marBottom w:val="0"/>
      <w:divBdr>
        <w:top w:val="none" w:sz="0" w:space="0" w:color="auto"/>
        <w:left w:val="none" w:sz="0" w:space="0" w:color="auto"/>
        <w:bottom w:val="none" w:sz="0" w:space="0" w:color="auto"/>
        <w:right w:val="none" w:sz="0" w:space="0" w:color="auto"/>
      </w:divBdr>
    </w:div>
    <w:div w:id="162162529">
      <w:bodyDiv w:val="1"/>
      <w:marLeft w:val="0"/>
      <w:marRight w:val="0"/>
      <w:marTop w:val="0"/>
      <w:marBottom w:val="0"/>
      <w:divBdr>
        <w:top w:val="none" w:sz="0" w:space="0" w:color="auto"/>
        <w:left w:val="none" w:sz="0" w:space="0" w:color="auto"/>
        <w:bottom w:val="none" w:sz="0" w:space="0" w:color="auto"/>
        <w:right w:val="none" w:sz="0" w:space="0" w:color="auto"/>
      </w:divBdr>
    </w:div>
    <w:div w:id="183982115">
      <w:bodyDiv w:val="1"/>
      <w:marLeft w:val="0"/>
      <w:marRight w:val="0"/>
      <w:marTop w:val="0"/>
      <w:marBottom w:val="0"/>
      <w:divBdr>
        <w:top w:val="none" w:sz="0" w:space="0" w:color="auto"/>
        <w:left w:val="none" w:sz="0" w:space="0" w:color="auto"/>
        <w:bottom w:val="none" w:sz="0" w:space="0" w:color="auto"/>
        <w:right w:val="none" w:sz="0" w:space="0" w:color="auto"/>
      </w:divBdr>
    </w:div>
    <w:div w:id="206183806">
      <w:bodyDiv w:val="1"/>
      <w:marLeft w:val="0"/>
      <w:marRight w:val="0"/>
      <w:marTop w:val="0"/>
      <w:marBottom w:val="0"/>
      <w:divBdr>
        <w:top w:val="none" w:sz="0" w:space="0" w:color="auto"/>
        <w:left w:val="none" w:sz="0" w:space="0" w:color="auto"/>
        <w:bottom w:val="none" w:sz="0" w:space="0" w:color="auto"/>
        <w:right w:val="none" w:sz="0" w:space="0" w:color="auto"/>
      </w:divBdr>
    </w:div>
    <w:div w:id="220796592">
      <w:bodyDiv w:val="1"/>
      <w:marLeft w:val="0"/>
      <w:marRight w:val="0"/>
      <w:marTop w:val="0"/>
      <w:marBottom w:val="0"/>
      <w:divBdr>
        <w:top w:val="none" w:sz="0" w:space="0" w:color="auto"/>
        <w:left w:val="none" w:sz="0" w:space="0" w:color="auto"/>
        <w:bottom w:val="none" w:sz="0" w:space="0" w:color="auto"/>
        <w:right w:val="none" w:sz="0" w:space="0" w:color="auto"/>
      </w:divBdr>
    </w:div>
    <w:div w:id="221064236">
      <w:bodyDiv w:val="1"/>
      <w:marLeft w:val="0"/>
      <w:marRight w:val="0"/>
      <w:marTop w:val="0"/>
      <w:marBottom w:val="0"/>
      <w:divBdr>
        <w:top w:val="none" w:sz="0" w:space="0" w:color="auto"/>
        <w:left w:val="none" w:sz="0" w:space="0" w:color="auto"/>
        <w:bottom w:val="none" w:sz="0" w:space="0" w:color="auto"/>
        <w:right w:val="none" w:sz="0" w:space="0" w:color="auto"/>
      </w:divBdr>
    </w:div>
    <w:div w:id="241449668">
      <w:bodyDiv w:val="1"/>
      <w:marLeft w:val="0"/>
      <w:marRight w:val="0"/>
      <w:marTop w:val="0"/>
      <w:marBottom w:val="0"/>
      <w:divBdr>
        <w:top w:val="none" w:sz="0" w:space="0" w:color="auto"/>
        <w:left w:val="none" w:sz="0" w:space="0" w:color="auto"/>
        <w:bottom w:val="none" w:sz="0" w:space="0" w:color="auto"/>
        <w:right w:val="none" w:sz="0" w:space="0" w:color="auto"/>
      </w:divBdr>
    </w:div>
    <w:div w:id="242498628">
      <w:bodyDiv w:val="1"/>
      <w:marLeft w:val="0"/>
      <w:marRight w:val="0"/>
      <w:marTop w:val="0"/>
      <w:marBottom w:val="0"/>
      <w:divBdr>
        <w:top w:val="none" w:sz="0" w:space="0" w:color="auto"/>
        <w:left w:val="none" w:sz="0" w:space="0" w:color="auto"/>
        <w:bottom w:val="none" w:sz="0" w:space="0" w:color="auto"/>
        <w:right w:val="none" w:sz="0" w:space="0" w:color="auto"/>
      </w:divBdr>
    </w:div>
    <w:div w:id="254483599">
      <w:bodyDiv w:val="1"/>
      <w:marLeft w:val="0"/>
      <w:marRight w:val="0"/>
      <w:marTop w:val="0"/>
      <w:marBottom w:val="0"/>
      <w:divBdr>
        <w:top w:val="none" w:sz="0" w:space="0" w:color="auto"/>
        <w:left w:val="none" w:sz="0" w:space="0" w:color="auto"/>
        <w:bottom w:val="none" w:sz="0" w:space="0" w:color="auto"/>
        <w:right w:val="none" w:sz="0" w:space="0" w:color="auto"/>
      </w:divBdr>
    </w:div>
    <w:div w:id="277219782">
      <w:bodyDiv w:val="1"/>
      <w:marLeft w:val="0"/>
      <w:marRight w:val="0"/>
      <w:marTop w:val="0"/>
      <w:marBottom w:val="0"/>
      <w:divBdr>
        <w:top w:val="none" w:sz="0" w:space="0" w:color="auto"/>
        <w:left w:val="none" w:sz="0" w:space="0" w:color="auto"/>
        <w:bottom w:val="none" w:sz="0" w:space="0" w:color="auto"/>
        <w:right w:val="none" w:sz="0" w:space="0" w:color="auto"/>
      </w:divBdr>
    </w:div>
    <w:div w:id="278805612">
      <w:bodyDiv w:val="1"/>
      <w:marLeft w:val="0"/>
      <w:marRight w:val="0"/>
      <w:marTop w:val="0"/>
      <w:marBottom w:val="0"/>
      <w:divBdr>
        <w:top w:val="none" w:sz="0" w:space="0" w:color="auto"/>
        <w:left w:val="none" w:sz="0" w:space="0" w:color="auto"/>
        <w:bottom w:val="none" w:sz="0" w:space="0" w:color="auto"/>
        <w:right w:val="none" w:sz="0" w:space="0" w:color="auto"/>
      </w:divBdr>
    </w:div>
    <w:div w:id="282199324">
      <w:bodyDiv w:val="1"/>
      <w:marLeft w:val="0"/>
      <w:marRight w:val="0"/>
      <w:marTop w:val="0"/>
      <w:marBottom w:val="0"/>
      <w:divBdr>
        <w:top w:val="none" w:sz="0" w:space="0" w:color="auto"/>
        <w:left w:val="none" w:sz="0" w:space="0" w:color="auto"/>
        <w:bottom w:val="none" w:sz="0" w:space="0" w:color="auto"/>
        <w:right w:val="none" w:sz="0" w:space="0" w:color="auto"/>
      </w:divBdr>
    </w:div>
    <w:div w:id="292567823">
      <w:bodyDiv w:val="1"/>
      <w:marLeft w:val="0"/>
      <w:marRight w:val="0"/>
      <w:marTop w:val="0"/>
      <w:marBottom w:val="0"/>
      <w:divBdr>
        <w:top w:val="none" w:sz="0" w:space="0" w:color="auto"/>
        <w:left w:val="none" w:sz="0" w:space="0" w:color="auto"/>
        <w:bottom w:val="none" w:sz="0" w:space="0" w:color="auto"/>
        <w:right w:val="none" w:sz="0" w:space="0" w:color="auto"/>
      </w:divBdr>
    </w:div>
    <w:div w:id="333345539">
      <w:bodyDiv w:val="1"/>
      <w:marLeft w:val="0"/>
      <w:marRight w:val="0"/>
      <w:marTop w:val="0"/>
      <w:marBottom w:val="0"/>
      <w:divBdr>
        <w:top w:val="none" w:sz="0" w:space="0" w:color="auto"/>
        <w:left w:val="none" w:sz="0" w:space="0" w:color="auto"/>
        <w:bottom w:val="none" w:sz="0" w:space="0" w:color="auto"/>
        <w:right w:val="none" w:sz="0" w:space="0" w:color="auto"/>
      </w:divBdr>
    </w:div>
    <w:div w:id="348872523">
      <w:bodyDiv w:val="1"/>
      <w:marLeft w:val="0"/>
      <w:marRight w:val="0"/>
      <w:marTop w:val="0"/>
      <w:marBottom w:val="0"/>
      <w:divBdr>
        <w:top w:val="none" w:sz="0" w:space="0" w:color="auto"/>
        <w:left w:val="none" w:sz="0" w:space="0" w:color="auto"/>
        <w:bottom w:val="none" w:sz="0" w:space="0" w:color="auto"/>
        <w:right w:val="none" w:sz="0" w:space="0" w:color="auto"/>
      </w:divBdr>
    </w:div>
    <w:div w:id="358092283">
      <w:bodyDiv w:val="1"/>
      <w:marLeft w:val="0"/>
      <w:marRight w:val="0"/>
      <w:marTop w:val="0"/>
      <w:marBottom w:val="0"/>
      <w:divBdr>
        <w:top w:val="none" w:sz="0" w:space="0" w:color="auto"/>
        <w:left w:val="none" w:sz="0" w:space="0" w:color="auto"/>
        <w:bottom w:val="none" w:sz="0" w:space="0" w:color="auto"/>
        <w:right w:val="none" w:sz="0" w:space="0" w:color="auto"/>
      </w:divBdr>
    </w:div>
    <w:div w:id="360982395">
      <w:bodyDiv w:val="1"/>
      <w:marLeft w:val="0"/>
      <w:marRight w:val="0"/>
      <w:marTop w:val="0"/>
      <w:marBottom w:val="0"/>
      <w:divBdr>
        <w:top w:val="none" w:sz="0" w:space="0" w:color="auto"/>
        <w:left w:val="none" w:sz="0" w:space="0" w:color="auto"/>
        <w:bottom w:val="none" w:sz="0" w:space="0" w:color="auto"/>
        <w:right w:val="none" w:sz="0" w:space="0" w:color="auto"/>
      </w:divBdr>
    </w:div>
    <w:div w:id="367267666">
      <w:bodyDiv w:val="1"/>
      <w:marLeft w:val="0"/>
      <w:marRight w:val="0"/>
      <w:marTop w:val="0"/>
      <w:marBottom w:val="0"/>
      <w:divBdr>
        <w:top w:val="none" w:sz="0" w:space="0" w:color="auto"/>
        <w:left w:val="none" w:sz="0" w:space="0" w:color="auto"/>
        <w:bottom w:val="none" w:sz="0" w:space="0" w:color="auto"/>
        <w:right w:val="none" w:sz="0" w:space="0" w:color="auto"/>
      </w:divBdr>
    </w:div>
    <w:div w:id="402139936">
      <w:bodyDiv w:val="1"/>
      <w:marLeft w:val="0"/>
      <w:marRight w:val="0"/>
      <w:marTop w:val="0"/>
      <w:marBottom w:val="0"/>
      <w:divBdr>
        <w:top w:val="none" w:sz="0" w:space="0" w:color="auto"/>
        <w:left w:val="none" w:sz="0" w:space="0" w:color="auto"/>
        <w:bottom w:val="none" w:sz="0" w:space="0" w:color="auto"/>
        <w:right w:val="none" w:sz="0" w:space="0" w:color="auto"/>
      </w:divBdr>
      <w:divsChild>
        <w:div w:id="647823884">
          <w:marLeft w:val="446"/>
          <w:marRight w:val="0"/>
          <w:marTop w:val="0"/>
          <w:marBottom w:val="0"/>
          <w:divBdr>
            <w:top w:val="none" w:sz="0" w:space="0" w:color="auto"/>
            <w:left w:val="none" w:sz="0" w:space="0" w:color="auto"/>
            <w:bottom w:val="none" w:sz="0" w:space="0" w:color="auto"/>
            <w:right w:val="none" w:sz="0" w:space="0" w:color="auto"/>
          </w:divBdr>
        </w:div>
        <w:div w:id="703555551">
          <w:marLeft w:val="446"/>
          <w:marRight w:val="0"/>
          <w:marTop w:val="0"/>
          <w:marBottom w:val="0"/>
          <w:divBdr>
            <w:top w:val="none" w:sz="0" w:space="0" w:color="auto"/>
            <w:left w:val="none" w:sz="0" w:space="0" w:color="auto"/>
            <w:bottom w:val="none" w:sz="0" w:space="0" w:color="auto"/>
            <w:right w:val="none" w:sz="0" w:space="0" w:color="auto"/>
          </w:divBdr>
        </w:div>
        <w:div w:id="1328824095">
          <w:marLeft w:val="446"/>
          <w:marRight w:val="0"/>
          <w:marTop w:val="0"/>
          <w:marBottom w:val="0"/>
          <w:divBdr>
            <w:top w:val="none" w:sz="0" w:space="0" w:color="auto"/>
            <w:left w:val="none" w:sz="0" w:space="0" w:color="auto"/>
            <w:bottom w:val="none" w:sz="0" w:space="0" w:color="auto"/>
            <w:right w:val="none" w:sz="0" w:space="0" w:color="auto"/>
          </w:divBdr>
        </w:div>
      </w:divsChild>
    </w:div>
    <w:div w:id="428547962">
      <w:bodyDiv w:val="1"/>
      <w:marLeft w:val="0"/>
      <w:marRight w:val="0"/>
      <w:marTop w:val="0"/>
      <w:marBottom w:val="0"/>
      <w:divBdr>
        <w:top w:val="none" w:sz="0" w:space="0" w:color="auto"/>
        <w:left w:val="none" w:sz="0" w:space="0" w:color="auto"/>
        <w:bottom w:val="none" w:sz="0" w:space="0" w:color="auto"/>
        <w:right w:val="none" w:sz="0" w:space="0" w:color="auto"/>
      </w:divBdr>
    </w:div>
    <w:div w:id="435441784">
      <w:bodyDiv w:val="1"/>
      <w:marLeft w:val="0"/>
      <w:marRight w:val="0"/>
      <w:marTop w:val="0"/>
      <w:marBottom w:val="0"/>
      <w:divBdr>
        <w:top w:val="none" w:sz="0" w:space="0" w:color="auto"/>
        <w:left w:val="none" w:sz="0" w:space="0" w:color="auto"/>
        <w:bottom w:val="none" w:sz="0" w:space="0" w:color="auto"/>
        <w:right w:val="none" w:sz="0" w:space="0" w:color="auto"/>
      </w:divBdr>
    </w:div>
    <w:div w:id="512377499">
      <w:bodyDiv w:val="1"/>
      <w:marLeft w:val="0"/>
      <w:marRight w:val="0"/>
      <w:marTop w:val="0"/>
      <w:marBottom w:val="0"/>
      <w:divBdr>
        <w:top w:val="none" w:sz="0" w:space="0" w:color="auto"/>
        <w:left w:val="none" w:sz="0" w:space="0" w:color="auto"/>
        <w:bottom w:val="none" w:sz="0" w:space="0" w:color="auto"/>
        <w:right w:val="none" w:sz="0" w:space="0" w:color="auto"/>
      </w:divBdr>
    </w:div>
    <w:div w:id="524370243">
      <w:bodyDiv w:val="1"/>
      <w:marLeft w:val="0"/>
      <w:marRight w:val="0"/>
      <w:marTop w:val="0"/>
      <w:marBottom w:val="0"/>
      <w:divBdr>
        <w:top w:val="none" w:sz="0" w:space="0" w:color="auto"/>
        <w:left w:val="none" w:sz="0" w:space="0" w:color="auto"/>
        <w:bottom w:val="none" w:sz="0" w:space="0" w:color="auto"/>
        <w:right w:val="none" w:sz="0" w:space="0" w:color="auto"/>
      </w:divBdr>
    </w:div>
    <w:div w:id="525406093">
      <w:bodyDiv w:val="1"/>
      <w:marLeft w:val="0"/>
      <w:marRight w:val="0"/>
      <w:marTop w:val="0"/>
      <w:marBottom w:val="0"/>
      <w:divBdr>
        <w:top w:val="none" w:sz="0" w:space="0" w:color="auto"/>
        <w:left w:val="none" w:sz="0" w:space="0" w:color="auto"/>
        <w:bottom w:val="none" w:sz="0" w:space="0" w:color="auto"/>
        <w:right w:val="none" w:sz="0" w:space="0" w:color="auto"/>
      </w:divBdr>
    </w:div>
    <w:div w:id="527182920">
      <w:bodyDiv w:val="1"/>
      <w:marLeft w:val="0"/>
      <w:marRight w:val="0"/>
      <w:marTop w:val="0"/>
      <w:marBottom w:val="0"/>
      <w:divBdr>
        <w:top w:val="none" w:sz="0" w:space="0" w:color="auto"/>
        <w:left w:val="none" w:sz="0" w:space="0" w:color="auto"/>
        <w:bottom w:val="none" w:sz="0" w:space="0" w:color="auto"/>
        <w:right w:val="none" w:sz="0" w:space="0" w:color="auto"/>
      </w:divBdr>
    </w:div>
    <w:div w:id="529420098">
      <w:bodyDiv w:val="1"/>
      <w:marLeft w:val="0"/>
      <w:marRight w:val="0"/>
      <w:marTop w:val="0"/>
      <w:marBottom w:val="0"/>
      <w:divBdr>
        <w:top w:val="none" w:sz="0" w:space="0" w:color="auto"/>
        <w:left w:val="none" w:sz="0" w:space="0" w:color="auto"/>
        <w:bottom w:val="none" w:sz="0" w:space="0" w:color="auto"/>
        <w:right w:val="none" w:sz="0" w:space="0" w:color="auto"/>
      </w:divBdr>
    </w:div>
    <w:div w:id="538906129">
      <w:bodyDiv w:val="1"/>
      <w:marLeft w:val="0"/>
      <w:marRight w:val="0"/>
      <w:marTop w:val="0"/>
      <w:marBottom w:val="0"/>
      <w:divBdr>
        <w:top w:val="none" w:sz="0" w:space="0" w:color="auto"/>
        <w:left w:val="none" w:sz="0" w:space="0" w:color="auto"/>
        <w:bottom w:val="none" w:sz="0" w:space="0" w:color="auto"/>
        <w:right w:val="none" w:sz="0" w:space="0" w:color="auto"/>
      </w:divBdr>
    </w:div>
    <w:div w:id="564537248">
      <w:bodyDiv w:val="1"/>
      <w:marLeft w:val="0"/>
      <w:marRight w:val="0"/>
      <w:marTop w:val="0"/>
      <w:marBottom w:val="0"/>
      <w:divBdr>
        <w:top w:val="none" w:sz="0" w:space="0" w:color="auto"/>
        <w:left w:val="none" w:sz="0" w:space="0" w:color="auto"/>
        <w:bottom w:val="none" w:sz="0" w:space="0" w:color="auto"/>
        <w:right w:val="none" w:sz="0" w:space="0" w:color="auto"/>
      </w:divBdr>
    </w:div>
    <w:div w:id="568660847">
      <w:bodyDiv w:val="1"/>
      <w:marLeft w:val="0"/>
      <w:marRight w:val="0"/>
      <w:marTop w:val="0"/>
      <w:marBottom w:val="0"/>
      <w:divBdr>
        <w:top w:val="none" w:sz="0" w:space="0" w:color="auto"/>
        <w:left w:val="none" w:sz="0" w:space="0" w:color="auto"/>
        <w:bottom w:val="none" w:sz="0" w:space="0" w:color="auto"/>
        <w:right w:val="none" w:sz="0" w:space="0" w:color="auto"/>
      </w:divBdr>
    </w:div>
    <w:div w:id="576288269">
      <w:bodyDiv w:val="1"/>
      <w:marLeft w:val="0"/>
      <w:marRight w:val="0"/>
      <w:marTop w:val="0"/>
      <w:marBottom w:val="0"/>
      <w:divBdr>
        <w:top w:val="none" w:sz="0" w:space="0" w:color="auto"/>
        <w:left w:val="none" w:sz="0" w:space="0" w:color="auto"/>
        <w:bottom w:val="none" w:sz="0" w:space="0" w:color="auto"/>
        <w:right w:val="none" w:sz="0" w:space="0" w:color="auto"/>
      </w:divBdr>
    </w:div>
    <w:div w:id="576676386">
      <w:bodyDiv w:val="1"/>
      <w:marLeft w:val="0"/>
      <w:marRight w:val="0"/>
      <w:marTop w:val="0"/>
      <w:marBottom w:val="0"/>
      <w:divBdr>
        <w:top w:val="none" w:sz="0" w:space="0" w:color="auto"/>
        <w:left w:val="none" w:sz="0" w:space="0" w:color="auto"/>
        <w:bottom w:val="none" w:sz="0" w:space="0" w:color="auto"/>
        <w:right w:val="none" w:sz="0" w:space="0" w:color="auto"/>
      </w:divBdr>
      <w:divsChild>
        <w:div w:id="247344902">
          <w:marLeft w:val="0"/>
          <w:marRight w:val="0"/>
          <w:marTop w:val="0"/>
          <w:marBottom w:val="0"/>
          <w:divBdr>
            <w:top w:val="none" w:sz="0" w:space="0" w:color="auto"/>
            <w:left w:val="none" w:sz="0" w:space="0" w:color="auto"/>
            <w:bottom w:val="none" w:sz="0" w:space="0" w:color="auto"/>
            <w:right w:val="none" w:sz="0" w:space="0" w:color="auto"/>
          </w:divBdr>
          <w:divsChild>
            <w:div w:id="54899566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717777687">
                  <w:marLeft w:val="0"/>
                  <w:marRight w:val="0"/>
                  <w:marTop w:val="0"/>
                  <w:marBottom w:val="0"/>
                  <w:divBdr>
                    <w:top w:val="none" w:sz="0" w:space="0" w:color="auto"/>
                    <w:left w:val="none" w:sz="0" w:space="0" w:color="auto"/>
                    <w:bottom w:val="none" w:sz="0" w:space="0" w:color="auto"/>
                    <w:right w:val="none" w:sz="0" w:space="0" w:color="auto"/>
                  </w:divBdr>
                  <w:divsChild>
                    <w:div w:id="33523451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11819799">
                  <w:marLeft w:val="0"/>
                  <w:marRight w:val="0"/>
                  <w:marTop w:val="0"/>
                  <w:marBottom w:val="0"/>
                  <w:divBdr>
                    <w:top w:val="none" w:sz="0" w:space="0" w:color="auto"/>
                    <w:left w:val="none" w:sz="0" w:space="0" w:color="auto"/>
                    <w:bottom w:val="none" w:sz="0" w:space="0" w:color="auto"/>
                    <w:right w:val="none" w:sz="0" w:space="0" w:color="auto"/>
                  </w:divBdr>
                  <w:divsChild>
                    <w:div w:id="3809415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10505747">
                  <w:marLeft w:val="0"/>
                  <w:marRight w:val="0"/>
                  <w:marTop w:val="0"/>
                  <w:marBottom w:val="0"/>
                  <w:divBdr>
                    <w:top w:val="none" w:sz="0" w:space="0" w:color="auto"/>
                    <w:left w:val="none" w:sz="0" w:space="0" w:color="auto"/>
                    <w:bottom w:val="none" w:sz="0" w:space="0" w:color="auto"/>
                    <w:right w:val="none" w:sz="0" w:space="0" w:color="auto"/>
                  </w:divBdr>
                  <w:divsChild>
                    <w:div w:id="127606280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297959127">
          <w:marLeft w:val="0"/>
          <w:marRight w:val="0"/>
          <w:marTop w:val="0"/>
          <w:marBottom w:val="0"/>
          <w:divBdr>
            <w:top w:val="none" w:sz="0" w:space="0" w:color="auto"/>
            <w:left w:val="none" w:sz="0" w:space="0" w:color="auto"/>
            <w:bottom w:val="none" w:sz="0" w:space="0" w:color="auto"/>
            <w:right w:val="none" w:sz="0" w:space="0" w:color="auto"/>
          </w:divBdr>
          <w:divsChild>
            <w:div w:id="15723289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71685619">
          <w:marLeft w:val="0"/>
          <w:marRight w:val="0"/>
          <w:marTop w:val="0"/>
          <w:marBottom w:val="0"/>
          <w:divBdr>
            <w:top w:val="none" w:sz="0" w:space="0" w:color="auto"/>
            <w:left w:val="none" w:sz="0" w:space="0" w:color="auto"/>
            <w:bottom w:val="none" w:sz="0" w:space="0" w:color="auto"/>
            <w:right w:val="none" w:sz="0" w:space="0" w:color="auto"/>
          </w:divBdr>
          <w:divsChild>
            <w:div w:id="98424045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34618712">
          <w:marLeft w:val="0"/>
          <w:marRight w:val="0"/>
          <w:marTop w:val="0"/>
          <w:marBottom w:val="0"/>
          <w:divBdr>
            <w:top w:val="none" w:sz="0" w:space="0" w:color="auto"/>
            <w:left w:val="none" w:sz="0" w:space="0" w:color="auto"/>
            <w:bottom w:val="none" w:sz="0" w:space="0" w:color="auto"/>
            <w:right w:val="none" w:sz="0" w:space="0" w:color="auto"/>
          </w:divBdr>
          <w:divsChild>
            <w:div w:id="16509986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91268911">
          <w:marLeft w:val="0"/>
          <w:marRight w:val="0"/>
          <w:marTop w:val="0"/>
          <w:marBottom w:val="0"/>
          <w:divBdr>
            <w:top w:val="none" w:sz="0" w:space="0" w:color="auto"/>
            <w:left w:val="none" w:sz="0" w:space="0" w:color="auto"/>
            <w:bottom w:val="none" w:sz="0" w:space="0" w:color="auto"/>
            <w:right w:val="none" w:sz="0" w:space="0" w:color="auto"/>
          </w:divBdr>
          <w:divsChild>
            <w:div w:id="68120327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580453286">
      <w:bodyDiv w:val="1"/>
      <w:marLeft w:val="0"/>
      <w:marRight w:val="0"/>
      <w:marTop w:val="0"/>
      <w:marBottom w:val="0"/>
      <w:divBdr>
        <w:top w:val="none" w:sz="0" w:space="0" w:color="auto"/>
        <w:left w:val="none" w:sz="0" w:space="0" w:color="auto"/>
        <w:bottom w:val="none" w:sz="0" w:space="0" w:color="auto"/>
        <w:right w:val="none" w:sz="0" w:space="0" w:color="auto"/>
      </w:divBdr>
    </w:div>
    <w:div w:id="591939256">
      <w:bodyDiv w:val="1"/>
      <w:marLeft w:val="0"/>
      <w:marRight w:val="0"/>
      <w:marTop w:val="0"/>
      <w:marBottom w:val="0"/>
      <w:divBdr>
        <w:top w:val="none" w:sz="0" w:space="0" w:color="auto"/>
        <w:left w:val="none" w:sz="0" w:space="0" w:color="auto"/>
        <w:bottom w:val="none" w:sz="0" w:space="0" w:color="auto"/>
        <w:right w:val="none" w:sz="0" w:space="0" w:color="auto"/>
      </w:divBdr>
      <w:divsChild>
        <w:div w:id="14355568">
          <w:marLeft w:val="0"/>
          <w:marRight w:val="0"/>
          <w:marTop w:val="0"/>
          <w:marBottom w:val="0"/>
          <w:divBdr>
            <w:top w:val="none" w:sz="0" w:space="0" w:color="auto"/>
            <w:left w:val="none" w:sz="0" w:space="0" w:color="auto"/>
            <w:bottom w:val="none" w:sz="0" w:space="0" w:color="auto"/>
            <w:right w:val="none" w:sz="0" w:space="0" w:color="auto"/>
          </w:divBdr>
          <w:divsChild>
            <w:div w:id="1661226943">
              <w:marLeft w:val="0"/>
              <w:marRight w:val="0"/>
              <w:marTop w:val="0"/>
              <w:marBottom w:val="0"/>
              <w:divBdr>
                <w:top w:val="none" w:sz="0" w:space="0" w:color="auto"/>
                <w:left w:val="none" w:sz="0" w:space="0" w:color="auto"/>
                <w:bottom w:val="none" w:sz="0" w:space="0" w:color="auto"/>
                <w:right w:val="none" w:sz="0" w:space="0" w:color="auto"/>
              </w:divBdr>
              <w:divsChild>
                <w:div w:id="1820270747">
                  <w:marLeft w:val="0"/>
                  <w:marRight w:val="0"/>
                  <w:marTop w:val="0"/>
                  <w:marBottom w:val="0"/>
                  <w:divBdr>
                    <w:top w:val="none" w:sz="0" w:space="0" w:color="auto"/>
                    <w:left w:val="none" w:sz="0" w:space="0" w:color="auto"/>
                    <w:bottom w:val="none" w:sz="0" w:space="0" w:color="auto"/>
                    <w:right w:val="none" w:sz="0" w:space="0" w:color="auto"/>
                  </w:divBdr>
                  <w:divsChild>
                    <w:div w:id="977538832">
                      <w:marLeft w:val="0"/>
                      <w:marRight w:val="0"/>
                      <w:marTop w:val="0"/>
                      <w:marBottom w:val="0"/>
                      <w:divBdr>
                        <w:top w:val="none" w:sz="0" w:space="0" w:color="auto"/>
                        <w:left w:val="none" w:sz="0" w:space="0" w:color="auto"/>
                        <w:bottom w:val="none" w:sz="0" w:space="0" w:color="auto"/>
                        <w:right w:val="none" w:sz="0" w:space="0" w:color="auto"/>
                      </w:divBdr>
                      <w:divsChild>
                        <w:div w:id="476529820">
                          <w:marLeft w:val="0"/>
                          <w:marRight w:val="0"/>
                          <w:marTop w:val="0"/>
                          <w:marBottom w:val="0"/>
                          <w:divBdr>
                            <w:top w:val="none" w:sz="0" w:space="0" w:color="auto"/>
                            <w:left w:val="none" w:sz="0" w:space="0" w:color="auto"/>
                            <w:bottom w:val="none" w:sz="0" w:space="0" w:color="auto"/>
                            <w:right w:val="none" w:sz="0" w:space="0" w:color="auto"/>
                          </w:divBdr>
                          <w:divsChild>
                            <w:div w:id="1020159074">
                              <w:marLeft w:val="0"/>
                              <w:marRight w:val="0"/>
                              <w:marTop w:val="0"/>
                              <w:marBottom w:val="0"/>
                              <w:divBdr>
                                <w:top w:val="none" w:sz="0" w:space="0" w:color="auto"/>
                                <w:left w:val="none" w:sz="0" w:space="0" w:color="auto"/>
                                <w:bottom w:val="none" w:sz="0" w:space="0" w:color="auto"/>
                                <w:right w:val="none" w:sz="0" w:space="0" w:color="auto"/>
                              </w:divBdr>
                              <w:divsChild>
                                <w:div w:id="1455441079">
                                  <w:marLeft w:val="0"/>
                                  <w:marRight w:val="0"/>
                                  <w:marTop w:val="0"/>
                                  <w:marBottom w:val="0"/>
                                  <w:divBdr>
                                    <w:top w:val="none" w:sz="0" w:space="0" w:color="auto"/>
                                    <w:left w:val="none" w:sz="0" w:space="0" w:color="auto"/>
                                    <w:bottom w:val="none" w:sz="0" w:space="0" w:color="auto"/>
                                    <w:right w:val="none" w:sz="0" w:space="0" w:color="auto"/>
                                  </w:divBdr>
                                  <w:divsChild>
                                    <w:div w:id="1877502936">
                                      <w:marLeft w:val="-225"/>
                                      <w:marRight w:val="-225"/>
                                      <w:marTop w:val="0"/>
                                      <w:marBottom w:val="0"/>
                                      <w:divBdr>
                                        <w:top w:val="none" w:sz="0" w:space="0" w:color="auto"/>
                                        <w:left w:val="none" w:sz="0" w:space="0" w:color="auto"/>
                                        <w:bottom w:val="none" w:sz="0" w:space="0" w:color="auto"/>
                                        <w:right w:val="none" w:sz="0" w:space="0" w:color="auto"/>
                                      </w:divBdr>
                                      <w:divsChild>
                                        <w:div w:id="1292783951">
                                          <w:marLeft w:val="0"/>
                                          <w:marRight w:val="0"/>
                                          <w:marTop w:val="0"/>
                                          <w:marBottom w:val="0"/>
                                          <w:divBdr>
                                            <w:top w:val="none" w:sz="0" w:space="0" w:color="auto"/>
                                            <w:left w:val="none" w:sz="0" w:space="0" w:color="auto"/>
                                            <w:bottom w:val="none" w:sz="0" w:space="0" w:color="auto"/>
                                            <w:right w:val="none" w:sz="0" w:space="0" w:color="auto"/>
                                          </w:divBdr>
                                          <w:divsChild>
                                            <w:div w:id="1217934772">
                                              <w:marLeft w:val="0"/>
                                              <w:marRight w:val="0"/>
                                              <w:marTop w:val="0"/>
                                              <w:marBottom w:val="0"/>
                                              <w:divBdr>
                                                <w:top w:val="none" w:sz="0" w:space="0" w:color="auto"/>
                                                <w:left w:val="none" w:sz="0" w:space="0" w:color="auto"/>
                                                <w:bottom w:val="none" w:sz="0" w:space="0" w:color="auto"/>
                                                <w:right w:val="none" w:sz="0" w:space="0" w:color="auto"/>
                                              </w:divBdr>
                                              <w:divsChild>
                                                <w:div w:id="105231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2251050">
      <w:bodyDiv w:val="1"/>
      <w:marLeft w:val="0"/>
      <w:marRight w:val="0"/>
      <w:marTop w:val="0"/>
      <w:marBottom w:val="0"/>
      <w:divBdr>
        <w:top w:val="none" w:sz="0" w:space="0" w:color="auto"/>
        <w:left w:val="none" w:sz="0" w:space="0" w:color="auto"/>
        <w:bottom w:val="none" w:sz="0" w:space="0" w:color="auto"/>
        <w:right w:val="none" w:sz="0" w:space="0" w:color="auto"/>
      </w:divBdr>
    </w:div>
    <w:div w:id="596717850">
      <w:bodyDiv w:val="1"/>
      <w:marLeft w:val="0"/>
      <w:marRight w:val="0"/>
      <w:marTop w:val="0"/>
      <w:marBottom w:val="0"/>
      <w:divBdr>
        <w:top w:val="none" w:sz="0" w:space="0" w:color="auto"/>
        <w:left w:val="none" w:sz="0" w:space="0" w:color="auto"/>
        <w:bottom w:val="none" w:sz="0" w:space="0" w:color="auto"/>
        <w:right w:val="none" w:sz="0" w:space="0" w:color="auto"/>
      </w:divBdr>
    </w:div>
    <w:div w:id="601956965">
      <w:bodyDiv w:val="1"/>
      <w:marLeft w:val="0"/>
      <w:marRight w:val="0"/>
      <w:marTop w:val="0"/>
      <w:marBottom w:val="0"/>
      <w:divBdr>
        <w:top w:val="none" w:sz="0" w:space="0" w:color="auto"/>
        <w:left w:val="none" w:sz="0" w:space="0" w:color="auto"/>
        <w:bottom w:val="none" w:sz="0" w:space="0" w:color="auto"/>
        <w:right w:val="none" w:sz="0" w:space="0" w:color="auto"/>
      </w:divBdr>
    </w:div>
    <w:div w:id="603077738">
      <w:bodyDiv w:val="1"/>
      <w:marLeft w:val="0"/>
      <w:marRight w:val="0"/>
      <w:marTop w:val="0"/>
      <w:marBottom w:val="0"/>
      <w:divBdr>
        <w:top w:val="none" w:sz="0" w:space="0" w:color="auto"/>
        <w:left w:val="none" w:sz="0" w:space="0" w:color="auto"/>
        <w:bottom w:val="none" w:sz="0" w:space="0" w:color="auto"/>
        <w:right w:val="none" w:sz="0" w:space="0" w:color="auto"/>
      </w:divBdr>
    </w:div>
    <w:div w:id="637229508">
      <w:bodyDiv w:val="1"/>
      <w:marLeft w:val="0"/>
      <w:marRight w:val="0"/>
      <w:marTop w:val="0"/>
      <w:marBottom w:val="0"/>
      <w:divBdr>
        <w:top w:val="none" w:sz="0" w:space="0" w:color="auto"/>
        <w:left w:val="none" w:sz="0" w:space="0" w:color="auto"/>
        <w:bottom w:val="none" w:sz="0" w:space="0" w:color="auto"/>
        <w:right w:val="none" w:sz="0" w:space="0" w:color="auto"/>
      </w:divBdr>
    </w:div>
    <w:div w:id="644436931">
      <w:bodyDiv w:val="1"/>
      <w:marLeft w:val="0"/>
      <w:marRight w:val="0"/>
      <w:marTop w:val="0"/>
      <w:marBottom w:val="0"/>
      <w:divBdr>
        <w:top w:val="none" w:sz="0" w:space="0" w:color="auto"/>
        <w:left w:val="none" w:sz="0" w:space="0" w:color="auto"/>
        <w:bottom w:val="none" w:sz="0" w:space="0" w:color="auto"/>
        <w:right w:val="none" w:sz="0" w:space="0" w:color="auto"/>
      </w:divBdr>
    </w:div>
    <w:div w:id="654142729">
      <w:bodyDiv w:val="1"/>
      <w:marLeft w:val="0"/>
      <w:marRight w:val="0"/>
      <w:marTop w:val="0"/>
      <w:marBottom w:val="0"/>
      <w:divBdr>
        <w:top w:val="none" w:sz="0" w:space="0" w:color="auto"/>
        <w:left w:val="none" w:sz="0" w:space="0" w:color="auto"/>
        <w:bottom w:val="none" w:sz="0" w:space="0" w:color="auto"/>
        <w:right w:val="none" w:sz="0" w:space="0" w:color="auto"/>
      </w:divBdr>
    </w:div>
    <w:div w:id="663821559">
      <w:bodyDiv w:val="1"/>
      <w:marLeft w:val="0"/>
      <w:marRight w:val="0"/>
      <w:marTop w:val="0"/>
      <w:marBottom w:val="0"/>
      <w:divBdr>
        <w:top w:val="none" w:sz="0" w:space="0" w:color="auto"/>
        <w:left w:val="none" w:sz="0" w:space="0" w:color="auto"/>
        <w:bottom w:val="none" w:sz="0" w:space="0" w:color="auto"/>
        <w:right w:val="none" w:sz="0" w:space="0" w:color="auto"/>
      </w:divBdr>
    </w:div>
    <w:div w:id="687489099">
      <w:bodyDiv w:val="1"/>
      <w:marLeft w:val="0"/>
      <w:marRight w:val="0"/>
      <w:marTop w:val="0"/>
      <w:marBottom w:val="0"/>
      <w:divBdr>
        <w:top w:val="none" w:sz="0" w:space="0" w:color="auto"/>
        <w:left w:val="none" w:sz="0" w:space="0" w:color="auto"/>
        <w:bottom w:val="none" w:sz="0" w:space="0" w:color="auto"/>
        <w:right w:val="none" w:sz="0" w:space="0" w:color="auto"/>
      </w:divBdr>
    </w:div>
    <w:div w:id="719861113">
      <w:bodyDiv w:val="1"/>
      <w:marLeft w:val="0"/>
      <w:marRight w:val="0"/>
      <w:marTop w:val="0"/>
      <w:marBottom w:val="0"/>
      <w:divBdr>
        <w:top w:val="none" w:sz="0" w:space="0" w:color="auto"/>
        <w:left w:val="none" w:sz="0" w:space="0" w:color="auto"/>
        <w:bottom w:val="none" w:sz="0" w:space="0" w:color="auto"/>
        <w:right w:val="none" w:sz="0" w:space="0" w:color="auto"/>
      </w:divBdr>
    </w:div>
    <w:div w:id="720666405">
      <w:bodyDiv w:val="1"/>
      <w:marLeft w:val="0"/>
      <w:marRight w:val="0"/>
      <w:marTop w:val="0"/>
      <w:marBottom w:val="0"/>
      <w:divBdr>
        <w:top w:val="none" w:sz="0" w:space="0" w:color="auto"/>
        <w:left w:val="none" w:sz="0" w:space="0" w:color="auto"/>
        <w:bottom w:val="none" w:sz="0" w:space="0" w:color="auto"/>
        <w:right w:val="none" w:sz="0" w:space="0" w:color="auto"/>
      </w:divBdr>
      <w:divsChild>
        <w:div w:id="96099686">
          <w:marLeft w:val="0"/>
          <w:marRight w:val="0"/>
          <w:marTop w:val="0"/>
          <w:marBottom w:val="0"/>
          <w:divBdr>
            <w:top w:val="none" w:sz="0" w:space="0" w:color="auto"/>
            <w:left w:val="none" w:sz="0" w:space="0" w:color="auto"/>
            <w:bottom w:val="none" w:sz="0" w:space="0" w:color="auto"/>
            <w:right w:val="none" w:sz="0" w:space="0" w:color="auto"/>
          </w:divBdr>
          <w:divsChild>
            <w:div w:id="1400515143">
              <w:marLeft w:val="0"/>
              <w:marRight w:val="0"/>
              <w:marTop w:val="0"/>
              <w:marBottom w:val="0"/>
              <w:divBdr>
                <w:top w:val="none" w:sz="0" w:space="0" w:color="auto"/>
                <w:left w:val="none" w:sz="0" w:space="0" w:color="auto"/>
                <w:bottom w:val="none" w:sz="0" w:space="0" w:color="auto"/>
                <w:right w:val="none" w:sz="0" w:space="0" w:color="auto"/>
              </w:divBdr>
              <w:divsChild>
                <w:div w:id="1266840920">
                  <w:marLeft w:val="0"/>
                  <w:marRight w:val="0"/>
                  <w:marTop w:val="0"/>
                  <w:marBottom w:val="0"/>
                  <w:divBdr>
                    <w:top w:val="none" w:sz="0" w:space="0" w:color="auto"/>
                    <w:left w:val="none" w:sz="0" w:space="0" w:color="auto"/>
                    <w:bottom w:val="none" w:sz="0" w:space="0" w:color="auto"/>
                    <w:right w:val="none" w:sz="0" w:space="0" w:color="auto"/>
                  </w:divBdr>
                  <w:divsChild>
                    <w:div w:id="447285851">
                      <w:marLeft w:val="0"/>
                      <w:marRight w:val="0"/>
                      <w:marTop w:val="0"/>
                      <w:marBottom w:val="0"/>
                      <w:divBdr>
                        <w:top w:val="none" w:sz="0" w:space="0" w:color="auto"/>
                        <w:left w:val="none" w:sz="0" w:space="0" w:color="auto"/>
                        <w:bottom w:val="none" w:sz="0" w:space="0" w:color="auto"/>
                        <w:right w:val="none" w:sz="0" w:space="0" w:color="auto"/>
                      </w:divBdr>
                      <w:divsChild>
                        <w:div w:id="80370078">
                          <w:marLeft w:val="0"/>
                          <w:marRight w:val="0"/>
                          <w:marTop w:val="0"/>
                          <w:marBottom w:val="0"/>
                          <w:divBdr>
                            <w:top w:val="none" w:sz="0" w:space="0" w:color="auto"/>
                            <w:left w:val="none" w:sz="0" w:space="0" w:color="auto"/>
                            <w:bottom w:val="none" w:sz="0" w:space="0" w:color="auto"/>
                            <w:right w:val="none" w:sz="0" w:space="0" w:color="auto"/>
                          </w:divBdr>
                          <w:divsChild>
                            <w:div w:id="702903414">
                              <w:marLeft w:val="0"/>
                              <w:marRight w:val="0"/>
                              <w:marTop w:val="0"/>
                              <w:marBottom w:val="0"/>
                              <w:divBdr>
                                <w:top w:val="none" w:sz="0" w:space="0" w:color="auto"/>
                                <w:left w:val="none" w:sz="0" w:space="0" w:color="auto"/>
                                <w:bottom w:val="none" w:sz="0" w:space="0" w:color="auto"/>
                                <w:right w:val="none" w:sz="0" w:space="0" w:color="auto"/>
                              </w:divBdr>
                              <w:divsChild>
                                <w:div w:id="1011374244">
                                  <w:marLeft w:val="0"/>
                                  <w:marRight w:val="0"/>
                                  <w:marTop w:val="0"/>
                                  <w:marBottom w:val="0"/>
                                  <w:divBdr>
                                    <w:top w:val="none" w:sz="0" w:space="0" w:color="auto"/>
                                    <w:left w:val="none" w:sz="0" w:space="0" w:color="auto"/>
                                    <w:bottom w:val="none" w:sz="0" w:space="0" w:color="auto"/>
                                    <w:right w:val="none" w:sz="0" w:space="0" w:color="auto"/>
                                  </w:divBdr>
                                  <w:divsChild>
                                    <w:div w:id="1524705074">
                                      <w:marLeft w:val="-225"/>
                                      <w:marRight w:val="-225"/>
                                      <w:marTop w:val="0"/>
                                      <w:marBottom w:val="0"/>
                                      <w:divBdr>
                                        <w:top w:val="none" w:sz="0" w:space="0" w:color="auto"/>
                                        <w:left w:val="none" w:sz="0" w:space="0" w:color="auto"/>
                                        <w:bottom w:val="none" w:sz="0" w:space="0" w:color="auto"/>
                                        <w:right w:val="none" w:sz="0" w:space="0" w:color="auto"/>
                                      </w:divBdr>
                                      <w:divsChild>
                                        <w:div w:id="602152010">
                                          <w:marLeft w:val="0"/>
                                          <w:marRight w:val="0"/>
                                          <w:marTop w:val="0"/>
                                          <w:marBottom w:val="0"/>
                                          <w:divBdr>
                                            <w:top w:val="none" w:sz="0" w:space="0" w:color="auto"/>
                                            <w:left w:val="none" w:sz="0" w:space="0" w:color="auto"/>
                                            <w:bottom w:val="none" w:sz="0" w:space="0" w:color="auto"/>
                                            <w:right w:val="none" w:sz="0" w:space="0" w:color="auto"/>
                                          </w:divBdr>
                                          <w:divsChild>
                                            <w:div w:id="699745199">
                                              <w:marLeft w:val="0"/>
                                              <w:marRight w:val="0"/>
                                              <w:marTop w:val="0"/>
                                              <w:marBottom w:val="0"/>
                                              <w:divBdr>
                                                <w:top w:val="none" w:sz="0" w:space="0" w:color="auto"/>
                                                <w:left w:val="none" w:sz="0" w:space="0" w:color="auto"/>
                                                <w:bottom w:val="none" w:sz="0" w:space="0" w:color="auto"/>
                                                <w:right w:val="none" w:sz="0" w:space="0" w:color="auto"/>
                                              </w:divBdr>
                                              <w:divsChild>
                                                <w:div w:id="4965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299908">
      <w:bodyDiv w:val="1"/>
      <w:marLeft w:val="0"/>
      <w:marRight w:val="0"/>
      <w:marTop w:val="0"/>
      <w:marBottom w:val="0"/>
      <w:divBdr>
        <w:top w:val="none" w:sz="0" w:space="0" w:color="auto"/>
        <w:left w:val="none" w:sz="0" w:space="0" w:color="auto"/>
        <w:bottom w:val="none" w:sz="0" w:space="0" w:color="auto"/>
        <w:right w:val="none" w:sz="0" w:space="0" w:color="auto"/>
      </w:divBdr>
    </w:div>
    <w:div w:id="766121877">
      <w:bodyDiv w:val="1"/>
      <w:marLeft w:val="0"/>
      <w:marRight w:val="0"/>
      <w:marTop w:val="0"/>
      <w:marBottom w:val="0"/>
      <w:divBdr>
        <w:top w:val="none" w:sz="0" w:space="0" w:color="auto"/>
        <w:left w:val="none" w:sz="0" w:space="0" w:color="auto"/>
        <w:bottom w:val="none" w:sz="0" w:space="0" w:color="auto"/>
        <w:right w:val="none" w:sz="0" w:space="0" w:color="auto"/>
      </w:divBdr>
    </w:div>
    <w:div w:id="782261594">
      <w:bodyDiv w:val="1"/>
      <w:marLeft w:val="0"/>
      <w:marRight w:val="0"/>
      <w:marTop w:val="0"/>
      <w:marBottom w:val="0"/>
      <w:divBdr>
        <w:top w:val="none" w:sz="0" w:space="0" w:color="auto"/>
        <w:left w:val="none" w:sz="0" w:space="0" w:color="auto"/>
        <w:bottom w:val="none" w:sz="0" w:space="0" w:color="auto"/>
        <w:right w:val="none" w:sz="0" w:space="0" w:color="auto"/>
      </w:divBdr>
    </w:div>
    <w:div w:id="791217554">
      <w:bodyDiv w:val="1"/>
      <w:marLeft w:val="0"/>
      <w:marRight w:val="0"/>
      <w:marTop w:val="0"/>
      <w:marBottom w:val="0"/>
      <w:divBdr>
        <w:top w:val="none" w:sz="0" w:space="0" w:color="auto"/>
        <w:left w:val="none" w:sz="0" w:space="0" w:color="auto"/>
        <w:bottom w:val="none" w:sz="0" w:space="0" w:color="auto"/>
        <w:right w:val="none" w:sz="0" w:space="0" w:color="auto"/>
      </w:divBdr>
    </w:div>
    <w:div w:id="798689743">
      <w:bodyDiv w:val="1"/>
      <w:marLeft w:val="0"/>
      <w:marRight w:val="0"/>
      <w:marTop w:val="0"/>
      <w:marBottom w:val="0"/>
      <w:divBdr>
        <w:top w:val="none" w:sz="0" w:space="0" w:color="auto"/>
        <w:left w:val="none" w:sz="0" w:space="0" w:color="auto"/>
        <w:bottom w:val="none" w:sz="0" w:space="0" w:color="auto"/>
        <w:right w:val="none" w:sz="0" w:space="0" w:color="auto"/>
      </w:divBdr>
    </w:div>
    <w:div w:id="800154257">
      <w:bodyDiv w:val="1"/>
      <w:marLeft w:val="0"/>
      <w:marRight w:val="0"/>
      <w:marTop w:val="0"/>
      <w:marBottom w:val="0"/>
      <w:divBdr>
        <w:top w:val="none" w:sz="0" w:space="0" w:color="auto"/>
        <w:left w:val="none" w:sz="0" w:space="0" w:color="auto"/>
        <w:bottom w:val="none" w:sz="0" w:space="0" w:color="auto"/>
        <w:right w:val="none" w:sz="0" w:space="0" w:color="auto"/>
      </w:divBdr>
    </w:div>
    <w:div w:id="800347238">
      <w:bodyDiv w:val="1"/>
      <w:marLeft w:val="0"/>
      <w:marRight w:val="0"/>
      <w:marTop w:val="0"/>
      <w:marBottom w:val="0"/>
      <w:divBdr>
        <w:top w:val="none" w:sz="0" w:space="0" w:color="auto"/>
        <w:left w:val="none" w:sz="0" w:space="0" w:color="auto"/>
        <w:bottom w:val="none" w:sz="0" w:space="0" w:color="auto"/>
        <w:right w:val="none" w:sz="0" w:space="0" w:color="auto"/>
      </w:divBdr>
    </w:div>
    <w:div w:id="821241255">
      <w:bodyDiv w:val="1"/>
      <w:marLeft w:val="0"/>
      <w:marRight w:val="0"/>
      <w:marTop w:val="0"/>
      <w:marBottom w:val="0"/>
      <w:divBdr>
        <w:top w:val="none" w:sz="0" w:space="0" w:color="auto"/>
        <w:left w:val="none" w:sz="0" w:space="0" w:color="auto"/>
        <w:bottom w:val="none" w:sz="0" w:space="0" w:color="auto"/>
        <w:right w:val="none" w:sz="0" w:space="0" w:color="auto"/>
      </w:divBdr>
    </w:div>
    <w:div w:id="823282570">
      <w:bodyDiv w:val="1"/>
      <w:marLeft w:val="0"/>
      <w:marRight w:val="0"/>
      <w:marTop w:val="0"/>
      <w:marBottom w:val="0"/>
      <w:divBdr>
        <w:top w:val="none" w:sz="0" w:space="0" w:color="auto"/>
        <w:left w:val="none" w:sz="0" w:space="0" w:color="auto"/>
        <w:bottom w:val="none" w:sz="0" w:space="0" w:color="auto"/>
        <w:right w:val="none" w:sz="0" w:space="0" w:color="auto"/>
      </w:divBdr>
    </w:div>
    <w:div w:id="832569967">
      <w:bodyDiv w:val="1"/>
      <w:marLeft w:val="0"/>
      <w:marRight w:val="0"/>
      <w:marTop w:val="0"/>
      <w:marBottom w:val="0"/>
      <w:divBdr>
        <w:top w:val="none" w:sz="0" w:space="0" w:color="auto"/>
        <w:left w:val="none" w:sz="0" w:space="0" w:color="auto"/>
        <w:bottom w:val="none" w:sz="0" w:space="0" w:color="auto"/>
        <w:right w:val="none" w:sz="0" w:space="0" w:color="auto"/>
      </w:divBdr>
    </w:div>
    <w:div w:id="834878601">
      <w:bodyDiv w:val="1"/>
      <w:marLeft w:val="0"/>
      <w:marRight w:val="0"/>
      <w:marTop w:val="0"/>
      <w:marBottom w:val="0"/>
      <w:divBdr>
        <w:top w:val="none" w:sz="0" w:space="0" w:color="auto"/>
        <w:left w:val="none" w:sz="0" w:space="0" w:color="auto"/>
        <w:bottom w:val="none" w:sz="0" w:space="0" w:color="auto"/>
        <w:right w:val="none" w:sz="0" w:space="0" w:color="auto"/>
      </w:divBdr>
    </w:div>
    <w:div w:id="846141608">
      <w:bodyDiv w:val="1"/>
      <w:marLeft w:val="0"/>
      <w:marRight w:val="0"/>
      <w:marTop w:val="0"/>
      <w:marBottom w:val="0"/>
      <w:divBdr>
        <w:top w:val="none" w:sz="0" w:space="0" w:color="auto"/>
        <w:left w:val="none" w:sz="0" w:space="0" w:color="auto"/>
        <w:bottom w:val="none" w:sz="0" w:space="0" w:color="auto"/>
        <w:right w:val="none" w:sz="0" w:space="0" w:color="auto"/>
      </w:divBdr>
    </w:div>
    <w:div w:id="878711048">
      <w:bodyDiv w:val="1"/>
      <w:marLeft w:val="0"/>
      <w:marRight w:val="0"/>
      <w:marTop w:val="0"/>
      <w:marBottom w:val="0"/>
      <w:divBdr>
        <w:top w:val="none" w:sz="0" w:space="0" w:color="auto"/>
        <w:left w:val="none" w:sz="0" w:space="0" w:color="auto"/>
        <w:bottom w:val="none" w:sz="0" w:space="0" w:color="auto"/>
        <w:right w:val="none" w:sz="0" w:space="0" w:color="auto"/>
      </w:divBdr>
    </w:div>
    <w:div w:id="902714778">
      <w:bodyDiv w:val="1"/>
      <w:marLeft w:val="0"/>
      <w:marRight w:val="0"/>
      <w:marTop w:val="0"/>
      <w:marBottom w:val="0"/>
      <w:divBdr>
        <w:top w:val="none" w:sz="0" w:space="0" w:color="auto"/>
        <w:left w:val="none" w:sz="0" w:space="0" w:color="auto"/>
        <w:bottom w:val="none" w:sz="0" w:space="0" w:color="auto"/>
        <w:right w:val="none" w:sz="0" w:space="0" w:color="auto"/>
      </w:divBdr>
    </w:div>
    <w:div w:id="921567396">
      <w:bodyDiv w:val="1"/>
      <w:marLeft w:val="0"/>
      <w:marRight w:val="0"/>
      <w:marTop w:val="0"/>
      <w:marBottom w:val="0"/>
      <w:divBdr>
        <w:top w:val="none" w:sz="0" w:space="0" w:color="auto"/>
        <w:left w:val="none" w:sz="0" w:space="0" w:color="auto"/>
        <w:bottom w:val="none" w:sz="0" w:space="0" w:color="auto"/>
        <w:right w:val="none" w:sz="0" w:space="0" w:color="auto"/>
      </w:divBdr>
    </w:div>
    <w:div w:id="942565645">
      <w:bodyDiv w:val="1"/>
      <w:marLeft w:val="0"/>
      <w:marRight w:val="0"/>
      <w:marTop w:val="0"/>
      <w:marBottom w:val="0"/>
      <w:divBdr>
        <w:top w:val="none" w:sz="0" w:space="0" w:color="auto"/>
        <w:left w:val="none" w:sz="0" w:space="0" w:color="auto"/>
        <w:bottom w:val="none" w:sz="0" w:space="0" w:color="auto"/>
        <w:right w:val="none" w:sz="0" w:space="0" w:color="auto"/>
      </w:divBdr>
    </w:div>
    <w:div w:id="952440546">
      <w:bodyDiv w:val="1"/>
      <w:marLeft w:val="0"/>
      <w:marRight w:val="0"/>
      <w:marTop w:val="0"/>
      <w:marBottom w:val="0"/>
      <w:divBdr>
        <w:top w:val="none" w:sz="0" w:space="0" w:color="auto"/>
        <w:left w:val="none" w:sz="0" w:space="0" w:color="auto"/>
        <w:bottom w:val="none" w:sz="0" w:space="0" w:color="auto"/>
        <w:right w:val="none" w:sz="0" w:space="0" w:color="auto"/>
      </w:divBdr>
    </w:div>
    <w:div w:id="958603385">
      <w:bodyDiv w:val="1"/>
      <w:marLeft w:val="0"/>
      <w:marRight w:val="0"/>
      <w:marTop w:val="0"/>
      <w:marBottom w:val="0"/>
      <w:divBdr>
        <w:top w:val="none" w:sz="0" w:space="0" w:color="auto"/>
        <w:left w:val="none" w:sz="0" w:space="0" w:color="auto"/>
        <w:bottom w:val="none" w:sz="0" w:space="0" w:color="auto"/>
        <w:right w:val="none" w:sz="0" w:space="0" w:color="auto"/>
      </w:divBdr>
    </w:div>
    <w:div w:id="978152698">
      <w:bodyDiv w:val="1"/>
      <w:marLeft w:val="0"/>
      <w:marRight w:val="0"/>
      <w:marTop w:val="0"/>
      <w:marBottom w:val="0"/>
      <w:divBdr>
        <w:top w:val="none" w:sz="0" w:space="0" w:color="auto"/>
        <w:left w:val="none" w:sz="0" w:space="0" w:color="auto"/>
        <w:bottom w:val="none" w:sz="0" w:space="0" w:color="auto"/>
        <w:right w:val="none" w:sz="0" w:space="0" w:color="auto"/>
      </w:divBdr>
    </w:div>
    <w:div w:id="996346109">
      <w:bodyDiv w:val="1"/>
      <w:marLeft w:val="0"/>
      <w:marRight w:val="0"/>
      <w:marTop w:val="0"/>
      <w:marBottom w:val="0"/>
      <w:divBdr>
        <w:top w:val="none" w:sz="0" w:space="0" w:color="auto"/>
        <w:left w:val="none" w:sz="0" w:space="0" w:color="auto"/>
        <w:bottom w:val="none" w:sz="0" w:space="0" w:color="auto"/>
        <w:right w:val="none" w:sz="0" w:space="0" w:color="auto"/>
      </w:divBdr>
    </w:div>
    <w:div w:id="1012803612">
      <w:bodyDiv w:val="1"/>
      <w:marLeft w:val="0"/>
      <w:marRight w:val="0"/>
      <w:marTop w:val="0"/>
      <w:marBottom w:val="0"/>
      <w:divBdr>
        <w:top w:val="none" w:sz="0" w:space="0" w:color="auto"/>
        <w:left w:val="none" w:sz="0" w:space="0" w:color="auto"/>
        <w:bottom w:val="none" w:sz="0" w:space="0" w:color="auto"/>
        <w:right w:val="none" w:sz="0" w:space="0" w:color="auto"/>
      </w:divBdr>
    </w:div>
    <w:div w:id="1015302775">
      <w:bodyDiv w:val="1"/>
      <w:marLeft w:val="0"/>
      <w:marRight w:val="0"/>
      <w:marTop w:val="0"/>
      <w:marBottom w:val="0"/>
      <w:divBdr>
        <w:top w:val="none" w:sz="0" w:space="0" w:color="auto"/>
        <w:left w:val="none" w:sz="0" w:space="0" w:color="auto"/>
        <w:bottom w:val="none" w:sz="0" w:space="0" w:color="auto"/>
        <w:right w:val="none" w:sz="0" w:space="0" w:color="auto"/>
      </w:divBdr>
      <w:divsChild>
        <w:div w:id="141655894">
          <w:marLeft w:val="0"/>
          <w:marRight w:val="0"/>
          <w:marTop w:val="0"/>
          <w:marBottom w:val="0"/>
          <w:divBdr>
            <w:top w:val="none" w:sz="0" w:space="0" w:color="auto"/>
            <w:left w:val="none" w:sz="0" w:space="0" w:color="auto"/>
            <w:bottom w:val="none" w:sz="0" w:space="0" w:color="auto"/>
            <w:right w:val="none" w:sz="0" w:space="0" w:color="auto"/>
          </w:divBdr>
          <w:divsChild>
            <w:div w:id="1661689643">
              <w:marLeft w:val="0"/>
              <w:marRight w:val="0"/>
              <w:marTop w:val="0"/>
              <w:marBottom w:val="0"/>
              <w:divBdr>
                <w:top w:val="none" w:sz="0" w:space="0" w:color="auto"/>
                <w:left w:val="none" w:sz="0" w:space="0" w:color="auto"/>
                <w:bottom w:val="none" w:sz="0" w:space="0" w:color="auto"/>
                <w:right w:val="none" w:sz="0" w:space="0" w:color="auto"/>
              </w:divBdr>
              <w:divsChild>
                <w:div w:id="711273624">
                  <w:marLeft w:val="0"/>
                  <w:marRight w:val="0"/>
                  <w:marTop w:val="0"/>
                  <w:marBottom w:val="0"/>
                  <w:divBdr>
                    <w:top w:val="none" w:sz="0" w:space="0" w:color="auto"/>
                    <w:left w:val="none" w:sz="0" w:space="0" w:color="auto"/>
                    <w:bottom w:val="none" w:sz="0" w:space="0" w:color="auto"/>
                    <w:right w:val="none" w:sz="0" w:space="0" w:color="auto"/>
                  </w:divBdr>
                  <w:divsChild>
                    <w:div w:id="1142582000">
                      <w:marLeft w:val="0"/>
                      <w:marRight w:val="0"/>
                      <w:marTop w:val="0"/>
                      <w:marBottom w:val="0"/>
                      <w:divBdr>
                        <w:top w:val="none" w:sz="0" w:space="0" w:color="auto"/>
                        <w:left w:val="none" w:sz="0" w:space="0" w:color="auto"/>
                        <w:bottom w:val="none" w:sz="0" w:space="0" w:color="auto"/>
                        <w:right w:val="none" w:sz="0" w:space="0" w:color="auto"/>
                      </w:divBdr>
                      <w:divsChild>
                        <w:div w:id="531042650">
                          <w:marLeft w:val="0"/>
                          <w:marRight w:val="0"/>
                          <w:marTop w:val="0"/>
                          <w:marBottom w:val="0"/>
                          <w:divBdr>
                            <w:top w:val="none" w:sz="0" w:space="0" w:color="auto"/>
                            <w:left w:val="none" w:sz="0" w:space="0" w:color="auto"/>
                            <w:bottom w:val="none" w:sz="0" w:space="0" w:color="auto"/>
                            <w:right w:val="none" w:sz="0" w:space="0" w:color="auto"/>
                          </w:divBdr>
                          <w:divsChild>
                            <w:div w:id="1224216588">
                              <w:marLeft w:val="0"/>
                              <w:marRight w:val="0"/>
                              <w:marTop w:val="0"/>
                              <w:marBottom w:val="0"/>
                              <w:divBdr>
                                <w:top w:val="none" w:sz="0" w:space="0" w:color="auto"/>
                                <w:left w:val="none" w:sz="0" w:space="0" w:color="auto"/>
                                <w:bottom w:val="none" w:sz="0" w:space="0" w:color="auto"/>
                                <w:right w:val="none" w:sz="0" w:space="0" w:color="auto"/>
                              </w:divBdr>
                              <w:divsChild>
                                <w:div w:id="634213821">
                                  <w:marLeft w:val="0"/>
                                  <w:marRight w:val="0"/>
                                  <w:marTop w:val="0"/>
                                  <w:marBottom w:val="0"/>
                                  <w:divBdr>
                                    <w:top w:val="none" w:sz="0" w:space="0" w:color="auto"/>
                                    <w:left w:val="none" w:sz="0" w:space="0" w:color="auto"/>
                                    <w:bottom w:val="none" w:sz="0" w:space="0" w:color="auto"/>
                                    <w:right w:val="none" w:sz="0" w:space="0" w:color="auto"/>
                                  </w:divBdr>
                                  <w:divsChild>
                                    <w:div w:id="407384328">
                                      <w:marLeft w:val="-225"/>
                                      <w:marRight w:val="-225"/>
                                      <w:marTop w:val="0"/>
                                      <w:marBottom w:val="0"/>
                                      <w:divBdr>
                                        <w:top w:val="none" w:sz="0" w:space="0" w:color="auto"/>
                                        <w:left w:val="none" w:sz="0" w:space="0" w:color="auto"/>
                                        <w:bottom w:val="none" w:sz="0" w:space="0" w:color="auto"/>
                                        <w:right w:val="none" w:sz="0" w:space="0" w:color="auto"/>
                                      </w:divBdr>
                                      <w:divsChild>
                                        <w:div w:id="1361321236">
                                          <w:marLeft w:val="0"/>
                                          <w:marRight w:val="0"/>
                                          <w:marTop w:val="0"/>
                                          <w:marBottom w:val="0"/>
                                          <w:divBdr>
                                            <w:top w:val="none" w:sz="0" w:space="0" w:color="auto"/>
                                            <w:left w:val="none" w:sz="0" w:space="0" w:color="auto"/>
                                            <w:bottom w:val="none" w:sz="0" w:space="0" w:color="auto"/>
                                            <w:right w:val="none" w:sz="0" w:space="0" w:color="auto"/>
                                          </w:divBdr>
                                          <w:divsChild>
                                            <w:div w:id="251085367">
                                              <w:marLeft w:val="0"/>
                                              <w:marRight w:val="0"/>
                                              <w:marTop w:val="0"/>
                                              <w:marBottom w:val="0"/>
                                              <w:divBdr>
                                                <w:top w:val="none" w:sz="0" w:space="0" w:color="auto"/>
                                                <w:left w:val="none" w:sz="0" w:space="0" w:color="auto"/>
                                                <w:bottom w:val="none" w:sz="0" w:space="0" w:color="auto"/>
                                                <w:right w:val="none" w:sz="0" w:space="0" w:color="auto"/>
                                              </w:divBdr>
                                              <w:divsChild>
                                                <w:div w:id="135426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1883226">
      <w:bodyDiv w:val="1"/>
      <w:marLeft w:val="0"/>
      <w:marRight w:val="0"/>
      <w:marTop w:val="0"/>
      <w:marBottom w:val="0"/>
      <w:divBdr>
        <w:top w:val="none" w:sz="0" w:space="0" w:color="auto"/>
        <w:left w:val="none" w:sz="0" w:space="0" w:color="auto"/>
        <w:bottom w:val="none" w:sz="0" w:space="0" w:color="auto"/>
        <w:right w:val="none" w:sz="0" w:space="0" w:color="auto"/>
      </w:divBdr>
    </w:div>
    <w:div w:id="1059135036">
      <w:bodyDiv w:val="1"/>
      <w:marLeft w:val="0"/>
      <w:marRight w:val="0"/>
      <w:marTop w:val="0"/>
      <w:marBottom w:val="0"/>
      <w:divBdr>
        <w:top w:val="none" w:sz="0" w:space="0" w:color="auto"/>
        <w:left w:val="none" w:sz="0" w:space="0" w:color="auto"/>
        <w:bottom w:val="none" w:sz="0" w:space="0" w:color="auto"/>
        <w:right w:val="none" w:sz="0" w:space="0" w:color="auto"/>
      </w:divBdr>
    </w:div>
    <w:div w:id="1069230789">
      <w:bodyDiv w:val="1"/>
      <w:marLeft w:val="0"/>
      <w:marRight w:val="0"/>
      <w:marTop w:val="0"/>
      <w:marBottom w:val="0"/>
      <w:divBdr>
        <w:top w:val="none" w:sz="0" w:space="0" w:color="auto"/>
        <w:left w:val="none" w:sz="0" w:space="0" w:color="auto"/>
        <w:bottom w:val="none" w:sz="0" w:space="0" w:color="auto"/>
        <w:right w:val="none" w:sz="0" w:space="0" w:color="auto"/>
      </w:divBdr>
    </w:div>
    <w:div w:id="1074086738">
      <w:bodyDiv w:val="1"/>
      <w:marLeft w:val="0"/>
      <w:marRight w:val="0"/>
      <w:marTop w:val="0"/>
      <w:marBottom w:val="0"/>
      <w:divBdr>
        <w:top w:val="none" w:sz="0" w:space="0" w:color="auto"/>
        <w:left w:val="none" w:sz="0" w:space="0" w:color="auto"/>
        <w:bottom w:val="none" w:sz="0" w:space="0" w:color="auto"/>
        <w:right w:val="none" w:sz="0" w:space="0" w:color="auto"/>
      </w:divBdr>
    </w:div>
    <w:div w:id="1074937391">
      <w:bodyDiv w:val="1"/>
      <w:marLeft w:val="0"/>
      <w:marRight w:val="0"/>
      <w:marTop w:val="0"/>
      <w:marBottom w:val="0"/>
      <w:divBdr>
        <w:top w:val="none" w:sz="0" w:space="0" w:color="auto"/>
        <w:left w:val="none" w:sz="0" w:space="0" w:color="auto"/>
        <w:bottom w:val="none" w:sz="0" w:space="0" w:color="auto"/>
        <w:right w:val="none" w:sz="0" w:space="0" w:color="auto"/>
      </w:divBdr>
    </w:div>
    <w:div w:id="1089809498">
      <w:bodyDiv w:val="1"/>
      <w:marLeft w:val="0"/>
      <w:marRight w:val="0"/>
      <w:marTop w:val="0"/>
      <w:marBottom w:val="0"/>
      <w:divBdr>
        <w:top w:val="none" w:sz="0" w:space="0" w:color="auto"/>
        <w:left w:val="none" w:sz="0" w:space="0" w:color="auto"/>
        <w:bottom w:val="none" w:sz="0" w:space="0" w:color="auto"/>
        <w:right w:val="none" w:sz="0" w:space="0" w:color="auto"/>
      </w:divBdr>
    </w:div>
    <w:div w:id="1114982935">
      <w:bodyDiv w:val="1"/>
      <w:marLeft w:val="0"/>
      <w:marRight w:val="0"/>
      <w:marTop w:val="0"/>
      <w:marBottom w:val="0"/>
      <w:divBdr>
        <w:top w:val="none" w:sz="0" w:space="0" w:color="auto"/>
        <w:left w:val="none" w:sz="0" w:space="0" w:color="auto"/>
        <w:bottom w:val="none" w:sz="0" w:space="0" w:color="auto"/>
        <w:right w:val="none" w:sz="0" w:space="0" w:color="auto"/>
      </w:divBdr>
    </w:div>
    <w:div w:id="1129124545">
      <w:bodyDiv w:val="1"/>
      <w:marLeft w:val="0"/>
      <w:marRight w:val="0"/>
      <w:marTop w:val="0"/>
      <w:marBottom w:val="0"/>
      <w:divBdr>
        <w:top w:val="none" w:sz="0" w:space="0" w:color="auto"/>
        <w:left w:val="none" w:sz="0" w:space="0" w:color="auto"/>
        <w:bottom w:val="none" w:sz="0" w:space="0" w:color="auto"/>
        <w:right w:val="none" w:sz="0" w:space="0" w:color="auto"/>
      </w:divBdr>
    </w:div>
    <w:div w:id="1143045071">
      <w:bodyDiv w:val="1"/>
      <w:marLeft w:val="0"/>
      <w:marRight w:val="0"/>
      <w:marTop w:val="0"/>
      <w:marBottom w:val="0"/>
      <w:divBdr>
        <w:top w:val="none" w:sz="0" w:space="0" w:color="auto"/>
        <w:left w:val="none" w:sz="0" w:space="0" w:color="auto"/>
        <w:bottom w:val="none" w:sz="0" w:space="0" w:color="auto"/>
        <w:right w:val="none" w:sz="0" w:space="0" w:color="auto"/>
      </w:divBdr>
    </w:div>
    <w:div w:id="1172376195">
      <w:bodyDiv w:val="1"/>
      <w:marLeft w:val="0"/>
      <w:marRight w:val="0"/>
      <w:marTop w:val="0"/>
      <w:marBottom w:val="0"/>
      <w:divBdr>
        <w:top w:val="none" w:sz="0" w:space="0" w:color="auto"/>
        <w:left w:val="none" w:sz="0" w:space="0" w:color="auto"/>
        <w:bottom w:val="none" w:sz="0" w:space="0" w:color="auto"/>
        <w:right w:val="none" w:sz="0" w:space="0" w:color="auto"/>
      </w:divBdr>
    </w:div>
    <w:div w:id="1179202371">
      <w:bodyDiv w:val="1"/>
      <w:marLeft w:val="0"/>
      <w:marRight w:val="0"/>
      <w:marTop w:val="0"/>
      <w:marBottom w:val="0"/>
      <w:divBdr>
        <w:top w:val="none" w:sz="0" w:space="0" w:color="auto"/>
        <w:left w:val="none" w:sz="0" w:space="0" w:color="auto"/>
        <w:bottom w:val="none" w:sz="0" w:space="0" w:color="auto"/>
        <w:right w:val="none" w:sz="0" w:space="0" w:color="auto"/>
      </w:divBdr>
    </w:div>
    <w:div w:id="1183282009">
      <w:bodyDiv w:val="1"/>
      <w:marLeft w:val="0"/>
      <w:marRight w:val="0"/>
      <w:marTop w:val="0"/>
      <w:marBottom w:val="0"/>
      <w:divBdr>
        <w:top w:val="none" w:sz="0" w:space="0" w:color="auto"/>
        <w:left w:val="none" w:sz="0" w:space="0" w:color="auto"/>
        <w:bottom w:val="none" w:sz="0" w:space="0" w:color="auto"/>
        <w:right w:val="none" w:sz="0" w:space="0" w:color="auto"/>
      </w:divBdr>
    </w:div>
    <w:div w:id="1195734766">
      <w:bodyDiv w:val="1"/>
      <w:marLeft w:val="0"/>
      <w:marRight w:val="0"/>
      <w:marTop w:val="0"/>
      <w:marBottom w:val="0"/>
      <w:divBdr>
        <w:top w:val="none" w:sz="0" w:space="0" w:color="auto"/>
        <w:left w:val="none" w:sz="0" w:space="0" w:color="auto"/>
        <w:bottom w:val="none" w:sz="0" w:space="0" w:color="auto"/>
        <w:right w:val="none" w:sz="0" w:space="0" w:color="auto"/>
      </w:divBdr>
    </w:div>
    <w:div w:id="1199122193">
      <w:bodyDiv w:val="1"/>
      <w:marLeft w:val="0"/>
      <w:marRight w:val="0"/>
      <w:marTop w:val="0"/>
      <w:marBottom w:val="0"/>
      <w:divBdr>
        <w:top w:val="none" w:sz="0" w:space="0" w:color="auto"/>
        <w:left w:val="none" w:sz="0" w:space="0" w:color="auto"/>
        <w:bottom w:val="none" w:sz="0" w:space="0" w:color="auto"/>
        <w:right w:val="none" w:sz="0" w:space="0" w:color="auto"/>
      </w:divBdr>
    </w:div>
    <w:div w:id="1200701757">
      <w:bodyDiv w:val="1"/>
      <w:marLeft w:val="0"/>
      <w:marRight w:val="0"/>
      <w:marTop w:val="0"/>
      <w:marBottom w:val="0"/>
      <w:divBdr>
        <w:top w:val="none" w:sz="0" w:space="0" w:color="auto"/>
        <w:left w:val="none" w:sz="0" w:space="0" w:color="auto"/>
        <w:bottom w:val="none" w:sz="0" w:space="0" w:color="auto"/>
        <w:right w:val="none" w:sz="0" w:space="0" w:color="auto"/>
      </w:divBdr>
    </w:div>
    <w:div w:id="1222209863">
      <w:bodyDiv w:val="1"/>
      <w:marLeft w:val="0"/>
      <w:marRight w:val="0"/>
      <w:marTop w:val="0"/>
      <w:marBottom w:val="0"/>
      <w:divBdr>
        <w:top w:val="none" w:sz="0" w:space="0" w:color="auto"/>
        <w:left w:val="none" w:sz="0" w:space="0" w:color="auto"/>
        <w:bottom w:val="none" w:sz="0" w:space="0" w:color="auto"/>
        <w:right w:val="none" w:sz="0" w:space="0" w:color="auto"/>
      </w:divBdr>
    </w:div>
    <w:div w:id="1228420787">
      <w:bodyDiv w:val="1"/>
      <w:marLeft w:val="0"/>
      <w:marRight w:val="0"/>
      <w:marTop w:val="0"/>
      <w:marBottom w:val="0"/>
      <w:divBdr>
        <w:top w:val="none" w:sz="0" w:space="0" w:color="auto"/>
        <w:left w:val="none" w:sz="0" w:space="0" w:color="auto"/>
        <w:bottom w:val="none" w:sz="0" w:space="0" w:color="auto"/>
        <w:right w:val="none" w:sz="0" w:space="0" w:color="auto"/>
      </w:divBdr>
      <w:divsChild>
        <w:div w:id="429160952">
          <w:marLeft w:val="0"/>
          <w:marRight w:val="0"/>
          <w:marTop w:val="0"/>
          <w:marBottom w:val="0"/>
          <w:divBdr>
            <w:top w:val="none" w:sz="0" w:space="0" w:color="auto"/>
            <w:left w:val="none" w:sz="0" w:space="0" w:color="auto"/>
            <w:bottom w:val="none" w:sz="0" w:space="0" w:color="auto"/>
            <w:right w:val="none" w:sz="0" w:space="0" w:color="auto"/>
          </w:divBdr>
          <w:divsChild>
            <w:div w:id="2038238136">
              <w:marLeft w:val="0"/>
              <w:marRight w:val="0"/>
              <w:marTop w:val="0"/>
              <w:marBottom w:val="0"/>
              <w:divBdr>
                <w:top w:val="none" w:sz="0" w:space="0" w:color="auto"/>
                <w:left w:val="none" w:sz="0" w:space="0" w:color="auto"/>
                <w:bottom w:val="none" w:sz="0" w:space="0" w:color="auto"/>
                <w:right w:val="none" w:sz="0" w:space="0" w:color="auto"/>
              </w:divBdr>
              <w:divsChild>
                <w:div w:id="1594510601">
                  <w:marLeft w:val="0"/>
                  <w:marRight w:val="0"/>
                  <w:marTop w:val="0"/>
                  <w:marBottom w:val="0"/>
                  <w:divBdr>
                    <w:top w:val="none" w:sz="0" w:space="0" w:color="auto"/>
                    <w:left w:val="none" w:sz="0" w:space="0" w:color="auto"/>
                    <w:bottom w:val="none" w:sz="0" w:space="0" w:color="auto"/>
                    <w:right w:val="none" w:sz="0" w:space="0" w:color="auto"/>
                  </w:divBdr>
                  <w:divsChild>
                    <w:div w:id="2140873503">
                      <w:marLeft w:val="0"/>
                      <w:marRight w:val="0"/>
                      <w:marTop w:val="0"/>
                      <w:marBottom w:val="0"/>
                      <w:divBdr>
                        <w:top w:val="none" w:sz="0" w:space="0" w:color="auto"/>
                        <w:left w:val="none" w:sz="0" w:space="0" w:color="auto"/>
                        <w:bottom w:val="none" w:sz="0" w:space="0" w:color="auto"/>
                        <w:right w:val="none" w:sz="0" w:space="0" w:color="auto"/>
                      </w:divBdr>
                      <w:divsChild>
                        <w:div w:id="1597134664">
                          <w:marLeft w:val="0"/>
                          <w:marRight w:val="0"/>
                          <w:marTop w:val="0"/>
                          <w:marBottom w:val="0"/>
                          <w:divBdr>
                            <w:top w:val="none" w:sz="0" w:space="0" w:color="auto"/>
                            <w:left w:val="none" w:sz="0" w:space="0" w:color="auto"/>
                            <w:bottom w:val="none" w:sz="0" w:space="0" w:color="auto"/>
                            <w:right w:val="none" w:sz="0" w:space="0" w:color="auto"/>
                          </w:divBdr>
                          <w:divsChild>
                            <w:div w:id="227039204">
                              <w:marLeft w:val="0"/>
                              <w:marRight w:val="0"/>
                              <w:marTop w:val="0"/>
                              <w:marBottom w:val="0"/>
                              <w:divBdr>
                                <w:top w:val="none" w:sz="0" w:space="0" w:color="auto"/>
                                <w:left w:val="none" w:sz="0" w:space="0" w:color="auto"/>
                                <w:bottom w:val="none" w:sz="0" w:space="0" w:color="auto"/>
                                <w:right w:val="none" w:sz="0" w:space="0" w:color="auto"/>
                              </w:divBdr>
                              <w:divsChild>
                                <w:div w:id="231888278">
                                  <w:marLeft w:val="0"/>
                                  <w:marRight w:val="0"/>
                                  <w:marTop w:val="0"/>
                                  <w:marBottom w:val="0"/>
                                  <w:divBdr>
                                    <w:top w:val="none" w:sz="0" w:space="0" w:color="auto"/>
                                    <w:left w:val="none" w:sz="0" w:space="0" w:color="auto"/>
                                    <w:bottom w:val="none" w:sz="0" w:space="0" w:color="auto"/>
                                    <w:right w:val="none" w:sz="0" w:space="0" w:color="auto"/>
                                  </w:divBdr>
                                  <w:divsChild>
                                    <w:div w:id="999772399">
                                      <w:marLeft w:val="-225"/>
                                      <w:marRight w:val="-225"/>
                                      <w:marTop w:val="0"/>
                                      <w:marBottom w:val="0"/>
                                      <w:divBdr>
                                        <w:top w:val="none" w:sz="0" w:space="0" w:color="auto"/>
                                        <w:left w:val="none" w:sz="0" w:space="0" w:color="auto"/>
                                        <w:bottom w:val="none" w:sz="0" w:space="0" w:color="auto"/>
                                        <w:right w:val="none" w:sz="0" w:space="0" w:color="auto"/>
                                      </w:divBdr>
                                      <w:divsChild>
                                        <w:div w:id="968903106">
                                          <w:marLeft w:val="0"/>
                                          <w:marRight w:val="0"/>
                                          <w:marTop w:val="0"/>
                                          <w:marBottom w:val="0"/>
                                          <w:divBdr>
                                            <w:top w:val="none" w:sz="0" w:space="0" w:color="auto"/>
                                            <w:left w:val="none" w:sz="0" w:space="0" w:color="auto"/>
                                            <w:bottom w:val="none" w:sz="0" w:space="0" w:color="auto"/>
                                            <w:right w:val="none" w:sz="0" w:space="0" w:color="auto"/>
                                          </w:divBdr>
                                          <w:divsChild>
                                            <w:div w:id="1867018152">
                                              <w:marLeft w:val="0"/>
                                              <w:marRight w:val="0"/>
                                              <w:marTop w:val="0"/>
                                              <w:marBottom w:val="0"/>
                                              <w:divBdr>
                                                <w:top w:val="none" w:sz="0" w:space="0" w:color="auto"/>
                                                <w:left w:val="none" w:sz="0" w:space="0" w:color="auto"/>
                                                <w:bottom w:val="none" w:sz="0" w:space="0" w:color="auto"/>
                                                <w:right w:val="none" w:sz="0" w:space="0" w:color="auto"/>
                                              </w:divBdr>
                                              <w:divsChild>
                                                <w:div w:id="87045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0698554">
      <w:bodyDiv w:val="1"/>
      <w:marLeft w:val="0"/>
      <w:marRight w:val="0"/>
      <w:marTop w:val="0"/>
      <w:marBottom w:val="0"/>
      <w:divBdr>
        <w:top w:val="none" w:sz="0" w:space="0" w:color="auto"/>
        <w:left w:val="none" w:sz="0" w:space="0" w:color="auto"/>
        <w:bottom w:val="none" w:sz="0" w:space="0" w:color="auto"/>
        <w:right w:val="none" w:sz="0" w:space="0" w:color="auto"/>
      </w:divBdr>
    </w:div>
    <w:div w:id="1271624908">
      <w:bodyDiv w:val="1"/>
      <w:marLeft w:val="0"/>
      <w:marRight w:val="0"/>
      <w:marTop w:val="0"/>
      <w:marBottom w:val="0"/>
      <w:divBdr>
        <w:top w:val="none" w:sz="0" w:space="0" w:color="auto"/>
        <w:left w:val="none" w:sz="0" w:space="0" w:color="auto"/>
        <w:bottom w:val="none" w:sz="0" w:space="0" w:color="auto"/>
        <w:right w:val="none" w:sz="0" w:space="0" w:color="auto"/>
      </w:divBdr>
    </w:div>
    <w:div w:id="1276208302">
      <w:bodyDiv w:val="1"/>
      <w:marLeft w:val="0"/>
      <w:marRight w:val="0"/>
      <w:marTop w:val="0"/>
      <w:marBottom w:val="0"/>
      <w:divBdr>
        <w:top w:val="none" w:sz="0" w:space="0" w:color="auto"/>
        <w:left w:val="none" w:sz="0" w:space="0" w:color="auto"/>
        <w:bottom w:val="none" w:sz="0" w:space="0" w:color="auto"/>
        <w:right w:val="none" w:sz="0" w:space="0" w:color="auto"/>
      </w:divBdr>
    </w:div>
    <w:div w:id="1306857123">
      <w:bodyDiv w:val="1"/>
      <w:marLeft w:val="0"/>
      <w:marRight w:val="0"/>
      <w:marTop w:val="0"/>
      <w:marBottom w:val="0"/>
      <w:divBdr>
        <w:top w:val="none" w:sz="0" w:space="0" w:color="auto"/>
        <w:left w:val="none" w:sz="0" w:space="0" w:color="auto"/>
        <w:bottom w:val="none" w:sz="0" w:space="0" w:color="auto"/>
        <w:right w:val="none" w:sz="0" w:space="0" w:color="auto"/>
      </w:divBdr>
    </w:div>
    <w:div w:id="1347095046">
      <w:bodyDiv w:val="1"/>
      <w:marLeft w:val="0"/>
      <w:marRight w:val="0"/>
      <w:marTop w:val="0"/>
      <w:marBottom w:val="0"/>
      <w:divBdr>
        <w:top w:val="none" w:sz="0" w:space="0" w:color="auto"/>
        <w:left w:val="none" w:sz="0" w:space="0" w:color="auto"/>
        <w:bottom w:val="none" w:sz="0" w:space="0" w:color="auto"/>
        <w:right w:val="none" w:sz="0" w:space="0" w:color="auto"/>
      </w:divBdr>
    </w:div>
    <w:div w:id="1362246437">
      <w:bodyDiv w:val="1"/>
      <w:marLeft w:val="0"/>
      <w:marRight w:val="0"/>
      <w:marTop w:val="0"/>
      <w:marBottom w:val="0"/>
      <w:divBdr>
        <w:top w:val="none" w:sz="0" w:space="0" w:color="auto"/>
        <w:left w:val="none" w:sz="0" w:space="0" w:color="auto"/>
        <w:bottom w:val="none" w:sz="0" w:space="0" w:color="auto"/>
        <w:right w:val="none" w:sz="0" w:space="0" w:color="auto"/>
      </w:divBdr>
    </w:div>
    <w:div w:id="1410230730">
      <w:bodyDiv w:val="1"/>
      <w:marLeft w:val="0"/>
      <w:marRight w:val="0"/>
      <w:marTop w:val="0"/>
      <w:marBottom w:val="0"/>
      <w:divBdr>
        <w:top w:val="none" w:sz="0" w:space="0" w:color="auto"/>
        <w:left w:val="none" w:sz="0" w:space="0" w:color="auto"/>
        <w:bottom w:val="none" w:sz="0" w:space="0" w:color="auto"/>
        <w:right w:val="none" w:sz="0" w:space="0" w:color="auto"/>
      </w:divBdr>
    </w:div>
    <w:div w:id="1484853113">
      <w:bodyDiv w:val="1"/>
      <w:marLeft w:val="0"/>
      <w:marRight w:val="0"/>
      <w:marTop w:val="0"/>
      <w:marBottom w:val="0"/>
      <w:divBdr>
        <w:top w:val="none" w:sz="0" w:space="0" w:color="auto"/>
        <w:left w:val="none" w:sz="0" w:space="0" w:color="auto"/>
        <w:bottom w:val="none" w:sz="0" w:space="0" w:color="auto"/>
        <w:right w:val="none" w:sz="0" w:space="0" w:color="auto"/>
      </w:divBdr>
    </w:div>
    <w:div w:id="1486238293">
      <w:bodyDiv w:val="1"/>
      <w:marLeft w:val="0"/>
      <w:marRight w:val="0"/>
      <w:marTop w:val="0"/>
      <w:marBottom w:val="0"/>
      <w:divBdr>
        <w:top w:val="none" w:sz="0" w:space="0" w:color="auto"/>
        <w:left w:val="none" w:sz="0" w:space="0" w:color="auto"/>
        <w:bottom w:val="none" w:sz="0" w:space="0" w:color="auto"/>
        <w:right w:val="none" w:sz="0" w:space="0" w:color="auto"/>
      </w:divBdr>
      <w:divsChild>
        <w:div w:id="423038495">
          <w:marLeft w:val="0"/>
          <w:marRight w:val="0"/>
          <w:marTop w:val="0"/>
          <w:marBottom w:val="0"/>
          <w:divBdr>
            <w:top w:val="none" w:sz="0" w:space="0" w:color="auto"/>
            <w:left w:val="none" w:sz="0" w:space="0" w:color="auto"/>
            <w:bottom w:val="none" w:sz="0" w:space="0" w:color="auto"/>
            <w:right w:val="none" w:sz="0" w:space="0" w:color="auto"/>
          </w:divBdr>
          <w:divsChild>
            <w:div w:id="421948234">
              <w:marLeft w:val="0"/>
              <w:marRight w:val="0"/>
              <w:marTop w:val="0"/>
              <w:marBottom w:val="0"/>
              <w:divBdr>
                <w:top w:val="none" w:sz="0" w:space="0" w:color="auto"/>
                <w:left w:val="none" w:sz="0" w:space="0" w:color="auto"/>
                <w:bottom w:val="none" w:sz="0" w:space="0" w:color="auto"/>
                <w:right w:val="none" w:sz="0" w:space="0" w:color="auto"/>
              </w:divBdr>
              <w:divsChild>
                <w:div w:id="1818764995">
                  <w:marLeft w:val="0"/>
                  <w:marRight w:val="0"/>
                  <w:marTop w:val="0"/>
                  <w:marBottom w:val="0"/>
                  <w:divBdr>
                    <w:top w:val="none" w:sz="0" w:space="0" w:color="auto"/>
                    <w:left w:val="none" w:sz="0" w:space="0" w:color="auto"/>
                    <w:bottom w:val="none" w:sz="0" w:space="0" w:color="auto"/>
                    <w:right w:val="none" w:sz="0" w:space="0" w:color="auto"/>
                  </w:divBdr>
                  <w:divsChild>
                    <w:div w:id="272906327">
                      <w:marLeft w:val="0"/>
                      <w:marRight w:val="0"/>
                      <w:marTop w:val="0"/>
                      <w:marBottom w:val="0"/>
                      <w:divBdr>
                        <w:top w:val="none" w:sz="0" w:space="0" w:color="auto"/>
                        <w:left w:val="none" w:sz="0" w:space="0" w:color="auto"/>
                        <w:bottom w:val="none" w:sz="0" w:space="0" w:color="auto"/>
                        <w:right w:val="none" w:sz="0" w:space="0" w:color="auto"/>
                      </w:divBdr>
                      <w:divsChild>
                        <w:div w:id="615722094">
                          <w:marLeft w:val="0"/>
                          <w:marRight w:val="0"/>
                          <w:marTop w:val="0"/>
                          <w:marBottom w:val="0"/>
                          <w:divBdr>
                            <w:top w:val="none" w:sz="0" w:space="0" w:color="auto"/>
                            <w:left w:val="none" w:sz="0" w:space="0" w:color="auto"/>
                            <w:bottom w:val="none" w:sz="0" w:space="0" w:color="auto"/>
                            <w:right w:val="none" w:sz="0" w:space="0" w:color="auto"/>
                          </w:divBdr>
                          <w:divsChild>
                            <w:div w:id="235169156">
                              <w:marLeft w:val="0"/>
                              <w:marRight w:val="0"/>
                              <w:marTop w:val="0"/>
                              <w:marBottom w:val="0"/>
                              <w:divBdr>
                                <w:top w:val="none" w:sz="0" w:space="0" w:color="auto"/>
                                <w:left w:val="none" w:sz="0" w:space="0" w:color="auto"/>
                                <w:bottom w:val="none" w:sz="0" w:space="0" w:color="auto"/>
                                <w:right w:val="none" w:sz="0" w:space="0" w:color="auto"/>
                              </w:divBdr>
                              <w:divsChild>
                                <w:div w:id="405499492">
                                  <w:marLeft w:val="0"/>
                                  <w:marRight w:val="0"/>
                                  <w:marTop w:val="0"/>
                                  <w:marBottom w:val="0"/>
                                  <w:divBdr>
                                    <w:top w:val="none" w:sz="0" w:space="0" w:color="auto"/>
                                    <w:left w:val="none" w:sz="0" w:space="0" w:color="auto"/>
                                    <w:bottom w:val="none" w:sz="0" w:space="0" w:color="auto"/>
                                    <w:right w:val="none" w:sz="0" w:space="0" w:color="auto"/>
                                  </w:divBdr>
                                  <w:divsChild>
                                    <w:div w:id="259804449">
                                      <w:marLeft w:val="-225"/>
                                      <w:marRight w:val="-225"/>
                                      <w:marTop w:val="0"/>
                                      <w:marBottom w:val="0"/>
                                      <w:divBdr>
                                        <w:top w:val="none" w:sz="0" w:space="0" w:color="auto"/>
                                        <w:left w:val="none" w:sz="0" w:space="0" w:color="auto"/>
                                        <w:bottom w:val="none" w:sz="0" w:space="0" w:color="auto"/>
                                        <w:right w:val="none" w:sz="0" w:space="0" w:color="auto"/>
                                      </w:divBdr>
                                      <w:divsChild>
                                        <w:div w:id="1102145520">
                                          <w:marLeft w:val="0"/>
                                          <w:marRight w:val="0"/>
                                          <w:marTop w:val="0"/>
                                          <w:marBottom w:val="0"/>
                                          <w:divBdr>
                                            <w:top w:val="none" w:sz="0" w:space="0" w:color="auto"/>
                                            <w:left w:val="none" w:sz="0" w:space="0" w:color="auto"/>
                                            <w:bottom w:val="none" w:sz="0" w:space="0" w:color="auto"/>
                                            <w:right w:val="none" w:sz="0" w:space="0" w:color="auto"/>
                                          </w:divBdr>
                                          <w:divsChild>
                                            <w:div w:id="1141536207">
                                              <w:marLeft w:val="0"/>
                                              <w:marRight w:val="0"/>
                                              <w:marTop w:val="0"/>
                                              <w:marBottom w:val="0"/>
                                              <w:divBdr>
                                                <w:top w:val="none" w:sz="0" w:space="0" w:color="auto"/>
                                                <w:left w:val="none" w:sz="0" w:space="0" w:color="auto"/>
                                                <w:bottom w:val="none" w:sz="0" w:space="0" w:color="auto"/>
                                                <w:right w:val="none" w:sz="0" w:space="0" w:color="auto"/>
                                              </w:divBdr>
                                              <w:divsChild>
                                                <w:div w:id="89963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2138217">
      <w:bodyDiv w:val="1"/>
      <w:marLeft w:val="0"/>
      <w:marRight w:val="0"/>
      <w:marTop w:val="0"/>
      <w:marBottom w:val="0"/>
      <w:divBdr>
        <w:top w:val="none" w:sz="0" w:space="0" w:color="auto"/>
        <w:left w:val="none" w:sz="0" w:space="0" w:color="auto"/>
        <w:bottom w:val="none" w:sz="0" w:space="0" w:color="auto"/>
        <w:right w:val="none" w:sz="0" w:space="0" w:color="auto"/>
      </w:divBdr>
    </w:div>
    <w:div w:id="1525170458">
      <w:bodyDiv w:val="1"/>
      <w:marLeft w:val="0"/>
      <w:marRight w:val="0"/>
      <w:marTop w:val="0"/>
      <w:marBottom w:val="0"/>
      <w:divBdr>
        <w:top w:val="none" w:sz="0" w:space="0" w:color="auto"/>
        <w:left w:val="none" w:sz="0" w:space="0" w:color="auto"/>
        <w:bottom w:val="none" w:sz="0" w:space="0" w:color="auto"/>
        <w:right w:val="none" w:sz="0" w:space="0" w:color="auto"/>
      </w:divBdr>
    </w:div>
    <w:div w:id="1534994246">
      <w:bodyDiv w:val="1"/>
      <w:marLeft w:val="0"/>
      <w:marRight w:val="0"/>
      <w:marTop w:val="0"/>
      <w:marBottom w:val="0"/>
      <w:divBdr>
        <w:top w:val="none" w:sz="0" w:space="0" w:color="auto"/>
        <w:left w:val="none" w:sz="0" w:space="0" w:color="auto"/>
        <w:bottom w:val="none" w:sz="0" w:space="0" w:color="auto"/>
        <w:right w:val="none" w:sz="0" w:space="0" w:color="auto"/>
      </w:divBdr>
    </w:div>
    <w:div w:id="1581212232">
      <w:bodyDiv w:val="1"/>
      <w:marLeft w:val="0"/>
      <w:marRight w:val="0"/>
      <w:marTop w:val="0"/>
      <w:marBottom w:val="0"/>
      <w:divBdr>
        <w:top w:val="none" w:sz="0" w:space="0" w:color="auto"/>
        <w:left w:val="none" w:sz="0" w:space="0" w:color="auto"/>
        <w:bottom w:val="none" w:sz="0" w:space="0" w:color="auto"/>
        <w:right w:val="none" w:sz="0" w:space="0" w:color="auto"/>
      </w:divBdr>
    </w:div>
    <w:div w:id="1590650735">
      <w:bodyDiv w:val="1"/>
      <w:marLeft w:val="0"/>
      <w:marRight w:val="0"/>
      <w:marTop w:val="0"/>
      <w:marBottom w:val="0"/>
      <w:divBdr>
        <w:top w:val="none" w:sz="0" w:space="0" w:color="auto"/>
        <w:left w:val="none" w:sz="0" w:space="0" w:color="auto"/>
        <w:bottom w:val="none" w:sz="0" w:space="0" w:color="auto"/>
        <w:right w:val="none" w:sz="0" w:space="0" w:color="auto"/>
      </w:divBdr>
      <w:divsChild>
        <w:div w:id="1942563542">
          <w:marLeft w:val="0"/>
          <w:marRight w:val="0"/>
          <w:marTop w:val="0"/>
          <w:marBottom w:val="0"/>
          <w:divBdr>
            <w:top w:val="none" w:sz="0" w:space="0" w:color="auto"/>
            <w:left w:val="none" w:sz="0" w:space="0" w:color="auto"/>
            <w:bottom w:val="none" w:sz="0" w:space="0" w:color="auto"/>
            <w:right w:val="none" w:sz="0" w:space="0" w:color="auto"/>
          </w:divBdr>
          <w:divsChild>
            <w:div w:id="1966352600">
              <w:marLeft w:val="0"/>
              <w:marRight w:val="0"/>
              <w:marTop w:val="0"/>
              <w:marBottom w:val="0"/>
              <w:divBdr>
                <w:top w:val="none" w:sz="0" w:space="0" w:color="auto"/>
                <w:left w:val="none" w:sz="0" w:space="0" w:color="auto"/>
                <w:bottom w:val="none" w:sz="0" w:space="0" w:color="auto"/>
                <w:right w:val="none" w:sz="0" w:space="0" w:color="auto"/>
              </w:divBdr>
              <w:divsChild>
                <w:div w:id="1520318621">
                  <w:marLeft w:val="0"/>
                  <w:marRight w:val="0"/>
                  <w:marTop w:val="0"/>
                  <w:marBottom w:val="0"/>
                  <w:divBdr>
                    <w:top w:val="none" w:sz="0" w:space="0" w:color="auto"/>
                    <w:left w:val="none" w:sz="0" w:space="0" w:color="auto"/>
                    <w:bottom w:val="none" w:sz="0" w:space="0" w:color="auto"/>
                    <w:right w:val="none" w:sz="0" w:space="0" w:color="auto"/>
                  </w:divBdr>
                  <w:divsChild>
                    <w:div w:id="831070973">
                      <w:marLeft w:val="0"/>
                      <w:marRight w:val="0"/>
                      <w:marTop w:val="0"/>
                      <w:marBottom w:val="0"/>
                      <w:divBdr>
                        <w:top w:val="none" w:sz="0" w:space="0" w:color="auto"/>
                        <w:left w:val="none" w:sz="0" w:space="0" w:color="auto"/>
                        <w:bottom w:val="none" w:sz="0" w:space="0" w:color="auto"/>
                        <w:right w:val="none" w:sz="0" w:space="0" w:color="auto"/>
                      </w:divBdr>
                      <w:divsChild>
                        <w:div w:id="1953902850">
                          <w:marLeft w:val="0"/>
                          <w:marRight w:val="0"/>
                          <w:marTop w:val="0"/>
                          <w:marBottom w:val="0"/>
                          <w:divBdr>
                            <w:top w:val="none" w:sz="0" w:space="0" w:color="auto"/>
                            <w:left w:val="none" w:sz="0" w:space="0" w:color="auto"/>
                            <w:bottom w:val="none" w:sz="0" w:space="0" w:color="auto"/>
                            <w:right w:val="none" w:sz="0" w:space="0" w:color="auto"/>
                          </w:divBdr>
                          <w:divsChild>
                            <w:div w:id="1044447498">
                              <w:marLeft w:val="0"/>
                              <w:marRight w:val="0"/>
                              <w:marTop w:val="0"/>
                              <w:marBottom w:val="0"/>
                              <w:divBdr>
                                <w:top w:val="none" w:sz="0" w:space="0" w:color="auto"/>
                                <w:left w:val="none" w:sz="0" w:space="0" w:color="auto"/>
                                <w:bottom w:val="none" w:sz="0" w:space="0" w:color="auto"/>
                                <w:right w:val="none" w:sz="0" w:space="0" w:color="auto"/>
                              </w:divBdr>
                              <w:divsChild>
                                <w:div w:id="577329904">
                                  <w:marLeft w:val="0"/>
                                  <w:marRight w:val="0"/>
                                  <w:marTop w:val="0"/>
                                  <w:marBottom w:val="0"/>
                                  <w:divBdr>
                                    <w:top w:val="none" w:sz="0" w:space="0" w:color="auto"/>
                                    <w:left w:val="none" w:sz="0" w:space="0" w:color="auto"/>
                                    <w:bottom w:val="none" w:sz="0" w:space="0" w:color="auto"/>
                                    <w:right w:val="none" w:sz="0" w:space="0" w:color="auto"/>
                                  </w:divBdr>
                                  <w:divsChild>
                                    <w:div w:id="1565945951">
                                      <w:marLeft w:val="-225"/>
                                      <w:marRight w:val="-225"/>
                                      <w:marTop w:val="0"/>
                                      <w:marBottom w:val="0"/>
                                      <w:divBdr>
                                        <w:top w:val="none" w:sz="0" w:space="0" w:color="auto"/>
                                        <w:left w:val="none" w:sz="0" w:space="0" w:color="auto"/>
                                        <w:bottom w:val="none" w:sz="0" w:space="0" w:color="auto"/>
                                        <w:right w:val="none" w:sz="0" w:space="0" w:color="auto"/>
                                      </w:divBdr>
                                      <w:divsChild>
                                        <w:div w:id="1743985064">
                                          <w:marLeft w:val="0"/>
                                          <w:marRight w:val="0"/>
                                          <w:marTop w:val="0"/>
                                          <w:marBottom w:val="0"/>
                                          <w:divBdr>
                                            <w:top w:val="none" w:sz="0" w:space="0" w:color="auto"/>
                                            <w:left w:val="none" w:sz="0" w:space="0" w:color="auto"/>
                                            <w:bottom w:val="none" w:sz="0" w:space="0" w:color="auto"/>
                                            <w:right w:val="none" w:sz="0" w:space="0" w:color="auto"/>
                                          </w:divBdr>
                                          <w:divsChild>
                                            <w:div w:id="1207642348">
                                              <w:marLeft w:val="0"/>
                                              <w:marRight w:val="0"/>
                                              <w:marTop w:val="0"/>
                                              <w:marBottom w:val="0"/>
                                              <w:divBdr>
                                                <w:top w:val="none" w:sz="0" w:space="0" w:color="auto"/>
                                                <w:left w:val="none" w:sz="0" w:space="0" w:color="auto"/>
                                                <w:bottom w:val="none" w:sz="0" w:space="0" w:color="auto"/>
                                                <w:right w:val="none" w:sz="0" w:space="0" w:color="auto"/>
                                              </w:divBdr>
                                              <w:divsChild>
                                                <w:div w:id="19408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651566">
      <w:bodyDiv w:val="1"/>
      <w:marLeft w:val="0"/>
      <w:marRight w:val="0"/>
      <w:marTop w:val="0"/>
      <w:marBottom w:val="0"/>
      <w:divBdr>
        <w:top w:val="none" w:sz="0" w:space="0" w:color="auto"/>
        <w:left w:val="none" w:sz="0" w:space="0" w:color="auto"/>
        <w:bottom w:val="none" w:sz="0" w:space="0" w:color="auto"/>
        <w:right w:val="none" w:sz="0" w:space="0" w:color="auto"/>
      </w:divBdr>
    </w:div>
    <w:div w:id="1605066507">
      <w:bodyDiv w:val="1"/>
      <w:marLeft w:val="0"/>
      <w:marRight w:val="0"/>
      <w:marTop w:val="0"/>
      <w:marBottom w:val="0"/>
      <w:divBdr>
        <w:top w:val="none" w:sz="0" w:space="0" w:color="auto"/>
        <w:left w:val="none" w:sz="0" w:space="0" w:color="auto"/>
        <w:bottom w:val="none" w:sz="0" w:space="0" w:color="auto"/>
        <w:right w:val="none" w:sz="0" w:space="0" w:color="auto"/>
      </w:divBdr>
    </w:div>
    <w:div w:id="1615668838">
      <w:bodyDiv w:val="1"/>
      <w:marLeft w:val="0"/>
      <w:marRight w:val="0"/>
      <w:marTop w:val="0"/>
      <w:marBottom w:val="0"/>
      <w:divBdr>
        <w:top w:val="none" w:sz="0" w:space="0" w:color="auto"/>
        <w:left w:val="none" w:sz="0" w:space="0" w:color="auto"/>
        <w:bottom w:val="none" w:sz="0" w:space="0" w:color="auto"/>
        <w:right w:val="none" w:sz="0" w:space="0" w:color="auto"/>
      </w:divBdr>
    </w:div>
    <w:div w:id="1631131328">
      <w:bodyDiv w:val="1"/>
      <w:marLeft w:val="0"/>
      <w:marRight w:val="0"/>
      <w:marTop w:val="0"/>
      <w:marBottom w:val="0"/>
      <w:divBdr>
        <w:top w:val="none" w:sz="0" w:space="0" w:color="auto"/>
        <w:left w:val="none" w:sz="0" w:space="0" w:color="auto"/>
        <w:bottom w:val="none" w:sz="0" w:space="0" w:color="auto"/>
        <w:right w:val="none" w:sz="0" w:space="0" w:color="auto"/>
      </w:divBdr>
      <w:divsChild>
        <w:div w:id="16197456">
          <w:marLeft w:val="547"/>
          <w:marRight w:val="0"/>
          <w:marTop w:val="0"/>
          <w:marBottom w:val="0"/>
          <w:divBdr>
            <w:top w:val="none" w:sz="0" w:space="0" w:color="auto"/>
            <w:left w:val="none" w:sz="0" w:space="0" w:color="auto"/>
            <w:bottom w:val="none" w:sz="0" w:space="0" w:color="auto"/>
            <w:right w:val="none" w:sz="0" w:space="0" w:color="auto"/>
          </w:divBdr>
        </w:div>
        <w:div w:id="44109027">
          <w:marLeft w:val="1886"/>
          <w:marRight w:val="0"/>
          <w:marTop w:val="0"/>
          <w:marBottom w:val="0"/>
          <w:divBdr>
            <w:top w:val="none" w:sz="0" w:space="0" w:color="auto"/>
            <w:left w:val="none" w:sz="0" w:space="0" w:color="auto"/>
            <w:bottom w:val="none" w:sz="0" w:space="0" w:color="auto"/>
            <w:right w:val="none" w:sz="0" w:space="0" w:color="auto"/>
          </w:divBdr>
        </w:div>
        <w:div w:id="283388692">
          <w:marLeft w:val="547"/>
          <w:marRight w:val="0"/>
          <w:marTop w:val="0"/>
          <w:marBottom w:val="0"/>
          <w:divBdr>
            <w:top w:val="none" w:sz="0" w:space="0" w:color="auto"/>
            <w:left w:val="none" w:sz="0" w:space="0" w:color="auto"/>
            <w:bottom w:val="none" w:sz="0" w:space="0" w:color="auto"/>
            <w:right w:val="none" w:sz="0" w:space="0" w:color="auto"/>
          </w:divBdr>
        </w:div>
        <w:div w:id="479881607">
          <w:marLeft w:val="547"/>
          <w:marRight w:val="0"/>
          <w:marTop w:val="0"/>
          <w:marBottom w:val="0"/>
          <w:divBdr>
            <w:top w:val="none" w:sz="0" w:space="0" w:color="auto"/>
            <w:left w:val="none" w:sz="0" w:space="0" w:color="auto"/>
            <w:bottom w:val="none" w:sz="0" w:space="0" w:color="auto"/>
            <w:right w:val="none" w:sz="0" w:space="0" w:color="auto"/>
          </w:divBdr>
        </w:div>
        <w:div w:id="809518334">
          <w:marLeft w:val="547"/>
          <w:marRight w:val="0"/>
          <w:marTop w:val="0"/>
          <w:marBottom w:val="0"/>
          <w:divBdr>
            <w:top w:val="none" w:sz="0" w:space="0" w:color="auto"/>
            <w:left w:val="none" w:sz="0" w:space="0" w:color="auto"/>
            <w:bottom w:val="none" w:sz="0" w:space="0" w:color="auto"/>
            <w:right w:val="none" w:sz="0" w:space="0" w:color="auto"/>
          </w:divBdr>
        </w:div>
        <w:div w:id="1238906253">
          <w:marLeft w:val="1886"/>
          <w:marRight w:val="0"/>
          <w:marTop w:val="0"/>
          <w:marBottom w:val="0"/>
          <w:divBdr>
            <w:top w:val="none" w:sz="0" w:space="0" w:color="auto"/>
            <w:left w:val="none" w:sz="0" w:space="0" w:color="auto"/>
            <w:bottom w:val="none" w:sz="0" w:space="0" w:color="auto"/>
            <w:right w:val="none" w:sz="0" w:space="0" w:color="auto"/>
          </w:divBdr>
        </w:div>
        <w:div w:id="1366904990">
          <w:marLeft w:val="1886"/>
          <w:marRight w:val="0"/>
          <w:marTop w:val="0"/>
          <w:marBottom w:val="0"/>
          <w:divBdr>
            <w:top w:val="none" w:sz="0" w:space="0" w:color="auto"/>
            <w:left w:val="none" w:sz="0" w:space="0" w:color="auto"/>
            <w:bottom w:val="none" w:sz="0" w:space="0" w:color="auto"/>
            <w:right w:val="none" w:sz="0" w:space="0" w:color="auto"/>
          </w:divBdr>
        </w:div>
        <w:div w:id="1572161038">
          <w:marLeft w:val="547"/>
          <w:marRight w:val="0"/>
          <w:marTop w:val="0"/>
          <w:marBottom w:val="0"/>
          <w:divBdr>
            <w:top w:val="none" w:sz="0" w:space="0" w:color="auto"/>
            <w:left w:val="none" w:sz="0" w:space="0" w:color="auto"/>
            <w:bottom w:val="none" w:sz="0" w:space="0" w:color="auto"/>
            <w:right w:val="none" w:sz="0" w:space="0" w:color="auto"/>
          </w:divBdr>
        </w:div>
        <w:div w:id="1575511509">
          <w:marLeft w:val="1886"/>
          <w:marRight w:val="0"/>
          <w:marTop w:val="0"/>
          <w:marBottom w:val="0"/>
          <w:divBdr>
            <w:top w:val="none" w:sz="0" w:space="0" w:color="auto"/>
            <w:left w:val="none" w:sz="0" w:space="0" w:color="auto"/>
            <w:bottom w:val="none" w:sz="0" w:space="0" w:color="auto"/>
            <w:right w:val="none" w:sz="0" w:space="0" w:color="auto"/>
          </w:divBdr>
        </w:div>
        <w:div w:id="1613635144">
          <w:marLeft w:val="1886"/>
          <w:marRight w:val="0"/>
          <w:marTop w:val="0"/>
          <w:marBottom w:val="0"/>
          <w:divBdr>
            <w:top w:val="none" w:sz="0" w:space="0" w:color="auto"/>
            <w:left w:val="none" w:sz="0" w:space="0" w:color="auto"/>
            <w:bottom w:val="none" w:sz="0" w:space="0" w:color="auto"/>
            <w:right w:val="none" w:sz="0" w:space="0" w:color="auto"/>
          </w:divBdr>
        </w:div>
        <w:div w:id="1735422605">
          <w:marLeft w:val="1886"/>
          <w:marRight w:val="0"/>
          <w:marTop w:val="0"/>
          <w:marBottom w:val="0"/>
          <w:divBdr>
            <w:top w:val="none" w:sz="0" w:space="0" w:color="auto"/>
            <w:left w:val="none" w:sz="0" w:space="0" w:color="auto"/>
            <w:bottom w:val="none" w:sz="0" w:space="0" w:color="auto"/>
            <w:right w:val="none" w:sz="0" w:space="0" w:color="auto"/>
          </w:divBdr>
        </w:div>
        <w:div w:id="1948779232">
          <w:marLeft w:val="547"/>
          <w:marRight w:val="0"/>
          <w:marTop w:val="0"/>
          <w:marBottom w:val="0"/>
          <w:divBdr>
            <w:top w:val="none" w:sz="0" w:space="0" w:color="auto"/>
            <w:left w:val="none" w:sz="0" w:space="0" w:color="auto"/>
            <w:bottom w:val="none" w:sz="0" w:space="0" w:color="auto"/>
            <w:right w:val="none" w:sz="0" w:space="0" w:color="auto"/>
          </w:divBdr>
        </w:div>
        <w:div w:id="1985694741">
          <w:marLeft w:val="1886"/>
          <w:marRight w:val="0"/>
          <w:marTop w:val="0"/>
          <w:marBottom w:val="0"/>
          <w:divBdr>
            <w:top w:val="none" w:sz="0" w:space="0" w:color="auto"/>
            <w:left w:val="none" w:sz="0" w:space="0" w:color="auto"/>
            <w:bottom w:val="none" w:sz="0" w:space="0" w:color="auto"/>
            <w:right w:val="none" w:sz="0" w:space="0" w:color="auto"/>
          </w:divBdr>
        </w:div>
        <w:div w:id="1998802692">
          <w:marLeft w:val="1886"/>
          <w:marRight w:val="0"/>
          <w:marTop w:val="0"/>
          <w:marBottom w:val="0"/>
          <w:divBdr>
            <w:top w:val="none" w:sz="0" w:space="0" w:color="auto"/>
            <w:left w:val="none" w:sz="0" w:space="0" w:color="auto"/>
            <w:bottom w:val="none" w:sz="0" w:space="0" w:color="auto"/>
            <w:right w:val="none" w:sz="0" w:space="0" w:color="auto"/>
          </w:divBdr>
        </w:div>
      </w:divsChild>
    </w:div>
    <w:div w:id="1644844067">
      <w:bodyDiv w:val="1"/>
      <w:marLeft w:val="0"/>
      <w:marRight w:val="0"/>
      <w:marTop w:val="0"/>
      <w:marBottom w:val="0"/>
      <w:divBdr>
        <w:top w:val="none" w:sz="0" w:space="0" w:color="auto"/>
        <w:left w:val="none" w:sz="0" w:space="0" w:color="auto"/>
        <w:bottom w:val="none" w:sz="0" w:space="0" w:color="auto"/>
        <w:right w:val="none" w:sz="0" w:space="0" w:color="auto"/>
      </w:divBdr>
    </w:div>
    <w:div w:id="1671325835">
      <w:bodyDiv w:val="1"/>
      <w:marLeft w:val="0"/>
      <w:marRight w:val="0"/>
      <w:marTop w:val="0"/>
      <w:marBottom w:val="0"/>
      <w:divBdr>
        <w:top w:val="none" w:sz="0" w:space="0" w:color="auto"/>
        <w:left w:val="none" w:sz="0" w:space="0" w:color="auto"/>
        <w:bottom w:val="none" w:sz="0" w:space="0" w:color="auto"/>
        <w:right w:val="none" w:sz="0" w:space="0" w:color="auto"/>
      </w:divBdr>
    </w:div>
    <w:div w:id="1673140843">
      <w:bodyDiv w:val="1"/>
      <w:marLeft w:val="0"/>
      <w:marRight w:val="0"/>
      <w:marTop w:val="0"/>
      <w:marBottom w:val="0"/>
      <w:divBdr>
        <w:top w:val="none" w:sz="0" w:space="0" w:color="auto"/>
        <w:left w:val="none" w:sz="0" w:space="0" w:color="auto"/>
        <w:bottom w:val="none" w:sz="0" w:space="0" w:color="auto"/>
        <w:right w:val="none" w:sz="0" w:space="0" w:color="auto"/>
      </w:divBdr>
    </w:div>
    <w:div w:id="1723555173">
      <w:bodyDiv w:val="1"/>
      <w:marLeft w:val="0"/>
      <w:marRight w:val="0"/>
      <w:marTop w:val="0"/>
      <w:marBottom w:val="0"/>
      <w:divBdr>
        <w:top w:val="none" w:sz="0" w:space="0" w:color="auto"/>
        <w:left w:val="none" w:sz="0" w:space="0" w:color="auto"/>
        <w:bottom w:val="none" w:sz="0" w:space="0" w:color="auto"/>
        <w:right w:val="none" w:sz="0" w:space="0" w:color="auto"/>
      </w:divBdr>
      <w:divsChild>
        <w:div w:id="1953435871">
          <w:marLeft w:val="0"/>
          <w:marRight w:val="0"/>
          <w:marTop w:val="0"/>
          <w:marBottom w:val="0"/>
          <w:divBdr>
            <w:top w:val="none" w:sz="0" w:space="0" w:color="auto"/>
            <w:left w:val="none" w:sz="0" w:space="0" w:color="auto"/>
            <w:bottom w:val="none" w:sz="0" w:space="0" w:color="auto"/>
            <w:right w:val="none" w:sz="0" w:space="0" w:color="auto"/>
          </w:divBdr>
          <w:divsChild>
            <w:div w:id="2057193453">
              <w:marLeft w:val="0"/>
              <w:marRight w:val="0"/>
              <w:marTop w:val="0"/>
              <w:marBottom w:val="0"/>
              <w:divBdr>
                <w:top w:val="none" w:sz="0" w:space="0" w:color="auto"/>
                <w:left w:val="none" w:sz="0" w:space="0" w:color="auto"/>
                <w:bottom w:val="none" w:sz="0" w:space="0" w:color="auto"/>
                <w:right w:val="none" w:sz="0" w:space="0" w:color="auto"/>
              </w:divBdr>
              <w:divsChild>
                <w:div w:id="1746292738">
                  <w:marLeft w:val="0"/>
                  <w:marRight w:val="0"/>
                  <w:marTop w:val="1200"/>
                  <w:marBottom w:val="0"/>
                  <w:divBdr>
                    <w:top w:val="none" w:sz="0" w:space="0" w:color="auto"/>
                    <w:left w:val="none" w:sz="0" w:space="0" w:color="auto"/>
                    <w:bottom w:val="none" w:sz="0" w:space="0" w:color="auto"/>
                    <w:right w:val="none" w:sz="0" w:space="0" w:color="auto"/>
                  </w:divBdr>
                  <w:divsChild>
                    <w:div w:id="126822469">
                      <w:marLeft w:val="0"/>
                      <w:marRight w:val="0"/>
                      <w:marTop w:val="0"/>
                      <w:marBottom w:val="0"/>
                      <w:divBdr>
                        <w:top w:val="none" w:sz="0" w:space="0" w:color="auto"/>
                        <w:left w:val="none" w:sz="0" w:space="0" w:color="auto"/>
                        <w:bottom w:val="none" w:sz="0" w:space="0" w:color="auto"/>
                        <w:right w:val="none" w:sz="0" w:space="0" w:color="auto"/>
                      </w:divBdr>
                      <w:divsChild>
                        <w:div w:id="1987928141">
                          <w:marLeft w:val="0"/>
                          <w:marRight w:val="0"/>
                          <w:marTop w:val="0"/>
                          <w:marBottom w:val="150"/>
                          <w:divBdr>
                            <w:top w:val="none" w:sz="0" w:space="0" w:color="auto"/>
                            <w:left w:val="none" w:sz="0" w:space="0" w:color="auto"/>
                            <w:bottom w:val="none" w:sz="0" w:space="0" w:color="auto"/>
                            <w:right w:val="none" w:sz="0" w:space="0" w:color="auto"/>
                          </w:divBdr>
                          <w:divsChild>
                            <w:div w:id="1283220693">
                              <w:marLeft w:val="0"/>
                              <w:marRight w:val="0"/>
                              <w:marTop w:val="0"/>
                              <w:marBottom w:val="0"/>
                              <w:divBdr>
                                <w:top w:val="none" w:sz="0" w:space="0" w:color="auto"/>
                                <w:left w:val="none" w:sz="0" w:space="0" w:color="auto"/>
                                <w:bottom w:val="none" w:sz="0" w:space="0" w:color="auto"/>
                                <w:right w:val="none" w:sz="0" w:space="0" w:color="auto"/>
                              </w:divBdr>
                            </w:div>
                            <w:div w:id="14145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566731">
          <w:marLeft w:val="0"/>
          <w:marRight w:val="0"/>
          <w:marTop w:val="300"/>
          <w:marBottom w:val="300"/>
          <w:divBdr>
            <w:top w:val="none" w:sz="0" w:space="0" w:color="auto"/>
            <w:left w:val="none" w:sz="0" w:space="0" w:color="auto"/>
            <w:bottom w:val="none" w:sz="0" w:space="0" w:color="auto"/>
            <w:right w:val="none" w:sz="0" w:space="0" w:color="auto"/>
          </w:divBdr>
          <w:divsChild>
            <w:div w:id="1668173802">
              <w:marLeft w:val="0"/>
              <w:marRight w:val="0"/>
              <w:marTop w:val="0"/>
              <w:marBottom w:val="0"/>
              <w:divBdr>
                <w:top w:val="none" w:sz="0" w:space="0" w:color="auto"/>
                <w:left w:val="none" w:sz="0" w:space="0" w:color="auto"/>
                <w:bottom w:val="none" w:sz="0" w:space="0" w:color="auto"/>
                <w:right w:val="none" w:sz="0" w:space="0" w:color="auto"/>
              </w:divBdr>
              <w:divsChild>
                <w:div w:id="100615382">
                  <w:marLeft w:val="0"/>
                  <w:marRight w:val="0"/>
                  <w:marTop w:val="0"/>
                  <w:marBottom w:val="0"/>
                  <w:divBdr>
                    <w:top w:val="none" w:sz="0" w:space="0" w:color="auto"/>
                    <w:left w:val="none" w:sz="0" w:space="0" w:color="auto"/>
                    <w:bottom w:val="none" w:sz="0" w:space="0" w:color="auto"/>
                    <w:right w:val="none" w:sz="0" w:space="0" w:color="auto"/>
                  </w:divBdr>
                  <w:divsChild>
                    <w:div w:id="555700924">
                      <w:marLeft w:val="0"/>
                      <w:marRight w:val="0"/>
                      <w:marTop w:val="0"/>
                      <w:marBottom w:val="0"/>
                      <w:divBdr>
                        <w:top w:val="none" w:sz="0" w:space="0" w:color="auto"/>
                        <w:left w:val="none" w:sz="0" w:space="0" w:color="auto"/>
                        <w:bottom w:val="none" w:sz="0" w:space="0" w:color="auto"/>
                        <w:right w:val="none" w:sz="0" w:space="0" w:color="auto"/>
                      </w:divBdr>
                      <w:divsChild>
                        <w:div w:id="1596936956">
                          <w:marLeft w:val="0"/>
                          <w:marRight w:val="0"/>
                          <w:marTop w:val="0"/>
                          <w:marBottom w:val="0"/>
                          <w:divBdr>
                            <w:top w:val="none" w:sz="0" w:space="0" w:color="auto"/>
                            <w:left w:val="none" w:sz="0" w:space="0" w:color="auto"/>
                            <w:bottom w:val="none" w:sz="0" w:space="0" w:color="auto"/>
                            <w:right w:val="none" w:sz="0" w:space="0" w:color="auto"/>
                          </w:divBdr>
                          <w:divsChild>
                            <w:div w:id="1448624535">
                              <w:marLeft w:val="0"/>
                              <w:marRight w:val="0"/>
                              <w:marTop w:val="0"/>
                              <w:marBottom w:val="0"/>
                              <w:divBdr>
                                <w:top w:val="none" w:sz="0" w:space="0" w:color="auto"/>
                                <w:left w:val="none" w:sz="0" w:space="0" w:color="auto"/>
                                <w:bottom w:val="none" w:sz="0" w:space="0" w:color="auto"/>
                                <w:right w:val="none" w:sz="0" w:space="0" w:color="auto"/>
                              </w:divBdr>
                              <w:divsChild>
                                <w:div w:id="618608649">
                                  <w:marLeft w:val="0"/>
                                  <w:marRight w:val="0"/>
                                  <w:marTop w:val="0"/>
                                  <w:marBottom w:val="0"/>
                                  <w:divBdr>
                                    <w:top w:val="none" w:sz="0" w:space="0" w:color="auto"/>
                                    <w:left w:val="none" w:sz="0" w:space="0" w:color="auto"/>
                                    <w:bottom w:val="none" w:sz="0" w:space="0" w:color="auto"/>
                                    <w:right w:val="none" w:sz="0" w:space="0" w:color="auto"/>
                                  </w:divBdr>
                                  <w:divsChild>
                                    <w:div w:id="1584991631">
                                      <w:marLeft w:val="0"/>
                                      <w:marRight w:val="0"/>
                                      <w:marTop w:val="0"/>
                                      <w:marBottom w:val="0"/>
                                      <w:divBdr>
                                        <w:top w:val="none" w:sz="0" w:space="0" w:color="auto"/>
                                        <w:left w:val="none" w:sz="0" w:space="0" w:color="auto"/>
                                        <w:bottom w:val="none" w:sz="0" w:space="0" w:color="auto"/>
                                        <w:right w:val="none" w:sz="0" w:space="0" w:color="auto"/>
                                      </w:divBdr>
                                      <w:divsChild>
                                        <w:div w:id="13772119">
                                          <w:marLeft w:val="1134"/>
                                          <w:marRight w:val="0"/>
                                          <w:marTop w:val="0"/>
                                          <w:marBottom w:val="0"/>
                                          <w:divBdr>
                                            <w:top w:val="single" w:sz="8" w:space="5" w:color="auto"/>
                                            <w:left w:val="single" w:sz="8" w:space="5" w:color="auto"/>
                                            <w:bottom w:val="single" w:sz="8" w:space="5" w:color="auto"/>
                                            <w:right w:val="single" w:sz="8" w:space="5" w:color="auto"/>
                                          </w:divBdr>
                                        </w:div>
                                        <w:div w:id="494298652">
                                          <w:marLeft w:val="1134"/>
                                          <w:marRight w:val="0"/>
                                          <w:marTop w:val="0"/>
                                          <w:marBottom w:val="0"/>
                                          <w:divBdr>
                                            <w:top w:val="single" w:sz="8" w:space="5" w:color="auto"/>
                                            <w:left w:val="single" w:sz="8" w:space="5" w:color="auto"/>
                                            <w:bottom w:val="single" w:sz="8" w:space="5" w:color="auto"/>
                                            <w:right w:val="single" w:sz="8" w:space="5" w:color="auto"/>
                                          </w:divBdr>
                                        </w:div>
                                        <w:div w:id="1399012781">
                                          <w:marLeft w:val="1134"/>
                                          <w:marRight w:val="0"/>
                                          <w:marTop w:val="0"/>
                                          <w:marBottom w:val="0"/>
                                          <w:divBdr>
                                            <w:top w:val="single" w:sz="8" w:space="5" w:color="auto"/>
                                            <w:left w:val="single" w:sz="8" w:space="5" w:color="auto"/>
                                            <w:bottom w:val="single" w:sz="8" w:space="5" w:color="auto"/>
                                            <w:right w:val="single" w:sz="8" w:space="5" w:color="auto"/>
                                          </w:divBdr>
                                        </w:div>
                                        <w:div w:id="1534077784">
                                          <w:marLeft w:val="1134"/>
                                          <w:marRight w:val="0"/>
                                          <w:marTop w:val="0"/>
                                          <w:marBottom w:val="0"/>
                                          <w:divBdr>
                                            <w:top w:val="single" w:sz="8" w:space="5" w:color="auto"/>
                                            <w:left w:val="single" w:sz="8" w:space="5" w:color="auto"/>
                                            <w:bottom w:val="single" w:sz="8" w:space="5" w:color="auto"/>
                                            <w:right w:val="single" w:sz="8" w:space="5" w:color="auto"/>
                                          </w:divBdr>
                                        </w:div>
                                        <w:div w:id="1728845392">
                                          <w:marLeft w:val="1134"/>
                                          <w:marRight w:val="0"/>
                                          <w:marTop w:val="0"/>
                                          <w:marBottom w:val="0"/>
                                          <w:divBdr>
                                            <w:top w:val="single" w:sz="8" w:space="5" w:color="auto"/>
                                            <w:left w:val="single" w:sz="8" w:space="5" w:color="auto"/>
                                            <w:bottom w:val="single" w:sz="8" w:space="5" w:color="auto"/>
                                            <w:right w:val="single" w:sz="8" w:space="5" w:color="auto"/>
                                          </w:divBdr>
                                        </w:div>
                                      </w:divsChild>
                                    </w:div>
                                  </w:divsChild>
                                </w:div>
                              </w:divsChild>
                            </w:div>
                          </w:divsChild>
                        </w:div>
                      </w:divsChild>
                    </w:div>
                  </w:divsChild>
                </w:div>
              </w:divsChild>
            </w:div>
          </w:divsChild>
        </w:div>
      </w:divsChild>
    </w:div>
    <w:div w:id="1746492456">
      <w:bodyDiv w:val="1"/>
      <w:marLeft w:val="0"/>
      <w:marRight w:val="0"/>
      <w:marTop w:val="0"/>
      <w:marBottom w:val="0"/>
      <w:divBdr>
        <w:top w:val="none" w:sz="0" w:space="0" w:color="auto"/>
        <w:left w:val="none" w:sz="0" w:space="0" w:color="auto"/>
        <w:bottom w:val="none" w:sz="0" w:space="0" w:color="auto"/>
        <w:right w:val="none" w:sz="0" w:space="0" w:color="auto"/>
      </w:divBdr>
    </w:div>
    <w:div w:id="1753307421">
      <w:bodyDiv w:val="1"/>
      <w:marLeft w:val="0"/>
      <w:marRight w:val="0"/>
      <w:marTop w:val="0"/>
      <w:marBottom w:val="0"/>
      <w:divBdr>
        <w:top w:val="none" w:sz="0" w:space="0" w:color="auto"/>
        <w:left w:val="none" w:sz="0" w:space="0" w:color="auto"/>
        <w:bottom w:val="none" w:sz="0" w:space="0" w:color="auto"/>
        <w:right w:val="none" w:sz="0" w:space="0" w:color="auto"/>
      </w:divBdr>
    </w:div>
    <w:div w:id="1758820361">
      <w:bodyDiv w:val="1"/>
      <w:marLeft w:val="0"/>
      <w:marRight w:val="0"/>
      <w:marTop w:val="0"/>
      <w:marBottom w:val="0"/>
      <w:divBdr>
        <w:top w:val="none" w:sz="0" w:space="0" w:color="auto"/>
        <w:left w:val="none" w:sz="0" w:space="0" w:color="auto"/>
        <w:bottom w:val="none" w:sz="0" w:space="0" w:color="auto"/>
        <w:right w:val="none" w:sz="0" w:space="0" w:color="auto"/>
      </w:divBdr>
    </w:div>
    <w:div w:id="1778089373">
      <w:bodyDiv w:val="1"/>
      <w:marLeft w:val="0"/>
      <w:marRight w:val="0"/>
      <w:marTop w:val="0"/>
      <w:marBottom w:val="0"/>
      <w:divBdr>
        <w:top w:val="none" w:sz="0" w:space="0" w:color="auto"/>
        <w:left w:val="none" w:sz="0" w:space="0" w:color="auto"/>
        <w:bottom w:val="none" w:sz="0" w:space="0" w:color="auto"/>
        <w:right w:val="none" w:sz="0" w:space="0" w:color="auto"/>
      </w:divBdr>
    </w:div>
    <w:div w:id="1809057110">
      <w:bodyDiv w:val="1"/>
      <w:marLeft w:val="0"/>
      <w:marRight w:val="0"/>
      <w:marTop w:val="0"/>
      <w:marBottom w:val="0"/>
      <w:divBdr>
        <w:top w:val="none" w:sz="0" w:space="0" w:color="auto"/>
        <w:left w:val="none" w:sz="0" w:space="0" w:color="auto"/>
        <w:bottom w:val="none" w:sz="0" w:space="0" w:color="auto"/>
        <w:right w:val="none" w:sz="0" w:space="0" w:color="auto"/>
      </w:divBdr>
    </w:div>
    <w:div w:id="1820146767">
      <w:bodyDiv w:val="1"/>
      <w:marLeft w:val="0"/>
      <w:marRight w:val="0"/>
      <w:marTop w:val="0"/>
      <w:marBottom w:val="0"/>
      <w:divBdr>
        <w:top w:val="none" w:sz="0" w:space="0" w:color="auto"/>
        <w:left w:val="none" w:sz="0" w:space="0" w:color="auto"/>
        <w:bottom w:val="none" w:sz="0" w:space="0" w:color="auto"/>
        <w:right w:val="none" w:sz="0" w:space="0" w:color="auto"/>
      </w:divBdr>
    </w:div>
    <w:div w:id="1877498183">
      <w:bodyDiv w:val="1"/>
      <w:marLeft w:val="0"/>
      <w:marRight w:val="0"/>
      <w:marTop w:val="0"/>
      <w:marBottom w:val="0"/>
      <w:divBdr>
        <w:top w:val="none" w:sz="0" w:space="0" w:color="auto"/>
        <w:left w:val="none" w:sz="0" w:space="0" w:color="auto"/>
        <w:bottom w:val="none" w:sz="0" w:space="0" w:color="auto"/>
        <w:right w:val="none" w:sz="0" w:space="0" w:color="auto"/>
      </w:divBdr>
    </w:div>
    <w:div w:id="1893272947">
      <w:bodyDiv w:val="1"/>
      <w:marLeft w:val="0"/>
      <w:marRight w:val="0"/>
      <w:marTop w:val="0"/>
      <w:marBottom w:val="0"/>
      <w:divBdr>
        <w:top w:val="none" w:sz="0" w:space="0" w:color="auto"/>
        <w:left w:val="none" w:sz="0" w:space="0" w:color="auto"/>
        <w:bottom w:val="none" w:sz="0" w:space="0" w:color="auto"/>
        <w:right w:val="none" w:sz="0" w:space="0" w:color="auto"/>
      </w:divBdr>
    </w:div>
    <w:div w:id="1899121337">
      <w:bodyDiv w:val="1"/>
      <w:marLeft w:val="0"/>
      <w:marRight w:val="0"/>
      <w:marTop w:val="0"/>
      <w:marBottom w:val="0"/>
      <w:divBdr>
        <w:top w:val="none" w:sz="0" w:space="0" w:color="auto"/>
        <w:left w:val="none" w:sz="0" w:space="0" w:color="auto"/>
        <w:bottom w:val="none" w:sz="0" w:space="0" w:color="auto"/>
        <w:right w:val="none" w:sz="0" w:space="0" w:color="auto"/>
      </w:divBdr>
    </w:div>
    <w:div w:id="1910460559">
      <w:bodyDiv w:val="1"/>
      <w:marLeft w:val="0"/>
      <w:marRight w:val="0"/>
      <w:marTop w:val="0"/>
      <w:marBottom w:val="0"/>
      <w:divBdr>
        <w:top w:val="none" w:sz="0" w:space="0" w:color="auto"/>
        <w:left w:val="none" w:sz="0" w:space="0" w:color="auto"/>
        <w:bottom w:val="none" w:sz="0" w:space="0" w:color="auto"/>
        <w:right w:val="none" w:sz="0" w:space="0" w:color="auto"/>
      </w:divBdr>
    </w:div>
    <w:div w:id="1913418815">
      <w:bodyDiv w:val="1"/>
      <w:marLeft w:val="0"/>
      <w:marRight w:val="0"/>
      <w:marTop w:val="0"/>
      <w:marBottom w:val="0"/>
      <w:divBdr>
        <w:top w:val="none" w:sz="0" w:space="0" w:color="auto"/>
        <w:left w:val="none" w:sz="0" w:space="0" w:color="auto"/>
        <w:bottom w:val="none" w:sz="0" w:space="0" w:color="auto"/>
        <w:right w:val="none" w:sz="0" w:space="0" w:color="auto"/>
      </w:divBdr>
    </w:div>
    <w:div w:id="1943878603">
      <w:bodyDiv w:val="1"/>
      <w:marLeft w:val="0"/>
      <w:marRight w:val="0"/>
      <w:marTop w:val="0"/>
      <w:marBottom w:val="0"/>
      <w:divBdr>
        <w:top w:val="none" w:sz="0" w:space="0" w:color="auto"/>
        <w:left w:val="none" w:sz="0" w:space="0" w:color="auto"/>
        <w:bottom w:val="none" w:sz="0" w:space="0" w:color="auto"/>
        <w:right w:val="none" w:sz="0" w:space="0" w:color="auto"/>
      </w:divBdr>
    </w:div>
    <w:div w:id="1946427492">
      <w:bodyDiv w:val="1"/>
      <w:marLeft w:val="0"/>
      <w:marRight w:val="0"/>
      <w:marTop w:val="0"/>
      <w:marBottom w:val="0"/>
      <w:divBdr>
        <w:top w:val="none" w:sz="0" w:space="0" w:color="auto"/>
        <w:left w:val="none" w:sz="0" w:space="0" w:color="auto"/>
        <w:bottom w:val="none" w:sz="0" w:space="0" w:color="auto"/>
        <w:right w:val="none" w:sz="0" w:space="0" w:color="auto"/>
      </w:divBdr>
    </w:div>
    <w:div w:id="1957590939">
      <w:bodyDiv w:val="1"/>
      <w:marLeft w:val="0"/>
      <w:marRight w:val="0"/>
      <w:marTop w:val="0"/>
      <w:marBottom w:val="0"/>
      <w:divBdr>
        <w:top w:val="none" w:sz="0" w:space="0" w:color="auto"/>
        <w:left w:val="none" w:sz="0" w:space="0" w:color="auto"/>
        <w:bottom w:val="none" w:sz="0" w:space="0" w:color="auto"/>
        <w:right w:val="none" w:sz="0" w:space="0" w:color="auto"/>
      </w:divBdr>
    </w:div>
    <w:div w:id="1990665699">
      <w:bodyDiv w:val="1"/>
      <w:marLeft w:val="0"/>
      <w:marRight w:val="0"/>
      <w:marTop w:val="0"/>
      <w:marBottom w:val="0"/>
      <w:divBdr>
        <w:top w:val="none" w:sz="0" w:space="0" w:color="auto"/>
        <w:left w:val="none" w:sz="0" w:space="0" w:color="auto"/>
        <w:bottom w:val="none" w:sz="0" w:space="0" w:color="auto"/>
        <w:right w:val="none" w:sz="0" w:space="0" w:color="auto"/>
      </w:divBdr>
    </w:div>
    <w:div w:id="2025282893">
      <w:bodyDiv w:val="1"/>
      <w:marLeft w:val="0"/>
      <w:marRight w:val="0"/>
      <w:marTop w:val="0"/>
      <w:marBottom w:val="0"/>
      <w:divBdr>
        <w:top w:val="none" w:sz="0" w:space="0" w:color="auto"/>
        <w:left w:val="none" w:sz="0" w:space="0" w:color="auto"/>
        <w:bottom w:val="none" w:sz="0" w:space="0" w:color="auto"/>
        <w:right w:val="none" w:sz="0" w:space="0" w:color="auto"/>
      </w:divBdr>
    </w:div>
    <w:div w:id="2030835819">
      <w:bodyDiv w:val="1"/>
      <w:marLeft w:val="0"/>
      <w:marRight w:val="0"/>
      <w:marTop w:val="0"/>
      <w:marBottom w:val="0"/>
      <w:divBdr>
        <w:top w:val="none" w:sz="0" w:space="0" w:color="auto"/>
        <w:left w:val="none" w:sz="0" w:space="0" w:color="auto"/>
        <w:bottom w:val="none" w:sz="0" w:space="0" w:color="auto"/>
        <w:right w:val="none" w:sz="0" w:space="0" w:color="auto"/>
      </w:divBdr>
    </w:div>
    <w:div w:id="2049914815">
      <w:bodyDiv w:val="1"/>
      <w:marLeft w:val="0"/>
      <w:marRight w:val="0"/>
      <w:marTop w:val="0"/>
      <w:marBottom w:val="0"/>
      <w:divBdr>
        <w:top w:val="none" w:sz="0" w:space="0" w:color="auto"/>
        <w:left w:val="none" w:sz="0" w:space="0" w:color="auto"/>
        <w:bottom w:val="none" w:sz="0" w:space="0" w:color="auto"/>
        <w:right w:val="none" w:sz="0" w:space="0" w:color="auto"/>
      </w:divBdr>
    </w:div>
    <w:div w:id="2066834225">
      <w:bodyDiv w:val="1"/>
      <w:marLeft w:val="0"/>
      <w:marRight w:val="0"/>
      <w:marTop w:val="0"/>
      <w:marBottom w:val="0"/>
      <w:divBdr>
        <w:top w:val="none" w:sz="0" w:space="0" w:color="auto"/>
        <w:left w:val="none" w:sz="0" w:space="0" w:color="auto"/>
        <w:bottom w:val="none" w:sz="0" w:space="0" w:color="auto"/>
        <w:right w:val="none" w:sz="0" w:space="0" w:color="auto"/>
      </w:divBdr>
    </w:div>
    <w:div w:id="2075809036">
      <w:bodyDiv w:val="1"/>
      <w:marLeft w:val="0"/>
      <w:marRight w:val="0"/>
      <w:marTop w:val="0"/>
      <w:marBottom w:val="0"/>
      <w:divBdr>
        <w:top w:val="none" w:sz="0" w:space="0" w:color="auto"/>
        <w:left w:val="none" w:sz="0" w:space="0" w:color="auto"/>
        <w:bottom w:val="none" w:sz="0" w:space="0" w:color="auto"/>
        <w:right w:val="none" w:sz="0" w:space="0" w:color="auto"/>
      </w:divBdr>
    </w:div>
    <w:div w:id="2085646251">
      <w:bodyDiv w:val="1"/>
      <w:marLeft w:val="0"/>
      <w:marRight w:val="0"/>
      <w:marTop w:val="0"/>
      <w:marBottom w:val="0"/>
      <w:divBdr>
        <w:top w:val="none" w:sz="0" w:space="0" w:color="auto"/>
        <w:left w:val="none" w:sz="0" w:space="0" w:color="auto"/>
        <w:bottom w:val="none" w:sz="0" w:space="0" w:color="auto"/>
        <w:right w:val="none" w:sz="0" w:space="0" w:color="auto"/>
      </w:divBdr>
    </w:div>
    <w:div w:id="2092463281">
      <w:bodyDiv w:val="1"/>
      <w:marLeft w:val="0"/>
      <w:marRight w:val="0"/>
      <w:marTop w:val="0"/>
      <w:marBottom w:val="0"/>
      <w:divBdr>
        <w:top w:val="none" w:sz="0" w:space="0" w:color="auto"/>
        <w:left w:val="none" w:sz="0" w:space="0" w:color="auto"/>
        <w:bottom w:val="none" w:sz="0" w:space="0" w:color="auto"/>
        <w:right w:val="none" w:sz="0" w:space="0" w:color="auto"/>
      </w:divBdr>
    </w:div>
    <w:div w:id="2106997975">
      <w:bodyDiv w:val="1"/>
      <w:marLeft w:val="0"/>
      <w:marRight w:val="0"/>
      <w:marTop w:val="0"/>
      <w:marBottom w:val="0"/>
      <w:divBdr>
        <w:top w:val="none" w:sz="0" w:space="0" w:color="auto"/>
        <w:left w:val="none" w:sz="0" w:space="0" w:color="auto"/>
        <w:bottom w:val="none" w:sz="0" w:space="0" w:color="auto"/>
        <w:right w:val="none" w:sz="0" w:space="0" w:color="auto"/>
      </w:divBdr>
      <w:divsChild>
        <w:div w:id="1709531179">
          <w:marLeft w:val="0"/>
          <w:marRight w:val="0"/>
          <w:marTop w:val="0"/>
          <w:marBottom w:val="0"/>
          <w:divBdr>
            <w:top w:val="none" w:sz="0" w:space="0" w:color="auto"/>
            <w:left w:val="none" w:sz="0" w:space="0" w:color="auto"/>
            <w:bottom w:val="none" w:sz="0" w:space="0" w:color="auto"/>
            <w:right w:val="none" w:sz="0" w:space="0" w:color="auto"/>
          </w:divBdr>
          <w:divsChild>
            <w:div w:id="1594319324">
              <w:marLeft w:val="0"/>
              <w:marRight w:val="0"/>
              <w:marTop w:val="0"/>
              <w:marBottom w:val="0"/>
              <w:divBdr>
                <w:top w:val="none" w:sz="0" w:space="0" w:color="auto"/>
                <w:left w:val="none" w:sz="0" w:space="0" w:color="auto"/>
                <w:bottom w:val="none" w:sz="0" w:space="0" w:color="auto"/>
                <w:right w:val="none" w:sz="0" w:space="0" w:color="auto"/>
              </w:divBdr>
              <w:divsChild>
                <w:div w:id="340745508">
                  <w:marLeft w:val="0"/>
                  <w:marRight w:val="0"/>
                  <w:marTop w:val="0"/>
                  <w:marBottom w:val="0"/>
                  <w:divBdr>
                    <w:top w:val="none" w:sz="0" w:space="0" w:color="auto"/>
                    <w:left w:val="none" w:sz="0" w:space="0" w:color="auto"/>
                    <w:bottom w:val="none" w:sz="0" w:space="0" w:color="auto"/>
                    <w:right w:val="none" w:sz="0" w:space="0" w:color="auto"/>
                  </w:divBdr>
                  <w:divsChild>
                    <w:div w:id="2015917919">
                      <w:marLeft w:val="0"/>
                      <w:marRight w:val="0"/>
                      <w:marTop w:val="0"/>
                      <w:marBottom w:val="0"/>
                      <w:divBdr>
                        <w:top w:val="none" w:sz="0" w:space="0" w:color="auto"/>
                        <w:left w:val="none" w:sz="0" w:space="0" w:color="auto"/>
                        <w:bottom w:val="none" w:sz="0" w:space="0" w:color="auto"/>
                        <w:right w:val="none" w:sz="0" w:space="0" w:color="auto"/>
                      </w:divBdr>
                      <w:divsChild>
                        <w:div w:id="1395157446">
                          <w:marLeft w:val="0"/>
                          <w:marRight w:val="0"/>
                          <w:marTop w:val="0"/>
                          <w:marBottom w:val="0"/>
                          <w:divBdr>
                            <w:top w:val="none" w:sz="0" w:space="0" w:color="auto"/>
                            <w:left w:val="none" w:sz="0" w:space="0" w:color="auto"/>
                            <w:bottom w:val="none" w:sz="0" w:space="0" w:color="auto"/>
                            <w:right w:val="none" w:sz="0" w:space="0" w:color="auto"/>
                          </w:divBdr>
                          <w:divsChild>
                            <w:div w:id="1935893853">
                              <w:marLeft w:val="0"/>
                              <w:marRight w:val="0"/>
                              <w:marTop w:val="0"/>
                              <w:marBottom w:val="0"/>
                              <w:divBdr>
                                <w:top w:val="none" w:sz="0" w:space="0" w:color="auto"/>
                                <w:left w:val="none" w:sz="0" w:space="0" w:color="auto"/>
                                <w:bottom w:val="none" w:sz="0" w:space="0" w:color="auto"/>
                                <w:right w:val="none" w:sz="0" w:space="0" w:color="auto"/>
                              </w:divBdr>
                              <w:divsChild>
                                <w:div w:id="1334575861">
                                  <w:marLeft w:val="0"/>
                                  <w:marRight w:val="0"/>
                                  <w:marTop w:val="0"/>
                                  <w:marBottom w:val="0"/>
                                  <w:divBdr>
                                    <w:top w:val="none" w:sz="0" w:space="0" w:color="auto"/>
                                    <w:left w:val="none" w:sz="0" w:space="0" w:color="auto"/>
                                    <w:bottom w:val="none" w:sz="0" w:space="0" w:color="auto"/>
                                    <w:right w:val="none" w:sz="0" w:space="0" w:color="auto"/>
                                  </w:divBdr>
                                  <w:divsChild>
                                    <w:div w:id="103306345">
                                      <w:marLeft w:val="-225"/>
                                      <w:marRight w:val="-225"/>
                                      <w:marTop w:val="0"/>
                                      <w:marBottom w:val="0"/>
                                      <w:divBdr>
                                        <w:top w:val="none" w:sz="0" w:space="0" w:color="auto"/>
                                        <w:left w:val="none" w:sz="0" w:space="0" w:color="auto"/>
                                        <w:bottom w:val="none" w:sz="0" w:space="0" w:color="auto"/>
                                        <w:right w:val="none" w:sz="0" w:space="0" w:color="auto"/>
                                      </w:divBdr>
                                      <w:divsChild>
                                        <w:div w:id="503906594">
                                          <w:marLeft w:val="0"/>
                                          <w:marRight w:val="0"/>
                                          <w:marTop w:val="0"/>
                                          <w:marBottom w:val="0"/>
                                          <w:divBdr>
                                            <w:top w:val="none" w:sz="0" w:space="0" w:color="auto"/>
                                            <w:left w:val="none" w:sz="0" w:space="0" w:color="auto"/>
                                            <w:bottom w:val="none" w:sz="0" w:space="0" w:color="auto"/>
                                            <w:right w:val="none" w:sz="0" w:space="0" w:color="auto"/>
                                          </w:divBdr>
                                          <w:divsChild>
                                            <w:div w:id="1771393891">
                                              <w:marLeft w:val="0"/>
                                              <w:marRight w:val="0"/>
                                              <w:marTop w:val="0"/>
                                              <w:marBottom w:val="0"/>
                                              <w:divBdr>
                                                <w:top w:val="none" w:sz="0" w:space="0" w:color="auto"/>
                                                <w:left w:val="none" w:sz="0" w:space="0" w:color="auto"/>
                                                <w:bottom w:val="none" w:sz="0" w:space="0" w:color="auto"/>
                                                <w:right w:val="none" w:sz="0" w:space="0" w:color="auto"/>
                                              </w:divBdr>
                                              <w:divsChild>
                                                <w:div w:id="154012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7380412">
      <w:bodyDiv w:val="1"/>
      <w:marLeft w:val="0"/>
      <w:marRight w:val="0"/>
      <w:marTop w:val="0"/>
      <w:marBottom w:val="0"/>
      <w:divBdr>
        <w:top w:val="none" w:sz="0" w:space="0" w:color="auto"/>
        <w:left w:val="none" w:sz="0" w:space="0" w:color="auto"/>
        <w:bottom w:val="none" w:sz="0" w:space="0" w:color="auto"/>
        <w:right w:val="none" w:sz="0" w:space="0" w:color="auto"/>
      </w:divBdr>
    </w:div>
    <w:div w:id="2107529491">
      <w:bodyDiv w:val="1"/>
      <w:marLeft w:val="0"/>
      <w:marRight w:val="0"/>
      <w:marTop w:val="0"/>
      <w:marBottom w:val="0"/>
      <w:divBdr>
        <w:top w:val="none" w:sz="0" w:space="0" w:color="auto"/>
        <w:left w:val="none" w:sz="0" w:space="0" w:color="auto"/>
        <w:bottom w:val="none" w:sz="0" w:space="0" w:color="auto"/>
        <w:right w:val="none" w:sz="0" w:space="0" w:color="auto"/>
      </w:divBdr>
    </w:div>
    <w:div w:id="2111319612">
      <w:bodyDiv w:val="1"/>
      <w:marLeft w:val="0"/>
      <w:marRight w:val="0"/>
      <w:marTop w:val="0"/>
      <w:marBottom w:val="0"/>
      <w:divBdr>
        <w:top w:val="none" w:sz="0" w:space="0" w:color="auto"/>
        <w:left w:val="none" w:sz="0" w:space="0" w:color="auto"/>
        <w:bottom w:val="none" w:sz="0" w:space="0" w:color="auto"/>
        <w:right w:val="none" w:sz="0" w:space="0" w:color="auto"/>
      </w:divBdr>
    </w:div>
    <w:div w:id="212175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treasury.gov.au/policy-topics/economy/consumer-data-right" TargetMode="External"/><Relationship Id="rId3" Type="http://schemas.openxmlformats.org/officeDocument/2006/relationships/styles" Target="styles.xml"/><Relationship Id="rId21" Type="http://schemas.openxmlformats.org/officeDocument/2006/relationships/hyperlink" Target="https://treasury.gov.au/publication/p2022-30040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treasury.gov.au/policy-topics/economy/consumer-data-right"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s://treasury.gov.au/sites/default/files/2022-12/c2022-341682_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treasury.gov.au/policy-topics/economy/consumer-data-righ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treasury.gov.au/sites/default/files/2022-08/p2022-300402-finalreport.pdf" TargetMode="External"/><Relationship Id="rId18" Type="http://schemas.openxmlformats.org/officeDocument/2006/relationships/hyperlink" Target="https://treasury.gov.au/sites/default/files/2022-08/p2022-300402-finalreport.pdf" TargetMode="External"/><Relationship Id="rId26" Type="http://schemas.openxmlformats.org/officeDocument/2006/relationships/hyperlink" Target="https://d61cds.notion.site/" TargetMode="External"/><Relationship Id="rId3" Type="http://schemas.openxmlformats.org/officeDocument/2006/relationships/hyperlink" Target="https://treasury.gov.au/policy-topics/economy/consumer-data-right" TargetMode="External"/><Relationship Id="rId21" Type="http://schemas.openxmlformats.org/officeDocument/2006/relationships/hyperlink" Target="https://parlinfo.aph.gov.au/parlInfo/download/legislation/bills/r6909_aspassed/toc_pdf/22087b01.pdf;fileType=application%2Fpdf" TargetMode="External"/><Relationship Id="rId34" Type="http://schemas.openxmlformats.org/officeDocument/2006/relationships/hyperlink" Target="https://www.oaic.gov.au/__data/assets/pdf_file/0015/23424/FINAL-s-56AF-report-designation-non-bank-lending-nbl-sector.pdf" TargetMode="External"/><Relationship Id="rId7" Type="http://schemas.openxmlformats.org/officeDocument/2006/relationships/hyperlink" Target="https://www.legislation.gov.au/Details/F2022L01522" TargetMode="External"/><Relationship Id="rId12" Type="http://schemas.openxmlformats.org/officeDocument/2006/relationships/hyperlink" Target="https://www.legislation.gov.au/Details/F2019L01153" TargetMode="External"/><Relationship Id="rId17" Type="http://schemas.openxmlformats.org/officeDocument/2006/relationships/hyperlink" Target="https://github.com/ConsumerDataStandardsAustralia/standards/issues/280" TargetMode="External"/><Relationship Id="rId25" Type="http://schemas.openxmlformats.org/officeDocument/2006/relationships/hyperlink" Target="https://d61cds.notion.site/Consent-Management-Data-holder-33ff846f68f3466ab189d97c6c0afd28" TargetMode="External"/><Relationship Id="rId33" Type="http://schemas.openxmlformats.org/officeDocument/2006/relationships/hyperlink" Target="https://www.oaic.gov.au/__data/assets/pdf_file/0013/24034/Privacy-Safeguard-Guidelines-v4-Nov-2022-rev2.pdf" TargetMode="External"/><Relationship Id="rId2" Type="http://schemas.openxmlformats.org/officeDocument/2006/relationships/hyperlink" Target="https://treasury.gov.au/sites/default/files/2022-12/c2022-341682_0.pdf" TargetMode="External"/><Relationship Id="rId16" Type="http://schemas.openxmlformats.org/officeDocument/2006/relationships/hyperlink" Target="https://github.com/ConsumerDataStandardsAustralia/standards/issues/273" TargetMode="External"/><Relationship Id="rId20" Type="http://schemas.openxmlformats.org/officeDocument/2006/relationships/hyperlink" Target="https://treasury.gov.au/consultation/c2022-338372" TargetMode="External"/><Relationship Id="rId29" Type="http://schemas.openxmlformats.org/officeDocument/2006/relationships/hyperlink" Target="https://www.oaic.gov.au/privacy/guidance-and-advice/guide-to-undertaking-privacy-impact-assessments" TargetMode="External"/><Relationship Id="rId1" Type="http://schemas.openxmlformats.org/officeDocument/2006/relationships/hyperlink" Target="https://treasury.gov.au/policy-topics/economy/consumer-data-right" TargetMode="External"/><Relationship Id="rId6" Type="http://schemas.openxmlformats.org/officeDocument/2006/relationships/hyperlink" Target="https://treasury.gov.au/sites/default/files/2022-08/p2022-300402-finalreport.pdf" TargetMode="External"/><Relationship Id="rId11" Type="http://schemas.openxmlformats.org/officeDocument/2006/relationships/hyperlink" Target="https://www.legislation.gov.au/Details/F2022L01522" TargetMode="External"/><Relationship Id="rId24" Type="http://schemas.openxmlformats.org/officeDocument/2006/relationships/hyperlink" Target="https://www.figma.com/proto/jHG3HstULWcr7KfCUWxFtD/WIP-%7C-Design-paper-%7C-NBL?page-id=0%3A1&amp;node-id=18%3A4734&amp;viewport=1717%2C927%2C0.25&amp;scaling=scale-down&amp;starting-point-node-id=1%3A3263" TargetMode="External"/><Relationship Id="rId32" Type="http://schemas.openxmlformats.org/officeDocument/2006/relationships/hyperlink" Target="https://treasury.gov.au/sites/default/files/2019-12/p2019-41016_PIA_final.pdf" TargetMode="External"/><Relationship Id="rId5" Type="http://schemas.openxmlformats.org/officeDocument/2006/relationships/hyperlink" Target="https://treasury.gov.au/sites/default/files/2022-08/p2022-300402-finalreport.pdf" TargetMode="External"/><Relationship Id="rId15" Type="http://schemas.openxmlformats.org/officeDocument/2006/relationships/hyperlink" Target="https://treasury.gov.au/sites/default/files/2022-08/p2022-300402-finalreport.pdf" TargetMode="External"/><Relationship Id="rId23" Type="http://schemas.openxmlformats.org/officeDocument/2006/relationships/hyperlink" Target="https://miro.com/app/board/uXjVPD76GlY=/" TargetMode="External"/><Relationship Id="rId28" Type="http://schemas.openxmlformats.org/officeDocument/2006/relationships/hyperlink" Target="https://www.oaic.gov.au/privacy/australian-privacy-principles-guidelines" TargetMode="External"/><Relationship Id="rId10" Type="http://schemas.openxmlformats.org/officeDocument/2006/relationships/hyperlink" Target="https://treasury.gov.au/sites/default/files/2022-08/p2022-300402-finalreport.pdf" TargetMode="External"/><Relationship Id="rId19" Type="http://schemas.openxmlformats.org/officeDocument/2006/relationships/hyperlink" Target="https://ministers.treasury.gov.au/ministers/stephen-jones-2022/speeches/address-responsible-lending-borrowing-summit" TargetMode="External"/><Relationship Id="rId31" Type="http://schemas.openxmlformats.org/officeDocument/2006/relationships/hyperlink" Target="https://treasury.gov.au/sites/default/files/2019-03/p2019-t361555-pia-final.pdf" TargetMode="External"/><Relationship Id="rId4" Type="http://schemas.openxmlformats.org/officeDocument/2006/relationships/hyperlink" Target="https://treasury.gov.au/publication/p2022-300402" TargetMode="External"/><Relationship Id="rId9" Type="http://schemas.openxmlformats.org/officeDocument/2006/relationships/hyperlink" Target="https://treasury.gov.au/consultation/c2022-341682" TargetMode="External"/><Relationship Id="rId14" Type="http://schemas.openxmlformats.org/officeDocument/2006/relationships/hyperlink" Target="https://treasury.gov.au/sites/default/files/2020-06/p2020-89229.pdf" TargetMode="External"/><Relationship Id="rId22" Type="http://schemas.openxmlformats.org/officeDocument/2006/relationships/hyperlink" Target="https://www.oaic.gov.au/__data/assets/pdf_file/0015/23424/FINAL-s-56AF-report-designation-non-bank-lending-nbl-sector.pdf" TargetMode="External"/><Relationship Id="rId27" Type="http://schemas.openxmlformats.org/officeDocument/2006/relationships/hyperlink" Target="https://d61cds.notion.site/Collection-and-use-consents-fcf5e47455274d26b028d218b22f017a" TargetMode="External"/><Relationship Id="rId30" Type="http://schemas.openxmlformats.org/officeDocument/2006/relationships/hyperlink" Target="https://www.oaic.gov.au/consumer-data-right/cdr-privacy-safeguard-guidelines" TargetMode="External"/><Relationship Id="rId35" Type="http://schemas.openxmlformats.org/officeDocument/2006/relationships/hyperlink" Target="https://www.oaic.gov.au/consumer-data-right/consumer-data-right-guidance-for-business/consumer-data-right-privacy-safeguard-guidelines/chapter-3-privacy-safeguard-3-seeking-to-collect-cdr-data-from-cdr-participants" TargetMode="External"/><Relationship Id="rId8" Type="http://schemas.openxmlformats.org/officeDocument/2006/relationships/hyperlink" Target="https://treasury.gov.au/consultation/c2022-25378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A778A-67AF-4F15-A51E-CF8F7AC15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9176</Words>
  <Characters>52306</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Privacy impact assessment: Supplementary PIA to expand the Consumer Data Right to the Non-Banking Lending sector</vt:lpstr>
    </vt:vector>
  </TitlesOfParts>
  <Company/>
  <LinksUpToDate>false</LinksUpToDate>
  <CharactersWithSpaces>61360</CharactersWithSpaces>
  <SharedDoc>false</SharedDoc>
  <HLinks>
    <vt:vector size="246" baseType="variant">
      <vt:variant>
        <vt:i4>262166</vt:i4>
      </vt:variant>
      <vt:variant>
        <vt:i4>63</vt:i4>
      </vt:variant>
      <vt:variant>
        <vt:i4>0</vt:i4>
      </vt:variant>
      <vt:variant>
        <vt:i4>5</vt:i4>
      </vt:variant>
      <vt:variant>
        <vt:lpwstr>https://treasury.gov.au/publication/p2022-300402</vt:lpwstr>
      </vt:variant>
      <vt:variant>
        <vt:lpwstr/>
      </vt:variant>
      <vt:variant>
        <vt:i4>3211285</vt:i4>
      </vt:variant>
      <vt:variant>
        <vt:i4>60</vt:i4>
      </vt:variant>
      <vt:variant>
        <vt:i4>0</vt:i4>
      </vt:variant>
      <vt:variant>
        <vt:i4>5</vt:i4>
      </vt:variant>
      <vt:variant>
        <vt:lpwstr>https://treasury.gov.au/sites/default/files/2022-12/c2022-341682_0.pdf</vt:lpwstr>
      </vt:variant>
      <vt:variant>
        <vt:lpwstr/>
      </vt:variant>
      <vt:variant>
        <vt:i4>1441876</vt:i4>
      </vt:variant>
      <vt:variant>
        <vt:i4>57</vt:i4>
      </vt:variant>
      <vt:variant>
        <vt:i4>0</vt:i4>
      </vt:variant>
      <vt:variant>
        <vt:i4>5</vt:i4>
      </vt:variant>
      <vt:variant>
        <vt:lpwstr>https://treasury.gov.au/policy-topics/economy/consumer-data-right</vt:lpwstr>
      </vt:variant>
      <vt:variant>
        <vt:lpwstr/>
      </vt:variant>
      <vt:variant>
        <vt:i4>1441876</vt:i4>
      </vt:variant>
      <vt:variant>
        <vt:i4>54</vt:i4>
      </vt:variant>
      <vt:variant>
        <vt:i4>0</vt:i4>
      </vt:variant>
      <vt:variant>
        <vt:i4>5</vt:i4>
      </vt:variant>
      <vt:variant>
        <vt:lpwstr>https://treasury.gov.au/policy-topics/economy/consumer-data-right</vt:lpwstr>
      </vt:variant>
      <vt:variant>
        <vt:lpwstr/>
      </vt:variant>
      <vt:variant>
        <vt:i4>1441876</vt:i4>
      </vt:variant>
      <vt:variant>
        <vt:i4>51</vt:i4>
      </vt:variant>
      <vt:variant>
        <vt:i4>0</vt:i4>
      </vt:variant>
      <vt:variant>
        <vt:i4>5</vt:i4>
      </vt:variant>
      <vt:variant>
        <vt:lpwstr>https://treasury.gov.au/policy-topics/economy/consumer-data-right</vt:lpwstr>
      </vt:variant>
      <vt:variant>
        <vt:lpwstr/>
      </vt:variant>
      <vt:variant>
        <vt:i4>5374047</vt:i4>
      </vt:variant>
      <vt:variant>
        <vt:i4>108</vt:i4>
      </vt:variant>
      <vt:variant>
        <vt:i4>0</vt:i4>
      </vt:variant>
      <vt:variant>
        <vt:i4>5</vt:i4>
      </vt:variant>
      <vt:variant>
        <vt:lpwstr>https://www.oaic.gov.au/consumer-data-right/consumer-data-right-guidance-for-business/consumer-data-right-privacy-safeguard-guidelines/chapter-3-privacy-safeguard-3-seeking-to-collect-cdr-data-from-cdr-participants</vt:lpwstr>
      </vt:variant>
      <vt:variant>
        <vt:lpwstr>:~:text=This%20includes%20the%20'data%20minimisation,period%20than%20is%20reasonably%20needed.</vt:lpwstr>
      </vt:variant>
      <vt:variant>
        <vt:i4>1441892</vt:i4>
      </vt:variant>
      <vt:variant>
        <vt:i4>105</vt:i4>
      </vt:variant>
      <vt:variant>
        <vt:i4>0</vt:i4>
      </vt:variant>
      <vt:variant>
        <vt:i4>5</vt:i4>
      </vt:variant>
      <vt:variant>
        <vt:lpwstr>https://www.oaic.gov.au/__data/assets/pdf_file/0015/23424/FINAL-s-56AF-report-designation-non-bank-lending-nbl-sector.pdf</vt:lpwstr>
      </vt:variant>
      <vt:variant>
        <vt:lpwstr/>
      </vt:variant>
      <vt:variant>
        <vt:i4>6488133</vt:i4>
      </vt:variant>
      <vt:variant>
        <vt:i4>102</vt:i4>
      </vt:variant>
      <vt:variant>
        <vt:i4>0</vt:i4>
      </vt:variant>
      <vt:variant>
        <vt:i4>5</vt:i4>
      </vt:variant>
      <vt:variant>
        <vt:lpwstr>https://www.oaic.gov.au/__data/assets/pdf_file/0013/24034/Privacy-Safeguard-Guidelines-v4-Nov-2022-rev2.pdf</vt:lpwstr>
      </vt:variant>
      <vt:variant>
        <vt:lpwstr/>
      </vt:variant>
      <vt:variant>
        <vt:i4>262166</vt:i4>
      </vt:variant>
      <vt:variant>
        <vt:i4>99</vt:i4>
      </vt:variant>
      <vt:variant>
        <vt:i4>0</vt:i4>
      </vt:variant>
      <vt:variant>
        <vt:i4>5</vt:i4>
      </vt:variant>
      <vt:variant>
        <vt:lpwstr>https://treasury.gov.au/sites/default/files/2019-12/p2019-41016_PIA_final.pdf</vt:lpwstr>
      </vt:variant>
      <vt:variant>
        <vt:lpwstr/>
      </vt:variant>
      <vt:variant>
        <vt:i4>3276903</vt:i4>
      </vt:variant>
      <vt:variant>
        <vt:i4>96</vt:i4>
      </vt:variant>
      <vt:variant>
        <vt:i4>0</vt:i4>
      </vt:variant>
      <vt:variant>
        <vt:i4>5</vt:i4>
      </vt:variant>
      <vt:variant>
        <vt:lpwstr>https://treasury.gov.au/sites/default/files/2019-03/p2019-t361555-pia-final.pdf</vt:lpwstr>
      </vt:variant>
      <vt:variant>
        <vt:lpwstr/>
      </vt:variant>
      <vt:variant>
        <vt:i4>4718605</vt:i4>
      </vt:variant>
      <vt:variant>
        <vt:i4>93</vt:i4>
      </vt:variant>
      <vt:variant>
        <vt:i4>0</vt:i4>
      </vt:variant>
      <vt:variant>
        <vt:i4>5</vt:i4>
      </vt:variant>
      <vt:variant>
        <vt:lpwstr>https://www.oaic.gov.au/consumer-data-right/cdr-privacy-safeguard-guidelines</vt:lpwstr>
      </vt:variant>
      <vt:variant>
        <vt:lpwstr/>
      </vt:variant>
      <vt:variant>
        <vt:i4>6553698</vt:i4>
      </vt:variant>
      <vt:variant>
        <vt:i4>90</vt:i4>
      </vt:variant>
      <vt:variant>
        <vt:i4>0</vt:i4>
      </vt:variant>
      <vt:variant>
        <vt:i4>5</vt:i4>
      </vt:variant>
      <vt:variant>
        <vt:lpwstr>https://www.oaic.gov.au/privacy/guidance-and-advice/guide-to-undertaking-privacy-impact-assessments</vt:lpwstr>
      </vt:variant>
      <vt:variant>
        <vt:lpwstr/>
      </vt:variant>
      <vt:variant>
        <vt:i4>1638490</vt:i4>
      </vt:variant>
      <vt:variant>
        <vt:i4>87</vt:i4>
      </vt:variant>
      <vt:variant>
        <vt:i4>0</vt:i4>
      </vt:variant>
      <vt:variant>
        <vt:i4>5</vt:i4>
      </vt:variant>
      <vt:variant>
        <vt:lpwstr>https://www.oaic.gov.au/privacy/australian-privacy-principles-guidelines</vt:lpwstr>
      </vt:variant>
      <vt:variant>
        <vt:lpwstr/>
      </vt:variant>
      <vt:variant>
        <vt:i4>2162749</vt:i4>
      </vt:variant>
      <vt:variant>
        <vt:i4>84</vt:i4>
      </vt:variant>
      <vt:variant>
        <vt:i4>0</vt:i4>
      </vt:variant>
      <vt:variant>
        <vt:i4>5</vt:i4>
      </vt:variant>
      <vt:variant>
        <vt:lpwstr>https://d61cds.notion.site/Collection-and-use-consents-fcf5e47455274d26b028d218b22f017a</vt:lpwstr>
      </vt:variant>
      <vt:variant>
        <vt:lpwstr/>
      </vt:variant>
      <vt:variant>
        <vt:i4>6291504</vt:i4>
      </vt:variant>
      <vt:variant>
        <vt:i4>81</vt:i4>
      </vt:variant>
      <vt:variant>
        <vt:i4>0</vt:i4>
      </vt:variant>
      <vt:variant>
        <vt:i4>5</vt:i4>
      </vt:variant>
      <vt:variant>
        <vt:lpwstr>https://d61cds.notion.site/</vt:lpwstr>
      </vt:variant>
      <vt:variant>
        <vt:lpwstr/>
      </vt:variant>
      <vt:variant>
        <vt:i4>2949154</vt:i4>
      </vt:variant>
      <vt:variant>
        <vt:i4>78</vt:i4>
      </vt:variant>
      <vt:variant>
        <vt:i4>0</vt:i4>
      </vt:variant>
      <vt:variant>
        <vt:i4>5</vt:i4>
      </vt:variant>
      <vt:variant>
        <vt:lpwstr>https://d61cds.notion.site/Consent-Management-Data-holder-33ff846f68f3466ab189d97c6c0afd28</vt:lpwstr>
      </vt:variant>
      <vt:variant>
        <vt:lpwstr/>
      </vt:variant>
      <vt:variant>
        <vt:i4>4784204</vt:i4>
      </vt:variant>
      <vt:variant>
        <vt:i4>75</vt:i4>
      </vt:variant>
      <vt:variant>
        <vt:i4>0</vt:i4>
      </vt:variant>
      <vt:variant>
        <vt:i4>5</vt:i4>
      </vt:variant>
      <vt:variant>
        <vt:lpwstr>https://www.figma.com/proto/jHG3HstULWcr7KfCUWxFtD/WIP-%7C-Design-paper-%7C-NBL?page-id=0%3A1&amp;node-id=18%3A4734&amp;viewport=1717%2C927%2C0.25&amp;scaling=scale-down&amp;starting-point-node-id=1%3A3263</vt:lpwstr>
      </vt:variant>
      <vt:variant>
        <vt:lpwstr/>
      </vt:variant>
      <vt:variant>
        <vt:i4>393297</vt:i4>
      </vt:variant>
      <vt:variant>
        <vt:i4>72</vt:i4>
      </vt:variant>
      <vt:variant>
        <vt:i4>0</vt:i4>
      </vt:variant>
      <vt:variant>
        <vt:i4>5</vt:i4>
      </vt:variant>
      <vt:variant>
        <vt:lpwstr>https://miro.com/app/board/uXjVPD76GlY=/</vt:lpwstr>
      </vt:variant>
      <vt:variant>
        <vt:lpwstr/>
      </vt:variant>
      <vt:variant>
        <vt:i4>1441892</vt:i4>
      </vt:variant>
      <vt:variant>
        <vt:i4>69</vt:i4>
      </vt:variant>
      <vt:variant>
        <vt:i4>0</vt:i4>
      </vt:variant>
      <vt:variant>
        <vt:i4>5</vt:i4>
      </vt:variant>
      <vt:variant>
        <vt:lpwstr>https://www.oaic.gov.au/__data/assets/pdf_file/0015/23424/FINAL-s-56AF-report-designation-non-bank-lending-nbl-sector.pdf</vt:lpwstr>
      </vt:variant>
      <vt:variant>
        <vt:lpwstr/>
      </vt:variant>
      <vt:variant>
        <vt:i4>720988</vt:i4>
      </vt:variant>
      <vt:variant>
        <vt:i4>66</vt:i4>
      </vt:variant>
      <vt:variant>
        <vt:i4>0</vt:i4>
      </vt:variant>
      <vt:variant>
        <vt:i4>5</vt:i4>
      </vt:variant>
      <vt:variant>
        <vt:lpwstr>https://parlinfo.aph.gov.au/parlInfo/download/legislation/bills/r6909_aspassed/toc_pdf/22087b01.pdf;fileType=application%2Fpdf</vt:lpwstr>
      </vt:variant>
      <vt:variant>
        <vt:lpwstr/>
      </vt:variant>
      <vt:variant>
        <vt:i4>1704031</vt:i4>
      </vt:variant>
      <vt:variant>
        <vt:i4>63</vt:i4>
      </vt:variant>
      <vt:variant>
        <vt:i4>0</vt:i4>
      </vt:variant>
      <vt:variant>
        <vt:i4>5</vt:i4>
      </vt:variant>
      <vt:variant>
        <vt:lpwstr>https://treasury.gov.au/consultation/c2022-338372</vt:lpwstr>
      </vt:variant>
      <vt:variant>
        <vt:lpwstr/>
      </vt:variant>
      <vt:variant>
        <vt:i4>1703951</vt:i4>
      </vt:variant>
      <vt:variant>
        <vt:i4>60</vt:i4>
      </vt:variant>
      <vt:variant>
        <vt:i4>0</vt:i4>
      </vt:variant>
      <vt:variant>
        <vt:i4>5</vt:i4>
      </vt:variant>
      <vt:variant>
        <vt:lpwstr>https://ministers.treasury.gov.au/ministers/stephen-jones-2022/speeches/address-responsible-lending-borrowing-summit</vt:lpwstr>
      </vt:variant>
      <vt:variant>
        <vt:lpwstr/>
      </vt:variant>
      <vt:variant>
        <vt:i4>1835023</vt:i4>
      </vt:variant>
      <vt:variant>
        <vt:i4>57</vt:i4>
      </vt:variant>
      <vt:variant>
        <vt:i4>0</vt:i4>
      </vt:variant>
      <vt:variant>
        <vt:i4>5</vt:i4>
      </vt:variant>
      <vt:variant>
        <vt:lpwstr>https://treasury.gov.au/sites/default/files/2022-08/p2022-300402-finalreport.pdf</vt:lpwstr>
      </vt:variant>
      <vt:variant>
        <vt:lpwstr/>
      </vt:variant>
      <vt:variant>
        <vt:i4>6750246</vt:i4>
      </vt:variant>
      <vt:variant>
        <vt:i4>54</vt:i4>
      </vt:variant>
      <vt:variant>
        <vt:i4>0</vt:i4>
      </vt:variant>
      <vt:variant>
        <vt:i4>5</vt:i4>
      </vt:variant>
      <vt:variant>
        <vt:lpwstr>https://github.com/ConsumerDataStandardsAustralia/standards/issues/280</vt:lpwstr>
      </vt:variant>
      <vt:variant>
        <vt:lpwstr/>
      </vt:variant>
      <vt:variant>
        <vt:i4>6553641</vt:i4>
      </vt:variant>
      <vt:variant>
        <vt:i4>51</vt:i4>
      </vt:variant>
      <vt:variant>
        <vt:i4>0</vt:i4>
      </vt:variant>
      <vt:variant>
        <vt:i4>5</vt:i4>
      </vt:variant>
      <vt:variant>
        <vt:lpwstr>https://github.com/ConsumerDataStandardsAustralia/standards/issues/273</vt:lpwstr>
      </vt:variant>
      <vt:variant>
        <vt:lpwstr/>
      </vt:variant>
      <vt:variant>
        <vt:i4>1835023</vt:i4>
      </vt:variant>
      <vt:variant>
        <vt:i4>48</vt:i4>
      </vt:variant>
      <vt:variant>
        <vt:i4>0</vt:i4>
      </vt:variant>
      <vt:variant>
        <vt:i4>5</vt:i4>
      </vt:variant>
      <vt:variant>
        <vt:lpwstr>https://treasury.gov.au/sites/default/files/2022-08/p2022-300402-finalreport.pdf</vt:lpwstr>
      </vt:variant>
      <vt:variant>
        <vt:lpwstr/>
      </vt:variant>
      <vt:variant>
        <vt:i4>6619244</vt:i4>
      </vt:variant>
      <vt:variant>
        <vt:i4>45</vt:i4>
      </vt:variant>
      <vt:variant>
        <vt:i4>0</vt:i4>
      </vt:variant>
      <vt:variant>
        <vt:i4>5</vt:i4>
      </vt:variant>
      <vt:variant>
        <vt:lpwstr>https://treasury.gov.au/sites/default/files/2020-06/p2020-89229.pdf</vt:lpwstr>
      </vt:variant>
      <vt:variant>
        <vt:lpwstr/>
      </vt:variant>
      <vt:variant>
        <vt:i4>1835023</vt:i4>
      </vt:variant>
      <vt:variant>
        <vt:i4>42</vt:i4>
      </vt:variant>
      <vt:variant>
        <vt:i4>0</vt:i4>
      </vt:variant>
      <vt:variant>
        <vt:i4>5</vt:i4>
      </vt:variant>
      <vt:variant>
        <vt:lpwstr>https://treasury.gov.au/sites/default/files/2022-08/p2022-300402-finalreport.pdf</vt:lpwstr>
      </vt:variant>
      <vt:variant>
        <vt:lpwstr/>
      </vt:variant>
      <vt:variant>
        <vt:i4>8257581</vt:i4>
      </vt:variant>
      <vt:variant>
        <vt:i4>39</vt:i4>
      </vt:variant>
      <vt:variant>
        <vt:i4>0</vt:i4>
      </vt:variant>
      <vt:variant>
        <vt:i4>5</vt:i4>
      </vt:variant>
      <vt:variant>
        <vt:lpwstr>https://www.legislation.gov.au/Details/F2019L01153</vt:lpwstr>
      </vt:variant>
      <vt:variant>
        <vt:lpwstr/>
      </vt:variant>
      <vt:variant>
        <vt:i4>7340073</vt:i4>
      </vt:variant>
      <vt:variant>
        <vt:i4>36</vt:i4>
      </vt:variant>
      <vt:variant>
        <vt:i4>0</vt:i4>
      </vt:variant>
      <vt:variant>
        <vt:i4>5</vt:i4>
      </vt:variant>
      <vt:variant>
        <vt:lpwstr>https://www.legislation.gov.au/Details/F2022L01522</vt:lpwstr>
      </vt:variant>
      <vt:variant>
        <vt:lpwstr/>
      </vt:variant>
      <vt:variant>
        <vt:i4>1835023</vt:i4>
      </vt:variant>
      <vt:variant>
        <vt:i4>33</vt:i4>
      </vt:variant>
      <vt:variant>
        <vt:i4>0</vt:i4>
      </vt:variant>
      <vt:variant>
        <vt:i4>5</vt:i4>
      </vt:variant>
      <vt:variant>
        <vt:lpwstr>https://treasury.gov.au/sites/default/files/2022-08/p2022-300402-finalreport.pdf</vt:lpwstr>
      </vt:variant>
      <vt:variant>
        <vt:lpwstr/>
      </vt:variant>
      <vt:variant>
        <vt:i4>1835101</vt:i4>
      </vt:variant>
      <vt:variant>
        <vt:i4>30</vt:i4>
      </vt:variant>
      <vt:variant>
        <vt:i4>0</vt:i4>
      </vt:variant>
      <vt:variant>
        <vt:i4>5</vt:i4>
      </vt:variant>
      <vt:variant>
        <vt:lpwstr>https://treasury.gov.au/consultation/c2022-341682</vt:lpwstr>
      </vt:variant>
      <vt:variant>
        <vt:lpwstr/>
      </vt:variant>
      <vt:variant>
        <vt:i4>2031709</vt:i4>
      </vt:variant>
      <vt:variant>
        <vt:i4>27</vt:i4>
      </vt:variant>
      <vt:variant>
        <vt:i4>0</vt:i4>
      </vt:variant>
      <vt:variant>
        <vt:i4>5</vt:i4>
      </vt:variant>
      <vt:variant>
        <vt:lpwstr>https://treasury.gov.au/consultation/c2022-253782</vt:lpwstr>
      </vt:variant>
      <vt:variant>
        <vt:lpwstr/>
      </vt:variant>
      <vt:variant>
        <vt:i4>7340073</vt:i4>
      </vt:variant>
      <vt:variant>
        <vt:i4>24</vt:i4>
      </vt:variant>
      <vt:variant>
        <vt:i4>0</vt:i4>
      </vt:variant>
      <vt:variant>
        <vt:i4>5</vt:i4>
      </vt:variant>
      <vt:variant>
        <vt:lpwstr>https://www.legislation.gov.au/Details/F2022L01522</vt:lpwstr>
      </vt:variant>
      <vt:variant>
        <vt:lpwstr/>
      </vt:variant>
      <vt:variant>
        <vt:i4>1835023</vt:i4>
      </vt:variant>
      <vt:variant>
        <vt:i4>21</vt:i4>
      </vt:variant>
      <vt:variant>
        <vt:i4>0</vt:i4>
      </vt:variant>
      <vt:variant>
        <vt:i4>5</vt:i4>
      </vt:variant>
      <vt:variant>
        <vt:lpwstr>https://treasury.gov.au/sites/default/files/2022-08/p2022-300402-finalreport.pdf</vt:lpwstr>
      </vt:variant>
      <vt:variant>
        <vt:lpwstr/>
      </vt:variant>
      <vt:variant>
        <vt:i4>1835023</vt:i4>
      </vt:variant>
      <vt:variant>
        <vt:i4>18</vt:i4>
      </vt:variant>
      <vt:variant>
        <vt:i4>0</vt:i4>
      </vt:variant>
      <vt:variant>
        <vt:i4>5</vt:i4>
      </vt:variant>
      <vt:variant>
        <vt:lpwstr>https://treasury.gov.au/sites/default/files/2022-08/p2022-300402-finalreport.pdf</vt:lpwstr>
      </vt:variant>
      <vt:variant>
        <vt:lpwstr/>
      </vt:variant>
      <vt:variant>
        <vt:i4>262166</vt:i4>
      </vt:variant>
      <vt:variant>
        <vt:i4>15</vt:i4>
      </vt:variant>
      <vt:variant>
        <vt:i4>0</vt:i4>
      </vt:variant>
      <vt:variant>
        <vt:i4>5</vt:i4>
      </vt:variant>
      <vt:variant>
        <vt:lpwstr>https://treasury.gov.au/publication/p2022-300402</vt:lpwstr>
      </vt:variant>
      <vt:variant>
        <vt:lpwstr/>
      </vt:variant>
      <vt:variant>
        <vt:i4>1441876</vt:i4>
      </vt:variant>
      <vt:variant>
        <vt:i4>9</vt:i4>
      </vt:variant>
      <vt:variant>
        <vt:i4>0</vt:i4>
      </vt:variant>
      <vt:variant>
        <vt:i4>5</vt:i4>
      </vt:variant>
      <vt:variant>
        <vt:lpwstr>https://treasury.gov.au/policy-topics/economy/consumer-data-right</vt:lpwstr>
      </vt:variant>
      <vt:variant>
        <vt:lpwstr/>
      </vt:variant>
      <vt:variant>
        <vt:i4>3211285</vt:i4>
      </vt:variant>
      <vt:variant>
        <vt:i4>6</vt:i4>
      </vt:variant>
      <vt:variant>
        <vt:i4>0</vt:i4>
      </vt:variant>
      <vt:variant>
        <vt:i4>5</vt:i4>
      </vt:variant>
      <vt:variant>
        <vt:lpwstr>https://treasury.gov.au/sites/default/files/2022-12/c2022-341682_0.pdf</vt:lpwstr>
      </vt:variant>
      <vt:variant>
        <vt:lpwstr/>
      </vt:variant>
      <vt:variant>
        <vt:i4>1441876</vt:i4>
      </vt:variant>
      <vt:variant>
        <vt:i4>0</vt:i4>
      </vt:variant>
      <vt:variant>
        <vt:i4>0</vt:i4>
      </vt:variant>
      <vt:variant>
        <vt:i4>5</vt:i4>
      </vt:variant>
      <vt:variant>
        <vt:lpwstr>https://treasury.gov.au/policy-topics/economy/consumer-data-right</vt:lpwstr>
      </vt:variant>
      <vt:variant>
        <vt:lpwstr/>
      </vt:variant>
      <vt:variant>
        <vt:i4>655416</vt:i4>
      </vt:variant>
      <vt:variant>
        <vt:i4>0</vt:i4>
      </vt:variant>
      <vt:variant>
        <vt:i4>0</vt:i4>
      </vt:variant>
      <vt:variant>
        <vt:i4>5</vt:i4>
      </vt:variant>
      <vt:variant>
        <vt:lpwstr>mailto:Aris.Cao@TREASURY.GOV.AU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impact assessment: Supplementary PIA to expand the Consumer Data Right to the Non-Banking Lending sector</dc:title>
  <dc:subject/>
  <dc:creator/>
  <cp:keywords/>
  <dc:description/>
  <cp:lastModifiedBy/>
  <cp:revision>1</cp:revision>
  <dcterms:created xsi:type="dcterms:W3CDTF">2024-11-25T05:54:00Z</dcterms:created>
  <dcterms:modified xsi:type="dcterms:W3CDTF">2024-11-25T05:55:00Z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2024-11-25T05:55:21Z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50701ff7-e020-4e7d-9a32-8cf435ba017b</vt:lpwstr>
  </property>
  <property fmtid="{D5CDD505-2E9C-101B-9397-08002B2CF9AE}" pid="8" name="MSIP_Label_4f932d64-9ab1-4d9b-81d2-a3a8b82dd47d_ContentBits">
    <vt:lpwstr>0</vt:lpwstr>
  </property>
</Properties>
</file>