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9A3E" w14:textId="77777777" w:rsidR="009C3DDE" w:rsidRDefault="009C3DDE" w:rsidP="007A3BA5">
      <w:pPr>
        <w:pStyle w:val="Heading1"/>
        <w:ind w:right="0"/>
        <w:rPr>
          <w:sz w:val="52"/>
          <w:szCs w:val="52"/>
        </w:rPr>
      </w:pPr>
    </w:p>
    <w:p w14:paraId="6CFAFF9D" w14:textId="2298643F" w:rsidR="00886BC4" w:rsidRPr="00F77810" w:rsidRDefault="00C70FEC" w:rsidP="00F77810">
      <w:pPr>
        <w:pStyle w:val="Heading1"/>
        <w:ind w:right="0"/>
        <w:rPr>
          <w:sz w:val="52"/>
          <w:szCs w:val="52"/>
        </w:rPr>
      </w:pPr>
      <w:r w:rsidRPr="00F77810">
        <w:rPr>
          <w:sz w:val="52"/>
          <w:szCs w:val="52"/>
        </w:rPr>
        <w:t>Expanding the CDR to non</w:t>
      </w:r>
      <w:r w:rsidDel="00F04314">
        <w:rPr>
          <w:sz w:val="52"/>
          <w:szCs w:val="52"/>
        </w:rPr>
        <w:t>-</w:t>
      </w:r>
      <w:r w:rsidRPr="00F77810">
        <w:rPr>
          <w:sz w:val="52"/>
          <w:szCs w:val="52"/>
        </w:rPr>
        <w:t xml:space="preserve">bank lending and </w:t>
      </w:r>
      <w:r w:rsidR="00A37A24" w:rsidRPr="00F77810">
        <w:rPr>
          <w:sz w:val="52"/>
          <w:szCs w:val="52"/>
        </w:rPr>
        <w:t xml:space="preserve">narrowing </w:t>
      </w:r>
      <w:r w:rsidRPr="00F77810">
        <w:rPr>
          <w:sz w:val="52"/>
          <w:szCs w:val="52"/>
        </w:rPr>
        <w:t>the scope of</w:t>
      </w:r>
      <w:r w:rsidRPr="00F77810" w:rsidDel="00DF16B1">
        <w:rPr>
          <w:sz w:val="52"/>
          <w:szCs w:val="52"/>
        </w:rPr>
        <w:t xml:space="preserve"> </w:t>
      </w:r>
      <w:r w:rsidRPr="00F77810">
        <w:rPr>
          <w:sz w:val="52"/>
          <w:szCs w:val="52"/>
        </w:rPr>
        <w:t>CDR</w:t>
      </w:r>
      <w:r w:rsidR="00D54332" w:rsidRPr="00F77810">
        <w:rPr>
          <w:sz w:val="52"/>
          <w:szCs w:val="52"/>
        </w:rPr>
        <w:t xml:space="preserve"> data</w:t>
      </w:r>
      <w:r w:rsidRPr="00F77810">
        <w:rPr>
          <w:sz w:val="52"/>
          <w:szCs w:val="52"/>
        </w:rPr>
        <w:t xml:space="preserve"> in banking</w:t>
      </w:r>
      <w:r w:rsidR="00A37A24" w:rsidRPr="00F77810">
        <w:rPr>
          <w:sz w:val="52"/>
          <w:szCs w:val="52"/>
        </w:rPr>
        <w:t xml:space="preserve"> </w:t>
      </w:r>
    </w:p>
    <w:tbl>
      <w:tblPr>
        <w:tblStyle w:val="TableGridLight"/>
        <w:tblW w:w="31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014"/>
      </w:tblGrid>
      <w:tr w:rsidR="00484109" w14:paraId="280A8ACE" w14:textId="77777777" w:rsidTr="00F77810">
        <w:trPr>
          <w:trHeight w:hRule="exact" w:val="616"/>
        </w:trPr>
        <w:tc>
          <w:tcPr>
            <w:tcW w:w="6014" w:type="dxa"/>
          </w:tcPr>
          <w:p w14:paraId="022D89C2" w14:textId="65CDFA12" w:rsidR="002A04D9" w:rsidRPr="00F77810" w:rsidRDefault="00C70FEC" w:rsidP="008B3930">
            <w:pPr>
              <w:pStyle w:val="Heading2"/>
              <w:rPr>
                <w:b w:val="0"/>
              </w:rPr>
            </w:pPr>
            <w:r w:rsidRPr="00F77810">
              <w:rPr>
                <w:b w:val="0"/>
              </w:rPr>
              <w:t>November 2024</w:t>
            </w:r>
          </w:p>
        </w:tc>
      </w:tr>
    </w:tbl>
    <w:p w14:paraId="503594BE" w14:textId="4B4A84BA" w:rsidR="004724CF" w:rsidRDefault="0018385A" w:rsidP="008B3930">
      <w:pPr>
        <w:jc w:val="both"/>
        <w:rPr>
          <w:color w:val="06226B" w:themeColor="accent2" w:themeShade="80"/>
          <w:sz w:val="24"/>
          <w:szCs w:val="22"/>
        </w:rPr>
      </w:pPr>
      <w:r>
        <w:rPr>
          <w:color w:val="06226B" w:themeColor="accent2" w:themeShade="80"/>
          <w:sz w:val="24"/>
          <w:szCs w:val="22"/>
        </w:rPr>
        <w:t xml:space="preserve">Expanding the Consumer Data Right (CDR) to the non-bank lending sector </w:t>
      </w:r>
      <w:r w:rsidR="00C853FE">
        <w:rPr>
          <w:color w:val="06226B" w:themeColor="accent2" w:themeShade="80"/>
          <w:sz w:val="24"/>
          <w:szCs w:val="22"/>
        </w:rPr>
        <w:t xml:space="preserve">is expected to facilitate more </w:t>
      </w:r>
      <w:r w:rsidR="001F25C6">
        <w:rPr>
          <w:color w:val="06226B" w:themeColor="accent2" w:themeShade="80"/>
          <w:sz w:val="24"/>
          <w:szCs w:val="22"/>
        </w:rPr>
        <w:t>informed consumer engagement with both banks and non-bank lenders, leading to improved financial outcomes for individuals and businesses. It will also increase the availability of data, encouraging innovation in financial technology and helping consumers to better understand and manage their finances.</w:t>
      </w:r>
    </w:p>
    <w:p w14:paraId="571AB988" w14:textId="4432A965" w:rsidR="008B3930" w:rsidRPr="008B3930" w:rsidRDefault="008B3930" w:rsidP="008B3930">
      <w:pPr>
        <w:jc w:val="both"/>
        <w:rPr>
          <w:color w:val="06226B" w:themeColor="accent2" w:themeShade="80"/>
          <w:sz w:val="24"/>
          <w:szCs w:val="22"/>
        </w:rPr>
      </w:pPr>
      <w:r w:rsidRPr="008B3930">
        <w:rPr>
          <w:color w:val="06226B" w:themeColor="accent2" w:themeShade="80"/>
          <w:sz w:val="24"/>
          <w:szCs w:val="22"/>
        </w:rPr>
        <w:t>In</w:t>
      </w:r>
      <w:r w:rsidRPr="008B3930" w:rsidDel="00807C8B">
        <w:rPr>
          <w:color w:val="06226B" w:themeColor="accent2" w:themeShade="80"/>
          <w:sz w:val="24"/>
          <w:szCs w:val="22"/>
        </w:rPr>
        <w:t xml:space="preserve"> </w:t>
      </w:r>
      <w:r w:rsidRPr="008B3930">
        <w:rPr>
          <w:color w:val="06226B" w:themeColor="accent2" w:themeShade="80"/>
          <w:sz w:val="24"/>
          <w:szCs w:val="22"/>
        </w:rPr>
        <w:t xml:space="preserve">2023, Treasury released draft amendments to </w:t>
      </w:r>
      <w:r w:rsidR="005A2FE1">
        <w:rPr>
          <w:color w:val="06226B" w:themeColor="accent2" w:themeShade="80"/>
          <w:sz w:val="24"/>
          <w:szCs w:val="22"/>
        </w:rPr>
        <w:t xml:space="preserve">the </w:t>
      </w:r>
      <w:r w:rsidRPr="008B3930">
        <w:rPr>
          <w:color w:val="06226B" w:themeColor="accent2" w:themeShade="80"/>
          <w:sz w:val="24"/>
          <w:szCs w:val="22"/>
        </w:rPr>
        <w:t xml:space="preserve">CDR Rules to expand the CDR to Australia’s non-bank lending sector for public consultation. </w:t>
      </w:r>
      <w:r w:rsidR="00310DB4" w:rsidDel="000E35EC">
        <w:rPr>
          <w:color w:val="06226B" w:themeColor="accent2" w:themeShade="80"/>
          <w:sz w:val="24"/>
          <w:szCs w:val="22"/>
        </w:rPr>
        <w:t>The Government</w:t>
      </w:r>
      <w:r w:rsidRPr="008B3930">
        <w:rPr>
          <w:color w:val="06226B" w:themeColor="accent2" w:themeShade="80"/>
          <w:sz w:val="24"/>
          <w:szCs w:val="22"/>
        </w:rPr>
        <w:t xml:space="preserve"> has considered stakeholder feedback received in response to th</w:t>
      </w:r>
      <w:r w:rsidR="001017E2">
        <w:rPr>
          <w:color w:val="06226B" w:themeColor="accent2" w:themeShade="80"/>
          <w:sz w:val="24"/>
          <w:szCs w:val="22"/>
        </w:rPr>
        <w:t>at</w:t>
      </w:r>
      <w:r w:rsidRPr="008B3930">
        <w:rPr>
          <w:color w:val="06226B" w:themeColor="accent2" w:themeShade="80"/>
          <w:sz w:val="24"/>
          <w:szCs w:val="22"/>
        </w:rPr>
        <w:t xml:space="preserve"> consultation and </w:t>
      </w:r>
      <w:r w:rsidR="00EC15B1">
        <w:rPr>
          <w:color w:val="06226B" w:themeColor="accent2" w:themeShade="80"/>
          <w:sz w:val="24"/>
          <w:szCs w:val="22"/>
        </w:rPr>
        <w:t xml:space="preserve">Treasury </w:t>
      </w:r>
      <w:r w:rsidR="00310DB4">
        <w:rPr>
          <w:color w:val="06226B" w:themeColor="accent2" w:themeShade="80"/>
          <w:sz w:val="24"/>
          <w:szCs w:val="22"/>
        </w:rPr>
        <w:t>is releasing</w:t>
      </w:r>
      <w:r w:rsidR="00310DB4" w:rsidRPr="008B3930">
        <w:rPr>
          <w:color w:val="06226B" w:themeColor="accent2" w:themeShade="80"/>
          <w:sz w:val="24"/>
          <w:szCs w:val="22"/>
        </w:rPr>
        <w:t xml:space="preserve"> </w:t>
      </w:r>
      <w:r w:rsidRPr="008B3930">
        <w:rPr>
          <w:color w:val="06226B" w:themeColor="accent2" w:themeShade="80"/>
          <w:sz w:val="24"/>
          <w:szCs w:val="22"/>
        </w:rPr>
        <w:t>updated draft amendments for further consultation.</w:t>
      </w:r>
    </w:p>
    <w:p w14:paraId="374C87A0" w14:textId="609E4C2C" w:rsidR="008B3930" w:rsidRDefault="00994603" w:rsidP="008B3930">
      <w:pPr>
        <w:jc w:val="both"/>
        <w:rPr>
          <w:color w:val="06226B" w:themeColor="accent2" w:themeShade="80"/>
          <w:sz w:val="24"/>
          <w:szCs w:val="24"/>
        </w:rPr>
      </w:pPr>
      <w:r w:rsidDel="000E35EC">
        <w:rPr>
          <w:color w:val="06226B" w:themeColor="accent2" w:themeShade="80"/>
          <w:sz w:val="24"/>
          <w:szCs w:val="24"/>
        </w:rPr>
        <w:t>The Government</w:t>
      </w:r>
      <w:r w:rsidRPr="6D2B1FC8">
        <w:rPr>
          <w:color w:val="06226B" w:themeColor="accent2" w:themeShade="80"/>
          <w:sz w:val="24"/>
          <w:szCs w:val="24"/>
        </w:rPr>
        <w:t xml:space="preserve"> </w:t>
      </w:r>
      <w:r w:rsidR="008B3930" w:rsidRPr="6D2B1FC8">
        <w:rPr>
          <w:color w:val="06226B" w:themeColor="accent2" w:themeShade="80"/>
          <w:sz w:val="24"/>
          <w:szCs w:val="24"/>
        </w:rPr>
        <w:t>has also considered feedback about</w:t>
      </w:r>
      <w:r w:rsidR="003B5C0C">
        <w:rPr>
          <w:color w:val="06226B" w:themeColor="accent2" w:themeShade="80"/>
          <w:sz w:val="24"/>
          <w:szCs w:val="24"/>
        </w:rPr>
        <w:t xml:space="preserve"> drivers of</w:t>
      </w:r>
      <w:r w:rsidR="008B3930" w:rsidRPr="6D2B1FC8">
        <w:rPr>
          <w:color w:val="06226B" w:themeColor="accent2" w:themeShade="80"/>
          <w:sz w:val="24"/>
          <w:szCs w:val="24"/>
        </w:rPr>
        <w:t xml:space="preserve"> </w:t>
      </w:r>
      <w:r w:rsidR="007B39F6" w:rsidRPr="6D2B1FC8">
        <w:rPr>
          <w:color w:val="06226B" w:themeColor="accent2" w:themeShade="80"/>
          <w:sz w:val="24"/>
          <w:szCs w:val="24"/>
        </w:rPr>
        <w:t xml:space="preserve">CDR </w:t>
      </w:r>
      <w:r w:rsidR="008B3930" w:rsidRPr="6D2B1FC8">
        <w:rPr>
          <w:color w:val="06226B" w:themeColor="accent2" w:themeShade="80"/>
          <w:sz w:val="24"/>
          <w:szCs w:val="24"/>
        </w:rPr>
        <w:t xml:space="preserve">compliance costs. </w:t>
      </w:r>
      <w:r w:rsidR="00592F3B">
        <w:rPr>
          <w:color w:val="06226B" w:themeColor="accent2" w:themeShade="80"/>
          <w:sz w:val="24"/>
          <w:szCs w:val="24"/>
        </w:rPr>
        <w:t>As a first step</w:t>
      </w:r>
      <w:r w:rsidR="000010B1">
        <w:rPr>
          <w:color w:val="06226B" w:themeColor="accent2" w:themeShade="80"/>
          <w:sz w:val="24"/>
          <w:szCs w:val="24"/>
        </w:rPr>
        <w:t xml:space="preserve"> to the CDR reset</w:t>
      </w:r>
      <w:r w:rsidR="00592F3B">
        <w:rPr>
          <w:color w:val="06226B" w:themeColor="accent2" w:themeShade="80"/>
          <w:sz w:val="24"/>
          <w:szCs w:val="24"/>
        </w:rPr>
        <w:t>, t</w:t>
      </w:r>
      <w:r w:rsidR="008B3930" w:rsidRPr="6D2B1FC8">
        <w:rPr>
          <w:color w:val="06226B" w:themeColor="accent2" w:themeShade="80"/>
          <w:sz w:val="24"/>
          <w:szCs w:val="24"/>
        </w:rPr>
        <w:t xml:space="preserve">he </w:t>
      </w:r>
      <w:r w:rsidR="005A2FE1">
        <w:rPr>
          <w:color w:val="06226B" w:themeColor="accent2" w:themeShade="80"/>
          <w:sz w:val="24"/>
          <w:szCs w:val="24"/>
        </w:rPr>
        <w:t>updated</w:t>
      </w:r>
      <w:r w:rsidR="008B3930" w:rsidRPr="6D2B1FC8">
        <w:rPr>
          <w:color w:val="06226B" w:themeColor="accent2" w:themeShade="80"/>
          <w:sz w:val="24"/>
          <w:szCs w:val="24"/>
        </w:rPr>
        <w:t xml:space="preserve"> draft amendments include measures to </w:t>
      </w:r>
      <w:r w:rsidR="008222FE">
        <w:rPr>
          <w:color w:val="06226B" w:themeColor="accent2" w:themeShade="80"/>
          <w:sz w:val="24"/>
          <w:szCs w:val="24"/>
        </w:rPr>
        <w:t>limit</w:t>
      </w:r>
      <w:r w:rsidR="00833425">
        <w:rPr>
          <w:color w:val="06226B" w:themeColor="accent2" w:themeShade="80"/>
          <w:sz w:val="24"/>
          <w:szCs w:val="24"/>
        </w:rPr>
        <w:t xml:space="preserve"> costs </w:t>
      </w:r>
      <w:r w:rsidR="00557B2B">
        <w:rPr>
          <w:color w:val="06226B" w:themeColor="accent2" w:themeShade="80"/>
          <w:sz w:val="24"/>
          <w:szCs w:val="24"/>
        </w:rPr>
        <w:t>to non-bank lenders</w:t>
      </w:r>
      <w:r w:rsidR="00C56EE3">
        <w:rPr>
          <w:color w:val="06226B" w:themeColor="accent2" w:themeShade="80"/>
          <w:sz w:val="24"/>
          <w:szCs w:val="24"/>
        </w:rPr>
        <w:t xml:space="preserve"> and </w:t>
      </w:r>
      <w:r w:rsidR="00592F3B">
        <w:rPr>
          <w:color w:val="06226B" w:themeColor="accent2" w:themeShade="80"/>
          <w:sz w:val="24"/>
          <w:szCs w:val="24"/>
        </w:rPr>
        <w:t xml:space="preserve">initial measures to </w:t>
      </w:r>
      <w:r w:rsidR="00C56EE3">
        <w:rPr>
          <w:color w:val="06226B" w:themeColor="accent2" w:themeShade="80"/>
          <w:sz w:val="24"/>
          <w:szCs w:val="24"/>
        </w:rPr>
        <w:t xml:space="preserve">reduce compliance costs </w:t>
      </w:r>
      <w:r w:rsidR="00592F3B">
        <w:rPr>
          <w:color w:val="06226B" w:themeColor="accent2" w:themeShade="80"/>
          <w:sz w:val="24"/>
          <w:szCs w:val="24"/>
        </w:rPr>
        <w:t xml:space="preserve">for </w:t>
      </w:r>
      <w:r w:rsidR="00C56EE3">
        <w:rPr>
          <w:color w:val="06226B" w:themeColor="accent2" w:themeShade="80"/>
          <w:sz w:val="24"/>
          <w:szCs w:val="24"/>
        </w:rPr>
        <w:t>the banking sector</w:t>
      </w:r>
      <w:r w:rsidR="00557B2B">
        <w:rPr>
          <w:color w:val="06226B" w:themeColor="accent2" w:themeShade="80"/>
          <w:sz w:val="24"/>
          <w:szCs w:val="24"/>
        </w:rPr>
        <w:t>.</w:t>
      </w:r>
    </w:p>
    <w:p w14:paraId="6DB7A22A" w14:textId="1C6A7C0D" w:rsidR="00010EE6" w:rsidRPr="008B3930" w:rsidRDefault="00836383" w:rsidP="00F77810">
      <w:pPr>
        <w:spacing w:after="282"/>
        <w:jc w:val="both"/>
        <w:rPr>
          <w:color w:val="06226B" w:themeColor="accent2" w:themeShade="80"/>
          <w:sz w:val="24"/>
          <w:szCs w:val="24"/>
        </w:rPr>
      </w:pPr>
      <w:r>
        <w:rPr>
          <w:color w:val="06226B" w:themeColor="accent2" w:themeShade="80"/>
          <w:sz w:val="24"/>
          <w:szCs w:val="24"/>
        </w:rPr>
        <w:t xml:space="preserve">This </w:t>
      </w:r>
      <w:r w:rsidR="001F25C6">
        <w:rPr>
          <w:color w:val="06226B" w:themeColor="accent2" w:themeShade="80"/>
          <w:sz w:val="24"/>
          <w:szCs w:val="24"/>
        </w:rPr>
        <w:t>Information Sheet</w:t>
      </w:r>
      <w:r w:rsidR="00D94721">
        <w:rPr>
          <w:color w:val="06226B" w:themeColor="accent2" w:themeShade="80"/>
          <w:sz w:val="24"/>
          <w:szCs w:val="24"/>
        </w:rPr>
        <w:t xml:space="preserve"> </w:t>
      </w:r>
      <w:r w:rsidR="00010EE6">
        <w:rPr>
          <w:color w:val="06226B" w:themeColor="accent2" w:themeShade="80"/>
          <w:sz w:val="24"/>
          <w:szCs w:val="24"/>
        </w:rPr>
        <w:t xml:space="preserve">outlines the key updates </w:t>
      </w:r>
      <w:r w:rsidR="000E3007">
        <w:rPr>
          <w:color w:val="06226B" w:themeColor="accent2" w:themeShade="80"/>
          <w:sz w:val="24"/>
          <w:szCs w:val="24"/>
        </w:rPr>
        <w:t>from the previous</w:t>
      </w:r>
      <w:r w:rsidR="00010EE6">
        <w:rPr>
          <w:color w:val="06226B" w:themeColor="accent2" w:themeShade="80"/>
          <w:sz w:val="24"/>
          <w:szCs w:val="24"/>
        </w:rPr>
        <w:t xml:space="preserve"> draft amendments to expand the CDR to non-bank lending. It also outlines the measures in this package to reduce compliance costs for the banking sector.</w:t>
      </w:r>
    </w:p>
    <w:p w14:paraId="433DA01F" w14:textId="5DDA3976" w:rsidR="008B3930" w:rsidRPr="00CA24E1" w:rsidRDefault="008B3930" w:rsidP="00F77810">
      <w:pPr>
        <w:jc w:val="both"/>
        <w:sectPr w:rsidR="008B3930" w:rsidRPr="00CA24E1" w:rsidSect="00F77810">
          <w:footerReference w:type="default" r:id="rId7"/>
          <w:headerReference w:type="first" r:id="rId8"/>
          <w:footerReference w:type="first" r:id="rId9"/>
          <w:type w:val="continuous"/>
          <w:pgSz w:w="11906" w:h="16838" w:code="9"/>
          <w:pgMar w:top="1985" w:right="1134" w:bottom="1134" w:left="1134" w:header="845" w:footer="284" w:gutter="0"/>
          <w:cols w:space="510"/>
          <w:titlePg/>
          <w:docGrid w:linePitch="360"/>
        </w:sectPr>
      </w:pPr>
    </w:p>
    <w:p w14:paraId="3462E862" w14:textId="2790D4DF" w:rsidR="00863ACD" w:rsidRPr="00643BDD" w:rsidRDefault="00863ACD" w:rsidP="00643BDD">
      <w:pPr>
        <w:pStyle w:val="Heading3"/>
        <w:spacing w:before="0"/>
      </w:pPr>
      <w:r w:rsidRPr="00643BDD">
        <w:t>Updated ‘de minimis’ threshold for non-bank lending</w:t>
      </w:r>
    </w:p>
    <w:p w14:paraId="1DFD77CF" w14:textId="1063B677" w:rsidR="00010EE6" w:rsidRDefault="00010EE6" w:rsidP="00586F54">
      <w:pPr>
        <w:jc w:val="both"/>
      </w:pPr>
      <w:r w:rsidRPr="00010EE6">
        <w:t xml:space="preserve">The </w:t>
      </w:r>
      <w:r w:rsidRPr="00F77810">
        <w:t xml:space="preserve">‘de minimis’ threshold </w:t>
      </w:r>
      <w:r w:rsidRPr="00010EE6">
        <w:t xml:space="preserve">is </w:t>
      </w:r>
      <w:r>
        <w:t xml:space="preserve">the criteria that determine whether a non-bank lending data holder </w:t>
      </w:r>
      <w:r w:rsidR="009A2A6C">
        <w:t xml:space="preserve">is required </w:t>
      </w:r>
      <w:r>
        <w:t>to implement CDR data sharing.</w:t>
      </w:r>
      <w:r w:rsidDel="00010EE6">
        <w:t xml:space="preserve"> </w:t>
      </w:r>
    </w:p>
    <w:p w14:paraId="7DF9D5A1" w14:textId="07EDE365" w:rsidR="00863ACD" w:rsidRDefault="002824AE" w:rsidP="00586F54">
      <w:pPr>
        <w:jc w:val="both"/>
      </w:pPr>
      <w:r>
        <w:t xml:space="preserve">The proposed ‘de minimis’ threshold </w:t>
      </w:r>
      <w:r w:rsidR="00CA5CF5">
        <w:t xml:space="preserve">for the non-bank lending sector </w:t>
      </w:r>
      <w:r w:rsidR="00863ACD">
        <w:t xml:space="preserve">has </w:t>
      </w:r>
      <w:r w:rsidR="00CA5CF5">
        <w:t xml:space="preserve">been </w:t>
      </w:r>
      <w:r w:rsidR="00863ACD">
        <w:t xml:space="preserve">further targeted and clarified </w:t>
      </w:r>
      <w:r w:rsidR="00CA5CF5">
        <w:t>from the previous draft</w:t>
      </w:r>
      <w:r w:rsidR="00863ACD">
        <w:t>. This aim</w:t>
      </w:r>
      <w:r w:rsidR="0088589D">
        <w:t>s</w:t>
      </w:r>
      <w:r w:rsidR="00863ACD">
        <w:t xml:space="preserve"> to unlock data for high-value use cases while limiting potential costs and burden for non-bank lender data holders.</w:t>
      </w:r>
    </w:p>
    <w:p w14:paraId="7485716E" w14:textId="516F2338" w:rsidR="00863ACD" w:rsidRDefault="009217D0" w:rsidP="00586F54">
      <w:pPr>
        <w:jc w:val="both"/>
      </w:pPr>
      <w:r>
        <w:t xml:space="preserve">The </w:t>
      </w:r>
      <w:r w:rsidR="005A2FE1">
        <w:t xml:space="preserve">updated </w:t>
      </w:r>
      <w:r>
        <w:t>draft rules include</w:t>
      </w:r>
      <w:r w:rsidR="00863ACD">
        <w:t>:</w:t>
      </w:r>
    </w:p>
    <w:p w14:paraId="3E5D7130" w14:textId="4B69A30A" w:rsidR="00863ACD" w:rsidRDefault="00B20FDD" w:rsidP="00586F54">
      <w:pPr>
        <w:pStyle w:val="Bullet"/>
        <w:jc w:val="both"/>
      </w:pPr>
      <w:r>
        <w:t>a</w:t>
      </w:r>
      <w:r w:rsidR="00863ACD">
        <w:t xml:space="preserve"> monetary limb of the proposed threshold </w:t>
      </w:r>
      <w:r w:rsidR="009D03C8">
        <w:t>of</w:t>
      </w:r>
      <w:r w:rsidR="00863ACD">
        <w:t xml:space="preserve"> a total value of resident loans and finance leases greater than $1 billion (compared to $500 million under the previous proposal) and include </w:t>
      </w:r>
      <w:r w:rsidR="00863ACD">
        <w:t xml:space="preserve">related entities of a non-bank lender as part of this test </w:t>
      </w:r>
    </w:p>
    <w:p w14:paraId="21CC0B64" w14:textId="298C2CBA" w:rsidR="00863ACD" w:rsidRDefault="009D03C8" w:rsidP="00586F54">
      <w:pPr>
        <w:pStyle w:val="Bullet"/>
        <w:jc w:val="both"/>
      </w:pPr>
      <w:r>
        <w:t>a</w:t>
      </w:r>
      <w:r w:rsidR="00863ACD">
        <w:t xml:space="preserve"> customer number limb of the proposed threshold </w:t>
      </w:r>
      <w:r>
        <w:t>of</w:t>
      </w:r>
      <w:r w:rsidR="00863ACD">
        <w:t xml:space="preserve"> </w:t>
      </w:r>
      <w:r w:rsidR="008C02FD">
        <w:t xml:space="preserve">more than </w:t>
      </w:r>
      <w:r w:rsidR="00863ACD">
        <w:t>1,000 customers (compared to 500 or more customers under the previous proposal) and provide mechanisms for compliance monitoring</w:t>
      </w:r>
    </w:p>
    <w:p w14:paraId="2BDDC3B6" w14:textId="641D3AC0" w:rsidR="00863ACD" w:rsidRDefault="00863ACD" w:rsidP="00586F54">
      <w:pPr>
        <w:pStyle w:val="Bullet"/>
        <w:jc w:val="both"/>
      </w:pPr>
      <w:r>
        <w:t>clarifi</w:t>
      </w:r>
      <w:r w:rsidR="009D03C8">
        <w:t>cation</w:t>
      </w:r>
      <w:r>
        <w:t xml:space="preserve"> that CDR data sharing obligations would also apply to managers of loans (also known as servicer entities) that provide credit on behalf of a non-bank lender</w:t>
      </w:r>
    </w:p>
    <w:p w14:paraId="738D29F5" w14:textId="5063D614" w:rsidR="00863ACD" w:rsidRDefault="00863ACD" w:rsidP="00586F54">
      <w:pPr>
        <w:pStyle w:val="Bullet"/>
        <w:jc w:val="both"/>
      </w:pPr>
      <w:r>
        <w:t>clarifi</w:t>
      </w:r>
      <w:r w:rsidR="00DF269F">
        <w:t>cation</w:t>
      </w:r>
      <w:r>
        <w:t xml:space="preserve"> that data holders with related entities or in white labelling arrangements may discharge each other’s obligations</w:t>
      </w:r>
    </w:p>
    <w:p w14:paraId="226D4275" w14:textId="7829A64B" w:rsidR="000117A2" w:rsidRDefault="006A5B41" w:rsidP="00F77810">
      <w:pPr>
        <w:pStyle w:val="Bullet"/>
        <w:jc w:val="both"/>
      </w:pPr>
      <w:r>
        <w:t>clarifi</w:t>
      </w:r>
      <w:r w:rsidR="00DF269F">
        <w:t>cation</w:t>
      </w:r>
      <w:r>
        <w:t xml:space="preserve"> that a non-bank lending data holder</w:t>
      </w:r>
      <w:r w:rsidR="00793037">
        <w:t>,</w:t>
      </w:r>
      <w:r>
        <w:t xml:space="preserve"> which does not meet the threshold</w:t>
      </w:r>
      <w:r w:rsidR="00793037">
        <w:t>,</w:t>
      </w:r>
      <w:r>
        <w:t xml:space="preserve"> may </w:t>
      </w:r>
      <w:r>
        <w:lastRenderedPageBreak/>
        <w:t>choose to join the CDR by notifying the Australian Competition and Consumer Commission</w:t>
      </w:r>
      <w:r w:rsidR="002E541C">
        <w:t>.</w:t>
      </w:r>
    </w:p>
    <w:p w14:paraId="2E34A1CD" w14:textId="132C020A" w:rsidR="006321CE" w:rsidRDefault="003B1CD5" w:rsidP="00643BDD">
      <w:pPr>
        <w:pStyle w:val="Heading3"/>
      </w:pPr>
      <w:r>
        <w:t>Narrow</w:t>
      </w:r>
      <w:r w:rsidR="009919FA">
        <w:t>ing the</w:t>
      </w:r>
      <w:r>
        <w:t xml:space="preserve"> </w:t>
      </w:r>
      <w:r w:rsidR="00863ACD">
        <w:t xml:space="preserve">scope of </w:t>
      </w:r>
      <w:r w:rsidR="00586F54">
        <w:t xml:space="preserve">banking and non-bank lending </w:t>
      </w:r>
      <w:r w:rsidR="00863ACD">
        <w:t>products</w:t>
      </w:r>
    </w:p>
    <w:p w14:paraId="01320C1C" w14:textId="170D6377" w:rsidR="00714628" w:rsidRPr="00405158" w:rsidRDefault="00A860A8" w:rsidP="007B39F6">
      <w:pPr>
        <w:jc w:val="both"/>
      </w:pPr>
      <w:r w:rsidDel="000E35EC">
        <w:t xml:space="preserve">The </w:t>
      </w:r>
      <w:r w:rsidR="003B2078">
        <w:t>updated</w:t>
      </w:r>
      <w:r w:rsidR="008A22B7">
        <w:t xml:space="preserve"> draft</w:t>
      </w:r>
      <w:r w:rsidR="00600F13">
        <w:t xml:space="preserve"> </w:t>
      </w:r>
      <w:r w:rsidR="008A22B7">
        <w:t>rules</w:t>
      </w:r>
      <w:r w:rsidR="00863ACD">
        <w:t xml:space="preserve"> </w:t>
      </w:r>
      <w:r w:rsidR="00D00EE7">
        <w:t>narrow</w:t>
      </w:r>
      <w:r w:rsidR="009919FA">
        <w:t xml:space="preserve"> </w:t>
      </w:r>
      <w:r w:rsidR="00863ACD">
        <w:t xml:space="preserve">the range of products for which CDR data sharing would be compulsory for banking </w:t>
      </w:r>
      <w:r w:rsidR="00714628">
        <w:t>data holders</w:t>
      </w:r>
      <w:r>
        <w:t>,</w:t>
      </w:r>
      <w:r w:rsidR="00714628">
        <w:t xml:space="preserve"> </w:t>
      </w:r>
      <w:r w:rsidR="00863ACD">
        <w:t>and non-bank lending data holders that meet the ‘de minimis’ threshold.</w:t>
      </w:r>
      <w:r w:rsidR="00714628">
        <w:t xml:space="preserve"> </w:t>
      </w:r>
      <w:r w:rsidR="006133D6">
        <w:t>This</w:t>
      </w:r>
      <w:r w:rsidR="00750C44">
        <w:t xml:space="preserve"> aims to avoid</w:t>
      </w:r>
      <w:r w:rsidR="00714628" w:rsidRPr="00D00EE7">
        <w:t xml:space="preserve"> unnecessary costs and burden for data holders in relation to </w:t>
      </w:r>
      <w:r w:rsidR="00122BE7">
        <w:t xml:space="preserve">niche </w:t>
      </w:r>
      <w:r w:rsidR="007C04AA">
        <w:t xml:space="preserve">and small target </w:t>
      </w:r>
      <w:r w:rsidR="00714628" w:rsidRPr="00D00EE7">
        <w:t xml:space="preserve">products for which </w:t>
      </w:r>
      <w:r w:rsidR="00714628" w:rsidRPr="00405158">
        <w:t>CDR data is unlikely to be shared at scale to support high-value use cases.</w:t>
      </w:r>
    </w:p>
    <w:p w14:paraId="342FF576" w14:textId="0CD82CB3" w:rsidR="006919B9" w:rsidRDefault="00A34096" w:rsidP="007B39F6">
      <w:pPr>
        <w:jc w:val="both"/>
      </w:pPr>
      <w:r>
        <w:t xml:space="preserve">In the draft amendments, </w:t>
      </w:r>
      <w:r w:rsidR="00714628">
        <w:t>CDR data sharing would be voluntary in relation to:</w:t>
      </w:r>
    </w:p>
    <w:p w14:paraId="1487288C" w14:textId="496CB486" w:rsidR="00714628" w:rsidRDefault="00714628" w:rsidP="007B39F6">
      <w:pPr>
        <w:pStyle w:val="Bullet"/>
        <w:jc w:val="both"/>
      </w:pPr>
      <w:r>
        <w:t>asset finance (except for standard auto finance)</w:t>
      </w:r>
    </w:p>
    <w:p w14:paraId="202B3F7B" w14:textId="6CF468E6" w:rsidR="00714628" w:rsidRDefault="00714628" w:rsidP="007B39F6">
      <w:pPr>
        <w:pStyle w:val="Bullet"/>
        <w:jc w:val="both"/>
      </w:pPr>
      <w:r>
        <w:t>consumer leases</w:t>
      </w:r>
    </w:p>
    <w:p w14:paraId="0D1F206E" w14:textId="397DD5E0" w:rsidR="00714628" w:rsidRDefault="00714628" w:rsidP="007B39F6">
      <w:pPr>
        <w:pStyle w:val="Bullet"/>
        <w:jc w:val="both"/>
      </w:pPr>
      <w:r>
        <w:t>foreign currency accounts</w:t>
      </w:r>
    </w:p>
    <w:p w14:paraId="362F0323" w14:textId="678D9628" w:rsidR="00714628" w:rsidRDefault="00714628" w:rsidP="007B39F6">
      <w:pPr>
        <w:pStyle w:val="Bullet"/>
        <w:jc w:val="both"/>
      </w:pPr>
      <w:r>
        <w:t>margin loans</w:t>
      </w:r>
    </w:p>
    <w:p w14:paraId="6D1442A7" w14:textId="3AA78C45" w:rsidR="00714628" w:rsidRDefault="00714628" w:rsidP="007B39F6">
      <w:pPr>
        <w:pStyle w:val="Bullet"/>
        <w:jc w:val="both"/>
      </w:pPr>
      <w:r>
        <w:t>reverse mortgages.</w:t>
      </w:r>
    </w:p>
    <w:p w14:paraId="081DDC1E" w14:textId="7000FF51" w:rsidR="00714628" w:rsidRDefault="00714628" w:rsidP="007B39F6">
      <w:pPr>
        <w:jc w:val="both"/>
      </w:pPr>
      <w:r>
        <w:t xml:space="preserve">CDR data sharing would also be voluntary in relation to products for which </w:t>
      </w:r>
      <w:r w:rsidR="00643BDD">
        <w:t xml:space="preserve">a banking or non-bank lending </w:t>
      </w:r>
      <w:r>
        <w:t xml:space="preserve">data holder has less than 1,000 </w:t>
      </w:r>
      <w:r w:rsidR="002270C4">
        <w:t>eligible CDR consumers</w:t>
      </w:r>
      <w:r>
        <w:t>.</w:t>
      </w:r>
      <w:r w:rsidR="00B732A6">
        <w:t xml:space="preserve"> </w:t>
      </w:r>
      <w:r w:rsidR="00D7005E">
        <w:t>This aligns with the</w:t>
      </w:r>
      <w:r w:rsidR="008704C6">
        <w:t xml:space="preserve"> </w:t>
      </w:r>
      <w:r w:rsidR="0031453C">
        <w:t xml:space="preserve">parameters of the </w:t>
      </w:r>
      <w:r w:rsidR="008704C6">
        <w:t xml:space="preserve">existing mechanism for banking data holders to trial </w:t>
      </w:r>
      <w:r w:rsidR="00957B05">
        <w:t>products outside of the CDR</w:t>
      </w:r>
      <w:r w:rsidR="006B4A6E">
        <w:t>.</w:t>
      </w:r>
    </w:p>
    <w:p w14:paraId="7ACE4505" w14:textId="33DCC738" w:rsidR="008B3930" w:rsidRDefault="00643BDD" w:rsidP="007B39F6">
      <w:pPr>
        <w:jc w:val="both"/>
      </w:pPr>
      <w:r>
        <w:t>If voluntarily sharing CDR product data in relation to these products, d</w:t>
      </w:r>
      <w:r w:rsidR="00714628">
        <w:t xml:space="preserve">ata holders </w:t>
      </w:r>
      <w:r w:rsidR="650D46C5">
        <w:t>will not be exposed</w:t>
      </w:r>
      <w:r w:rsidR="00714628">
        <w:t xml:space="preserve"> to </w:t>
      </w:r>
      <w:r w:rsidR="650D46C5">
        <w:t>civil penalty for non-compliance</w:t>
      </w:r>
      <w:r w:rsidR="00714628">
        <w:t xml:space="preserve"> with the </w:t>
      </w:r>
      <w:r w:rsidR="003B2078">
        <w:t>data formatting requirements of the</w:t>
      </w:r>
      <w:r w:rsidR="00714628">
        <w:t xml:space="preserve"> Data Standards. Compliance with the Data Standards would remain </w:t>
      </w:r>
      <w:r w:rsidR="5583085A">
        <w:t>a requirement of the rules</w:t>
      </w:r>
      <w:r w:rsidR="00714628">
        <w:t xml:space="preserve"> in relation to relevant consumer data</w:t>
      </w:r>
      <w:r w:rsidR="003B2078">
        <w:t xml:space="preserve"> and in relation to the provision of a product data request service</w:t>
      </w:r>
      <w:r w:rsidR="00714628">
        <w:t>.</w:t>
      </w:r>
    </w:p>
    <w:p w14:paraId="44D50F3E" w14:textId="70C67340" w:rsidR="007D4DFE" w:rsidRDefault="007D4DFE" w:rsidP="007B39F6">
      <w:pPr>
        <w:jc w:val="both"/>
      </w:pPr>
      <w:r w:rsidDel="000E35EC">
        <w:t>The Government</w:t>
      </w:r>
      <w:r>
        <w:t xml:space="preserve"> remains open to </w:t>
      </w:r>
      <w:r w:rsidR="006506F4">
        <w:t>making additional products voluntary</w:t>
      </w:r>
      <w:r w:rsidR="007C5049">
        <w:t xml:space="preserve"> for CDR data sharing. </w:t>
      </w:r>
      <w:r w:rsidR="008023C5">
        <w:t xml:space="preserve">Stakeholders may wish to recommend additional products, or identify key products that should </w:t>
      </w:r>
      <w:r w:rsidR="00787044">
        <w:t>be retained.</w:t>
      </w:r>
    </w:p>
    <w:p w14:paraId="30D5C8FE" w14:textId="08405F95" w:rsidR="00714628" w:rsidRDefault="00643BDD" w:rsidP="00643BDD">
      <w:pPr>
        <w:pStyle w:val="Heading3"/>
      </w:pPr>
      <w:r>
        <w:t xml:space="preserve">Reduced </w:t>
      </w:r>
      <w:r w:rsidR="00147DF3">
        <w:t xml:space="preserve">requirements to share </w:t>
      </w:r>
      <w:r>
        <w:t>historical consumer data</w:t>
      </w:r>
    </w:p>
    <w:p w14:paraId="24E82E0C" w14:textId="5772F7CD" w:rsidR="00643BDD" w:rsidRDefault="00787044" w:rsidP="007B39F6">
      <w:pPr>
        <w:jc w:val="both"/>
      </w:pPr>
      <w:r>
        <w:t xml:space="preserve">The </w:t>
      </w:r>
      <w:r w:rsidR="001C54C9">
        <w:t>draft rules</w:t>
      </w:r>
      <w:r w:rsidR="00643BDD">
        <w:t xml:space="preserve"> </w:t>
      </w:r>
      <w:r w:rsidR="009864FC">
        <w:t>reduce the requiremen</w:t>
      </w:r>
      <w:r w:rsidR="00936056">
        <w:t>t</w:t>
      </w:r>
      <w:r w:rsidR="00CD763A">
        <w:t>s</w:t>
      </w:r>
      <w:r w:rsidR="00936056">
        <w:t xml:space="preserve"> for a banking or non-bank lending data holder to </w:t>
      </w:r>
      <w:r w:rsidR="006E5C64">
        <w:t>share</w:t>
      </w:r>
      <w:r w:rsidR="00643BDD">
        <w:t xml:space="preserve"> </w:t>
      </w:r>
      <w:r w:rsidR="00643BDD" w:rsidDel="006E5C64">
        <w:t xml:space="preserve">consumer </w:t>
      </w:r>
      <w:r w:rsidR="00C53FC2">
        <w:t>transactional data</w:t>
      </w:r>
      <w:r w:rsidR="00643BDD">
        <w:t>. This aim</w:t>
      </w:r>
      <w:r w:rsidR="00405158">
        <w:t>s</w:t>
      </w:r>
      <w:r w:rsidR="00643BDD">
        <w:t xml:space="preserve"> to target the extent of data required to be </w:t>
      </w:r>
      <w:r w:rsidR="00EC568D">
        <w:t xml:space="preserve">shared </w:t>
      </w:r>
      <w:r w:rsidR="00643BDD">
        <w:t>by data holders to the extent necessary to support high-value use cases.</w:t>
      </w:r>
    </w:p>
    <w:p w14:paraId="1962DFF8" w14:textId="2B9892E5" w:rsidR="00714628" w:rsidRDefault="00B67A5B" w:rsidP="007B39F6">
      <w:pPr>
        <w:jc w:val="both"/>
      </w:pPr>
      <w:r>
        <w:t xml:space="preserve">A </w:t>
      </w:r>
      <w:r w:rsidR="00235274">
        <w:t>bank or non-bank lending</w:t>
      </w:r>
      <w:r>
        <w:t xml:space="preserve"> data holder would not be</w:t>
      </w:r>
      <w:r w:rsidR="00643BDD">
        <w:t xml:space="preserve"> required </w:t>
      </w:r>
      <w:r>
        <w:t xml:space="preserve">to share </w:t>
      </w:r>
      <w:r w:rsidR="00643BDD">
        <w:t xml:space="preserve">consumer data if the data was </w:t>
      </w:r>
      <w:r w:rsidR="00643BDD" w:rsidDel="00B67A5B">
        <w:t xml:space="preserve">in relation to a </w:t>
      </w:r>
      <w:r w:rsidR="00643BDD">
        <w:t>transaction that occurred more than 2 years before the time of the request.</w:t>
      </w:r>
    </w:p>
    <w:p w14:paraId="4E41F3EB" w14:textId="1A74812D" w:rsidR="007B39F6" w:rsidRDefault="007B39F6" w:rsidP="007B39F6">
      <w:pPr>
        <w:pStyle w:val="Heading3"/>
        <w:jc w:val="both"/>
      </w:pPr>
      <w:r>
        <w:t>Updated implementation timing for non-bank lending</w:t>
      </w:r>
    </w:p>
    <w:p w14:paraId="0569984D" w14:textId="38A41C6C" w:rsidR="0015116D" w:rsidRDefault="0015116D" w:rsidP="007B39F6">
      <w:pPr>
        <w:jc w:val="both"/>
      </w:pPr>
      <w:r>
        <w:t xml:space="preserve">On 9 August 2024, the Assistant Treasurer and Minister for Financial Services announced </w:t>
      </w:r>
      <w:r w:rsidR="00BF587D">
        <w:t>the Government would expand the CDR to non-bank lending in early 2025, making it operational by mid-2026 to provide a sufficient transition period.</w:t>
      </w:r>
    </w:p>
    <w:p w14:paraId="5CCDCF53" w14:textId="0EA0D2C4" w:rsidR="00216688" w:rsidRDefault="00A44053" w:rsidP="007B39F6">
      <w:pPr>
        <w:jc w:val="both"/>
      </w:pPr>
      <w:r>
        <w:t xml:space="preserve">Accordingly, </w:t>
      </w:r>
      <w:r w:rsidR="1C6DE5DE">
        <w:t>the draft rules include</w:t>
      </w:r>
      <w:r w:rsidR="007B39F6">
        <w:t xml:space="preserve"> updated timing </w:t>
      </w:r>
      <w:r w:rsidR="689F08DF">
        <w:t xml:space="preserve">for the </w:t>
      </w:r>
      <w:r w:rsidR="007B39F6">
        <w:t xml:space="preserve">CDR data sharing obligations </w:t>
      </w:r>
      <w:r w:rsidR="007B39F6" w:rsidDel="000E35EC">
        <w:t xml:space="preserve">to </w:t>
      </w:r>
      <w:r w:rsidR="6EAFF572">
        <w:t>tak</w:t>
      </w:r>
      <w:r w:rsidR="689F08DF">
        <w:t>e</w:t>
      </w:r>
      <w:r w:rsidR="6EAFF572">
        <w:t xml:space="preserve"> effect</w:t>
      </w:r>
      <w:r w:rsidR="14734E36">
        <w:t>.</w:t>
      </w:r>
      <w:r w:rsidR="007B39F6">
        <w:t xml:space="preserve"> </w:t>
      </w:r>
      <w:r w:rsidR="00194377">
        <w:t xml:space="preserve">Product data sharing obligations would apply from 13 July 2026, followed by consumer data sharing obligations in </w:t>
      </w:r>
      <w:r w:rsidR="003C458C">
        <w:t xml:space="preserve">four phases from 9 November 2026 until 13 September 2027 beginning with the largest non-bank lenders and </w:t>
      </w:r>
      <w:r w:rsidR="00891954">
        <w:t>non-complex</w:t>
      </w:r>
      <w:r w:rsidR="003C458C">
        <w:t xml:space="preserve"> data requests. </w:t>
      </w:r>
      <w:r w:rsidR="007B39F6">
        <w:t>Consideration has</w:t>
      </w:r>
      <w:r w:rsidR="007B39F6" w:rsidDel="003C458C">
        <w:t xml:space="preserve"> </w:t>
      </w:r>
      <w:r w:rsidR="007B39F6">
        <w:t>been given to timing that aligns with when relevant Data Standards may take effect.</w:t>
      </w:r>
    </w:p>
    <w:p w14:paraId="268E91C6" w14:textId="07EF42B5" w:rsidR="006321CE" w:rsidRDefault="00B2403C" w:rsidP="00B2403C">
      <w:pPr>
        <w:pStyle w:val="Heading3"/>
      </w:pPr>
      <w:r>
        <w:t>Other minor updates</w:t>
      </w:r>
    </w:p>
    <w:p w14:paraId="00D85968" w14:textId="280AF50E" w:rsidR="00B2403C" w:rsidRPr="00A0040D" w:rsidRDefault="00F87112" w:rsidP="00984484">
      <w:pPr>
        <w:jc w:val="both"/>
      </w:pPr>
      <w:r>
        <w:t>O</w:t>
      </w:r>
      <w:r w:rsidR="006766DA">
        <w:t>ther</w:t>
      </w:r>
      <w:r w:rsidR="00B2403C" w:rsidRPr="00A0040D">
        <w:t xml:space="preserve"> minor updates </w:t>
      </w:r>
      <w:r>
        <w:t>included in</w:t>
      </w:r>
      <w:r w:rsidRPr="00A0040D">
        <w:t xml:space="preserve"> </w:t>
      </w:r>
      <w:r w:rsidR="00B2403C" w:rsidRPr="00A0040D">
        <w:t xml:space="preserve">the </w:t>
      </w:r>
      <w:r>
        <w:t xml:space="preserve">draft </w:t>
      </w:r>
      <w:r w:rsidR="00B2403C" w:rsidRPr="00A0040D">
        <w:t>CDR Rule</w:t>
      </w:r>
      <w:r>
        <w:t xml:space="preserve"> amendments</w:t>
      </w:r>
      <w:r w:rsidR="00B2403C" w:rsidRPr="00A0040D">
        <w:t xml:space="preserve"> includ</w:t>
      </w:r>
      <w:r>
        <w:t>e</w:t>
      </w:r>
      <w:r w:rsidR="00B2403C" w:rsidRPr="00A0040D">
        <w:t>:</w:t>
      </w:r>
    </w:p>
    <w:p w14:paraId="06EA9CC3" w14:textId="07E15FA8" w:rsidR="00B2403C" w:rsidRDefault="00B2403C" w:rsidP="00984484">
      <w:pPr>
        <w:pStyle w:val="Bullet"/>
        <w:jc w:val="both"/>
      </w:pPr>
      <w:r w:rsidRPr="00A0040D">
        <w:t xml:space="preserve">clarifying that </w:t>
      </w:r>
      <w:r>
        <w:t xml:space="preserve">a </w:t>
      </w:r>
      <w:r w:rsidRPr="00A0040D">
        <w:t xml:space="preserve">non-bank </w:t>
      </w:r>
      <w:r w:rsidRPr="00A0040D" w:rsidDel="00A429E4">
        <w:t xml:space="preserve">lending </w:t>
      </w:r>
      <w:r w:rsidRPr="00A0040D">
        <w:t>data holder</w:t>
      </w:r>
      <w:r>
        <w:t xml:space="preserve"> subject to CDR data sharing obligations solely because of being an accredited data recipient would no longer be </w:t>
      </w:r>
      <w:r w:rsidRPr="00A0040D">
        <w:t>subject to</w:t>
      </w:r>
      <w:r>
        <w:t xml:space="preserve"> those obligations if its accreditation ceased</w:t>
      </w:r>
    </w:p>
    <w:p w14:paraId="718C9E3C" w14:textId="4767F293" w:rsidR="00B2403C" w:rsidRDefault="00B2403C" w:rsidP="00984484">
      <w:pPr>
        <w:pStyle w:val="Bullet"/>
        <w:jc w:val="both"/>
      </w:pPr>
      <w:r>
        <w:t>updating references to Australian Prudential Regulat</w:t>
      </w:r>
      <w:r w:rsidR="0F17BCAA">
        <w:t>ion</w:t>
      </w:r>
      <w:r>
        <w:t xml:space="preserve"> Authority standards</w:t>
      </w:r>
    </w:p>
    <w:p w14:paraId="0C8EDB19" w14:textId="742A8969" w:rsidR="00B2403C" w:rsidRPr="00542925" w:rsidRDefault="00B2403C" w:rsidP="00984484">
      <w:pPr>
        <w:pStyle w:val="Bullet"/>
        <w:jc w:val="both"/>
      </w:pPr>
      <w:r>
        <w:t>aligning the deferral of CDR data sharing obligations in respect of buy-now pay-later (BNPL) products to the final obligation date of 13 September 2027</w:t>
      </w:r>
    </w:p>
    <w:p w14:paraId="20CDD56D" w14:textId="77777777" w:rsidR="00DF097F" w:rsidRDefault="00DF097F">
      <w:pPr>
        <w:spacing w:before="0" w:line="240" w:lineRule="auto"/>
        <w:sectPr w:rsidR="00DF097F" w:rsidSect="00F16A80">
          <w:type w:val="continuous"/>
          <w:pgSz w:w="11906" w:h="16838" w:code="9"/>
          <w:pgMar w:top="1134" w:right="1134" w:bottom="1134" w:left="1134" w:header="567" w:footer="369" w:gutter="0"/>
          <w:cols w:num="2" w:space="510"/>
          <w:titlePg/>
          <w:docGrid w:linePitch="360"/>
        </w:sectPr>
      </w:pPr>
    </w:p>
    <w:p w14:paraId="15318EC3" w14:textId="77777777" w:rsidR="008B3930" w:rsidRDefault="008B3930">
      <w:pPr>
        <w:spacing w:before="0" w:line="240" w:lineRule="auto"/>
      </w:pPr>
    </w:p>
    <w:tbl>
      <w:tblPr>
        <w:tblW w:w="9781" w:type="dxa"/>
        <w:shd w:val="clear" w:color="auto" w:fill="CCE6E9"/>
        <w:tblCellMar>
          <w:top w:w="227" w:type="dxa"/>
          <w:left w:w="227" w:type="dxa"/>
          <w:bottom w:w="227" w:type="dxa"/>
          <w:right w:w="227" w:type="dxa"/>
        </w:tblCellMar>
        <w:tblLook w:val="04A0" w:firstRow="1" w:lastRow="0" w:firstColumn="1" w:lastColumn="0" w:noHBand="0" w:noVBand="1"/>
      </w:tblPr>
      <w:tblGrid>
        <w:gridCol w:w="9781"/>
      </w:tblGrid>
      <w:tr w:rsidR="008C4DC0" w14:paraId="5862EF4A" w14:textId="77777777" w:rsidTr="00F77810">
        <w:tc>
          <w:tcPr>
            <w:tcW w:w="9781" w:type="dxa"/>
            <w:shd w:val="clear" w:color="auto" w:fill="CCE6E9"/>
          </w:tcPr>
          <w:p w14:paraId="6321FA29" w14:textId="655E1E9D" w:rsidR="008C4DC0" w:rsidRPr="00A2324F" w:rsidRDefault="008C4DC0" w:rsidP="00F77810">
            <w:pPr>
              <w:pStyle w:val="BoxHeading"/>
              <w:jc w:val="both"/>
            </w:pPr>
            <w:r>
              <w:lastRenderedPageBreak/>
              <w:t>Providing feedback</w:t>
            </w:r>
          </w:p>
          <w:p w14:paraId="0768E15E" w14:textId="031AC19E" w:rsidR="008C4DC0" w:rsidRDefault="004D6048" w:rsidP="00F77810">
            <w:pPr>
              <w:pStyle w:val="BoxText"/>
              <w:jc w:val="both"/>
            </w:pPr>
            <w:r>
              <w:t xml:space="preserve">Written submissions or enquiries </w:t>
            </w:r>
            <w:r w:rsidR="00385070">
              <w:t xml:space="preserve">on the draft CDR rules </w:t>
            </w:r>
            <w:r>
              <w:t xml:space="preserve">may be </w:t>
            </w:r>
            <w:r w:rsidR="000724F3">
              <w:t>addressed to</w:t>
            </w:r>
            <w:r w:rsidR="00731BBB">
              <w:t xml:space="preserve"> </w:t>
            </w:r>
            <w:hyperlink r:id="rId10" w:history="1">
              <w:r w:rsidR="00731BBB" w:rsidRPr="00093D35">
                <w:rPr>
                  <w:rStyle w:val="Hyperlink"/>
                </w:rPr>
                <w:t>CDRRules@treasury.gov.au</w:t>
              </w:r>
            </w:hyperlink>
            <w:r w:rsidR="00821784">
              <w:t xml:space="preserve">. </w:t>
            </w:r>
            <w:r w:rsidR="0030668C">
              <w:t xml:space="preserve">Submissions may be provided up until </w:t>
            </w:r>
            <w:r w:rsidR="00ED4DEC" w:rsidRPr="00ED4DEC">
              <w:rPr>
                <w:b/>
                <w:bCs/>
              </w:rPr>
              <w:t>24</w:t>
            </w:r>
            <w:r w:rsidR="0030668C" w:rsidRPr="00ED4DEC">
              <w:rPr>
                <w:b/>
                <w:bCs/>
              </w:rPr>
              <w:t xml:space="preserve"> December 2024</w:t>
            </w:r>
            <w:r w:rsidR="0030668C">
              <w:t>.</w:t>
            </w:r>
          </w:p>
          <w:p w14:paraId="68C7E9D8" w14:textId="28098743" w:rsidR="00234036" w:rsidRPr="00A2324F" w:rsidRDefault="00234036" w:rsidP="00F77810">
            <w:pPr>
              <w:pStyle w:val="BoxText"/>
              <w:jc w:val="both"/>
            </w:pPr>
            <w:r>
              <w:t xml:space="preserve">Further details about the consultation process are available on </w:t>
            </w:r>
            <w:r w:rsidRPr="00984484">
              <w:t>Treasury’s website</w:t>
            </w:r>
            <w:r w:rsidR="00903B29">
              <w:t xml:space="preserve"> at www.treasury.gov.au/consultation</w:t>
            </w:r>
            <w:r>
              <w:t>.</w:t>
            </w:r>
          </w:p>
        </w:tc>
      </w:tr>
    </w:tbl>
    <w:p w14:paraId="4BFB1BE7" w14:textId="77777777" w:rsidR="008B3930" w:rsidRDefault="008B3930" w:rsidP="00DF097F">
      <w:pPr>
        <w:spacing w:before="0" w:line="240" w:lineRule="auto"/>
      </w:pPr>
    </w:p>
    <w:sectPr w:rsidR="008B3930" w:rsidSect="00F77810">
      <w:headerReference w:type="first" r:id="rId11"/>
      <w:type w:val="continuous"/>
      <w:pgSz w:w="11906" w:h="16838" w:code="9"/>
      <w:pgMar w:top="1134" w:right="1134" w:bottom="1134" w:left="1134" w:header="567" w:footer="36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1C29" w14:textId="77777777" w:rsidR="00714229" w:rsidRDefault="00714229" w:rsidP="00807207">
      <w:r>
        <w:separator/>
      </w:r>
    </w:p>
    <w:p w14:paraId="1F75232B" w14:textId="77777777" w:rsidR="00714229" w:rsidRDefault="00714229" w:rsidP="00807207"/>
  </w:endnote>
  <w:endnote w:type="continuationSeparator" w:id="0">
    <w:p w14:paraId="15DC1F87" w14:textId="77777777" w:rsidR="00714229" w:rsidRDefault="00714229" w:rsidP="00807207">
      <w:r>
        <w:continuationSeparator/>
      </w:r>
    </w:p>
    <w:p w14:paraId="38B24CCB" w14:textId="77777777" w:rsidR="00714229" w:rsidRDefault="00714229" w:rsidP="00807207"/>
  </w:endnote>
  <w:endnote w:type="continuationNotice" w:id="1">
    <w:p w14:paraId="3FA62F80" w14:textId="77777777" w:rsidR="00714229" w:rsidRDefault="0071422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4BC9" w14:textId="43C6030F" w:rsidR="009530CD" w:rsidRPr="006321CE" w:rsidRDefault="006321CE" w:rsidP="00807207">
    <w:pPr>
      <w:pStyle w:val="Footer"/>
      <w:rPr>
        <w:color w:val="auto"/>
      </w:rPr>
    </w:pPr>
    <w:r w:rsidRPr="00E3142C">
      <w:rPr>
        <w:noProof/>
        <w:color w:val="auto"/>
        <w:position w:val="-6"/>
      </w:rPr>
      <w:drawing>
        <wp:inline distT="0" distB="0" distL="0" distR="0" wp14:anchorId="167B347E" wp14:editId="0F997FB2">
          <wp:extent cx="746760" cy="271072"/>
          <wp:effectExtent l="0" t="0" r="0" b="0"/>
          <wp:docPr id="642533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1954" cy="283847"/>
                  </a:xfrm>
                  <a:prstGeom prst="rect">
                    <a:avLst/>
                  </a:prstGeom>
                </pic:spPr>
              </pic:pic>
            </a:graphicData>
          </a:graphic>
        </wp:inline>
      </w:drawing>
    </w:r>
    <w:r w:rsidR="009530CD">
      <w:rPr>
        <w:noProof/>
      </w:rPr>
      <w:t xml:space="preserve">  </w:t>
    </w:r>
    <w:r w:rsidR="009530CD" w:rsidRPr="00C56C60">
      <w:rPr>
        <w:noProof/>
      </w:rPr>
      <w:t>|</w:t>
    </w:r>
    <w:r>
      <w:tab/>
    </w:r>
    <w:r w:rsidRPr="006321CE">
      <w:rPr>
        <w:noProof/>
        <w:color w:val="auto"/>
      </w:rPr>
      <w:fldChar w:fldCharType="begin"/>
    </w:r>
    <w:r w:rsidRPr="006321CE">
      <w:rPr>
        <w:noProof/>
        <w:color w:val="auto"/>
      </w:rPr>
      <w:instrText xml:space="preserve"> STYLEREF  "Heading 1"  \* MERGEFORMAT </w:instrText>
    </w:r>
    <w:r w:rsidRPr="006321CE">
      <w:rPr>
        <w:noProof/>
        <w:color w:val="auto"/>
      </w:rPr>
      <w:fldChar w:fldCharType="separate"/>
    </w:r>
    <w:r w:rsidR="00C25281">
      <w:rPr>
        <w:noProof/>
        <w:color w:val="auto"/>
      </w:rPr>
      <w:t>Expanding the CDR to non-bank lending and narrowing the scope of CDR data in banking</w:t>
    </w:r>
    <w:r w:rsidRPr="006321CE">
      <w:rPr>
        <w:noProof/>
        <w:color w:val="auto"/>
      </w:rPr>
      <w:fldChar w:fldCharType="end"/>
    </w:r>
    <w:r w:rsidRPr="006321CE">
      <w:rPr>
        <w:noProof/>
        <w:color w:val="auto"/>
      </w:rPr>
      <w:t xml:space="preserve">  </w:t>
    </w:r>
    <w:r>
      <w:rPr>
        <w:noProof/>
        <w:color w:val="auto"/>
      </w:rPr>
      <w:t xml:space="preserve">|  </w:t>
    </w:r>
    <w:r w:rsidR="009530CD" w:rsidRPr="006321CE">
      <w:rPr>
        <w:color w:val="auto"/>
      </w:rPr>
      <w:fldChar w:fldCharType="begin"/>
    </w:r>
    <w:r w:rsidR="009530CD" w:rsidRPr="006321CE">
      <w:rPr>
        <w:color w:val="auto"/>
      </w:rPr>
      <w:instrText xml:space="preserve"> PAGE   \* MERGEFORMAT </w:instrText>
    </w:r>
    <w:r w:rsidR="009530CD" w:rsidRPr="006321CE">
      <w:rPr>
        <w:color w:val="auto"/>
      </w:rPr>
      <w:fldChar w:fldCharType="separate"/>
    </w:r>
    <w:r w:rsidR="009530CD" w:rsidRPr="006321CE">
      <w:rPr>
        <w:color w:val="auto"/>
      </w:rPr>
      <w:t>1</w:t>
    </w:r>
    <w:r w:rsidR="009530CD" w:rsidRPr="006321CE">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4C19" w14:textId="4F166E48" w:rsidR="004C06BF" w:rsidRPr="00E3142C" w:rsidRDefault="0008022D" w:rsidP="00807207">
    <w:pPr>
      <w:pStyle w:val="Footer"/>
      <w:rPr>
        <w:color w:val="auto"/>
      </w:rPr>
    </w:pPr>
    <w:r w:rsidRPr="00E3142C">
      <w:rPr>
        <w:noProof/>
        <w:color w:val="auto"/>
        <w:position w:val="-6"/>
      </w:rPr>
      <w:drawing>
        <wp:inline distT="0" distB="0" distL="0" distR="0" wp14:anchorId="16498B4A" wp14:editId="1E7165AF">
          <wp:extent cx="746760" cy="271072"/>
          <wp:effectExtent l="0" t="0" r="0" b="0"/>
          <wp:docPr id="3474018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1954" cy="283847"/>
                  </a:xfrm>
                  <a:prstGeom prst="rect">
                    <a:avLst/>
                  </a:prstGeom>
                </pic:spPr>
              </pic:pic>
            </a:graphicData>
          </a:graphic>
        </wp:inline>
      </w:drawing>
    </w:r>
    <w:r w:rsidR="004C06BF" w:rsidRPr="00E3142C">
      <w:rPr>
        <w:color w:val="auto"/>
      </w:rPr>
      <w:tab/>
    </w:r>
    <w:r w:rsidR="00E3142C" w:rsidRPr="00E3142C">
      <w:rPr>
        <w:noProof/>
        <w:color w:val="auto"/>
      </w:rPr>
      <w:fldChar w:fldCharType="begin"/>
    </w:r>
    <w:r w:rsidR="00E3142C" w:rsidRPr="00E3142C">
      <w:rPr>
        <w:noProof/>
        <w:color w:val="auto"/>
      </w:rPr>
      <w:instrText xml:space="preserve"> STYLEREF  "Heading 1"  \* MERGEFORMAT </w:instrText>
    </w:r>
    <w:r w:rsidR="00E3142C" w:rsidRPr="00E3142C">
      <w:rPr>
        <w:noProof/>
        <w:color w:val="auto"/>
      </w:rPr>
      <w:fldChar w:fldCharType="end"/>
    </w:r>
    <w:r w:rsidR="00E3142C">
      <w:rPr>
        <w:noProof/>
        <w:color w:val="auto"/>
      </w:rPr>
      <w:t xml:space="preserve">  |  </w:t>
    </w:r>
    <w:r w:rsidR="004C06BF" w:rsidRPr="00E3142C">
      <w:rPr>
        <w:bCs/>
        <w:color w:val="auto"/>
      </w:rPr>
      <w:fldChar w:fldCharType="begin"/>
    </w:r>
    <w:r w:rsidR="004C06BF" w:rsidRPr="00E3142C">
      <w:rPr>
        <w:bCs/>
        <w:color w:val="auto"/>
      </w:rPr>
      <w:instrText xml:space="preserve"> PAGE   \* MERGEFORMAT </w:instrText>
    </w:r>
    <w:r w:rsidR="004C06BF" w:rsidRPr="00E3142C">
      <w:rPr>
        <w:bCs/>
        <w:color w:val="auto"/>
      </w:rPr>
      <w:fldChar w:fldCharType="separate"/>
    </w:r>
    <w:r w:rsidR="00D250AD" w:rsidRPr="00E3142C">
      <w:rPr>
        <w:bCs/>
        <w:noProof/>
        <w:color w:val="auto"/>
      </w:rPr>
      <w:t>1</w:t>
    </w:r>
    <w:r w:rsidR="004C06BF" w:rsidRPr="00E3142C">
      <w:rPr>
        <w:bCs/>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9793" w14:textId="77777777" w:rsidR="00714229" w:rsidRDefault="00714229" w:rsidP="00807207">
      <w:r>
        <w:separator/>
      </w:r>
    </w:p>
    <w:p w14:paraId="12E4DD5D" w14:textId="77777777" w:rsidR="00714229" w:rsidRDefault="00714229" w:rsidP="00807207"/>
  </w:footnote>
  <w:footnote w:type="continuationSeparator" w:id="0">
    <w:p w14:paraId="183DD31A" w14:textId="77777777" w:rsidR="00714229" w:rsidRDefault="00714229" w:rsidP="00807207">
      <w:r>
        <w:continuationSeparator/>
      </w:r>
    </w:p>
    <w:p w14:paraId="16D83C54" w14:textId="77777777" w:rsidR="00714229" w:rsidRDefault="00714229" w:rsidP="00807207"/>
  </w:footnote>
  <w:footnote w:type="continuationNotice" w:id="1">
    <w:p w14:paraId="0CB01E6C" w14:textId="77777777" w:rsidR="00714229" w:rsidRDefault="0071422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75E9" w14:textId="77777777" w:rsidR="004C06BF" w:rsidRDefault="0004458A" w:rsidP="005F26F5">
    <w:pPr>
      <w:pStyle w:val="Header"/>
      <w:tabs>
        <w:tab w:val="clear" w:pos="9026"/>
        <w:tab w:val="left" w:pos="7738"/>
      </w:tabs>
    </w:pPr>
    <w:r>
      <w:rPr>
        <w:noProof/>
      </w:rPr>
      <w:drawing>
        <wp:anchor distT="0" distB="0" distL="114300" distR="114300" simplePos="0" relativeHeight="251658240" behindDoc="1" locked="0" layoutInCell="1" allowOverlap="1" wp14:anchorId="0EC492CE" wp14:editId="264092B9">
          <wp:simplePos x="0" y="0"/>
          <wp:positionH relativeFrom="page">
            <wp:align>center</wp:align>
          </wp:positionH>
          <wp:positionV relativeFrom="page">
            <wp:align>top</wp:align>
          </wp:positionV>
          <wp:extent cx="7561067" cy="3493944"/>
          <wp:effectExtent l="0" t="0" r="1905" b="0"/>
          <wp:wrapNone/>
          <wp:docPr id="707180596" name="Picture 7071805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1067" cy="3493944"/>
                  </a:xfrm>
                  <a:prstGeom prst="rect">
                    <a:avLst/>
                  </a:prstGeom>
                </pic:spPr>
              </pic:pic>
            </a:graphicData>
          </a:graphic>
          <wp14:sizeRelH relativeFrom="margin">
            <wp14:pctWidth>0</wp14:pctWidth>
          </wp14:sizeRelH>
          <wp14:sizeRelV relativeFrom="margin">
            <wp14:pctHeight>0</wp14:pctHeight>
          </wp14:sizeRelV>
        </wp:anchor>
      </w:drawing>
    </w:r>
    <w:r w:rsidR="00E370C2">
      <w:tab/>
    </w:r>
    <w:r w:rsidR="005F26F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6813" w14:textId="77777777" w:rsidR="001E4AD2" w:rsidRDefault="004A71A3" w:rsidP="005F26F5">
    <w:pPr>
      <w:pStyle w:val="Header"/>
      <w:tabs>
        <w:tab w:val="clear" w:pos="9026"/>
        <w:tab w:val="left" w:pos="77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377E3"/>
    <w:multiLevelType w:val="multilevel"/>
    <w:tmpl w:val="3EBABAEA"/>
    <w:lvl w:ilvl="0">
      <w:start w:val="1"/>
      <w:numFmt w:val="decimal"/>
      <w:pStyle w:val="Box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6B5224"/>
    <w:multiLevelType w:val="multilevel"/>
    <w:tmpl w:val="0F46578E"/>
    <w:name w:val="StandardBulletedList"/>
    <w:lvl w:ilvl="0">
      <w:start w:val="1"/>
      <w:numFmt w:val="bullet"/>
      <w:pStyle w:val="Bullet"/>
      <w:lvlText w:val="•"/>
      <w:lvlJc w:val="left"/>
      <w:pPr>
        <w:tabs>
          <w:tab w:val="num" w:pos="520"/>
        </w:tabs>
        <w:ind w:left="284" w:hanging="284"/>
      </w:pPr>
      <w:rPr>
        <w:rFonts w:ascii="Times New Roman" w:hAnsi="Times New Roman" w:cs="Times New Roman" w:hint="default"/>
      </w:rPr>
    </w:lvl>
    <w:lvl w:ilvl="1">
      <w:start w:val="1"/>
      <w:numFmt w:val="bullet"/>
      <w:pStyle w:val="Dash"/>
      <w:lvlText w:val="–"/>
      <w:lvlJc w:val="left"/>
      <w:pPr>
        <w:tabs>
          <w:tab w:val="num" w:pos="804"/>
        </w:tabs>
        <w:ind w:left="568" w:hanging="284"/>
      </w:pPr>
      <w:rPr>
        <w:rFonts w:ascii="Times New Roman" w:hAnsi="Times New Roman" w:cs="Times New Roman" w:hint="default"/>
      </w:rPr>
    </w:lvl>
    <w:lvl w:ilvl="2">
      <w:start w:val="1"/>
      <w:numFmt w:val="bullet"/>
      <w:pStyle w:val="DoubleDot"/>
      <w:lvlText w:val=":"/>
      <w:lvlJc w:val="left"/>
      <w:pPr>
        <w:tabs>
          <w:tab w:val="num" w:pos="1088"/>
        </w:tabs>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num w:numId="1" w16cid:durableId="1768233546">
    <w:abstractNumId w:val="1"/>
  </w:num>
  <w:num w:numId="2" w16cid:durableId="127863591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268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EC"/>
    <w:rsid w:val="000000A6"/>
    <w:rsid w:val="000010B1"/>
    <w:rsid w:val="0000199A"/>
    <w:rsid w:val="00010EE6"/>
    <w:rsid w:val="000117A2"/>
    <w:rsid w:val="0001325F"/>
    <w:rsid w:val="00014B67"/>
    <w:rsid w:val="00017875"/>
    <w:rsid w:val="00020E7D"/>
    <w:rsid w:val="00021DBB"/>
    <w:rsid w:val="00024F48"/>
    <w:rsid w:val="00027453"/>
    <w:rsid w:val="000406F6"/>
    <w:rsid w:val="00041A7A"/>
    <w:rsid w:val="00041B9B"/>
    <w:rsid w:val="000421F9"/>
    <w:rsid w:val="0004441D"/>
    <w:rsid w:val="0004458A"/>
    <w:rsid w:val="00044ACF"/>
    <w:rsid w:val="000464DF"/>
    <w:rsid w:val="00051BC6"/>
    <w:rsid w:val="00052707"/>
    <w:rsid w:val="00053405"/>
    <w:rsid w:val="00055768"/>
    <w:rsid w:val="00066560"/>
    <w:rsid w:val="00066598"/>
    <w:rsid w:val="00066AF0"/>
    <w:rsid w:val="00071167"/>
    <w:rsid w:val="000724F3"/>
    <w:rsid w:val="00077C97"/>
    <w:rsid w:val="0008022D"/>
    <w:rsid w:val="0008279E"/>
    <w:rsid w:val="000852B6"/>
    <w:rsid w:val="00086615"/>
    <w:rsid w:val="000919E2"/>
    <w:rsid w:val="00092778"/>
    <w:rsid w:val="00095309"/>
    <w:rsid w:val="000A4D2D"/>
    <w:rsid w:val="000C02C9"/>
    <w:rsid w:val="000C07FB"/>
    <w:rsid w:val="000C5318"/>
    <w:rsid w:val="000D1412"/>
    <w:rsid w:val="000D2C8B"/>
    <w:rsid w:val="000D4242"/>
    <w:rsid w:val="000D43E6"/>
    <w:rsid w:val="000D633C"/>
    <w:rsid w:val="000E3007"/>
    <w:rsid w:val="000E352F"/>
    <w:rsid w:val="000E35EC"/>
    <w:rsid w:val="000E3CB9"/>
    <w:rsid w:val="000E66C2"/>
    <w:rsid w:val="000E73E9"/>
    <w:rsid w:val="000F04CA"/>
    <w:rsid w:val="000F412E"/>
    <w:rsid w:val="001017E2"/>
    <w:rsid w:val="00102D74"/>
    <w:rsid w:val="001031EE"/>
    <w:rsid w:val="001045F6"/>
    <w:rsid w:val="00104D09"/>
    <w:rsid w:val="00106F92"/>
    <w:rsid w:val="00122BE7"/>
    <w:rsid w:val="00125147"/>
    <w:rsid w:val="001325CF"/>
    <w:rsid w:val="0013558B"/>
    <w:rsid w:val="00136B86"/>
    <w:rsid w:val="00142F15"/>
    <w:rsid w:val="00147DF3"/>
    <w:rsid w:val="001507CE"/>
    <w:rsid w:val="0015116D"/>
    <w:rsid w:val="00153C89"/>
    <w:rsid w:val="00154A28"/>
    <w:rsid w:val="001557A3"/>
    <w:rsid w:val="001633D7"/>
    <w:rsid w:val="00163E00"/>
    <w:rsid w:val="00164C33"/>
    <w:rsid w:val="0018385A"/>
    <w:rsid w:val="00192270"/>
    <w:rsid w:val="00194377"/>
    <w:rsid w:val="001A19BC"/>
    <w:rsid w:val="001A5AAD"/>
    <w:rsid w:val="001B2B05"/>
    <w:rsid w:val="001C54C9"/>
    <w:rsid w:val="001C78AE"/>
    <w:rsid w:val="001D4472"/>
    <w:rsid w:val="001D4537"/>
    <w:rsid w:val="001D4E54"/>
    <w:rsid w:val="001D653B"/>
    <w:rsid w:val="001E033C"/>
    <w:rsid w:val="001E14BA"/>
    <w:rsid w:val="001E1F64"/>
    <w:rsid w:val="001E3F9C"/>
    <w:rsid w:val="001E4AD2"/>
    <w:rsid w:val="001F044F"/>
    <w:rsid w:val="001F25C6"/>
    <w:rsid w:val="001F4499"/>
    <w:rsid w:val="00204680"/>
    <w:rsid w:val="00212DC9"/>
    <w:rsid w:val="00216688"/>
    <w:rsid w:val="00216D0A"/>
    <w:rsid w:val="00217A3E"/>
    <w:rsid w:val="0022055E"/>
    <w:rsid w:val="0022546D"/>
    <w:rsid w:val="002270C4"/>
    <w:rsid w:val="00227B64"/>
    <w:rsid w:val="00227C77"/>
    <w:rsid w:val="0023349A"/>
    <w:rsid w:val="00234036"/>
    <w:rsid w:val="00235274"/>
    <w:rsid w:val="0023620A"/>
    <w:rsid w:val="00241B9A"/>
    <w:rsid w:val="00243D37"/>
    <w:rsid w:val="0024476F"/>
    <w:rsid w:val="00245B40"/>
    <w:rsid w:val="00246D43"/>
    <w:rsid w:val="002505B5"/>
    <w:rsid w:val="0025702F"/>
    <w:rsid w:val="0025761B"/>
    <w:rsid w:val="00260712"/>
    <w:rsid w:val="00260728"/>
    <w:rsid w:val="00270A8E"/>
    <w:rsid w:val="002743F7"/>
    <w:rsid w:val="002775CC"/>
    <w:rsid w:val="002824AE"/>
    <w:rsid w:val="0028498B"/>
    <w:rsid w:val="00287679"/>
    <w:rsid w:val="002A04D9"/>
    <w:rsid w:val="002A1301"/>
    <w:rsid w:val="002A1E6A"/>
    <w:rsid w:val="002A24D5"/>
    <w:rsid w:val="002A5315"/>
    <w:rsid w:val="002B6A78"/>
    <w:rsid w:val="002C0F02"/>
    <w:rsid w:val="002C4AE0"/>
    <w:rsid w:val="002C548C"/>
    <w:rsid w:val="002C6095"/>
    <w:rsid w:val="002D2D18"/>
    <w:rsid w:val="002D4D42"/>
    <w:rsid w:val="002E1F9E"/>
    <w:rsid w:val="002E3302"/>
    <w:rsid w:val="002E541C"/>
    <w:rsid w:val="002E649B"/>
    <w:rsid w:val="002F1AAF"/>
    <w:rsid w:val="002F4C2D"/>
    <w:rsid w:val="00300A91"/>
    <w:rsid w:val="0030668C"/>
    <w:rsid w:val="003072ED"/>
    <w:rsid w:val="003105E6"/>
    <w:rsid w:val="00310DB4"/>
    <w:rsid w:val="0031453C"/>
    <w:rsid w:val="00320F2E"/>
    <w:rsid w:val="003230DD"/>
    <w:rsid w:val="0032473E"/>
    <w:rsid w:val="00326414"/>
    <w:rsid w:val="00327A0B"/>
    <w:rsid w:val="00340CFC"/>
    <w:rsid w:val="00344B0F"/>
    <w:rsid w:val="0035232D"/>
    <w:rsid w:val="003527D3"/>
    <w:rsid w:val="00352F9E"/>
    <w:rsid w:val="00353210"/>
    <w:rsid w:val="00355942"/>
    <w:rsid w:val="0035784A"/>
    <w:rsid w:val="00367DF5"/>
    <w:rsid w:val="003712FB"/>
    <w:rsid w:val="00372D2C"/>
    <w:rsid w:val="003802F4"/>
    <w:rsid w:val="00385070"/>
    <w:rsid w:val="0038590B"/>
    <w:rsid w:val="003862B1"/>
    <w:rsid w:val="00387202"/>
    <w:rsid w:val="00390638"/>
    <w:rsid w:val="003A124B"/>
    <w:rsid w:val="003A6C36"/>
    <w:rsid w:val="003B1CD5"/>
    <w:rsid w:val="003B2078"/>
    <w:rsid w:val="003B56DD"/>
    <w:rsid w:val="003B5C0C"/>
    <w:rsid w:val="003B5E0A"/>
    <w:rsid w:val="003C458C"/>
    <w:rsid w:val="003C589B"/>
    <w:rsid w:val="003F14F1"/>
    <w:rsid w:val="003F18B1"/>
    <w:rsid w:val="003F3508"/>
    <w:rsid w:val="003F74C4"/>
    <w:rsid w:val="00405158"/>
    <w:rsid w:val="004114E6"/>
    <w:rsid w:val="0041462C"/>
    <w:rsid w:val="00415478"/>
    <w:rsid w:val="0041605B"/>
    <w:rsid w:val="00416523"/>
    <w:rsid w:val="00417032"/>
    <w:rsid w:val="00424A04"/>
    <w:rsid w:val="004348C7"/>
    <w:rsid w:val="00442EDE"/>
    <w:rsid w:val="004438B1"/>
    <w:rsid w:val="00445E50"/>
    <w:rsid w:val="004503FC"/>
    <w:rsid w:val="00454434"/>
    <w:rsid w:val="00454FEB"/>
    <w:rsid w:val="00461423"/>
    <w:rsid w:val="0046272B"/>
    <w:rsid w:val="00463E1F"/>
    <w:rsid w:val="004724CF"/>
    <w:rsid w:val="00484109"/>
    <w:rsid w:val="004858BF"/>
    <w:rsid w:val="004A36AD"/>
    <w:rsid w:val="004A4424"/>
    <w:rsid w:val="004A4D86"/>
    <w:rsid w:val="004A6DDE"/>
    <w:rsid w:val="004A71A3"/>
    <w:rsid w:val="004B08A7"/>
    <w:rsid w:val="004B332A"/>
    <w:rsid w:val="004B457D"/>
    <w:rsid w:val="004B4E3C"/>
    <w:rsid w:val="004B641F"/>
    <w:rsid w:val="004B6C08"/>
    <w:rsid w:val="004B7E1C"/>
    <w:rsid w:val="004C06BF"/>
    <w:rsid w:val="004C19A4"/>
    <w:rsid w:val="004D1776"/>
    <w:rsid w:val="004D2936"/>
    <w:rsid w:val="004D30CE"/>
    <w:rsid w:val="004D6048"/>
    <w:rsid w:val="004D77A6"/>
    <w:rsid w:val="004E030A"/>
    <w:rsid w:val="004E1F78"/>
    <w:rsid w:val="004E20EC"/>
    <w:rsid w:val="004F0E0D"/>
    <w:rsid w:val="00500C06"/>
    <w:rsid w:val="00501404"/>
    <w:rsid w:val="00506151"/>
    <w:rsid w:val="005165C2"/>
    <w:rsid w:val="005173E6"/>
    <w:rsid w:val="005175C9"/>
    <w:rsid w:val="00517B5A"/>
    <w:rsid w:val="00521E64"/>
    <w:rsid w:val="005238F6"/>
    <w:rsid w:val="00523BF3"/>
    <w:rsid w:val="00524DCE"/>
    <w:rsid w:val="00532DB4"/>
    <w:rsid w:val="00533DB9"/>
    <w:rsid w:val="0054425D"/>
    <w:rsid w:val="00551125"/>
    <w:rsid w:val="00557B2B"/>
    <w:rsid w:val="00557E38"/>
    <w:rsid w:val="0056661C"/>
    <w:rsid w:val="00566AD8"/>
    <w:rsid w:val="00576644"/>
    <w:rsid w:val="0058329E"/>
    <w:rsid w:val="00586F54"/>
    <w:rsid w:val="00592F3B"/>
    <w:rsid w:val="0059726B"/>
    <w:rsid w:val="005A2299"/>
    <w:rsid w:val="005A2AB8"/>
    <w:rsid w:val="005A2DC7"/>
    <w:rsid w:val="005A2FE1"/>
    <w:rsid w:val="005A5DBD"/>
    <w:rsid w:val="005A6DB0"/>
    <w:rsid w:val="005B08E8"/>
    <w:rsid w:val="005B0968"/>
    <w:rsid w:val="005B2484"/>
    <w:rsid w:val="005B437E"/>
    <w:rsid w:val="005B79C8"/>
    <w:rsid w:val="005C0F66"/>
    <w:rsid w:val="005D64B1"/>
    <w:rsid w:val="005E46C6"/>
    <w:rsid w:val="005E5AA2"/>
    <w:rsid w:val="005F26F5"/>
    <w:rsid w:val="005F3D59"/>
    <w:rsid w:val="005F5CFB"/>
    <w:rsid w:val="005F6843"/>
    <w:rsid w:val="00600F13"/>
    <w:rsid w:val="00602F14"/>
    <w:rsid w:val="006114F8"/>
    <w:rsid w:val="006133D6"/>
    <w:rsid w:val="00624A2F"/>
    <w:rsid w:val="00627218"/>
    <w:rsid w:val="006321CE"/>
    <w:rsid w:val="00632599"/>
    <w:rsid w:val="00633939"/>
    <w:rsid w:val="0063626C"/>
    <w:rsid w:val="00636D0F"/>
    <w:rsid w:val="00643821"/>
    <w:rsid w:val="00643BDD"/>
    <w:rsid w:val="006506F4"/>
    <w:rsid w:val="006664BB"/>
    <w:rsid w:val="00666EA6"/>
    <w:rsid w:val="00671029"/>
    <w:rsid w:val="00673C3E"/>
    <w:rsid w:val="006766DA"/>
    <w:rsid w:val="006832D9"/>
    <w:rsid w:val="006839A6"/>
    <w:rsid w:val="00691800"/>
    <w:rsid w:val="006919B9"/>
    <w:rsid w:val="006A5B41"/>
    <w:rsid w:val="006B10F0"/>
    <w:rsid w:val="006B25CB"/>
    <w:rsid w:val="006B3395"/>
    <w:rsid w:val="006B4A6E"/>
    <w:rsid w:val="006B705C"/>
    <w:rsid w:val="006C0B84"/>
    <w:rsid w:val="006C5B55"/>
    <w:rsid w:val="006D1431"/>
    <w:rsid w:val="006D232B"/>
    <w:rsid w:val="006D5857"/>
    <w:rsid w:val="006E5C64"/>
    <w:rsid w:val="006F086B"/>
    <w:rsid w:val="006F3846"/>
    <w:rsid w:val="006F7FA4"/>
    <w:rsid w:val="00705C7F"/>
    <w:rsid w:val="00711CE3"/>
    <w:rsid w:val="00714229"/>
    <w:rsid w:val="00714628"/>
    <w:rsid w:val="00722ED2"/>
    <w:rsid w:val="0072695E"/>
    <w:rsid w:val="00731BBB"/>
    <w:rsid w:val="00736777"/>
    <w:rsid w:val="00743B52"/>
    <w:rsid w:val="00750C44"/>
    <w:rsid w:val="0075156F"/>
    <w:rsid w:val="00767BED"/>
    <w:rsid w:val="00774798"/>
    <w:rsid w:val="00774D0D"/>
    <w:rsid w:val="00776997"/>
    <w:rsid w:val="00787044"/>
    <w:rsid w:val="00793037"/>
    <w:rsid w:val="00793B32"/>
    <w:rsid w:val="007A3BA5"/>
    <w:rsid w:val="007A5536"/>
    <w:rsid w:val="007B39F6"/>
    <w:rsid w:val="007B4ACF"/>
    <w:rsid w:val="007B68EF"/>
    <w:rsid w:val="007B6AC6"/>
    <w:rsid w:val="007C04AA"/>
    <w:rsid w:val="007C1691"/>
    <w:rsid w:val="007C2156"/>
    <w:rsid w:val="007C5049"/>
    <w:rsid w:val="007D4DFE"/>
    <w:rsid w:val="007E1866"/>
    <w:rsid w:val="007E530D"/>
    <w:rsid w:val="007E5E07"/>
    <w:rsid w:val="007E6FB5"/>
    <w:rsid w:val="007F03C0"/>
    <w:rsid w:val="007F5C16"/>
    <w:rsid w:val="00801BF5"/>
    <w:rsid w:val="008023C5"/>
    <w:rsid w:val="00806BFC"/>
    <w:rsid w:val="00807207"/>
    <w:rsid w:val="00807C8B"/>
    <w:rsid w:val="008139FB"/>
    <w:rsid w:val="00821784"/>
    <w:rsid w:val="008222FE"/>
    <w:rsid w:val="00830595"/>
    <w:rsid w:val="00833425"/>
    <w:rsid w:val="0083395A"/>
    <w:rsid w:val="00836383"/>
    <w:rsid w:val="00837B91"/>
    <w:rsid w:val="0084150B"/>
    <w:rsid w:val="0084439F"/>
    <w:rsid w:val="0084440D"/>
    <w:rsid w:val="00853900"/>
    <w:rsid w:val="008622BF"/>
    <w:rsid w:val="0086356A"/>
    <w:rsid w:val="00863ACD"/>
    <w:rsid w:val="00864562"/>
    <w:rsid w:val="00867061"/>
    <w:rsid w:val="00867180"/>
    <w:rsid w:val="008704C6"/>
    <w:rsid w:val="0087510E"/>
    <w:rsid w:val="0088589D"/>
    <w:rsid w:val="00886BC4"/>
    <w:rsid w:val="008871FA"/>
    <w:rsid w:val="00891954"/>
    <w:rsid w:val="00893761"/>
    <w:rsid w:val="00896B33"/>
    <w:rsid w:val="00897678"/>
    <w:rsid w:val="008A03B1"/>
    <w:rsid w:val="008A1BAB"/>
    <w:rsid w:val="008A22B7"/>
    <w:rsid w:val="008B1B84"/>
    <w:rsid w:val="008B3930"/>
    <w:rsid w:val="008B395C"/>
    <w:rsid w:val="008B7189"/>
    <w:rsid w:val="008B7672"/>
    <w:rsid w:val="008C02FD"/>
    <w:rsid w:val="008C186E"/>
    <w:rsid w:val="008C4DC0"/>
    <w:rsid w:val="008C5773"/>
    <w:rsid w:val="008D05AE"/>
    <w:rsid w:val="008D1B36"/>
    <w:rsid w:val="008D5258"/>
    <w:rsid w:val="008E3F76"/>
    <w:rsid w:val="008F405D"/>
    <w:rsid w:val="008F5699"/>
    <w:rsid w:val="00903B29"/>
    <w:rsid w:val="00910294"/>
    <w:rsid w:val="009217D0"/>
    <w:rsid w:val="00923F2D"/>
    <w:rsid w:val="00925F89"/>
    <w:rsid w:val="00931045"/>
    <w:rsid w:val="00931474"/>
    <w:rsid w:val="00936056"/>
    <w:rsid w:val="00936308"/>
    <w:rsid w:val="00941CF0"/>
    <w:rsid w:val="00942F72"/>
    <w:rsid w:val="00945EA5"/>
    <w:rsid w:val="009530CD"/>
    <w:rsid w:val="00954FA8"/>
    <w:rsid w:val="00957B05"/>
    <w:rsid w:val="00965C4B"/>
    <w:rsid w:val="00966103"/>
    <w:rsid w:val="00966B6E"/>
    <w:rsid w:val="00976CEB"/>
    <w:rsid w:val="00977451"/>
    <w:rsid w:val="00981CD1"/>
    <w:rsid w:val="00982E37"/>
    <w:rsid w:val="00984293"/>
    <w:rsid w:val="00984484"/>
    <w:rsid w:val="00984F02"/>
    <w:rsid w:val="009864FC"/>
    <w:rsid w:val="009919FA"/>
    <w:rsid w:val="00994603"/>
    <w:rsid w:val="009A0620"/>
    <w:rsid w:val="009A299F"/>
    <w:rsid w:val="009A2A6C"/>
    <w:rsid w:val="009A50D0"/>
    <w:rsid w:val="009B464D"/>
    <w:rsid w:val="009C3DDE"/>
    <w:rsid w:val="009C7CA3"/>
    <w:rsid w:val="009D03C8"/>
    <w:rsid w:val="009E0630"/>
    <w:rsid w:val="009E1E36"/>
    <w:rsid w:val="009E4861"/>
    <w:rsid w:val="009F4215"/>
    <w:rsid w:val="00A03DC9"/>
    <w:rsid w:val="00A21BB3"/>
    <w:rsid w:val="00A22ED5"/>
    <w:rsid w:val="00A2324F"/>
    <w:rsid w:val="00A34096"/>
    <w:rsid w:val="00A37A24"/>
    <w:rsid w:val="00A429E4"/>
    <w:rsid w:val="00A44053"/>
    <w:rsid w:val="00A45749"/>
    <w:rsid w:val="00A52290"/>
    <w:rsid w:val="00A55E50"/>
    <w:rsid w:val="00A561DF"/>
    <w:rsid w:val="00A61C71"/>
    <w:rsid w:val="00A66BAF"/>
    <w:rsid w:val="00A67607"/>
    <w:rsid w:val="00A730BC"/>
    <w:rsid w:val="00A8366E"/>
    <w:rsid w:val="00A860A8"/>
    <w:rsid w:val="00A87F4B"/>
    <w:rsid w:val="00A909A3"/>
    <w:rsid w:val="00A92ECA"/>
    <w:rsid w:val="00A9421D"/>
    <w:rsid w:val="00A96AF4"/>
    <w:rsid w:val="00AB0037"/>
    <w:rsid w:val="00AB1BA6"/>
    <w:rsid w:val="00AB483D"/>
    <w:rsid w:val="00AD26EB"/>
    <w:rsid w:val="00AD587A"/>
    <w:rsid w:val="00B07F0D"/>
    <w:rsid w:val="00B12A41"/>
    <w:rsid w:val="00B13256"/>
    <w:rsid w:val="00B1373C"/>
    <w:rsid w:val="00B200DC"/>
    <w:rsid w:val="00B20FDD"/>
    <w:rsid w:val="00B22E46"/>
    <w:rsid w:val="00B23EEE"/>
    <w:rsid w:val="00B2403C"/>
    <w:rsid w:val="00B25172"/>
    <w:rsid w:val="00B316AC"/>
    <w:rsid w:val="00B330A3"/>
    <w:rsid w:val="00B509A6"/>
    <w:rsid w:val="00B51D93"/>
    <w:rsid w:val="00B54BEA"/>
    <w:rsid w:val="00B573F3"/>
    <w:rsid w:val="00B64078"/>
    <w:rsid w:val="00B65717"/>
    <w:rsid w:val="00B65A01"/>
    <w:rsid w:val="00B67A5B"/>
    <w:rsid w:val="00B70590"/>
    <w:rsid w:val="00B732A6"/>
    <w:rsid w:val="00B73C23"/>
    <w:rsid w:val="00B74B98"/>
    <w:rsid w:val="00B74BF1"/>
    <w:rsid w:val="00B7663F"/>
    <w:rsid w:val="00B76DC8"/>
    <w:rsid w:val="00B77A1C"/>
    <w:rsid w:val="00B879A7"/>
    <w:rsid w:val="00B938F9"/>
    <w:rsid w:val="00B94261"/>
    <w:rsid w:val="00B95286"/>
    <w:rsid w:val="00B969CC"/>
    <w:rsid w:val="00B973CD"/>
    <w:rsid w:val="00BA1187"/>
    <w:rsid w:val="00BA17F6"/>
    <w:rsid w:val="00BA21F3"/>
    <w:rsid w:val="00BA6571"/>
    <w:rsid w:val="00BB0D6C"/>
    <w:rsid w:val="00BB1084"/>
    <w:rsid w:val="00BB3D48"/>
    <w:rsid w:val="00BC0FAB"/>
    <w:rsid w:val="00BC22BE"/>
    <w:rsid w:val="00BC585C"/>
    <w:rsid w:val="00BC5D38"/>
    <w:rsid w:val="00BC7A6D"/>
    <w:rsid w:val="00BD3402"/>
    <w:rsid w:val="00BE2C3D"/>
    <w:rsid w:val="00BE670D"/>
    <w:rsid w:val="00BE6A8D"/>
    <w:rsid w:val="00BF215C"/>
    <w:rsid w:val="00BF587D"/>
    <w:rsid w:val="00BF696B"/>
    <w:rsid w:val="00C0135A"/>
    <w:rsid w:val="00C055C4"/>
    <w:rsid w:val="00C24CAE"/>
    <w:rsid w:val="00C24E0A"/>
    <w:rsid w:val="00C25281"/>
    <w:rsid w:val="00C27BF8"/>
    <w:rsid w:val="00C30BAB"/>
    <w:rsid w:val="00C3506D"/>
    <w:rsid w:val="00C36123"/>
    <w:rsid w:val="00C44224"/>
    <w:rsid w:val="00C50B58"/>
    <w:rsid w:val="00C53FC2"/>
    <w:rsid w:val="00C54360"/>
    <w:rsid w:val="00C56EE3"/>
    <w:rsid w:val="00C57F12"/>
    <w:rsid w:val="00C608A7"/>
    <w:rsid w:val="00C616D5"/>
    <w:rsid w:val="00C654C9"/>
    <w:rsid w:val="00C65833"/>
    <w:rsid w:val="00C678D2"/>
    <w:rsid w:val="00C70472"/>
    <w:rsid w:val="00C70FEC"/>
    <w:rsid w:val="00C72A92"/>
    <w:rsid w:val="00C75850"/>
    <w:rsid w:val="00C800CF"/>
    <w:rsid w:val="00C80799"/>
    <w:rsid w:val="00C82331"/>
    <w:rsid w:val="00C84244"/>
    <w:rsid w:val="00C847D2"/>
    <w:rsid w:val="00C853FE"/>
    <w:rsid w:val="00C9139D"/>
    <w:rsid w:val="00C94CAC"/>
    <w:rsid w:val="00CA24E1"/>
    <w:rsid w:val="00CA51CD"/>
    <w:rsid w:val="00CA54AD"/>
    <w:rsid w:val="00CA5CF5"/>
    <w:rsid w:val="00CA6C8D"/>
    <w:rsid w:val="00CA6C9C"/>
    <w:rsid w:val="00CB032B"/>
    <w:rsid w:val="00CB1720"/>
    <w:rsid w:val="00CB301C"/>
    <w:rsid w:val="00CB3229"/>
    <w:rsid w:val="00CB49A7"/>
    <w:rsid w:val="00CB6823"/>
    <w:rsid w:val="00CD02A5"/>
    <w:rsid w:val="00CD1EE9"/>
    <w:rsid w:val="00CD44D1"/>
    <w:rsid w:val="00CD763A"/>
    <w:rsid w:val="00CE5D40"/>
    <w:rsid w:val="00CF06B0"/>
    <w:rsid w:val="00CF3842"/>
    <w:rsid w:val="00CF52A3"/>
    <w:rsid w:val="00CF5888"/>
    <w:rsid w:val="00D00EE7"/>
    <w:rsid w:val="00D11F49"/>
    <w:rsid w:val="00D12E71"/>
    <w:rsid w:val="00D1346D"/>
    <w:rsid w:val="00D13F47"/>
    <w:rsid w:val="00D145C6"/>
    <w:rsid w:val="00D14A3F"/>
    <w:rsid w:val="00D16EC4"/>
    <w:rsid w:val="00D16FF8"/>
    <w:rsid w:val="00D17B25"/>
    <w:rsid w:val="00D21129"/>
    <w:rsid w:val="00D2150F"/>
    <w:rsid w:val="00D215DF"/>
    <w:rsid w:val="00D22F34"/>
    <w:rsid w:val="00D249F3"/>
    <w:rsid w:val="00D250AD"/>
    <w:rsid w:val="00D25520"/>
    <w:rsid w:val="00D26D66"/>
    <w:rsid w:val="00D33733"/>
    <w:rsid w:val="00D361DF"/>
    <w:rsid w:val="00D45EE4"/>
    <w:rsid w:val="00D467E8"/>
    <w:rsid w:val="00D47DA9"/>
    <w:rsid w:val="00D50F72"/>
    <w:rsid w:val="00D54332"/>
    <w:rsid w:val="00D54475"/>
    <w:rsid w:val="00D6044B"/>
    <w:rsid w:val="00D6159D"/>
    <w:rsid w:val="00D7005E"/>
    <w:rsid w:val="00D80504"/>
    <w:rsid w:val="00D81624"/>
    <w:rsid w:val="00D85D26"/>
    <w:rsid w:val="00D868A0"/>
    <w:rsid w:val="00D933B9"/>
    <w:rsid w:val="00D94721"/>
    <w:rsid w:val="00D959C7"/>
    <w:rsid w:val="00D97370"/>
    <w:rsid w:val="00DA262E"/>
    <w:rsid w:val="00DA70C7"/>
    <w:rsid w:val="00DA7D5C"/>
    <w:rsid w:val="00DB05C4"/>
    <w:rsid w:val="00DB23A9"/>
    <w:rsid w:val="00DB5553"/>
    <w:rsid w:val="00DC5D5C"/>
    <w:rsid w:val="00DC7C2E"/>
    <w:rsid w:val="00DD0BE4"/>
    <w:rsid w:val="00DD219D"/>
    <w:rsid w:val="00DD4958"/>
    <w:rsid w:val="00DD51CC"/>
    <w:rsid w:val="00DD7BD6"/>
    <w:rsid w:val="00DE102B"/>
    <w:rsid w:val="00DF097F"/>
    <w:rsid w:val="00DF16B1"/>
    <w:rsid w:val="00DF269F"/>
    <w:rsid w:val="00DF3AAC"/>
    <w:rsid w:val="00DF4D84"/>
    <w:rsid w:val="00E12783"/>
    <w:rsid w:val="00E13FC7"/>
    <w:rsid w:val="00E1766A"/>
    <w:rsid w:val="00E22E03"/>
    <w:rsid w:val="00E23E01"/>
    <w:rsid w:val="00E25D0A"/>
    <w:rsid w:val="00E2641A"/>
    <w:rsid w:val="00E3142C"/>
    <w:rsid w:val="00E3203C"/>
    <w:rsid w:val="00E32D2F"/>
    <w:rsid w:val="00E35CAB"/>
    <w:rsid w:val="00E370C2"/>
    <w:rsid w:val="00E404C4"/>
    <w:rsid w:val="00E461CD"/>
    <w:rsid w:val="00E4651F"/>
    <w:rsid w:val="00E5301F"/>
    <w:rsid w:val="00E61211"/>
    <w:rsid w:val="00E62889"/>
    <w:rsid w:val="00E64B67"/>
    <w:rsid w:val="00E6562A"/>
    <w:rsid w:val="00E817EE"/>
    <w:rsid w:val="00E8793C"/>
    <w:rsid w:val="00E93034"/>
    <w:rsid w:val="00E93A34"/>
    <w:rsid w:val="00E9570D"/>
    <w:rsid w:val="00E95C44"/>
    <w:rsid w:val="00E96C95"/>
    <w:rsid w:val="00E975F9"/>
    <w:rsid w:val="00EA26A6"/>
    <w:rsid w:val="00EA2770"/>
    <w:rsid w:val="00EA387A"/>
    <w:rsid w:val="00EB5AA7"/>
    <w:rsid w:val="00EB614F"/>
    <w:rsid w:val="00EB6182"/>
    <w:rsid w:val="00EC15B1"/>
    <w:rsid w:val="00EC39FC"/>
    <w:rsid w:val="00EC568D"/>
    <w:rsid w:val="00EC618B"/>
    <w:rsid w:val="00ED4BA9"/>
    <w:rsid w:val="00ED4DEC"/>
    <w:rsid w:val="00ED5633"/>
    <w:rsid w:val="00ED62BD"/>
    <w:rsid w:val="00EE7AE2"/>
    <w:rsid w:val="00EF1AED"/>
    <w:rsid w:val="00F04314"/>
    <w:rsid w:val="00F07989"/>
    <w:rsid w:val="00F1441F"/>
    <w:rsid w:val="00F16A80"/>
    <w:rsid w:val="00F24C05"/>
    <w:rsid w:val="00F261E5"/>
    <w:rsid w:val="00F27DDE"/>
    <w:rsid w:val="00F27EB0"/>
    <w:rsid w:val="00F33FBA"/>
    <w:rsid w:val="00F404EB"/>
    <w:rsid w:val="00F460FF"/>
    <w:rsid w:val="00F4789A"/>
    <w:rsid w:val="00F47B14"/>
    <w:rsid w:val="00F47B64"/>
    <w:rsid w:val="00F47E07"/>
    <w:rsid w:val="00F5034D"/>
    <w:rsid w:val="00F5190D"/>
    <w:rsid w:val="00F5244B"/>
    <w:rsid w:val="00F53A98"/>
    <w:rsid w:val="00F547D5"/>
    <w:rsid w:val="00F54FF8"/>
    <w:rsid w:val="00F552A7"/>
    <w:rsid w:val="00F645AC"/>
    <w:rsid w:val="00F645CE"/>
    <w:rsid w:val="00F77810"/>
    <w:rsid w:val="00F87112"/>
    <w:rsid w:val="00F878D0"/>
    <w:rsid w:val="00F91010"/>
    <w:rsid w:val="00FA08E4"/>
    <w:rsid w:val="00FA27BC"/>
    <w:rsid w:val="00FA2B3F"/>
    <w:rsid w:val="00FB248C"/>
    <w:rsid w:val="00FD00A0"/>
    <w:rsid w:val="00FD0305"/>
    <w:rsid w:val="00FD0EB5"/>
    <w:rsid w:val="00FD1AA8"/>
    <w:rsid w:val="00FD1C8B"/>
    <w:rsid w:val="00FD3A3C"/>
    <w:rsid w:val="00FD7276"/>
    <w:rsid w:val="00FE4619"/>
    <w:rsid w:val="00FF257A"/>
    <w:rsid w:val="00FF4459"/>
    <w:rsid w:val="00FF5846"/>
    <w:rsid w:val="010896FF"/>
    <w:rsid w:val="025E6FF6"/>
    <w:rsid w:val="06F5B0BF"/>
    <w:rsid w:val="072D9E12"/>
    <w:rsid w:val="0DEB39AE"/>
    <w:rsid w:val="0F17BCAA"/>
    <w:rsid w:val="14734E36"/>
    <w:rsid w:val="149BBD0F"/>
    <w:rsid w:val="1680F438"/>
    <w:rsid w:val="1C6DE5DE"/>
    <w:rsid w:val="36909EC9"/>
    <w:rsid w:val="4F0FF53A"/>
    <w:rsid w:val="537B0A96"/>
    <w:rsid w:val="54372070"/>
    <w:rsid w:val="5583085A"/>
    <w:rsid w:val="590E11A4"/>
    <w:rsid w:val="650D46C5"/>
    <w:rsid w:val="689F08DF"/>
    <w:rsid w:val="6A221444"/>
    <w:rsid w:val="6D2B1FC8"/>
    <w:rsid w:val="6EAFF572"/>
    <w:rsid w:val="763CCDD5"/>
    <w:rsid w:val="7F0CD2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07"/>
    <w:pPr>
      <w:spacing w:before="142" w:line="280" w:lineRule="exact"/>
    </w:pPr>
    <w:rPr>
      <w:sz w:val="22"/>
    </w:rPr>
  </w:style>
  <w:style w:type="paragraph" w:styleId="Heading1">
    <w:name w:val="heading 1"/>
    <w:basedOn w:val="Normal"/>
    <w:next w:val="Normal"/>
    <w:link w:val="Heading1Char"/>
    <w:uiPriority w:val="9"/>
    <w:qFormat/>
    <w:rsid w:val="007C2156"/>
    <w:pPr>
      <w:keepNext/>
      <w:keepLines/>
      <w:spacing w:before="480" w:line="600" w:lineRule="exact"/>
      <w:ind w:right="3402"/>
      <w:outlineLvl w:val="0"/>
    </w:pPr>
    <w:rPr>
      <w:rFonts w:asciiTheme="minorHAnsi" w:eastAsiaTheme="majorEastAsia" w:hAnsiTheme="minorHAnsi" w:cstheme="majorBidi"/>
      <w:b/>
      <w:bCs/>
      <w:color w:val="002760" w:themeColor="accent1"/>
      <w:sz w:val="56"/>
      <w:szCs w:val="56"/>
    </w:rPr>
  </w:style>
  <w:style w:type="paragraph" w:styleId="Heading2">
    <w:name w:val="heading 2"/>
    <w:aliases w:val="Heading 2 - intro para"/>
    <w:basedOn w:val="Normal"/>
    <w:next w:val="Normal"/>
    <w:link w:val="Heading2Char"/>
    <w:uiPriority w:val="9"/>
    <w:unhideWhenUsed/>
    <w:qFormat/>
    <w:rsid w:val="00C9139D"/>
    <w:pPr>
      <w:pBdr>
        <w:bottom w:val="single" w:sz="8" w:space="6" w:color="13727B"/>
      </w:pBdr>
      <w:spacing w:after="120" w:line="240" w:lineRule="auto"/>
      <w:ind w:right="2268"/>
      <w:outlineLvl w:val="1"/>
    </w:pPr>
    <w:rPr>
      <w:rFonts w:ascii="Calibri Light" w:hAnsi="Calibri Light"/>
      <w:b/>
      <w:bCs/>
      <w:color w:val="13727B"/>
      <w:sz w:val="28"/>
      <w:szCs w:val="28"/>
    </w:rPr>
  </w:style>
  <w:style w:type="paragraph" w:styleId="Heading3">
    <w:name w:val="heading 3"/>
    <w:basedOn w:val="Normal"/>
    <w:next w:val="Normal"/>
    <w:link w:val="Heading3Char"/>
    <w:uiPriority w:val="9"/>
    <w:unhideWhenUsed/>
    <w:qFormat/>
    <w:rsid w:val="002E3302"/>
    <w:pPr>
      <w:keepNext/>
      <w:keepLines/>
      <w:spacing w:before="397" w:after="57" w:line="400" w:lineRule="exact"/>
      <w:outlineLvl w:val="2"/>
    </w:pPr>
    <w:rPr>
      <w:rFonts w:eastAsiaTheme="majorEastAsia" w:cstheme="majorBidi"/>
      <w:bCs/>
      <w:color w:val="1D2C5D"/>
      <w:sz w:val="32"/>
    </w:rPr>
  </w:style>
  <w:style w:type="paragraph" w:styleId="Heading4">
    <w:name w:val="heading 4"/>
    <w:basedOn w:val="Normal"/>
    <w:next w:val="Normal"/>
    <w:link w:val="Heading4Char"/>
    <w:uiPriority w:val="9"/>
    <w:unhideWhenUsed/>
    <w:qFormat/>
    <w:rsid w:val="002E3302"/>
    <w:pPr>
      <w:keepNext/>
      <w:keepLines/>
      <w:spacing w:before="397" w:line="290" w:lineRule="exact"/>
      <w:outlineLvl w:val="3"/>
    </w:pPr>
    <w:rPr>
      <w:rFonts w:eastAsiaTheme="majorEastAsia" w:cstheme="majorBidi"/>
      <w:bCs/>
      <w:iCs/>
      <w:color w:val="1D2C5D"/>
      <w:sz w:val="23"/>
    </w:rPr>
  </w:style>
  <w:style w:type="paragraph" w:styleId="Heading5">
    <w:name w:val="heading 5"/>
    <w:basedOn w:val="Normal"/>
    <w:next w:val="Normal"/>
    <w:link w:val="Heading5Char"/>
    <w:uiPriority w:val="9"/>
    <w:semiHidden/>
    <w:unhideWhenUsed/>
    <w:qFormat/>
    <w:rsid w:val="002E3302"/>
    <w:pPr>
      <w:keepNext/>
      <w:keepLines/>
      <w:spacing w:before="40"/>
      <w:outlineLvl w:val="4"/>
    </w:pPr>
    <w:rPr>
      <w:rFonts w:asciiTheme="majorHAnsi" w:eastAsiaTheme="majorEastAsia" w:hAnsiTheme="majorHAnsi" w:cstheme="majorBidi"/>
      <w:color w:val="3B56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BC4"/>
    <w:pPr>
      <w:tabs>
        <w:tab w:val="center" w:pos="4513"/>
        <w:tab w:val="right" w:pos="9026"/>
      </w:tabs>
    </w:pPr>
  </w:style>
  <w:style w:type="character" w:customStyle="1" w:styleId="HeaderChar">
    <w:name w:val="Header Char"/>
    <w:basedOn w:val="DefaultParagraphFont"/>
    <w:link w:val="Header"/>
    <w:uiPriority w:val="99"/>
    <w:rsid w:val="00886BC4"/>
  </w:style>
  <w:style w:type="paragraph" w:styleId="Footer">
    <w:name w:val="footer"/>
    <w:basedOn w:val="Normal"/>
    <w:link w:val="FooterChar"/>
    <w:uiPriority w:val="99"/>
    <w:unhideWhenUsed/>
    <w:rsid w:val="0008022D"/>
    <w:pPr>
      <w:tabs>
        <w:tab w:val="right" w:pos="9638"/>
      </w:tabs>
    </w:pPr>
    <w:rPr>
      <w:color w:val="FFFFFF" w:themeColor="background1"/>
      <w:sz w:val="16"/>
    </w:rPr>
  </w:style>
  <w:style w:type="character" w:customStyle="1" w:styleId="FooterChar">
    <w:name w:val="Footer Char"/>
    <w:basedOn w:val="DefaultParagraphFont"/>
    <w:link w:val="Footer"/>
    <w:uiPriority w:val="99"/>
    <w:rsid w:val="0008022D"/>
    <w:rPr>
      <w:color w:val="FFFFFF" w:themeColor="background1"/>
      <w:sz w:val="16"/>
    </w:rPr>
  </w:style>
  <w:style w:type="character" w:customStyle="1" w:styleId="Heading1Char">
    <w:name w:val="Heading 1 Char"/>
    <w:basedOn w:val="DefaultParagraphFont"/>
    <w:link w:val="Heading1"/>
    <w:uiPriority w:val="9"/>
    <w:rsid w:val="007C2156"/>
    <w:rPr>
      <w:rFonts w:asciiTheme="minorHAnsi" w:eastAsiaTheme="majorEastAsia" w:hAnsiTheme="minorHAnsi" w:cstheme="majorBidi"/>
      <w:b/>
      <w:bCs/>
      <w:color w:val="002760" w:themeColor="accent1"/>
      <w:sz w:val="56"/>
      <w:szCs w:val="56"/>
    </w:rPr>
  </w:style>
  <w:style w:type="paragraph" w:customStyle="1" w:styleId="Bullet">
    <w:name w:val="Bullet"/>
    <w:basedOn w:val="Normal"/>
    <w:link w:val="BulletChar"/>
    <w:qFormat/>
    <w:rsid w:val="00807207"/>
    <w:pPr>
      <w:numPr>
        <w:numId w:val="1"/>
      </w:numPr>
    </w:pPr>
  </w:style>
  <w:style w:type="character" w:customStyle="1" w:styleId="BulletChar">
    <w:name w:val="Bullet Char"/>
    <w:basedOn w:val="DefaultParagraphFont"/>
    <w:link w:val="Bullet"/>
    <w:rsid w:val="00807207"/>
    <w:rPr>
      <w:sz w:val="22"/>
    </w:rPr>
  </w:style>
  <w:style w:type="paragraph" w:customStyle="1" w:styleId="Dash">
    <w:name w:val="Dash"/>
    <w:basedOn w:val="Normal"/>
    <w:link w:val="DashChar"/>
    <w:qFormat/>
    <w:rsid w:val="00886BC4"/>
    <w:pPr>
      <w:numPr>
        <w:ilvl w:val="1"/>
        <w:numId w:val="1"/>
      </w:numPr>
    </w:pPr>
  </w:style>
  <w:style w:type="character" w:customStyle="1" w:styleId="DashChar">
    <w:name w:val="Dash Char"/>
    <w:basedOn w:val="DefaultParagraphFont"/>
    <w:link w:val="Dash"/>
    <w:rsid w:val="00886BC4"/>
    <w:rPr>
      <w:sz w:val="22"/>
    </w:rPr>
  </w:style>
  <w:style w:type="paragraph" w:customStyle="1" w:styleId="DoubleDot">
    <w:name w:val="Double Dot"/>
    <w:basedOn w:val="Normal"/>
    <w:link w:val="DoubleDotChar"/>
    <w:qFormat/>
    <w:rsid w:val="00886BC4"/>
    <w:pPr>
      <w:numPr>
        <w:ilvl w:val="2"/>
        <w:numId w:val="1"/>
      </w:numPr>
    </w:pPr>
  </w:style>
  <w:style w:type="character" w:customStyle="1" w:styleId="DoubleDotChar">
    <w:name w:val="Double Dot Char"/>
    <w:basedOn w:val="DefaultParagraphFont"/>
    <w:link w:val="DoubleDot"/>
    <w:rsid w:val="00886BC4"/>
    <w:rPr>
      <w:sz w:val="22"/>
    </w:rPr>
  </w:style>
  <w:style w:type="paragraph" w:styleId="BalloonText">
    <w:name w:val="Balloon Text"/>
    <w:basedOn w:val="Normal"/>
    <w:link w:val="BalloonTextChar"/>
    <w:uiPriority w:val="99"/>
    <w:semiHidden/>
    <w:unhideWhenUsed/>
    <w:rsid w:val="00627218"/>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hAnsi="Tahoma" w:cs="Tahoma"/>
      <w:sz w:val="16"/>
      <w:szCs w:val="16"/>
    </w:rPr>
  </w:style>
  <w:style w:type="character" w:customStyle="1" w:styleId="Heading2Char">
    <w:name w:val="Heading 2 Char"/>
    <w:aliases w:val="Heading 2 - intro para Char"/>
    <w:basedOn w:val="DefaultParagraphFont"/>
    <w:link w:val="Heading2"/>
    <w:uiPriority w:val="9"/>
    <w:rsid w:val="00C9139D"/>
    <w:rPr>
      <w:rFonts w:ascii="Calibri Light" w:hAnsi="Calibri Light"/>
      <w:b/>
      <w:bCs/>
      <w:color w:val="13727B"/>
      <w:sz w:val="28"/>
      <w:szCs w:val="28"/>
    </w:rPr>
  </w:style>
  <w:style w:type="character" w:customStyle="1" w:styleId="Heading3Char">
    <w:name w:val="Heading 3 Char"/>
    <w:basedOn w:val="DefaultParagraphFont"/>
    <w:link w:val="Heading3"/>
    <w:uiPriority w:val="9"/>
    <w:rsid w:val="002E3302"/>
    <w:rPr>
      <w:rFonts w:eastAsiaTheme="majorEastAsia" w:cstheme="majorBidi"/>
      <w:bCs/>
      <w:color w:val="1D2C5D"/>
      <w:sz w:val="32"/>
    </w:rPr>
  </w:style>
  <w:style w:type="character" w:customStyle="1" w:styleId="Heading4Char">
    <w:name w:val="Heading 4 Char"/>
    <w:basedOn w:val="DefaultParagraphFont"/>
    <w:link w:val="Heading4"/>
    <w:uiPriority w:val="9"/>
    <w:rsid w:val="002E3302"/>
    <w:rPr>
      <w:rFonts w:eastAsiaTheme="majorEastAsia" w:cstheme="majorBidi"/>
      <w:bCs/>
      <w:iCs/>
      <w:color w:val="1D2C5D"/>
      <w:sz w:val="23"/>
    </w:rPr>
  </w:style>
  <w:style w:type="table" w:styleId="TableGrid">
    <w:name w:val="Table Grid"/>
    <w:basedOn w:val="TableNormal"/>
    <w:uiPriority w:val="59"/>
    <w:rsid w:val="00CD02A5"/>
    <w:tblPr>
      <w:tblBorders>
        <w:top w:val="single" w:sz="2" w:space="0" w:color="001C47" w:themeColor="accent1" w:themeShade="BF"/>
        <w:left w:val="single" w:sz="2" w:space="0" w:color="001C47" w:themeColor="accent1" w:themeShade="BF"/>
        <w:bottom w:val="single" w:sz="2" w:space="0" w:color="001C47" w:themeColor="accent1" w:themeShade="BF"/>
        <w:right w:val="single" w:sz="2" w:space="0" w:color="001C47" w:themeColor="accent1" w:themeShade="BF"/>
        <w:insideH w:val="single" w:sz="2" w:space="0" w:color="001C47" w:themeColor="accent1" w:themeShade="BF"/>
        <w:insideV w:val="single" w:sz="2" w:space="0" w:color="001C47" w:themeColor="accent1" w:themeShade="BF"/>
      </w:tblBorders>
    </w:tblPr>
    <w:tblStylePr w:type="firstRow">
      <w:rPr>
        <w:rFonts w:ascii="Calibri" w:hAnsi="Calibri"/>
        <w:b/>
        <w:i w:val="0"/>
        <w:color w:val="FFFFFF" w:themeColor="background1"/>
        <w:sz w:val="20"/>
      </w:rPr>
      <w:tblPr/>
      <w:tcPr>
        <w:shd w:val="clear" w:color="auto" w:fill="001C47" w:themeFill="accent1" w:themeFillShade="BF"/>
      </w:tcPr>
    </w:tblStylePr>
  </w:style>
  <w:style w:type="table" w:styleId="TableGridLight">
    <w:name w:val="Grid Table Light"/>
    <w:basedOn w:val="TableNormal"/>
    <w:uiPriority w:val="40"/>
    <w:rsid w:val="004841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2F4C2D"/>
  </w:style>
  <w:style w:type="paragraph" w:customStyle="1" w:styleId="PullQuote">
    <w:name w:val="Pull Quote"/>
    <w:basedOn w:val="Normal"/>
    <w:uiPriority w:val="99"/>
    <w:rsid w:val="00774798"/>
    <w:pPr>
      <w:keepNext/>
      <w:suppressAutoHyphens/>
      <w:autoSpaceDE w:val="0"/>
      <w:autoSpaceDN w:val="0"/>
      <w:adjustRightInd w:val="0"/>
      <w:spacing w:before="272" w:after="88" w:line="350" w:lineRule="atLeast"/>
      <w:jc w:val="center"/>
      <w:textAlignment w:val="center"/>
    </w:pPr>
    <w:rPr>
      <w:rFonts w:asciiTheme="minorHAnsi" w:hAnsiTheme="minorHAnsi" w:cs="Noto Sans"/>
      <w:color w:val="FFFFFF"/>
      <w:sz w:val="28"/>
      <w:szCs w:val="28"/>
      <w:lang w:val="en-GB"/>
    </w:rPr>
  </w:style>
  <w:style w:type="character" w:styleId="Hyperlink">
    <w:name w:val="Hyperlink"/>
    <w:basedOn w:val="DefaultParagraphFont"/>
    <w:uiPriority w:val="99"/>
    <w:unhideWhenUsed/>
    <w:rsid w:val="00E96C95"/>
    <w:rPr>
      <w:color w:val="0000FF"/>
      <w:u w:val="single"/>
    </w:rPr>
  </w:style>
  <w:style w:type="paragraph" w:customStyle="1" w:styleId="IntroHeading">
    <w:name w:val="Intro Heading"/>
    <w:basedOn w:val="Heading3"/>
    <w:qFormat/>
    <w:rsid w:val="00807207"/>
    <w:rPr>
      <w:sz w:val="28"/>
    </w:rPr>
  </w:style>
  <w:style w:type="paragraph" w:customStyle="1" w:styleId="TableFont">
    <w:name w:val="Table Font"/>
    <w:basedOn w:val="Normal"/>
    <w:qFormat/>
    <w:rsid w:val="00BC0FAB"/>
    <w:pPr>
      <w:spacing w:before="120" w:after="120" w:line="259" w:lineRule="auto"/>
    </w:pPr>
    <w:rPr>
      <w:rFonts w:eastAsia="Calibri" w:cs="Calibri"/>
      <w:sz w:val="18"/>
      <w:szCs w:val="18"/>
    </w:rPr>
  </w:style>
  <w:style w:type="table" w:styleId="PlainTable3">
    <w:name w:val="Plain Table 3"/>
    <w:basedOn w:val="TableNormal"/>
    <w:uiPriority w:val="43"/>
    <w:rsid w:val="00BC0F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ubtleEmphasis">
    <w:name w:val="Subtle Emphasis"/>
    <w:basedOn w:val="DefaultParagraphFont"/>
    <w:uiPriority w:val="19"/>
    <w:qFormat/>
    <w:rsid w:val="00722ED2"/>
    <w:rPr>
      <w:rFonts w:asciiTheme="minorHAnsi" w:hAnsiTheme="minorHAnsi"/>
    </w:rPr>
  </w:style>
  <w:style w:type="character" w:customStyle="1" w:styleId="Heading5Char">
    <w:name w:val="Heading 5 Char"/>
    <w:basedOn w:val="DefaultParagraphFont"/>
    <w:link w:val="Heading5"/>
    <w:uiPriority w:val="9"/>
    <w:semiHidden/>
    <w:rsid w:val="002E3302"/>
    <w:rPr>
      <w:rFonts w:asciiTheme="majorHAnsi" w:eastAsiaTheme="majorEastAsia" w:hAnsiTheme="majorHAnsi" w:cstheme="majorBidi"/>
      <w:color w:val="3B56A6"/>
      <w:sz w:val="22"/>
    </w:rPr>
  </w:style>
  <w:style w:type="paragraph" w:customStyle="1" w:styleId="BoxHeading">
    <w:name w:val="Box Heading"/>
    <w:basedOn w:val="Normal"/>
    <w:qFormat/>
    <w:rsid w:val="00E4651F"/>
    <w:pPr>
      <w:spacing w:before="120"/>
    </w:pPr>
    <w:rPr>
      <w:rFonts w:ascii="Calibri Light" w:hAnsi="Calibri Light"/>
      <w:b/>
      <w:color w:val="002760" w:themeColor="accent1"/>
      <w:sz w:val="28"/>
    </w:rPr>
  </w:style>
  <w:style w:type="paragraph" w:customStyle="1" w:styleId="BoxText">
    <w:name w:val="Box Text"/>
    <w:basedOn w:val="Normal"/>
    <w:qFormat/>
    <w:rsid w:val="00C80799"/>
    <w:rPr>
      <w:rFonts w:ascii="Calibri Light" w:hAnsi="Calibri Light"/>
    </w:rPr>
  </w:style>
  <w:style w:type="paragraph" w:customStyle="1" w:styleId="Boxbullet">
    <w:name w:val="Box bullet"/>
    <w:basedOn w:val="Bullet"/>
    <w:rsid w:val="00C80799"/>
    <w:pPr>
      <w:numPr>
        <w:numId w:val="3"/>
      </w:numPr>
      <w:spacing w:before="120" w:after="60" w:line="276" w:lineRule="auto"/>
      <w:ind w:left="170" w:hanging="170"/>
    </w:pPr>
    <w:rPr>
      <w:rFonts w:ascii="Calibri Light" w:eastAsia="Times New Roman" w:hAnsi="Calibri Light"/>
      <w:color w:val="0D0D0D" w:themeColor="text1" w:themeTint="F2"/>
      <w:lang w:eastAsia="en-AU"/>
    </w:rPr>
  </w:style>
  <w:style w:type="paragraph" w:customStyle="1" w:styleId="Boxdash">
    <w:name w:val="Box dash"/>
    <w:basedOn w:val="Dash"/>
    <w:rsid w:val="00C80799"/>
    <w:pPr>
      <w:tabs>
        <w:tab w:val="clear" w:pos="804"/>
        <w:tab w:val="num" w:pos="1040"/>
      </w:tabs>
      <w:spacing w:before="0" w:after="60" w:line="276" w:lineRule="auto"/>
      <w:ind w:left="397" w:hanging="170"/>
    </w:pPr>
    <w:rPr>
      <w:rFonts w:ascii="Calibri Light" w:hAnsi="Calibri Light"/>
      <w:color w:val="0D0D0D" w:themeColor="text1" w:themeTint="F2"/>
      <w:lang w:eastAsia="en-AU"/>
    </w:rPr>
  </w:style>
  <w:style w:type="paragraph" w:styleId="Revision">
    <w:name w:val="Revision"/>
    <w:hidden/>
    <w:uiPriority w:val="99"/>
    <w:semiHidden/>
    <w:rsid w:val="00807C8B"/>
    <w:rPr>
      <w:sz w:val="22"/>
    </w:rPr>
  </w:style>
  <w:style w:type="character" w:styleId="CommentReference">
    <w:name w:val="annotation reference"/>
    <w:basedOn w:val="DefaultParagraphFont"/>
    <w:uiPriority w:val="99"/>
    <w:semiHidden/>
    <w:unhideWhenUsed/>
    <w:rsid w:val="00897678"/>
    <w:rPr>
      <w:sz w:val="16"/>
      <w:szCs w:val="16"/>
    </w:rPr>
  </w:style>
  <w:style w:type="paragraph" w:styleId="CommentText">
    <w:name w:val="annotation text"/>
    <w:basedOn w:val="Normal"/>
    <w:link w:val="CommentTextChar"/>
    <w:uiPriority w:val="99"/>
    <w:unhideWhenUsed/>
    <w:rsid w:val="00897678"/>
    <w:pPr>
      <w:spacing w:line="240" w:lineRule="auto"/>
    </w:pPr>
    <w:rPr>
      <w:sz w:val="20"/>
    </w:rPr>
  </w:style>
  <w:style w:type="character" w:customStyle="1" w:styleId="CommentTextChar">
    <w:name w:val="Comment Text Char"/>
    <w:basedOn w:val="DefaultParagraphFont"/>
    <w:link w:val="CommentText"/>
    <w:uiPriority w:val="99"/>
    <w:rsid w:val="00897678"/>
  </w:style>
  <w:style w:type="paragraph" w:styleId="CommentSubject">
    <w:name w:val="annotation subject"/>
    <w:basedOn w:val="CommentText"/>
    <w:next w:val="CommentText"/>
    <w:link w:val="CommentSubjectChar"/>
    <w:uiPriority w:val="99"/>
    <w:semiHidden/>
    <w:unhideWhenUsed/>
    <w:rsid w:val="00897678"/>
    <w:rPr>
      <w:b/>
      <w:bCs/>
    </w:rPr>
  </w:style>
  <w:style w:type="character" w:customStyle="1" w:styleId="CommentSubjectChar">
    <w:name w:val="Comment Subject Char"/>
    <w:basedOn w:val="CommentTextChar"/>
    <w:link w:val="CommentSubject"/>
    <w:uiPriority w:val="99"/>
    <w:semiHidden/>
    <w:rsid w:val="00897678"/>
    <w:rPr>
      <w:b/>
      <w:bCs/>
    </w:rPr>
  </w:style>
  <w:style w:type="character" w:styleId="UnresolvedMention">
    <w:name w:val="Unresolved Mention"/>
    <w:basedOn w:val="DefaultParagraphFont"/>
    <w:uiPriority w:val="99"/>
    <w:semiHidden/>
    <w:unhideWhenUsed/>
    <w:rsid w:val="00731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9117">
      <w:bodyDiv w:val="1"/>
      <w:marLeft w:val="0"/>
      <w:marRight w:val="0"/>
      <w:marTop w:val="0"/>
      <w:marBottom w:val="0"/>
      <w:divBdr>
        <w:top w:val="none" w:sz="0" w:space="0" w:color="auto"/>
        <w:left w:val="none" w:sz="0" w:space="0" w:color="auto"/>
        <w:bottom w:val="none" w:sz="0" w:space="0" w:color="auto"/>
        <w:right w:val="none" w:sz="0" w:space="0" w:color="auto"/>
      </w:divBdr>
    </w:div>
    <w:div w:id="13035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CDRRules@treasury.gov.au"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onsumer Data Right">
      <a:dk1>
        <a:sysClr val="windowText" lastClr="000000"/>
      </a:dk1>
      <a:lt1>
        <a:sysClr val="window" lastClr="FFFFFF"/>
      </a:lt1>
      <a:dk2>
        <a:srgbClr val="003591"/>
      </a:dk2>
      <a:lt2>
        <a:srgbClr val="D5D6D2"/>
      </a:lt2>
      <a:accent1>
        <a:srgbClr val="002760"/>
      </a:accent1>
      <a:accent2>
        <a:srgbClr val="0D45D6"/>
      </a:accent2>
      <a:accent3>
        <a:srgbClr val="1FC296"/>
      </a:accent3>
      <a:accent4>
        <a:srgbClr val="7F7F7F"/>
      </a:accent4>
      <a:accent5>
        <a:srgbClr val="FFC502"/>
      </a:accent5>
      <a:accent6>
        <a:srgbClr val="FF76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Information sheet: Expanding the CDR to non-bank lending and narrowing the scope of CDR data in banking</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Expanding the CDR to non-bank lending and narrowing the scope of CDR data in banking</dc:title>
  <dc:subject/>
  <dc:creator/>
  <cp:keywords/>
  <cp:lastModifiedBy/>
  <cp:revision>1</cp:revision>
  <dcterms:created xsi:type="dcterms:W3CDTF">2024-11-25T23:39:00Z</dcterms:created>
  <dcterms:modified xsi:type="dcterms:W3CDTF">2024-11-25T23:41:00Z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2024-11-25T23:41:20Z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7af7f533-ccd4-45b8-b34c-48e6b6daf297</vt:lpwstr>
  </property>
  <property fmtid="{D5CDD505-2E9C-101B-9397-08002B2CF9AE}" pid="8" name="MSIP_Label_4f932d64-9ab1-4d9b-81d2-a3a8b82dd47d_ContentBits">
    <vt:lpwstr>0</vt:lpwstr>
  </property>
</Properties>
</file>