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D4AE" w14:textId="34739AB0" w:rsidR="00986A46" w:rsidRPr="006E76BE" w:rsidRDefault="00BD2AFA" w:rsidP="00300C95">
      <w:pPr>
        <w:pStyle w:val="Factsheettitle"/>
        <w:spacing w:before="1440"/>
      </w:pPr>
      <w:r>
        <w:t xml:space="preserve">Expanding the CDR to non-bank lending and </w:t>
      </w:r>
      <w:r w:rsidR="45FED3BB">
        <w:t>narrowing</w:t>
      </w:r>
      <w:r>
        <w:t xml:space="preserve"> the scope of CDR </w:t>
      </w:r>
      <w:r w:rsidR="04B195B3">
        <w:t xml:space="preserve">data </w:t>
      </w:r>
      <w:r>
        <w:t>in banking</w:t>
      </w:r>
    </w:p>
    <w:tbl>
      <w:tblPr>
        <w:tblStyle w:val="TableGrid"/>
        <w:tblW w:w="0" w:type="auto"/>
        <w:tblBorders>
          <w:top w:val="none" w:sz="0" w:space="0" w:color="auto"/>
          <w:left w:val="none" w:sz="0" w:space="0" w:color="auto"/>
          <w:bottom w:val="single" w:sz="12" w:space="0" w:color="002760"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1ACD4A28" w14:textId="77777777" w:rsidTr="00FC2E34">
        <w:tc>
          <w:tcPr>
            <w:tcW w:w="8498" w:type="dxa"/>
            <w:shd w:val="clear" w:color="auto" w:fill="auto"/>
          </w:tcPr>
          <w:p w14:paraId="1700F540" w14:textId="3536ABAD" w:rsidR="00FC2E34" w:rsidRPr="00E847A7" w:rsidRDefault="00814FFE" w:rsidP="00E847A7">
            <w:pPr>
              <w:pStyle w:val="Introtext"/>
            </w:pPr>
            <w:r>
              <w:t xml:space="preserve">Treasury analysis of </w:t>
            </w:r>
            <w:r w:rsidR="004807A8">
              <w:t xml:space="preserve">the </w:t>
            </w:r>
            <w:r w:rsidR="00053773">
              <w:t>u</w:t>
            </w:r>
            <w:r w:rsidR="00B54FE4">
              <w:t>pdate</w:t>
            </w:r>
            <w:r w:rsidR="00053773">
              <w:t>d rules and the</w:t>
            </w:r>
            <w:r w:rsidR="00BD2AFA">
              <w:t xml:space="preserve"> privacy impact assessment – November 2024</w:t>
            </w:r>
          </w:p>
        </w:tc>
      </w:tr>
    </w:tbl>
    <w:p w14:paraId="76CC1BED" w14:textId="77777777" w:rsidR="00BD2AFA" w:rsidRDefault="00BD2AFA" w:rsidP="00BD2AFA">
      <w:pPr>
        <w:spacing w:before="0" w:after="0"/>
      </w:pPr>
    </w:p>
    <w:p w14:paraId="75289B5F" w14:textId="32D8EA2C" w:rsidR="00BD2AFA" w:rsidRDefault="00BD2AFA" w:rsidP="00673A94">
      <w:pPr>
        <w:spacing w:before="0" w:after="0"/>
        <w:jc w:val="both"/>
      </w:pPr>
      <w:r w:rsidDel="00D47CA0">
        <w:t xml:space="preserve">Treasury </w:t>
      </w:r>
      <w:r>
        <w:t xml:space="preserve">is consulting on draft amendments to the </w:t>
      </w:r>
      <w:r w:rsidRPr="00BD2AFA">
        <w:rPr>
          <w:i/>
          <w:iCs/>
        </w:rPr>
        <w:t xml:space="preserve">Competition and Consumer (Consumer Data Right) Rules 2020 </w:t>
      </w:r>
      <w:r w:rsidRPr="00BD2AFA">
        <w:t>(</w:t>
      </w:r>
      <w:r w:rsidRPr="00673A94">
        <w:rPr>
          <w:b/>
          <w:bCs/>
        </w:rPr>
        <w:t>CDR Rules</w:t>
      </w:r>
      <w:r w:rsidRPr="00BD2AFA">
        <w:t xml:space="preserve">) </w:t>
      </w:r>
      <w:r>
        <w:t xml:space="preserve">to expand the Consumer Data Right (CDR) to Australia’s non-bank lending sector and </w:t>
      </w:r>
      <w:r w:rsidR="00724BAC">
        <w:t xml:space="preserve">narrow </w:t>
      </w:r>
      <w:r>
        <w:t xml:space="preserve">the scope of CDR </w:t>
      </w:r>
      <w:r w:rsidR="00724BAC">
        <w:t xml:space="preserve">data </w:t>
      </w:r>
      <w:r>
        <w:t xml:space="preserve">in banking. </w:t>
      </w:r>
    </w:p>
    <w:p w14:paraId="31DD7922" w14:textId="77777777" w:rsidR="00BD2AFA" w:rsidRDefault="00BD2AFA" w:rsidP="00673A94">
      <w:pPr>
        <w:spacing w:before="0" w:after="0"/>
        <w:jc w:val="both"/>
      </w:pPr>
    </w:p>
    <w:p w14:paraId="187CDD4E" w14:textId="252A14AD" w:rsidR="00BD2AFA" w:rsidRDefault="00BD2AFA" w:rsidP="00673A94">
      <w:pPr>
        <w:spacing w:before="0" w:after="0"/>
        <w:jc w:val="both"/>
      </w:pPr>
      <w:r>
        <w:t xml:space="preserve">In 2023, Treasury released a </w:t>
      </w:r>
      <w:r w:rsidR="4B6320BE">
        <w:t xml:space="preserve">supplementary </w:t>
      </w:r>
      <w:r>
        <w:t>privacy impact assessment (</w:t>
      </w:r>
      <w:r w:rsidRPr="00673A94">
        <w:rPr>
          <w:b/>
          <w:bCs/>
        </w:rPr>
        <w:t>PIA</w:t>
      </w:r>
      <w:r>
        <w:t xml:space="preserve">) prepared for Treasury for public consultation, in relation to </w:t>
      </w:r>
      <w:r w:rsidR="00673A94">
        <w:t xml:space="preserve">draft </w:t>
      </w:r>
      <w:r>
        <w:t xml:space="preserve">CDR Rules for </w:t>
      </w:r>
      <w:r w:rsidR="00673A94">
        <w:t>non-bank lending</w:t>
      </w:r>
      <w:r>
        <w:t>.</w:t>
      </w:r>
      <w:r w:rsidR="004860C7">
        <w:rPr>
          <w:rStyle w:val="FootnoteReference"/>
        </w:rPr>
        <w:footnoteReference w:id="2"/>
      </w:r>
      <w:r>
        <w:t xml:space="preserve"> Treasury has since made updates to the </w:t>
      </w:r>
      <w:r w:rsidR="00673A94">
        <w:t>draft amendments</w:t>
      </w:r>
      <w:r>
        <w:t xml:space="preserve">. </w:t>
      </w:r>
    </w:p>
    <w:p w14:paraId="0942A58C" w14:textId="77777777" w:rsidR="00BD2AFA" w:rsidRDefault="00BD2AFA" w:rsidP="00673A94">
      <w:pPr>
        <w:spacing w:before="0" w:after="0"/>
        <w:jc w:val="both"/>
      </w:pPr>
    </w:p>
    <w:p w14:paraId="5CD5A5C7" w14:textId="1972C3B6" w:rsidR="00BD2AFA" w:rsidRDefault="00CC3B75" w:rsidP="00673A94">
      <w:pPr>
        <w:spacing w:before="0" w:after="0"/>
        <w:jc w:val="both"/>
      </w:pPr>
      <w:r>
        <w:t xml:space="preserve">Treasury has reviewed </w:t>
      </w:r>
      <w:r w:rsidR="003832CA">
        <w:t>t</w:t>
      </w:r>
      <w:r w:rsidR="7FFDAD27">
        <w:t xml:space="preserve">he </w:t>
      </w:r>
      <w:r w:rsidR="0954A3FF">
        <w:t>updates to the</w:t>
      </w:r>
      <w:r w:rsidR="7FFDAD27">
        <w:t xml:space="preserve"> CDR Rules</w:t>
      </w:r>
      <w:r w:rsidR="00E46E26">
        <w:t xml:space="preserve"> </w:t>
      </w:r>
      <w:r w:rsidR="79DE902D">
        <w:t xml:space="preserve">released for consultation </w:t>
      </w:r>
      <w:r w:rsidR="003832CA">
        <w:t xml:space="preserve">against the </w:t>
      </w:r>
      <w:r w:rsidR="00D03741">
        <w:t xml:space="preserve">PIA </w:t>
      </w:r>
      <w:r w:rsidR="00F535A0">
        <w:t xml:space="preserve">and </w:t>
      </w:r>
      <w:r w:rsidR="00E94907">
        <w:t xml:space="preserve">they </w:t>
      </w:r>
      <w:r w:rsidR="79DE902D">
        <w:t xml:space="preserve">do not </w:t>
      </w:r>
      <w:r w:rsidR="1F102D55">
        <w:t xml:space="preserve">substantively </w:t>
      </w:r>
      <w:r w:rsidR="4905B7FB">
        <w:t xml:space="preserve">affect the analysis </w:t>
      </w:r>
      <w:r w:rsidR="5C9543C3">
        <w:t>in the PIA.</w:t>
      </w:r>
      <w:r w:rsidR="7FFDAD27">
        <w:t xml:space="preserve"> </w:t>
      </w:r>
      <w:r w:rsidR="4E5E3F1E">
        <w:t>The t</w:t>
      </w:r>
      <w:r w:rsidR="00BD2AFA">
        <w:t xml:space="preserve">able below outlines </w:t>
      </w:r>
      <w:r w:rsidR="4D8DAB3B">
        <w:t>in more detail</w:t>
      </w:r>
      <w:r w:rsidR="00BD2AFA">
        <w:t xml:space="preserve"> the recommendations made in the PIA and Treasury’s assessment of how the updates to the </w:t>
      </w:r>
      <w:r w:rsidR="00673A94">
        <w:t>draft amendments</w:t>
      </w:r>
      <w:r w:rsidR="00BD2AFA">
        <w:t xml:space="preserve"> in relation to </w:t>
      </w:r>
      <w:r w:rsidR="00673A94">
        <w:t>non-bank lending</w:t>
      </w:r>
      <w:r w:rsidR="00BD2AFA">
        <w:t xml:space="preserve"> impact upon the PIA recommendations. </w:t>
      </w:r>
      <w:r w:rsidR="00673A94">
        <w:t>Other draft amendments in this package</w:t>
      </w:r>
      <w:r w:rsidR="00BD2AFA">
        <w:t xml:space="preserve"> are </w:t>
      </w:r>
      <w:r w:rsidR="008A58CE">
        <w:t>substantively the same a</w:t>
      </w:r>
      <w:r w:rsidR="00A01CC0">
        <w:t xml:space="preserve">s those </w:t>
      </w:r>
      <w:r w:rsidR="00F9196C">
        <w:t>examined in the PIA and</w:t>
      </w:r>
      <w:r w:rsidR="002929E5">
        <w:t>,</w:t>
      </w:r>
      <w:r w:rsidR="00F9196C">
        <w:t xml:space="preserve"> therefore</w:t>
      </w:r>
      <w:r w:rsidR="002929E5">
        <w:t xml:space="preserve">, </w:t>
      </w:r>
      <w:r w:rsidR="00C56E9F">
        <w:t>do</w:t>
      </w:r>
      <w:r w:rsidR="00F9196C">
        <w:t xml:space="preserve"> </w:t>
      </w:r>
      <w:r w:rsidR="00BD2AFA">
        <w:t xml:space="preserve">not require </w:t>
      </w:r>
      <w:r w:rsidR="00C56E9F">
        <w:t>further</w:t>
      </w:r>
      <w:r w:rsidR="00BD2AFA">
        <w:t xml:space="preserve"> assessment. </w:t>
      </w:r>
    </w:p>
    <w:p w14:paraId="52B0636C" w14:textId="168E90E4" w:rsidR="008A5ED2" w:rsidRDefault="008A5ED2" w:rsidP="00673A94">
      <w:pPr>
        <w:spacing w:before="0" w:after="0"/>
        <w:jc w:val="both"/>
      </w:pPr>
    </w:p>
    <w:p w14:paraId="64F95FC3" w14:textId="50250A3E" w:rsidR="008A5ED2" w:rsidRPr="008A5ED2" w:rsidRDefault="008A5ED2" w:rsidP="008A5ED2">
      <w:pPr>
        <w:pStyle w:val="Caption"/>
        <w:keepNext/>
        <w:rPr>
          <w:b/>
          <w:bCs/>
          <w:i w:val="0"/>
          <w:iCs w:val="0"/>
          <w:color w:val="auto"/>
        </w:rPr>
      </w:pPr>
      <w:r w:rsidRPr="008A5ED2">
        <w:rPr>
          <w:b/>
          <w:bCs/>
          <w:i w:val="0"/>
          <w:iCs w:val="0"/>
          <w:color w:val="auto"/>
        </w:rPr>
        <w:t>PIA recommendations and Treasury's analysis of impacts of updates to exposure draft amendments</w:t>
      </w:r>
    </w:p>
    <w:tbl>
      <w:tblPr>
        <w:tblStyle w:val="GridTable4-Accent1"/>
        <w:tblW w:w="0" w:type="auto"/>
        <w:tblLook w:val="04A0" w:firstRow="1" w:lastRow="0" w:firstColumn="1" w:lastColumn="0" w:noHBand="0" w:noVBand="1"/>
      </w:tblPr>
      <w:tblGrid>
        <w:gridCol w:w="328"/>
        <w:gridCol w:w="4083"/>
        <w:gridCol w:w="4083"/>
      </w:tblGrid>
      <w:tr w:rsidR="00673A94" w14:paraId="0E773D6F" w14:textId="77777777" w:rsidTr="00C26A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 w:type="dxa"/>
          </w:tcPr>
          <w:p w14:paraId="00CB4DCE" w14:textId="2C8FFCFA" w:rsidR="00673A94" w:rsidRDefault="00673A94" w:rsidP="00BD2AFA">
            <w:pPr>
              <w:spacing w:before="0" w:after="0"/>
            </w:pPr>
            <w:r>
              <w:t>#</w:t>
            </w:r>
          </w:p>
        </w:tc>
        <w:tc>
          <w:tcPr>
            <w:tcW w:w="4083" w:type="dxa"/>
          </w:tcPr>
          <w:p w14:paraId="12747E21" w14:textId="6302F974" w:rsidR="00673A94" w:rsidRDefault="00673A94" w:rsidP="00BD2AFA">
            <w:pPr>
              <w:spacing w:before="0" w:after="0"/>
              <w:cnfStyle w:val="100000000000" w:firstRow="1" w:lastRow="0" w:firstColumn="0" w:lastColumn="0" w:oddVBand="0" w:evenVBand="0" w:oddHBand="0" w:evenHBand="0" w:firstRowFirstColumn="0" w:firstRowLastColumn="0" w:lastRowFirstColumn="0" w:lastRowLastColumn="0"/>
            </w:pPr>
            <w:r>
              <w:t>PIA recommendation</w:t>
            </w:r>
          </w:p>
        </w:tc>
        <w:tc>
          <w:tcPr>
            <w:tcW w:w="4083" w:type="dxa"/>
          </w:tcPr>
          <w:p w14:paraId="1A176480" w14:textId="26348DE6" w:rsidR="00673A94" w:rsidRDefault="00673A94" w:rsidP="00BD2AFA">
            <w:pPr>
              <w:spacing w:before="0" w:after="0"/>
              <w:cnfStyle w:val="100000000000" w:firstRow="1" w:lastRow="0" w:firstColumn="0" w:lastColumn="0" w:oddVBand="0" w:evenVBand="0" w:oddHBand="0" w:evenHBand="0" w:firstRowFirstColumn="0" w:firstRowLastColumn="0" w:lastRowFirstColumn="0" w:lastRowLastColumn="0"/>
            </w:pPr>
            <w:r>
              <w:t>Treasury analysis of impacts of updates to exposure draft amendments</w:t>
            </w:r>
          </w:p>
        </w:tc>
      </w:tr>
      <w:tr w:rsidR="00673A94" w14:paraId="2622AAFB" w14:textId="77777777" w:rsidTr="00C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0F7C8CA1" w14:textId="31503FF1" w:rsidR="00673A94" w:rsidRDefault="00673A94" w:rsidP="00BD2AFA">
            <w:pPr>
              <w:spacing w:before="0" w:after="0"/>
            </w:pPr>
            <w:r>
              <w:t>1</w:t>
            </w:r>
          </w:p>
        </w:tc>
        <w:tc>
          <w:tcPr>
            <w:tcW w:w="4083" w:type="dxa"/>
          </w:tcPr>
          <w:p w14:paraId="382BA849" w14:textId="0205603B" w:rsidR="00673A94" w:rsidRDefault="00673A94" w:rsidP="00C26AA5">
            <w:pPr>
              <w:spacing w:before="0" w:after="0"/>
              <w:jc w:val="both"/>
              <w:cnfStyle w:val="000000100000" w:firstRow="0" w:lastRow="0" w:firstColumn="0" w:lastColumn="0" w:oddVBand="0" w:evenVBand="0" w:oddHBand="1" w:evenHBand="0" w:firstRowFirstColumn="0" w:firstRowLastColumn="0" w:lastRowFirstColumn="0" w:lastRowLastColumn="0"/>
            </w:pPr>
            <w:r w:rsidRPr="00673A94">
              <w:t xml:space="preserve">Treasury, together with the Office of the Australian Information Commissioner and the Australian Competition and Consumer Commission, consider what instructions or guidance can be developed for credit providers to ensure credit providers comply with the CDR, Part IIIA of the </w:t>
            </w:r>
            <w:r w:rsidRPr="00AC4356">
              <w:rPr>
                <w:i/>
                <w:iCs/>
              </w:rPr>
              <w:t xml:space="preserve">Privacy Act </w:t>
            </w:r>
            <w:proofErr w:type="gramStart"/>
            <w:r w:rsidR="00AC4356" w:rsidRPr="00AC4356">
              <w:rPr>
                <w:i/>
                <w:iCs/>
              </w:rPr>
              <w:t>1988</w:t>
            </w:r>
            <w:proofErr w:type="gramEnd"/>
            <w:r w:rsidR="00AC4356">
              <w:t xml:space="preserve"> </w:t>
            </w:r>
            <w:r w:rsidRPr="00673A94">
              <w:t xml:space="preserve">and the Comprehensive Credit Regime </w:t>
            </w:r>
            <w:r w:rsidRPr="00673A94">
              <w:lastRenderedPageBreak/>
              <w:t>(</w:t>
            </w:r>
            <w:r w:rsidRPr="003369A1">
              <w:rPr>
                <w:b/>
                <w:bCs/>
              </w:rPr>
              <w:t>CCR</w:t>
            </w:r>
            <w:r w:rsidRPr="00673A94">
              <w:t>) in relation to the handling of credit reporting information.</w:t>
            </w:r>
          </w:p>
        </w:tc>
        <w:tc>
          <w:tcPr>
            <w:tcW w:w="4083" w:type="dxa"/>
          </w:tcPr>
          <w:p w14:paraId="7DE3C5A8" w14:textId="7B1B2D5E" w:rsidR="00673A94" w:rsidRDefault="002666A9" w:rsidP="00673A94">
            <w:pPr>
              <w:spacing w:before="0" w:after="0"/>
              <w:jc w:val="both"/>
              <w:cnfStyle w:val="000000100000" w:firstRow="0" w:lastRow="0" w:firstColumn="0" w:lastColumn="0" w:oddVBand="0" w:evenVBand="0" w:oddHBand="1" w:evenHBand="0" w:firstRowFirstColumn="0" w:firstRowLastColumn="0" w:lastRowFirstColumn="0" w:lastRowLastColumn="0"/>
            </w:pPr>
            <w:r>
              <w:lastRenderedPageBreak/>
              <w:t>The</w:t>
            </w:r>
            <w:r w:rsidR="00673A94" w:rsidRPr="00673A94">
              <w:t xml:space="preserve"> updates to the </w:t>
            </w:r>
            <w:r w:rsidR="00C26AA5">
              <w:t xml:space="preserve">exposure draft amendments </w:t>
            </w:r>
            <w:r w:rsidR="00673A94" w:rsidRPr="00673A94">
              <w:t xml:space="preserve">do not substantively impact upon any interactions between the CDR Rules and the CCR in relation to handling credit reporting information. However, the PIA recommendation may </w:t>
            </w:r>
            <w:r w:rsidR="02DD5BED">
              <w:t>be relevant to</w:t>
            </w:r>
            <w:r w:rsidR="00673A94" w:rsidRPr="00673A94">
              <w:t xml:space="preserve"> the updated draft explanatory materials Treasury has released together with the </w:t>
            </w:r>
            <w:r w:rsidR="00673A94" w:rsidRPr="00673A94">
              <w:lastRenderedPageBreak/>
              <w:t xml:space="preserve">exposure draft amendments. Should the </w:t>
            </w:r>
            <w:r w:rsidR="00C26AA5">
              <w:t>proposed amendments</w:t>
            </w:r>
            <w:r w:rsidR="00673A94" w:rsidRPr="00673A94">
              <w:t xml:space="preserve"> be made, the draft explanatory materials would provide guidance on the interpretation of the rules. Treasury has updated the draft explanatory materials to reflect </w:t>
            </w:r>
            <w:r w:rsidR="007B6FC3">
              <w:t xml:space="preserve">the </w:t>
            </w:r>
            <w:r w:rsidR="00673A94" w:rsidRPr="00673A94">
              <w:t xml:space="preserve">updates to the </w:t>
            </w:r>
            <w:r w:rsidR="00C26AA5">
              <w:t>draft amendments</w:t>
            </w:r>
            <w:r w:rsidR="00673A94" w:rsidRPr="00673A94">
              <w:t>.</w:t>
            </w:r>
          </w:p>
        </w:tc>
      </w:tr>
      <w:tr w:rsidR="00C26AA5" w14:paraId="21DC2C42" w14:textId="77777777" w:rsidTr="00C26AA5">
        <w:tc>
          <w:tcPr>
            <w:cnfStyle w:val="001000000000" w:firstRow="0" w:lastRow="0" w:firstColumn="1" w:lastColumn="0" w:oddVBand="0" w:evenVBand="0" w:oddHBand="0" w:evenHBand="0" w:firstRowFirstColumn="0" w:firstRowLastColumn="0" w:lastRowFirstColumn="0" w:lastRowLastColumn="0"/>
            <w:tcW w:w="328" w:type="dxa"/>
          </w:tcPr>
          <w:p w14:paraId="1B0616DC" w14:textId="6114A1BD" w:rsidR="00C26AA5" w:rsidRDefault="00C26AA5" w:rsidP="00C26AA5">
            <w:pPr>
              <w:spacing w:before="0" w:after="0"/>
            </w:pPr>
            <w:r>
              <w:lastRenderedPageBreak/>
              <w:t>2</w:t>
            </w:r>
          </w:p>
        </w:tc>
        <w:tc>
          <w:tcPr>
            <w:tcW w:w="4083" w:type="dxa"/>
          </w:tcPr>
          <w:p w14:paraId="53A7A7D3" w14:textId="5150C8B7" w:rsidR="00C26AA5" w:rsidRDefault="00C26AA5" w:rsidP="003369A1">
            <w:pPr>
              <w:spacing w:before="0" w:after="0"/>
              <w:jc w:val="both"/>
              <w:cnfStyle w:val="000000000000" w:firstRow="0" w:lastRow="0" w:firstColumn="0" w:lastColumn="0" w:oddVBand="0" w:evenVBand="0" w:oddHBand="0" w:evenHBand="0" w:firstRowFirstColumn="0" w:firstRowLastColumn="0" w:lastRowFirstColumn="0" w:lastRowLastColumn="0"/>
            </w:pPr>
            <w:r>
              <w:t xml:space="preserve">Treasury consider whether the exclusion to financial hardship information and repayment history information from “customer data” is sufficient or whether the exclusion should be extended </w:t>
            </w:r>
            <w:r w:rsidR="00AC4356">
              <w:t>to</w:t>
            </w:r>
            <w:r>
              <w:t xml:space="preserve"> protect the privacy of vulnerable consumers.</w:t>
            </w:r>
          </w:p>
        </w:tc>
        <w:tc>
          <w:tcPr>
            <w:tcW w:w="4083" w:type="dxa"/>
          </w:tcPr>
          <w:p w14:paraId="61DE2271" w14:textId="14DFD138" w:rsidR="00C26AA5" w:rsidRDefault="00362ED3" w:rsidP="003369A1">
            <w:pPr>
              <w:spacing w:before="0" w:after="0"/>
              <w:jc w:val="both"/>
              <w:cnfStyle w:val="000000000000" w:firstRow="0" w:lastRow="0" w:firstColumn="0" w:lastColumn="0" w:oddVBand="0" w:evenVBand="0" w:oddHBand="0" w:evenHBand="0" w:firstRowFirstColumn="0" w:firstRowLastColumn="0" w:lastRowFirstColumn="0" w:lastRowLastColumn="0"/>
            </w:pPr>
            <w:r>
              <w:t>The</w:t>
            </w:r>
            <w:r w:rsidR="00C26AA5" w:rsidRPr="006434A0">
              <w:t xml:space="preserve"> updates to the</w:t>
            </w:r>
            <w:r w:rsidR="003369A1">
              <w:t xml:space="preserve"> draft </w:t>
            </w:r>
            <w:r w:rsidR="00861AA7">
              <w:t xml:space="preserve">amendments </w:t>
            </w:r>
            <w:r w:rsidR="00C26AA5" w:rsidRPr="006434A0">
              <w:t xml:space="preserve">do not substantively impact upon the proposed exclusion of financial hardship information and repayment history information from the scope of ‘customer data’ in relation to the </w:t>
            </w:r>
            <w:r w:rsidR="00861AA7">
              <w:t xml:space="preserve">non-bank lending </w:t>
            </w:r>
            <w:r w:rsidR="00C26AA5" w:rsidRPr="006434A0">
              <w:t xml:space="preserve">sector. Under </w:t>
            </w:r>
            <w:r>
              <w:t>the</w:t>
            </w:r>
            <w:r w:rsidR="00C26AA5" w:rsidRPr="006434A0">
              <w:t xml:space="preserve"> updated</w:t>
            </w:r>
            <w:r w:rsidR="00861AA7">
              <w:t xml:space="preserve"> draft amendments</w:t>
            </w:r>
            <w:r w:rsidR="00C26AA5" w:rsidRPr="006434A0">
              <w:t>, these forms of information would still be excluded from CDR data sharing.</w:t>
            </w:r>
          </w:p>
        </w:tc>
      </w:tr>
      <w:tr w:rsidR="00C26AA5" w14:paraId="421FAFF7" w14:textId="77777777" w:rsidTr="00C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169AA656" w14:textId="67C64FA4" w:rsidR="00C26AA5" w:rsidRDefault="00C26AA5" w:rsidP="00C26AA5">
            <w:pPr>
              <w:spacing w:before="0" w:after="0"/>
            </w:pPr>
            <w:r>
              <w:t>3</w:t>
            </w:r>
          </w:p>
        </w:tc>
        <w:tc>
          <w:tcPr>
            <w:tcW w:w="4083" w:type="dxa"/>
          </w:tcPr>
          <w:p w14:paraId="45EBFA39" w14:textId="584283BA" w:rsidR="00C26AA5" w:rsidRDefault="00C26AA5" w:rsidP="003369A1">
            <w:pPr>
              <w:spacing w:before="0" w:after="0"/>
              <w:jc w:val="both"/>
              <w:cnfStyle w:val="000000100000" w:firstRow="0" w:lastRow="0" w:firstColumn="0" w:lastColumn="0" w:oddVBand="0" w:evenVBand="0" w:oddHBand="1" w:evenHBand="0" w:firstRowFirstColumn="0" w:firstRowLastColumn="0" w:lastRowFirstColumn="0" w:lastRowLastColumn="0"/>
            </w:pPr>
            <w:r>
              <w:t xml:space="preserve">Treasury monitor the regulation of certain </w:t>
            </w:r>
            <w:r w:rsidR="00861AA7">
              <w:t xml:space="preserve">non-bank lending </w:t>
            </w:r>
            <w:r>
              <w:t>sector products, such as Buy Now, Pay Later (</w:t>
            </w:r>
            <w:r w:rsidRPr="003369A1">
              <w:rPr>
                <w:b/>
                <w:bCs/>
              </w:rPr>
              <w:t>BNPL</w:t>
            </w:r>
            <w:r>
              <w:t xml:space="preserve">) products </w:t>
            </w:r>
            <w:r w:rsidR="00975B2C">
              <w:t>to</w:t>
            </w:r>
            <w:r>
              <w:t xml:space="preserve"> identify any high privacy risks such that the </w:t>
            </w:r>
            <w:r w:rsidR="003369A1">
              <w:t>non-bank lending</w:t>
            </w:r>
            <w:r>
              <w:t xml:space="preserve"> CDR Rules should be amended to address those risks (for example, in relation to the marketing of such products).</w:t>
            </w:r>
          </w:p>
        </w:tc>
        <w:tc>
          <w:tcPr>
            <w:tcW w:w="4083" w:type="dxa"/>
          </w:tcPr>
          <w:p w14:paraId="08EB3367" w14:textId="2550068E" w:rsidR="00C26AA5" w:rsidRDefault="00362ED3" w:rsidP="003369A1">
            <w:pPr>
              <w:spacing w:before="0" w:after="0"/>
              <w:jc w:val="both"/>
              <w:cnfStyle w:val="000000100000" w:firstRow="0" w:lastRow="0" w:firstColumn="0" w:lastColumn="0" w:oddVBand="0" w:evenVBand="0" w:oddHBand="1" w:evenHBand="0" w:firstRowFirstColumn="0" w:firstRowLastColumn="0" w:lastRowFirstColumn="0" w:lastRowLastColumn="0"/>
            </w:pPr>
            <w:r>
              <w:t>The</w:t>
            </w:r>
            <w:r w:rsidR="00C26AA5" w:rsidRPr="006434A0">
              <w:t xml:space="preserve"> updates to the </w:t>
            </w:r>
            <w:r w:rsidR="00861AA7">
              <w:t>draft amendments</w:t>
            </w:r>
            <w:r w:rsidR="00C26AA5" w:rsidRPr="006434A0">
              <w:t xml:space="preserve"> do not substantively impact upon the regulation of BNPL products.</w:t>
            </w:r>
          </w:p>
        </w:tc>
      </w:tr>
      <w:tr w:rsidR="00C26AA5" w14:paraId="198D4A8C" w14:textId="77777777" w:rsidTr="00C26AA5">
        <w:tc>
          <w:tcPr>
            <w:cnfStyle w:val="001000000000" w:firstRow="0" w:lastRow="0" w:firstColumn="1" w:lastColumn="0" w:oddVBand="0" w:evenVBand="0" w:oddHBand="0" w:evenHBand="0" w:firstRowFirstColumn="0" w:firstRowLastColumn="0" w:lastRowFirstColumn="0" w:lastRowLastColumn="0"/>
            <w:tcW w:w="328" w:type="dxa"/>
          </w:tcPr>
          <w:p w14:paraId="54AE5D63" w14:textId="6EBAE279" w:rsidR="00C26AA5" w:rsidRDefault="00C26AA5" w:rsidP="00C26AA5">
            <w:pPr>
              <w:spacing w:before="0" w:after="0"/>
            </w:pPr>
            <w:r>
              <w:t>4</w:t>
            </w:r>
          </w:p>
        </w:tc>
        <w:tc>
          <w:tcPr>
            <w:tcW w:w="4083" w:type="dxa"/>
          </w:tcPr>
          <w:p w14:paraId="404183D2" w14:textId="2207D988" w:rsidR="00C26AA5" w:rsidRDefault="00C26AA5" w:rsidP="003369A1">
            <w:pPr>
              <w:spacing w:before="0" w:after="0"/>
              <w:jc w:val="both"/>
              <w:cnfStyle w:val="000000000000" w:firstRow="0" w:lastRow="0" w:firstColumn="0" w:lastColumn="0" w:oddVBand="0" w:evenVBand="0" w:oddHBand="0" w:evenHBand="0" w:firstRowFirstColumn="0" w:firstRowLastColumn="0" w:lastRowFirstColumn="0" w:lastRowLastColumn="0"/>
            </w:pPr>
            <w:r>
              <w:t xml:space="preserve">Treasury consider ways to support non-bank lenders who do not meet the </w:t>
            </w:r>
            <w:r w:rsidRPr="00F63662">
              <w:rPr>
                <w:i/>
                <w:iCs/>
              </w:rPr>
              <w:t>de minimis</w:t>
            </w:r>
            <w:r>
              <w:t xml:space="preserve"> threshold understand the benefits of the CDR and encourage them to voluntarily participate in the CDR and comply with the obligations of a data holder.</w:t>
            </w:r>
          </w:p>
        </w:tc>
        <w:tc>
          <w:tcPr>
            <w:tcW w:w="4083" w:type="dxa"/>
          </w:tcPr>
          <w:p w14:paraId="2C6AD580" w14:textId="3ACB01EF" w:rsidR="00C26AA5" w:rsidRDefault="00362ED3" w:rsidP="003369A1">
            <w:pPr>
              <w:spacing w:before="0" w:after="0"/>
              <w:jc w:val="both"/>
              <w:cnfStyle w:val="000000000000" w:firstRow="0" w:lastRow="0" w:firstColumn="0" w:lastColumn="0" w:oddVBand="0" w:evenVBand="0" w:oddHBand="0" w:evenHBand="0" w:firstRowFirstColumn="0" w:firstRowLastColumn="0" w:lastRowFirstColumn="0" w:lastRowLastColumn="0"/>
            </w:pPr>
            <w:r>
              <w:t>The</w:t>
            </w:r>
            <w:r w:rsidR="00C26AA5" w:rsidRPr="006434A0">
              <w:t xml:space="preserve"> updates to the </w:t>
            </w:r>
            <w:r w:rsidR="00861AA7">
              <w:t>draft amendments</w:t>
            </w:r>
            <w:r w:rsidR="00C26AA5" w:rsidRPr="006434A0">
              <w:t xml:space="preserve"> </w:t>
            </w:r>
            <w:r w:rsidR="00861AA7">
              <w:t>modify</w:t>
            </w:r>
            <w:r w:rsidR="00C26AA5" w:rsidRPr="006434A0">
              <w:t xml:space="preserve"> the proposed ‘de minimis’ threshold to narrow the range of </w:t>
            </w:r>
            <w:r w:rsidR="00861AA7">
              <w:t>non-bank lending</w:t>
            </w:r>
            <w:r w:rsidR="00C26AA5" w:rsidRPr="006434A0">
              <w:t xml:space="preserve"> data holders subject to CDR data sharing obligations. Under the updates to the </w:t>
            </w:r>
            <w:r w:rsidR="00861AA7">
              <w:t>draft amendments</w:t>
            </w:r>
            <w:r w:rsidR="00C26AA5" w:rsidRPr="006434A0">
              <w:t xml:space="preserve">, </w:t>
            </w:r>
            <w:r w:rsidR="00861AA7">
              <w:t>non-bank lending</w:t>
            </w:r>
            <w:r w:rsidR="00C26AA5" w:rsidRPr="006434A0">
              <w:t xml:space="preserve"> data holders</w:t>
            </w:r>
            <w:r w:rsidR="004860C7">
              <w:t xml:space="preserve"> which do not meet the threshold could choose to join the CDR by notifying the ACCC</w:t>
            </w:r>
            <w:r w:rsidR="00C26AA5" w:rsidRPr="006434A0">
              <w:t xml:space="preserve">.  </w:t>
            </w:r>
          </w:p>
        </w:tc>
      </w:tr>
      <w:tr w:rsidR="00C26AA5" w14:paraId="3C4F8B12" w14:textId="77777777" w:rsidTr="00C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 w:type="dxa"/>
          </w:tcPr>
          <w:p w14:paraId="5C71956E" w14:textId="3972A5DA" w:rsidR="00C26AA5" w:rsidRDefault="00C26AA5" w:rsidP="00C26AA5">
            <w:pPr>
              <w:spacing w:before="0" w:after="0"/>
            </w:pPr>
            <w:r>
              <w:t>5</w:t>
            </w:r>
          </w:p>
        </w:tc>
        <w:tc>
          <w:tcPr>
            <w:tcW w:w="4083" w:type="dxa"/>
          </w:tcPr>
          <w:p w14:paraId="0C7E7C20" w14:textId="2610A5FB" w:rsidR="00C26AA5" w:rsidRDefault="00C26AA5" w:rsidP="003369A1">
            <w:pPr>
              <w:spacing w:before="0" w:after="0"/>
              <w:jc w:val="both"/>
              <w:cnfStyle w:val="000000100000" w:firstRow="0" w:lastRow="0" w:firstColumn="0" w:lastColumn="0" w:oddVBand="0" w:evenVBand="0" w:oddHBand="1" w:evenHBand="0" w:firstRowFirstColumn="0" w:firstRowLastColumn="0" w:lastRowFirstColumn="0" w:lastRowLastColumn="0"/>
            </w:pPr>
            <w:r w:rsidRPr="00C26AA5">
              <w:t>Treasury monitor the implementation of data holder’s obligations to see if any privacy concerns arise. Treasury should engage with industry and stakeholders to identify instances where the information security / privacy-related IT infrastructure is particularly difficult to implement and if so, consider whether the timing of obligations should be amended.</w:t>
            </w:r>
          </w:p>
        </w:tc>
        <w:tc>
          <w:tcPr>
            <w:tcW w:w="4083" w:type="dxa"/>
          </w:tcPr>
          <w:p w14:paraId="51232751" w14:textId="79DDFCB5" w:rsidR="00B000F0" w:rsidRDefault="00362ED3" w:rsidP="003369A1">
            <w:pPr>
              <w:spacing w:before="0" w:after="0"/>
              <w:jc w:val="both"/>
              <w:cnfStyle w:val="000000100000" w:firstRow="0" w:lastRow="0" w:firstColumn="0" w:lastColumn="0" w:oddVBand="0" w:evenVBand="0" w:oddHBand="1" w:evenHBand="0" w:firstRowFirstColumn="0" w:firstRowLastColumn="0" w:lastRowFirstColumn="0" w:lastRowLastColumn="0"/>
            </w:pPr>
            <w:r>
              <w:t>The</w:t>
            </w:r>
            <w:r w:rsidR="00C26AA5">
              <w:t xml:space="preserve"> updates to the</w:t>
            </w:r>
            <w:r w:rsidR="00861AA7">
              <w:t xml:space="preserve"> draft amendments</w:t>
            </w:r>
            <w:r w:rsidR="00C26AA5">
              <w:t xml:space="preserve"> set new proposed timing for the phased implementation of CDR data sharing in the </w:t>
            </w:r>
            <w:r w:rsidR="00861AA7">
              <w:t>non-bank lending</w:t>
            </w:r>
            <w:r w:rsidR="00C26AA5">
              <w:t xml:space="preserve"> sector, including new ‘tranche’ dates for types of </w:t>
            </w:r>
            <w:r w:rsidR="00861AA7">
              <w:t>non-bank lending</w:t>
            </w:r>
            <w:r w:rsidR="00C26AA5">
              <w:t xml:space="preserve"> data holders and obligations. </w:t>
            </w:r>
          </w:p>
          <w:p w14:paraId="6B6C7EF6" w14:textId="5434A3B7" w:rsidR="00C26AA5" w:rsidRDefault="00C26AA5" w:rsidP="003369A1">
            <w:pPr>
              <w:spacing w:before="0" w:after="0"/>
              <w:jc w:val="both"/>
              <w:cnfStyle w:val="000000100000" w:firstRow="0" w:lastRow="0" w:firstColumn="0" w:lastColumn="0" w:oddVBand="0" w:evenVBand="0" w:oddHBand="1" w:evenHBand="0" w:firstRowFirstColumn="0" w:firstRowLastColumn="0" w:lastRowFirstColumn="0" w:lastRowLastColumn="0"/>
            </w:pPr>
            <w:r>
              <w:t xml:space="preserve">The </w:t>
            </w:r>
            <w:r w:rsidR="00B000F0">
              <w:t>G</w:t>
            </w:r>
            <w:r>
              <w:t xml:space="preserve">overnment has signalled the intention to expand </w:t>
            </w:r>
            <w:r w:rsidR="00616E65">
              <w:t xml:space="preserve">the </w:t>
            </w:r>
            <w:r>
              <w:t xml:space="preserve">CDR to the </w:t>
            </w:r>
            <w:r w:rsidR="00861AA7">
              <w:t>non-bank lending</w:t>
            </w:r>
            <w:r>
              <w:t xml:space="preserve"> sector in early 2025, making it operational by mid-2026 to provide a sufficient transition time.</w:t>
            </w:r>
            <w:r>
              <w:rPr>
                <w:rStyle w:val="FootnoteReference"/>
                <w:rFonts w:ascii="Trebuchet MS" w:hAnsi="Trebuchet MS"/>
                <w:sz w:val="20"/>
              </w:rPr>
              <w:footnoteReference w:id="3"/>
            </w:r>
          </w:p>
        </w:tc>
      </w:tr>
    </w:tbl>
    <w:p w14:paraId="7E1FADF7" w14:textId="77777777" w:rsidR="00DE74EC" w:rsidRPr="00045C24" w:rsidRDefault="00DE74EC" w:rsidP="008A5ED2">
      <w:pPr>
        <w:spacing w:before="0" w:after="0"/>
      </w:pPr>
    </w:p>
    <w:sectPr w:rsidR="00DE74EC" w:rsidRPr="00045C24" w:rsidSect="00300C95">
      <w:headerReference w:type="default" r:id="rId7"/>
      <w:footerReference w:type="default" r:id="rId8"/>
      <w:headerReference w:type="first" r:id="rId9"/>
      <w:footerReference w:type="first" r:id="rId1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6857" w14:textId="77777777" w:rsidR="00CF7501" w:rsidRDefault="00CF7501" w:rsidP="00886BC4">
      <w:r>
        <w:separator/>
      </w:r>
    </w:p>
    <w:p w14:paraId="6514818F" w14:textId="77777777" w:rsidR="00CF7501" w:rsidRDefault="00CF7501"/>
  </w:endnote>
  <w:endnote w:type="continuationSeparator" w:id="0">
    <w:p w14:paraId="4DEF1A80" w14:textId="77777777" w:rsidR="00CF7501" w:rsidRDefault="00CF7501" w:rsidP="00886BC4">
      <w:r>
        <w:continuationSeparator/>
      </w:r>
    </w:p>
    <w:p w14:paraId="68D8837A" w14:textId="77777777" w:rsidR="00CF7501" w:rsidRDefault="00CF7501"/>
  </w:endnote>
  <w:endnote w:type="continuationNotice" w:id="1">
    <w:p w14:paraId="01964CD9" w14:textId="77777777" w:rsidR="00CF7501" w:rsidRDefault="00CF7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27E2" w14:textId="296509DD" w:rsidR="00A15DB7" w:rsidRPr="00E81A92" w:rsidRDefault="00E81A92" w:rsidP="00E81A92">
    <w:pPr>
      <w:pStyle w:val="Footer"/>
      <w:jc w:val="right"/>
    </w:pPr>
    <w:r>
      <w:tab/>
    </w:r>
    <w:r w:rsidR="0093434D">
      <w:t xml:space="preserve">Expanding the CDR to non-bank lending and </w:t>
    </w:r>
    <w:r w:rsidR="007F6171">
      <w:t xml:space="preserve">narrowing </w:t>
    </w:r>
    <w:r w:rsidR="0093434D">
      <w:t>the scope of the CDR in banking</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3FF2" w14:textId="5E3DFAD6" w:rsidR="00300C95" w:rsidRPr="00E81A92" w:rsidRDefault="00E81A92" w:rsidP="00BA123B">
    <w:pPr>
      <w:pStyle w:val="Footer"/>
      <w:tabs>
        <w:tab w:val="clear" w:pos="4320"/>
        <w:tab w:val="clear" w:pos="8640"/>
        <w:tab w:val="center" w:pos="7938"/>
      </w:tabs>
      <w:jc w:val="right"/>
    </w:pPr>
    <w:r>
      <w:tab/>
    </w:r>
    <w:r w:rsidR="00724BAC" w:rsidRPr="00724BAC">
      <w:t>Expanding the CDR to non-bank lending and narrowing the scope of CDR data in banking</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9A088" w14:textId="77777777" w:rsidR="00CF7501" w:rsidRDefault="00CF7501">
      <w:r>
        <w:separator/>
      </w:r>
    </w:p>
  </w:footnote>
  <w:footnote w:type="continuationSeparator" w:id="0">
    <w:p w14:paraId="6D8CD951" w14:textId="77777777" w:rsidR="00CF7501" w:rsidRDefault="00CF7501" w:rsidP="00886BC4">
      <w:r>
        <w:continuationSeparator/>
      </w:r>
    </w:p>
    <w:p w14:paraId="4F79E2E6" w14:textId="77777777" w:rsidR="00CF7501" w:rsidRDefault="00CF7501"/>
  </w:footnote>
  <w:footnote w:type="continuationNotice" w:id="1">
    <w:p w14:paraId="02858BDE" w14:textId="77777777" w:rsidR="00CF7501" w:rsidRDefault="00CF7501"/>
  </w:footnote>
  <w:footnote w:id="2">
    <w:p w14:paraId="6AE54AB5" w14:textId="5C775AC5" w:rsidR="004860C7" w:rsidRPr="004860C7" w:rsidRDefault="004860C7">
      <w:pPr>
        <w:pStyle w:val="FootnoteText"/>
        <w:rPr>
          <w:rFonts w:asciiTheme="majorHAnsi" w:hAnsiTheme="majorHAnsi" w:cstheme="majorHAnsi"/>
        </w:rPr>
      </w:pPr>
      <w:r>
        <w:rPr>
          <w:rStyle w:val="FootnoteReference"/>
        </w:rPr>
        <w:footnoteRef/>
      </w:r>
      <w:r>
        <w:t xml:space="preserve"> </w:t>
      </w:r>
      <w:r w:rsidRPr="004860C7">
        <w:rPr>
          <w:rFonts w:asciiTheme="majorHAnsi" w:hAnsiTheme="majorHAnsi" w:cstheme="majorHAnsi"/>
          <w:sz w:val="18"/>
          <w:szCs w:val="18"/>
        </w:rPr>
        <w:t xml:space="preserve">Sparke Helmore Lawyers 2023, </w:t>
      </w:r>
      <w:hyperlink r:id="rId1" w:history="1">
        <w:r w:rsidRPr="004860C7">
          <w:rPr>
            <w:rStyle w:val="Hyperlink"/>
            <w:rFonts w:asciiTheme="majorHAnsi" w:hAnsiTheme="majorHAnsi" w:cstheme="majorHAnsi"/>
            <w:sz w:val="18"/>
            <w:szCs w:val="18"/>
          </w:rPr>
          <w:t>Privacy Impact Assessment – Supplementary PIA to expand the Consumer Data Right to the Non-Bank Lending sector</w:t>
        </w:r>
      </w:hyperlink>
      <w:r w:rsidRPr="004860C7">
        <w:rPr>
          <w:rFonts w:asciiTheme="majorHAnsi" w:hAnsiTheme="majorHAnsi" w:cstheme="majorHAnsi"/>
          <w:sz w:val="18"/>
          <w:szCs w:val="18"/>
        </w:rPr>
        <w:t>, July 2023.</w:t>
      </w:r>
    </w:p>
  </w:footnote>
  <w:footnote w:id="3">
    <w:p w14:paraId="268EEBC9" w14:textId="77777777" w:rsidR="00C26AA5" w:rsidRPr="004860C7" w:rsidRDefault="00C26AA5" w:rsidP="00C26AA5">
      <w:pPr>
        <w:pStyle w:val="FootnoteText"/>
        <w:rPr>
          <w:rFonts w:asciiTheme="majorHAnsi" w:hAnsiTheme="majorHAnsi" w:cstheme="majorHAnsi"/>
        </w:rPr>
      </w:pPr>
      <w:r w:rsidRPr="004860C7">
        <w:rPr>
          <w:rStyle w:val="FootnoteReference"/>
          <w:rFonts w:asciiTheme="majorHAnsi" w:hAnsiTheme="majorHAnsi" w:cstheme="majorHAnsi"/>
          <w:sz w:val="18"/>
          <w:szCs w:val="18"/>
        </w:rPr>
        <w:footnoteRef/>
      </w:r>
      <w:r w:rsidRPr="004860C7">
        <w:rPr>
          <w:rFonts w:asciiTheme="majorHAnsi" w:hAnsiTheme="majorHAnsi" w:cstheme="majorHAnsi"/>
          <w:sz w:val="18"/>
          <w:szCs w:val="18"/>
        </w:rPr>
        <w:t xml:space="preserve"> </w:t>
      </w:r>
      <w:hyperlink r:id="rId2" w:history="1">
        <w:r w:rsidRPr="004860C7">
          <w:rPr>
            <w:rStyle w:val="Hyperlink"/>
            <w:rFonts w:asciiTheme="majorHAnsi" w:hAnsiTheme="majorHAnsi" w:cstheme="majorHAnsi"/>
            <w:sz w:val="18"/>
            <w:szCs w:val="18"/>
          </w:rPr>
          <w:t>Albanese Government to reset Consumer Data Right</w:t>
        </w:r>
      </w:hyperlink>
      <w:r w:rsidRPr="004860C7">
        <w:rPr>
          <w:rFonts w:asciiTheme="majorHAnsi" w:hAnsiTheme="majorHAnsi" w:cstheme="majorHAnsi"/>
          <w:sz w:val="18"/>
          <w:szCs w:val="18"/>
        </w:rPr>
        <w:t>, 9 August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1A0B" w14:textId="61810039" w:rsidR="006D3EE7" w:rsidRPr="007F53C0" w:rsidRDefault="00822319" w:rsidP="007F53C0">
    <w:pPr>
      <w:pStyle w:val="Header"/>
    </w:pPr>
    <w:fldSimple w:instr="STYLEREF  &quot;Fact sheet title&quot;  \* MERGEFORMAT">
      <w:r w:rsidR="00F31173">
        <w:rPr>
          <w:noProof/>
        </w:rPr>
        <w:t>Expanding the CDR to non-bank lending and narrowing the scope of CDR data in banking</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D229" w14:textId="77777777" w:rsidR="00300C95" w:rsidRDefault="00300C95">
    <w:pPr>
      <w:pStyle w:val="Header"/>
    </w:pPr>
    <w:r>
      <w:rPr>
        <w:noProof/>
      </w:rPr>
      <w:drawing>
        <wp:anchor distT="0" distB="0" distL="114300" distR="114300" simplePos="0" relativeHeight="251658240" behindDoc="1" locked="0" layoutInCell="1" allowOverlap="0" wp14:anchorId="6427AAAA" wp14:editId="60CB318B">
          <wp:simplePos x="0" y="0"/>
          <wp:positionH relativeFrom="margin">
            <wp:posOffset>-1104198</wp:posOffset>
          </wp:positionH>
          <wp:positionV relativeFrom="page">
            <wp:posOffset>0</wp:posOffset>
          </wp:positionV>
          <wp:extent cx="7599600" cy="1446375"/>
          <wp:effectExtent l="0" t="0" r="1905" b="1905"/>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446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7"/>
  </w:num>
  <w:num w:numId="3" w16cid:durableId="1889341095">
    <w:abstractNumId w:val="5"/>
  </w:num>
  <w:num w:numId="4" w16cid:durableId="216212289">
    <w:abstractNumId w:val="6"/>
  </w:num>
  <w:num w:numId="5" w16cid:durableId="2008171716">
    <w:abstractNumId w:val="3"/>
  </w:num>
  <w:num w:numId="6" w16cid:durableId="1880582053">
    <w:abstractNumId w:val="0"/>
  </w:num>
  <w:num w:numId="7" w16cid:durableId="127863591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BD2AFA"/>
    <w:rsid w:val="00005EB5"/>
    <w:rsid w:val="00016670"/>
    <w:rsid w:val="00016B6C"/>
    <w:rsid w:val="0002151A"/>
    <w:rsid w:val="00021D54"/>
    <w:rsid w:val="00033942"/>
    <w:rsid w:val="00034803"/>
    <w:rsid w:val="00042187"/>
    <w:rsid w:val="000421F9"/>
    <w:rsid w:val="00045C24"/>
    <w:rsid w:val="00053773"/>
    <w:rsid w:val="0005592C"/>
    <w:rsid w:val="00060C76"/>
    <w:rsid w:val="00067E65"/>
    <w:rsid w:val="000753CE"/>
    <w:rsid w:val="00086003"/>
    <w:rsid w:val="0009003C"/>
    <w:rsid w:val="000A391F"/>
    <w:rsid w:val="000A4D2D"/>
    <w:rsid w:val="000A5770"/>
    <w:rsid w:val="000A5DA1"/>
    <w:rsid w:val="000A6237"/>
    <w:rsid w:val="000B1EC3"/>
    <w:rsid w:val="000B3C90"/>
    <w:rsid w:val="000C02C9"/>
    <w:rsid w:val="000C0D9B"/>
    <w:rsid w:val="000C53A8"/>
    <w:rsid w:val="000C60DA"/>
    <w:rsid w:val="000D1F34"/>
    <w:rsid w:val="000D33F2"/>
    <w:rsid w:val="000D5AC7"/>
    <w:rsid w:val="000D7D2F"/>
    <w:rsid w:val="000E324C"/>
    <w:rsid w:val="000F2493"/>
    <w:rsid w:val="000F2562"/>
    <w:rsid w:val="000F33C9"/>
    <w:rsid w:val="000F71B4"/>
    <w:rsid w:val="001018BE"/>
    <w:rsid w:val="00102238"/>
    <w:rsid w:val="00105EBE"/>
    <w:rsid w:val="001145FD"/>
    <w:rsid w:val="00115B2E"/>
    <w:rsid w:val="0011628E"/>
    <w:rsid w:val="00130A7D"/>
    <w:rsid w:val="001363E7"/>
    <w:rsid w:val="0013687E"/>
    <w:rsid w:val="001376CC"/>
    <w:rsid w:val="00140697"/>
    <w:rsid w:val="0014178A"/>
    <w:rsid w:val="00144B84"/>
    <w:rsid w:val="00166A45"/>
    <w:rsid w:val="00170255"/>
    <w:rsid w:val="00173F72"/>
    <w:rsid w:val="00174954"/>
    <w:rsid w:val="00182E9E"/>
    <w:rsid w:val="00183F40"/>
    <w:rsid w:val="00184EAD"/>
    <w:rsid w:val="00190D7B"/>
    <w:rsid w:val="00192367"/>
    <w:rsid w:val="001929D8"/>
    <w:rsid w:val="00193F62"/>
    <w:rsid w:val="00197414"/>
    <w:rsid w:val="001A36FC"/>
    <w:rsid w:val="001A5155"/>
    <w:rsid w:val="001A5DCC"/>
    <w:rsid w:val="001B3A29"/>
    <w:rsid w:val="001B540E"/>
    <w:rsid w:val="001C5117"/>
    <w:rsid w:val="001C7752"/>
    <w:rsid w:val="001C78AE"/>
    <w:rsid w:val="001C7AAE"/>
    <w:rsid w:val="001D45A4"/>
    <w:rsid w:val="001D7478"/>
    <w:rsid w:val="001E1424"/>
    <w:rsid w:val="001E5623"/>
    <w:rsid w:val="001E6DC2"/>
    <w:rsid w:val="001E7840"/>
    <w:rsid w:val="001E7CF5"/>
    <w:rsid w:val="001F2AE4"/>
    <w:rsid w:val="001F50DA"/>
    <w:rsid w:val="001F7E8F"/>
    <w:rsid w:val="00203245"/>
    <w:rsid w:val="00205F44"/>
    <w:rsid w:val="002105F8"/>
    <w:rsid w:val="00211858"/>
    <w:rsid w:val="00215949"/>
    <w:rsid w:val="00215EE7"/>
    <w:rsid w:val="00223D87"/>
    <w:rsid w:val="002268AB"/>
    <w:rsid w:val="00226F00"/>
    <w:rsid w:val="0022749C"/>
    <w:rsid w:val="00227C77"/>
    <w:rsid w:val="00230E75"/>
    <w:rsid w:val="00233887"/>
    <w:rsid w:val="00233A88"/>
    <w:rsid w:val="00241B9A"/>
    <w:rsid w:val="0024226F"/>
    <w:rsid w:val="00245342"/>
    <w:rsid w:val="002462BD"/>
    <w:rsid w:val="00254799"/>
    <w:rsid w:val="00260712"/>
    <w:rsid w:val="00263339"/>
    <w:rsid w:val="00263F96"/>
    <w:rsid w:val="002666A9"/>
    <w:rsid w:val="00275C8D"/>
    <w:rsid w:val="002809F6"/>
    <w:rsid w:val="00283303"/>
    <w:rsid w:val="00284FE6"/>
    <w:rsid w:val="00287F32"/>
    <w:rsid w:val="0029134D"/>
    <w:rsid w:val="002929E5"/>
    <w:rsid w:val="00295EFB"/>
    <w:rsid w:val="002978C8"/>
    <w:rsid w:val="002A0B32"/>
    <w:rsid w:val="002A2CD0"/>
    <w:rsid w:val="002A4B83"/>
    <w:rsid w:val="002A6430"/>
    <w:rsid w:val="002A79C5"/>
    <w:rsid w:val="002B676D"/>
    <w:rsid w:val="002C26D9"/>
    <w:rsid w:val="002D49D1"/>
    <w:rsid w:val="002D6E68"/>
    <w:rsid w:val="002E561C"/>
    <w:rsid w:val="002E6D62"/>
    <w:rsid w:val="002F417B"/>
    <w:rsid w:val="002F6ADC"/>
    <w:rsid w:val="00300C95"/>
    <w:rsid w:val="003054A8"/>
    <w:rsid w:val="00306770"/>
    <w:rsid w:val="00307407"/>
    <w:rsid w:val="00307DA3"/>
    <w:rsid w:val="003240C8"/>
    <w:rsid w:val="00327D31"/>
    <w:rsid w:val="003305CA"/>
    <w:rsid w:val="003369A1"/>
    <w:rsid w:val="0034064A"/>
    <w:rsid w:val="0034564D"/>
    <w:rsid w:val="0034759C"/>
    <w:rsid w:val="00351DD4"/>
    <w:rsid w:val="00353210"/>
    <w:rsid w:val="00353390"/>
    <w:rsid w:val="00357842"/>
    <w:rsid w:val="00362ED3"/>
    <w:rsid w:val="00372AC1"/>
    <w:rsid w:val="003802F4"/>
    <w:rsid w:val="00381B8E"/>
    <w:rsid w:val="003831AB"/>
    <w:rsid w:val="003832CA"/>
    <w:rsid w:val="00383A23"/>
    <w:rsid w:val="00390C06"/>
    <w:rsid w:val="003A63D1"/>
    <w:rsid w:val="003B1315"/>
    <w:rsid w:val="003C047D"/>
    <w:rsid w:val="003C4F86"/>
    <w:rsid w:val="003C6713"/>
    <w:rsid w:val="003C789B"/>
    <w:rsid w:val="003E26C5"/>
    <w:rsid w:val="003E2911"/>
    <w:rsid w:val="003E3BFE"/>
    <w:rsid w:val="003F2E2F"/>
    <w:rsid w:val="003F424B"/>
    <w:rsid w:val="00404168"/>
    <w:rsid w:val="0040545D"/>
    <w:rsid w:val="00425E05"/>
    <w:rsid w:val="00425E2C"/>
    <w:rsid w:val="00430103"/>
    <w:rsid w:val="00432CC8"/>
    <w:rsid w:val="004345ED"/>
    <w:rsid w:val="00442C7E"/>
    <w:rsid w:val="004450AE"/>
    <w:rsid w:val="00445C4B"/>
    <w:rsid w:val="00450CCE"/>
    <w:rsid w:val="004542B7"/>
    <w:rsid w:val="004546DC"/>
    <w:rsid w:val="00463D4E"/>
    <w:rsid w:val="004662A4"/>
    <w:rsid w:val="00466A2D"/>
    <w:rsid w:val="00470BA0"/>
    <w:rsid w:val="0047507F"/>
    <w:rsid w:val="00477439"/>
    <w:rsid w:val="004807A8"/>
    <w:rsid w:val="00484509"/>
    <w:rsid w:val="00485A3D"/>
    <w:rsid w:val="004860C7"/>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399E"/>
    <w:rsid w:val="004D75F6"/>
    <w:rsid w:val="004E424B"/>
    <w:rsid w:val="004E71FE"/>
    <w:rsid w:val="004F24D0"/>
    <w:rsid w:val="00502E10"/>
    <w:rsid w:val="00505009"/>
    <w:rsid w:val="00506BF4"/>
    <w:rsid w:val="00507097"/>
    <w:rsid w:val="0051600D"/>
    <w:rsid w:val="00516FB2"/>
    <w:rsid w:val="00521A43"/>
    <w:rsid w:val="00524DCE"/>
    <w:rsid w:val="00525050"/>
    <w:rsid w:val="0053110F"/>
    <w:rsid w:val="00533FEF"/>
    <w:rsid w:val="00535C81"/>
    <w:rsid w:val="00540C64"/>
    <w:rsid w:val="0054605C"/>
    <w:rsid w:val="00546D8E"/>
    <w:rsid w:val="00546FDD"/>
    <w:rsid w:val="0055073D"/>
    <w:rsid w:val="00551340"/>
    <w:rsid w:val="00554E6E"/>
    <w:rsid w:val="005606FD"/>
    <w:rsid w:val="00565A52"/>
    <w:rsid w:val="00566AD8"/>
    <w:rsid w:val="00567C72"/>
    <w:rsid w:val="00570B86"/>
    <w:rsid w:val="00571431"/>
    <w:rsid w:val="00571B50"/>
    <w:rsid w:val="005732EB"/>
    <w:rsid w:val="005803BF"/>
    <w:rsid w:val="00582FAD"/>
    <w:rsid w:val="00583559"/>
    <w:rsid w:val="00585F7E"/>
    <w:rsid w:val="0059488A"/>
    <w:rsid w:val="00594ABF"/>
    <w:rsid w:val="005A11E6"/>
    <w:rsid w:val="005A2484"/>
    <w:rsid w:val="005A6A61"/>
    <w:rsid w:val="005B0968"/>
    <w:rsid w:val="005B207E"/>
    <w:rsid w:val="005B2484"/>
    <w:rsid w:val="005B3871"/>
    <w:rsid w:val="005B659D"/>
    <w:rsid w:val="005B6B98"/>
    <w:rsid w:val="005C1326"/>
    <w:rsid w:val="005C1998"/>
    <w:rsid w:val="005C3527"/>
    <w:rsid w:val="005C4B02"/>
    <w:rsid w:val="005E62D6"/>
    <w:rsid w:val="005F0FBF"/>
    <w:rsid w:val="005F3B40"/>
    <w:rsid w:val="005F7AEA"/>
    <w:rsid w:val="006014A0"/>
    <w:rsid w:val="00606D68"/>
    <w:rsid w:val="00614971"/>
    <w:rsid w:val="00616E65"/>
    <w:rsid w:val="00621826"/>
    <w:rsid w:val="00627218"/>
    <w:rsid w:val="006341C4"/>
    <w:rsid w:val="00634BFC"/>
    <w:rsid w:val="006355D1"/>
    <w:rsid w:val="00635DD4"/>
    <w:rsid w:val="00637692"/>
    <w:rsid w:val="0064704A"/>
    <w:rsid w:val="006673EB"/>
    <w:rsid w:val="00667518"/>
    <w:rsid w:val="00673A94"/>
    <w:rsid w:val="00687826"/>
    <w:rsid w:val="006916AD"/>
    <w:rsid w:val="00694B4F"/>
    <w:rsid w:val="00696B4C"/>
    <w:rsid w:val="006A118D"/>
    <w:rsid w:val="006A3972"/>
    <w:rsid w:val="006A712D"/>
    <w:rsid w:val="006B0472"/>
    <w:rsid w:val="006B187E"/>
    <w:rsid w:val="006B377A"/>
    <w:rsid w:val="006B6D1E"/>
    <w:rsid w:val="006C6340"/>
    <w:rsid w:val="006D27A6"/>
    <w:rsid w:val="006D3EE7"/>
    <w:rsid w:val="006D6960"/>
    <w:rsid w:val="006D7793"/>
    <w:rsid w:val="006E101D"/>
    <w:rsid w:val="006E6F8C"/>
    <w:rsid w:val="006E76BE"/>
    <w:rsid w:val="006F0918"/>
    <w:rsid w:val="006F56A2"/>
    <w:rsid w:val="006F6E04"/>
    <w:rsid w:val="006F6E89"/>
    <w:rsid w:val="00700202"/>
    <w:rsid w:val="0070036D"/>
    <w:rsid w:val="00702718"/>
    <w:rsid w:val="00705AD6"/>
    <w:rsid w:val="0071697C"/>
    <w:rsid w:val="00717216"/>
    <w:rsid w:val="00722F56"/>
    <w:rsid w:val="00724BAC"/>
    <w:rsid w:val="007343B8"/>
    <w:rsid w:val="00736715"/>
    <w:rsid w:val="00741A31"/>
    <w:rsid w:val="00745A9E"/>
    <w:rsid w:val="007600FA"/>
    <w:rsid w:val="0076093D"/>
    <w:rsid w:val="00761DA0"/>
    <w:rsid w:val="007622D7"/>
    <w:rsid w:val="0076296F"/>
    <w:rsid w:val="00764C14"/>
    <w:rsid w:val="007810D5"/>
    <w:rsid w:val="007825F2"/>
    <w:rsid w:val="00784A3C"/>
    <w:rsid w:val="0078735F"/>
    <w:rsid w:val="00792C79"/>
    <w:rsid w:val="00793BD7"/>
    <w:rsid w:val="0079466D"/>
    <w:rsid w:val="007A120D"/>
    <w:rsid w:val="007A4195"/>
    <w:rsid w:val="007A6E4D"/>
    <w:rsid w:val="007A6FCD"/>
    <w:rsid w:val="007B09F4"/>
    <w:rsid w:val="007B12CC"/>
    <w:rsid w:val="007B6953"/>
    <w:rsid w:val="007B6FC3"/>
    <w:rsid w:val="007B7784"/>
    <w:rsid w:val="007C1094"/>
    <w:rsid w:val="007C3CD0"/>
    <w:rsid w:val="007D4EB7"/>
    <w:rsid w:val="007D6456"/>
    <w:rsid w:val="007D6F47"/>
    <w:rsid w:val="007E013D"/>
    <w:rsid w:val="007E0975"/>
    <w:rsid w:val="007E2351"/>
    <w:rsid w:val="007E36E4"/>
    <w:rsid w:val="007E5E07"/>
    <w:rsid w:val="007E7046"/>
    <w:rsid w:val="007F3AAF"/>
    <w:rsid w:val="007F53C0"/>
    <w:rsid w:val="007F6171"/>
    <w:rsid w:val="007F61E3"/>
    <w:rsid w:val="008139FB"/>
    <w:rsid w:val="00814FFE"/>
    <w:rsid w:val="00820D62"/>
    <w:rsid w:val="00822319"/>
    <w:rsid w:val="00824C39"/>
    <w:rsid w:val="00826ED2"/>
    <w:rsid w:val="00830180"/>
    <w:rsid w:val="00831D8A"/>
    <w:rsid w:val="0083395A"/>
    <w:rsid w:val="00847719"/>
    <w:rsid w:val="00860445"/>
    <w:rsid w:val="008616B9"/>
    <w:rsid w:val="00861AA7"/>
    <w:rsid w:val="008750B5"/>
    <w:rsid w:val="0088159C"/>
    <w:rsid w:val="0088211A"/>
    <w:rsid w:val="00884F56"/>
    <w:rsid w:val="008854F6"/>
    <w:rsid w:val="00886667"/>
    <w:rsid w:val="00886BC4"/>
    <w:rsid w:val="008972E4"/>
    <w:rsid w:val="00897AF3"/>
    <w:rsid w:val="008A02F3"/>
    <w:rsid w:val="008A1C1D"/>
    <w:rsid w:val="008A2C97"/>
    <w:rsid w:val="008A2DDA"/>
    <w:rsid w:val="008A48CA"/>
    <w:rsid w:val="008A58CE"/>
    <w:rsid w:val="008A5ED2"/>
    <w:rsid w:val="008B2938"/>
    <w:rsid w:val="008B395C"/>
    <w:rsid w:val="008C5773"/>
    <w:rsid w:val="008D0CA6"/>
    <w:rsid w:val="008D4CD0"/>
    <w:rsid w:val="008D5358"/>
    <w:rsid w:val="008D6B72"/>
    <w:rsid w:val="008D6EDF"/>
    <w:rsid w:val="008E0180"/>
    <w:rsid w:val="008E04BD"/>
    <w:rsid w:val="008E35A5"/>
    <w:rsid w:val="008F03B1"/>
    <w:rsid w:val="008F0B15"/>
    <w:rsid w:val="008F1AA6"/>
    <w:rsid w:val="008F2212"/>
    <w:rsid w:val="008F73C8"/>
    <w:rsid w:val="008F7E69"/>
    <w:rsid w:val="00900851"/>
    <w:rsid w:val="00903786"/>
    <w:rsid w:val="00903AB2"/>
    <w:rsid w:val="00905F29"/>
    <w:rsid w:val="0090719E"/>
    <w:rsid w:val="009109AA"/>
    <w:rsid w:val="00920E19"/>
    <w:rsid w:val="009264EA"/>
    <w:rsid w:val="00926879"/>
    <w:rsid w:val="00933C8C"/>
    <w:rsid w:val="0093434D"/>
    <w:rsid w:val="00934DAF"/>
    <w:rsid w:val="009367F6"/>
    <w:rsid w:val="0093741D"/>
    <w:rsid w:val="00942CB3"/>
    <w:rsid w:val="00944174"/>
    <w:rsid w:val="009476B4"/>
    <w:rsid w:val="00951652"/>
    <w:rsid w:val="00952F2F"/>
    <w:rsid w:val="00960B94"/>
    <w:rsid w:val="00965C4B"/>
    <w:rsid w:val="0097520E"/>
    <w:rsid w:val="009757BB"/>
    <w:rsid w:val="00975B2C"/>
    <w:rsid w:val="0098151F"/>
    <w:rsid w:val="00986A46"/>
    <w:rsid w:val="00990045"/>
    <w:rsid w:val="009906A6"/>
    <w:rsid w:val="00992ADC"/>
    <w:rsid w:val="009A5529"/>
    <w:rsid w:val="009A6D32"/>
    <w:rsid w:val="009A71C4"/>
    <w:rsid w:val="009B15EC"/>
    <w:rsid w:val="009B1781"/>
    <w:rsid w:val="009B2546"/>
    <w:rsid w:val="009B464D"/>
    <w:rsid w:val="009B6005"/>
    <w:rsid w:val="009B601D"/>
    <w:rsid w:val="009B7B9C"/>
    <w:rsid w:val="009C1F90"/>
    <w:rsid w:val="009C3198"/>
    <w:rsid w:val="009C66A3"/>
    <w:rsid w:val="009D616A"/>
    <w:rsid w:val="009E6061"/>
    <w:rsid w:val="009F2B0C"/>
    <w:rsid w:val="00A01086"/>
    <w:rsid w:val="00A01CC0"/>
    <w:rsid w:val="00A05E57"/>
    <w:rsid w:val="00A06B2A"/>
    <w:rsid w:val="00A1120D"/>
    <w:rsid w:val="00A13CB3"/>
    <w:rsid w:val="00A13F0D"/>
    <w:rsid w:val="00A14DC4"/>
    <w:rsid w:val="00A15A89"/>
    <w:rsid w:val="00A15DB7"/>
    <w:rsid w:val="00A17503"/>
    <w:rsid w:val="00A215B3"/>
    <w:rsid w:val="00A238DE"/>
    <w:rsid w:val="00A24D20"/>
    <w:rsid w:val="00A32C4E"/>
    <w:rsid w:val="00A3452B"/>
    <w:rsid w:val="00A35197"/>
    <w:rsid w:val="00A447C7"/>
    <w:rsid w:val="00A46A9A"/>
    <w:rsid w:val="00A50111"/>
    <w:rsid w:val="00A52C22"/>
    <w:rsid w:val="00A60022"/>
    <w:rsid w:val="00A62596"/>
    <w:rsid w:val="00A6514E"/>
    <w:rsid w:val="00A8449C"/>
    <w:rsid w:val="00A84C3C"/>
    <w:rsid w:val="00A87F4B"/>
    <w:rsid w:val="00A909A3"/>
    <w:rsid w:val="00A91BD2"/>
    <w:rsid w:val="00A940BE"/>
    <w:rsid w:val="00A95483"/>
    <w:rsid w:val="00A96316"/>
    <w:rsid w:val="00A9658A"/>
    <w:rsid w:val="00A970ED"/>
    <w:rsid w:val="00AA24CA"/>
    <w:rsid w:val="00AA37E0"/>
    <w:rsid w:val="00AA553F"/>
    <w:rsid w:val="00AB3D33"/>
    <w:rsid w:val="00AC16AC"/>
    <w:rsid w:val="00AC1B27"/>
    <w:rsid w:val="00AC3CD5"/>
    <w:rsid w:val="00AC4356"/>
    <w:rsid w:val="00AC4B49"/>
    <w:rsid w:val="00AC4C62"/>
    <w:rsid w:val="00AC4D17"/>
    <w:rsid w:val="00AC60D4"/>
    <w:rsid w:val="00AE37F3"/>
    <w:rsid w:val="00AE39EE"/>
    <w:rsid w:val="00AE3BA6"/>
    <w:rsid w:val="00AE53E5"/>
    <w:rsid w:val="00AE6CA4"/>
    <w:rsid w:val="00B000F0"/>
    <w:rsid w:val="00B129C3"/>
    <w:rsid w:val="00B13671"/>
    <w:rsid w:val="00B13D04"/>
    <w:rsid w:val="00B15B56"/>
    <w:rsid w:val="00B24C1C"/>
    <w:rsid w:val="00B30901"/>
    <w:rsid w:val="00B32830"/>
    <w:rsid w:val="00B42FAF"/>
    <w:rsid w:val="00B50FEA"/>
    <w:rsid w:val="00B51175"/>
    <w:rsid w:val="00B5397C"/>
    <w:rsid w:val="00B54FA9"/>
    <w:rsid w:val="00B54FE4"/>
    <w:rsid w:val="00B57B0B"/>
    <w:rsid w:val="00B633A0"/>
    <w:rsid w:val="00B64308"/>
    <w:rsid w:val="00B65709"/>
    <w:rsid w:val="00B65CFC"/>
    <w:rsid w:val="00B708D9"/>
    <w:rsid w:val="00B71F74"/>
    <w:rsid w:val="00B73C23"/>
    <w:rsid w:val="00B75D7F"/>
    <w:rsid w:val="00B771FF"/>
    <w:rsid w:val="00B77B38"/>
    <w:rsid w:val="00B82C45"/>
    <w:rsid w:val="00B85FF0"/>
    <w:rsid w:val="00B93A24"/>
    <w:rsid w:val="00BA054F"/>
    <w:rsid w:val="00BA123B"/>
    <w:rsid w:val="00BA3721"/>
    <w:rsid w:val="00BA5787"/>
    <w:rsid w:val="00BA7802"/>
    <w:rsid w:val="00BB059B"/>
    <w:rsid w:val="00BB4B21"/>
    <w:rsid w:val="00BC77CC"/>
    <w:rsid w:val="00BD0F70"/>
    <w:rsid w:val="00BD2AFA"/>
    <w:rsid w:val="00BD3C26"/>
    <w:rsid w:val="00BD7EA0"/>
    <w:rsid w:val="00BE2210"/>
    <w:rsid w:val="00BE515F"/>
    <w:rsid w:val="00BE5AC7"/>
    <w:rsid w:val="00BF3E58"/>
    <w:rsid w:val="00BF4A8E"/>
    <w:rsid w:val="00BF73E4"/>
    <w:rsid w:val="00BF75D8"/>
    <w:rsid w:val="00C0628D"/>
    <w:rsid w:val="00C06F87"/>
    <w:rsid w:val="00C23124"/>
    <w:rsid w:val="00C23C8C"/>
    <w:rsid w:val="00C25261"/>
    <w:rsid w:val="00C26AA5"/>
    <w:rsid w:val="00C3042D"/>
    <w:rsid w:val="00C362B7"/>
    <w:rsid w:val="00C3693F"/>
    <w:rsid w:val="00C37A6A"/>
    <w:rsid w:val="00C429F2"/>
    <w:rsid w:val="00C436B8"/>
    <w:rsid w:val="00C443D7"/>
    <w:rsid w:val="00C4466C"/>
    <w:rsid w:val="00C56E9F"/>
    <w:rsid w:val="00C620FD"/>
    <w:rsid w:val="00C62741"/>
    <w:rsid w:val="00C639E4"/>
    <w:rsid w:val="00C64A2F"/>
    <w:rsid w:val="00C71CED"/>
    <w:rsid w:val="00C747F9"/>
    <w:rsid w:val="00C76D86"/>
    <w:rsid w:val="00C778C6"/>
    <w:rsid w:val="00C80C62"/>
    <w:rsid w:val="00C82A8A"/>
    <w:rsid w:val="00C842B5"/>
    <w:rsid w:val="00C8634C"/>
    <w:rsid w:val="00C93AAF"/>
    <w:rsid w:val="00CA168B"/>
    <w:rsid w:val="00CA4694"/>
    <w:rsid w:val="00CA4D6D"/>
    <w:rsid w:val="00CA5BDC"/>
    <w:rsid w:val="00CB032B"/>
    <w:rsid w:val="00CB0554"/>
    <w:rsid w:val="00CB2F3B"/>
    <w:rsid w:val="00CC1136"/>
    <w:rsid w:val="00CC26C4"/>
    <w:rsid w:val="00CC3B75"/>
    <w:rsid w:val="00CC5606"/>
    <w:rsid w:val="00CC5F22"/>
    <w:rsid w:val="00CD02A5"/>
    <w:rsid w:val="00CD7F0B"/>
    <w:rsid w:val="00CF1204"/>
    <w:rsid w:val="00CF1EA3"/>
    <w:rsid w:val="00CF219A"/>
    <w:rsid w:val="00CF22FF"/>
    <w:rsid w:val="00CF5A2D"/>
    <w:rsid w:val="00CF7501"/>
    <w:rsid w:val="00D03741"/>
    <w:rsid w:val="00D044DC"/>
    <w:rsid w:val="00D046C2"/>
    <w:rsid w:val="00D05A02"/>
    <w:rsid w:val="00D0725D"/>
    <w:rsid w:val="00D11F38"/>
    <w:rsid w:val="00D11F49"/>
    <w:rsid w:val="00D16CD5"/>
    <w:rsid w:val="00D17467"/>
    <w:rsid w:val="00D2150F"/>
    <w:rsid w:val="00D215DF"/>
    <w:rsid w:val="00D226B0"/>
    <w:rsid w:val="00D23386"/>
    <w:rsid w:val="00D33E3B"/>
    <w:rsid w:val="00D37680"/>
    <w:rsid w:val="00D40B85"/>
    <w:rsid w:val="00D47CA0"/>
    <w:rsid w:val="00D535AC"/>
    <w:rsid w:val="00D555C7"/>
    <w:rsid w:val="00D566F4"/>
    <w:rsid w:val="00D56B28"/>
    <w:rsid w:val="00D574FA"/>
    <w:rsid w:val="00D60855"/>
    <w:rsid w:val="00D621F5"/>
    <w:rsid w:val="00D64372"/>
    <w:rsid w:val="00D71BBA"/>
    <w:rsid w:val="00D75EC8"/>
    <w:rsid w:val="00D81F86"/>
    <w:rsid w:val="00DA68C6"/>
    <w:rsid w:val="00DB6D90"/>
    <w:rsid w:val="00DC075C"/>
    <w:rsid w:val="00DC6FBB"/>
    <w:rsid w:val="00DD2967"/>
    <w:rsid w:val="00DD36BE"/>
    <w:rsid w:val="00DD5D38"/>
    <w:rsid w:val="00DE05FE"/>
    <w:rsid w:val="00DE5EE8"/>
    <w:rsid w:val="00DE74EC"/>
    <w:rsid w:val="00DF0B01"/>
    <w:rsid w:val="00DF56B6"/>
    <w:rsid w:val="00DF5A46"/>
    <w:rsid w:val="00E10B5B"/>
    <w:rsid w:val="00E11105"/>
    <w:rsid w:val="00E16939"/>
    <w:rsid w:val="00E1766A"/>
    <w:rsid w:val="00E20259"/>
    <w:rsid w:val="00E267E6"/>
    <w:rsid w:val="00E34501"/>
    <w:rsid w:val="00E34D69"/>
    <w:rsid w:val="00E35B8F"/>
    <w:rsid w:val="00E40078"/>
    <w:rsid w:val="00E4461B"/>
    <w:rsid w:val="00E4520C"/>
    <w:rsid w:val="00E46E26"/>
    <w:rsid w:val="00E52C45"/>
    <w:rsid w:val="00E60B6A"/>
    <w:rsid w:val="00E62B01"/>
    <w:rsid w:val="00E64B67"/>
    <w:rsid w:val="00E669CD"/>
    <w:rsid w:val="00E70A2C"/>
    <w:rsid w:val="00E813BB"/>
    <w:rsid w:val="00E81A92"/>
    <w:rsid w:val="00E835AB"/>
    <w:rsid w:val="00E83A1D"/>
    <w:rsid w:val="00E847A7"/>
    <w:rsid w:val="00E85FF2"/>
    <w:rsid w:val="00E86CBA"/>
    <w:rsid w:val="00E87326"/>
    <w:rsid w:val="00E90E39"/>
    <w:rsid w:val="00E93C25"/>
    <w:rsid w:val="00E94907"/>
    <w:rsid w:val="00EA5D8D"/>
    <w:rsid w:val="00EB1557"/>
    <w:rsid w:val="00EC2A56"/>
    <w:rsid w:val="00EC6477"/>
    <w:rsid w:val="00ED3522"/>
    <w:rsid w:val="00EE570F"/>
    <w:rsid w:val="00EE5F89"/>
    <w:rsid w:val="00EE6864"/>
    <w:rsid w:val="00EF1B2D"/>
    <w:rsid w:val="00EF4E84"/>
    <w:rsid w:val="00F0196A"/>
    <w:rsid w:val="00F06C4F"/>
    <w:rsid w:val="00F07B2D"/>
    <w:rsid w:val="00F172EE"/>
    <w:rsid w:val="00F20741"/>
    <w:rsid w:val="00F22FC2"/>
    <w:rsid w:val="00F248B6"/>
    <w:rsid w:val="00F31173"/>
    <w:rsid w:val="00F31637"/>
    <w:rsid w:val="00F33B9F"/>
    <w:rsid w:val="00F41932"/>
    <w:rsid w:val="00F44C22"/>
    <w:rsid w:val="00F4789A"/>
    <w:rsid w:val="00F5108F"/>
    <w:rsid w:val="00F51C00"/>
    <w:rsid w:val="00F51FDE"/>
    <w:rsid w:val="00F535A0"/>
    <w:rsid w:val="00F57590"/>
    <w:rsid w:val="00F61364"/>
    <w:rsid w:val="00F614C4"/>
    <w:rsid w:val="00F61E2F"/>
    <w:rsid w:val="00F62BD3"/>
    <w:rsid w:val="00F63662"/>
    <w:rsid w:val="00F7256C"/>
    <w:rsid w:val="00F75A59"/>
    <w:rsid w:val="00F75F6B"/>
    <w:rsid w:val="00F7650A"/>
    <w:rsid w:val="00F90901"/>
    <w:rsid w:val="00F9196C"/>
    <w:rsid w:val="00F93F1F"/>
    <w:rsid w:val="00F95DDF"/>
    <w:rsid w:val="00F96108"/>
    <w:rsid w:val="00FA1F50"/>
    <w:rsid w:val="00FA606D"/>
    <w:rsid w:val="00FA70A7"/>
    <w:rsid w:val="00FB5337"/>
    <w:rsid w:val="00FB57AD"/>
    <w:rsid w:val="00FB7AEB"/>
    <w:rsid w:val="00FC2874"/>
    <w:rsid w:val="00FC2E34"/>
    <w:rsid w:val="00FD06DF"/>
    <w:rsid w:val="00FD0B4D"/>
    <w:rsid w:val="00FD37DA"/>
    <w:rsid w:val="00FE30E3"/>
    <w:rsid w:val="00FE316C"/>
    <w:rsid w:val="00FE75B4"/>
    <w:rsid w:val="00FE78B8"/>
    <w:rsid w:val="00FF4459"/>
    <w:rsid w:val="02DD5BED"/>
    <w:rsid w:val="04B195B3"/>
    <w:rsid w:val="0954A3FF"/>
    <w:rsid w:val="12190386"/>
    <w:rsid w:val="124C39FB"/>
    <w:rsid w:val="13B3405B"/>
    <w:rsid w:val="178EB2D9"/>
    <w:rsid w:val="1CC7B3D7"/>
    <w:rsid w:val="1F102D55"/>
    <w:rsid w:val="25D4F4FB"/>
    <w:rsid w:val="31540BFA"/>
    <w:rsid w:val="457971D5"/>
    <w:rsid w:val="45FED3BB"/>
    <w:rsid w:val="4905B7FB"/>
    <w:rsid w:val="490B747E"/>
    <w:rsid w:val="4B6320BE"/>
    <w:rsid w:val="4BBC43CD"/>
    <w:rsid w:val="4D8DAB3B"/>
    <w:rsid w:val="4E5E3F1E"/>
    <w:rsid w:val="5C9543C3"/>
    <w:rsid w:val="79DE902D"/>
    <w:rsid w:val="7FFDAD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6673EB"/>
    <w:pPr>
      <w:keepNext/>
      <w:spacing w:before="600" w:line="460" w:lineRule="exact"/>
      <w:outlineLvl w:val="0"/>
    </w:pPr>
    <w:rPr>
      <w:rFonts w:ascii="Calibri" w:hAnsi="Calibri" w:cs="Arial"/>
      <w:b/>
      <w:color w:val="13727B"/>
      <w:kern w:val="32"/>
      <w:sz w:val="44"/>
      <w:szCs w:val="36"/>
    </w:rPr>
  </w:style>
  <w:style w:type="paragraph" w:styleId="Heading2">
    <w:name w:val="heading 2"/>
    <w:basedOn w:val="Normal"/>
    <w:next w:val="Normal"/>
    <w:link w:val="Heading2Char"/>
    <w:qFormat/>
    <w:rsid w:val="00DD36BE"/>
    <w:pPr>
      <w:keepNext/>
      <w:spacing w:before="360" w:line="460" w:lineRule="exact"/>
      <w:outlineLvl w:val="1"/>
    </w:pPr>
    <w:rPr>
      <w:rFonts w:ascii="Calibri" w:hAnsi="Calibri" w:cs="Arial"/>
      <w:iCs/>
      <w:color w:val="002760" w:themeColor="accent1"/>
      <w:kern w:val="32"/>
      <w:sz w:val="36"/>
      <w:szCs w:val="28"/>
    </w:rPr>
  </w:style>
  <w:style w:type="paragraph" w:styleId="Heading3">
    <w:name w:val="heading 3"/>
    <w:basedOn w:val="Normal"/>
    <w:next w:val="Normal"/>
    <w:link w:val="Heading3Char"/>
    <w:qFormat/>
    <w:rsid w:val="00DD36BE"/>
    <w:pPr>
      <w:keepNext/>
      <w:spacing w:before="320" w:after="0" w:line="276" w:lineRule="auto"/>
      <w:outlineLvl w:val="2"/>
    </w:pPr>
    <w:rPr>
      <w:rFonts w:ascii="Calibri" w:hAnsi="Calibri" w:cs="Arial"/>
      <w:b/>
      <w:color w:val="002760" w:themeColor="accent1"/>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0D45D6"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00132F"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D23386"/>
    <w:pPr>
      <w:spacing w:after="600"/>
      <w:outlineLvl w:val="0"/>
    </w:pPr>
    <w:rPr>
      <w:rFonts w:ascii="Calibri" w:hAnsi="Calibri"/>
      <w:color w:val="002760" w:themeColor="accent1"/>
      <w:spacing w:val="-14"/>
      <w:sz w:val="68"/>
      <w:szCs w:val="68"/>
    </w:rPr>
  </w:style>
  <w:style w:type="character" w:customStyle="1" w:styleId="Heading1Char">
    <w:name w:val="Heading 1 Char"/>
    <w:basedOn w:val="DefaultParagraphFont"/>
    <w:link w:val="Heading1"/>
    <w:rsid w:val="006673EB"/>
    <w:rPr>
      <w:rFonts w:eastAsia="Times New Roman" w:cs="Arial"/>
      <w:b/>
      <w:color w:val="13727B"/>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DD36BE"/>
    <w:rPr>
      <w:rFonts w:eastAsia="Times New Roman" w:cs="Arial"/>
      <w:iCs/>
      <w:color w:val="002760" w:themeColor="accent1"/>
      <w:kern w:val="32"/>
      <w:sz w:val="36"/>
      <w:szCs w:val="28"/>
      <w:lang w:eastAsia="en-AU"/>
    </w:rPr>
  </w:style>
  <w:style w:type="character" w:customStyle="1" w:styleId="Heading3Char">
    <w:name w:val="Heading 3 Char"/>
    <w:basedOn w:val="DefaultParagraphFont"/>
    <w:link w:val="Heading3"/>
    <w:rsid w:val="00DD36BE"/>
    <w:rPr>
      <w:rFonts w:eastAsia="Times New Roman" w:cs="Arial"/>
      <w:b/>
      <w:color w:val="002760" w:themeColor="accent1"/>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0D45D6"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60445"/>
    <w:rPr>
      <w:color w:val="0D45D6" w:themeColor="accent2"/>
      <w:u w:val="single"/>
    </w:rPr>
  </w:style>
  <w:style w:type="character" w:styleId="FollowedHyperlink">
    <w:name w:val="FollowedHyperlink"/>
    <w:basedOn w:val="DefaultParagraphFont"/>
    <w:semiHidden/>
    <w:unhideWhenUsed/>
    <w:rsid w:val="008F0B15"/>
    <w:rPr>
      <w:color w:val="800080"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002760"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00132F"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600" w:themeFill="accent6"/>
      </w:tcPr>
    </w:tblStylePr>
    <w:tblStylePr w:type="band1Vert">
      <w:tblPr/>
      <w:tcPr>
        <w:shd w:val="clear" w:color="auto" w:fill="FFC899" w:themeFill="accent6" w:themeFillTint="66"/>
      </w:tcPr>
    </w:tblStylePr>
    <w:tblStylePr w:type="band1Horz">
      <w:tblPr/>
      <w:tcPr>
        <w:shd w:val="clear" w:color="auto" w:fill="FFC899"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AC66" w:themeColor="accent6" w:themeTint="99"/>
        <w:left w:val="single" w:sz="4" w:space="0" w:color="FFAC66" w:themeColor="accent6" w:themeTint="99"/>
        <w:bottom w:val="single" w:sz="4" w:space="0" w:color="FFAC66" w:themeColor="accent6" w:themeTint="99"/>
        <w:right w:val="single" w:sz="4" w:space="0" w:color="FFAC66" w:themeColor="accent6" w:themeTint="99"/>
        <w:insideH w:val="single" w:sz="4" w:space="0" w:color="FFAC66" w:themeColor="accent6" w:themeTint="99"/>
      </w:tblBorders>
    </w:tblPr>
    <w:tblStylePr w:type="firstRow">
      <w:rPr>
        <w:b/>
        <w:bCs/>
        <w:color w:val="FFFFFF" w:themeColor="background1"/>
      </w:rPr>
      <w:tblPr/>
      <w:tcPr>
        <w:tcBorders>
          <w:top w:val="single" w:sz="4" w:space="0" w:color="FF7600" w:themeColor="accent6"/>
          <w:left w:val="single" w:sz="4" w:space="0" w:color="FF7600" w:themeColor="accent6"/>
          <w:bottom w:val="single" w:sz="4" w:space="0" w:color="FF7600" w:themeColor="accent6"/>
          <w:right w:val="single" w:sz="4" w:space="0" w:color="FF7600" w:themeColor="accent6"/>
          <w:insideH w:val="nil"/>
        </w:tcBorders>
        <w:shd w:val="clear" w:color="auto" w:fill="FF7600" w:themeFill="accent6"/>
      </w:tcPr>
    </w:tblStylePr>
    <w:tblStylePr w:type="lastRow">
      <w:rPr>
        <w:b/>
        <w:bCs/>
      </w:rPr>
      <w:tblPr/>
      <w:tcPr>
        <w:tcBorders>
          <w:top w:val="double" w:sz="4" w:space="0" w:color="FFAC66" w:themeColor="accent6" w:themeTint="99"/>
        </w:tcBorders>
      </w:tcPr>
    </w:tblStylePr>
    <w:tblStylePr w:type="firstCol">
      <w:rPr>
        <w:b/>
        <w:bCs/>
      </w:rPr>
    </w:tblStylePr>
    <w:tblStylePr w:type="lastCol">
      <w:rPr>
        <w:b/>
        <w:bCs/>
      </w:rPr>
    </w:tblStylePr>
    <w:tblStylePr w:type="band1Vert">
      <w:tblPr/>
      <w:tcPr>
        <w:shd w:val="clear" w:color="auto" w:fill="FFE3CC" w:themeFill="accent6" w:themeFillTint="33"/>
      </w:tcPr>
    </w:tblStylePr>
    <w:tblStylePr w:type="band1Horz">
      <w:tblPr/>
      <w:tcPr>
        <w:shd w:val="clear" w:color="auto" w:fill="FFE3CC"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table" w:styleId="GridTable4-Accent1">
    <w:name w:val="Grid Table 4 Accent 1"/>
    <w:basedOn w:val="TableNormal"/>
    <w:uiPriority w:val="49"/>
    <w:rsid w:val="00673A94"/>
    <w:tblPr>
      <w:tblStyleRowBandSize w:val="1"/>
      <w:tblStyleColBandSize w:val="1"/>
      <w:tblBorders>
        <w:top w:val="single" w:sz="4" w:space="0" w:color="066AFF" w:themeColor="accent1" w:themeTint="99"/>
        <w:left w:val="single" w:sz="4" w:space="0" w:color="066AFF" w:themeColor="accent1" w:themeTint="99"/>
        <w:bottom w:val="single" w:sz="4" w:space="0" w:color="066AFF" w:themeColor="accent1" w:themeTint="99"/>
        <w:right w:val="single" w:sz="4" w:space="0" w:color="066AFF" w:themeColor="accent1" w:themeTint="99"/>
        <w:insideH w:val="single" w:sz="4" w:space="0" w:color="066AFF" w:themeColor="accent1" w:themeTint="99"/>
        <w:insideV w:val="single" w:sz="4" w:space="0" w:color="066AFF" w:themeColor="accent1" w:themeTint="99"/>
      </w:tblBorders>
    </w:tblPr>
    <w:tblStylePr w:type="firstRow">
      <w:rPr>
        <w:b/>
        <w:bCs/>
        <w:color w:val="FFFFFF" w:themeColor="background1"/>
      </w:rPr>
      <w:tblPr/>
      <w:tcPr>
        <w:tcBorders>
          <w:top w:val="single" w:sz="4" w:space="0" w:color="002760" w:themeColor="accent1"/>
          <w:left w:val="single" w:sz="4" w:space="0" w:color="002760" w:themeColor="accent1"/>
          <w:bottom w:val="single" w:sz="4" w:space="0" w:color="002760" w:themeColor="accent1"/>
          <w:right w:val="single" w:sz="4" w:space="0" w:color="002760" w:themeColor="accent1"/>
          <w:insideH w:val="nil"/>
          <w:insideV w:val="nil"/>
        </w:tcBorders>
        <w:shd w:val="clear" w:color="auto" w:fill="002760" w:themeFill="accent1"/>
      </w:tcPr>
    </w:tblStylePr>
    <w:tblStylePr w:type="lastRow">
      <w:rPr>
        <w:b/>
        <w:bCs/>
      </w:rPr>
      <w:tblPr/>
      <w:tcPr>
        <w:tcBorders>
          <w:top w:val="double" w:sz="4" w:space="0" w:color="002760" w:themeColor="accent1"/>
        </w:tcBorders>
      </w:tcPr>
    </w:tblStylePr>
    <w:tblStylePr w:type="firstCol">
      <w:rPr>
        <w:b/>
        <w:bCs/>
      </w:rPr>
    </w:tblStylePr>
    <w:tblStylePr w:type="lastCol">
      <w:rPr>
        <w:b/>
        <w:bCs/>
      </w:rPr>
    </w:tblStylePr>
    <w:tblStylePr w:type="band1Vert">
      <w:tblPr/>
      <w:tcPr>
        <w:shd w:val="clear" w:color="auto" w:fill="ACCDFF" w:themeFill="accent1" w:themeFillTint="33"/>
      </w:tcPr>
    </w:tblStylePr>
    <w:tblStylePr w:type="band1Horz">
      <w:tblPr/>
      <w:tcPr>
        <w:shd w:val="clear" w:color="auto" w:fill="ACCDFF" w:themeFill="accent1" w:themeFillTint="33"/>
      </w:tcPr>
    </w:tblStylePr>
  </w:style>
  <w:style w:type="paragraph" w:styleId="Caption">
    <w:name w:val="caption"/>
    <w:basedOn w:val="Normal"/>
    <w:next w:val="Normal"/>
    <w:uiPriority w:val="35"/>
    <w:unhideWhenUsed/>
    <w:rsid w:val="008A5ED2"/>
    <w:pPr>
      <w:spacing w:before="0" w:after="200"/>
    </w:pPr>
    <w:rPr>
      <w:i/>
      <w:iCs/>
      <w:color w:val="003591" w:themeColor="text2"/>
      <w:sz w:val="18"/>
      <w:szCs w:val="18"/>
    </w:rPr>
  </w:style>
  <w:style w:type="character" w:styleId="CommentReference">
    <w:name w:val="annotation reference"/>
    <w:basedOn w:val="DefaultParagraphFont"/>
    <w:semiHidden/>
    <w:unhideWhenUsed/>
    <w:rsid w:val="000F71B4"/>
    <w:rPr>
      <w:sz w:val="16"/>
      <w:szCs w:val="16"/>
    </w:rPr>
  </w:style>
  <w:style w:type="paragraph" w:styleId="CommentText">
    <w:name w:val="annotation text"/>
    <w:basedOn w:val="Normal"/>
    <w:link w:val="CommentTextChar"/>
    <w:unhideWhenUsed/>
    <w:rsid w:val="000F71B4"/>
    <w:rPr>
      <w:sz w:val="20"/>
    </w:rPr>
  </w:style>
  <w:style w:type="character" w:customStyle="1" w:styleId="CommentTextChar">
    <w:name w:val="Comment Text Char"/>
    <w:basedOn w:val="DefaultParagraphFont"/>
    <w:link w:val="CommentText"/>
    <w:rsid w:val="000F71B4"/>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0F71B4"/>
    <w:rPr>
      <w:b/>
      <w:bCs/>
    </w:rPr>
  </w:style>
  <w:style w:type="character" w:customStyle="1" w:styleId="CommentSubjectChar">
    <w:name w:val="Comment Subject Char"/>
    <w:basedOn w:val="CommentTextChar"/>
    <w:link w:val="CommentSubject"/>
    <w:semiHidden/>
    <w:rsid w:val="000F71B4"/>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51917860">
      <w:bodyDiv w:val="1"/>
      <w:marLeft w:val="0"/>
      <w:marRight w:val="0"/>
      <w:marTop w:val="0"/>
      <w:marBottom w:val="0"/>
      <w:divBdr>
        <w:top w:val="none" w:sz="0" w:space="0" w:color="auto"/>
        <w:left w:val="none" w:sz="0" w:space="0" w:color="auto"/>
        <w:bottom w:val="none" w:sz="0" w:space="0" w:color="auto"/>
        <w:right w:val="none" w:sz="0" w:space="0" w:color="auto"/>
      </w:divBdr>
      <w:divsChild>
        <w:div w:id="243882863">
          <w:marLeft w:val="0"/>
          <w:marRight w:val="0"/>
          <w:marTop w:val="0"/>
          <w:marBottom w:val="0"/>
          <w:divBdr>
            <w:top w:val="none" w:sz="0" w:space="0" w:color="auto"/>
            <w:left w:val="none" w:sz="0" w:space="0" w:color="auto"/>
            <w:bottom w:val="none" w:sz="0" w:space="0" w:color="auto"/>
            <w:right w:val="none" w:sz="0" w:space="0" w:color="auto"/>
          </w:divBdr>
        </w:div>
        <w:div w:id="1180700897">
          <w:marLeft w:val="0"/>
          <w:marRight w:val="0"/>
          <w:marTop w:val="0"/>
          <w:marBottom w:val="0"/>
          <w:divBdr>
            <w:top w:val="none" w:sz="0" w:space="0" w:color="auto"/>
            <w:left w:val="none" w:sz="0" w:space="0" w:color="auto"/>
            <w:bottom w:val="none" w:sz="0" w:space="0" w:color="auto"/>
            <w:right w:val="none" w:sz="0" w:space="0" w:color="auto"/>
          </w:divBdr>
        </w:div>
        <w:div w:id="1334260606">
          <w:marLeft w:val="0"/>
          <w:marRight w:val="0"/>
          <w:marTop w:val="0"/>
          <w:marBottom w:val="0"/>
          <w:divBdr>
            <w:top w:val="none" w:sz="0" w:space="0" w:color="auto"/>
            <w:left w:val="none" w:sz="0" w:space="0" w:color="auto"/>
            <w:bottom w:val="none" w:sz="0" w:space="0" w:color="auto"/>
            <w:right w:val="none" w:sz="0" w:space="0" w:color="auto"/>
          </w:divBdr>
        </w:div>
        <w:div w:id="2146115343">
          <w:marLeft w:val="0"/>
          <w:marRight w:val="0"/>
          <w:marTop w:val="0"/>
          <w:marBottom w:val="0"/>
          <w:divBdr>
            <w:top w:val="none" w:sz="0" w:space="0" w:color="auto"/>
            <w:left w:val="none" w:sz="0" w:space="0" w:color="auto"/>
            <w:bottom w:val="none" w:sz="0" w:space="0" w:color="auto"/>
            <w:right w:val="none" w:sz="0" w:space="0" w:color="auto"/>
          </w:divBdr>
        </w:div>
      </w:divsChild>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isters.treasury.gov.au/ministers/stephen-jones-2022/media-releases/albanese-government-reset-consumer-data-right" TargetMode="External"/><Relationship Id="rId1" Type="http://schemas.openxmlformats.org/officeDocument/2006/relationships/hyperlink" Target="https://treasury.gov.au/sites/default/files/2023-08/c2023-434434-expansion-pi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Consumer Data Right">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Information sheet: Expanding the CDR to non-bank lending and narrowing the scope of CDR data in banking</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Expanding the CDR to non-bank lending and narrowing the scope of CDR data in banking</dc:title>
  <dc:subject/>
  <dc:creator/>
  <cp:keywords/>
  <dc:description/>
  <cp:lastModifiedBy/>
  <cp:revision>1</cp:revision>
  <dcterms:created xsi:type="dcterms:W3CDTF">2024-11-22T03:53:00Z</dcterms:created>
  <dcterms:modified xsi:type="dcterms:W3CDTF">2024-11-25T21:55:00Z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2024-11-22T03:54:25Z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b49cef30-7042-4c32-93c8-4894a26e2f3f</vt:lpwstr>
  </property>
  <property fmtid="{D5CDD505-2E9C-101B-9397-08002B2CF9AE}" pid="8" name="MSIP_Label_4f932d64-9ab1-4d9b-81d2-a3a8b82dd47d_ContentBits">
    <vt:lpwstr>0</vt:lpwstr>
  </property>
</Properties>
</file>