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5CF2" w14:textId="187CA14B" w:rsidR="00986A46" w:rsidRPr="006E76BE" w:rsidRDefault="00EF1652" w:rsidP="00CC3085">
      <w:pPr>
        <w:pStyle w:val="Factsheettitle"/>
        <w:spacing w:before="960" w:after="360"/>
      </w:pPr>
      <w:r>
        <w:t>Community Charity Deductible Gift Recipient Framework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3FBFF9EF" w14:textId="77777777" w:rsidTr="00FC2E34">
        <w:tc>
          <w:tcPr>
            <w:tcW w:w="8498" w:type="dxa"/>
            <w:shd w:val="clear" w:color="auto" w:fill="auto"/>
          </w:tcPr>
          <w:p w14:paraId="77457C56" w14:textId="175D9EB2" w:rsidR="00FC2E34" w:rsidRPr="00CC3085" w:rsidRDefault="002378E4" w:rsidP="00CC3085">
            <w:pPr>
              <w:pStyle w:val="Introtext"/>
              <w:ind w:hanging="11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Q&amp;A </w:t>
            </w:r>
            <w:r w:rsidR="00EF1652" w:rsidRPr="00CC3085">
              <w:rPr>
                <w:sz w:val="44"/>
                <w:szCs w:val="44"/>
              </w:rPr>
              <w:t>Factsheet</w:t>
            </w:r>
          </w:p>
        </w:tc>
      </w:tr>
    </w:tbl>
    <w:p w14:paraId="67814350" w14:textId="110AF34E" w:rsidR="006E7DC2" w:rsidRDefault="007B6E24" w:rsidP="002A74BD">
      <w:pPr>
        <w:rPr>
          <w:rFonts w:cs="Calibri Light"/>
          <w:szCs w:val="22"/>
        </w:rPr>
      </w:pPr>
      <w:r w:rsidRPr="007B6E24">
        <w:rPr>
          <w:rFonts w:cstheme="minorHAnsi"/>
          <w:bCs/>
        </w:rPr>
        <w:t xml:space="preserve">This factsheet provides </w:t>
      </w:r>
      <w:r w:rsidR="004A53AD">
        <w:rPr>
          <w:rFonts w:cstheme="minorHAnsi"/>
          <w:bCs/>
        </w:rPr>
        <w:t xml:space="preserve">questions and answers </w:t>
      </w:r>
      <w:r w:rsidR="00610D97">
        <w:rPr>
          <w:rFonts w:cstheme="minorHAnsi"/>
          <w:bCs/>
        </w:rPr>
        <w:t>about</w:t>
      </w:r>
      <w:r w:rsidR="0017388F">
        <w:rPr>
          <w:rFonts w:cstheme="minorHAnsi"/>
          <w:bCs/>
        </w:rPr>
        <w:t xml:space="preserve"> </w:t>
      </w:r>
      <w:r w:rsidR="00492829">
        <w:rPr>
          <w:rFonts w:cstheme="minorHAnsi"/>
          <w:bCs/>
        </w:rPr>
        <w:t xml:space="preserve">the new </w:t>
      </w:r>
      <w:r w:rsidR="00DC0C7F">
        <w:rPr>
          <w:rFonts w:cstheme="minorHAnsi"/>
          <w:bCs/>
        </w:rPr>
        <w:t>c</w:t>
      </w:r>
      <w:r w:rsidR="00D5109E">
        <w:rPr>
          <w:rFonts w:cstheme="minorHAnsi"/>
          <w:bCs/>
        </w:rPr>
        <w:t xml:space="preserve">ommunity </w:t>
      </w:r>
      <w:r w:rsidR="00DC0C7F">
        <w:rPr>
          <w:rFonts w:cstheme="minorHAnsi"/>
          <w:bCs/>
        </w:rPr>
        <w:t>c</w:t>
      </w:r>
      <w:r w:rsidR="00541166">
        <w:rPr>
          <w:rFonts w:cstheme="minorHAnsi"/>
          <w:bCs/>
        </w:rPr>
        <w:t>harity</w:t>
      </w:r>
      <w:r w:rsidR="00D5109E">
        <w:rPr>
          <w:rFonts w:cstheme="minorHAnsi"/>
          <w:bCs/>
        </w:rPr>
        <w:t xml:space="preserve"> </w:t>
      </w:r>
      <w:r w:rsidR="00DC0C7F">
        <w:rPr>
          <w:rFonts w:cstheme="minorHAnsi"/>
          <w:bCs/>
        </w:rPr>
        <w:t>d</w:t>
      </w:r>
      <w:r w:rsidR="00D5109E">
        <w:rPr>
          <w:rFonts w:cstheme="minorHAnsi"/>
          <w:bCs/>
        </w:rPr>
        <w:t xml:space="preserve">eductible </w:t>
      </w:r>
      <w:r w:rsidR="00DC0C7F">
        <w:rPr>
          <w:rFonts w:cstheme="minorHAnsi"/>
          <w:bCs/>
        </w:rPr>
        <w:t>g</w:t>
      </w:r>
      <w:r w:rsidR="00D5109E">
        <w:rPr>
          <w:rFonts w:cstheme="minorHAnsi"/>
          <w:bCs/>
        </w:rPr>
        <w:t xml:space="preserve">ift </w:t>
      </w:r>
      <w:r w:rsidR="00DC0C7F">
        <w:rPr>
          <w:rFonts w:cstheme="minorHAnsi"/>
          <w:bCs/>
        </w:rPr>
        <w:t>r</w:t>
      </w:r>
      <w:r w:rsidR="00D5109E">
        <w:rPr>
          <w:rFonts w:cstheme="minorHAnsi"/>
          <w:bCs/>
        </w:rPr>
        <w:t>ecipient (</w:t>
      </w:r>
      <w:r w:rsidR="00AC40A4">
        <w:rPr>
          <w:rFonts w:cstheme="minorHAnsi"/>
          <w:bCs/>
        </w:rPr>
        <w:t>DGR)</w:t>
      </w:r>
      <w:r w:rsidR="00D5109E">
        <w:rPr>
          <w:rFonts w:cstheme="minorHAnsi"/>
          <w:bCs/>
        </w:rPr>
        <w:t xml:space="preserve"> framework in</w:t>
      </w:r>
      <w:r w:rsidR="00541166">
        <w:rPr>
          <w:rFonts w:cstheme="minorHAnsi"/>
          <w:bCs/>
        </w:rPr>
        <w:t xml:space="preserve"> </w:t>
      </w:r>
      <w:r w:rsidR="00DC0C7F">
        <w:rPr>
          <w:rFonts w:cstheme="minorHAnsi"/>
          <w:bCs/>
        </w:rPr>
        <w:t>s</w:t>
      </w:r>
      <w:r w:rsidR="00541166">
        <w:t xml:space="preserve">ubdivision 30-B of the </w:t>
      </w:r>
      <w:r w:rsidR="00541166" w:rsidRPr="00541166">
        <w:rPr>
          <w:i/>
          <w:iCs/>
        </w:rPr>
        <w:t>Income Tax Assessment Act 1997</w:t>
      </w:r>
      <w:r w:rsidR="00541166">
        <w:t xml:space="preserve"> (ITAA 1997). </w:t>
      </w:r>
      <w:bookmarkStart w:id="0" w:name="tempbookmark"/>
      <w:bookmarkEnd w:id="0"/>
      <w:r w:rsidR="00F55FF6">
        <w:t xml:space="preserve">It also provides </w:t>
      </w:r>
      <w:r w:rsidR="00CB2D4C">
        <w:rPr>
          <w:rFonts w:cs="Calibri Light"/>
          <w:szCs w:val="22"/>
        </w:rPr>
        <w:t xml:space="preserve">further information on the draft </w:t>
      </w:r>
      <w:r w:rsidR="004D4C28">
        <w:rPr>
          <w:rFonts w:cs="Calibri Light"/>
          <w:szCs w:val="22"/>
        </w:rPr>
        <w:t xml:space="preserve">ministerial </w:t>
      </w:r>
      <w:r w:rsidR="00CB2D4C">
        <w:rPr>
          <w:rFonts w:cs="Calibri Light"/>
          <w:szCs w:val="22"/>
        </w:rPr>
        <w:t xml:space="preserve">guidelines </w:t>
      </w:r>
      <w:r w:rsidR="00C37123">
        <w:rPr>
          <w:rFonts w:cs="Calibri Light"/>
          <w:szCs w:val="22"/>
        </w:rPr>
        <w:t xml:space="preserve">that </w:t>
      </w:r>
      <w:r w:rsidR="00A55971">
        <w:rPr>
          <w:rFonts w:cs="Calibri Light"/>
          <w:szCs w:val="22"/>
        </w:rPr>
        <w:t>Treasury has released for consultation</w:t>
      </w:r>
      <w:r w:rsidR="006E7DC2">
        <w:rPr>
          <w:rFonts w:cs="Calibri Light"/>
          <w:szCs w:val="22"/>
        </w:rPr>
        <w:t xml:space="preserve"> which sets out the proposed rules</w:t>
      </w:r>
      <w:r w:rsidR="005258F9">
        <w:rPr>
          <w:rFonts w:cs="Calibri Light"/>
          <w:szCs w:val="22"/>
        </w:rPr>
        <w:t xml:space="preserve"> communit</w:t>
      </w:r>
      <w:r w:rsidR="00AC14D5">
        <w:rPr>
          <w:rFonts w:cs="Calibri Light"/>
          <w:szCs w:val="22"/>
        </w:rPr>
        <w:t>y</w:t>
      </w:r>
      <w:r w:rsidR="005258F9">
        <w:rPr>
          <w:rFonts w:cs="Calibri Light"/>
          <w:szCs w:val="22"/>
        </w:rPr>
        <w:t xml:space="preserve"> charities must follow</w:t>
      </w:r>
      <w:r w:rsidR="00C37123">
        <w:rPr>
          <w:rFonts w:cs="Calibri Light"/>
          <w:szCs w:val="22"/>
        </w:rPr>
        <w:t xml:space="preserve"> under this framework</w:t>
      </w:r>
      <w:r w:rsidR="005237E7">
        <w:rPr>
          <w:rFonts w:cs="Calibri Light"/>
          <w:szCs w:val="22"/>
        </w:rPr>
        <w:t xml:space="preserve">. </w:t>
      </w:r>
    </w:p>
    <w:p w14:paraId="34DA719B" w14:textId="6670DDBC" w:rsidR="00BC2219" w:rsidRDefault="00A767AC" w:rsidP="002A74BD">
      <w:pPr>
        <w:rPr>
          <w:rFonts w:cs="Calibri Light"/>
          <w:szCs w:val="22"/>
        </w:rPr>
      </w:pPr>
      <w:r>
        <w:rPr>
          <w:rFonts w:cs="Calibri Light"/>
          <w:szCs w:val="22"/>
        </w:rPr>
        <w:t>General information on the DGR endorsement process is available on the ATO website</w:t>
      </w:r>
      <w:r w:rsidR="007043BF">
        <w:rPr>
          <w:rFonts w:cs="Calibri Light"/>
          <w:szCs w:val="22"/>
        </w:rPr>
        <w:t xml:space="preserve">. The ATO will publish </w:t>
      </w:r>
      <w:r w:rsidR="00F26720">
        <w:rPr>
          <w:rFonts w:cs="Calibri Light"/>
          <w:szCs w:val="22"/>
        </w:rPr>
        <w:t>specific</w:t>
      </w:r>
      <w:r w:rsidR="00920F61">
        <w:rPr>
          <w:rFonts w:cs="Calibri Light"/>
          <w:szCs w:val="22"/>
        </w:rPr>
        <w:t xml:space="preserve"> </w:t>
      </w:r>
      <w:r w:rsidR="007043BF">
        <w:rPr>
          <w:rFonts w:cs="Calibri Light"/>
          <w:szCs w:val="22"/>
        </w:rPr>
        <w:t xml:space="preserve">information </w:t>
      </w:r>
      <w:r w:rsidR="00920F61">
        <w:rPr>
          <w:rFonts w:cs="Calibri Light"/>
          <w:szCs w:val="22"/>
        </w:rPr>
        <w:t xml:space="preserve">about the </w:t>
      </w:r>
      <w:r w:rsidR="007043BF">
        <w:rPr>
          <w:rFonts w:cs="Calibri Light"/>
          <w:szCs w:val="22"/>
        </w:rPr>
        <w:t xml:space="preserve">community charity category </w:t>
      </w:r>
      <w:r w:rsidR="00A825E3">
        <w:rPr>
          <w:rFonts w:cs="Calibri Light"/>
          <w:szCs w:val="22"/>
        </w:rPr>
        <w:t>when the government has finalised the</w:t>
      </w:r>
      <w:r w:rsidR="003B0102">
        <w:rPr>
          <w:rFonts w:cs="Calibri Light"/>
          <w:szCs w:val="22"/>
        </w:rPr>
        <w:t xml:space="preserve"> ministerial</w:t>
      </w:r>
      <w:r w:rsidR="00A825E3">
        <w:rPr>
          <w:rFonts w:cs="Calibri Light"/>
          <w:szCs w:val="22"/>
        </w:rPr>
        <w:t xml:space="preserve"> guidelines.</w:t>
      </w:r>
    </w:p>
    <w:p w14:paraId="32C80539" w14:textId="7DDCD359" w:rsidR="00991751" w:rsidRPr="007B6E24" w:rsidRDefault="00991751" w:rsidP="002A74BD">
      <w:r>
        <w:rPr>
          <w:rFonts w:cs="Calibri Light"/>
          <w:szCs w:val="22"/>
        </w:rPr>
        <w:t xml:space="preserve">Treasury will </w:t>
      </w:r>
      <w:r w:rsidR="005B6C12">
        <w:rPr>
          <w:rFonts w:cs="Calibri Light"/>
          <w:szCs w:val="22"/>
        </w:rPr>
        <w:t xml:space="preserve">also </w:t>
      </w:r>
      <w:r>
        <w:rPr>
          <w:rFonts w:cs="Calibri Light"/>
          <w:szCs w:val="22"/>
        </w:rPr>
        <w:t>separately publish information on how an organisation may seek</w:t>
      </w:r>
      <w:r w:rsidR="009D0798">
        <w:rPr>
          <w:rFonts w:cs="Calibri Light"/>
          <w:szCs w:val="22"/>
        </w:rPr>
        <w:t xml:space="preserve"> to become a community charity DGR</w:t>
      </w:r>
      <w:r w:rsidR="005F65A4">
        <w:rPr>
          <w:rFonts w:cs="Calibri Light"/>
          <w:szCs w:val="22"/>
        </w:rPr>
        <w:t>.</w:t>
      </w:r>
    </w:p>
    <w:p w14:paraId="4A857943" w14:textId="28DB1D84" w:rsidR="00683BDF" w:rsidRPr="00CC3085" w:rsidRDefault="00683BDF" w:rsidP="00683BDF">
      <w:pPr>
        <w:pStyle w:val="Heading2"/>
        <w:spacing w:before="120"/>
      </w:pPr>
      <w:r w:rsidRPr="00683BDF">
        <w:t>Eligibility</w:t>
      </w:r>
      <w:r w:rsidRPr="00CC3085">
        <w:t xml:space="preserve"> </w:t>
      </w:r>
      <w:r>
        <w:t>to be a community charity</w:t>
      </w:r>
    </w:p>
    <w:p w14:paraId="453AAF24" w14:textId="77777777" w:rsidR="000D0F6A" w:rsidRDefault="000D0F6A" w:rsidP="000D0F6A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>
        <w:rPr>
          <w:b/>
          <w:bCs/>
          <w:color w:val="2C384A" w:themeColor="accent1"/>
          <w:szCs w:val="22"/>
        </w:rPr>
        <w:t>How can a community charity be eligible for DGR endorsement?</w:t>
      </w:r>
    </w:p>
    <w:p w14:paraId="775DDD14" w14:textId="5C6F2807" w:rsidR="000D0F6A" w:rsidRDefault="000D0F6A" w:rsidP="000D0F6A">
      <w:r>
        <w:t>A community charity is a trust</w:t>
      </w:r>
      <w:r w:rsidR="00BF7273">
        <w:t>, a constitutional corporation</w:t>
      </w:r>
      <w:r>
        <w:t xml:space="preserve"> or a body corporate that: </w:t>
      </w:r>
    </w:p>
    <w:p w14:paraId="66F742C5" w14:textId="77777777" w:rsidR="000D0F6A" w:rsidRPr="00452534" w:rsidRDefault="000D0F6A" w:rsidP="000D0F6A">
      <w:pPr>
        <w:pStyle w:val="Bullet"/>
        <w:numPr>
          <w:ilvl w:val="0"/>
          <w:numId w:val="2"/>
        </w:numPr>
        <w:tabs>
          <w:tab w:val="clear" w:pos="340"/>
          <w:tab w:val="num" w:pos="567"/>
        </w:tabs>
        <w:spacing w:after="240" w:line="240" w:lineRule="auto"/>
        <w:ind w:left="567" w:hanging="283"/>
        <w:rPr>
          <w:rFonts w:cstheme="minorHAnsi"/>
          <w:bCs/>
        </w:rPr>
      </w:pPr>
      <w:r w:rsidRPr="00452534">
        <w:rPr>
          <w:rFonts w:cs="Calibri Light"/>
          <w:szCs w:val="22"/>
        </w:rPr>
        <w:t xml:space="preserve">has </w:t>
      </w:r>
      <w:r>
        <w:rPr>
          <w:rFonts w:cs="Calibri Light"/>
          <w:szCs w:val="22"/>
        </w:rPr>
        <w:t xml:space="preserve">been </w:t>
      </w:r>
      <w:r w:rsidRPr="00452534">
        <w:rPr>
          <w:rFonts w:cs="Calibri Light"/>
          <w:szCs w:val="22"/>
        </w:rPr>
        <w:t>named in a</w:t>
      </w:r>
      <w:r>
        <w:rPr>
          <w:rFonts w:cs="Calibri Light"/>
          <w:szCs w:val="22"/>
        </w:rPr>
        <w:t xml:space="preserve"> ministerial</w:t>
      </w:r>
      <w:r w:rsidRPr="00452534">
        <w:rPr>
          <w:rFonts w:cs="Calibri Light"/>
          <w:szCs w:val="22"/>
        </w:rPr>
        <w:t xml:space="preserve"> declaration</w:t>
      </w:r>
      <w:r>
        <w:rPr>
          <w:rFonts w:cs="Calibri Light"/>
          <w:szCs w:val="22"/>
        </w:rPr>
        <w:t>, and</w:t>
      </w:r>
    </w:p>
    <w:p w14:paraId="36C97F2C" w14:textId="120DA6D1" w:rsidR="000D0F6A" w:rsidRPr="002A74BD" w:rsidRDefault="00AC14D5" w:rsidP="000D0F6A">
      <w:pPr>
        <w:pStyle w:val="Bullet"/>
        <w:numPr>
          <w:ilvl w:val="0"/>
          <w:numId w:val="2"/>
        </w:numPr>
        <w:tabs>
          <w:tab w:val="clear" w:pos="340"/>
          <w:tab w:val="num" w:pos="567"/>
        </w:tabs>
        <w:spacing w:after="240" w:line="240" w:lineRule="auto"/>
        <w:ind w:left="567" w:hanging="283"/>
        <w:rPr>
          <w:rFonts w:cstheme="minorHAnsi"/>
          <w:bCs/>
        </w:rPr>
      </w:pPr>
      <w:r>
        <w:rPr>
          <w:rFonts w:cs="Calibri Light"/>
          <w:szCs w:val="22"/>
        </w:rPr>
        <w:t xml:space="preserve">agrees to </w:t>
      </w:r>
      <w:r w:rsidR="000D0F6A" w:rsidRPr="004773FF">
        <w:rPr>
          <w:rFonts w:cs="Calibri Light"/>
          <w:szCs w:val="22"/>
        </w:rPr>
        <w:t>compl</w:t>
      </w:r>
      <w:r>
        <w:rPr>
          <w:rFonts w:cs="Calibri Light"/>
          <w:szCs w:val="22"/>
        </w:rPr>
        <w:t>y</w:t>
      </w:r>
      <w:r w:rsidR="000D0F6A" w:rsidRPr="004773FF">
        <w:rPr>
          <w:rFonts w:cs="Calibri Light"/>
          <w:szCs w:val="22"/>
        </w:rPr>
        <w:t xml:space="preserve"> with</w:t>
      </w:r>
      <w:r w:rsidR="000D0F6A">
        <w:rPr>
          <w:rFonts w:cs="Calibri Light"/>
          <w:szCs w:val="22"/>
        </w:rPr>
        <w:t xml:space="preserve"> the </w:t>
      </w:r>
      <w:r w:rsidR="000D0F6A">
        <w:t>m</w:t>
      </w:r>
      <w:r w:rsidR="000D0F6A" w:rsidRPr="00D00910">
        <w:t>inisterial guidelines</w:t>
      </w:r>
      <w:r w:rsidR="000D0F6A" w:rsidRPr="00F6752D">
        <w:t>.</w:t>
      </w:r>
    </w:p>
    <w:p w14:paraId="6B207B45" w14:textId="6F50B1CC" w:rsidR="000D0F6A" w:rsidRDefault="000D0F6A" w:rsidP="000D0F6A">
      <w:pPr>
        <w:rPr>
          <w:rFonts w:cs="Calibri Light"/>
          <w:szCs w:val="22"/>
        </w:rPr>
      </w:pPr>
      <w:r>
        <w:t xml:space="preserve">If the above is met and the community charity is </w:t>
      </w:r>
      <w:r w:rsidRPr="004773FF">
        <w:rPr>
          <w:rFonts w:cs="Calibri Light"/>
          <w:szCs w:val="22"/>
        </w:rPr>
        <w:t>registered as a charity with the Australian Charities and Not</w:t>
      </w:r>
      <w:r w:rsidRPr="004773FF">
        <w:rPr>
          <w:rFonts w:cs="Calibri Light"/>
          <w:szCs w:val="22"/>
        </w:rPr>
        <w:noBreakHyphen/>
        <w:t>for</w:t>
      </w:r>
      <w:r w:rsidRPr="004773FF">
        <w:rPr>
          <w:rFonts w:cs="Calibri Light"/>
          <w:szCs w:val="22"/>
        </w:rPr>
        <w:noBreakHyphen/>
        <w:t>profits Commission</w:t>
      </w:r>
      <w:r>
        <w:rPr>
          <w:rFonts w:cs="Calibri Light"/>
          <w:szCs w:val="22"/>
        </w:rPr>
        <w:t xml:space="preserve"> (ACNC), it will be eligible for </w:t>
      </w:r>
      <w:r w:rsidR="00AE4074">
        <w:rPr>
          <w:rFonts w:cs="Calibri Light"/>
          <w:szCs w:val="22"/>
        </w:rPr>
        <w:t xml:space="preserve">DGR </w:t>
      </w:r>
      <w:r>
        <w:rPr>
          <w:rFonts w:cs="Calibri Light"/>
          <w:szCs w:val="22"/>
        </w:rPr>
        <w:t>endorsement by the Australian Taxation Office (ATO).</w:t>
      </w:r>
    </w:p>
    <w:p w14:paraId="08C89B50" w14:textId="77777777" w:rsidR="002A3957" w:rsidRDefault="003D0E86" w:rsidP="00692B29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CC3085">
        <w:rPr>
          <w:b/>
          <w:bCs/>
          <w:color w:val="2C384A" w:themeColor="accent1"/>
          <w:szCs w:val="22"/>
        </w:rPr>
        <w:t xml:space="preserve">What is a </w:t>
      </w:r>
      <w:r w:rsidR="002623A0" w:rsidRPr="00CC3085">
        <w:rPr>
          <w:b/>
          <w:bCs/>
          <w:color w:val="2C384A" w:themeColor="accent1"/>
          <w:szCs w:val="22"/>
        </w:rPr>
        <w:t>ministerial declaration?</w:t>
      </w:r>
    </w:p>
    <w:p w14:paraId="4D62A68F" w14:textId="772B06DC" w:rsidR="002A3957" w:rsidRDefault="007B0746" w:rsidP="002A3957">
      <w:pPr>
        <w:rPr>
          <w:rFonts w:cs="Calibri Light"/>
          <w:szCs w:val="22"/>
        </w:rPr>
      </w:pPr>
      <w:r w:rsidRPr="00CC3085">
        <w:rPr>
          <w:rFonts w:cs="Calibri Light"/>
          <w:szCs w:val="22"/>
        </w:rPr>
        <w:t xml:space="preserve">A </w:t>
      </w:r>
      <w:r w:rsidR="00CA2B4D" w:rsidRPr="00CA2B4D">
        <w:rPr>
          <w:rFonts w:cs="Calibri Light"/>
          <w:szCs w:val="22"/>
        </w:rPr>
        <w:t>ministerial declaration</w:t>
      </w:r>
      <w:r w:rsidRPr="00CC3085">
        <w:rPr>
          <w:rFonts w:cs="Calibri Light"/>
          <w:szCs w:val="22"/>
        </w:rPr>
        <w:t xml:space="preserve"> is a legislative instrument</w:t>
      </w:r>
      <w:r w:rsidR="00453105">
        <w:rPr>
          <w:rFonts w:cs="Calibri Light"/>
          <w:szCs w:val="22"/>
        </w:rPr>
        <w:t xml:space="preserve"> </w:t>
      </w:r>
      <w:r w:rsidRPr="00CC3085">
        <w:rPr>
          <w:rFonts w:cs="Calibri Light"/>
          <w:szCs w:val="22"/>
        </w:rPr>
        <w:t xml:space="preserve">that </w:t>
      </w:r>
      <w:r>
        <w:rPr>
          <w:rFonts w:cs="Calibri Light"/>
          <w:szCs w:val="22"/>
        </w:rPr>
        <w:t>specifically names a trust or incorporated entit</w:t>
      </w:r>
      <w:r w:rsidR="006D005C">
        <w:rPr>
          <w:rFonts w:cs="Calibri Light"/>
          <w:szCs w:val="22"/>
        </w:rPr>
        <w:t>y</w:t>
      </w:r>
      <w:r w:rsidR="00D5086F">
        <w:rPr>
          <w:rFonts w:cs="Calibri Light"/>
          <w:szCs w:val="22"/>
        </w:rPr>
        <w:t xml:space="preserve"> and</w:t>
      </w:r>
      <w:r w:rsidR="005B5188">
        <w:rPr>
          <w:rFonts w:cs="Calibri Light"/>
          <w:szCs w:val="22"/>
        </w:rPr>
        <w:t xml:space="preserve"> provides an eligibility pathway for DGR </w:t>
      </w:r>
      <w:r w:rsidR="00CA2B4D">
        <w:rPr>
          <w:rFonts w:cs="Calibri Light"/>
          <w:szCs w:val="22"/>
        </w:rPr>
        <w:t>endorsement</w:t>
      </w:r>
      <w:r w:rsidR="005B5188">
        <w:rPr>
          <w:rFonts w:cs="Calibri Light"/>
          <w:szCs w:val="22"/>
        </w:rPr>
        <w:t xml:space="preserve"> from the ATO. </w:t>
      </w:r>
    </w:p>
    <w:p w14:paraId="1689C82C" w14:textId="0C74EF9F" w:rsidR="005B5188" w:rsidRDefault="002F0091" w:rsidP="002A3957">
      <w:pPr>
        <w:rPr>
          <w:b/>
          <w:bCs/>
          <w:color w:val="2C384A" w:themeColor="accent1"/>
          <w:szCs w:val="22"/>
        </w:rPr>
      </w:pPr>
      <w:r>
        <w:t>T</w:t>
      </w:r>
      <w:r w:rsidR="00CA2B4D">
        <w:t>his framework will initially only apply to a small number of named community charities</w:t>
      </w:r>
      <w:r w:rsidR="0083521E">
        <w:t>, specifically 28</w:t>
      </w:r>
      <w:r>
        <w:t xml:space="preserve"> </w:t>
      </w:r>
      <w:r w:rsidR="0083521E">
        <w:t>o</w:t>
      </w:r>
      <w:r w:rsidR="004029D9">
        <w:t xml:space="preserve">rganisations </w:t>
      </w:r>
      <w:r>
        <w:t>affiliated with Community Foundations Australia.</w:t>
      </w:r>
      <w:r w:rsidR="00CA2B4D">
        <w:t xml:space="preserve"> </w:t>
      </w:r>
      <w:r>
        <w:t>A</w:t>
      </w:r>
      <w:r w:rsidR="00CA2B4D">
        <w:t>dditional organisations c</w:t>
      </w:r>
      <w:r w:rsidR="007C4E05">
        <w:t>ould</w:t>
      </w:r>
      <w:r w:rsidR="00CA2B4D">
        <w:t xml:space="preserve"> be brought within scope in</w:t>
      </w:r>
      <w:r w:rsidR="00EF4D92">
        <w:t xml:space="preserve"> the</w:t>
      </w:r>
      <w:r w:rsidR="00CA2B4D">
        <w:t xml:space="preserve"> future</w:t>
      </w:r>
      <w:r w:rsidR="00D5086F">
        <w:t>.</w:t>
      </w:r>
      <w:r w:rsidR="00CA2B4D">
        <w:t xml:space="preserve"> </w:t>
      </w:r>
    </w:p>
    <w:p w14:paraId="40E59BE3" w14:textId="77777777" w:rsidR="00B463C3" w:rsidRDefault="002623A0" w:rsidP="00292081">
      <w:pPr>
        <w:pStyle w:val="Heading2"/>
        <w:spacing w:before="120"/>
        <w:rPr>
          <w:rFonts w:ascii="Calibri Light" w:hAnsi="Calibri Light" w:cs="Times New Roman"/>
          <w:b/>
          <w:bCs/>
          <w:color w:val="2C384A" w:themeColor="accent1"/>
          <w:kern w:val="0"/>
          <w:sz w:val="22"/>
          <w:szCs w:val="22"/>
        </w:rPr>
      </w:pPr>
      <w:r w:rsidRPr="00CC3085">
        <w:rPr>
          <w:rFonts w:ascii="Calibri Light" w:hAnsi="Calibri Light" w:cs="Times New Roman"/>
          <w:b/>
          <w:bCs/>
          <w:color w:val="2C384A" w:themeColor="accent1"/>
          <w:kern w:val="0"/>
          <w:sz w:val="22"/>
          <w:szCs w:val="22"/>
        </w:rPr>
        <w:t xml:space="preserve"> </w:t>
      </w:r>
    </w:p>
    <w:p w14:paraId="0AD1D1A5" w14:textId="77777777" w:rsidR="00B463C3" w:rsidRDefault="00B463C3">
      <w:pPr>
        <w:spacing w:before="0" w:after="0"/>
        <w:rPr>
          <w:b/>
          <w:bCs/>
          <w:iCs/>
          <w:color w:val="2C384A" w:themeColor="accent1"/>
          <w:szCs w:val="22"/>
        </w:rPr>
      </w:pPr>
      <w:r>
        <w:rPr>
          <w:b/>
          <w:bCs/>
          <w:color w:val="2C384A" w:themeColor="accent1"/>
          <w:szCs w:val="22"/>
        </w:rPr>
        <w:br w:type="page"/>
      </w:r>
    </w:p>
    <w:p w14:paraId="110D2989" w14:textId="439A2031" w:rsidR="00B57F85" w:rsidRDefault="00B57F85" w:rsidP="00292081">
      <w:pPr>
        <w:pStyle w:val="Heading2"/>
        <w:spacing w:before="120"/>
      </w:pPr>
      <w:r>
        <w:lastRenderedPageBreak/>
        <w:t>Purposes of a community charity</w:t>
      </w:r>
    </w:p>
    <w:p w14:paraId="04BB1E1C" w14:textId="77777777" w:rsidR="00C05F1E" w:rsidRPr="00541166" w:rsidRDefault="00C05F1E" w:rsidP="00171472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541166">
        <w:rPr>
          <w:b/>
          <w:bCs/>
          <w:color w:val="2C384A" w:themeColor="accent1"/>
          <w:szCs w:val="22"/>
        </w:rPr>
        <w:t>What are the permitted purposes of community charities?</w:t>
      </w:r>
    </w:p>
    <w:p w14:paraId="197ED8C3" w14:textId="368723B5" w:rsidR="00C05F1E" w:rsidRPr="00E7553D" w:rsidRDefault="00C96129" w:rsidP="00E7553D">
      <w:pPr>
        <w:rPr>
          <w:bCs/>
        </w:rPr>
      </w:pPr>
      <w:r>
        <w:rPr>
          <w:bCs/>
        </w:rPr>
        <w:t xml:space="preserve">The </w:t>
      </w:r>
      <w:r w:rsidR="001E650C">
        <w:rPr>
          <w:bCs/>
        </w:rPr>
        <w:t xml:space="preserve">ministerial </w:t>
      </w:r>
      <w:r>
        <w:rPr>
          <w:bCs/>
        </w:rPr>
        <w:t xml:space="preserve">guidelines require </w:t>
      </w:r>
      <w:r w:rsidR="00FB5F38">
        <w:rPr>
          <w:bCs/>
        </w:rPr>
        <w:t>a community charity’s governing rules to clearly set out the purposes of the charity. These</w:t>
      </w:r>
      <w:r w:rsidR="00B37B1B">
        <w:rPr>
          <w:bCs/>
        </w:rPr>
        <w:t xml:space="preserve"> purposes </w:t>
      </w:r>
      <w:r w:rsidR="00886BFD">
        <w:rPr>
          <w:bCs/>
        </w:rPr>
        <w:t xml:space="preserve">must </w:t>
      </w:r>
      <w:r w:rsidR="00526B6A">
        <w:rPr>
          <w:bCs/>
        </w:rPr>
        <w:t>be consistent with section 30</w:t>
      </w:r>
      <w:r w:rsidR="00526B6A">
        <w:rPr>
          <w:bCs/>
        </w:rPr>
        <w:noBreakHyphen/>
        <w:t>110 of the ITAA 1997</w:t>
      </w:r>
      <w:r w:rsidR="00B921C8">
        <w:rPr>
          <w:bCs/>
        </w:rPr>
        <w:t xml:space="preserve"> which requires a</w:t>
      </w:r>
      <w:r w:rsidR="00AD0CCC">
        <w:rPr>
          <w:bCs/>
        </w:rPr>
        <w:t xml:space="preserve"> community charity to have the </w:t>
      </w:r>
      <w:r w:rsidR="00EF396D">
        <w:rPr>
          <w:bCs/>
        </w:rPr>
        <w:t>purpose of</w:t>
      </w:r>
      <w:r w:rsidR="00C05F1E" w:rsidRPr="00E7553D">
        <w:rPr>
          <w:bCs/>
        </w:rPr>
        <w:t>:</w:t>
      </w:r>
      <w:r w:rsidR="00C05F1E" w:rsidRPr="00E7553D">
        <w:rPr>
          <w:rFonts w:cstheme="minorHAnsi"/>
          <w:bCs/>
        </w:rPr>
        <w:t> </w:t>
      </w:r>
    </w:p>
    <w:p w14:paraId="47BDB954" w14:textId="5E83548B" w:rsidR="00C05F1E" w:rsidRPr="00E7553D" w:rsidRDefault="00C05F1E" w:rsidP="00E7553D">
      <w:pPr>
        <w:pStyle w:val="Bullet"/>
        <w:numPr>
          <w:ilvl w:val="0"/>
          <w:numId w:val="2"/>
        </w:numPr>
        <w:tabs>
          <w:tab w:val="clear" w:pos="340"/>
          <w:tab w:val="num" w:pos="567"/>
        </w:tabs>
        <w:spacing w:after="240" w:line="240" w:lineRule="auto"/>
        <w:ind w:left="567" w:hanging="283"/>
        <w:rPr>
          <w:rFonts w:cs="Calibri Light"/>
          <w:szCs w:val="22"/>
        </w:rPr>
      </w:pPr>
      <w:r w:rsidRPr="00E7553D">
        <w:rPr>
          <w:rFonts w:cs="Calibri Light"/>
        </w:rPr>
        <w:t>provid</w:t>
      </w:r>
      <w:r w:rsidR="00AD0CCC">
        <w:rPr>
          <w:rFonts w:cs="Calibri Light"/>
        </w:rPr>
        <w:t>ing</w:t>
      </w:r>
      <w:r w:rsidRPr="00E7553D">
        <w:rPr>
          <w:rFonts w:cs="Calibri Light"/>
        </w:rPr>
        <w:t xml:space="preserve"> </w:t>
      </w:r>
      <w:r w:rsidR="00970E3E">
        <w:rPr>
          <w:rFonts w:cs="Calibri Light"/>
        </w:rPr>
        <w:t xml:space="preserve">money, property or </w:t>
      </w:r>
      <w:r w:rsidRPr="00E7553D">
        <w:rPr>
          <w:rFonts w:cs="Calibri Light"/>
        </w:rPr>
        <w:t>benefits to entities that have DGR status (other than ancillary funds</w:t>
      </w:r>
      <w:r w:rsidR="00970E3E">
        <w:rPr>
          <w:rFonts w:cs="Calibri Light"/>
        </w:rPr>
        <w:t xml:space="preserve"> and other community charities</w:t>
      </w:r>
      <w:r w:rsidRPr="00E7553D">
        <w:rPr>
          <w:rFonts w:cs="Calibri Light"/>
        </w:rPr>
        <w:t xml:space="preserve">), including entities listed by name in the tax law as DGRs, </w:t>
      </w:r>
      <w:r w:rsidR="00B921C8">
        <w:rPr>
          <w:rFonts w:cs="Calibri Light"/>
        </w:rPr>
        <w:t>or</w:t>
      </w:r>
    </w:p>
    <w:p w14:paraId="547B94CB" w14:textId="1A1931CC" w:rsidR="00C05F1E" w:rsidRPr="00692AD6" w:rsidRDefault="00AC57B3" w:rsidP="00E7553D">
      <w:pPr>
        <w:pStyle w:val="Bullet"/>
        <w:numPr>
          <w:ilvl w:val="0"/>
          <w:numId w:val="2"/>
        </w:numPr>
        <w:tabs>
          <w:tab w:val="clear" w:pos="340"/>
          <w:tab w:val="num" w:pos="567"/>
        </w:tabs>
        <w:spacing w:after="240" w:line="240" w:lineRule="auto"/>
        <w:ind w:left="567" w:hanging="283"/>
        <w:rPr>
          <w:rFonts w:cs="Calibri Light"/>
          <w:szCs w:val="22"/>
        </w:rPr>
      </w:pPr>
      <w:r>
        <w:rPr>
          <w:rFonts w:cs="Calibri Light"/>
        </w:rPr>
        <w:t>engaging in</w:t>
      </w:r>
      <w:r w:rsidR="00C05F1E" w:rsidRPr="00E7553D">
        <w:rPr>
          <w:rFonts w:cs="Calibri Light"/>
        </w:rPr>
        <w:t xml:space="preserve"> </w:t>
      </w:r>
      <w:r w:rsidR="00276B01">
        <w:rPr>
          <w:rFonts w:cs="Calibri Light"/>
        </w:rPr>
        <w:t>a principal activity</w:t>
      </w:r>
      <w:r w:rsidR="00C05F1E" w:rsidRPr="00E7553D">
        <w:rPr>
          <w:rFonts w:cs="Calibri Light"/>
        </w:rPr>
        <w:t xml:space="preserve"> </w:t>
      </w:r>
      <w:r>
        <w:rPr>
          <w:rFonts w:cs="Calibri Light"/>
        </w:rPr>
        <w:t xml:space="preserve">or </w:t>
      </w:r>
      <w:r w:rsidR="00276B01">
        <w:rPr>
          <w:rFonts w:cs="Calibri Light"/>
        </w:rPr>
        <w:t>pursuing</w:t>
      </w:r>
      <w:r>
        <w:rPr>
          <w:rFonts w:cs="Calibri Light"/>
        </w:rPr>
        <w:t xml:space="preserve"> </w:t>
      </w:r>
      <w:r w:rsidR="00713887">
        <w:rPr>
          <w:rFonts w:cs="Calibri Light"/>
        </w:rPr>
        <w:t xml:space="preserve">a </w:t>
      </w:r>
      <w:r w:rsidR="00794F9E">
        <w:rPr>
          <w:rFonts w:cs="Calibri Light"/>
        </w:rPr>
        <w:t>principal</w:t>
      </w:r>
      <w:r w:rsidR="00713887">
        <w:rPr>
          <w:rFonts w:cs="Calibri Light"/>
        </w:rPr>
        <w:t xml:space="preserve"> purpose</w:t>
      </w:r>
      <w:r w:rsidR="00276B01">
        <w:rPr>
          <w:rFonts w:cs="Calibri Light"/>
        </w:rPr>
        <w:t xml:space="preserve"> </w:t>
      </w:r>
      <w:r w:rsidR="0084688A">
        <w:rPr>
          <w:rFonts w:cs="Calibri Light"/>
        </w:rPr>
        <w:t xml:space="preserve">under one or more </w:t>
      </w:r>
      <w:r w:rsidR="00114F14">
        <w:rPr>
          <w:rFonts w:cs="Calibri Light"/>
        </w:rPr>
        <w:t>of</w:t>
      </w:r>
      <w:r w:rsidR="00794F9E">
        <w:rPr>
          <w:rFonts w:cs="Calibri Light"/>
        </w:rPr>
        <w:t xml:space="preserve"> the</w:t>
      </w:r>
      <w:r w:rsidR="00C05F1E" w:rsidRPr="00E7553D">
        <w:rPr>
          <w:rFonts w:cs="Calibri Light"/>
        </w:rPr>
        <w:t xml:space="preserve"> DGR general categories</w:t>
      </w:r>
      <w:r w:rsidR="009A1BE3">
        <w:rPr>
          <w:rFonts w:cs="Calibri Light"/>
        </w:rPr>
        <w:t xml:space="preserve">. </w:t>
      </w:r>
    </w:p>
    <w:p w14:paraId="5C139055" w14:textId="2F7ED9D0" w:rsidR="00C05F1E" w:rsidRPr="00E7553D" w:rsidRDefault="00C05F1E" w:rsidP="00F2496E">
      <w:pPr>
        <w:pStyle w:val="Bullet"/>
        <w:numPr>
          <w:ilvl w:val="0"/>
          <w:numId w:val="0"/>
        </w:numPr>
        <w:spacing w:after="240" w:line="240" w:lineRule="auto"/>
        <w:rPr>
          <w:rFonts w:cs="Calibri Light"/>
          <w:szCs w:val="22"/>
        </w:rPr>
      </w:pPr>
      <w:r w:rsidRPr="00E7553D">
        <w:rPr>
          <w:rFonts w:cs="Calibri Light"/>
          <w:szCs w:val="22"/>
        </w:rPr>
        <w:t>Th</w:t>
      </w:r>
      <w:r w:rsidR="00F2496E">
        <w:rPr>
          <w:rFonts w:cs="Calibri Light"/>
          <w:szCs w:val="22"/>
        </w:rPr>
        <w:t>is framework</w:t>
      </w:r>
      <w:r w:rsidRPr="00E7553D">
        <w:rPr>
          <w:rFonts w:cs="Calibri Light"/>
          <w:szCs w:val="22"/>
        </w:rPr>
        <w:t xml:space="preserve"> integrates</w:t>
      </w:r>
      <w:r w:rsidR="00F3158B">
        <w:rPr>
          <w:rFonts w:cs="Calibri Light"/>
          <w:szCs w:val="22"/>
        </w:rPr>
        <w:t xml:space="preserve"> with the</w:t>
      </w:r>
      <w:r w:rsidR="006169FA">
        <w:rPr>
          <w:rFonts w:cs="Calibri Light"/>
          <w:szCs w:val="22"/>
        </w:rPr>
        <w:t xml:space="preserve"> current</w:t>
      </w:r>
      <w:r w:rsidR="00F3158B">
        <w:rPr>
          <w:rFonts w:cs="Calibri Light"/>
          <w:szCs w:val="22"/>
        </w:rPr>
        <w:t xml:space="preserve"> DGR general categories in the </w:t>
      </w:r>
      <w:r w:rsidR="006A5589">
        <w:rPr>
          <w:rFonts w:cs="Calibri Light"/>
          <w:szCs w:val="22"/>
        </w:rPr>
        <w:t>ITAA</w:t>
      </w:r>
      <w:r w:rsidR="0007225F">
        <w:rPr>
          <w:rFonts w:cs="Calibri Light"/>
          <w:szCs w:val="22"/>
        </w:rPr>
        <w:t xml:space="preserve"> 19</w:t>
      </w:r>
      <w:r w:rsidR="006A5589">
        <w:rPr>
          <w:rFonts w:cs="Calibri Light"/>
          <w:szCs w:val="22"/>
        </w:rPr>
        <w:t>97</w:t>
      </w:r>
      <w:r w:rsidR="00F2496E">
        <w:rPr>
          <w:rFonts w:cs="Calibri Light"/>
          <w:szCs w:val="22"/>
        </w:rPr>
        <w:t>, allowing for community charities to operate across multiple DGR</w:t>
      </w:r>
      <w:r w:rsidR="000E1A74">
        <w:rPr>
          <w:rFonts w:cs="Calibri Light"/>
          <w:szCs w:val="22"/>
        </w:rPr>
        <w:t xml:space="preserve"> general</w:t>
      </w:r>
      <w:r w:rsidR="00F2496E">
        <w:rPr>
          <w:rFonts w:cs="Calibri Light"/>
          <w:szCs w:val="22"/>
        </w:rPr>
        <w:t xml:space="preserve"> categories</w:t>
      </w:r>
      <w:r w:rsidR="000E1A74">
        <w:rPr>
          <w:rFonts w:cs="Calibri Light"/>
          <w:szCs w:val="22"/>
        </w:rPr>
        <w:t xml:space="preserve">. </w:t>
      </w:r>
      <w:r w:rsidR="00823874">
        <w:rPr>
          <w:rFonts w:cs="Calibri Light"/>
          <w:szCs w:val="22"/>
        </w:rPr>
        <w:t xml:space="preserve">If </w:t>
      </w:r>
      <w:r w:rsidR="00047C7A">
        <w:rPr>
          <w:rFonts w:cs="Calibri Light"/>
          <w:szCs w:val="22"/>
        </w:rPr>
        <w:t>additional general categories</w:t>
      </w:r>
      <w:r w:rsidR="0007225F">
        <w:rPr>
          <w:rFonts w:cs="Calibri Light"/>
          <w:szCs w:val="22"/>
        </w:rPr>
        <w:t xml:space="preserve"> </w:t>
      </w:r>
      <w:r w:rsidR="008B3B20">
        <w:rPr>
          <w:rFonts w:cs="Calibri Light"/>
          <w:szCs w:val="22"/>
        </w:rPr>
        <w:t>are</w:t>
      </w:r>
      <w:r w:rsidR="0007225F">
        <w:rPr>
          <w:rFonts w:cs="Calibri Light"/>
          <w:szCs w:val="22"/>
        </w:rPr>
        <w:t xml:space="preserve"> created</w:t>
      </w:r>
      <w:r w:rsidR="00047C7A">
        <w:rPr>
          <w:rFonts w:cs="Calibri Light"/>
          <w:szCs w:val="22"/>
        </w:rPr>
        <w:t xml:space="preserve">, a community charity will also be able to </w:t>
      </w:r>
      <w:r w:rsidR="00581684">
        <w:rPr>
          <w:rFonts w:cs="Calibri Light"/>
          <w:szCs w:val="22"/>
        </w:rPr>
        <w:t>have purposes consistent with those categories.</w:t>
      </w:r>
    </w:p>
    <w:p w14:paraId="563F7EC9" w14:textId="1C23C3D8" w:rsidR="00B0227A" w:rsidRDefault="00B0227A" w:rsidP="00AD47A2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>
        <w:rPr>
          <w:b/>
          <w:bCs/>
          <w:color w:val="2C384A" w:themeColor="accent1"/>
          <w:szCs w:val="22"/>
        </w:rPr>
        <w:t>What is the princip</w:t>
      </w:r>
      <w:r w:rsidR="003F727F">
        <w:rPr>
          <w:b/>
          <w:bCs/>
          <w:color w:val="2C384A" w:themeColor="accent1"/>
          <w:szCs w:val="22"/>
        </w:rPr>
        <w:t>a</w:t>
      </w:r>
      <w:r>
        <w:rPr>
          <w:b/>
          <w:bCs/>
          <w:color w:val="2C384A" w:themeColor="accent1"/>
          <w:szCs w:val="22"/>
        </w:rPr>
        <w:t>l purpose or activity of a general DGR category?</w:t>
      </w:r>
    </w:p>
    <w:p w14:paraId="43020310" w14:textId="0710E60B" w:rsidR="00E36AE0" w:rsidRDefault="00186096" w:rsidP="00B0227A">
      <w:pPr>
        <w:rPr>
          <w:noProof/>
        </w:rPr>
      </w:pPr>
      <w:r>
        <w:rPr>
          <w:noProof/>
        </w:rPr>
        <w:t>In m</w:t>
      </w:r>
      <w:r w:rsidR="004A1605">
        <w:rPr>
          <w:noProof/>
        </w:rPr>
        <w:t>ost</w:t>
      </w:r>
      <w:r>
        <w:rPr>
          <w:noProof/>
        </w:rPr>
        <w:t xml:space="preserve"> cases, t</w:t>
      </w:r>
      <w:r w:rsidR="005216F1">
        <w:rPr>
          <w:noProof/>
        </w:rPr>
        <w:t>he princip</w:t>
      </w:r>
      <w:r w:rsidR="0020393F">
        <w:rPr>
          <w:noProof/>
        </w:rPr>
        <w:t>a</w:t>
      </w:r>
      <w:r w:rsidR="005216F1">
        <w:rPr>
          <w:noProof/>
        </w:rPr>
        <w:t xml:space="preserve">l purpose </w:t>
      </w:r>
      <w:r>
        <w:rPr>
          <w:noProof/>
        </w:rPr>
        <w:t xml:space="preserve">or activity of a </w:t>
      </w:r>
      <w:r w:rsidR="00996C73">
        <w:rPr>
          <w:noProof/>
        </w:rPr>
        <w:t xml:space="preserve">DGR </w:t>
      </w:r>
      <w:r>
        <w:rPr>
          <w:noProof/>
        </w:rPr>
        <w:t xml:space="preserve">general category is set out </w:t>
      </w:r>
      <w:r w:rsidR="00800963">
        <w:rPr>
          <w:noProof/>
        </w:rPr>
        <w:t xml:space="preserve">in the description of </w:t>
      </w:r>
      <w:r w:rsidR="000F2047">
        <w:rPr>
          <w:noProof/>
        </w:rPr>
        <w:t>the category in Subdivision 30</w:t>
      </w:r>
      <w:r w:rsidR="000F2047">
        <w:rPr>
          <w:noProof/>
        </w:rPr>
        <w:noBreakHyphen/>
        <w:t>B of the ITAA 1997.</w:t>
      </w:r>
      <w:r w:rsidR="00A506CD">
        <w:rPr>
          <w:noProof/>
        </w:rPr>
        <w:t xml:space="preserve"> </w:t>
      </w:r>
      <w:r w:rsidR="002F408C">
        <w:rPr>
          <w:noProof/>
        </w:rPr>
        <w:t>For example</w:t>
      </w:r>
      <w:r w:rsidR="008C0759">
        <w:rPr>
          <w:noProof/>
        </w:rPr>
        <w:t>:</w:t>
      </w:r>
      <w:r w:rsidR="002F408C">
        <w:rPr>
          <w:noProof/>
        </w:rPr>
        <w:t xml:space="preserve"> </w:t>
      </w:r>
    </w:p>
    <w:p w14:paraId="275F8CCA" w14:textId="170FBCC0" w:rsidR="00B0227A" w:rsidRPr="00DD7D75" w:rsidRDefault="002F408C" w:rsidP="00E36AE0">
      <w:pPr>
        <w:pStyle w:val="Bullet"/>
        <w:numPr>
          <w:ilvl w:val="0"/>
          <w:numId w:val="2"/>
        </w:numPr>
        <w:tabs>
          <w:tab w:val="clear" w:pos="340"/>
          <w:tab w:val="num" w:pos="567"/>
        </w:tabs>
        <w:spacing w:after="240" w:line="240" w:lineRule="auto"/>
        <w:ind w:left="567" w:hanging="283"/>
      </w:pPr>
      <w:r w:rsidRPr="00E36AE0">
        <w:rPr>
          <w:rFonts w:cs="Calibri Light"/>
        </w:rPr>
        <w:t xml:space="preserve">an environmental organisation has </w:t>
      </w:r>
      <w:r w:rsidR="0080494C" w:rsidRPr="00E36AE0">
        <w:rPr>
          <w:rFonts w:cs="Calibri Light"/>
        </w:rPr>
        <w:t>a princip</w:t>
      </w:r>
      <w:r w:rsidR="00866B57">
        <w:rPr>
          <w:rFonts w:cs="Calibri Light"/>
        </w:rPr>
        <w:t>a</w:t>
      </w:r>
      <w:r w:rsidR="0080494C" w:rsidRPr="00E36AE0">
        <w:rPr>
          <w:rFonts w:cs="Calibri Light"/>
        </w:rPr>
        <w:t>l purpose of either the protection and enhancement of the natural environment</w:t>
      </w:r>
      <w:r w:rsidR="00E36AE0" w:rsidRPr="00E36AE0">
        <w:rPr>
          <w:rFonts w:cs="Calibri Light"/>
        </w:rPr>
        <w:t xml:space="preserve"> or the provision</w:t>
      </w:r>
      <w:r w:rsidR="00DD7D75">
        <w:rPr>
          <w:rFonts w:cs="Calibri Light"/>
        </w:rPr>
        <w:t xml:space="preserve"> of information or education, or the carrying on of research about the natural environment,</w:t>
      </w:r>
      <w:r w:rsidR="000A5A6D">
        <w:rPr>
          <w:rFonts w:cs="Calibri Light"/>
        </w:rPr>
        <w:t xml:space="preserve"> and </w:t>
      </w:r>
    </w:p>
    <w:p w14:paraId="4AA8A378" w14:textId="4C94B7D4" w:rsidR="00DD7D75" w:rsidRPr="004F7F5F" w:rsidRDefault="004F7F5F" w:rsidP="00E36AE0">
      <w:pPr>
        <w:pStyle w:val="Bullet"/>
        <w:numPr>
          <w:ilvl w:val="0"/>
          <w:numId w:val="2"/>
        </w:numPr>
        <w:tabs>
          <w:tab w:val="clear" w:pos="340"/>
          <w:tab w:val="num" w:pos="567"/>
        </w:tabs>
        <w:spacing w:after="240" w:line="240" w:lineRule="auto"/>
        <w:ind w:left="567" w:hanging="283"/>
      </w:pPr>
      <w:r>
        <w:rPr>
          <w:rFonts w:cs="Calibri Light"/>
        </w:rPr>
        <w:t>a harm prevention charity has a princip</w:t>
      </w:r>
      <w:r w:rsidR="00866B57">
        <w:rPr>
          <w:rFonts w:cs="Calibri Light"/>
        </w:rPr>
        <w:t>al</w:t>
      </w:r>
      <w:r>
        <w:rPr>
          <w:rFonts w:cs="Calibri Light"/>
        </w:rPr>
        <w:t xml:space="preserve"> activity of the promotion of the prevention or the control of behaviour that is harmful or abusive to human beings.</w:t>
      </w:r>
    </w:p>
    <w:p w14:paraId="3470910C" w14:textId="293263B8" w:rsidR="004F7F5F" w:rsidRDefault="00F92C59" w:rsidP="004F7F5F">
      <w:r>
        <w:t>The tax law describes some DGR categories</w:t>
      </w:r>
      <w:r w:rsidR="00523D02">
        <w:t xml:space="preserve"> </w:t>
      </w:r>
      <w:r>
        <w:t>as an institution</w:t>
      </w:r>
      <w:r w:rsidR="00523D02">
        <w:t xml:space="preserve">, such as </w:t>
      </w:r>
      <w:r w:rsidR="00385AA8">
        <w:t>public library</w:t>
      </w:r>
      <w:r w:rsidR="00695DC8">
        <w:t xml:space="preserve"> or public art gallery. </w:t>
      </w:r>
      <w:r w:rsidR="0055525E">
        <w:t xml:space="preserve">The </w:t>
      </w:r>
      <w:hyperlink r:id="rId7" w:history="1">
        <w:r w:rsidR="0055525E" w:rsidRPr="00040A97">
          <w:rPr>
            <w:rStyle w:val="Hyperlink"/>
          </w:rPr>
          <w:t>ATO website</w:t>
        </w:r>
      </w:hyperlink>
      <w:r w:rsidR="0055525E">
        <w:t xml:space="preserve"> provides further </w:t>
      </w:r>
      <w:r w:rsidR="00BE11E7">
        <w:t>guidance</w:t>
      </w:r>
      <w:r w:rsidR="0055525E">
        <w:t xml:space="preserve"> on </w:t>
      </w:r>
      <w:r w:rsidR="00092DC6">
        <w:t xml:space="preserve">the </w:t>
      </w:r>
      <w:r w:rsidR="00F455B6">
        <w:t xml:space="preserve">purposes and activities of </w:t>
      </w:r>
      <w:r w:rsidR="002C0233">
        <w:t>these institutions</w:t>
      </w:r>
      <w:r w:rsidR="00092DC6">
        <w:t>.</w:t>
      </w:r>
      <w:r w:rsidR="00CD3D76">
        <w:t xml:space="preserve"> In some small instances, the common law </w:t>
      </w:r>
      <w:r w:rsidR="00F81AD9">
        <w:t xml:space="preserve">or another </w:t>
      </w:r>
      <w:r w:rsidR="00340A86">
        <w:t xml:space="preserve">piece of legislation </w:t>
      </w:r>
      <w:r w:rsidR="00A74190">
        <w:t>may</w:t>
      </w:r>
      <w:r w:rsidR="004A1B52">
        <w:t xml:space="preserve"> </w:t>
      </w:r>
      <w:r w:rsidR="00F04E7A">
        <w:t>need to be re</w:t>
      </w:r>
      <w:r w:rsidR="003216F9">
        <w:t>ferred to</w:t>
      </w:r>
      <w:r w:rsidR="004A1B52">
        <w:t>, such as in determining the purpose</w:t>
      </w:r>
      <w:r w:rsidR="00582D88">
        <w:t>s</w:t>
      </w:r>
      <w:r w:rsidR="004A1B52">
        <w:t xml:space="preserve"> </w:t>
      </w:r>
      <w:r w:rsidR="009475C8">
        <w:t xml:space="preserve">and activities </w:t>
      </w:r>
      <w:r w:rsidR="004A1B52">
        <w:t xml:space="preserve">of a </w:t>
      </w:r>
      <w:r w:rsidR="00DF0215">
        <w:t xml:space="preserve">public </w:t>
      </w:r>
      <w:r w:rsidR="004A1B52">
        <w:t>hospital</w:t>
      </w:r>
      <w:r w:rsidR="00F04E7A">
        <w:t xml:space="preserve"> or university</w:t>
      </w:r>
      <w:r w:rsidR="004A1B52">
        <w:t xml:space="preserve">. </w:t>
      </w:r>
    </w:p>
    <w:p w14:paraId="1B65262F" w14:textId="19ECB1D7" w:rsidR="00AD47A2" w:rsidRPr="00541166" w:rsidRDefault="00AD47A2" w:rsidP="00AD47A2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541166">
        <w:rPr>
          <w:b/>
          <w:bCs/>
          <w:color w:val="2C384A" w:themeColor="accent1"/>
          <w:szCs w:val="22"/>
        </w:rPr>
        <w:t xml:space="preserve">Where a </w:t>
      </w:r>
      <w:r w:rsidR="009475C8" w:rsidRPr="00541166">
        <w:rPr>
          <w:b/>
          <w:bCs/>
          <w:color w:val="2C384A" w:themeColor="accent1"/>
          <w:szCs w:val="22"/>
        </w:rPr>
        <w:t xml:space="preserve">DGR </w:t>
      </w:r>
      <w:r w:rsidRPr="00541166">
        <w:rPr>
          <w:b/>
          <w:bCs/>
          <w:color w:val="2C384A" w:themeColor="accent1"/>
          <w:szCs w:val="22"/>
        </w:rPr>
        <w:t xml:space="preserve">general category has </w:t>
      </w:r>
      <w:r w:rsidR="00DA02EF">
        <w:rPr>
          <w:b/>
          <w:bCs/>
          <w:color w:val="2C384A" w:themeColor="accent1"/>
          <w:szCs w:val="22"/>
        </w:rPr>
        <w:t xml:space="preserve">specific </w:t>
      </w:r>
      <w:r w:rsidRPr="00541166">
        <w:rPr>
          <w:b/>
          <w:bCs/>
          <w:color w:val="2C384A" w:themeColor="accent1"/>
          <w:szCs w:val="22"/>
        </w:rPr>
        <w:t>requirements or special conditions, does a community charity need to meet all those same requirements?</w:t>
      </w:r>
    </w:p>
    <w:p w14:paraId="12768762" w14:textId="79A065AB" w:rsidR="00AD47A2" w:rsidRPr="000B00D9" w:rsidRDefault="00AD47A2" w:rsidP="00AD47A2">
      <w:r w:rsidRPr="000B00D9">
        <w:t>Community charities are required to meet any requirements or special conditions that are tied</w:t>
      </w:r>
      <w:r w:rsidR="00B46095">
        <w:t xml:space="preserve"> directly</w:t>
      </w:r>
      <w:r w:rsidR="0065255C">
        <w:t>, or act as a</w:t>
      </w:r>
      <w:r w:rsidR="00C24946" w:rsidRPr="00C24946">
        <w:t xml:space="preserve"> </w:t>
      </w:r>
      <w:r w:rsidR="00C24946">
        <w:t>precondition</w:t>
      </w:r>
      <w:r w:rsidR="0065255C">
        <w:t xml:space="preserve">, to </w:t>
      </w:r>
      <w:r w:rsidRPr="000B00D9">
        <w:t xml:space="preserve">the principal activity or principal purpose </w:t>
      </w:r>
      <w:r w:rsidR="00513F6B">
        <w:t xml:space="preserve">in </w:t>
      </w:r>
      <w:r w:rsidRPr="000B00D9">
        <w:t>the DGR general categories. For example, a declaration</w:t>
      </w:r>
      <w:r w:rsidR="0085125A">
        <w:t xml:space="preserve"> of an eve</w:t>
      </w:r>
      <w:r w:rsidR="00CD1455">
        <w:t>n</w:t>
      </w:r>
      <w:r w:rsidR="0085125A">
        <w:t>t as a disaster</w:t>
      </w:r>
      <w:r w:rsidRPr="000B00D9">
        <w:t xml:space="preserve"> must be made under s</w:t>
      </w:r>
      <w:r w:rsidR="004E0CA9">
        <w:t>ection</w:t>
      </w:r>
      <w:r w:rsidRPr="000B00D9">
        <w:t xml:space="preserve"> 30-45A of the ITAA </w:t>
      </w:r>
      <w:r w:rsidR="00C638B1">
        <w:t>19</w:t>
      </w:r>
      <w:r w:rsidRPr="000B00D9">
        <w:t>97 for a community charity to make distributions for the purpose of providing relief to people in Australia in distress as a result of a disaster (</w:t>
      </w:r>
      <w:r w:rsidR="00F27E8F">
        <w:t>i</w:t>
      </w:r>
      <w:r w:rsidR="00F762D1">
        <w:t>tem 4.</w:t>
      </w:r>
      <w:r w:rsidR="00F27E8F">
        <w:t xml:space="preserve">1.5, </w:t>
      </w:r>
      <w:r w:rsidRPr="000B00D9">
        <w:t xml:space="preserve">s 30-45 of the ITAA </w:t>
      </w:r>
      <w:r w:rsidR="00976E0D">
        <w:t>19</w:t>
      </w:r>
      <w:r w:rsidRPr="000B00D9">
        <w:t>97).</w:t>
      </w:r>
      <w:r w:rsidR="002C01E2">
        <w:t xml:space="preserve"> </w:t>
      </w:r>
      <w:r w:rsidR="00AD4FDF">
        <w:t>W</w:t>
      </w:r>
      <w:r w:rsidR="00DD3B4D">
        <w:t>here a disaster is not declared, provision of relief might be covered by another DGR category.</w:t>
      </w:r>
    </w:p>
    <w:p w14:paraId="45819C38" w14:textId="3ED009C7" w:rsidR="00D830F1" w:rsidRDefault="00AD47A2" w:rsidP="00AD47A2">
      <w:r w:rsidRPr="000B00D9">
        <w:t xml:space="preserve">However, there may be additional requirements or special conditions that are not applicable to </w:t>
      </w:r>
      <w:r w:rsidR="0015525A">
        <w:t xml:space="preserve">the specific </w:t>
      </w:r>
      <w:r w:rsidRPr="000B00D9">
        <w:t>purpose or activity</w:t>
      </w:r>
      <w:r w:rsidR="00C81D58">
        <w:t xml:space="preserve"> and instead </w:t>
      </w:r>
      <w:r w:rsidR="0015525A">
        <w:t>apply</w:t>
      </w:r>
      <w:r w:rsidR="00C81D58">
        <w:t xml:space="preserve"> to</w:t>
      </w:r>
      <w:r w:rsidR="002824DD">
        <w:t xml:space="preserve"> </w:t>
      </w:r>
      <w:r w:rsidR="00AF651E">
        <w:t xml:space="preserve">the </w:t>
      </w:r>
      <w:r w:rsidR="00274246">
        <w:t xml:space="preserve">DGR </w:t>
      </w:r>
      <w:r w:rsidR="00C915A7">
        <w:t>category</w:t>
      </w:r>
      <w:r w:rsidR="006566E8">
        <w:t xml:space="preserve"> as a whole</w:t>
      </w:r>
      <w:r w:rsidRPr="000B00D9">
        <w:t xml:space="preserve">. For example, a community charity would not be required to be registered as a ‘public benevolent institution’ with the ACNC to pursue </w:t>
      </w:r>
      <w:r>
        <w:t xml:space="preserve">the </w:t>
      </w:r>
      <w:r w:rsidRPr="000B00D9">
        <w:t xml:space="preserve">purpose of providing </w:t>
      </w:r>
      <w:r w:rsidR="00BB0104">
        <w:t xml:space="preserve">benevolent </w:t>
      </w:r>
      <w:r w:rsidRPr="000B00D9">
        <w:t xml:space="preserve">relief </w:t>
      </w:r>
      <w:r w:rsidR="00520F4E">
        <w:t xml:space="preserve">understood at common law </w:t>
      </w:r>
      <w:r w:rsidR="00BB0104">
        <w:t>(</w:t>
      </w:r>
      <w:r w:rsidR="00520F4E">
        <w:t xml:space="preserve">e.g. </w:t>
      </w:r>
      <w:r w:rsidR="006E5E97">
        <w:t>relief of poverty or destitution)</w:t>
      </w:r>
      <w:r>
        <w:t>.</w:t>
      </w:r>
    </w:p>
    <w:p w14:paraId="3FE57620" w14:textId="52F4E32B" w:rsidR="00AD47A2" w:rsidRPr="00541166" w:rsidRDefault="00AD47A2" w:rsidP="00AD47A2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541166">
        <w:rPr>
          <w:b/>
          <w:bCs/>
          <w:color w:val="2C384A" w:themeColor="accent1"/>
          <w:szCs w:val="22"/>
        </w:rPr>
        <w:lastRenderedPageBreak/>
        <w:t xml:space="preserve">Can a community charity have the same </w:t>
      </w:r>
      <w:r w:rsidR="00E1330B" w:rsidRPr="00541166">
        <w:rPr>
          <w:b/>
          <w:bCs/>
          <w:color w:val="2C384A" w:themeColor="accent1"/>
          <w:szCs w:val="22"/>
        </w:rPr>
        <w:t xml:space="preserve">purposes </w:t>
      </w:r>
      <w:r w:rsidRPr="00541166">
        <w:rPr>
          <w:b/>
          <w:bCs/>
          <w:color w:val="2C384A" w:themeColor="accent1"/>
          <w:szCs w:val="22"/>
        </w:rPr>
        <w:t>as DGRs listed by name?</w:t>
      </w:r>
    </w:p>
    <w:p w14:paraId="6F623F1D" w14:textId="670127E1" w:rsidR="00AD47A2" w:rsidRDefault="00AD47A2" w:rsidP="00AD47A2">
      <w:r>
        <w:t xml:space="preserve">Community charities are not permitted to undertake the same purposes or activities as entities that are specifically mentioned by name in the </w:t>
      </w:r>
      <w:r w:rsidR="00C638B1">
        <w:t xml:space="preserve">ITAA 1997 </w:t>
      </w:r>
      <w:r>
        <w:t>if th</w:t>
      </w:r>
      <w:r w:rsidR="00B8149C">
        <w:t>ose purposes or activities</w:t>
      </w:r>
      <w:r>
        <w:t xml:space="preserve"> fall outside of the DGR general categories. </w:t>
      </w:r>
    </w:p>
    <w:p w14:paraId="1B56DD68" w14:textId="340DE6D7" w:rsidR="00F475B2" w:rsidRDefault="00D5297A" w:rsidP="00B600CA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</w:pPr>
      <w:r w:rsidRPr="00B600CA">
        <w:rPr>
          <w:b/>
          <w:bCs/>
          <w:color w:val="2C384A" w:themeColor="accent1"/>
          <w:szCs w:val="22"/>
        </w:rPr>
        <w:t xml:space="preserve">Does a community charity </w:t>
      </w:r>
      <w:r w:rsidR="008D1116" w:rsidRPr="00B600CA">
        <w:rPr>
          <w:b/>
          <w:bCs/>
          <w:color w:val="2C384A" w:themeColor="accent1"/>
          <w:szCs w:val="22"/>
        </w:rPr>
        <w:t xml:space="preserve">need to </w:t>
      </w:r>
      <w:r w:rsidR="00B600CA" w:rsidRPr="00B600CA">
        <w:rPr>
          <w:b/>
          <w:bCs/>
          <w:color w:val="2C384A" w:themeColor="accent1"/>
          <w:szCs w:val="22"/>
        </w:rPr>
        <w:t>pursue the purposes</w:t>
      </w:r>
      <w:r w:rsidR="00EA49EB">
        <w:rPr>
          <w:b/>
          <w:bCs/>
          <w:color w:val="2C384A" w:themeColor="accent1"/>
          <w:szCs w:val="22"/>
        </w:rPr>
        <w:t xml:space="preserve"> and </w:t>
      </w:r>
      <w:r w:rsidR="00B600CA" w:rsidRPr="00B600CA">
        <w:rPr>
          <w:b/>
          <w:bCs/>
          <w:color w:val="2C384A" w:themeColor="accent1"/>
          <w:szCs w:val="22"/>
        </w:rPr>
        <w:t>activities of all the general DGR categories?</w:t>
      </w:r>
    </w:p>
    <w:p w14:paraId="0E408CA7" w14:textId="0AD2F4B4" w:rsidR="00B600CA" w:rsidRDefault="004013B7" w:rsidP="00F475B2">
      <w:r>
        <w:t xml:space="preserve">A community charity </w:t>
      </w:r>
      <w:r w:rsidR="00B93D02">
        <w:t xml:space="preserve">may choose which activities or purposes it wishes to pursue </w:t>
      </w:r>
      <w:r w:rsidR="007A2665">
        <w:t xml:space="preserve">that are consistent with the </w:t>
      </w:r>
      <w:r w:rsidR="0029178E">
        <w:t xml:space="preserve">DGR </w:t>
      </w:r>
      <w:r w:rsidR="007A2665">
        <w:t>general categories</w:t>
      </w:r>
      <w:r w:rsidR="003F0C8F">
        <w:t xml:space="preserve"> – it is not required to pursue all </w:t>
      </w:r>
      <w:r w:rsidR="00FB3AFD">
        <w:t xml:space="preserve">of them. </w:t>
      </w:r>
    </w:p>
    <w:p w14:paraId="2FE07193" w14:textId="34FC1B63" w:rsidR="00F44138" w:rsidRPr="00AD47A2" w:rsidRDefault="00F44138" w:rsidP="00292081">
      <w:pPr>
        <w:pStyle w:val="Heading2"/>
        <w:spacing w:before="120"/>
      </w:pPr>
      <w:r>
        <w:t>Operating a community charity</w:t>
      </w:r>
    </w:p>
    <w:p w14:paraId="43BF10C6" w14:textId="4571CD28" w:rsidR="00F475B2" w:rsidRDefault="00F475B2" w:rsidP="00F475B2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541166">
        <w:rPr>
          <w:b/>
          <w:bCs/>
          <w:color w:val="2C384A" w:themeColor="accent1"/>
          <w:szCs w:val="22"/>
        </w:rPr>
        <w:t>Will a community charit</w:t>
      </w:r>
      <w:r w:rsidR="004037D5">
        <w:rPr>
          <w:b/>
          <w:bCs/>
          <w:color w:val="2C384A" w:themeColor="accent1"/>
          <w:szCs w:val="22"/>
        </w:rPr>
        <w:t>y’s</w:t>
      </w:r>
      <w:r w:rsidRPr="00541166">
        <w:rPr>
          <w:b/>
          <w:bCs/>
          <w:color w:val="2C384A" w:themeColor="accent1"/>
          <w:szCs w:val="22"/>
        </w:rPr>
        <w:t xml:space="preserve"> own activities co</w:t>
      </w:r>
      <w:r>
        <w:rPr>
          <w:b/>
          <w:bCs/>
          <w:color w:val="2C384A" w:themeColor="accent1"/>
          <w:szCs w:val="22"/>
        </w:rPr>
        <w:t>ntribute</w:t>
      </w:r>
      <w:r w:rsidRPr="00541166">
        <w:rPr>
          <w:b/>
          <w:bCs/>
          <w:color w:val="2C384A" w:themeColor="accent1"/>
          <w:szCs w:val="22"/>
        </w:rPr>
        <w:t xml:space="preserve"> to the minimum distribution requirement? </w:t>
      </w:r>
    </w:p>
    <w:p w14:paraId="13F3613C" w14:textId="39D851D2" w:rsidR="00F475B2" w:rsidRPr="000B00D9" w:rsidRDefault="00F475B2" w:rsidP="00F475B2">
      <w:r w:rsidRPr="000B00D9">
        <w:t>During each financial year, apart from the year it is established, a community charity must distribute at least 4% of the market value of its net assets (as at the end of the previous financial year).</w:t>
      </w:r>
    </w:p>
    <w:p w14:paraId="6B147C44" w14:textId="254D5B24" w:rsidR="00AD27E7" w:rsidRDefault="00F475B2" w:rsidP="00AD27E7">
      <w:pPr>
        <w:rPr>
          <w:b/>
          <w:bCs/>
          <w:color w:val="2C384A" w:themeColor="accent1"/>
          <w:szCs w:val="22"/>
        </w:rPr>
      </w:pPr>
      <w:r w:rsidRPr="000B00D9">
        <w:t>Expenditure by a community charity for its own permissible activities</w:t>
      </w:r>
      <w:r>
        <w:t>, including by providing money to entities that are not DGRs,</w:t>
      </w:r>
      <w:r w:rsidRPr="000B00D9">
        <w:t xml:space="preserve"> contributes to this minimum distribution requirement.</w:t>
      </w:r>
      <w:r w:rsidR="00AD27E7" w:rsidRPr="00AD27E7">
        <w:rPr>
          <w:b/>
          <w:bCs/>
          <w:color w:val="2C384A" w:themeColor="accent1"/>
          <w:szCs w:val="22"/>
        </w:rPr>
        <w:t xml:space="preserve"> </w:t>
      </w:r>
    </w:p>
    <w:p w14:paraId="6A053428" w14:textId="7C6A37C7" w:rsidR="00AD27E7" w:rsidRDefault="00AD27E7" w:rsidP="00AD27E7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541166">
        <w:rPr>
          <w:b/>
          <w:bCs/>
          <w:color w:val="2C384A" w:themeColor="accent1"/>
          <w:szCs w:val="22"/>
        </w:rPr>
        <w:t xml:space="preserve">Why does a community charity need to make an annual </w:t>
      </w:r>
      <w:r>
        <w:rPr>
          <w:b/>
          <w:bCs/>
          <w:color w:val="2C384A" w:themeColor="accent1"/>
          <w:szCs w:val="22"/>
        </w:rPr>
        <w:t xml:space="preserve">minimum </w:t>
      </w:r>
      <w:r w:rsidRPr="00541166">
        <w:rPr>
          <w:b/>
          <w:bCs/>
          <w:color w:val="2C384A" w:themeColor="accent1"/>
          <w:szCs w:val="22"/>
        </w:rPr>
        <w:t>distribution?</w:t>
      </w:r>
    </w:p>
    <w:p w14:paraId="64AECB81" w14:textId="3C9053E7" w:rsidR="00AD27E7" w:rsidRPr="005505AD" w:rsidRDefault="00AD27E7" w:rsidP="00AD27E7">
      <w:r w:rsidRPr="005505AD">
        <w:t xml:space="preserve">The minimum annual distribution requirement balances the </w:t>
      </w:r>
      <w:r w:rsidR="00F02D10">
        <w:t xml:space="preserve">aim of </w:t>
      </w:r>
      <w:r w:rsidR="00363D4D">
        <w:t xml:space="preserve">supporting </w:t>
      </w:r>
      <w:r>
        <w:t xml:space="preserve">community </w:t>
      </w:r>
      <w:r w:rsidR="00785AC0">
        <w:t xml:space="preserve">charities </w:t>
      </w:r>
      <w:r w:rsidR="00970A43">
        <w:t xml:space="preserve">to </w:t>
      </w:r>
      <w:r w:rsidRPr="005505AD">
        <w:t>creat</w:t>
      </w:r>
      <w:r w:rsidR="00970A43">
        <w:t>e</w:t>
      </w:r>
      <w:r w:rsidRPr="005505AD">
        <w:t xml:space="preserve"> </w:t>
      </w:r>
      <w:r w:rsidR="003D1296">
        <w:t xml:space="preserve">long term </w:t>
      </w:r>
      <w:r w:rsidRPr="005505AD">
        <w:t xml:space="preserve">community endowments with </w:t>
      </w:r>
      <w:r w:rsidR="00785AC0">
        <w:t xml:space="preserve">that of </w:t>
      </w:r>
      <w:r w:rsidRPr="005505AD">
        <w:t xml:space="preserve">ensuring deductible gifts </w:t>
      </w:r>
      <w:r w:rsidR="00785AC0">
        <w:t xml:space="preserve">are </w:t>
      </w:r>
      <w:r w:rsidR="00C15B94">
        <w:t xml:space="preserve">applied </w:t>
      </w:r>
      <w:r w:rsidR="005C6910">
        <w:t xml:space="preserve">for </w:t>
      </w:r>
      <w:r w:rsidRPr="005505AD">
        <w:t>charitable purposes.</w:t>
      </w:r>
    </w:p>
    <w:p w14:paraId="20C20010" w14:textId="6486C160" w:rsidR="00AD27E7" w:rsidRPr="005505AD" w:rsidRDefault="00AD27E7" w:rsidP="00AD27E7">
      <w:r w:rsidRPr="005505AD">
        <w:t xml:space="preserve">The distribution requirement </w:t>
      </w:r>
      <w:r>
        <w:t xml:space="preserve">also </w:t>
      </w:r>
      <w:r w:rsidRPr="005505AD">
        <w:t>ensures that</w:t>
      </w:r>
      <w:r>
        <w:t xml:space="preserve"> a community charity applies its assets to its purposes if it no longer recei</w:t>
      </w:r>
      <w:r w:rsidR="00021E81">
        <w:t>ves</w:t>
      </w:r>
      <w:r>
        <w:t xml:space="preserve"> donations.</w:t>
      </w:r>
    </w:p>
    <w:p w14:paraId="76E57EF3" w14:textId="35B147CD" w:rsidR="00F475B2" w:rsidRDefault="00A66AC9" w:rsidP="00AD27E7">
      <w:r>
        <w:t>There may be c</w:t>
      </w:r>
      <w:r w:rsidR="00AD27E7">
        <w:t>ircumstances whe</w:t>
      </w:r>
      <w:r>
        <w:t>re</w:t>
      </w:r>
      <w:r w:rsidR="00AD27E7">
        <w:t xml:space="preserve"> a community charity w</w:t>
      </w:r>
      <w:r>
        <w:t>ishes</w:t>
      </w:r>
      <w:r w:rsidR="00AD27E7">
        <w:t xml:space="preserve"> to make a distribution below the minimum</w:t>
      </w:r>
      <w:r w:rsidR="004A3311">
        <w:t xml:space="preserve"> rate</w:t>
      </w:r>
      <w:r w:rsidR="008E5F06">
        <w:t xml:space="preserve">, and may </w:t>
      </w:r>
      <w:r w:rsidR="004A3311">
        <w:t xml:space="preserve">request the ATO’s approval to make a lower distribution. </w:t>
      </w:r>
      <w:r w:rsidR="00364F66">
        <w:t xml:space="preserve">For example, a charity may seek to build its asset value to support a large project in a future year. </w:t>
      </w:r>
      <w:r w:rsidR="004A3311">
        <w:t xml:space="preserve">The </w:t>
      </w:r>
      <w:r w:rsidR="00865D21">
        <w:t xml:space="preserve">ministerial </w:t>
      </w:r>
      <w:r w:rsidR="004A3311">
        <w:t>guidelines set out the matters the ATO must consider when deciding to approve a request.</w:t>
      </w:r>
    </w:p>
    <w:p w14:paraId="310C2602" w14:textId="77777777" w:rsidR="002177FE" w:rsidDel="00F475B2" w:rsidRDefault="002177FE" w:rsidP="002177FE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541166" w:rsidDel="00F475B2">
        <w:rPr>
          <w:b/>
          <w:bCs/>
          <w:color w:val="2C384A" w:themeColor="accent1"/>
          <w:szCs w:val="22"/>
        </w:rPr>
        <w:t>Can a community charity give money to an entity that is not a DGR?</w:t>
      </w:r>
    </w:p>
    <w:p w14:paraId="3A1AE881" w14:textId="151FB6A5" w:rsidR="002177FE" w:rsidRDefault="002177FE" w:rsidP="002177FE">
      <w:pPr>
        <w:spacing w:before="240"/>
        <w:rPr>
          <w:color w:val="2C384A" w:themeColor="accent1"/>
          <w:szCs w:val="22"/>
        </w:rPr>
      </w:pPr>
      <w:r w:rsidRPr="00356DCB" w:rsidDel="00F475B2">
        <w:rPr>
          <w:color w:val="2C384A" w:themeColor="accent1"/>
          <w:szCs w:val="22"/>
        </w:rPr>
        <w:t>Yes</w:t>
      </w:r>
      <w:r w:rsidR="007E37A8">
        <w:rPr>
          <w:color w:val="2C384A" w:themeColor="accent1"/>
          <w:szCs w:val="22"/>
        </w:rPr>
        <w:t>,</w:t>
      </w:r>
      <w:r w:rsidR="00364F66">
        <w:rPr>
          <w:color w:val="2C384A" w:themeColor="accent1"/>
          <w:szCs w:val="22"/>
        </w:rPr>
        <w:t xml:space="preserve"> a community charity can</w:t>
      </w:r>
      <w:r w:rsidR="00795381">
        <w:rPr>
          <w:color w:val="2C384A" w:themeColor="accent1"/>
          <w:szCs w:val="22"/>
        </w:rPr>
        <w:t xml:space="preserve"> give money to an entity that is not a DGR</w:t>
      </w:r>
      <w:r w:rsidR="001109D1">
        <w:rPr>
          <w:color w:val="2C384A" w:themeColor="accent1"/>
          <w:szCs w:val="22"/>
        </w:rPr>
        <w:t>. I</w:t>
      </w:r>
      <w:r w:rsidR="00467EFA">
        <w:rPr>
          <w:color w:val="2C384A" w:themeColor="accent1"/>
          <w:szCs w:val="22"/>
        </w:rPr>
        <w:t>t s</w:t>
      </w:r>
      <w:r w:rsidR="00795381">
        <w:rPr>
          <w:color w:val="2C384A" w:themeColor="accent1"/>
          <w:szCs w:val="22"/>
        </w:rPr>
        <w:t>hould</w:t>
      </w:r>
      <w:r w:rsidRPr="00356DCB" w:rsidDel="00F475B2">
        <w:rPr>
          <w:color w:val="2C384A" w:themeColor="accent1"/>
          <w:szCs w:val="22"/>
        </w:rPr>
        <w:t xml:space="preserve"> ensure the other entity uses the money </w:t>
      </w:r>
      <w:r w:rsidR="00163436">
        <w:rPr>
          <w:color w:val="2C384A" w:themeColor="accent1"/>
          <w:szCs w:val="22"/>
        </w:rPr>
        <w:t xml:space="preserve">in a way that is </w:t>
      </w:r>
      <w:r w:rsidRPr="00356DCB" w:rsidDel="00F475B2">
        <w:rPr>
          <w:color w:val="2C384A" w:themeColor="accent1"/>
          <w:szCs w:val="22"/>
        </w:rPr>
        <w:t>consistent with the purposes of the community charity. Failure to do so</w:t>
      </w:r>
      <w:r w:rsidR="00130CF9">
        <w:rPr>
          <w:color w:val="2C384A" w:themeColor="accent1"/>
          <w:szCs w:val="22"/>
        </w:rPr>
        <w:t xml:space="preserve"> may</w:t>
      </w:r>
      <w:r w:rsidRPr="00356DCB" w:rsidDel="00F475B2">
        <w:rPr>
          <w:color w:val="2C384A" w:themeColor="accent1"/>
          <w:szCs w:val="22"/>
        </w:rPr>
        <w:t xml:space="preserve"> mean the community charity might be working outside of the </w:t>
      </w:r>
      <w:r w:rsidR="00516E27">
        <w:rPr>
          <w:color w:val="2C384A" w:themeColor="accent1"/>
          <w:szCs w:val="22"/>
        </w:rPr>
        <w:t xml:space="preserve">permissible DGR </w:t>
      </w:r>
      <w:r w:rsidRPr="00356DCB" w:rsidDel="00F475B2">
        <w:rPr>
          <w:color w:val="2C384A" w:themeColor="accent1"/>
          <w:szCs w:val="22"/>
        </w:rPr>
        <w:t>purposes</w:t>
      </w:r>
      <w:r w:rsidR="00516E27">
        <w:rPr>
          <w:color w:val="2C384A" w:themeColor="accent1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58D" w14:paraId="6B5311B4" w14:textId="77777777" w:rsidTr="00CC3085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E8F0FC" w:themeFill="accent5" w:themeFillTint="33"/>
          </w:tcPr>
          <w:p w14:paraId="1AA69D76" w14:textId="576EE1C7" w:rsidR="00EE758D" w:rsidRPr="00CC3085" w:rsidRDefault="00EE758D" w:rsidP="00703C0C">
            <w:pPr>
              <w:rPr>
                <w:b/>
                <w:bCs/>
                <w:color w:val="2C384A" w:themeColor="accent1"/>
                <w:szCs w:val="22"/>
              </w:rPr>
            </w:pPr>
            <w:r w:rsidRPr="00CC3085">
              <w:rPr>
                <w:b/>
                <w:bCs/>
                <w:color w:val="2C384A" w:themeColor="accent1"/>
                <w:szCs w:val="22"/>
              </w:rPr>
              <w:t>Example:</w:t>
            </w:r>
            <w:r w:rsidR="00E25E50" w:rsidRPr="00CC3085">
              <w:rPr>
                <w:b/>
                <w:bCs/>
                <w:color w:val="2C384A" w:themeColor="accent1"/>
                <w:szCs w:val="22"/>
              </w:rPr>
              <w:t xml:space="preserve"> </w:t>
            </w:r>
            <w:r w:rsidR="00A44546">
              <w:rPr>
                <w:b/>
                <w:bCs/>
                <w:color w:val="2C384A" w:themeColor="accent1"/>
                <w:szCs w:val="22"/>
              </w:rPr>
              <w:t xml:space="preserve">Funding </w:t>
            </w:r>
            <w:r w:rsidR="00467EFA">
              <w:rPr>
                <w:b/>
                <w:bCs/>
                <w:color w:val="2C384A" w:themeColor="accent1"/>
                <w:szCs w:val="22"/>
              </w:rPr>
              <w:t xml:space="preserve">provided to </w:t>
            </w:r>
            <w:r w:rsidR="00E25E50" w:rsidRPr="00CC3085">
              <w:rPr>
                <w:b/>
                <w:bCs/>
                <w:color w:val="2C384A" w:themeColor="accent1"/>
                <w:szCs w:val="22"/>
              </w:rPr>
              <w:t xml:space="preserve">non-DGR entities </w:t>
            </w:r>
          </w:p>
          <w:p w14:paraId="4940DA0F" w14:textId="257C2684" w:rsidR="00EE758D" w:rsidDel="00F475B2" w:rsidRDefault="00EE758D" w:rsidP="00703C0C">
            <w:pPr>
              <w:rPr>
                <w:color w:val="2C384A" w:themeColor="accent1"/>
                <w:szCs w:val="22"/>
              </w:rPr>
            </w:pPr>
            <w:r>
              <w:rPr>
                <w:color w:val="2C384A" w:themeColor="accent1"/>
                <w:szCs w:val="22"/>
              </w:rPr>
              <w:t>R</w:t>
            </w:r>
            <w:r w:rsidRPr="00356DCB" w:rsidDel="00F475B2">
              <w:rPr>
                <w:color w:val="2C384A" w:themeColor="accent1"/>
                <w:szCs w:val="22"/>
              </w:rPr>
              <w:t xml:space="preserve">ehabilitation of degraded </w:t>
            </w:r>
            <w:r w:rsidDel="00F475B2">
              <w:rPr>
                <w:color w:val="2C384A" w:themeColor="accent1"/>
                <w:szCs w:val="22"/>
              </w:rPr>
              <w:t>land</w:t>
            </w:r>
            <w:r w:rsidRPr="00356DCB" w:rsidDel="00F475B2">
              <w:rPr>
                <w:color w:val="2C384A" w:themeColor="accent1"/>
                <w:szCs w:val="22"/>
              </w:rPr>
              <w:t xml:space="preserve"> enhances the natural environment and is consistent with the purposes of the environmental organisation category. A community charity may have a purpose of pursuing such an activity. </w:t>
            </w:r>
          </w:p>
          <w:p w14:paraId="748D49BF" w14:textId="5F488CDA" w:rsidR="00EE758D" w:rsidRPr="00CC3085" w:rsidRDefault="00A746CF" w:rsidP="00CC3085">
            <w:pPr>
              <w:rPr>
                <w:b/>
                <w:bCs/>
                <w:color w:val="2C384A" w:themeColor="accent1"/>
                <w:szCs w:val="22"/>
              </w:rPr>
            </w:pPr>
            <w:r>
              <w:rPr>
                <w:color w:val="2C384A" w:themeColor="accent1"/>
                <w:szCs w:val="22"/>
              </w:rPr>
              <w:t>If the</w:t>
            </w:r>
            <w:r w:rsidR="00EE758D" w:rsidRPr="00356DCB" w:rsidDel="00F475B2">
              <w:rPr>
                <w:color w:val="2C384A" w:themeColor="accent1"/>
                <w:szCs w:val="22"/>
              </w:rPr>
              <w:t xml:space="preserve"> community charity </w:t>
            </w:r>
            <w:r w:rsidR="00C4509E">
              <w:rPr>
                <w:color w:val="2C384A" w:themeColor="accent1"/>
                <w:szCs w:val="22"/>
              </w:rPr>
              <w:t>sought</w:t>
            </w:r>
            <w:r w:rsidR="00EE758D" w:rsidRPr="00356DCB" w:rsidDel="00F475B2">
              <w:rPr>
                <w:color w:val="2C384A" w:themeColor="accent1"/>
                <w:szCs w:val="22"/>
              </w:rPr>
              <w:t xml:space="preserve"> to provide a grant to a farmer to re</w:t>
            </w:r>
            <w:r w:rsidR="00EE758D" w:rsidDel="00F475B2">
              <w:rPr>
                <w:color w:val="2C384A" w:themeColor="accent1"/>
                <w:szCs w:val="22"/>
              </w:rPr>
              <w:t>store habitat for an endangered animal on part of the farmer’s land</w:t>
            </w:r>
            <w:r w:rsidR="000439F0">
              <w:rPr>
                <w:color w:val="2C384A" w:themeColor="accent1"/>
                <w:szCs w:val="22"/>
              </w:rPr>
              <w:t>,</w:t>
            </w:r>
            <w:r w:rsidR="00EE758D" w:rsidRPr="00356DCB" w:rsidDel="00F475B2">
              <w:rPr>
                <w:color w:val="2C384A" w:themeColor="accent1"/>
                <w:szCs w:val="22"/>
              </w:rPr>
              <w:t xml:space="preserve"> </w:t>
            </w:r>
            <w:r w:rsidR="000439F0">
              <w:rPr>
                <w:color w:val="2C384A" w:themeColor="accent1"/>
                <w:szCs w:val="22"/>
              </w:rPr>
              <w:t>t</w:t>
            </w:r>
            <w:r w:rsidR="00EE758D" w:rsidRPr="00356DCB" w:rsidDel="00F475B2">
              <w:rPr>
                <w:color w:val="2C384A" w:themeColor="accent1"/>
                <w:szCs w:val="22"/>
              </w:rPr>
              <w:t xml:space="preserve">he community charity should </w:t>
            </w:r>
            <w:r w:rsidR="00EE758D" w:rsidDel="00F475B2">
              <w:rPr>
                <w:color w:val="2C384A" w:themeColor="accent1"/>
                <w:szCs w:val="22"/>
              </w:rPr>
              <w:t xml:space="preserve">have a process that ensures </w:t>
            </w:r>
            <w:r w:rsidR="00EE758D" w:rsidRPr="00356DCB" w:rsidDel="00F475B2">
              <w:rPr>
                <w:color w:val="2C384A" w:themeColor="accent1"/>
                <w:szCs w:val="22"/>
              </w:rPr>
              <w:t xml:space="preserve">the farmer does not use the money for purposes other than rehabilitation. </w:t>
            </w:r>
            <w:r w:rsidR="00725B96" w:rsidRPr="00F256E3">
              <w:rPr>
                <w:color w:val="2C384A" w:themeColor="accent1"/>
                <w:szCs w:val="22"/>
              </w:rPr>
              <w:t xml:space="preserve">It should also ensure that the grant is consistent with the charitable purpose of </w:t>
            </w:r>
            <w:r w:rsidR="00725B96" w:rsidRPr="00F256E3">
              <w:rPr>
                <w:color w:val="2C384A" w:themeColor="accent1"/>
                <w:szCs w:val="22"/>
              </w:rPr>
              <w:lastRenderedPageBreak/>
              <w:t>the community charity and that the farmer does not receive any material private benefit from the grant.</w:t>
            </w:r>
          </w:p>
        </w:tc>
      </w:tr>
    </w:tbl>
    <w:p w14:paraId="6DD9B5B1" w14:textId="15C73588" w:rsidR="00F34BE9" w:rsidRPr="00CC3085" w:rsidRDefault="00F34BE9" w:rsidP="00507004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CC3085">
        <w:rPr>
          <w:b/>
          <w:bCs/>
          <w:color w:val="2C384A" w:themeColor="accent1"/>
          <w:szCs w:val="22"/>
        </w:rPr>
        <w:lastRenderedPageBreak/>
        <w:t>Why does a community charity need an investment strategy?</w:t>
      </w:r>
    </w:p>
    <w:p w14:paraId="5CD00BE8" w14:textId="79B28D5C" w:rsidR="00146E0E" w:rsidRDefault="008B5F0C" w:rsidP="008B5F0C">
      <w:r>
        <w:t xml:space="preserve">The investment strategy requirement </w:t>
      </w:r>
      <w:r w:rsidR="00C550E5">
        <w:t xml:space="preserve">enables </w:t>
      </w:r>
      <w:r>
        <w:t>the trustees or directors of a community charity to show how they will manage the assets of the charity consistently with its character as a community endowment.</w:t>
      </w:r>
      <w:r w:rsidR="00146E0E">
        <w:t xml:space="preserve"> </w:t>
      </w:r>
    </w:p>
    <w:p w14:paraId="7F93FF57" w14:textId="72A12F7B" w:rsidR="008B5F0C" w:rsidRDefault="008B5F0C" w:rsidP="008B5F0C">
      <w:r>
        <w:t xml:space="preserve">It also </w:t>
      </w:r>
      <w:r w:rsidR="0015109C">
        <w:t xml:space="preserve">seeks to </w:t>
      </w:r>
      <w:r>
        <w:t xml:space="preserve">ensure the charity can meet </w:t>
      </w:r>
      <w:r w:rsidR="00395826">
        <w:t>the</w:t>
      </w:r>
      <w:r>
        <w:t xml:space="preserve"> minimum annual distribution requirement. The distribution requirement is based on the value of the charity’s assets</w:t>
      </w:r>
      <w:r w:rsidR="006C1EA3">
        <w:t xml:space="preserve"> which</w:t>
      </w:r>
      <w:r>
        <w:t xml:space="preserve"> m</w:t>
      </w:r>
      <w:r w:rsidR="00395826">
        <w:t>ay</w:t>
      </w:r>
      <w:r>
        <w:t xml:space="preserve"> include unrealised gains and investments in comparatively illiquid assets. An investment strategy will consider the liquidity needs of the </w:t>
      </w:r>
      <w:r w:rsidR="0041040A">
        <w:t xml:space="preserve">community </w:t>
      </w:r>
      <w:r>
        <w:t>charity.</w:t>
      </w:r>
    </w:p>
    <w:p w14:paraId="5E44A636" w14:textId="0B8474E7" w:rsidR="00EF03FA" w:rsidRDefault="008B5F0C" w:rsidP="00EF03FA">
      <w:pPr>
        <w:rPr>
          <w:b/>
          <w:bCs/>
          <w:color w:val="2C384A" w:themeColor="accent1"/>
        </w:rPr>
      </w:pPr>
      <w:r>
        <w:t xml:space="preserve">However, the requirement is not prescriptive. </w:t>
      </w:r>
      <w:r w:rsidR="00A034A1">
        <w:t xml:space="preserve">Community charities </w:t>
      </w:r>
      <w:r>
        <w:t>may design the</w:t>
      </w:r>
      <w:r w:rsidR="007F0DB7">
        <w:t xml:space="preserve"> investment</w:t>
      </w:r>
      <w:r>
        <w:t xml:space="preserve"> strategy to suit the</w:t>
      </w:r>
      <w:r w:rsidR="00050F39">
        <w:t>ir individual</w:t>
      </w:r>
      <w:r>
        <w:t xml:space="preserve"> needs and aims.</w:t>
      </w:r>
      <w:r w:rsidR="00EF03FA" w:rsidRPr="00EF03FA">
        <w:rPr>
          <w:b/>
          <w:bCs/>
          <w:color w:val="2C384A" w:themeColor="accent1"/>
        </w:rPr>
        <w:t xml:space="preserve"> </w:t>
      </w:r>
    </w:p>
    <w:p w14:paraId="1BD64C4F" w14:textId="4BDFA834" w:rsidR="00EF03FA" w:rsidRPr="00541166" w:rsidRDefault="00EF03FA" w:rsidP="00CC3085">
      <w:pPr>
        <w:pStyle w:val="ListParagraph"/>
        <w:numPr>
          <w:ilvl w:val="0"/>
          <w:numId w:val="10"/>
        </w:numPr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541166">
        <w:rPr>
          <w:b/>
          <w:bCs/>
          <w:color w:val="2C384A" w:themeColor="accent1"/>
          <w:szCs w:val="22"/>
        </w:rPr>
        <w:t>Can a community charity undertake commercial activities?</w:t>
      </w:r>
    </w:p>
    <w:p w14:paraId="4D3F83E1" w14:textId="761824A9" w:rsidR="004A52A5" w:rsidRDefault="00EF03FA" w:rsidP="00EF03FA">
      <w:pPr>
        <w:pStyle w:val="Bullet"/>
        <w:numPr>
          <w:ilvl w:val="0"/>
          <w:numId w:val="0"/>
        </w:numPr>
        <w:spacing w:after="240" w:line="240" w:lineRule="auto"/>
        <w:rPr>
          <w:rFonts w:cs="Calibri Light"/>
          <w:szCs w:val="22"/>
        </w:rPr>
      </w:pPr>
      <w:r>
        <w:t>Like other charities registered with the ACNC, a community</w:t>
      </w:r>
      <w:r w:rsidRPr="00EA025D">
        <w:t xml:space="preserve"> charity can undertake commercial activi</w:t>
      </w:r>
      <w:r>
        <w:t>ties</w:t>
      </w:r>
      <w:r w:rsidRPr="00EA025D">
        <w:t xml:space="preserve"> where the activity</w:t>
      </w:r>
      <w:r w:rsidR="00163971">
        <w:t xml:space="preserve"> </w:t>
      </w:r>
      <w:r w:rsidRPr="00EA025D">
        <w:t>contributes towards its charitable purpose</w:t>
      </w:r>
      <w:r>
        <w:t>. Further guidance is available at the ACNC website.</w:t>
      </w:r>
      <w:r w:rsidR="0008411B">
        <w:softHyphen/>
      </w:r>
    </w:p>
    <w:p w14:paraId="7AC682E3" w14:textId="77777777" w:rsidR="00EF03FA" w:rsidRDefault="00EF03FA" w:rsidP="00EF03FA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541166">
        <w:rPr>
          <w:b/>
          <w:bCs/>
          <w:color w:val="2C384A" w:themeColor="accent1"/>
          <w:szCs w:val="22"/>
        </w:rPr>
        <w:t>Can a community charity be a sub</w:t>
      </w:r>
      <w:r w:rsidRPr="00541166">
        <w:rPr>
          <w:b/>
          <w:bCs/>
          <w:color w:val="2C384A" w:themeColor="accent1"/>
          <w:szCs w:val="22"/>
        </w:rPr>
        <w:noBreakHyphen/>
        <w:t>structure of another entity?</w:t>
      </w:r>
    </w:p>
    <w:p w14:paraId="2C98409E" w14:textId="0EEAC942" w:rsidR="00EF03FA" w:rsidRDefault="00C70EE6" w:rsidP="00EF03FA">
      <w:r>
        <w:t xml:space="preserve">A </w:t>
      </w:r>
      <w:r w:rsidR="003775ED">
        <w:t>community charity cannot be a sub-structure of another entity because t</w:t>
      </w:r>
      <w:r w:rsidR="00EF03FA">
        <w:t xml:space="preserve">he law only allows the ATO to endorse an entire entity as a DGR under the community charity category. </w:t>
      </w:r>
    </w:p>
    <w:p w14:paraId="69E6AE20" w14:textId="3133A970" w:rsidR="00F475B2" w:rsidRPr="004A52A5" w:rsidRDefault="00F475B2" w:rsidP="00292081">
      <w:pPr>
        <w:pStyle w:val="Heading2"/>
        <w:spacing w:before="120"/>
      </w:pPr>
      <w:r>
        <w:t>Reporting</w:t>
      </w:r>
    </w:p>
    <w:p w14:paraId="576F458B" w14:textId="44E1CFD8" w:rsidR="00F34BE9" w:rsidRDefault="00F34BE9" w:rsidP="00665254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 w:rsidRPr="00541166">
        <w:rPr>
          <w:b/>
          <w:bCs/>
          <w:color w:val="2C384A" w:themeColor="accent1"/>
          <w:szCs w:val="22"/>
        </w:rPr>
        <w:t xml:space="preserve">Will </w:t>
      </w:r>
      <w:r w:rsidR="00016319">
        <w:rPr>
          <w:b/>
          <w:bCs/>
          <w:color w:val="2C384A" w:themeColor="accent1"/>
          <w:szCs w:val="22"/>
        </w:rPr>
        <w:t xml:space="preserve">financial </w:t>
      </w:r>
      <w:r w:rsidRPr="00541166">
        <w:rPr>
          <w:b/>
          <w:bCs/>
          <w:color w:val="2C384A" w:themeColor="accent1"/>
          <w:szCs w:val="22"/>
        </w:rPr>
        <w:t xml:space="preserve">reports made to the ACNC </w:t>
      </w:r>
      <w:r w:rsidR="00016319">
        <w:rPr>
          <w:b/>
          <w:bCs/>
          <w:color w:val="2C384A" w:themeColor="accent1"/>
          <w:szCs w:val="22"/>
        </w:rPr>
        <w:t xml:space="preserve">meet the reporting </w:t>
      </w:r>
      <w:r w:rsidRPr="00541166">
        <w:rPr>
          <w:b/>
          <w:bCs/>
          <w:color w:val="2C384A" w:themeColor="accent1"/>
          <w:szCs w:val="22"/>
        </w:rPr>
        <w:t>requirements</w:t>
      </w:r>
      <w:r w:rsidR="00FC1D01">
        <w:rPr>
          <w:b/>
          <w:bCs/>
          <w:color w:val="2C384A" w:themeColor="accent1"/>
          <w:szCs w:val="22"/>
        </w:rPr>
        <w:t xml:space="preserve"> to the ATO under the ministerial guidelines</w:t>
      </w:r>
      <w:r w:rsidRPr="00541166">
        <w:rPr>
          <w:b/>
          <w:bCs/>
          <w:color w:val="2C384A" w:themeColor="accent1"/>
          <w:szCs w:val="22"/>
        </w:rPr>
        <w:t>?</w:t>
      </w:r>
    </w:p>
    <w:p w14:paraId="6ED8B9B8" w14:textId="4CF2D87B" w:rsidR="002F09E3" w:rsidRDefault="002F09E3" w:rsidP="002F09E3">
      <w:r>
        <w:t>Community charities must register with the ACNC as a requirement of endorsement as a DGR. This means they</w:t>
      </w:r>
      <w:r w:rsidR="00201595">
        <w:t xml:space="preserve"> may</w:t>
      </w:r>
      <w:r>
        <w:t xml:space="preserve"> need to provide an annual information statement and, depending on size, financial statements to the ACNC. The government’s intent is to minimise the reporting burden on charities.</w:t>
      </w:r>
    </w:p>
    <w:p w14:paraId="0B59C0EE" w14:textId="77777777" w:rsidR="002F09E3" w:rsidRDefault="002F09E3" w:rsidP="002F09E3">
      <w:r>
        <w:t>The financial reporting requirements in the guidelines are consistent with the financial reporting obligations medium and large charities have to the ACNC. They are also consistent with the requirements on a small charity that voluntarily provides financial statements to the ACNC. A financial report given to the ACNC that meets the ACNC’s requirements will meet the requirements of the guidelines. A community charity does not need to provide the report separately to the ATO.</w:t>
      </w:r>
    </w:p>
    <w:p w14:paraId="38E7251E" w14:textId="09752356" w:rsidR="00615DFE" w:rsidRPr="00E92C33" w:rsidRDefault="00253A2D" w:rsidP="00E92C33">
      <w:pPr>
        <w:pStyle w:val="ListParagraph"/>
        <w:numPr>
          <w:ilvl w:val="0"/>
          <w:numId w:val="10"/>
        </w:numPr>
        <w:spacing w:before="240"/>
        <w:ind w:left="425" w:hanging="425"/>
        <w:contextualSpacing w:val="0"/>
        <w:rPr>
          <w:b/>
          <w:bCs/>
          <w:color w:val="2C384A" w:themeColor="accent1"/>
          <w:szCs w:val="22"/>
        </w:rPr>
      </w:pPr>
      <w:r>
        <w:rPr>
          <w:b/>
          <w:bCs/>
          <w:color w:val="2C384A" w:themeColor="accent1"/>
          <w:szCs w:val="22"/>
        </w:rPr>
        <w:t>Do</w:t>
      </w:r>
      <w:r w:rsidR="001C59C5">
        <w:rPr>
          <w:b/>
          <w:bCs/>
          <w:color w:val="2C384A" w:themeColor="accent1"/>
          <w:szCs w:val="22"/>
        </w:rPr>
        <w:t>es</w:t>
      </w:r>
      <w:r>
        <w:rPr>
          <w:b/>
          <w:bCs/>
          <w:color w:val="2C384A" w:themeColor="accent1"/>
          <w:szCs w:val="22"/>
        </w:rPr>
        <w:t xml:space="preserve"> th</w:t>
      </w:r>
      <w:r w:rsidR="007F2256">
        <w:rPr>
          <w:b/>
          <w:bCs/>
          <w:color w:val="2C384A" w:themeColor="accent1"/>
          <w:szCs w:val="22"/>
        </w:rPr>
        <w:t>e</w:t>
      </w:r>
      <w:r w:rsidR="00E45918">
        <w:rPr>
          <w:b/>
          <w:bCs/>
          <w:color w:val="2C384A" w:themeColor="accent1"/>
          <w:szCs w:val="22"/>
        </w:rPr>
        <w:t xml:space="preserve"> community </w:t>
      </w:r>
      <w:r w:rsidR="007F2256">
        <w:rPr>
          <w:b/>
          <w:bCs/>
          <w:color w:val="2C384A" w:themeColor="accent1"/>
          <w:szCs w:val="22"/>
        </w:rPr>
        <w:t xml:space="preserve">charity DGR framework require </w:t>
      </w:r>
      <w:r w:rsidR="00E45918">
        <w:rPr>
          <w:b/>
          <w:bCs/>
          <w:color w:val="2C384A" w:themeColor="accent1"/>
          <w:szCs w:val="22"/>
        </w:rPr>
        <w:t>lodge</w:t>
      </w:r>
      <w:r w:rsidR="007F2256">
        <w:rPr>
          <w:b/>
          <w:bCs/>
          <w:color w:val="2C384A" w:themeColor="accent1"/>
          <w:szCs w:val="22"/>
        </w:rPr>
        <w:t>ment of</w:t>
      </w:r>
      <w:r w:rsidR="00E45918">
        <w:rPr>
          <w:b/>
          <w:bCs/>
          <w:color w:val="2C384A" w:themeColor="accent1"/>
          <w:szCs w:val="22"/>
        </w:rPr>
        <w:t xml:space="preserve"> an income tax return</w:t>
      </w:r>
      <w:r w:rsidR="00E92C33" w:rsidRPr="00E92C33">
        <w:rPr>
          <w:b/>
          <w:bCs/>
          <w:color w:val="2C384A" w:themeColor="accent1"/>
          <w:szCs w:val="22"/>
        </w:rPr>
        <w:t xml:space="preserve">? </w:t>
      </w:r>
    </w:p>
    <w:p w14:paraId="66A31455" w14:textId="479B45D3" w:rsidR="00596C7F" w:rsidRDefault="00150A30" w:rsidP="00BE514E">
      <w:pPr>
        <w:tabs>
          <w:tab w:val="left" w:pos="3402"/>
        </w:tabs>
      </w:pPr>
      <w:r>
        <w:t xml:space="preserve">The </w:t>
      </w:r>
      <w:r w:rsidR="00CC37C5">
        <w:t xml:space="preserve">DGR framework for community charities </w:t>
      </w:r>
      <w:r>
        <w:t>do</w:t>
      </w:r>
      <w:r w:rsidR="00CC37C5">
        <w:t>es</w:t>
      </w:r>
      <w:r>
        <w:t xml:space="preserve"> not require community charities to lodge a</w:t>
      </w:r>
      <w:r w:rsidR="0084286C">
        <w:t>n</w:t>
      </w:r>
      <w:r>
        <w:t xml:space="preserve"> income tax return, </w:t>
      </w:r>
      <w:r w:rsidR="00596C7F">
        <w:t>however t</w:t>
      </w:r>
      <w:r w:rsidR="002F09E3">
        <w:t>he ATO may r</w:t>
      </w:r>
      <w:r w:rsidR="00090C3C">
        <w:t xml:space="preserve">equest </w:t>
      </w:r>
      <w:r w:rsidR="002F09E3">
        <w:t xml:space="preserve">community charities </w:t>
      </w:r>
      <w:r w:rsidR="00596C7F">
        <w:t>to</w:t>
      </w:r>
      <w:r w:rsidR="00585C13">
        <w:t xml:space="preserve"> provide</w:t>
      </w:r>
      <w:r w:rsidR="002C3FD1">
        <w:t xml:space="preserve"> this</w:t>
      </w:r>
      <w:r w:rsidR="00543D1D">
        <w:t>.</w:t>
      </w:r>
      <w:r w:rsidR="002C3FD1">
        <w:t xml:space="preserve"> </w:t>
      </w:r>
      <w:r w:rsidR="00543D1D">
        <w:t>This is</w:t>
      </w:r>
      <w:r w:rsidR="00EA4E5A">
        <w:t xml:space="preserve"> similar to </w:t>
      </w:r>
      <w:r w:rsidR="00596C7F">
        <w:t>th</w:t>
      </w:r>
      <w:r w:rsidR="0008411B">
        <w:t>e requirement</w:t>
      </w:r>
      <w:r w:rsidR="00596C7F">
        <w:t xml:space="preserve"> for private and public ancillary funds</w:t>
      </w:r>
      <w:r w:rsidR="002F09E3">
        <w:t>.</w:t>
      </w:r>
      <w:r w:rsidR="00BB4AC2">
        <w:t xml:space="preserve"> </w:t>
      </w:r>
    </w:p>
    <w:p w14:paraId="34E5F075" w14:textId="0F1DA054" w:rsidR="00B96174" w:rsidRPr="00541166" w:rsidRDefault="002F09E3" w:rsidP="002F09E3">
      <w:r>
        <w:t>This might be, for example, so that a community charity may show it has met the minimum annual distribution requirement and other matters relevant to the charity’s endorsement as a DGR. Where possible, the ACNC will collect this information through the annual information statement</w:t>
      </w:r>
      <w:r w:rsidR="00381D00">
        <w:t xml:space="preserve"> to </w:t>
      </w:r>
      <w:r w:rsidR="006D180D">
        <w:t xml:space="preserve">minimise reporting burden. </w:t>
      </w:r>
    </w:p>
    <w:p w14:paraId="271061DF" w14:textId="5D26B19F" w:rsidR="00DE74EC" w:rsidRPr="00045C24" w:rsidRDefault="00DE74EC" w:rsidP="00BB4AC2"/>
    <w:sectPr w:rsidR="00DE74EC" w:rsidRPr="00045C24" w:rsidSect="00300C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9CEF" w14:textId="77777777" w:rsidR="003D5FF8" w:rsidRDefault="003D5FF8" w:rsidP="00886BC4">
      <w:r>
        <w:separator/>
      </w:r>
    </w:p>
    <w:p w14:paraId="610F56BD" w14:textId="77777777" w:rsidR="003D5FF8" w:rsidRDefault="003D5FF8"/>
  </w:endnote>
  <w:endnote w:type="continuationSeparator" w:id="0">
    <w:p w14:paraId="46F7843E" w14:textId="77777777" w:rsidR="003D5FF8" w:rsidRDefault="003D5FF8" w:rsidP="00886BC4">
      <w:r>
        <w:continuationSeparator/>
      </w:r>
    </w:p>
    <w:p w14:paraId="20990D20" w14:textId="77777777" w:rsidR="003D5FF8" w:rsidRDefault="003D5FF8"/>
  </w:endnote>
  <w:endnote w:type="continuationNotice" w:id="1">
    <w:p w14:paraId="56264B4B" w14:textId="77777777" w:rsidR="003D5FF8" w:rsidRDefault="003D5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DABB" w14:textId="3FA6EB04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411F45BB" wp14:editId="67C2DBCA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7292" w14:textId="79EEDF6E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48D0E6B1" wp14:editId="112EFB08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A4B9" w14:textId="77777777" w:rsidR="003D5FF8" w:rsidRDefault="003D5FF8" w:rsidP="00886BC4">
      <w:r>
        <w:separator/>
      </w:r>
    </w:p>
    <w:p w14:paraId="035B3357" w14:textId="77777777" w:rsidR="003D5FF8" w:rsidRDefault="003D5FF8"/>
  </w:footnote>
  <w:footnote w:type="continuationSeparator" w:id="0">
    <w:p w14:paraId="474CC73C" w14:textId="77777777" w:rsidR="003D5FF8" w:rsidRDefault="003D5FF8" w:rsidP="00886BC4">
      <w:r>
        <w:continuationSeparator/>
      </w:r>
    </w:p>
    <w:p w14:paraId="678429FA" w14:textId="77777777" w:rsidR="003D5FF8" w:rsidRDefault="003D5FF8"/>
  </w:footnote>
  <w:footnote w:type="continuationNotice" w:id="1">
    <w:p w14:paraId="67B79F23" w14:textId="77777777" w:rsidR="003D5FF8" w:rsidRDefault="003D5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BFFE" w14:textId="370DBB0A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7CFB261" wp14:editId="75FB34A3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6AA">
      <w:fldChar w:fldCharType="begin"/>
    </w:r>
    <w:r w:rsidR="00F566AA">
      <w:instrText xml:space="preserve"> STYLEREF  "Fact sheet title"  \* MERGEFORMAT </w:instrText>
    </w:r>
    <w:r w:rsidR="00F566AA">
      <w:fldChar w:fldCharType="separate"/>
    </w:r>
    <w:r w:rsidR="00F566AA">
      <w:rPr>
        <w:noProof/>
      </w:rPr>
      <w:t>Community Charity Deductible Gift Recipient Framework</w:t>
    </w:r>
    <w:r w:rsidR="00F566AA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74A2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0" wp14:anchorId="3976D1D0" wp14:editId="1E5BF4F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3200E25"/>
    <w:multiLevelType w:val="hybridMultilevel"/>
    <w:tmpl w:val="3C32A06E"/>
    <w:lvl w:ilvl="0" w:tplc="3AB0C1DA">
      <w:start w:val="1"/>
      <w:numFmt w:val="decimal"/>
      <w:lvlText w:val="%1."/>
      <w:lvlJc w:val="left"/>
      <w:pPr>
        <w:ind w:left="6" w:hanging="360"/>
      </w:pPr>
      <w:rPr>
        <w:rFonts w:hint="default"/>
        <w:b/>
        <w:bCs/>
      </w:rPr>
    </w:lvl>
    <w:lvl w:ilvl="1" w:tplc="0C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4C645000"/>
    <w:multiLevelType w:val="hybridMultilevel"/>
    <w:tmpl w:val="C2B67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998532533">
    <w:abstractNumId w:val="1"/>
  </w:num>
  <w:num w:numId="11" w16cid:durableId="116729343">
    <w:abstractNumId w:val="1"/>
  </w:num>
  <w:num w:numId="12" w16cid:durableId="1492984270">
    <w:abstractNumId w:val="6"/>
  </w:num>
  <w:num w:numId="13" w16cid:durableId="117410888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182500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575727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122677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EF1652"/>
    <w:rsid w:val="000013CA"/>
    <w:rsid w:val="00001B10"/>
    <w:rsid w:val="00001BD5"/>
    <w:rsid w:val="000029E0"/>
    <w:rsid w:val="00003C29"/>
    <w:rsid w:val="00010414"/>
    <w:rsid w:val="0001095C"/>
    <w:rsid w:val="00010F6E"/>
    <w:rsid w:val="000130C0"/>
    <w:rsid w:val="00015F73"/>
    <w:rsid w:val="00016319"/>
    <w:rsid w:val="00016670"/>
    <w:rsid w:val="00016B6C"/>
    <w:rsid w:val="0002151A"/>
    <w:rsid w:val="000217F1"/>
    <w:rsid w:val="00021E81"/>
    <w:rsid w:val="000233BB"/>
    <w:rsid w:val="000268DE"/>
    <w:rsid w:val="0003342E"/>
    <w:rsid w:val="00033942"/>
    <w:rsid w:val="00034A5D"/>
    <w:rsid w:val="00034EFA"/>
    <w:rsid w:val="00036164"/>
    <w:rsid w:val="00036415"/>
    <w:rsid w:val="00040A97"/>
    <w:rsid w:val="00041042"/>
    <w:rsid w:val="000421F9"/>
    <w:rsid w:val="000439F0"/>
    <w:rsid w:val="00044A2D"/>
    <w:rsid w:val="00044EF1"/>
    <w:rsid w:val="00045C24"/>
    <w:rsid w:val="00047C7A"/>
    <w:rsid w:val="00047CA3"/>
    <w:rsid w:val="00050F39"/>
    <w:rsid w:val="00055673"/>
    <w:rsid w:val="000565F4"/>
    <w:rsid w:val="00060C76"/>
    <w:rsid w:val="00060E3A"/>
    <w:rsid w:val="0006623A"/>
    <w:rsid w:val="00066573"/>
    <w:rsid w:val="00067E65"/>
    <w:rsid w:val="00070734"/>
    <w:rsid w:val="00070F70"/>
    <w:rsid w:val="0007192F"/>
    <w:rsid w:val="0007225F"/>
    <w:rsid w:val="00072876"/>
    <w:rsid w:val="00073DB1"/>
    <w:rsid w:val="000753CE"/>
    <w:rsid w:val="00077FE4"/>
    <w:rsid w:val="00082062"/>
    <w:rsid w:val="0008411B"/>
    <w:rsid w:val="00084173"/>
    <w:rsid w:val="000848ED"/>
    <w:rsid w:val="00084C5B"/>
    <w:rsid w:val="0008627C"/>
    <w:rsid w:val="00090C3C"/>
    <w:rsid w:val="00092DC6"/>
    <w:rsid w:val="00095052"/>
    <w:rsid w:val="0009590B"/>
    <w:rsid w:val="00096125"/>
    <w:rsid w:val="000A2899"/>
    <w:rsid w:val="000A47E8"/>
    <w:rsid w:val="000A4D2D"/>
    <w:rsid w:val="000A5A6D"/>
    <w:rsid w:val="000B00D9"/>
    <w:rsid w:val="000B0EF5"/>
    <w:rsid w:val="000B1A30"/>
    <w:rsid w:val="000B1BAC"/>
    <w:rsid w:val="000B1EC3"/>
    <w:rsid w:val="000B3C90"/>
    <w:rsid w:val="000B75C4"/>
    <w:rsid w:val="000C02C9"/>
    <w:rsid w:val="000C2139"/>
    <w:rsid w:val="000C3347"/>
    <w:rsid w:val="000C33DD"/>
    <w:rsid w:val="000C5010"/>
    <w:rsid w:val="000D0F6A"/>
    <w:rsid w:val="000D19B6"/>
    <w:rsid w:val="000D257C"/>
    <w:rsid w:val="000D33F2"/>
    <w:rsid w:val="000D4D12"/>
    <w:rsid w:val="000D5067"/>
    <w:rsid w:val="000D5306"/>
    <w:rsid w:val="000D7D2F"/>
    <w:rsid w:val="000E1A74"/>
    <w:rsid w:val="000E28D5"/>
    <w:rsid w:val="000E324C"/>
    <w:rsid w:val="000E3F69"/>
    <w:rsid w:val="000E767A"/>
    <w:rsid w:val="000F0E95"/>
    <w:rsid w:val="000F2047"/>
    <w:rsid w:val="000F2493"/>
    <w:rsid w:val="000F2562"/>
    <w:rsid w:val="000F2AD4"/>
    <w:rsid w:val="000F33C9"/>
    <w:rsid w:val="000F3EA2"/>
    <w:rsid w:val="000F4FB0"/>
    <w:rsid w:val="000F65E3"/>
    <w:rsid w:val="000F6A28"/>
    <w:rsid w:val="00102238"/>
    <w:rsid w:val="001051B3"/>
    <w:rsid w:val="00105EBE"/>
    <w:rsid w:val="00106143"/>
    <w:rsid w:val="001073CD"/>
    <w:rsid w:val="00107ADA"/>
    <w:rsid w:val="001101AE"/>
    <w:rsid w:val="001109D1"/>
    <w:rsid w:val="0011454C"/>
    <w:rsid w:val="001145FD"/>
    <w:rsid w:val="00114AE8"/>
    <w:rsid w:val="00114F14"/>
    <w:rsid w:val="00115B2E"/>
    <w:rsid w:val="0011628E"/>
    <w:rsid w:val="00116674"/>
    <w:rsid w:val="001173DC"/>
    <w:rsid w:val="001211F2"/>
    <w:rsid w:val="001212F2"/>
    <w:rsid w:val="001213E0"/>
    <w:rsid w:val="00121C6E"/>
    <w:rsid w:val="00121CBD"/>
    <w:rsid w:val="001250C7"/>
    <w:rsid w:val="00130CF9"/>
    <w:rsid w:val="00131D52"/>
    <w:rsid w:val="00133665"/>
    <w:rsid w:val="00133740"/>
    <w:rsid w:val="0013407B"/>
    <w:rsid w:val="00134F0A"/>
    <w:rsid w:val="001363E7"/>
    <w:rsid w:val="001365CB"/>
    <w:rsid w:val="001376CC"/>
    <w:rsid w:val="00140697"/>
    <w:rsid w:val="0014178A"/>
    <w:rsid w:val="00143B18"/>
    <w:rsid w:val="001441F0"/>
    <w:rsid w:val="00144B84"/>
    <w:rsid w:val="001454AA"/>
    <w:rsid w:val="001467E2"/>
    <w:rsid w:val="0014695E"/>
    <w:rsid w:val="00146E0E"/>
    <w:rsid w:val="00150A30"/>
    <w:rsid w:val="0015109C"/>
    <w:rsid w:val="0015151A"/>
    <w:rsid w:val="0015525A"/>
    <w:rsid w:val="00157EE4"/>
    <w:rsid w:val="00161E51"/>
    <w:rsid w:val="00162EEC"/>
    <w:rsid w:val="00163436"/>
    <w:rsid w:val="00163971"/>
    <w:rsid w:val="0016676C"/>
    <w:rsid w:val="00166A45"/>
    <w:rsid w:val="00171472"/>
    <w:rsid w:val="0017388F"/>
    <w:rsid w:val="00174954"/>
    <w:rsid w:val="001750B9"/>
    <w:rsid w:val="001776CD"/>
    <w:rsid w:val="001803E9"/>
    <w:rsid w:val="0018282C"/>
    <w:rsid w:val="00182CC8"/>
    <w:rsid w:val="00182E9E"/>
    <w:rsid w:val="00183F40"/>
    <w:rsid w:val="00184311"/>
    <w:rsid w:val="00185C90"/>
    <w:rsid w:val="00186096"/>
    <w:rsid w:val="0018614A"/>
    <w:rsid w:val="00190D7B"/>
    <w:rsid w:val="00191779"/>
    <w:rsid w:val="00192367"/>
    <w:rsid w:val="0019245D"/>
    <w:rsid w:val="001925E6"/>
    <w:rsid w:val="001929D8"/>
    <w:rsid w:val="00192D70"/>
    <w:rsid w:val="0019555E"/>
    <w:rsid w:val="001968A1"/>
    <w:rsid w:val="00197414"/>
    <w:rsid w:val="001A0049"/>
    <w:rsid w:val="001A3058"/>
    <w:rsid w:val="001A351B"/>
    <w:rsid w:val="001A3810"/>
    <w:rsid w:val="001A43AF"/>
    <w:rsid w:val="001A5155"/>
    <w:rsid w:val="001A5DCC"/>
    <w:rsid w:val="001A7042"/>
    <w:rsid w:val="001B0854"/>
    <w:rsid w:val="001B122A"/>
    <w:rsid w:val="001B3A29"/>
    <w:rsid w:val="001B540E"/>
    <w:rsid w:val="001B764F"/>
    <w:rsid w:val="001B7771"/>
    <w:rsid w:val="001C0190"/>
    <w:rsid w:val="001C0B82"/>
    <w:rsid w:val="001C47C3"/>
    <w:rsid w:val="001C5117"/>
    <w:rsid w:val="001C59C5"/>
    <w:rsid w:val="001C5B2B"/>
    <w:rsid w:val="001C642E"/>
    <w:rsid w:val="001C6C41"/>
    <w:rsid w:val="001C78AE"/>
    <w:rsid w:val="001D2ED8"/>
    <w:rsid w:val="001D3940"/>
    <w:rsid w:val="001D39FB"/>
    <w:rsid w:val="001D45A4"/>
    <w:rsid w:val="001D68AA"/>
    <w:rsid w:val="001D7A41"/>
    <w:rsid w:val="001E1125"/>
    <w:rsid w:val="001E4120"/>
    <w:rsid w:val="001E4579"/>
    <w:rsid w:val="001E5623"/>
    <w:rsid w:val="001E586A"/>
    <w:rsid w:val="001E650C"/>
    <w:rsid w:val="001E6DC2"/>
    <w:rsid w:val="001E7409"/>
    <w:rsid w:val="001E7840"/>
    <w:rsid w:val="001E7CF5"/>
    <w:rsid w:val="001F1496"/>
    <w:rsid w:val="001F3536"/>
    <w:rsid w:val="001F50DA"/>
    <w:rsid w:val="001F5CD9"/>
    <w:rsid w:val="001F611B"/>
    <w:rsid w:val="001F7354"/>
    <w:rsid w:val="00201595"/>
    <w:rsid w:val="00203245"/>
    <w:rsid w:val="0020357C"/>
    <w:rsid w:val="0020393F"/>
    <w:rsid w:val="00205F44"/>
    <w:rsid w:val="002105F8"/>
    <w:rsid w:val="00214C69"/>
    <w:rsid w:val="00215EE7"/>
    <w:rsid w:val="002171B0"/>
    <w:rsid w:val="002177FE"/>
    <w:rsid w:val="00217966"/>
    <w:rsid w:val="00223D87"/>
    <w:rsid w:val="002246AA"/>
    <w:rsid w:val="002257DE"/>
    <w:rsid w:val="0022675B"/>
    <w:rsid w:val="002268AB"/>
    <w:rsid w:val="00226F00"/>
    <w:rsid w:val="0022749C"/>
    <w:rsid w:val="00227C77"/>
    <w:rsid w:val="00231610"/>
    <w:rsid w:val="00231A58"/>
    <w:rsid w:val="00233887"/>
    <w:rsid w:val="00233A88"/>
    <w:rsid w:val="0023571A"/>
    <w:rsid w:val="002378E4"/>
    <w:rsid w:val="00241213"/>
    <w:rsid w:val="00241B9A"/>
    <w:rsid w:val="00241D66"/>
    <w:rsid w:val="0024226F"/>
    <w:rsid w:val="00242DCC"/>
    <w:rsid w:val="00243711"/>
    <w:rsid w:val="00244B33"/>
    <w:rsid w:val="00245342"/>
    <w:rsid w:val="002462BD"/>
    <w:rsid w:val="00253A2D"/>
    <w:rsid w:val="0025568B"/>
    <w:rsid w:val="0025591D"/>
    <w:rsid w:val="00255C50"/>
    <w:rsid w:val="00255EB4"/>
    <w:rsid w:val="00260712"/>
    <w:rsid w:val="00261EB6"/>
    <w:rsid w:val="002623A0"/>
    <w:rsid w:val="0026278C"/>
    <w:rsid w:val="00262922"/>
    <w:rsid w:val="00263339"/>
    <w:rsid w:val="00266252"/>
    <w:rsid w:val="00270872"/>
    <w:rsid w:val="00274246"/>
    <w:rsid w:val="00275277"/>
    <w:rsid w:val="00276115"/>
    <w:rsid w:val="00276471"/>
    <w:rsid w:val="00276856"/>
    <w:rsid w:val="00276B01"/>
    <w:rsid w:val="00277F56"/>
    <w:rsid w:val="00280097"/>
    <w:rsid w:val="002809F6"/>
    <w:rsid w:val="00282232"/>
    <w:rsid w:val="002824DD"/>
    <w:rsid w:val="00283277"/>
    <w:rsid w:val="00283303"/>
    <w:rsid w:val="00284D28"/>
    <w:rsid w:val="00284EE5"/>
    <w:rsid w:val="002864C4"/>
    <w:rsid w:val="00287F32"/>
    <w:rsid w:val="00290108"/>
    <w:rsid w:val="0029134D"/>
    <w:rsid w:val="00291506"/>
    <w:rsid w:val="0029178E"/>
    <w:rsid w:val="00292081"/>
    <w:rsid w:val="00296CF9"/>
    <w:rsid w:val="002978C8"/>
    <w:rsid w:val="00297F8C"/>
    <w:rsid w:val="002A0B32"/>
    <w:rsid w:val="002A15B9"/>
    <w:rsid w:val="002A3715"/>
    <w:rsid w:val="002A3957"/>
    <w:rsid w:val="002A4B83"/>
    <w:rsid w:val="002A6430"/>
    <w:rsid w:val="002A74BD"/>
    <w:rsid w:val="002A79C5"/>
    <w:rsid w:val="002B002B"/>
    <w:rsid w:val="002B54FE"/>
    <w:rsid w:val="002B7D7A"/>
    <w:rsid w:val="002B7E7C"/>
    <w:rsid w:val="002C01E2"/>
    <w:rsid w:val="002C0233"/>
    <w:rsid w:val="002C26D9"/>
    <w:rsid w:val="002C3AB7"/>
    <w:rsid w:val="002C3FD1"/>
    <w:rsid w:val="002D0A18"/>
    <w:rsid w:val="002D101A"/>
    <w:rsid w:val="002D20A3"/>
    <w:rsid w:val="002D2B51"/>
    <w:rsid w:val="002D2C64"/>
    <w:rsid w:val="002D308D"/>
    <w:rsid w:val="002D42C6"/>
    <w:rsid w:val="002D49D1"/>
    <w:rsid w:val="002D5D81"/>
    <w:rsid w:val="002E3F6A"/>
    <w:rsid w:val="002E55B3"/>
    <w:rsid w:val="002E65ED"/>
    <w:rsid w:val="002E69D4"/>
    <w:rsid w:val="002F0091"/>
    <w:rsid w:val="002F09E3"/>
    <w:rsid w:val="002F388A"/>
    <w:rsid w:val="002F408C"/>
    <w:rsid w:val="002F40DA"/>
    <w:rsid w:val="002F417B"/>
    <w:rsid w:val="002F5785"/>
    <w:rsid w:val="002F5A56"/>
    <w:rsid w:val="002F6ADC"/>
    <w:rsid w:val="00300C95"/>
    <w:rsid w:val="0030326B"/>
    <w:rsid w:val="00304BCF"/>
    <w:rsid w:val="003050C2"/>
    <w:rsid w:val="003054A8"/>
    <w:rsid w:val="00306770"/>
    <w:rsid w:val="00307492"/>
    <w:rsid w:val="00307DA3"/>
    <w:rsid w:val="00307DB1"/>
    <w:rsid w:val="00311396"/>
    <w:rsid w:val="00312E48"/>
    <w:rsid w:val="00317D8A"/>
    <w:rsid w:val="003216F9"/>
    <w:rsid w:val="003220CC"/>
    <w:rsid w:val="0032292E"/>
    <w:rsid w:val="00327D31"/>
    <w:rsid w:val="003305CA"/>
    <w:rsid w:val="0033409C"/>
    <w:rsid w:val="0034064A"/>
    <w:rsid w:val="00340A86"/>
    <w:rsid w:val="00340E9A"/>
    <w:rsid w:val="003420FF"/>
    <w:rsid w:val="003423FB"/>
    <w:rsid w:val="00344E12"/>
    <w:rsid w:val="00344FAC"/>
    <w:rsid w:val="0034564D"/>
    <w:rsid w:val="00346E15"/>
    <w:rsid w:val="00347AF6"/>
    <w:rsid w:val="003526C3"/>
    <w:rsid w:val="00353390"/>
    <w:rsid w:val="00356DCB"/>
    <w:rsid w:val="00357842"/>
    <w:rsid w:val="00357B23"/>
    <w:rsid w:val="00357FDA"/>
    <w:rsid w:val="00361AFC"/>
    <w:rsid w:val="00361FFF"/>
    <w:rsid w:val="00363D4D"/>
    <w:rsid w:val="00364F66"/>
    <w:rsid w:val="003654C0"/>
    <w:rsid w:val="00365C8F"/>
    <w:rsid w:val="00367346"/>
    <w:rsid w:val="00370803"/>
    <w:rsid w:val="00372AC1"/>
    <w:rsid w:val="00375CDC"/>
    <w:rsid w:val="003775ED"/>
    <w:rsid w:val="00377A9A"/>
    <w:rsid w:val="003802F4"/>
    <w:rsid w:val="00381D00"/>
    <w:rsid w:val="003831AB"/>
    <w:rsid w:val="0038458D"/>
    <w:rsid w:val="00385AA8"/>
    <w:rsid w:val="00386757"/>
    <w:rsid w:val="0038706D"/>
    <w:rsid w:val="00390428"/>
    <w:rsid w:val="00390C06"/>
    <w:rsid w:val="00391B1E"/>
    <w:rsid w:val="00392E3E"/>
    <w:rsid w:val="00392F8B"/>
    <w:rsid w:val="0039511C"/>
    <w:rsid w:val="00395826"/>
    <w:rsid w:val="0039694B"/>
    <w:rsid w:val="00397E8F"/>
    <w:rsid w:val="003A0F49"/>
    <w:rsid w:val="003A2CA2"/>
    <w:rsid w:val="003A3E9D"/>
    <w:rsid w:val="003A63D1"/>
    <w:rsid w:val="003A677B"/>
    <w:rsid w:val="003A6795"/>
    <w:rsid w:val="003A7221"/>
    <w:rsid w:val="003A7D9D"/>
    <w:rsid w:val="003B0102"/>
    <w:rsid w:val="003B1315"/>
    <w:rsid w:val="003B1E48"/>
    <w:rsid w:val="003B3A20"/>
    <w:rsid w:val="003B7C05"/>
    <w:rsid w:val="003C047D"/>
    <w:rsid w:val="003C0CAC"/>
    <w:rsid w:val="003C1E6F"/>
    <w:rsid w:val="003C4F86"/>
    <w:rsid w:val="003C5734"/>
    <w:rsid w:val="003C789B"/>
    <w:rsid w:val="003C7E6E"/>
    <w:rsid w:val="003D0E86"/>
    <w:rsid w:val="003D1296"/>
    <w:rsid w:val="003D5FF8"/>
    <w:rsid w:val="003E1701"/>
    <w:rsid w:val="003E26C5"/>
    <w:rsid w:val="003E3426"/>
    <w:rsid w:val="003F0C8F"/>
    <w:rsid w:val="003F2130"/>
    <w:rsid w:val="003F2E2F"/>
    <w:rsid w:val="003F424B"/>
    <w:rsid w:val="003F5A78"/>
    <w:rsid w:val="003F5CFA"/>
    <w:rsid w:val="003F6019"/>
    <w:rsid w:val="003F61DE"/>
    <w:rsid w:val="003F727F"/>
    <w:rsid w:val="003F7FB6"/>
    <w:rsid w:val="00400655"/>
    <w:rsid w:val="00400C57"/>
    <w:rsid w:val="004013B7"/>
    <w:rsid w:val="004029D9"/>
    <w:rsid w:val="004037D5"/>
    <w:rsid w:val="00403990"/>
    <w:rsid w:val="004043AC"/>
    <w:rsid w:val="004045AA"/>
    <w:rsid w:val="0040681B"/>
    <w:rsid w:val="00407E9E"/>
    <w:rsid w:val="0041040A"/>
    <w:rsid w:val="00411434"/>
    <w:rsid w:val="00411DEB"/>
    <w:rsid w:val="0041295D"/>
    <w:rsid w:val="0041357A"/>
    <w:rsid w:val="0041684C"/>
    <w:rsid w:val="004205B3"/>
    <w:rsid w:val="00422E9A"/>
    <w:rsid w:val="004247F7"/>
    <w:rsid w:val="00425E05"/>
    <w:rsid w:val="00426522"/>
    <w:rsid w:val="0042673D"/>
    <w:rsid w:val="00427690"/>
    <w:rsid w:val="00435319"/>
    <w:rsid w:val="0044185F"/>
    <w:rsid w:val="00441C61"/>
    <w:rsid w:val="00442C7E"/>
    <w:rsid w:val="00443FFF"/>
    <w:rsid w:val="00444FB4"/>
    <w:rsid w:val="0045041B"/>
    <w:rsid w:val="00450CCE"/>
    <w:rsid w:val="00452534"/>
    <w:rsid w:val="00453105"/>
    <w:rsid w:val="00453945"/>
    <w:rsid w:val="004542B7"/>
    <w:rsid w:val="004546DC"/>
    <w:rsid w:val="00454713"/>
    <w:rsid w:val="0046072B"/>
    <w:rsid w:val="00461F82"/>
    <w:rsid w:val="00463D4E"/>
    <w:rsid w:val="00464175"/>
    <w:rsid w:val="00465748"/>
    <w:rsid w:val="00466227"/>
    <w:rsid w:val="0046785E"/>
    <w:rsid w:val="004678BA"/>
    <w:rsid w:val="00467EFA"/>
    <w:rsid w:val="00470BA0"/>
    <w:rsid w:val="00470F3E"/>
    <w:rsid w:val="00474B8E"/>
    <w:rsid w:val="0047507F"/>
    <w:rsid w:val="004773FF"/>
    <w:rsid w:val="00477439"/>
    <w:rsid w:val="0048161B"/>
    <w:rsid w:val="00481772"/>
    <w:rsid w:val="00482C56"/>
    <w:rsid w:val="004842EA"/>
    <w:rsid w:val="00485A3D"/>
    <w:rsid w:val="00486B7C"/>
    <w:rsid w:val="004871F4"/>
    <w:rsid w:val="00490C62"/>
    <w:rsid w:val="00492829"/>
    <w:rsid w:val="00492D66"/>
    <w:rsid w:val="0049454C"/>
    <w:rsid w:val="00496135"/>
    <w:rsid w:val="0049673E"/>
    <w:rsid w:val="00496C34"/>
    <w:rsid w:val="004A1605"/>
    <w:rsid w:val="004A1B52"/>
    <w:rsid w:val="004A2AFD"/>
    <w:rsid w:val="004A31E1"/>
    <w:rsid w:val="004A3311"/>
    <w:rsid w:val="004A37EA"/>
    <w:rsid w:val="004A3985"/>
    <w:rsid w:val="004A4424"/>
    <w:rsid w:val="004A4E16"/>
    <w:rsid w:val="004A51CC"/>
    <w:rsid w:val="004A52A5"/>
    <w:rsid w:val="004A53AD"/>
    <w:rsid w:val="004B08DC"/>
    <w:rsid w:val="004B12A8"/>
    <w:rsid w:val="004B1F82"/>
    <w:rsid w:val="004B4274"/>
    <w:rsid w:val="004B4D68"/>
    <w:rsid w:val="004B56B0"/>
    <w:rsid w:val="004B6B5E"/>
    <w:rsid w:val="004C5917"/>
    <w:rsid w:val="004C5A93"/>
    <w:rsid w:val="004C5E48"/>
    <w:rsid w:val="004C7694"/>
    <w:rsid w:val="004D0778"/>
    <w:rsid w:val="004D0D0A"/>
    <w:rsid w:val="004D287A"/>
    <w:rsid w:val="004D2BA3"/>
    <w:rsid w:val="004D2E88"/>
    <w:rsid w:val="004D3A1D"/>
    <w:rsid w:val="004D3DE9"/>
    <w:rsid w:val="004D40ED"/>
    <w:rsid w:val="004D4C28"/>
    <w:rsid w:val="004D504A"/>
    <w:rsid w:val="004D6A38"/>
    <w:rsid w:val="004D75F6"/>
    <w:rsid w:val="004E0CA9"/>
    <w:rsid w:val="004E241F"/>
    <w:rsid w:val="004E3797"/>
    <w:rsid w:val="004E424B"/>
    <w:rsid w:val="004E5756"/>
    <w:rsid w:val="004E71FE"/>
    <w:rsid w:val="004F0580"/>
    <w:rsid w:val="004F24D0"/>
    <w:rsid w:val="004F3171"/>
    <w:rsid w:val="004F7841"/>
    <w:rsid w:val="004F7F5F"/>
    <w:rsid w:val="00502E10"/>
    <w:rsid w:val="005031DD"/>
    <w:rsid w:val="005045C3"/>
    <w:rsid w:val="00504652"/>
    <w:rsid w:val="00505009"/>
    <w:rsid w:val="00506BF4"/>
    <w:rsid w:val="00507004"/>
    <w:rsid w:val="00507097"/>
    <w:rsid w:val="00507174"/>
    <w:rsid w:val="005071A4"/>
    <w:rsid w:val="00510E8D"/>
    <w:rsid w:val="0051380A"/>
    <w:rsid w:val="00513F6B"/>
    <w:rsid w:val="0051443C"/>
    <w:rsid w:val="00515340"/>
    <w:rsid w:val="00515625"/>
    <w:rsid w:val="00515F60"/>
    <w:rsid w:val="0051600D"/>
    <w:rsid w:val="00516E27"/>
    <w:rsid w:val="00516FB2"/>
    <w:rsid w:val="00517DD9"/>
    <w:rsid w:val="0052019B"/>
    <w:rsid w:val="00520845"/>
    <w:rsid w:val="00520F4E"/>
    <w:rsid w:val="005216F1"/>
    <w:rsid w:val="00521A61"/>
    <w:rsid w:val="0052343B"/>
    <w:rsid w:val="005237E7"/>
    <w:rsid w:val="00523D02"/>
    <w:rsid w:val="00524DCE"/>
    <w:rsid w:val="00525050"/>
    <w:rsid w:val="005258F9"/>
    <w:rsid w:val="00525B80"/>
    <w:rsid w:val="00526B6A"/>
    <w:rsid w:val="0053110F"/>
    <w:rsid w:val="0053210D"/>
    <w:rsid w:val="005325B9"/>
    <w:rsid w:val="00532D16"/>
    <w:rsid w:val="00533FEF"/>
    <w:rsid w:val="005344D1"/>
    <w:rsid w:val="00535C81"/>
    <w:rsid w:val="0053618B"/>
    <w:rsid w:val="0054100F"/>
    <w:rsid w:val="00541166"/>
    <w:rsid w:val="005415AA"/>
    <w:rsid w:val="00541B29"/>
    <w:rsid w:val="00543D1D"/>
    <w:rsid w:val="00546D8E"/>
    <w:rsid w:val="00546FDD"/>
    <w:rsid w:val="005505AD"/>
    <w:rsid w:val="00550B68"/>
    <w:rsid w:val="00550BA5"/>
    <w:rsid w:val="00551340"/>
    <w:rsid w:val="00552EC3"/>
    <w:rsid w:val="005538E7"/>
    <w:rsid w:val="005546CF"/>
    <w:rsid w:val="005546DE"/>
    <w:rsid w:val="0055525E"/>
    <w:rsid w:val="00556DD5"/>
    <w:rsid w:val="005606FD"/>
    <w:rsid w:val="0056189E"/>
    <w:rsid w:val="00562A30"/>
    <w:rsid w:val="00564078"/>
    <w:rsid w:val="0056428C"/>
    <w:rsid w:val="005647B4"/>
    <w:rsid w:val="00564C36"/>
    <w:rsid w:val="00565A52"/>
    <w:rsid w:val="0056660A"/>
    <w:rsid w:val="00566AD8"/>
    <w:rsid w:val="00570B86"/>
    <w:rsid w:val="00572EE1"/>
    <w:rsid w:val="005732EB"/>
    <w:rsid w:val="00580019"/>
    <w:rsid w:val="005803BF"/>
    <w:rsid w:val="00581684"/>
    <w:rsid w:val="00582D88"/>
    <w:rsid w:val="00582FAD"/>
    <w:rsid w:val="00585C13"/>
    <w:rsid w:val="00585F7E"/>
    <w:rsid w:val="0058748C"/>
    <w:rsid w:val="00592DD0"/>
    <w:rsid w:val="00594965"/>
    <w:rsid w:val="00594ABF"/>
    <w:rsid w:val="00596C7F"/>
    <w:rsid w:val="005A000B"/>
    <w:rsid w:val="005A0A4E"/>
    <w:rsid w:val="005A0C82"/>
    <w:rsid w:val="005A11E6"/>
    <w:rsid w:val="005A15A8"/>
    <w:rsid w:val="005A2484"/>
    <w:rsid w:val="005A64D4"/>
    <w:rsid w:val="005A6A61"/>
    <w:rsid w:val="005A6D1B"/>
    <w:rsid w:val="005B0968"/>
    <w:rsid w:val="005B207E"/>
    <w:rsid w:val="005B2484"/>
    <w:rsid w:val="005B3871"/>
    <w:rsid w:val="005B5188"/>
    <w:rsid w:val="005B5E30"/>
    <w:rsid w:val="005B659D"/>
    <w:rsid w:val="005B6B98"/>
    <w:rsid w:val="005B6C12"/>
    <w:rsid w:val="005C1326"/>
    <w:rsid w:val="005C1804"/>
    <w:rsid w:val="005C281D"/>
    <w:rsid w:val="005C2F04"/>
    <w:rsid w:val="005C3527"/>
    <w:rsid w:val="005C4B02"/>
    <w:rsid w:val="005C6910"/>
    <w:rsid w:val="005D0AA5"/>
    <w:rsid w:val="005D34DF"/>
    <w:rsid w:val="005D4831"/>
    <w:rsid w:val="005D6933"/>
    <w:rsid w:val="005E0CB8"/>
    <w:rsid w:val="005E1F75"/>
    <w:rsid w:val="005E2A75"/>
    <w:rsid w:val="005E4AB6"/>
    <w:rsid w:val="005E5345"/>
    <w:rsid w:val="005E5FD3"/>
    <w:rsid w:val="005E62D6"/>
    <w:rsid w:val="005E6860"/>
    <w:rsid w:val="005E69DF"/>
    <w:rsid w:val="005F0CDE"/>
    <w:rsid w:val="005F0FBF"/>
    <w:rsid w:val="005F27C7"/>
    <w:rsid w:val="005F5BF3"/>
    <w:rsid w:val="005F65A4"/>
    <w:rsid w:val="006004B0"/>
    <w:rsid w:val="006014A0"/>
    <w:rsid w:val="00603732"/>
    <w:rsid w:val="00604B66"/>
    <w:rsid w:val="006055F1"/>
    <w:rsid w:val="00606114"/>
    <w:rsid w:val="006066D3"/>
    <w:rsid w:val="00607D13"/>
    <w:rsid w:val="00610D97"/>
    <w:rsid w:val="00611B7C"/>
    <w:rsid w:val="00611D4A"/>
    <w:rsid w:val="00612B35"/>
    <w:rsid w:val="00613882"/>
    <w:rsid w:val="00613B04"/>
    <w:rsid w:val="00614971"/>
    <w:rsid w:val="00615DFE"/>
    <w:rsid w:val="00616021"/>
    <w:rsid w:val="006166FA"/>
    <w:rsid w:val="006169FA"/>
    <w:rsid w:val="0062121F"/>
    <w:rsid w:val="00622A2F"/>
    <w:rsid w:val="00625A8F"/>
    <w:rsid w:val="00625BF0"/>
    <w:rsid w:val="00627218"/>
    <w:rsid w:val="00631D56"/>
    <w:rsid w:val="00632D83"/>
    <w:rsid w:val="006355D1"/>
    <w:rsid w:val="00635DD4"/>
    <w:rsid w:val="00636FB0"/>
    <w:rsid w:val="00637692"/>
    <w:rsid w:val="006400D7"/>
    <w:rsid w:val="00640202"/>
    <w:rsid w:val="0064078B"/>
    <w:rsid w:val="00641504"/>
    <w:rsid w:val="0064331B"/>
    <w:rsid w:val="00644820"/>
    <w:rsid w:val="0064664D"/>
    <w:rsid w:val="0064704A"/>
    <w:rsid w:val="006475B7"/>
    <w:rsid w:val="00647CD6"/>
    <w:rsid w:val="00650B6D"/>
    <w:rsid w:val="0065255C"/>
    <w:rsid w:val="0065420F"/>
    <w:rsid w:val="0065515C"/>
    <w:rsid w:val="006566E8"/>
    <w:rsid w:val="00660F83"/>
    <w:rsid w:val="00663CA5"/>
    <w:rsid w:val="006640F1"/>
    <w:rsid w:val="00665254"/>
    <w:rsid w:val="00666AD2"/>
    <w:rsid w:val="00670B65"/>
    <w:rsid w:val="0067161A"/>
    <w:rsid w:val="00671C87"/>
    <w:rsid w:val="0067565F"/>
    <w:rsid w:val="00683BDF"/>
    <w:rsid w:val="00684817"/>
    <w:rsid w:val="00684946"/>
    <w:rsid w:val="0068608F"/>
    <w:rsid w:val="00686A86"/>
    <w:rsid w:val="00687924"/>
    <w:rsid w:val="00687B28"/>
    <w:rsid w:val="00690497"/>
    <w:rsid w:val="0069081C"/>
    <w:rsid w:val="006916AD"/>
    <w:rsid w:val="00691E2F"/>
    <w:rsid w:val="00692937"/>
    <w:rsid w:val="00692AD6"/>
    <w:rsid w:val="00692B29"/>
    <w:rsid w:val="00692E43"/>
    <w:rsid w:val="00694B4F"/>
    <w:rsid w:val="006950EF"/>
    <w:rsid w:val="00695DC8"/>
    <w:rsid w:val="006963C2"/>
    <w:rsid w:val="00696564"/>
    <w:rsid w:val="00697084"/>
    <w:rsid w:val="006A04F6"/>
    <w:rsid w:val="006A118D"/>
    <w:rsid w:val="006A1E8F"/>
    <w:rsid w:val="006A3972"/>
    <w:rsid w:val="006A454C"/>
    <w:rsid w:val="006A490D"/>
    <w:rsid w:val="006A5589"/>
    <w:rsid w:val="006A712D"/>
    <w:rsid w:val="006B0A91"/>
    <w:rsid w:val="006B3F90"/>
    <w:rsid w:val="006B514B"/>
    <w:rsid w:val="006B6187"/>
    <w:rsid w:val="006C06D8"/>
    <w:rsid w:val="006C1EA3"/>
    <w:rsid w:val="006D005C"/>
    <w:rsid w:val="006D0B4D"/>
    <w:rsid w:val="006D0EBB"/>
    <w:rsid w:val="006D11E6"/>
    <w:rsid w:val="006D16AF"/>
    <w:rsid w:val="006D180D"/>
    <w:rsid w:val="006D27A6"/>
    <w:rsid w:val="006D2B4F"/>
    <w:rsid w:val="006D3EE7"/>
    <w:rsid w:val="006D4CD7"/>
    <w:rsid w:val="006D6960"/>
    <w:rsid w:val="006D7128"/>
    <w:rsid w:val="006D7793"/>
    <w:rsid w:val="006D7E78"/>
    <w:rsid w:val="006E0DBA"/>
    <w:rsid w:val="006E101D"/>
    <w:rsid w:val="006E2730"/>
    <w:rsid w:val="006E5BF2"/>
    <w:rsid w:val="006E5E97"/>
    <w:rsid w:val="006E6F8C"/>
    <w:rsid w:val="006E76BE"/>
    <w:rsid w:val="006E7DC2"/>
    <w:rsid w:val="006F0918"/>
    <w:rsid w:val="006F56A2"/>
    <w:rsid w:val="006F597F"/>
    <w:rsid w:val="006F6294"/>
    <w:rsid w:val="006F6970"/>
    <w:rsid w:val="006F6E04"/>
    <w:rsid w:val="007002EC"/>
    <w:rsid w:val="00702319"/>
    <w:rsid w:val="00703C0C"/>
    <w:rsid w:val="00703D12"/>
    <w:rsid w:val="007043BF"/>
    <w:rsid w:val="00705AD6"/>
    <w:rsid w:val="00705BCD"/>
    <w:rsid w:val="00705F70"/>
    <w:rsid w:val="00706272"/>
    <w:rsid w:val="007064F0"/>
    <w:rsid w:val="00707BC5"/>
    <w:rsid w:val="007104A0"/>
    <w:rsid w:val="00711A29"/>
    <w:rsid w:val="00713887"/>
    <w:rsid w:val="00713B48"/>
    <w:rsid w:val="007153AF"/>
    <w:rsid w:val="00716798"/>
    <w:rsid w:val="00717216"/>
    <w:rsid w:val="00720D1C"/>
    <w:rsid w:val="00722074"/>
    <w:rsid w:val="00722F56"/>
    <w:rsid w:val="00723E94"/>
    <w:rsid w:val="00725B96"/>
    <w:rsid w:val="0072611F"/>
    <w:rsid w:val="0072725D"/>
    <w:rsid w:val="00727CCF"/>
    <w:rsid w:val="00727CF4"/>
    <w:rsid w:val="007323DD"/>
    <w:rsid w:val="00732D1F"/>
    <w:rsid w:val="00733AFE"/>
    <w:rsid w:val="007343B8"/>
    <w:rsid w:val="00734959"/>
    <w:rsid w:val="00736091"/>
    <w:rsid w:val="00736715"/>
    <w:rsid w:val="007372FF"/>
    <w:rsid w:val="00740C11"/>
    <w:rsid w:val="00741157"/>
    <w:rsid w:val="007424A8"/>
    <w:rsid w:val="007443D0"/>
    <w:rsid w:val="007503D7"/>
    <w:rsid w:val="007508C3"/>
    <w:rsid w:val="007513EC"/>
    <w:rsid w:val="00751A5F"/>
    <w:rsid w:val="007531A9"/>
    <w:rsid w:val="00753233"/>
    <w:rsid w:val="00755CD0"/>
    <w:rsid w:val="007565C6"/>
    <w:rsid w:val="00756D19"/>
    <w:rsid w:val="007600FA"/>
    <w:rsid w:val="00760695"/>
    <w:rsid w:val="0076093D"/>
    <w:rsid w:val="00760BA6"/>
    <w:rsid w:val="00761DA0"/>
    <w:rsid w:val="007622D7"/>
    <w:rsid w:val="0076506F"/>
    <w:rsid w:val="00765A6A"/>
    <w:rsid w:val="00767460"/>
    <w:rsid w:val="0077325B"/>
    <w:rsid w:val="0077402D"/>
    <w:rsid w:val="00775B4F"/>
    <w:rsid w:val="00775F74"/>
    <w:rsid w:val="0077679F"/>
    <w:rsid w:val="0077794A"/>
    <w:rsid w:val="00777F08"/>
    <w:rsid w:val="007825F2"/>
    <w:rsid w:val="00782F6D"/>
    <w:rsid w:val="00784A3C"/>
    <w:rsid w:val="00784E86"/>
    <w:rsid w:val="00785AC0"/>
    <w:rsid w:val="007868D8"/>
    <w:rsid w:val="007905FA"/>
    <w:rsid w:val="00791315"/>
    <w:rsid w:val="00793BD7"/>
    <w:rsid w:val="0079466D"/>
    <w:rsid w:val="00794F9E"/>
    <w:rsid w:val="00795381"/>
    <w:rsid w:val="00797146"/>
    <w:rsid w:val="00797F6C"/>
    <w:rsid w:val="007A2665"/>
    <w:rsid w:val="007A30F2"/>
    <w:rsid w:val="007A4195"/>
    <w:rsid w:val="007A43DB"/>
    <w:rsid w:val="007A56D2"/>
    <w:rsid w:val="007A6E4D"/>
    <w:rsid w:val="007B0746"/>
    <w:rsid w:val="007B08F7"/>
    <w:rsid w:val="007B1B4A"/>
    <w:rsid w:val="007B28C9"/>
    <w:rsid w:val="007B35ED"/>
    <w:rsid w:val="007B6953"/>
    <w:rsid w:val="007B6E24"/>
    <w:rsid w:val="007B7784"/>
    <w:rsid w:val="007C1094"/>
    <w:rsid w:val="007C1CA1"/>
    <w:rsid w:val="007C326D"/>
    <w:rsid w:val="007C3CD0"/>
    <w:rsid w:val="007C4E05"/>
    <w:rsid w:val="007C4E6C"/>
    <w:rsid w:val="007C524D"/>
    <w:rsid w:val="007C6494"/>
    <w:rsid w:val="007C6BB9"/>
    <w:rsid w:val="007D043E"/>
    <w:rsid w:val="007D2923"/>
    <w:rsid w:val="007D345E"/>
    <w:rsid w:val="007D3F07"/>
    <w:rsid w:val="007D4EB7"/>
    <w:rsid w:val="007D5C4A"/>
    <w:rsid w:val="007D6A20"/>
    <w:rsid w:val="007D6F47"/>
    <w:rsid w:val="007E013D"/>
    <w:rsid w:val="007E0975"/>
    <w:rsid w:val="007E0E5D"/>
    <w:rsid w:val="007E36E4"/>
    <w:rsid w:val="007E37A8"/>
    <w:rsid w:val="007E3DB0"/>
    <w:rsid w:val="007E5260"/>
    <w:rsid w:val="007E5E07"/>
    <w:rsid w:val="007E5F70"/>
    <w:rsid w:val="007E60AD"/>
    <w:rsid w:val="007E7046"/>
    <w:rsid w:val="007E73D8"/>
    <w:rsid w:val="007F0DB7"/>
    <w:rsid w:val="007F156A"/>
    <w:rsid w:val="007F1DE6"/>
    <w:rsid w:val="007F2256"/>
    <w:rsid w:val="007F4E78"/>
    <w:rsid w:val="007F53C0"/>
    <w:rsid w:val="007F5A4C"/>
    <w:rsid w:val="007F6053"/>
    <w:rsid w:val="007F61E3"/>
    <w:rsid w:val="00800963"/>
    <w:rsid w:val="0080146C"/>
    <w:rsid w:val="00801B2B"/>
    <w:rsid w:val="00804385"/>
    <w:rsid w:val="0080494C"/>
    <w:rsid w:val="008058EE"/>
    <w:rsid w:val="0081014E"/>
    <w:rsid w:val="008139FB"/>
    <w:rsid w:val="00821206"/>
    <w:rsid w:val="008221E3"/>
    <w:rsid w:val="00823874"/>
    <w:rsid w:val="00831D8A"/>
    <w:rsid w:val="00833064"/>
    <w:rsid w:val="0083420C"/>
    <w:rsid w:val="008344E0"/>
    <w:rsid w:val="008351F2"/>
    <w:rsid w:val="0083521E"/>
    <w:rsid w:val="0084286C"/>
    <w:rsid w:val="00844DA8"/>
    <w:rsid w:val="00845CCC"/>
    <w:rsid w:val="0084667D"/>
    <w:rsid w:val="0084688A"/>
    <w:rsid w:val="00846A8F"/>
    <w:rsid w:val="00847719"/>
    <w:rsid w:val="008478C0"/>
    <w:rsid w:val="0085125A"/>
    <w:rsid w:val="0085280F"/>
    <w:rsid w:val="00854399"/>
    <w:rsid w:val="008559B3"/>
    <w:rsid w:val="00856DC2"/>
    <w:rsid w:val="008613B7"/>
    <w:rsid w:val="008616B9"/>
    <w:rsid w:val="00863E66"/>
    <w:rsid w:val="00865D21"/>
    <w:rsid w:val="00865FBE"/>
    <w:rsid w:val="00866B57"/>
    <w:rsid w:val="00867EDE"/>
    <w:rsid w:val="008738BC"/>
    <w:rsid w:val="00873DED"/>
    <w:rsid w:val="0087407F"/>
    <w:rsid w:val="00874798"/>
    <w:rsid w:val="0088159C"/>
    <w:rsid w:val="00881729"/>
    <w:rsid w:val="0088211A"/>
    <w:rsid w:val="00883063"/>
    <w:rsid w:val="00884F56"/>
    <w:rsid w:val="008854F6"/>
    <w:rsid w:val="0088568A"/>
    <w:rsid w:val="008863B6"/>
    <w:rsid w:val="00886667"/>
    <w:rsid w:val="00886BC4"/>
    <w:rsid w:val="00886BFD"/>
    <w:rsid w:val="00890279"/>
    <w:rsid w:val="00891753"/>
    <w:rsid w:val="00891E04"/>
    <w:rsid w:val="00892635"/>
    <w:rsid w:val="00893BB5"/>
    <w:rsid w:val="008968D2"/>
    <w:rsid w:val="00896C74"/>
    <w:rsid w:val="008972E4"/>
    <w:rsid w:val="008A02F3"/>
    <w:rsid w:val="008A1C1D"/>
    <w:rsid w:val="008A281E"/>
    <w:rsid w:val="008A2DF8"/>
    <w:rsid w:val="008A395A"/>
    <w:rsid w:val="008A48CA"/>
    <w:rsid w:val="008B1A9F"/>
    <w:rsid w:val="008B2749"/>
    <w:rsid w:val="008B2801"/>
    <w:rsid w:val="008B2938"/>
    <w:rsid w:val="008B395C"/>
    <w:rsid w:val="008B3B20"/>
    <w:rsid w:val="008B5308"/>
    <w:rsid w:val="008B5F0C"/>
    <w:rsid w:val="008C0759"/>
    <w:rsid w:val="008C1274"/>
    <w:rsid w:val="008C1EE0"/>
    <w:rsid w:val="008C37D8"/>
    <w:rsid w:val="008C5773"/>
    <w:rsid w:val="008C5904"/>
    <w:rsid w:val="008C590C"/>
    <w:rsid w:val="008C6B1E"/>
    <w:rsid w:val="008C7A5C"/>
    <w:rsid w:val="008D0CA6"/>
    <w:rsid w:val="008D1048"/>
    <w:rsid w:val="008D1116"/>
    <w:rsid w:val="008D36D3"/>
    <w:rsid w:val="008D4376"/>
    <w:rsid w:val="008D4736"/>
    <w:rsid w:val="008D4CD0"/>
    <w:rsid w:val="008D5358"/>
    <w:rsid w:val="008D5A92"/>
    <w:rsid w:val="008E0180"/>
    <w:rsid w:val="008E04BD"/>
    <w:rsid w:val="008E1654"/>
    <w:rsid w:val="008E24B2"/>
    <w:rsid w:val="008E2E86"/>
    <w:rsid w:val="008E35A5"/>
    <w:rsid w:val="008E5174"/>
    <w:rsid w:val="008E5F06"/>
    <w:rsid w:val="008E6043"/>
    <w:rsid w:val="008E7BD8"/>
    <w:rsid w:val="008F06C5"/>
    <w:rsid w:val="008F077D"/>
    <w:rsid w:val="008F0B15"/>
    <w:rsid w:val="008F180D"/>
    <w:rsid w:val="008F1AA6"/>
    <w:rsid w:val="008F2212"/>
    <w:rsid w:val="008F73C8"/>
    <w:rsid w:val="008F7E69"/>
    <w:rsid w:val="009015FC"/>
    <w:rsid w:val="0090208A"/>
    <w:rsid w:val="00903786"/>
    <w:rsid w:val="00903AB2"/>
    <w:rsid w:val="00905184"/>
    <w:rsid w:val="00905398"/>
    <w:rsid w:val="00905E13"/>
    <w:rsid w:val="00905F29"/>
    <w:rsid w:val="0090719E"/>
    <w:rsid w:val="009109AA"/>
    <w:rsid w:val="00915B62"/>
    <w:rsid w:val="00916442"/>
    <w:rsid w:val="00916743"/>
    <w:rsid w:val="00920F61"/>
    <w:rsid w:val="009224F8"/>
    <w:rsid w:val="00923F44"/>
    <w:rsid w:val="00925F09"/>
    <w:rsid w:val="00926879"/>
    <w:rsid w:val="009312AC"/>
    <w:rsid w:val="00931FC4"/>
    <w:rsid w:val="0093230D"/>
    <w:rsid w:val="00932687"/>
    <w:rsid w:val="00933192"/>
    <w:rsid w:val="00933C8C"/>
    <w:rsid w:val="00934C50"/>
    <w:rsid w:val="009362FF"/>
    <w:rsid w:val="009367F6"/>
    <w:rsid w:val="0093741D"/>
    <w:rsid w:val="00937B04"/>
    <w:rsid w:val="00937D27"/>
    <w:rsid w:val="009400E3"/>
    <w:rsid w:val="00941CFB"/>
    <w:rsid w:val="00941F43"/>
    <w:rsid w:val="0094218C"/>
    <w:rsid w:val="00942B03"/>
    <w:rsid w:val="00942CB3"/>
    <w:rsid w:val="00944174"/>
    <w:rsid w:val="009455A1"/>
    <w:rsid w:val="00945944"/>
    <w:rsid w:val="009475C8"/>
    <w:rsid w:val="00950CE2"/>
    <w:rsid w:val="00951652"/>
    <w:rsid w:val="00952304"/>
    <w:rsid w:val="00952F2F"/>
    <w:rsid w:val="00965C4B"/>
    <w:rsid w:val="00966806"/>
    <w:rsid w:val="00967A7F"/>
    <w:rsid w:val="00967B82"/>
    <w:rsid w:val="009708C8"/>
    <w:rsid w:val="00970A43"/>
    <w:rsid w:val="00970E3E"/>
    <w:rsid w:val="009712FC"/>
    <w:rsid w:val="009729EC"/>
    <w:rsid w:val="009752D0"/>
    <w:rsid w:val="009757BB"/>
    <w:rsid w:val="00975C39"/>
    <w:rsid w:val="00976E0D"/>
    <w:rsid w:val="00977CD0"/>
    <w:rsid w:val="0098151F"/>
    <w:rsid w:val="00982AE6"/>
    <w:rsid w:val="00983E07"/>
    <w:rsid w:val="00984582"/>
    <w:rsid w:val="0098631D"/>
    <w:rsid w:val="00986A46"/>
    <w:rsid w:val="00986CD4"/>
    <w:rsid w:val="00987380"/>
    <w:rsid w:val="00987B6D"/>
    <w:rsid w:val="0099032C"/>
    <w:rsid w:val="009906A6"/>
    <w:rsid w:val="00990FE6"/>
    <w:rsid w:val="00991575"/>
    <w:rsid w:val="00991751"/>
    <w:rsid w:val="00991E3E"/>
    <w:rsid w:val="00992ADC"/>
    <w:rsid w:val="00994BA0"/>
    <w:rsid w:val="00996C73"/>
    <w:rsid w:val="00997BC1"/>
    <w:rsid w:val="009A199C"/>
    <w:rsid w:val="009A1BE3"/>
    <w:rsid w:val="009A6D32"/>
    <w:rsid w:val="009A71C4"/>
    <w:rsid w:val="009B02BD"/>
    <w:rsid w:val="009B072F"/>
    <w:rsid w:val="009B15EC"/>
    <w:rsid w:val="009B1781"/>
    <w:rsid w:val="009B1EB1"/>
    <w:rsid w:val="009B2532"/>
    <w:rsid w:val="009B2546"/>
    <w:rsid w:val="009B27A2"/>
    <w:rsid w:val="009B464D"/>
    <w:rsid w:val="009B63AF"/>
    <w:rsid w:val="009B6F2A"/>
    <w:rsid w:val="009C1465"/>
    <w:rsid w:val="009C1F90"/>
    <w:rsid w:val="009C21F2"/>
    <w:rsid w:val="009C2AAA"/>
    <w:rsid w:val="009C3D69"/>
    <w:rsid w:val="009C595E"/>
    <w:rsid w:val="009C66A3"/>
    <w:rsid w:val="009C7312"/>
    <w:rsid w:val="009D0798"/>
    <w:rsid w:val="009D17FE"/>
    <w:rsid w:val="009D2AB5"/>
    <w:rsid w:val="009D33F4"/>
    <w:rsid w:val="009D37C8"/>
    <w:rsid w:val="009D616A"/>
    <w:rsid w:val="009E160B"/>
    <w:rsid w:val="009E2CC7"/>
    <w:rsid w:val="009E3C3F"/>
    <w:rsid w:val="009E6061"/>
    <w:rsid w:val="009E72B6"/>
    <w:rsid w:val="009E7373"/>
    <w:rsid w:val="009F0CD1"/>
    <w:rsid w:val="009F0E11"/>
    <w:rsid w:val="009F1A6D"/>
    <w:rsid w:val="009F4CFB"/>
    <w:rsid w:val="009F7B9F"/>
    <w:rsid w:val="00A01086"/>
    <w:rsid w:val="00A034A1"/>
    <w:rsid w:val="00A05E57"/>
    <w:rsid w:val="00A079F6"/>
    <w:rsid w:val="00A108A7"/>
    <w:rsid w:val="00A1120D"/>
    <w:rsid w:val="00A12CC2"/>
    <w:rsid w:val="00A1332C"/>
    <w:rsid w:val="00A13CB3"/>
    <w:rsid w:val="00A13F0D"/>
    <w:rsid w:val="00A1510F"/>
    <w:rsid w:val="00A155A7"/>
    <w:rsid w:val="00A1583A"/>
    <w:rsid w:val="00A15DB7"/>
    <w:rsid w:val="00A1665F"/>
    <w:rsid w:val="00A1746E"/>
    <w:rsid w:val="00A17503"/>
    <w:rsid w:val="00A1756A"/>
    <w:rsid w:val="00A178D8"/>
    <w:rsid w:val="00A201F0"/>
    <w:rsid w:val="00A20631"/>
    <w:rsid w:val="00A215B3"/>
    <w:rsid w:val="00A21767"/>
    <w:rsid w:val="00A2256C"/>
    <w:rsid w:val="00A24D20"/>
    <w:rsid w:val="00A26A1E"/>
    <w:rsid w:val="00A31350"/>
    <w:rsid w:val="00A32C4E"/>
    <w:rsid w:val="00A33BBA"/>
    <w:rsid w:val="00A3452B"/>
    <w:rsid w:val="00A36ED4"/>
    <w:rsid w:val="00A36F78"/>
    <w:rsid w:val="00A42B80"/>
    <w:rsid w:val="00A44546"/>
    <w:rsid w:val="00A44F1A"/>
    <w:rsid w:val="00A46A9A"/>
    <w:rsid w:val="00A46E1B"/>
    <w:rsid w:val="00A50111"/>
    <w:rsid w:val="00A506CD"/>
    <w:rsid w:val="00A51804"/>
    <w:rsid w:val="00A52C22"/>
    <w:rsid w:val="00A53E70"/>
    <w:rsid w:val="00A54FCF"/>
    <w:rsid w:val="00A55971"/>
    <w:rsid w:val="00A56755"/>
    <w:rsid w:val="00A60022"/>
    <w:rsid w:val="00A62CA8"/>
    <w:rsid w:val="00A6514E"/>
    <w:rsid w:val="00A66178"/>
    <w:rsid w:val="00A662D8"/>
    <w:rsid w:val="00A66A14"/>
    <w:rsid w:val="00A66AC9"/>
    <w:rsid w:val="00A721E9"/>
    <w:rsid w:val="00A738D2"/>
    <w:rsid w:val="00A74190"/>
    <w:rsid w:val="00A746CF"/>
    <w:rsid w:val="00A74AC5"/>
    <w:rsid w:val="00A767AC"/>
    <w:rsid w:val="00A77427"/>
    <w:rsid w:val="00A807A8"/>
    <w:rsid w:val="00A81211"/>
    <w:rsid w:val="00A825E3"/>
    <w:rsid w:val="00A8315D"/>
    <w:rsid w:val="00A840CA"/>
    <w:rsid w:val="00A8449C"/>
    <w:rsid w:val="00A84C3C"/>
    <w:rsid w:val="00A86222"/>
    <w:rsid w:val="00A862A0"/>
    <w:rsid w:val="00A87F3D"/>
    <w:rsid w:val="00A87F4B"/>
    <w:rsid w:val="00A909A3"/>
    <w:rsid w:val="00A91BD2"/>
    <w:rsid w:val="00A933A5"/>
    <w:rsid w:val="00A940BE"/>
    <w:rsid w:val="00A9496D"/>
    <w:rsid w:val="00A96316"/>
    <w:rsid w:val="00A9658A"/>
    <w:rsid w:val="00A970ED"/>
    <w:rsid w:val="00AA18D0"/>
    <w:rsid w:val="00AA2CB8"/>
    <w:rsid w:val="00AA553F"/>
    <w:rsid w:val="00AA57C2"/>
    <w:rsid w:val="00AA694A"/>
    <w:rsid w:val="00AB112C"/>
    <w:rsid w:val="00AB13E1"/>
    <w:rsid w:val="00AB30A7"/>
    <w:rsid w:val="00AB3D33"/>
    <w:rsid w:val="00AB478E"/>
    <w:rsid w:val="00AB560F"/>
    <w:rsid w:val="00AC14D5"/>
    <w:rsid w:val="00AC1B27"/>
    <w:rsid w:val="00AC2B45"/>
    <w:rsid w:val="00AC35F1"/>
    <w:rsid w:val="00AC36F0"/>
    <w:rsid w:val="00AC40A4"/>
    <w:rsid w:val="00AC4639"/>
    <w:rsid w:val="00AC4C62"/>
    <w:rsid w:val="00AC4E5A"/>
    <w:rsid w:val="00AC57B3"/>
    <w:rsid w:val="00AC60D4"/>
    <w:rsid w:val="00AC7463"/>
    <w:rsid w:val="00AD0CCC"/>
    <w:rsid w:val="00AD27E7"/>
    <w:rsid w:val="00AD3948"/>
    <w:rsid w:val="00AD47A2"/>
    <w:rsid w:val="00AD4FDF"/>
    <w:rsid w:val="00AD7283"/>
    <w:rsid w:val="00AE07A4"/>
    <w:rsid w:val="00AE39EE"/>
    <w:rsid w:val="00AE4074"/>
    <w:rsid w:val="00AE4B8F"/>
    <w:rsid w:val="00AE53E5"/>
    <w:rsid w:val="00AE573F"/>
    <w:rsid w:val="00AE6B3A"/>
    <w:rsid w:val="00AF1CBC"/>
    <w:rsid w:val="00AF2904"/>
    <w:rsid w:val="00AF2D05"/>
    <w:rsid w:val="00AF4665"/>
    <w:rsid w:val="00AF48C9"/>
    <w:rsid w:val="00AF49BF"/>
    <w:rsid w:val="00AF651E"/>
    <w:rsid w:val="00B0227A"/>
    <w:rsid w:val="00B027D1"/>
    <w:rsid w:val="00B03006"/>
    <w:rsid w:val="00B03D7A"/>
    <w:rsid w:val="00B059E5"/>
    <w:rsid w:val="00B11900"/>
    <w:rsid w:val="00B129C3"/>
    <w:rsid w:val="00B1320F"/>
    <w:rsid w:val="00B135A6"/>
    <w:rsid w:val="00B14E0E"/>
    <w:rsid w:val="00B15B56"/>
    <w:rsid w:val="00B208F7"/>
    <w:rsid w:val="00B20A6D"/>
    <w:rsid w:val="00B212B8"/>
    <w:rsid w:val="00B24C1C"/>
    <w:rsid w:val="00B2609C"/>
    <w:rsid w:val="00B270E5"/>
    <w:rsid w:val="00B31BA2"/>
    <w:rsid w:val="00B31D3F"/>
    <w:rsid w:val="00B32830"/>
    <w:rsid w:val="00B35571"/>
    <w:rsid w:val="00B37714"/>
    <w:rsid w:val="00B37B1B"/>
    <w:rsid w:val="00B41948"/>
    <w:rsid w:val="00B42BBA"/>
    <w:rsid w:val="00B42FAF"/>
    <w:rsid w:val="00B45317"/>
    <w:rsid w:val="00B46095"/>
    <w:rsid w:val="00B463C3"/>
    <w:rsid w:val="00B46E83"/>
    <w:rsid w:val="00B50349"/>
    <w:rsid w:val="00B50FEA"/>
    <w:rsid w:val="00B51175"/>
    <w:rsid w:val="00B52759"/>
    <w:rsid w:val="00B5397C"/>
    <w:rsid w:val="00B54510"/>
    <w:rsid w:val="00B54FA9"/>
    <w:rsid w:val="00B55252"/>
    <w:rsid w:val="00B5558C"/>
    <w:rsid w:val="00B56CD2"/>
    <w:rsid w:val="00B57B0B"/>
    <w:rsid w:val="00B57F85"/>
    <w:rsid w:val="00B600CA"/>
    <w:rsid w:val="00B607A2"/>
    <w:rsid w:val="00B61C7D"/>
    <w:rsid w:val="00B62781"/>
    <w:rsid w:val="00B64308"/>
    <w:rsid w:val="00B6479C"/>
    <w:rsid w:val="00B659D1"/>
    <w:rsid w:val="00B66630"/>
    <w:rsid w:val="00B670F4"/>
    <w:rsid w:val="00B70510"/>
    <w:rsid w:val="00B70CE3"/>
    <w:rsid w:val="00B71F74"/>
    <w:rsid w:val="00B73C23"/>
    <w:rsid w:val="00B765E7"/>
    <w:rsid w:val="00B768EE"/>
    <w:rsid w:val="00B771FF"/>
    <w:rsid w:val="00B77D1F"/>
    <w:rsid w:val="00B8149C"/>
    <w:rsid w:val="00B82370"/>
    <w:rsid w:val="00B82C45"/>
    <w:rsid w:val="00B845A2"/>
    <w:rsid w:val="00B8783D"/>
    <w:rsid w:val="00B87D04"/>
    <w:rsid w:val="00B921C8"/>
    <w:rsid w:val="00B93B9D"/>
    <w:rsid w:val="00B93D02"/>
    <w:rsid w:val="00B93D78"/>
    <w:rsid w:val="00B94FE0"/>
    <w:rsid w:val="00B96174"/>
    <w:rsid w:val="00B971BD"/>
    <w:rsid w:val="00B97B8C"/>
    <w:rsid w:val="00BA00B7"/>
    <w:rsid w:val="00BA054F"/>
    <w:rsid w:val="00BA123B"/>
    <w:rsid w:val="00BA323B"/>
    <w:rsid w:val="00BA32BE"/>
    <w:rsid w:val="00BA3346"/>
    <w:rsid w:val="00BA3721"/>
    <w:rsid w:val="00BA3B6A"/>
    <w:rsid w:val="00BA3D3E"/>
    <w:rsid w:val="00BA57DC"/>
    <w:rsid w:val="00BA68AD"/>
    <w:rsid w:val="00BA7802"/>
    <w:rsid w:val="00BB0104"/>
    <w:rsid w:val="00BB059B"/>
    <w:rsid w:val="00BB4AC2"/>
    <w:rsid w:val="00BB4B21"/>
    <w:rsid w:val="00BB4D8D"/>
    <w:rsid w:val="00BB69E9"/>
    <w:rsid w:val="00BC012E"/>
    <w:rsid w:val="00BC2219"/>
    <w:rsid w:val="00BC27FF"/>
    <w:rsid w:val="00BC3B29"/>
    <w:rsid w:val="00BC4D30"/>
    <w:rsid w:val="00BC75EC"/>
    <w:rsid w:val="00BC799A"/>
    <w:rsid w:val="00BD24C5"/>
    <w:rsid w:val="00BD2DC4"/>
    <w:rsid w:val="00BD3BD5"/>
    <w:rsid w:val="00BD3C26"/>
    <w:rsid w:val="00BD4399"/>
    <w:rsid w:val="00BD4970"/>
    <w:rsid w:val="00BD7EA0"/>
    <w:rsid w:val="00BE11E7"/>
    <w:rsid w:val="00BE1333"/>
    <w:rsid w:val="00BE1D60"/>
    <w:rsid w:val="00BE2210"/>
    <w:rsid w:val="00BE2C37"/>
    <w:rsid w:val="00BE4379"/>
    <w:rsid w:val="00BE514E"/>
    <w:rsid w:val="00BE58DE"/>
    <w:rsid w:val="00BE59DF"/>
    <w:rsid w:val="00BE5AC7"/>
    <w:rsid w:val="00BE5E9E"/>
    <w:rsid w:val="00BE70F2"/>
    <w:rsid w:val="00BF1ED9"/>
    <w:rsid w:val="00BF2B19"/>
    <w:rsid w:val="00BF3E58"/>
    <w:rsid w:val="00BF4A8E"/>
    <w:rsid w:val="00BF6796"/>
    <w:rsid w:val="00BF7273"/>
    <w:rsid w:val="00BF73E4"/>
    <w:rsid w:val="00BF75D8"/>
    <w:rsid w:val="00C020A1"/>
    <w:rsid w:val="00C02A3F"/>
    <w:rsid w:val="00C0343D"/>
    <w:rsid w:val="00C05F1E"/>
    <w:rsid w:val="00C0628D"/>
    <w:rsid w:val="00C070FE"/>
    <w:rsid w:val="00C11BD3"/>
    <w:rsid w:val="00C12957"/>
    <w:rsid w:val="00C14384"/>
    <w:rsid w:val="00C15B94"/>
    <w:rsid w:val="00C16761"/>
    <w:rsid w:val="00C178BC"/>
    <w:rsid w:val="00C203B4"/>
    <w:rsid w:val="00C214DE"/>
    <w:rsid w:val="00C23C8C"/>
    <w:rsid w:val="00C24946"/>
    <w:rsid w:val="00C251EC"/>
    <w:rsid w:val="00C25BC0"/>
    <w:rsid w:val="00C3042D"/>
    <w:rsid w:val="00C35676"/>
    <w:rsid w:val="00C35FB4"/>
    <w:rsid w:val="00C362B7"/>
    <w:rsid w:val="00C3693F"/>
    <w:rsid w:val="00C36AB8"/>
    <w:rsid w:val="00C37123"/>
    <w:rsid w:val="00C37A6A"/>
    <w:rsid w:val="00C40933"/>
    <w:rsid w:val="00C41F59"/>
    <w:rsid w:val="00C436B8"/>
    <w:rsid w:val="00C4373C"/>
    <w:rsid w:val="00C443D7"/>
    <w:rsid w:val="00C44D3C"/>
    <w:rsid w:val="00C4509E"/>
    <w:rsid w:val="00C5094B"/>
    <w:rsid w:val="00C5111D"/>
    <w:rsid w:val="00C512F0"/>
    <w:rsid w:val="00C5163F"/>
    <w:rsid w:val="00C51AD1"/>
    <w:rsid w:val="00C54552"/>
    <w:rsid w:val="00C54D39"/>
    <w:rsid w:val="00C550E5"/>
    <w:rsid w:val="00C56757"/>
    <w:rsid w:val="00C56F56"/>
    <w:rsid w:val="00C61261"/>
    <w:rsid w:val="00C620FD"/>
    <w:rsid w:val="00C629DD"/>
    <w:rsid w:val="00C638B1"/>
    <w:rsid w:val="00C639E4"/>
    <w:rsid w:val="00C667FD"/>
    <w:rsid w:val="00C672F6"/>
    <w:rsid w:val="00C7095D"/>
    <w:rsid w:val="00C70EE6"/>
    <w:rsid w:val="00C71CD9"/>
    <w:rsid w:val="00C71CED"/>
    <w:rsid w:val="00C731DC"/>
    <w:rsid w:val="00C73A13"/>
    <w:rsid w:val="00C74289"/>
    <w:rsid w:val="00C76366"/>
    <w:rsid w:val="00C76A5D"/>
    <w:rsid w:val="00C778C6"/>
    <w:rsid w:val="00C80C62"/>
    <w:rsid w:val="00C814D0"/>
    <w:rsid w:val="00C819C9"/>
    <w:rsid w:val="00C81D58"/>
    <w:rsid w:val="00C82A8A"/>
    <w:rsid w:val="00C84223"/>
    <w:rsid w:val="00C8634C"/>
    <w:rsid w:val="00C87AAD"/>
    <w:rsid w:val="00C915A7"/>
    <w:rsid w:val="00C92E57"/>
    <w:rsid w:val="00C94223"/>
    <w:rsid w:val="00C9535B"/>
    <w:rsid w:val="00C95B5E"/>
    <w:rsid w:val="00C95FCF"/>
    <w:rsid w:val="00C96129"/>
    <w:rsid w:val="00C97DB7"/>
    <w:rsid w:val="00CA041A"/>
    <w:rsid w:val="00CA09F2"/>
    <w:rsid w:val="00CA10E5"/>
    <w:rsid w:val="00CA168B"/>
    <w:rsid w:val="00CA2B4D"/>
    <w:rsid w:val="00CA2BEC"/>
    <w:rsid w:val="00CA3947"/>
    <w:rsid w:val="00CA4694"/>
    <w:rsid w:val="00CA4D6A"/>
    <w:rsid w:val="00CA4F8E"/>
    <w:rsid w:val="00CB032B"/>
    <w:rsid w:val="00CB0554"/>
    <w:rsid w:val="00CB07B0"/>
    <w:rsid w:val="00CB0886"/>
    <w:rsid w:val="00CB1E58"/>
    <w:rsid w:val="00CB2D4C"/>
    <w:rsid w:val="00CB44D8"/>
    <w:rsid w:val="00CC0154"/>
    <w:rsid w:val="00CC1136"/>
    <w:rsid w:val="00CC2D1C"/>
    <w:rsid w:val="00CC3085"/>
    <w:rsid w:val="00CC37C5"/>
    <w:rsid w:val="00CC5606"/>
    <w:rsid w:val="00CC5CCC"/>
    <w:rsid w:val="00CC6958"/>
    <w:rsid w:val="00CC6D8C"/>
    <w:rsid w:val="00CD02A5"/>
    <w:rsid w:val="00CD1455"/>
    <w:rsid w:val="00CD2A3F"/>
    <w:rsid w:val="00CD3D76"/>
    <w:rsid w:val="00CD6A5B"/>
    <w:rsid w:val="00CD78C2"/>
    <w:rsid w:val="00CD7F0B"/>
    <w:rsid w:val="00CE3863"/>
    <w:rsid w:val="00CE3D2B"/>
    <w:rsid w:val="00CE3EE2"/>
    <w:rsid w:val="00CE63F4"/>
    <w:rsid w:val="00CE64DB"/>
    <w:rsid w:val="00CE6AE5"/>
    <w:rsid w:val="00CE7015"/>
    <w:rsid w:val="00CE7977"/>
    <w:rsid w:val="00CF00E9"/>
    <w:rsid w:val="00CF028A"/>
    <w:rsid w:val="00CF1EA3"/>
    <w:rsid w:val="00CF3B2E"/>
    <w:rsid w:val="00CF513F"/>
    <w:rsid w:val="00CF5A2D"/>
    <w:rsid w:val="00CF68A9"/>
    <w:rsid w:val="00D02044"/>
    <w:rsid w:val="00D0269F"/>
    <w:rsid w:val="00D044DC"/>
    <w:rsid w:val="00D04EAF"/>
    <w:rsid w:val="00D05A02"/>
    <w:rsid w:val="00D0678A"/>
    <w:rsid w:val="00D06BB9"/>
    <w:rsid w:val="00D0725D"/>
    <w:rsid w:val="00D077B1"/>
    <w:rsid w:val="00D079A0"/>
    <w:rsid w:val="00D10CA4"/>
    <w:rsid w:val="00D115D3"/>
    <w:rsid w:val="00D11F38"/>
    <w:rsid w:val="00D11F49"/>
    <w:rsid w:val="00D1231F"/>
    <w:rsid w:val="00D14116"/>
    <w:rsid w:val="00D17467"/>
    <w:rsid w:val="00D17D08"/>
    <w:rsid w:val="00D2150F"/>
    <w:rsid w:val="00D215DF"/>
    <w:rsid w:val="00D221D7"/>
    <w:rsid w:val="00D236A1"/>
    <w:rsid w:val="00D2391F"/>
    <w:rsid w:val="00D267F9"/>
    <w:rsid w:val="00D302CB"/>
    <w:rsid w:val="00D33E3B"/>
    <w:rsid w:val="00D345E3"/>
    <w:rsid w:val="00D366C6"/>
    <w:rsid w:val="00D37BAD"/>
    <w:rsid w:val="00D40B85"/>
    <w:rsid w:val="00D4128A"/>
    <w:rsid w:val="00D4170E"/>
    <w:rsid w:val="00D41C14"/>
    <w:rsid w:val="00D45294"/>
    <w:rsid w:val="00D4671D"/>
    <w:rsid w:val="00D5086F"/>
    <w:rsid w:val="00D5109E"/>
    <w:rsid w:val="00D5297A"/>
    <w:rsid w:val="00D53171"/>
    <w:rsid w:val="00D535AC"/>
    <w:rsid w:val="00D53DAD"/>
    <w:rsid w:val="00D54C57"/>
    <w:rsid w:val="00D55480"/>
    <w:rsid w:val="00D555C7"/>
    <w:rsid w:val="00D55D1A"/>
    <w:rsid w:val="00D566F4"/>
    <w:rsid w:val="00D57DFA"/>
    <w:rsid w:val="00D60855"/>
    <w:rsid w:val="00D61EFC"/>
    <w:rsid w:val="00D621F5"/>
    <w:rsid w:val="00D62996"/>
    <w:rsid w:val="00D63179"/>
    <w:rsid w:val="00D64321"/>
    <w:rsid w:val="00D65C43"/>
    <w:rsid w:val="00D662A4"/>
    <w:rsid w:val="00D6720E"/>
    <w:rsid w:val="00D7189B"/>
    <w:rsid w:val="00D71C97"/>
    <w:rsid w:val="00D7355F"/>
    <w:rsid w:val="00D73644"/>
    <w:rsid w:val="00D73B59"/>
    <w:rsid w:val="00D74815"/>
    <w:rsid w:val="00D7549D"/>
    <w:rsid w:val="00D75FD8"/>
    <w:rsid w:val="00D765C9"/>
    <w:rsid w:val="00D81F86"/>
    <w:rsid w:val="00D830F1"/>
    <w:rsid w:val="00D8766A"/>
    <w:rsid w:val="00D90B47"/>
    <w:rsid w:val="00D92B71"/>
    <w:rsid w:val="00D94A59"/>
    <w:rsid w:val="00D950B3"/>
    <w:rsid w:val="00D96574"/>
    <w:rsid w:val="00DA02EF"/>
    <w:rsid w:val="00DA0AFA"/>
    <w:rsid w:val="00DA1ADA"/>
    <w:rsid w:val="00DA2424"/>
    <w:rsid w:val="00DA474D"/>
    <w:rsid w:val="00DA5000"/>
    <w:rsid w:val="00DA5123"/>
    <w:rsid w:val="00DA7684"/>
    <w:rsid w:val="00DB0166"/>
    <w:rsid w:val="00DB0574"/>
    <w:rsid w:val="00DB62C5"/>
    <w:rsid w:val="00DB67C8"/>
    <w:rsid w:val="00DB7DA5"/>
    <w:rsid w:val="00DC075C"/>
    <w:rsid w:val="00DC0C7F"/>
    <w:rsid w:val="00DC434F"/>
    <w:rsid w:val="00DC456D"/>
    <w:rsid w:val="00DC6FBB"/>
    <w:rsid w:val="00DC732C"/>
    <w:rsid w:val="00DC7EA8"/>
    <w:rsid w:val="00DD07B5"/>
    <w:rsid w:val="00DD1566"/>
    <w:rsid w:val="00DD1CBD"/>
    <w:rsid w:val="00DD303E"/>
    <w:rsid w:val="00DD373E"/>
    <w:rsid w:val="00DD3B4D"/>
    <w:rsid w:val="00DD47F8"/>
    <w:rsid w:val="00DD5728"/>
    <w:rsid w:val="00DD5D38"/>
    <w:rsid w:val="00DD6D99"/>
    <w:rsid w:val="00DD728E"/>
    <w:rsid w:val="00DD7D75"/>
    <w:rsid w:val="00DE004B"/>
    <w:rsid w:val="00DE05FE"/>
    <w:rsid w:val="00DE0836"/>
    <w:rsid w:val="00DE2BDF"/>
    <w:rsid w:val="00DE3921"/>
    <w:rsid w:val="00DE5EE8"/>
    <w:rsid w:val="00DE74EC"/>
    <w:rsid w:val="00DF0215"/>
    <w:rsid w:val="00DF0B01"/>
    <w:rsid w:val="00DF13CF"/>
    <w:rsid w:val="00DF1440"/>
    <w:rsid w:val="00DF2406"/>
    <w:rsid w:val="00DF2AD9"/>
    <w:rsid w:val="00DF3171"/>
    <w:rsid w:val="00DF56B6"/>
    <w:rsid w:val="00DF5A46"/>
    <w:rsid w:val="00DF7A0C"/>
    <w:rsid w:val="00E03729"/>
    <w:rsid w:val="00E04FBB"/>
    <w:rsid w:val="00E059FB"/>
    <w:rsid w:val="00E05E8D"/>
    <w:rsid w:val="00E10588"/>
    <w:rsid w:val="00E108B2"/>
    <w:rsid w:val="00E10B5B"/>
    <w:rsid w:val="00E11105"/>
    <w:rsid w:val="00E11C27"/>
    <w:rsid w:val="00E12397"/>
    <w:rsid w:val="00E12C61"/>
    <w:rsid w:val="00E12D37"/>
    <w:rsid w:val="00E1330B"/>
    <w:rsid w:val="00E14092"/>
    <w:rsid w:val="00E141AD"/>
    <w:rsid w:val="00E1540A"/>
    <w:rsid w:val="00E156D9"/>
    <w:rsid w:val="00E16939"/>
    <w:rsid w:val="00E1766A"/>
    <w:rsid w:val="00E17A95"/>
    <w:rsid w:val="00E22E09"/>
    <w:rsid w:val="00E235BC"/>
    <w:rsid w:val="00E252BD"/>
    <w:rsid w:val="00E25E50"/>
    <w:rsid w:val="00E26326"/>
    <w:rsid w:val="00E267E6"/>
    <w:rsid w:val="00E26AE3"/>
    <w:rsid w:val="00E306C5"/>
    <w:rsid w:val="00E31EA9"/>
    <w:rsid w:val="00E32B0F"/>
    <w:rsid w:val="00E3304F"/>
    <w:rsid w:val="00E34501"/>
    <w:rsid w:val="00E35B8F"/>
    <w:rsid w:val="00E35C7A"/>
    <w:rsid w:val="00E36173"/>
    <w:rsid w:val="00E362E4"/>
    <w:rsid w:val="00E3658D"/>
    <w:rsid w:val="00E36AE0"/>
    <w:rsid w:val="00E36DC3"/>
    <w:rsid w:val="00E37FF8"/>
    <w:rsid w:val="00E40078"/>
    <w:rsid w:val="00E42FDA"/>
    <w:rsid w:val="00E4461B"/>
    <w:rsid w:val="00E44DD4"/>
    <w:rsid w:val="00E4520C"/>
    <w:rsid w:val="00E45918"/>
    <w:rsid w:val="00E47CC6"/>
    <w:rsid w:val="00E507B0"/>
    <w:rsid w:val="00E521BB"/>
    <w:rsid w:val="00E527C3"/>
    <w:rsid w:val="00E5479D"/>
    <w:rsid w:val="00E614C1"/>
    <w:rsid w:val="00E619C3"/>
    <w:rsid w:val="00E62B01"/>
    <w:rsid w:val="00E639F4"/>
    <w:rsid w:val="00E63CCC"/>
    <w:rsid w:val="00E64B67"/>
    <w:rsid w:val="00E660CF"/>
    <w:rsid w:val="00E669CD"/>
    <w:rsid w:val="00E67872"/>
    <w:rsid w:val="00E70A2C"/>
    <w:rsid w:val="00E72F17"/>
    <w:rsid w:val="00E7553D"/>
    <w:rsid w:val="00E813BB"/>
    <w:rsid w:val="00E81A92"/>
    <w:rsid w:val="00E832C4"/>
    <w:rsid w:val="00E83A1D"/>
    <w:rsid w:val="00E847A7"/>
    <w:rsid w:val="00E851E6"/>
    <w:rsid w:val="00E85FF2"/>
    <w:rsid w:val="00E865EB"/>
    <w:rsid w:val="00E86CBA"/>
    <w:rsid w:val="00E90135"/>
    <w:rsid w:val="00E90AD7"/>
    <w:rsid w:val="00E90E39"/>
    <w:rsid w:val="00E92043"/>
    <w:rsid w:val="00E92C33"/>
    <w:rsid w:val="00E93C25"/>
    <w:rsid w:val="00E94607"/>
    <w:rsid w:val="00E94C6B"/>
    <w:rsid w:val="00E96839"/>
    <w:rsid w:val="00E96976"/>
    <w:rsid w:val="00E96DE7"/>
    <w:rsid w:val="00E97C09"/>
    <w:rsid w:val="00EA025D"/>
    <w:rsid w:val="00EA03BA"/>
    <w:rsid w:val="00EA0630"/>
    <w:rsid w:val="00EA082A"/>
    <w:rsid w:val="00EA0B6F"/>
    <w:rsid w:val="00EA1485"/>
    <w:rsid w:val="00EA49EB"/>
    <w:rsid w:val="00EA4E5A"/>
    <w:rsid w:val="00EA5690"/>
    <w:rsid w:val="00EA5D8D"/>
    <w:rsid w:val="00EA755D"/>
    <w:rsid w:val="00EB03C4"/>
    <w:rsid w:val="00EB1557"/>
    <w:rsid w:val="00EB1A18"/>
    <w:rsid w:val="00EB3EC8"/>
    <w:rsid w:val="00EB4807"/>
    <w:rsid w:val="00EB5FF8"/>
    <w:rsid w:val="00EB6587"/>
    <w:rsid w:val="00EB7B18"/>
    <w:rsid w:val="00EB7F7C"/>
    <w:rsid w:val="00EC053F"/>
    <w:rsid w:val="00EC0998"/>
    <w:rsid w:val="00EC2174"/>
    <w:rsid w:val="00EC2A56"/>
    <w:rsid w:val="00EC73D7"/>
    <w:rsid w:val="00ED0FF3"/>
    <w:rsid w:val="00ED16F6"/>
    <w:rsid w:val="00ED3522"/>
    <w:rsid w:val="00ED44BB"/>
    <w:rsid w:val="00ED4E3D"/>
    <w:rsid w:val="00ED517D"/>
    <w:rsid w:val="00ED56FA"/>
    <w:rsid w:val="00ED5B6B"/>
    <w:rsid w:val="00ED792F"/>
    <w:rsid w:val="00EE0A6E"/>
    <w:rsid w:val="00EE438A"/>
    <w:rsid w:val="00EE4D62"/>
    <w:rsid w:val="00EE4FA3"/>
    <w:rsid w:val="00EE558C"/>
    <w:rsid w:val="00EE570F"/>
    <w:rsid w:val="00EE5F89"/>
    <w:rsid w:val="00EE758D"/>
    <w:rsid w:val="00EF02D7"/>
    <w:rsid w:val="00EF03FA"/>
    <w:rsid w:val="00EF0B15"/>
    <w:rsid w:val="00EF1652"/>
    <w:rsid w:val="00EF1B2D"/>
    <w:rsid w:val="00EF396D"/>
    <w:rsid w:val="00EF4D92"/>
    <w:rsid w:val="00F0196A"/>
    <w:rsid w:val="00F02D10"/>
    <w:rsid w:val="00F03C37"/>
    <w:rsid w:val="00F04E7A"/>
    <w:rsid w:val="00F052E5"/>
    <w:rsid w:val="00F07656"/>
    <w:rsid w:val="00F07B2D"/>
    <w:rsid w:val="00F07C41"/>
    <w:rsid w:val="00F12BFC"/>
    <w:rsid w:val="00F12E21"/>
    <w:rsid w:val="00F142ED"/>
    <w:rsid w:val="00F14413"/>
    <w:rsid w:val="00F171B1"/>
    <w:rsid w:val="00F172EE"/>
    <w:rsid w:val="00F20F47"/>
    <w:rsid w:val="00F211F4"/>
    <w:rsid w:val="00F22FC2"/>
    <w:rsid w:val="00F240DF"/>
    <w:rsid w:val="00F247C1"/>
    <w:rsid w:val="00F248B6"/>
    <w:rsid w:val="00F2496E"/>
    <w:rsid w:val="00F256E3"/>
    <w:rsid w:val="00F257B1"/>
    <w:rsid w:val="00F26720"/>
    <w:rsid w:val="00F26AB6"/>
    <w:rsid w:val="00F27E8F"/>
    <w:rsid w:val="00F3158B"/>
    <w:rsid w:val="00F31637"/>
    <w:rsid w:val="00F33B9F"/>
    <w:rsid w:val="00F34048"/>
    <w:rsid w:val="00F34BE9"/>
    <w:rsid w:val="00F37912"/>
    <w:rsid w:val="00F4004E"/>
    <w:rsid w:val="00F40601"/>
    <w:rsid w:val="00F4088F"/>
    <w:rsid w:val="00F41932"/>
    <w:rsid w:val="00F43407"/>
    <w:rsid w:val="00F44138"/>
    <w:rsid w:val="00F44C22"/>
    <w:rsid w:val="00F455B6"/>
    <w:rsid w:val="00F45FFD"/>
    <w:rsid w:val="00F475B2"/>
    <w:rsid w:val="00F4789A"/>
    <w:rsid w:val="00F51C00"/>
    <w:rsid w:val="00F51FDE"/>
    <w:rsid w:val="00F53119"/>
    <w:rsid w:val="00F53CEF"/>
    <w:rsid w:val="00F541FD"/>
    <w:rsid w:val="00F5478B"/>
    <w:rsid w:val="00F55FF6"/>
    <w:rsid w:val="00F566AA"/>
    <w:rsid w:val="00F57590"/>
    <w:rsid w:val="00F57C12"/>
    <w:rsid w:val="00F57FEB"/>
    <w:rsid w:val="00F61364"/>
    <w:rsid w:val="00F614C4"/>
    <w:rsid w:val="00F61E2F"/>
    <w:rsid w:val="00F6752D"/>
    <w:rsid w:val="00F717C8"/>
    <w:rsid w:val="00F722F2"/>
    <w:rsid w:val="00F7256C"/>
    <w:rsid w:val="00F728C9"/>
    <w:rsid w:val="00F72FA3"/>
    <w:rsid w:val="00F73161"/>
    <w:rsid w:val="00F75A59"/>
    <w:rsid w:val="00F762D1"/>
    <w:rsid w:val="00F7650A"/>
    <w:rsid w:val="00F818B3"/>
    <w:rsid w:val="00F8194D"/>
    <w:rsid w:val="00F81AD9"/>
    <w:rsid w:val="00F82222"/>
    <w:rsid w:val="00F841EF"/>
    <w:rsid w:val="00F8457C"/>
    <w:rsid w:val="00F87B39"/>
    <w:rsid w:val="00F90439"/>
    <w:rsid w:val="00F90901"/>
    <w:rsid w:val="00F90A12"/>
    <w:rsid w:val="00F90B51"/>
    <w:rsid w:val="00F92C59"/>
    <w:rsid w:val="00F937F9"/>
    <w:rsid w:val="00F94B93"/>
    <w:rsid w:val="00F95DDF"/>
    <w:rsid w:val="00F96108"/>
    <w:rsid w:val="00F96B7C"/>
    <w:rsid w:val="00F9748E"/>
    <w:rsid w:val="00F97D0C"/>
    <w:rsid w:val="00FA017D"/>
    <w:rsid w:val="00FA20D2"/>
    <w:rsid w:val="00FA70A7"/>
    <w:rsid w:val="00FB16C0"/>
    <w:rsid w:val="00FB29C1"/>
    <w:rsid w:val="00FB3AFD"/>
    <w:rsid w:val="00FB5337"/>
    <w:rsid w:val="00FB5F38"/>
    <w:rsid w:val="00FB6379"/>
    <w:rsid w:val="00FB6E6B"/>
    <w:rsid w:val="00FB7AEB"/>
    <w:rsid w:val="00FC123A"/>
    <w:rsid w:val="00FC1D01"/>
    <w:rsid w:val="00FC1E45"/>
    <w:rsid w:val="00FC2305"/>
    <w:rsid w:val="00FC2874"/>
    <w:rsid w:val="00FC2E34"/>
    <w:rsid w:val="00FD0012"/>
    <w:rsid w:val="00FD06DF"/>
    <w:rsid w:val="00FD0B4D"/>
    <w:rsid w:val="00FD5B7E"/>
    <w:rsid w:val="00FE1DB6"/>
    <w:rsid w:val="00FE316C"/>
    <w:rsid w:val="00FE5991"/>
    <w:rsid w:val="00FE7AE8"/>
    <w:rsid w:val="00FF37C2"/>
    <w:rsid w:val="00FF3E71"/>
    <w:rsid w:val="00FF4459"/>
    <w:rsid w:val="06D7EA43"/>
    <w:rsid w:val="06FDA36F"/>
    <w:rsid w:val="567EB308"/>
    <w:rsid w:val="5A95C65A"/>
    <w:rsid w:val="5EB92E84"/>
    <w:rsid w:val="7C6A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4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uiPriority w:val="99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paragraph" w:customStyle="1" w:styleId="paragraph">
    <w:name w:val="paragraph"/>
    <w:basedOn w:val="Normal"/>
    <w:rsid w:val="00C05F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05F1E"/>
  </w:style>
  <w:style w:type="character" w:customStyle="1" w:styleId="eop">
    <w:name w:val="eop"/>
    <w:basedOn w:val="DefaultParagraphFont"/>
    <w:rsid w:val="00C05F1E"/>
  </w:style>
  <w:style w:type="character" w:styleId="UnresolvedMention">
    <w:name w:val="Unresolved Mention"/>
    <w:basedOn w:val="DefaultParagraphFont"/>
    <w:uiPriority w:val="99"/>
    <w:semiHidden/>
    <w:unhideWhenUsed/>
    <w:rsid w:val="001C47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65C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5C8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5C8F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5C8F"/>
    <w:rPr>
      <w:rFonts w:ascii="Calibri Light" w:eastAsia="Times New Roman" w:hAnsi="Calibri Light"/>
      <w:b/>
      <w:bCs/>
      <w:lang w:eastAsia="en-AU"/>
    </w:rPr>
  </w:style>
  <w:style w:type="character" w:customStyle="1" w:styleId="cf01">
    <w:name w:val="cf01"/>
    <w:basedOn w:val="DefaultParagraphFont"/>
    <w:rsid w:val="00725B9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to.gov.au/businesses-and-organisations/not-for-profit-organisations/getting-started/in-detail/types-of-dgrs/dgr-table-deductible-gift-recipient-categor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1733</Words>
  <Characters>9134</Characters>
  <Application>Microsoft Office Word</Application>
  <DocSecurity>0</DocSecurity>
  <Lines>147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Community Charity Deductible Gift Recipient Framework</vt:lpstr>
    </vt:vector>
  </TitlesOfParts>
  <Company/>
  <LinksUpToDate>false</LinksUpToDate>
  <CharactersWithSpaces>10811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http://www.ato.gov.au/businesses-and-organisations/not-for-profit-organisations/getting-started/in-detail/types-of-dgrs/dgr-table-deductible-gift-recipient-categories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Community Charity Deductible Gift Recipient Framework</dc:title>
  <dc:subject/>
  <dc:creator/>
  <cp:keywords/>
  <dc:description/>
  <cp:lastModifiedBy/>
  <cp:revision>1</cp:revision>
  <dcterms:created xsi:type="dcterms:W3CDTF">2024-11-05T02:25:00Z</dcterms:created>
  <dcterms:modified xsi:type="dcterms:W3CDTF">2024-11-05T02:26:00Z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2024-11-05T02:26:10Z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20f89873-25d9-4eb5-9d63-e6c425328d11</vt:lpwstr>
  </property>
  <property fmtid="{D5CDD505-2E9C-101B-9397-08002B2CF9AE}" pid="8" name="MSIP_Label_4f932d64-9ab1-4d9b-81d2-a3a8b82dd47d_ContentBits">
    <vt:lpwstr>0</vt:lpwstr>
  </property>
</Properties>
</file>