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4DC89" w14:textId="215ADCBC" w:rsidR="00F109D4" w:rsidRPr="00527D14" w:rsidRDefault="00C8056E" w:rsidP="004A27A8">
      <w:pPr>
        <w:pStyle w:val="Heading1"/>
        <w:spacing w:after="360"/>
        <w:rPr>
          <w:rFonts w:ascii="Times New Roman" w:hAnsi="Times New Roman"/>
          <w:sz w:val="24"/>
          <w:szCs w:val="24"/>
        </w:rPr>
      </w:pPr>
      <w:r>
        <w:rPr>
          <w:rFonts w:ascii="Times New Roman" w:hAnsi="Times New Roman"/>
          <w:sz w:val="24"/>
          <w:szCs w:val="24"/>
        </w:rPr>
        <w:t xml:space="preserve">EXPOSURE DRAFT </w:t>
      </w:r>
      <w:r w:rsidR="00F109D4" w:rsidRPr="00527D14">
        <w:rPr>
          <w:rFonts w:ascii="Times New Roman" w:hAnsi="Times New Roman"/>
          <w:sz w:val="24"/>
          <w:szCs w:val="24"/>
        </w:rPr>
        <w:t>EXPLANATORY STATEMENT</w:t>
      </w:r>
    </w:p>
    <w:p w14:paraId="2EBD3E06" w14:textId="363DF1E6" w:rsidR="007662C7" w:rsidRPr="00527D14" w:rsidRDefault="00F109D4" w:rsidP="004A27A8">
      <w:pPr>
        <w:pStyle w:val="Heading2"/>
        <w:jc w:val="center"/>
        <w:rPr>
          <w:sz w:val="24"/>
          <w:szCs w:val="24"/>
        </w:rPr>
      </w:pPr>
      <w:r w:rsidRPr="00527D14">
        <w:rPr>
          <w:sz w:val="24"/>
          <w:szCs w:val="24"/>
        </w:rPr>
        <w:t xml:space="preserve">Issued by authority of </w:t>
      </w:r>
      <w:sdt>
        <w:sdtPr>
          <w:rPr>
            <w:rStyle w:val="DefaultChar"/>
          </w:rPr>
          <w:id w:val="-1025254589"/>
          <w:placeholder>
            <w:docPart w:val="0B0AE207244042C2A23989CF13185A8E"/>
          </w:placeholder>
          <w:dropDownList>
            <w:listItem w:displayText="the Treasurer" w:value="the Treasurer"/>
            <w:listItem w:displayText="the Minister for Housing, Minister for Homelessness and Minister for Small Business" w:value="the Minister for Housing, Minister for Homelessness and Minister for Small Business"/>
            <w:listItem w:displayText="the Assistant Treasurer and Minister for Financial Services" w:value="the Assistant Treasurer and Minister for Financial Services"/>
            <w:listItem w:displayText="the Assistant Minister for Competition, Charities and Treasury" w:value="the Assistant Minister for Competition, Charities and Treasury"/>
          </w:dropDownList>
        </w:sdtPr>
        <w:sdtEndPr>
          <w:rPr>
            <w:rStyle w:val="DefaultParagraphFont"/>
            <w:color w:val="auto"/>
            <w:sz w:val="28"/>
            <w:szCs w:val="20"/>
          </w:rPr>
        </w:sdtEndPr>
        <w:sdtContent>
          <w:r w:rsidR="00B05DB8" w:rsidRPr="00527D14">
            <w:rPr>
              <w:rStyle w:val="DefaultChar"/>
            </w:rPr>
            <w:t>the Assistant Minister for Competition, Charities and Treasury</w:t>
          </w:r>
        </w:sdtContent>
      </w:sdt>
      <w:r w:rsidR="00076178" w:rsidRPr="00527D14">
        <w:rPr>
          <w:sz w:val="24"/>
          <w:szCs w:val="24"/>
        </w:rPr>
        <w:t xml:space="preserve"> </w:t>
      </w:r>
    </w:p>
    <w:p w14:paraId="2D01463F" w14:textId="1255D9C1" w:rsidR="00F109D4" w:rsidRPr="00527D14" w:rsidRDefault="00CC3372" w:rsidP="004A27A8">
      <w:pPr>
        <w:spacing w:before="240" w:after="240"/>
        <w:jc w:val="center"/>
        <w:rPr>
          <w:i/>
        </w:rPr>
      </w:pPr>
      <w:r w:rsidRPr="00527D14">
        <w:rPr>
          <w:i/>
        </w:rPr>
        <w:t>Taxati</w:t>
      </w:r>
      <w:r w:rsidR="00BB183A" w:rsidRPr="00527D14">
        <w:rPr>
          <w:i/>
        </w:rPr>
        <w:t>o</w:t>
      </w:r>
      <w:r w:rsidRPr="00527D14">
        <w:rPr>
          <w:i/>
        </w:rPr>
        <w:t>n Administrati</w:t>
      </w:r>
      <w:r w:rsidR="00BB183A" w:rsidRPr="00527D14">
        <w:rPr>
          <w:i/>
        </w:rPr>
        <w:t>o</w:t>
      </w:r>
      <w:r w:rsidRPr="00527D14">
        <w:rPr>
          <w:i/>
        </w:rPr>
        <w:t>n Act 1953</w:t>
      </w:r>
    </w:p>
    <w:p w14:paraId="24F09F1A" w14:textId="281C6998" w:rsidR="00F109D4" w:rsidRPr="003C5719" w:rsidRDefault="00CC3372" w:rsidP="004A27A8">
      <w:pPr>
        <w:tabs>
          <w:tab w:val="left" w:pos="1418"/>
        </w:tabs>
        <w:spacing w:before="0" w:after="240"/>
        <w:jc w:val="center"/>
        <w:rPr>
          <w:i/>
        </w:rPr>
      </w:pPr>
      <w:r w:rsidRPr="00527D14">
        <w:rPr>
          <w:i/>
        </w:rPr>
        <w:t>Taxation Administration (Community Charity) Guidelines 2024</w:t>
      </w:r>
    </w:p>
    <w:p w14:paraId="3E147579" w14:textId="4B9A68D7" w:rsidR="00892D3B" w:rsidRDefault="00EC7ABC" w:rsidP="004A27A8">
      <w:pPr>
        <w:spacing w:before="240"/>
      </w:pPr>
      <w:r>
        <w:t xml:space="preserve">The </w:t>
      </w:r>
      <w:r w:rsidRPr="00C75FD6">
        <w:rPr>
          <w:i/>
          <w:iCs/>
        </w:rPr>
        <w:t>Taxation Administration Act</w:t>
      </w:r>
      <w:r w:rsidR="005731DD" w:rsidRPr="00C75FD6">
        <w:rPr>
          <w:i/>
          <w:iCs/>
        </w:rPr>
        <w:t xml:space="preserve"> 1953</w:t>
      </w:r>
      <w:r w:rsidR="005731DD">
        <w:t xml:space="preserve"> (the</w:t>
      </w:r>
      <w:r w:rsidR="003C1456">
        <w:t xml:space="preserve"> Act</w:t>
      </w:r>
      <w:r w:rsidR="005731DD" w:rsidRPr="00DF5DB9">
        <w:t>)</w:t>
      </w:r>
      <w:r w:rsidR="005731DD">
        <w:t xml:space="preserve"> contains the administrative framework for the taxation and superannuation law in Australia</w:t>
      </w:r>
      <w:r w:rsidR="00F109D4" w:rsidRPr="003C5719">
        <w:t>.</w:t>
      </w:r>
    </w:p>
    <w:p w14:paraId="480C1DAF" w14:textId="0BAC9169" w:rsidR="00BB1E9C" w:rsidRDefault="00C34FD6" w:rsidP="004A27A8">
      <w:pPr>
        <w:spacing w:before="240"/>
      </w:pPr>
      <w:r>
        <w:t>Section</w:t>
      </w:r>
      <w:r w:rsidR="00172819">
        <w:t>s</w:t>
      </w:r>
      <w:r>
        <w:t xml:space="preserve"> 426-1</w:t>
      </w:r>
      <w:r w:rsidR="00172819">
        <w:t>18 and 426</w:t>
      </w:r>
      <w:r w:rsidR="0058516A">
        <w:t>-185</w:t>
      </w:r>
      <w:r>
        <w:t xml:space="preserve"> </w:t>
      </w:r>
      <w:r w:rsidR="0058516A">
        <w:t xml:space="preserve">in </w:t>
      </w:r>
      <w:r>
        <w:t>Schedule 1 to the Act provide</w:t>
      </w:r>
      <w:r w:rsidR="00A12E8A">
        <w:t xml:space="preserve"> that the Minister must formulate guidelines setting out rules </w:t>
      </w:r>
      <w:r w:rsidR="00397371">
        <w:t>that</w:t>
      </w:r>
      <w:r w:rsidR="00740F19">
        <w:t xml:space="preserve"> community charit</w:t>
      </w:r>
      <w:r w:rsidR="003F6B5F">
        <w:t xml:space="preserve">y trusts and their trustees, and </w:t>
      </w:r>
      <w:r w:rsidR="00F355D6">
        <w:t xml:space="preserve">community charity corporations and their directors, </w:t>
      </w:r>
      <w:r w:rsidR="00740F19">
        <w:t xml:space="preserve">must comply with </w:t>
      </w:r>
      <w:r w:rsidR="003B483A">
        <w:t>if the</w:t>
      </w:r>
      <w:r w:rsidR="00077955">
        <w:t>se kinds of</w:t>
      </w:r>
      <w:r w:rsidR="003B483A">
        <w:t xml:space="preserve"> charities </w:t>
      </w:r>
      <w:r w:rsidR="00077955">
        <w:t xml:space="preserve">(community charities) </w:t>
      </w:r>
      <w:r w:rsidR="003B483A">
        <w:t>are to be, or are to remain, endorsed as deductible gift recipients</w:t>
      </w:r>
      <w:r w:rsidR="00777E89">
        <w:t xml:space="preserve"> under the taxation law</w:t>
      </w:r>
      <w:r w:rsidR="003B483A">
        <w:t>.</w:t>
      </w:r>
      <w:r w:rsidR="00777E89">
        <w:t xml:space="preserve"> </w:t>
      </w:r>
      <w:r w:rsidR="00225808">
        <w:t xml:space="preserve">The </w:t>
      </w:r>
      <w:r w:rsidR="0048002B">
        <w:t xml:space="preserve">Act also requires the </w:t>
      </w:r>
      <w:r w:rsidR="00225808">
        <w:t xml:space="preserve">guidelines </w:t>
      </w:r>
      <w:r w:rsidR="0048002B">
        <w:t>to</w:t>
      </w:r>
      <w:r w:rsidR="00225808">
        <w:t xml:space="preserve"> set out the amount, or how to work out the amount, of an administrative penalty in relation to community charities for the purposes of subsection</w:t>
      </w:r>
      <w:r w:rsidR="000F139B">
        <w:t>s</w:t>
      </w:r>
      <w:r w:rsidR="00225808">
        <w:t xml:space="preserve"> 426-120(1) and</w:t>
      </w:r>
      <w:r w:rsidR="0055383E">
        <w:t xml:space="preserve"> </w:t>
      </w:r>
      <w:r w:rsidR="00225808">
        <w:t xml:space="preserve">426-195(1) </w:t>
      </w:r>
      <w:r w:rsidR="0089066F">
        <w:t>in Schedule 1 to</w:t>
      </w:r>
      <w:r w:rsidR="00225808">
        <w:t xml:space="preserve"> the Act.</w:t>
      </w:r>
    </w:p>
    <w:p w14:paraId="454C8066" w14:textId="5BD16521" w:rsidR="007F3CED" w:rsidRDefault="003B2CBE" w:rsidP="004F48D5">
      <w:pPr>
        <w:spacing w:before="240"/>
      </w:pPr>
      <w:r>
        <w:t xml:space="preserve">The </w:t>
      </w:r>
      <w:r w:rsidR="009A6D4B">
        <w:t xml:space="preserve">purpose of the </w:t>
      </w:r>
      <w:r w:rsidRPr="003B2CBE">
        <w:rPr>
          <w:i/>
          <w:iCs/>
        </w:rPr>
        <w:t>Taxation Administration (Community Charity) Guidelines 2024</w:t>
      </w:r>
      <w:r>
        <w:t xml:space="preserve"> </w:t>
      </w:r>
      <w:r w:rsidR="007448B7">
        <w:t xml:space="preserve">(the </w:t>
      </w:r>
      <w:r w:rsidR="00994334">
        <w:t>g</w:t>
      </w:r>
      <w:r w:rsidR="007448B7">
        <w:t xml:space="preserve">uidelines) </w:t>
      </w:r>
      <w:r w:rsidR="009A6D4B">
        <w:t xml:space="preserve">is to </w:t>
      </w:r>
      <w:r w:rsidR="00A1357B">
        <w:t>set out these ru</w:t>
      </w:r>
      <w:r w:rsidR="009A6D4B">
        <w:t>l</w:t>
      </w:r>
      <w:r w:rsidR="00A1357B">
        <w:t>e</w:t>
      </w:r>
      <w:r w:rsidR="008A7935">
        <w:t>s</w:t>
      </w:r>
      <w:r w:rsidR="0080600A">
        <w:t xml:space="preserve"> and to specify the amount</w:t>
      </w:r>
      <w:r w:rsidR="0055383E">
        <w:t>s, or</w:t>
      </w:r>
      <w:r w:rsidR="00D442DE">
        <w:t xml:space="preserve"> the method for working out the amounts, of the administrative penalties.</w:t>
      </w:r>
    </w:p>
    <w:p w14:paraId="402AE25A" w14:textId="40327A42" w:rsidR="00862347" w:rsidRPr="007F3CED" w:rsidRDefault="007F3CED" w:rsidP="004F48D5">
      <w:pPr>
        <w:spacing w:before="240"/>
        <w:rPr>
          <w:i/>
          <w:iCs/>
        </w:rPr>
      </w:pPr>
      <w:r w:rsidRPr="007F3CED">
        <w:rPr>
          <w:i/>
          <w:iCs/>
        </w:rPr>
        <w:t>Background</w:t>
      </w:r>
      <w:r w:rsidR="00D442DE" w:rsidRPr="007F3CED">
        <w:rPr>
          <w:i/>
          <w:iCs/>
        </w:rPr>
        <w:t xml:space="preserve"> </w:t>
      </w:r>
    </w:p>
    <w:p w14:paraId="45AEE27B" w14:textId="09D70B26" w:rsidR="00D30BB0" w:rsidRPr="00D30BB0" w:rsidRDefault="00D30BB0" w:rsidP="00D30BB0">
      <w:pPr>
        <w:spacing w:before="240"/>
      </w:pPr>
      <w:r w:rsidRPr="00D30BB0">
        <w:t>The income tax law allows taxpayers who make gifts o</w:t>
      </w:r>
      <w:r w:rsidR="00C80208">
        <w:t>f</w:t>
      </w:r>
      <w:r w:rsidRPr="00D30BB0">
        <w:t xml:space="preserve"> $2 or more to deductible gift recipients to claim tax deductions for those gifts, subject to any conditions applying to the deductible gift recipient or the gift. An entity may apply, under Division 426 in Schedule 1 to the </w:t>
      </w:r>
      <w:r w:rsidR="003645DC">
        <w:t>Act</w:t>
      </w:r>
      <w:r w:rsidRPr="00D30BB0">
        <w:t xml:space="preserve">, to the Commissioner for endorsement as a deductible gift recipient. The criteria for endorsement, set out in section 30-125 of </w:t>
      </w:r>
      <w:r w:rsidR="00FC3F29" w:rsidRPr="00426E54">
        <w:t>the</w:t>
      </w:r>
      <w:r w:rsidR="00FC3F29">
        <w:t xml:space="preserve"> </w:t>
      </w:r>
      <w:r w:rsidR="00FC3F29" w:rsidRPr="00393205">
        <w:rPr>
          <w:i/>
          <w:iCs/>
        </w:rPr>
        <w:t>Income Tax Assessment Act 1997</w:t>
      </w:r>
      <w:r w:rsidR="00FC3F29" w:rsidRPr="00426E54">
        <w:t xml:space="preserve"> </w:t>
      </w:r>
      <w:r w:rsidR="00FC3F29">
        <w:t xml:space="preserve">(the </w:t>
      </w:r>
      <w:r w:rsidRPr="00D30BB0">
        <w:t>ITAA 1997</w:t>
      </w:r>
      <w:r w:rsidR="00FC3F29">
        <w:t>)</w:t>
      </w:r>
      <w:r w:rsidRPr="00D30BB0">
        <w:t xml:space="preserve">, include the requirement that the entity be covered by one </w:t>
      </w:r>
      <w:r w:rsidR="005769E4">
        <w:t>o</w:t>
      </w:r>
      <w:r w:rsidRPr="00D30BB0">
        <w:t xml:space="preserve">f the deductible gift recipient categories </w:t>
      </w:r>
      <w:r w:rsidR="00354DB5">
        <w:t xml:space="preserve">set out </w:t>
      </w:r>
      <w:r w:rsidRPr="00D30BB0">
        <w:t>in Subdivision 30-B of the ITAA 19</w:t>
      </w:r>
      <w:r w:rsidR="00F56E84">
        <w:t>9</w:t>
      </w:r>
      <w:r w:rsidRPr="00D30BB0">
        <w:t>7</w:t>
      </w:r>
      <w:r w:rsidR="00755D5D">
        <w:t xml:space="preserve"> (without being described by name in that Subdivision)</w:t>
      </w:r>
      <w:r w:rsidRPr="00D30BB0">
        <w:t xml:space="preserve">, or be established to donate funds to an entity covered by one of those categories. </w:t>
      </w:r>
      <w:r w:rsidR="00CC3670">
        <w:t>As an alternative to the endorsement</w:t>
      </w:r>
      <w:r w:rsidRPr="00D30BB0" w:rsidDel="00CC3670">
        <w:t xml:space="preserve"> process, </w:t>
      </w:r>
      <w:r w:rsidRPr="00D30BB0">
        <w:t xml:space="preserve">an entity </w:t>
      </w:r>
      <w:r w:rsidR="00D84166">
        <w:t xml:space="preserve">may acquire </w:t>
      </w:r>
      <w:r w:rsidRPr="00D30BB0">
        <w:t xml:space="preserve">deductible gift recipient </w:t>
      </w:r>
      <w:r w:rsidR="00D84166">
        <w:t xml:space="preserve">status by being </w:t>
      </w:r>
      <w:r w:rsidR="00C2028A">
        <w:t>‘specifically listed’</w:t>
      </w:r>
      <w:r w:rsidR="008E693B">
        <w:t>;</w:t>
      </w:r>
      <w:r w:rsidR="00C2028A">
        <w:t xml:space="preserve"> </w:t>
      </w:r>
      <w:proofErr w:type="spellStart"/>
      <w:r w:rsidR="004F59BF">
        <w:t>ie</w:t>
      </w:r>
      <w:proofErr w:type="spellEnd"/>
      <w:r w:rsidR="004F59BF">
        <w:t xml:space="preserve">, </w:t>
      </w:r>
      <w:r w:rsidR="00FB24C4">
        <w:t xml:space="preserve">described </w:t>
      </w:r>
      <w:r w:rsidRPr="00D30BB0">
        <w:t xml:space="preserve">by name in Subdivision 30-B of the ITAA 1997. </w:t>
      </w:r>
    </w:p>
    <w:p w14:paraId="161B45D3" w14:textId="15B53069" w:rsidR="00381015" w:rsidRPr="00426E54" w:rsidRDefault="00381015" w:rsidP="00381015">
      <w:pPr>
        <w:spacing w:before="240"/>
      </w:pPr>
      <w:r w:rsidRPr="00426E54">
        <w:t xml:space="preserve">Prior to amendments made by </w:t>
      </w:r>
      <w:r>
        <w:t xml:space="preserve">Schedule 3 to the </w:t>
      </w:r>
      <w:r w:rsidRPr="00A34A1B">
        <w:rPr>
          <w:i/>
          <w:iCs/>
        </w:rPr>
        <w:t xml:space="preserve">Treasury Laws Amendment (Support for Small Business and Charities and Other Measures) Act 2024 </w:t>
      </w:r>
      <w:r>
        <w:t>(the amending Act)</w:t>
      </w:r>
      <w:r w:rsidRPr="00426E54">
        <w:t xml:space="preserve">, community charity trusts and community charity corporations did not fit neatly into any of the </w:t>
      </w:r>
      <w:r>
        <w:t xml:space="preserve">deductible gift recipient </w:t>
      </w:r>
      <w:r w:rsidRPr="00426E54">
        <w:t>categories</w:t>
      </w:r>
      <w:r w:rsidR="00AF7CB3">
        <w:t xml:space="preserve">. </w:t>
      </w:r>
      <w:r w:rsidRPr="00426E54">
        <w:t>Because a particular charity’s activities may have fallen under several of the categories and some activities may have extended beyond them, using the specific listing process created integrity risks</w:t>
      </w:r>
      <w:r w:rsidR="00000648">
        <w:t xml:space="preserve">, which were heightened by the </w:t>
      </w:r>
      <w:r w:rsidR="00586B1F">
        <w:t xml:space="preserve">absence of </w:t>
      </w:r>
      <w:r w:rsidRPr="00426E54">
        <w:t xml:space="preserve">compliance </w:t>
      </w:r>
      <w:r w:rsidR="00586B1F">
        <w:t>mechanisms apart from de-listing</w:t>
      </w:r>
      <w:r w:rsidRPr="00426E54">
        <w:t>.</w:t>
      </w:r>
    </w:p>
    <w:p w14:paraId="25569B65" w14:textId="4D34F6EA" w:rsidR="00A618B9" w:rsidRDefault="00381015" w:rsidP="004A27A8">
      <w:pPr>
        <w:spacing w:before="240"/>
      </w:pPr>
      <w:r>
        <w:t>Schedule 3 to the amending Act</w:t>
      </w:r>
      <w:r w:rsidR="00877F69">
        <w:t xml:space="preserve"> </w:t>
      </w:r>
      <w:r w:rsidR="008C3392">
        <w:t>create</w:t>
      </w:r>
      <w:r w:rsidR="005F11AA">
        <w:t>d</w:t>
      </w:r>
      <w:r w:rsidR="000A4384">
        <w:t xml:space="preserve"> a framework for deductible gift recipient endorsement for community charities</w:t>
      </w:r>
      <w:r w:rsidR="00554B25">
        <w:t xml:space="preserve"> by creating</w:t>
      </w:r>
      <w:r w:rsidR="008C3392">
        <w:t xml:space="preserve"> a new class of </w:t>
      </w:r>
      <w:r w:rsidR="00DC55E7">
        <w:t>entities</w:t>
      </w:r>
      <w:r w:rsidR="008C3392">
        <w:t xml:space="preserve"> that may apply for </w:t>
      </w:r>
      <w:r w:rsidR="000476E2">
        <w:t xml:space="preserve">endorsement </w:t>
      </w:r>
      <w:r w:rsidR="008C3392">
        <w:t xml:space="preserve">by the </w:t>
      </w:r>
      <w:r w:rsidR="00442E97">
        <w:t>Commissioner of Taxation (the Commissioner)</w:t>
      </w:r>
      <w:r w:rsidR="009B6632">
        <w:t xml:space="preserve"> under Division 426 in Schedule 1 to the</w:t>
      </w:r>
      <w:r w:rsidR="004A7C07">
        <w:t xml:space="preserve"> Act.</w:t>
      </w:r>
      <w:r w:rsidR="00BE2273">
        <w:t xml:space="preserve"> </w:t>
      </w:r>
      <w:r w:rsidR="00EB1137">
        <w:t xml:space="preserve">The class consists of community charity trusts and community </w:t>
      </w:r>
      <w:r w:rsidR="00EB1137">
        <w:lastRenderedPageBreak/>
        <w:t xml:space="preserve">charity corporations. </w:t>
      </w:r>
      <w:r w:rsidR="007F5E82">
        <w:t>The</w:t>
      </w:r>
      <w:r w:rsidR="00065563">
        <w:t xml:space="preserve">se two </w:t>
      </w:r>
      <w:r w:rsidR="00722D8E">
        <w:t>kinds of</w:t>
      </w:r>
      <w:r w:rsidR="007F5E82">
        <w:t xml:space="preserve"> </w:t>
      </w:r>
      <w:r w:rsidR="005F5229">
        <w:t xml:space="preserve">community </w:t>
      </w:r>
      <w:r w:rsidR="007F5E82">
        <w:t>charities are specified in two new items in Division 30 of the</w:t>
      </w:r>
      <w:r w:rsidR="002208AF">
        <w:t xml:space="preserve"> ITAA</w:t>
      </w:r>
      <w:r w:rsidR="00B269DE">
        <w:t xml:space="preserve"> 1997</w:t>
      </w:r>
      <w:r w:rsidR="00722D8E">
        <w:t xml:space="preserve"> and</w:t>
      </w:r>
      <w:r w:rsidR="00393205">
        <w:t xml:space="preserve"> defined in </w:t>
      </w:r>
      <w:r w:rsidR="00B0371D">
        <w:t>Division</w:t>
      </w:r>
      <w:r w:rsidR="00B269DE">
        <w:t> </w:t>
      </w:r>
      <w:r w:rsidR="00B0371D">
        <w:t xml:space="preserve">426 in Schedule 1 to </w:t>
      </w:r>
      <w:r w:rsidR="00B0371D" w:rsidRPr="00A31344">
        <w:t>the</w:t>
      </w:r>
      <w:r w:rsidR="00E06D41">
        <w:t xml:space="preserve"> Act</w:t>
      </w:r>
      <w:r w:rsidR="00722D8E">
        <w:t xml:space="preserve">. Individual </w:t>
      </w:r>
      <w:r w:rsidR="00011037">
        <w:t xml:space="preserve">community charity trusts and community charity corporations </w:t>
      </w:r>
      <w:r w:rsidR="00990F30">
        <w:t>will</w:t>
      </w:r>
      <w:r w:rsidR="009C08F7">
        <w:t xml:space="preserve"> be specified by name in a </w:t>
      </w:r>
      <w:r w:rsidR="00EF05D5">
        <w:t>M</w:t>
      </w:r>
      <w:r w:rsidR="009C08F7">
        <w:t xml:space="preserve">inisterial declaration made under that Division. </w:t>
      </w:r>
    </w:p>
    <w:p w14:paraId="7E521987" w14:textId="651D327D" w:rsidR="005C0F65" w:rsidRPr="005B75E5" w:rsidRDefault="005C0F65" w:rsidP="005C0F65">
      <w:pPr>
        <w:spacing w:before="240"/>
      </w:pPr>
      <w:r w:rsidDel="00D14AD4">
        <w:t>Part 1 of Schedule 3 to the Amending Act included the class of community charities in Subdivision 30-B of the ITAA</w:t>
      </w:r>
      <w:r w:rsidR="00B269DE" w:rsidDel="00D14AD4">
        <w:t xml:space="preserve"> 1997</w:t>
      </w:r>
      <w:r w:rsidDel="00D14AD4">
        <w:t>.</w:t>
      </w:r>
      <w:r w:rsidR="230A8FA5">
        <w:t xml:space="preserve"> </w:t>
      </w:r>
      <w:r>
        <w:t>The new class listing applies only to community charit</w:t>
      </w:r>
      <w:r w:rsidR="13DFA1FA">
        <w:t>y trusts</w:t>
      </w:r>
      <w:r>
        <w:t xml:space="preserve"> that meet certain conditions relating to entity purposes, registration under the </w:t>
      </w:r>
      <w:r w:rsidRPr="009C0265">
        <w:rPr>
          <w:i/>
          <w:iCs/>
        </w:rPr>
        <w:t>Australian Charities and Not-for-profits Commission Act 2012</w:t>
      </w:r>
      <w:r>
        <w:t>, financial obligations set out in entity governing rules, and compliance with the guidelines.</w:t>
      </w:r>
      <w:r w:rsidR="00F02DD8">
        <w:t xml:space="preserve"> </w:t>
      </w:r>
      <w:r>
        <w:t xml:space="preserve">Part 2 of Schedule 3 to the </w:t>
      </w:r>
      <w:r w:rsidR="00E27BA5">
        <w:t xml:space="preserve">amending </w:t>
      </w:r>
      <w:r>
        <w:t xml:space="preserve">Act also created a new Subdivision in Schedule 1 to the </w:t>
      </w:r>
      <w:r w:rsidR="006245F4">
        <w:t>Act</w:t>
      </w:r>
      <w:r>
        <w:t xml:space="preserve"> in </w:t>
      </w:r>
      <w:r w:rsidRPr="005B75E5">
        <w:t>order to achieve the same result in relation to community charity corporations.</w:t>
      </w:r>
    </w:p>
    <w:p w14:paraId="65E6EA5E" w14:textId="2C26C984" w:rsidR="001876C6" w:rsidRPr="005B75E5" w:rsidRDefault="00C96773" w:rsidP="004A27A8">
      <w:pPr>
        <w:spacing w:before="240"/>
      </w:pPr>
      <w:r w:rsidRPr="005B75E5">
        <w:t xml:space="preserve">Schedule 3 </w:t>
      </w:r>
      <w:r w:rsidR="001F38B0">
        <w:t xml:space="preserve">to </w:t>
      </w:r>
      <w:r w:rsidRPr="005B75E5">
        <w:t>the</w:t>
      </w:r>
      <w:r w:rsidR="001876C6" w:rsidRPr="005B75E5">
        <w:t xml:space="preserve"> </w:t>
      </w:r>
      <w:r w:rsidR="001D6819" w:rsidRPr="005B75E5">
        <w:t>a</w:t>
      </w:r>
      <w:r w:rsidR="001876C6" w:rsidRPr="005B75E5">
        <w:t xml:space="preserve">mending Act commenced on </w:t>
      </w:r>
      <w:r w:rsidR="00702671" w:rsidRPr="005B75E5">
        <w:t>29 June 2024.</w:t>
      </w:r>
    </w:p>
    <w:p w14:paraId="1DF1EFD9" w14:textId="56F8240E" w:rsidR="002A5B68" w:rsidRPr="005B75E5" w:rsidRDefault="00BD2473" w:rsidP="004A27A8">
      <w:pPr>
        <w:spacing w:before="240"/>
      </w:pPr>
      <w:r w:rsidRPr="005B75E5">
        <w:t>The guidelines are mandatory</w:t>
      </w:r>
      <w:r w:rsidR="00F81EC4" w:rsidRPr="005B75E5">
        <w:t>. Th</w:t>
      </w:r>
      <w:r w:rsidR="00A62BAC">
        <w:t>is is appropriate in view of th</w:t>
      </w:r>
      <w:r w:rsidR="00F81EC4" w:rsidRPr="005B75E5">
        <w:t xml:space="preserve">e activity profile of the entities </w:t>
      </w:r>
      <w:r w:rsidR="00A62BAC">
        <w:t xml:space="preserve">belonging to </w:t>
      </w:r>
      <w:r w:rsidR="00F81EC4" w:rsidRPr="005B75E5">
        <w:t>the new class of deductible gift recipients</w:t>
      </w:r>
      <w:r w:rsidR="00E42F74" w:rsidRPr="005B75E5">
        <w:t>.</w:t>
      </w:r>
      <w:r w:rsidR="001207BC">
        <w:t xml:space="preserve"> </w:t>
      </w:r>
      <w:r w:rsidR="002A5B68" w:rsidRPr="005B75E5">
        <w:t>The guidelines are modelled</w:t>
      </w:r>
      <w:r w:rsidR="00307EAD" w:rsidRPr="005B75E5">
        <w:t xml:space="preserve"> </w:t>
      </w:r>
      <w:r w:rsidR="004F2EBB">
        <w:t>closely</w:t>
      </w:r>
      <w:r w:rsidR="004F2EBB" w:rsidRPr="005B75E5">
        <w:t xml:space="preserve"> </w:t>
      </w:r>
      <w:r w:rsidR="002A5B68" w:rsidRPr="005B75E5">
        <w:t xml:space="preserve">on the existing </w:t>
      </w:r>
      <w:r w:rsidR="00383CFD" w:rsidRPr="005B75E5">
        <w:t>guidelines</w:t>
      </w:r>
      <w:r w:rsidR="002A5B68" w:rsidRPr="005B75E5">
        <w:t xml:space="preserve"> governing ancillary funds</w:t>
      </w:r>
      <w:r w:rsidR="001207BC">
        <w:t>.</w:t>
      </w:r>
    </w:p>
    <w:p w14:paraId="098765AD" w14:textId="318A5F83" w:rsidR="009A43F6" w:rsidRPr="005B75E5" w:rsidRDefault="009A43F6" w:rsidP="009A43F6">
      <w:pPr>
        <w:spacing w:before="240"/>
      </w:pPr>
      <w:r w:rsidRPr="005B75E5">
        <w:t xml:space="preserve">The Act does not specify any conditions that need to be met before the power to make the </w:t>
      </w:r>
      <w:r w:rsidR="00D620A1" w:rsidRPr="005B75E5">
        <w:t>g</w:t>
      </w:r>
      <w:r w:rsidRPr="005B75E5">
        <w:t>uidelines may be exercised.</w:t>
      </w:r>
    </w:p>
    <w:p w14:paraId="2A546568" w14:textId="0AB93D16" w:rsidR="009A43F6" w:rsidRPr="005B75E5" w:rsidRDefault="009A43F6" w:rsidP="009A43F6">
      <w:pPr>
        <w:spacing w:before="240"/>
      </w:pPr>
      <w:r w:rsidRPr="005B75E5">
        <w:t xml:space="preserve">The </w:t>
      </w:r>
      <w:r w:rsidR="00D620A1" w:rsidRPr="005B75E5">
        <w:t>g</w:t>
      </w:r>
      <w:r w:rsidRPr="005B75E5">
        <w:t xml:space="preserve">uidelines are a legislative instrument for the purposes of the </w:t>
      </w:r>
      <w:r w:rsidRPr="005B75E5">
        <w:rPr>
          <w:i/>
          <w:iCs/>
        </w:rPr>
        <w:t>Legislation Act 20</w:t>
      </w:r>
      <w:r w:rsidR="006F4F21">
        <w:rPr>
          <w:i/>
          <w:iCs/>
        </w:rPr>
        <w:t>0</w:t>
      </w:r>
      <w:r w:rsidRPr="005B75E5">
        <w:rPr>
          <w:i/>
          <w:iCs/>
        </w:rPr>
        <w:t>3</w:t>
      </w:r>
      <w:r w:rsidRPr="005B75E5">
        <w:t>.</w:t>
      </w:r>
    </w:p>
    <w:p w14:paraId="4722E596" w14:textId="409E4688" w:rsidR="009D1F21" w:rsidRPr="005B75E5" w:rsidRDefault="009D1F21" w:rsidP="009A43F6">
      <w:pPr>
        <w:spacing w:before="240"/>
      </w:pPr>
      <w:r w:rsidRPr="005B75E5">
        <w:t xml:space="preserve">The </w:t>
      </w:r>
      <w:r w:rsidR="00D620A1" w:rsidRPr="005B75E5">
        <w:t>g</w:t>
      </w:r>
      <w:r w:rsidRPr="005B75E5">
        <w:t>uidelines are subject to disallowance.</w:t>
      </w:r>
    </w:p>
    <w:p w14:paraId="6247F436" w14:textId="357600B5" w:rsidR="007F71ED" w:rsidRPr="005B75E5" w:rsidRDefault="007F71ED" w:rsidP="009A43F6">
      <w:pPr>
        <w:spacing w:before="240"/>
      </w:pPr>
      <w:r w:rsidRPr="005B75E5">
        <w:t xml:space="preserve">The </w:t>
      </w:r>
      <w:r w:rsidR="00D620A1" w:rsidRPr="005B75E5">
        <w:t>g</w:t>
      </w:r>
      <w:r w:rsidRPr="005B75E5">
        <w:t>uidelines are subject to sunsetting.</w:t>
      </w:r>
    </w:p>
    <w:p w14:paraId="2FA5EDF8" w14:textId="277A4655" w:rsidR="0011527C" w:rsidRPr="005B75E5" w:rsidRDefault="0011527C" w:rsidP="004A27A8">
      <w:pPr>
        <w:spacing w:before="240"/>
      </w:pPr>
      <w:r w:rsidRPr="005B75E5">
        <w:t xml:space="preserve">Details of the </w:t>
      </w:r>
      <w:r w:rsidR="00D620A1" w:rsidRPr="005B75E5">
        <w:t>guidelines</w:t>
      </w:r>
      <w:r w:rsidRPr="005B75E5">
        <w:t xml:space="preserve"> are set out in </w:t>
      </w:r>
      <w:r w:rsidRPr="005B75E5">
        <w:rPr>
          <w:u w:val="single"/>
        </w:rPr>
        <w:t xml:space="preserve">Attachment </w:t>
      </w:r>
      <w:r w:rsidR="009A43F6" w:rsidRPr="005B75E5">
        <w:rPr>
          <w:u w:val="single"/>
        </w:rPr>
        <w:t>A</w:t>
      </w:r>
      <w:r w:rsidRPr="005B75E5">
        <w:t xml:space="preserve">. </w:t>
      </w:r>
    </w:p>
    <w:p w14:paraId="72C81828" w14:textId="634EDA4D" w:rsidR="0000628C" w:rsidRPr="005B75E5" w:rsidRDefault="0011527C" w:rsidP="004A27A8">
      <w:pPr>
        <w:spacing w:before="240"/>
      </w:pPr>
      <w:r w:rsidRPr="005B75E5">
        <w:t xml:space="preserve">The Office of Impact Analysis </w:t>
      </w:r>
      <w:r w:rsidR="00F16D67" w:rsidRPr="005B75E5">
        <w:t xml:space="preserve">(OIA) </w:t>
      </w:r>
      <w:r w:rsidR="00F16D67">
        <w:t xml:space="preserve">was </w:t>
      </w:r>
      <w:r w:rsidRPr="005B75E5">
        <w:t xml:space="preserve">consulted (OIA </w:t>
      </w:r>
      <w:r w:rsidR="00AE460D" w:rsidRPr="005B75E5">
        <w:t xml:space="preserve">ref: </w:t>
      </w:r>
      <w:sdt>
        <w:sdtPr>
          <w:id w:val="-2093919849"/>
          <w:placeholder>
            <w:docPart w:val="EEDF0D64199D41A4BFCEF138F35370D4"/>
          </w:placeholder>
        </w:sdtPr>
        <w:sdtEndPr/>
        <w:sdtContent>
          <w:r w:rsidR="00D126DE">
            <w:t>OIA23</w:t>
          </w:r>
          <w:r w:rsidR="00D126DE">
            <w:noBreakHyphen/>
            <w:t>04904</w:t>
          </w:r>
        </w:sdtContent>
      </w:sdt>
      <w:r w:rsidRPr="005B75E5">
        <w:t>) and agreed that</w:t>
      </w:r>
      <w:r w:rsidR="00EA3ABF" w:rsidRPr="005B75E5">
        <w:t xml:space="preserve"> an Impact Analysis was not required</w:t>
      </w:r>
      <w:r w:rsidRPr="005B75E5">
        <w:t xml:space="preserve">. </w:t>
      </w:r>
    </w:p>
    <w:p w14:paraId="2F160882" w14:textId="7CE569CB" w:rsidR="00EA4DD8" w:rsidRPr="005B75E5" w:rsidRDefault="00EA4DD8" w:rsidP="004A27A8">
      <w:pPr>
        <w:pageBreakBefore/>
        <w:spacing w:before="240"/>
        <w:jc w:val="right"/>
        <w:rPr>
          <w:b/>
          <w:u w:val="single"/>
        </w:rPr>
      </w:pPr>
      <w:r w:rsidRPr="005B75E5">
        <w:rPr>
          <w:b/>
          <w:u w:val="single"/>
        </w:rPr>
        <w:lastRenderedPageBreak/>
        <w:t xml:space="preserve">ATTACHMENT </w:t>
      </w:r>
      <w:r w:rsidR="007A2A4A" w:rsidRPr="005B75E5">
        <w:rPr>
          <w:b/>
          <w:u w:val="single"/>
        </w:rPr>
        <w:t>A</w:t>
      </w:r>
    </w:p>
    <w:p w14:paraId="7B512100" w14:textId="20A34903" w:rsidR="00EA4DD8" w:rsidRPr="005B75E5" w:rsidRDefault="00EA4DD8" w:rsidP="004A27A8">
      <w:pPr>
        <w:spacing w:before="240"/>
        <w:rPr>
          <w:b/>
          <w:bCs/>
          <w:sz w:val="26"/>
          <w:szCs w:val="26"/>
          <w:u w:val="single"/>
        </w:rPr>
      </w:pPr>
      <w:r w:rsidRPr="005B75E5">
        <w:rPr>
          <w:b/>
          <w:bCs/>
          <w:sz w:val="26"/>
          <w:szCs w:val="26"/>
          <w:u w:val="single"/>
        </w:rPr>
        <w:t xml:space="preserve">Details of the </w:t>
      </w:r>
      <w:r w:rsidR="007A2A4A" w:rsidRPr="005B75E5">
        <w:rPr>
          <w:b/>
          <w:i/>
          <w:sz w:val="26"/>
          <w:szCs w:val="26"/>
          <w:u w:val="single"/>
        </w:rPr>
        <w:t>Taxation Administration (Community Charity) Guidelines 2024</w:t>
      </w:r>
      <w:r w:rsidRPr="005B75E5">
        <w:rPr>
          <w:b/>
          <w:bCs/>
          <w:sz w:val="26"/>
          <w:szCs w:val="26"/>
          <w:u w:val="single"/>
        </w:rPr>
        <w:t xml:space="preserve"> </w:t>
      </w:r>
    </w:p>
    <w:p w14:paraId="04C2C083" w14:textId="5E8C6B79" w:rsidR="0075583B" w:rsidRPr="005B75E5" w:rsidRDefault="0075583B" w:rsidP="0075583B">
      <w:pPr>
        <w:spacing w:before="240"/>
        <w:rPr>
          <w:b/>
          <w:bCs/>
          <w:szCs w:val="24"/>
          <w:u w:val="single"/>
        </w:rPr>
      </w:pPr>
      <w:r w:rsidRPr="005B75E5">
        <w:rPr>
          <w:b/>
          <w:bCs/>
          <w:u w:val="single"/>
        </w:rPr>
        <w:t>Part 1</w:t>
      </w:r>
      <w:r w:rsidR="00912C0C" w:rsidRPr="005B75E5">
        <w:rPr>
          <w:b/>
          <w:bCs/>
          <w:u w:val="single"/>
        </w:rPr>
        <w:t>—P</w:t>
      </w:r>
      <w:r w:rsidRPr="005B75E5">
        <w:rPr>
          <w:b/>
          <w:bCs/>
          <w:u w:val="single"/>
        </w:rPr>
        <w:t>reliminary</w:t>
      </w:r>
    </w:p>
    <w:p w14:paraId="726BF046" w14:textId="637F2D3C" w:rsidR="00EA4DD8" w:rsidRPr="005B75E5" w:rsidRDefault="00EA4DD8" w:rsidP="004A27A8">
      <w:pPr>
        <w:spacing w:before="240"/>
        <w:rPr>
          <w:rFonts w:ascii="Calibri" w:hAnsi="Calibri"/>
          <w:sz w:val="22"/>
          <w:szCs w:val="22"/>
          <w:u w:val="single"/>
          <w:lang w:eastAsia="en-US"/>
        </w:rPr>
      </w:pPr>
      <w:r w:rsidRPr="005B75E5">
        <w:rPr>
          <w:u w:val="single"/>
        </w:rPr>
        <w:t>Section 1</w:t>
      </w:r>
      <w:r w:rsidR="0066376F" w:rsidRPr="005B75E5">
        <w:rPr>
          <w:u w:val="single"/>
        </w:rPr>
        <w:t>—</w:t>
      </w:r>
      <w:r w:rsidRPr="005B75E5">
        <w:rPr>
          <w:u w:val="single"/>
        </w:rPr>
        <w:t xml:space="preserve">Name </w:t>
      </w:r>
      <w:r w:rsidR="00532488" w:rsidRPr="005B75E5">
        <w:rPr>
          <w:u w:val="single"/>
        </w:rPr>
        <w:t>of instrument</w:t>
      </w:r>
    </w:p>
    <w:p w14:paraId="31EDABFC" w14:textId="3E8C36D6" w:rsidR="00EA4DD8" w:rsidRPr="005B75E5" w:rsidRDefault="00EA4DD8" w:rsidP="004A27A8">
      <w:pPr>
        <w:spacing w:before="240"/>
      </w:pPr>
      <w:r w:rsidRPr="005B75E5">
        <w:t xml:space="preserve">This section provides that the name of the </w:t>
      </w:r>
      <w:r w:rsidR="00532488" w:rsidRPr="005B75E5">
        <w:t>instrument</w:t>
      </w:r>
      <w:r w:rsidRPr="005B75E5">
        <w:t xml:space="preserve"> is the </w:t>
      </w:r>
      <w:r w:rsidR="00D366F9" w:rsidRPr="005B75E5">
        <w:rPr>
          <w:i/>
        </w:rPr>
        <w:t>Taxation Administration (Community Charity) Guidelines 2024</w:t>
      </w:r>
      <w:r w:rsidRPr="005B75E5">
        <w:t xml:space="preserve"> (the </w:t>
      </w:r>
      <w:r w:rsidR="00D620A1" w:rsidRPr="00526EB0">
        <w:t>g</w:t>
      </w:r>
      <w:r w:rsidR="00532488" w:rsidRPr="00526EB0">
        <w:t>uidelines</w:t>
      </w:r>
      <w:r w:rsidRPr="005B75E5">
        <w:t>).</w:t>
      </w:r>
    </w:p>
    <w:p w14:paraId="05EBB473" w14:textId="3CCDB765" w:rsidR="00EA4DD8" w:rsidRPr="005B75E5" w:rsidRDefault="00EA4DD8" w:rsidP="004A27A8">
      <w:pPr>
        <w:spacing w:before="240"/>
        <w:rPr>
          <w:u w:val="single"/>
        </w:rPr>
      </w:pPr>
      <w:r w:rsidRPr="005B75E5">
        <w:rPr>
          <w:u w:val="single"/>
        </w:rPr>
        <w:t>Section 2</w:t>
      </w:r>
      <w:r w:rsidR="0066376F" w:rsidRPr="005B75E5">
        <w:rPr>
          <w:u w:val="single"/>
        </w:rPr>
        <w:t>—</w:t>
      </w:r>
      <w:r w:rsidRPr="005B75E5">
        <w:rPr>
          <w:u w:val="single"/>
        </w:rPr>
        <w:t>Commencement</w:t>
      </w:r>
    </w:p>
    <w:p w14:paraId="3E764158" w14:textId="59F2BB36" w:rsidR="00EA4DD8" w:rsidRPr="005B75E5" w:rsidRDefault="00D13A56" w:rsidP="004A27A8">
      <w:pPr>
        <w:spacing w:before="240"/>
      </w:pPr>
      <w:r w:rsidRPr="005B75E5">
        <w:t xml:space="preserve">This section provides that </w:t>
      </w:r>
      <w:r>
        <w:t>t</w:t>
      </w:r>
      <w:r w:rsidR="004E0943" w:rsidRPr="005B75E5">
        <w:t xml:space="preserve">he </w:t>
      </w:r>
      <w:r w:rsidR="00D620A1" w:rsidRPr="005B75E5">
        <w:t>g</w:t>
      </w:r>
      <w:r w:rsidR="004E0943" w:rsidRPr="005B75E5">
        <w:t>uidelines</w:t>
      </w:r>
      <w:r w:rsidR="00EA4DD8" w:rsidRPr="005B75E5">
        <w:t xml:space="preserve"> commence on the day after </w:t>
      </w:r>
      <w:r w:rsidR="00181A4A" w:rsidRPr="005B75E5">
        <w:t>registration</w:t>
      </w:r>
      <w:r w:rsidR="00EA4DD8" w:rsidRPr="005B75E5">
        <w:t xml:space="preserve"> on the Federal Register of Legislation.</w:t>
      </w:r>
      <w:r w:rsidR="005858FB" w:rsidRPr="005B75E5">
        <w:t xml:space="preserve"> </w:t>
      </w:r>
    </w:p>
    <w:p w14:paraId="59B5B531" w14:textId="7C75CE12" w:rsidR="00EA4DD8" w:rsidRPr="005B75E5" w:rsidRDefault="00EA4DD8" w:rsidP="004A27A8">
      <w:pPr>
        <w:spacing w:before="240"/>
        <w:rPr>
          <w:u w:val="single"/>
        </w:rPr>
      </w:pPr>
      <w:r w:rsidRPr="005B75E5">
        <w:rPr>
          <w:u w:val="single"/>
        </w:rPr>
        <w:t>Section 3</w:t>
      </w:r>
      <w:r w:rsidR="0066376F" w:rsidRPr="005B75E5">
        <w:rPr>
          <w:u w:val="single"/>
        </w:rPr>
        <w:t>—</w:t>
      </w:r>
      <w:r w:rsidRPr="005B75E5">
        <w:rPr>
          <w:u w:val="single"/>
        </w:rPr>
        <w:t>Authority</w:t>
      </w:r>
    </w:p>
    <w:p w14:paraId="2AF50C0B" w14:textId="5004DF7B" w:rsidR="00EA4DD8" w:rsidRPr="005B75E5" w:rsidRDefault="00D13A56" w:rsidP="004A27A8">
      <w:pPr>
        <w:spacing w:before="240"/>
      </w:pPr>
      <w:r w:rsidRPr="005B75E5">
        <w:t xml:space="preserve">This section provides that </w:t>
      </w:r>
      <w:r>
        <w:t>t</w:t>
      </w:r>
      <w:r w:rsidR="00EA4DD8" w:rsidRPr="005B75E5">
        <w:t xml:space="preserve">he </w:t>
      </w:r>
      <w:r w:rsidR="00D620A1" w:rsidRPr="005B75E5">
        <w:t>g</w:t>
      </w:r>
      <w:r w:rsidR="00646979" w:rsidRPr="005B75E5">
        <w:t>uidelines</w:t>
      </w:r>
      <w:r w:rsidR="00EA4DD8" w:rsidRPr="005B75E5">
        <w:t xml:space="preserve"> are made under the </w:t>
      </w:r>
      <w:r w:rsidR="00646979" w:rsidRPr="005B75E5">
        <w:rPr>
          <w:i/>
        </w:rPr>
        <w:t>Taxation Administration Act 1953</w:t>
      </w:r>
      <w:r w:rsidR="00EA4DD8" w:rsidRPr="005B75E5">
        <w:t xml:space="preserve"> (the </w:t>
      </w:r>
      <w:r w:rsidR="00EA4DD8" w:rsidRPr="005B75E5">
        <w:rPr>
          <w:i/>
          <w:iCs/>
        </w:rPr>
        <w:t>Act</w:t>
      </w:r>
      <w:r w:rsidR="00EA4DD8" w:rsidRPr="005B75E5">
        <w:t>).</w:t>
      </w:r>
    </w:p>
    <w:p w14:paraId="15DBC369" w14:textId="6CDD3F46" w:rsidR="00EA4DD8" w:rsidRPr="005B75E5" w:rsidRDefault="00EA4DD8" w:rsidP="004A27A8">
      <w:pPr>
        <w:spacing w:before="240"/>
        <w:rPr>
          <w:u w:val="single"/>
        </w:rPr>
      </w:pPr>
      <w:r w:rsidRPr="005B75E5">
        <w:rPr>
          <w:u w:val="single"/>
        </w:rPr>
        <w:t>Section</w:t>
      </w:r>
      <w:r w:rsidR="001068B8" w:rsidRPr="005B75E5">
        <w:rPr>
          <w:u w:val="single"/>
        </w:rPr>
        <w:t>s</w:t>
      </w:r>
      <w:r w:rsidRPr="005B75E5">
        <w:rPr>
          <w:u w:val="single"/>
        </w:rPr>
        <w:t xml:space="preserve"> 4 </w:t>
      </w:r>
      <w:r w:rsidR="001068B8" w:rsidRPr="005B75E5">
        <w:rPr>
          <w:u w:val="single"/>
        </w:rPr>
        <w:t xml:space="preserve">and </w:t>
      </w:r>
      <w:r w:rsidR="00A161EC" w:rsidRPr="005B75E5">
        <w:rPr>
          <w:u w:val="single"/>
        </w:rPr>
        <w:t>5—I</w:t>
      </w:r>
      <w:r w:rsidR="00D32667" w:rsidRPr="005B75E5">
        <w:rPr>
          <w:u w:val="single"/>
        </w:rPr>
        <w:t>nterpretation</w:t>
      </w:r>
      <w:r w:rsidR="00A161EC" w:rsidRPr="005B75E5">
        <w:rPr>
          <w:u w:val="single"/>
        </w:rPr>
        <w:t xml:space="preserve"> and definitions</w:t>
      </w:r>
    </w:p>
    <w:p w14:paraId="03A04E4E" w14:textId="5593B16B" w:rsidR="006F4B5A" w:rsidRPr="005B75E5" w:rsidRDefault="00FA49E1" w:rsidP="00466DD5">
      <w:pPr>
        <w:spacing w:before="240" w:after="200"/>
      </w:pPr>
      <w:r w:rsidRPr="005B75E5">
        <w:t xml:space="preserve">Expressions </w:t>
      </w:r>
      <w:r w:rsidR="00D13A56">
        <w:t>used</w:t>
      </w:r>
      <w:r w:rsidR="00B57C32">
        <w:t xml:space="preserve"> </w:t>
      </w:r>
      <w:r w:rsidR="00B57C32" w:rsidRPr="005B75E5">
        <w:t>in the guidelines</w:t>
      </w:r>
      <w:r w:rsidR="00D13A56">
        <w:t xml:space="preserve"> </w:t>
      </w:r>
      <w:r w:rsidRPr="005B75E5">
        <w:t>have the same meaning as in</w:t>
      </w:r>
      <w:r w:rsidR="007B5C58" w:rsidRPr="005B75E5">
        <w:t xml:space="preserve"> Schedule 1</w:t>
      </w:r>
      <w:r w:rsidR="00B13352" w:rsidRPr="005B75E5">
        <w:t xml:space="preserve"> to the Act</w:t>
      </w:r>
      <w:r w:rsidR="0061419E" w:rsidRPr="005B75E5">
        <w:t>, and</w:t>
      </w:r>
      <w:r w:rsidR="00B57C32">
        <w:t>,</w:t>
      </w:r>
      <w:r w:rsidR="0061419E" w:rsidRPr="005B75E5">
        <w:t xml:space="preserve"> b</w:t>
      </w:r>
      <w:r w:rsidR="00B57C32">
        <w:t xml:space="preserve">y </w:t>
      </w:r>
      <w:r w:rsidR="0061419E" w:rsidRPr="005B75E5">
        <w:t>operation of section 3AA of the Act</w:t>
      </w:r>
      <w:r w:rsidR="004C2048">
        <w:t>,</w:t>
      </w:r>
      <w:r w:rsidR="0061419E" w:rsidRPr="005B75E5">
        <w:t xml:space="preserve"> have the same meaning</w:t>
      </w:r>
      <w:r w:rsidR="00D43915" w:rsidRPr="005B75E5">
        <w:t xml:space="preserve"> as in</w:t>
      </w:r>
      <w:r w:rsidRPr="005B75E5">
        <w:t xml:space="preserve"> the </w:t>
      </w:r>
      <w:r w:rsidR="00B34CA1" w:rsidRPr="005B75E5">
        <w:t>ITAA 1997.</w:t>
      </w:r>
    </w:p>
    <w:p w14:paraId="2AE45C93" w14:textId="6FA86DE7" w:rsidR="00EA4DD8" w:rsidRPr="005B75E5" w:rsidRDefault="00A161EC" w:rsidP="00466DD5">
      <w:pPr>
        <w:spacing w:before="240" w:after="200"/>
      </w:pPr>
      <w:r w:rsidRPr="005B75E5">
        <w:t>Section 5</w:t>
      </w:r>
      <w:r w:rsidR="00EA4DD8" w:rsidRPr="005B75E5">
        <w:t xml:space="preserve"> </w:t>
      </w:r>
      <w:r w:rsidR="00D32667" w:rsidRPr="005B75E5">
        <w:t>sets out definitions</w:t>
      </w:r>
      <w:r w:rsidR="005706E1" w:rsidRPr="005B75E5">
        <w:t xml:space="preserve"> of key terms</w:t>
      </w:r>
      <w:r w:rsidR="00D32667" w:rsidRPr="005B75E5">
        <w:t xml:space="preserve"> used in the </w:t>
      </w:r>
      <w:r w:rsidR="00D620A1" w:rsidRPr="005B75E5">
        <w:t>g</w:t>
      </w:r>
      <w:r w:rsidR="00D32667" w:rsidRPr="005B75E5">
        <w:t>uidelines.</w:t>
      </w:r>
    </w:p>
    <w:p w14:paraId="1ECDAA2D" w14:textId="1B87571E" w:rsidR="00FF27DB" w:rsidRPr="005B75E5" w:rsidRDefault="00FF27DB" w:rsidP="00466DD5">
      <w:pPr>
        <w:spacing w:before="240" w:after="200"/>
      </w:pPr>
      <w:r w:rsidRPr="005B75E5">
        <w:t>Importantly:</w:t>
      </w:r>
    </w:p>
    <w:p w14:paraId="51E1EA74" w14:textId="78C24F8A" w:rsidR="007A749E" w:rsidRPr="005B75E5" w:rsidRDefault="007A749E" w:rsidP="00075797">
      <w:pPr>
        <w:pStyle w:val="Bullet"/>
        <w:spacing w:before="120"/>
      </w:pPr>
      <w:r w:rsidRPr="005B75E5">
        <w:t>‘</w:t>
      </w:r>
      <w:proofErr w:type="gramStart"/>
      <w:r w:rsidRPr="005B75E5">
        <w:t>community</w:t>
      </w:r>
      <w:proofErr w:type="gramEnd"/>
      <w:r w:rsidRPr="005B75E5">
        <w:t xml:space="preserve"> charity’ </w:t>
      </w:r>
      <w:r w:rsidR="00E40B1A" w:rsidRPr="005B75E5">
        <w:t>is defined to mean</w:t>
      </w:r>
      <w:r w:rsidR="006E39F2" w:rsidRPr="005B75E5">
        <w:t xml:space="preserve"> a community charity trust or a community charity corporation</w:t>
      </w:r>
      <w:r w:rsidR="00B60FC2" w:rsidRPr="005B75E5">
        <w:t>;</w:t>
      </w:r>
    </w:p>
    <w:p w14:paraId="1E2A20D6" w14:textId="3F06DF3C" w:rsidR="007E41AB" w:rsidRPr="005B75E5" w:rsidRDefault="007A749E" w:rsidP="00075797">
      <w:pPr>
        <w:pStyle w:val="Bullet"/>
        <w:spacing w:before="120"/>
      </w:pPr>
      <w:r w:rsidRPr="005B75E5">
        <w:t>t</w:t>
      </w:r>
      <w:r w:rsidR="00604C0A" w:rsidRPr="005B75E5">
        <w:t>he definitions of ‘director’ of a community charity corporation and ‘trustee’ of a community charity trust</w:t>
      </w:r>
      <w:r w:rsidR="006810F5" w:rsidRPr="005B75E5">
        <w:t xml:space="preserve"> provide </w:t>
      </w:r>
      <w:r w:rsidR="00E67270" w:rsidRPr="005B75E5">
        <w:t xml:space="preserve">that where there are 2 or more </w:t>
      </w:r>
      <w:r w:rsidR="00E60E40" w:rsidRPr="005B75E5">
        <w:t xml:space="preserve">such </w:t>
      </w:r>
      <w:r w:rsidR="00E67270" w:rsidRPr="005B75E5">
        <w:t>directors or trustees</w:t>
      </w:r>
      <w:r w:rsidR="00E60E40" w:rsidRPr="005B75E5">
        <w:t xml:space="preserve">, </w:t>
      </w:r>
      <w:r w:rsidR="006810F5" w:rsidRPr="005B75E5">
        <w:t>the terms include</w:t>
      </w:r>
      <w:r w:rsidR="00192DCF" w:rsidRPr="005B75E5">
        <w:t xml:space="preserve"> all or any of the directors or trustees</w:t>
      </w:r>
      <w:r w:rsidR="004E5879" w:rsidRPr="005B75E5">
        <w:t xml:space="preserve"> jointly, or any of them severally, as the case </w:t>
      </w:r>
      <w:proofErr w:type="gramStart"/>
      <w:r w:rsidR="004E5879" w:rsidRPr="005B75E5">
        <w:t>requires</w:t>
      </w:r>
      <w:r w:rsidR="00F0608D">
        <w:t>;</w:t>
      </w:r>
      <w:proofErr w:type="gramEnd"/>
    </w:p>
    <w:p w14:paraId="4629A6E3" w14:textId="2C5D12E8" w:rsidR="000248F3" w:rsidRPr="005B75E5" w:rsidRDefault="007E41AB" w:rsidP="00075797">
      <w:pPr>
        <w:pStyle w:val="Bullet"/>
        <w:spacing w:before="120"/>
      </w:pPr>
      <w:r w:rsidRPr="005B75E5">
        <w:t>‘</w:t>
      </w:r>
      <w:proofErr w:type="gramStart"/>
      <w:r w:rsidRPr="005B75E5">
        <w:t>governing</w:t>
      </w:r>
      <w:proofErr w:type="gramEnd"/>
      <w:r w:rsidRPr="005B75E5">
        <w:t xml:space="preserve"> rules’ is defined to have the same meaning as in the </w:t>
      </w:r>
      <w:r w:rsidRPr="005B75E5">
        <w:rPr>
          <w:i/>
          <w:iCs/>
        </w:rPr>
        <w:t>Australian Charities and No</w:t>
      </w:r>
      <w:r w:rsidR="00A45EC8" w:rsidRPr="005B75E5">
        <w:rPr>
          <w:i/>
          <w:iCs/>
        </w:rPr>
        <w:t>t</w:t>
      </w:r>
      <w:r w:rsidRPr="005B75E5">
        <w:rPr>
          <w:i/>
          <w:iCs/>
        </w:rPr>
        <w:t>-for-profit</w:t>
      </w:r>
      <w:r w:rsidR="00A45EC8" w:rsidRPr="005B75E5">
        <w:rPr>
          <w:i/>
          <w:iCs/>
        </w:rPr>
        <w:t>s Commission Act 2012</w:t>
      </w:r>
      <w:r w:rsidR="00A45EC8" w:rsidRPr="005B75E5">
        <w:t>.</w:t>
      </w:r>
    </w:p>
    <w:p w14:paraId="29658EB1" w14:textId="5FF44F6D" w:rsidR="0038005C" w:rsidRPr="005B75E5" w:rsidRDefault="0038005C" w:rsidP="0038005C">
      <w:pPr>
        <w:spacing w:before="240"/>
        <w:rPr>
          <w:u w:val="single"/>
        </w:rPr>
      </w:pPr>
      <w:r w:rsidRPr="005B75E5">
        <w:rPr>
          <w:u w:val="single"/>
        </w:rPr>
        <w:t xml:space="preserve">Section </w:t>
      </w:r>
      <w:r w:rsidR="00B2443E" w:rsidRPr="005B75E5">
        <w:rPr>
          <w:u w:val="single"/>
        </w:rPr>
        <w:t>6</w:t>
      </w:r>
      <w:r w:rsidR="00B4278E" w:rsidRPr="005B75E5">
        <w:rPr>
          <w:u w:val="single"/>
        </w:rPr>
        <w:t>—</w:t>
      </w:r>
      <w:r w:rsidR="00B2443E" w:rsidRPr="005B75E5">
        <w:rPr>
          <w:u w:val="single"/>
        </w:rPr>
        <w:t>Penalties</w:t>
      </w:r>
    </w:p>
    <w:p w14:paraId="65ABE3E3" w14:textId="345E6B49" w:rsidR="00EF1EF5" w:rsidRPr="005B75E5" w:rsidRDefault="00B54A4A" w:rsidP="0038005C">
      <w:pPr>
        <w:spacing w:before="240"/>
      </w:pPr>
      <w:r w:rsidRPr="005B75E5">
        <w:t xml:space="preserve">The imposition of administrative penalties for </w:t>
      </w:r>
      <w:r w:rsidR="00744ABE" w:rsidRPr="005B75E5">
        <w:t>n</w:t>
      </w:r>
      <w:r w:rsidRPr="005B75E5">
        <w:t xml:space="preserve">on-compliance with the </w:t>
      </w:r>
      <w:r w:rsidR="00D620A1" w:rsidRPr="005B75E5">
        <w:t>g</w:t>
      </w:r>
      <w:r w:rsidRPr="005B75E5">
        <w:t xml:space="preserve">uidelines is provided for in </w:t>
      </w:r>
      <w:r w:rsidR="00744ABE" w:rsidRPr="005B75E5">
        <w:t>sections 426-120 and 426-195</w:t>
      </w:r>
      <w:r w:rsidR="00D55E23" w:rsidRPr="005B75E5">
        <w:t xml:space="preserve"> </w:t>
      </w:r>
      <w:r w:rsidR="00836C27" w:rsidRPr="005B75E5">
        <w:t>in Schedule 1 to the Act. While the Act imposes the penalty</w:t>
      </w:r>
      <w:r w:rsidR="00976BE8" w:rsidRPr="005B75E5">
        <w:t>,</w:t>
      </w:r>
      <w:r w:rsidR="007D1619" w:rsidRPr="005B75E5">
        <w:t xml:space="preserve"> </w:t>
      </w:r>
      <w:r w:rsidR="6A54497E">
        <w:t xml:space="preserve">it allows the </w:t>
      </w:r>
      <w:r w:rsidR="00D620A1" w:rsidRPr="005B75E5">
        <w:t>g</w:t>
      </w:r>
      <w:r w:rsidR="00836C27" w:rsidRPr="005B75E5">
        <w:t xml:space="preserve">uidelines </w:t>
      </w:r>
      <w:r w:rsidR="00F0608D">
        <w:t xml:space="preserve">to </w:t>
      </w:r>
      <w:r w:rsidR="00836C27" w:rsidRPr="005B75E5">
        <w:t>determine the amount of the penalty</w:t>
      </w:r>
      <w:r w:rsidR="00960560" w:rsidRPr="005B75E5">
        <w:t>, or the method of working out the amount</w:t>
      </w:r>
      <w:r w:rsidR="005653EA" w:rsidRPr="005B75E5">
        <w:t xml:space="preserve"> of the penalty,</w:t>
      </w:r>
      <w:r w:rsidR="00836C27" w:rsidRPr="005B75E5">
        <w:t xml:space="preserve"> for non-compliance with </w:t>
      </w:r>
      <w:r w:rsidR="008341C4" w:rsidRPr="005B75E5">
        <w:t xml:space="preserve">a </w:t>
      </w:r>
      <w:r w:rsidR="00836C27" w:rsidRPr="005B75E5">
        <w:t xml:space="preserve">particular </w:t>
      </w:r>
      <w:r w:rsidR="007D1619" w:rsidRPr="005B75E5">
        <w:t xml:space="preserve">provision of the </w:t>
      </w:r>
      <w:r w:rsidR="00D620A1" w:rsidRPr="005B75E5">
        <w:t>g</w:t>
      </w:r>
      <w:r w:rsidR="007D1619" w:rsidRPr="005B75E5">
        <w:t>uidelines.</w:t>
      </w:r>
    </w:p>
    <w:p w14:paraId="13BA32C8" w14:textId="1DFE284C" w:rsidR="00AE36DB" w:rsidRPr="005B75E5" w:rsidRDefault="00B2443E" w:rsidP="0038005C">
      <w:pPr>
        <w:spacing w:before="240"/>
      </w:pPr>
      <w:r w:rsidRPr="005B75E5">
        <w:t>T</w:t>
      </w:r>
      <w:r w:rsidR="00A708A9" w:rsidRPr="005B75E5">
        <w:t>h</w:t>
      </w:r>
      <w:r w:rsidRPr="005B75E5">
        <w:t xml:space="preserve">is section </w:t>
      </w:r>
      <w:r w:rsidR="00985F08" w:rsidRPr="005B75E5">
        <w:t xml:space="preserve">provides that the amount of an administrative penalty imposed for a breach of the </w:t>
      </w:r>
      <w:r w:rsidR="00D620A1" w:rsidRPr="005B75E5">
        <w:t>g</w:t>
      </w:r>
      <w:r w:rsidR="00985F08" w:rsidRPr="005B75E5">
        <w:t>uidelines is set out or worked out in accordance</w:t>
      </w:r>
      <w:r w:rsidR="00A708A9" w:rsidRPr="005B75E5">
        <w:t xml:space="preserve"> with the relevant provision of the </w:t>
      </w:r>
      <w:r w:rsidR="00D620A1" w:rsidRPr="005B75E5">
        <w:t>g</w:t>
      </w:r>
      <w:r w:rsidR="00A708A9" w:rsidRPr="005B75E5">
        <w:t xml:space="preserve">uidelines </w:t>
      </w:r>
      <w:r w:rsidR="00F0608D">
        <w:t xml:space="preserve">that </w:t>
      </w:r>
      <w:r w:rsidR="00A708A9" w:rsidRPr="005B75E5">
        <w:t>has been breached.</w:t>
      </w:r>
      <w:r w:rsidR="009712AF">
        <w:t xml:space="preserve"> </w:t>
      </w:r>
      <w:r w:rsidR="00AE36DB">
        <w:t xml:space="preserve">For example, </w:t>
      </w:r>
      <w:r w:rsidR="000027F2">
        <w:t xml:space="preserve">the </w:t>
      </w:r>
      <w:r w:rsidR="006B4EDC">
        <w:t xml:space="preserve">penalty for breach of the </w:t>
      </w:r>
      <w:r w:rsidR="00654641">
        <w:t xml:space="preserve">prohibition </w:t>
      </w:r>
      <w:r w:rsidR="00654641">
        <w:lastRenderedPageBreak/>
        <w:t>agains</w:t>
      </w:r>
      <w:r w:rsidR="00BA5FDD">
        <w:t xml:space="preserve">t providing a benefit to certain persons </w:t>
      </w:r>
      <w:r w:rsidR="009B4C1C">
        <w:t>associated with the community charity is an amount equal to the amount or value of the benefit provided.</w:t>
      </w:r>
    </w:p>
    <w:p w14:paraId="2D5D8BA6" w14:textId="64F2942A" w:rsidR="004D176E" w:rsidRPr="005B75E5" w:rsidRDefault="004D176E" w:rsidP="0038005C">
      <w:pPr>
        <w:spacing w:before="240"/>
      </w:pPr>
      <w:r w:rsidRPr="005B75E5">
        <w:t xml:space="preserve">It is appropriate for the guidelines to set out penalty amounts, as this allows for them to be customised to the nature and size of the breach, as well as taking account of </w:t>
      </w:r>
      <w:r w:rsidR="004D0852" w:rsidRPr="005B75E5">
        <w:t>a trustee or director’s level of culpability. The primary law sets out an overarching narrative in the context of which detailed obligations would be out of place</w:t>
      </w:r>
      <w:r w:rsidR="00DA7B0E" w:rsidRPr="005B75E5">
        <w:t>. An additional reason for including penalty amounts in the guidelines rather than the primary legislation is that the</w:t>
      </w:r>
      <w:r w:rsidR="00B50D90" w:rsidRPr="005B75E5">
        <w:t xml:space="preserve"> guidelines may be more readily updated to respond to new factual scenarios and ensure recipients of deductible gift recipient status are being satisfactorily regulated.</w:t>
      </w:r>
    </w:p>
    <w:p w14:paraId="2779C515" w14:textId="5C1CD66A" w:rsidR="00B83B20" w:rsidRPr="005B75E5" w:rsidRDefault="001114AB" w:rsidP="0038005C">
      <w:pPr>
        <w:spacing w:before="240"/>
      </w:pPr>
      <w:r w:rsidRPr="00622ADC">
        <w:t>Proportionality criteria were considered when setting penalty amounts.</w:t>
      </w:r>
      <w:r w:rsidR="00622ADC" w:rsidRPr="00622ADC">
        <w:t xml:space="preserve"> </w:t>
      </w:r>
      <w:r w:rsidR="00B83B20" w:rsidRPr="00622ADC">
        <w:t xml:space="preserve">The </w:t>
      </w:r>
      <w:r w:rsidR="00E50458" w:rsidRPr="005B75E5">
        <w:t>rate of penalties</w:t>
      </w:r>
      <w:r w:rsidR="00785790" w:rsidRPr="005B75E5">
        <w:t xml:space="preserve"> for non-compliance is consistent with </w:t>
      </w:r>
      <w:r w:rsidR="00661A26" w:rsidRPr="005B75E5">
        <w:t>penalties</w:t>
      </w:r>
      <w:r w:rsidR="00785790" w:rsidRPr="005B75E5">
        <w:t xml:space="preserve"> applied for similar breaches in the Act. The level</w:t>
      </w:r>
      <w:r w:rsidR="009E2E78" w:rsidRPr="005B75E5">
        <w:t xml:space="preserve"> of pen</w:t>
      </w:r>
      <w:r w:rsidR="0044130B" w:rsidRPr="005B75E5">
        <w:t>a</w:t>
      </w:r>
      <w:r w:rsidR="009E2E78" w:rsidRPr="005B75E5">
        <w:t>l</w:t>
      </w:r>
      <w:r w:rsidR="00661A26" w:rsidRPr="005B75E5">
        <w:t>t</w:t>
      </w:r>
      <w:r w:rsidR="009E2E78" w:rsidRPr="005B75E5">
        <w:t>y imposed is also consistent with the principles outlined in the Attorney-General’s Department</w:t>
      </w:r>
      <w:r w:rsidR="0044130B" w:rsidRPr="005B75E5">
        <w:t xml:space="preserve">’s </w:t>
      </w:r>
      <w:r w:rsidR="0044130B" w:rsidRPr="005B75E5">
        <w:rPr>
          <w:i/>
          <w:iCs/>
        </w:rPr>
        <w:t xml:space="preserve">Guide to Framing Commonwealth Offences, Infringement Notices and </w:t>
      </w:r>
      <w:r w:rsidR="00661A26" w:rsidRPr="005B75E5">
        <w:rPr>
          <w:i/>
          <w:iCs/>
        </w:rPr>
        <w:t>Enforcement</w:t>
      </w:r>
      <w:r w:rsidR="0044130B" w:rsidRPr="005B75E5">
        <w:rPr>
          <w:i/>
          <w:iCs/>
        </w:rPr>
        <w:t xml:space="preserve"> Powers</w:t>
      </w:r>
      <w:r w:rsidR="00644603" w:rsidRPr="005B75E5">
        <w:t xml:space="preserve"> and with the principles established by the Australian Law Reform Commission </w:t>
      </w:r>
      <w:r w:rsidR="00644603" w:rsidRPr="005B75E5">
        <w:rPr>
          <w:i/>
          <w:iCs/>
        </w:rPr>
        <w:t>Report 95: Principled Regulation: Federal Civil and Administrative Penalties in Australia</w:t>
      </w:r>
      <w:r w:rsidR="00644603" w:rsidRPr="005B75E5">
        <w:t xml:space="preserve">. </w:t>
      </w:r>
    </w:p>
    <w:p w14:paraId="723305B3" w14:textId="3A5CAFA5" w:rsidR="00661A26" w:rsidRPr="005B75E5" w:rsidRDefault="004A0873" w:rsidP="0038005C">
      <w:pPr>
        <w:spacing w:before="240"/>
      </w:pPr>
      <w:r w:rsidRPr="005B75E5">
        <w:t xml:space="preserve">Penalties for non-compliance with the </w:t>
      </w:r>
      <w:r w:rsidR="009F3B96" w:rsidRPr="005B75E5">
        <w:t>g</w:t>
      </w:r>
      <w:r w:rsidRPr="005B75E5">
        <w:t>uidelines</w:t>
      </w:r>
      <w:r w:rsidR="005810DE" w:rsidRPr="005B75E5">
        <w:t xml:space="preserve"> complement other </w:t>
      </w:r>
      <w:r w:rsidR="00111C17" w:rsidRPr="005B75E5">
        <w:t>administrative</w:t>
      </w:r>
      <w:r w:rsidR="005810DE" w:rsidRPr="005B75E5">
        <w:t xml:space="preserve"> powers of the Commissioner that are contained in the Act, such as th</w:t>
      </w:r>
      <w:r w:rsidR="00F0608D">
        <w:t xml:space="preserve">e powers </w:t>
      </w:r>
      <w:r w:rsidR="005810DE" w:rsidRPr="005B75E5">
        <w:t xml:space="preserve">to suspend, remove or replace trustees of </w:t>
      </w:r>
      <w:r w:rsidR="00111C17" w:rsidRPr="005B75E5">
        <w:t xml:space="preserve">community charity trusts that intentionally disregard the </w:t>
      </w:r>
      <w:r w:rsidR="009F3B96" w:rsidRPr="005B75E5">
        <w:t>g</w:t>
      </w:r>
      <w:r w:rsidR="00111C17" w:rsidRPr="005B75E5">
        <w:t>uidelines or other relevant Australian laws</w:t>
      </w:r>
      <w:r w:rsidR="002E3663">
        <w:t>. As such, they</w:t>
      </w:r>
      <w:r w:rsidR="001932CB" w:rsidRPr="005B75E5">
        <w:t xml:space="preserve"> </w:t>
      </w:r>
      <w:r w:rsidR="00E85E51">
        <w:t xml:space="preserve">form part of an integrated enforcement regime intended to </w:t>
      </w:r>
      <w:r w:rsidR="002652A5">
        <w:t xml:space="preserve">maintain </w:t>
      </w:r>
      <w:r w:rsidR="00C72C42" w:rsidRPr="005B75E5">
        <w:t xml:space="preserve">public trust and confidence by ensuring credible and effective deterrents </w:t>
      </w:r>
      <w:r w:rsidR="0053256B" w:rsidRPr="005B75E5">
        <w:t>a</w:t>
      </w:r>
      <w:r w:rsidR="00C72C42" w:rsidRPr="005B75E5">
        <w:t>re in place.</w:t>
      </w:r>
    </w:p>
    <w:p w14:paraId="28E6652B" w14:textId="7FC53EFD" w:rsidR="00822E95" w:rsidRPr="005B75E5" w:rsidRDefault="00822E95" w:rsidP="0038005C">
      <w:pPr>
        <w:spacing w:before="240"/>
      </w:pPr>
      <w:r w:rsidRPr="005B75E5">
        <w:t>Notes to</w:t>
      </w:r>
      <w:r w:rsidR="009E71BE" w:rsidRPr="005B75E5">
        <w:t xml:space="preserve"> section 6 explain that </w:t>
      </w:r>
      <w:r w:rsidR="00260BBA" w:rsidRPr="005B75E5">
        <w:t xml:space="preserve">under the Act, </w:t>
      </w:r>
      <w:r w:rsidR="009E71BE" w:rsidRPr="005B75E5">
        <w:t>all or part of an administrative penalty may be remitted by the Commissioner</w:t>
      </w:r>
      <w:r w:rsidR="00260BBA" w:rsidRPr="005B75E5">
        <w:t xml:space="preserve">, </w:t>
      </w:r>
      <w:r w:rsidR="00A93328" w:rsidRPr="005B75E5">
        <w:t>and</w:t>
      </w:r>
      <w:r w:rsidR="00260BBA" w:rsidRPr="005B75E5">
        <w:t xml:space="preserve"> </w:t>
      </w:r>
      <w:r w:rsidR="00154E91">
        <w:t>that</w:t>
      </w:r>
      <w:r w:rsidR="00260BBA" w:rsidRPr="005B75E5">
        <w:t xml:space="preserve"> a </w:t>
      </w:r>
      <w:r w:rsidR="00E349FF" w:rsidRPr="005B75E5">
        <w:t>c</w:t>
      </w:r>
      <w:r w:rsidR="00A93328" w:rsidRPr="005B75E5">
        <w:t xml:space="preserve">ommunity </w:t>
      </w:r>
      <w:r w:rsidR="00E349FF" w:rsidRPr="005B75E5">
        <w:t>c</w:t>
      </w:r>
      <w:r w:rsidR="00A93328" w:rsidRPr="005B75E5">
        <w:t>harity cannot reimburse a</w:t>
      </w:r>
      <w:r w:rsidR="0001396B" w:rsidRPr="005B75E5">
        <w:t xml:space="preserve"> </w:t>
      </w:r>
      <w:r w:rsidR="00641F95">
        <w:t xml:space="preserve">trustee or </w:t>
      </w:r>
      <w:r w:rsidR="0042609C">
        <w:t xml:space="preserve">corporate </w:t>
      </w:r>
      <w:r w:rsidR="00641F95">
        <w:t xml:space="preserve">director of a community charity </w:t>
      </w:r>
      <w:r w:rsidR="00FA4FCA">
        <w:t xml:space="preserve">the amount of </w:t>
      </w:r>
      <w:r w:rsidR="00A93328" w:rsidRPr="005B75E5">
        <w:t>a</w:t>
      </w:r>
      <w:r w:rsidR="0001396B" w:rsidRPr="005B75E5">
        <w:t xml:space="preserve"> penalty</w:t>
      </w:r>
      <w:r w:rsidR="00260BBA" w:rsidRPr="005B75E5">
        <w:t>.</w:t>
      </w:r>
    </w:p>
    <w:p w14:paraId="562E5EAF" w14:textId="3E14BFA7" w:rsidR="0079144E" w:rsidRPr="005B75E5" w:rsidRDefault="0079144E" w:rsidP="0079144E">
      <w:pPr>
        <w:spacing w:before="240"/>
        <w:rPr>
          <w:b/>
          <w:bCs/>
          <w:szCs w:val="24"/>
          <w:u w:val="single"/>
        </w:rPr>
      </w:pPr>
      <w:r w:rsidRPr="005B75E5">
        <w:rPr>
          <w:b/>
          <w:bCs/>
          <w:u w:val="single"/>
        </w:rPr>
        <w:t>Part 2</w:t>
      </w:r>
      <w:r w:rsidR="00E10EBB" w:rsidRPr="005B75E5">
        <w:rPr>
          <w:b/>
          <w:bCs/>
          <w:u w:val="single"/>
        </w:rPr>
        <w:t xml:space="preserve">—Rules for establishing and maintaining </w:t>
      </w:r>
      <w:r w:rsidR="00EE67FF" w:rsidRPr="005B75E5">
        <w:rPr>
          <w:b/>
          <w:bCs/>
          <w:u w:val="single"/>
        </w:rPr>
        <w:t>community charities</w:t>
      </w:r>
      <w:r w:rsidR="00E10EBB" w:rsidRPr="005B75E5">
        <w:rPr>
          <w:b/>
          <w:bCs/>
          <w:u w:val="single"/>
        </w:rPr>
        <w:t xml:space="preserve"> as deductible gift recipients</w:t>
      </w:r>
    </w:p>
    <w:p w14:paraId="6C37666F" w14:textId="05CD169E" w:rsidR="0066376F" w:rsidRPr="005B75E5" w:rsidRDefault="0066376F" w:rsidP="0066376F">
      <w:pPr>
        <w:spacing w:before="240"/>
        <w:rPr>
          <w:u w:val="single"/>
        </w:rPr>
      </w:pPr>
      <w:r w:rsidRPr="005B75E5">
        <w:rPr>
          <w:u w:val="single"/>
        </w:rPr>
        <w:t xml:space="preserve">Sections </w:t>
      </w:r>
      <w:r w:rsidR="003C6415" w:rsidRPr="005B75E5">
        <w:rPr>
          <w:u w:val="single"/>
        </w:rPr>
        <w:t>7 and 8</w:t>
      </w:r>
      <w:r w:rsidRPr="005B75E5">
        <w:rPr>
          <w:u w:val="single"/>
        </w:rPr>
        <w:t>—</w:t>
      </w:r>
      <w:r w:rsidR="003C6415" w:rsidRPr="005B75E5">
        <w:rPr>
          <w:u w:val="single"/>
        </w:rPr>
        <w:t>Object and general principles</w:t>
      </w:r>
    </w:p>
    <w:p w14:paraId="09E94CA7" w14:textId="60E10DD5" w:rsidR="0079144E" w:rsidRPr="005B75E5" w:rsidRDefault="00DC7D79" w:rsidP="00E349FF">
      <w:pPr>
        <w:tabs>
          <w:tab w:val="left" w:pos="4111"/>
        </w:tabs>
        <w:spacing w:before="240"/>
      </w:pPr>
      <w:r w:rsidRPr="005B75E5">
        <w:t xml:space="preserve">Section </w:t>
      </w:r>
      <w:r w:rsidR="00996E13" w:rsidRPr="005B75E5">
        <w:t>7 provides that the object of</w:t>
      </w:r>
      <w:r w:rsidR="007E303D" w:rsidRPr="005B75E5">
        <w:t xml:space="preserve"> Part 2 </w:t>
      </w:r>
      <w:r w:rsidR="007737A4">
        <w:t xml:space="preserve">of the guidelines </w:t>
      </w:r>
      <w:r w:rsidR="007E303D" w:rsidRPr="005B75E5">
        <w:t>is to set minimum standards for the governance and conduct of community charities and their trustees or corporate directors.</w:t>
      </w:r>
    </w:p>
    <w:p w14:paraId="60B67512" w14:textId="5406E3E6" w:rsidR="007E303D" w:rsidRPr="005B75E5" w:rsidRDefault="007E303D" w:rsidP="0038005C">
      <w:pPr>
        <w:spacing w:before="240"/>
      </w:pPr>
      <w:r w:rsidRPr="005B75E5">
        <w:t xml:space="preserve">Section 8 </w:t>
      </w:r>
      <w:r w:rsidR="0048343A" w:rsidRPr="005B75E5">
        <w:t xml:space="preserve">establishes general principles </w:t>
      </w:r>
      <w:r w:rsidR="001B72CB" w:rsidRPr="005B75E5">
        <w:t xml:space="preserve">in relation to </w:t>
      </w:r>
      <w:r w:rsidR="000B2195" w:rsidRPr="005B75E5">
        <w:t>the</w:t>
      </w:r>
      <w:r w:rsidR="00B81EF7" w:rsidRPr="005B75E5">
        <w:t xml:space="preserve"> establishment</w:t>
      </w:r>
      <w:r w:rsidR="000D1DDB" w:rsidRPr="005B75E5">
        <w:t>, maintenance and winding up</w:t>
      </w:r>
      <w:r w:rsidR="000B2195" w:rsidRPr="005B75E5">
        <w:t xml:space="preserve"> of </w:t>
      </w:r>
      <w:r w:rsidR="002B2A6C">
        <w:t xml:space="preserve">an entity that is a </w:t>
      </w:r>
      <w:r w:rsidR="000B2195" w:rsidRPr="005B75E5">
        <w:t>community charit</w:t>
      </w:r>
      <w:r w:rsidR="002B2A6C">
        <w:t>y</w:t>
      </w:r>
      <w:r w:rsidR="00A003FD" w:rsidRPr="005B75E5">
        <w:t>.</w:t>
      </w:r>
      <w:r w:rsidR="00DD2D44" w:rsidRPr="005B75E5">
        <w:t xml:space="preserve"> The principles are</w:t>
      </w:r>
      <w:r w:rsidR="000C59F2" w:rsidRPr="005B75E5">
        <w:t xml:space="preserve"> that </w:t>
      </w:r>
      <w:r w:rsidR="00227AD2">
        <w:t>the</w:t>
      </w:r>
      <w:r w:rsidR="00574A87">
        <w:t xml:space="preserve"> entity </w:t>
      </w:r>
      <w:r w:rsidR="00740C22">
        <w:t xml:space="preserve">is </w:t>
      </w:r>
      <w:r w:rsidR="000C59F2" w:rsidRPr="005B75E5">
        <w:t>a community charity, is philanthropic in character</w:t>
      </w:r>
      <w:r w:rsidR="00CC3528" w:rsidRPr="005B75E5">
        <w:t xml:space="preserve">, </w:t>
      </w:r>
      <w:r w:rsidR="000C59F2" w:rsidRPr="005B75E5">
        <w:t>is a vehicle for philanthropy, and</w:t>
      </w:r>
      <w:r w:rsidR="00C36E46" w:rsidRPr="005B75E5">
        <w:t xml:space="preserve"> </w:t>
      </w:r>
      <w:r w:rsidR="00140537">
        <w:t xml:space="preserve">that </w:t>
      </w:r>
      <w:r w:rsidR="00C36E46" w:rsidRPr="005B75E5">
        <w:t>it both:</w:t>
      </w:r>
    </w:p>
    <w:p w14:paraId="603EEBD8" w14:textId="195604FD" w:rsidR="00237D39" w:rsidRPr="005B75E5" w:rsidRDefault="00E22741" w:rsidP="00E22741">
      <w:pPr>
        <w:pStyle w:val="Bullet"/>
        <w:spacing w:before="120"/>
      </w:pPr>
      <w:r w:rsidRPr="005B75E5">
        <w:t>s</w:t>
      </w:r>
      <w:r w:rsidR="00237D39" w:rsidRPr="005B75E5">
        <w:t>eeks to comply with all relevant laws and obligations; and</w:t>
      </w:r>
    </w:p>
    <w:p w14:paraId="1F3D8B85" w14:textId="149B9FE2" w:rsidR="00237D39" w:rsidRPr="005B75E5" w:rsidRDefault="00E22741" w:rsidP="00E22741">
      <w:pPr>
        <w:pStyle w:val="Bullet"/>
        <w:spacing w:before="60"/>
      </w:pPr>
      <w:r w:rsidRPr="005B75E5">
        <w:t>is</w:t>
      </w:r>
      <w:r w:rsidR="00237D39" w:rsidRPr="005B75E5">
        <w:t xml:space="preserve"> open, transparent and accountable to the public</w:t>
      </w:r>
      <w:r w:rsidR="00772F32" w:rsidRPr="005B75E5">
        <w:t xml:space="preserve"> (</w:t>
      </w:r>
      <w:r w:rsidR="005338D4" w:rsidRPr="005B75E5">
        <w:t xml:space="preserve">both </w:t>
      </w:r>
      <w:r w:rsidR="00772F32" w:rsidRPr="005B75E5">
        <w:t>through the Commissioner and</w:t>
      </w:r>
      <w:r w:rsidR="0090753B">
        <w:t>,</w:t>
      </w:r>
      <w:r w:rsidR="00772F32" w:rsidRPr="005B75E5">
        <w:t xml:space="preserve"> in its capacity as a registered charity</w:t>
      </w:r>
      <w:r w:rsidR="0090753B">
        <w:t>,</w:t>
      </w:r>
      <w:r w:rsidR="00772F32" w:rsidRPr="005B75E5">
        <w:t xml:space="preserve"> to the Commissioner of the Australian Charities and No</w:t>
      </w:r>
      <w:r w:rsidR="00ED7507" w:rsidRPr="005B75E5">
        <w:t>t-for profits Commission)</w:t>
      </w:r>
      <w:r w:rsidR="002F14E4" w:rsidRPr="005B75E5">
        <w:t>.</w:t>
      </w:r>
    </w:p>
    <w:p w14:paraId="73CF00BD" w14:textId="06FC7D8C" w:rsidR="00ED7507" w:rsidRPr="005B75E5" w:rsidRDefault="00ED7507" w:rsidP="00ED7507">
      <w:pPr>
        <w:pStyle w:val="Bullet"/>
        <w:numPr>
          <w:ilvl w:val="0"/>
          <w:numId w:val="0"/>
        </w:numPr>
        <w:spacing w:before="60"/>
      </w:pPr>
      <w:r w:rsidRPr="005B75E5">
        <w:t xml:space="preserve">A note to section 8 clarifies that the principle of </w:t>
      </w:r>
      <w:r w:rsidR="00FA7FAE" w:rsidRPr="005B75E5">
        <w:t>openness and transparency is not intended to affect any obligation to protect the confidentiality of a community charity’s information under privac</w:t>
      </w:r>
      <w:r w:rsidR="001A311D" w:rsidRPr="005B75E5">
        <w:t>y or secrecy and disclosure laws.</w:t>
      </w:r>
    </w:p>
    <w:p w14:paraId="02C02895" w14:textId="72C27B89" w:rsidR="00710BF3" w:rsidRPr="005B75E5" w:rsidRDefault="00710BF3" w:rsidP="0038005C">
      <w:pPr>
        <w:spacing w:before="240"/>
        <w:rPr>
          <w:u w:val="single"/>
        </w:rPr>
      </w:pPr>
      <w:r w:rsidRPr="005B75E5">
        <w:rPr>
          <w:u w:val="single"/>
        </w:rPr>
        <w:lastRenderedPageBreak/>
        <w:t>Section</w:t>
      </w:r>
      <w:r w:rsidR="00187446" w:rsidRPr="005B75E5">
        <w:rPr>
          <w:u w:val="single"/>
        </w:rPr>
        <w:t xml:space="preserve"> 9—Purposes and objects of a community charity</w:t>
      </w:r>
    </w:p>
    <w:p w14:paraId="70BE8902" w14:textId="40C43AF7" w:rsidR="00374E41" w:rsidRPr="005B75E5" w:rsidRDefault="00BF7243" w:rsidP="00475B37">
      <w:pPr>
        <w:spacing w:before="240"/>
      </w:pPr>
      <w:r w:rsidRPr="005B75E5">
        <w:t>This section sets out the</w:t>
      </w:r>
      <w:r w:rsidR="001F63D3" w:rsidRPr="005B75E5">
        <w:t xml:space="preserve"> </w:t>
      </w:r>
      <w:r w:rsidR="00475B37" w:rsidRPr="005B75E5">
        <w:t>requirements</w:t>
      </w:r>
      <w:r w:rsidR="009E28F6" w:rsidRPr="005B75E5">
        <w:t xml:space="preserve"> for an entity to be a community charity trust or a community charity corporation.</w:t>
      </w:r>
      <w:r w:rsidR="0096300E" w:rsidRPr="005B75E5">
        <w:t xml:space="preserve"> </w:t>
      </w:r>
      <w:r w:rsidR="0096300E" w:rsidRPr="005B75E5">
        <w:rPr>
          <w:shd w:val="clear" w:color="auto" w:fill="FFFFFF"/>
        </w:rPr>
        <w:t>This ensures community charities have robust governance arrangements, are properly accountable and act in a manner consistent with public expectations of philanthropic organisations.</w:t>
      </w:r>
    </w:p>
    <w:p w14:paraId="1EC92459" w14:textId="0965C724" w:rsidR="00501242" w:rsidRPr="005B75E5" w:rsidRDefault="00501242" w:rsidP="00475B37">
      <w:pPr>
        <w:spacing w:before="240"/>
      </w:pPr>
      <w:r w:rsidRPr="005B75E5">
        <w:t>A community charity, either trust</w:t>
      </w:r>
      <w:r w:rsidR="00140537">
        <w:t>-based</w:t>
      </w:r>
      <w:r w:rsidRPr="005B75E5">
        <w:t xml:space="preserve"> or incorporated, must be a registered charity.</w:t>
      </w:r>
    </w:p>
    <w:p w14:paraId="150C9EAF" w14:textId="0F9D7E42" w:rsidR="00092F38" w:rsidRPr="005B75E5" w:rsidRDefault="00984801" w:rsidP="00475B37">
      <w:pPr>
        <w:spacing w:before="240"/>
      </w:pPr>
      <w:r w:rsidRPr="005B75E5">
        <w:t>If the charity is a community charity trust, it must be established and maintained under a will or instrument of trust as a charity</w:t>
      </w:r>
      <w:r w:rsidR="002747C5" w:rsidRPr="005B75E5">
        <w:t xml:space="preserve"> </w:t>
      </w:r>
      <w:r w:rsidRPr="005B75E5">
        <w:t>and</w:t>
      </w:r>
      <w:r w:rsidR="004637A6" w:rsidRPr="005B75E5">
        <w:t xml:space="preserve"> must be established and maintained </w:t>
      </w:r>
      <w:r w:rsidR="009A6D6C">
        <w:t xml:space="preserve">as a charity </w:t>
      </w:r>
      <w:r w:rsidR="002747C5" w:rsidRPr="005B75E5">
        <w:t xml:space="preserve">in accordance with item 13.1.1 of the table in subsection </w:t>
      </w:r>
      <w:r w:rsidR="002D47E5" w:rsidRPr="005B75E5">
        <w:t xml:space="preserve">30-105(1) </w:t>
      </w:r>
      <w:r w:rsidR="004D0726" w:rsidRPr="005B75E5">
        <w:t>and section 30-110 of the ITAA</w:t>
      </w:r>
      <w:r w:rsidR="00B269DE" w:rsidRPr="005B75E5">
        <w:t xml:space="preserve"> 1997</w:t>
      </w:r>
      <w:r w:rsidR="004D0726" w:rsidRPr="005B75E5">
        <w:t>.</w:t>
      </w:r>
      <w:r w:rsidR="00395661">
        <w:t xml:space="preserve"> That item lists </w:t>
      </w:r>
      <w:r w:rsidR="00395661" w:rsidRPr="005B75E5">
        <w:t>community charit</w:t>
      </w:r>
      <w:r w:rsidR="00395661">
        <w:t xml:space="preserve">ies as entities that may seek endorsement as deductible gift recipients, provided that </w:t>
      </w:r>
      <w:r w:rsidR="00945FAF">
        <w:t>the latter section applies to them.</w:t>
      </w:r>
    </w:p>
    <w:p w14:paraId="1920CC7A" w14:textId="3AC008E4" w:rsidR="0072255E" w:rsidRPr="005B75E5" w:rsidRDefault="0072255E" w:rsidP="0038005C">
      <w:pPr>
        <w:spacing w:before="240"/>
      </w:pPr>
      <w:r w:rsidRPr="005B75E5">
        <w:t>If the charity is a community charity corporation</w:t>
      </w:r>
      <w:r w:rsidR="00F93F04" w:rsidRPr="005B75E5">
        <w:t>,</w:t>
      </w:r>
      <w:r w:rsidRPr="005B75E5">
        <w:t xml:space="preserve"> it must be operated as a charity and in accordance with item </w:t>
      </w:r>
      <w:r w:rsidR="002430DC" w:rsidRPr="005B75E5">
        <w:t>13.1.2 of the table in subsection 30-105(1) and section 30-110 of the ITAA</w:t>
      </w:r>
      <w:r w:rsidR="00B269DE" w:rsidRPr="005B75E5">
        <w:t xml:space="preserve"> 1997</w:t>
      </w:r>
      <w:r w:rsidR="002430DC" w:rsidRPr="005B75E5">
        <w:t>.</w:t>
      </w:r>
      <w:r w:rsidR="00CB4F49" w:rsidRPr="005B75E5">
        <w:t xml:space="preserve"> </w:t>
      </w:r>
      <w:r w:rsidR="008D212A">
        <w:t>The</w:t>
      </w:r>
      <w:r w:rsidR="00A31543" w:rsidRPr="005B75E5">
        <w:t xml:space="preserve"> requirement to be </w:t>
      </w:r>
      <w:r w:rsidR="002E3BDF">
        <w:t>maintained</w:t>
      </w:r>
      <w:r w:rsidR="00AF3452">
        <w:t xml:space="preserve"> or </w:t>
      </w:r>
      <w:r w:rsidR="002E3BDF">
        <w:t>operated</w:t>
      </w:r>
      <w:r w:rsidR="00AF3452">
        <w:t xml:space="preserve"> as a charity</w:t>
      </w:r>
      <w:r w:rsidR="00986D3C" w:rsidRPr="005B75E5">
        <w:t xml:space="preserve"> in addition to the requirement to be a registered charity</w:t>
      </w:r>
      <w:r w:rsidR="00A84380" w:rsidRPr="005B75E5">
        <w:t xml:space="preserve"> </w:t>
      </w:r>
      <w:r w:rsidR="008D212A">
        <w:t>allows</w:t>
      </w:r>
      <w:r w:rsidR="00A84380" w:rsidRPr="005B75E5">
        <w:t xml:space="preserve"> the</w:t>
      </w:r>
      <w:r w:rsidR="000D3DBC" w:rsidRPr="005B75E5">
        <w:t xml:space="preserve"> Commissioner to take action to revoke</w:t>
      </w:r>
      <w:r w:rsidR="005D34F7" w:rsidRPr="005B75E5">
        <w:t xml:space="preserve"> an entity’s</w:t>
      </w:r>
      <w:r w:rsidR="000D3DBC" w:rsidRPr="005B75E5">
        <w:t xml:space="preserve"> endorsement</w:t>
      </w:r>
      <w:r w:rsidR="00E8145A" w:rsidRPr="005B75E5">
        <w:t xml:space="preserve"> as a </w:t>
      </w:r>
      <w:r w:rsidR="00C53102" w:rsidRPr="005B75E5">
        <w:t>deductible gift recipient</w:t>
      </w:r>
      <w:r w:rsidR="005B3E25" w:rsidRPr="005B75E5">
        <w:t xml:space="preserve"> where necessary</w:t>
      </w:r>
      <w:r w:rsidR="00405083">
        <w:t>,</w:t>
      </w:r>
      <w:r w:rsidR="00215FA2">
        <w:t xml:space="preserve"> to protect the integrity of the tax system</w:t>
      </w:r>
      <w:r w:rsidR="005B3E25" w:rsidRPr="005B75E5">
        <w:t xml:space="preserve"> </w:t>
      </w:r>
      <w:r w:rsidR="00B0681B">
        <w:t xml:space="preserve">independently of </w:t>
      </w:r>
      <w:r w:rsidR="00533587">
        <w:t>an</w:t>
      </w:r>
      <w:r w:rsidR="00CE1D95">
        <w:t xml:space="preserve">y action by the </w:t>
      </w:r>
      <w:r w:rsidR="00CE1D95" w:rsidRPr="005B75E5">
        <w:t>Australian Charities and Not-for-profits Commission</w:t>
      </w:r>
      <w:r w:rsidR="00405083">
        <w:t>,</w:t>
      </w:r>
      <w:r w:rsidR="00CE1D95" w:rsidRPr="005B75E5">
        <w:t xml:space="preserve"> </w:t>
      </w:r>
      <w:r w:rsidR="00CE1D95">
        <w:t>or</w:t>
      </w:r>
      <w:r w:rsidR="00FA0121" w:rsidRPr="005B75E5">
        <w:t xml:space="preserve"> </w:t>
      </w:r>
      <w:r w:rsidR="005B3E25" w:rsidRPr="005B75E5">
        <w:t>where deregistration is not warranted</w:t>
      </w:r>
      <w:r w:rsidR="00FA0121" w:rsidRPr="005B75E5">
        <w:t>.</w:t>
      </w:r>
      <w:r w:rsidR="003817E6" w:rsidRPr="005B75E5">
        <w:t xml:space="preserve"> </w:t>
      </w:r>
    </w:p>
    <w:p w14:paraId="32E63F9E" w14:textId="5C341CFC" w:rsidR="009B46DF" w:rsidRPr="005B75E5" w:rsidRDefault="009D1D0F" w:rsidP="0038005C">
      <w:pPr>
        <w:spacing w:before="240"/>
      </w:pPr>
      <w:r>
        <w:t xml:space="preserve">A community charity’s </w:t>
      </w:r>
      <w:r w:rsidR="002D371E" w:rsidRPr="005B75E5">
        <w:t>governing rules</w:t>
      </w:r>
      <w:r w:rsidR="004B1C69" w:rsidRPr="005B75E5">
        <w:t xml:space="preserve"> must include objects setting out the purposes of the charity and </w:t>
      </w:r>
      <w:r w:rsidR="00DA5EAC" w:rsidRPr="005B75E5">
        <w:t xml:space="preserve">must </w:t>
      </w:r>
      <w:r w:rsidR="004B1C69" w:rsidRPr="005B75E5">
        <w:t>deal with the circumstance where the</w:t>
      </w:r>
      <w:r w:rsidR="00295A27" w:rsidRPr="005B75E5">
        <w:t xml:space="preserve"> charity is wound up or ceases to be a community charity</w:t>
      </w:r>
      <w:r w:rsidR="00CA412D" w:rsidRPr="005B75E5">
        <w:t xml:space="preserve"> </w:t>
      </w:r>
      <w:r w:rsidR="009C4A81" w:rsidRPr="005B75E5">
        <w:t>as required by</w:t>
      </w:r>
      <w:r w:rsidR="00CA412D" w:rsidRPr="005B75E5">
        <w:t xml:space="preserve"> this section</w:t>
      </w:r>
      <w:r w:rsidR="00295A27" w:rsidRPr="005B75E5">
        <w:t>.</w:t>
      </w:r>
    </w:p>
    <w:p w14:paraId="097438FD" w14:textId="4ECE4C83" w:rsidR="00373AA7" w:rsidRPr="005B75E5" w:rsidRDefault="00373AA7" w:rsidP="0038005C">
      <w:pPr>
        <w:spacing w:before="240"/>
        <w:rPr>
          <w:u w:val="single"/>
        </w:rPr>
      </w:pPr>
      <w:r w:rsidRPr="005B75E5">
        <w:rPr>
          <w:u w:val="single"/>
        </w:rPr>
        <w:t>Section 10—Operated only in Australia</w:t>
      </w:r>
    </w:p>
    <w:p w14:paraId="2CA02D59" w14:textId="27E13618" w:rsidR="00373AA7" w:rsidRPr="005B75E5" w:rsidRDefault="00584D12" w:rsidP="0038005C">
      <w:pPr>
        <w:spacing w:before="240"/>
      </w:pPr>
      <w:r w:rsidRPr="005B75E5">
        <w:t>This section provides that a community charity must be established and operated only in Australia</w:t>
      </w:r>
      <w:r w:rsidR="00B3755D" w:rsidRPr="005B75E5">
        <w:t xml:space="preserve"> and clarifies that this does not prevent</w:t>
      </w:r>
      <w:r w:rsidR="00521146" w:rsidRPr="005B75E5">
        <w:t xml:space="preserve"> it from making a distribution </w:t>
      </w:r>
      <w:r w:rsidR="00633F02" w:rsidRPr="005B75E5">
        <w:t xml:space="preserve">to a </w:t>
      </w:r>
      <w:r w:rsidR="00665FA6" w:rsidRPr="005B75E5">
        <w:t>deductible gift recipient</w:t>
      </w:r>
      <w:r w:rsidR="00633F02" w:rsidRPr="005B75E5">
        <w:t xml:space="preserve"> that operates outside Australia.</w:t>
      </w:r>
    </w:p>
    <w:p w14:paraId="397ABA38" w14:textId="22E5467E" w:rsidR="009D4300" w:rsidRPr="005B75E5" w:rsidRDefault="009D4300" w:rsidP="0038005C">
      <w:pPr>
        <w:spacing w:before="240"/>
        <w:rPr>
          <w:u w:val="single"/>
        </w:rPr>
      </w:pPr>
      <w:r w:rsidRPr="005B75E5">
        <w:rPr>
          <w:u w:val="single"/>
        </w:rPr>
        <w:t>Section 11—Trustees and directors</w:t>
      </w:r>
    </w:p>
    <w:p w14:paraId="0FA3A345" w14:textId="7C6A3E22" w:rsidR="009D4300" w:rsidRPr="005B75E5" w:rsidRDefault="00B635F9" w:rsidP="0038005C">
      <w:pPr>
        <w:spacing w:before="240"/>
      </w:pPr>
      <w:r w:rsidRPr="005B75E5">
        <w:t>This section requires the trustee or corporate director of a community charity to exercise</w:t>
      </w:r>
      <w:r w:rsidR="00276D1F" w:rsidRPr="005B75E5">
        <w:t xml:space="preserve"> the degree of care, diligence and skill that a prudent individual would exercise in managing</w:t>
      </w:r>
      <w:r w:rsidR="00057175" w:rsidRPr="005B75E5">
        <w:t xml:space="preserve"> the affairs of others.  </w:t>
      </w:r>
      <w:r w:rsidR="00093327" w:rsidRPr="005B75E5">
        <w:t>S</w:t>
      </w:r>
      <w:r w:rsidR="00581CC8" w:rsidRPr="005B75E5">
        <w:t>ection 11</w:t>
      </w:r>
      <w:r w:rsidR="009579E0" w:rsidRPr="005B75E5">
        <w:t xml:space="preserve"> also</w:t>
      </w:r>
      <w:r w:rsidR="00057175" w:rsidRPr="005B75E5">
        <w:t xml:space="preserve"> </w:t>
      </w:r>
      <w:r w:rsidR="001A10C7">
        <w:t xml:space="preserve">stipulates that </w:t>
      </w:r>
      <w:r w:rsidR="009F21A1" w:rsidRPr="005B75E5">
        <w:t xml:space="preserve">an individual </w:t>
      </w:r>
      <w:r w:rsidR="001A10C7">
        <w:t xml:space="preserve">may only be </w:t>
      </w:r>
      <w:r w:rsidR="009F21A1" w:rsidRPr="005B75E5">
        <w:t>a director of the trustee of a community charity trust or a corporate director</w:t>
      </w:r>
      <w:r w:rsidR="006C433B" w:rsidRPr="005B75E5">
        <w:t>, or a member of any other controlling body of the charity</w:t>
      </w:r>
      <w:r w:rsidR="00322416" w:rsidRPr="005B75E5">
        <w:t xml:space="preserve">, </w:t>
      </w:r>
      <w:r w:rsidR="001A10C7">
        <w:t xml:space="preserve">if </w:t>
      </w:r>
      <w:r w:rsidR="005502A6" w:rsidRPr="005B75E5">
        <w:t xml:space="preserve">the individual </w:t>
      </w:r>
      <w:r w:rsidR="001A10C7">
        <w:t xml:space="preserve">has </w:t>
      </w:r>
      <w:r w:rsidR="005502A6" w:rsidRPr="005B75E5">
        <w:t>not been</w:t>
      </w:r>
      <w:r w:rsidR="00322416" w:rsidRPr="005B75E5">
        <w:t xml:space="preserve"> convicted of a </w:t>
      </w:r>
      <w:r w:rsidR="00046A1B" w:rsidRPr="005B75E5">
        <w:t>taxat</w:t>
      </w:r>
      <w:r w:rsidR="00D06D18" w:rsidRPr="005B75E5">
        <w:t>i</w:t>
      </w:r>
      <w:r w:rsidR="00046A1B" w:rsidRPr="005B75E5">
        <w:t>on offence</w:t>
      </w:r>
      <w:r w:rsidR="00D06D18" w:rsidRPr="005B75E5">
        <w:t xml:space="preserve"> that is an indictable offence.</w:t>
      </w:r>
      <w:r w:rsidR="00D53CAA" w:rsidRPr="005B75E5">
        <w:t xml:space="preserve"> </w:t>
      </w:r>
      <w:r w:rsidR="00D03084" w:rsidRPr="005B75E5">
        <w:t>An</w:t>
      </w:r>
      <w:r w:rsidR="00D53CAA" w:rsidRPr="005B75E5">
        <w:t xml:space="preserve"> existing director or member who is convicted of such an offence</w:t>
      </w:r>
      <w:r w:rsidR="00D03084" w:rsidRPr="005B75E5">
        <w:t xml:space="preserve"> </w:t>
      </w:r>
      <w:r w:rsidR="00F12F86" w:rsidRPr="005B75E5">
        <w:t xml:space="preserve">must cease to </w:t>
      </w:r>
      <w:r w:rsidR="007565F4" w:rsidRPr="005B75E5">
        <w:t>hold the position</w:t>
      </w:r>
      <w:r w:rsidR="00E04FEC" w:rsidRPr="005B75E5">
        <w:t xml:space="preserve"> within 1 month</w:t>
      </w:r>
      <w:r w:rsidR="00D03084" w:rsidRPr="005B75E5">
        <w:t xml:space="preserve"> after the conviction</w:t>
      </w:r>
      <w:r w:rsidR="00E04FEC" w:rsidRPr="005B75E5">
        <w:t>.</w:t>
      </w:r>
    </w:p>
    <w:p w14:paraId="6322716C" w14:textId="574D8B0B" w:rsidR="009B4454" w:rsidRPr="005B75E5" w:rsidRDefault="009B4454" w:rsidP="0038005C">
      <w:pPr>
        <w:spacing w:before="240"/>
        <w:rPr>
          <w:u w:val="single"/>
        </w:rPr>
      </w:pPr>
      <w:r w:rsidRPr="005B75E5">
        <w:rPr>
          <w:u w:val="single"/>
        </w:rPr>
        <w:t>Section 12—Liability of trustee or corporate director</w:t>
      </w:r>
    </w:p>
    <w:p w14:paraId="15F4931E" w14:textId="79B5DCB5" w:rsidR="009B4454" w:rsidRPr="005B75E5" w:rsidRDefault="009B4454" w:rsidP="0038005C">
      <w:pPr>
        <w:spacing w:before="240"/>
      </w:pPr>
      <w:r w:rsidRPr="005B75E5">
        <w:t xml:space="preserve">Section 12 </w:t>
      </w:r>
      <w:r w:rsidR="003469C8">
        <w:t xml:space="preserve">requires the governing rules of a community charity to </w:t>
      </w:r>
      <w:r w:rsidRPr="005B75E5">
        <w:t xml:space="preserve">prohibit </w:t>
      </w:r>
      <w:r w:rsidR="003469C8">
        <w:t xml:space="preserve">it </w:t>
      </w:r>
      <w:r w:rsidRPr="005B75E5">
        <w:t xml:space="preserve">from indemnifying a trustee </w:t>
      </w:r>
      <w:r w:rsidR="00290116" w:rsidRPr="005B75E5">
        <w:t xml:space="preserve">or corporate director, or an employee, officer or agent of a trustee or a community charity corporation, </w:t>
      </w:r>
      <w:r w:rsidRPr="005B75E5">
        <w:t>against loss</w:t>
      </w:r>
      <w:r w:rsidR="0004336A" w:rsidRPr="005B75E5">
        <w:t xml:space="preserve"> or liability</w:t>
      </w:r>
      <w:r w:rsidRPr="005B75E5">
        <w:t xml:space="preserve"> </w:t>
      </w:r>
      <w:r w:rsidR="00CF381C">
        <w:t xml:space="preserve">attributable to </w:t>
      </w:r>
      <w:r w:rsidR="004435B2">
        <w:t xml:space="preserve">the relevant person’s </w:t>
      </w:r>
      <w:r w:rsidR="00CF381C">
        <w:t xml:space="preserve">unacceptable behaviour </w:t>
      </w:r>
      <w:r w:rsidR="00E00FCF">
        <w:t>(</w:t>
      </w:r>
      <w:r w:rsidR="00CF381C">
        <w:t xml:space="preserve">including </w:t>
      </w:r>
      <w:r w:rsidR="007C0727">
        <w:t>a deliberate breach of duty</w:t>
      </w:r>
      <w:r w:rsidR="005571DE">
        <w:t xml:space="preserve"> and</w:t>
      </w:r>
      <w:r w:rsidR="00470A72">
        <w:t xml:space="preserve"> dishonesty</w:t>
      </w:r>
      <w:r w:rsidR="002A129C">
        <w:t>)</w:t>
      </w:r>
      <w:r w:rsidRPr="005B75E5">
        <w:t>.</w:t>
      </w:r>
    </w:p>
    <w:p w14:paraId="221EAA4A" w14:textId="11080394" w:rsidR="009E4E5B" w:rsidRPr="005B75E5" w:rsidRDefault="009E4E5B" w:rsidP="009939EE">
      <w:pPr>
        <w:keepNext/>
        <w:keepLines/>
        <w:spacing w:before="240"/>
        <w:rPr>
          <w:u w:val="single"/>
        </w:rPr>
      </w:pPr>
      <w:r w:rsidRPr="005B75E5">
        <w:rPr>
          <w:u w:val="single"/>
        </w:rPr>
        <w:lastRenderedPageBreak/>
        <w:t>Section 13—Minimum annual distribution</w:t>
      </w:r>
    </w:p>
    <w:p w14:paraId="3CC14D1E" w14:textId="50725BE3" w:rsidR="006355A3" w:rsidRPr="005B75E5" w:rsidRDefault="00772439" w:rsidP="009939EE">
      <w:pPr>
        <w:keepNext/>
        <w:keepLines/>
        <w:spacing w:before="240"/>
      </w:pPr>
      <w:r w:rsidRPr="005B75E5">
        <w:t xml:space="preserve">This section requires a community charity to distribute a proportion of its income and assets </w:t>
      </w:r>
      <w:r w:rsidR="00FC13D7" w:rsidRPr="005B75E5">
        <w:t xml:space="preserve">to a deductible gift recipient </w:t>
      </w:r>
      <w:r w:rsidRPr="005B75E5">
        <w:t xml:space="preserve">each </w:t>
      </w:r>
      <w:r w:rsidR="00D74455" w:rsidRPr="005B75E5">
        <w:t xml:space="preserve">financial </w:t>
      </w:r>
      <w:r w:rsidRPr="005B75E5">
        <w:t xml:space="preserve">year </w:t>
      </w:r>
      <w:r w:rsidR="00005BA9" w:rsidRPr="005B75E5">
        <w:t>(other than the financial year in which the charity is established)</w:t>
      </w:r>
      <w:r w:rsidR="00B20CE0" w:rsidRPr="005B75E5">
        <w:t>.</w:t>
      </w:r>
      <w:r w:rsidR="00061668" w:rsidRPr="005B75E5">
        <w:t xml:space="preserve"> </w:t>
      </w:r>
      <w:r w:rsidR="00073AA7">
        <w:t>Generally, t</w:t>
      </w:r>
      <w:r w:rsidR="00C60B9C" w:rsidRPr="005B75E5">
        <w:t>he minimum annual distribution rate is an amount equal to at least 4 percent of the market value of the charity’s net assets as at the end of the previous financial year.</w:t>
      </w:r>
      <w:r w:rsidR="00A46E5C">
        <w:t xml:space="preserve"> </w:t>
      </w:r>
      <w:r w:rsidR="006355A3" w:rsidRPr="005B75E5">
        <w:t>However, if in the financial year any of the charity’s expenses are paid out of the charity’s assets or income, the minimum annual distribution is the greater of that amount and $8,800.</w:t>
      </w:r>
    </w:p>
    <w:p w14:paraId="2C838A5C" w14:textId="04671BC6" w:rsidR="009E4E5B" w:rsidRPr="005B75E5" w:rsidRDefault="001A0708" w:rsidP="0038005C">
      <w:pPr>
        <w:spacing w:before="240"/>
      </w:pPr>
      <w:r w:rsidRPr="005B75E5">
        <w:t>The penalty for breach of this requirement is</w:t>
      </w:r>
      <w:r w:rsidR="00F113CA" w:rsidRPr="005B75E5">
        <w:t xml:space="preserve"> 30 penalty units if the shortfall in the distribution is greater than $1,000.</w:t>
      </w:r>
    </w:p>
    <w:p w14:paraId="7823C54F" w14:textId="0F785388" w:rsidR="00C60B9C" w:rsidRPr="005B75E5" w:rsidRDefault="00C60B9C" w:rsidP="00C60B9C">
      <w:pPr>
        <w:spacing w:before="240"/>
      </w:pPr>
      <w:r w:rsidRPr="005B75E5">
        <w:t xml:space="preserve">A </w:t>
      </w:r>
      <w:r w:rsidR="00A97F6C">
        <w:t>‘</w:t>
      </w:r>
      <w:r w:rsidRPr="005B75E5">
        <w:t>distribution</w:t>
      </w:r>
      <w:r w:rsidR="00A97F6C">
        <w:t>’</w:t>
      </w:r>
      <w:r w:rsidR="00F67BB3">
        <w:t xml:space="preserve"> by a community charity </w:t>
      </w:r>
      <w:r w:rsidR="00D55973">
        <w:t>means</w:t>
      </w:r>
      <w:r w:rsidR="00F67BB3" w:rsidDel="00D55973">
        <w:t xml:space="preserve"> </w:t>
      </w:r>
      <w:r w:rsidRPr="005B75E5">
        <w:t>the provision of money, property or benefits to an eligible deductible gift recipient, or expenditure incurred, in the direct course or furtherance of a purpose of the charity. Expenditure incurred would include providing money to entities that are not deductible gift recipients where the expenditure by that receiving entity will further a purpose of the community charity.</w:t>
      </w:r>
    </w:p>
    <w:p w14:paraId="614B0503" w14:textId="1F336663" w:rsidR="006A3ED0" w:rsidRPr="005B75E5" w:rsidRDefault="006A3ED0" w:rsidP="00C60B9C">
      <w:pPr>
        <w:spacing w:before="240"/>
      </w:pPr>
      <w:r w:rsidRPr="005B75E5">
        <w:t xml:space="preserve">Section </w:t>
      </w:r>
      <w:r w:rsidR="00780ADD" w:rsidRPr="005B75E5">
        <w:t xml:space="preserve">13 </w:t>
      </w:r>
      <w:r w:rsidR="005D56F1">
        <w:t xml:space="preserve">requires </w:t>
      </w:r>
      <w:r w:rsidR="00380C79">
        <w:t>that</w:t>
      </w:r>
      <w:r w:rsidR="00780ADD" w:rsidRPr="005B75E5">
        <w:t xml:space="preserve"> </w:t>
      </w:r>
      <w:r w:rsidR="00FF4082">
        <w:t xml:space="preserve">any distribution of property or benefits </w:t>
      </w:r>
      <w:r w:rsidR="001000DF">
        <w:t xml:space="preserve">made by a community charity be based on the market value of that property or those benefits. The section </w:t>
      </w:r>
      <w:r w:rsidR="00780ADD" w:rsidRPr="005B75E5">
        <w:t>includes a number of examples of determining the market value</w:t>
      </w:r>
      <w:r w:rsidR="000D21D5" w:rsidRPr="005B75E5">
        <w:t xml:space="preserve"> of</w:t>
      </w:r>
      <w:r w:rsidR="00813A95" w:rsidRPr="005B75E5">
        <w:t xml:space="preserve"> a distribution for the purpose of working out </w:t>
      </w:r>
      <w:r w:rsidR="00A53C03" w:rsidRPr="005B75E5">
        <w:t xml:space="preserve">the value of a </w:t>
      </w:r>
      <w:r w:rsidR="00A31DDE" w:rsidRPr="005B75E5">
        <w:t xml:space="preserve">particular </w:t>
      </w:r>
      <w:r w:rsidR="00A53C03" w:rsidRPr="005B75E5">
        <w:t>distribution as a proportion of a community charity’s assets at the relevant time.</w:t>
      </w:r>
    </w:p>
    <w:p w14:paraId="29A23EAC" w14:textId="6AF095C8" w:rsidR="00FC46F4" w:rsidRPr="005B75E5" w:rsidRDefault="009930F1" w:rsidP="0038005C">
      <w:pPr>
        <w:spacing w:before="240"/>
      </w:pPr>
      <w:r w:rsidRPr="005B75E5">
        <w:t xml:space="preserve">The </w:t>
      </w:r>
      <w:r w:rsidR="006A3ED0" w:rsidRPr="005B75E5">
        <w:t>C</w:t>
      </w:r>
      <w:r w:rsidRPr="005B75E5">
        <w:t>ommission</w:t>
      </w:r>
      <w:r w:rsidR="006A3ED0" w:rsidRPr="005B75E5">
        <w:t>er</w:t>
      </w:r>
      <w:r w:rsidRPr="005B75E5">
        <w:t xml:space="preserve"> may ask a community charity to rectify a shortfall in the distribution for a financial year</w:t>
      </w:r>
      <w:r w:rsidR="004D2639">
        <w:t>. T</w:t>
      </w:r>
      <w:r w:rsidRPr="005B75E5">
        <w:t xml:space="preserve">he charity must comply with such a request within 60 days. The penalty for failure to comply </w:t>
      </w:r>
      <w:r w:rsidR="00053751">
        <w:t xml:space="preserve">within this timeframe </w:t>
      </w:r>
      <w:r w:rsidRPr="005B75E5">
        <w:t>is 10 percent of the shortfall as at the end of the 60</w:t>
      </w:r>
      <w:r w:rsidR="00A21B09">
        <w:t>-</w:t>
      </w:r>
      <w:r w:rsidRPr="005B75E5">
        <w:t>day period</w:t>
      </w:r>
      <w:r w:rsidR="00053751">
        <w:t>,</w:t>
      </w:r>
      <w:r w:rsidR="00887BD7" w:rsidRPr="005B75E5">
        <w:t xml:space="preserve"> reduced by </w:t>
      </w:r>
      <w:r w:rsidR="00CC2DD2">
        <w:t xml:space="preserve">the amount of </w:t>
      </w:r>
      <w:r w:rsidR="00887BD7" w:rsidRPr="005B75E5">
        <w:t>any penalty imposed for breach of the requirement to make</w:t>
      </w:r>
      <w:r w:rsidR="001A0708" w:rsidRPr="005B75E5">
        <w:t xml:space="preserve"> a distribution for the financial year.</w:t>
      </w:r>
      <w:r w:rsidR="00397D0C" w:rsidRPr="005B75E5">
        <w:t xml:space="preserve"> </w:t>
      </w:r>
      <w:r w:rsidR="009623DB" w:rsidRPr="005B75E5">
        <w:t>An amount distributed to rectify a shortfall does not count towards</w:t>
      </w:r>
      <w:r w:rsidR="00141783" w:rsidRPr="005B75E5">
        <w:t xml:space="preserve"> working out distribution for a later year when the rectification occurs.</w:t>
      </w:r>
    </w:p>
    <w:p w14:paraId="5636AFE1" w14:textId="3EFB96A4" w:rsidR="00CC7324" w:rsidRPr="005B75E5" w:rsidRDefault="00C228AF" w:rsidP="0038005C">
      <w:pPr>
        <w:spacing w:before="240"/>
      </w:pPr>
      <w:r w:rsidRPr="005B75E5">
        <w:t>The</w:t>
      </w:r>
      <w:r w:rsidR="00C652A9" w:rsidRPr="005B75E5">
        <w:t xml:space="preserve"> Commissioner may</w:t>
      </w:r>
      <w:r w:rsidR="00B54EFB" w:rsidRPr="005B75E5">
        <w:t>, on application by a community charity,</w:t>
      </w:r>
      <w:r w:rsidR="00C652A9" w:rsidRPr="005B75E5">
        <w:t xml:space="preserve"> lower the</w:t>
      </w:r>
      <w:r w:rsidRPr="005B75E5">
        <w:t xml:space="preserve"> minimum annual distribution rate</w:t>
      </w:r>
      <w:r w:rsidR="00CC7324" w:rsidRPr="005B75E5">
        <w:t xml:space="preserve"> for a </w:t>
      </w:r>
      <w:r w:rsidR="00005BA9" w:rsidRPr="005B75E5">
        <w:t>financial year</w:t>
      </w:r>
      <w:r w:rsidR="00530563" w:rsidRPr="005B75E5">
        <w:t xml:space="preserve"> in certain circumstance</w:t>
      </w:r>
      <w:r w:rsidR="008E0062" w:rsidRPr="005B75E5">
        <w:t>s, including after the relevant financial</w:t>
      </w:r>
      <w:r w:rsidR="009E3E48" w:rsidRPr="005B75E5">
        <w:t xml:space="preserve"> year</w:t>
      </w:r>
      <w:r w:rsidR="008E0062" w:rsidRPr="005B75E5">
        <w:t xml:space="preserve"> has ended, and may impose conditions</w:t>
      </w:r>
      <w:r w:rsidR="006B5EB2" w:rsidRPr="005B75E5">
        <w:t xml:space="preserve"> on </w:t>
      </w:r>
      <w:r w:rsidR="00B54EFB" w:rsidRPr="005B75E5">
        <w:t>such a</w:t>
      </w:r>
      <w:r w:rsidR="006B5EB2" w:rsidRPr="005B75E5">
        <w:t xml:space="preserve"> reduction</w:t>
      </w:r>
      <w:r w:rsidR="00530563" w:rsidRPr="005B75E5">
        <w:t>.</w:t>
      </w:r>
      <w:r w:rsidR="006B5EB2" w:rsidRPr="005B75E5">
        <w:t xml:space="preserve"> </w:t>
      </w:r>
      <w:r w:rsidR="006125DD" w:rsidRPr="005B75E5">
        <w:t xml:space="preserve">Those conditions may seek to protect the integrity of the regulatory framework or </w:t>
      </w:r>
      <w:r w:rsidR="002A11E6">
        <w:t xml:space="preserve">to </w:t>
      </w:r>
      <w:r w:rsidR="006125DD" w:rsidRPr="005B75E5">
        <w:t>improve the operation of the community charity to minimise the likelihood of future requests for a lower distribution being made.</w:t>
      </w:r>
      <w:r w:rsidR="00475E73" w:rsidRPr="005B75E5">
        <w:t xml:space="preserve"> </w:t>
      </w:r>
      <w:r w:rsidR="00AD1245" w:rsidRPr="005B75E5">
        <w:t xml:space="preserve">The Commissioner must be satisfied that the circumstances warrant </w:t>
      </w:r>
      <w:r w:rsidR="00D029F9">
        <w:t>the</w:t>
      </w:r>
      <w:r w:rsidR="00AD1245" w:rsidRPr="005B75E5">
        <w:t xml:space="preserve"> reduction</w:t>
      </w:r>
      <w:r w:rsidR="00E14F43" w:rsidRPr="005B75E5">
        <w:t>, having regard to specified matters including</w:t>
      </w:r>
      <w:r w:rsidR="00D875B3" w:rsidRPr="005B75E5">
        <w:t xml:space="preserve"> the </w:t>
      </w:r>
      <w:r w:rsidR="00681C66" w:rsidRPr="005B75E5">
        <w:t xml:space="preserve">general market conditions in Australia, the </w:t>
      </w:r>
      <w:r w:rsidR="00D875B3" w:rsidRPr="005B75E5">
        <w:t>level of distributions previously made by the charity, its fees and expenses</w:t>
      </w:r>
      <w:r w:rsidR="00D029F9">
        <w:t>,</w:t>
      </w:r>
      <w:r w:rsidR="000F0FEF" w:rsidRPr="005B75E5">
        <w:t xml:space="preserve"> its history </w:t>
      </w:r>
      <w:r w:rsidR="00EE5FA5" w:rsidRPr="005B75E5">
        <w:t xml:space="preserve">of compliance with the community charity framework </w:t>
      </w:r>
      <w:r w:rsidR="000F0FEF" w:rsidRPr="005B75E5">
        <w:t xml:space="preserve">and </w:t>
      </w:r>
      <w:r w:rsidR="00F54C11">
        <w:t xml:space="preserve">the compliance history of </w:t>
      </w:r>
      <w:r w:rsidR="000F0FEF" w:rsidRPr="005B75E5">
        <w:t>its</w:t>
      </w:r>
      <w:r w:rsidR="00EE5FA5" w:rsidRPr="005B75E5">
        <w:t xml:space="preserve"> trustee or corporate director,</w:t>
      </w:r>
      <w:r w:rsidR="00681C66" w:rsidRPr="005B75E5">
        <w:t xml:space="preserve"> and any other matter</w:t>
      </w:r>
      <w:r w:rsidR="00690977">
        <w:t xml:space="preserve"> considered relevant by the Commissioner</w:t>
      </w:r>
      <w:r w:rsidR="00681C66" w:rsidRPr="005B75E5">
        <w:t>.</w:t>
      </w:r>
    </w:p>
    <w:p w14:paraId="32F6A6F5" w14:textId="16294C38" w:rsidR="00E80E67" w:rsidRPr="005B75E5" w:rsidRDefault="00E80E67" w:rsidP="0038005C">
      <w:pPr>
        <w:spacing w:before="240"/>
      </w:pPr>
      <w:r w:rsidRPr="005B75E5">
        <w:t xml:space="preserve">A community charity may object to a decision to </w:t>
      </w:r>
      <w:r w:rsidR="00B7255E" w:rsidRPr="005B75E5">
        <w:t xml:space="preserve">not </w:t>
      </w:r>
      <w:r w:rsidRPr="005B75E5">
        <w:t>reduc</w:t>
      </w:r>
      <w:r w:rsidR="00657F28" w:rsidRPr="005B75E5">
        <w:t>e</w:t>
      </w:r>
      <w:r w:rsidRPr="005B75E5">
        <w:t xml:space="preserve"> the</w:t>
      </w:r>
      <w:r w:rsidR="00657F28" w:rsidRPr="005B75E5">
        <w:t xml:space="preserve"> annual distribution rate, or to </w:t>
      </w:r>
      <w:r w:rsidR="00510ADB" w:rsidRPr="005B75E5">
        <w:t>not reduce it to the extent applied for, or to a decision to impose a condition on a reduced annual distribution rate.</w:t>
      </w:r>
      <w:r w:rsidR="00A10C49">
        <w:t xml:space="preserve"> </w:t>
      </w:r>
      <w:r w:rsidR="00C82778">
        <w:t xml:space="preserve">The applicable process </w:t>
      </w:r>
      <w:r w:rsidR="000D24B9">
        <w:t xml:space="preserve">for doing so </w:t>
      </w:r>
      <w:r w:rsidR="00C82778">
        <w:t>is set out in Part IVC of the Act.</w:t>
      </w:r>
    </w:p>
    <w:p w14:paraId="7F34283B" w14:textId="36DF3D77" w:rsidR="009E4E5B" w:rsidRPr="005B75E5" w:rsidRDefault="009E4E5B" w:rsidP="009939EE">
      <w:pPr>
        <w:keepNext/>
        <w:spacing w:before="240"/>
        <w:rPr>
          <w:u w:val="single"/>
        </w:rPr>
      </w:pPr>
      <w:r w:rsidRPr="005B75E5">
        <w:rPr>
          <w:u w:val="single"/>
        </w:rPr>
        <w:lastRenderedPageBreak/>
        <w:t>Section 14—Valuations</w:t>
      </w:r>
    </w:p>
    <w:p w14:paraId="45BD0A47" w14:textId="1CD184D8" w:rsidR="009E4E5B" w:rsidRPr="005B75E5" w:rsidRDefault="002F05AA" w:rsidP="0038005C">
      <w:pPr>
        <w:spacing w:before="240"/>
      </w:pPr>
      <w:r w:rsidRPr="005B75E5">
        <w:t xml:space="preserve">This section requires the market value of a community charity’s assets to be estimated annually. </w:t>
      </w:r>
      <w:r w:rsidR="00350F10" w:rsidRPr="005B75E5">
        <w:t>This does not include an asset that is land</w:t>
      </w:r>
      <w:r w:rsidR="007F3A33" w:rsidRPr="005B75E5">
        <w:t xml:space="preserve">, the market value of which must be estimated at </w:t>
      </w:r>
      <w:r w:rsidR="00A20050" w:rsidRPr="005B75E5">
        <w:t xml:space="preserve">least </w:t>
      </w:r>
      <w:r w:rsidR="00F50038" w:rsidRPr="005B75E5">
        <w:t xml:space="preserve">every 3 financial years. </w:t>
      </w:r>
      <w:r w:rsidR="009A26BC" w:rsidRPr="005B75E5">
        <w:t>In each case</w:t>
      </w:r>
      <w:r w:rsidR="00CD23CE">
        <w:t>,</w:t>
      </w:r>
      <w:r w:rsidR="009A26BC" w:rsidRPr="005B75E5">
        <w:t xml:space="preserve"> the estimate </w:t>
      </w:r>
      <w:r w:rsidR="00C43BB4">
        <w:t>of market value</w:t>
      </w:r>
      <w:r w:rsidR="009A26BC" w:rsidRPr="005B75E5">
        <w:t xml:space="preserve"> must be as at the end of the relevant financial year</w:t>
      </w:r>
      <w:r w:rsidR="00F16F37" w:rsidRPr="005B75E5">
        <w:t xml:space="preserve"> and must be conducted within 2 months before or after that time (unless to do so would be unnecessarily onerous and expensive)</w:t>
      </w:r>
      <w:r w:rsidR="00527D14">
        <w:t>.</w:t>
      </w:r>
      <w:r w:rsidR="00F16F37" w:rsidRPr="005B75E5">
        <w:t xml:space="preserve"> </w:t>
      </w:r>
      <w:r w:rsidR="00F50038" w:rsidRPr="005B75E5">
        <w:t xml:space="preserve">In the intervals between estimates of the market value of land, </w:t>
      </w:r>
      <w:r w:rsidR="00207002">
        <w:t xml:space="preserve">the existing </w:t>
      </w:r>
      <w:r w:rsidR="00F50038" w:rsidRPr="005B75E5">
        <w:t>estimate is to be used</w:t>
      </w:r>
      <w:r w:rsidR="00356896" w:rsidRPr="005B75E5">
        <w:t xml:space="preserve"> until a new one is obtained.</w:t>
      </w:r>
    </w:p>
    <w:p w14:paraId="68040D84" w14:textId="573785E9" w:rsidR="00564314" w:rsidRPr="005B75E5" w:rsidRDefault="002F486D" w:rsidP="0038005C">
      <w:pPr>
        <w:spacing w:before="240"/>
      </w:pPr>
      <w:r w:rsidRPr="005B75E5">
        <w:t xml:space="preserve">It is intended that obtaining an estimate </w:t>
      </w:r>
      <w:r w:rsidR="00507CEC" w:rsidRPr="005B75E5">
        <w:t>should</w:t>
      </w:r>
      <w:r w:rsidRPr="005B75E5">
        <w:t xml:space="preserve"> not be on</w:t>
      </w:r>
      <w:r w:rsidR="00565601" w:rsidRPr="005B75E5">
        <w:t>erous or expensive</w:t>
      </w:r>
      <w:r w:rsidR="004D0EB0">
        <w:t xml:space="preserve">. For </w:t>
      </w:r>
      <w:r w:rsidR="00B3325F">
        <w:t>assets</w:t>
      </w:r>
      <w:r w:rsidR="00565601" w:rsidRPr="005B75E5">
        <w:t xml:space="preserve"> </w:t>
      </w:r>
      <w:r w:rsidR="00A13A22">
        <w:t xml:space="preserve">other than land, </w:t>
      </w:r>
      <w:r w:rsidR="00691E73">
        <w:t>the estimation</w:t>
      </w:r>
      <w:r w:rsidR="001F6197" w:rsidRPr="005B75E5">
        <w:t xml:space="preserve"> may be carried out by the community charity itself or </w:t>
      </w:r>
      <w:r w:rsidR="00691E73">
        <w:t xml:space="preserve">by </w:t>
      </w:r>
      <w:r w:rsidR="001F6197" w:rsidRPr="005B75E5">
        <w:t>a qualified valuer</w:t>
      </w:r>
      <w:r w:rsidR="00507CEC" w:rsidRPr="005B75E5">
        <w:t xml:space="preserve">, another </w:t>
      </w:r>
      <w:r w:rsidR="001F6197" w:rsidRPr="005B75E5">
        <w:t>appropriate entity</w:t>
      </w:r>
      <w:r w:rsidR="00507CEC" w:rsidRPr="005B75E5">
        <w:t xml:space="preserve"> or the Commissioner</w:t>
      </w:r>
      <w:r w:rsidR="00F74A31">
        <w:t>. The latter may occur with the permission, or at the request</w:t>
      </w:r>
      <w:r w:rsidR="00216210">
        <w:t>,</w:t>
      </w:r>
      <w:r w:rsidR="00F74A31">
        <w:t xml:space="preserve"> of</w:t>
      </w:r>
      <w:r w:rsidR="00507CEC" w:rsidRPr="005B75E5">
        <w:t xml:space="preserve"> the charity</w:t>
      </w:r>
      <w:r w:rsidR="001F6197" w:rsidRPr="005B75E5">
        <w:t>.</w:t>
      </w:r>
      <w:r w:rsidR="006F59FA">
        <w:t xml:space="preserve"> </w:t>
      </w:r>
      <w:r w:rsidR="00564314" w:rsidRPr="005B75E5">
        <w:t xml:space="preserve">However, an estimate of the market value of land </w:t>
      </w:r>
      <w:r w:rsidR="00ED0E19" w:rsidRPr="005B75E5">
        <w:t>is required to</w:t>
      </w:r>
      <w:r w:rsidR="00564314" w:rsidRPr="005B75E5">
        <w:t xml:space="preserve"> be undertaken by a qualified value</w:t>
      </w:r>
      <w:r w:rsidR="002D276E" w:rsidRPr="005B75E5">
        <w:t>r</w:t>
      </w:r>
      <w:r w:rsidR="00564314" w:rsidRPr="005B75E5">
        <w:t xml:space="preserve"> or the Commissioner</w:t>
      </w:r>
      <w:r w:rsidR="00E34EC9" w:rsidRPr="005B75E5">
        <w:t>.</w:t>
      </w:r>
    </w:p>
    <w:p w14:paraId="385FB8D5" w14:textId="2AF7BD99" w:rsidR="00042405" w:rsidRPr="005B75E5" w:rsidRDefault="006000DB" w:rsidP="0038005C">
      <w:pPr>
        <w:spacing w:before="240"/>
      </w:pPr>
      <w:r>
        <w:t>Estimates</w:t>
      </w:r>
      <w:r w:rsidR="00042405" w:rsidRPr="005B75E5">
        <w:t xml:space="preserve"> must be based on reasonably objective and supportable data</w:t>
      </w:r>
      <w:r w:rsidR="005B39BA" w:rsidRPr="005B75E5">
        <w:t xml:space="preserve"> and the methodology and data must be documented. If a qualified valuer is used, the</w:t>
      </w:r>
      <w:r w:rsidR="001F67D8" w:rsidRPr="005B75E5">
        <w:t xml:space="preserve"> charity must obtain a written estimate </w:t>
      </w:r>
      <w:r w:rsidR="00DD7009" w:rsidRPr="005B75E5">
        <w:t xml:space="preserve">from the valuer </w:t>
      </w:r>
      <w:r w:rsidR="001F67D8" w:rsidRPr="005B75E5">
        <w:t>that sets out the methodology</w:t>
      </w:r>
      <w:r w:rsidR="00DD7009" w:rsidRPr="005B75E5">
        <w:t xml:space="preserve"> used</w:t>
      </w:r>
      <w:r w:rsidR="001F67D8" w:rsidRPr="005B75E5">
        <w:t xml:space="preserve"> and refers to any supporting materials use</w:t>
      </w:r>
      <w:r w:rsidR="00DD7009" w:rsidRPr="005B75E5">
        <w:t>d</w:t>
      </w:r>
      <w:r w:rsidR="001F67D8" w:rsidRPr="005B75E5">
        <w:t>.</w:t>
      </w:r>
    </w:p>
    <w:p w14:paraId="1AB78B26" w14:textId="61EE83B6" w:rsidR="00504888" w:rsidRPr="005B75E5" w:rsidRDefault="00504888" w:rsidP="0038005C">
      <w:pPr>
        <w:spacing w:before="240"/>
      </w:pPr>
      <w:r w:rsidRPr="005B75E5">
        <w:t xml:space="preserve">The charity must arrange for another </w:t>
      </w:r>
      <w:r w:rsidR="00333AB6" w:rsidRPr="005B75E5">
        <w:t>estimate to be obtained</w:t>
      </w:r>
      <w:r w:rsidR="00D411E6">
        <w:t>, in the manner stipulated by the Commissioner,</w:t>
      </w:r>
      <w:r w:rsidR="00333AB6" w:rsidRPr="005B75E5">
        <w:t xml:space="preserve"> </w:t>
      </w:r>
      <w:r w:rsidR="002D276E" w:rsidRPr="005B75E5">
        <w:t>if</w:t>
      </w:r>
      <w:r w:rsidR="00333AB6" w:rsidRPr="005B75E5">
        <w:t xml:space="preserve"> the </w:t>
      </w:r>
      <w:r w:rsidR="002D276E" w:rsidRPr="005B75E5">
        <w:t>C</w:t>
      </w:r>
      <w:r w:rsidR="00333AB6" w:rsidRPr="005B75E5">
        <w:t>ommissioner considers an estimate of the market value of any asset to be unreasonable.</w:t>
      </w:r>
    </w:p>
    <w:p w14:paraId="6931C51B" w14:textId="52F512F7" w:rsidR="009E4E5B" w:rsidRPr="005B75E5" w:rsidRDefault="009E4E5B" w:rsidP="0038005C">
      <w:pPr>
        <w:spacing w:before="240"/>
        <w:rPr>
          <w:u w:val="single"/>
        </w:rPr>
      </w:pPr>
      <w:r w:rsidRPr="005B75E5">
        <w:rPr>
          <w:u w:val="single"/>
        </w:rPr>
        <w:t>Section 15—Keeping accounts</w:t>
      </w:r>
    </w:p>
    <w:p w14:paraId="61C8DD73" w14:textId="21DC4FAE" w:rsidR="009E4E5B" w:rsidRPr="005B75E5" w:rsidRDefault="00DC146A" w:rsidP="0038005C">
      <w:pPr>
        <w:spacing w:before="240"/>
      </w:pPr>
      <w:r w:rsidRPr="005B75E5">
        <w:t>This section</w:t>
      </w:r>
      <w:r w:rsidR="0054749B" w:rsidRPr="005B75E5">
        <w:t xml:space="preserve"> requires </w:t>
      </w:r>
      <w:r w:rsidR="00EB448F" w:rsidRPr="005B75E5">
        <w:t>proper accounts</w:t>
      </w:r>
      <w:r w:rsidR="008D5FED">
        <w:t xml:space="preserve"> to be kept and maintained</w:t>
      </w:r>
      <w:r w:rsidR="00EB448F" w:rsidRPr="005B75E5">
        <w:t xml:space="preserve"> in respect of a community charity’s receipts and payments and all financial dealings connected with the charity</w:t>
      </w:r>
      <w:r w:rsidR="008D5FED">
        <w:t xml:space="preserve">. The accounts must be </w:t>
      </w:r>
      <w:r w:rsidR="007860BC" w:rsidRPr="005B75E5">
        <w:t xml:space="preserve">retained for at least 5 years. </w:t>
      </w:r>
      <w:r w:rsidR="007A0B52">
        <w:t>These obligations are</w:t>
      </w:r>
      <w:r w:rsidR="007860BC" w:rsidRPr="005B75E5">
        <w:t xml:space="preserve"> in addition to any relevant </w:t>
      </w:r>
      <w:r w:rsidR="007A0B52">
        <w:t>requirements</w:t>
      </w:r>
      <w:r w:rsidR="00003640" w:rsidRPr="005B75E5">
        <w:t xml:space="preserve"> for record-keeping under the Act. </w:t>
      </w:r>
      <w:r w:rsidR="00C83F0A" w:rsidRPr="005B75E5">
        <w:t xml:space="preserve">The charity must make the accounts available </w:t>
      </w:r>
      <w:r w:rsidR="0096536E" w:rsidRPr="005B75E5">
        <w:t>if requested by the Commissioner</w:t>
      </w:r>
      <w:r w:rsidR="00C83F0A" w:rsidRPr="005B75E5">
        <w:t>. The penalty for a breach</w:t>
      </w:r>
      <w:r w:rsidR="00E34F73">
        <w:t xml:space="preserve"> of </w:t>
      </w:r>
      <w:r w:rsidR="001B2E8A">
        <w:t>either</w:t>
      </w:r>
      <w:r w:rsidR="00E34F73">
        <w:t xml:space="preserve"> of these obligations</w:t>
      </w:r>
      <w:r w:rsidR="00C83F0A" w:rsidRPr="005B75E5">
        <w:t xml:space="preserve"> is 10 penalty units.</w:t>
      </w:r>
      <w:r w:rsidR="007860BC" w:rsidRPr="005B75E5">
        <w:t xml:space="preserve"> </w:t>
      </w:r>
    </w:p>
    <w:p w14:paraId="6580F1DB" w14:textId="621D158B" w:rsidR="009E4E5B" w:rsidRPr="005B75E5" w:rsidRDefault="009E4E5B" w:rsidP="0038005C">
      <w:pPr>
        <w:spacing w:before="240"/>
        <w:rPr>
          <w:u w:val="single"/>
        </w:rPr>
      </w:pPr>
      <w:r w:rsidRPr="005B75E5">
        <w:rPr>
          <w:u w:val="single"/>
        </w:rPr>
        <w:t>Section 16—Financial reports</w:t>
      </w:r>
    </w:p>
    <w:p w14:paraId="4D377B1E" w14:textId="2EF905F2" w:rsidR="0059550B" w:rsidRPr="005B75E5" w:rsidRDefault="00D20E8A" w:rsidP="0038005C">
      <w:pPr>
        <w:spacing w:before="240"/>
      </w:pPr>
      <w:r w:rsidRPr="005B75E5">
        <w:t xml:space="preserve">This section sets out the </w:t>
      </w:r>
      <w:r w:rsidR="008709BF">
        <w:t xml:space="preserve">obligations of </w:t>
      </w:r>
      <w:r w:rsidRPr="005B75E5">
        <w:t xml:space="preserve">a community charity in relation to </w:t>
      </w:r>
      <w:r w:rsidR="000B7EF9" w:rsidRPr="005B75E5">
        <w:t xml:space="preserve">reporting </w:t>
      </w:r>
      <w:r w:rsidRPr="005B75E5">
        <w:t xml:space="preserve">the charity’s financial position </w:t>
      </w:r>
      <w:r w:rsidR="00BA7746">
        <w:t xml:space="preserve">for </w:t>
      </w:r>
      <w:r w:rsidRPr="005B75E5">
        <w:t>each financial year.</w:t>
      </w:r>
    </w:p>
    <w:p w14:paraId="501D41FB" w14:textId="38BC53DC" w:rsidR="00F80AAC" w:rsidRPr="005B75E5" w:rsidRDefault="00F80AAC" w:rsidP="0083600D">
      <w:pPr>
        <w:spacing w:before="0"/>
      </w:pPr>
      <w:r w:rsidRPr="005B75E5">
        <w:t>A financial report must be prepared</w:t>
      </w:r>
      <w:r w:rsidR="00B219A0" w:rsidRPr="005B75E5">
        <w:t xml:space="preserve"> </w:t>
      </w:r>
      <w:r w:rsidR="00D86A43" w:rsidRPr="005B75E5">
        <w:t xml:space="preserve">in accordance with the accounting standards </w:t>
      </w:r>
      <w:r w:rsidR="00B56E6D">
        <w:t xml:space="preserve">(where that term has the meaning </w:t>
      </w:r>
      <w:r w:rsidR="003F6667">
        <w:t xml:space="preserve">given by </w:t>
      </w:r>
      <w:r w:rsidR="00D86A43" w:rsidRPr="005B75E5">
        <w:t xml:space="preserve">the </w:t>
      </w:r>
      <w:r w:rsidR="00D86A43" w:rsidRPr="005B75E5">
        <w:rPr>
          <w:i/>
          <w:iCs/>
        </w:rPr>
        <w:t>Corporations Act 2001</w:t>
      </w:r>
      <w:r w:rsidR="003F6667">
        <w:t>)</w:t>
      </w:r>
      <w:r w:rsidR="00AE2930">
        <w:rPr>
          <w:i/>
          <w:iCs/>
        </w:rPr>
        <w:t xml:space="preserve"> </w:t>
      </w:r>
      <w:r w:rsidR="00B219A0" w:rsidRPr="005B75E5">
        <w:t>before the charity is required to give its income tax return for the relevant financial year</w:t>
      </w:r>
      <w:r w:rsidR="00DE68DD" w:rsidRPr="005B75E5">
        <w:t>.</w:t>
      </w:r>
      <w:r w:rsidR="00BD4B38" w:rsidRPr="005B75E5">
        <w:t xml:space="preserve"> </w:t>
      </w:r>
      <w:r w:rsidR="00AE2930">
        <w:t>If the community charity prepares a</w:t>
      </w:r>
      <w:r w:rsidR="00BD4B38" w:rsidRPr="005B75E5">
        <w:t xml:space="preserve"> financial report in accordance with </w:t>
      </w:r>
      <w:r w:rsidR="007C3CCF" w:rsidRPr="005B75E5">
        <w:t xml:space="preserve">Subdivision 60C of the </w:t>
      </w:r>
      <w:r w:rsidR="007C3CCF" w:rsidRPr="005B75E5">
        <w:rPr>
          <w:i/>
          <w:iCs/>
        </w:rPr>
        <w:t>Australian Charities and Not-for-profits Commission Act 2012</w:t>
      </w:r>
      <w:r w:rsidR="00AE2930">
        <w:t>, th</w:t>
      </w:r>
      <w:r w:rsidR="00C83419">
        <w:t>at</w:t>
      </w:r>
      <w:r w:rsidR="00AE2930">
        <w:t xml:space="preserve"> report </w:t>
      </w:r>
      <w:r w:rsidR="007C3CCF" w:rsidRPr="005B75E5">
        <w:t xml:space="preserve">will satisfy </w:t>
      </w:r>
      <w:r w:rsidR="005B7051">
        <w:t>the</w:t>
      </w:r>
      <w:r w:rsidR="007C3CCF" w:rsidRPr="005B75E5">
        <w:t xml:space="preserve"> requirement</w:t>
      </w:r>
      <w:r w:rsidR="005B7051">
        <w:t xml:space="preserve"> under this section</w:t>
      </w:r>
      <w:r w:rsidR="007C3CCF" w:rsidRPr="005B75E5">
        <w:t>.</w:t>
      </w:r>
    </w:p>
    <w:p w14:paraId="2AD2BC8B" w14:textId="2BE9EA87" w:rsidR="00DA0196" w:rsidRPr="005B75E5" w:rsidRDefault="00532CBC" w:rsidP="0038005C">
      <w:pPr>
        <w:spacing w:before="240"/>
      </w:pPr>
      <w:r w:rsidRPr="005B75E5">
        <w:t xml:space="preserve">The report must disclose all </w:t>
      </w:r>
      <w:r w:rsidR="001D306D" w:rsidRPr="005B75E5">
        <w:t>transactions</w:t>
      </w:r>
      <w:r w:rsidRPr="005B75E5">
        <w:t xml:space="preserve"> (other than gifts of money) between a community charity and </w:t>
      </w:r>
      <w:r w:rsidR="001D306D" w:rsidRPr="005B75E5">
        <w:t xml:space="preserve">certain listed </w:t>
      </w:r>
      <w:proofErr w:type="gramStart"/>
      <w:r w:rsidR="006A28DA" w:rsidRPr="005B75E5">
        <w:t>entities</w:t>
      </w:r>
      <w:r w:rsidR="00E8387C">
        <w:t>;</w:t>
      </w:r>
      <w:proofErr w:type="gramEnd"/>
      <w:r w:rsidR="006A28DA" w:rsidRPr="005B75E5">
        <w:t xml:space="preserve"> for example</w:t>
      </w:r>
      <w:r w:rsidR="00E8387C">
        <w:t>,</w:t>
      </w:r>
      <w:r w:rsidR="006A28DA" w:rsidRPr="005B75E5">
        <w:t xml:space="preserve"> founders, donors and their relatives, and associates of those </w:t>
      </w:r>
      <w:r w:rsidR="00B6780E" w:rsidRPr="005B75E5">
        <w:t xml:space="preserve">listed </w:t>
      </w:r>
      <w:r w:rsidR="006A28DA" w:rsidRPr="005B75E5">
        <w:t>entities.</w:t>
      </w:r>
    </w:p>
    <w:p w14:paraId="65A27A49" w14:textId="63FE7670" w:rsidR="00EC504C" w:rsidRPr="005B75E5" w:rsidRDefault="00EC504C" w:rsidP="0038005C">
      <w:pPr>
        <w:spacing w:before="240"/>
      </w:pPr>
      <w:r w:rsidRPr="005B75E5">
        <w:lastRenderedPageBreak/>
        <w:t xml:space="preserve">The charity </w:t>
      </w:r>
      <w:r w:rsidR="004C6ED6" w:rsidRPr="005B75E5">
        <w:t>is required</w:t>
      </w:r>
      <w:r w:rsidRPr="005B75E5">
        <w:t xml:space="preserve"> make the report available to the Commissioner on request, unless it has already been given to the Commissioner of the Australian Charities and Not-for-profits Commission.</w:t>
      </w:r>
    </w:p>
    <w:p w14:paraId="539CC5DC" w14:textId="73EF02C9" w:rsidR="00DA0196" w:rsidRPr="005B75E5" w:rsidRDefault="00DA0196" w:rsidP="00DA0196">
      <w:pPr>
        <w:spacing w:before="240"/>
      </w:pPr>
      <w:r w:rsidRPr="005B75E5">
        <w:t xml:space="preserve">Penalties of 10 penalty units </w:t>
      </w:r>
      <w:r w:rsidR="001E5CC8">
        <w:t xml:space="preserve">may be imposed for a </w:t>
      </w:r>
      <w:r w:rsidRPr="005B75E5">
        <w:t>breach of these obligations.</w:t>
      </w:r>
    </w:p>
    <w:p w14:paraId="5E1E5841" w14:textId="16A70560" w:rsidR="0059550B" w:rsidRPr="005B75E5" w:rsidRDefault="0059550B" w:rsidP="0038005C">
      <w:pPr>
        <w:spacing w:before="240"/>
        <w:rPr>
          <w:u w:val="single"/>
        </w:rPr>
      </w:pPr>
      <w:r w:rsidRPr="005B75E5">
        <w:rPr>
          <w:u w:val="single"/>
        </w:rPr>
        <w:t xml:space="preserve">Section </w:t>
      </w:r>
      <w:r w:rsidR="0090230C" w:rsidRPr="005B75E5">
        <w:rPr>
          <w:u w:val="single"/>
        </w:rPr>
        <w:t>17—Audits</w:t>
      </w:r>
    </w:p>
    <w:p w14:paraId="7D07DC79" w14:textId="0EC36B04" w:rsidR="00546372" w:rsidRPr="005B75E5" w:rsidRDefault="00C3449B" w:rsidP="0038005C">
      <w:pPr>
        <w:spacing w:before="240"/>
      </w:pPr>
      <w:r w:rsidRPr="005B75E5">
        <w:t xml:space="preserve">This section </w:t>
      </w:r>
      <w:r w:rsidR="006B3D89" w:rsidRPr="005B75E5">
        <w:t>sets out the rules for audits</w:t>
      </w:r>
      <w:r w:rsidR="000B49A7" w:rsidRPr="005B75E5">
        <w:t xml:space="preserve"> of the financial reports of community charit</w:t>
      </w:r>
      <w:r w:rsidR="00D01577">
        <w:t>ies</w:t>
      </w:r>
      <w:r w:rsidR="000B49A7" w:rsidRPr="005B75E5">
        <w:t xml:space="preserve"> and</w:t>
      </w:r>
      <w:r w:rsidR="006A0E0F" w:rsidRPr="005B75E5">
        <w:t xml:space="preserve"> of</w:t>
      </w:r>
      <w:r w:rsidR="000B49A7" w:rsidRPr="005B75E5">
        <w:t xml:space="preserve"> </w:t>
      </w:r>
      <w:r w:rsidR="009608B2">
        <w:t xml:space="preserve">the </w:t>
      </w:r>
      <w:r w:rsidR="000B49A7" w:rsidRPr="005B75E5">
        <w:t xml:space="preserve">compliance by </w:t>
      </w:r>
      <w:r w:rsidR="003B002A" w:rsidRPr="005B75E5">
        <w:t>these</w:t>
      </w:r>
      <w:r w:rsidR="000B49A7" w:rsidRPr="005B75E5">
        <w:t xml:space="preserve"> charities</w:t>
      </w:r>
      <w:r w:rsidR="00946D00" w:rsidRPr="005B75E5">
        <w:t>, their trustees and corporate directors,</w:t>
      </w:r>
      <w:r w:rsidR="000B49A7" w:rsidRPr="005B75E5">
        <w:t xml:space="preserve"> with the guidelines.</w:t>
      </w:r>
      <w:r w:rsidR="0033329B" w:rsidRPr="005B75E5">
        <w:t xml:space="preserve"> </w:t>
      </w:r>
    </w:p>
    <w:p w14:paraId="293337E3" w14:textId="64114D7C" w:rsidR="006A0E0F" w:rsidRPr="005B75E5" w:rsidRDefault="00BD6E39" w:rsidP="0038005C">
      <w:pPr>
        <w:spacing w:before="240"/>
      </w:pPr>
      <w:r w:rsidRPr="005B75E5">
        <w:t>A</w:t>
      </w:r>
      <w:r w:rsidR="00EC3C34" w:rsidRPr="005B75E5">
        <w:t xml:space="preserve"> community charity</w:t>
      </w:r>
      <w:r w:rsidRPr="005B75E5">
        <w:t xml:space="preserve"> must, for each financial year,</w:t>
      </w:r>
      <w:r w:rsidR="00EC3C34" w:rsidRPr="005B75E5">
        <w:t xml:space="preserve"> arrange for a registered company auditor</w:t>
      </w:r>
      <w:r w:rsidR="00D314BD" w:rsidRPr="005B75E5">
        <w:t xml:space="preserve"> (within the meaning of the </w:t>
      </w:r>
      <w:r w:rsidR="00D314BD" w:rsidRPr="005B75E5">
        <w:rPr>
          <w:i/>
          <w:iCs/>
        </w:rPr>
        <w:t>Corporations Act 2021</w:t>
      </w:r>
      <w:r w:rsidR="00D314BD" w:rsidRPr="005B75E5">
        <w:t xml:space="preserve">) </w:t>
      </w:r>
      <w:r w:rsidR="00EC3C34" w:rsidRPr="005B75E5">
        <w:t xml:space="preserve">to </w:t>
      </w:r>
      <w:r w:rsidRPr="005B75E5">
        <w:t>undertake such an audit.</w:t>
      </w:r>
    </w:p>
    <w:p w14:paraId="542F51C6" w14:textId="7E74576A" w:rsidR="00D52A8D" w:rsidRPr="005B75E5" w:rsidRDefault="00D52A8D" w:rsidP="0038005C">
      <w:pPr>
        <w:spacing w:before="240"/>
      </w:pPr>
      <w:r w:rsidRPr="005B75E5">
        <w:t xml:space="preserve">This does not apply if the trustee of a community charity trust is the public trustee of a State or Territory, in which case the Auditor-General of </w:t>
      </w:r>
      <w:r w:rsidR="00D659C6">
        <w:t>the relevant</w:t>
      </w:r>
      <w:r w:rsidRPr="005B75E5">
        <w:t xml:space="preserve"> jurisdiction may undertake the audit.</w:t>
      </w:r>
      <w:r w:rsidR="00341B56" w:rsidRPr="005B75E5">
        <w:t xml:space="preserve"> Further, unless the Commissioner decides otherwise for a particular community charity, </w:t>
      </w:r>
      <w:r w:rsidR="00EF71AA" w:rsidRPr="005B75E5">
        <w:t>a community charity may</w:t>
      </w:r>
      <w:r w:rsidR="006D09FF" w:rsidRPr="005B75E5">
        <w:t xml:space="preserve"> have its financial report and compliance with the guidelines for a financial year reviewed instead of audited</w:t>
      </w:r>
      <w:r w:rsidR="003B3680" w:rsidRPr="005B75E5">
        <w:t xml:space="preserve"> if, in the relevant financial year</w:t>
      </w:r>
      <w:r w:rsidR="00956FCB">
        <w:t>,</w:t>
      </w:r>
      <w:r w:rsidR="003B3680" w:rsidRPr="005B75E5">
        <w:t xml:space="preserve"> it has </w:t>
      </w:r>
      <w:r w:rsidR="009D08F5" w:rsidRPr="005B75E5">
        <w:t xml:space="preserve">both </w:t>
      </w:r>
      <w:r w:rsidR="003B3680" w:rsidRPr="005B75E5">
        <w:t xml:space="preserve">revenue of less than </w:t>
      </w:r>
      <w:r w:rsidR="009D08F5" w:rsidRPr="005B75E5">
        <w:t>$</w:t>
      </w:r>
      <w:r w:rsidR="003B3680" w:rsidRPr="005B75E5">
        <w:t>3</w:t>
      </w:r>
      <w:r w:rsidR="009D08F5" w:rsidRPr="005B75E5">
        <w:t xml:space="preserve"> </w:t>
      </w:r>
      <w:r w:rsidR="003B3680" w:rsidRPr="005B75E5">
        <w:t>million and assets of less than $3</w:t>
      </w:r>
      <w:r w:rsidR="00526BD4">
        <w:t xml:space="preserve"> </w:t>
      </w:r>
      <w:r w:rsidR="003B3680" w:rsidRPr="005B75E5">
        <w:t>million</w:t>
      </w:r>
      <w:r w:rsidR="009D08F5" w:rsidRPr="005B75E5">
        <w:t>.</w:t>
      </w:r>
    </w:p>
    <w:p w14:paraId="3A2D173E" w14:textId="303DAC76" w:rsidR="00AF2CC9" w:rsidRPr="005B75E5" w:rsidRDefault="00AF2CC9" w:rsidP="0038005C">
      <w:pPr>
        <w:spacing w:before="240"/>
      </w:pPr>
      <w:r w:rsidRPr="005B75E5">
        <w:t>For a review, the reviewer must also be a registered company auditor</w:t>
      </w:r>
      <w:r w:rsidR="00EB16BC" w:rsidRPr="005B75E5">
        <w:t xml:space="preserve"> or </w:t>
      </w:r>
      <w:r w:rsidR="00E30FA5" w:rsidRPr="005B75E5">
        <w:t>a member of a professional accounting body.</w:t>
      </w:r>
    </w:p>
    <w:p w14:paraId="2FC9B334" w14:textId="1B8FD191" w:rsidR="00DB1A84" w:rsidRPr="005B75E5" w:rsidRDefault="00DB1A84" w:rsidP="00DB1A84">
      <w:pPr>
        <w:spacing w:before="240"/>
      </w:pPr>
      <w:r w:rsidRPr="005B75E5">
        <w:t>An audit or review must</w:t>
      </w:r>
      <w:r w:rsidR="00127E79" w:rsidRPr="005B75E5">
        <w:t xml:space="preserve"> be</w:t>
      </w:r>
      <w:r w:rsidRPr="005B75E5">
        <w:t xml:space="preserve"> </w:t>
      </w:r>
      <w:r w:rsidR="00620B37" w:rsidRPr="005B75E5">
        <w:t>prepared</w:t>
      </w:r>
      <w:r w:rsidR="00956FCB">
        <w:t>,</w:t>
      </w:r>
      <w:r w:rsidR="00127E79" w:rsidRPr="005B75E5">
        <w:t xml:space="preserve"> and</w:t>
      </w:r>
      <w:r w:rsidR="00620B37" w:rsidRPr="005B75E5">
        <w:t xml:space="preserve"> a</w:t>
      </w:r>
      <w:r w:rsidR="00127E79" w:rsidRPr="005B75E5">
        <w:t xml:space="preserve"> report </w:t>
      </w:r>
      <w:r w:rsidR="00620B37" w:rsidRPr="005B75E5">
        <w:t>finalised</w:t>
      </w:r>
      <w:r w:rsidR="00956FCB">
        <w:t>,</w:t>
      </w:r>
      <w:r w:rsidRPr="005B75E5">
        <w:t xml:space="preserve"> before the charity is required to give its income tax return for the relevant financial year</w:t>
      </w:r>
      <w:r w:rsidR="00787CF7" w:rsidRPr="005B75E5">
        <w:t xml:space="preserve"> and</w:t>
      </w:r>
      <w:r w:rsidRPr="005B75E5">
        <w:t xml:space="preserve"> in accordance with </w:t>
      </w:r>
      <w:r w:rsidR="00B1088A" w:rsidRPr="005B75E5">
        <w:t xml:space="preserve">the </w:t>
      </w:r>
      <w:r w:rsidR="00787CF7" w:rsidRPr="005B75E5">
        <w:t>auditing</w:t>
      </w:r>
      <w:r w:rsidRPr="005B75E5">
        <w:t xml:space="preserve"> standards </w:t>
      </w:r>
      <w:r w:rsidR="002F27AE" w:rsidRPr="005B75E5">
        <w:t>(</w:t>
      </w:r>
      <w:r w:rsidRPr="005B75E5">
        <w:t xml:space="preserve">within the meaning of the </w:t>
      </w:r>
      <w:r w:rsidRPr="005B75E5">
        <w:rPr>
          <w:i/>
          <w:iCs/>
        </w:rPr>
        <w:t>Corporations Act 2001</w:t>
      </w:r>
      <w:r w:rsidR="002F27AE" w:rsidRPr="005B75E5">
        <w:t>)</w:t>
      </w:r>
      <w:r w:rsidRPr="005B75E5">
        <w:t>.</w:t>
      </w:r>
    </w:p>
    <w:p w14:paraId="0693DBD1" w14:textId="77777777" w:rsidR="006A0E0F" w:rsidRPr="005B75E5" w:rsidRDefault="006A0E0F" w:rsidP="006A0E0F">
      <w:pPr>
        <w:spacing w:before="240"/>
      </w:pPr>
      <w:r w:rsidRPr="005B75E5">
        <w:t>The charity is required make the report available to the Commissioner on request, unless it has already been given to the Commissioner of the Australian Charities and Not-for-profits Commission.</w:t>
      </w:r>
    </w:p>
    <w:p w14:paraId="7164A4E2" w14:textId="77777777" w:rsidR="006A0E0F" w:rsidRPr="005B75E5" w:rsidRDefault="006A0E0F" w:rsidP="006A0E0F">
      <w:pPr>
        <w:spacing w:before="240"/>
      </w:pPr>
      <w:r w:rsidRPr="005B75E5">
        <w:t>Penalties of 10 penalty units are provided for breach of these obligations.</w:t>
      </w:r>
    </w:p>
    <w:p w14:paraId="0206D06B" w14:textId="477CEA5F" w:rsidR="00546372" w:rsidRPr="005B75E5" w:rsidRDefault="00546372" w:rsidP="0038005C">
      <w:pPr>
        <w:spacing w:before="240"/>
        <w:rPr>
          <w:u w:val="single"/>
        </w:rPr>
      </w:pPr>
      <w:r w:rsidRPr="005B75E5">
        <w:rPr>
          <w:u w:val="single"/>
        </w:rPr>
        <w:t>Section</w:t>
      </w:r>
      <w:r w:rsidR="00555A64" w:rsidRPr="005B75E5">
        <w:rPr>
          <w:u w:val="single"/>
        </w:rPr>
        <w:t>s</w:t>
      </w:r>
      <w:r w:rsidRPr="005B75E5">
        <w:rPr>
          <w:u w:val="single"/>
        </w:rPr>
        <w:t xml:space="preserve"> 1</w:t>
      </w:r>
      <w:r w:rsidR="00705002" w:rsidRPr="005B75E5">
        <w:rPr>
          <w:u w:val="single"/>
        </w:rPr>
        <w:t>8</w:t>
      </w:r>
      <w:r w:rsidRPr="005B75E5">
        <w:rPr>
          <w:u w:val="single"/>
        </w:rPr>
        <w:t>—Investment strategy</w:t>
      </w:r>
    </w:p>
    <w:p w14:paraId="1316A596" w14:textId="12FEFEA8" w:rsidR="00546372" w:rsidRPr="005B75E5" w:rsidRDefault="00664C07" w:rsidP="0038005C">
      <w:pPr>
        <w:spacing w:before="240"/>
      </w:pPr>
      <w:r w:rsidRPr="005B75E5">
        <w:t>This section</w:t>
      </w:r>
      <w:r w:rsidR="009341D6" w:rsidRPr="005B75E5">
        <w:t xml:space="preserve"> require</w:t>
      </w:r>
      <w:r w:rsidR="005B383F" w:rsidRPr="005B75E5">
        <w:t>s</w:t>
      </w:r>
      <w:r w:rsidR="009341D6" w:rsidRPr="005B75E5">
        <w:t xml:space="preserve"> a community charity to </w:t>
      </w:r>
      <w:r w:rsidR="005B383F" w:rsidRPr="005B75E5">
        <w:t xml:space="preserve">have, and to </w:t>
      </w:r>
      <w:r w:rsidR="009341D6" w:rsidRPr="005B75E5">
        <w:t>implement</w:t>
      </w:r>
      <w:r w:rsidR="00B57EC8" w:rsidRPr="005B75E5">
        <w:t>,</w:t>
      </w:r>
      <w:r w:rsidR="009341D6" w:rsidRPr="005B75E5">
        <w:t xml:space="preserve"> an investment strategy.</w:t>
      </w:r>
    </w:p>
    <w:p w14:paraId="143D80DE" w14:textId="065DE7E4" w:rsidR="0004126F" w:rsidRPr="005B75E5" w:rsidRDefault="004A3C08" w:rsidP="0038005C">
      <w:pPr>
        <w:spacing w:before="240"/>
      </w:pPr>
      <w:r w:rsidRPr="005B75E5">
        <w:t>The strategy</w:t>
      </w:r>
      <w:r w:rsidR="00A139FB" w:rsidRPr="005B75E5">
        <w:t xml:space="preserve"> </w:t>
      </w:r>
      <w:r w:rsidRPr="005B75E5">
        <w:t>must</w:t>
      </w:r>
      <w:r w:rsidR="00A139FB" w:rsidRPr="005B75E5">
        <w:t xml:space="preserve"> </w:t>
      </w:r>
      <w:r w:rsidR="002F15DD">
        <w:t xml:space="preserve">set </w:t>
      </w:r>
      <w:r w:rsidR="00A139FB" w:rsidRPr="005B75E5">
        <w:t>out the investment objectives of the charity</w:t>
      </w:r>
      <w:r w:rsidR="00BE6647" w:rsidRPr="005B75E5">
        <w:t xml:space="preserve"> and the methods to be adopted to achieve them</w:t>
      </w:r>
      <w:r w:rsidR="00B57EC8" w:rsidRPr="005B75E5">
        <w:t xml:space="preserve">. It </w:t>
      </w:r>
      <w:r w:rsidR="00833B32" w:rsidRPr="005B75E5">
        <w:t>must reflect the purposes and circumstances of the charity having regard to listed factors</w:t>
      </w:r>
      <w:r w:rsidR="00BE6647" w:rsidRPr="005B75E5">
        <w:t>.</w:t>
      </w:r>
    </w:p>
    <w:p w14:paraId="7319521A" w14:textId="73C9BD9E" w:rsidR="0082317C" w:rsidRPr="005B75E5" w:rsidRDefault="0082317C" w:rsidP="0038005C">
      <w:pPr>
        <w:spacing w:before="240"/>
      </w:pPr>
      <w:r w:rsidRPr="005B75E5">
        <w:t xml:space="preserve">The charity must implement the strategy when making investment </w:t>
      </w:r>
      <w:proofErr w:type="gramStart"/>
      <w:r w:rsidRPr="005B75E5">
        <w:t>decisions</w:t>
      </w:r>
      <w:r w:rsidR="00842A4D" w:rsidRPr="005B75E5">
        <w:t>, and</w:t>
      </w:r>
      <w:proofErr w:type="gramEnd"/>
      <w:r w:rsidR="00842A4D" w:rsidRPr="005B75E5">
        <w:t xml:space="preserve"> must make the strategy and </w:t>
      </w:r>
      <w:r w:rsidR="0086084A" w:rsidRPr="005B75E5">
        <w:t xml:space="preserve">a </w:t>
      </w:r>
      <w:r w:rsidR="00842A4D" w:rsidRPr="005B75E5">
        <w:t>record of decision-making processes available</w:t>
      </w:r>
      <w:r w:rsidR="00540D49" w:rsidRPr="005B75E5">
        <w:t xml:space="preserve"> in </w:t>
      </w:r>
      <w:r w:rsidR="00AF2832" w:rsidRPr="005B75E5">
        <w:t>a</w:t>
      </w:r>
      <w:r w:rsidR="00540D49" w:rsidRPr="005B75E5">
        <w:t xml:space="preserve"> form</w:t>
      </w:r>
      <w:r w:rsidR="00AF2832" w:rsidRPr="005B75E5">
        <w:t xml:space="preserve"> that enables determination of compliance with the </w:t>
      </w:r>
      <w:r w:rsidR="009F3B96" w:rsidRPr="005B75E5">
        <w:t>g</w:t>
      </w:r>
      <w:r w:rsidR="00AF2832" w:rsidRPr="005B75E5">
        <w:t xml:space="preserve">uidelines and other </w:t>
      </w:r>
      <w:r w:rsidR="0018590D">
        <w:t xml:space="preserve">relevant </w:t>
      </w:r>
      <w:r w:rsidR="00AF2832" w:rsidRPr="005B75E5">
        <w:t>Australian laws</w:t>
      </w:r>
      <w:r w:rsidR="00540D49" w:rsidRPr="005B75E5">
        <w:t>.</w:t>
      </w:r>
    </w:p>
    <w:p w14:paraId="6EDE4353" w14:textId="58C72153" w:rsidR="00540D49" w:rsidRPr="005B75E5" w:rsidRDefault="00444F0A" w:rsidP="0038005C">
      <w:pPr>
        <w:spacing w:before="240"/>
      </w:pPr>
      <w:r w:rsidRPr="005B75E5">
        <w:t xml:space="preserve">Penalties </w:t>
      </w:r>
      <w:r w:rsidR="00A80C61">
        <w:t>ranging b</w:t>
      </w:r>
      <w:r w:rsidR="00B15917">
        <w:t xml:space="preserve">etween </w:t>
      </w:r>
      <w:r w:rsidR="009A49CA">
        <w:t xml:space="preserve">10 and 15 penalty units </w:t>
      </w:r>
      <w:r w:rsidRPr="005B75E5">
        <w:t>are</w:t>
      </w:r>
      <w:r w:rsidR="00555A64" w:rsidRPr="005B75E5">
        <w:t xml:space="preserve"> provided</w:t>
      </w:r>
      <w:r w:rsidR="00540D49" w:rsidRPr="005B75E5">
        <w:t xml:space="preserve"> for breach</w:t>
      </w:r>
      <w:r w:rsidR="001666D1" w:rsidRPr="005B75E5">
        <w:t xml:space="preserve"> of these obligations.</w:t>
      </w:r>
    </w:p>
    <w:p w14:paraId="1582E85A" w14:textId="2904DA7B" w:rsidR="002F5AF7" w:rsidRPr="005B75E5" w:rsidRDefault="002F5AF7" w:rsidP="0038005C">
      <w:pPr>
        <w:spacing w:before="240"/>
        <w:rPr>
          <w:u w:val="single"/>
        </w:rPr>
      </w:pPr>
      <w:r w:rsidRPr="005B75E5">
        <w:rPr>
          <w:u w:val="single"/>
        </w:rPr>
        <w:lastRenderedPageBreak/>
        <w:t>Section 19—</w:t>
      </w:r>
      <w:r w:rsidR="00F0725A" w:rsidRPr="005B75E5">
        <w:rPr>
          <w:u w:val="single"/>
        </w:rPr>
        <w:t>Investment limitations</w:t>
      </w:r>
    </w:p>
    <w:p w14:paraId="57BB752E" w14:textId="77675CA6" w:rsidR="003C6001" w:rsidRPr="005B75E5" w:rsidRDefault="00F0725A" w:rsidP="0038005C">
      <w:pPr>
        <w:spacing w:before="240"/>
      </w:pPr>
      <w:r w:rsidRPr="005B75E5">
        <w:t>Th</w:t>
      </w:r>
      <w:r w:rsidR="009A49CA">
        <w:t>is</w:t>
      </w:r>
      <w:r w:rsidRPr="005B75E5">
        <w:t xml:space="preserve"> section requires a community charity </w:t>
      </w:r>
      <w:r w:rsidR="009A49CA">
        <w:t>to</w:t>
      </w:r>
      <w:r w:rsidRPr="005B75E5">
        <w:t xml:space="preserve"> </w:t>
      </w:r>
      <w:r w:rsidR="002F5AF7" w:rsidRPr="005B75E5">
        <w:t>comply with certain investment limitations to protect the charity’s philanthropic assets</w:t>
      </w:r>
      <w:r w:rsidRPr="005B75E5">
        <w:t>.</w:t>
      </w:r>
      <w:r w:rsidR="00110181" w:rsidRPr="005B75E5">
        <w:t xml:space="preserve"> </w:t>
      </w:r>
    </w:p>
    <w:p w14:paraId="397C28C6" w14:textId="325E8B5C" w:rsidR="009832AF" w:rsidRPr="005B75E5" w:rsidRDefault="009832AF" w:rsidP="0038005C">
      <w:pPr>
        <w:spacing w:before="240"/>
      </w:pPr>
      <w:r w:rsidRPr="005B75E5">
        <w:t>The charity’s investments must be</w:t>
      </w:r>
      <w:r w:rsidR="00AD09DC" w:rsidRPr="005B75E5">
        <w:t xml:space="preserve"> </w:t>
      </w:r>
      <w:r w:rsidR="00576618">
        <w:t xml:space="preserve">made </w:t>
      </w:r>
      <w:r w:rsidR="00AD09DC" w:rsidRPr="005B75E5">
        <w:t xml:space="preserve">on an arm’s length </w:t>
      </w:r>
      <w:proofErr w:type="gramStart"/>
      <w:r w:rsidR="00AD09DC" w:rsidRPr="005B75E5">
        <w:t>basis, unless</w:t>
      </w:r>
      <w:proofErr w:type="gramEnd"/>
      <w:r w:rsidR="00AD09DC" w:rsidRPr="005B75E5">
        <w:t xml:space="preserve"> the </w:t>
      </w:r>
      <w:r w:rsidR="009F3B96" w:rsidRPr="005B75E5">
        <w:t>g</w:t>
      </w:r>
      <w:r w:rsidR="00AD09DC" w:rsidRPr="005B75E5">
        <w:t>uidelines provide otherwise.</w:t>
      </w:r>
    </w:p>
    <w:p w14:paraId="3393B42E" w14:textId="2C979ADA" w:rsidR="00FC292B" w:rsidRPr="005B75E5" w:rsidRDefault="00FC292B" w:rsidP="0038005C">
      <w:pPr>
        <w:spacing w:before="240"/>
      </w:pPr>
      <w:r w:rsidRPr="005B75E5">
        <w:t xml:space="preserve">Security over an asset of the charity must not be </w:t>
      </w:r>
      <w:r w:rsidR="007D1FF7" w:rsidRPr="005B75E5">
        <w:t>given</w:t>
      </w:r>
      <w:r w:rsidRPr="005B75E5">
        <w:t xml:space="preserve"> or </w:t>
      </w:r>
      <w:r w:rsidR="007D1FF7" w:rsidRPr="005B75E5">
        <w:t>authorised by the trustee or corporate director of the charity</w:t>
      </w:r>
      <w:r w:rsidR="00260794" w:rsidRPr="005B75E5">
        <w:t xml:space="preserve">. This does not apply </w:t>
      </w:r>
      <w:r w:rsidR="001C51A1" w:rsidRPr="005B75E5">
        <w:t xml:space="preserve">to a </w:t>
      </w:r>
      <w:r w:rsidR="001F6084" w:rsidRPr="005B75E5">
        <w:t xml:space="preserve">particular </w:t>
      </w:r>
      <w:r w:rsidR="001C51A1" w:rsidRPr="005B75E5">
        <w:t xml:space="preserve">financial instrument excluded by the Commissioner or an agreement </w:t>
      </w:r>
      <w:r w:rsidR="003D3E47" w:rsidRPr="005B75E5">
        <w:t>to guarantee certain repayments for the s</w:t>
      </w:r>
      <w:r w:rsidR="00792BC7" w:rsidRPr="005B75E5">
        <w:t>o</w:t>
      </w:r>
      <w:r w:rsidR="003D3E47" w:rsidRPr="005B75E5">
        <w:t>le benefit</w:t>
      </w:r>
      <w:r w:rsidR="00792BC7" w:rsidRPr="005B75E5">
        <w:t xml:space="preserve"> of deductible gift recipients.</w:t>
      </w:r>
    </w:p>
    <w:p w14:paraId="473D4BBA" w14:textId="146C65CD" w:rsidR="00030E80" w:rsidRPr="005B75E5" w:rsidRDefault="00030E80" w:rsidP="0038005C">
      <w:pPr>
        <w:spacing w:before="240"/>
      </w:pPr>
      <w:r w:rsidRPr="005B75E5">
        <w:t xml:space="preserve">Section 19 also limits the </w:t>
      </w:r>
      <w:r w:rsidR="003038B0" w:rsidRPr="005B75E5">
        <w:t xml:space="preserve">acquiring of assets or the making of loans or provision of other financial assistance to </w:t>
      </w:r>
      <w:r w:rsidR="00EF1C80" w:rsidRPr="005B75E5">
        <w:t>certain persons associated with the charity</w:t>
      </w:r>
      <w:r w:rsidR="00E025E1">
        <w:t xml:space="preserve">, such as </w:t>
      </w:r>
      <w:r w:rsidR="00EF1C80" w:rsidRPr="005B75E5">
        <w:t>donors to or founders of the charity or their relatives, or associates of any of those entities</w:t>
      </w:r>
      <w:r w:rsidR="00C42423" w:rsidRPr="005B75E5">
        <w:t>, except by way of arm</w:t>
      </w:r>
      <w:r w:rsidR="00A44134">
        <w:t>’</w:t>
      </w:r>
      <w:r w:rsidR="00C42423" w:rsidRPr="005B75E5">
        <w:t>s length commercial transactions or on terms</w:t>
      </w:r>
      <w:r w:rsidR="00B150A4" w:rsidRPr="005B75E5">
        <w:t xml:space="preserve"> more favourable to the charity</w:t>
      </w:r>
      <w:r w:rsidR="007356FD" w:rsidRPr="005B75E5">
        <w:t xml:space="preserve"> than such a commercial transaction</w:t>
      </w:r>
      <w:r w:rsidR="00B150A4" w:rsidRPr="005B75E5">
        <w:t>.</w:t>
      </w:r>
    </w:p>
    <w:p w14:paraId="4A584EDF" w14:textId="0D98CAE8" w:rsidR="007E2B00" w:rsidRPr="005B75E5" w:rsidRDefault="008E6CDC" w:rsidP="0038005C">
      <w:pPr>
        <w:spacing w:before="240"/>
        <w:rPr>
          <w:color w:val="000000"/>
          <w:szCs w:val="22"/>
        </w:rPr>
      </w:pPr>
      <w:r w:rsidRPr="005B75E5">
        <w:t>The assets of the charity must be kept separate from other assets</w:t>
      </w:r>
      <w:r w:rsidR="00A47F9E" w:rsidRPr="005B75E5">
        <w:t>, but this requirement does not prevent</w:t>
      </w:r>
      <w:r w:rsidR="002B718B" w:rsidRPr="005B75E5">
        <w:t xml:space="preserve"> </w:t>
      </w:r>
      <w:r w:rsidR="002B718B" w:rsidRPr="005B75E5">
        <w:rPr>
          <w:color w:val="000000"/>
          <w:szCs w:val="22"/>
        </w:rPr>
        <w:t>a licensed trustee company (within the meaning of the </w:t>
      </w:r>
      <w:r w:rsidR="002B718B" w:rsidRPr="005B75E5">
        <w:rPr>
          <w:i/>
          <w:iCs/>
          <w:color w:val="000000"/>
          <w:szCs w:val="22"/>
        </w:rPr>
        <w:t>Corporations Act 2001</w:t>
      </w:r>
      <w:r w:rsidR="002B718B" w:rsidRPr="005B75E5">
        <w:rPr>
          <w:color w:val="000000"/>
          <w:szCs w:val="22"/>
        </w:rPr>
        <w:t>) or the public trustee of a State or Territory from operating common community charity trusts for investment purposes</w:t>
      </w:r>
      <w:r w:rsidR="00407C5F" w:rsidRPr="005B75E5">
        <w:rPr>
          <w:color w:val="000000"/>
          <w:szCs w:val="22"/>
        </w:rPr>
        <w:t>.</w:t>
      </w:r>
    </w:p>
    <w:p w14:paraId="39751EC4" w14:textId="01EE7439" w:rsidR="00407C5F" w:rsidRPr="005B75E5" w:rsidRDefault="0041443A" w:rsidP="0038005C">
      <w:pPr>
        <w:spacing w:before="240"/>
        <w:rPr>
          <w:color w:val="000000"/>
          <w:szCs w:val="22"/>
        </w:rPr>
      </w:pPr>
      <w:r w:rsidRPr="005B75E5">
        <w:rPr>
          <w:color w:val="000000"/>
          <w:szCs w:val="22"/>
        </w:rPr>
        <w:t>The section</w:t>
      </w:r>
      <w:r w:rsidR="003C1A0B" w:rsidRPr="005B75E5">
        <w:rPr>
          <w:color w:val="000000"/>
          <w:szCs w:val="22"/>
        </w:rPr>
        <w:t xml:space="preserve"> also</w:t>
      </w:r>
      <w:r w:rsidRPr="005B75E5">
        <w:rPr>
          <w:color w:val="000000"/>
          <w:szCs w:val="22"/>
        </w:rPr>
        <w:t xml:space="preserve"> limits the circumstances in which a community </w:t>
      </w:r>
      <w:r w:rsidR="00DB1426" w:rsidRPr="005B75E5">
        <w:rPr>
          <w:color w:val="000000"/>
          <w:szCs w:val="22"/>
        </w:rPr>
        <w:t xml:space="preserve">charity </w:t>
      </w:r>
      <w:r w:rsidRPr="005B75E5">
        <w:rPr>
          <w:color w:val="000000"/>
          <w:szCs w:val="22"/>
        </w:rPr>
        <w:t xml:space="preserve">may acquire </w:t>
      </w:r>
      <w:r w:rsidR="00AB120E" w:rsidRPr="005B75E5">
        <w:rPr>
          <w:color w:val="000000"/>
          <w:szCs w:val="22"/>
        </w:rPr>
        <w:t>asset</w:t>
      </w:r>
      <w:r w:rsidR="002B1DF9" w:rsidRPr="005B75E5">
        <w:rPr>
          <w:color w:val="000000"/>
          <w:szCs w:val="22"/>
        </w:rPr>
        <w:t>s</w:t>
      </w:r>
      <w:r w:rsidR="00AB120E" w:rsidRPr="005B75E5">
        <w:rPr>
          <w:color w:val="000000"/>
          <w:szCs w:val="22"/>
        </w:rPr>
        <w:t xml:space="preserve"> that </w:t>
      </w:r>
      <w:r w:rsidR="002B1DF9" w:rsidRPr="005B75E5">
        <w:rPr>
          <w:color w:val="000000"/>
          <w:szCs w:val="22"/>
        </w:rPr>
        <w:t>are</w:t>
      </w:r>
      <w:r w:rsidR="00AB120E" w:rsidRPr="005B75E5">
        <w:rPr>
          <w:color w:val="000000"/>
          <w:szCs w:val="22"/>
        </w:rPr>
        <w:t xml:space="preserve"> collectable</w:t>
      </w:r>
      <w:r w:rsidR="002B1DF9" w:rsidRPr="005B75E5">
        <w:rPr>
          <w:color w:val="000000"/>
          <w:szCs w:val="22"/>
        </w:rPr>
        <w:t>s</w:t>
      </w:r>
      <w:r w:rsidR="00DB1426" w:rsidRPr="005B75E5">
        <w:rPr>
          <w:color w:val="000000"/>
          <w:szCs w:val="22"/>
        </w:rPr>
        <w:t>. A collectable may only be acquired by way</w:t>
      </w:r>
      <w:r w:rsidR="00014F59" w:rsidRPr="005B75E5">
        <w:rPr>
          <w:color w:val="000000"/>
          <w:szCs w:val="22"/>
        </w:rPr>
        <w:t xml:space="preserve"> of gift or if the acquisition of the collectable is in the direct course or furtherance of a purpose of the charity.</w:t>
      </w:r>
      <w:r w:rsidR="00A868BE" w:rsidRPr="005B75E5">
        <w:rPr>
          <w:color w:val="000000"/>
          <w:szCs w:val="22"/>
        </w:rPr>
        <w:t xml:space="preserve"> Where the collectable is a gift, it must be sold or distributed within 12 months after it is acquired unless it is used or kept mainly for a</w:t>
      </w:r>
      <w:r w:rsidR="00806EC2" w:rsidRPr="005B75E5">
        <w:rPr>
          <w:color w:val="000000"/>
          <w:szCs w:val="22"/>
        </w:rPr>
        <w:t xml:space="preserve"> purpose or activity of a cultural organisation listed in the table in subsection 30.100(1) of the ITAA</w:t>
      </w:r>
      <w:r w:rsidR="00B269DE" w:rsidRPr="005B75E5">
        <w:rPr>
          <w:color w:val="000000"/>
          <w:szCs w:val="22"/>
        </w:rPr>
        <w:t xml:space="preserve"> 1997</w:t>
      </w:r>
      <w:r w:rsidR="00DA7437" w:rsidRPr="005B75E5">
        <w:rPr>
          <w:color w:val="000000"/>
          <w:szCs w:val="22"/>
        </w:rPr>
        <w:t xml:space="preserve">. This exception allows </w:t>
      </w:r>
      <w:r w:rsidR="00DF418A" w:rsidRPr="005B75E5">
        <w:rPr>
          <w:color w:val="000000"/>
          <w:szCs w:val="22"/>
        </w:rPr>
        <w:t>a relevant</w:t>
      </w:r>
      <w:r w:rsidR="00794620" w:rsidRPr="005B75E5">
        <w:rPr>
          <w:color w:val="000000"/>
          <w:szCs w:val="22"/>
        </w:rPr>
        <w:t xml:space="preserve"> community charity</w:t>
      </w:r>
      <w:r w:rsidR="00DF418A" w:rsidRPr="005B75E5">
        <w:rPr>
          <w:color w:val="000000"/>
          <w:szCs w:val="22"/>
        </w:rPr>
        <w:t xml:space="preserve"> to </w:t>
      </w:r>
      <w:r w:rsidR="00D07823" w:rsidRPr="005B75E5">
        <w:rPr>
          <w:color w:val="000000"/>
          <w:szCs w:val="22"/>
        </w:rPr>
        <w:t xml:space="preserve">keep a collectable donated for the purpose of </w:t>
      </w:r>
      <w:r w:rsidR="00C53D85" w:rsidRPr="005B75E5">
        <w:rPr>
          <w:color w:val="000000"/>
          <w:szCs w:val="22"/>
        </w:rPr>
        <w:t>display</w:t>
      </w:r>
      <w:r w:rsidR="00560C81">
        <w:rPr>
          <w:color w:val="000000"/>
          <w:szCs w:val="22"/>
        </w:rPr>
        <w:t xml:space="preserve"> </w:t>
      </w:r>
      <w:r w:rsidR="005434B6">
        <w:rPr>
          <w:color w:val="000000"/>
          <w:szCs w:val="22"/>
        </w:rPr>
        <w:t xml:space="preserve">in, </w:t>
      </w:r>
      <w:r w:rsidR="00C53D85" w:rsidRPr="005B75E5">
        <w:rPr>
          <w:color w:val="000000"/>
          <w:szCs w:val="22"/>
        </w:rPr>
        <w:t>for example, a museum or library</w:t>
      </w:r>
      <w:r w:rsidR="00D040D9">
        <w:rPr>
          <w:color w:val="000000"/>
          <w:szCs w:val="22"/>
        </w:rPr>
        <w:t>,</w:t>
      </w:r>
      <w:r w:rsidR="00E40C63" w:rsidRPr="005B75E5">
        <w:rPr>
          <w:color w:val="000000"/>
          <w:szCs w:val="22"/>
        </w:rPr>
        <w:t xml:space="preserve"> </w:t>
      </w:r>
      <w:r w:rsidR="00182006">
        <w:rPr>
          <w:color w:val="000000"/>
          <w:szCs w:val="22"/>
        </w:rPr>
        <w:t>if the collectable</w:t>
      </w:r>
      <w:r w:rsidR="00E40C63" w:rsidRPr="005B75E5">
        <w:rPr>
          <w:color w:val="000000"/>
          <w:szCs w:val="22"/>
        </w:rPr>
        <w:t xml:space="preserve"> </w:t>
      </w:r>
      <w:r w:rsidR="009108CE">
        <w:rPr>
          <w:color w:val="000000"/>
          <w:szCs w:val="22"/>
        </w:rPr>
        <w:t xml:space="preserve">is in fact </w:t>
      </w:r>
      <w:r w:rsidR="00E25B24" w:rsidRPr="005B75E5">
        <w:rPr>
          <w:color w:val="000000"/>
          <w:szCs w:val="22"/>
        </w:rPr>
        <w:t>used or kept for that purpose</w:t>
      </w:r>
      <w:r w:rsidR="00C53D85" w:rsidRPr="005B75E5">
        <w:rPr>
          <w:color w:val="000000"/>
          <w:szCs w:val="22"/>
        </w:rPr>
        <w:t>.</w:t>
      </w:r>
    </w:p>
    <w:p w14:paraId="76A89252" w14:textId="52168177" w:rsidR="003769A4" w:rsidRPr="005B75E5" w:rsidRDefault="003769A4" w:rsidP="003769A4">
      <w:pPr>
        <w:spacing w:before="240"/>
      </w:pPr>
      <w:r w:rsidRPr="005B75E5">
        <w:t>Penalties of 30 penalty units are provided for non-compliance with these limitations.</w:t>
      </w:r>
    </w:p>
    <w:p w14:paraId="033F33BB" w14:textId="5C431B80" w:rsidR="00546372" w:rsidRPr="005B75E5" w:rsidRDefault="00E3788A" w:rsidP="0038005C">
      <w:pPr>
        <w:spacing w:before="240"/>
        <w:rPr>
          <w:u w:val="single"/>
        </w:rPr>
      </w:pPr>
      <w:r w:rsidRPr="005B75E5">
        <w:rPr>
          <w:u w:val="single"/>
        </w:rPr>
        <w:t>Section 20—Uncommercial transactions and benefits to founders and donors</w:t>
      </w:r>
    </w:p>
    <w:p w14:paraId="6668C791" w14:textId="00BD0577" w:rsidR="00546372" w:rsidRPr="005B75E5" w:rsidRDefault="00B7567E" w:rsidP="0038005C">
      <w:pPr>
        <w:spacing w:before="240"/>
      </w:pPr>
      <w:r w:rsidRPr="005B75E5">
        <w:t xml:space="preserve">This section generally </w:t>
      </w:r>
      <w:r w:rsidR="002B219E" w:rsidRPr="005B75E5">
        <w:t>limits</w:t>
      </w:r>
      <w:r w:rsidRPr="005B75E5">
        <w:t xml:space="preserve"> </w:t>
      </w:r>
      <w:r w:rsidR="00E520B3" w:rsidRPr="005B75E5">
        <w:t>a community charity from entering into uncommercial transactions or providing benefits to founders and donors.</w:t>
      </w:r>
    </w:p>
    <w:p w14:paraId="19E2CD96" w14:textId="1D8A2651" w:rsidR="00E520B3" w:rsidRPr="005B75E5" w:rsidRDefault="00E520B3" w:rsidP="0038005C">
      <w:pPr>
        <w:spacing w:before="240"/>
      </w:pPr>
      <w:r w:rsidRPr="005B75E5">
        <w:t xml:space="preserve">Specifically, </w:t>
      </w:r>
      <w:r w:rsidR="007F52DD" w:rsidRPr="005B75E5">
        <w:t>section 20 pro</w:t>
      </w:r>
      <w:r w:rsidR="000D73B8" w:rsidRPr="005B75E5">
        <w:t xml:space="preserve">hibits </w:t>
      </w:r>
      <w:r w:rsidR="0056700D" w:rsidRPr="005B75E5">
        <w:t xml:space="preserve">a community charity </w:t>
      </w:r>
      <w:r w:rsidR="000D73B8" w:rsidRPr="005B75E5">
        <w:t>from entering</w:t>
      </w:r>
      <w:r w:rsidR="003C14CE" w:rsidRPr="005B75E5">
        <w:t xml:space="preserve"> into an uncommercial transaction unless it is in the direct course or furtherance of</w:t>
      </w:r>
      <w:r w:rsidR="00FB0891" w:rsidRPr="005B75E5">
        <w:t xml:space="preserve"> a purpose of the charity</w:t>
      </w:r>
      <w:r w:rsidR="00B02FA0" w:rsidRPr="005B75E5">
        <w:t xml:space="preserve"> covered by section 30-100 of the ITAA</w:t>
      </w:r>
      <w:r w:rsidR="00B269DE" w:rsidRPr="005B75E5">
        <w:t xml:space="preserve"> </w:t>
      </w:r>
      <w:proofErr w:type="gramStart"/>
      <w:r w:rsidR="00B269DE" w:rsidRPr="005B75E5">
        <w:t>1997</w:t>
      </w:r>
      <w:r w:rsidR="00B02FA0" w:rsidRPr="005B75E5">
        <w:t>, and</w:t>
      </w:r>
      <w:proofErr w:type="gramEnd"/>
      <w:r w:rsidR="00B02FA0" w:rsidRPr="005B75E5">
        <w:t xml:space="preserve"> provides for a penalty of 30 penalty units for </w:t>
      </w:r>
      <w:r w:rsidR="00EE3A79" w:rsidRPr="005B75E5">
        <w:t xml:space="preserve">a </w:t>
      </w:r>
      <w:r w:rsidR="00B02FA0" w:rsidRPr="005B75E5">
        <w:t>breach</w:t>
      </w:r>
      <w:r w:rsidR="00587861" w:rsidRPr="005B75E5">
        <w:t>. This does not prevent</w:t>
      </w:r>
      <w:r w:rsidR="00373697" w:rsidRPr="005B75E5">
        <w:t xml:space="preserve"> a charity from entering into an </w:t>
      </w:r>
      <w:r w:rsidR="00CF7E98" w:rsidRPr="005B75E5">
        <w:t>uncommercial</w:t>
      </w:r>
      <w:r w:rsidR="00373697" w:rsidRPr="005B75E5">
        <w:t xml:space="preserve"> transaction </w:t>
      </w:r>
      <w:r w:rsidR="00C01B4B" w:rsidRPr="005B75E5">
        <w:t xml:space="preserve">each of </w:t>
      </w:r>
      <w:r w:rsidR="00FF1193" w:rsidRPr="005B75E5">
        <w:t>the</w:t>
      </w:r>
      <w:r w:rsidR="00C01B4B" w:rsidRPr="005B75E5">
        <w:t xml:space="preserve"> terms</w:t>
      </w:r>
      <w:r w:rsidR="00FF1193" w:rsidRPr="005B75E5">
        <w:t xml:space="preserve"> of which</w:t>
      </w:r>
      <w:r w:rsidR="00C01B4B" w:rsidRPr="005B75E5">
        <w:t xml:space="preserve"> is more favourable to the charity than would be expected under an arm</w:t>
      </w:r>
      <w:r w:rsidR="00A44134">
        <w:t>’</w:t>
      </w:r>
      <w:r w:rsidR="00C01B4B" w:rsidRPr="005B75E5">
        <w:t>s length transaction.</w:t>
      </w:r>
    </w:p>
    <w:p w14:paraId="4BAFFCB5" w14:textId="32FE665C" w:rsidR="00CF7E98" w:rsidRPr="005B75E5" w:rsidRDefault="00CF7E98" w:rsidP="0038005C">
      <w:pPr>
        <w:spacing w:before="240"/>
      </w:pPr>
      <w:r w:rsidRPr="005B75E5">
        <w:t xml:space="preserve">Also, a community charity </w:t>
      </w:r>
      <w:r w:rsidR="00EE3C60" w:rsidRPr="005B75E5">
        <w:t>is prohibited from providing</w:t>
      </w:r>
      <w:r w:rsidR="00793ED0" w:rsidRPr="005B75E5">
        <w:t>, directly or indirectly</w:t>
      </w:r>
      <w:r w:rsidR="00946660" w:rsidRPr="005B75E5">
        <w:t>, a benefit to the trustee</w:t>
      </w:r>
      <w:r w:rsidR="00601FCD" w:rsidRPr="005B75E5">
        <w:t xml:space="preserve"> or certain other</w:t>
      </w:r>
      <w:r w:rsidR="00B53DCF" w:rsidRPr="005B75E5">
        <w:t xml:space="preserve"> persons associated with the charity,</w:t>
      </w:r>
      <w:r w:rsidR="00780799" w:rsidRPr="005B75E5">
        <w:t xml:space="preserve"> </w:t>
      </w:r>
      <w:r w:rsidR="00E025E1">
        <w:t xml:space="preserve">such as </w:t>
      </w:r>
      <w:r w:rsidR="00780799" w:rsidRPr="005B75E5">
        <w:t>donor</w:t>
      </w:r>
      <w:r w:rsidR="00E575FC" w:rsidRPr="005B75E5">
        <w:t>s</w:t>
      </w:r>
      <w:r w:rsidR="00780799" w:rsidRPr="005B75E5">
        <w:t xml:space="preserve"> or founder</w:t>
      </w:r>
      <w:r w:rsidR="00E575FC" w:rsidRPr="005B75E5">
        <w:t>s</w:t>
      </w:r>
      <w:r w:rsidR="00780799" w:rsidRPr="005B75E5">
        <w:t xml:space="preserve"> of the charity or </w:t>
      </w:r>
      <w:r w:rsidR="00625292" w:rsidRPr="005B75E5">
        <w:t>their</w:t>
      </w:r>
      <w:r w:rsidR="00780799" w:rsidRPr="005B75E5">
        <w:t xml:space="preserve"> relatives</w:t>
      </w:r>
      <w:r w:rsidR="00E575FC" w:rsidRPr="005B75E5">
        <w:t>,</w:t>
      </w:r>
      <w:r w:rsidR="00780799" w:rsidRPr="005B75E5">
        <w:t xml:space="preserve"> or associates</w:t>
      </w:r>
      <w:r w:rsidR="00E575FC" w:rsidRPr="005B75E5">
        <w:t xml:space="preserve"> of any of those </w:t>
      </w:r>
      <w:r w:rsidR="00662A39">
        <w:t>persons</w:t>
      </w:r>
      <w:r w:rsidR="0020393F" w:rsidRPr="005B75E5">
        <w:t xml:space="preserve"> (unless the associate is itself an eligible </w:t>
      </w:r>
      <w:r w:rsidR="00E4727D" w:rsidRPr="005B75E5">
        <w:t>deductible gift recipient</w:t>
      </w:r>
      <w:r w:rsidR="0020393F" w:rsidRPr="005B75E5">
        <w:t xml:space="preserve"> or registered charity)</w:t>
      </w:r>
      <w:r w:rsidR="00E575FC" w:rsidRPr="005B75E5">
        <w:t>.</w:t>
      </w:r>
      <w:r w:rsidR="00570226" w:rsidRPr="005B75E5">
        <w:t xml:space="preserve"> </w:t>
      </w:r>
      <w:r w:rsidR="006A54F1" w:rsidRPr="005B75E5">
        <w:t>The penalty for a breach is an amount equal to the amount or value of the benefit.</w:t>
      </w:r>
    </w:p>
    <w:p w14:paraId="6C1A044A" w14:textId="47673402" w:rsidR="009E4E5B" w:rsidRPr="005B75E5" w:rsidRDefault="009E4E5B" w:rsidP="0038005C">
      <w:pPr>
        <w:spacing w:before="240"/>
        <w:rPr>
          <w:u w:val="single"/>
        </w:rPr>
      </w:pPr>
      <w:r w:rsidRPr="005B75E5">
        <w:rPr>
          <w:u w:val="single"/>
        </w:rPr>
        <w:lastRenderedPageBreak/>
        <w:t>Section 21—Fees and expenses</w:t>
      </w:r>
    </w:p>
    <w:p w14:paraId="5D81F77B" w14:textId="64A99815" w:rsidR="009E4E5B" w:rsidRPr="005B75E5" w:rsidRDefault="00F77CEB" w:rsidP="0038005C">
      <w:pPr>
        <w:spacing w:before="240"/>
      </w:pPr>
      <w:r w:rsidRPr="005B75E5">
        <w:t xml:space="preserve">This section allows a trustee </w:t>
      </w:r>
      <w:r w:rsidR="00572981" w:rsidRPr="005B75E5">
        <w:t xml:space="preserve">or corporate director </w:t>
      </w:r>
      <w:r w:rsidRPr="005B75E5">
        <w:t xml:space="preserve">of a community charity to be </w:t>
      </w:r>
      <w:r w:rsidR="00CE3F14" w:rsidRPr="005B75E5">
        <w:t xml:space="preserve">reasonably </w:t>
      </w:r>
      <w:r w:rsidRPr="005B75E5">
        <w:t>reimbursed or re</w:t>
      </w:r>
      <w:r w:rsidR="000A380F">
        <w:t>mun</w:t>
      </w:r>
      <w:r w:rsidRPr="005B75E5">
        <w:t>erated out of the</w:t>
      </w:r>
      <w:r w:rsidR="00572981" w:rsidRPr="005B75E5">
        <w:t xml:space="preserve"> charity’s income or capital.</w:t>
      </w:r>
      <w:r w:rsidR="00052629" w:rsidRPr="005B75E5">
        <w:t xml:space="preserve"> It also allows for fair and reasonable remuneration to be paid to an employee of the charity and for an employee to be </w:t>
      </w:r>
      <w:r w:rsidR="00AC679F" w:rsidRPr="005B75E5">
        <w:t>reimbursed for reasonable expenses incurred</w:t>
      </w:r>
      <w:r w:rsidR="00B018CF">
        <w:t xml:space="preserve"> on the charity’s behalf</w:t>
      </w:r>
      <w:r w:rsidR="00AC679F" w:rsidRPr="005B75E5">
        <w:t>.</w:t>
      </w:r>
    </w:p>
    <w:p w14:paraId="443A5ED5" w14:textId="4BCB15C8" w:rsidR="009E4E5B" w:rsidRPr="005B75E5" w:rsidRDefault="009E4E5B" w:rsidP="0038005C">
      <w:pPr>
        <w:spacing w:before="240"/>
        <w:rPr>
          <w:u w:val="single"/>
        </w:rPr>
      </w:pPr>
      <w:r w:rsidRPr="005B75E5">
        <w:rPr>
          <w:u w:val="single"/>
        </w:rPr>
        <w:t>Section 22—Receipts for donations</w:t>
      </w:r>
    </w:p>
    <w:p w14:paraId="704786E2" w14:textId="5C14DA20" w:rsidR="009E4E5B" w:rsidRPr="005B75E5" w:rsidRDefault="00B54A26" w:rsidP="0038005C">
      <w:pPr>
        <w:spacing w:before="240"/>
      </w:pPr>
      <w:r w:rsidRPr="005B75E5">
        <w:t>This section requires a community charity</w:t>
      </w:r>
      <w:r w:rsidR="000F14C0" w:rsidRPr="005B75E5">
        <w:t xml:space="preserve"> to issue receipts for gifts received and for the receipt to contain </w:t>
      </w:r>
      <w:r w:rsidR="004D0D43" w:rsidRPr="005B75E5">
        <w:t>certain details of the charity</w:t>
      </w:r>
      <w:r w:rsidR="007C6EDB" w:rsidRPr="005B75E5">
        <w:t>, the donor and the gift.</w:t>
      </w:r>
    </w:p>
    <w:p w14:paraId="605FFBB3" w14:textId="01A4686C" w:rsidR="009E4E5B" w:rsidRPr="005B75E5" w:rsidRDefault="009E4E5B" w:rsidP="0038005C">
      <w:pPr>
        <w:spacing w:before="240"/>
        <w:rPr>
          <w:u w:val="single"/>
        </w:rPr>
      </w:pPr>
      <w:r w:rsidRPr="005B75E5">
        <w:rPr>
          <w:u w:val="single"/>
        </w:rPr>
        <w:t>Section 23—Compliance with all relevant laws</w:t>
      </w:r>
    </w:p>
    <w:p w14:paraId="00C7FD07" w14:textId="79B41EEE" w:rsidR="009E4E5B" w:rsidRPr="005B75E5" w:rsidRDefault="00611BD2" w:rsidP="0038005C">
      <w:pPr>
        <w:spacing w:before="240"/>
      </w:pPr>
      <w:r w:rsidRPr="005B75E5">
        <w:t>This section requires a community charity</w:t>
      </w:r>
      <w:r w:rsidR="00350999" w:rsidRPr="005B75E5">
        <w:t xml:space="preserve">, and its trustee or corporate director, to comply with all </w:t>
      </w:r>
      <w:r w:rsidR="00147EFE" w:rsidRPr="005B75E5">
        <w:t>relevant Australian laws</w:t>
      </w:r>
      <w:r w:rsidR="002B1EB4" w:rsidRPr="005B75E5">
        <w:t xml:space="preserve">, all legally </w:t>
      </w:r>
      <w:r w:rsidR="00055057" w:rsidRPr="005B75E5">
        <w:t>b</w:t>
      </w:r>
      <w:r w:rsidR="002B1EB4" w:rsidRPr="005B75E5">
        <w:t>inding directions</w:t>
      </w:r>
      <w:r w:rsidR="00147EFE" w:rsidRPr="005B75E5">
        <w:t xml:space="preserve"> given by the Commission</w:t>
      </w:r>
      <w:r w:rsidR="00055057" w:rsidRPr="005B75E5">
        <w:t>er</w:t>
      </w:r>
      <w:r w:rsidR="00147EFE" w:rsidRPr="005B75E5">
        <w:t xml:space="preserve"> and the requirements of the </w:t>
      </w:r>
      <w:r w:rsidR="009F3B96" w:rsidRPr="005B75E5">
        <w:t>g</w:t>
      </w:r>
      <w:r w:rsidR="00147EFE" w:rsidRPr="005B75E5">
        <w:t>uidelines.</w:t>
      </w:r>
      <w:r w:rsidR="0086740A" w:rsidRPr="005B75E5">
        <w:t xml:space="preserve"> </w:t>
      </w:r>
      <w:r w:rsidR="00A265F1">
        <w:t>‘</w:t>
      </w:r>
      <w:r w:rsidR="00105E63" w:rsidRPr="005B75E5">
        <w:t xml:space="preserve">All relevant </w:t>
      </w:r>
      <w:r w:rsidR="00A265F1">
        <w:t xml:space="preserve">Australian </w:t>
      </w:r>
      <w:proofErr w:type="gramStart"/>
      <w:r w:rsidR="00105E63" w:rsidRPr="005B75E5">
        <w:t>laws</w:t>
      </w:r>
      <w:r w:rsidR="00A265F1">
        <w:t>’</w:t>
      </w:r>
      <w:proofErr w:type="gramEnd"/>
      <w:r w:rsidR="00105E63" w:rsidRPr="005B75E5">
        <w:t xml:space="preserve"> </w:t>
      </w:r>
      <w:r w:rsidR="00874125" w:rsidRPr="005B75E5">
        <w:t xml:space="preserve">will include any laws that go to a trust’s validity or </w:t>
      </w:r>
      <w:r w:rsidR="00E572CF" w:rsidRPr="005B75E5">
        <w:t>to a corporate director’s responsibi</w:t>
      </w:r>
      <w:r w:rsidR="007E5F31" w:rsidRPr="005B75E5">
        <w:t>li</w:t>
      </w:r>
      <w:r w:rsidR="00E572CF" w:rsidRPr="005B75E5">
        <w:t>ties.</w:t>
      </w:r>
    </w:p>
    <w:p w14:paraId="5DD918E0" w14:textId="185F91E2" w:rsidR="007E478A" w:rsidRPr="005B75E5" w:rsidRDefault="007E478A" w:rsidP="0038005C">
      <w:pPr>
        <w:spacing w:before="240"/>
        <w:rPr>
          <w:u w:val="single"/>
        </w:rPr>
      </w:pPr>
      <w:r w:rsidRPr="005B75E5">
        <w:rPr>
          <w:u w:val="single"/>
        </w:rPr>
        <w:t>Section 24—</w:t>
      </w:r>
      <w:r w:rsidR="00A86F69" w:rsidRPr="005B75E5">
        <w:rPr>
          <w:u w:val="single"/>
        </w:rPr>
        <w:t>W</w:t>
      </w:r>
      <w:r w:rsidRPr="005B75E5">
        <w:rPr>
          <w:u w:val="single"/>
        </w:rPr>
        <w:t>inding up, or ceasing to be</w:t>
      </w:r>
      <w:r w:rsidR="005D19E8">
        <w:rPr>
          <w:u w:val="single"/>
        </w:rPr>
        <w:t>,</w:t>
      </w:r>
      <w:r w:rsidRPr="005B75E5">
        <w:rPr>
          <w:u w:val="single"/>
        </w:rPr>
        <w:t xml:space="preserve"> a community charity</w:t>
      </w:r>
    </w:p>
    <w:p w14:paraId="10F1BDB5" w14:textId="0A8BAACE" w:rsidR="00897FB6" w:rsidRPr="005B75E5" w:rsidRDefault="001A348A" w:rsidP="00393827">
      <w:pPr>
        <w:spacing w:before="240"/>
      </w:pPr>
      <w:r w:rsidRPr="005B75E5">
        <w:t xml:space="preserve">This section </w:t>
      </w:r>
      <w:r w:rsidR="00CF1BCB">
        <w:t xml:space="preserve">imposes obligations on a community charity </w:t>
      </w:r>
      <w:r w:rsidR="00287F6F">
        <w:t xml:space="preserve">that is </w:t>
      </w:r>
      <w:r w:rsidR="00E17B73" w:rsidRPr="005B75E5">
        <w:t>wound up or ceases to be a</w:t>
      </w:r>
      <w:r w:rsidR="00F050FE" w:rsidRPr="005B75E5">
        <w:t xml:space="preserve"> community charity. </w:t>
      </w:r>
      <w:r w:rsidR="00A21FEE">
        <w:t>In these circumstances, a</w:t>
      </w:r>
      <w:r w:rsidR="0090412D" w:rsidRPr="005B75E5">
        <w:t xml:space="preserve">ll </w:t>
      </w:r>
      <w:r w:rsidR="005B3851">
        <w:t>net</w:t>
      </w:r>
      <w:r w:rsidR="005B3851" w:rsidRPr="005B75E5">
        <w:t xml:space="preserve"> </w:t>
      </w:r>
      <w:r w:rsidR="0090412D" w:rsidRPr="005B75E5">
        <w:t xml:space="preserve">assets </w:t>
      </w:r>
      <w:r w:rsidR="000F044D" w:rsidRPr="005B75E5">
        <w:t xml:space="preserve">of the charity </w:t>
      </w:r>
      <w:r w:rsidR="0090412D" w:rsidRPr="005B75E5">
        <w:t xml:space="preserve">must be provided to </w:t>
      </w:r>
      <w:r w:rsidR="0003178C" w:rsidRPr="005B75E5">
        <w:t xml:space="preserve">an entity that is </w:t>
      </w:r>
      <w:r w:rsidR="00FA26C9" w:rsidRPr="005B75E5">
        <w:t xml:space="preserve">a </w:t>
      </w:r>
      <w:r w:rsidR="00E4727D" w:rsidRPr="005B75E5">
        <w:t>deductible gift recipient</w:t>
      </w:r>
      <w:r w:rsidR="0068261F">
        <w:t xml:space="preserve">, </w:t>
      </w:r>
      <w:r w:rsidR="00393827">
        <w:t>in accordance</w:t>
      </w:r>
      <w:r w:rsidR="00FA26C9" w:rsidRPr="005B75E5">
        <w:t xml:space="preserve"> </w:t>
      </w:r>
      <w:r w:rsidR="00FD19E1" w:rsidRPr="005B75E5">
        <w:t xml:space="preserve">with the </w:t>
      </w:r>
      <w:r w:rsidR="00393827">
        <w:t>purposes</w:t>
      </w:r>
      <w:r w:rsidR="00704B94" w:rsidRPr="005B75E5">
        <w:t xml:space="preserve"> of the </w:t>
      </w:r>
      <w:r w:rsidR="00393827">
        <w:t>charity.</w:t>
      </w:r>
    </w:p>
    <w:p w14:paraId="5B213B19" w14:textId="33922111" w:rsidR="000F044D" w:rsidRPr="005B75E5" w:rsidRDefault="000F044D" w:rsidP="0038005C">
      <w:pPr>
        <w:spacing w:before="240"/>
        <w:rPr>
          <w:u w:val="single"/>
        </w:rPr>
      </w:pPr>
      <w:r w:rsidRPr="005B75E5">
        <w:rPr>
          <w:u w:val="single"/>
        </w:rPr>
        <w:t>Section 25—Portability</w:t>
      </w:r>
    </w:p>
    <w:p w14:paraId="689B9987" w14:textId="21490D30" w:rsidR="000C1003" w:rsidRPr="00C84FA0" w:rsidRDefault="008F36F9" w:rsidP="005F4DD7">
      <w:pPr>
        <w:spacing w:before="240"/>
      </w:pPr>
      <w:r w:rsidRPr="005B75E5">
        <w:t>This section allows a community</w:t>
      </w:r>
      <w:r w:rsidR="00746D7C" w:rsidRPr="005B75E5">
        <w:t xml:space="preserve"> charity</w:t>
      </w:r>
      <w:r w:rsidRPr="005B75E5">
        <w:t xml:space="preserve"> to transfer assets to another community charity in certain circumstances and with the agreement of the Commissioner. </w:t>
      </w:r>
      <w:r w:rsidR="00495528" w:rsidRPr="005B75E5">
        <w:t xml:space="preserve">The circumstances are that </w:t>
      </w:r>
      <w:r w:rsidR="00944665" w:rsidRPr="005B75E5">
        <w:t xml:space="preserve">all of the net assets of the </w:t>
      </w:r>
      <w:r w:rsidR="00746D7C" w:rsidRPr="005B75E5">
        <w:t xml:space="preserve">transferring </w:t>
      </w:r>
      <w:r w:rsidR="00944665" w:rsidRPr="005B75E5">
        <w:t xml:space="preserve">charity </w:t>
      </w:r>
      <w:r w:rsidR="008858BA" w:rsidRPr="005B75E5">
        <w:t>are</w:t>
      </w:r>
      <w:r w:rsidR="00944665" w:rsidRPr="005B75E5">
        <w:t xml:space="preserve"> transferred</w:t>
      </w:r>
      <w:r w:rsidR="00384D1D" w:rsidRPr="005B75E5">
        <w:t xml:space="preserve"> to the other community charity</w:t>
      </w:r>
      <w:r w:rsidR="00944665" w:rsidRPr="005B75E5">
        <w:t xml:space="preserve">; </w:t>
      </w:r>
      <w:r w:rsidR="00A93A68" w:rsidRPr="005B75E5">
        <w:t xml:space="preserve">none of those assets have been received </w:t>
      </w:r>
      <w:r w:rsidR="00B40536" w:rsidRPr="005B75E5">
        <w:t xml:space="preserve">by the transferring charity </w:t>
      </w:r>
      <w:r w:rsidR="00A93A68" w:rsidRPr="005B75E5">
        <w:t>from another community charity in the previous 2 financial years</w:t>
      </w:r>
      <w:r w:rsidR="008354F7">
        <w:t>;</w:t>
      </w:r>
      <w:r w:rsidR="00A93A68" w:rsidRPr="005B75E5">
        <w:t xml:space="preserve"> and </w:t>
      </w:r>
      <w:r w:rsidR="008858BA" w:rsidRPr="005B75E5">
        <w:t>the transferring charity has</w:t>
      </w:r>
      <w:r w:rsidR="00A76F1F" w:rsidRPr="005B75E5">
        <w:t xml:space="preserve"> complied with the </w:t>
      </w:r>
      <w:r w:rsidR="00E41B9D" w:rsidRPr="005B75E5">
        <w:t>minimum distribution requirement</w:t>
      </w:r>
      <w:r w:rsidR="00944665" w:rsidRPr="005B75E5">
        <w:t xml:space="preserve"> </w:t>
      </w:r>
      <w:r w:rsidR="003A4644" w:rsidRPr="005B75E5">
        <w:t>for th</w:t>
      </w:r>
      <w:r w:rsidR="000C3116">
        <w:t xml:space="preserve">e relevant </w:t>
      </w:r>
      <w:r w:rsidR="003A4644" w:rsidRPr="005B75E5">
        <w:t xml:space="preserve">financial year. </w:t>
      </w:r>
    </w:p>
    <w:sectPr w:rsidR="000C1003" w:rsidRPr="00C84FA0" w:rsidSect="004A27A8">
      <w:headerReference w:type="default" r:id="rId7"/>
      <w:footerReference w:type="default" r:id="rId8"/>
      <w:pgSz w:w="11906" w:h="16838"/>
      <w:pgMar w:top="1440" w:right="1558" w:bottom="1440"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6D75E" w14:textId="77777777" w:rsidR="001B20E4" w:rsidRDefault="001B20E4" w:rsidP="00954679">
      <w:pPr>
        <w:spacing w:before="0" w:after="0"/>
      </w:pPr>
      <w:r>
        <w:separator/>
      </w:r>
    </w:p>
  </w:endnote>
  <w:endnote w:type="continuationSeparator" w:id="0">
    <w:p w14:paraId="640DA821" w14:textId="77777777" w:rsidR="001B20E4" w:rsidRDefault="001B20E4" w:rsidP="00954679">
      <w:pPr>
        <w:spacing w:before="0" w:after="0"/>
      </w:pPr>
      <w:r>
        <w:continuationSeparator/>
      </w:r>
    </w:p>
  </w:endnote>
  <w:endnote w:type="continuationNotice" w:id="1">
    <w:p w14:paraId="126C07D6" w14:textId="77777777" w:rsidR="001B20E4" w:rsidRDefault="001B20E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itica">
    <w:altName w:val="Arial"/>
    <w:panose1 w:val="00000000000000000000"/>
    <w:charset w:val="00"/>
    <w:family w:val="roman"/>
    <w:notTrueType/>
    <w:pitch w:val="default"/>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38E8C931" w14:textId="77777777"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E32E3">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E32E3">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18466" w14:textId="77777777" w:rsidR="001B20E4" w:rsidRDefault="001B20E4" w:rsidP="00954679">
      <w:pPr>
        <w:spacing w:before="0" w:after="0"/>
      </w:pPr>
      <w:r>
        <w:separator/>
      </w:r>
    </w:p>
  </w:footnote>
  <w:footnote w:type="continuationSeparator" w:id="0">
    <w:p w14:paraId="33D254E5" w14:textId="77777777" w:rsidR="001B20E4" w:rsidRDefault="001B20E4" w:rsidP="00954679">
      <w:pPr>
        <w:spacing w:before="0" w:after="0"/>
      </w:pPr>
      <w:r>
        <w:continuationSeparator/>
      </w:r>
    </w:p>
  </w:footnote>
  <w:footnote w:type="continuationNotice" w:id="1">
    <w:p w14:paraId="1FC33731" w14:textId="77777777" w:rsidR="001B20E4" w:rsidRDefault="001B20E4">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2964466"/>
      <w:docPartObj>
        <w:docPartGallery w:val="Watermarks"/>
        <w:docPartUnique/>
      </w:docPartObj>
    </w:sdtPr>
    <w:sdtEndPr/>
    <w:sdtContent>
      <w:p w14:paraId="32968024" w14:textId="004F0E01" w:rsidR="0026423C" w:rsidRDefault="0091278B">
        <w:pPr>
          <w:pStyle w:val="Header"/>
        </w:pPr>
        <w:r>
          <w:rPr>
            <w:noProof/>
          </w:rPr>
          <w:pict w14:anchorId="1F66A5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63D6A"/>
    <w:multiLevelType w:val="hybridMultilevel"/>
    <w:tmpl w:val="E48A2CD6"/>
    <w:lvl w:ilvl="0" w:tplc="8032A19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54A5B7B"/>
    <w:multiLevelType w:val="hybridMultilevel"/>
    <w:tmpl w:val="7BC6DA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9170CA0"/>
    <w:multiLevelType w:val="multilevel"/>
    <w:tmpl w:val="8DE884F8"/>
    <w:styleLink w:val="Chapternumbering"/>
    <w:lvl w:ilvl="0">
      <w:start w:val="1"/>
      <w:numFmt w:val="decimal"/>
      <w:pStyle w:val="Chapterheading"/>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ormalparatextwithnumbers"/>
      <w:lvlText w:val="%1.%2"/>
      <w:lvlJc w:val="left"/>
      <w:pPr>
        <w:tabs>
          <w:tab w:val="num" w:pos="709"/>
        </w:tabs>
        <w:ind w:left="709" w:hanging="709"/>
      </w:pPr>
      <w:rPr>
        <w:rFonts w:hint="default"/>
      </w:rPr>
    </w:lvl>
    <w:lvl w:ilvl="2">
      <w:start w:val="1"/>
      <w:numFmt w:val="decimal"/>
      <w:lvlRestart w:val="1"/>
      <w:pStyle w:val="DiagramHeading"/>
      <w:suff w:val="space"/>
      <w:lvlText w:val="Diagram %1.%3"/>
      <w:lvlJc w:val="left"/>
      <w:pPr>
        <w:ind w:left="1701" w:hanging="1701"/>
      </w:pPr>
      <w:rPr>
        <w:rFonts w:hint="default"/>
      </w:rPr>
    </w:lvl>
    <w:lvl w:ilvl="3">
      <w:start w:val="1"/>
      <w:numFmt w:val="decimal"/>
      <w:lvlRestart w:val="1"/>
      <w:pStyle w:val="ExampleHeading"/>
      <w:suff w:val="space"/>
      <w:lvlText w:val="Example %1.%4"/>
      <w:lvlJc w:val="left"/>
      <w:pPr>
        <w:ind w:left="1701" w:hanging="1701"/>
      </w:pPr>
      <w:rPr>
        <w:rFonts w:hint="default"/>
      </w:rPr>
    </w:lvl>
    <w:lvl w:ilvl="4">
      <w:start w:val="1"/>
      <w:numFmt w:val="decimal"/>
      <w:lvlRestart w:val="1"/>
      <w:pStyle w:val="TableHeading"/>
      <w:suff w:val="space"/>
      <w:lvlText w:val="Table %1.%5"/>
      <w:lvlJc w:val="left"/>
      <w:pPr>
        <w:ind w:left="1701" w:hanging="1701"/>
      </w:pPr>
      <w:rPr>
        <w:rFonts w:hint="default"/>
      </w:rPr>
    </w:lvl>
    <w:lvl w:ilvl="5">
      <w:start w:val="1"/>
      <w:numFmt w:val="none"/>
      <w:lvlRestart w:val="0"/>
      <w:suff w:val="nothing"/>
      <w:lvlText w:val=""/>
      <w:lvlJc w:val="left"/>
      <w:pPr>
        <w:ind w:left="0" w:firstLine="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5" w15:restartNumberingAfterBreak="0">
    <w:nsid w:val="67A43C0B"/>
    <w:multiLevelType w:val="multilevel"/>
    <w:tmpl w:val="0430278C"/>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42919768">
    <w:abstractNumId w:val="4"/>
  </w:num>
  <w:num w:numId="2" w16cid:durableId="92435628">
    <w:abstractNumId w:val="5"/>
  </w:num>
  <w:num w:numId="3" w16cid:durableId="102648425">
    <w:abstractNumId w:val="2"/>
  </w:num>
  <w:num w:numId="4" w16cid:durableId="1451314351">
    <w:abstractNumId w:val="0"/>
  </w:num>
  <w:num w:numId="5" w16cid:durableId="1455824937">
    <w:abstractNumId w:val="5"/>
  </w:num>
  <w:num w:numId="6" w16cid:durableId="2012178582">
    <w:abstractNumId w:val="5"/>
  </w:num>
  <w:num w:numId="7" w16cid:durableId="1173374635">
    <w:abstractNumId w:val="5"/>
  </w:num>
  <w:num w:numId="8" w16cid:durableId="1074162301">
    <w:abstractNumId w:val="5"/>
  </w:num>
  <w:num w:numId="9" w16cid:durableId="1206795025">
    <w:abstractNumId w:val="5"/>
  </w:num>
  <w:num w:numId="10" w16cid:durableId="474571849">
    <w:abstractNumId w:val="5"/>
  </w:num>
  <w:num w:numId="11" w16cid:durableId="890385033">
    <w:abstractNumId w:val="5"/>
  </w:num>
  <w:num w:numId="12" w16cid:durableId="392780191">
    <w:abstractNumId w:val="5"/>
  </w:num>
  <w:num w:numId="13" w16cid:durableId="1793669345">
    <w:abstractNumId w:val="5"/>
  </w:num>
  <w:num w:numId="14" w16cid:durableId="2085832638">
    <w:abstractNumId w:val="5"/>
  </w:num>
  <w:num w:numId="15" w16cid:durableId="724838217">
    <w:abstractNumId w:val="5"/>
  </w:num>
  <w:num w:numId="16" w16cid:durableId="951398036">
    <w:abstractNumId w:val="5"/>
  </w:num>
  <w:num w:numId="17" w16cid:durableId="192771556">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Normalparatextwithnumbers"/>
        <w:lvlText w:val="%1.%2"/>
        <w:lvlJc w:val="left"/>
        <w:pPr>
          <w:tabs>
            <w:tab w:val="num" w:pos="709"/>
          </w:tabs>
          <w:ind w:left="709" w:hanging="709"/>
        </w:pPr>
        <w:rPr>
          <w:rFonts w:hint="default"/>
          <w:i w:val="0"/>
          <w:iCs w:val="0"/>
        </w:rPr>
      </w:lvl>
    </w:lvlOverride>
  </w:num>
  <w:num w:numId="18" w16cid:durableId="2054963566">
    <w:abstractNumId w:val="3"/>
  </w:num>
  <w:num w:numId="19" w16cid:durableId="4880128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94"/>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351"/>
    <w:rsid w:val="00000648"/>
    <w:rsid w:val="00000CF5"/>
    <w:rsid w:val="000026BE"/>
    <w:rsid w:val="000027F2"/>
    <w:rsid w:val="00003189"/>
    <w:rsid w:val="00003640"/>
    <w:rsid w:val="00005B51"/>
    <w:rsid w:val="00005BA9"/>
    <w:rsid w:val="0000628C"/>
    <w:rsid w:val="00006C2F"/>
    <w:rsid w:val="00006D05"/>
    <w:rsid w:val="00007AE7"/>
    <w:rsid w:val="00011037"/>
    <w:rsid w:val="00011104"/>
    <w:rsid w:val="00013390"/>
    <w:rsid w:val="0001396B"/>
    <w:rsid w:val="00013CB5"/>
    <w:rsid w:val="00014F59"/>
    <w:rsid w:val="00016EA2"/>
    <w:rsid w:val="000176FA"/>
    <w:rsid w:val="00017A00"/>
    <w:rsid w:val="00020144"/>
    <w:rsid w:val="00020318"/>
    <w:rsid w:val="000215E5"/>
    <w:rsid w:val="00021F94"/>
    <w:rsid w:val="000229BB"/>
    <w:rsid w:val="000230DC"/>
    <w:rsid w:val="000248F3"/>
    <w:rsid w:val="0002546A"/>
    <w:rsid w:val="00030871"/>
    <w:rsid w:val="00030E80"/>
    <w:rsid w:val="00030EFB"/>
    <w:rsid w:val="0003178C"/>
    <w:rsid w:val="00031AE1"/>
    <w:rsid w:val="0003216B"/>
    <w:rsid w:val="00032464"/>
    <w:rsid w:val="00032763"/>
    <w:rsid w:val="00033FEA"/>
    <w:rsid w:val="00034D94"/>
    <w:rsid w:val="0004126F"/>
    <w:rsid w:val="00041C87"/>
    <w:rsid w:val="00042405"/>
    <w:rsid w:val="0004336A"/>
    <w:rsid w:val="000455BA"/>
    <w:rsid w:val="00046A1B"/>
    <w:rsid w:val="000476E2"/>
    <w:rsid w:val="00050248"/>
    <w:rsid w:val="00050916"/>
    <w:rsid w:val="00051648"/>
    <w:rsid w:val="000524A9"/>
    <w:rsid w:val="00052629"/>
    <w:rsid w:val="0005316A"/>
    <w:rsid w:val="00053751"/>
    <w:rsid w:val="000547DB"/>
    <w:rsid w:val="00055057"/>
    <w:rsid w:val="00057175"/>
    <w:rsid w:val="00061668"/>
    <w:rsid w:val="00061FC8"/>
    <w:rsid w:val="000624A5"/>
    <w:rsid w:val="00065563"/>
    <w:rsid w:val="000732CD"/>
    <w:rsid w:val="00073AA7"/>
    <w:rsid w:val="00075797"/>
    <w:rsid w:val="00075A77"/>
    <w:rsid w:val="00076178"/>
    <w:rsid w:val="00076E15"/>
    <w:rsid w:val="00076FF9"/>
    <w:rsid w:val="00077955"/>
    <w:rsid w:val="00080673"/>
    <w:rsid w:val="00082169"/>
    <w:rsid w:val="000822D1"/>
    <w:rsid w:val="0008363B"/>
    <w:rsid w:val="000854E0"/>
    <w:rsid w:val="00085CC4"/>
    <w:rsid w:val="00086D07"/>
    <w:rsid w:val="0008741E"/>
    <w:rsid w:val="00090B62"/>
    <w:rsid w:val="00092F38"/>
    <w:rsid w:val="00093327"/>
    <w:rsid w:val="00095211"/>
    <w:rsid w:val="000969B3"/>
    <w:rsid w:val="000A380F"/>
    <w:rsid w:val="000A4384"/>
    <w:rsid w:val="000A69C5"/>
    <w:rsid w:val="000A7A4D"/>
    <w:rsid w:val="000B0083"/>
    <w:rsid w:val="000B00E3"/>
    <w:rsid w:val="000B2195"/>
    <w:rsid w:val="000B3636"/>
    <w:rsid w:val="000B39A1"/>
    <w:rsid w:val="000B49A7"/>
    <w:rsid w:val="000B6D21"/>
    <w:rsid w:val="000B7EF9"/>
    <w:rsid w:val="000C0044"/>
    <w:rsid w:val="000C1003"/>
    <w:rsid w:val="000C10DF"/>
    <w:rsid w:val="000C2E12"/>
    <w:rsid w:val="000C3116"/>
    <w:rsid w:val="000C3ECC"/>
    <w:rsid w:val="000C43CA"/>
    <w:rsid w:val="000C4B61"/>
    <w:rsid w:val="000C59F2"/>
    <w:rsid w:val="000C5C40"/>
    <w:rsid w:val="000C6935"/>
    <w:rsid w:val="000D11E5"/>
    <w:rsid w:val="000D16EE"/>
    <w:rsid w:val="000D1DDB"/>
    <w:rsid w:val="000D21D5"/>
    <w:rsid w:val="000D2234"/>
    <w:rsid w:val="000D24B9"/>
    <w:rsid w:val="000D3DBC"/>
    <w:rsid w:val="000D4AD5"/>
    <w:rsid w:val="000D5827"/>
    <w:rsid w:val="000D59B4"/>
    <w:rsid w:val="000D5CD9"/>
    <w:rsid w:val="000D705B"/>
    <w:rsid w:val="000D73B8"/>
    <w:rsid w:val="000E0265"/>
    <w:rsid w:val="000E0F6E"/>
    <w:rsid w:val="000E12B4"/>
    <w:rsid w:val="000E1FCB"/>
    <w:rsid w:val="000E23C1"/>
    <w:rsid w:val="000E32E3"/>
    <w:rsid w:val="000E5FC3"/>
    <w:rsid w:val="000F044D"/>
    <w:rsid w:val="000F0F93"/>
    <w:rsid w:val="000F0FEF"/>
    <w:rsid w:val="000F139B"/>
    <w:rsid w:val="000F14C0"/>
    <w:rsid w:val="000F1F12"/>
    <w:rsid w:val="000F2B48"/>
    <w:rsid w:val="000F3A05"/>
    <w:rsid w:val="000F53D9"/>
    <w:rsid w:val="001000DF"/>
    <w:rsid w:val="001012C2"/>
    <w:rsid w:val="00104776"/>
    <w:rsid w:val="00105E63"/>
    <w:rsid w:val="001068B8"/>
    <w:rsid w:val="00110181"/>
    <w:rsid w:val="0011099C"/>
    <w:rsid w:val="001114AB"/>
    <w:rsid w:val="00111C17"/>
    <w:rsid w:val="00112C11"/>
    <w:rsid w:val="001138A1"/>
    <w:rsid w:val="00113B45"/>
    <w:rsid w:val="00114003"/>
    <w:rsid w:val="0011527C"/>
    <w:rsid w:val="001156B6"/>
    <w:rsid w:val="00115DFF"/>
    <w:rsid w:val="00117C02"/>
    <w:rsid w:val="001207BC"/>
    <w:rsid w:val="0012102E"/>
    <w:rsid w:val="00123E2B"/>
    <w:rsid w:val="001276B4"/>
    <w:rsid w:val="00127E79"/>
    <w:rsid w:val="001319C8"/>
    <w:rsid w:val="00131A39"/>
    <w:rsid w:val="001331B7"/>
    <w:rsid w:val="00133B22"/>
    <w:rsid w:val="00133D7A"/>
    <w:rsid w:val="00136D52"/>
    <w:rsid w:val="00140537"/>
    <w:rsid w:val="00141783"/>
    <w:rsid w:val="00141E19"/>
    <w:rsid w:val="00142BCF"/>
    <w:rsid w:val="001454E1"/>
    <w:rsid w:val="0014608E"/>
    <w:rsid w:val="00147457"/>
    <w:rsid w:val="00147EFE"/>
    <w:rsid w:val="00150610"/>
    <w:rsid w:val="00151E15"/>
    <w:rsid w:val="001529BA"/>
    <w:rsid w:val="001537C6"/>
    <w:rsid w:val="001540EB"/>
    <w:rsid w:val="001544E1"/>
    <w:rsid w:val="00154E91"/>
    <w:rsid w:val="0015513F"/>
    <w:rsid w:val="00157A96"/>
    <w:rsid w:val="00160A8F"/>
    <w:rsid w:val="001666D1"/>
    <w:rsid w:val="001667B9"/>
    <w:rsid w:val="00170454"/>
    <w:rsid w:val="00170736"/>
    <w:rsid w:val="00172819"/>
    <w:rsid w:val="00172B5A"/>
    <w:rsid w:val="00173C4B"/>
    <w:rsid w:val="0017483B"/>
    <w:rsid w:val="00177C1E"/>
    <w:rsid w:val="0018136E"/>
    <w:rsid w:val="00181A4A"/>
    <w:rsid w:val="00182006"/>
    <w:rsid w:val="001853D2"/>
    <w:rsid w:val="00185657"/>
    <w:rsid w:val="00185714"/>
    <w:rsid w:val="0018590D"/>
    <w:rsid w:val="001862BB"/>
    <w:rsid w:val="00187446"/>
    <w:rsid w:val="001876C6"/>
    <w:rsid w:val="00187857"/>
    <w:rsid w:val="0019276E"/>
    <w:rsid w:val="00192DCF"/>
    <w:rsid w:val="001932CB"/>
    <w:rsid w:val="00194960"/>
    <w:rsid w:val="00195A29"/>
    <w:rsid w:val="00197BFD"/>
    <w:rsid w:val="001A0262"/>
    <w:rsid w:val="001A0708"/>
    <w:rsid w:val="001A0A70"/>
    <w:rsid w:val="001A10C7"/>
    <w:rsid w:val="001A137A"/>
    <w:rsid w:val="001A311D"/>
    <w:rsid w:val="001A348A"/>
    <w:rsid w:val="001A78BD"/>
    <w:rsid w:val="001B1074"/>
    <w:rsid w:val="001B1330"/>
    <w:rsid w:val="001B1EEC"/>
    <w:rsid w:val="001B20E4"/>
    <w:rsid w:val="001B235C"/>
    <w:rsid w:val="001B240C"/>
    <w:rsid w:val="001B2E8A"/>
    <w:rsid w:val="001B4919"/>
    <w:rsid w:val="001B72CB"/>
    <w:rsid w:val="001B7535"/>
    <w:rsid w:val="001B7EC2"/>
    <w:rsid w:val="001C0477"/>
    <w:rsid w:val="001C21D7"/>
    <w:rsid w:val="001C29F9"/>
    <w:rsid w:val="001C3B25"/>
    <w:rsid w:val="001C43D2"/>
    <w:rsid w:val="001C51A1"/>
    <w:rsid w:val="001C5B44"/>
    <w:rsid w:val="001C5D8F"/>
    <w:rsid w:val="001C753F"/>
    <w:rsid w:val="001D1217"/>
    <w:rsid w:val="001D306D"/>
    <w:rsid w:val="001D3639"/>
    <w:rsid w:val="001D6819"/>
    <w:rsid w:val="001D6A0C"/>
    <w:rsid w:val="001E5CC8"/>
    <w:rsid w:val="001E6A74"/>
    <w:rsid w:val="001E7A06"/>
    <w:rsid w:val="001F02A1"/>
    <w:rsid w:val="001F09B2"/>
    <w:rsid w:val="001F38B0"/>
    <w:rsid w:val="001F41D0"/>
    <w:rsid w:val="001F462C"/>
    <w:rsid w:val="001F4BFC"/>
    <w:rsid w:val="001F4ED1"/>
    <w:rsid w:val="001F58EF"/>
    <w:rsid w:val="001F6084"/>
    <w:rsid w:val="001F6197"/>
    <w:rsid w:val="001F63D3"/>
    <w:rsid w:val="001F67D8"/>
    <w:rsid w:val="00200A23"/>
    <w:rsid w:val="0020393F"/>
    <w:rsid w:val="00205158"/>
    <w:rsid w:val="00205670"/>
    <w:rsid w:val="00205F51"/>
    <w:rsid w:val="00207002"/>
    <w:rsid w:val="00215FA2"/>
    <w:rsid w:val="00216210"/>
    <w:rsid w:val="00217A54"/>
    <w:rsid w:val="002208AF"/>
    <w:rsid w:val="00220F16"/>
    <w:rsid w:val="00221082"/>
    <w:rsid w:val="002257F0"/>
    <w:rsid w:val="00225808"/>
    <w:rsid w:val="00225C45"/>
    <w:rsid w:val="002269D6"/>
    <w:rsid w:val="002274E4"/>
    <w:rsid w:val="00227AD2"/>
    <w:rsid w:val="00227F53"/>
    <w:rsid w:val="00231837"/>
    <w:rsid w:val="002349A0"/>
    <w:rsid w:val="0023691B"/>
    <w:rsid w:val="00237813"/>
    <w:rsid w:val="00237A7E"/>
    <w:rsid w:val="00237D39"/>
    <w:rsid w:val="00240D31"/>
    <w:rsid w:val="0024245F"/>
    <w:rsid w:val="002429AA"/>
    <w:rsid w:val="002430DC"/>
    <w:rsid w:val="00243228"/>
    <w:rsid w:val="002445F9"/>
    <w:rsid w:val="0024724F"/>
    <w:rsid w:val="0025090F"/>
    <w:rsid w:val="00251E70"/>
    <w:rsid w:val="00253A53"/>
    <w:rsid w:val="00253A74"/>
    <w:rsid w:val="00253FE2"/>
    <w:rsid w:val="00254C5B"/>
    <w:rsid w:val="00255C4F"/>
    <w:rsid w:val="00260794"/>
    <w:rsid w:val="00260BBA"/>
    <w:rsid w:val="00262381"/>
    <w:rsid w:val="00262B7C"/>
    <w:rsid w:val="00262B89"/>
    <w:rsid w:val="0026423C"/>
    <w:rsid w:val="002652A5"/>
    <w:rsid w:val="0027118E"/>
    <w:rsid w:val="002725F4"/>
    <w:rsid w:val="00272909"/>
    <w:rsid w:val="002747C5"/>
    <w:rsid w:val="00275F1D"/>
    <w:rsid w:val="00276D1F"/>
    <w:rsid w:val="002771E5"/>
    <w:rsid w:val="00277840"/>
    <w:rsid w:val="00280E1D"/>
    <w:rsid w:val="00281B22"/>
    <w:rsid w:val="0028406B"/>
    <w:rsid w:val="002847E2"/>
    <w:rsid w:val="00285BEF"/>
    <w:rsid w:val="00287C5A"/>
    <w:rsid w:val="00287CA8"/>
    <w:rsid w:val="00287F6F"/>
    <w:rsid w:val="00290116"/>
    <w:rsid w:val="00290B32"/>
    <w:rsid w:val="00291BFA"/>
    <w:rsid w:val="00291C99"/>
    <w:rsid w:val="00293839"/>
    <w:rsid w:val="00294E76"/>
    <w:rsid w:val="00295A27"/>
    <w:rsid w:val="00297C09"/>
    <w:rsid w:val="002A0702"/>
    <w:rsid w:val="002A11E6"/>
    <w:rsid w:val="002A1236"/>
    <w:rsid w:val="002A129C"/>
    <w:rsid w:val="002A3C39"/>
    <w:rsid w:val="002A3C80"/>
    <w:rsid w:val="002A45E8"/>
    <w:rsid w:val="002A5B68"/>
    <w:rsid w:val="002A5CC5"/>
    <w:rsid w:val="002A6DA4"/>
    <w:rsid w:val="002A7B74"/>
    <w:rsid w:val="002A7E1F"/>
    <w:rsid w:val="002B1ADD"/>
    <w:rsid w:val="002B1DF9"/>
    <w:rsid w:val="002B1EB4"/>
    <w:rsid w:val="002B219E"/>
    <w:rsid w:val="002B21ED"/>
    <w:rsid w:val="002B2A6C"/>
    <w:rsid w:val="002B55E5"/>
    <w:rsid w:val="002B58F6"/>
    <w:rsid w:val="002B6D2F"/>
    <w:rsid w:val="002B718B"/>
    <w:rsid w:val="002B7B2A"/>
    <w:rsid w:val="002C0792"/>
    <w:rsid w:val="002C0A5A"/>
    <w:rsid w:val="002C226C"/>
    <w:rsid w:val="002C3EE2"/>
    <w:rsid w:val="002C4ACB"/>
    <w:rsid w:val="002C71F3"/>
    <w:rsid w:val="002C7A8B"/>
    <w:rsid w:val="002D0B21"/>
    <w:rsid w:val="002D136C"/>
    <w:rsid w:val="002D276E"/>
    <w:rsid w:val="002D371E"/>
    <w:rsid w:val="002D47E5"/>
    <w:rsid w:val="002D4B55"/>
    <w:rsid w:val="002D6EEB"/>
    <w:rsid w:val="002D7B15"/>
    <w:rsid w:val="002E0D6B"/>
    <w:rsid w:val="002E3663"/>
    <w:rsid w:val="002E3BDF"/>
    <w:rsid w:val="002E5751"/>
    <w:rsid w:val="002E57FB"/>
    <w:rsid w:val="002E73BB"/>
    <w:rsid w:val="002F022D"/>
    <w:rsid w:val="002F05AA"/>
    <w:rsid w:val="002F127B"/>
    <w:rsid w:val="002F14E4"/>
    <w:rsid w:val="002F15DD"/>
    <w:rsid w:val="002F27AE"/>
    <w:rsid w:val="002F486D"/>
    <w:rsid w:val="002F4F7E"/>
    <w:rsid w:val="002F5AF7"/>
    <w:rsid w:val="002F5FDE"/>
    <w:rsid w:val="002F6BB1"/>
    <w:rsid w:val="00300E57"/>
    <w:rsid w:val="00302DEF"/>
    <w:rsid w:val="003037F8"/>
    <w:rsid w:val="003038B0"/>
    <w:rsid w:val="00303D47"/>
    <w:rsid w:val="003041FA"/>
    <w:rsid w:val="003045A6"/>
    <w:rsid w:val="00307EAD"/>
    <w:rsid w:val="00310B1E"/>
    <w:rsid w:val="003124C6"/>
    <w:rsid w:val="00312A68"/>
    <w:rsid w:val="0031333E"/>
    <w:rsid w:val="00316B79"/>
    <w:rsid w:val="00321F0C"/>
    <w:rsid w:val="00322416"/>
    <w:rsid w:val="003231FF"/>
    <w:rsid w:val="00325A96"/>
    <w:rsid w:val="00326F01"/>
    <w:rsid w:val="00327031"/>
    <w:rsid w:val="003315CE"/>
    <w:rsid w:val="0033329B"/>
    <w:rsid w:val="00333AB6"/>
    <w:rsid w:val="003342CD"/>
    <w:rsid w:val="0033477F"/>
    <w:rsid w:val="00335042"/>
    <w:rsid w:val="00335FBE"/>
    <w:rsid w:val="003363F7"/>
    <w:rsid w:val="00341642"/>
    <w:rsid w:val="00341B56"/>
    <w:rsid w:val="00341E3F"/>
    <w:rsid w:val="00344182"/>
    <w:rsid w:val="00345EBA"/>
    <w:rsid w:val="003469C8"/>
    <w:rsid w:val="00350999"/>
    <w:rsid w:val="00350F10"/>
    <w:rsid w:val="00354046"/>
    <w:rsid w:val="00354AC8"/>
    <w:rsid w:val="00354DB5"/>
    <w:rsid w:val="00355872"/>
    <w:rsid w:val="00356896"/>
    <w:rsid w:val="00357733"/>
    <w:rsid w:val="003578E5"/>
    <w:rsid w:val="00360C0A"/>
    <w:rsid w:val="003616AD"/>
    <w:rsid w:val="00362B70"/>
    <w:rsid w:val="003645DC"/>
    <w:rsid w:val="00364DEE"/>
    <w:rsid w:val="003677B7"/>
    <w:rsid w:val="00370395"/>
    <w:rsid w:val="0037180D"/>
    <w:rsid w:val="0037278C"/>
    <w:rsid w:val="00373697"/>
    <w:rsid w:val="00373853"/>
    <w:rsid w:val="00373AA7"/>
    <w:rsid w:val="00374E41"/>
    <w:rsid w:val="003755C6"/>
    <w:rsid w:val="003769A4"/>
    <w:rsid w:val="00377209"/>
    <w:rsid w:val="0038005C"/>
    <w:rsid w:val="00380C79"/>
    <w:rsid w:val="00381015"/>
    <w:rsid w:val="003817E6"/>
    <w:rsid w:val="00382E4E"/>
    <w:rsid w:val="00383CFD"/>
    <w:rsid w:val="00383DD2"/>
    <w:rsid w:val="003844EF"/>
    <w:rsid w:val="00384D1D"/>
    <w:rsid w:val="00385CCF"/>
    <w:rsid w:val="003860F7"/>
    <w:rsid w:val="00386588"/>
    <w:rsid w:val="00390CB4"/>
    <w:rsid w:val="0039141B"/>
    <w:rsid w:val="00392506"/>
    <w:rsid w:val="00392BBA"/>
    <w:rsid w:val="00392C0C"/>
    <w:rsid w:val="00393205"/>
    <w:rsid w:val="00393827"/>
    <w:rsid w:val="00394C37"/>
    <w:rsid w:val="003954FD"/>
    <w:rsid w:val="00395661"/>
    <w:rsid w:val="00396364"/>
    <w:rsid w:val="00397371"/>
    <w:rsid w:val="00397D0C"/>
    <w:rsid w:val="003A1A5C"/>
    <w:rsid w:val="003A1E00"/>
    <w:rsid w:val="003A4644"/>
    <w:rsid w:val="003B002A"/>
    <w:rsid w:val="003B0CA1"/>
    <w:rsid w:val="003B19DD"/>
    <w:rsid w:val="003B2CBE"/>
    <w:rsid w:val="003B31F4"/>
    <w:rsid w:val="003B3680"/>
    <w:rsid w:val="003B4356"/>
    <w:rsid w:val="003B483A"/>
    <w:rsid w:val="003B68AF"/>
    <w:rsid w:val="003C002F"/>
    <w:rsid w:val="003C0670"/>
    <w:rsid w:val="003C1456"/>
    <w:rsid w:val="003C14CE"/>
    <w:rsid w:val="003C1A0B"/>
    <w:rsid w:val="003C1D0D"/>
    <w:rsid w:val="003C218B"/>
    <w:rsid w:val="003C445C"/>
    <w:rsid w:val="003C5719"/>
    <w:rsid w:val="003C6001"/>
    <w:rsid w:val="003C6415"/>
    <w:rsid w:val="003C7907"/>
    <w:rsid w:val="003C7B82"/>
    <w:rsid w:val="003D0B96"/>
    <w:rsid w:val="003D0B99"/>
    <w:rsid w:val="003D200F"/>
    <w:rsid w:val="003D33F1"/>
    <w:rsid w:val="003D392B"/>
    <w:rsid w:val="003D3E47"/>
    <w:rsid w:val="003D60D7"/>
    <w:rsid w:val="003D6B4C"/>
    <w:rsid w:val="003D6B58"/>
    <w:rsid w:val="003E0411"/>
    <w:rsid w:val="003E1887"/>
    <w:rsid w:val="003E1C8F"/>
    <w:rsid w:val="003E1CE3"/>
    <w:rsid w:val="003E2E30"/>
    <w:rsid w:val="003E3D5D"/>
    <w:rsid w:val="003E77BC"/>
    <w:rsid w:val="003F0A13"/>
    <w:rsid w:val="003F17A4"/>
    <w:rsid w:val="003F3B86"/>
    <w:rsid w:val="003F5C1E"/>
    <w:rsid w:val="003F5D1D"/>
    <w:rsid w:val="003F6667"/>
    <w:rsid w:val="003F6B5F"/>
    <w:rsid w:val="004000AE"/>
    <w:rsid w:val="00400FF5"/>
    <w:rsid w:val="00401212"/>
    <w:rsid w:val="004049A9"/>
    <w:rsid w:val="00404DA2"/>
    <w:rsid w:val="00405083"/>
    <w:rsid w:val="0040609B"/>
    <w:rsid w:val="0040795E"/>
    <w:rsid w:val="00407C5F"/>
    <w:rsid w:val="0041166B"/>
    <w:rsid w:val="00412BB6"/>
    <w:rsid w:val="00413055"/>
    <w:rsid w:val="0041443A"/>
    <w:rsid w:val="00414DF0"/>
    <w:rsid w:val="00415792"/>
    <w:rsid w:val="004206E4"/>
    <w:rsid w:val="00422384"/>
    <w:rsid w:val="00422E46"/>
    <w:rsid w:val="00423351"/>
    <w:rsid w:val="004238C5"/>
    <w:rsid w:val="00423A2F"/>
    <w:rsid w:val="00424DC7"/>
    <w:rsid w:val="0042609C"/>
    <w:rsid w:val="00426E54"/>
    <w:rsid w:val="00427B78"/>
    <w:rsid w:val="00427B99"/>
    <w:rsid w:val="00430F89"/>
    <w:rsid w:val="00434CE9"/>
    <w:rsid w:val="00436952"/>
    <w:rsid w:val="0044130B"/>
    <w:rsid w:val="00441B6D"/>
    <w:rsid w:val="00442465"/>
    <w:rsid w:val="00442759"/>
    <w:rsid w:val="00442E97"/>
    <w:rsid w:val="004435B2"/>
    <w:rsid w:val="00444F0A"/>
    <w:rsid w:val="004459A3"/>
    <w:rsid w:val="00447621"/>
    <w:rsid w:val="00447A62"/>
    <w:rsid w:val="0045008F"/>
    <w:rsid w:val="00450F13"/>
    <w:rsid w:val="00454E2D"/>
    <w:rsid w:val="0045638F"/>
    <w:rsid w:val="00456B19"/>
    <w:rsid w:val="004577E7"/>
    <w:rsid w:val="00461BD5"/>
    <w:rsid w:val="00462095"/>
    <w:rsid w:val="004637A6"/>
    <w:rsid w:val="00464356"/>
    <w:rsid w:val="00466731"/>
    <w:rsid w:val="00466DD5"/>
    <w:rsid w:val="004670BC"/>
    <w:rsid w:val="00467E83"/>
    <w:rsid w:val="00470A72"/>
    <w:rsid w:val="0047265F"/>
    <w:rsid w:val="00473B71"/>
    <w:rsid w:val="004755FE"/>
    <w:rsid w:val="00475B37"/>
    <w:rsid w:val="00475E73"/>
    <w:rsid w:val="0048002B"/>
    <w:rsid w:val="00480BDE"/>
    <w:rsid w:val="00481845"/>
    <w:rsid w:val="00482B81"/>
    <w:rsid w:val="00482D4C"/>
    <w:rsid w:val="00482F70"/>
    <w:rsid w:val="0048343A"/>
    <w:rsid w:val="00483475"/>
    <w:rsid w:val="004838E4"/>
    <w:rsid w:val="0048463A"/>
    <w:rsid w:val="00485984"/>
    <w:rsid w:val="0048609E"/>
    <w:rsid w:val="0049017D"/>
    <w:rsid w:val="00492BF6"/>
    <w:rsid w:val="0049414D"/>
    <w:rsid w:val="00495528"/>
    <w:rsid w:val="00496D15"/>
    <w:rsid w:val="004A0873"/>
    <w:rsid w:val="004A10CE"/>
    <w:rsid w:val="004A1638"/>
    <w:rsid w:val="004A27A8"/>
    <w:rsid w:val="004A3018"/>
    <w:rsid w:val="004A3C08"/>
    <w:rsid w:val="004A4499"/>
    <w:rsid w:val="004A6DC9"/>
    <w:rsid w:val="004A7C07"/>
    <w:rsid w:val="004B1C69"/>
    <w:rsid w:val="004B2BC5"/>
    <w:rsid w:val="004B3C0F"/>
    <w:rsid w:val="004B3D09"/>
    <w:rsid w:val="004B4A3C"/>
    <w:rsid w:val="004B6B63"/>
    <w:rsid w:val="004C05E4"/>
    <w:rsid w:val="004C2048"/>
    <w:rsid w:val="004C28DF"/>
    <w:rsid w:val="004C3156"/>
    <w:rsid w:val="004C4094"/>
    <w:rsid w:val="004C5693"/>
    <w:rsid w:val="004C6ED6"/>
    <w:rsid w:val="004D0726"/>
    <w:rsid w:val="004D0852"/>
    <w:rsid w:val="004D0D43"/>
    <w:rsid w:val="004D0EB0"/>
    <w:rsid w:val="004D176E"/>
    <w:rsid w:val="004D1F6E"/>
    <w:rsid w:val="004D2639"/>
    <w:rsid w:val="004D4AE5"/>
    <w:rsid w:val="004D5754"/>
    <w:rsid w:val="004D65EA"/>
    <w:rsid w:val="004D67A0"/>
    <w:rsid w:val="004E013C"/>
    <w:rsid w:val="004E0785"/>
    <w:rsid w:val="004E0943"/>
    <w:rsid w:val="004E1265"/>
    <w:rsid w:val="004E2EE7"/>
    <w:rsid w:val="004E3590"/>
    <w:rsid w:val="004E39E1"/>
    <w:rsid w:val="004E5879"/>
    <w:rsid w:val="004E59A7"/>
    <w:rsid w:val="004E5C75"/>
    <w:rsid w:val="004E75AA"/>
    <w:rsid w:val="004F00BA"/>
    <w:rsid w:val="004F011F"/>
    <w:rsid w:val="004F02E6"/>
    <w:rsid w:val="004F03F4"/>
    <w:rsid w:val="004F2EBB"/>
    <w:rsid w:val="004F48D5"/>
    <w:rsid w:val="004F4C00"/>
    <w:rsid w:val="004F56D0"/>
    <w:rsid w:val="004F59BF"/>
    <w:rsid w:val="004F5F89"/>
    <w:rsid w:val="004F6BA9"/>
    <w:rsid w:val="00500605"/>
    <w:rsid w:val="00501242"/>
    <w:rsid w:val="00501E7F"/>
    <w:rsid w:val="0050235E"/>
    <w:rsid w:val="005035D1"/>
    <w:rsid w:val="00503A99"/>
    <w:rsid w:val="00503D4E"/>
    <w:rsid w:val="00503E44"/>
    <w:rsid w:val="00504665"/>
    <w:rsid w:val="00504888"/>
    <w:rsid w:val="00504EE2"/>
    <w:rsid w:val="0050547E"/>
    <w:rsid w:val="0050677B"/>
    <w:rsid w:val="0050777E"/>
    <w:rsid w:val="00507CEC"/>
    <w:rsid w:val="00510ADB"/>
    <w:rsid w:val="00510B31"/>
    <w:rsid w:val="00510F02"/>
    <w:rsid w:val="00511060"/>
    <w:rsid w:val="0051118D"/>
    <w:rsid w:val="00513FE8"/>
    <w:rsid w:val="0051429B"/>
    <w:rsid w:val="00514A55"/>
    <w:rsid w:val="00515283"/>
    <w:rsid w:val="00515E65"/>
    <w:rsid w:val="00521146"/>
    <w:rsid w:val="005227CE"/>
    <w:rsid w:val="005231C5"/>
    <w:rsid w:val="0052474C"/>
    <w:rsid w:val="00524F5B"/>
    <w:rsid w:val="0052500E"/>
    <w:rsid w:val="00526801"/>
    <w:rsid w:val="00526BD4"/>
    <w:rsid w:val="00526EB0"/>
    <w:rsid w:val="00527D14"/>
    <w:rsid w:val="00530563"/>
    <w:rsid w:val="005323DA"/>
    <w:rsid w:val="00532488"/>
    <w:rsid w:val="0053256B"/>
    <w:rsid w:val="00532CBC"/>
    <w:rsid w:val="00533587"/>
    <w:rsid w:val="005338D4"/>
    <w:rsid w:val="00533926"/>
    <w:rsid w:val="00535B3D"/>
    <w:rsid w:val="00537FB7"/>
    <w:rsid w:val="00540D49"/>
    <w:rsid w:val="005411D1"/>
    <w:rsid w:val="00542620"/>
    <w:rsid w:val="00542873"/>
    <w:rsid w:val="005434B6"/>
    <w:rsid w:val="00546372"/>
    <w:rsid w:val="00546795"/>
    <w:rsid w:val="0054749B"/>
    <w:rsid w:val="005502A6"/>
    <w:rsid w:val="005508CE"/>
    <w:rsid w:val="005515F0"/>
    <w:rsid w:val="0055383E"/>
    <w:rsid w:val="005544FA"/>
    <w:rsid w:val="00554B25"/>
    <w:rsid w:val="005550DA"/>
    <w:rsid w:val="00555A64"/>
    <w:rsid w:val="0055675D"/>
    <w:rsid w:val="005571DE"/>
    <w:rsid w:val="005573C4"/>
    <w:rsid w:val="00557B57"/>
    <w:rsid w:val="005605AC"/>
    <w:rsid w:val="00560C81"/>
    <w:rsid w:val="00564314"/>
    <w:rsid w:val="00564764"/>
    <w:rsid w:val="005653EA"/>
    <w:rsid w:val="00565601"/>
    <w:rsid w:val="00566E8F"/>
    <w:rsid w:val="0056700D"/>
    <w:rsid w:val="00570226"/>
    <w:rsid w:val="005706E1"/>
    <w:rsid w:val="005709DE"/>
    <w:rsid w:val="0057165D"/>
    <w:rsid w:val="005726BA"/>
    <w:rsid w:val="00572981"/>
    <w:rsid w:val="005731DD"/>
    <w:rsid w:val="00573FFC"/>
    <w:rsid w:val="0057422E"/>
    <w:rsid w:val="005744D2"/>
    <w:rsid w:val="00574A87"/>
    <w:rsid w:val="005754C9"/>
    <w:rsid w:val="00575A63"/>
    <w:rsid w:val="00575D7A"/>
    <w:rsid w:val="005765B7"/>
    <w:rsid w:val="00576618"/>
    <w:rsid w:val="005769E4"/>
    <w:rsid w:val="005810DE"/>
    <w:rsid w:val="00581CC8"/>
    <w:rsid w:val="005833BE"/>
    <w:rsid w:val="00584D12"/>
    <w:rsid w:val="0058516A"/>
    <w:rsid w:val="005858FB"/>
    <w:rsid w:val="00586B1F"/>
    <w:rsid w:val="00587861"/>
    <w:rsid w:val="00587CBD"/>
    <w:rsid w:val="0059302A"/>
    <w:rsid w:val="005952D1"/>
    <w:rsid w:val="005954CE"/>
    <w:rsid w:val="0059550B"/>
    <w:rsid w:val="00595DDB"/>
    <w:rsid w:val="005A00AF"/>
    <w:rsid w:val="005A11C6"/>
    <w:rsid w:val="005A2572"/>
    <w:rsid w:val="005B0C4D"/>
    <w:rsid w:val="005B1ABE"/>
    <w:rsid w:val="005B3410"/>
    <w:rsid w:val="005B383F"/>
    <w:rsid w:val="005B3851"/>
    <w:rsid w:val="005B39BA"/>
    <w:rsid w:val="005B3AF1"/>
    <w:rsid w:val="005B3E25"/>
    <w:rsid w:val="005B7051"/>
    <w:rsid w:val="005B7431"/>
    <w:rsid w:val="005B75E5"/>
    <w:rsid w:val="005C032C"/>
    <w:rsid w:val="005C0F65"/>
    <w:rsid w:val="005C2B00"/>
    <w:rsid w:val="005C2E2E"/>
    <w:rsid w:val="005C39FF"/>
    <w:rsid w:val="005C73D6"/>
    <w:rsid w:val="005D1915"/>
    <w:rsid w:val="005D19E8"/>
    <w:rsid w:val="005D2168"/>
    <w:rsid w:val="005D34F7"/>
    <w:rsid w:val="005D368A"/>
    <w:rsid w:val="005D389E"/>
    <w:rsid w:val="005D56F1"/>
    <w:rsid w:val="005D5A88"/>
    <w:rsid w:val="005D5B63"/>
    <w:rsid w:val="005D7D5A"/>
    <w:rsid w:val="005D7E35"/>
    <w:rsid w:val="005E4792"/>
    <w:rsid w:val="005E4BAC"/>
    <w:rsid w:val="005E56DD"/>
    <w:rsid w:val="005E580A"/>
    <w:rsid w:val="005E59FD"/>
    <w:rsid w:val="005E6806"/>
    <w:rsid w:val="005E76FE"/>
    <w:rsid w:val="005F0349"/>
    <w:rsid w:val="005F0ABE"/>
    <w:rsid w:val="005F11AA"/>
    <w:rsid w:val="005F1BC2"/>
    <w:rsid w:val="005F4273"/>
    <w:rsid w:val="005F4DD7"/>
    <w:rsid w:val="005F5229"/>
    <w:rsid w:val="005F5AD8"/>
    <w:rsid w:val="005F6941"/>
    <w:rsid w:val="006000DB"/>
    <w:rsid w:val="00600A06"/>
    <w:rsid w:val="006010BF"/>
    <w:rsid w:val="0060130D"/>
    <w:rsid w:val="00601709"/>
    <w:rsid w:val="00601E71"/>
    <w:rsid w:val="00601FCD"/>
    <w:rsid w:val="00604C0A"/>
    <w:rsid w:val="006050F1"/>
    <w:rsid w:val="006059F4"/>
    <w:rsid w:val="00605DD7"/>
    <w:rsid w:val="00605FEE"/>
    <w:rsid w:val="006064A9"/>
    <w:rsid w:val="00606671"/>
    <w:rsid w:val="006100E5"/>
    <w:rsid w:val="00611BD2"/>
    <w:rsid w:val="00612329"/>
    <w:rsid w:val="006125DD"/>
    <w:rsid w:val="006132E6"/>
    <w:rsid w:val="006137A6"/>
    <w:rsid w:val="00613B16"/>
    <w:rsid w:val="0061413D"/>
    <w:rsid w:val="0061419E"/>
    <w:rsid w:val="00614BDD"/>
    <w:rsid w:val="00615574"/>
    <w:rsid w:val="00615B7B"/>
    <w:rsid w:val="0061703D"/>
    <w:rsid w:val="006171EF"/>
    <w:rsid w:val="0062029D"/>
    <w:rsid w:val="00620B37"/>
    <w:rsid w:val="00621F68"/>
    <w:rsid w:val="00622ADC"/>
    <w:rsid w:val="00623EE4"/>
    <w:rsid w:val="00623F9C"/>
    <w:rsid w:val="006243C6"/>
    <w:rsid w:val="006245F4"/>
    <w:rsid w:val="00625292"/>
    <w:rsid w:val="0062593E"/>
    <w:rsid w:val="0062619A"/>
    <w:rsid w:val="00630893"/>
    <w:rsid w:val="006312E9"/>
    <w:rsid w:val="006320C0"/>
    <w:rsid w:val="00633F02"/>
    <w:rsid w:val="0063401A"/>
    <w:rsid w:val="006355A3"/>
    <w:rsid w:val="0064129F"/>
    <w:rsid w:val="00641F95"/>
    <w:rsid w:val="006425C9"/>
    <w:rsid w:val="006425E3"/>
    <w:rsid w:val="00642AAA"/>
    <w:rsid w:val="0064309D"/>
    <w:rsid w:val="00644603"/>
    <w:rsid w:val="0064599C"/>
    <w:rsid w:val="00646979"/>
    <w:rsid w:val="006477A6"/>
    <w:rsid w:val="00647BB7"/>
    <w:rsid w:val="006500A7"/>
    <w:rsid w:val="00654641"/>
    <w:rsid w:val="00655893"/>
    <w:rsid w:val="00656C5C"/>
    <w:rsid w:val="00657F28"/>
    <w:rsid w:val="00660F56"/>
    <w:rsid w:val="00661A26"/>
    <w:rsid w:val="00661DA8"/>
    <w:rsid w:val="00662A39"/>
    <w:rsid w:val="00662EA9"/>
    <w:rsid w:val="0066376F"/>
    <w:rsid w:val="00663AFF"/>
    <w:rsid w:val="00664C07"/>
    <w:rsid w:val="00664D16"/>
    <w:rsid w:val="00665760"/>
    <w:rsid w:val="00665D13"/>
    <w:rsid w:val="00665FA6"/>
    <w:rsid w:val="006673E2"/>
    <w:rsid w:val="006677E2"/>
    <w:rsid w:val="0066791C"/>
    <w:rsid w:val="006705DD"/>
    <w:rsid w:val="006711DB"/>
    <w:rsid w:val="006711DF"/>
    <w:rsid w:val="00672339"/>
    <w:rsid w:val="00673911"/>
    <w:rsid w:val="0067641F"/>
    <w:rsid w:val="00680297"/>
    <w:rsid w:val="0068046D"/>
    <w:rsid w:val="00680871"/>
    <w:rsid w:val="006810F5"/>
    <w:rsid w:val="00681C66"/>
    <w:rsid w:val="0068261F"/>
    <w:rsid w:val="00682A03"/>
    <w:rsid w:val="00683956"/>
    <w:rsid w:val="00683D69"/>
    <w:rsid w:val="00683DBD"/>
    <w:rsid w:val="006873CE"/>
    <w:rsid w:val="00690977"/>
    <w:rsid w:val="00690D32"/>
    <w:rsid w:val="00691CF1"/>
    <w:rsid w:val="00691E73"/>
    <w:rsid w:val="0069205F"/>
    <w:rsid w:val="00692863"/>
    <w:rsid w:val="00693047"/>
    <w:rsid w:val="006A0786"/>
    <w:rsid w:val="006A0E0F"/>
    <w:rsid w:val="006A11D6"/>
    <w:rsid w:val="006A28DA"/>
    <w:rsid w:val="006A3ED0"/>
    <w:rsid w:val="006A54F1"/>
    <w:rsid w:val="006A66A7"/>
    <w:rsid w:val="006A6AB5"/>
    <w:rsid w:val="006B259D"/>
    <w:rsid w:val="006B3D89"/>
    <w:rsid w:val="006B4EDC"/>
    <w:rsid w:val="006B520A"/>
    <w:rsid w:val="006B523A"/>
    <w:rsid w:val="006B5B73"/>
    <w:rsid w:val="006B5EB2"/>
    <w:rsid w:val="006C170A"/>
    <w:rsid w:val="006C433B"/>
    <w:rsid w:val="006C5BBE"/>
    <w:rsid w:val="006D09FF"/>
    <w:rsid w:val="006D10EC"/>
    <w:rsid w:val="006D1DBC"/>
    <w:rsid w:val="006D4494"/>
    <w:rsid w:val="006D478B"/>
    <w:rsid w:val="006D4DAA"/>
    <w:rsid w:val="006D5699"/>
    <w:rsid w:val="006D5EE1"/>
    <w:rsid w:val="006D60D0"/>
    <w:rsid w:val="006D672B"/>
    <w:rsid w:val="006E04DB"/>
    <w:rsid w:val="006E0852"/>
    <w:rsid w:val="006E0CBA"/>
    <w:rsid w:val="006E1F12"/>
    <w:rsid w:val="006E1F13"/>
    <w:rsid w:val="006E27E2"/>
    <w:rsid w:val="006E388F"/>
    <w:rsid w:val="006E39F2"/>
    <w:rsid w:val="006E3AB4"/>
    <w:rsid w:val="006E532E"/>
    <w:rsid w:val="006E55AA"/>
    <w:rsid w:val="006E5E3C"/>
    <w:rsid w:val="006E6167"/>
    <w:rsid w:val="006E6321"/>
    <w:rsid w:val="006E73FF"/>
    <w:rsid w:val="006F06C1"/>
    <w:rsid w:val="006F0BF2"/>
    <w:rsid w:val="006F184B"/>
    <w:rsid w:val="006F3EB3"/>
    <w:rsid w:val="006F4B5A"/>
    <w:rsid w:val="006F4CB4"/>
    <w:rsid w:val="006F4F21"/>
    <w:rsid w:val="006F59FA"/>
    <w:rsid w:val="006F683C"/>
    <w:rsid w:val="006F6C2A"/>
    <w:rsid w:val="006F74AB"/>
    <w:rsid w:val="0070099C"/>
    <w:rsid w:val="0070169C"/>
    <w:rsid w:val="00701F57"/>
    <w:rsid w:val="00702671"/>
    <w:rsid w:val="00702EAC"/>
    <w:rsid w:val="00704B94"/>
    <w:rsid w:val="00704CCA"/>
    <w:rsid w:val="00705002"/>
    <w:rsid w:val="00705171"/>
    <w:rsid w:val="007053B0"/>
    <w:rsid w:val="00706DA5"/>
    <w:rsid w:val="00707121"/>
    <w:rsid w:val="00707623"/>
    <w:rsid w:val="00710BF3"/>
    <w:rsid w:val="00710CAB"/>
    <w:rsid w:val="00710E94"/>
    <w:rsid w:val="00712E50"/>
    <w:rsid w:val="00713A1B"/>
    <w:rsid w:val="00715D2A"/>
    <w:rsid w:val="007164C2"/>
    <w:rsid w:val="00716E27"/>
    <w:rsid w:val="0072182D"/>
    <w:rsid w:val="00721D31"/>
    <w:rsid w:val="007222F9"/>
    <w:rsid w:val="0072255E"/>
    <w:rsid w:val="00722D8E"/>
    <w:rsid w:val="00722F94"/>
    <w:rsid w:val="007239E3"/>
    <w:rsid w:val="00724E55"/>
    <w:rsid w:val="007255FC"/>
    <w:rsid w:val="00727D8A"/>
    <w:rsid w:val="00730DA8"/>
    <w:rsid w:val="00731452"/>
    <w:rsid w:val="00731FEA"/>
    <w:rsid w:val="007323F4"/>
    <w:rsid w:val="007356FD"/>
    <w:rsid w:val="00735921"/>
    <w:rsid w:val="0073599B"/>
    <w:rsid w:val="00736F61"/>
    <w:rsid w:val="00740C22"/>
    <w:rsid w:val="00740F19"/>
    <w:rsid w:val="0074185E"/>
    <w:rsid w:val="00742253"/>
    <w:rsid w:val="007435C5"/>
    <w:rsid w:val="007436F0"/>
    <w:rsid w:val="0074422A"/>
    <w:rsid w:val="007448B7"/>
    <w:rsid w:val="00744ABE"/>
    <w:rsid w:val="007466BA"/>
    <w:rsid w:val="00746D7C"/>
    <w:rsid w:val="0074728E"/>
    <w:rsid w:val="007477EB"/>
    <w:rsid w:val="00750923"/>
    <w:rsid w:val="0075583B"/>
    <w:rsid w:val="00755B08"/>
    <w:rsid w:val="00755D5D"/>
    <w:rsid w:val="007565F4"/>
    <w:rsid w:val="00757B95"/>
    <w:rsid w:val="00765289"/>
    <w:rsid w:val="00765616"/>
    <w:rsid w:val="007662C7"/>
    <w:rsid w:val="00767FF2"/>
    <w:rsid w:val="00772439"/>
    <w:rsid w:val="00772628"/>
    <w:rsid w:val="00772E78"/>
    <w:rsid w:val="00772F32"/>
    <w:rsid w:val="00772FAF"/>
    <w:rsid w:val="007737A4"/>
    <w:rsid w:val="00775B68"/>
    <w:rsid w:val="00776306"/>
    <w:rsid w:val="00777E89"/>
    <w:rsid w:val="00780799"/>
    <w:rsid w:val="00780ADD"/>
    <w:rsid w:val="00780FB6"/>
    <w:rsid w:val="007816E2"/>
    <w:rsid w:val="0078571B"/>
    <w:rsid w:val="00785790"/>
    <w:rsid w:val="007860BC"/>
    <w:rsid w:val="0078668E"/>
    <w:rsid w:val="00787CF7"/>
    <w:rsid w:val="0079144E"/>
    <w:rsid w:val="007919B2"/>
    <w:rsid w:val="00791CE3"/>
    <w:rsid w:val="00792BC7"/>
    <w:rsid w:val="00792C57"/>
    <w:rsid w:val="00793ED0"/>
    <w:rsid w:val="00794620"/>
    <w:rsid w:val="00796CD8"/>
    <w:rsid w:val="00797A33"/>
    <w:rsid w:val="007A0B52"/>
    <w:rsid w:val="007A174B"/>
    <w:rsid w:val="007A1887"/>
    <w:rsid w:val="007A2A4A"/>
    <w:rsid w:val="007A33F8"/>
    <w:rsid w:val="007A55A7"/>
    <w:rsid w:val="007A57BC"/>
    <w:rsid w:val="007A749E"/>
    <w:rsid w:val="007B1F10"/>
    <w:rsid w:val="007B2143"/>
    <w:rsid w:val="007B335E"/>
    <w:rsid w:val="007B4A9D"/>
    <w:rsid w:val="007B5C58"/>
    <w:rsid w:val="007B60D9"/>
    <w:rsid w:val="007B611A"/>
    <w:rsid w:val="007B6E68"/>
    <w:rsid w:val="007C011E"/>
    <w:rsid w:val="007C0727"/>
    <w:rsid w:val="007C137D"/>
    <w:rsid w:val="007C39DD"/>
    <w:rsid w:val="007C3CCF"/>
    <w:rsid w:val="007C4617"/>
    <w:rsid w:val="007C6EDB"/>
    <w:rsid w:val="007C7120"/>
    <w:rsid w:val="007C7D64"/>
    <w:rsid w:val="007D1619"/>
    <w:rsid w:val="007D1A5C"/>
    <w:rsid w:val="007D1FF7"/>
    <w:rsid w:val="007D3B74"/>
    <w:rsid w:val="007D49ED"/>
    <w:rsid w:val="007D6771"/>
    <w:rsid w:val="007E018D"/>
    <w:rsid w:val="007E0369"/>
    <w:rsid w:val="007E2B00"/>
    <w:rsid w:val="007E2B4C"/>
    <w:rsid w:val="007E303D"/>
    <w:rsid w:val="007E36AD"/>
    <w:rsid w:val="007E41AB"/>
    <w:rsid w:val="007E452C"/>
    <w:rsid w:val="007E478A"/>
    <w:rsid w:val="007E5406"/>
    <w:rsid w:val="007E5F31"/>
    <w:rsid w:val="007E6A45"/>
    <w:rsid w:val="007E7263"/>
    <w:rsid w:val="007F0BDF"/>
    <w:rsid w:val="007F0CD9"/>
    <w:rsid w:val="007F0CF4"/>
    <w:rsid w:val="007F1B71"/>
    <w:rsid w:val="007F339B"/>
    <w:rsid w:val="007F3A33"/>
    <w:rsid w:val="007F3CED"/>
    <w:rsid w:val="007F4326"/>
    <w:rsid w:val="007F52DD"/>
    <w:rsid w:val="007F5517"/>
    <w:rsid w:val="007F5791"/>
    <w:rsid w:val="007F5E82"/>
    <w:rsid w:val="007F67F4"/>
    <w:rsid w:val="007F71ED"/>
    <w:rsid w:val="00800B57"/>
    <w:rsid w:val="00802163"/>
    <w:rsid w:val="00802F33"/>
    <w:rsid w:val="00802F69"/>
    <w:rsid w:val="0080320B"/>
    <w:rsid w:val="00804430"/>
    <w:rsid w:val="00804E65"/>
    <w:rsid w:val="0080600A"/>
    <w:rsid w:val="00806DCB"/>
    <w:rsid w:val="00806EC2"/>
    <w:rsid w:val="00807BCC"/>
    <w:rsid w:val="00807E7D"/>
    <w:rsid w:val="00810487"/>
    <w:rsid w:val="00811172"/>
    <w:rsid w:val="00812ACE"/>
    <w:rsid w:val="008136CD"/>
    <w:rsid w:val="00813A95"/>
    <w:rsid w:val="008145BA"/>
    <w:rsid w:val="00815175"/>
    <w:rsid w:val="0081572D"/>
    <w:rsid w:val="00816B44"/>
    <w:rsid w:val="00817BA7"/>
    <w:rsid w:val="00820A9E"/>
    <w:rsid w:val="00822694"/>
    <w:rsid w:val="00822E95"/>
    <w:rsid w:val="0082317C"/>
    <w:rsid w:val="0082434D"/>
    <w:rsid w:val="008249BE"/>
    <w:rsid w:val="00824C46"/>
    <w:rsid w:val="00824E0E"/>
    <w:rsid w:val="00827A84"/>
    <w:rsid w:val="00830682"/>
    <w:rsid w:val="00831675"/>
    <w:rsid w:val="00833654"/>
    <w:rsid w:val="00833B32"/>
    <w:rsid w:val="008341C4"/>
    <w:rsid w:val="00835079"/>
    <w:rsid w:val="008353F5"/>
    <w:rsid w:val="008354F7"/>
    <w:rsid w:val="00835A58"/>
    <w:rsid w:val="0083600D"/>
    <w:rsid w:val="008362A1"/>
    <w:rsid w:val="00836C27"/>
    <w:rsid w:val="00836CB7"/>
    <w:rsid w:val="008374BD"/>
    <w:rsid w:val="00840016"/>
    <w:rsid w:val="008404AD"/>
    <w:rsid w:val="0084080A"/>
    <w:rsid w:val="00842A4D"/>
    <w:rsid w:val="00844849"/>
    <w:rsid w:val="00845A80"/>
    <w:rsid w:val="00845B3A"/>
    <w:rsid w:val="0084796C"/>
    <w:rsid w:val="008506AC"/>
    <w:rsid w:val="008552D6"/>
    <w:rsid w:val="00855DA3"/>
    <w:rsid w:val="0086084A"/>
    <w:rsid w:val="00860BB5"/>
    <w:rsid w:val="00862327"/>
    <w:rsid w:val="00862347"/>
    <w:rsid w:val="00862443"/>
    <w:rsid w:val="00863DAB"/>
    <w:rsid w:val="0086685B"/>
    <w:rsid w:val="0086740A"/>
    <w:rsid w:val="008709BF"/>
    <w:rsid w:val="00874125"/>
    <w:rsid w:val="00875B45"/>
    <w:rsid w:val="00877071"/>
    <w:rsid w:val="00877084"/>
    <w:rsid w:val="008779B4"/>
    <w:rsid w:val="00877A2F"/>
    <w:rsid w:val="00877F69"/>
    <w:rsid w:val="0088138D"/>
    <w:rsid w:val="00883863"/>
    <w:rsid w:val="0088467C"/>
    <w:rsid w:val="008853B9"/>
    <w:rsid w:val="008858BA"/>
    <w:rsid w:val="00885AA3"/>
    <w:rsid w:val="00886B81"/>
    <w:rsid w:val="00887BD7"/>
    <w:rsid w:val="0089066F"/>
    <w:rsid w:val="00890BE6"/>
    <w:rsid w:val="00891F21"/>
    <w:rsid w:val="00892D3B"/>
    <w:rsid w:val="00894579"/>
    <w:rsid w:val="00897FB6"/>
    <w:rsid w:val="008A27DA"/>
    <w:rsid w:val="008A2BDB"/>
    <w:rsid w:val="008A32FE"/>
    <w:rsid w:val="008A364B"/>
    <w:rsid w:val="008A5B67"/>
    <w:rsid w:val="008A5CCD"/>
    <w:rsid w:val="008A6A6D"/>
    <w:rsid w:val="008A7935"/>
    <w:rsid w:val="008B29E7"/>
    <w:rsid w:val="008B2C4E"/>
    <w:rsid w:val="008B33DF"/>
    <w:rsid w:val="008B44CF"/>
    <w:rsid w:val="008B5C0B"/>
    <w:rsid w:val="008B6C82"/>
    <w:rsid w:val="008B7685"/>
    <w:rsid w:val="008C2216"/>
    <w:rsid w:val="008C2D27"/>
    <w:rsid w:val="008C3392"/>
    <w:rsid w:val="008C3BE9"/>
    <w:rsid w:val="008D07E2"/>
    <w:rsid w:val="008D16F7"/>
    <w:rsid w:val="008D212A"/>
    <w:rsid w:val="008D2844"/>
    <w:rsid w:val="008D40FA"/>
    <w:rsid w:val="008D4835"/>
    <w:rsid w:val="008D4B1A"/>
    <w:rsid w:val="008D4E0B"/>
    <w:rsid w:val="008D5FED"/>
    <w:rsid w:val="008D6238"/>
    <w:rsid w:val="008E0062"/>
    <w:rsid w:val="008E1427"/>
    <w:rsid w:val="008E1A44"/>
    <w:rsid w:val="008E52C7"/>
    <w:rsid w:val="008E5A1D"/>
    <w:rsid w:val="008E693B"/>
    <w:rsid w:val="008E6CDC"/>
    <w:rsid w:val="008F038A"/>
    <w:rsid w:val="008F0C50"/>
    <w:rsid w:val="008F2529"/>
    <w:rsid w:val="008F2EEF"/>
    <w:rsid w:val="008F36F9"/>
    <w:rsid w:val="008F3E4B"/>
    <w:rsid w:val="008F5C20"/>
    <w:rsid w:val="008F778A"/>
    <w:rsid w:val="008F7D59"/>
    <w:rsid w:val="0090230C"/>
    <w:rsid w:val="00902ED6"/>
    <w:rsid w:val="0090320B"/>
    <w:rsid w:val="0090412D"/>
    <w:rsid w:val="00904674"/>
    <w:rsid w:val="00904B9F"/>
    <w:rsid w:val="009055CD"/>
    <w:rsid w:val="009059D8"/>
    <w:rsid w:val="00906037"/>
    <w:rsid w:val="009061B3"/>
    <w:rsid w:val="0090753B"/>
    <w:rsid w:val="009108CE"/>
    <w:rsid w:val="0091278B"/>
    <w:rsid w:val="0091280A"/>
    <w:rsid w:val="00912C0C"/>
    <w:rsid w:val="009143A0"/>
    <w:rsid w:val="0091570A"/>
    <w:rsid w:val="0091706F"/>
    <w:rsid w:val="00921B5A"/>
    <w:rsid w:val="00923E2B"/>
    <w:rsid w:val="00925124"/>
    <w:rsid w:val="00925635"/>
    <w:rsid w:val="00927C59"/>
    <w:rsid w:val="00930275"/>
    <w:rsid w:val="00931341"/>
    <w:rsid w:val="00931881"/>
    <w:rsid w:val="009330B0"/>
    <w:rsid w:val="009341D6"/>
    <w:rsid w:val="0093421F"/>
    <w:rsid w:val="00936902"/>
    <w:rsid w:val="00937D75"/>
    <w:rsid w:val="00942170"/>
    <w:rsid w:val="0094311A"/>
    <w:rsid w:val="00944665"/>
    <w:rsid w:val="0094486D"/>
    <w:rsid w:val="00945FAF"/>
    <w:rsid w:val="00946660"/>
    <w:rsid w:val="00946D00"/>
    <w:rsid w:val="00950E58"/>
    <w:rsid w:val="00952DF0"/>
    <w:rsid w:val="00954080"/>
    <w:rsid w:val="009543ED"/>
    <w:rsid w:val="00954679"/>
    <w:rsid w:val="009552FE"/>
    <w:rsid w:val="00955673"/>
    <w:rsid w:val="00955A32"/>
    <w:rsid w:val="009562E9"/>
    <w:rsid w:val="00956FCB"/>
    <w:rsid w:val="009579E0"/>
    <w:rsid w:val="00957C28"/>
    <w:rsid w:val="00960560"/>
    <w:rsid w:val="009608B2"/>
    <w:rsid w:val="0096105B"/>
    <w:rsid w:val="009623DB"/>
    <w:rsid w:val="009624E4"/>
    <w:rsid w:val="0096300E"/>
    <w:rsid w:val="0096536E"/>
    <w:rsid w:val="009655DA"/>
    <w:rsid w:val="00965789"/>
    <w:rsid w:val="00965BBC"/>
    <w:rsid w:val="00966418"/>
    <w:rsid w:val="009673D0"/>
    <w:rsid w:val="00967C42"/>
    <w:rsid w:val="00970621"/>
    <w:rsid w:val="009712AF"/>
    <w:rsid w:val="00972823"/>
    <w:rsid w:val="00972928"/>
    <w:rsid w:val="00974996"/>
    <w:rsid w:val="009755CA"/>
    <w:rsid w:val="00975942"/>
    <w:rsid w:val="00975D1C"/>
    <w:rsid w:val="00976400"/>
    <w:rsid w:val="00976BE8"/>
    <w:rsid w:val="009815FE"/>
    <w:rsid w:val="009832AF"/>
    <w:rsid w:val="00984801"/>
    <w:rsid w:val="00984F5D"/>
    <w:rsid w:val="0098560D"/>
    <w:rsid w:val="00985F08"/>
    <w:rsid w:val="00986160"/>
    <w:rsid w:val="009867C7"/>
    <w:rsid w:val="00986D3C"/>
    <w:rsid w:val="0098737D"/>
    <w:rsid w:val="009875DC"/>
    <w:rsid w:val="00990BE6"/>
    <w:rsid w:val="00990F30"/>
    <w:rsid w:val="009930F1"/>
    <w:rsid w:val="009939EE"/>
    <w:rsid w:val="00994334"/>
    <w:rsid w:val="00996CA3"/>
    <w:rsid w:val="00996E13"/>
    <w:rsid w:val="009A2167"/>
    <w:rsid w:val="009A26BC"/>
    <w:rsid w:val="009A3263"/>
    <w:rsid w:val="009A43F6"/>
    <w:rsid w:val="009A49AC"/>
    <w:rsid w:val="009A49CA"/>
    <w:rsid w:val="009A49F0"/>
    <w:rsid w:val="009A5307"/>
    <w:rsid w:val="009A6D4B"/>
    <w:rsid w:val="009A6D6C"/>
    <w:rsid w:val="009A7125"/>
    <w:rsid w:val="009B1D3A"/>
    <w:rsid w:val="009B4454"/>
    <w:rsid w:val="009B46DF"/>
    <w:rsid w:val="009B4C1C"/>
    <w:rsid w:val="009B6632"/>
    <w:rsid w:val="009B7908"/>
    <w:rsid w:val="009B7A38"/>
    <w:rsid w:val="009C0051"/>
    <w:rsid w:val="009C0265"/>
    <w:rsid w:val="009C08F7"/>
    <w:rsid w:val="009C1012"/>
    <w:rsid w:val="009C4A81"/>
    <w:rsid w:val="009C55E6"/>
    <w:rsid w:val="009C6A1E"/>
    <w:rsid w:val="009D08BB"/>
    <w:rsid w:val="009D08F5"/>
    <w:rsid w:val="009D1D0F"/>
    <w:rsid w:val="009D1F21"/>
    <w:rsid w:val="009D2F0C"/>
    <w:rsid w:val="009D4300"/>
    <w:rsid w:val="009D477C"/>
    <w:rsid w:val="009E27A5"/>
    <w:rsid w:val="009E28F6"/>
    <w:rsid w:val="009E2C6C"/>
    <w:rsid w:val="009E2E78"/>
    <w:rsid w:val="009E2F86"/>
    <w:rsid w:val="009E3E48"/>
    <w:rsid w:val="009E4ADF"/>
    <w:rsid w:val="009E4E5B"/>
    <w:rsid w:val="009E5CCC"/>
    <w:rsid w:val="009E6342"/>
    <w:rsid w:val="009E71BE"/>
    <w:rsid w:val="009E7AFF"/>
    <w:rsid w:val="009F15A2"/>
    <w:rsid w:val="009F21A1"/>
    <w:rsid w:val="009F2535"/>
    <w:rsid w:val="009F2594"/>
    <w:rsid w:val="009F3B16"/>
    <w:rsid w:val="009F3B96"/>
    <w:rsid w:val="009F3C58"/>
    <w:rsid w:val="009F5EF5"/>
    <w:rsid w:val="00A003FD"/>
    <w:rsid w:val="00A0128F"/>
    <w:rsid w:val="00A044C5"/>
    <w:rsid w:val="00A048F2"/>
    <w:rsid w:val="00A04D78"/>
    <w:rsid w:val="00A063F9"/>
    <w:rsid w:val="00A10C49"/>
    <w:rsid w:val="00A12209"/>
    <w:rsid w:val="00A12E8A"/>
    <w:rsid w:val="00A13261"/>
    <w:rsid w:val="00A1357B"/>
    <w:rsid w:val="00A139FB"/>
    <w:rsid w:val="00A13A22"/>
    <w:rsid w:val="00A14AC4"/>
    <w:rsid w:val="00A161EC"/>
    <w:rsid w:val="00A20050"/>
    <w:rsid w:val="00A211C6"/>
    <w:rsid w:val="00A21B09"/>
    <w:rsid w:val="00A21FEE"/>
    <w:rsid w:val="00A22BD0"/>
    <w:rsid w:val="00A23E01"/>
    <w:rsid w:val="00A265F1"/>
    <w:rsid w:val="00A26F18"/>
    <w:rsid w:val="00A31344"/>
    <w:rsid w:val="00A31484"/>
    <w:rsid w:val="00A31543"/>
    <w:rsid w:val="00A31681"/>
    <w:rsid w:val="00A31DDE"/>
    <w:rsid w:val="00A3208D"/>
    <w:rsid w:val="00A3463E"/>
    <w:rsid w:val="00A34A1B"/>
    <w:rsid w:val="00A34CA4"/>
    <w:rsid w:val="00A34F1C"/>
    <w:rsid w:val="00A36DF3"/>
    <w:rsid w:val="00A4025B"/>
    <w:rsid w:val="00A407E5"/>
    <w:rsid w:val="00A42188"/>
    <w:rsid w:val="00A44134"/>
    <w:rsid w:val="00A4441D"/>
    <w:rsid w:val="00A44CF5"/>
    <w:rsid w:val="00A45EC8"/>
    <w:rsid w:val="00A46E5C"/>
    <w:rsid w:val="00A47F9E"/>
    <w:rsid w:val="00A532DD"/>
    <w:rsid w:val="00A53919"/>
    <w:rsid w:val="00A53C03"/>
    <w:rsid w:val="00A5522E"/>
    <w:rsid w:val="00A6027E"/>
    <w:rsid w:val="00A60D03"/>
    <w:rsid w:val="00A618B9"/>
    <w:rsid w:val="00A623D2"/>
    <w:rsid w:val="00A62BAC"/>
    <w:rsid w:val="00A64345"/>
    <w:rsid w:val="00A648A2"/>
    <w:rsid w:val="00A649B6"/>
    <w:rsid w:val="00A64ABB"/>
    <w:rsid w:val="00A64C7A"/>
    <w:rsid w:val="00A6562E"/>
    <w:rsid w:val="00A700A9"/>
    <w:rsid w:val="00A708A9"/>
    <w:rsid w:val="00A71B4D"/>
    <w:rsid w:val="00A74B90"/>
    <w:rsid w:val="00A760F0"/>
    <w:rsid w:val="00A76F1F"/>
    <w:rsid w:val="00A80BCF"/>
    <w:rsid w:val="00A80C61"/>
    <w:rsid w:val="00A8145C"/>
    <w:rsid w:val="00A825D1"/>
    <w:rsid w:val="00A82D31"/>
    <w:rsid w:val="00A8369C"/>
    <w:rsid w:val="00A84380"/>
    <w:rsid w:val="00A86579"/>
    <w:rsid w:val="00A868BE"/>
    <w:rsid w:val="00A86F69"/>
    <w:rsid w:val="00A86FAB"/>
    <w:rsid w:val="00A900BB"/>
    <w:rsid w:val="00A9016A"/>
    <w:rsid w:val="00A90212"/>
    <w:rsid w:val="00A90C07"/>
    <w:rsid w:val="00A90CC4"/>
    <w:rsid w:val="00A92D5E"/>
    <w:rsid w:val="00A93328"/>
    <w:rsid w:val="00A93A68"/>
    <w:rsid w:val="00A9401D"/>
    <w:rsid w:val="00A94897"/>
    <w:rsid w:val="00A95F9F"/>
    <w:rsid w:val="00A97F6C"/>
    <w:rsid w:val="00AA1689"/>
    <w:rsid w:val="00AA1AA1"/>
    <w:rsid w:val="00AA496F"/>
    <w:rsid w:val="00AA5770"/>
    <w:rsid w:val="00AA695D"/>
    <w:rsid w:val="00AA70DB"/>
    <w:rsid w:val="00AB042B"/>
    <w:rsid w:val="00AB120E"/>
    <w:rsid w:val="00AB1300"/>
    <w:rsid w:val="00AB2E70"/>
    <w:rsid w:val="00AB30E0"/>
    <w:rsid w:val="00AB33C1"/>
    <w:rsid w:val="00AB3CFE"/>
    <w:rsid w:val="00AB3E03"/>
    <w:rsid w:val="00AB4B99"/>
    <w:rsid w:val="00AB6815"/>
    <w:rsid w:val="00AC0266"/>
    <w:rsid w:val="00AC11F6"/>
    <w:rsid w:val="00AC1D15"/>
    <w:rsid w:val="00AC5811"/>
    <w:rsid w:val="00AC679F"/>
    <w:rsid w:val="00AD09DC"/>
    <w:rsid w:val="00AD1245"/>
    <w:rsid w:val="00AD2491"/>
    <w:rsid w:val="00AD3A08"/>
    <w:rsid w:val="00AD3B8D"/>
    <w:rsid w:val="00AD44C6"/>
    <w:rsid w:val="00AD4CAD"/>
    <w:rsid w:val="00AD5BAB"/>
    <w:rsid w:val="00AD6107"/>
    <w:rsid w:val="00AD7D2D"/>
    <w:rsid w:val="00AE2930"/>
    <w:rsid w:val="00AE36DB"/>
    <w:rsid w:val="00AE460D"/>
    <w:rsid w:val="00AE57AA"/>
    <w:rsid w:val="00AE7F82"/>
    <w:rsid w:val="00AF0D35"/>
    <w:rsid w:val="00AF2832"/>
    <w:rsid w:val="00AF2CC9"/>
    <w:rsid w:val="00AF3452"/>
    <w:rsid w:val="00AF3DF3"/>
    <w:rsid w:val="00AF40C7"/>
    <w:rsid w:val="00AF494D"/>
    <w:rsid w:val="00AF7A6F"/>
    <w:rsid w:val="00AF7AEF"/>
    <w:rsid w:val="00AF7CB3"/>
    <w:rsid w:val="00B00186"/>
    <w:rsid w:val="00B018CF"/>
    <w:rsid w:val="00B02FA0"/>
    <w:rsid w:val="00B0371D"/>
    <w:rsid w:val="00B05D61"/>
    <w:rsid w:val="00B05DB8"/>
    <w:rsid w:val="00B0614F"/>
    <w:rsid w:val="00B0681B"/>
    <w:rsid w:val="00B074BA"/>
    <w:rsid w:val="00B07B0C"/>
    <w:rsid w:val="00B1088A"/>
    <w:rsid w:val="00B120F9"/>
    <w:rsid w:val="00B13352"/>
    <w:rsid w:val="00B14C35"/>
    <w:rsid w:val="00B14DFE"/>
    <w:rsid w:val="00B150A4"/>
    <w:rsid w:val="00B15917"/>
    <w:rsid w:val="00B20CE0"/>
    <w:rsid w:val="00B219A0"/>
    <w:rsid w:val="00B23CDB"/>
    <w:rsid w:val="00B24160"/>
    <w:rsid w:val="00B24359"/>
    <w:rsid w:val="00B2443E"/>
    <w:rsid w:val="00B25563"/>
    <w:rsid w:val="00B269DE"/>
    <w:rsid w:val="00B26D48"/>
    <w:rsid w:val="00B273EC"/>
    <w:rsid w:val="00B2789F"/>
    <w:rsid w:val="00B3298D"/>
    <w:rsid w:val="00B32E65"/>
    <w:rsid w:val="00B3325F"/>
    <w:rsid w:val="00B340A9"/>
    <w:rsid w:val="00B34CA1"/>
    <w:rsid w:val="00B3755D"/>
    <w:rsid w:val="00B40536"/>
    <w:rsid w:val="00B40949"/>
    <w:rsid w:val="00B40D80"/>
    <w:rsid w:val="00B41F7B"/>
    <w:rsid w:val="00B4278E"/>
    <w:rsid w:val="00B42EE1"/>
    <w:rsid w:val="00B43DA2"/>
    <w:rsid w:val="00B4616C"/>
    <w:rsid w:val="00B469F3"/>
    <w:rsid w:val="00B471F5"/>
    <w:rsid w:val="00B47A59"/>
    <w:rsid w:val="00B47D1D"/>
    <w:rsid w:val="00B50D90"/>
    <w:rsid w:val="00B51232"/>
    <w:rsid w:val="00B518E3"/>
    <w:rsid w:val="00B51904"/>
    <w:rsid w:val="00B52C02"/>
    <w:rsid w:val="00B5349B"/>
    <w:rsid w:val="00B53806"/>
    <w:rsid w:val="00B53DCF"/>
    <w:rsid w:val="00B54A26"/>
    <w:rsid w:val="00B54A4A"/>
    <w:rsid w:val="00B54EFB"/>
    <w:rsid w:val="00B5649C"/>
    <w:rsid w:val="00B56E6D"/>
    <w:rsid w:val="00B57C32"/>
    <w:rsid w:val="00B57EC8"/>
    <w:rsid w:val="00B60FC2"/>
    <w:rsid w:val="00B635F9"/>
    <w:rsid w:val="00B64D33"/>
    <w:rsid w:val="00B6780E"/>
    <w:rsid w:val="00B7138A"/>
    <w:rsid w:val="00B7255E"/>
    <w:rsid w:val="00B72790"/>
    <w:rsid w:val="00B7476A"/>
    <w:rsid w:val="00B75181"/>
    <w:rsid w:val="00B7567E"/>
    <w:rsid w:val="00B7598C"/>
    <w:rsid w:val="00B81EF7"/>
    <w:rsid w:val="00B8293D"/>
    <w:rsid w:val="00B83B20"/>
    <w:rsid w:val="00B87A49"/>
    <w:rsid w:val="00B91ECE"/>
    <w:rsid w:val="00B92478"/>
    <w:rsid w:val="00B943FB"/>
    <w:rsid w:val="00B94F6C"/>
    <w:rsid w:val="00B97463"/>
    <w:rsid w:val="00B97597"/>
    <w:rsid w:val="00BA13A1"/>
    <w:rsid w:val="00BA1D6D"/>
    <w:rsid w:val="00BA25B4"/>
    <w:rsid w:val="00BA55DA"/>
    <w:rsid w:val="00BA5FDD"/>
    <w:rsid w:val="00BA6188"/>
    <w:rsid w:val="00BA7746"/>
    <w:rsid w:val="00BA7D73"/>
    <w:rsid w:val="00BB183A"/>
    <w:rsid w:val="00BB1E96"/>
    <w:rsid w:val="00BB1E9C"/>
    <w:rsid w:val="00BB27F3"/>
    <w:rsid w:val="00BB5C28"/>
    <w:rsid w:val="00BB608E"/>
    <w:rsid w:val="00BB6162"/>
    <w:rsid w:val="00BB7567"/>
    <w:rsid w:val="00BC1F51"/>
    <w:rsid w:val="00BC3334"/>
    <w:rsid w:val="00BC361A"/>
    <w:rsid w:val="00BC4D4D"/>
    <w:rsid w:val="00BC68C2"/>
    <w:rsid w:val="00BC7CAF"/>
    <w:rsid w:val="00BD2045"/>
    <w:rsid w:val="00BD2473"/>
    <w:rsid w:val="00BD3450"/>
    <w:rsid w:val="00BD3D7D"/>
    <w:rsid w:val="00BD49F7"/>
    <w:rsid w:val="00BD4B38"/>
    <w:rsid w:val="00BD61A2"/>
    <w:rsid w:val="00BD6E39"/>
    <w:rsid w:val="00BE12F3"/>
    <w:rsid w:val="00BE157B"/>
    <w:rsid w:val="00BE2273"/>
    <w:rsid w:val="00BE251D"/>
    <w:rsid w:val="00BE2D37"/>
    <w:rsid w:val="00BE2D7C"/>
    <w:rsid w:val="00BE484D"/>
    <w:rsid w:val="00BE5647"/>
    <w:rsid w:val="00BE6647"/>
    <w:rsid w:val="00BF2596"/>
    <w:rsid w:val="00BF2D66"/>
    <w:rsid w:val="00BF3537"/>
    <w:rsid w:val="00BF47C5"/>
    <w:rsid w:val="00BF6C98"/>
    <w:rsid w:val="00BF6E8C"/>
    <w:rsid w:val="00BF7243"/>
    <w:rsid w:val="00BF7EEF"/>
    <w:rsid w:val="00C00B11"/>
    <w:rsid w:val="00C01B4B"/>
    <w:rsid w:val="00C023AF"/>
    <w:rsid w:val="00C0289D"/>
    <w:rsid w:val="00C05190"/>
    <w:rsid w:val="00C05705"/>
    <w:rsid w:val="00C0738E"/>
    <w:rsid w:val="00C075DD"/>
    <w:rsid w:val="00C07C98"/>
    <w:rsid w:val="00C07F96"/>
    <w:rsid w:val="00C16558"/>
    <w:rsid w:val="00C2028A"/>
    <w:rsid w:val="00C228AF"/>
    <w:rsid w:val="00C234BE"/>
    <w:rsid w:val="00C2473F"/>
    <w:rsid w:val="00C24EDE"/>
    <w:rsid w:val="00C24F2E"/>
    <w:rsid w:val="00C2508F"/>
    <w:rsid w:val="00C254E9"/>
    <w:rsid w:val="00C26C53"/>
    <w:rsid w:val="00C279E6"/>
    <w:rsid w:val="00C30442"/>
    <w:rsid w:val="00C33441"/>
    <w:rsid w:val="00C3449B"/>
    <w:rsid w:val="00C34FD6"/>
    <w:rsid w:val="00C357B4"/>
    <w:rsid w:val="00C36E46"/>
    <w:rsid w:val="00C37E05"/>
    <w:rsid w:val="00C402A3"/>
    <w:rsid w:val="00C40F58"/>
    <w:rsid w:val="00C4121E"/>
    <w:rsid w:val="00C42423"/>
    <w:rsid w:val="00C4270A"/>
    <w:rsid w:val="00C43BB4"/>
    <w:rsid w:val="00C43D90"/>
    <w:rsid w:val="00C47789"/>
    <w:rsid w:val="00C47D95"/>
    <w:rsid w:val="00C517FD"/>
    <w:rsid w:val="00C52172"/>
    <w:rsid w:val="00C53102"/>
    <w:rsid w:val="00C5393F"/>
    <w:rsid w:val="00C53D85"/>
    <w:rsid w:val="00C54DB2"/>
    <w:rsid w:val="00C55082"/>
    <w:rsid w:val="00C55D29"/>
    <w:rsid w:val="00C56F2E"/>
    <w:rsid w:val="00C602F8"/>
    <w:rsid w:val="00C60B9C"/>
    <w:rsid w:val="00C61A0E"/>
    <w:rsid w:val="00C62B3A"/>
    <w:rsid w:val="00C652A9"/>
    <w:rsid w:val="00C67036"/>
    <w:rsid w:val="00C71881"/>
    <w:rsid w:val="00C72C42"/>
    <w:rsid w:val="00C7476F"/>
    <w:rsid w:val="00C75AB9"/>
    <w:rsid w:val="00C75FD6"/>
    <w:rsid w:val="00C801EA"/>
    <w:rsid w:val="00C80208"/>
    <w:rsid w:val="00C8056E"/>
    <w:rsid w:val="00C82778"/>
    <w:rsid w:val="00C82833"/>
    <w:rsid w:val="00C8319B"/>
    <w:rsid w:val="00C8337D"/>
    <w:rsid w:val="00C83419"/>
    <w:rsid w:val="00C83DB6"/>
    <w:rsid w:val="00C83E5D"/>
    <w:rsid w:val="00C83F0A"/>
    <w:rsid w:val="00C8444A"/>
    <w:rsid w:val="00C84FA0"/>
    <w:rsid w:val="00C86741"/>
    <w:rsid w:val="00C86F6D"/>
    <w:rsid w:val="00C910C5"/>
    <w:rsid w:val="00C92134"/>
    <w:rsid w:val="00C924F2"/>
    <w:rsid w:val="00C927B4"/>
    <w:rsid w:val="00C92DD8"/>
    <w:rsid w:val="00C93E2C"/>
    <w:rsid w:val="00C948D8"/>
    <w:rsid w:val="00C96773"/>
    <w:rsid w:val="00CA045C"/>
    <w:rsid w:val="00CA0BE9"/>
    <w:rsid w:val="00CA138D"/>
    <w:rsid w:val="00CA2C6A"/>
    <w:rsid w:val="00CA412D"/>
    <w:rsid w:val="00CA5667"/>
    <w:rsid w:val="00CA57D9"/>
    <w:rsid w:val="00CA5D67"/>
    <w:rsid w:val="00CA7DAD"/>
    <w:rsid w:val="00CB1ED7"/>
    <w:rsid w:val="00CB4C6B"/>
    <w:rsid w:val="00CB4F49"/>
    <w:rsid w:val="00CB4FD0"/>
    <w:rsid w:val="00CB684F"/>
    <w:rsid w:val="00CC069F"/>
    <w:rsid w:val="00CC1F3D"/>
    <w:rsid w:val="00CC220F"/>
    <w:rsid w:val="00CC28E2"/>
    <w:rsid w:val="00CC2AFE"/>
    <w:rsid w:val="00CC2DD2"/>
    <w:rsid w:val="00CC3372"/>
    <w:rsid w:val="00CC3528"/>
    <w:rsid w:val="00CC3670"/>
    <w:rsid w:val="00CC4641"/>
    <w:rsid w:val="00CC5A2B"/>
    <w:rsid w:val="00CC7324"/>
    <w:rsid w:val="00CC7641"/>
    <w:rsid w:val="00CC77FE"/>
    <w:rsid w:val="00CD0644"/>
    <w:rsid w:val="00CD124D"/>
    <w:rsid w:val="00CD23CE"/>
    <w:rsid w:val="00CE0B46"/>
    <w:rsid w:val="00CE1AB1"/>
    <w:rsid w:val="00CE1D95"/>
    <w:rsid w:val="00CE3960"/>
    <w:rsid w:val="00CE3F14"/>
    <w:rsid w:val="00CE3F53"/>
    <w:rsid w:val="00CE4EFB"/>
    <w:rsid w:val="00CE67D0"/>
    <w:rsid w:val="00CE7D19"/>
    <w:rsid w:val="00CE7F7E"/>
    <w:rsid w:val="00CF0404"/>
    <w:rsid w:val="00CF0681"/>
    <w:rsid w:val="00CF1BCB"/>
    <w:rsid w:val="00CF2515"/>
    <w:rsid w:val="00CF35B3"/>
    <w:rsid w:val="00CF381C"/>
    <w:rsid w:val="00CF3E79"/>
    <w:rsid w:val="00CF6111"/>
    <w:rsid w:val="00CF7D45"/>
    <w:rsid w:val="00CF7E98"/>
    <w:rsid w:val="00D01577"/>
    <w:rsid w:val="00D02088"/>
    <w:rsid w:val="00D029F9"/>
    <w:rsid w:val="00D03084"/>
    <w:rsid w:val="00D040D9"/>
    <w:rsid w:val="00D06D18"/>
    <w:rsid w:val="00D074A2"/>
    <w:rsid w:val="00D07823"/>
    <w:rsid w:val="00D10E3E"/>
    <w:rsid w:val="00D126DE"/>
    <w:rsid w:val="00D133B5"/>
    <w:rsid w:val="00D13794"/>
    <w:rsid w:val="00D13A56"/>
    <w:rsid w:val="00D14AD4"/>
    <w:rsid w:val="00D154E9"/>
    <w:rsid w:val="00D20E8A"/>
    <w:rsid w:val="00D21119"/>
    <w:rsid w:val="00D218E7"/>
    <w:rsid w:val="00D223DB"/>
    <w:rsid w:val="00D24052"/>
    <w:rsid w:val="00D24386"/>
    <w:rsid w:val="00D27619"/>
    <w:rsid w:val="00D30BB0"/>
    <w:rsid w:val="00D30D45"/>
    <w:rsid w:val="00D314BD"/>
    <w:rsid w:val="00D31575"/>
    <w:rsid w:val="00D31A89"/>
    <w:rsid w:val="00D32667"/>
    <w:rsid w:val="00D34626"/>
    <w:rsid w:val="00D34FB4"/>
    <w:rsid w:val="00D359BA"/>
    <w:rsid w:val="00D366F9"/>
    <w:rsid w:val="00D402AA"/>
    <w:rsid w:val="00D411E6"/>
    <w:rsid w:val="00D4257A"/>
    <w:rsid w:val="00D43915"/>
    <w:rsid w:val="00D442DE"/>
    <w:rsid w:val="00D456A9"/>
    <w:rsid w:val="00D45D3D"/>
    <w:rsid w:val="00D4628B"/>
    <w:rsid w:val="00D47B52"/>
    <w:rsid w:val="00D523CA"/>
    <w:rsid w:val="00D52798"/>
    <w:rsid w:val="00D52A8D"/>
    <w:rsid w:val="00D53806"/>
    <w:rsid w:val="00D53CAA"/>
    <w:rsid w:val="00D540AE"/>
    <w:rsid w:val="00D5436D"/>
    <w:rsid w:val="00D5468A"/>
    <w:rsid w:val="00D54957"/>
    <w:rsid w:val="00D55973"/>
    <w:rsid w:val="00D55E23"/>
    <w:rsid w:val="00D57B94"/>
    <w:rsid w:val="00D6066C"/>
    <w:rsid w:val="00D61745"/>
    <w:rsid w:val="00D620A1"/>
    <w:rsid w:val="00D62665"/>
    <w:rsid w:val="00D645AC"/>
    <w:rsid w:val="00D64C75"/>
    <w:rsid w:val="00D659C6"/>
    <w:rsid w:val="00D66C71"/>
    <w:rsid w:val="00D66D7C"/>
    <w:rsid w:val="00D70205"/>
    <w:rsid w:val="00D71C0E"/>
    <w:rsid w:val="00D735EF"/>
    <w:rsid w:val="00D7370D"/>
    <w:rsid w:val="00D74455"/>
    <w:rsid w:val="00D76033"/>
    <w:rsid w:val="00D7609F"/>
    <w:rsid w:val="00D81AA7"/>
    <w:rsid w:val="00D827D3"/>
    <w:rsid w:val="00D82E47"/>
    <w:rsid w:val="00D84166"/>
    <w:rsid w:val="00D84A01"/>
    <w:rsid w:val="00D86617"/>
    <w:rsid w:val="00D86A43"/>
    <w:rsid w:val="00D875B3"/>
    <w:rsid w:val="00D87694"/>
    <w:rsid w:val="00D9653B"/>
    <w:rsid w:val="00D975AD"/>
    <w:rsid w:val="00D977EA"/>
    <w:rsid w:val="00DA0196"/>
    <w:rsid w:val="00DA0237"/>
    <w:rsid w:val="00DA15E1"/>
    <w:rsid w:val="00DA2A88"/>
    <w:rsid w:val="00DA35D8"/>
    <w:rsid w:val="00DA3D85"/>
    <w:rsid w:val="00DA40FF"/>
    <w:rsid w:val="00DA43A3"/>
    <w:rsid w:val="00DA53AE"/>
    <w:rsid w:val="00DA5A5F"/>
    <w:rsid w:val="00DA5EAC"/>
    <w:rsid w:val="00DA7437"/>
    <w:rsid w:val="00DA7B0E"/>
    <w:rsid w:val="00DB11F8"/>
    <w:rsid w:val="00DB1426"/>
    <w:rsid w:val="00DB148C"/>
    <w:rsid w:val="00DB1A31"/>
    <w:rsid w:val="00DB1A84"/>
    <w:rsid w:val="00DB202E"/>
    <w:rsid w:val="00DB4F78"/>
    <w:rsid w:val="00DB5B2D"/>
    <w:rsid w:val="00DC027B"/>
    <w:rsid w:val="00DC0CDE"/>
    <w:rsid w:val="00DC146A"/>
    <w:rsid w:val="00DC1A85"/>
    <w:rsid w:val="00DC2BF2"/>
    <w:rsid w:val="00DC3D5F"/>
    <w:rsid w:val="00DC498E"/>
    <w:rsid w:val="00DC4D72"/>
    <w:rsid w:val="00DC55E7"/>
    <w:rsid w:val="00DC6525"/>
    <w:rsid w:val="00DC7012"/>
    <w:rsid w:val="00DC7018"/>
    <w:rsid w:val="00DC7D79"/>
    <w:rsid w:val="00DD12B0"/>
    <w:rsid w:val="00DD1CA9"/>
    <w:rsid w:val="00DD2A4C"/>
    <w:rsid w:val="00DD2D44"/>
    <w:rsid w:val="00DD2D98"/>
    <w:rsid w:val="00DD3449"/>
    <w:rsid w:val="00DD3C8A"/>
    <w:rsid w:val="00DD5610"/>
    <w:rsid w:val="00DD6CF0"/>
    <w:rsid w:val="00DD7009"/>
    <w:rsid w:val="00DD7A41"/>
    <w:rsid w:val="00DD7E4C"/>
    <w:rsid w:val="00DE1BAA"/>
    <w:rsid w:val="00DE27EC"/>
    <w:rsid w:val="00DE68DD"/>
    <w:rsid w:val="00DF0CB3"/>
    <w:rsid w:val="00DF418A"/>
    <w:rsid w:val="00DF494C"/>
    <w:rsid w:val="00DF5DB9"/>
    <w:rsid w:val="00DF6D0B"/>
    <w:rsid w:val="00DF7E0D"/>
    <w:rsid w:val="00E00CF8"/>
    <w:rsid w:val="00E00FCF"/>
    <w:rsid w:val="00E01D42"/>
    <w:rsid w:val="00E025E1"/>
    <w:rsid w:val="00E02C3E"/>
    <w:rsid w:val="00E04FEC"/>
    <w:rsid w:val="00E05534"/>
    <w:rsid w:val="00E0624D"/>
    <w:rsid w:val="00E06D41"/>
    <w:rsid w:val="00E07349"/>
    <w:rsid w:val="00E07578"/>
    <w:rsid w:val="00E10EBB"/>
    <w:rsid w:val="00E11B3F"/>
    <w:rsid w:val="00E13B1D"/>
    <w:rsid w:val="00E14F43"/>
    <w:rsid w:val="00E1526C"/>
    <w:rsid w:val="00E179D4"/>
    <w:rsid w:val="00E17B73"/>
    <w:rsid w:val="00E17C0E"/>
    <w:rsid w:val="00E20023"/>
    <w:rsid w:val="00E22741"/>
    <w:rsid w:val="00E23F8F"/>
    <w:rsid w:val="00E24ACA"/>
    <w:rsid w:val="00E25B24"/>
    <w:rsid w:val="00E25E9D"/>
    <w:rsid w:val="00E27419"/>
    <w:rsid w:val="00E27B94"/>
    <w:rsid w:val="00E27BA5"/>
    <w:rsid w:val="00E30FA5"/>
    <w:rsid w:val="00E31236"/>
    <w:rsid w:val="00E349FF"/>
    <w:rsid w:val="00E34EC9"/>
    <w:rsid w:val="00E34F73"/>
    <w:rsid w:val="00E353A3"/>
    <w:rsid w:val="00E35C9D"/>
    <w:rsid w:val="00E3788A"/>
    <w:rsid w:val="00E37CE2"/>
    <w:rsid w:val="00E37FF7"/>
    <w:rsid w:val="00E40B1A"/>
    <w:rsid w:val="00E40C63"/>
    <w:rsid w:val="00E41B9D"/>
    <w:rsid w:val="00E42F74"/>
    <w:rsid w:val="00E4438C"/>
    <w:rsid w:val="00E45082"/>
    <w:rsid w:val="00E457F3"/>
    <w:rsid w:val="00E46FFC"/>
    <w:rsid w:val="00E4727D"/>
    <w:rsid w:val="00E47E6C"/>
    <w:rsid w:val="00E5020D"/>
    <w:rsid w:val="00E50458"/>
    <w:rsid w:val="00E50663"/>
    <w:rsid w:val="00E520B3"/>
    <w:rsid w:val="00E55F9B"/>
    <w:rsid w:val="00E572CF"/>
    <w:rsid w:val="00E575FC"/>
    <w:rsid w:val="00E576F5"/>
    <w:rsid w:val="00E57A6A"/>
    <w:rsid w:val="00E60BEA"/>
    <w:rsid w:val="00E60E40"/>
    <w:rsid w:val="00E64909"/>
    <w:rsid w:val="00E64DE3"/>
    <w:rsid w:val="00E67270"/>
    <w:rsid w:val="00E72AE1"/>
    <w:rsid w:val="00E73CC1"/>
    <w:rsid w:val="00E74C7A"/>
    <w:rsid w:val="00E772B7"/>
    <w:rsid w:val="00E80E67"/>
    <w:rsid w:val="00E8145A"/>
    <w:rsid w:val="00E82ACA"/>
    <w:rsid w:val="00E8387C"/>
    <w:rsid w:val="00E8489A"/>
    <w:rsid w:val="00E85E51"/>
    <w:rsid w:val="00E85F91"/>
    <w:rsid w:val="00E86357"/>
    <w:rsid w:val="00E8682C"/>
    <w:rsid w:val="00E8695F"/>
    <w:rsid w:val="00E86EE4"/>
    <w:rsid w:val="00E87284"/>
    <w:rsid w:val="00E90646"/>
    <w:rsid w:val="00E97664"/>
    <w:rsid w:val="00EA0B54"/>
    <w:rsid w:val="00EA131C"/>
    <w:rsid w:val="00EA3ABF"/>
    <w:rsid w:val="00EA4DD8"/>
    <w:rsid w:val="00EA6860"/>
    <w:rsid w:val="00EA73B6"/>
    <w:rsid w:val="00EA7959"/>
    <w:rsid w:val="00EB1137"/>
    <w:rsid w:val="00EB16BC"/>
    <w:rsid w:val="00EB1D7B"/>
    <w:rsid w:val="00EB2AEF"/>
    <w:rsid w:val="00EB2BED"/>
    <w:rsid w:val="00EB448F"/>
    <w:rsid w:val="00EB50AE"/>
    <w:rsid w:val="00EB5744"/>
    <w:rsid w:val="00EB7E71"/>
    <w:rsid w:val="00EC0EB5"/>
    <w:rsid w:val="00EC22DC"/>
    <w:rsid w:val="00EC3C34"/>
    <w:rsid w:val="00EC4CA8"/>
    <w:rsid w:val="00EC504C"/>
    <w:rsid w:val="00EC6EE7"/>
    <w:rsid w:val="00EC77B5"/>
    <w:rsid w:val="00EC7ABC"/>
    <w:rsid w:val="00ED0E19"/>
    <w:rsid w:val="00ED123E"/>
    <w:rsid w:val="00ED1EF1"/>
    <w:rsid w:val="00ED1F15"/>
    <w:rsid w:val="00ED216B"/>
    <w:rsid w:val="00ED3475"/>
    <w:rsid w:val="00ED569A"/>
    <w:rsid w:val="00ED5A35"/>
    <w:rsid w:val="00ED7507"/>
    <w:rsid w:val="00EE07CA"/>
    <w:rsid w:val="00EE0FC1"/>
    <w:rsid w:val="00EE3A79"/>
    <w:rsid w:val="00EE3C60"/>
    <w:rsid w:val="00EE5FA5"/>
    <w:rsid w:val="00EE67FF"/>
    <w:rsid w:val="00EF05D5"/>
    <w:rsid w:val="00EF1C80"/>
    <w:rsid w:val="00EF1EF5"/>
    <w:rsid w:val="00EF2788"/>
    <w:rsid w:val="00EF3103"/>
    <w:rsid w:val="00EF368B"/>
    <w:rsid w:val="00EF3F5A"/>
    <w:rsid w:val="00EF4D4F"/>
    <w:rsid w:val="00EF6E9B"/>
    <w:rsid w:val="00EF71AA"/>
    <w:rsid w:val="00EF7231"/>
    <w:rsid w:val="00EF7428"/>
    <w:rsid w:val="00EF7714"/>
    <w:rsid w:val="00F023DB"/>
    <w:rsid w:val="00F02DD8"/>
    <w:rsid w:val="00F04BB4"/>
    <w:rsid w:val="00F050FE"/>
    <w:rsid w:val="00F0608D"/>
    <w:rsid w:val="00F0725A"/>
    <w:rsid w:val="00F109D4"/>
    <w:rsid w:val="00F10A6F"/>
    <w:rsid w:val="00F113CA"/>
    <w:rsid w:val="00F12F86"/>
    <w:rsid w:val="00F15EE9"/>
    <w:rsid w:val="00F16194"/>
    <w:rsid w:val="00F1678E"/>
    <w:rsid w:val="00F16D67"/>
    <w:rsid w:val="00F16F37"/>
    <w:rsid w:val="00F21D5D"/>
    <w:rsid w:val="00F245A0"/>
    <w:rsid w:val="00F24736"/>
    <w:rsid w:val="00F27096"/>
    <w:rsid w:val="00F27344"/>
    <w:rsid w:val="00F343AA"/>
    <w:rsid w:val="00F355D6"/>
    <w:rsid w:val="00F422D7"/>
    <w:rsid w:val="00F4241B"/>
    <w:rsid w:val="00F43123"/>
    <w:rsid w:val="00F45F5D"/>
    <w:rsid w:val="00F46704"/>
    <w:rsid w:val="00F46C17"/>
    <w:rsid w:val="00F47585"/>
    <w:rsid w:val="00F50038"/>
    <w:rsid w:val="00F51EFC"/>
    <w:rsid w:val="00F543B5"/>
    <w:rsid w:val="00F54C11"/>
    <w:rsid w:val="00F5552A"/>
    <w:rsid w:val="00F56E84"/>
    <w:rsid w:val="00F6001A"/>
    <w:rsid w:val="00F6249C"/>
    <w:rsid w:val="00F63474"/>
    <w:rsid w:val="00F63E99"/>
    <w:rsid w:val="00F65E92"/>
    <w:rsid w:val="00F67154"/>
    <w:rsid w:val="00F678B8"/>
    <w:rsid w:val="00F67BB3"/>
    <w:rsid w:val="00F67E0A"/>
    <w:rsid w:val="00F7078E"/>
    <w:rsid w:val="00F70A7C"/>
    <w:rsid w:val="00F732D1"/>
    <w:rsid w:val="00F74A31"/>
    <w:rsid w:val="00F75BDB"/>
    <w:rsid w:val="00F76611"/>
    <w:rsid w:val="00F77CEB"/>
    <w:rsid w:val="00F80103"/>
    <w:rsid w:val="00F80AAC"/>
    <w:rsid w:val="00F81232"/>
    <w:rsid w:val="00F81EC4"/>
    <w:rsid w:val="00F8291C"/>
    <w:rsid w:val="00F85E6F"/>
    <w:rsid w:val="00F86672"/>
    <w:rsid w:val="00F86731"/>
    <w:rsid w:val="00F86939"/>
    <w:rsid w:val="00F86CE5"/>
    <w:rsid w:val="00F913AD"/>
    <w:rsid w:val="00F930BD"/>
    <w:rsid w:val="00F93F04"/>
    <w:rsid w:val="00F95449"/>
    <w:rsid w:val="00F95830"/>
    <w:rsid w:val="00F95953"/>
    <w:rsid w:val="00FA0121"/>
    <w:rsid w:val="00FA0659"/>
    <w:rsid w:val="00FA1942"/>
    <w:rsid w:val="00FA22DF"/>
    <w:rsid w:val="00FA26C9"/>
    <w:rsid w:val="00FA380A"/>
    <w:rsid w:val="00FA49E1"/>
    <w:rsid w:val="00FA4FCA"/>
    <w:rsid w:val="00FA6214"/>
    <w:rsid w:val="00FA621E"/>
    <w:rsid w:val="00FA67E0"/>
    <w:rsid w:val="00FA6BD4"/>
    <w:rsid w:val="00FA7F3A"/>
    <w:rsid w:val="00FA7FAE"/>
    <w:rsid w:val="00FB0891"/>
    <w:rsid w:val="00FB24C4"/>
    <w:rsid w:val="00FB4B92"/>
    <w:rsid w:val="00FB7043"/>
    <w:rsid w:val="00FC007F"/>
    <w:rsid w:val="00FC13D7"/>
    <w:rsid w:val="00FC292B"/>
    <w:rsid w:val="00FC2CB5"/>
    <w:rsid w:val="00FC38D9"/>
    <w:rsid w:val="00FC3A8F"/>
    <w:rsid w:val="00FC3D21"/>
    <w:rsid w:val="00FC3EDC"/>
    <w:rsid w:val="00FC3F29"/>
    <w:rsid w:val="00FC45FF"/>
    <w:rsid w:val="00FC46F4"/>
    <w:rsid w:val="00FC4995"/>
    <w:rsid w:val="00FC5043"/>
    <w:rsid w:val="00FC595E"/>
    <w:rsid w:val="00FC59D1"/>
    <w:rsid w:val="00FC7C02"/>
    <w:rsid w:val="00FD19E1"/>
    <w:rsid w:val="00FD19F7"/>
    <w:rsid w:val="00FD3ED6"/>
    <w:rsid w:val="00FD6194"/>
    <w:rsid w:val="00FD6564"/>
    <w:rsid w:val="00FD7402"/>
    <w:rsid w:val="00FE04E4"/>
    <w:rsid w:val="00FE277C"/>
    <w:rsid w:val="00FE2DD7"/>
    <w:rsid w:val="00FE66C9"/>
    <w:rsid w:val="00FE6D30"/>
    <w:rsid w:val="00FE73F9"/>
    <w:rsid w:val="00FF08F9"/>
    <w:rsid w:val="00FF1057"/>
    <w:rsid w:val="00FF1193"/>
    <w:rsid w:val="00FF1657"/>
    <w:rsid w:val="00FF27DB"/>
    <w:rsid w:val="00FF28B9"/>
    <w:rsid w:val="00FF3E25"/>
    <w:rsid w:val="00FF4082"/>
    <w:rsid w:val="00FF491B"/>
    <w:rsid w:val="00FF5FD8"/>
    <w:rsid w:val="00FF604A"/>
    <w:rsid w:val="00FF7867"/>
    <w:rsid w:val="0870DB84"/>
    <w:rsid w:val="13DFA1FA"/>
    <w:rsid w:val="185CD67F"/>
    <w:rsid w:val="21549275"/>
    <w:rsid w:val="230A8FA5"/>
    <w:rsid w:val="24B4DD48"/>
    <w:rsid w:val="37B4A1C9"/>
    <w:rsid w:val="3BD01385"/>
    <w:rsid w:val="3CE79E54"/>
    <w:rsid w:val="3DEB082A"/>
    <w:rsid w:val="483269E7"/>
    <w:rsid w:val="49F59939"/>
    <w:rsid w:val="525277A6"/>
    <w:rsid w:val="52F8031D"/>
    <w:rsid w:val="5F5DFB29"/>
    <w:rsid w:val="69A6C85A"/>
    <w:rsid w:val="6A54497E"/>
    <w:rsid w:val="6EFD50A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E46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paragraph" w:styleId="Heading5">
    <w:name w:val="heading 5"/>
    <w:basedOn w:val="Normal"/>
    <w:next w:val="Normal"/>
    <w:link w:val="Heading5Char"/>
    <w:uiPriority w:val="9"/>
    <w:unhideWhenUsed/>
    <w:qFormat/>
    <w:rsid w:val="00862347"/>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862347"/>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Style1">
    <w:name w:val="Style1"/>
    <w:basedOn w:val="DefaultParagraphFont"/>
    <w:uiPriority w:val="1"/>
    <w:rsid w:val="002F022D"/>
    <w:rPr>
      <w:u w:val="single"/>
    </w:rPr>
  </w:style>
  <w:style w:type="paragraph" w:styleId="ListParagraph">
    <w:name w:val="List Paragraph"/>
    <w:basedOn w:val="Normal"/>
    <w:uiPriority w:val="34"/>
    <w:qFormat/>
    <w:rsid w:val="007B2143"/>
    <w:pPr>
      <w:ind w:left="720"/>
      <w:contextualSpacing/>
    </w:pPr>
  </w:style>
  <w:style w:type="paragraph" w:styleId="Revision">
    <w:name w:val="Revision"/>
    <w:hidden/>
    <w:uiPriority w:val="99"/>
    <w:semiHidden/>
    <w:rsid w:val="00623F9C"/>
    <w:rPr>
      <w:sz w:val="24"/>
    </w:rPr>
  </w:style>
  <w:style w:type="character" w:styleId="UnresolvedMention">
    <w:name w:val="Unresolved Mention"/>
    <w:basedOn w:val="DefaultParagraphFont"/>
    <w:uiPriority w:val="99"/>
    <w:semiHidden/>
    <w:unhideWhenUsed/>
    <w:rsid w:val="0069205F"/>
    <w:rPr>
      <w:color w:val="605E5C"/>
      <w:shd w:val="clear" w:color="auto" w:fill="E1DFDD"/>
    </w:rPr>
  </w:style>
  <w:style w:type="paragraph" w:styleId="NormalWeb">
    <w:name w:val="Normal (Web)"/>
    <w:basedOn w:val="Normal"/>
    <w:uiPriority w:val="99"/>
    <w:semiHidden/>
    <w:unhideWhenUsed/>
    <w:rsid w:val="00B2789F"/>
    <w:pPr>
      <w:spacing w:before="100" w:beforeAutospacing="1" w:after="100" w:afterAutospacing="1"/>
    </w:pPr>
    <w:rPr>
      <w:szCs w:val="24"/>
    </w:rPr>
  </w:style>
  <w:style w:type="character" w:customStyle="1" w:styleId="ui-provider">
    <w:name w:val="ui-provider"/>
    <w:basedOn w:val="DefaultParagraphFont"/>
    <w:rsid w:val="00906037"/>
  </w:style>
  <w:style w:type="paragraph" w:customStyle="1" w:styleId="TableHeading">
    <w:name w:val="Table Heading"/>
    <w:basedOn w:val="Heading4"/>
    <w:next w:val="Normal"/>
    <w:uiPriority w:val="1"/>
    <w:rsid w:val="000C1003"/>
    <w:pPr>
      <w:numPr>
        <w:ilvl w:val="4"/>
        <w:numId w:val="17"/>
      </w:numPr>
      <w:tabs>
        <w:tab w:val="clear" w:pos="1987"/>
      </w:tabs>
      <w:spacing w:before="240" w:after="200"/>
    </w:pPr>
    <w:rPr>
      <w:rFonts w:ascii="Helvetica" w:hAnsi="Helvetica" w:cs="Helvetica"/>
      <w:i/>
      <w:iCs/>
      <w:kern w:val="0"/>
      <w:sz w:val="22"/>
      <w:szCs w:val="22"/>
      <w:lang w:eastAsia="en-US"/>
    </w:rPr>
  </w:style>
  <w:style w:type="paragraph" w:customStyle="1" w:styleId="Chapterheading">
    <w:name w:val="Chapter heading"/>
    <w:basedOn w:val="Heading1"/>
    <w:next w:val="Normal"/>
    <w:rsid w:val="000C1003"/>
    <w:pPr>
      <w:keepLines/>
      <w:numPr>
        <w:numId w:val="17"/>
      </w:numPr>
      <w:pBdr>
        <w:bottom w:val="single" w:sz="4" w:space="8" w:color="auto"/>
      </w:pBdr>
      <w:spacing w:before="0" w:after="480"/>
      <w:jc w:val="left"/>
    </w:pPr>
    <w:rPr>
      <w:rFonts w:ascii="Helvitica" w:eastAsiaTheme="majorEastAsia" w:hAnsi="Helvitica" w:cstheme="majorBidi"/>
      <w:i/>
      <w:kern w:val="0"/>
      <w:sz w:val="40"/>
      <w:szCs w:val="32"/>
      <w:u w:val="none"/>
      <w:lang w:eastAsia="en-US"/>
    </w:rPr>
  </w:style>
  <w:style w:type="numbering" w:customStyle="1" w:styleId="Chapternumbering">
    <w:name w:val="Chapter numbering"/>
    <w:uiPriority w:val="99"/>
    <w:rsid w:val="000C1003"/>
    <w:pPr>
      <w:numPr>
        <w:numId w:val="18"/>
      </w:numPr>
    </w:pPr>
  </w:style>
  <w:style w:type="paragraph" w:customStyle="1" w:styleId="DiagramHeading">
    <w:name w:val="Diagram Heading"/>
    <w:basedOn w:val="TableHeading"/>
    <w:next w:val="Normal"/>
    <w:uiPriority w:val="1"/>
    <w:rsid w:val="000C1003"/>
    <w:pPr>
      <w:numPr>
        <w:ilvl w:val="2"/>
      </w:numPr>
      <w:ind w:left="0" w:firstLine="0"/>
    </w:pPr>
  </w:style>
  <w:style w:type="paragraph" w:customStyle="1" w:styleId="ExampleHeading">
    <w:name w:val="Example Heading"/>
    <w:basedOn w:val="TableHeading"/>
    <w:next w:val="Normal"/>
    <w:uiPriority w:val="1"/>
    <w:rsid w:val="000C1003"/>
    <w:pPr>
      <w:numPr>
        <w:ilvl w:val="3"/>
      </w:numPr>
      <w:ind w:left="0" w:firstLine="0"/>
    </w:pPr>
  </w:style>
  <w:style w:type="paragraph" w:customStyle="1" w:styleId="Normalparatextwithnumbers">
    <w:name w:val="Normal para text (with numbers)"/>
    <w:basedOn w:val="Normal"/>
    <w:link w:val="NormalparatextwithnumbersChar"/>
    <w:qFormat/>
    <w:rsid w:val="000C1003"/>
    <w:pPr>
      <w:numPr>
        <w:ilvl w:val="1"/>
        <w:numId w:val="17"/>
      </w:numPr>
    </w:pPr>
    <w:rPr>
      <w:rFonts w:eastAsiaTheme="minorHAnsi" w:cstheme="minorBidi"/>
      <w:sz w:val="22"/>
      <w:szCs w:val="22"/>
      <w:lang w:eastAsia="en-US"/>
    </w:rPr>
  </w:style>
  <w:style w:type="character" w:customStyle="1" w:styleId="References">
    <w:name w:val="References"/>
    <w:basedOn w:val="DefaultParagraphFont"/>
    <w:uiPriority w:val="1"/>
    <w:rsid w:val="000C1003"/>
    <w:rPr>
      <w:rFonts w:ascii="Times New Roman" w:hAnsi="Times New Roman"/>
      <w:b/>
      <w:bCs/>
      <w:i/>
      <w:iCs/>
      <w:sz w:val="22"/>
    </w:rPr>
  </w:style>
  <w:style w:type="character" w:customStyle="1" w:styleId="NormalparatextwithnumbersChar">
    <w:name w:val="Normal para text (with numbers) Char"/>
    <w:basedOn w:val="DefaultParagraphFont"/>
    <w:link w:val="Normalparatextwithnumbers"/>
    <w:rsid w:val="000C1003"/>
    <w:rPr>
      <w:rFonts w:eastAsiaTheme="minorHAnsi" w:cstheme="minorBidi"/>
      <w:sz w:val="22"/>
      <w:szCs w:val="22"/>
      <w:lang w:eastAsia="en-US"/>
    </w:rPr>
  </w:style>
  <w:style w:type="character" w:customStyle="1" w:styleId="Heading5Char">
    <w:name w:val="Heading 5 Char"/>
    <w:basedOn w:val="DefaultParagraphFont"/>
    <w:link w:val="Heading5"/>
    <w:uiPriority w:val="9"/>
    <w:rsid w:val="00862347"/>
    <w:rPr>
      <w:rFonts w:asciiTheme="majorHAnsi" w:eastAsiaTheme="majorEastAsia" w:hAnsiTheme="majorHAnsi" w:cstheme="majorBidi"/>
      <w:color w:val="365F91" w:themeColor="accent1" w:themeShade="BF"/>
      <w:sz w:val="24"/>
    </w:rPr>
  </w:style>
  <w:style w:type="character" w:customStyle="1" w:styleId="Heading6Char">
    <w:name w:val="Heading 6 Char"/>
    <w:basedOn w:val="DefaultParagraphFont"/>
    <w:link w:val="Heading6"/>
    <w:uiPriority w:val="9"/>
    <w:rsid w:val="00862347"/>
    <w:rPr>
      <w:rFonts w:asciiTheme="majorHAnsi" w:eastAsiaTheme="majorEastAsia" w:hAnsiTheme="majorHAnsi" w:cstheme="majorBidi"/>
      <w:color w:val="243F60" w:themeColor="accent1" w:themeShade="7F"/>
      <w:sz w:val="24"/>
    </w:rPr>
  </w:style>
  <w:style w:type="character" w:styleId="Mention">
    <w:name w:val="Mention"/>
    <w:basedOn w:val="DefaultParagraphFont"/>
    <w:uiPriority w:val="99"/>
    <w:unhideWhenUsed/>
    <w:rsid w:val="002B58F6"/>
    <w:rPr>
      <w:color w:val="2B579A"/>
      <w:shd w:val="clear" w:color="auto" w:fill="E1DFDD"/>
    </w:rPr>
  </w:style>
  <w:style w:type="character" w:customStyle="1" w:styleId="subsectionChar">
    <w:name w:val="subsection Char"/>
    <w:aliases w:val="ss Char"/>
    <w:basedOn w:val="DefaultParagraphFont"/>
    <w:link w:val="subsection"/>
    <w:locked/>
    <w:rsid w:val="00820A9E"/>
    <w:rPr>
      <w:sz w:val="22"/>
    </w:rPr>
  </w:style>
  <w:style w:type="paragraph" w:customStyle="1" w:styleId="subsection">
    <w:name w:val="subsection"/>
    <w:aliases w:val="ss"/>
    <w:basedOn w:val="Normal"/>
    <w:link w:val="subsectionChar"/>
    <w:rsid w:val="00820A9E"/>
    <w:pPr>
      <w:tabs>
        <w:tab w:val="right" w:pos="1021"/>
      </w:tabs>
      <w:spacing w:before="180" w:after="0"/>
      <w:ind w:left="1134" w:hanging="1134"/>
    </w:pPr>
    <w:rPr>
      <w:sz w:val="22"/>
    </w:rPr>
  </w:style>
  <w:style w:type="character" w:customStyle="1" w:styleId="paragraphChar">
    <w:name w:val="paragraph Char"/>
    <w:aliases w:val="a Char"/>
    <w:basedOn w:val="DefaultParagraphFont"/>
    <w:link w:val="paragraph"/>
    <w:locked/>
    <w:rsid w:val="00820A9E"/>
    <w:rPr>
      <w:sz w:val="22"/>
    </w:rPr>
  </w:style>
  <w:style w:type="paragraph" w:customStyle="1" w:styleId="paragraph">
    <w:name w:val="paragraph"/>
    <w:aliases w:val="a,indent(a)"/>
    <w:basedOn w:val="Normal"/>
    <w:link w:val="paragraphChar"/>
    <w:rsid w:val="00820A9E"/>
    <w:pPr>
      <w:tabs>
        <w:tab w:val="right" w:pos="1531"/>
      </w:tabs>
      <w:spacing w:before="40" w:after="0"/>
      <w:ind w:left="1644" w:hanging="1644"/>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099064">
      <w:bodyDiv w:val="1"/>
      <w:marLeft w:val="0"/>
      <w:marRight w:val="0"/>
      <w:marTop w:val="0"/>
      <w:marBottom w:val="0"/>
      <w:divBdr>
        <w:top w:val="none" w:sz="0" w:space="0" w:color="auto"/>
        <w:left w:val="none" w:sz="0" w:space="0" w:color="auto"/>
        <w:bottom w:val="none" w:sz="0" w:space="0" w:color="auto"/>
        <w:right w:val="none" w:sz="0" w:space="0" w:color="auto"/>
      </w:divBdr>
    </w:div>
    <w:div w:id="1636637589">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 w:id="187996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0AE207244042C2A23989CF13185A8E"/>
        <w:category>
          <w:name w:val="General"/>
          <w:gallery w:val="placeholder"/>
        </w:category>
        <w:types>
          <w:type w:val="bbPlcHdr"/>
        </w:types>
        <w:behaviors>
          <w:behavior w:val="content"/>
        </w:behaviors>
        <w:guid w:val="{AD1F6BCF-DF6B-4483-97D9-DBD29EAE4D08}"/>
      </w:docPartPr>
      <w:docPartBody>
        <w:p w:rsidR="00A1721E" w:rsidRDefault="007E36AD">
          <w:pPr>
            <w:pStyle w:val="0B0AE207244042C2A23989CF13185A8E"/>
          </w:pPr>
          <w:r w:rsidRPr="003C5719">
            <w:rPr>
              <w:rStyle w:val="PlaceholderText"/>
              <w:sz w:val="24"/>
              <w:szCs w:val="24"/>
            </w:rPr>
            <w:t>select a Minister</w:t>
          </w:r>
        </w:p>
      </w:docPartBody>
    </w:docPart>
    <w:docPart>
      <w:docPartPr>
        <w:name w:val="EEDF0D64199D41A4BFCEF138F35370D4"/>
        <w:category>
          <w:name w:val="General"/>
          <w:gallery w:val="placeholder"/>
        </w:category>
        <w:types>
          <w:type w:val="bbPlcHdr"/>
        </w:types>
        <w:behaviors>
          <w:behavior w:val="content"/>
        </w:behaviors>
        <w:guid w:val="{99F8141A-A2DC-4C0A-811F-35B531993CC3}"/>
      </w:docPartPr>
      <w:docPartBody>
        <w:p w:rsidR="00A1721E" w:rsidRDefault="007E36AD">
          <w:pPr>
            <w:pStyle w:val="EEDF0D64199D41A4BFCEF138F35370D4"/>
          </w:pPr>
          <w:r w:rsidRPr="00965AC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itica">
    <w:altName w:val="Arial"/>
    <w:panose1 w:val="00000000000000000000"/>
    <w:charset w:val="00"/>
    <w:family w:val="roman"/>
    <w:notTrueType/>
    <w:pitch w:val="default"/>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A26"/>
    <w:rsid w:val="00025BE1"/>
    <w:rsid w:val="00247A26"/>
    <w:rsid w:val="002A4178"/>
    <w:rsid w:val="003E7F2A"/>
    <w:rsid w:val="004A4456"/>
    <w:rsid w:val="005153BD"/>
    <w:rsid w:val="005679CA"/>
    <w:rsid w:val="005D4D55"/>
    <w:rsid w:val="006425C9"/>
    <w:rsid w:val="00740FA1"/>
    <w:rsid w:val="007B3E6A"/>
    <w:rsid w:val="007E36AD"/>
    <w:rsid w:val="0097148C"/>
    <w:rsid w:val="009809DB"/>
    <w:rsid w:val="009902F7"/>
    <w:rsid w:val="009C5AD4"/>
    <w:rsid w:val="00A1721E"/>
    <w:rsid w:val="00B2286A"/>
    <w:rsid w:val="00BC557C"/>
    <w:rsid w:val="00C8200B"/>
    <w:rsid w:val="00C877DD"/>
    <w:rsid w:val="00D155C3"/>
    <w:rsid w:val="00EC0EB5"/>
    <w:rsid w:val="00F01E80"/>
    <w:rsid w:val="00F3021F"/>
    <w:rsid w:val="00F674FC"/>
    <w:rsid w:val="00FA6214"/>
    <w:rsid w:val="00FC753C"/>
    <w:rsid w:val="00FF1CD9"/>
    <w:rsid w:val="00FF606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B0AE207244042C2A23989CF13185A8E">
    <w:name w:val="0B0AE207244042C2A23989CF13185A8E"/>
  </w:style>
  <w:style w:type="paragraph" w:customStyle="1" w:styleId="EEDF0D64199D41A4BFCEF138F35370D4">
    <w:name w:val="EEDF0D64199D41A4BFCEF138F35370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4287</Words>
  <Characters>22610</Characters>
  <Application>Microsoft Office Word</Application>
  <DocSecurity>0</DocSecurity>
  <Lines>364</Lines>
  <Paragraphs>140</Paragraphs>
  <ScaleCrop>false</ScaleCrop>
  <HeadingPairs>
    <vt:vector size="2" baseType="variant">
      <vt:variant>
        <vt:lpstr>Title</vt:lpstr>
      </vt:variant>
      <vt:variant>
        <vt:i4>1</vt:i4>
      </vt:variant>
    </vt:vector>
  </HeadingPairs>
  <TitlesOfParts>
    <vt:vector size="1" baseType="lpstr">
      <vt:lpstr>Explanatory statement: Taxation Administration (Community Charity) Guidelines 2024</vt:lpstr>
    </vt:vector>
  </TitlesOfParts>
  <Company/>
  <LinksUpToDate>false</LinksUpToDate>
  <CharactersWithSpaces>26757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Taxation Administration (Community Charity) Guidelines 2024</dc:title>
  <dc:subject/>
  <dc:creator/>
  <cp:keywords/>
  <dc:description/>
  <cp:lastModifiedBy/>
  <cp:revision>1</cp:revision>
  <dcterms:created xsi:type="dcterms:W3CDTF">2024-11-05T00:29:00Z</dcterms:created>
  <dcterms:modified xsi:type="dcterms:W3CDTF">2024-11-05T00:33:00Z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2024-11-05T00:30:13Z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b594275a-3306-4cf9-baf0-80acc1f738f2</vt:lpwstr>
  </property>
  <property fmtid="{D5CDD505-2E9C-101B-9397-08002B2CF9AE}" pid="8" name="MSIP_Label_4f932d64-9ab1-4d9b-81d2-a3a8b82dd47d_ContentBits">
    <vt:lpwstr>0</vt:lpwstr>
  </property>
</Properties>
</file>