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8079B" w14:textId="77777777" w:rsidR="00E24AA1" w:rsidRDefault="00E24AA1" w:rsidP="00E24AA1">
      <w:pPr>
        <w:pStyle w:val="Baseparagraphcentred"/>
      </w:pPr>
      <w:bookmarkStart w:id="0" w:name="_Toc78548463"/>
      <w:bookmarkStart w:id="1" w:name="_Toc78549734"/>
      <w:bookmarkStart w:id="2" w:name="_Toc78549779"/>
      <w:bookmarkStart w:id="3" w:name="_Toc80097481"/>
      <w:bookmarkStart w:id="4" w:name="_Toc80097775"/>
      <w:bookmarkStart w:id="5" w:name="_Hlk81640909"/>
    </w:p>
    <w:p w14:paraId="4A58A1FF" w14:textId="77777777" w:rsidR="00E24AA1" w:rsidRDefault="00E24AA1" w:rsidP="00E24AA1">
      <w:pPr>
        <w:pStyle w:val="Baseparagraphcentred"/>
      </w:pPr>
    </w:p>
    <w:p w14:paraId="1DC2D38B" w14:textId="77777777" w:rsidR="00E8549F" w:rsidRDefault="00E8549F" w:rsidP="00E24AA1">
      <w:pPr>
        <w:pStyle w:val="Baseparagraphcentred"/>
      </w:pPr>
    </w:p>
    <w:p w14:paraId="18FE05CD" w14:textId="77777777" w:rsidR="00E8549F" w:rsidRDefault="00E8549F" w:rsidP="00E24AA1">
      <w:pPr>
        <w:pStyle w:val="Baseparagraphcentred"/>
      </w:pPr>
    </w:p>
    <w:p w14:paraId="2109A7D8" w14:textId="77777777" w:rsidR="00E8549F" w:rsidRDefault="00E8549F" w:rsidP="00E24AA1">
      <w:pPr>
        <w:pStyle w:val="Baseparagraphcentred"/>
      </w:pPr>
    </w:p>
    <w:p w14:paraId="6AC4F41B" w14:textId="77777777" w:rsidR="00E8549F" w:rsidRDefault="00E8549F" w:rsidP="00E24AA1">
      <w:pPr>
        <w:pStyle w:val="Baseparagraphcentred"/>
      </w:pPr>
    </w:p>
    <w:p w14:paraId="454B8190" w14:textId="77777777" w:rsidR="00E24AA1" w:rsidRDefault="00E24AA1" w:rsidP="00E24AA1">
      <w:pPr>
        <w:pStyle w:val="Baseparagraphcentred"/>
      </w:pPr>
    </w:p>
    <w:p w14:paraId="7CB6478D" w14:textId="5C122DE0" w:rsidR="000A4EB2" w:rsidRDefault="001F346C" w:rsidP="000A4EB2">
      <w:pPr>
        <w:pStyle w:val="Baseparagraphcentred"/>
      </w:pPr>
      <w:r>
        <w:t>EXPOSURE DRAFT EXPLANATORY MATERIALS</w:t>
      </w:r>
    </w:p>
    <w:p w14:paraId="77E3EF0B" w14:textId="77777777" w:rsidR="00E24AA1" w:rsidRDefault="00E24AA1" w:rsidP="00E24AA1">
      <w:pPr>
        <w:pStyle w:val="Baseparagraphcentred"/>
      </w:pPr>
    </w:p>
    <w:p w14:paraId="7E567EE4" w14:textId="77777777" w:rsidR="00E24AA1" w:rsidRDefault="00E24AA1" w:rsidP="00E24AA1">
      <w:pPr>
        <w:pStyle w:val="Baseparagraphcentred"/>
      </w:pPr>
    </w:p>
    <w:p w14:paraId="574EE172" w14:textId="77777777" w:rsidR="00E24AA1" w:rsidRDefault="00E24AA1" w:rsidP="00E24AA1">
      <w:pPr>
        <w:pStyle w:val="Baseparagraphcentred"/>
        <w:pBdr>
          <w:bottom w:val="single" w:sz="4" w:space="1" w:color="auto"/>
        </w:pBdr>
      </w:pPr>
    </w:p>
    <w:p w14:paraId="082BAC8E" w14:textId="5EE2387F" w:rsidR="00E24AA1" w:rsidRPr="00E24AA1" w:rsidRDefault="00EE0C7C" w:rsidP="005E1173">
      <w:pPr>
        <w:pStyle w:val="BillName"/>
      </w:pPr>
      <w:r w:rsidRPr="00C230F4">
        <w:t>Treasury Laws Amendment Bill 2024: Product Safety Regulation</w:t>
      </w:r>
      <w:r w:rsidR="00DB6A37">
        <w:t xml:space="preserve"> </w:t>
      </w:r>
    </w:p>
    <w:p w14:paraId="0E878AC5" w14:textId="77777777" w:rsidR="00E24AA1" w:rsidRDefault="00E24AA1" w:rsidP="00E24AA1">
      <w:pPr>
        <w:pStyle w:val="Baseparagraphcentred"/>
        <w:pBdr>
          <w:top w:val="single" w:sz="4" w:space="1" w:color="auto"/>
        </w:pBdr>
      </w:pPr>
    </w:p>
    <w:p w14:paraId="00E3707A" w14:textId="77777777" w:rsidR="00E24AA1" w:rsidRDefault="00E24AA1" w:rsidP="00E24AA1">
      <w:pPr>
        <w:pStyle w:val="Baseparagraphcentred"/>
      </w:pPr>
    </w:p>
    <w:p w14:paraId="305EA1AF" w14:textId="77777777" w:rsidR="00E24AA1" w:rsidRDefault="00E24AA1" w:rsidP="00E24AA1">
      <w:pPr>
        <w:pStyle w:val="Baseparagraphcentred"/>
      </w:pPr>
    </w:p>
    <w:p w14:paraId="396D743E" w14:textId="77777777" w:rsidR="00E24AA1" w:rsidRDefault="00E24AA1" w:rsidP="00E24AA1">
      <w:pPr>
        <w:pStyle w:val="Baseparagraphcentred"/>
      </w:pPr>
    </w:p>
    <w:p w14:paraId="3201E8C5" w14:textId="77777777" w:rsidR="00365AAA" w:rsidRDefault="00365AAA" w:rsidP="00E24AA1">
      <w:pPr>
        <w:pStyle w:val="Baseparagraphcentred"/>
      </w:pPr>
      <w:r>
        <w:t>EXPOSURE DRAFT EXPLANATORY MATERIALS</w:t>
      </w:r>
    </w:p>
    <w:p w14:paraId="2BDCE753" w14:textId="39169293" w:rsidR="00E24AA1" w:rsidRDefault="00E24AA1" w:rsidP="00E24AA1">
      <w:pPr>
        <w:pStyle w:val="Baseparagraphcentred"/>
      </w:pPr>
    </w:p>
    <w:p w14:paraId="54A31FB6" w14:textId="77777777" w:rsidR="00E24AA1" w:rsidRDefault="00E24AA1" w:rsidP="00E24AA1">
      <w:pPr>
        <w:pStyle w:val="Baseparagraphcentred"/>
      </w:pPr>
    </w:p>
    <w:p w14:paraId="11046AAD" w14:textId="77777777" w:rsidR="00E24AA1" w:rsidRDefault="00E24AA1" w:rsidP="00E24AA1">
      <w:pPr>
        <w:pStyle w:val="ParaCentredNoSpacing"/>
      </w:pPr>
    </w:p>
    <w:p w14:paraId="717D355A" w14:textId="77777777" w:rsidR="00E24AA1" w:rsidRPr="00967273" w:rsidRDefault="00E24AA1" w:rsidP="00E24AA1">
      <w:pPr>
        <w:pStyle w:val="Normalparatextnonumbers"/>
        <w:jc w:val="center"/>
        <w:rPr>
          <w:rFonts w:cs="Calibri"/>
          <w:color w:val="000000" w:themeColor="text1"/>
        </w:rPr>
      </w:pPr>
    </w:p>
    <w:p w14:paraId="7835D744" w14:textId="77777777" w:rsidR="008A3B5F" w:rsidRPr="00020288" w:rsidRDefault="008A3B5F" w:rsidP="008A3B5F">
      <w:pPr>
        <w:pStyle w:val="Normalparatextnonumbers"/>
      </w:pPr>
    </w:p>
    <w:p w14:paraId="5ED9A57D" w14:textId="77777777" w:rsidR="00365AAA" w:rsidRPr="0090171F" w:rsidRDefault="00365AAA" w:rsidP="0090171F">
      <w:pPr>
        <w:pStyle w:val="Normalparatextnonumbers"/>
      </w:pPr>
      <w:bookmarkStart w:id="6" w:name="ConsultPreamble"/>
      <w:bookmarkEnd w:id="6"/>
      <w:r w:rsidRPr="0090171F">
        <w:br w:type="page"/>
      </w:r>
    </w:p>
    <w:p w14:paraId="5EAE9C34" w14:textId="77777777" w:rsidR="00365AAA" w:rsidRPr="0090171F" w:rsidRDefault="00365AAA" w:rsidP="00365AAA">
      <w:pPr>
        <w:pStyle w:val="Normalparatextnonumbers"/>
        <w:numPr>
          <w:ilvl w:val="4"/>
          <w:numId w:val="2"/>
        </w:numPr>
        <w:rPr>
          <w:b/>
        </w:rPr>
      </w:pPr>
      <w:r w:rsidRPr="0090171F">
        <w:rPr>
          <w:b/>
        </w:rPr>
        <w:lastRenderedPageBreak/>
        <w:t>Consultation preamble</w:t>
      </w:r>
    </w:p>
    <w:p w14:paraId="6BAB5107" w14:textId="77777777" w:rsidR="00365AAA" w:rsidRPr="0090171F" w:rsidRDefault="00365AAA" w:rsidP="0090171F">
      <w:pPr>
        <w:pStyle w:val="Normalparatextnonumbers"/>
      </w:pPr>
      <w:r w:rsidRPr="0090171F">
        <w:t>Treasury seeks feedback on the effectiveness of this exposure draft explanatory material in explaining the policy context and operation of the proposed new law, including, but not limited to:</w:t>
      </w:r>
    </w:p>
    <w:p w14:paraId="26506717" w14:textId="77777777" w:rsidR="00365AAA" w:rsidRPr="0090171F" w:rsidRDefault="00365AAA" w:rsidP="0090171F">
      <w:pPr>
        <w:pStyle w:val="Normalparatextnonumbers"/>
      </w:pPr>
      <w:r w:rsidRPr="0090171F">
        <w:t>•</w:t>
      </w:r>
      <w:r w:rsidRPr="0090171F">
        <w:tab/>
        <w:t xml:space="preserve">how the new law is intended to </w:t>
      </w:r>
      <w:proofErr w:type="gramStart"/>
      <w:r w:rsidRPr="0090171F">
        <w:t>operate;</w:t>
      </w:r>
      <w:proofErr w:type="gramEnd"/>
    </w:p>
    <w:p w14:paraId="758FA668" w14:textId="77777777" w:rsidR="00365AAA" w:rsidRPr="0090171F" w:rsidRDefault="00365AAA" w:rsidP="00924E28">
      <w:pPr>
        <w:pStyle w:val="Normalparatextnonumbers"/>
        <w:tabs>
          <w:tab w:val="left" w:pos="709"/>
        </w:tabs>
        <w:ind w:left="709" w:hanging="709"/>
      </w:pPr>
      <w:r w:rsidRPr="0090171F">
        <w:t>•</w:t>
      </w:r>
      <w:r w:rsidRPr="0090171F">
        <w:tab/>
        <w:t xml:space="preserve">whether the background and policy context </w:t>
      </w:r>
      <w:proofErr w:type="gramStart"/>
      <w:r w:rsidRPr="0090171F">
        <w:t>is</w:t>
      </w:r>
      <w:proofErr w:type="gramEnd"/>
      <w:r w:rsidRPr="0090171F">
        <w:t xml:space="preserve"> sufficiently comprehensive to support understanding of the policy intent and outcomes of the new law;</w:t>
      </w:r>
    </w:p>
    <w:p w14:paraId="22EFE7CF" w14:textId="77777777" w:rsidR="00365AAA" w:rsidRPr="0090171F" w:rsidRDefault="00365AAA" w:rsidP="0090171F">
      <w:pPr>
        <w:pStyle w:val="Normalparatextnonumbers"/>
        <w:ind w:left="709" w:hanging="709"/>
      </w:pPr>
      <w:r w:rsidRPr="0090171F">
        <w:t>•</w:t>
      </w:r>
      <w:r w:rsidRPr="0090171F">
        <w:tab/>
        <w:t>the use of relevant examples, illustrations or diagrams as explanatory aids;</w:t>
      </w:r>
      <w:r w:rsidRPr="0090171F">
        <w:br/>
        <w:t>and</w:t>
      </w:r>
    </w:p>
    <w:p w14:paraId="689CA5C5" w14:textId="77777777" w:rsidR="00365AAA" w:rsidRPr="0090171F" w:rsidRDefault="00365AAA" w:rsidP="0090171F">
      <w:pPr>
        <w:pStyle w:val="Normalparatextnonumbers"/>
        <w:ind w:left="709" w:hanging="709"/>
      </w:pPr>
      <w:r w:rsidRPr="0090171F">
        <w:t>•</w:t>
      </w:r>
      <w:r w:rsidRPr="0090171F">
        <w:tab/>
        <w:t>any other matters affecting the readability or presentation of the explanatory material.</w:t>
      </w:r>
    </w:p>
    <w:p w14:paraId="5C9071E6" w14:textId="77777777" w:rsidR="00365AAA" w:rsidRPr="0090171F" w:rsidRDefault="00365AAA" w:rsidP="0090171F">
      <w:pPr>
        <w:pStyle w:val="Normalparatextnonumbers"/>
      </w:pPr>
      <w:r w:rsidRPr="0090171F">
        <w:t xml:space="preserve">Feedback on these matters will assist to ensure the Explanatory Memoranda for the Bill aids the Parliament’s consideration of the proposed new law and the needs of other users. </w:t>
      </w:r>
    </w:p>
    <w:p w14:paraId="6FC54921" w14:textId="77777777" w:rsidR="00924E28" w:rsidRPr="00020288" w:rsidRDefault="00924E28" w:rsidP="00873094">
      <w:pPr>
        <w:pStyle w:val="Normalparatextnonumbers"/>
      </w:pPr>
    </w:p>
    <w:p w14:paraId="7E935BD7" w14:textId="77777777" w:rsidR="00873094" w:rsidRPr="0019129D" w:rsidRDefault="00873094" w:rsidP="00840255">
      <w:pPr>
        <w:rPr>
          <w:bCs/>
        </w:rPr>
        <w:sectPr w:rsidR="00873094" w:rsidRPr="0019129D" w:rsidSect="00000BFC">
          <w:headerReference w:type="first" r:id="rId7"/>
          <w:footerReference w:type="first" r:id="rId8"/>
          <w:type w:val="oddPage"/>
          <w:pgSz w:w="9979" w:h="14175" w:code="138"/>
          <w:pgMar w:top="567" w:right="1134" w:bottom="567" w:left="1134" w:header="709" w:footer="709" w:gutter="0"/>
          <w:cols w:space="708"/>
          <w:titlePg/>
          <w:docGrid w:linePitch="360"/>
        </w:sectPr>
      </w:pPr>
    </w:p>
    <w:p w14:paraId="763733D3" w14:textId="77777777" w:rsidR="00873094" w:rsidRPr="00020288" w:rsidRDefault="00873094" w:rsidP="00873094">
      <w:pPr>
        <w:pStyle w:val="TOCHeading"/>
      </w:pPr>
      <w:bookmarkStart w:id="7" w:name="_Toc80172450"/>
      <w:bookmarkStart w:id="8" w:name="_Toc80197114"/>
      <w:bookmarkStart w:id="9" w:name="_Toc81852681"/>
      <w:bookmarkEnd w:id="0"/>
      <w:bookmarkEnd w:id="1"/>
      <w:bookmarkEnd w:id="2"/>
      <w:bookmarkEnd w:id="3"/>
      <w:bookmarkEnd w:id="4"/>
      <w:r w:rsidRPr="00020288">
        <w:lastRenderedPageBreak/>
        <w:t>Table of Contents</w:t>
      </w:r>
      <w:bookmarkStart w:id="10" w:name="_Toc78549733"/>
      <w:bookmarkStart w:id="11" w:name="_Toc78549778"/>
      <w:bookmarkStart w:id="12" w:name="_Toc80097483"/>
      <w:bookmarkStart w:id="13" w:name="_Toc80097777"/>
      <w:bookmarkStart w:id="14" w:name="_Toc80115276"/>
      <w:bookmarkStart w:id="15" w:name="_Toc80172451"/>
      <w:bookmarkStart w:id="16" w:name="_Toc80197115"/>
      <w:bookmarkStart w:id="17" w:name="_Toc81852682"/>
      <w:bookmarkStart w:id="18" w:name="_Toc81852727"/>
      <w:bookmarkEnd w:id="7"/>
      <w:bookmarkEnd w:id="8"/>
      <w:bookmarkEnd w:id="9"/>
    </w:p>
    <w:p w14:paraId="5DC0C7B5" w14:textId="1F6BD3C9" w:rsidR="00BE05FB" w:rsidRDefault="00873094">
      <w:pPr>
        <w:pStyle w:val="TOC1"/>
        <w:rPr>
          <w:rFonts w:asciiTheme="minorHAnsi" w:eastAsiaTheme="minorEastAsia" w:hAnsiTheme="minorHAnsi" w:cstheme="minorBidi"/>
          <w:bCs w:val="0"/>
          <w:noProof/>
          <w:kern w:val="2"/>
          <w:sz w:val="22"/>
          <w:szCs w:val="22"/>
          <w:lang w:eastAsia="en-AU"/>
          <w14:ligatures w14:val="standardContextual"/>
        </w:rPr>
      </w:pPr>
      <w:r w:rsidRPr="00BC2E4A">
        <w:fldChar w:fldCharType="begin"/>
      </w:r>
      <w:r w:rsidRPr="00BC2E4A">
        <w:instrText xml:space="preserve"> TOC \o "1-1" \u </w:instrText>
      </w:r>
      <w:r w:rsidRPr="00BC2E4A">
        <w:fldChar w:fldCharType="separate"/>
      </w:r>
      <w:r w:rsidR="00BE05FB">
        <w:rPr>
          <w:noProof/>
        </w:rPr>
        <w:t>Glossary</w:t>
      </w:r>
      <w:r w:rsidR="00BE05FB">
        <w:rPr>
          <w:noProof/>
        </w:rPr>
        <w:tab/>
      </w:r>
      <w:r w:rsidR="00BE05FB">
        <w:rPr>
          <w:noProof/>
        </w:rPr>
        <w:tab/>
      </w:r>
      <w:r w:rsidR="00BE05FB">
        <w:rPr>
          <w:noProof/>
        </w:rPr>
        <w:fldChar w:fldCharType="begin"/>
      </w:r>
      <w:r w:rsidR="00BE05FB">
        <w:rPr>
          <w:noProof/>
        </w:rPr>
        <w:instrText xml:space="preserve"> PAGEREF _Toc179292229 \h </w:instrText>
      </w:r>
      <w:r w:rsidR="00BE05FB">
        <w:rPr>
          <w:noProof/>
        </w:rPr>
      </w:r>
      <w:r w:rsidR="00BE05FB">
        <w:rPr>
          <w:noProof/>
        </w:rPr>
        <w:fldChar w:fldCharType="separate"/>
      </w:r>
      <w:r w:rsidR="00707DBE">
        <w:rPr>
          <w:noProof/>
        </w:rPr>
        <w:t>iii</w:t>
      </w:r>
      <w:r w:rsidR="00BE05FB">
        <w:rPr>
          <w:noProof/>
        </w:rPr>
        <w:fldChar w:fldCharType="end"/>
      </w:r>
    </w:p>
    <w:p w14:paraId="47BA4198" w14:textId="0BDEC58F" w:rsidR="00BE05FB" w:rsidRDefault="00BE05FB">
      <w:pPr>
        <w:pStyle w:val="TOC1"/>
        <w:rPr>
          <w:rFonts w:asciiTheme="minorHAnsi" w:eastAsiaTheme="minorEastAsia" w:hAnsiTheme="minorHAnsi" w:cstheme="minorBidi"/>
          <w:bCs w:val="0"/>
          <w:noProof/>
          <w:kern w:val="2"/>
          <w:sz w:val="22"/>
          <w:szCs w:val="22"/>
          <w:lang w:eastAsia="en-AU"/>
          <w14:ligatures w14:val="standardContextual"/>
        </w:rPr>
      </w:pPr>
      <w:r w:rsidRPr="004F38E0">
        <w:rPr>
          <w:noProof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Chapter 1:</w:t>
      </w:r>
      <w:r>
        <w:rPr>
          <w:rFonts w:asciiTheme="minorHAnsi" w:eastAsiaTheme="minorEastAsia" w:hAnsiTheme="minorHAnsi" w:cstheme="minorBidi"/>
          <w:bCs w:val="0"/>
          <w:noProof/>
          <w:kern w:val="2"/>
          <w:sz w:val="22"/>
          <w:szCs w:val="22"/>
          <w:lang w:eastAsia="en-AU"/>
          <w14:ligatures w14:val="standardContextual"/>
        </w:rPr>
        <w:tab/>
      </w:r>
      <w:r>
        <w:rPr>
          <w:noProof/>
        </w:rPr>
        <w:t>Safety Standards and Information Standards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_Toc179292230 \h </w:instrText>
      </w:r>
      <w:r>
        <w:rPr>
          <w:noProof/>
        </w:rPr>
      </w:r>
      <w:r>
        <w:rPr>
          <w:noProof/>
        </w:rPr>
        <w:fldChar w:fldCharType="separate"/>
      </w:r>
      <w:r w:rsidR="00707DBE">
        <w:rPr>
          <w:noProof/>
        </w:rPr>
        <w:t>5</w:t>
      </w:r>
      <w:r>
        <w:rPr>
          <w:noProof/>
        </w:rPr>
        <w:fldChar w:fldCharType="end"/>
      </w:r>
    </w:p>
    <w:p w14:paraId="6F282113" w14:textId="2402AFD7" w:rsidR="00873094" w:rsidRPr="00020288" w:rsidRDefault="00873094" w:rsidP="00BC2E4A">
      <w:pPr>
        <w:pStyle w:val="TOC1"/>
      </w:pPr>
      <w:r w:rsidRPr="00BC2E4A">
        <w:fldChar w:fldCharType="end"/>
      </w:r>
    </w:p>
    <w:p w14:paraId="435B797F" w14:textId="77777777" w:rsidR="00873094" w:rsidRPr="00020288" w:rsidRDefault="00873094" w:rsidP="00873094"/>
    <w:p w14:paraId="2750C42C" w14:textId="77777777" w:rsidR="00873094" w:rsidRPr="00020288" w:rsidRDefault="00873094" w:rsidP="00873094">
      <w:pPr>
        <w:sectPr w:rsidR="00873094" w:rsidRPr="00020288" w:rsidSect="007A227C">
          <w:headerReference w:type="even" r:id="rId9"/>
          <w:headerReference w:type="default" r:id="rId10"/>
          <w:headerReference w:type="first" r:id="rId11"/>
          <w:footerReference w:type="first" r:id="rId12"/>
          <w:type w:val="oddPage"/>
          <w:pgSz w:w="9979" w:h="14175" w:code="9"/>
          <w:pgMar w:top="567" w:right="1134" w:bottom="567" w:left="1134" w:header="709" w:footer="709" w:gutter="0"/>
          <w:pgNumType w:fmt="lowerRoman" w:start="1"/>
          <w:cols w:space="708"/>
          <w:titlePg/>
          <w:docGrid w:linePitch="360"/>
        </w:sectPr>
      </w:pPr>
    </w:p>
    <w:p w14:paraId="608286F4" w14:textId="77777777" w:rsidR="00873094" w:rsidRPr="00020288" w:rsidRDefault="00873094" w:rsidP="00873094">
      <w:pPr>
        <w:pStyle w:val="Heading1"/>
      </w:pPr>
      <w:bookmarkStart w:id="19" w:name="_Toc82021619"/>
      <w:bookmarkStart w:id="20" w:name="_Toc82067318"/>
      <w:bookmarkStart w:id="21" w:name="_Toc82072959"/>
      <w:bookmarkStart w:id="22" w:name="_Toc82073275"/>
      <w:bookmarkStart w:id="23" w:name="_Toc82073912"/>
      <w:bookmarkStart w:id="24" w:name="_Toc82074016"/>
      <w:bookmarkStart w:id="25" w:name="_Toc179292229"/>
      <w:r w:rsidRPr="00020288">
        <w:lastRenderedPageBreak/>
        <w:t>Glossary</w:t>
      </w:r>
      <w:bookmarkStart w:id="26" w:name="_Toc485286223"/>
      <w:bookmarkStart w:id="27" w:name="_Toc78193244"/>
      <w:bookmarkStart w:id="28" w:name="_Toc78193401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A12BAA">
        <w:tab/>
      </w:r>
      <w:r w:rsidR="001F670B">
        <w:t xml:space="preserve"> </w:t>
      </w:r>
    </w:p>
    <w:p w14:paraId="0A80169C" w14:textId="77777777" w:rsidR="00873094" w:rsidRPr="00020288" w:rsidRDefault="00873094" w:rsidP="00873094">
      <w:pPr>
        <w:pStyle w:val="Normalparatextnonumbers"/>
      </w:pPr>
      <w:r w:rsidRPr="00020288">
        <w:t>This Explanatory Memorand</w:t>
      </w:r>
      <w:r>
        <w:t>um</w:t>
      </w:r>
      <w:r w:rsidRPr="00020288">
        <w:t xml:space="preserve"> uses the following abbreviations and acronyms.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3874"/>
      </w:tblGrid>
      <w:tr w:rsidR="00873094" w:rsidRPr="002E7A73" w14:paraId="3CBAF8EF" w14:textId="77777777" w:rsidTr="002425D9">
        <w:tc>
          <w:tcPr>
            <w:tcW w:w="3776" w:type="dxa"/>
            <w:shd w:val="clear" w:color="auto" w:fill="auto"/>
          </w:tcPr>
          <w:p w14:paraId="6EF01B96" w14:textId="77777777" w:rsidR="00873094" w:rsidRPr="002E7A73" w:rsidRDefault="00873094" w:rsidP="00B7393A">
            <w:pPr>
              <w:pStyle w:val="Tableheaderrowtext"/>
            </w:pPr>
            <w:bookmarkStart w:id="29" w:name="GlossaryTableStart"/>
            <w:bookmarkEnd w:id="29"/>
            <w:r w:rsidRPr="002E7A73">
              <w:t>Abbreviation</w:t>
            </w:r>
          </w:p>
        </w:tc>
        <w:tc>
          <w:tcPr>
            <w:tcW w:w="3874" w:type="dxa"/>
            <w:shd w:val="clear" w:color="auto" w:fill="auto"/>
          </w:tcPr>
          <w:p w14:paraId="0C5F3D2F" w14:textId="77777777" w:rsidR="00873094" w:rsidRPr="002E7A73" w:rsidRDefault="00873094" w:rsidP="00B7393A">
            <w:pPr>
              <w:pStyle w:val="Tableheaderrowtext"/>
            </w:pPr>
            <w:r w:rsidRPr="002E7A73">
              <w:t>Definition</w:t>
            </w:r>
          </w:p>
        </w:tc>
      </w:tr>
      <w:tr w:rsidR="00604ADD" w:rsidRPr="00020288" w14:paraId="775C7938" w14:textId="77777777" w:rsidTr="002425D9">
        <w:tc>
          <w:tcPr>
            <w:tcW w:w="3776" w:type="dxa"/>
          </w:tcPr>
          <w:p w14:paraId="49643DB1" w14:textId="73A4AF76" w:rsidR="00604ADD" w:rsidRDefault="00604ADD" w:rsidP="00604ADD">
            <w:pPr>
              <w:pStyle w:val="Normalparatextnonumbers"/>
            </w:pPr>
            <w:r>
              <w:t>ACCC</w:t>
            </w:r>
          </w:p>
        </w:tc>
        <w:tc>
          <w:tcPr>
            <w:tcW w:w="3874" w:type="dxa"/>
          </w:tcPr>
          <w:p w14:paraId="259F9D26" w14:textId="75C67D40" w:rsidR="00604ADD" w:rsidRDefault="00604ADD" w:rsidP="00604ADD">
            <w:pPr>
              <w:pStyle w:val="Normalparatextnonumbers"/>
            </w:pPr>
            <w:r w:rsidRPr="00056B97">
              <w:t xml:space="preserve">Australian Competition </w:t>
            </w:r>
            <w:r>
              <w:t>and</w:t>
            </w:r>
            <w:r w:rsidRPr="00056B97">
              <w:t xml:space="preserve"> Consumer Commission</w:t>
            </w:r>
          </w:p>
        </w:tc>
      </w:tr>
      <w:tr w:rsidR="00873094" w:rsidRPr="00020288" w14:paraId="7D199878" w14:textId="77777777" w:rsidTr="002425D9">
        <w:tc>
          <w:tcPr>
            <w:tcW w:w="3776" w:type="dxa"/>
          </w:tcPr>
          <w:p w14:paraId="6BECBFE3" w14:textId="4AAE05F6" w:rsidR="00873094" w:rsidRPr="00020288" w:rsidRDefault="00D924B8" w:rsidP="002425D9">
            <w:pPr>
              <w:pStyle w:val="Normalparatextnonumbers"/>
            </w:pPr>
            <w:r>
              <w:t>ACL</w:t>
            </w:r>
          </w:p>
        </w:tc>
        <w:tc>
          <w:tcPr>
            <w:tcW w:w="3874" w:type="dxa"/>
          </w:tcPr>
          <w:p w14:paraId="748A6A36" w14:textId="1693184A" w:rsidR="00873094" w:rsidRPr="00A27178" w:rsidRDefault="00D924B8" w:rsidP="002425D9">
            <w:pPr>
              <w:pStyle w:val="Normalparatextnonumbers"/>
            </w:pPr>
            <w:r>
              <w:t>Australian Consumer Law</w:t>
            </w:r>
            <w:r w:rsidR="005715C1">
              <w:t xml:space="preserve"> as set out in </w:t>
            </w:r>
            <w:r w:rsidR="00A27178">
              <w:t xml:space="preserve">Schedule 2 to the </w:t>
            </w:r>
            <w:r w:rsidR="00A27178">
              <w:rPr>
                <w:i/>
                <w:iCs/>
              </w:rPr>
              <w:t>Competition and Consumer Act 2010</w:t>
            </w:r>
          </w:p>
        </w:tc>
      </w:tr>
      <w:tr w:rsidR="004E2198" w:rsidRPr="00020288" w14:paraId="41CCD032" w14:textId="77777777" w:rsidTr="002425D9">
        <w:tc>
          <w:tcPr>
            <w:tcW w:w="3776" w:type="dxa"/>
          </w:tcPr>
          <w:p w14:paraId="7C3C1A5D" w14:textId="66D9DF69" w:rsidR="004E2198" w:rsidRDefault="00205AFF" w:rsidP="002425D9">
            <w:pPr>
              <w:pStyle w:val="Normalparatextnonumbers"/>
            </w:pPr>
            <w:r>
              <w:t>CCA</w:t>
            </w:r>
          </w:p>
        </w:tc>
        <w:tc>
          <w:tcPr>
            <w:tcW w:w="3874" w:type="dxa"/>
          </w:tcPr>
          <w:p w14:paraId="28CC545A" w14:textId="120976AE" w:rsidR="004E2198" w:rsidRPr="00EA533A" w:rsidRDefault="004E2198" w:rsidP="00EA533A">
            <w:pPr>
              <w:pStyle w:val="Normalparatextnonumbers"/>
            </w:pPr>
            <w:r w:rsidRPr="009C723E">
              <w:rPr>
                <w:i/>
                <w:iCs/>
              </w:rPr>
              <w:t>Competition and Consumer Act 2010</w:t>
            </w:r>
          </w:p>
        </w:tc>
      </w:tr>
      <w:tr w:rsidR="00FA5224" w:rsidRPr="00020288" w14:paraId="17AD44A8" w14:textId="77777777" w:rsidTr="002425D9">
        <w:tc>
          <w:tcPr>
            <w:tcW w:w="3776" w:type="dxa"/>
          </w:tcPr>
          <w:p w14:paraId="2C81C918" w14:textId="581E3163" w:rsidR="00FA5224" w:rsidRDefault="00FA5224" w:rsidP="002425D9">
            <w:pPr>
              <w:pStyle w:val="Normalparatextnonumbers"/>
            </w:pPr>
            <w:r>
              <w:t>Bill</w:t>
            </w:r>
          </w:p>
        </w:tc>
        <w:tc>
          <w:tcPr>
            <w:tcW w:w="3874" w:type="dxa"/>
          </w:tcPr>
          <w:p w14:paraId="0A0C5F36" w14:textId="1707076C" w:rsidR="00FA5224" w:rsidRDefault="00EA533A" w:rsidP="00EA533A">
            <w:pPr>
              <w:pStyle w:val="Normalparatextnonumbers"/>
            </w:pPr>
            <w:r w:rsidRPr="00EA533A">
              <w:t>Treasury Laws Amendment Bill 2024: Product Safety Regulation</w:t>
            </w:r>
          </w:p>
        </w:tc>
      </w:tr>
      <w:tr w:rsidR="00AA2F1C" w:rsidRPr="00020288" w14:paraId="6C537D49" w14:textId="77777777" w:rsidTr="002425D9">
        <w:tc>
          <w:tcPr>
            <w:tcW w:w="3776" w:type="dxa"/>
          </w:tcPr>
          <w:p w14:paraId="3A82259A" w14:textId="7EBFEC39" w:rsidR="00AA2F1C" w:rsidRDefault="00AA2F1C" w:rsidP="002425D9">
            <w:pPr>
              <w:pStyle w:val="Normalparatextnonumbers"/>
            </w:pPr>
            <w:r>
              <w:t>Information standard</w:t>
            </w:r>
          </w:p>
        </w:tc>
        <w:tc>
          <w:tcPr>
            <w:tcW w:w="3874" w:type="dxa"/>
          </w:tcPr>
          <w:p w14:paraId="2DE95AF7" w14:textId="7AF3A7C8" w:rsidR="00AA2F1C" w:rsidRPr="00EA533A" w:rsidRDefault="008B5B56" w:rsidP="00EA533A">
            <w:pPr>
              <w:pStyle w:val="Normalparatextnonumbers"/>
            </w:pPr>
            <w:r>
              <w:t>An information standard (legislative instrument) as defined under the ACL</w:t>
            </w:r>
          </w:p>
        </w:tc>
      </w:tr>
      <w:tr w:rsidR="00AA2F1C" w:rsidRPr="00020288" w14:paraId="784B1BC2" w14:textId="77777777" w:rsidTr="002425D9">
        <w:tc>
          <w:tcPr>
            <w:tcW w:w="3776" w:type="dxa"/>
          </w:tcPr>
          <w:p w14:paraId="5197A3C8" w14:textId="43645F35" w:rsidR="00AA2F1C" w:rsidRDefault="00AA2F1C" w:rsidP="002425D9">
            <w:pPr>
              <w:pStyle w:val="Normalparatextnonumbers"/>
            </w:pPr>
            <w:r>
              <w:t>Safety standard</w:t>
            </w:r>
          </w:p>
        </w:tc>
        <w:tc>
          <w:tcPr>
            <w:tcW w:w="3874" w:type="dxa"/>
          </w:tcPr>
          <w:p w14:paraId="41731DCD" w14:textId="2BB19BA4" w:rsidR="00AA2F1C" w:rsidRPr="00EA533A" w:rsidRDefault="008B5B56" w:rsidP="00EA533A">
            <w:pPr>
              <w:pStyle w:val="Normalparatextnonumbers"/>
            </w:pPr>
            <w:r>
              <w:t>A safety standard (legislative instrument) as defined under the ACL</w:t>
            </w:r>
          </w:p>
        </w:tc>
      </w:tr>
      <w:tr w:rsidR="00AA2F1C" w:rsidRPr="00020288" w14:paraId="7A038465" w14:textId="77777777" w:rsidTr="002425D9">
        <w:tc>
          <w:tcPr>
            <w:tcW w:w="3776" w:type="dxa"/>
          </w:tcPr>
          <w:p w14:paraId="2FC4EF56" w14:textId="51B219B5" w:rsidR="00AA2F1C" w:rsidRDefault="002A5142" w:rsidP="002425D9">
            <w:pPr>
              <w:pStyle w:val="Normalparatextnonumbers"/>
            </w:pPr>
            <w:r>
              <w:t>S</w:t>
            </w:r>
            <w:r w:rsidR="00AA2F1C">
              <w:t>tandard</w:t>
            </w:r>
          </w:p>
        </w:tc>
        <w:tc>
          <w:tcPr>
            <w:tcW w:w="3874" w:type="dxa"/>
          </w:tcPr>
          <w:p w14:paraId="311E7F39" w14:textId="0C93EED4" w:rsidR="00AA2F1C" w:rsidRPr="00EA533A" w:rsidRDefault="00BB56A4" w:rsidP="00EA533A">
            <w:pPr>
              <w:pStyle w:val="Normalparatextnonumbers"/>
            </w:pPr>
            <w:r>
              <w:t xml:space="preserve">A standard that is not an information standard or safety standard, such as a standard made </w:t>
            </w:r>
            <w:r w:rsidR="008B5B56">
              <w:t xml:space="preserve">by </w:t>
            </w:r>
            <w:r w:rsidR="00C74454" w:rsidRPr="00C74454">
              <w:t>Standards Australia Limited</w:t>
            </w:r>
          </w:p>
        </w:tc>
      </w:tr>
    </w:tbl>
    <w:p w14:paraId="11A42502" w14:textId="77777777" w:rsidR="00873094" w:rsidRPr="00020288" w:rsidRDefault="00873094" w:rsidP="00873094"/>
    <w:p w14:paraId="2C957EBC" w14:textId="77777777" w:rsidR="00873094" w:rsidRPr="00020288" w:rsidRDefault="00873094" w:rsidP="00873094"/>
    <w:p w14:paraId="7E2BCD55" w14:textId="77777777" w:rsidR="00873094" w:rsidRPr="00D11203" w:rsidRDefault="00873094" w:rsidP="00751AA3">
      <w:pPr>
        <w:pStyle w:val="Heading1"/>
        <w:sectPr w:rsidR="00873094" w:rsidRPr="00D11203" w:rsidSect="00000BFC">
          <w:headerReference w:type="even" r:id="rId13"/>
          <w:headerReference w:type="default" r:id="rId14"/>
          <w:headerReference w:type="first" r:id="rId15"/>
          <w:footerReference w:type="first" r:id="rId16"/>
          <w:type w:val="oddPage"/>
          <w:pgSz w:w="9979" w:h="14175" w:code="9"/>
          <w:pgMar w:top="567" w:right="1134" w:bottom="567" w:left="1134" w:header="709" w:footer="709" w:gutter="0"/>
          <w:pgNumType w:fmt="lowerRoman"/>
          <w:cols w:space="708"/>
          <w:docGrid w:linePitch="360"/>
        </w:sectPr>
      </w:pPr>
      <w:bookmarkStart w:id="30" w:name="_Toc78548464"/>
      <w:bookmarkStart w:id="31" w:name="_Toc78549735"/>
      <w:bookmarkStart w:id="32" w:name="_Toc78549780"/>
      <w:bookmarkStart w:id="33" w:name="_Toc80097484"/>
      <w:bookmarkStart w:id="34" w:name="_Toc80097778"/>
      <w:bookmarkStart w:id="35" w:name="_Toc80115277"/>
      <w:bookmarkStart w:id="36" w:name="_Toc80172452"/>
      <w:bookmarkStart w:id="37" w:name="_Toc80197116"/>
      <w:bookmarkStart w:id="38" w:name="_Toc81852683"/>
      <w:bookmarkStart w:id="39" w:name="_Toc81852728"/>
    </w:p>
    <w:p w14:paraId="3C5B3B93" w14:textId="7DA2F7A4" w:rsidR="00873094" w:rsidRPr="0073326A" w:rsidRDefault="00E66476" w:rsidP="00777A92">
      <w:pPr>
        <w:pStyle w:val="Chapterheading"/>
      </w:pPr>
      <w:bookmarkStart w:id="40" w:name="GeneralOutline"/>
      <w:bookmarkStart w:id="41" w:name="_Toc179292230"/>
      <w:bookmarkEnd w:id="26"/>
      <w:bookmarkEnd w:id="27"/>
      <w:bookmarkEnd w:id="28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>
        <w:lastRenderedPageBreak/>
        <w:t>Safety</w:t>
      </w:r>
      <w:r w:rsidR="009D5BCD">
        <w:t xml:space="preserve"> Standards and Information Standards</w:t>
      </w:r>
      <w:bookmarkEnd w:id="41"/>
      <w:r w:rsidR="00315FDD">
        <w:t xml:space="preserve"> </w:t>
      </w:r>
    </w:p>
    <w:p w14:paraId="5851429F" w14:textId="17EC7E8B" w:rsidR="00EA39DC" w:rsidRDefault="00EA39DC" w:rsidP="005D0844">
      <w:pPr>
        <w:pStyle w:val="Heading2"/>
        <w:rPr>
          <w:rFonts w:eastAsiaTheme="minorHAnsi" w:cstheme="minorBidi"/>
          <w:sz w:val="40"/>
          <w:szCs w:val="22"/>
        </w:rPr>
      </w:pPr>
      <w:bookmarkStart w:id="42" w:name="_Toc179292218"/>
      <w:bookmarkStart w:id="43" w:name="Chapter1"/>
      <w:r>
        <w:rPr>
          <w:rFonts w:eastAsiaTheme="minorHAnsi" w:cstheme="minorBidi"/>
          <w:sz w:val="40"/>
          <w:szCs w:val="22"/>
        </w:rPr>
        <w:t>Table of Contents:</w:t>
      </w:r>
      <w:bookmarkEnd w:id="42"/>
      <w:r>
        <w:rPr>
          <w:rFonts w:eastAsiaTheme="minorHAnsi" w:cstheme="minorBidi"/>
          <w:sz w:val="40"/>
          <w:szCs w:val="22"/>
        </w:rPr>
        <w:t xml:space="preserve"> </w:t>
      </w:r>
    </w:p>
    <w:p w14:paraId="59EA945A" w14:textId="059AE03E" w:rsidR="00BE05FB" w:rsidRDefault="00EA39DC">
      <w:pPr>
        <w:pStyle w:val="TOC2"/>
        <w:rPr>
          <w:rFonts w:asciiTheme="minorHAnsi" w:eastAsiaTheme="minorEastAsia" w:hAnsiTheme="minorHAnsi"/>
          <w:kern w:val="2"/>
          <w:sz w:val="22"/>
          <w:lang w:eastAsia="en-AU"/>
          <w14:ligatures w14:val="standardContextual"/>
        </w:rPr>
      </w:pPr>
      <w:r>
        <w:fldChar w:fldCharType="begin"/>
      </w:r>
      <w:r>
        <w:instrText xml:space="preserve"> TOC \o "1-3" \z  \B Chapter1</w:instrText>
      </w:r>
      <w:r>
        <w:fldChar w:fldCharType="separate"/>
      </w:r>
      <w:r w:rsidR="00BE05FB" w:rsidRPr="007B490C">
        <w:t>Table of Contents:</w:t>
      </w:r>
      <w:r w:rsidR="00BE05FB">
        <w:rPr>
          <w:webHidden/>
        </w:rPr>
        <w:tab/>
      </w:r>
      <w:r w:rsidR="00BE05FB">
        <w:rPr>
          <w:webHidden/>
        </w:rPr>
        <w:fldChar w:fldCharType="begin"/>
      </w:r>
      <w:r w:rsidR="00BE05FB">
        <w:rPr>
          <w:webHidden/>
        </w:rPr>
        <w:instrText xml:space="preserve"> PAGEREF _Toc179292218 \h </w:instrText>
      </w:r>
      <w:r w:rsidR="00BE05FB">
        <w:rPr>
          <w:webHidden/>
        </w:rPr>
      </w:r>
      <w:r w:rsidR="00BE05FB">
        <w:rPr>
          <w:webHidden/>
        </w:rPr>
        <w:fldChar w:fldCharType="separate"/>
      </w:r>
      <w:r w:rsidR="00707DBE">
        <w:rPr>
          <w:webHidden/>
        </w:rPr>
        <w:t>5</w:t>
      </w:r>
      <w:r w:rsidR="00BE05FB">
        <w:rPr>
          <w:webHidden/>
        </w:rPr>
        <w:fldChar w:fldCharType="end"/>
      </w:r>
    </w:p>
    <w:p w14:paraId="174A2613" w14:textId="131CBEA9" w:rsidR="00BE05FB" w:rsidRDefault="00BE05FB">
      <w:pPr>
        <w:pStyle w:val="TOC2"/>
        <w:rPr>
          <w:rFonts w:asciiTheme="minorHAnsi" w:eastAsiaTheme="minorEastAsia" w:hAnsiTheme="minorHAnsi"/>
          <w:kern w:val="2"/>
          <w:sz w:val="22"/>
          <w:lang w:eastAsia="en-AU"/>
          <w14:ligatures w14:val="standardContextual"/>
        </w:rPr>
      </w:pPr>
      <w:r>
        <w:t>Outline of chapter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_Toc179292219 \h </w:instrText>
      </w:r>
      <w:r>
        <w:rPr>
          <w:webHidden/>
        </w:rPr>
      </w:r>
      <w:r>
        <w:rPr>
          <w:webHidden/>
        </w:rPr>
        <w:fldChar w:fldCharType="separate"/>
      </w:r>
      <w:r w:rsidR="00707DBE">
        <w:rPr>
          <w:webHidden/>
        </w:rPr>
        <w:t>5</w:t>
      </w:r>
      <w:r>
        <w:rPr>
          <w:webHidden/>
        </w:rPr>
        <w:fldChar w:fldCharType="end"/>
      </w:r>
    </w:p>
    <w:p w14:paraId="12A37787" w14:textId="178326A7" w:rsidR="00BE05FB" w:rsidRDefault="00BE05FB">
      <w:pPr>
        <w:pStyle w:val="TOC2"/>
        <w:rPr>
          <w:rFonts w:asciiTheme="minorHAnsi" w:eastAsiaTheme="minorEastAsia" w:hAnsiTheme="minorHAnsi"/>
          <w:kern w:val="2"/>
          <w:sz w:val="22"/>
          <w:lang w:eastAsia="en-AU"/>
          <w14:ligatures w14:val="standardContextual"/>
        </w:rPr>
      </w:pPr>
      <w:r>
        <w:t>Context of amendments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_Toc179292220 \h </w:instrText>
      </w:r>
      <w:r>
        <w:rPr>
          <w:webHidden/>
        </w:rPr>
      </w:r>
      <w:r>
        <w:rPr>
          <w:webHidden/>
        </w:rPr>
        <w:fldChar w:fldCharType="separate"/>
      </w:r>
      <w:r w:rsidR="00707DBE">
        <w:rPr>
          <w:webHidden/>
        </w:rPr>
        <w:t>6</w:t>
      </w:r>
      <w:r>
        <w:rPr>
          <w:webHidden/>
        </w:rPr>
        <w:fldChar w:fldCharType="end"/>
      </w:r>
    </w:p>
    <w:p w14:paraId="242D3A9B" w14:textId="37CDDE0F" w:rsidR="00BE05FB" w:rsidRDefault="00BE05FB">
      <w:pPr>
        <w:pStyle w:val="TOC2"/>
        <w:rPr>
          <w:rFonts w:asciiTheme="minorHAnsi" w:eastAsiaTheme="minorEastAsia" w:hAnsiTheme="minorHAnsi"/>
          <w:kern w:val="2"/>
          <w:sz w:val="22"/>
          <w:lang w:eastAsia="en-AU"/>
          <w14:ligatures w14:val="standardContextual"/>
        </w:rPr>
      </w:pPr>
      <w:r>
        <w:t>Summary of new law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_Toc179292221 \h </w:instrText>
      </w:r>
      <w:r>
        <w:rPr>
          <w:webHidden/>
        </w:rPr>
      </w:r>
      <w:r>
        <w:rPr>
          <w:webHidden/>
        </w:rPr>
        <w:fldChar w:fldCharType="separate"/>
      </w:r>
      <w:r w:rsidR="00707DBE">
        <w:rPr>
          <w:webHidden/>
        </w:rPr>
        <w:t>7</w:t>
      </w:r>
      <w:r>
        <w:rPr>
          <w:webHidden/>
        </w:rPr>
        <w:fldChar w:fldCharType="end"/>
      </w:r>
    </w:p>
    <w:p w14:paraId="762E0780" w14:textId="1A386990" w:rsidR="00BE05FB" w:rsidRDefault="00BE05FB">
      <w:pPr>
        <w:pStyle w:val="TOC2"/>
        <w:rPr>
          <w:rFonts w:asciiTheme="minorHAnsi" w:eastAsiaTheme="minorEastAsia" w:hAnsiTheme="minorHAnsi"/>
          <w:kern w:val="2"/>
          <w:sz w:val="22"/>
          <w:lang w:eastAsia="en-AU"/>
          <w14:ligatures w14:val="standardContextual"/>
        </w:rPr>
      </w:pPr>
      <w:r>
        <w:t>Detailed explanation of new law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_Toc179292222 \h </w:instrText>
      </w:r>
      <w:r>
        <w:rPr>
          <w:webHidden/>
        </w:rPr>
      </w:r>
      <w:r>
        <w:rPr>
          <w:webHidden/>
        </w:rPr>
        <w:fldChar w:fldCharType="separate"/>
      </w:r>
      <w:r w:rsidR="00707DBE">
        <w:rPr>
          <w:webHidden/>
        </w:rPr>
        <w:t>7</w:t>
      </w:r>
      <w:r>
        <w:rPr>
          <w:webHidden/>
        </w:rPr>
        <w:fldChar w:fldCharType="end"/>
      </w:r>
    </w:p>
    <w:p w14:paraId="5EE2A65F" w14:textId="1F79D8BF" w:rsidR="00BE05FB" w:rsidRDefault="00BE05FB">
      <w:pPr>
        <w:pStyle w:val="TOC3"/>
        <w:rPr>
          <w:rFonts w:asciiTheme="minorHAnsi" w:eastAsiaTheme="minorEastAsia" w:hAnsiTheme="minorHAnsi" w:cstheme="minorBidi"/>
          <w:iCs w:val="0"/>
          <w:noProof/>
          <w:kern w:val="2"/>
          <w:sz w:val="22"/>
          <w:szCs w:val="22"/>
          <w:lang w:eastAsia="en-AU"/>
          <w14:ligatures w14:val="standardContextual"/>
        </w:rPr>
      </w:pPr>
      <w:r>
        <w:rPr>
          <w:noProof/>
        </w:rPr>
        <w:t>Scope of safety standards and information standards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_Toc179292223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707DBE">
        <w:rPr>
          <w:noProof/>
          <w:webHidden/>
        </w:rPr>
        <w:t>7</w:t>
      </w:r>
      <w:r>
        <w:rPr>
          <w:noProof/>
          <w:webHidden/>
        </w:rPr>
        <w:fldChar w:fldCharType="end"/>
      </w:r>
    </w:p>
    <w:p w14:paraId="38156181" w14:textId="729B6E1F" w:rsidR="00BE05FB" w:rsidRDefault="00BE05FB">
      <w:pPr>
        <w:pStyle w:val="TOC3"/>
        <w:rPr>
          <w:rFonts w:asciiTheme="minorHAnsi" w:eastAsiaTheme="minorEastAsia" w:hAnsiTheme="minorHAnsi" w:cstheme="minorBidi"/>
          <w:iCs w:val="0"/>
          <w:noProof/>
          <w:kern w:val="2"/>
          <w:sz w:val="22"/>
          <w:szCs w:val="22"/>
          <w:lang w:eastAsia="en-AU"/>
          <w14:ligatures w14:val="standardContextual"/>
        </w:rPr>
      </w:pPr>
      <w:r>
        <w:rPr>
          <w:noProof/>
        </w:rPr>
        <w:t>Nominating alternative methods of compliance under safety standards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_Toc179292224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707DBE">
        <w:rPr>
          <w:noProof/>
          <w:webHidden/>
        </w:rPr>
        <w:t>9</w:t>
      </w:r>
      <w:r>
        <w:rPr>
          <w:noProof/>
          <w:webHidden/>
        </w:rPr>
        <w:fldChar w:fldCharType="end"/>
      </w:r>
    </w:p>
    <w:p w14:paraId="274A6749" w14:textId="5D940275" w:rsidR="00BE05FB" w:rsidRDefault="00BE05FB">
      <w:pPr>
        <w:pStyle w:val="TOC3"/>
        <w:rPr>
          <w:rFonts w:asciiTheme="minorHAnsi" w:eastAsiaTheme="minorEastAsia" w:hAnsiTheme="minorHAnsi" w:cstheme="minorBidi"/>
          <w:iCs w:val="0"/>
          <w:noProof/>
          <w:kern w:val="2"/>
          <w:sz w:val="22"/>
          <w:szCs w:val="22"/>
          <w:lang w:eastAsia="en-AU"/>
          <w14:ligatures w14:val="standardContextual"/>
        </w:rPr>
      </w:pPr>
      <w:r>
        <w:rPr>
          <w:noProof/>
        </w:rPr>
        <w:t>Requirements to provide information or documents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_Toc179292225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707DBE">
        <w:rPr>
          <w:noProof/>
          <w:webHidden/>
        </w:rPr>
        <w:t>11</w:t>
      </w:r>
      <w:r>
        <w:rPr>
          <w:noProof/>
          <w:webHidden/>
        </w:rPr>
        <w:fldChar w:fldCharType="end"/>
      </w:r>
    </w:p>
    <w:p w14:paraId="6C6911B1" w14:textId="36227956" w:rsidR="00BE05FB" w:rsidRDefault="00BE05FB">
      <w:pPr>
        <w:pStyle w:val="TOC2"/>
        <w:rPr>
          <w:rFonts w:asciiTheme="minorHAnsi" w:eastAsiaTheme="minorEastAsia" w:hAnsiTheme="minorHAnsi"/>
          <w:kern w:val="2"/>
          <w:sz w:val="22"/>
          <w:lang w:eastAsia="en-AU"/>
          <w14:ligatures w14:val="standardContextual"/>
        </w:rPr>
      </w:pPr>
      <w:r>
        <w:t>Consequential amendments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_Toc179292226 \h </w:instrText>
      </w:r>
      <w:r>
        <w:rPr>
          <w:webHidden/>
        </w:rPr>
      </w:r>
      <w:r>
        <w:rPr>
          <w:webHidden/>
        </w:rPr>
        <w:fldChar w:fldCharType="separate"/>
      </w:r>
      <w:r w:rsidR="00707DBE">
        <w:rPr>
          <w:webHidden/>
        </w:rPr>
        <w:t>11</w:t>
      </w:r>
      <w:r>
        <w:rPr>
          <w:webHidden/>
        </w:rPr>
        <w:fldChar w:fldCharType="end"/>
      </w:r>
    </w:p>
    <w:p w14:paraId="15D899A8" w14:textId="0192B928" w:rsidR="00BE05FB" w:rsidRDefault="00BE05FB">
      <w:pPr>
        <w:pStyle w:val="TOC2"/>
        <w:rPr>
          <w:rFonts w:asciiTheme="minorHAnsi" w:eastAsiaTheme="minorEastAsia" w:hAnsiTheme="minorHAnsi"/>
          <w:kern w:val="2"/>
          <w:sz w:val="22"/>
          <w:lang w:eastAsia="en-AU"/>
          <w14:ligatures w14:val="standardContextual"/>
        </w:rPr>
      </w:pPr>
      <w:r>
        <w:t>Commencement, application, and transitional provisions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_Toc179292227 \h </w:instrText>
      </w:r>
      <w:r>
        <w:rPr>
          <w:webHidden/>
        </w:rPr>
      </w:r>
      <w:r>
        <w:rPr>
          <w:webHidden/>
        </w:rPr>
        <w:fldChar w:fldCharType="separate"/>
      </w:r>
      <w:r w:rsidR="00707DBE">
        <w:rPr>
          <w:webHidden/>
        </w:rPr>
        <w:t>11</w:t>
      </w:r>
      <w:r>
        <w:rPr>
          <w:webHidden/>
        </w:rPr>
        <w:fldChar w:fldCharType="end"/>
      </w:r>
    </w:p>
    <w:p w14:paraId="5A995A53" w14:textId="409165F1" w:rsidR="00EA39DC" w:rsidRPr="00EA39DC" w:rsidRDefault="00EA39DC" w:rsidP="00EA39DC">
      <w:r>
        <w:fldChar w:fldCharType="end"/>
      </w:r>
    </w:p>
    <w:p w14:paraId="0369C14B" w14:textId="1C5DDF6E" w:rsidR="00873094" w:rsidRPr="00020288" w:rsidRDefault="00873094" w:rsidP="005D0844">
      <w:pPr>
        <w:pStyle w:val="Heading2"/>
      </w:pPr>
      <w:bookmarkStart w:id="44" w:name="_Toc179292219"/>
      <w:r w:rsidRPr="00020288">
        <w:t xml:space="preserve">Outline </w:t>
      </w:r>
      <w:r w:rsidRPr="005D0844">
        <w:t>of</w:t>
      </w:r>
      <w:r w:rsidRPr="00020288">
        <w:t xml:space="preserve"> chapter</w:t>
      </w:r>
      <w:bookmarkEnd w:id="44"/>
    </w:p>
    <w:p w14:paraId="29EFF190" w14:textId="3E642BA8" w:rsidR="00FE6FE9" w:rsidRDefault="00FE6FE9" w:rsidP="00FE6FE9">
      <w:pPr>
        <w:pStyle w:val="Normalparatextwithnumbers"/>
      </w:pPr>
      <w:r>
        <w:t>Schedule 1 to the Bill</w:t>
      </w:r>
      <w:r w:rsidR="0062268C">
        <w:t xml:space="preserve"> amends the CCA and ACL to</w:t>
      </w:r>
      <w:r>
        <w:t xml:space="preserve"> improve the flexibility and enforceability </w:t>
      </w:r>
      <w:r w:rsidRPr="00BE05FB">
        <w:t>of safety standards and information standards by</w:t>
      </w:r>
      <w:r>
        <w:t xml:space="preserve">: </w:t>
      </w:r>
    </w:p>
    <w:p w14:paraId="7512DDDA" w14:textId="12610F82" w:rsidR="00FE6FE9" w:rsidRDefault="00FE6FE9" w:rsidP="00FE6FE9">
      <w:pPr>
        <w:pStyle w:val="Exampledotpoint1"/>
      </w:pPr>
      <w:r>
        <w:t xml:space="preserve">allowing safety standards and information standards to incorporate matters in instruments and other writings as they exist from time to time, including international </w:t>
      </w:r>
      <w:proofErr w:type="gramStart"/>
      <w:r>
        <w:t>standards;</w:t>
      </w:r>
      <w:proofErr w:type="gramEnd"/>
      <w:r>
        <w:t xml:space="preserve"> </w:t>
      </w:r>
    </w:p>
    <w:p w14:paraId="6FD5EB67" w14:textId="308F247F" w:rsidR="00FE6FE9" w:rsidRDefault="00FE6FE9" w:rsidP="00FE6FE9">
      <w:pPr>
        <w:pStyle w:val="Exampledotpoint1"/>
      </w:pPr>
      <w:r>
        <w:t xml:space="preserve">replacing the Minster’s ability to </w:t>
      </w:r>
      <w:r w:rsidR="00712034">
        <w:t>‘</w:t>
      </w:r>
      <w:r>
        <w:t>declare</w:t>
      </w:r>
      <w:r w:rsidR="00712034">
        <w:t>’</w:t>
      </w:r>
      <w:r>
        <w:t xml:space="preserve"> safety standards and information standards with an expanded ability to </w:t>
      </w:r>
      <w:r w:rsidR="00712034">
        <w:t>‘</w:t>
      </w:r>
      <w:r>
        <w:t>make</w:t>
      </w:r>
      <w:r w:rsidR="00712034">
        <w:t>’</w:t>
      </w:r>
      <w:r>
        <w:t xml:space="preserve"> safety standards and information </w:t>
      </w:r>
      <w:proofErr w:type="gramStart"/>
      <w:r>
        <w:t>standards;</w:t>
      </w:r>
      <w:proofErr w:type="gramEnd"/>
      <w:r>
        <w:t xml:space="preserve"> </w:t>
      </w:r>
    </w:p>
    <w:p w14:paraId="7CB4CE51" w14:textId="48AB4D14" w:rsidR="00FE6FE9" w:rsidRDefault="00FE6FE9" w:rsidP="00FE6FE9">
      <w:pPr>
        <w:pStyle w:val="Exampledotpoint1"/>
      </w:pPr>
      <w:r>
        <w:t xml:space="preserve">updating requirements relating to the nomination of alternative methods of compliance </w:t>
      </w:r>
      <w:r w:rsidR="003F531D">
        <w:t xml:space="preserve">with </w:t>
      </w:r>
      <w:r>
        <w:t>safety standards</w:t>
      </w:r>
      <w:r w:rsidR="00B74EC0">
        <w:t>;</w:t>
      </w:r>
      <w:r>
        <w:t xml:space="preserve"> </w:t>
      </w:r>
      <w:r w:rsidR="00EB1755">
        <w:t>and</w:t>
      </w:r>
    </w:p>
    <w:p w14:paraId="3F5BFC07" w14:textId="0B250753" w:rsidR="00FE6FE9" w:rsidRDefault="00FE6FE9" w:rsidP="00FE6FE9">
      <w:pPr>
        <w:pStyle w:val="Exampledotpoint1"/>
      </w:pPr>
      <w:r>
        <w:t xml:space="preserve">allowing the </w:t>
      </w:r>
      <w:r w:rsidR="00CA2D0F">
        <w:t xml:space="preserve">regulator </w:t>
      </w:r>
      <w:r>
        <w:t xml:space="preserve">to request certain information and documents in relation to compliance with safety standards and information standards. </w:t>
      </w:r>
    </w:p>
    <w:p w14:paraId="117FB3AC" w14:textId="03831EB3" w:rsidR="00E96CC0" w:rsidRPr="007D5E7C" w:rsidRDefault="00E96CC0" w:rsidP="007D5E7C">
      <w:pPr>
        <w:pStyle w:val="Normalparatextwithnumbers"/>
      </w:pPr>
      <w:r w:rsidRPr="007D5E7C">
        <w:t xml:space="preserve">All references </w:t>
      </w:r>
      <w:r w:rsidR="00B47A06">
        <w:t xml:space="preserve">in this Chapter </w:t>
      </w:r>
      <w:r w:rsidRPr="007D5E7C">
        <w:t>are to the ACL unless otherwise</w:t>
      </w:r>
      <w:r w:rsidR="00C65DD7">
        <w:t xml:space="preserve"> stated</w:t>
      </w:r>
      <w:r w:rsidRPr="007D5E7C">
        <w:t>.</w:t>
      </w:r>
    </w:p>
    <w:p w14:paraId="5209DB93" w14:textId="77777777" w:rsidR="00873094" w:rsidRPr="00020288" w:rsidRDefault="00873094" w:rsidP="005D0844">
      <w:pPr>
        <w:pStyle w:val="Heading2"/>
      </w:pPr>
      <w:bookmarkStart w:id="45" w:name="_Toc179292220"/>
      <w:r w:rsidRPr="00020288">
        <w:lastRenderedPageBreak/>
        <w:t xml:space="preserve">Context of </w:t>
      </w:r>
      <w:r w:rsidRPr="005D0844">
        <w:t>amendments</w:t>
      </w:r>
      <w:bookmarkEnd w:id="45"/>
    </w:p>
    <w:p w14:paraId="462073A8" w14:textId="06332E33" w:rsidR="00A00BB9" w:rsidRDefault="00A00BB9" w:rsidP="00A00BB9">
      <w:pPr>
        <w:pStyle w:val="Normalparatextwithnumbers"/>
      </w:pPr>
      <w:r>
        <w:t xml:space="preserve">The </w:t>
      </w:r>
      <w:r>
        <w:rPr>
          <w:i/>
          <w:iCs/>
        </w:rPr>
        <w:t>T</w:t>
      </w:r>
      <w:r w:rsidRPr="00D90CBF">
        <w:rPr>
          <w:i/>
          <w:iCs/>
        </w:rPr>
        <w:t xml:space="preserve">rade </w:t>
      </w:r>
      <w:r>
        <w:rPr>
          <w:i/>
          <w:iCs/>
        </w:rPr>
        <w:t>P</w:t>
      </w:r>
      <w:r w:rsidRPr="00D90CBF">
        <w:rPr>
          <w:i/>
          <w:iCs/>
        </w:rPr>
        <w:t xml:space="preserve">ractices </w:t>
      </w:r>
      <w:r>
        <w:rPr>
          <w:i/>
          <w:iCs/>
        </w:rPr>
        <w:t>A</w:t>
      </w:r>
      <w:r w:rsidRPr="00D90CBF">
        <w:rPr>
          <w:i/>
          <w:iCs/>
        </w:rPr>
        <w:t>mendment (</w:t>
      </w:r>
      <w:r>
        <w:rPr>
          <w:i/>
          <w:iCs/>
        </w:rPr>
        <w:t>A</w:t>
      </w:r>
      <w:r w:rsidRPr="00D90CBF">
        <w:rPr>
          <w:i/>
          <w:iCs/>
        </w:rPr>
        <w:t xml:space="preserve">ustralian </w:t>
      </w:r>
      <w:r>
        <w:rPr>
          <w:i/>
          <w:iCs/>
        </w:rPr>
        <w:t>C</w:t>
      </w:r>
      <w:r w:rsidRPr="00D90CBF">
        <w:rPr>
          <w:i/>
          <w:iCs/>
        </w:rPr>
        <w:t xml:space="preserve">onsumer </w:t>
      </w:r>
      <w:r>
        <w:rPr>
          <w:i/>
          <w:iCs/>
        </w:rPr>
        <w:t>L</w:t>
      </w:r>
      <w:r w:rsidRPr="00D90CBF">
        <w:rPr>
          <w:i/>
          <w:iCs/>
        </w:rPr>
        <w:t xml:space="preserve">aw) </w:t>
      </w:r>
      <w:r>
        <w:rPr>
          <w:i/>
          <w:iCs/>
        </w:rPr>
        <w:t>A</w:t>
      </w:r>
      <w:r w:rsidRPr="00D90CBF">
        <w:rPr>
          <w:i/>
          <w:iCs/>
        </w:rPr>
        <w:t>ct (</w:t>
      </w:r>
      <w:r>
        <w:rPr>
          <w:i/>
          <w:iCs/>
        </w:rPr>
        <w:t>N</w:t>
      </w:r>
      <w:r w:rsidRPr="00D90CBF">
        <w:rPr>
          <w:i/>
          <w:iCs/>
        </w:rPr>
        <w:t>o. 2) 2010</w:t>
      </w:r>
      <w:r>
        <w:t xml:space="preserve"> established the national regulatory regime for safety standards and information standards in the ACL, allowing the Minister to make</w:t>
      </w:r>
      <w:r w:rsidR="00164E83">
        <w:t xml:space="preserve"> or declare</w:t>
      </w:r>
      <w:r>
        <w:t xml:space="preserve"> safety standards for consumer goods and product related services, and information standards for goods and services.</w:t>
      </w:r>
    </w:p>
    <w:p w14:paraId="723937EC" w14:textId="74802155" w:rsidR="00A00BB9" w:rsidRDefault="00A00BB9" w:rsidP="00A17300">
      <w:pPr>
        <w:pStyle w:val="Normalparatextwithnumbers"/>
      </w:pPr>
      <w:r>
        <w:t>Safety standards are an important aspect of</w:t>
      </w:r>
      <w:r w:rsidR="004B6D53">
        <w:t xml:space="preserve"> </w:t>
      </w:r>
      <w:r w:rsidR="00542FA2">
        <w:t xml:space="preserve">the </w:t>
      </w:r>
      <w:r w:rsidR="00542FA2" w:rsidRPr="00542FA2">
        <w:t>national consumer product safety law</w:t>
      </w:r>
      <w:r w:rsidR="00395A38">
        <w:t xml:space="preserve"> in</w:t>
      </w:r>
      <w:r w:rsidR="00435F6C">
        <w:t xml:space="preserve"> </w:t>
      </w:r>
      <w:r w:rsidR="00435F6C" w:rsidRPr="00783399">
        <w:t>prevent</w:t>
      </w:r>
      <w:r w:rsidR="00395A38">
        <w:t>ing</w:t>
      </w:r>
      <w:r w:rsidR="00435F6C" w:rsidRPr="00783399">
        <w:t xml:space="preserve"> or reduc</w:t>
      </w:r>
      <w:r w:rsidR="00395A38">
        <w:t>ing</w:t>
      </w:r>
      <w:r w:rsidR="00435F6C" w:rsidRPr="00783399">
        <w:t xml:space="preserve"> the risk of injury to a person</w:t>
      </w:r>
      <w:r w:rsidR="00435F6C" w:rsidRPr="00542FA2">
        <w:t xml:space="preserve"> </w:t>
      </w:r>
      <w:r w:rsidR="00435F6C">
        <w:t>in relation to</w:t>
      </w:r>
      <w:r w:rsidR="00542FA2" w:rsidRPr="00542FA2">
        <w:t xml:space="preserve"> consumer goods and product related service</w:t>
      </w:r>
      <w:r w:rsidR="00893A76">
        <w:t>s</w:t>
      </w:r>
      <w:r w:rsidR="00F15382">
        <w:t>,</w:t>
      </w:r>
      <w:r w:rsidR="0061797B">
        <w:t xml:space="preserve"> and ensuring</w:t>
      </w:r>
      <w:r w:rsidR="0061797B" w:rsidRPr="0061797B">
        <w:t xml:space="preserve"> </w:t>
      </w:r>
      <w:r w:rsidR="0061797B">
        <w:t>c</w:t>
      </w:r>
      <w:r w:rsidR="0061797B" w:rsidRPr="0061797B">
        <w:t xml:space="preserve">onsumers are able to purchase </w:t>
      </w:r>
      <w:r w:rsidR="00164B1D">
        <w:t xml:space="preserve">consumer </w:t>
      </w:r>
      <w:r w:rsidR="0061797B" w:rsidRPr="0061797B">
        <w:t xml:space="preserve">goods and </w:t>
      </w:r>
      <w:r w:rsidR="00164B1D">
        <w:t xml:space="preserve">product related </w:t>
      </w:r>
      <w:r w:rsidR="0061797B" w:rsidRPr="0061797B">
        <w:t>services that meet their safety expectations</w:t>
      </w:r>
      <w:r w:rsidR="0061797B">
        <w:t xml:space="preserve">. </w:t>
      </w:r>
      <w:r w:rsidR="00CE6B90">
        <w:t xml:space="preserve">Safety standards complement </w:t>
      </w:r>
      <w:r w:rsidR="00C51572">
        <w:t>the ability to</w:t>
      </w:r>
      <w:r w:rsidR="00CE6B90">
        <w:t xml:space="preserve"> </w:t>
      </w:r>
      <w:r w:rsidR="00CE6B90" w:rsidRPr="00CE6B90">
        <w:t>identify</w:t>
      </w:r>
      <w:r w:rsidR="00AE57CD">
        <w:t xml:space="preserve"> </w:t>
      </w:r>
      <w:r w:rsidR="00CE6B90" w:rsidRPr="00CE6B90">
        <w:t>and remov</w:t>
      </w:r>
      <w:r w:rsidR="00AE57CD">
        <w:t xml:space="preserve">e </w:t>
      </w:r>
      <w:r w:rsidR="00CE6B90" w:rsidRPr="00CE6B90">
        <w:t xml:space="preserve">unsafe </w:t>
      </w:r>
      <w:r w:rsidR="009D2EA2">
        <w:t>consumer goods and product related services</w:t>
      </w:r>
      <w:r w:rsidR="009D2EA2" w:rsidRPr="00CE6B90">
        <w:t xml:space="preserve"> </w:t>
      </w:r>
      <w:r w:rsidR="00CE6B90" w:rsidRPr="00CE6B90">
        <w:t>from the market through recalls</w:t>
      </w:r>
      <w:r w:rsidR="00AE57CD">
        <w:t xml:space="preserve"> and</w:t>
      </w:r>
      <w:r w:rsidR="00CE6B90" w:rsidRPr="00CE6B90">
        <w:t xml:space="preserve"> bans and public warnings</w:t>
      </w:r>
      <w:r w:rsidR="00C51572">
        <w:t xml:space="preserve"> under the ACL</w:t>
      </w:r>
      <w:r w:rsidR="00AE57CD">
        <w:t>.</w:t>
      </w:r>
    </w:p>
    <w:p w14:paraId="0CD83146" w14:textId="6D583A2B" w:rsidR="004B6D53" w:rsidRDefault="004B6D53" w:rsidP="00542FA2">
      <w:pPr>
        <w:pStyle w:val="Normalparatextwithnumbers"/>
      </w:pPr>
      <w:r>
        <w:t xml:space="preserve">Information standards generally </w:t>
      </w:r>
      <w:r w:rsidRPr="008A6548">
        <w:t>require suppliers to provide certain information or present information in a certain manner, when supplying</w:t>
      </w:r>
      <w:r w:rsidR="00542FA2">
        <w:t xml:space="preserve"> </w:t>
      </w:r>
      <w:r w:rsidRPr="008A6548">
        <w:t>particular goods and services</w:t>
      </w:r>
      <w:r>
        <w:t>.</w:t>
      </w:r>
      <w:r w:rsidR="00542FA2" w:rsidRPr="00542FA2">
        <w:t xml:space="preserve"> Information standards are generally used where the Government considers the characteristics of a good or service are such that the mandated provision of information will facilitate effective trade in that good or service.</w:t>
      </w:r>
    </w:p>
    <w:p w14:paraId="46CC71D9" w14:textId="1ECF66A7" w:rsidR="009611F1" w:rsidRDefault="009611F1" w:rsidP="009611F1">
      <w:pPr>
        <w:pStyle w:val="Normalparatextwithnumbers"/>
      </w:pPr>
      <w:r>
        <w:t>Standards (that is, standards that are not safety standards or information standards</w:t>
      </w:r>
      <w:r w:rsidR="00655C14">
        <w:t xml:space="preserve"> under the ACL</w:t>
      </w:r>
      <w:r>
        <w:t xml:space="preserve">) may be </w:t>
      </w:r>
      <w:r w:rsidR="009D2EA2">
        <w:t xml:space="preserve">prepared in Australia </w:t>
      </w:r>
      <w:r>
        <w:t>by</w:t>
      </w:r>
      <w:r w:rsidR="003F01E1">
        <w:t xml:space="preserve"> industry or</w:t>
      </w:r>
      <w:r>
        <w:t xml:space="preserve"> non</w:t>
      </w:r>
      <w:r w:rsidR="00AB72C6">
        <w:noBreakHyphen/>
      </w:r>
      <w:r>
        <w:t>governmental bod</w:t>
      </w:r>
      <w:r w:rsidR="00524505">
        <w:t>ies</w:t>
      </w:r>
      <w:r>
        <w:t xml:space="preserve">, such as Standards Australia Limited. International </w:t>
      </w:r>
      <w:r w:rsidR="0058548A">
        <w:t xml:space="preserve">associations or </w:t>
      </w:r>
      <w:r>
        <w:t>bodies, such as the International Organization for Standardization and the International Electrotechnical Committee may also develop standards</w:t>
      </w:r>
      <w:r w:rsidR="00D97103">
        <w:t>,</w:t>
      </w:r>
      <w:r>
        <w:t xml:space="preserve"> and these standards may be </w:t>
      </w:r>
      <w:r w:rsidR="00767A27">
        <w:t xml:space="preserve">approved </w:t>
      </w:r>
      <w:r>
        <w:t>by Australian standard setting bodies. However,</w:t>
      </w:r>
      <w:r w:rsidR="0078518C">
        <w:t xml:space="preserve"> prior to the amendments in Schedule 1 to the Bill,</w:t>
      </w:r>
      <w:r>
        <w:t xml:space="preserve"> </w:t>
      </w:r>
      <w:r w:rsidR="00DF34BC">
        <w:t>the Minister could not declare standards</w:t>
      </w:r>
      <w:r w:rsidR="00765DC2">
        <w:t xml:space="preserve"> that </w:t>
      </w:r>
      <w:r w:rsidR="0051688C">
        <w:t xml:space="preserve">were not </w:t>
      </w:r>
      <w:r w:rsidR="0033175A">
        <w:t xml:space="preserve">prepared </w:t>
      </w:r>
      <w:r w:rsidR="009F1F16">
        <w:t>or approved</w:t>
      </w:r>
      <w:r w:rsidR="0051688C">
        <w:t xml:space="preserve"> by Standards Australia Limited</w:t>
      </w:r>
      <w:r w:rsidR="00DF34BC">
        <w:t xml:space="preserve"> to be</w:t>
      </w:r>
      <w:r w:rsidR="00B24F88">
        <w:t xml:space="preserve"> safety standards or information standards </w:t>
      </w:r>
      <w:r w:rsidR="00A82A66">
        <w:t xml:space="preserve">unless the </w:t>
      </w:r>
      <w:r w:rsidR="00F82DB2">
        <w:t xml:space="preserve">relevant association </w:t>
      </w:r>
      <w:r w:rsidR="00A82A66">
        <w:t>was prescribe</w:t>
      </w:r>
      <w:r w:rsidR="00F93654">
        <w:t>d</w:t>
      </w:r>
      <w:r w:rsidR="00A82A66">
        <w:t xml:space="preserve"> </w:t>
      </w:r>
      <w:r w:rsidR="00F82DB2">
        <w:t>in</w:t>
      </w:r>
      <w:r w:rsidR="00A82A66">
        <w:t xml:space="preserve"> regulations</w:t>
      </w:r>
      <w:r w:rsidR="0094261C">
        <w:t xml:space="preserve">. In addition, safety standards and information standards could not incorporate </w:t>
      </w:r>
      <w:r w:rsidR="00DF34BC">
        <w:t>standards</w:t>
      </w:r>
      <w:r w:rsidR="0078518C">
        <w:t xml:space="preserve"> </w:t>
      </w:r>
      <w:r w:rsidR="0094261C">
        <w:t>as</w:t>
      </w:r>
      <w:r w:rsidR="0078518C">
        <w:t xml:space="preserve"> the</w:t>
      </w:r>
      <w:r w:rsidR="00B24F88">
        <w:t>y</w:t>
      </w:r>
      <w:r w:rsidR="0078518C">
        <w:t xml:space="preserve"> exis</w:t>
      </w:r>
      <w:r w:rsidR="00B24F88">
        <w:t>t</w:t>
      </w:r>
      <w:r w:rsidR="00436ABE">
        <w:t>ed</w:t>
      </w:r>
      <w:r w:rsidR="0078518C">
        <w:t xml:space="preserve"> from time to </w:t>
      </w:r>
      <w:proofErr w:type="gramStart"/>
      <w:r w:rsidR="0078518C">
        <w:t>time</w:t>
      </w:r>
      <w:r w:rsidR="00615626">
        <w:t xml:space="preserve">, </w:t>
      </w:r>
      <w:r w:rsidR="009566DD">
        <w:t>and</w:t>
      </w:r>
      <w:proofErr w:type="gramEnd"/>
      <w:r w:rsidR="00A62FA7">
        <w:t xml:space="preserve"> could</w:t>
      </w:r>
      <w:r w:rsidR="007F501F">
        <w:t xml:space="preserve"> become out-of-date</w:t>
      </w:r>
      <w:r w:rsidR="00A62FA7">
        <w:t xml:space="preserve"> quickly</w:t>
      </w:r>
      <w:r>
        <w:t xml:space="preserve">. </w:t>
      </w:r>
    </w:p>
    <w:p w14:paraId="759DC704" w14:textId="189EA5D3" w:rsidR="00446878" w:rsidRDefault="00C11488" w:rsidP="00C11488">
      <w:pPr>
        <w:pStyle w:val="Normalparatextwithnumbers"/>
      </w:pPr>
      <w:r>
        <w:t xml:space="preserve">On 4 June 2021, the former Government announced </w:t>
      </w:r>
      <w:r w:rsidR="0062086F" w:rsidRPr="0062086F">
        <w:t>its intent to develop amendments to support businesses to innovate, grow and minimise compliance costs, while maintaining protections for Australian consumers</w:t>
      </w:r>
      <w:r w:rsidR="001379AC">
        <w:t xml:space="preserve"> and</w:t>
      </w:r>
      <w:r w:rsidR="0062086F" w:rsidRPr="0062086F">
        <w:t xml:space="preserve"> the integrity of standards made under the ACL</w:t>
      </w:r>
      <w:r w:rsidR="00ED44F4">
        <w:t>.</w:t>
      </w:r>
      <w:r w:rsidR="00651A37">
        <w:t xml:space="preserve"> </w:t>
      </w:r>
      <w:r w:rsidR="00AD0280">
        <w:t xml:space="preserve">This included amendments to </w:t>
      </w:r>
      <w:r>
        <w:t>make it easier to recognise overseas product safety standards in Australia, provided they offer at least an equivalent level of consumer protection.</w:t>
      </w:r>
      <w:r w:rsidRPr="00B564F5">
        <w:t xml:space="preserve"> </w:t>
      </w:r>
    </w:p>
    <w:p w14:paraId="16083E92" w14:textId="15A1D6AF" w:rsidR="00C11488" w:rsidRDefault="001019D4" w:rsidP="00C11488">
      <w:pPr>
        <w:pStyle w:val="Normalparatextwithnumbers"/>
      </w:pPr>
      <w:r>
        <w:t>Consultation on the proposed reforms occurred</w:t>
      </w:r>
      <w:r w:rsidR="00C11488">
        <w:t xml:space="preserve"> from 1 December 2021 to 21</w:t>
      </w:r>
      <w:r w:rsidR="00436ABE">
        <w:t> </w:t>
      </w:r>
      <w:r w:rsidR="00C11488">
        <w:t>January 2022. Treasury received 59 submissions from a broad range of stakeholders, including industry representatives, government, consumer groups, test laboratories, standards setting bodies, safety experts, and suppliers.</w:t>
      </w:r>
    </w:p>
    <w:p w14:paraId="693EBB20" w14:textId="5906D3BC" w:rsidR="007C5201" w:rsidRPr="0064128F" w:rsidRDefault="00C11488" w:rsidP="007C5201">
      <w:pPr>
        <w:pStyle w:val="Normalparatextwithnumbers"/>
      </w:pPr>
      <w:r w:rsidRPr="0064128F">
        <w:t xml:space="preserve">There was strong support across the board for improving the regulatory framework to allow easier recognition of overseas standards in safety standards </w:t>
      </w:r>
      <w:r w:rsidRPr="0064128F">
        <w:lastRenderedPageBreak/>
        <w:t xml:space="preserve">and information standards. There was also strong support for improvements to the regulatory framework to more easily allow safety standards and information standards to reference voluntary standards as they </w:t>
      </w:r>
      <w:r w:rsidR="0064128F">
        <w:t>exist</w:t>
      </w:r>
      <w:r w:rsidRPr="0064128F">
        <w:t xml:space="preserve"> from time</w:t>
      </w:r>
      <w:r w:rsidR="00BA7CA9">
        <w:t xml:space="preserve"> </w:t>
      </w:r>
      <w:r w:rsidRPr="0064128F">
        <w:t>to</w:t>
      </w:r>
      <w:r w:rsidR="00BA7CA9">
        <w:t xml:space="preserve"> </w:t>
      </w:r>
      <w:r w:rsidRPr="0064128F">
        <w:t xml:space="preserve">time. </w:t>
      </w:r>
    </w:p>
    <w:p w14:paraId="324A1215" w14:textId="75F5AD5C" w:rsidR="00B6002C" w:rsidRDefault="00313CF6" w:rsidP="00B6002C">
      <w:pPr>
        <w:pStyle w:val="Normalparatextwithnumbers"/>
      </w:pPr>
      <w:r w:rsidRPr="0064128F">
        <w:t>Sc</w:t>
      </w:r>
      <w:r w:rsidR="004636AA" w:rsidRPr="0064128F">
        <w:t>he</w:t>
      </w:r>
      <w:r w:rsidRPr="0064128F">
        <w:t>dule</w:t>
      </w:r>
      <w:r w:rsidR="004636AA" w:rsidRPr="0064128F">
        <w:t xml:space="preserve"> 1 to the Bill</w:t>
      </w:r>
      <w:r w:rsidR="002038E8" w:rsidRPr="0064128F">
        <w:t xml:space="preserve"> makes it easier to recognise overseas</w:t>
      </w:r>
      <w:r w:rsidR="00436ABE">
        <w:t xml:space="preserve"> </w:t>
      </w:r>
      <w:r w:rsidR="002038E8" w:rsidRPr="0064128F">
        <w:t xml:space="preserve">standards in Australia, whilst also </w:t>
      </w:r>
      <w:r w:rsidR="002B66C2" w:rsidRPr="0064128F">
        <w:t>improv</w:t>
      </w:r>
      <w:r w:rsidR="002038E8" w:rsidRPr="0064128F">
        <w:t>ing</w:t>
      </w:r>
      <w:r w:rsidR="002B66C2" w:rsidRPr="0064128F">
        <w:t xml:space="preserve"> the flexibility and enforceability</w:t>
      </w:r>
      <w:r w:rsidR="002B66C2" w:rsidRPr="002B66C2">
        <w:t xml:space="preserve"> of safety standards and information standards</w:t>
      </w:r>
      <w:r w:rsidR="002038E8">
        <w:t>.</w:t>
      </w:r>
      <w:r w:rsidR="00B6002C" w:rsidRPr="00B6002C">
        <w:t xml:space="preserve"> </w:t>
      </w:r>
    </w:p>
    <w:p w14:paraId="18957559" w14:textId="77777777" w:rsidR="00873094" w:rsidRPr="00020288" w:rsidRDefault="00873094" w:rsidP="005D0844">
      <w:pPr>
        <w:pStyle w:val="Heading2"/>
      </w:pPr>
      <w:bookmarkStart w:id="46" w:name="_Toc179292221"/>
      <w:r w:rsidRPr="00020288">
        <w:t xml:space="preserve">Summary of </w:t>
      </w:r>
      <w:r w:rsidRPr="005D0844">
        <w:t>new</w:t>
      </w:r>
      <w:r w:rsidRPr="00020288">
        <w:t xml:space="preserve"> law</w:t>
      </w:r>
      <w:bookmarkEnd w:id="46"/>
    </w:p>
    <w:p w14:paraId="38C38749" w14:textId="7D0B9CE2" w:rsidR="00873094" w:rsidRDefault="00A17300" w:rsidP="00403522">
      <w:pPr>
        <w:pStyle w:val="Normalparatextwithnumbers"/>
        <w:numPr>
          <w:ilvl w:val="1"/>
          <w:numId w:val="3"/>
        </w:numPr>
      </w:pPr>
      <w:r>
        <w:t>Schedule 1 to the Bill</w:t>
      </w:r>
      <w:r w:rsidR="008165BF" w:rsidRPr="008165BF">
        <w:t xml:space="preserve"> improve</w:t>
      </w:r>
      <w:r w:rsidR="0062268C">
        <w:t>s</w:t>
      </w:r>
      <w:r w:rsidR="008165BF" w:rsidRPr="008165BF">
        <w:t xml:space="preserve"> the flexibility and enforceability of Australian safety standards and information standards</w:t>
      </w:r>
      <w:r w:rsidR="008165BF">
        <w:t xml:space="preserve"> by</w:t>
      </w:r>
      <w:r>
        <w:t xml:space="preserve">: </w:t>
      </w:r>
    </w:p>
    <w:p w14:paraId="710100D5" w14:textId="3D0B8E3D" w:rsidR="00667A0D" w:rsidRDefault="00667A0D" w:rsidP="00667A0D">
      <w:pPr>
        <w:pStyle w:val="Exampledotpoint1"/>
      </w:pPr>
      <w:r>
        <w:t xml:space="preserve">allowing safety standards and information standards to incorporate matters in instruments and other writings as they exist from time to time, including international </w:t>
      </w:r>
      <w:proofErr w:type="gramStart"/>
      <w:r>
        <w:t>standards;</w:t>
      </w:r>
      <w:proofErr w:type="gramEnd"/>
      <w:r>
        <w:t xml:space="preserve"> </w:t>
      </w:r>
    </w:p>
    <w:p w14:paraId="72DD7087" w14:textId="654CCD94" w:rsidR="00A17300" w:rsidRDefault="00EA39F8" w:rsidP="008165BF">
      <w:pPr>
        <w:pStyle w:val="Exampledotpoint1"/>
      </w:pPr>
      <w:r>
        <w:t>r</w:t>
      </w:r>
      <w:r w:rsidR="008165BF">
        <w:t>eplacing the Minster</w:t>
      </w:r>
      <w:r w:rsidR="00EE383F">
        <w:t>’s ability</w:t>
      </w:r>
      <w:r w:rsidR="008165BF">
        <w:t xml:space="preserve"> to declare safety standards and information standards with an expanded ability to make safety standards and information </w:t>
      </w:r>
      <w:proofErr w:type="gramStart"/>
      <w:r w:rsidR="008165BF">
        <w:t>standards</w:t>
      </w:r>
      <w:r>
        <w:t>;</w:t>
      </w:r>
      <w:proofErr w:type="gramEnd"/>
      <w:r w:rsidR="008165BF">
        <w:t xml:space="preserve"> </w:t>
      </w:r>
    </w:p>
    <w:p w14:paraId="3B1A74FD" w14:textId="069EA9EC" w:rsidR="00EA39F8" w:rsidRDefault="00EA39F8" w:rsidP="008165BF">
      <w:pPr>
        <w:pStyle w:val="Exampledotpoint1"/>
      </w:pPr>
      <w:r>
        <w:t xml:space="preserve">updating requirements </w:t>
      </w:r>
      <w:r w:rsidR="00667A0D">
        <w:t>relating</w:t>
      </w:r>
      <w:r>
        <w:t xml:space="preserve"> to the nomination of alternative </w:t>
      </w:r>
      <w:r w:rsidR="00E6480F">
        <w:t>methods of compliance</w:t>
      </w:r>
      <w:r w:rsidR="00667A0D">
        <w:t xml:space="preserve"> under safety standards</w:t>
      </w:r>
      <w:r w:rsidR="008148B4">
        <w:t>;</w:t>
      </w:r>
      <w:r w:rsidR="009A0231">
        <w:t xml:space="preserve"> and</w:t>
      </w:r>
      <w:r w:rsidR="00667A0D">
        <w:t xml:space="preserve"> </w:t>
      </w:r>
    </w:p>
    <w:p w14:paraId="3DD9E934" w14:textId="3D00F18E" w:rsidR="00667A0D" w:rsidRPr="00020288" w:rsidRDefault="00EE383F" w:rsidP="008165BF">
      <w:pPr>
        <w:pStyle w:val="Exampledotpoint1"/>
      </w:pPr>
      <w:r>
        <w:t>a</w:t>
      </w:r>
      <w:r w:rsidR="00E6480F">
        <w:t xml:space="preserve">llowing the </w:t>
      </w:r>
      <w:r w:rsidR="00531925">
        <w:t xml:space="preserve">regulator </w:t>
      </w:r>
      <w:r w:rsidR="00E6480F">
        <w:t xml:space="preserve">to request certain information and documents </w:t>
      </w:r>
      <w:r>
        <w:t xml:space="preserve">in relation to compliance with safety standards and information standards. </w:t>
      </w:r>
    </w:p>
    <w:p w14:paraId="47DEAEFC" w14:textId="77777777" w:rsidR="00873094" w:rsidRPr="00020288" w:rsidRDefault="00873094" w:rsidP="00873094">
      <w:pPr>
        <w:pStyle w:val="Heading2"/>
        <w:numPr>
          <w:ilvl w:val="1"/>
          <w:numId w:val="2"/>
        </w:numPr>
        <w:tabs>
          <w:tab w:val="num" w:pos="567"/>
        </w:tabs>
        <w:ind w:left="567" w:hanging="567"/>
      </w:pPr>
      <w:bookmarkStart w:id="47" w:name="_Toc179292222"/>
      <w:r w:rsidRPr="00020288">
        <w:t>Detailed explanation of new law</w:t>
      </w:r>
      <w:bookmarkEnd w:id="47"/>
    </w:p>
    <w:p w14:paraId="1CB30416" w14:textId="05840F11" w:rsidR="003B7982" w:rsidRDefault="000763FB" w:rsidP="003B7982">
      <w:pPr>
        <w:pStyle w:val="Heading3"/>
      </w:pPr>
      <w:bookmarkStart w:id="48" w:name="_Toc179292223"/>
      <w:r>
        <w:t>S</w:t>
      </w:r>
      <w:r w:rsidR="0047574D">
        <w:t>cope of s</w:t>
      </w:r>
      <w:r w:rsidR="00B03EF4">
        <w:t>afety standards and information standards</w:t>
      </w:r>
      <w:bookmarkEnd w:id="48"/>
    </w:p>
    <w:p w14:paraId="553F2B35" w14:textId="469B8D37" w:rsidR="00A26B21" w:rsidRDefault="007257C1" w:rsidP="007257C1">
      <w:pPr>
        <w:pStyle w:val="Normalparatextwithnumbers"/>
      </w:pPr>
      <w:r>
        <w:t xml:space="preserve">Prior to the amendments, </w:t>
      </w:r>
      <w:r w:rsidRPr="007257C1">
        <w:t xml:space="preserve">the Minister </w:t>
      </w:r>
      <w:r w:rsidR="003952AD">
        <w:t>could</w:t>
      </w:r>
      <w:r w:rsidRPr="007257C1">
        <w:t xml:space="preserve"> make</w:t>
      </w:r>
      <w:r w:rsidR="00CC7046">
        <w:t xml:space="preserve"> or </w:t>
      </w:r>
      <w:r w:rsidR="00CC7046" w:rsidRPr="007257C1">
        <w:t>declare</w:t>
      </w:r>
      <w:r w:rsidRPr="007257C1">
        <w:t xml:space="preserve"> </w:t>
      </w:r>
      <w:r w:rsidRPr="004C157A">
        <w:t xml:space="preserve">safety standards </w:t>
      </w:r>
      <w:r w:rsidRPr="005802CA">
        <w:t xml:space="preserve">that set out requirements for consumer goods and product related services, and </w:t>
      </w:r>
      <w:r w:rsidRPr="004C157A">
        <w:t>information standards</w:t>
      </w:r>
      <w:r w:rsidR="00452642" w:rsidRPr="005802CA">
        <w:t xml:space="preserve"> that set out</w:t>
      </w:r>
      <w:r w:rsidR="00452642" w:rsidRPr="00840255">
        <w:t xml:space="preserve"> requirements</w:t>
      </w:r>
      <w:r w:rsidRPr="00840255">
        <w:t xml:space="preserve"> </w:t>
      </w:r>
      <w:r w:rsidRPr="007257C1">
        <w:t>for goods and services.</w:t>
      </w:r>
    </w:p>
    <w:p w14:paraId="43C93AAB" w14:textId="5885552A" w:rsidR="0069228D" w:rsidRDefault="00885C05" w:rsidP="0069228D">
      <w:pPr>
        <w:pStyle w:val="Normalparatextwithnumbers"/>
      </w:pPr>
      <w:r>
        <w:t>T</w:t>
      </w:r>
      <w:r w:rsidR="0069228D" w:rsidRPr="0069228D">
        <w:t xml:space="preserve">he Minister </w:t>
      </w:r>
      <w:r w:rsidR="0069228D">
        <w:t>was able to</w:t>
      </w:r>
      <w:r w:rsidR="0069228D" w:rsidRPr="0069228D">
        <w:t xml:space="preserve"> </w:t>
      </w:r>
      <w:r w:rsidR="00E8577D">
        <w:t>declare</w:t>
      </w:r>
      <w:r w:rsidR="0069228D" w:rsidRPr="0069228D">
        <w:t xml:space="preserve"> a</w:t>
      </w:r>
      <w:r w:rsidR="002F0A6E">
        <w:t xml:space="preserve"> </w:t>
      </w:r>
      <w:r w:rsidR="0069228D" w:rsidRPr="0069228D">
        <w:t>standard</w:t>
      </w:r>
      <w:r w:rsidR="005613FD">
        <w:t xml:space="preserve"> </w:t>
      </w:r>
      <w:r w:rsidR="00C237F3">
        <w:t>(</w:t>
      </w:r>
      <w:r w:rsidR="005613FD">
        <w:t xml:space="preserve">or part of </w:t>
      </w:r>
      <w:r w:rsidR="00B02F1A">
        <w:t>a</w:t>
      </w:r>
      <w:r w:rsidR="00CE651C">
        <w:t xml:space="preserve"> </w:t>
      </w:r>
      <w:r w:rsidR="00B02F1A">
        <w:t>standard</w:t>
      </w:r>
      <w:r w:rsidR="00C237F3">
        <w:t>, with</w:t>
      </w:r>
      <w:r w:rsidR="0069228D" w:rsidRPr="0069228D">
        <w:t xml:space="preserve"> </w:t>
      </w:r>
      <w:r w:rsidR="00C05DE8">
        <w:t xml:space="preserve">any </w:t>
      </w:r>
      <w:r w:rsidR="00C05DE8" w:rsidRPr="00101340">
        <w:t>additions or variations</w:t>
      </w:r>
      <w:r w:rsidR="00C05DE8">
        <w:t xml:space="preserve">) </w:t>
      </w:r>
      <w:r w:rsidR="0069228D" w:rsidRPr="0069228D">
        <w:t xml:space="preserve">that has been prepared </w:t>
      </w:r>
      <w:r w:rsidR="00B02F1A">
        <w:t xml:space="preserve">or approved </w:t>
      </w:r>
      <w:r w:rsidR="0069228D" w:rsidRPr="0069228D">
        <w:t>by Standards Australia Limited or a</w:t>
      </w:r>
      <w:r w:rsidR="00B02F1A">
        <w:t>n</w:t>
      </w:r>
      <w:r w:rsidR="0069228D" w:rsidRPr="0069228D">
        <w:t xml:space="preserve"> association </w:t>
      </w:r>
      <w:r w:rsidR="00B02F1A">
        <w:t xml:space="preserve">prescribed </w:t>
      </w:r>
      <w:r w:rsidR="005E0710">
        <w:t>by</w:t>
      </w:r>
      <w:r w:rsidR="00B02F1A">
        <w:t xml:space="preserve"> the regulations</w:t>
      </w:r>
      <w:r w:rsidR="00D52055">
        <w:t>,</w:t>
      </w:r>
      <w:r w:rsidR="00B02F1A">
        <w:t xml:space="preserve"> </w:t>
      </w:r>
      <w:r w:rsidR="0069228D" w:rsidRPr="0069228D">
        <w:t>to be a safety standard</w:t>
      </w:r>
      <w:r w:rsidR="002A5142">
        <w:t xml:space="preserve"> </w:t>
      </w:r>
      <w:r w:rsidR="009D3CD0">
        <w:t>or information standard</w:t>
      </w:r>
      <w:r w:rsidR="004D448A">
        <w:t>.</w:t>
      </w:r>
      <w:r w:rsidR="002A5142">
        <w:t xml:space="preserve"> </w:t>
      </w:r>
      <w:r w:rsidR="005F4C64">
        <w:t>Thi</w:t>
      </w:r>
      <w:r w:rsidR="000940FD">
        <w:t>s process</w:t>
      </w:r>
      <w:r w:rsidR="0041623E">
        <w:t xml:space="preserve"> </w:t>
      </w:r>
      <w:r w:rsidR="004E4D67">
        <w:t>wa</w:t>
      </w:r>
      <w:r w:rsidR="0041623E">
        <w:t>s lengthy</w:t>
      </w:r>
      <w:r w:rsidR="004E4D67">
        <w:t>, and</w:t>
      </w:r>
      <w:r w:rsidR="000940FD">
        <w:t xml:space="preserve"> delayed the timely incorporation of standards</w:t>
      </w:r>
      <w:r w:rsidR="002304CD">
        <w:t>, including standards made by international standard</w:t>
      </w:r>
      <w:r w:rsidR="005B10E0">
        <w:t>s</w:t>
      </w:r>
      <w:r w:rsidR="002304CD">
        <w:t xml:space="preserve"> bodies</w:t>
      </w:r>
      <w:r w:rsidR="006F2404">
        <w:t xml:space="preserve"> such as the </w:t>
      </w:r>
      <w:r w:rsidR="006F2404" w:rsidRPr="006F2404">
        <w:t>International Organization for Standardization</w:t>
      </w:r>
      <w:r w:rsidR="006F2404">
        <w:t>.</w:t>
      </w:r>
    </w:p>
    <w:p w14:paraId="067207E1" w14:textId="120720E8" w:rsidR="009F3F60" w:rsidRDefault="002A5142" w:rsidP="0007160C">
      <w:pPr>
        <w:pStyle w:val="Normalparatextwithnumbers"/>
      </w:pPr>
      <w:r w:rsidRPr="002A5142">
        <w:t xml:space="preserve">The amendments replace the Minister’s ability to declare a safety standard </w:t>
      </w:r>
      <w:r w:rsidR="004D448A">
        <w:t xml:space="preserve">pursuant to section 105 </w:t>
      </w:r>
      <w:r w:rsidRPr="002A5142">
        <w:t>or information standard</w:t>
      </w:r>
      <w:r w:rsidR="004D448A">
        <w:t xml:space="preserve"> pursuant to section 135</w:t>
      </w:r>
      <w:r w:rsidR="003952AD">
        <w:t>,</w:t>
      </w:r>
      <w:r w:rsidRPr="002A5142">
        <w:t xml:space="preserve"> with a broader ability to make a safety standard</w:t>
      </w:r>
      <w:r w:rsidR="004D448A">
        <w:t xml:space="preserve"> pursuant to section 104</w:t>
      </w:r>
      <w:r w:rsidRPr="002A5142">
        <w:t xml:space="preserve"> or information standard</w:t>
      </w:r>
      <w:r w:rsidR="004D448A">
        <w:t xml:space="preserve"> under </w:t>
      </w:r>
      <w:r w:rsidR="00F57016">
        <w:t>section 134</w:t>
      </w:r>
      <w:r w:rsidRPr="002A5142">
        <w:t xml:space="preserve">. </w:t>
      </w:r>
    </w:p>
    <w:p w14:paraId="3C33905C" w14:textId="70AEC0C4" w:rsidR="00583CAE" w:rsidRDefault="009F3F60" w:rsidP="0007160C">
      <w:pPr>
        <w:pStyle w:val="Normalparatextwithnumbers"/>
      </w:pPr>
      <w:r>
        <w:lastRenderedPageBreak/>
        <w:t>T</w:t>
      </w:r>
      <w:r w:rsidR="00DD444F">
        <w:t xml:space="preserve">he Minister </w:t>
      </w:r>
      <w:r>
        <w:t>is empowered to</w:t>
      </w:r>
      <w:r w:rsidR="00DD444F">
        <w:t xml:space="preserve"> make safety standards and information standards that </w:t>
      </w:r>
      <w:r w:rsidR="00F32ED4">
        <w:t xml:space="preserve">make provision in relation to a matter by </w:t>
      </w:r>
      <w:r w:rsidR="007051F4" w:rsidRPr="007051F4">
        <w:t>appl</w:t>
      </w:r>
      <w:r w:rsidR="00F32ED4">
        <w:t>ying</w:t>
      </w:r>
      <w:r w:rsidR="007051F4" w:rsidRPr="007051F4">
        <w:t>, adopt</w:t>
      </w:r>
      <w:r w:rsidR="00F32ED4">
        <w:t>ing</w:t>
      </w:r>
      <w:r w:rsidR="007051F4" w:rsidRPr="007051F4">
        <w:t xml:space="preserve"> or </w:t>
      </w:r>
      <w:r w:rsidR="00F32ED4" w:rsidRPr="007051F4">
        <w:t>incorpora</w:t>
      </w:r>
      <w:r w:rsidR="00F32ED4">
        <w:t>ting</w:t>
      </w:r>
      <w:r w:rsidR="007051F4" w:rsidRPr="007051F4">
        <w:t>, with or without modification, any matter contained in any other instrument or writing</w:t>
      </w:r>
      <w:r w:rsidR="00E96CC0">
        <w:t xml:space="preserve"> (an </w:t>
      </w:r>
      <w:r w:rsidR="00E96CC0" w:rsidRPr="00C97A28">
        <w:rPr>
          <w:b/>
          <w:bCs/>
          <w:i/>
          <w:iCs/>
        </w:rPr>
        <w:t>incorporated instrument</w:t>
      </w:r>
      <w:r w:rsidR="00E96CC0">
        <w:t>)</w:t>
      </w:r>
      <w:r w:rsidR="007051F4" w:rsidRPr="007051F4">
        <w:t xml:space="preserve"> </w:t>
      </w:r>
      <w:r w:rsidR="000350AA">
        <w:t>as in force or existing</w:t>
      </w:r>
      <w:r w:rsidR="007051F4" w:rsidRPr="007051F4">
        <w:t xml:space="preserve"> at a particular time or from time to time.</w:t>
      </w:r>
      <w:r w:rsidR="00931078">
        <w:t xml:space="preserve"> </w:t>
      </w:r>
      <w:r w:rsidR="00593EBD">
        <w:t xml:space="preserve">This </w:t>
      </w:r>
      <w:r w:rsidR="00A63B17">
        <w:t>provides a contrary intention to</w:t>
      </w:r>
      <w:r w:rsidR="00593EBD">
        <w:t xml:space="preserve"> s</w:t>
      </w:r>
      <w:r w:rsidR="009827C2">
        <w:t>ubsection</w:t>
      </w:r>
      <w:r w:rsidR="00593EBD">
        <w:t xml:space="preserve"> 14(2) of the </w:t>
      </w:r>
      <w:r w:rsidR="00593EBD" w:rsidRPr="00593EBD">
        <w:rPr>
          <w:i/>
          <w:iCs/>
        </w:rPr>
        <w:t>Legislation Act 2003</w:t>
      </w:r>
      <w:r w:rsidR="000456A1">
        <w:t>, which</w:t>
      </w:r>
      <w:r w:rsidR="003952AD">
        <w:t xml:space="preserve"> </w:t>
      </w:r>
      <w:r w:rsidR="00AF3A40">
        <w:t>states</w:t>
      </w:r>
      <w:r w:rsidR="000456A1">
        <w:t xml:space="preserve"> that</w:t>
      </w:r>
      <w:r w:rsidR="000456A1" w:rsidRPr="000456A1">
        <w:t xml:space="preserve"> unless a contrary intention appears, a legislative instrument may not make</w:t>
      </w:r>
      <w:r w:rsidR="00B73D61">
        <w:t xml:space="preserve"> </w:t>
      </w:r>
      <w:r w:rsidR="000456A1" w:rsidRPr="000456A1">
        <w:t xml:space="preserve">provision in relation to a matter by applying, adopting or incorporating any matter contained in an instrument or other writing as in force or existing from time to time. </w:t>
      </w:r>
    </w:p>
    <w:p w14:paraId="454BACD1" w14:textId="44C9DD5B" w:rsidR="00E96CC0" w:rsidRDefault="00583CAE" w:rsidP="0007160C">
      <w:pPr>
        <w:pStyle w:val="Normalparatextwithnumbers"/>
      </w:pPr>
      <w:r w:rsidRPr="00046600">
        <w:t>T</w:t>
      </w:r>
      <w:r w:rsidR="0059299E" w:rsidRPr="00046600">
        <w:t>his is intended to</w:t>
      </w:r>
      <w:r w:rsidRPr="00046600">
        <w:t xml:space="preserve"> ensure </w:t>
      </w:r>
      <w:r w:rsidR="002F76FC" w:rsidRPr="00046600">
        <w:t>that standards</w:t>
      </w:r>
      <w:r w:rsidR="00BD0D08">
        <w:t xml:space="preserve"> and other instruments or writings</w:t>
      </w:r>
      <w:r w:rsidR="002F76FC" w:rsidRPr="00046600">
        <w:t xml:space="preserve"> that are incorporated into information standards and safety standards stay up to date, </w:t>
      </w:r>
      <w:r w:rsidR="004C2D33">
        <w:t xml:space="preserve">and </w:t>
      </w:r>
      <w:r w:rsidR="004C2D33" w:rsidRPr="004C2D33">
        <w:t xml:space="preserve">businesses </w:t>
      </w:r>
      <w:r w:rsidR="00CC3042">
        <w:t xml:space="preserve">are not prevented </w:t>
      </w:r>
      <w:r w:rsidR="004C2D33" w:rsidRPr="004C2D33">
        <w:t>from using the latest and safest Australian or overseas standards that are available.</w:t>
      </w:r>
      <w:r w:rsidR="004C2D33">
        <w:t xml:space="preserve"> </w:t>
      </w:r>
    </w:p>
    <w:p w14:paraId="410BA4D4" w14:textId="15FF204E" w:rsidR="00E96CC0" w:rsidRPr="00046600" w:rsidRDefault="00E96CC0" w:rsidP="00E96CC0">
      <w:pPr>
        <w:pStyle w:val="Normalparatextwithnumbers"/>
        <w:numPr>
          <w:ilvl w:val="0"/>
          <w:numId w:val="0"/>
        </w:numPr>
        <w:ind w:left="709"/>
        <w:rPr>
          <w:rStyle w:val="References"/>
          <w:b w:val="0"/>
          <w:bCs w:val="0"/>
          <w:i w:val="0"/>
          <w:iCs w:val="0"/>
        </w:rPr>
      </w:pPr>
      <w:r w:rsidRPr="00046600">
        <w:rPr>
          <w:rStyle w:val="References"/>
        </w:rPr>
        <w:t>[Schedule 1, item</w:t>
      </w:r>
      <w:r w:rsidR="009857AB" w:rsidRPr="00046600">
        <w:rPr>
          <w:rStyle w:val="References"/>
        </w:rPr>
        <w:t>s</w:t>
      </w:r>
      <w:r w:rsidRPr="00046600">
        <w:rPr>
          <w:rStyle w:val="References"/>
        </w:rPr>
        <w:t xml:space="preserve"> </w:t>
      </w:r>
      <w:r w:rsidR="00615348">
        <w:rPr>
          <w:rStyle w:val="References"/>
        </w:rPr>
        <w:t>3</w:t>
      </w:r>
      <w:r w:rsidR="00031CE8">
        <w:rPr>
          <w:rStyle w:val="References"/>
        </w:rPr>
        <w:t xml:space="preserve">, </w:t>
      </w:r>
      <w:r w:rsidR="003D48FB">
        <w:rPr>
          <w:rStyle w:val="References"/>
        </w:rPr>
        <w:t>11</w:t>
      </w:r>
      <w:r w:rsidR="009857AB" w:rsidRPr="00046600">
        <w:rPr>
          <w:rStyle w:val="References"/>
        </w:rPr>
        <w:t xml:space="preserve"> and 1</w:t>
      </w:r>
      <w:r w:rsidR="00BC42E2">
        <w:rPr>
          <w:rStyle w:val="References"/>
        </w:rPr>
        <w:t>6</w:t>
      </w:r>
      <w:r w:rsidRPr="00046600">
        <w:rPr>
          <w:rStyle w:val="References"/>
        </w:rPr>
        <w:t>, subsection</w:t>
      </w:r>
      <w:r w:rsidR="003356AC">
        <w:rPr>
          <w:rStyle w:val="References"/>
        </w:rPr>
        <w:t xml:space="preserve"> 131</w:t>
      </w:r>
      <w:proofErr w:type="gramStart"/>
      <w:r w:rsidR="003356AC">
        <w:rPr>
          <w:rStyle w:val="References"/>
        </w:rPr>
        <w:t>E</w:t>
      </w:r>
      <w:r w:rsidR="00661C34">
        <w:rPr>
          <w:rStyle w:val="References"/>
        </w:rPr>
        <w:t>(</w:t>
      </w:r>
      <w:proofErr w:type="gramEnd"/>
      <w:r w:rsidR="00661C34">
        <w:rPr>
          <w:rStyle w:val="References"/>
        </w:rPr>
        <w:t>4)</w:t>
      </w:r>
      <w:r w:rsidR="003356AC">
        <w:rPr>
          <w:rStyle w:val="References"/>
        </w:rPr>
        <w:t xml:space="preserve"> of the CCA and subsections</w:t>
      </w:r>
      <w:r w:rsidRPr="00046600">
        <w:rPr>
          <w:rStyle w:val="References"/>
        </w:rPr>
        <w:t xml:space="preserve"> 104(</w:t>
      </w:r>
      <w:r w:rsidR="00973703" w:rsidRPr="00046600">
        <w:rPr>
          <w:rStyle w:val="References"/>
        </w:rPr>
        <w:t>5)</w:t>
      </w:r>
      <w:r w:rsidR="00C727A7" w:rsidRPr="00046600">
        <w:rPr>
          <w:rStyle w:val="References"/>
        </w:rPr>
        <w:t xml:space="preserve"> and 134(4)</w:t>
      </w:r>
      <w:r w:rsidRPr="00046600">
        <w:rPr>
          <w:rStyle w:val="References"/>
        </w:rPr>
        <w:t xml:space="preserve">] </w:t>
      </w:r>
    </w:p>
    <w:p w14:paraId="2D70C105" w14:textId="6C4C0B76" w:rsidR="00931078" w:rsidRDefault="001F5DC9" w:rsidP="009841F3">
      <w:pPr>
        <w:pStyle w:val="Normalparatextwithnumbers"/>
      </w:pPr>
      <w:bookmarkStart w:id="49" w:name="_Hlk178652570"/>
      <w:r w:rsidRPr="00046600">
        <w:t xml:space="preserve">The </w:t>
      </w:r>
      <w:r w:rsidR="00341AC1" w:rsidRPr="00046600">
        <w:t>amendments</w:t>
      </w:r>
      <w:r w:rsidR="00341AC1">
        <w:t xml:space="preserve"> re</w:t>
      </w:r>
      <w:r w:rsidR="00D1306A">
        <w:t>p</w:t>
      </w:r>
      <w:r w:rsidR="009F3F60">
        <w:t>eal</w:t>
      </w:r>
      <w:r w:rsidR="00341AC1">
        <w:t xml:space="preserve"> the </w:t>
      </w:r>
      <w:r>
        <w:t>Minister’s ability to declare</w:t>
      </w:r>
      <w:r w:rsidR="002358C8">
        <w:t xml:space="preserve"> </w:t>
      </w:r>
      <w:r w:rsidR="00341AC1">
        <w:t xml:space="preserve">a </w:t>
      </w:r>
      <w:r w:rsidR="002358C8">
        <w:t>safety standard</w:t>
      </w:r>
      <w:r w:rsidR="009F3F60">
        <w:t xml:space="preserve"> under section 105</w:t>
      </w:r>
      <w:r w:rsidR="002358C8">
        <w:t xml:space="preserve"> </w:t>
      </w:r>
      <w:r w:rsidR="00EB40F9">
        <w:t>and</w:t>
      </w:r>
      <w:r w:rsidR="00341AC1">
        <w:t xml:space="preserve"> </w:t>
      </w:r>
      <w:r w:rsidR="00D66FAA">
        <w:t xml:space="preserve">declare </w:t>
      </w:r>
      <w:r w:rsidR="00EB40F9">
        <w:t>an</w:t>
      </w:r>
      <w:r w:rsidR="00D66FAA">
        <w:t xml:space="preserve"> </w:t>
      </w:r>
      <w:r>
        <w:t>information standard</w:t>
      </w:r>
      <w:r w:rsidR="00D1306A">
        <w:t xml:space="preserve"> </w:t>
      </w:r>
      <w:r w:rsidR="004D448A">
        <w:t xml:space="preserve">under section 135. </w:t>
      </w:r>
      <w:bookmarkEnd w:id="49"/>
      <w:r w:rsidR="0008557F">
        <w:t>Th</w:t>
      </w:r>
      <w:r w:rsidR="00D1306A">
        <w:t>e</w:t>
      </w:r>
      <w:r w:rsidR="0008557F">
        <w:t xml:space="preserve"> </w:t>
      </w:r>
      <w:r w:rsidR="00D1306A">
        <w:t>ability</w:t>
      </w:r>
      <w:r>
        <w:t xml:space="preserve"> </w:t>
      </w:r>
      <w:r w:rsidR="00D1306A">
        <w:t>to declare a standard is</w:t>
      </w:r>
      <w:r w:rsidR="000A5961">
        <w:t xml:space="preserve"> largely</w:t>
      </w:r>
      <w:r>
        <w:t xml:space="preserve"> redundant</w:t>
      </w:r>
      <w:r w:rsidR="00D1306A">
        <w:t xml:space="preserve"> due to</w:t>
      </w:r>
      <w:r w:rsidR="0008557F">
        <w:t xml:space="preserve"> the </w:t>
      </w:r>
      <w:r w:rsidR="00603CF9">
        <w:t xml:space="preserve">new ability for the </w:t>
      </w:r>
      <w:r w:rsidR="0008557F">
        <w:t>Minister</w:t>
      </w:r>
      <w:r w:rsidR="00603CF9">
        <w:t xml:space="preserve"> to</w:t>
      </w:r>
      <w:r w:rsidR="0008557F">
        <w:t xml:space="preserve"> make information standards or safety standards that</w:t>
      </w:r>
      <w:r w:rsidR="00517AC1">
        <w:t xml:space="preserve"> incorporate</w:t>
      </w:r>
      <w:r w:rsidR="00FC6AED">
        <w:t xml:space="preserve"> matters in </w:t>
      </w:r>
      <w:r w:rsidR="00931078">
        <w:t>an instrument or writing</w:t>
      </w:r>
      <w:r w:rsidR="009841F3">
        <w:t xml:space="preserve"> (including </w:t>
      </w:r>
      <w:r w:rsidR="00591CCB">
        <w:t>a</w:t>
      </w:r>
      <w:r w:rsidR="009841F3">
        <w:t xml:space="preserve"> standard prepared or approved by Standards Australia Limited or </w:t>
      </w:r>
      <w:r w:rsidR="00852D30">
        <w:t xml:space="preserve">any </w:t>
      </w:r>
      <w:r w:rsidR="009841F3">
        <w:t>other association</w:t>
      </w:r>
      <w:r w:rsidR="00931078">
        <w:t>,</w:t>
      </w:r>
      <w:r w:rsidR="009841F3">
        <w:t xml:space="preserve"> such as an </w:t>
      </w:r>
      <w:r w:rsidR="00A63953">
        <w:t>international</w:t>
      </w:r>
      <w:r w:rsidR="009841F3">
        <w:t xml:space="preserve"> standard</w:t>
      </w:r>
      <w:r w:rsidR="00284065">
        <w:t>s</w:t>
      </w:r>
      <w:r w:rsidR="009841F3">
        <w:t xml:space="preserve"> body)</w:t>
      </w:r>
      <w:r w:rsidR="00931078">
        <w:t xml:space="preserve"> as they exist from time to time or at a particular time.</w:t>
      </w:r>
      <w:r w:rsidR="0028321D">
        <w:t xml:space="preserve"> </w:t>
      </w:r>
    </w:p>
    <w:p w14:paraId="2372B31E" w14:textId="40A9536E" w:rsidR="001F5DC9" w:rsidRDefault="00553417" w:rsidP="00A57D69">
      <w:pPr>
        <w:pStyle w:val="Normalparatextwithnumbers"/>
        <w:numPr>
          <w:ilvl w:val="0"/>
          <w:numId w:val="0"/>
        </w:numPr>
        <w:ind w:left="709"/>
        <w:rPr>
          <w:b/>
          <w:bCs/>
          <w:i/>
          <w:iCs/>
        </w:rPr>
      </w:pPr>
      <w:r w:rsidRPr="00553417">
        <w:rPr>
          <w:b/>
          <w:bCs/>
          <w:i/>
          <w:iCs/>
        </w:rPr>
        <w:t xml:space="preserve">[Schedule 1, items </w:t>
      </w:r>
      <w:r w:rsidR="003D48FB">
        <w:rPr>
          <w:b/>
          <w:bCs/>
          <w:i/>
          <w:iCs/>
        </w:rPr>
        <w:t>12</w:t>
      </w:r>
      <w:r w:rsidRPr="00553417">
        <w:rPr>
          <w:b/>
          <w:bCs/>
          <w:i/>
          <w:iCs/>
        </w:rPr>
        <w:t xml:space="preserve"> and </w:t>
      </w:r>
      <w:r w:rsidR="00475212">
        <w:rPr>
          <w:b/>
          <w:bCs/>
          <w:i/>
          <w:iCs/>
        </w:rPr>
        <w:t>1</w:t>
      </w:r>
      <w:r w:rsidR="00BC42E2">
        <w:rPr>
          <w:b/>
          <w:bCs/>
          <w:i/>
          <w:iCs/>
        </w:rPr>
        <w:t>7</w:t>
      </w:r>
      <w:r w:rsidRPr="00553417">
        <w:rPr>
          <w:b/>
          <w:bCs/>
          <w:i/>
          <w:iCs/>
        </w:rPr>
        <w:t>, sections 10</w:t>
      </w:r>
      <w:r w:rsidR="00475212">
        <w:rPr>
          <w:b/>
          <w:bCs/>
          <w:i/>
          <w:iCs/>
        </w:rPr>
        <w:t>5</w:t>
      </w:r>
      <w:r w:rsidRPr="00553417">
        <w:rPr>
          <w:b/>
          <w:bCs/>
          <w:i/>
          <w:iCs/>
        </w:rPr>
        <w:t xml:space="preserve"> and 13</w:t>
      </w:r>
      <w:r w:rsidR="00475212">
        <w:rPr>
          <w:b/>
          <w:bCs/>
          <w:i/>
          <w:iCs/>
        </w:rPr>
        <w:t>5</w:t>
      </w:r>
      <w:r w:rsidRPr="00553417">
        <w:rPr>
          <w:b/>
          <w:bCs/>
          <w:i/>
          <w:iCs/>
        </w:rPr>
        <w:t>]</w:t>
      </w:r>
    </w:p>
    <w:p w14:paraId="7C43D97A" w14:textId="50DA18ED" w:rsidR="00463244" w:rsidRDefault="00611A1F" w:rsidP="00611A1F">
      <w:pPr>
        <w:pStyle w:val="Normalparatextwithnumbers"/>
      </w:pPr>
      <w:r>
        <w:t>A number of additional amendments are made to update the</w:t>
      </w:r>
      <w:r w:rsidR="00FD44C1">
        <w:t xml:space="preserve"> Minister’s</w:t>
      </w:r>
      <w:r>
        <w:t xml:space="preserve"> </w:t>
      </w:r>
      <w:r w:rsidR="00FD44C1">
        <w:t xml:space="preserve">power </w:t>
      </w:r>
      <w:r>
        <w:t>to make a safety standard under section 104</w:t>
      </w:r>
      <w:r w:rsidR="00B63C21">
        <w:t xml:space="preserve"> </w:t>
      </w:r>
      <w:r w:rsidR="00FD44C1">
        <w:t>and</w:t>
      </w:r>
      <w:r>
        <w:t xml:space="preserve"> information standard under section 134 and ensure </w:t>
      </w:r>
      <w:r w:rsidR="000A5F4A">
        <w:t xml:space="preserve">that </w:t>
      </w:r>
      <w:r w:rsidR="002D0A71">
        <w:t>the Minister’s ability to make safety standards</w:t>
      </w:r>
      <w:r w:rsidR="00172497">
        <w:t xml:space="preserve"> </w:t>
      </w:r>
      <w:r w:rsidR="000769A2">
        <w:t xml:space="preserve">and information standards </w:t>
      </w:r>
      <w:r w:rsidR="00D9222E">
        <w:t xml:space="preserve">entirely </w:t>
      </w:r>
      <w:r w:rsidR="00172497">
        <w:t>replace</w:t>
      </w:r>
      <w:r w:rsidR="002D0A71">
        <w:t>s</w:t>
      </w:r>
      <w:r w:rsidR="00172497">
        <w:t xml:space="preserve"> the </w:t>
      </w:r>
      <w:r>
        <w:t xml:space="preserve">Minister’s </w:t>
      </w:r>
      <w:r w:rsidR="00172497">
        <w:t>power</w:t>
      </w:r>
      <w:r>
        <w:t xml:space="preserve"> to declare safety standards </w:t>
      </w:r>
      <w:r w:rsidR="00172497">
        <w:t xml:space="preserve">under section 105 </w:t>
      </w:r>
      <w:r>
        <w:t xml:space="preserve">and information standards </w:t>
      </w:r>
      <w:r w:rsidR="00172497">
        <w:t xml:space="preserve">under </w:t>
      </w:r>
      <w:r>
        <w:t>s</w:t>
      </w:r>
      <w:r w:rsidR="00172497">
        <w:t>ection 135</w:t>
      </w:r>
      <w:r w:rsidR="00EB40F9">
        <w:t xml:space="preserve"> respectively</w:t>
      </w:r>
      <w:r>
        <w:t xml:space="preserve">. </w:t>
      </w:r>
    </w:p>
    <w:p w14:paraId="4F7A295D" w14:textId="5B164B68" w:rsidR="00463244" w:rsidRDefault="00DB6C98" w:rsidP="00DB6C98">
      <w:pPr>
        <w:pStyle w:val="Normalparatextwithnumbers"/>
      </w:pPr>
      <w:r>
        <w:t xml:space="preserve">First, the </w:t>
      </w:r>
      <w:r w:rsidR="00B4309B">
        <w:t>requirement to publish a</w:t>
      </w:r>
      <w:r w:rsidR="001603F9">
        <w:t>n information</w:t>
      </w:r>
      <w:r w:rsidR="00B4309B">
        <w:t xml:space="preserve"> standard</w:t>
      </w:r>
      <w:r w:rsidR="001603F9">
        <w:t xml:space="preserve"> or safety standard</w:t>
      </w:r>
      <w:r w:rsidR="00B4309B">
        <w:t xml:space="preserve"> on the internet</w:t>
      </w:r>
      <w:r w:rsidR="00611A1F">
        <w:t xml:space="preserve"> is removed</w:t>
      </w:r>
      <w:r w:rsidR="0049697B">
        <w:t>. This</w:t>
      </w:r>
      <w:r w:rsidR="009B5CC3">
        <w:t xml:space="preserve"> is redundant </w:t>
      </w:r>
      <w:r w:rsidR="00451207">
        <w:t>as safety standards and information standards are legislative instruments (see section 131E of the CCA) and subject to requirements</w:t>
      </w:r>
      <w:r w:rsidR="001603F9">
        <w:t xml:space="preserve"> </w:t>
      </w:r>
      <w:r w:rsidR="009B5CC3">
        <w:t xml:space="preserve">under the </w:t>
      </w:r>
      <w:r w:rsidR="009B5CC3" w:rsidRPr="00B411C3">
        <w:rPr>
          <w:i/>
          <w:iCs/>
        </w:rPr>
        <w:t>Legislation Act 2003</w:t>
      </w:r>
      <w:r w:rsidR="00272B70">
        <w:t xml:space="preserve">, </w:t>
      </w:r>
      <w:r w:rsidR="00073822">
        <w:t xml:space="preserve">such as the requirement to be </w:t>
      </w:r>
      <w:r w:rsidR="00272B70">
        <w:t>published on the Federal Register of Legislation.</w:t>
      </w:r>
    </w:p>
    <w:p w14:paraId="002E6292" w14:textId="1BE8DACE" w:rsidR="0051752E" w:rsidRDefault="00DB6C98" w:rsidP="0051752E">
      <w:pPr>
        <w:pStyle w:val="Normalparatextwithnumbers"/>
      </w:pPr>
      <w:r>
        <w:t xml:space="preserve">Second, the amendments </w:t>
      </w:r>
      <w:r w:rsidRPr="00DB6C98">
        <w:t>clarify the kind of matters that may be prescribed under a safety standard</w:t>
      </w:r>
      <w:r w:rsidR="005B3666">
        <w:t xml:space="preserve"> in relation to consumer goods</w:t>
      </w:r>
      <w:r w:rsidR="00DA2479">
        <w:t xml:space="preserve"> </w:t>
      </w:r>
      <w:bookmarkStart w:id="50" w:name="_Hlk178654319"/>
      <w:r w:rsidR="00012FE3">
        <w:t>listed under subsection 104(2) and</w:t>
      </w:r>
      <w:r w:rsidR="005B3666">
        <w:t xml:space="preserve"> product related services under subsection 104</w:t>
      </w:r>
      <w:r w:rsidR="00012FE3">
        <w:t xml:space="preserve">(3) </w:t>
      </w:r>
      <w:r w:rsidR="00DA2479">
        <w:t xml:space="preserve">include record keeping requirements and the provision of information to any person </w:t>
      </w:r>
      <w:r w:rsidR="00711528">
        <w:t>(</w:t>
      </w:r>
      <w:r w:rsidR="00DA2479">
        <w:t>including the regulator</w:t>
      </w:r>
      <w:r w:rsidR="00711528">
        <w:t>)</w:t>
      </w:r>
      <w:r w:rsidRPr="00DB6C98">
        <w:t xml:space="preserve">, </w:t>
      </w:r>
      <w:bookmarkEnd w:id="50"/>
      <w:r w:rsidRPr="00DB6C98">
        <w:t>whilst ensuring such matters do not limit the Minister</w:t>
      </w:r>
      <w:r w:rsidR="00B258D2">
        <w:t>’</w:t>
      </w:r>
      <w:r w:rsidRPr="00DB6C98">
        <w:t xml:space="preserve">s </w:t>
      </w:r>
      <w:r w:rsidR="005B3666">
        <w:t xml:space="preserve">broad </w:t>
      </w:r>
      <w:r w:rsidRPr="00DB6C98">
        <w:t xml:space="preserve">ability to make a safety standard for consumer goods </w:t>
      </w:r>
      <w:r w:rsidR="002E35C5">
        <w:t>or</w:t>
      </w:r>
      <w:r w:rsidRPr="00DB6C98">
        <w:t xml:space="preserve"> product related services</w:t>
      </w:r>
      <w:r w:rsidR="005B3666">
        <w:t xml:space="preserve"> pursuant to subsection 104(1)</w:t>
      </w:r>
      <w:r w:rsidR="00D17F7A">
        <w:t xml:space="preserve">. </w:t>
      </w:r>
      <w:r w:rsidR="0069488E">
        <w:t>The ACCC is the regulator for the purposes of the application of Schedule</w:t>
      </w:r>
      <w:r w:rsidR="00F11811">
        <w:t xml:space="preserve"> 1 to the Bill</w:t>
      </w:r>
      <w:r w:rsidR="0069488E">
        <w:t xml:space="preserve"> </w:t>
      </w:r>
      <w:r w:rsidR="00874ABF">
        <w:t>as</w:t>
      </w:r>
      <w:r w:rsidR="0069488E">
        <w:t xml:space="preserve"> a law of the Commonwealth. </w:t>
      </w:r>
      <w:r w:rsidR="00F11811">
        <w:t>F</w:t>
      </w:r>
      <w:r w:rsidR="00F11811" w:rsidRPr="00F11811">
        <w:t>or the purposes of the application of Schedule</w:t>
      </w:r>
      <w:r w:rsidR="00F11811">
        <w:t xml:space="preserve"> 1 to the </w:t>
      </w:r>
      <w:r w:rsidR="00F11811">
        <w:lastRenderedPageBreak/>
        <w:t>Bill</w:t>
      </w:r>
      <w:r w:rsidR="00F11811" w:rsidRPr="00F11811">
        <w:t xml:space="preserve"> as a law of a State or a Territory</w:t>
      </w:r>
      <w:r w:rsidR="00F11811">
        <w:t xml:space="preserve">, regulator </w:t>
      </w:r>
      <w:r w:rsidR="00F11811" w:rsidRPr="00F11811">
        <w:t>has the meaning given by the application law of the State or Territory.</w:t>
      </w:r>
    </w:p>
    <w:p w14:paraId="7742F711" w14:textId="33763361" w:rsidR="00CE5339" w:rsidRDefault="009573AC" w:rsidP="00CE5339">
      <w:pPr>
        <w:pStyle w:val="Normalparatextwithnumbers"/>
      </w:pPr>
      <w:r>
        <w:t xml:space="preserve">This complements amendments before Parliament in the </w:t>
      </w:r>
      <w:r w:rsidR="00E12802" w:rsidRPr="00E12802">
        <w:t>Treasury Laws Amendment (Better Targeted Superannuation Concessions and Other Measures) Bill 2023</w:t>
      </w:r>
      <w:r w:rsidR="00CE5339">
        <w:t>, which will repeal</w:t>
      </w:r>
      <w:r w:rsidR="000E05C3">
        <w:t xml:space="preserve"> the matter under paragraph 104(2)(c) dealing with </w:t>
      </w:r>
      <w:r w:rsidR="00EE5F30">
        <w:t>‘</w:t>
      </w:r>
      <w:r w:rsidR="00624194" w:rsidRPr="00624194">
        <w:t xml:space="preserve">the form and content of markings, </w:t>
      </w:r>
      <w:r w:rsidR="00BD0754" w:rsidRPr="00624194">
        <w:t>warnings,</w:t>
      </w:r>
      <w:r w:rsidR="00624194" w:rsidRPr="00624194">
        <w:t xml:space="preserve"> or instructions to accompany consumer goods of that kind</w:t>
      </w:r>
      <w:r w:rsidR="00EE5F30">
        <w:t>’</w:t>
      </w:r>
      <w:r w:rsidR="00CE5339">
        <w:t xml:space="preserve"> and substitute it with</w:t>
      </w:r>
      <w:r w:rsidR="00E6602D">
        <w:t>:</w:t>
      </w:r>
    </w:p>
    <w:p w14:paraId="5F0D3A30" w14:textId="2FCDB81D" w:rsidR="00CE5339" w:rsidRDefault="00CE5339" w:rsidP="00CE5339">
      <w:pPr>
        <w:pStyle w:val="Exampledotpoint1"/>
      </w:pPr>
      <w:r>
        <w:t>the form and content of markings to accompany consumer goods of that kind</w:t>
      </w:r>
      <w:r w:rsidR="000E05C3">
        <w:t>, and</w:t>
      </w:r>
    </w:p>
    <w:p w14:paraId="4A0852DE" w14:textId="391BF0B1" w:rsidR="00DB6C98" w:rsidRDefault="00CE5339" w:rsidP="00CE5339">
      <w:pPr>
        <w:pStyle w:val="Exampledotpoint1"/>
      </w:pPr>
      <w:r>
        <w:t>the form and content of warnings, instructions or other information about consumer goods of that kind</w:t>
      </w:r>
      <w:r w:rsidR="002167DC">
        <w:t>.</w:t>
      </w:r>
    </w:p>
    <w:p w14:paraId="7C19B0D4" w14:textId="3E466688" w:rsidR="00347E44" w:rsidRDefault="002E35C5" w:rsidP="00DB6C98">
      <w:pPr>
        <w:pStyle w:val="Normalparatextwithnumbers"/>
      </w:pPr>
      <w:r w:rsidRPr="002E35C5">
        <w:t>Third</w:t>
      </w:r>
      <w:r w:rsidR="00DB6C98" w:rsidRPr="002E35C5">
        <w:t xml:space="preserve">, the amendments </w:t>
      </w:r>
      <w:r w:rsidR="00D11506">
        <w:t>c</w:t>
      </w:r>
      <w:r w:rsidR="00347E44">
        <w:t xml:space="preserve">larify </w:t>
      </w:r>
      <w:r w:rsidR="00F70423">
        <w:t xml:space="preserve">that </w:t>
      </w:r>
      <w:r w:rsidR="00347E44">
        <w:t xml:space="preserve">the kind of matters that may be prescribed in </w:t>
      </w:r>
      <w:r w:rsidR="00FB3228">
        <w:t>an information standard</w:t>
      </w:r>
      <w:r w:rsidR="00506D90">
        <w:t xml:space="preserve"> for goods of a particular kind or services of a particular kind</w:t>
      </w:r>
      <w:r w:rsidR="00451207">
        <w:t xml:space="preserve"> </w:t>
      </w:r>
      <w:r w:rsidR="00F70423">
        <w:t xml:space="preserve">under subsection 134(2) </w:t>
      </w:r>
      <w:r>
        <w:t>include</w:t>
      </w:r>
      <w:r w:rsidR="002167DC" w:rsidRPr="002167DC">
        <w:t xml:space="preserve"> record keeping requirements and the provision of information to any person (including the regulator</w:t>
      </w:r>
      <w:r w:rsidR="00B872E5">
        <w:t>).</w:t>
      </w:r>
    </w:p>
    <w:p w14:paraId="72134FD4" w14:textId="5D5C3BEC" w:rsidR="00886BFB" w:rsidRDefault="00DB6C98">
      <w:pPr>
        <w:pStyle w:val="Normalparatextwithnumbers"/>
      </w:pPr>
      <w:r w:rsidRPr="00DB6C98">
        <w:t>F</w:t>
      </w:r>
      <w:r w:rsidR="002167DC">
        <w:t>ourth</w:t>
      </w:r>
      <w:r w:rsidRPr="00DB6C98">
        <w:t xml:space="preserve">, the amendments </w:t>
      </w:r>
      <w:r w:rsidR="00D11506">
        <w:t>e</w:t>
      </w:r>
      <w:r w:rsidR="007A2005">
        <w:t>nsure that safety standards</w:t>
      </w:r>
      <w:r w:rsidR="001F3865">
        <w:t xml:space="preserve"> and information standards</w:t>
      </w:r>
      <w:r w:rsidR="007A2005">
        <w:t xml:space="preserve"> may deal with matters incidental or related to the matters that may be prescribed </w:t>
      </w:r>
      <w:r w:rsidR="001F3865">
        <w:t>in a safety standard</w:t>
      </w:r>
      <w:r w:rsidR="00F70423">
        <w:t xml:space="preserve"> listed under</w:t>
      </w:r>
      <w:r w:rsidR="00F66C47">
        <w:t xml:space="preserve"> </w:t>
      </w:r>
      <w:r w:rsidR="00F70423">
        <w:t>subsection</w:t>
      </w:r>
      <w:r w:rsidR="00C94480">
        <w:t>s</w:t>
      </w:r>
      <w:r w:rsidR="00F70423">
        <w:t xml:space="preserve"> 104(2) or (3) </w:t>
      </w:r>
      <w:r w:rsidR="001F3865">
        <w:t xml:space="preserve">or </w:t>
      </w:r>
      <w:r w:rsidR="008E6238">
        <w:t xml:space="preserve">an </w:t>
      </w:r>
      <w:r w:rsidR="001F3865">
        <w:t>information standard</w:t>
      </w:r>
      <w:r w:rsidR="00F70423">
        <w:t xml:space="preserve"> listed under subsection 134(2)</w:t>
      </w:r>
      <w:r w:rsidR="001F3865">
        <w:t xml:space="preserve"> (noting that </w:t>
      </w:r>
      <w:r w:rsidR="006D38A0">
        <w:t xml:space="preserve">the </w:t>
      </w:r>
      <w:r w:rsidR="001F3865">
        <w:t>listed matters are non-exhaustive)</w:t>
      </w:r>
      <w:r w:rsidR="00B16C63">
        <w:t>.</w:t>
      </w:r>
      <w:r w:rsidR="008E6238">
        <w:t xml:space="preserve"> </w:t>
      </w:r>
      <w:r w:rsidR="00B16C63">
        <w:t>I</w:t>
      </w:r>
      <w:r w:rsidR="00EC0146">
        <w:t xml:space="preserve">f the safety standard </w:t>
      </w:r>
      <w:r w:rsidR="00D11506">
        <w:t xml:space="preserve">or information standard </w:t>
      </w:r>
      <w:r w:rsidR="00EC0146">
        <w:t xml:space="preserve">does </w:t>
      </w:r>
      <w:r w:rsidR="008709DB">
        <w:t xml:space="preserve">incorporate an instrument or writing </w:t>
      </w:r>
      <w:r w:rsidR="00BD0EF6">
        <w:t xml:space="preserve">prepared or approved </w:t>
      </w:r>
      <w:r w:rsidR="008709DB">
        <w:t>by an Australian or international standards body</w:t>
      </w:r>
      <w:r w:rsidR="00BD0EF6">
        <w:t xml:space="preserve">, the safety standard </w:t>
      </w:r>
      <w:r w:rsidR="00D11506">
        <w:t xml:space="preserve">or information standard </w:t>
      </w:r>
      <w:r w:rsidR="00BD0EF6">
        <w:t xml:space="preserve">may also make provision in relation to any matter dealt with in that instrument or writing.  </w:t>
      </w:r>
    </w:p>
    <w:p w14:paraId="39DAB31F" w14:textId="168F977A" w:rsidR="00117CAD" w:rsidRPr="00A57D69" w:rsidRDefault="00117CAD" w:rsidP="00A57D69">
      <w:pPr>
        <w:pStyle w:val="Normalparatextwithnumbers"/>
        <w:numPr>
          <w:ilvl w:val="0"/>
          <w:numId w:val="0"/>
        </w:numPr>
        <w:ind w:left="709"/>
        <w:rPr>
          <w:b/>
          <w:bCs/>
          <w:i/>
          <w:iCs/>
        </w:rPr>
      </w:pPr>
      <w:r w:rsidRPr="00A57D69">
        <w:rPr>
          <w:b/>
          <w:bCs/>
          <w:i/>
          <w:iCs/>
        </w:rPr>
        <w:t>[Schedule 1, item</w:t>
      </w:r>
      <w:r w:rsidR="00412E44">
        <w:rPr>
          <w:b/>
          <w:bCs/>
          <w:i/>
          <w:iCs/>
        </w:rPr>
        <w:t>s</w:t>
      </w:r>
      <w:r w:rsidRPr="00A57D69">
        <w:rPr>
          <w:b/>
          <w:bCs/>
          <w:i/>
          <w:iCs/>
        </w:rPr>
        <w:t xml:space="preserve"> </w:t>
      </w:r>
      <w:r w:rsidR="00D16885">
        <w:rPr>
          <w:b/>
          <w:bCs/>
          <w:i/>
          <w:iCs/>
        </w:rPr>
        <w:t>6</w:t>
      </w:r>
      <w:r w:rsidR="00AB37DD">
        <w:rPr>
          <w:b/>
          <w:bCs/>
          <w:i/>
          <w:iCs/>
        </w:rPr>
        <w:t xml:space="preserve">, </w:t>
      </w:r>
      <w:r w:rsidR="00D16885">
        <w:rPr>
          <w:b/>
          <w:bCs/>
          <w:i/>
          <w:iCs/>
        </w:rPr>
        <w:t>7</w:t>
      </w:r>
      <w:r w:rsidR="00C73C6C">
        <w:rPr>
          <w:b/>
          <w:bCs/>
          <w:i/>
          <w:iCs/>
        </w:rPr>
        <w:t xml:space="preserve">, </w:t>
      </w:r>
      <w:r w:rsidR="00D16885">
        <w:rPr>
          <w:b/>
          <w:bCs/>
          <w:i/>
          <w:iCs/>
        </w:rPr>
        <w:t>8</w:t>
      </w:r>
      <w:r w:rsidR="00D30B27">
        <w:rPr>
          <w:b/>
          <w:bCs/>
          <w:i/>
          <w:iCs/>
        </w:rPr>
        <w:t xml:space="preserve">, </w:t>
      </w:r>
      <w:r w:rsidR="00175A88">
        <w:rPr>
          <w:b/>
          <w:bCs/>
          <w:i/>
          <w:iCs/>
        </w:rPr>
        <w:t>9</w:t>
      </w:r>
      <w:r w:rsidR="00D30B27">
        <w:rPr>
          <w:b/>
          <w:bCs/>
          <w:i/>
          <w:iCs/>
        </w:rPr>
        <w:t xml:space="preserve">, </w:t>
      </w:r>
      <w:r w:rsidR="00D165A7">
        <w:rPr>
          <w:b/>
          <w:bCs/>
          <w:i/>
          <w:iCs/>
        </w:rPr>
        <w:t>10</w:t>
      </w:r>
      <w:r w:rsidR="00C23FA1">
        <w:rPr>
          <w:b/>
          <w:bCs/>
          <w:i/>
          <w:iCs/>
        </w:rPr>
        <w:t xml:space="preserve">, </w:t>
      </w:r>
      <w:r w:rsidR="001D5071">
        <w:rPr>
          <w:b/>
          <w:bCs/>
          <w:i/>
          <w:iCs/>
        </w:rPr>
        <w:t>11</w:t>
      </w:r>
      <w:r w:rsidR="006F5D2E">
        <w:rPr>
          <w:b/>
          <w:bCs/>
          <w:i/>
          <w:iCs/>
        </w:rPr>
        <w:t>,</w:t>
      </w:r>
      <w:r w:rsidR="00F178C2">
        <w:rPr>
          <w:b/>
          <w:bCs/>
          <w:i/>
          <w:iCs/>
        </w:rPr>
        <w:t xml:space="preserve"> </w:t>
      </w:r>
      <w:r w:rsidR="00BC42E2">
        <w:rPr>
          <w:b/>
          <w:bCs/>
          <w:i/>
          <w:iCs/>
        </w:rPr>
        <w:t>14</w:t>
      </w:r>
      <w:r w:rsidR="00655F5F">
        <w:rPr>
          <w:b/>
          <w:bCs/>
          <w:i/>
          <w:iCs/>
        </w:rPr>
        <w:t xml:space="preserve">, </w:t>
      </w:r>
      <w:r w:rsidR="006F5D2E">
        <w:rPr>
          <w:b/>
          <w:bCs/>
          <w:i/>
          <w:iCs/>
        </w:rPr>
        <w:t>15</w:t>
      </w:r>
      <w:r w:rsidR="003276EF" w:rsidRPr="00A57D69">
        <w:rPr>
          <w:b/>
          <w:bCs/>
          <w:i/>
          <w:iCs/>
        </w:rPr>
        <w:t xml:space="preserve"> </w:t>
      </w:r>
      <w:r w:rsidR="00655F5F">
        <w:rPr>
          <w:b/>
          <w:bCs/>
          <w:i/>
          <w:iCs/>
        </w:rPr>
        <w:t>and 1</w:t>
      </w:r>
      <w:r w:rsidR="00BC42E2">
        <w:rPr>
          <w:b/>
          <w:bCs/>
          <w:i/>
          <w:iCs/>
        </w:rPr>
        <w:t>6</w:t>
      </w:r>
      <w:r w:rsidR="00655F5F">
        <w:rPr>
          <w:b/>
          <w:bCs/>
          <w:i/>
          <w:iCs/>
        </w:rPr>
        <w:t xml:space="preserve">, </w:t>
      </w:r>
      <w:r w:rsidR="003276EF" w:rsidRPr="00A57D69">
        <w:rPr>
          <w:b/>
          <w:bCs/>
          <w:i/>
          <w:iCs/>
        </w:rPr>
        <w:t>subsection</w:t>
      </w:r>
      <w:r w:rsidR="00D04C1F">
        <w:rPr>
          <w:b/>
          <w:bCs/>
          <w:i/>
          <w:iCs/>
        </w:rPr>
        <w:t>s</w:t>
      </w:r>
      <w:r w:rsidR="003276EF" w:rsidRPr="00A57D69">
        <w:rPr>
          <w:b/>
          <w:bCs/>
          <w:i/>
          <w:iCs/>
        </w:rPr>
        <w:t xml:space="preserve"> 104(1</w:t>
      </w:r>
      <w:r w:rsidR="00AB37DD">
        <w:rPr>
          <w:b/>
          <w:bCs/>
          <w:i/>
          <w:iCs/>
        </w:rPr>
        <w:t>), 104(2)</w:t>
      </w:r>
      <w:r w:rsidR="00D30B27">
        <w:rPr>
          <w:b/>
          <w:bCs/>
          <w:i/>
          <w:iCs/>
        </w:rPr>
        <w:t>, 104(3)</w:t>
      </w:r>
      <w:r w:rsidR="00C23FA1">
        <w:rPr>
          <w:b/>
          <w:bCs/>
          <w:i/>
          <w:iCs/>
        </w:rPr>
        <w:t>,</w:t>
      </w:r>
      <w:r w:rsidR="00D04C1F">
        <w:rPr>
          <w:b/>
          <w:bCs/>
          <w:i/>
          <w:iCs/>
        </w:rPr>
        <w:t xml:space="preserve"> 104(4)</w:t>
      </w:r>
      <w:r w:rsidR="00C23FA1">
        <w:rPr>
          <w:b/>
          <w:bCs/>
          <w:i/>
          <w:iCs/>
        </w:rPr>
        <w:t>, 104(6)</w:t>
      </w:r>
      <w:r w:rsidR="00D04C1F">
        <w:rPr>
          <w:b/>
          <w:bCs/>
          <w:i/>
          <w:iCs/>
        </w:rPr>
        <w:t xml:space="preserve">, </w:t>
      </w:r>
      <w:r w:rsidR="00F178C2">
        <w:rPr>
          <w:b/>
          <w:bCs/>
          <w:i/>
          <w:iCs/>
        </w:rPr>
        <w:t>134(1)</w:t>
      </w:r>
      <w:r w:rsidR="006F5D2E">
        <w:rPr>
          <w:b/>
          <w:bCs/>
          <w:i/>
          <w:iCs/>
        </w:rPr>
        <w:t>, 134(2)</w:t>
      </w:r>
      <w:r w:rsidR="00D04C1F">
        <w:rPr>
          <w:b/>
          <w:bCs/>
          <w:i/>
          <w:iCs/>
        </w:rPr>
        <w:t>, 134(3) and 134(5)</w:t>
      </w:r>
      <w:r w:rsidR="003276EF" w:rsidRPr="00A57D69">
        <w:rPr>
          <w:b/>
          <w:bCs/>
          <w:i/>
          <w:iCs/>
        </w:rPr>
        <w:t>]</w:t>
      </w:r>
    </w:p>
    <w:p w14:paraId="4FB9E7DD" w14:textId="003788CE" w:rsidR="00BC529D" w:rsidRPr="0084782C" w:rsidRDefault="0047574D" w:rsidP="0084782C">
      <w:pPr>
        <w:pStyle w:val="Heading3"/>
        <w:rPr>
          <w:rStyle w:val="References"/>
          <w:rFonts w:ascii="Helvitica" w:hAnsi="Helvitica"/>
          <w:b w:val="0"/>
          <w:bCs w:val="0"/>
          <w:i w:val="0"/>
          <w:iCs w:val="0"/>
          <w:sz w:val="32"/>
        </w:rPr>
      </w:pPr>
      <w:bookmarkStart w:id="51" w:name="_Toc179292224"/>
      <w:r>
        <w:rPr>
          <w:rStyle w:val="References"/>
          <w:rFonts w:ascii="Helvitica" w:hAnsi="Helvitica"/>
          <w:b w:val="0"/>
          <w:bCs w:val="0"/>
          <w:i w:val="0"/>
          <w:iCs w:val="0"/>
          <w:sz w:val="32"/>
        </w:rPr>
        <w:t>N</w:t>
      </w:r>
      <w:r w:rsidR="00284EF3">
        <w:rPr>
          <w:rStyle w:val="References"/>
          <w:rFonts w:ascii="Helvitica" w:hAnsi="Helvitica"/>
          <w:b w:val="0"/>
          <w:bCs w:val="0"/>
          <w:i w:val="0"/>
          <w:iCs w:val="0"/>
          <w:sz w:val="32"/>
        </w:rPr>
        <w:t>omina</w:t>
      </w:r>
      <w:r>
        <w:rPr>
          <w:rStyle w:val="References"/>
          <w:rFonts w:ascii="Helvitica" w:hAnsi="Helvitica"/>
          <w:b w:val="0"/>
          <w:bCs w:val="0"/>
          <w:i w:val="0"/>
          <w:iCs w:val="0"/>
          <w:sz w:val="32"/>
        </w:rPr>
        <w:t xml:space="preserve">ting </w:t>
      </w:r>
      <w:r w:rsidR="00284EF3">
        <w:rPr>
          <w:rStyle w:val="References"/>
          <w:rFonts w:ascii="Helvitica" w:hAnsi="Helvitica"/>
          <w:b w:val="0"/>
          <w:bCs w:val="0"/>
          <w:i w:val="0"/>
          <w:iCs w:val="0"/>
          <w:sz w:val="32"/>
        </w:rPr>
        <w:t>alternative methods of compliance</w:t>
      </w:r>
      <w:r>
        <w:rPr>
          <w:rStyle w:val="References"/>
          <w:rFonts w:ascii="Helvitica" w:hAnsi="Helvitica"/>
          <w:b w:val="0"/>
          <w:bCs w:val="0"/>
          <w:i w:val="0"/>
          <w:iCs w:val="0"/>
          <w:sz w:val="32"/>
        </w:rPr>
        <w:t xml:space="preserve"> under safety standards</w:t>
      </w:r>
      <w:bookmarkEnd w:id="51"/>
    </w:p>
    <w:p w14:paraId="47C58420" w14:textId="39F5724B" w:rsidR="00AE6BF5" w:rsidRDefault="00F4451F">
      <w:pPr>
        <w:pStyle w:val="Normalparatextwithnumbers"/>
        <w:numPr>
          <w:ilvl w:val="1"/>
          <w:numId w:val="3"/>
        </w:numPr>
        <w:rPr>
          <w:rStyle w:val="References"/>
          <w:b w:val="0"/>
          <w:bCs w:val="0"/>
          <w:i w:val="0"/>
          <w:iCs w:val="0"/>
        </w:rPr>
      </w:pPr>
      <w:r>
        <w:rPr>
          <w:rStyle w:val="References"/>
          <w:b w:val="0"/>
          <w:bCs w:val="0"/>
          <w:i w:val="0"/>
          <w:iCs w:val="0"/>
        </w:rPr>
        <w:t>Prior to the amendments,</w:t>
      </w:r>
      <w:r w:rsidR="00B34F97">
        <w:rPr>
          <w:rStyle w:val="References"/>
          <w:b w:val="0"/>
          <w:bCs w:val="0"/>
          <w:i w:val="0"/>
          <w:iCs w:val="0"/>
        </w:rPr>
        <w:t xml:space="preserve"> if</w:t>
      </w:r>
      <w:r w:rsidR="00E430E0">
        <w:rPr>
          <w:rStyle w:val="References"/>
          <w:b w:val="0"/>
          <w:bCs w:val="0"/>
          <w:i w:val="0"/>
          <w:iCs w:val="0"/>
        </w:rPr>
        <w:t xml:space="preserve"> a safety standard specified alternative methods of compl</w:t>
      </w:r>
      <w:r w:rsidR="000939B3">
        <w:rPr>
          <w:rStyle w:val="References"/>
          <w:b w:val="0"/>
          <w:bCs w:val="0"/>
          <w:i w:val="0"/>
          <w:iCs w:val="0"/>
        </w:rPr>
        <w:t xml:space="preserve">iance </w:t>
      </w:r>
      <w:r w:rsidR="00B720FF">
        <w:rPr>
          <w:rStyle w:val="References"/>
          <w:b w:val="0"/>
          <w:bCs w:val="0"/>
          <w:i w:val="0"/>
          <w:iCs w:val="0"/>
        </w:rPr>
        <w:t xml:space="preserve">and the regulator </w:t>
      </w:r>
      <w:r w:rsidR="0099185D">
        <w:rPr>
          <w:rStyle w:val="References"/>
          <w:b w:val="0"/>
          <w:bCs w:val="0"/>
          <w:i w:val="0"/>
          <w:iCs w:val="0"/>
        </w:rPr>
        <w:t xml:space="preserve">gave the relevant supplier </w:t>
      </w:r>
      <w:r w:rsidR="003A0709">
        <w:rPr>
          <w:rStyle w:val="References"/>
          <w:b w:val="0"/>
          <w:bCs w:val="0"/>
          <w:i w:val="0"/>
          <w:iCs w:val="0"/>
        </w:rPr>
        <w:t xml:space="preserve">a written request </w:t>
      </w:r>
      <w:r w:rsidR="00BD577F">
        <w:rPr>
          <w:rStyle w:val="References"/>
          <w:b w:val="0"/>
          <w:bCs w:val="0"/>
          <w:i w:val="0"/>
          <w:iCs w:val="0"/>
        </w:rPr>
        <w:t>t</w:t>
      </w:r>
      <w:r w:rsidR="000939B3">
        <w:rPr>
          <w:rStyle w:val="References"/>
          <w:b w:val="0"/>
          <w:bCs w:val="0"/>
          <w:i w:val="0"/>
          <w:iCs w:val="0"/>
        </w:rPr>
        <w:t>o</w:t>
      </w:r>
      <w:r w:rsidR="00BD577F">
        <w:rPr>
          <w:rStyle w:val="References"/>
          <w:b w:val="0"/>
          <w:bCs w:val="0"/>
          <w:i w:val="0"/>
          <w:iCs w:val="0"/>
        </w:rPr>
        <w:t xml:space="preserve"> nominate which set of </w:t>
      </w:r>
      <w:r w:rsidR="00905696">
        <w:rPr>
          <w:rStyle w:val="References"/>
          <w:b w:val="0"/>
          <w:bCs w:val="0"/>
          <w:i w:val="0"/>
          <w:iCs w:val="0"/>
        </w:rPr>
        <w:t>requirements</w:t>
      </w:r>
      <w:r w:rsidR="00BD577F">
        <w:rPr>
          <w:rStyle w:val="References"/>
          <w:b w:val="0"/>
          <w:bCs w:val="0"/>
          <w:i w:val="0"/>
          <w:iCs w:val="0"/>
        </w:rPr>
        <w:t xml:space="preserve"> they intend</w:t>
      </w:r>
      <w:r w:rsidR="00905696">
        <w:rPr>
          <w:rStyle w:val="References"/>
          <w:b w:val="0"/>
          <w:bCs w:val="0"/>
          <w:i w:val="0"/>
          <w:iCs w:val="0"/>
        </w:rPr>
        <w:t>ed</w:t>
      </w:r>
      <w:r w:rsidR="00BD577F">
        <w:rPr>
          <w:rStyle w:val="References"/>
          <w:b w:val="0"/>
          <w:bCs w:val="0"/>
          <w:i w:val="0"/>
          <w:iCs w:val="0"/>
        </w:rPr>
        <w:t xml:space="preserve"> to comply with, the supplier was required to </w:t>
      </w:r>
      <w:r w:rsidR="00AE6BF5">
        <w:rPr>
          <w:rStyle w:val="References"/>
          <w:b w:val="0"/>
          <w:bCs w:val="0"/>
          <w:i w:val="0"/>
          <w:iCs w:val="0"/>
        </w:rPr>
        <w:t>give the regulator written notice</w:t>
      </w:r>
      <w:r w:rsidR="00F60BAD">
        <w:rPr>
          <w:rStyle w:val="References"/>
          <w:b w:val="0"/>
          <w:bCs w:val="0"/>
          <w:i w:val="0"/>
          <w:iCs w:val="0"/>
        </w:rPr>
        <w:t xml:space="preserve"> </w:t>
      </w:r>
      <w:r w:rsidR="00B34F97">
        <w:rPr>
          <w:rStyle w:val="References"/>
          <w:b w:val="0"/>
          <w:bCs w:val="0"/>
          <w:i w:val="0"/>
          <w:iCs w:val="0"/>
        </w:rPr>
        <w:t>(</w:t>
      </w:r>
      <w:r w:rsidR="00F60BAD">
        <w:rPr>
          <w:rStyle w:val="References"/>
          <w:b w:val="0"/>
          <w:bCs w:val="0"/>
          <w:i w:val="0"/>
          <w:iCs w:val="0"/>
        </w:rPr>
        <w:t>within the period specified in the regulator’s</w:t>
      </w:r>
      <w:r w:rsidR="000939B3">
        <w:rPr>
          <w:rStyle w:val="References"/>
          <w:b w:val="0"/>
          <w:bCs w:val="0"/>
          <w:i w:val="0"/>
          <w:iCs w:val="0"/>
        </w:rPr>
        <w:t xml:space="preserve"> request</w:t>
      </w:r>
      <w:r w:rsidR="00B34F97">
        <w:rPr>
          <w:rStyle w:val="References"/>
          <w:b w:val="0"/>
          <w:bCs w:val="0"/>
          <w:i w:val="0"/>
          <w:iCs w:val="0"/>
        </w:rPr>
        <w:t>)</w:t>
      </w:r>
      <w:r w:rsidR="00AE6BF5">
        <w:rPr>
          <w:rStyle w:val="References"/>
          <w:b w:val="0"/>
          <w:bCs w:val="0"/>
          <w:i w:val="0"/>
          <w:iCs w:val="0"/>
        </w:rPr>
        <w:t xml:space="preserve"> specifying the requirements the supplier intends to comply with</w:t>
      </w:r>
      <w:r w:rsidR="005A3101">
        <w:rPr>
          <w:rStyle w:val="References"/>
          <w:b w:val="0"/>
          <w:bCs w:val="0"/>
          <w:i w:val="0"/>
          <w:iCs w:val="0"/>
        </w:rPr>
        <w:t>,</w:t>
      </w:r>
      <w:r w:rsidR="005A3101" w:rsidRPr="005A3101">
        <w:rPr>
          <w:rStyle w:val="References"/>
          <w:b w:val="0"/>
          <w:bCs w:val="0"/>
          <w:i w:val="0"/>
          <w:iCs w:val="0"/>
        </w:rPr>
        <w:t xml:space="preserve"> </w:t>
      </w:r>
      <w:r w:rsidR="005A3101">
        <w:rPr>
          <w:rStyle w:val="References"/>
          <w:b w:val="0"/>
          <w:bCs w:val="0"/>
          <w:i w:val="0"/>
          <w:iCs w:val="0"/>
        </w:rPr>
        <w:t>pursuant to section 108 of the ACL</w:t>
      </w:r>
      <w:r w:rsidR="00AE6BF5">
        <w:rPr>
          <w:rStyle w:val="References"/>
          <w:b w:val="0"/>
          <w:bCs w:val="0"/>
          <w:i w:val="0"/>
          <w:iCs w:val="0"/>
        </w:rPr>
        <w:t xml:space="preserve">. </w:t>
      </w:r>
    </w:p>
    <w:p w14:paraId="5A92F52C" w14:textId="044FA37B" w:rsidR="00AE6BF5" w:rsidRDefault="00D855AB">
      <w:pPr>
        <w:pStyle w:val="Normalparatextwithnumbers"/>
        <w:numPr>
          <w:ilvl w:val="1"/>
          <w:numId w:val="3"/>
        </w:numPr>
        <w:rPr>
          <w:rStyle w:val="References"/>
          <w:b w:val="0"/>
          <w:bCs w:val="0"/>
          <w:i w:val="0"/>
          <w:iCs w:val="0"/>
        </w:rPr>
      </w:pPr>
      <w:r>
        <w:rPr>
          <w:rStyle w:val="References"/>
          <w:b w:val="0"/>
          <w:bCs w:val="0"/>
          <w:i w:val="0"/>
          <w:iCs w:val="0"/>
        </w:rPr>
        <w:t xml:space="preserve">The amendments </w:t>
      </w:r>
      <w:r w:rsidR="00A37B2A">
        <w:rPr>
          <w:rStyle w:val="References"/>
          <w:b w:val="0"/>
          <w:bCs w:val="0"/>
          <w:i w:val="0"/>
          <w:iCs w:val="0"/>
        </w:rPr>
        <w:t>expand on th</w:t>
      </w:r>
      <w:r w:rsidR="001A7F26">
        <w:rPr>
          <w:rStyle w:val="References"/>
          <w:b w:val="0"/>
          <w:bCs w:val="0"/>
          <w:i w:val="0"/>
          <w:iCs w:val="0"/>
        </w:rPr>
        <w:t>is</w:t>
      </w:r>
      <w:r w:rsidR="00A37B2A">
        <w:rPr>
          <w:rStyle w:val="References"/>
          <w:b w:val="0"/>
          <w:bCs w:val="0"/>
          <w:i w:val="0"/>
          <w:iCs w:val="0"/>
        </w:rPr>
        <w:t xml:space="preserve"> requirement</w:t>
      </w:r>
      <w:r w:rsidR="00381941">
        <w:rPr>
          <w:rStyle w:val="References"/>
          <w:b w:val="0"/>
          <w:bCs w:val="0"/>
          <w:i w:val="0"/>
          <w:iCs w:val="0"/>
        </w:rPr>
        <w:t xml:space="preserve"> in a number of ways.</w:t>
      </w:r>
    </w:p>
    <w:p w14:paraId="493E9796" w14:textId="4BC61E4F" w:rsidR="008C4FC2" w:rsidRDefault="008C4FC2" w:rsidP="008C4FC2">
      <w:pPr>
        <w:pStyle w:val="Normalparatextwithnumbers"/>
        <w:numPr>
          <w:ilvl w:val="1"/>
          <w:numId w:val="3"/>
        </w:numPr>
        <w:rPr>
          <w:rStyle w:val="References"/>
          <w:b w:val="0"/>
          <w:bCs w:val="0"/>
          <w:i w:val="0"/>
          <w:iCs w:val="0"/>
        </w:rPr>
      </w:pPr>
      <w:r>
        <w:rPr>
          <w:rStyle w:val="References"/>
          <w:b w:val="0"/>
          <w:bCs w:val="0"/>
          <w:i w:val="0"/>
          <w:iCs w:val="0"/>
        </w:rPr>
        <w:t xml:space="preserve">First, the application of section 108 is expanded to include product related services, in addition to consumer goods. This corrects a technical error, </w:t>
      </w:r>
      <w:r w:rsidR="00E27A86">
        <w:rPr>
          <w:rStyle w:val="References"/>
          <w:b w:val="0"/>
          <w:bCs w:val="0"/>
          <w:i w:val="0"/>
          <w:iCs w:val="0"/>
        </w:rPr>
        <w:t>given</w:t>
      </w:r>
      <w:r>
        <w:rPr>
          <w:rStyle w:val="References"/>
          <w:b w:val="0"/>
          <w:bCs w:val="0"/>
          <w:i w:val="0"/>
          <w:iCs w:val="0"/>
        </w:rPr>
        <w:t xml:space="preserve"> the explanatory memorandum to the </w:t>
      </w:r>
      <w:r w:rsidRPr="0057652F">
        <w:rPr>
          <w:rStyle w:val="References"/>
          <w:b w:val="0"/>
          <w:bCs w:val="0"/>
          <w:i w:val="0"/>
          <w:iCs w:val="0"/>
        </w:rPr>
        <w:t xml:space="preserve">Trade Practices Amendment (Australian Consumer Law) </w:t>
      </w:r>
      <w:r>
        <w:rPr>
          <w:rStyle w:val="References"/>
          <w:b w:val="0"/>
          <w:bCs w:val="0"/>
          <w:i w:val="0"/>
          <w:iCs w:val="0"/>
        </w:rPr>
        <w:t>Bill</w:t>
      </w:r>
      <w:r w:rsidRPr="0057652F">
        <w:rPr>
          <w:rStyle w:val="References"/>
          <w:b w:val="0"/>
          <w:bCs w:val="0"/>
          <w:i w:val="0"/>
          <w:iCs w:val="0"/>
        </w:rPr>
        <w:t xml:space="preserve"> (No. 2) 2010</w:t>
      </w:r>
      <w:r>
        <w:rPr>
          <w:rStyle w:val="References"/>
          <w:b w:val="0"/>
          <w:bCs w:val="0"/>
          <w:i w:val="0"/>
          <w:iCs w:val="0"/>
        </w:rPr>
        <w:t xml:space="preserve"> </w:t>
      </w:r>
      <w:r w:rsidR="00B55C40">
        <w:rPr>
          <w:rStyle w:val="References"/>
          <w:b w:val="0"/>
          <w:bCs w:val="0"/>
          <w:i w:val="0"/>
          <w:iCs w:val="0"/>
        </w:rPr>
        <w:t xml:space="preserve">indicated </w:t>
      </w:r>
      <w:r>
        <w:rPr>
          <w:rStyle w:val="References"/>
          <w:b w:val="0"/>
          <w:bCs w:val="0"/>
          <w:i w:val="0"/>
          <w:iCs w:val="0"/>
        </w:rPr>
        <w:t>that section 108 was intended to apply to product related services.</w:t>
      </w:r>
    </w:p>
    <w:p w14:paraId="75748A78" w14:textId="53F1EC48" w:rsidR="00BE0090" w:rsidRDefault="008C4FC2" w:rsidP="00D16621">
      <w:pPr>
        <w:pStyle w:val="Normalparatextwithnumbers"/>
        <w:numPr>
          <w:ilvl w:val="1"/>
          <w:numId w:val="3"/>
        </w:numPr>
        <w:rPr>
          <w:rStyle w:val="References"/>
          <w:b w:val="0"/>
          <w:bCs w:val="0"/>
          <w:i w:val="0"/>
          <w:iCs w:val="0"/>
        </w:rPr>
      </w:pPr>
      <w:r>
        <w:rPr>
          <w:rStyle w:val="References"/>
          <w:b w:val="0"/>
          <w:bCs w:val="0"/>
          <w:i w:val="0"/>
          <w:iCs w:val="0"/>
        </w:rPr>
        <w:lastRenderedPageBreak/>
        <w:t>Second</w:t>
      </w:r>
      <w:r w:rsidR="00A5782D">
        <w:rPr>
          <w:rStyle w:val="References"/>
          <w:b w:val="0"/>
          <w:bCs w:val="0"/>
          <w:i w:val="0"/>
          <w:iCs w:val="0"/>
        </w:rPr>
        <w:t xml:space="preserve">, the </w:t>
      </w:r>
      <w:r w:rsidR="000653EF">
        <w:rPr>
          <w:rStyle w:val="References"/>
          <w:b w:val="0"/>
          <w:bCs w:val="0"/>
          <w:i w:val="0"/>
          <w:iCs w:val="0"/>
        </w:rPr>
        <w:t>amendme</w:t>
      </w:r>
      <w:r w:rsidR="00621FC2">
        <w:rPr>
          <w:rStyle w:val="References"/>
          <w:b w:val="0"/>
          <w:bCs w:val="0"/>
          <w:i w:val="0"/>
          <w:iCs w:val="0"/>
        </w:rPr>
        <w:t xml:space="preserve">nts clarify </w:t>
      </w:r>
      <w:r w:rsidR="00884FE7">
        <w:rPr>
          <w:rStyle w:val="References"/>
          <w:b w:val="0"/>
          <w:bCs w:val="0"/>
          <w:i w:val="0"/>
          <w:iCs w:val="0"/>
        </w:rPr>
        <w:t>when se</w:t>
      </w:r>
      <w:r w:rsidR="007C1954">
        <w:rPr>
          <w:rStyle w:val="References"/>
          <w:b w:val="0"/>
          <w:bCs w:val="0"/>
          <w:i w:val="0"/>
          <w:iCs w:val="0"/>
        </w:rPr>
        <w:t>ction 108 is to apply. S</w:t>
      </w:r>
      <w:r w:rsidR="00B34F97">
        <w:rPr>
          <w:rStyle w:val="References"/>
          <w:b w:val="0"/>
          <w:bCs w:val="0"/>
          <w:i w:val="0"/>
          <w:iCs w:val="0"/>
        </w:rPr>
        <w:t>ection 108</w:t>
      </w:r>
      <w:r w:rsidR="003D0A9C">
        <w:rPr>
          <w:rStyle w:val="References"/>
          <w:b w:val="0"/>
          <w:bCs w:val="0"/>
          <w:i w:val="0"/>
          <w:iCs w:val="0"/>
        </w:rPr>
        <w:t xml:space="preserve"> </w:t>
      </w:r>
      <w:r w:rsidR="00C06626">
        <w:rPr>
          <w:rStyle w:val="References"/>
          <w:b w:val="0"/>
          <w:bCs w:val="0"/>
          <w:i w:val="0"/>
          <w:iCs w:val="0"/>
        </w:rPr>
        <w:t>will apply</w:t>
      </w:r>
      <w:r w:rsidR="00A5782D">
        <w:rPr>
          <w:rStyle w:val="References"/>
          <w:b w:val="0"/>
          <w:bCs w:val="0"/>
          <w:i w:val="0"/>
          <w:iCs w:val="0"/>
        </w:rPr>
        <w:t xml:space="preserve"> </w:t>
      </w:r>
      <w:r w:rsidR="0086265A">
        <w:rPr>
          <w:rStyle w:val="References"/>
          <w:b w:val="0"/>
          <w:bCs w:val="0"/>
          <w:i w:val="0"/>
          <w:iCs w:val="0"/>
        </w:rPr>
        <w:t>in relation to a person that</w:t>
      </w:r>
      <w:r w:rsidR="00AA374C">
        <w:rPr>
          <w:rStyle w:val="References"/>
          <w:b w:val="0"/>
          <w:bCs w:val="0"/>
          <w:i w:val="0"/>
          <w:iCs w:val="0"/>
        </w:rPr>
        <w:t>:</w:t>
      </w:r>
      <w:r w:rsidR="0086265A">
        <w:rPr>
          <w:rStyle w:val="References"/>
          <w:b w:val="0"/>
          <w:bCs w:val="0"/>
          <w:i w:val="0"/>
          <w:iCs w:val="0"/>
        </w:rPr>
        <w:t xml:space="preserve"> </w:t>
      </w:r>
    </w:p>
    <w:p w14:paraId="2E5A70FC" w14:textId="0213B80C" w:rsidR="00BE0090" w:rsidRDefault="0086265A" w:rsidP="00BE0090">
      <w:pPr>
        <w:pStyle w:val="Dotpoint1"/>
        <w:rPr>
          <w:rStyle w:val="References"/>
          <w:b w:val="0"/>
          <w:bCs w:val="0"/>
          <w:i w:val="0"/>
          <w:iCs w:val="0"/>
        </w:rPr>
      </w:pPr>
      <w:r>
        <w:rPr>
          <w:rStyle w:val="References"/>
          <w:b w:val="0"/>
          <w:bCs w:val="0"/>
          <w:i w:val="0"/>
          <w:iCs w:val="0"/>
        </w:rPr>
        <w:t>has manufactured</w:t>
      </w:r>
      <w:r w:rsidR="00176F33">
        <w:rPr>
          <w:rStyle w:val="References"/>
          <w:b w:val="0"/>
          <w:bCs w:val="0"/>
          <w:i w:val="0"/>
          <w:iCs w:val="0"/>
        </w:rPr>
        <w:t xml:space="preserve"> consumer</w:t>
      </w:r>
      <w:r>
        <w:rPr>
          <w:rStyle w:val="References"/>
          <w:b w:val="0"/>
          <w:bCs w:val="0"/>
          <w:i w:val="0"/>
          <w:iCs w:val="0"/>
        </w:rPr>
        <w:t xml:space="preserve"> goods</w:t>
      </w:r>
      <w:r w:rsidR="00176F33">
        <w:rPr>
          <w:rStyle w:val="References"/>
          <w:b w:val="0"/>
          <w:bCs w:val="0"/>
          <w:i w:val="0"/>
          <w:iCs w:val="0"/>
        </w:rPr>
        <w:t xml:space="preserve"> or product related services</w:t>
      </w:r>
      <w:r w:rsidR="00C528B5">
        <w:rPr>
          <w:rStyle w:val="References"/>
          <w:b w:val="0"/>
          <w:bCs w:val="0"/>
          <w:i w:val="0"/>
          <w:iCs w:val="0"/>
        </w:rPr>
        <w:t xml:space="preserve"> </w:t>
      </w:r>
      <w:r w:rsidR="00BE0090">
        <w:rPr>
          <w:rStyle w:val="References"/>
          <w:b w:val="0"/>
          <w:bCs w:val="0"/>
          <w:i w:val="0"/>
          <w:iCs w:val="0"/>
        </w:rPr>
        <w:t xml:space="preserve">in the </w:t>
      </w:r>
      <w:proofErr w:type="gramStart"/>
      <w:r w:rsidR="00BE0090">
        <w:rPr>
          <w:rStyle w:val="References"/>
          <w:b w:val="0"/>
          <w:bCs w:val="0"/>
          <w:i w:val="0"/>
          <w:iCs w:val="0"/>
        </w:rPr>
        <w:t>past;</w:t>
      </w:r>
      <w:proofErr w:type="gramEnd"/>
      <w:r w:rsidR="00BE0090">
        <w:rPr>
          <w:rStyle w:val="References"/>
          <w:b w:val="0"/>
          <w:bCs w:val="0"/>
          <w:i w:val="0"/>
          <w:iCs w:val="0"/>
        </w:rPr>
        <w:t xml:space="preserve"> </w:t>
      </w:r>
    </w:p>
    <w:p w14:paraId="0A1507CC" w14:textId="6CE8F043" w:rsidR="00BE0090" w:rsidRDefault="0086265A" w:rsidP="00BE0090">
      <w:pPr>
        <w:pStyle w:val="Dotpoint1"/>
        <w:rPr>
          <w:rStyle w:val="References"/>
          <w:b w:val="0"/>
          <w:bCs w:val="0"/>
          <w:i w:val="0"/>
          <w:iCs w:val="0"/>
        </w:rPr>
      </w:pPr>
      <w:r>
        <w:rPr>
          <w:rStyle w:val="References"/>
          <w:b w:val="0"/>
          <w:bCs w:val="0"/>
          <w:i w:val="0"/>
          <w:iCs w:val="0"/>
        </w:rPr>
        <w:t xml:space="preserve">is </w:t>
      </w:r>
      <w:r w:rsidR="00BE0090">
        <w:rPr>
          <w:rStyle w:val="References"/>
          <w:b w:val="0"/>
          <w:bCs w:val="0"/>
          <w:i w:val="0"/>
          <w:iCs w:val="0"/>
        </w:rPr>
        <w:t>currently</w:t>
      </w:r>
      <w:r>
        <w:rPr>
          <w:rStyle w:val="References"/>
          <w:b w:val="0"/>
          <w:bCs w:val="0"/>
          <w:i w:val="0"/>
          <w:iCs w:val="0"/>
        </w:rPr>
        <w:t xml:space="preserve"> manufacturing </w:t>
      </w:r>
      <w:r w:rsidR="00176F33">
        <w:rPr>
          <w:rStyle w:val="References"/>
          <w:b w:val="0"/>
          <w:bCs w:val="0"/>
          <w:i w:val="0"/>
          <w:iCs w:val="0"/>
        </w:rPr>
        <w:t xml:space="preserve">consumer </w:t>
      </w:r>
      <w:r>
        <w:rPr>
          <w:rStyle w:val="References"/>
          <w:b w:val="0"/>
          <w:bCs w:val="0"/>
          <w:i w:val="0"/>
          <w:iCs w:val="0"/>
        </w:rPr>
        <w:t xml:space="preserve">goods </w:t>
      </w:r>
      <w:r w:rsidR="00D206A6">
        <w:rPr>
          <w:rStyle w:val="References"/>
          <w:b w:val="0"/>
          <w:bCs w:val="0"/>
          <w:i w:val="0"/>
          <w:iCs w:val="0"/>
        </w:rPr>
        <w:t xml:space="preserve">or </w:t>
      </w:r>
      <w:r w:rsidR="00176F33">
        <w:rPr>
          <w:rStyle w:val="References"/>
          <w:b w:val="0"/>
          <w:bCs w:val="0"/>
          <w:i w:val="0"/>
          <w:iCs w:val="0"/>
        </w:rPr>
        <w:t>product related services</w:t>
      </w:r>
      <w:r w:rsidR="00BE0090">
        <w:rPr>
          <w:rStyle w:val="References"/>
          <w:b w:val="0"/>
          <w:bCs w:val="0"/>
          <w:i w:val="0"/>
          <w:iCs w:val="0"/>
        </w:rPr>
        <w:t>;</w:t>
      </w:r>
      <w:r w:rsidR="00176F33">
        <w:rPr>
          <w:rStyle w:val="References"/>
          <w:b w:val="0"/>
          <w:bCs w:val="0"/>
          <w:i w:val="0"/>
          <w:iCs w:val="0"/>
        </w:rPr>
        <w:t xml:space="preserve"> or </w:t>
      </w:r>
    </w:p>
    <w:p w14:paraId="35CC299A" w14:textId="77777777" w:rsidR="00BE0090" w:rsidRDefault="00D206A6" w:rsidP="00BE0090">
      <w:pPr>
        <w:pStyle w:val="Dotpoint1"/>
        <w:rPr>
          <w:rStyle w:val="References"/>
          <w:b w:val="0"/>
          <w:bCs w:val="0"/>
          <w:i w:val="0"/>
          <w:iCs w:val="0"/>
        </w:rPr>
      </w:pPr>
      <w:r>
        <w:rPr>
          <w:rStyle w:val="References"/>
          <w:b w:val="0"/>
          <w:bCs w:val="0"/>
          <w:i w:val="0"/>
          <w:iCs w:val="0"/>
        </w:rPr>
        <w:t>intends to manufacture</w:t>
      </w:r>
      <w:r w:rsidR="00176F33">
        <w:rPr>
          <w:rStyle w:val="References"/>
          <w:b w:val="0"/>
          <w:bCs w:val="0"/>
          <w:i w:val="0"/>
          <w:iCs w:val="0"/>
        </w:rPr>
        <w:t xml:space="preserve"> consumer goods or product related services</w:t>
      </w:r>
      <w:r w:rsidR="00BE0090">
        <w:rPr>
          <w:rStyle w:val="References"/>
          <w:b w:val="0"/>
          <w:bCs w:val="0"/>
          <w:i w:val="0"/>
          <w:iCs w:val="0"/>
        </w:rPr>
        <w:t xml:space="preserve"> in the future</w:t>
      </w:r>
      <w:r w:rsidR="00BA3311">
        <w:rPr>
          <w:rStyle w:val="References"/>
          <w:b w:val="0"/>
          <w:bCs w:val="0"/>
          <w:i w:val="0"/>
          <w:iCs w:val="0"/>
        </w:rPr>
        <w:t xml:space="preserve">. </w:t>
      </w:r>
    </w:p>
    <w:p w14:paraId="736956A4" w14:textId="6C9CE8DE" w:rsidR="00426024" w:rsidRDefault="00BE4794" w:rsidP="00815092">
      <w:pPr>
        <w:pStyle w:val="Dotpoint1"/>
        <w:numPr>
          <w:ilvl w:val="0"/>
          <w:numId w:val="0"/>
        </w:numPr>
        <w:ind w:left="709"/>
        <w:rPr>
          <w:rStyle w:val="References"/>
          <w:b w:val="0"/>
          <w:bCs w:val="0"/>
          <w:i w:val="0"/>
          <w:iCs w:val="0"/>
        </w:rPr>
      </w:pPr>
      <w:r>
        <w:rPr>
          <w:rStyle w:val="References"/>
          <w:b w:val="0"/>
          <w:bCs w:val="0"/>
          <w:i w:val="0"/>
          <w:iCs w:val="0"/>
        </w:rPr>
        <w:t xml:space="preserve">The </w:t>
      </w:r>
      <w:r w:rsidR="001A5DD5">
        <w:rPr>
          <w:rStyle w:val="References"/>
          <w:b w:val="0"/>
          <w:bCs w:val="0"/>
          <w:i w:val="0"/>
          <w:iCs w:val="0"/>
        </w:rPr>
        <w:t>inclusion of</w:t>
      </w:r>
      <w:r w:rsidR="00B949C4">
        <w:rPr>
          <w:rStyle w:val="References"/>
          <w:b w:val="0"/>
          <w:bCs w:val="0"/>
          <w:i w:val="0"/>
          <w:iCs w:val="0"/>
        </w:rPr>
        <w:t xml:space="preserve"> </w:t>
      </w:r>
      <w:r>
        <w:rPr>
          <w:rStyle w:val="References"/>
          <w:b w:val="0"/>
          <w:bCs w:val="0"/>
          <w:i w:val="0"/>
          <w:iCs w:val="0"/>
        </w:rPr>
        <w:t>manufacturing</w:t>
      </w:r>
      <w:r w:rsidR="00D11650">
        <w:rPr>
          <w:rStyle w:val="References"/>
          <w:b w:val="0"/>
          <w:bCs w:val="0"/>
          <w:i w:val="0"/>
          <w:iCs w:val="0"/>
        </w:rPr>
        <w:t xml:space="preserve"> </w:t>
      </w:r>
      <w:r w:rsidR="00B949C4">
        <w:rPr>
          <w:rStyle w:val="References"/>
          <w:b w:val="0"/>
          <w:bCs w:val="0"/>
          <w:i w:val="0"/>
          <w:iCs w:val="0"/>
        </w:rPr>
        <w:t xml:space="preserve">is </w:t>
      </w:r>
      <w:r w:rsidR="00D11650">
        <w:rPr>
          <w:rStyle w:val="References"/>
          <w:b w:val="0"/>
          <w:bCs w:val="0"/>
          <w:i w:val="0"/>
          <w:iCs w:val="0"/>
        </w:rPr>
        <w:t xml:space="preserve">appropriate as safety standards may </w:t>
      </w:r>
      <w:r w:rsidR="00D274A8">
        <w:rPr>
          <w:rStyle w:val="References"/>
          <w:b w:val="0"/>
          <w:bCs w:val="0"/>
          <w:i w:val="0"/>
          <w:iCs w:val="0"/>
        </w:rPr>
        <w:t>prescribe</w:t>
      </w:r>
      <w:r w:rsidR="008C4FC2">
        <w:rPr>
          <w:rStyle w:val="References"/>
          <w:b w:val="0"/>
          <w:bCs w:val="0"/>
          <w:i w:val="0"/>
          <w:iCs w:val="0"/>
        </w:rPr>
        <w:t>, for example,</w:t>
      </w:r>
      <w:r w:rsidR="00D274A8">
        <w:rPr>
          <w:rStyle w:val="References"/>
          <w:b w:val="0"/>
          <w:bCs w:val="0"/>
          <w:i w:val="0"/>
          <w:iCs w:val="0"/>
        </w:rPr>
        <w:t xml:space="preserve"> matters dealing</w:t>
      </w:r>
      <w:r w:rsidR="00D11650">
        <w:rPr>
          <w:rStyle w:val="References"/>
          <w:b w:val="0"/>
          <w:bCs w:val="0"/>
          <w:i w:val="0"/>
          <w:iCs w:val="0"/>
        </w:rPr>
        <w:t xml:space="preserve"> with </w:t>
      </w:r>
      <w:r w:rsidR="00276656">
        <w:rPr>
          <w:rStyle w:val="References"/>
          <w:b w:val="0"/>
          <w:bCs w:val="0"/>
          <w:i w:val="0"/>
          <w:iCs w:val="0"/>
        </w:rPr>
        <w:t xml:space="preserve">methods of manufacture </w:t>
      </w:r>
      <w:r w:rsidR="00737678">
        <w:rPr>
          <w:rStyle w:val="References"/>
          <w:b w:val="0"/>
          <w:bCs w:val="0"/>
          <w:i w:val="0"/>
          <w:iCs w:val="0"/>
        </w:rPr>
        <w:t>or</w:t>
      </w:r>
      <w:r w:rsidR="00276656">
        <w:rPr>
          <w:rStyle w:val="References"/>
          <w:b w:val="0"/>
          <w:bCs w:val="0"/>
          <w:i w:val="0"/>
          <w:iCs w:val="0"/>
        </w:rPr>
        <w:t xml:space="preserve"> testing of prod</w:t>
      </w:r>
      <w:r w:rsidR="008C4FC2">
        <w:rPr>
          <w:rStyle w:val="References"/>
          <w:b w:val="0"/>
          <w:bCs w:val="0"/>
          <w:i w:val="0"/>
          <w:iCs w:val="0"/>
        </w:rPr>
        <w:t>ucts</w:t>
      </w:r>
      <w:r w:rsidR="00276656">
        <w:rPr>
          <w:rStyle w:val="References"/>
          <w:b w:val="0"/>
          <w:bCs w:val="0"/>
          <w:i w:val="0"/>
          <w:iCs w:val="0"/>
        </w:rPr>
        <w:t xml:space="preserve"> after </w:t>
      </w:r>
      <w:r w:rsidR="00D274A8">
        <w:rPr>
          <w:rStyle w:val="References"/>
          <w:b w:val="0"/>
          <w:bCs w:val="0"/>
          <w:i w:val="0"/>
          <w:iCs w:val="0"/>
        </w:rPr>
        <w:t xml:space="preserve">manufacture, and </w:t>
      </w:r>
      <w:r w:rsidR="00917DB2">
        <w:rPr>
          <w:rStyle w:val="References"/>
          <w:b w:val="0"/>
          <w:bCs w:val="0"/>
          <w:i w:val="0"/>
          <w:iCs w:val="0"/>
        </w:rPr>
        <w:t xml:space="preserve">the ACL includes penalties for </w:t>
      </w:r>
      <w:r w:rsidR="00963FBF">
        <w:rPr>
          <w:rStyle w:val="References"/>
          <w:b w:val="0"/>
          <w:bCs w:val="0"/>
          <w:i w:val="0"/>
          <w:iCs w:val="0"/>
        </w:rPr>
        <w:t>the</w:t>
      </w:r>
      <w:r w:rsidR="00917DB2">
        <w:rPr>
          <w:rStyle w:val="References"/>
          <w:b w:val="0"/>
          <w:bCs w:val="0"/>
          <w:i w:val="0"/>
          <w:iCs w:val="0"/>
        </w:rPr>
        <w:t xml:space="preserve"> manufacture</w:t>
      </w:r>
      <w:r w:rsidR="00963FBF">
        <w:rPr>
          <w:rStyle w:val="References"/>
          <w:b w:val="0"/>
          <w:bCs w:val="0"/>
          <w:i w:val="0"/>
          <w:iCs w:val="0"/>
        </w:rPr>
        <w:t xml:space="preserve"> of</w:t>
      </w:r>
      <w:r w:rsidR="00917DB2">
        <w:rPr>
          <w:rStyle w:val="References"/>
          <w:b w:val="0"/>
          <w:bCs w:val="0"/>
          <w:i w:val="0"/>
          <w:iCs w:val="0"/>
        </w:rPr>
        <w:t xml:space="preserve"> </w:t>
      </w:r>
      <w:r w:rsidR="00963FBF">
        <w:rPr>
          <w:rStyle w:val="References"/>
          <w:b w:val="0"/>
          <w:bCs w:val="0"/>
          <w:i w:val="0"/>
          <w:iCs w:val="0"/>
        </w:rPr>
        <w:t>consumer goods that do not comply with a safety</w:t>
      </w:r>
      <w:r w:rsidR="003C781C">
        <w:rPr>
          <w:rStyle w:val="References"/>
          <w:b w:val="0"/>
          <w:bCs w:val="0"/>
          <w:i w:val="0"/>
          <w:iCs w:val="0"/>
        </w:rPr>
        <w:t xml:space="preserve"> standard</w:t>
      </w:r>
      <w:r w:rsidR="00963FBF">
        <w:rPr>
          <w:rStyle w:val="References"/>
          <w:b w:val="0"/>
          <w:bCs w:val="0"/>
          <w:i w:val="0"/>
          <w:iCs w:val="0"/>
        </w:rPr>
        <w:t xml:space="preserve"> that is in force</w:t>
      </w:r>
      <w:r w:rsidR="003C781C">
        <w:rPr>
          <w:rStyle w:val="References"/>
          <w:b w:val="0"/>
          <w:bCs w:val="0"/>
          <w:i w:val="0"/>
          <w:iCs w:val="0"/>
        </w:rPr>
        <w:t>.</w:t>
      </w:r>
      <w:r w:rsidR="00DB77D4">
        <w:rPr>
          <w:rStyle w:val="References"/>
          <w:b w:val="0"/>
          <w:bCs w:val="0"/>
          <w:i w:val="0"/>
          <w:iCs w:val="0"/>
        </w:rPr>
        <w:t xml:space="preserve"> </w:t>
      </w:r>
      <w:r w:rsidR="00176F33">
        <w:rPr>
          <w:rStyle w:val="References"/>
          <w:b w:val="0"/>
          <w:bCs w:val="0"/>
          <w:i w:val="0"/>
          <w:iCs w:val="0"/>
        </w:rPr>
        <w:t>The existing a</w:t>
      </w:r>
      <w:r w:rsidR="00DB77D4">
        <w:rPr>
          <w:rStyle w:val="References"/>
          <w:b w:val="0"/>
          <w:bCs w:val="0"/>
          <w:i w:val="0"/>
          <w:iCs w:val="0"/>
        </w:rPr>
        <w:t xml:space="preserve">pplication </w:t>
      </w:r>
      <w:r w:rsidR="008C4FC2">
        <w:rPr>
          <w:rStyle w:val="References"/>
          <w:b w:val="0"/>
          <w:bCs w:val="0"/>
          <w:i w:val="0"/>
          <w:iCs w:val="0"/>
        </w:rPr>
        <w:t xml:space="preserve">of section 108 </w:t>
      </w:r>
      <w:r w:rsidR="00176F33">
        <w:rPr>
          <w:rStyle w:val="References"/>
          <w:b w:val="0"/>
          <w:bCs w:val="0"/>
          <w:i w:val="0"/>
          <w:iCs w:val="0"/>
        </w:rPr>
        <w:t xml:space="preserve">to a person that intends to supply </w:t>
      </w:r>
      <w:r w:rsidR="008C4FC2">
        <w:rPr>
          <w:rStyle w:val="References"/>
          <w:b w:val="0"/>
          <w:bCs w:val="0"/>
          <w:i w:val="0"/>
          <w:iCs w:val="0"/>
        </w:rPr>
        <w:t xml:space="preserve">consumer </w:t>
      </w:r>
      <w:r w:rsidR="00176F33">
        <w:rPr>
          <w:rStyle w:val="References"/>
          <w:b w:val="0"/>
          <w:bCs w:val="0"/>
          <w:i w:val="0"/>
          <w:iCs w:val="0"/>
        </w:rPr>
        <w:t xml:space="preserve">goods or </w:t>
      </w:r>
      <w:r w:rsidR="008C4FC2">
        <w:rPr>
          <w:rStyle w:val="References"/>
          <w:b w:val="0"/>
          <w:bCs w:val="0"/>
          <w:i w:val="0"/>
          <w:iCs w:val="0"/>
        </w:rPr>
        <w:t xml:space="preserve">product related </w:t>
      </w:r>
      <w:r w:rsidR="00176F33">
        <w:rPr>
          <w:rStyle w:val="References"/>
          <w:b w:val="0"/>
          <w:bCs w:val="0"/>
          <w:i w:val="0"/>
          <w:iCs w:val="0"/>
        </w:rPr>
        <w:t xml:space="preserve">services </w:t>
      </w:r>
      <w:r w:rsidR="00DB77D4">
        <w:rPr>
          <w:rStyle w:val="References"/>
          <w:b w:val="0"/>
          <w:bCs w:val="0"/>
          <w:i w:val="0"/>
          <w:iCs w:val="0"/>
        </w:rPr>
        <w:t>is also expand</w:t>
      </w:r>
      <w:r w:rsidR="008C4FC2">
        <w:rPr>
          <w:rStyle w:val="References"/>
          <w:b w:val="0"/>
          <w:bCs w:val="0"/>
          <w:i w:val="0"/>
          <w:iCs w:val="0"/>
        </w:rPr>
        <w:t>ed</w:t>
      </w:r>
      <w:r w:rsidR="00DB77D4">
        <w:rPr>
          <w:rStyle w:val="References"/>
          <w:b w:val="0"/>
          <w:bCs w:val="0"/>
          <w:i w:val="0"/>
          <w:iCs w:val="0"/>
        </w:rPr>
        <w:t xml:space="preserve"> to include a person that has supplied</w:t>
      </w:r>
      <w:r w:rsidR="008C4FC2">
        <w:rPr>
          <w:rStyle w:val="References"/>
          <w:b w:val="0"/>
          <w:bCs w:val="0"/>
          <w:i w:val="0"/>
          <w:iCs w:val="0"/>
        </w:rPr>
        <w:t xml:space="preserve"> consumer </w:t>
      </w:r>
      <w:r w:rsidR="00DB77D4">
        <w:rPr>
          <w:rStyle w:val="References"/>
          <w:b w:val="0"/>
          <w:bCs w:val="0"/>
          <w:i w:val="0"/>
          <w:iCs w:val="0"/>
        </w:rPr>
        <w:t xml:space="preserve">goods </w:t>
      </w:r>
      <w:r w:rsidR="008C4FC2">
        <w:rPr>
          <w:rStyle w:val="References"/>
          <w:b w:val="0"/>
          <w:bCs w:val="0"/>
          <w:i w:val="0"/>
          <w:iCs w:val="0"/>
        </w:rPr>
        <w:t>or product related</w:t>
      </w:r>
      <w:r w:rsidR="00DB77D4">
        <w:rPr>
          <w:rStyle w:val="References"/>
          <w:b w:val="0"/>
          <w:bCs w:val="0"/>
          <w:i w:val="0"/>
          <w:iCs w:val="0"/>
        </w:rPr>
        <w:t xml:space="preserve"> </w:t>
      </w:r>
      <w:proofErr w:type="gramStart"/>
      <w:r w:rsidR="00DB77D4">
        <w:rPr>
          <w:rStyle w:val="References"/>
          <w:b w:val="0"/>
          <w:bCs w:val="0"/>
          <w:i w:val="0"/>
          <w:iCs w:val="0"/>
        </w:rPr>
        <w:t>services</w:t>
      </w:r>
      <w:r w:rsidR="008C4FC2">
        <w:rPr>
          <w:rStyle w:val="References"/>
          <w:b w:val="0"/>
          <w:bCs w:val="0"/>
          <w:i w:val="0"/>
          <w:iCs w:val="0"/>
        </w:rPr>
        <w:t>,</w:t>
      </w:r>
      <w:r w:rsidR="00DB77D4">
        <w:rPr>
          <w:rStyle w:val="References"/>
          <w:b w:val="0"/>
          <w:bCs w:val="0"/>
          <w:i w:val="0"/>
          <w:iCs w:val="0"/>
        </w:rPr>
        <w:t xml:space="preserve"> or</w:t>
      </w:r>
      <w:proofErr w:type="gramEnd"/>
      <w:r w:rsidR="00DB77D4">
        <w:rPr>
          <w:rStyle w:val="References"/>
          <w:b w:val="0"/>
          <w:bCs w:val="0"/>
          <w:i w:val="0"/>
          <w:iCs w:val="0"/>
        </w:rPr>
        <w:t xml:space="preserve"> is supplying </w:t>
      </w:r>
      <w:r w:rsidR="008C4FC2">
        <w:rPr>
          <w:rStyle w:val="References"/>
          <w:b w:val="0"/>
          <w:bCs w:val="0"/>
          <w:i w:val="0"/>
          <w:iCs w:val="0"/>
        </w:rPr>
        <w:t xml:space="preserve">consumer </w:t>
      </w:r>
      <w:r w:rsidR="00DB77D4">
        <w:rPr>
          <w:rStyle w:val="References"/>
          <w:b w:val="0"/>
          <w:bCs w:val="0"/>
          <w:i w:val="0"/>
          <w:iCs w:val="0"/>
        </w:rPr>
        <w:t xml:space="preserve">goods </w:t>
      </w:r>
      <w:r w:rsidR="008C4FC2">
        <w:rPr>
          <w:rStyle w:val="References"/>
          <w:b w:val="0"/>
          <w:bCs w:val="0"/>
          <w:i w:val="0"/>
          <w:iCs w:val="0"/>
        </w:rPr>
        <w:t>or product related</w:t>
      </w:r>
      <w:r w:rsidR="00DB77D4">
        <w:rPr>
          <w:rStyle w:val="References"/>
          <w:b w:val="0"/>
          <w:bCs w:val="0"/>
          <w:i w:val="0"/>
          <w:iCs w:val="0"/>
        </w:rPr>
        <w:t xml:space="preserve"> services</w:t>
      </w:r>
      <w:r w:rsidR="008C4FC2">
        <w:rPr>
          <w:rStyle w:val="References"/>
          <w:b w:val="0"/>
          <w:bCs w:val="0"/>
          <w:i w:val="0"/>
          <w:iCs w:val="0"/>
        </w:rPr>
        <w:t>.</w:t>
      </w:r>
      <w:r w:rsidR="00DB77D4">
        <w:rPr>
          <w:rStyle w:val="References"/>
          <w:b w:val="0"/>
          <w:bCs w:val="0"/>
          <w:i w:val="0"/>
          <w:iCs w:val="0"/>
        </w:rPr>
        <w:t xml:space="preserve"> </w:t>
      </w:r>
      <w:r w:rsidR="007E5E89">
        <w:rPr>
          <w:rStyle w:val="References"/>
          <w:b w:val="0"/>
          <w:bCs w:val="0"/>
          <w:i w:val="0"/>
          <w:iCs w:val="0"/>
        </w:rPr>
        <w:t>With these updates, the</w:t>
      </w:r>
      <w:r w:rsidR="00311C4A">
        <w:rPr>
          <w:rStyle w:val="References"/>
          <w:b w:val="0"/>
          <w:bCs w:val="0"/>
          <w:i w:val="0"/>
          <w:iCs w:val="0"/>
        </w:rPr>
        <w:t xml:space="preserve"> regulator is able to request </w:t>
      </w:r>
      <w:r w:rsidR="003D5A4F">
        <w:rPr>
          <w:rStyle w:val="References"/>
          <w:b w:val="0"/>
          <w:bCs w:val="0"/>
          <w:i w:val="0"/>
          <w:iCs w:val="0"/>
        </w:rPr>
        <w:t xml:space="preserve">a </w:t>
      </w:r>
      <w:r w:rsidR="007E5E89">
        <w:rPr>
          <w:rStyle w:val="References"/>
          <w:b w:val="0"/>
          <w:bCs w:val="0"/>
          <w:i w:val="0"/>
          <w:iCs w:val="0"/>
        </w:rPr>
        <w:t>person</w:t>
      </w:r>
      <w:r w:rsidR="003D5A4F">
        <w:rPr>
          <w:rStyle w:val="References"/>
          <w:b w:val="0"/>
          <w:bCs w:val="0"/>
          <w:i w:val="0"/>
          <w:iCs w:val="0"/>
        </w:rPr>
        <w:t xml:space="preserve"> nominate the </w:t>
      </w:r>
      <w:r w:rsidR="00AA1827">
        <w:rPr>
          <w:rStyle w:val="References"/>
          <w:b w:val="0"/>
          <w:bCs w:val="0"/>
          <w:i w:val="0"/>
          <w:iCs w:val="0"/>
        </w:rPr>
        <w:t xml:space="preserve">relevant </w:t>
      </w:r>
      <w:r w:rsidR="003D5A4F">
        <w:rPr>
          <w:rStyle w:val="References"/>
          <w:b w:val="0"/>
          <w:bCs w:val="0"/>
          <w:i w:val="0"/>
          <w:iCs w:val="0"/>
        </w:rPr>
        <w:t xml:space="preserve">set of </w:t>
      </w:r>
      <w:r w:rsidR="00F40C43">
        <w:rPr>
          <w:rStyle w:val="References"/>
          <w:b w:val="0"/>
          <w:bCs w:val="0"/>
          <w:i w:val="0"/>
          <w:iCs w:val="0"/>
        </w:rPr>
        <w:t xml:space="preserve">alternative </w:t>
      </w:r>
      <w:r w:rsidR="003D5A4F">
        <w:rPr>
          <w:rStyle w:val="References"/>
          <w:b w:val="0"/>
          <w:bCs w:val="0"/>
          <w:i w:val="0"/>
          <w:iCs w:val="0"/>
        </w:rPr>
        <w:t>requirements</w:t>
      </w:r>
      <w:r w:rsidR="00AA1827">
        <w:rPr>
          <w:rStyle w:val="References"/>
          <w:b w:val="0"/>
          <w:bCs w:val="0"/>
          <w:i w:val="0"/>
          <w:iCs w:val="0"/>
        </w:rPr>
        <w:t xml:space="preserve"> </w:t>
      </w:r>
      <w:r w:rsidR="007E5E89">
        <w:rPr>
          <w:rStyle w:val="References"/>
          <w:b w:val="0"/>
          <w:bCs w:val="0"/>
          <w:i w:val="0"/>
          <w:iCs w:val="0"/>
        </w:rPr>
        <w:t>in relation to</w:t>
      </w:r>
      <w:r w:rsidR="00AA1827">
        <w:rPr>
          <w:rStyle w:val="References"/>
          <w:b w:val="0"/>
          <w:bCs w:val="0"/>
          <w:i w:val="0"/>
          <w:iCs w:val="0"/>
        </w:rPr>
        <w:t xml:space="preserve"> </w:t>
      </w:r>
      <w:r w:rsidR="00682AFF">
        <w:rPr>
          <w:rStyle w:val="References"/>
          <w:b w:val="0"/>
          <w:bCs w:val="0"/>
          <w:i w:val="0"/>
          <w:iCs w:val="0"/>
        </w:rPr>
        <w:t xml:space="preserve">past, current or future </w:t>
      </w:r>
      <w:r w:rsidR="00AA1827">
        <w:rPr>
          <w:rStyle w:val="References"/>
          <w:b w:val="0"/>
          <w:bCs w:val="0"/>
          <w:i w:val="0"/>
          <w:iCs w:val="0"/>
        </w:rPr>
        <w:t>manufacture o</w:t>
      </w:r>
      <w:r w:rsidR="007E5E89">
        <w:rPr>
          <w:rStyle w:val="References"/>
          <w:b w:val="0"/>
          <w:bCs w:val="0"/>
          <w:i w:val="0"/>
          <w:iCs w:val="0"/>
        </w:rPr>
        <w:t>r supply.</w:t>
      </w:r>
      <w:r w:rsidR="00682AFF">
        <w:rPr>
          <w:rStyle w:val="References"/>
          <w:b w:val="0"/>
          <w:bCs w:val="0"/>
          <w:i w:val="0"/>
          <w:iCs w:val="0"/>
        </w:rPr>
        <w:t xml:space="preserve"> </w:t>
      </w:r>
    </w:p>
    <w:p w14:paraId="125FFF4B" w14:textId="7779B679" w:rsidR="00A37B2A" w:rsidRDefault="008614A6" w:rsidP="00014CE0">
      <w:pPr>
        <w:pStyle w:val="Normalparatextwithnumbers"/>
        <w:numPr>
          <w:ilvl w:val="1"/>
          <w:numId w:val="3"/>
        </w:numPr>
        <w:rPr>
          <w:rStyle w:val="References"/>
          <w:b w:val="0"/>
          <w:bCs w:val="0"/>
          <w:i w:val="0"/>
          <w:iCs w:val="0"/>
        </w:rPr>
      </w:pPr>
      <w:r w:rsidRPr="00014CE0">
        <w:rPr>
          <w:rStyle w:val="References"/>
          <w:b w:val="0"/>
          <w:bCs w:val="0"/>
          <w:i w:val="0"/>
          <w:iCs w:val="0"/>
        </w:rPr>
        <w:t>Third</w:t>
      </w:r>
      <w:r w:rsidR="00AA4C4B" w:rsidRPr="00014CE0">
        <w:rPr>
          <w:rStyle w:val="References"/>
          <w:b w:val="0"/>
          <w:bCs w:val="0"/>
          <w:i w:val="0"/>
          <w:iCs w:val="0"/>
        </w:rPr>
        <w:t>, a</w:t>
      </w:r>
      <w:r w:rsidR="006722CA">
        <w:rPr>
          <w:rStyle w:val="References"/>
          <w:b w:val="0"/>
          <w:bCs w:val="0"/>
          <w:i w:val="0"/>
          <w:iCs w:val="0"/>
        </w:rPr>
        <w:t xml:space="preserve"> </w:t>
      </w:r>
      <w:r w:rsidR="009102F1" w:rsidRPr="00014CE0">
        <w:rPr>
          <w:rStyle w:val="References"/>
          <w:b w:val="0"/>
          <w:bCs w:val="0"/>
          <w:i w:val="0"/>
          <w:iCs w:val="0"/>
        </w:rPr>
        <w:t xml:space="preserve">civil penalty </w:t>
      </w:r>
      <w:r w:rsidR="00AA4C4B" w:rsidRPr="00014CE0">
        <w:rPr>
          <w:rStyle w:val="References"/>
          <w:b w:val="0"/>
          <w:bCs w:val="0"/>
          <w:i w:val="0"/>
          <w:iCs w:val="0"/>
        </w:rPr>
        <w:t>p</w:t>
      </w:r>
      <w:r w:rsidR="009102F1" w:rsidRPr="00014CE0">
        <w:rPr>
          <w:rStyle w:val="References"/>
          <w:b w:val="0"/>
          <w:bCs w:val="0"/>
          <w:i w:val="0"/>
          <w:iCs w:val="0"/>
        </w:rPr>
        <w:t>rovision</w:t>
      </w:r>
      <w:r w:rsidR="00F40C43">
        <w:rPr>
          <w:rStyle w:val="References"/>
          <w:b w:val="0"/>
          <w:bCs w:val="0"/>
          <w:i w:val="0"/>
          <w:iCs w:val="0"/>
        </w:rPr>
        <w:t xml:space="preserve"> </w:t>
      </w:r>
      <w:r w:rsidR="00E6083C">
        <w:rPr>
          <w:rStyle w:val="References"/>
          <w:b w:val="0"/>
          <w:bCs w:val="0"/>
          <w:i w:val="0"/>
          <w:iCs w:val="0"/>
        </w:rPr>
        <w:t>applies</w:t>
      </w:r>
      <w:r w:rsidR="006722CA">
        <w:rPr>
          <w:rStyle w:val="References"/>
          <w:b w:val="0"/>
          <w:bCs w:val="0"/>
          <w:i w:val="0"/>
          <w:iCs w:val="0"/>
        </w:rPr>
        <w:t xml:space="preserve"> </w:t>
      </w:r>
      <w:r w:rsidR="009102F1" w:rsidRPr="00014CE0">
        <w:rPr>
          <w:rStyle w:val="References"/>
          <w:b w:val="0"/>
          <w:bCs w:val="0"/>
          <w:i w:val="0"/>
          <w:iCs w:val="0"/>
        </w:rPr>
        <w:t xml:space="preserve">for breach of the </w:t>
      </w:r>
      <w:bookmarkStart w:id="52" w:name="_Hlk178650194"/>
      <w:r w:rsidR="009102F1" w:rsidRPr="00014CE0">
        <w:rPr>
          <w:rStyle w:val="References"/>
          <w:b w:val="0"/>
          <w:bCs w:val="0"/>
          <w:i w:val="0"/>
          <w:iCs w:val="0"/>
        </w:rPr>
        <w:t>requirement to nominate an alternative standard</w:t>
      </w:r>
      <w:bookmarkEnd w:id="52"/>
      <w:r w:rsidR="008C4FC2">
        <w:rPr>
          <w:rStyle w:val="References"/>
          <w:b w:val="0"/>
          <w:bCs w:val="0"/>
          <w:i w:val="0"/>
          <w:iCs w:val="0"/>
        </w:rPr>
        <w:t xml:space="preserve"> under new subsection 108(2)</w:t>
      </w:r>
      <w:r w:rsidR="00AA4C4B" w:rsidRPr="00014CE0">
        <w:rPr>
          <w:rStyle w:val="References"/>
          <w:b w:val="0"/>
          <w:bCs w:val="0"/>
          <w:i w:val="0"/>
          <w:iCs w:val="0"/>
        </w:rPr>
        <w:t xml:space="preserve">. </w:t>
      </w:r>
      <w:r w:rsidR="006D11C8">
        <w:rPr>
          <w:rStyle w:val="References"/>
          <w:b w:val="0"/>
          <w:bCs w:val="0"/>
          <w:i w:val="0"/>
          <w:iCs w:val="0"/>
        </w:rPr>
        <w:t xml:space="preserve">The maximum </w:t>
      </w:r>
      <w:r w:rsidR="00E6083C">
        <w:rPr>
          <w:rStyle w:val="References"/>
          <w:b w:val="0"/>
          <w:bCs w:val="0"/>
          <w:i w:val="0"/>
          <w:iCs w:val="0"/>
        </w:rPr>
        <w:t>pecuniary</w:t>
      </w:r>
      <w:r w:rsidR="006D11C8">
        <w:rPr>
          <w:rStyle w:val="References"/>
          <w:b w:val="0"/>
          <w:bCs w:val="0"/>
          <w:i w:val="0"/>
          <w:iCs w:val="0"/>
        </w:rPr>
        <w:t xml:space="preserve"> penalty </w:t>
      </w:r>
      <w:r w:rsidR="00A37B2A">
        <w:rPr>
          <w:rStyle w:val="References"/>
          <w:b w:val="0"/>
          <w:bCs w:val="0"/>
          <w:i w:val="0"/>
          <w:iCs w:val="0"/>
        </w:rPr>
        <w:t xml:space="preserve">that a court may order for breach of this civil penalty provision is $50,000 </w:t>
      </w:r>
      <w:r w:rsidR="003F2B3C">
        <w:rPr>
          <w:rStyle w:val="References"/>
          <w:b w:val="0"/>
          <w:bCs w:val="0"/>
          <w:i w:val="0"/>
          <w:iCs w:val="0"/>
        </w:rPr>
        <w:t>for</w:t>
      </w:r>
      <w:r w:rsidR="008129F4">
        <w:rPr>
          <w:rStyle w:val="References"/>
          <w:b w:val="0"/>
          <w:bCs w:val="0"/>
          <w:i w:val="0"/>
          <w:iCs w:val="0"/>
        </w:rPr>
        <w:t xml:space="preserve"> a body corporate</w:t>
      </w:r>
      <w:r w:rsidR="00A37B2A">
        <w:rPr>
          <w:rStyle w:val="References"/>
          <w:b w:val="0"/>
          <w:bCs w:val="0"/>
          <w:i w:val="0"/>
          <w:iCs w:val="0"/>
        </w:rPr>
        <w:t xml:space="preserve"> </w:t>
      </w:r>
      <w:r w:rsidR="00F555B7">
        <w:rPr>
          <w:rStyle w:val="References"/>
          <w:b w:val="0"/>
          <w:bCs w:val="0"/>
          <w:i w:val="0"/>
          <w:iCs w:val="0"/>
        </w:rPr>
        <w:t xml:space="preserve">and </w:t>
      </w:r>
      <w:r w:rsidR="00A37B2A">
        <w:rPr>
          <w:rStyle w:val="References"/>
          <w:b w:val="0"/>
          <w:bCs w:val="0"/>
          <w:i w:val="0"/>
          <w:iCs w:val="0"/>
        </w:rPr>
        <w:t xml:space="preserve">$10,000 for </w:t>
      </w:r>
      <w:r w:rsidR="00F555B7">
        <w:rPr>
          <w:rStyle w:val="References"/>
          <w:b w:val="0"/>
          <w:bCs w:val="0"/>
          <w:i w:val="0"/>
          <w:iCs w:val="0"/>
        </w:rPr>
        <w:t>a person that is not a body corporate</w:t>
      </w:r>
      <w:r w:rsidR="001557A9">
        <w:rPr>
          <w:rStyle w:val="References"/>
          <w:b w:val="0"/>
          <w:bCs w:val="0"/>
          <w:i w:val="0"/>
          <w:iCs w:val="0"/>
        </w:rPr>
        <w:t>.</w:t>
      </w:r>
      <w:r w:rsidR="006D11C8">
        <w:rPr>
          <w:rStyle w:val="References"/>
          <w:b w:val="0"/>
          <w:bCs w:val="0"/>
          <w:i w:val="0"/>
          <w:iCs w:val="0"/>
        </w:rPr>
        <w:t xml:space="preserve"> </w:t>
      </w:r>
    </w:p>
    <w:p w14:paraId="76CBD32E" w14:textId="55E28C3F" w:rsidR="00AA4C4B" w:rsidRPr="00014CE0" w:rsidRDefault="004302A7" w:rsidP="00014CE0">
      <w:pPr>
        <w:pStyle w:val="Normalparatextwithnumbers"/>
        <w:numPr>
          <w:ilvl w:val="1"/>
          <w:numId w:val="3"/>
        </w:numPr>
        <w:rPr>
          <w:rStyle w:val="References"/>
          <w:b w:val="0"/>
          <w:bCs w:val="0"/>
          <w:i w:val="0"/>
          <w:iCs w:val="0"/>
        </w:rPr>
      </w:pPr>
      <w:r>
        <w:rPr>
          <w:rStyle w:val="References"/>
          <w:b w:val="0"/>
          <w:bCs w:val="0"/>
          <w:i w:val="0"/>
          <w:iCs w:val="0"/>
        </w:rPr>
        <w:t>The civil penalty provision</w:t>
      </w:r>
      <w:r w:rsidRPr="00014CE0">
        <w:rPr>
          <w:rStyle w:val="References"/>
          <w:b w:val="0"/>
          <w:bCs w:val="0"/>
          <w:i w:val="0"/>
          <w:iCs w:val="0"/>
        </w:rPr>
        <w:t xml:space="preserve"> </w:t>
      </w:r>
      <w:r w:rsidR="009102F1" w:rsidRPr="00014CE0">
        <w:rPr>
          <w:rStyle w:val="References"/>
          <w:b w:val="0"/>
          <w:bCs w:val="0"/>
          <w:i w:val="0"/>
          <w:iCs w:val="0"/>
        </w:rPr>
        <w:t xml:space="preserve">offers an alternative to the </w:t>
      </w:r>
      <w:r w:rsidR="00AA4C4B" w:rsidRPr="00014CE0">
        <w:rPr>
          <w:rStyle w:val="References"/>
          <w:b w:val="0"/>
          <w:bCs w:val="0"/>
          <w:i w:val="0"/>
          <w:iCs w:val="0"/>
        </w:rPr>
        <w:t xml:space="preserve">existing </w:t>
      </w:r>
      <w:r w:rsidR="009102F1" w:rsidRPr="00014CE0">
        <w:rPr>
          <w:rStyle w:val="References"/>
          <w:b w:val="0"/>
          <w:bCs w:val="0"/>
          <w:i w:val="0"/>
          <w:iCs w:val="0"/>
        </w:rPr>
        <w:t xml:space="preserve">criminal </w:t>
      </w:r>
      <w:r w:rsidR="00AA4C4B" w:rsidRPr="00014CE0">
        <w:rPr>
          <w:rStyle w:val="References"/>
          <w:b w:val="0"/>
          <w:bCs w:val="0"/>
          <w:i w:val="0"/>
          <w:iCs w:val="0"/>
        </w:rPr>
        <w:t>offence</w:t>
      </w:r>
      <w:r w:rsidR="008C4FC2" w:rsidRPr="008C4FC2">
        <w:t xml:space="preserve"> </w:t>
      </w:r>
      <w:r w:rsidR="008C4FC2">
        <w:rPr>
          <w:rStyle w:val="References"/>
          <w:b w:val="0"/>
          <w:bCs w:val="0"/>
          <w:i w:val="0"/>
          <w:iCs w:val="0"/>
        </w:rPr>
        <w:t xml:space="preserve">for failure </w:t>
      </w:r>
      <w:r w:rsidR="008C4FC2" w:rsidRPr="008C4FC2">
        <w:rPr>
          <w:rStyle w:val="References"/>
          <w:b w:val="0"/>
          <w:bCs w:val="0"/>
          <w:i w:val="0"/>
          <w:iCs w:val="0"/>
        </w:rPr>
        <w:t>to nominate an alternative standard</w:t>
      </w:r>
      <w:r w:rsidR="00AA4C4B" w:rsidRPr="00014CE0">
        <w:rPr>
          <w:rStyle w:val="References"/>
          <w:b w:val="0"/>
          <w:bCs w:val="0"/>
          <w:i w:val="0"/>
          <w:iCs w:val="0"/>
        </w:rPr>
        <w:t xml:space="preserve"> under section 196</w:t>
      </w:r>
      <w:r w:rsidR="00FE7A90">
        <w:rPr>
          <w:rStyle w:val="References"/>
          <w:b w:val="0"/>
          <w:bCs w:val="0"/>
          <w:i w:val="0"/>
          <w:iCs w:val="0"/>
        </w:rPr>
        <w:t>.</w:t>
      </w:r>
      <w:r w:rsidR="00D35AB2" w:rsidRPr="00014CE0">
        <w:rPr>
          <w:rStyle w:val="References"/>
          <w:b w:val="0"/>
          <w:bCs w:val="0"/>
          <w:i w:val="0"/>
          <w:iCs w:val="0"/>
        </w:rPr>
        <w:t xml:space="preserve"> </w:t>
      </w:r>
      <w:r w:rsidR="00FE7A90">
        <w:rPr>
          <w:rStyle w:val="References"/>
          <w:b w:val="0"/>
          <w:bCs w:val="0"/>
          <w:i w:val="0"/>
          <w:iCs w:val="0"/>
        </w:rPr>
        <w:t>H</w:t>
      </w:r>
      <w:r w:rsidR="00D35AB2" w:rsidRPr="00014CE0">
        <w:rPr>
          <w:rStyle w:val="References"/>
          <w:b w:val="0"/>
          <w:bCs w:val="0"/>
          <w:i w:val="0"/>
          <w:iCs w:val="0"/>
        </w:rPr>
        <w:t>owever, the maximum pecuniary penal</w:t>
      </w:r>
      <w:r w:rsidR="00FE7A90">
        <w:rPr>
          <w:rStyle w:val="References"/>
          <w:b w:val="0"/>
          <w:bCs w:val="0"/>
          <w:i w:val="0"/>
          <w:iCs w:val="0"/>
        </w:rPr>
        <w:t>ties for the civil penalty provision</w:t>
      </w:r>
      <w:r w:rsidR="00D35AB2" w:rsidRPr="00014CE0">
        <w:rPr>
          <w:rStyle w:val="References"/>
          <w:b w:val="0"/>
          <w:bCs w:val="0"/>
          <w:i w:val="0"/>
          <w:iCs w:val="0"/>
        </w:rPr>
        <w:t xml:space="preserve"> </w:t>
      </w:r>
      <w:r w:rsidR="00FE7A90">
        <w:rPr>
          <w:rStyle w:val="References"/>
          <w:b w:val="0"/>
          <w:bCs w:val="0"/>
          <w:i w:val="0"/>
          <w:iCs w:val="0"/>
        </w:rPr>
        <w:t>are</w:t>
      </w:r>
      <w:r w:rsidR="00D35AB2" w:rsidRPr="00014CE0">
        <w:rPr>
          <w:rStyle w:val="References"/>
          <w:b w:val="0"/>
          <w:bCs w:val="0"/>
          <w:i w:val="0"/>
          <w:iCs w:val="0"/>
        </w:rPr>
        <w:t xml:space="preserve"> set at a level </w:t>
      </w:r>
      <w:r w:rsidR="00B137FA">
        <w:rPr>
          <w:rStyle w:val="References"/>
          <w:b w:val="0"/>
          <w:bCs w:val="0"/>
          <w:i w:val="0"/>
          <w:iCs w:val="0"/>
        </w:rPr>
        <w:t xml:space="preserve">that is </w:t>
      </w:r>
      <w:r w:rsidR="00D35AB2" w:rsidRPr="00014CE0">
        <w:rPr>
          <w:rStyle w:val="References"/>
          <w:b w:val="0"/>
          <w:bCs w:val="0"/>
          <w:i w:val="0"/>
          <w:iCs w:val="0"/>
        </w:rPr>
        <w:t>higher than the maximum fine</w:t>
      </w:r>
      <w:r w:rsidR="00FE7A90">
        <w:rPr>
          <w:rStyle w:val="References"/>
          <w:b w:val="0"/>
          <w:bCs w:val="0"/>
          <w:i w:val="0"/>
          <w:iCs w:val="0"/>
        </w:rPr>
        <w:t>s</w:t>
      </w:r>
      <w:r w:rsidR="00D35AB2" w:rsidRPr="00014CE0">
        <w:rPr>
          <w:rStyle w:val="References"/>
          <w:b w:val="0"/>
          <w:bCs w:val="0"/>
          <w:i w:val="0"/>
          <w:iCs w:val="0"/>
        </w:rPr>
        <w:t xml:space="preserve"> available for the criminal offence</w:t>
      </w:r>
      <w:r w:rsidR="00CA018C" w:rsidRPr="00014CE0">
        <w:rPr>
          <w:rStyle w:val="References"/>
          <w:b w:val="0"/>
          <w:bCs w:val="0"/>
          <w:i w:val="0"/>
          <w:iCs w:val="0"/>
        </w:rPr>
        <w:t xml:space="preserve"> to</w:t>
      </w:r>
      <w:r w:rsidR="00014CE0" w:rsidRPr="00014CE0">
        <w:rPr>
          <w:rStyle w:val="References"/>
          <w:b w:val="0"/>
          <w:bCs w:val="0"/>
          <w:i w:val="0"/>
          <w:iCs w:val="0"/>
        </w:rPr>
        <w:t xml:space="preserve"> ensure that the penalty will act as a deterrent, particularly for corporations, and recognises that being found liable to pay a civil penalty does not attract imprisonment or a criminal conviction.</w:t>
      </w:r>
    </w:p>
    <w:p w14:paraId="21A61D7F" w14:textId="081A2B6D" w:rsidR="00161C98" w:rsidRDefault="00B137FA" w:rsidP="00D16621">
      <w:pPr>
        <w:pStyle w:val="Normalparatextwithnumbers"/>
        <w:numPr>
          <w:ilvl w:val="1"/>
          <w:numId w:val="3"/>
        </w:numPr>
        <w:rPr>
          <w:rStyle w:val="References"/>
          <w:b w:val="0"/>
          <w:bCs w:val="0"/>
          <w:i w:val="0"/>
          <w:iCs w:val="0"/>
        </w:rPr>
      </w:pPr>
      <w:r>
        <w:rPr>
          <w:rStyle w:val="References"/>
          <w:b w:val="0"/>
          <w:bCs w:val="0"/>
          <w:i w:val="0"/>
          <w:iCs w:val="0"/>
        </w:rPr>
        <w:t>Fourth</w:t>
      </w:r>
      <w:r w:rsidR="00161C98">
        <w:rPr>
          <w:rStyle w:val="References"/>
          <w:b w:val="0"/>
          <w:bCs w:val="0"/>
          <w:i w:val="0"/>
          <w:iCs w:val="0"/>
        </w:rPr>
        <w:t xml:space="preserve">, </w:t>
      </w:r>
      <w:bookmarkStart w:id="53" w:name="_Hlk178655577"/>
      <w:r w:rsidR="00E6083C">
        <w:rPr>
          <w:rStyle w:val="References"/>
          <w:b w:val="0"/>
          <w:bCs w:val="0"/>
          <w:i w:val="0"/>
          <w:iCs w:val="0"/>
        </w:rPr>
        <w:t xml:space="preserve">a civil penalty provision applies </w:t>
      </w:r>
      <w:r w:rsidR="00CA7F72">
        <w:rPr>
          <w:rStyle w:val="References"/>
          <w:b w:val="0"/>
          <w:bCs w:val="0"/>
          <w:i w:val="0"/>
          <w:iCs w:val="0"/>
        </w:rPr>
        <w:t>if a supplier nominates a set of requirements, by written notice</w:t>
      </w:r>
      <w:r w:rsidR="00A259B4">
        <w:rPr>
          <w:rStyle w:val="References"/>
          <w:b w:val="0"/>
          <w:bCs w:val="0"/>
          <w:i w:val="0"/>
          <w:iCs w:val="0"/>
        </w:rPr>
        <w:t xml:space="preserve"> </w:t>
      </w:r>
      <w:r w:rsidR="009D1C76">
        <w:rPr>
          <w:rStyle w:val="References"/>
          <w:b w:val="0"/>
          <w:bCs w:val="0"/>
          <w:i w:val="0"/>
          <w:iCs w:val="0"/>
        </w:rPr>
        <w:t>(</w:t>
      </w:r>
      <w:r w:rsidR="00A259B4">
        <w:rPr>
          <w:rStyle w:val="References"/>
          <w:b w:val="0"/>
          <w:bCs w:val="0"/>
          <w:i w:val="0"/>
          <w:iCs w:val="0"/>
        </w:rPr>
        <w:t>as described above</w:t>
      </w:r>
      <w:r w:rsidR="009D1C76">
        <w:rPr>
          <w:rStyle w:val="References"/>
          <w:b w:val="0"/>
          <w:bCs w:val="0"/>
          <w:i w:val="0"/>
          <w:iCs w:val="0"/>
        </w:rPr>
        <w:t>)</w:t>
      </w:r>
      <w:r w:rsidR="00CA7F72">
        <w:rPr>
          <w:rStyle w:val="References"/>
          <w:b w:val="0"/>
          <w:bCs w:val="0"/>
          <w:i w:val="0"/>
          <w:iCs w:val="0"/>
        </w:rPr>
        <w:t xml:space="preserve"> or other means (</w:t>
      </w:r>
      <w:r w:rsidR="0037473D">
        <w:rPr>
          <w:rStyle w:val="References"/>
          <w:b w:val="0"/>
          <w:bCs w:val="0"/>
          <w:i w:val="0"/>
          <w:iCs w:val="0"/>
        </w:rPr>
        <w:t>this may include a</w:t>
      </w:r>
      <w:r w:rsidR="00CA7F72">
        <w:rPr>
          <w:rStyle w:val="References"/>
          <w:b w:val="0"/>
          <w:bCs w:val="0"/>
          <w:i w:val="0"/>
          <w:iCs w:val="0"/>
        </w:rPr>
        <w:t xml:space="preserve"> </w:t>
      </w:r>
      <w:r w:rsidR="009D7FA5">
        <w:rPr>
          <w:rStyle w:val="References"/>
          <w:b w:val="0"/>
          <w:bCs w:val="0"/>
          <w:i w:val="0"/>
          <w:iCs w:val="0"/>
        </w:rPr>
        <w:t xml:space="preserve">requirement in a safety standard to </w:t>
      </w:r>
      <w:r w:rsidR="0037473D">
        <w:rPr>
          <w:rStyle w:val="References"/>
          <w:b w:val="0"/>
          <w:bCs w:val="0"/>
          <w:i w:val="0"/>
          <w:iCs w:val="0"/>
        </w:rPr>
        <w:t xml:space="preserve">nominate </w:t>
      </w:r>
      <w:r w:rsidR="0011368D">
        <w:rPr>
          <w:rStyle w:val="References"/>
          <w:b w:val="0"/>
          <w:bCs w:val="0"/>
          <w:i w:val="0"/>
          <w:iCs w:val="0"/>
        </w:rPr>
        <w:t>the chosen</w:t>
      </w:r>
      <w:r w:rsidR="0037473D">
        <w:rPr>
          <w:rStyle w:val="References"/>
          <w:b w:val="0"/>
          <w:bCs w:val="0"/>
          <w:i w:val="0"/>
          <w:iCs w:val="0"/>
        </w:rPr>
        <w:t xml:space="preserve"> alternative requirement on the consumer good itself</w:t>
      </w:r>
      <w:r w:rsidR="00A259B4">
        <w:rPr>
          <w:rStyle w:val="References"/>
          <w:b w:val="0"/>
          <w:bCs w:val="0"/>
          <w:i w:val="0"/>
          <w:iCs w:val="0"/>
        </w:rPr>
        <w:t xml:space="preserve">, for example), and </w:t>
      </w:r>
      <w:r w:rsidR="00A04A88">
        <w:rPr>
          <w:rStyle w:val="References"/>
          <w:b w:val="0"/>
          <w:bCs w:val="0"/>
          <w:i w:val="0"/>
          <w:iCs w:val="0"/>
        </w:rPr>
        <w:t xml:space="preserve">the person has not complied, is not complying or will not be able to comply with that set of requirements. </w:t>
      </w:r>
      <w:r w:rsidR="00E6083C" w:rsidRPr="00E6083C">
        <w:rPr>
          <w:rStyle w:val="References"/>
          <w:b w:val="0"/>
          <w:bCs w:val="0"/>
          <w:i w:val="0"/>
          <w:iCs w:val="0"/>
        </w:rPr>
        <w:t xml:space="preserve">The maximum </w:t>
      </w:r>
      <w:r w:rsidR="00E6083C">
        <w:rPr>
          <w:rStyle w:val="References"/>
          <w:b w:val="0"/>
          <w:bCs w:val="0"/>
          <w:i w:val="0"/>
          <w:iCs w:val="0"/>
        </w:rPr>
        <w:t>pecuniary</w:t>
      </w:r>
      <w:r w:rsidR="00E6083C" w:rsidRPr="00E6083C">
        <w:rPr>
          <w:rStyle w:val="References"/>
          <w:b w:val="0"/>
          <w:bCs w:val="0"/>
          <w:i w:val="0"/>
          <w:iCs w:val="0"/>
        </w:rPr>
        <w:t xml:space="preserve"> penalty that a court may order for breach of this civil penalty provision is $50,000 for a body corporate and $10,000 for a person that is not a body corporate</w:t>
      </w:r>
      <w:r w:rsidR="00E6083C">
        <w:rPr>
          <w:rStyle w:val="References"/>
          <w:b w:val="0"/>
          <w:bCs w:val="0"/>
          <w:i w:val="0"/>
          <w:iCs w:val="0"/>
        </w:rPr>
        <w:t>.</w:t>
      </w:r>
      <w:r w:rsidR="002810D9">
        <w:rPr>
          <w:rStyle w:val="References"/>
          <w:b w:val="0"/>
          <w:bCs w:val="0"/>
          <w:i w:val="0"/>
          <w:iCs w:val="0"/>
        </w:rPr>
        <w:t xml:space="preserve"> </w:t>
      </w:r>
      <w:bookmarkEnd w:id="53"/>
    </w:p>
    <w:p w14:paraId="6B5EB329" w14:textId="230A54C0" w:rsidR="00C702C8" w:rsidRDefault="00C702C8" w:rsidP="00D16621">
      <w:pPr>
        <w:pStyle w:val="Normalparatextwithnumbers"/>
        <w:numPr>
          <w:ilvl w:val="1"/>
          <w:numId w:val="3"/>
        </w:numPr>
        <w:rPr>
          <w:rStyle w:val="References"/>
          <w:b w:val="0"/>
          <w:bCs w:val="0"/>
          <w:i w:val="0"/>
          <w:iCs w:val="0"/>
        </w:rPr>
      </w:pPr>
      <w:r w:rsidRPr="00C702C8">
        <w:rPr>
          <w:rStyle w:val="References"/>
          <w:b w:val="0"/>
          <w:bCs w:val="0"/>
          <w:i w:val="0"/>
          <w:iCs w:val="0"/>
        </w:rPr>
        <w:t>The new penalties are in dollar amounts rather than penalty units, consistent with</w:t>
      </w:r>
      <w:r w:rsidR="007C24A7">
        <w:rPr>
          <w:rStyle w:val="References"/>
          <w:b w:val="0"/>
          <w:bCs w:val="0"/>
          <w:i w:val="0"/>
          <w:iCs w:val="0"/>
        </w:rPr>
        <w:t xml:space="preserve"> the</w:t>
      </w:r>
      <w:r w:rsidRPr="00C702C8">
        <w:rPr>
          <w:rStyle w:val="References"/>
          <w:b w:val="0"/>
          <w:bCs w:val="0"/>
          <w:i w:val="0"/>
          <w:iCs w:val="0"/>
        </w:rPr>
        <w:t xml:space="preserve"> current approach in the ACL. This is intended to achieve a uniform maximum across jurisdictions implementing the ACL as nationally uniform legislation, which may have differences in the value of a penalty unit.</w:t>
      </w:r>
    </w:p>
    <w:p w14:paraId="53282EA1" w14:textId="460DAB58" w:rsidR="00612679" w:rsidRPr="00B14964" w:rsidRDefault="006906E8" w:rsidP="00B14964">
      <w:pPr>
        <w:pStyle w:val="Normalparatextwithnumbers"/>
        <w:numPr>
          <w:ilvl w:val="0"/>
          <w:numId w:val="0"/>
        </w:numPr>
        <w:ind w:left="709"/>
        <w:rPr>
          <w:rStyle w:val="References"/>
        </w:rPr>
      </w:pPr>
      <w:r w:rsidRPr="004137CD">
        <w:rPr>
          <w:rStyle w:val="References"/>
        </w:rPr>
        <w:t>[Schedule 1, item</w:t>
      </w:r>
      <w:r w:rsidR="00C41931">
        <w:rPr>
          <w:rStyle w:val="References"/>
        </w:rPr>
        <w:t>s</w:t>
      </w:r>
      <w:r w:rsidRPr="004137CD">
        <w:rPr>
          <w:rStyle w:val="References"/>
        </w:rPr>
        <w:t xml:space="preserve"> </w:t>
      </w:r>
      <w:r w:rsidR="003D48FB">
        <w:rPr>
          <w:rStyle w:val="References"/>
        </w:rPr>
        <w:t>13</w:t>
      </w:r>
      <w:r w:rsidR="00C41931">
        <w:rPr>
          <w:rStyle w:val="References"/>
        </w:rPr>
        <w:t>, 2</w:t>
      </w:r>
      <w:r w:rsidR="006F6890">
        <w:rPr>
          <w:rStyle w:val="References"/>
        </w:rPr>
        <w:t>0</w:t>
      </w:r>
      <w:r w:rsidR="006D13F8" w:rsidRPr="004137CD">
        <w:rPr>
          <w:rStyle w:val="References"/>
        </w:rPr>
        <w:t xml:space="preserve"> and 2</w:t>
      </w:r>
      <w:r w:rsidR="006F6890">
        <w:rPr>
          <w:rStyle w:val="References"/>
        </w:rPr>
        <w:t>1</w:t>
      </w:r>
      <w:r w:rsidRPr="004137CD">
        <w:rPr>
          <w:rStyle w:val="References"/>
        </w:rPr>
        <w:t xml:space="preserve">, </w:t>
      </w:r>
      <w:r w:rsidR="00C41931">
        <w:rPr>
          <w:rStyle w:val="References"/>
        </w:rPr>
        <w:t>subsection</w:t>
      </w:r>
      <w:r w:rsidRPr="004137CD">
        <w:rPr>
          <w:rStyle w:val="References"/>
        </w:rPr>
        <w:t>s 108(1</w:t>
      </w:r>
      <w:r w:rsidR="00723B41" w:rsidRPr="004137CD">
        <w:rPr>
          <w:rStyle w:val="References"/>
        </w:rPr>
        <w:t>), 108(2), 108(4)</w:t>
      </w:r>
      <w:r w:rsidR="006D13F8" w:rsidRPr="004137CD">
        <w:rPr>
          <w:rStyle w:val="References"/>
        </w:rPr>
        <w:t xml:space="preserve"> and 224(3)</w:t>
      </w:r>
      <w:r w:rsidR="00C41931" w:rsidRPr="00C41931">
        <w:t xml:space="preserve"> </w:t>
      </w:r>
      <w:r w:rsidR="00C41931" w:rsidRPr="00C41931">
        <w:rPr>
          <w:rStyle w:val="References"/>
        </w:rPr>
        <w:t>and subparagraph 224(1)(</w:t>
      </w:r>
      <w:proofErr w:type="gramStart"/>
      <w:r w:rsidR="00C41931" w:rsidRPr="00C41931">
        <w:rPr>
          <w:rStyle w:val="References"/>
        </w:rPr>
        <w:t>a)(</w:t>
      </w:r>
      <w:proofErr w:type="spellStart"/>
      <w:proofErr w:type="gramEnd"/>
      <w:r w:rsidR="00C41931" w:rsidRPr="00C41931">
        <w:rPr>
          <w:rStyle w:val="References"/>
        </w:rPr>
        <w:t>viiia</w:t>
      </w:r>
      <w:proofErr w:type="spellEnd"/>
      <w:r w:rsidR="00C41931" w:rsidRPr="00C41931">
        <w:rPr>
          <w:rStyle w:val="References"/>
        </w:rPr>
        <w:t>)</w:t>
      </w:r>
      <w:r w:rsidR="00A36F11" w:rsidRPr="004137CD">
        <w:rPr>
          <w:rStyle w:val="References"/>
        </w:rPr>
        <w:t>]</w:t>
      </w:r>
    </w:p>
    <w:p w14:paraId="75BB018B" w14:textId="771D4546" w:rsidR="009E2B49" w:rsidRPr="009E2B49" w:rsidRDefault="009E2B49" w:rsidP="009E2B49">
      <w:pPr>
        <w:pStyle w:val="Heading3"/>
        <w:rPr>
          <w:rStyle w:val="References"/>
          <w:rFonts w:ascii="Helvitica" w:hAnsi="Helvitica"/>
          <w:b w:val="0"/>
          <w:bCs w:val="0"/>
          <w:i w:val="0"/>
          <w:iCs w:val="0"/>
          <w:sz w:val="32"/>
        </w:rPr>
      </w:pPr>
      <w:bookmarkStart w:id="54" w:name="_Toc179292225"/>
      <w:r w:rsidRPr="009E2B49">
        <w:rPr>
          <w:rStyle w:val="References"/>
          <w:rFonts w:ascii="Helvitica" w:hAnsi="Helvitica"/>
          <w:b w:val="0"/>
          <w:bCs w:val="0"/>
          <w:i w:val="0"/>
          <w:iCs w:val="0"/>
          <w:sz w:val="32"/>
        </w:rPr>
        <w:lastRenderedPageBreak/>
        <w:t>Requirement</w:t>
      </w:r>
      <w:r w:rsidR="0047574D">
        <w:rPr>
          <w:rStyle w:val="References"/>
          <w:rFonts w:ascii="Helvitica" w:hAnsi="Helvitica"/>
          <w:b w:val="0"/>
          <w:bCs w:val="0"/>
          <w:i w:val="0"/>
          <w:iCs w:val="0"/>
          <w:sz w:val="32"/>
        </w:rPr>
        <w:t>s</w:t>
      </w:r>
      <w:r w:rsidRPr="009E2B49">
        <w:rPr>
          <w:rStyle w:val="References"/>
          <w:rFonts w:ascii="Helvitica" w:hAnsi="Helvitica"/>
          <w:b w:val="0"/>
          <w:bCs w:val="0"/>
          <w:i w:val="0"/>
          <w:iCs w:val="0"/>
          <w:sz w:val="32"/>
        </w:rPr>
        <w:t xml:space="preserve"> to provide</w:t>
      </w:r>
      <w:r w:rsidR="0047574D">
        <w:rPr>
          <w:rStyle w:val="References"/>
          <w:rFonts w:ascii="Helvitica" w:hAnsi="Helvitica"/>
          <w:b w:val="0"/>
          <w:bCs w:val="0"/>
          <w:i w:val="0"/>
          <w:iCs w:val="0"/>
          <w:sz w:val="32"/>
        </w:rPr>
        <w:t xml:space="preserve"> </w:t>
      </w:r>
      <w:r w:rsidRPr="009E2B49">
        <w:rPr>
          <w:rStyle w:val="References"/>
          <w:rFonts w:ascii="Helvitica" w:hAnsi="Helvitica"/>
          <w:b w:val="0"/>
          <w:bCs w:val="0"/>
          <w:i w:val="0"/>
          <w:iCs w:val="0"/>
          <w:sz w:val="32"/>
        </w:rPr>
        <w:t>information or documents</w:t>
      </w:r>
      <w:bookmarkEnd w:id="54"/>
    </w:p>
    <w:p w14:paraId="0194938B" w14:textId="2C17A068" w:rsidR="00D13E3D" w:rsidRDefault="00E343C2" w:rsidP="00E343C2">
      <w:pPr>
        <w:pStyle w:val="Normalparatextwithnumbers"/>
        <w:numPr>
          <w:ilvl w:val="1"/>
          <w:numId w:val="3"/>
        </w:numPr>
        <w:rPr>
          <w:rStyle w:val="References"/>
          <w:b w:val="0"/>
          <w:bCs w:val="0"/>
          <w:i w:val="0"/>
          <w:iCs w:val="0"/>
        </w:rPr>
      </w:pPr>
      <w:r>
        <w:rPr>
          <w:rStyle w:val="References"/>
          <w:b w:val="0"/>
          <w:bCs w:val="0"/>
          <w:i w:val="0"/>
          <w:iCs w:val="0"/>
        </w:rPr>
        <w:t>The amendments introduce a power for the regulator to request</w:t>
      </w:r>
      <w:r w:rsidR="005B3A37">
        <w:rPr>
          <w:rStyle w:val="References"/>
          <w:b w:val="0"/>
          <w:bCs w:val="0"/>
          <w:i w:val="0"/>
          <w:iCs w:val="0"/>
        </w:rPr>
        <w:t>, in writing,</w:t>
      </w:r>
      <w:r>
        <w:rPr>
          <w:rStyle w:val="References"/>
          <w:b w:val="0"/>
          <w:bCs w:val="0"/>
          <w:i w:val="0"/>
          <w:iCs w:val="0"/>
        </w:rPr>
        <w:t xml:space="preserve"> information </w:t>
      </w:r>
      <w:r w:rsidR="00E8454D" w:rsidRPr="00E8454D">
        <w:rPr>
          <w:rStyle w:val="References"/>
          <w:b w:val="0"/>
          <w:bCs w:val="0"/>
          <w:i w:val="0"/>
          <w:iCs w:val="0"/>
        </w:rPr>
        <w:t>or documents</w:t>
      </w:r>
      <w:r w:rsidR="00E8454D">
        <w:rPr>
          <w:rStyle w:val="References"/>
          <w:b w:val="0"/>
          <w:bCs w:val="0"/>
          <w:i w:val="0"/>
          <w:iCs w:val="0"/>
        </w:rPr>
        <w:t xml:space="preserve"> </w:t>
      </w:r>
      <w:r w:rsidR="00236E4E">
        <w:rPr>
          <w:rStyle w:val="References"/>
          <w:b w:val="0"/>
          <w:bCs w:val="0"/>
          <w:i w:val="0"/>
          <w:iCs w:val="0"/>
        </w:rPr>
        <w:t xml:space="preserve">to determine whether a person has </w:t>
      </w:r>
      <w:r w:rsidR="00D13E3D">
        <w:rPr>
          <w:rStyle w:val="References"/>
          <w:b w:val="0"/>
          <w:bCs w:val="0"/>
          <w:i w:val="0"/>
          <w:iCs w:val="0"/>
        </w:rPr>
        <w:t>complied</w:t>
      </w:r>
      <w:r w:rsidR="009B04DC">
        <w:rPr>
          <w:rStyle w:val="References"/>
          <w:b w:val="0"/>
          <w:bCs w:val="0"/>
          <w:i w:val="0"/>
          <w:iCs w:val="0"/>
        </w:rPr>
        <w:t>, is complying, or will comply</w:t>
      </w:r>
      <w:r w:rsidR="00D13E3D">
        <w:rPr>
          <w:rStyle w:val="References"/>
          <w:b w:val="0"/>
          <w:bCs w:val="0"/>
          <w:i w:val="0"/>
          <w:iCs w:val="0"/>
        </w:rPr>
        <w:t xml:space="preserve"> with a safety standard </w:t>
      </w:r>
      <w:r w:rsidR="00CA5ACE">
        <w:rPr>
          <w:rStyle w:val="References"/>
          <w:b w:val="0"/>
          <w:bCs w:val="0"/>
          <w:i w:val="0"/>
          <w:iCs w:val="0"/>
        </w:rPr>
        <w:t xml:space="preserve">that is in force </w:t>
      </w:r>
      <w:r w:rsidR="00D13E3D">
        <w:rPr>
          <w:rStyle w:val="References"/>
          <w:b w:val="0"/>
          <w:bCs w:val="0"/>
          <w:i w:val="0"/>
          <w:iCs w:val="0"/>
        </w:rPr>
        <w:t xml:space="preserve">for </w:t>
      </w:r>
      <w:r w:rsidR="000C1013">
        <w:rPr>
          <w:rStyle w:val="References"/>
          <w:b w:val="0"/>
          <w:bCs w:val="0"/>
          <w:i w:val="0"/>
          <w:iCs w:val="0"/>
        </w:rPr>
        <w:t>consumer goods or product related services of a particular kind</w:t>
      </w:r>
      <w:r w:rsidR="00D13E3D">
        <w:rPr>
          <w:rStyle w:val="References"/>
          <w:b w:val="0"/>
          <w:bCs w:val="0"/>
          <w:i w:val="0"/>
          <w:iCs w:val="0"/>
        </w:rPr>
        <w:t xml:space="preserve"> or </w:t>
      </w:r>
      <w:r w:rsidR="000C1013">
        <w:rPr>
          <w:rStyle w:val="References"/>
          <w:b w:val="0"/>
          <w:bCs w:val="0"/>
          <w:i w:val="0"/>
          <w:iCs w:val="0"/>
        </w:rPr>
        <w:t>a</w:t>
      </w:r>
      <w:r w:rsidR="005B3A37">
        <w:rPr>
          <w:rStyle w:val="References"/>
          <w:b w:val="0"/>
          <w:bCs w:val="0"/>
          <w:i w:val="0"/>
          <w:iCs w:val="0"/>
        </w:rPr>
        <w:t>n</w:t>
      </w:r>
      <w:r w:rsidR="000C1013">
        <w:rPr>
          <w:rStyle w:val="References"/>
          <w:b w:val="0"/>
          <w:bCs w:val="0"/>
          <w:i w:val="0"/>
          <w:iCs w:val="0"/>
        </w:rPr>
        <w:t xml:space="preserve"> </w:t>
      </w:r>
      <w:r w:rsidR="00D13E3D">
        <w:rPr>
          <w:rStyle w:val="References"/>
          <w:b w:val="0"/>
          <w:bCs w:val="0"/>
          <w:i w:val="0"/>
          <w:iCs w:val="0"/>
        </w:rPr>
        <w:t>information standard</w:t>
      </w:r>
      <w:r w:rsidR="00CA5ACE">
        <w:rPr>
          <w:rStyle w:val="References"/>
          <w:b w:val="0"/>
          <w:bCs w:val="0"/>
          <w:i w:val="0"/>
          <w:iCs w:val="0"/>
        </w:rPr>
        <w:t xml:space="preserve"> that is in force</w:t>
      </w:r>
      <w:r w:rsidR="005A0FFD">
        <w:rPr>
          <w:rStyle w:val="References"/>
          <w:b w:val="0"/>
          <w:bCs w:val="0"/>
          <w:i w:val="0"/>
          <w:iCs w:val="0"/>
        </w:rPr>
        <w:t xml:space="preserve"> for goods or services of a particular kind</w:t>
      </w:r>
      <w:r w:rsidR="00D13E3D">
        <w:rPr>
          <w:rStyle w:val="References"/>
          <w:b w:val="0"/>
          <w:bCs w:val="0"/>
          <w:i w:val="0"/>
          <w:iCs w:val="0"/>
        </w:rPr>
        <w:t>.</w:t>
      </w:r>
    </w:p>
    <w:p w14:paraId="77596899" w14:textId="48AB01C5" w:rsidR="00E343C2" w:rsidRPr="00D13E3D" w:rsidRDefault="00D13E3D" w:rsidP="00D13E3D">
      <w:pPr>
        <w:pStyle w:val="Normalparatextwithnumbers"/>
        <w:numPr>
          <w:ilvl w:val="1"/>
          <w:numId w:val="3"/>
        </w:numPr>
        <w:rPr>
          <w:rStyle w:val="References"/>
          <w:b w:val="0"/>
          <w:bCs w:val="0"/>
          <w:i w:val="0"/>
          <w:iCs w:val="0"/>
        </w:rPr>
      </w:pPr>
      <w:r>
        <w:rPr>
          <w:rStyle w:val="References"/>
          <w:b w:val="0"/>
          <w:bCs w:val="0"/>
          <w:i w:val="0"/>
          <w:iCs w:val="0"/>
        </w:rPr>
        <w:t>This only</w:t>
      </w:r>
      <w:r w:rsidR="002B65EF">
        <w:rPr>
          <w:rStyle w:val="References"/>
          <w:b w:val="0"/>
          <w:bCs w:val="0"/>
          <w:i w:val="0"/>
          <w:iCs w:val="0"/>
        </w:rPr>
        <w:t xml:space="preserve"> applies</w:t>
      </w:r>
      <w:r>
        <w:rPr>
          <w:rStyle w:val="References"/>
          <w:b w:val="0"/>
          <w:bCs w:val="0"/>
          <w:i w:val="0"/>
          <w:iCs w:val="0"/>
        </w:rPr>
        <w:t xml:space="preserve"> to a person that has </w:t>
      </w:r>
      <w:r w:rsidR="00236E4E" w:rsidRPr="00D13E3D">
        <w:rPr>
          <w:rStyle w:val="References"/>
          <w:b w:val="0"/>
          <w:bCs w:val="0"/>
          <w:i w:val="0"/>
          <w:iCs w:val="0"/>
        </w:rPr>
        <w:t xml:space="preserve">supplied </w:t>
      </w:r>
      <w:r w:rsidR="00554CFE" w:rsidRPr="00D13E3D">
        <w:rPr>
          <w:rStyle w:val="References"/>
          <w:b w:val="0"/>
          <w:bCs w:val="0"/>
          <w:i w:val="0"/>
          <w:iCs w:val="0"/>
        </w:rPr>
        <w:t>or manufactured</w:t>
      </w:r>
      <w:r w:rsidR="006E79BB">
        <w:rPr>
          <w:rStyle w:val="References"/>
          <w:b w:val="0"/>
          <w:bCs w:val="0"/>
          <w:i w:val="0"/>
          <w:iCs w:val="0"/>
        </w:rPr>
        <w:t>,</w:t>
      </w:r>
      <w:r w:rsidR="00554CFE" w:rsidRPr="00D13E3D">
        <w:rPr>
          <w:rStyle w:val="References"/>
          <w:b w:val="0"/>
          <w:bCs w:val="0"/>
          <w:i w:val="0"/>
          <w:iCs w:val="0"/>
        </w:rPr>
        <w:t xml:space="preserve"> </w:t>
      </w:r>
      <w:r w:rsidR="006E79BB">
        <w:rPr>
          <w:rStyle w:val="References"/>
          <w:b w:val="0"/>
          <w:bCs w:val="0"/>
          <w:i w:val="0"/>
          <w:iCs w:val="0"/>
        </w:rPr>
        <w:t xml:space="preserve">is </w:t>
      </w:r>
      <w:r w:rsidR="00554CFE" w:rsidRPr="00D13E3D">
        <w:rPr>
          <w:rStyle w:val="References"/>
          <w:b w:val="0"/>
          <w:bCs w:val="0"/>
          <w:i w:val="0"/>
          <w:iCs w:val="0"/>
        </w:rPr>
        <w:t xml:space="preserve">supplying </w:t>
      </w:r>
      <w:r w:rsidR="006E79BB">
        <w:rPr>
          <w:rStyle w:val="References"/>
          <w:b w:val="0"/>
          <w:bCs w:val="0"/>
          <w:i w:val="0"/>
          <w:iCs w:val="0"/>
        </w:rPr>
        <w:t xml:space="preserve">or manufacturing, </w:t>
      </w:r>
      <w:r w:rsidR="00554CFE" w:rsidRPr="00D13E3D">
        <w:rPr>
          <w:rStyle w:val="References"/>
          <w:b w:val="0"/>
          <w:bCs w:val="0"/>
          <w:i w:val="0"/>
          <w:iCs w:val="0"/>
        </w:rPr>
        <w:t xml:space="preserve">or intends to supply </w:t>
      </w:r>
      <w:r w:rsidR="006E79BB">
        <w:rPr>
          <w:rStyle w:val="References"/>
          <w:b w:val="0"/>
          <w:bCs w:val="0"/>
          <w:i w:val="0"/>
          <w:iCs w:val="0"/>
        </w:rPr>
        <w:t>or manufacture</w:t>
      </w:r>
      <w:r w:rsidR="00CA5ACE">
        <w:rPr>
          <w:rStyle w:val="References"/>
          <w:b w:val="0"/>
          <w:bCs w:val="0"/>
          <w:i w:val="0"/>
          <w:iCs w:val="0"/>
        </w:rPr>
        <w:t xml:space="preserve"> the </w:t>
      </w:r>
      <w:r w:rsidR="005B3A37">
        <w:rPr>
          <w:rStyle w:val="References"/>
          <w:b w:val="0"/>
          <w:bCs w:val="0"/>
          <w:i w:val="0"/>
          <w:iCs w:val="0"/>
        </w:rPr>
        <w:t>particular</w:t>
      </w:r>
      <w:r w:rsidR="00CA5ACE">
        <w:rPr>
          <w:rStyle w:val="References"/>
          <w:b w:val="0"/>
          <w:bCs w:val="0"/>
          <w:i w:val="0"/>
          <w:iCs w:val="0"/>
        </w:rPr>
        <w:t xml:space="preserve"> consumer goods or product related services in the case of safety standards, </w:t>
      </w:r>
      <w:r w:rsidR="004A1626">
        <w:rPr>
          <w:rStyle w:val="References"/>
          <w:b w:val="0"/>
          <w:bCs w:val="0"/>
          <w:i w:val="0"/>
          <w:iCs w:val="0"/>
        </w:rPr>
        <w:t>or goods or services in the case of information standards.</w:t>
      </w:r>
      <w:r w:rsidR="00554CFE" w:rsidRPr="00D13E3D">
        <w:rPr>
          <w:rStyle w:val="References"/>
          <w:b w:val="0"/>
          <w:bCs w:val="0"/>
          <w:i w:val="0"/>
          <w:iCs w:val="0"/>
        </w:rPr>
        <w:t xml:space="preserve"> </w:t>
      </w:r>
    </w:p>
    <w:p w14:paraId="51E66416" w14:textId="2532C0A3" w:rsidR="002D777E" w:rsidRPr="00043046" w:rsidRDefault="00043046" w:rsidP="00043046">
      <w:pPr>
        <w:pStyle w:val="Normalparatextwithnumbers"/>
        <w:numPr>
          <w:ilvl w:val="1"/>
          <w:numId w:val="3"/>
        </w:numPr>
        <w:rPr>
          <w:rStyle w:val="References"/>
          <w:b w:val="0"/>
          <w:bCs w:val="0"/>
          <w:i w:val="0"/>
          <w:iCs w:val="0"/>
        </w:rPr>
      </w:pPr>
      <w:r>
        <w:rPr>
          <w:rStyle w:val="References"/>
          <w:b w:val="0"/>
          <w:bCs w:val="0"/>
          <w:i w:val="0"/>
          <w:iCs w:val="0"/>
        </w:rPr>
        <w:t>T</w:t>
      </w:r>
      <w:r w:rsidR="00E343C2" w:rsidRPr="00E343C2">
        <w:rPr>
          <w:rStyle w:val="References"/>
          <w:b w:val="0"/>
          <w:bCs w:val="0"/>
          <w:i w:val="0"/>
          <w:iCs w:val="0"/>
        </w:rPr>
        <w:t>he person must, within the period specified in the request, give to the regulator the requested information or documents.</w:t>
      </w:r>
      <w:r>
        <w:rPr>
          <w:rStyle w:val="References"/>
          <w:b w:val="0"/>
          <w:bCs w:val="0"/>
          <w:i w:val="0"/>
          <w:iCs w:val="0"/>
        </w:rPr>
        <w:t xml:space="preserve"> </w:t>
      </w:r>
    </w:p>
    <w:p w14:paraId="3C81C103" w14:textId="1729DAB4" w:rsidR="005A00C1" w:rsidRDefault="005B3A37" w:rsidP="00DE36D4">
      <w:pPr>
        <w:pStyle w:val="Normalparatextwithnumbers"/>
        <w:numPr>
          <w:ilvl w:val="1"/>
          <w:numId w:val="3"/>
        </w:numPr>
        <w:contextualSpacing/>
        <w:rPr>
          <w:rStyle w:val="References"/>
          <w:b w:val="0"/>
          <w:bCs w:val="0"/>
          <w:i w:val="0"/>
          <w:iCs w:val="0"/>
        </w:rPr>
      </w:pPr>
      <w:r>
        <w:rPr>
          <w:rStyle w:val="References"/>
          <w:b w:val="0"/>
          <w:bCs w:val="0"/>
          <w:i w:val="0"/>
          <w:iCs w:val="0"/>
        </w:rPr>
        <w:t xml:space="preserve">A </w:t>
      </w:r>
      <w:r w:rsidRPr="005B3A37">
        <w:rPr>
          <w:rStyle w:val="References"/>
          <w:b w:val="0"/>
          <w:bCs w:val="0"/>
          <w:i w:val="0"/>
          <w:iCs w:val="0"/>
        </w:rPr>
        <w:t xml:space="preserve">civil penalty provision applies if a </w:t>
      </w:r>
      <w:r>
        <w:rPr>
          <w:rStyle w:val="References"/>
          <w:b w:val="0"/>
          <w:bCs w:val="0"/>
          <w:i w:val="0"/>
          <w:iCs w:val="0"/>
        </w:rPr>
        <w:t xml:space="preserve">person </w:t>
      </w:r>
      <w:r w:rsidR="00947FF8">
        <w:rPr>
          <w:rStyle w:val="References"/>
          <w:b w:val="0"/>
          <w:bCs w:val="0"/>
          <w:i w:val="0"/>
          <w:iCs w:val="0"/>
        </w:rPr>
        <w:t xml:space="preserve">does not give the regulator the requested information and documents within the time period </w:t>
      </w:r>
      <w:r w:rsidR="00DE36D4">
        <w:rPr>
          <w:rStyle w:val="References"/>
          <w:b w:val="0"/>
          <w:bCs w:val="0"/>
          <w:i w:val="0"/>
          <w:iCs w:val="0"/>
        </w:rPr>
        <w:t>specified in the request.</w:t>
      </w:r>
      <w:r w:rsidRPr="005B3A37">
        <w:rPr>
          <w:rStyle w:val="References"/>
          <w:b w:val="0"/>
          <w:bCs w:val="0"/>
          <w:i w:val="0"/>
          <w:iCs w:val="0"/>
        </w:rPr>
        <w:t xml:space="preserve"> The maximum pecuniary penalty that a court may order for breach of this civil penalty provision is $50,000 for a body corporate and $10,000 for a person that is not a body corporate. </w:t>
      </w:r>
    </w:p>
    <w:p w14:paraId="3E2F84B3" w14:textId="2783B18B" w:rsidR="00297658" w:rsidRPr="00DE36D4" w:rsidRDefault="004A68E8" w:rsidP="005A00C1">
      <w:pPr>
        <w:pStyle w:val="Normalparatextwithnumbers"/>
        <w:numPr>
          <w:ilvl w:val="0"/>
          <w:numId w:val="0"/>
        </w:numPr>
        <w:ind w:left="709"/>
        <w:contextualSpacing/>
        <w:rPr>
          <w:rStyle w:val="References"/>
          <w:b w:val="0"/>
          <w:bCs w:val="0"/>
          <w:i w:val="0"/>
          <w:iCs w:val="0"/>
        </w:rPr>
      </w:pPr>
      <w:r w:rsidRPr="00DE36D4">
        <w:rPr>
          <w:rStyle w:val="References"/>
          <w:b w:val="0"/>
          <w:bCs w:val="0"/>
          <w:i w:val="0"/>
          <w:iCs w:val="0"/>
        </w:rPr>
        <w:br/>
      </w:r>
      <w:r w:rsidRPr="004A68E8">
        <w:rPr>
          <w:rStyle w:val="References"/>
        </w:rPr>
        <w:t>[</w:t>
      </w:r>
      <w:r w:rsidRPr="00DE36D4">
        <w:rPr>
          <w:rStyle w:val="References"/>
        </w:rPr>
        <w:t xml:space="preserve">Schedule </w:t>
      </w:r>
      <w:r w:rsidR="00D7031F" w:rsidRPr="00DE36D4">
        <w:rPr>
          <w:rStyle w:val="References"/>
        </w:rPr>
        <w:t>1</w:t>
      </w:r>
      <w:r w:rsidRPr="00DE36D4">
        <w:rPr>
          <w:rStyle w:val="References"/>
        </w:rPr>
        <w:t>, item</w:t>
      </w:r>
      <w:r w:rsidR="00D7031F">
        <w:rPr>
          <w:rStyle w:val="References"/>
        </w:rPr>
        <w:t xml:space="preserve">s </w:t>
      </w:r>
      <w:r w:rsidR="00AA37D2">
        <w:rPr>
          <w:rStyle w:val="References"/>
        </w:rPr>
        <w:t>13</w:t>
      </w:r>
      <w:r w:rsidR="000E22A3">
        <w:rPr>
          <w:rStyle w:val="References"/>
        </w:rPr>
        <w:t xml:space="preserve">, </w:t>
      </w:r>
      <w:r w:rsidR="005F6CE1">
        <w:rPr>
          <w:rStyle w:val="References"/>
        </w:rPr>
        <w:t>1</w:t>
      </w:r>
      <w:r w:rsidR="00A00A05">
        <w:rPr>
          <w:rStyle w:val="References"/>
        </w:rPr>
        <w:t>8</w:t>
      </w:r>
      <w:r w:rsidR="006D483B">
        <w:rPr>
          <w:rStyle w:val="References"/>
        </w:rPr>
        <w:t>,</w:t>
      </w:r>
      <w:r w:rsidR="001E00E3">
        <w:rPr>
          <w:rStyle w:val="References"/>
        </w:rPr>
        <w:t xml:space="preserve"> 2</w:t>
      </w:r>
      <w:r w:rsidR="006F6890">
        <w:rPr>
          <w:rStyle w:val="References"/>
        </w:rPr>
        <w:t>0</w:t>
      </w:r>
      <w:r w:rsidR="00563174">
        <w:rPr>
          <w:rStyle w:val="References"/>
        </w:rPr>
        <w:t>, 21</w:t>
      </w:r>
      <w:r w:rsidR="00DE4F2D">
        <w:rPr>
          <w:rStyle w:val="References"/>
        </w:rPr>
        <w:t xml:space="preserve"> and 22</w:t>
      </w:r>
      <w:r w:rsidRPr="004A68E8">
        <w:rPr>
          <w:rStyle w:val="References"/>
        </w:rPr>
        <w:t xml:space="preserve">, </w:t>
      </w:r>
      <w:r w:rsidR="005F6CE1">
        <w:rPr>
          <w:rStyle w:val="References"/>
        </w:rPr>
        <w:t>section 137B</w:t>
      </w:r>
      <w:r w:rsidR="00A17300">
        <w:rPr>
          <w:rStyle w:val="References"/>
        </w:rPr>
        <w:t xml:space="preserve">, </w:t>
      </w:r>
      <w:r w:rsidR="00522EF9">
        <w:rPr>
          <w:rStyle w:val="References"/>
        </w:rPr>
        <w:t>subsection</w:t>
      </w:r>
      <w:r w:rsidR="00651A20">
        <w:rPr>
          <w:rStyle w:val="References"/>
        </w:rPr>
        <w:t>s</w:t>
      </w:r>
      <w:r w:rsidR="00522EF9">
        <w:rPr>
          <w:rStyle w:val="References"/>
        </w:rPr>
        <w:t xml:space="preserve"> 108(3)</w:t>
      </w:r>
      <w:r w:rsidR="00651A20">
        <w:rPr>
          <w:rStyle w:val="References"/>
        </w:rPr>
        <w:t xml:space="preserve"> and 224(3)</w:t>
      </w:r>
      <w:r w:rsidR="000F2F19">
        <w:rPr>
          <w:rStyle w:val="References"/>
        </w:rPr>
        <w:t xml:space="preserve"> and subparagraph</w:t>
      </w:r>
      <w:r w:rsidR="00C41931">
        <w:rPr>
          <w:rStyle w:val="References"/>
        </w:rPr>
        <w:t>s</w:t>
      </w:r>
      <w:r w:rsidR="000F2F19">
        <w:rPr>
          <w:rStyle w:val="References"/>
        </w:rPr>
        <w:t xml:space="preserve"> 224(1)(</w:t>
      </w:r>
      <w:proofErr w:type="gramStart"/>
      <w:r w:rsidR="000F2F19">
        <w:rPr>
          <w:rStyle w:val="References"/>
        </w:rPr>
        <w:t>a)(</w:t>
      </w:r>
      <w:proofErr w:type="spellStart"/>
      <w:proofErr w:type="gramEnd"/>
      <w:r w:rsidR="000F2F19">
        <w:rPr>
          <w:rStyle w:val="References"/>
        </w:rPr>
        <w:t>vii</w:t>
      </w:r>
      <w:r w:rsidR="00C41931">
        <w:rPr>
          <w:rStyle w:val="References"/>
        </w:rPr>
        <w:t>ia</w:t>
      </w:r>
      <w:proofErr w:type="spellEnd"/>
      <w:r w:rsidR="00C41931">
        <w:rPr>
          <w:rStyle w:val="References"/>
        </w:rPr>
        <w:t>) and (</w:t>
      </w:r>
      <w:proofErr w:type="spellStart"/>
      <w:r w:rsidR="00C41931">
        <w:rPr>
          <w:rStyle w:val="References"/>
        </w:rPr>
        <w:t>viiib</w:t>
      </w:r>
      <w:proofErr w:type="spellEnd"/>
      <w:r w:rsidR="00C41931">
        <w:rPr>
          <w:rStyle w:val="References"/>
        </w:rPr>
        <w:t>)</w:t>
      </w:r>
      <w:r w:rsidR="00D7031F">
        <w:rPr>
          <w:rStyle w:val="References"/>
        </w:rPr>
        <w:t>]</w:t>
      </w:r>
      <w:r w:rsidRPr="004A68E8">
        <w:rPr>
          <w:rStyle w:val="References"/>
        </w:rPr>
        <w:t xml:space="preserve"> </w:t>
      </w:r>
    </w:p>
    <w:p w14:paraId="645A58E2" w14:textId="0030A718" w:rsidR="00284AE9" w:rsidRDefault="00284AE9" w:rsidP="00AF50CE">
      <w:pPr>
        <w:pStyle w:val="Heading2"/>
      </w:pPr>
      <w:bookmarkStart w:id="55" w:name="_Toc179292226"/>
      <w:bookmarkStart w:id="56" w:name="_Toc78193246"/>
      <w:bookmarkStart w:id="57" w:name="_Toc78193403"/>
      <w:bookmarkStart w:id="58" w:name="_Toc78548476"/>
      <w:bookmarkStart w:id="59" w:name="_Toc78549747"/>
      <w:bookmarkStart w:id="60" w:name="_Toc78549791"/>
      <w:r>
        <w:t>Consequential amendments</w:t>
      </w:r>
      <w:bookmarkEnd w:id="55"/>
    </w:p>
    <w:p w14:paraId="4C845CA7" w14:textId="239D5221" w:rsidR="00284AE9" w:rsidRDefault="00284AE9" w:rsidP="00840255">
      <w:pPr>
        <w:pStyle w:val="Normalparatextwithnumbers"/>
      </w:pPr>
      <w:r>
        <w:t>A number of consequential amendments are made to:</w:t>
      </w:r>
    </w:p>
    <w:p w14:paraId="0CE35BB9" w14:textId="3DC9FF99" w:rsidR="00284AE9" w:rsidRDefault="00284AE9" w:rsidP="00284AE9">
      <w:pPr>
        <w:pStyle w:val="Exampledotpoint1"/>
      </w:pPr>
      <w:r w:rsidRPr="00284AE9">
        <w:t>remove references to subsection</w:t>
      </w:r>
      <w:r w:rsidR="00E02E05">
        <w:t>s</w:t>
      </w:r>
      <w:r w:rsidRPr="00284AE9">
        <w:t xml:space="preserve"> 105(1) and 135(1), which provide the power for the Minister to ‘declare’ safety standards and information standards respective</w:t>
      </w:r>
      <w:r w:rsidR="00862577">
        <w:t>ly</w:t>
      </w:r>
      <w:r w:rsidR="00EA39DC">
        <w:t>, and</w:t>
      </w:r>
    </w:p>
    <w:p w14:paraId="2FCAD6D7" w14:textId="4EF5C5DB" w:rsidR="007A482B" w:rsidRDefault="00EA39DC" w:rsidP="00284AE9">
      <w:pPr>
        <w:pStyle w:val="Exampledotpoint1"/>
      </w:pPr>
      <w:r>
        <w:t>e</w:t>
      </w:r>
      <w:r w:rsidR="009F35EB">
        <w:t xml:space="preserve">nsure the </w:t>
      </w:r>
      <w:r w:rsidR="00DE4F2D">
        <w:t xml:space="preserve">existing </w:t>
      </w:r>
      <w:r w:rsidR="009F35EB">
        <w:t xml:space="preserve">offence provisions </w:t>
      </w:r>
      <w:r w:rsidR="008948C1">
        <w:t xml:space="preserve">relating to section 108 </w:t>
      </w:r>
      <w:r>
        <w:t>are not</w:t>
      </w:r>
      <w:r w:rsidR="009F35EB">
        <w:t xml:space="preserve"> </w:t>
      </w:r>
      <w:r w:rsidR="008948C1">
        <w:t>expanded</w:t>
      </w:r>
      <w:r>
        <w:t>.</w:t>
      </w:r>
    </w:p>
    <w:p w14:paraId="5C66A7BE" w14:textId="51197F5F" w:rsidR="00284AE9" w:rsidRPr="00284AE9" w:rsidRDefault="00284AE9" w:rsidP="00284AE9">
      <w:pPr>
        <w:pStyle w:val="Normalparatextnonumbers"/>
        <w:ind w:left="720"/>
        <w:rPr>
          <w:rStyle w:val="References"/>
        </w:rPr>
      </w:pPr>
      <w:r w:rsidRPr="00284AE9">
        <w:rPr>
          <w:rStyle w:val="References"/>
        </w:rPr>
        <w:t xml:space="preserve">[Schedule 1, items 1, </w:t>
      </w:r>
      <w:r w:rsidR="00615348">
        <w:rPr>
          <w:rStyle w:val="References"/>
        </w:rPr>
        <w:t>2</w:t>
      </w:r>
      <w:r w:rsidRPr="00284AE9">
        <w:rPr>
          <w:rStyle w:val="References"/>
        </w:rPr>
        <w:t xml:space="preserve">, </w:t>
      </w:r>
      <w:r w:rsidR="00720F95">
        <w:rPr>
          <w:rStyle w:val="References"/>
        </w:rPr>
        <w:t>4</w:t>
      </w:r>
      <w:r w:rsidR="008948C1">
        <w:rPr>
          <w:rStyle w:val="References"/>
        </w:rPr>
        <w:t xml:space="preserve">, </w:t>
      </w:r>
      <w:r w:rsidR="00CF453B">
        <w:rPr>
          <w:rStyle w:val="References"/>
        </w:rPr>
        <w:t>5</w:t>
      </w:r>
      <w:r w:rsidR="008948C1">
        <w:rPr>
          <w:rStyle w:val="References"/>
        </w:rPr>
        <w:t xml:space="preserve"> and </w:t>
      </w:r>
      <w:r w:rsidR="008E6186">
        <w:rPr>
          <w:rStyle w:val="References"/>
        </w:rPr>
        <w:t>19</w:t>
      </w:r>
      <w:r w:rsidR="006B6D90">
        <w:rPr>
          <w:rStyle w:val="References"/>
        </w:rPr>
        <w:t xml:space="preserve">, </w:t>
      </w:r>
      <w:r w:rsidR="003F763A" w:rsidRPr="00284AE9">
        <w:rPr>
          <w:rStyle w:val="References"/>
        </w:rPr>
        <w:t>paragraphs 131E(1)(b) and (</w:t>
      </w:r>
      <w:proofErr w:type="spellStart"/>
      <w:r w:rsidR="003F763A" w:rsidRPr="00284AE9">
        <w:rPr>
          <w:rStyle w:val="References"/>
        </w:rPr>
        <w:t>i</w:t>
      </w:r>
      <w:proofErr w:type="spellEnd"/>
      <w:r w:rsidR="003F763A" w:rsidRPr="00284AE9">
        <w:rPr>
          <w:rStyle w:val="References"/>
        </w:rPr>
        <w:t xml:space="preserve">) of the CCA </w:t>
      </w:r>
      <w:r w:rsidR="003F763A">
        <w:rPr>
          <w:rStyle w:val="References"/>
        </w:rPr>
        <w:t xml:space="preserve">and </w:t>
      </w:r>
      <w:r w:rsidRPr="00284AE9">
        <w:rPr>
          <w:rStyle w:val="References"/>
        </w:rPr>
        <w:t>subsection</w:t>
      </w:r>
      <w:r w:rsidR="00225858">
        <w:rPr>
          <w:rStyle w:val="References"/>
        </w:rPr>
        <w:t>s</w:t>
      </w:r>
      <w:r w:rsidRPr="00284AE9">
        <w:rPr>
          <w:rStyle w:val="References"/>
        </w:rPr>
        <w:t xml:space="preserve"> 2(1) (definition of information standard and safety standard)</w:t>
      </w:r>
      <w:r w:rsidR="00A17300">
        <w:rPr>
          <w:rStyle w:val="References"/>
        </w:rPr>
        <w:t xml:space="preserve"> </w:t>
      </w:r>
      <w:r w:rsidR="00225858">
        <w:rPr>
          <w:rStyle w:val="References"/>
        </w:rPr>
        <w:t>and 196(1)</w:t>
      </w:r>
      <w:r w:rsidRPr="00284AE9">
        <w:rPr>
          <w:rStyle w:val="References"/>
        </w:rPr>
        <w:t>]</w:t>
      </w:r>
    </w:p>
    <w:p w14:paraId="5DCFD323" w14:textId="76DF01F0" w:rsidR="00873094" w:rsidRPr="00020288" w:rsidRDefault="00873094" w:rsidP="00AF50CE">
      <w:pPr>
        <w:pStyle w:val="Heading2"/>
      </w:pPr>
      <w:bookmarkStart w:id="61" w:name="_Toc179292227"/>
      <w:r w:rsidRPr="00020288">
        <w:t xml:space="preserve">Commencement, </w:t>
      </w:r>
      <w:r w:rsidRPr="00AF50CE">
        <w:t>application</w:t>
      </w:r>
      <w:r w:rsidRPr="00020288">
        <w:t>, and transitional provisions</w:t>
      </w:r>
      <w:bookmarkEnd w:id="61"/>
    </w:p>
    <w:p w14:paraId="08E3E0C0" w14:textId="140A199E" w:rsidR="009A5A85" w:rsidRDefault="00FA5BFA" w:rsidP="00010E15">
      <w:pPr>
        <w:pStyle w:val="Normalparatextwithnumbers"/>
        <w:numPr>
          <w:ilvl w:val="1"/>
          <w:numId w:val="3"/>
        </w:numPr>
      </w:pPr>
      <w:r>
        <w:t>Schedule 1 to the Bill commences the day after Royal Assent</w:t>
      </w:r>
      <w:r w:rsidR="009A5A85">
        <w:t>.</w:t>
      </w:r>
    </w:p>
    <w:p w14:paraId="105463C6" w14:textId="76E840E4" w:rsidR="009B76A1" w:rsidRPr="00585E5E" w:rsidRDefault="00B624C3" w:rsidP="009B76A1">
      <w:pPr>
        <w:pStyle w:val="Normalparatextwithnumbers"/>
        <w:numPr>
          <w:ilvl w:val="1"/>
          <w:numId w:val="3"/>
        </w:numPr>
      </w:pPr>
      <w:r>
        <w:t>The amendments</w:t>
      </w:r>
      <w:r w:rsidR="005043B6">
        <w:t xml:space="preserve"> </w:t>
      </w:r>
      <w:r w:rsidR="005043B6" w:rsidRPr="00585E5E">
        <w:t>to</w:t>
      </w:r>
      <w:r w:rsidR="00045ED7" w:rsidRPr="00585E5E">
        <w:t xml:space="preserve"> </w:t>
      </w:r>
      <w:r w:rsidR="009B76A1" w:rsidRPr="00380BDA">
        <w:t>section 108</w:t>
      </w:r>
      <w:r w:rsidR="005043B6" w:rsidRPr="00585E5E">
        <w:t xml:space="preserve"> </w:t>
      </w:r>
      <w:r w:rsidR="00045ED7" w:rsidRPr="00585E5E">
        <w:t xml:space="preserve">(dealing with requirements to nominate and comply with a safety standard) </w:t>
      </w:r>
      <w:r w:rsidR="005043B6" w:rsidRPr="00585E5E">
        <w:t>only</w:t>
      </w:r>
      <w:r w:rsidR="009B76A1" w:rsidRPr="00585E5E">
        <w:t xml:space="preserve"> appl</w:t>
      </w:r>
      <w:r w:rsidR="005043B6" w:rsidRPr="00585E5E">
        <w:t>y</w:t>
      </w:r>
      <w:r w:rsidR="009B76A1" w:rsidRPr="00585E5E">
        <w:t xml:space="preserve"> in relation to:</w:t>
      </w:r>
    </w:p>
    <w:p w14:paraId="10845210" w14:textId="56F6142D" w:rsidR="009B76A1" w:rsidRDefault="009B76A1" w:rsidP="005043B6">
      <w:pPr>
        <w:pStyle w:val="Exampledotpoint1"/>
      </w:pPr>
      <w:r w:rsidRPr="00585E5E">
        <w:lastRenderedPageBreak/>
        <w:t>requests given by the regulator on or after commencement</w:t>
      </w:r>
      <w:r>
        <w:t xml:space="preserve"> of Schedule</w:t>
      </w:r>
      <w:r w:rsidR="005043B6">
        <w:t xml:space="preserve"> 1</w:t>
      </w:r>
      <w:r w:rsidR="0055004F">
        <w:t xml:space="preserve"> to the Bill</w:t>
      </w:r>
      <w:r>
        <w:t>; and</w:t>
      </w:r>
    </w:p>
    <w:p w14:paraId="3F4CECF4" w14:textId="65FFE19A" w:rsidR="009B76A1" w:rsidRDefault="009B76A1" w:rsidP="005043B6">
      <w:pPr>
        <w:pStyle w:val="Exampledotpoint1"/>
      </w:pPr>
      <w:r>
        <w:t>the supply or manufacture of goods or services on or after commencement of Schedule</w:t>
      </w:r>
      <w:r w:rsidR="005043B6">
        <w:t xml:space="preserve"> 1</w:t>
      </w:r>
      <w:r w:rsidR="0055004F">
        <w:t xml:space="preserve"> to the Bill</w:t>
      </w:r>
      <w:r>
        <w:t>; and</w:t>
      </w:r>
    </w:p>
    <w:p w14:paraId="052B2EE0" w14:textId="49AE81A9" w:rsidR="009B76A1" w:rsidRDefault="009B76A1" w:rsidP="005043B6">
      <w:pPr>
        <w:pStyle w:val="Exampledotpoint1"/>
      </w:pPr>
      <w:r>
        <w:t>a person’s compliance with the standard on or after commencement of Schedule</w:t>
      </w:r>
      <w:r w:rsidR="005043B6">
        <w:t xml:space="preserve"> 1</w:t>
      </w:r>
      <w:r w:rsidR="0055004F">
        <w:t xml:space="preserve"> to the </w:t>
      </w:r>
      <w:proofErr w:type="gramStart"/>
      <w:r w:rsidR="0055004F">
        <w:t>Bill</w:t>
      </w:r>
      <w:r>
        <w:t>;</w:t>
      </w:r>
      <w:proofErr w:type="gramEnd"/>
    </w:p>
    <w:p w14:paraId="2931E2F8" w14:textId="69512AC2" w:rsidR="009A5A85" w:rsidRDefault="009B76A1" w:rsidP="005043B6">
      <w:pPr>
        <w:pStyle w:val="Normalparatextwithnumbers"/>
        <w:numPr>
          <w:ilvl w:val="0"/>
          <w:numId w:val="0"/>
        </w:numPr>
        <w:ind w:left="709"/>
      </w:pPr>
      <w:r>
        <w:t xml:space="preserve">regardless of whether the safety standard in relation to which the request is given is made before, on or after commencement </w:t>
      </w:r>
      <w:r w:rsidR="005043B6">
        <w:t>Schedule 1</w:t>
      </w:r>
      <w:r w:rsidR="0055004F">
        <w:t xml:space="preserve"> to the Bill</w:t>
      </w:r>
      <w:r>
        <w:t>.</w:t>
      </w:r>
    </w:p>
    <w:p w14:paraId="370F4602" w14:textId="203DBE7E" w:rsidR="00B624C3" w:rsidRPr="00835DB3" w:rsidRDefault="009B76A1" w:rsidP="00835DB3">
      <w:pPr>
        <w:pStyle w:val="Normalparatextwithnumbers"/>
        <w:numPr>
          <w:ilvl w:val="0"/>
          <w:numId w:val="0"/>
        </w:numPr>
        <w:ind w:left="709"/>
        <w:rPr>
          <w:rStyle w:val="References"/>
        </w:rPr>
      </w:pPr>
      <w:r w:rsidRPr="00BE3CD2">
        <w:rPr>
          <w:b/>
          <w:bCs/>
          <w:i/>
          <w:iCs/>
        </w:rPr>
        <w:t xml:space="preserve"> [Schedule 1, </w:t>
      </w:r>
      <w:r w:rsidR="008D42D8" w:rsidRPr="00BE3CD2">
        <w:rPr>
          <w:b/>
          <w:bCs/>
          <w:i/>
          <w:iCs/>
        </w:rPr>
        <w:t>item 2</w:t>
      </w:r>
      <w:r w:rsidR="00E90C87">
        <w:rPr>
          <w:b/>
          <w:bCs/>
          <w:i/>
          <w:iCs/>
        </w:rPr>
        <w:t>3</w:t>
      </w:r>
      <w:r w:rsidRPr="00BE3CD2">
        <w:rPr>
          <w:b/>
          <w:bCs/>
          <w:i/>
          <w:iCs/>
        </w:rPr>
        <w:t xml:space="preserve">, </w:t>
      </w:r>
      <w:r w:rsidR="006F5A12">
        <w:rPr>
          <w:b/>
          <w:bCs/>
          <w:i/>
          <w:iCs/>
        </w:rPr>
        <w:t>section 308</w:t>
      </w:r>
      <w:r w:rsidRPr="00BE3CD2">
        <w:rPr>
          <w:b/>
          <w:bCs/>
          <w:i/>
          <w:iCs/>
        </w:rPr>
        <w:t>]</w:t>
      </w:r>
    </w:p>
    <w:p w14:paraId="56E22129" w14:textId="4DD52F33" w:rsidR="005043B6" w:rsidRDefault="0055004F" w:rsidP="00142DA3">
      <w:pPr>
        <w:pStyle w:val="Normalparatextwithnumbers"/>
        <w:numPr>
          <w:ilvl w:val="1"/>
          <w:numId w:val="3"/>
        </w:numPr>
      </w:pPr>
      <w:r>
        <w:t>The amendments</w:t>
      </w:r>
      <w:r w:rsidR="005C6987">
        <w:t xml:space="preserve"> ensure</w:t>
      </w:r>
      <w:r w:rsidR="00B759E5">
        <w:t xml:space="preserve"> a</w:t>
      </w:r>
      <w:r w:rsidR="005043B6">
        <w:t xml:space="preserve"> declared</w:t>
      </w:r>
      <w:r w:rsidR="00B759E5">
        <w:t xml:space="preserve"> safety</w:t>
      </w:r>
      <w:r w:rsidR="005043B6">
        <w:t xml:space="preserve"> standard cont</w:t>
      </w:r>
      <w:r w:rsidR="00B759E5">
        <w:t>inues in force</w:t>
      </w:r>
      <w:r w:rsidR="000F53AC">
        <w:t xml:space="preserve"> despite the repeal of the enabling provisions</w:t>
      </w:r>
      <w:r w:rsidR="00B759E5">
        <w:t xml:space="preserve">. </w:t>
      </w:r>
    </w:p>
    <w:p w14:paraId="09E852F4" w14:textId="137E68A6" w:rsidR="00284AE9" w:rsidRDefault="0055004F" w:rsidP="00284AE9">
      <w:pPr>
        <w:pStyle w:val="Normalparatextwithnumbers"/>
        <w:numPr>
          <w:ilvl w:val="1"/>
          <w:numId w:val="3"/>
        </w:numPr>
      </w:pPr>
      <w:r>
        <w:t>Specifically, a</w:t>
      </w:r>
      <w:r w:rsidR="00284AE9">
        <w:t xml:space="preserve"> safety standard that was declared under section 105</w:t>
      </w:r>
      <w:r>
        <w:t xml:space="preserve"> and</w:t>
      </w:r>
      <w:r w:rsidR="00284AE9" w:rsidRPr="00284AE9">
        <w:t xml:space="preserve"> </w:t>
      </w:r>
      <w:r>
        <w:t>was in</w:t>
      </w:r>
      <w:r w:rsidR="00284AE9" w:rsidRPr="00284AE9">
        <w:t xml:space="preserve"> force immediately before the commencement of Schedule 1 </w:t>
      </w:r>
      <w:r>
        <w:t xml:space="preserve">to the Bill, </w:t>
      </w:r>
      <w:r w:rsidR="00284AE9" w:rsidRPr="00284AE9">
        <w:t>continues in force (and may be dealt with) on and after the commencement of Schedule</w:t>
      </w:r>
      <w:r>
        <w:t xml:space="preserve"> 1 to the Bill</w:t>
      </w:r>
      <w:r w:rsidR="00284AE9" w:rsidRPr="00284AE9">
        <w:t xml:space="preserve"> as if it </w:t>
      </w:r>
      <w:r w:rsidR="00153F37">
        <w:t>were</w:t>
      </w:r>
      <w:r w:rsidR="00284AE9" w:rsidRPr="00284AE9">
        <w:t xml:space="preserve"> made for the purposes of section 104 (that</w:t>
      </w:r>
      <w:r>
        <w:t xml:space="preserve"> is, the enabling provision for the Minister to make a safety standard)</w:t>
      </w:r>
      <w:r w:rsidR="00284AE9" w:rsidRPr="00284AE9">
        <w:t xml:space="preserve"> as amended by Schedule</w:t>
      </w:r>
      <w:r>
        <w:t xml:space="preserve"> 1 to the Bill</w:t>
      </w:r>
      <w:r w:rsidR="00284AE9" w:rsidRPr="00284AE9">
        <w:t>.</w:t>
      </w:r>
      <w:r>
        <w:t xml:space="preserve"> No saving provisions are</w:t>
      </w:r>
      <w:r w:rsidR="007A482B">
        <w:t xml:space="preserve"> prescribed</w:t>
      </w:r>
      <w:r>
        <w:t xml:space="preserve"> for declared information standards</w:t>
      </w:r>
      <w:r w:rsidR="007A482B">
        <w:t xml:space="preserve"> under section 135,</w:t>
      </w:r>
      <w:r>
        <w:t xml:space="preserve"> as none are in force. </w:t>
      </w:r>
    </w:p>
    <w:p w14:paraId="25B9A785" w14:textId="6C5A3F8F" w:rsidR="006F5A12" w:rsidRPr="006F5A12" w:rsidRDefault="006F5A12" w:rsidP="006F5A12">
      <w:pPr>
        <w:pStyle w:val="Normalparatextwithnumbers"/>
        <w:numPr>
          <w:ilvl w:val="0"/>
          <w:numId w:val="0"/>
        </w:numPr>
        <w:ind w:left="709"/>
        <w:rPr>
          <w:b/>
          <w:bCs/>
          <w:i/>
          <w:iCs/>
        </w:rPr>
      </w:pPr>
      <w:r w:rsidRPr="006F5A12">
        <w:rPr>
          <w:b/>
          <w:bCs/>
          <w:i/>
          <w:iCs/>
        </w:rPr>
        <w:t>[Schedule 1, item 2</w:t>
      </w:r>
      <w:r w:rsidR="00E90C87">
        <w:rPr>
          <w:b/>
          <w:bCs/>
          <w:i/>
          <w:iCs/>
        </w:rPr>
        <w:t>3</w:t>
      </w:r>
      <w:r w:rsidRPr="006F5A12">
        <w:rPr>
          <w:b/>
          <w:bCs/>
          <w:i/>
          <w:iCs/>
        </w:rPr>
        <w:t>, section 30</w:t>
      </w:r>
      <w:r w:rsidR="00835DB3">
        <w:rPr>
          <w:b/>
          <w:bCs/>
          <w:i/>
          <w:iCs/>
        </w:rPr>
        <w:t>7</w:t>
      </w:r>
      <w:r w:rsidRPr="006F5A12">
        <w:rPr>
          <w:b/>
          <w:bCs/>
          <w:i/>
          <w:iCs/>
        </w:rPr>
        <w:t>]</w:t>
      </w:r>
    </w:p>
    <w:p w14:paraId="1C28404A" w14:textId="210F6581" w:rsidR="00D5598F" w:rsidRDefault="0055004F" w:rsidP="00D5598F">
      <w:pPr>
        <w:pStyle w:val="Normalparatextwithnumbers"/>
        <w:numPr>
          <w:ilvl w:val="1"/>
          <w:numId w:val="3"/>
        </w:numPr>
      </w:pPr>
      <w:r>
        <w:t>Schedule 1 to the Bill</w:t>
      </w:r>
      <w:r w:rsidR="00D5598F">
        <w:t xml:space="preserve"> </w:t>
      </w:r>
      <w:r w:rsidR="002240FF">
        <w:t xml:space="preserve">is defined </w:t>
      </w:r>
      <w:r w:rsidR="00D5598F">
        <w:t xml:space="preserve">as the </w:t>
      </w:r>
      <w:r w:rsidR="00D5598F" w:rsidRPr="00D5598F">
        <w:rPr>
          <w:b/>
          <w:bCs/>
          <w:i/>
          <w:iCs/>
        </w:rPr>
        <w:t>amending Schedule</w:t>
      </w:r>
      <w:r w:rsidRPr="0055004F">
        <w:rPr>
          <w:i/>
          <w:iCs/>
        </w:rPr>
        <w:t>,</w:t>
      </w:r>
      <w:r w:rsidR="00D5598F" w:rsidRPr="0055004F">
        <w:t xml:space="preserve"> </w:t>
      </w:r>
      <w:r w:rsidRPr="0055004F">
        <w:t>to</w:t>
      </w:r>
      <w:r>
        <w:t xml:space="preserve"> facilitate </w:t>
      </w:r>
      <w:r w:rsidR="00D5598F">
        <w:t>th</w:t>
      </w:r>
      <w:r w:rsidR="009F53D3">
        <w:t>e</w:t>
      </w:r>
      <w:r w:rsidR="00D5598F">
        <w:t xml:space="preserve"> </w:t>
      </w:r>
      <w:r w:rsidR="009F53D3">
        <w:t xml:space="preserve">application and </w:t>
      </w:r>
      <w:r w:rsidR="00D5598F">
        <w:t>saving</w:t>
      </w:r>
      <w:r w:rsidR="009F53D3">
        <w:t>s</w:t>
      </w:r>
      <w:r w:rsidR="00D5598F">
        <w:t xml:space="preserve"> provision</w:t>
      </w:r>
      <w:r w:rsidR="009F53D3">
        <w:t>s</w:t>
      </w:r>
      <w:r w:rsidR="00D5598F">
        <w:t xml:space="preserve">. </w:t>
      </w:r>
    </w:p>
    <w:p w14:paraId="4F371CF1" w14:textId="4ACBE891" w:rsidR="00D5598F" w:rsidRPr="009F53D3" w:rsidRDefault="00D5598F" w:rsidP="009F53D3">
      <w:pPr>
        <w:pStyle w:val="Normalparatextnonumbers"/>
        <w:ind w:firstLine="709"/>
        <w:rPr>
          <w:b/>
          <w:bCs/>
          <w:i/>
          <w:iCs/>
        </w:rPr>
      </w:pPr>
      <w:r w:rsidRPr="009F53D3">
        <w:rPr>
          <w:b/>
          <w:bCs/>
          <w:i/>
          <w:iCs/>
        </w:rPr>
        <w:t xml:space="preserve">[Schedule </w:t>
      </w:r>
      <w:r w:rsidR="009F53D3">
        <w:rPr>
          <w:b/>
          <w:bCs/>
          <w:i/>
          <w:iCs/>
        </w:rPr>
        <w:t>1</w:t>
      </w:r>
      <w:r w:rsidRPr="009F53D3">
        <w:rPr>
          <w:b/>
          <w:bCs/>
          <w:i/>
          <w:iCs/>
        </w:rPr>
        <w:t>, item</w:t>
      </w:r>
      <w:r w:rsidR="009F53D3">
        <w:rPr>
          <w:b/>
          <w:bCs/>
          <w:i/>
          <w:iCs/>
        </w:rPr>
        <w:t xml:space="preserve"> 2</w:t>
      </w:r>
      <w:r w:rsidR="00E90C87">
        <w:rPr>
          <w:b/>
          <w:bCs/>
          <w:i/>
          <w:iCs/>
        </w:rPr>
        <w:t>3</w:t>
      </w:r>
      <w:r w:rsidRPr="009F53D3">
        <w:rPr>
          <w:b/>
          <w:bCs/>
          <w:i/>
          <w:iCs/>
        </w:rPr>
        <w:t>, section</w:t>
      </w:r>
      <w:r w:rsidR="009F53D3">
        <w:rPr>
          <w:b/>
          <w:bCs/>
          <w:i/>
          <w:iCs/>
        </w:rPr>
        <w:t xml:space="preserve"> 306</w:t>
      </w:r>
      <w:r w:rsidR="005C6987">
        <w:rPr>
          <w:b/>
          <w:bCs/>
          <w:i/>
          <w:iCs/>
        </w:rPr>
        <w:t>]</w:t>
      </w:r>
    </w:p>
    <w:p w14:paraId="625D3AE3" w14:textId="0A51467A" w:rsidR="00873094" w:rsidRDefault="00873094" w:rsidP="006479AC">
      <w:pPr>
        <w:pStyle w:val="Normalparatextnonumbers"/>
      </w:pPr>
    </w:p>
    <w:bookmarkEnd w:id="5"/>
    <w:bookmarkEnd w:id="43"/>
    <w:bookmarkEnd w:id="56"/>
    <w:bookmarkEnd w:id="57"/>
    <w:bookmarkEnd w:id="58"/>
    <w:bookmarkEnd w:id="59"/>
    <w:bookmarkEnd w:id="60"/>
    <w:p w14:paraId="03ABF0E4" w14:textId="77777777" w:rsidR="00B77D03" w:rsidRDefault="00B77D03" w:rsidP="00365AAA">
      <w:pPr>
        <w:pStyle w:val="Normalparatextnonumbers"/>
      </w:pPr>
    </w:p>
    <w:sectPr w:rsidR="00B77D03" w:rsidSect="00000BFC">
      <w:headerReference w:type="first" r:id="rId17"/>
      <w:type w:val="oddPage"/>
      <w:pgSz w:w="9979" w:h="14175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B5888" w14:textId="77777777" w:rsidR="003F47BA" w:rsidRDefault="003F47BA">
      <w:pPr>
        <w:spacing w:before="0" w:after="0"/>
      </w:pPr>
      <w:r>
        <w:separator/>
      </w:r>
    </w:p>
  </w:endnote>
  <w:endnote w:type="continuationSeparator" w:id="0">
    <w:p w14:paraId="5CC60EE0" w14:textId="77777777" w:rsidR="003F47BA" w:rsidRDefault="003F47BA">
      <w:pPr>
        <w:spacing w:before="0" w:after="0"/>
      </w:pPr>
      <w:r>
        <w:continuationSeparator/>
      </w:r>
    </w:p>
  </w:endnote>
  <w:endnote w:type="continuationNotice" w:id="1">
    <w:p w14:paraId="63EC8725" w14:textId="77777777" w:rsidR="003F47BA" w:rsidRDefault="003F47B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itica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19D7" w14:textId="77777777" w:rsidR="007A2DBD" w:rsidRDefault="007A2DBD" w:rsidP="002425D9">
    <w:pPr>
      <w:pStyle w:val="Footer"/>
      <w:ind w:right="360" w:firstLine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D565B" w14:textId="77777777" w:rsidR="007A2DBD" w:rsidRPr="004D61CF" w:rsidRDefault="007A2DBD" w:rsidP="002425D9">
    <w:pPr>
      <w:pStyle w:val="right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72930" w14:textId="77777777" w:rsidR="007A2DBD" w:rsidRPr="00091474" w:rsidRDefault="007A2DBD" w:rsidP="00365AAA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EB183" w14:textId="77777777" w:rsidR="003F47BA" w:rsidRDefault="003F47BA">
      <w:pPr>
        <w:spacing w:before="0" w:after="0"/>
      </w:pPr>
      <w:r>
        <w:separator/>
      </w:r>
    </w:p>
  </w:footnote>
  <w:footnote w:type="continuationSeparator" w:id="0">
    <w:p w14:paraId="13D8D37E" w14:textId="77777777" w:rsidR="003F47BA" w:rsidRDefault="003F47BA">
      <w:pPr>
        <w:spacing w:before="0" w:after="0"/>
      </w:pPr>
      <w:r>
        <w:continuationSeparator/>
      </w:r>
    </w:p>
  </w:footnote>
  <w:footnote w:type="continuationNotice" w:id="1">
    <w:p w14:paraId="3F4FCB47" w14:textId="77777777" w:rsidR="003F47BA" w:rsidRDefault="003F47B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182601"/>
      <w:docPartObj>
        <w:docPartGallery w:val="Watermarks"/>
      </w:docPartObj>
    </w:sdtPr>
    <w:sdtEndPr/>
    <w:sdtContent>
      <w:p w14:paraId="2003F4F1" w14:textId="77777777" w:rsidR="007A2DBD" w:rsidRDefault="001C78BF">
        <w:pPr>
          <w:pStyle w:val="Header"/>
        </w:pPr>
        <w:r>
          <w:rPr>
            <w:noProof/>
          </w:rPr>
          <w:pict w14:anchorId="7855F91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8757" w14:textId="77777777" w:rsidR="007A2DBD" w:rsidRPr="009106AC" w:rsidRDefault="007A2DBD" w:rsidP="00242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4F873" w14:textId="3E751BB4" w:rsidR="007A2DBD" w:rsidRPr="0070093E" w:rsidRDefault="007A2DBD" w:rsidP="002425D9">
    <w:pPr>
      <w:pStyle w:val="rightheader"/>
      <w:ind w:firstLine="720"/>
      <w:rPr>
        <w:lang w:val="en-US"/>
      </w:rPr>
    </w:pPr>
    <w:r>
      <w:rPr>
        <w:lang w:val="en-US"/>
      </w:rPr>
      <w:t>(</w:t>
    </w:r>
    <w:r>
      <w:rPr>
        <w:lang w:val="en-US"/>
      </w:rPr>
      <w:fldChar w:fldCharType="begin"/>
    </w:r>
    <w:r>
      <w:rPr>
        <w:lang w:val="en-US"/>
      </w:rPr>
      <w:instrText xml:space="preserve"> STYLEREF  ChapterNameOnly  \* MERGEFORMAT </w:instrText>
    </w:r>
    <w:r>
      <w:rPr>
        <w:lang w:val="en-US"/>
      </w:rPr>
      <w:fldChar w:fldCharType="separate"/>
    </w:r>
    <w:r w:rsidR="00707DBE">
      <w:rPr>
        <w:b/>
        <w:bCs/>
        <w:noProof/>
        <w:lang w:val="en-US"/>
      </w:rPr>
      <w:t>Error! Use the Home tab to apply ChapterNameOnly to the text that you want to appear here.</w:t>
    </w:r>
    <w:r>
      <w:rPr>
        <w:lang w:val="en-US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26C2" w14:textId="77777777" w:rsidR="007A2DBD" w:rsidRDefault="007A2DB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2F56" w14:textId="76CF56AB" w:rsidR="007A2DBD" w:rsidRPr="00365AAA" w:rsidRDefault="001C78BF" w:rsidP="00365AAA">
    <w:pPr>
      <w:pStyle w:val="leftheader"/>
    </w:pPr>
    <w:r>
      <w:fldChar w:fldCharType="begin"/>
    </w:r>
    <w:r>
      <w:instrText xml:space="preserve"> STYLEREF "Chapter heading" \* MERGEFORMAT </w:instrText>
    </w:r>
    <w:r>
      <w:fldChar w:fldCharType="separate"/>
    </w:r>
    <w:r>
      <w:rPr>
        <w:noProof/>
      </w:rPr>
      <w:t>Safety Standards and Information Standards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860CC" w14:textId="3DD74777" w:rsidR="007A2DBD" w:rsidRPr="00365AAA" w:rsidRDefault="001C78BF" w:rsidP="00365AAA">
    <w:pPr>
      <w:pStyle w:val="rightheader"/>
    </w:pPr>
    <w:r>
      <w:fldChar w:fldCharType="begin"/>
    </w:r>
    <w:r>
      <w:instrText xml:space="preserve"> STYLEREF "Bill Name" \* MERGEFORMAT </w:instrText>
    </w:r>
    <w:r>
      <w:fldChar w:fldCharType="separate"/>
    </w:r>
    <w:r>
      <w:rPr>
        <w:noProof/>
      </w:rPr>
      <w:t>Treasury Laws Amendment Bill 2024: Product Safety Regulation</w:t>
    </w:r>
    <w:r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E7B2" w14:textId="77777777" w:rsidR="007A2DBD" w:rsidRDefault="007A2DB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8704" w14:textId="77777777" w:rsidR="00365AAA" w:rsidRDefault="00365A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3A0"/>
    <w:multiLevelType w:val="multilevel"/>
    <w:tmpl w:val="4F888F1E"/>
    <w:lvl w:ilvl="0">
      <w:start w:val="1"/>
      <w:numFmt w:val="decimal"/>
      <w:pStyle w:val="AttachmentHeading"/>
      <w:lvlText w:val="Attachment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676E74"/>
    <w:multiLevelType w:val="hybridMultilevel"/>
    <w:tmpl w:val="5A7CC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91E88"/>
    <w:multiLevelType w:val="hybridMultilevel"/>
    <w:tmpl w:val="1DE8CBA4"/>
    <w:lvl w:ilvl="0" w:tplc="D84EA11C">
      <w:start w:val="1"/>
      <w:numFmt w:val="bullet"/>
      <w:pStyle w:val="RISbullet2"/>
      <w:lvlText w:val="‒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9170CA0"/>
    <w:multiLevelType w:val="multilevel"/>
    <w:tmpl w:val="36DC0FE4"/>
    <w:styleLink w:val="Chapternumbering"/>
    <w:lvl w:ilvl="0">
      <w:start w:val="1"/>
      <w:numFmt w:val="decimal"/>
      <w:pStyle w:val="Chapterheading"/>
      <w:lvlText w:val="Chapter %1:"/>
      <w:lvlJc w:val="left"/>
      <w:pPr>
        <w:tabs>
          <w:tab w:val="num" w:pos="2977"/>
        </w:tabs>
        <w:ind w:left="0" w:firstLine="0"/>
      </w:pPr>
      <w:rPr>
        <w:rFonts w:ascii="Helvitica" w:hAnsi="Helvitica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4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ormalparatextwithnumbers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DiagramHeading"/>
      <w:suff w:val="space"/>
      <w:lvlText w:val="Diagram %1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Restart w:val="1"/>
      <w:pStyle w:val="ExampleHeading"/>
      <w:suff w:val="space"/>
      <w:lvlText w:val="Example %1.%4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Restart w:val="1"/>
      <w:pStyle w:val="TableHeading"/>
      <w:suff w:val="space"/>
      <w:lvlText w:val="Table %1.%5"/>
      <w:lvlJc w:val="left"/>
      <w:pPr>
        <w:ind w:left="1701" w:hanging="1701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D2B7E2A"/>
    <w:multiLevelType w:val="hybridMultilevel"/>
    <w:tmpl w:val="BBD8CBD2"/>
    <w:lvl w:ilvl="0" w:tplc="F154CDD8">
      <w:start w:val="1"/>
      <w:numFmt w:val="bullet"/>
      <w:pStyle w:val="Do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D2CC9"/>
    <w:multiLevelType w:val="multilevel"/>
    <w:tmpl w:val="EB40A840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832D47"/>
    <w:multiLevelType w:val="hybridMultilevel"/>
    <w:tmpl w:val="6F7A201E"/>
    <w:lvl w:ilvl="0" w:tplc="6440602C">
      <w:start w:val="1"/>
      <w:numFmt w:val="bullet"/>
      <w:pStyle w:val="Exampledotpoint2"/>
      <w:lvlText w:val="‒"/>
      <w:lvlJc w:val="left"/>
      <w:pPr>
        <w:ind w:left="1928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7" w15:restartNumberingAfterBreak="0">
    <w:nsid w:val="5D393011"/>
    <w:multiLevelType w:val="hybridMultilevel"/>
    <w:tmpl w:val="11FA1D2A"/>
    <w:lvl w:ilvl="0" w:tplc="35E2AAE4">
      <w:start w:val="1"/>
      <w:numFmt w:val="bullet"/>
      <w:pStyle w:val="Exampledo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E3293"/>
    <w:multiLevelType w:val="hybridMultilevel"/>
    <w:tmpl w:val="DACEC83A"/>
    <w:lvl w:ilvl="0" w:tplc="055A8A32">
      <w:start w:val="1"/>
      <w:numFmt w:val="bullet"/>
      <w:pStyle w:val="Tabledotpoint1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60490B74"/>
    <w:multiLevelType w:val="hybridMultilevel"/>
    <w:tmpl w:val="EC7866F8"/>
    <w:lvl w:ilvl="0" w:tplc="A588DE40">
      <w:start w:val="1"/>
      <w:numFmt w:val="bullet"/>
      <w:pStyle w:val="Instructionalguidancedo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97FDF"/>
    <w:multiLevelType w:val="hybridMultilevel"/>
    <w:tmpl w:val="543E5738"/>
    <w:lvl w:ilvl="0" w:tplc="0AFCCC26">
      <w:start w:val="1"/>
      <w:numFmt w:val="decimal"/>
      <w:pStyle w:val="Instructionalguidancenumbered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0645C"/>
    <w:multiLevelType w:val="multilevel"/>
    <w:tmpl w:val="51D49B14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AF255FB"/>
    <w:multiLevelType w:val="hybridMultilevel"/>
    <w:tmpl w:val="954AB974"/>
    <w:lvl w:ilvl="0" w:tplc="088E8732">
      <w:start w:val="1"/>
      <w:numFmt w:val="bullet"/>
      <w:pStyle w:val="Tabledotpoint2"/>
      <w:lvlText w:val="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B891783"/>
    <w:multiLevelType w:val="hybridMultilevel"/>
    <w:tmpl w:val="0CCE9FEC"/>
    <w:lvl w:ilvl="0" w:tplc="0B52848A">
      <w:start w:val="1"/>
      <w:numFmt w:val="bullet"/>
      <w:pStyle w:val="Dotpoint2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599739">
    <w:abstractNumId w:val="0"/>
  </w:num>
  <w:num w:numId="2" w16cid:durableId="1948731128">
    <w:abstractNumId w:val="11"/>
  </w:num>
  <w:num w:numId="3" w16cid:durableId="1829707682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ascii="Helvitica" w:hAnsi="Helvitica" w:hint="default"/>
          <w:b/>
          <w:bCs w:val="0"/>
          <w:i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4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Normalparatextwithnumbers"/>
        <w:lvlText w:val="%1.%2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DiagramHeading"/>
        <w:suff w:val="space"/>
        <w:lvlText w:val="Diagram %1.%3"/>
        <w:lvlJc w:val="left"/>
        <w:pPr>
          <w:ind w:left="1701" w:hanging="1701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space"/>
        <w:lvlText w:val="Example %1.%4"/>
        <w:lvlJc w:val="left"/>
        <w:pPr>
          <w:ind w:left="1701" w:hanging="1701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"/>
        <w:suff w:val="space"/>
        <w:lvlText w:val="Table %1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" w16cid:durableId="822813120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5" w16cid:durableId="1281185342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6" w16cid:durableId="834690233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ascii="Helvitica" w:hAnsi="Helvitica" w:hint="default"/>
          <w:b/>
          <w:bCs w:val="0"/>
          <w:i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4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Normalparatextwithnumbers"/>
        <w:lvlText w:val="%1.%2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Restart w:val="1"/>
        <w:pStyle w:val="DiagramHeading"/>
        <w:suff w:val="space"/>
        <w:lvlText w:val="Diagram %1.%3"/>
        <w:lvlJc w:val="left"/>
        <w:pPr>
          <w:ind w:left="1701" w:hanging="1701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space"/>
        <w:lvlText w:val="Example %1.%4"/>
        <w:lvlJc w:val="left"/>
        <w:pPr>
          <w:ind w:left="1701" w:hanging="1701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"/>
        <w:suff w:val="space"/>
        <w:lvlText w:val="Table %1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" w16cid:durableId="1022901957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 w16cid:durableId="1142381951">
    <w:abstractNumId w:val="4"/>
  </w:num>
  <w:num w:numId="9" w16cid:durableId="911041120">
    <w:abstractNumId w:val="13"/>
  </w:num>
  <w:num w:numId="10" w16cid:durableId="2017876939">
    <w:abstractNumId w:val="7"/>
  </w:num>
  <w:num w:numId="11" w16cid:durableId="679544403">
    <w:abstractNumId w:val="6"/>
  </w:num>
  <w:num w:numId="12" w16cid:durableId="974681568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3" w16cid:durableId="422262118">
    <w:abstractNumId w:val="11"/>
  </w:num>
  <w:num w:numId="14" w16cid:durableId="1648515472">
    <w:abstractNumId w:val="9"/>
  </w:num>
  <w:num w:numId="15" w16cid:durableId="407070147">
    <w:abstractNumId w:val="10"/>
  </w:num>
  <w:num w:numId="16" w16cid:durableId="1102265301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7" w16cid:durableId="1005204720">
    <w:abstractNumId w:val="4"/>
  </w:num>
  <w:num w:numId="18" w16cid:durableId="680205999">
    <w:abstractNumId w:val="2"/>
  </w:num>
  <w:num w:numId="19" w16cid:durableId="1491290959">
    <w:abstractNumId w:val="8"/>
  </w:num>
  <w:num w:numId="20" w16cid:durableId="1101536722">
    <w:abstractNumId w:val="12"/>
  </w:num>
  <w:num w:numId="21" w16cid:durableId="1399742980">
    <w:abstractNumId w:val="11"/>
  </w:num>
  <w:num w:numId="22" w16cid:durableId="397169042">
    <w:abstractNumId w:val="1"/>
  </w:num>
  <w:num w:numId="23" w16cid:durableId="785856834">
    <w:abstractNumId w:val="5"/>
  </w:num>
  <w:num w:numId="24" w16cid:durableId="700057889">
    <w:abstractNumId w:val="3"/>
  </w:num>
  <w:num w:numId="25" w16cid:durableId="1975983292">
    <w:abstractNumId w:val="7"/>
  </w:num>
  <w:num w:numId="26" w16cid:durableId="911499234">
    <w:abstractNumId w:val="3"/>
    <w:lvlOverride w:ilvl="0">
      <w:startOverride w:val="1"/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ascii="Helvitica" w:hAnsi="Helvitica" w:hint="default"/>
          <w:b/>
          <w:bCs w:val="0"/>
          <w:i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4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decimal"/>
        <w:pStyle w:val="Normalparatextwithnumbers"/>
        <w:lvlText w:val="%1.%2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bCs w:val="0"/>
        </w:rPr>
      </w:lvl>
    </w:lvlOverride>
    <w:lvlOverride w:ilvl="2">
      <w:startOverride w:val="1"/>
      <w:lvl w:ilvl="2">
        <w:start w:val="1"/>
        <w:numFmt w:val="decimal"/>
        <w:lvlRestart w:val="1"/>
        <w:pStyle w:val="DiagramHeading"/>
        <w:suff w:val="space"/>
        <w:lvlText w:val="Diagram %1.%3"/>
        <w:lvlJc w:val="left"/>
        <w:pPr>
          <w:ind w:left="1701" w:hanging="170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Restart w:val="1"/>
        <w:pStyle w:val="ExampleHeading"/>
        <w:suff w:val="space"/>
        <w:lvlText w:val="Example %1.%4"/>
        <w:lvlJc w:val="left"/>
        <w:pPr>
          <w:ind w:left="1701" w:hanging="1701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Restart w:val="1"/>
        <w:pStyle w:val="TableHeading"/>
        <w:suff w:val="space"/>
        <w:lvlText w:val="Table %1.%5"/>
        <w:lvlJc w:val="left"/>
        <w:pPr>
          <w:ind w:left="1701" w:hanging="1701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 w16cid:durableId="668143199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ascii="Helvitica" w:hAnsi="Helvitica" w:hint="default"/>
          <w:b/>
          <w:bCs w:val="0"/>
          <w:i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4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Normalparatextwithnumbers"/>
        <w:lvlText w:val="%1.%2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Restart w:val="1"/>
        <w:pStyle w:val="DiagramHeading"/>
        <w:suff w:val="space"/>
        <w:lvlText w:val="Diagram %1.%3"/>
        <w:lvlJc w:val="left"/>
        <w:pPr>
          <w:ind w:left="1701" w:hanging="1701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space"/>
        <w:lvlText w:val="Example %1.%4"/>
        <w:lvlJc w:val="left"/>
        <w:pPr>
          <w:ind w:left="1701" w:hanging="1701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"/>
        <w:suff w:val="space"/>
        <w:lvlText w:val="Table %1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8" w16cid:durableId="668099609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ascii="Helvitica" w:hAnsi="Helvitica" w:hint="default"/>
          <w:b/>
          <w:bCs w:val="0"/>
          <w:i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4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Normalparatextwithnumbers"/>
        <w:lvlText w:val="%1.%2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Restart w:val="1"/>
        <w:pStyle w:val="DiagramHeading"/>
        <w:suff w:val="space"/>
        <w:lvlText w:val="Diagram %1.%3"/>
        <w:lvlJc w:val="left"/>
        <w:pPr>
          <w:ind w:left="1701" w:hanging="1701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space"/>
        <w:lvlText w:val="Example %1.%4"/>
        <w:lvlJc w:val="left"/>
        <w:pPr>
          <w:ind w:left="1701" w:hanging="1701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"/>
        <w:suff w:val="space"/>
        <w:lvlText w:val="Table %1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9" w16cid:durableId="472406604">
    <w:abstractNumId w:val="7"/>
  </w:num>
  <w:num w:numId="30" w16cid:durableId="1055859504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ascii="Helvitica" w:hAnsi="Helvitica" w:hint="default"/>
          <w:b/>
          <w:bCs w:val="0"/>
          <w:i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4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Normalparatextwithnumbers"/>
        <w:lvlText w:val="%1.%2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Restart w:val="1"/>
        <w:pStyle w:val="DiagramHeading"/>
        <w:suff w:val="space"/>
        <w:lvlText w:val="Diagram %1.%3"/>
        <w:lvlJc w:val="left"/>
        <w:pPr>
          <w:ind w:left="1701" w:hanging="1701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space"/>
        <w:lvlText w:val="Example %1.%4"/>
        <w:lvlJc w:val="left"/>
        <w:pPr>
          <w:ind w:left="1701" w:hanging="1701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"/>
        <w:suff w:val="space"/>
        <w:lvlText w:val="Table %1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1" w16cid:durableId="1307860510">
    <w:abstractNumId w:val="7"/>
  </w:num>
  <w:num w:numId="32" w16cid:durableId="244993873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ascii="Helvitica" w:hAnsi="Helvitica" w:hint="default"/>
          <w:b/>
          <w:bCs w:val="0"/>
          <w:i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4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Normalparatextwithnumbers"/>
        <w:lvlText w:val="%1.%2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Restart w:val="1"/>
        <w:pStyle w:val="DiagramHeading"/>
        <w:suff w:val="space"/>
        <w:lvlText w:val="Diagram %1.%3"/>
        <w:lvlJc w:val="left"/>
        <w:pPr>
          <w:ind w:left="1701" w:hanging="1701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space"/>
        <w:lvlText w:val="Example %1.%4"/>
        <w:lvlJc w:val="left"/>
        <w:pPr>
          <w:ind w:left="1701" w:hanging="1701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"/>
        <w:suff w:val="space"/>
        <w:lvlText w:val="Table %1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3" w16cid:durableId="22873066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ascii="Helvitica" w:hAnsi="Helvitica" w:hint="default"/>
          <w:b/>
          <w:bCs w:val="0"/>
          <w:i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4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Normalparatextwithnumbers"/>
        <w:lvlText w:val="%1.%2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Restart w:val="1"/>
        <w:pStyle w:val="DiagramHeading"/>
        <w:suff w:val="space"/>
        <w:lvlText w:val="Diagram %1.%3"/>
        <w:lvlJc w:val="left"/>
        <w:pPr>
          <w:ind w:left="1701" w:hanging="1701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space"/>
        <w:lvlText w:val="Example %1.%4"/>
        <w:lvlJc w:val="left"/>
        <w:pPr>
          <w:ind w:left="1701" w:hanging="1701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"/>
        <w:suff w:val="space"/>
        <w:lvlText w:val="Table %1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4" w16cid:durableId="1905410917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ascii="Helvitica" w:hAnsi="Helvitica" w:hint="default"/>
          <w:b/>
          <w:bCs w:val="0"/>
          <w:i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4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Normalparatextwithnumbers"/>
        <w:lvlText w:val="%1.%2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Restart w:val="1"/>
        <w:pStyle w:val="DiagramHeading"/>
        <w:suff w:val="space"/>
        <w:lvlText w:val="Diagram %1.%3"/>
        <w:lvlJc w:val="left"/>
        <w:pPr>
          <w:ind w:left="1701" w:hanging="1701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space"/>
        <w:lvlText w:val="Example %1.%4"/>
        <w:lvlJc w:val="left"/>
        <w:pPr>
          <w:ind w:left="1701" w:hanging="1701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"/>
        <w:suff w:val="space"/>
        <w:lvlText w:val="Table %1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5" w16cid:durableId="2058115172">
    <w:abstractNumId w:val="7"/>
  </w:num>
  <w:num w:numId="36" w16cid:durableId="1187523495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ascii="Helvitica" w:hAnsi="Helvitica" w:hint="default"/>
          <w:b/>
          <w:bCs w:val="0"/>
          <w:i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4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Normalparatextwithnumbers"/>
        <w:lvlText w:val="%1.%2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Restart w:val="1"/>
        <w:pStyle w:val="DiagramHeading"/>
        <w:suff w:val="space"/>
        <w:lvlText w:val="Diagram %1.%3"/>
        <w:lvlJc w:val="left"/>
        <w:pPr>
          <w:ind w:left="1701" w:hanging="1701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space"/>
        <w:lvlText w:val="Example %1.%4"/>
        <w:lvlJc w:val="left"/>
        <w:pPr>
          <w:ind w:left="1701" w:hanging="1701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"/>
        <w:suff w:val="space"/>
        <w:lvlText w:val="Table %1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7" w16cid:durableId="261454264">
    <w:abstractNumId w:val="7"/>
  </w:num>
  <w:num w:numId="38" w16cid:durableId="1512137425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ascii="Helvitica" w:hAnsi="Helvitica" w:hint="default"/>
          <w:b/>
          <w:bCs w:val="0"/>
          <w:i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4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Normalparatextwithnumbers"/>
        <w:lvlText w:val="%1.%2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Restart w:val="1"/>
        <w:pStyle w:val="DiagramHeading"/>
        <w:suff w:val="space"/>
        <w:lvlText w:val="Diagram %1.%3"/>
        <w:lvlJc w:val="left"/>
        <w:pPr>
          <w:ind w:left="1701" w:hanging="1701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space"/>
        <w:lvlText w:val="Example %1.%4"/>
        <w:lvlJc w:val="left"/>
        <w:pPr>
          <w:ind w:left="1701" w:hanging="1701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"/>
        <w:suff w:val="space"/>
        <w:lvlText w:val="Table %1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93"/>
    <w:rsid w:val="0000056C"/>
    <w:rsid w:val="00000BFC"/>
    <w:rsid w:val="00001516"/>
    <w:rsid w:val="000017B4"/>
    <w:rsid w:val="00001CF4"/>
    <w:rsid w:val="000028B4"/>
    <w:rsid w:val="00002B26"/>
    <w:rsid w:val="00002C1E"/>
    <w:rsid w:val="00002F6C"/>
    <w:rsid w:val="000035A0"/>
    <w:rsid w:val="00003F7F"/>
    <w:rsid w:val="0000411C"/>
    <w:rsid w:val="00004302"/>
    <w:rsid w:val="000045AB"/>
    <w:rsid w:val="00004763"/>
    <w:rsid w:val="0000476E"/>
    <w:rsid w:val="00005B04"/>
    <w:rsid w:val="0000768A"/>
    <w:rsid w:val="00010E15"/>
    <w:rsid w:val="00010E9E"/>
    <w:rsid w:val="00010FDC"/>
    <w:rsid w:val="000118CD"/>
    <w:rsid w:val="00011FF4"/>
    <w:rsid w:val="00012858"/>
    <w:rsid w:val="00012DA6"/>
    <w:rsid w:val="00012FE3"/>
    <w:rsid w:val="00013417"/>
    <w:rsid w:val="00014179"/>
    <w:rsid w:val="000144AC"/>
    <w:rsid w:val="00014510"/>
    <w:rsid w:val="00014A18"/>
    <w:rsid w:val="00014CE0"/>
    <w:rsid w:val="0001532A"/>
    <w:rsid w:val="000155D9"/>
    <w:rsid w:val="00017B8A"/>
    <w:rsid w:val="00017E15"/>
    <w:rsid w:val="00020E7B"/>
    <w:rsid w:val="00021DAA"/>
    <w:rsid w:val="000221B8"/>
    <w:rsid w:val="000225EA"/>
    <w:rsid w:val="00024187"/>
    <w:rsid w:val="000254EF"/>
    <w:rsid w:val="000258D1"/>
    <w:rsid w:val="00026703"/>
    <w:rsid w:val="00026C98"/>
    <w:rsid w:val="00027EC4"/>
    <w:rsid w:val="000311B5"/>
    <w:rsid w:val="00031CE8"/>
    <w:rsid w:val="00031E37"/>
    <w:rsid w:val="00033B22"/>
    <w:rsid w:val="00034111"/>
    <w:rsid w:val="00034B55"/>
    <w:rsid w:val="000350AA"/>
    <w:rsid w:val="00035DEA"/>
    <w:rsid w:val="00036A28"/>
    <w:rsid w:val="00040058"/>
    <w:rsid w:val="00040303"/>
    <w:rsid w:val="00040689"/>
    <w:rsid w:val="00041348"/>
    <w:rsid w:val="00041BFA"/>
    <w:rsid w:val="000421DD"/>
    <w:rsid w:val="00042428"/>
    <w:rsid w:val="00042AE4"/>
    <w:rsid w:val="00042BD2"/>
    <w:rsid w:val="00043000"/>
    <w:rsid w:val="00043046"/>
    <w:rsid w:val="00043826"/>
    <w:rsid w:val="00043E8E"/>
    <w:rsid w:val="00044B88"/>
    <w:rsid w:val="00045602"/>
    <w:rsid w:val="000456A1"/>
    <w:rsid w:val="00045ED7"/>
    <w:rsid w:val="00046600"/>
    <w:rsid w:val="000466BA"/>
    <w:rsid w:val="00047201"/>
    <w:rsid w:val="00047BCA"/>
    <w:rsid w:val="00047D38"/>
    <w:rsid w:val="00047FF2"/>
    <w:rsid w:val="000502F8"/>
    <w:rsid w:val="00050768"/>
    <w:rsid w:val="00050CE7"/>
    <w:rsid w:val="00051718"/>
    <w:rsid w:val="0005210E"/>
    <w:rsid w:val="000522FF"/>
    <w:rsid w:val="000524EC"/>
    <w:rsid w:val="00052751"/>
    <w:rsid w:val="000551CF"/>
    <w:rsid w:val="000565D1"/>
    <w:rsid w:val="0005686C"/>
    <w:rsid w:val="00057D80"/>
    <w:rsid w:val="00060695"/>
    <w:rsid w:val="0006074B"/>
    <w:rsid w:val="000611DE"/>
    <w:rsid w:val="00062151"/>
    <w:rsid w:val="00063896"/>
    <w:rsid w:val="00064FDC"/>
    <w:rsid w:val="000653EF"/>
    <w:rsid w:val="00065693"/>
    <w:rsid w:val="00065EE4"/>
    <w:rsid w:val="00066E09"/>
    <w:rsid w:val="00067345"/>
    <w:rsid w:val="00067770"/>
    <w:rsid w:val="00067AEA"/>
    <w:rsid w:val="000708C8"/>
    <w:rsid w:val="0007160C"/>
    <w:rsid w:val="00071A23"/>
    <w:rsid w:val="00072862"/>
    <w:rsid w:val="00073822"/>
    <w:rsid w:val="000741F3"/>
    <w:rsid w:val="000763FB"/>
    <w:rsid w:val="000769A2"/>
    <w:rsid w:val="000814E9"/>
    <w:rsid w:val="000825CA"/>
    <w:rsid w:val="00083781"/>
    <w:rsid w:val="00083CE7"/>
    <w:rsid w:val="00084917"/>
    <w:rsid w:val="0008557F"/>
    <w:rsid w:val="000862EC"/>
    <w:rsid w:val="000869C2"/>
    <w:rsid w:val="00086B2A"/>
    <w:rsid w:val="00087F47"/>
    <w:rsid w:val="00087FE9"/>
    <w:rsid w:val="000907E6"/>
    <w:rsid w:val="00090A2C"/>
    <w:rsid w:val="0009294E"/>
    <w:rsid w:val="000939B3"/>
    <w:rsid w:val="000939D9"/>
    <w:rsid w:val="00093E7F"/>
    <w:rsid w:val="000940FD"/>
    <w:rsid w:val="0009416A"/>
    <w:rsid w:val="000943EE"/>
    <w:rsid w:val="0009685B"/>
    <w:rsid w:val="0009705A"/>
    <w:rsid w:val="000A100C"/>
    <w:rsid w:val="000A11FD"/>
    <w:rsid w:val="000A1E4B"/>
    <w:rsid w:val="000A3230"/>
    <w:rsid w:val="000A33CF"/>
    <w:rsid w:val="000A371F"/>
    <w:rsid w:val="000A4EB2"/>
    <w:rsid w:val="000A5961"/>
    <w:rsid w:val="000A5F4A"/>
    <w:rsid w:val="000A6173"/>
    <w:rsid w:val="000A7982"/>
    <w:rsid w:val="000B0730"/>
    <w:rsid w:val="000B231A"/>
    <w:rsid w:val="000B26C6"/>
    <w:rsid w:val="000B3302"/>
    <w:rsid w:val="000B36E2"/>
    <w:rsid w:val="000B44C9"/>
    <w:rsid w:val="000B4B24"/>
    <w:rsid w:val="000B53F8"/>
    <w:rsid w:val="000B62E8"/>
    <w:rsid w:val="000B6415"/>
    <w:rsid w:val="000B6B3E"/>
    <w:rsid w:val="000B7D6E"/>
    <w:rsid w:val="000C1013"/>
    <w:rsid w:val="000C1283"/>
    <w:rsid w:val="000C3494"/>
    <w:rsid w:val="000C4AE5"/>
    <w:rsid w:val="000C50B4"/>
    <w:rsid w:val="000C56F4"/>
    <w:rsid w:val="000C5CB0"/>
    <w:rsid w:val="000C6CAD"/>
    <w:rsid w:val="000C787B"/>
    <w:rsid w:val="000C7BBA"/>
    <w:rsid w:val="000D1022"/>
    <w:rsid w:val="000D302E"/>
    <w:rsid w:val="000D40DF"/>
    <w:rsid w:val="000D4CC3"/>
    <w:rsid w:val="000D7EF0"/>
    <w:rsid w:val="000E0325"/>
    <w:rsid w:val="000E05C3"/>
    <w:rsid w:val="000E0B01"/>
    <w:rsid w:val="000E222A"/>
    <w:rsid w:val="000E22A3"/>
    <w:rsid w:val="000E280D"/>
    <w:rsid w:val="000E499D"/>
    <w:rsid w:val="000E4D39"/>
    <w:rsid w:val="000E521B"/>
    <w:rsid w:val="000E6773"/>
    <w:rsid w:val="000E6BBF"/>
    <w:rsid w:val="000E7003"/>
    <w:rsid w:val="000E768E"/>
    <w:rsid w:val="000F12D9"/>
    <w:rsid w:val="000F2F19"/>
    <w:rsid w:val="000F349F"/>
    <w:rsid w:val="000F38FB"/>
    <w:rsid w:val="000F3D3B"/>
    <w:rsid w:val="000F4364"/>
    <w:rsid w:val="000F4797"/>
    <w:rsid w:val="000F4B2E"/>
    <w:rsid w:val="000F4C02"/>
    <w:rsid w:val="000F50E5"/>
    <w:rsid w:val="000F53AC"/>
    <w:rsid w:val="000F5A61"/>
    <w:rsid w:val="000F5C07"/>
    <w:rsid w:val="001003C3"/>
    <w:rsid w:val="00100FAB"/>
    <w:rsid w:val="00101340"/>
    <w:rsid w:val="001019D4"/>
    <w:rsid w:val="00104580"/>
    <w:rsid w:val="00105E85"/>
    <w:rsid w:val="00106198"/>
    <w:rsid w:val="001064C7"/>
    <w:rsid w:val="00106681"/>
    <w:rsid w:val="00106FDC"/>
    <w:rsid w:val="00107516"/>
    <w:rsid w:val="00110237"/>
    <w:rsid w:val="00110318"/>
    <w:rsid w:val="001103CE"/>
    <w:rsid w:val="00110E9B"/>
    <w:rsid w:val="00111264"/>
    <w:rsid w:val="001118B3"/>
    <w:rsid w:val="001130CF"/>
    <w:rsid w:val="001131C4"/>
    <w:rsid w:val="0011368D"/>
    <w:rsid w:val="00113A36"/>
    <w:rsid w:val="0011417F"/>
    <w:rsid w:val="0011422E"/>
    <w:rsid w:val="00115509"/>
    <w:rsid w:val="00115DB7"/>
    <w:rsid w:val="001169B4"/>
    <w:rsid w:val="00116F0B"/>
    <w:rsid w:val="00117158"/>
    <w:rsid w:val="00117CAD"/>
    <w:rsid w:val="00120E1A"/>
    <w:rsid w:val="00121E2B"/>
    <w:rsid w:val="0012252A"/>
    <w:rsid w:val="00122739"/>
    <w:rsid w:val="001227A2"/>
    <w:rsid w:val="00122FE3"/>
    <w:rsid w:val="001236D6"/>
    <w:rsid w:val="00124AC5"/>
    <w:rsid w:val="001268C9"/>
    <w:rsid w:val="001274CA"/>
    <w:rsid w:val="00127763"/>
    <w:rsid w:val="00127F46"/>
    <w:rsid w:val="001323DD"/>
    <w:rsid w:val="001329AC"/>
    <w:rsid w:val="00132E57"/>
    <w:rsid w:val="001349F5"/>
    <w:rsid w:val="001350BA"/>
    <w:rsid w:val="0013524D"/>
    <w:rsid w:val="001379AC"/>
    <w:rsid w:val="00141701"/>
    <w:rsid w:val="00142DA3"/>
    <w:rsid w:val="00144AC6"/>
    <w:rsid w:val="00145493"/>
    <w:rsid w:val="00145BBE"/>
    <w:rsid w:val="00146318"/>
    <w:rsid w:val="001477E1"/>
    <w:rsid w:val="001479E9"/>
    <w:rsid w:val="00150573"/>
    <w:rsid w:val="00150B31"/>
    <w:rsid w:val="00153323"/>
    <w:rsid w:val="00153C77"/>
    <w:rsid w:val="00153F37"/>
    <w:rsid w:val="001557A9"/>
    <w:rsid w:val="001562E2"/>
    <w:rsid w:val="00157FCF"/>
    <w:rsid w:val="00160062"/>
    <w:rsid w:val="001603F9"/>
    <w:rsid w:val="00160859"/>
    <w:rsid w:val="00161944"/>
    <w:rsid w:val="00161C98"/>
    <w:rsid w:val="00162D5D"/>
    <w:rsid w:val="00162D9B"/>
    <w:rsid w:val="00163457"/>
    <w:rsid w:val="00163563"/>
    <w:rsid w:val="001636F0"/>
    <w:rsid w:val="00163D27"/>
    <w:rsid w:val="00164B1D"/>
    <w:rsid w:val="00164E83"/>
    <w:rsid w:val="00164EBE"/>
    <w:rsid w:val="00167B9C"/>
    <w:rsid w:val="00170C78"/>
    <w:rsid w:val="0017149C"/>
    <w:rsid w:val="00171A68"/>
    <w:rsid w:val="00171EA8"/>
    <w:rsid w:val="00172497"/>
    <w:rsid w:val="001741A2"/>
    <w:rsid w:val="001743D4"/>
    <w:rsid w:val="00174A70"/>
    <w:rsid w:val="00174B83"/>
    <w:rsid w:val="00175180"/>
    <w:rsid w:val="001759A4"/>
    <w:rsid w:val="00175A55"/>
    <w:rsid w:val="00175A88"/>
    <w:rsid w:val="00175F22"/>
    <w:rsid w:val="00176A02"/>
    <w:rsid w:val="00176F33"/>
    <w:rsid w:val="00180E6B"/>
    <w:rsid w:val="00182922"/>
    <w:rsid w:val="00182E94"/>
    <w:rsid w:val="001830AA"/>
    <w:rsid w:val="001835A9"/>
    <w:rsid w:val="0018434D"/>
    <w:rsid w:val="00184983"/>
    <w:rsid w:val="0018646E"/>
    <w:rsid w:val="001865A9"/>
    <w:rsid w:val="00187C0C"/>
    <w:rsid w:val="00187ED1"/>
    <w:rsid w:val="0019129D"/>
    <w:rsid w:val="001913A1"/>
    <w:rsid w:val="001915E1"/>
    <w:rsid w:val="00191FA2"/>
    <w:rsid w:val="0019288A"/>
    <w:rsid w:val="00193855"/>
    <w:rsid w:val="00194463"/>
    <w:rsid w:val="001946FB"/>
    <w:rsid w:val="001949E0"/>
    <w:rsid w:val="00195455"/>
    <w:rsid w:val="00195A1B"/>
    <w:rsid w:val="00195D1C"/>
    <w:rsid w:val="00196951"/>
    <w:rsid w:val="00196C2E"/>
    <w:rsid w:val="001977E8"/>
    <w:rsid w:val="001A132F"/>
    <w:rsid w:val="001A2A08"/>
    <w:rsid w:val="001A384D"/>
    <w:rsid w:val="001A3F8A"/>
    <w:rsid w:val="001A5DD5"/>
    <w:rsid w:val="001A6E5B"/>
    <w:rsid w:val="001A70AE"/>
    <w:rsid w:val="001A7F26"/>
    <w:rsid w:val="001B02D7"/>
    <w:rsid w:val="001B07FA"/>
    <w:rsid w:val="001B09DB"/>
    <w:rsid w:val="001B11F9"/>
    <w:rsid w:val="001B1306"/>
    <w:rsid w:val="001B285C"/>
    <w:rsid w:val="001B38BE"/>
    <w:rsid w:val="001B4031"/>
    <w:rsid w:val="001B6910"/>
    <w:rsid w:val="001B7F5E"/>
    <w:rsid w:val="001C040F"/>
    <w:rsid w:val="001C1338"/>
    <w:rsid w:val="001C1714"/>
    <w:rsid w:val="001C1D2E"/>
    <w:rsid w:val="001C239F"/>
    <w:rsid w:val="001C36FC"/>
    <w:rsid w:val="001C3FC8"/>
    <w:rsid w:val="001C4E49"/>
    <w:rsid w:val="001C5CBF"/>
    <w:rsid w:val="001C70A2"/>
    <w:rsid w:val="001C78BF"/>
    <w:rsid w:val="001D1421"/>
    <w:rsid w:val="001D1CD1"/>
    <w:rsid w:val="001D4005"/>
    <w:rsid w:val="001D4D87"/>
    <w:rsid w:val="001D5071"/>
    <w:rsid w:val="001D6FDF"/>
    <w:rsid w:val="001E00E3"/>
    <w:rsid w:val="001E01BF"/>
    <w:rsid w:val="001E0E8F"/>
    <w:rsid w:val="001E105D"/>
    <w:rsid w:val="001E1B3F"/>
    <w:rsid w:val="001E2879"/>
    <w:rsid w:val="001E2A21"/>
    <w:rsid w:val="001E5092"/>
    <w:rsid w:val="001E542E"/>
    <w:rsid w:val="001E63E3"/>
    <w:rsid w:val="001F0E17"/>
    <w:rsid w:val="001F1094"/>
    <w:rsid w:val="001F22F2"/>
    <w:rsid w:val="001F2E5E"/>
    <w:rsid w:val="001F346C"/>
    <w:rsid w:val="001F3624"/>
    <w:rsid w:val="001F3865"/>
    <w:rsid w:val="001F402B"/>
    <w:rsid w:val="001F49D7"/>
    <w:rsid w:val="001F5DC9"/>
    <w:rsid w:val="001F670B"/>
    <w:rsid w:val="002023DC"/>
    <w:rsid w:val="00202669"/>
    <w:rsid w:val="002028D1"/>
    <w:rsid w:val="00202D3C"/>
    <w:rsid w:val="002038E8"/>
    <w:rsid w:val="002054F1"/>
    <w:rsid w:val="0020555D"/>
    <w:rsid w:val="00205AFF"/>
    <w:rsid w:val="002066FE"/>
    <w:rsid w:val="002069F1"/>
    <w:rsid w:val="002075A8"/>
    <w:rsid w:val="00210A3E"/>
    <w:rsid w:val="00211178"/>
    <w:rsid w:val="00212768"/>
    <w:rsid w:val="00212ECD"/>
    <w:rsid w:val="00214695"/>
    <w:rsid w:val="002165C8"/>
    <w:rsid w:val="002167DC"/>
    <w:rsid w:val="00216B48"/>
    <w:rsid w:val="00220146"/>
    <w:rsid w:val="002201C4"/>
    <w:rsid w:val="00223ACA"/>
    <w:rsid w:val="002240FF"/>
    <w:rsid w:val="002247C9"/>
    <w:rsid w:val="002248BD"/>
    <w:rsid w:val="002249DD"/>
    <w:rsid w:val="00224C5B"/>
    <w:rsid w:val="00225858"/>
    <w:rsid w:val="00226E34"/>
    <w:rsid w:val="00227503"/>
    <w:rsid w:val="002304CD"/>
    <w:rsid w:val="00230A9B"/>
    <w:rsid w:val="00230C17"/>
    <w:rsid w:val="0023107E"/>
    <w:rsid w:val="002322AD"/>
    <w:rsid w:val="002332F6"/>
    <w:rsid w:val="0023373F"/>
    <w:rsid w:val="0023409D"/>
    <w:rsid w:val="00234AE2"/>
    <w:rsid w:val="00235893"/>
    <w:rsid w:val="002358C8"/>
    <w:rsid w:val="00235C57"/>
    <w:rsid w:val="00236E4E"/>
    <w:rsid w:val="002400C5"/>
    <w:rsid w:val="00240235"/>
    <w:rsid w:val="002425D9"/>
    <w:rsid w:val="00242B21"/>
    <w:rsid w:val="00242B2A"/>
    <w:rsid w:val="0024361A"/>
    <w:rsid w:val="00243728"/>
    <w:rsid w:val="0024593A"/>
    <w:rsid w:val="00246465"/>
    <w:rsid w:val="00246ABE"/>
    <w:rsid w:val="00247836"/>
    <w:rsid w:val="0024784F"/>
    <w:rsid w:val="00250844"/>
    <w:rsid w:val="00250D05"/>
    <w:rsid w:val="0025139C"/>
    <w:rsid w:val="00251B22"/>
    <w:rsid w:val="00252250"/>
    <w:rsid w:val="002529E2"/>
    <w:rsid w:val="002530F9"/>
    <w:rsid w:val="00255855"/>
    <w:rsid w:val="0025600E"/>
    <w:rsid w:val="00256542"/>
    <w:rsid w:val="0025690C"/>
    <w:rsid w:val="00256DF3"/>
    <w:rsid w:val="002578DD"/>
    <w:rsid w:val="00257E00"/>
    <w:rsid w:val="00260537"/>
    <w:rsid w:val="002609E4"/>
    <w:rsid w:val="00260B8B"/>
    <w:rsid w:val="00261457"/>
    <w:rsid w:val="002618D6"/>
    <w:rsid w:val="00261EFF"/>
    <w:rsid w:val="002637FB"/>
    <w:rsid w:val="00263BC0"/>
    <w:rsid w:val="00263C34"/>
    <w:rsid w:val="00264B14"/>
    <w:rsid w:val="00265E56"/>
    <w:rsid w:val="0026787E"/>
    <w:rsid w:val="0027000D"/>
    <w:rsid w:val="00270433"/>
    <w:rsid w:val="002704BC"/>
    <w:rsid w:val="00270C40"/>
    <w:rsid w:val="00270E9D"/>
    <w:rsid w:val="00272141"/>
    <w:rsid w:val="0027278A"/>
    <w:rsid w:val="00272B70"/>
    <w:rsid w:val="0027322A"/>
    <w:rsid w:val="002737CA"/>
    <w:rsid w:val="00273927"/>
    <w:rsid w:val="00274D5C"/>
    <w:rsid w:val="0027567F"/>
    <w:rsid w:val="00276656"/>
    <w:rsid w:val="00276753"/>
    <w:rsid w:val="00276C09"/>
    <w:rsid w:val="002778C1"/>
    <w:rsid w:val="00280FA9"/>
    <w:rsid w:val="002810D9"/>
    <w:rsid w:val="0028123A"/>
    <w:rsid w:val="002816EB"/>
    <w:rsid w:val="00281F01"/>
    <w:rsid w:val="0028321D"/>
    <w:rsid w:val="002837A2"/>
    <w:rsid w:val="00283AF9"/>
    <w:rsid w:val="00283BB3"/>
    <w:rsid w:val="00284065"/>
    <w:rsid w:val="00284743"/>
    <w:rsid w:val="00284AE9"/>
    <w:rsid w:val="00284EF3"/>
    <w:rsid w:val="0028502D"/>
    <w:rsid w:val="002857C5"/>
    <w:rsid w:val="002857D4"/>
    <w:rsid w:val="00286BC6"/>
    <w:rsid w:val="002872AB"/>
    <w:rsid w:val="0029149C"/>
    <w:rsid w:val="00291D57"/>
    <w:rsid w:val="00291F48"/>
    <w:rsid w:val="00292BBA"/>
    <w:rsid w:val="00293361"/>
    <w:rsid w:val="002935AC"/>
    <w:rsid w:val="002941CA"/>
    <w:rsid w:val="002948B7"/>
    <w:rsid w:val="00295616"/>
    <w:rsid w:val="0029621D"/>
    <w:rsid w:val="00296D51"/>
    <w:rsid w:val="00296D8B"/>
    <w:rsid w:val="00297081"/>
    <w:rsid w:val="002970D4"/>
    <w:rsid w:val="00297611"/>
    <w:rsid w:val="00297658"/>
    <w:rsid w:val="00297A16"/>
    <w:rsid w:val="002A05C5"/>
    <w:rsid w:val="002A1179"/>
    <w:rsid w:val="002A1927"/>
    <w:rsid w:val="002A1932"/>
    <w:rsid w:val="002A2137"/>
    <w:rsid w:val="002A4160"/>
    <w:rsid w:val="002A5142"/>
    <w:rsid w:val="002A52E5"/>
    <w:rsid w:val="002A5758"/>
    <w:rsid w:val="002A6B42"/>
    <w:rsid w:val="002A7222"/>
    <w:rsid w:val="002A7240"/>
    <w:rsid w:val="002B05A1"/>
    <w:rsid w:val="002B0B67"/>
    <w:rsid w:val="002B0ECF"/>
    <w:rsid w:val="002B137A"/>
    <w:rsid w:val="002B13DC"/>
    <w:rsid w:val="002B1D9E"/>
    <w:rsid w:val="002B2CA4"/>
    <w:rsid w:val="002B30AF"/>
    <w:rsid w:val="002B31A3"/>
    <w:rsid w:val="002B32DE"/>
    <w:rsid w:val="002B6157"/>
    <w:rsid w:val="002B623C"/>
    <w:rsid w:val="002B65EF"/>
    <w:rsid w:val="002B66C2"/>
    <w:rsid w:val="002B6F60"/>
    <w:rsid w:val="002B787B"/>
    <w:rsid w:val="002B7DA3"/>
    <w:rsid w:val="002C04A8"/>
    <w:rsid w:val="002C060B"/>
    <w:rsid w:val="002C4C66"/>
    <w:rsid w:val="002C78D6"/>
    <w:rsid w:val="002D080A"/>
    <w:rsid w:val="002D0A71"/>
    <w:rsid w:val="002D1079"/>
    <w:rsid w:val="002D1783"/>
    <w:rsid w:val="002D2E42"/>
    <w:rsid w:val="002D552B"/>
    <w:rsid w:val="002D55F0"/>
    <w:rsid w:val="002D61F1"/>
    <w:rsid w:val="002D6664"/>
    <w:rsid w:val="002D777E"/>
    <w:rsid w:val="002D7FD5"/>
    <w:rsid w:val="002E04D2"/>
    <w:rsid w:val="002E08AF"/>
    <w:rsid w:val="002E0FEA"/>
    <w:rsid w:val="002E1780"/>
    <w:rsid w:val="002E1AEA"/>
    <w:rsid w:val="002E2FA9"/>
    <w:rsid w:val="002E35C5"/>
    <w:rsid w:val="002E4270"/>
    <w:rsid w:val="002E4857"/>
    <w:rsid w:val="002E65D6"/>
    <w:rsid w:val="002E694F"/>
    <w:rsid w:val="002F08B1"/>
    <w:rsid w:val="002F0A6E"/>
    <w:rsid w:val="002F15B5"/>
    <w:rsid w:val="002F1CB0"/>
    <w:rsid w:val="002F22D3"/>
    <w:rsid w:val="002F4B60"/>
    <w:rsid w:val="002F4BFC"/>
    <w:rsid w:val="002F5302"/>
    <w:rsid w:val="002F5EB5"/>
    <w:rsid w:val="002F76FC"/>
    <w:rsid w:val="003007BB"/>
    <w:rsid w:val="003025BC"/>
    <w:rsid w:val="003030A1"/>
    <w:rsid w:val="00303D6A"/>
    <w:rsid w:val="003042D2"/>
    <w:rsid w:val="003057BF"/>
    <w:rsid w:val="0030597A"/>
    <w:rsid w:val="003065BC"/>
    <w:rsid w:val="003065FF"/>
    <w:rsid w:val="00310097"/>
    <w:rsid w:val="003116C4"/>
    <w:rsid w:val="00311C4A"/>
    <w:rsid w:val="00313CF6"/>
    <w:rsid w:val="00314AA7"/>
    <w:rsid w:val="003151B6"/>
    <w:rsid w:val="0031532B"/>
    <w:rsid w:val="00315815"/>
    <w:rsid w:val="00315D81"/>
    <w:rsid w:val="00315FDD"/>
    <w:rsid w:val="00316F70"/>
    <w:rsid w:val="003205B6"/>
    <w:rsid w:val="00320A01"/>
    <w:rsid w:val="00320E02"/>
    <w:rsid w:val="00320F41"/>
    <w:rsid w:val="0032133B"/>
    <w:rsid w:val="003216B7"/>
    <w:rsid w:val="003226CD"/>
    <w:rsid w:val="00323676"/>
    <w:rsid w:val="00323D60"/>
    <w:rsid w:val="0032564F"/>
    <w:rsid w:val="00325F90"/>
    <w:rsid w:val="003276EF"/>
    <w:rsid w:val="0033175A"/>
    <w:rsid w:val="003318F0"/>
    <w:rsid w:val="00331D2C"/>
    <w:rsid w:val="00332D5C"/>
    <w:rsid w:val="0033397B"/>
    <w:rsid w:val="00333BEA"/>
    <w:rsid w:val="00334636"/>
    <w:rsid w:val="00334851"/>
    <w:rsid w:val="00334B1D"/>
    <w:rsid w:val="00334C03"/>
    <w:rsid w:val="003353AC"/>
    <w:rsid w:val="003356AC"/>
    <w:rsid w:val="003366F0"/>
    <w:rsid w:val="0033692B"/>
    <w:rsid w:val="00340B1C"/>
    <w:rsid w:val="00341AC1"/>
    <w:rsid w:val="00341B04"/>
    <w:rsid w:val="00342A82"/>
    <w:rsid w:val="00344FA7"/>
    <w:rsid w:val="00345CB0"/>
    <w:rsid w:val="003460B8"/>
    <w:rsid w:val="0034626A"/>
    <w:rsid w:val="00346D19"/>
    <w:rsid w:val="00347E44"/>
    <w:rsid w:val="00350091"/>
    <w:rsid w:val="0035085A"/>
    <w:rsid w:val="00350E0D"/>
    <w:rsid w:val="003510A8"/>
    <w:rsid w:val="00351274"/>
    <w:rsid w:val="003515D5"/>
    <w:rsid w:val="00351D4D"/>
    <w:rsid w:val="003525C3"/>
    <w:rsid w:val="00354BC7"/>
    <w:rsid w:val="00355489"/>
    <w:rsid w:val="003556BF"/>
    <w:rsid w:val="003569C7"/>
    <w:rsid w:val="00356C17"/>
    <w:rsid w:val="00356C3B"/>
    <w:rsid w:val="00357F08"/>
    <w:rsid w:val="0036029F"/>
    <w:rsid w:val="00360330"/>
    <w:rsid w:val="00360710"/>
    <w:rsid w:val="003616B5"/>
    <w:rsid w:val="00361BE8"/>
    <w:rsid w:val="003621C3"/>
    <w:rsid w:val="00363570"/>
    <w:rsid w:val="003645F6"/>
    <w:rsid w:val="0036541F"/>
    <w:rsid w:val="00365AAA"/>
    <w:rsid w:val="00365BCF"/>
    <w:rsid w:val="00366410"/>
    <w:rsid w:val="00366948"/>
    <w:rsid w:val="00366A4C"/>
    <w:rsid w:val="00367872"/>
    <w:rsid w:val="0036790F"/>
    <w:rsid w:val="003703C7"/>
    <w:rsid w:val="00371499"/>
    <w:rsid w:val="00374450"/>
    <w:rsid w:val="0037473D"/>
    <w:rsid w:val="00374C4F"/>
    <w:rsid w:val="00376FDD"/>
    <w:rsid w:val="00377D65"/>
    <w:rsid w:val="00380AD4"/>
    <w:rsid w:val="00380BDA"/>
    <w:rsid w:val="00381941"/>
    <w:rsid w:val="0038305D"/>
    <w:rsid w:val="00384ED4"/>
    <w:rsid w:val="0038618E"/>
    <w:rsid w:val="00387402"/>
    <w:rsid w:val="0038746C"/>
    <w:rsid w:val="0039187B"/>
    <w:rsid w:val="00393358"/>
    <w:rsid w:val="003936C1"/>
    <w:rsid w:val="003938E0"/>
    <w:rsid w:val="0039391C"/>
    <w:rsid w:val="003952AD"/>
    <w:rsid w:val="00395390"/>
    <w:rsid w:val="00395A38"/>
    <w:rsid w:val="00395A74"/>
    <w:rsid w:val="00395D5E"/>
    <w:rsid w:val="00396D71"/>
    <w:rsid w:val="003971ED"/>
    <w:rsid w:val="00397237"/>
    <w:rsid w:val="0039740C"/>
    <w:rsid w:val="00397BC3"/>
    <w:rsid w:val="003A0372"/>
    <w:rsid w:val="003A0709"/>
    <w:rsid w:val="003A07DA"/>
    <w:rsid w:val="003A1497"/>
    <w:rsid w:val="003A2229"/>
    <w:rsid w:val="003A3504"/>
    <w:rsid w:val="003A70DA"/>
    <w:rsid w:val="003A76AC"/>
    <w:rsid w:val="003B1C76"/>
    <w:rsid w:val="003B30CB"/>
    <w:rsid w:val="003B3C21"/>
    <w:rsid w:val="003B5136"/>
    <w:rsid w:val="003B7982"/>
    <w:rsid w:val="003C0022"/>
    <w:rsid w:val="003C0F2E"/>
    <w:rsid w:val="003C2D79"/>
    <w:rsid w:val="003C3397"/>
    <w:rsid w:val="003C3721"/>
    <w:rsid w:val="003C591F"/>
    <w:rsid w:val="003C72B9"/>
    <w:rsid w:val="003C781C"/>
    <w:rsid w:val="003D0760"/>
    <w:rsid w:val="003D0A9C"/>
    <w:rsid w:val="003D3A1A"/>
    <w:rsid w:val="003D48FB"/>
    <w:rsid w:val="003D4A59"/>
    <w:rsid w:val="003D5A4F"/>
    <w:rsid w:val="003D6306"/>
    <w:rsid w:val="003E1986"/>
    <w:rsid w:val="003E2BE8"/>
    <w:rsid w:val="003E2DEF"/>
    <w:rsid w:val="003E2FCB"/>
    <w:rsid w:val="003E3E32"/>
    <w:rsid w:val="003E5DD1"/>
    <w:rsid w:val="003E7403"/>
    <w:rsid w:val="003E7715"/>
    <w:rsid w:val="003F01E1"/>
    <w:rsid w:val="003F0691"/>
    <w:rsid w:val="003F14AF"/>
    <w:rsid w:val="003F1AD7"/>
    <w:rsid w:val="003F27F5"/>
    <w:rsid w:val="003F2B3C"/>
    <w:rsid w:val="003F3031"/>
    <w:rsid w:val="003F47BA"/>
    <w:rsid w:val="003F4953"/>
    <w:rsid w:val="003F531D"/>
    <w:rsid w:val="003F5359"/>
    <w:rsid w:val="003F579E"/>
    <w:rsid w:val="003F68BF"/>
    <w:rsid w:val="003F763A"/>
    <w:rsid w:val="003F7E1B"/>
    <w:rsid w:val="00400155"/>
    <w:rsid w:val="00400A1A"/>
    <w:rsid w:val="004010E0"/>
    <w:rsid w:val="00401669"/>
    <w:rsid w:val="004023F3"/>
    <w:rsid w:val="00402F85"/>
    <w:rsid w:val="004034B2"/>
    <w:rsid w:val="00403522"/>
    <w:rsid w:val="004041D3"/>
    <w:rsid w:val="004072AA"/>
    <w:rsid w:val="00407428"/>
    <w:rsid w:val="004075A8"/>
    <w:rsid w:val="0041238D"/>
    <w:rsid w:val="00412B40"/>
    <w:rsid w:val="00412D1B"/>
    <w:rsid w:val="00412E44"/>
    <w:rsid w:val="0041341D"/>
    <w:rsid w:val="004137CD"/>
    <w:rsid w:val="00414017"/>
    <w:rsid w:val="004148D3"/>
    <w:rsid w:val="004155DB"/>
    <w:rsid w:val="00415DB6"/>
    <w:rsid w:val="0041623E"/>
    <w:rsid w:val="004203D9"/>
    <w:rsid w:val="00420430"/>
    <w:rsid w:val="0042046C"/>
    <w:rsid w:val="004207B7"/>
    <w:rsid w:val="00421667"/>
    <w:rsid w:val="00421886"/>
    <w:rsid w:val="0042207A"/>
    <w:rsid w:val="00423B1F"/>
    <w:rsid w:val="00425213"/>
    <w:rsid w:val="004253B0"/>
    <w:rsid w:val="00426024"/>
    <w:rsid w:val="00426269"/>
    <w:rsid w:val="00426902"/>
    <w:rsid w:val="00427E54"/>
    <w:rsid w:val="00427EDF"/>
    <w:rsid w:val="004302A7"/>
    <w:rsid w:val="00430A32"/>
    <w:rsid w:val="004310FB"/>
    <w:rsid w:val="00432200"/>
    <w:rsid w:val="00432532"/>
    <w:rsid w:val="00433AF2"/>
    <w:rsid w:val="004340EE"/>
    <w:rsid w:val="00434A45"/>
    <w:rsid w:val="00435F59"/>
    <w:rsid w:val="00435F6C"/>
    <w:rsid w:val="00436ABE"/>
    <w:rsid w:val="004372B9"/>
    <w:rsid w:val="0044006C"/>
    <w:rsid w:val="00440155"/>
    <w:rsid w:val="004411F1"/>
    <w:rsid w:val="004425F1"/>
    <w:rsid w:val="00444BD5"/>
    <w:rsid w:val="004455AA"/>
    <w:rsid w:val="0044603D"/>
    <w:rsid w:val="00446543"/>
    <w:rsid w:val="00446878"/>
    <w:rsid w:val="00446C71"/>
    <w:rsid w:val="00446D94"/>
    <w:rsid w:val="00447A05"/>
    <w:rsid w:val="004505AF"/>
    <w:rsid w:val="00451207"/>
    <w:rsid w:val="00452642"/>
    <w:rsid w:val="00453049"/>
    <w:rsid w:val="004541EC"/>
    <w:rsid w:val="004554D1"/>
    <w:rsid w:val="0045582B"/>
    <w:rsid w:val="004561A7"/>
    <w:rsid w:val="0045670D"/>
    <w:rsid w:val="00456DE0"/>
    <w:rsid w:val="00457218"/>
    <w:rsid w:val="00457A65"/>
    <w:rsid w:val="004603EF"/>
    <w:rsid w:val="00460F14"/>
    <w:rsid w:val="00461CFD"/>
    <w:rsid w:val="00462C6A"/>
    <w:rsid w:val="00463244"/>
    <w:rsid w:val="004636AA"/>
    <w:rsid w:val="00464473"/>
    <w:rsid w:val="004651BE"/>
    <w:rsid w:val="004661E7"/>
    <w:rsid w:val="00466327"/>
    <w:rsid w:val="0046669C"/>
    <w:rsid w:val="00466EC3"/>
    <w:rsid w:val="004672BE"/>
    <w:rsid w:val="00467FDD"/>
    <w:rsid w:val="00470078"/>
    <w:rsid w:val="004703EA"/>
    <w:rsid w:val="00472943"/>
    <w:rsid w:val="00472E89"/>
    <w:rsid w:val="0047308F"/>
    <w:rsid w:val="004736A6"/>
    <w:rsid w:val="00475212"/>
    <w:rsid w:val="00475291"/>
    <w:rsid w:val="0047574D"/>
    <w:rsid w:val="0047593B"/>
    <w:rsid w:val="00477B13"/>
    <w:rsid w:val="00477C04"/>
    <w:rsid w:val="00480E23"/>
    <w:rsid w:val="00482908"/>
    <w:rsid w:val="004831AF"/>
    <w:rsid w:val="00483B13"/>
    <w:rsid w:val="00485FD0"/>
    <w:rsid w:val="00490261"/>
    <w:rsid w:val="004913A1"/>
    <w:rsid w:val="004917D2"/>
    <w:rsid w:val="00492729"/>
    <w:rsid w:val="00495828"/>
    <w:rsid w:val="00496642"/>
    <w:rsid w:val="0049697B"/>
    <w:rsid w:val="00496AD2"/>
    <w:rsid w:val="00496C21"/>
    <w:rsid w:val="00496E5D"/>
    <w:rsid w:val="004971E2"/>
    <w:rsid w:val="004978B0"/>
    <w:rsid w:val="004A03A0"/>
    <w:rsid w:val="004A10A9"/>
    <w:rsid w:val="004A1626"/>
    <w:rsid w:val="004A23FE"/>
    <w:rsid w:val="004A2899"/>
    <w:rsid w:val="004A3F1B"/>
    <w:rsid w:val="004A4D06"/>
    <w:rsid w:val="004A4E40"/>
    <w:rsid w:val="004A5CBF"/>
    <w:rsid w:val="004A68E8"/>
    <w:rsid w:val="004A756E"/>
    <w:rsid w:val="004B0AAE"/>
    <w:rsid w:val="004B1C70"/>
    <w:rsid w:val="004B1F33"/>
    <w:rsid w:val="004B2FFF"/>
    <w:rsid w:val="004B3687"/>
    <w:rsid w:val="004B405D"/>
    <w:rsid w:val="004B4C42"/>
    <w:rsid w:val="004B56E7"/>
    <w:rsid w:val="004B5A85"/>
    <w:rsid w:val="004B5F7C"/>
    <w:rsid w:val="004B6625"/>
    <w:rsid w:val="004B662B"/>
    <w:rsid w:val="004B6D53"/>
    <w:rsid w:val="004B6DA0"/>
    <w:rsid w:val="004C0286"/>
    <w:rsid w:val="004C03F8"/>
    <w:rsid w:val="004C09B0"/>
    <w:rsid w:val="004C157A"/>
    <w:rsid w:val="004C1801"/>
    <w:rsid w:val="004C2D33"/>
    <w:rsid w:val="004C4267"/>
    <w:rsid w:val="004C5069"/>
    <w:rsid w:val="004C51CF"/>
    <w:rsid w:val="004C530D"/>
    <w:rsid w:val="004C60D5"/>
    <w:rsid w:val="004C659C"/>
    <w:rsid w:val="004D434A"/>
    <w:rsid w:val="004D448A"/>
    <w:rsid w:val="004D5B36"/>
    <w:rsid w:val="004D5F03"/>
    <w:rsid w:val="004D63FA"/>
    <w:rsid w:val="004D717B"/>
    <w:rsid w:val="004D71A9"/>
    <w:rsid w:val="004E1A59"/>
    <w:rsid w:val="004E2198"/>
    <w:rsid w:val="004E4D67"/>
    <w:rsid w:val="004E600E"/>
    <w:rsid w:val="004E6379"/>
    <w:rsid w:val="004E6CD2"/>
    <w:rsid w:val="004E6E19"/>
    <w:rsid w:val="004F13EE"/>
    <w:rsid w:val="004F14F7"/>
    <w:rsid w:val="004F1BEB"/>
    <w:rsid w:val="004F20F1"/>
    <w:rsid w:val="004F23C3"/>
    <w:rsid w:val="004F2DAB"/>
    <w:rsid w:val="004F441A"/>
    <w:rsid w:val="004F4F9F"/>
    <w:rsid w:val="004F58BD"/>
    <w:rsid w:val="004F691E"/>
    <w:rsid w:val="004F7C15"/>
    <w:rsid w:val="00500F56"/>
    <w:rsid w:val="00501E7A"/>
    <w:rsid w:val="00502CF7"/>
    <w:rsid w:val="005043B6"/>
    <w:rsid w:val="0050471C"/>
    <w:rsid w:val="00505347"/>
    <w:rsid w:val="00506177"/>
    <w:rsid w:val="005066F5"/>
    <w:rsid w:val="00506A76"/>
    <w:rsid w:val="00506D90"/>
    <w:rsid w:val="00510620"/>
    <w:rsid w:val="00511BC0"/>
    <w:rsid w:val="00512B1E"/>
    <w:rsid w:val="00513633"/>
    <w:rsid w:val="00514342"/>
    <w:rsid w:val="005144FD"/>
    <w:rsid w:val="0051523C"/>
    <w:rsid w:val="0051688C"/>
    <w:rsid w:val="00516A1C"/>
    <w:rsid w:val="00516DB5"/>
    <w:rsid w:val="0051752E"/>
    <w:rsid w:val="00517AC1"/>
    <w:rsid w:val="00517D6E"/>
    <w:rsid w:val="005204F1"/>
    <w:rsid w:val="005206B5"/>
    <w:rsid w:val="0052095A"/>
    <w:rsid w:val="00520F58"/>
    <w:rsid w:val="00522242"/>
    <w:rsid w:val="005222F5"/>
    <w:rsid w:val="00522AB5"/>
    <w:rsid w:val="00522EF9"/>
    <w:rsid w:val="00523D4F"/>
    <w:rsid w:val="00524505"/>
    <w:rsid w:val="00526298"/>
    <w:rsid w:val="00527882"/>
    <w:rsid w:val="005305A5"/>
    <w:rsid w:val="00531925"/>
    <w:rsid w:val="00531C67"/>
    <w:rsid w:val="005324BA"/>
    <w:rsid w:val="00532C08"/>
    <w:rsid w:val="00532DCE"/>
    <w:rsid w:val="00533029"/>
    <w:rsid w:val="0053311D"/>
    <w:rsid w:val="005338F3"/>
    <w:rsid w:val="005356CB"/>
    <w:rsid w:val="00536C7D"/>
    <w:rsid w:val="00536F95"/>
    <w:rsid w:val="005372EC"/>
    <w:rsid w:val="00537841"/>
    <w:rsid w:val="00537E1E"/>
    <w:rsid w:val="00540DA5"/>
    <w:rsid w:val="00542299"/>
    <w:rsid w:val="00542FA2"/>
    <w:rsid w:val="0054329B"/>
    <w:rsid w:val="0054542E"/>
    <w:rsid w:val="005456C1"/>
    <w:rsid w:val="00545CF9"/>
    <w:rsid w:val="005474A9"/>
    <w:rsid w:val="0055004F"/>
    <w:rsid w:val="005515C0"/>
    <w:rsid w:val="00553417"/>
    <w:rsid w:val="005544DD"/>
    <w:rsid w:val="00554CFE"/>
    <w:rsid w:val="00554D07"/>
    <w:rsid w:val="00555006"/>
    <w:rsid w:val="005555B7"/>
    <w:rsid w:val="005561F4"/>
    <w:rsid w:val="005563D6"/>
    <w:rsid w:val="00557B03"/>
    <w:rsid w:val="00557F9F"/>
    <w:rsid w:val="00560436"/>
    <w:rsid w:val="005613FD"/>
    <w:rsid w:val="00561742"/>
    <w:rsid w:val="0056247A"/>
    <w:rsid w:val="00563174"/>
    <w:rsid w:val="005632D5"/>
    <w:rsid w:val="005657E2"/>
    <w:rsid w:val="005658E3"/>
    <w:rsid w:val="00565BD8"/>
    <w:rsid w:val="0056675C"/>
    <w:rsid w:val="005676AA"/>
    <w:rsid w:val="005676C6"/>
    <w:rsid w:val="0057140C"/>
    <w:rsid w:val="005715C1"/>
    <w:rsid w:val="0057163B"/>
    <w:rsid w:val="005719A5"/>
    <w:rsid w:val="005728E3"/>
    <w:rsid w:val="005734AD"/>
    <w:rsid w:val="00574A6F"/>
    <w:rsid w:val="0057652F"/>
    <w:rsid w:val="00576F39"/>
    <w:rsid w:val="005801F6"/>
    <w:rsid w:val="005802CA"/>
    <w:rsid w:val="00583CAE"/>
    <w:rsid w:val="005844D6"/>
    <w:rsid w:val="0058548A"/>
    <w:rsid w:val="00585E5E"/>
    <w:rsid w:val="00586569"/>
    <w:rsid w:val="00586CE0"/>
    <w:rsid w:val="0058794A"/>
    <w:rsid w:val="005900B5"/>
    <w:rsid w:val="005902B2"/>
    <w:rsid w:val="00590D7F"/>
    <w:rsid w:val="005916A3"/>
    <w:rsid w:val="00591CCB"/>
    <w:rsid w:val="0059200B"/>
    <w:rsid w:val="005924DF"/>
    <w:rsid w:val="0059299E"/>
    <w:rsid w:val="00593EBD"/>
    <w:rsid w:val="005940FF"/>
    <w:rsid w:val="0059434F"/>
    <w:rsid w:val="00594CEA"/>
    <w:rsid w:val="00594F68"/>
    <w:rsid w:val="00595907"/>
    <w:rsid w:val="005968C1"/>
    <w:rsid w:val="005969E0"/>
    <w:rsid w:val="005A00C1"/>
    <w:rsid w:val="005A0FFD"/>
    <w:rsid w:val="005A2A3E"/>
    <w:rsid w:val="005A3101"/>
    <w:rsid w:val="005A3AA3"/>
    <w:rsid w:val="005A4847"/>
    <w:rsid w:val="005A4AD3"/>
    <w:rsid w:val="005A5377"/>
    <w:rsid w:val="005A6169"/>
    <w:rsid w:val="005A6AF6"/>
    <w:rsid w:val="005A7902"/>
    <w:rsid w:val="005B01FB"/>
    <w:rsid w:val="005B08D1"/>
    <w:rsid w:val="005B10E0"/>
    <w:rsid w:val="005B129D"/>
    <w:rsid w:val="005B1645"/>
    <w:rsid w:val="005B1C03"/>
    <w:rsid w:val="005B1C1B"/>
    <w:rsid w:val="005B21E8"/>
    <w:rsid w:val="005B3666"/>
    <w:rsid w:val="005B3A37"/>
    <w:rsid w:val="005B3B52"/>
    <w:rsid w:val="005B53E0"/>
    <w:rsid w:val="005B73AA"/>
    <w:rsid w:val="005B756D"/>
    <w:rsid w:val="005C0C1F"/>
    <w:rsid w:val="005C0E3B"/>
    <w:rsid w:val="005C2BD1"/>
    <w:rsid w:val="005C3B89"/>
    <w:rsid w:val="005C4CD9"/>
    <w:rsid w:val="005C6987"/>
    <w:rsid w:val="005C6AA5"/>
    <w:rsid w:val="005C6B64"/>
    <w:rsid w:val="005C77A2"/>
    <w:rsid w:val="005C7CB5"/>
    <w:rsid w:val="005D0844"/>
    <w:rsid w:val="005D169F"/>
    <w:rsid w:val="005D2AFE"/>
    <w:rsid w:val="005D36B9"/>
    <w:rsid w:val="005D4E78"/>
    <w:rsid w:val="005D52D6"/>
    <w:rsid w:val="005D5F12"/>
    <w:rsid w:val="005D637F"/>
    <w:rsid w:val="005D77EF"/>
    <w:rsid w:val="005D794C"/>
    <w:rsid w:val="005D7D44"/>
    <w:rsid w:val="005E0710"/>
    <w:rsid w:val="005E10DF"/>
    <w:rsid w:val="005E1173"/>
    <w:rsid w:val="005E1542"/>
    <w:rsid w:val="005E1CED"/>
    <w:rsid w:val="005E2992"/>
    <w:rsid w:val="005E4D3F"/>
    <w:rsid w:val="005E5542"/>
    <w:rsid w:val="005E574A"/>
    <w:rsid w:val="005E6E67"/>
    <w:rsid w:val="005E73A8"/>
    <w:rsid w:val="005E7795"/>
    <w:rsid w:val="005F03A2"/>
    <w:rsid w:val="005F2FA4"/>
    <w:rsid w:val="005F4A44"/>
    <w:rsid w:val="005F4C64"/>
    <w:rsid w:val="005F6BD1"/>
    <w:rsid w:val="005F6CE1"/>
    <w:rsid w:val="00601F18"/>
    <w:rsid w:val="00602213"/>
    <w:rsid w:val="00603BD8"/>
    <w:rsid w:val="00603CF9"/>
    <w:rsid w:val="006042C2"/>
    <w:rsid w:val="0060466B"/>
    <w:rsid w:val="00604ADD"/>
    <w:rsid w:val="006072BD"/>
    <w:rsid w:val="006079CC"/>
    <w:rsid w:val="00610791"/>
    <w:rsid w:val="00610808"/>
    <w:rsid w:val="00610FDB"/>
    <w:rsid w:val="00611A1F"/>
    <w:rsid w:val="00611E69"/>
    <w:rsid w:val="00612679"/>
    <w:rsid w:val="00613704"/>
    <w:rsid w:val="00614712"/>
    <w:rsid w:val="00614874"/>
    <w:rsid w:val="00614927"/>
    <w:rsid w:val="00615348"/>
    <w:rsid w:val="00615626"/>
    <w:rsid w:val="006156BD"/>
    <w:rsid w:val="00615821"/>
    <w:rsid w:val="0061582F"/>
    <w:rsid w:val="00616910"/>
    <w:rsid w:val="0061797B"/>
    <w:rsid w:val="0062086F"/>
    <w:rsid w:val="00620FD6"/>
    <w:rsid w:val="00621D57"/>
    <w:rsid w:val="00621FC2"/>
    <w:rsid w:val="0062268C"/>
    <w:rsid w:val="00622763"/>
    <w:rsid w:val="00623578"/>
    <w:rsid w:val="006235C8"/>
    <w:rsid w:val="006237AF"/>
    <w:rsid w:val="00623E69"/>
    <w:rsid w:val="00624194"/>
    <w:rsid w:val="00624905"/>
    <w:rsid w:val="00624C5B"/>
    <w:rsid w:val="00625775"/>
    <w:rsid w:val="00626757"/>
    <w:rsid w:val="00630585"/>
    <w:rsid w:val="00630725"/>
    <w:rsid w:val="006308BB"/>
    <w:rsid w:val="00630D6F"/>
    <w:rsid w:val="00632A7A"/>
    <w:rsid w:val="0064128F"/>
    <w:rsid w:val="006412E4"/>
    <w:rsid w:val="00642090"/>
    <w:rsid w:val="00642420"/>
    <w:rsid w:val="00642ABB"/>
    <w:rsid w:val="00643281"/>
    <w:rsid w:val="0064330A"/>
    <w:rsid w:val="00643FE5"/>
    <w:rsid w:val="006448CB"/>
    <w:rsid w:val="00647121"/>
    <w:rsid w:val="006479AC"/>
    <w:rsid w:val="00647BE0"/>
    <w:rsid w:val="00647F95"/>
    <w:rsid w:val="006515DA"/>
    <w:rsid w:val="00651A00"/>
    <w:rsid w:val="00651A20"/>
    <w:rsid w:val="00651A37"/>
    <w:rsid w:val="006550EF"/>
    <w:rsid w:val="0065560B"/>
    <w:rsid w:val="00655C14"/>
    <w:rsid w:val="00655F5F"/>
    <w:rsid w:val="006576F3"/>
    <w:rsid w:val="00660525"/>
    <w:rsid w:val="0066094C"/>
    <w:rsid w:val="00660C20"/>
    <w:rsid w:val="00660D53"/>
    <w:rsid w:val="00661A21"/>
    <w:rsid w:val="00661C34"/>
    <w:rsid w:val="00662B0B"/>
    <w:rsid w:val="00663363"/>
    <w:rsid w:val="00663E8A"/>
    <w:rsid w:val="006644FB"/>
    <w:rsid w:val="006647D5"/>
    <w:rsid w:val="00664CE5"/>
    <w:rsid w:val="00665650"/>
    <w:rsid w:val="006656E0"/>
    <w:rsid w:val="006672C5"/>
    <w:rsid w:val="00667A0D"/>
    <w:rsid w:val="00667FD6"/>
    <w:rsid w:val="00670576"/>
    <w:rsid w:val="00671126"/>
    <w:rsid w:val="006718F7"/>
    <w:rsid w:val="006722CA"/>
    <w:rsid w:val="00672E29"/>
    <w:rsid w:val="0067357C"/>
    <w:rsid w:val="00674951"/>
    <w:rsid w:val="00675324"/>
    <w:rsid w:val="00675B57"/>
    <w:rsid w:val="00676987"/>
    <w:rsid w:val="00677B40"/>
    <w:rsid w:val="00677E7C"/>
    <w:rsid w:val="00677E80"/>
    <w:rsid w:val="00680432"/>
    <w:rsid w:val="00681B2F"/>
    <w:rsid w:val="00681EE7"/>
    <w:rsid w:val="006829CA"/>
    <w:rsid w:val="00682AFF"/>
    <w:rsid w:val="00683847"/>
    <w:rsid w:val="006847B4"/>
    <w:rsid w:val="0068575C"/>
    <w:rsid w:val="00685B11"/>
    <w:rsid w:val="00690026"/>
    <w:rsid w:val="006906E8"/>
    <w:rsid w:val="00690C32"/>
    <w:rsid w:val="0069228D"/>
    <w:rsid w:val="0069243C"/>
    <w:rsid w:val="00692672"/>
    <w:rsid w:val="00692717"/>
    <w:rsid w:val="0069488E"/>
    <w:rsid w:val="00694DE3"/>
    <w:rsid w:val="00694FED"/>
    <w:rsid w:val="006950A3"/>
    <w:rsid w:val="00695B6C"/>
    <w:rsid w:val="00696729"/>
    <w:rsid w:val="00696DFD"/>
    <w:rsid w:val="00696EBC"/>
    <w:rsid w:val="00697921"/>
    <w:rsid w:val="00697C4E"/>
    <w:rsid w:val="00697F2C"/>
    <w:rsid w:val="006A1642"/>
    <w:rsid w:val="006A1E7C"/>
    <w:rsid w:val="006A2012"/>
    <w:rsid w:val="006A27FA"/>
    <w:rsid w:val="006A2BC6"/>
    <w:rsid w:val="006A3141"/>
    <w:rsid w:val="006A31E2"/>
    <w:rsid w:val="006A3398"/>
    <w:rsid w:val="006A509B"/>
    <w:rsid w:val="006A6146"/>
    <w:rsid w:val="006A6B16"/>
    <w:rsid w:val="006B2EEE"/>
    <w:rsid w:val="006B3DAE"/>
    <w:rsid w:val="006B541B"/>
    <w:rsid w:val="006B5D44"/>
    <w:rsid w:val="006B6D90"/>
    <w:rsid w:val="006C07EB"/>
    <w:rsid w:val="006C192F"/>
    <w:rsid w:val="006C3396"/>
    <w:rsid w:val="006C3D54"/>
    <w:rsid w:val="006C40A4"/>
    <w:rsid w:val="006C4C36"/>
    <w:rsid w:val="006C52F6"/>
    <w:rsid w:val="006C5729"/>
    <w:rsid w:val="006C67F6"/>
    <w:rsid w:val="006D11C8"/>
    <w:rsid w:val="006D13F8"/>
    <w:rsid w:val="006D195C"/>
    <w:rsid w:val="006D1AEE"/>
    <w:rsid w:val="006D3405"/>
    <w:rsid w:val="006D38A0"/>
    <w:rsid w:val="006D45AD"/>
    <w:rsid w:val="006D483B"/>
    <w:rsid w:val="006D4BFD"/>
    <w:rsid w:val="006D5286"/>
    <w:rsid w:val="006D6652"/>
    <w:rsid w:val="006D7C34"/>
    <w:rsid w:val="006E0237"/>
    <w:rsid w:val="006E032F"/>
    <w:rsid w:val="006E07E7"/>
    <w:rsid w:val="006E1761"/>
    <w:rsid w:val="006E1FB0"/>
    <w:rsid w:val="006E3DBD"/>
    <w:rsid w:val="006E5A3C"/>
    <w:rsid w:val="006E68AD"/>
    <w:rsid w:val="006E699E"/>
    <w:rsid w:val="006E6BAB"/>
    <w:rsid w:val="006E6FC8"/>
    <w:rsid w:val="006E78E9"/>
    <w:rsid w:val="006E79BB"/>
    <w:rsid w:val="006F066E"/>
    <w:rsid w:val="006F2404"/>
    <w:rsid w:val="006F5A12"/>
    <w:rsid w:val="006F5D2E"/>
    <w:rsid w:val="006F6890"/>
    <w:rsid w:val="006F698E"/>
    <w:rsid w:val="0070034A"/>
    <w:rsid w:val="00700CE3"/>
    <w:rsid w:val="00701FF0"/>
    <w:rsid w:val="007025ED"/>
    <w:rsid w:val="00702B48"/>
    <w:rsid w:val="00704A0E"/>
    <w:rsid w:val="00704BF8"/>
    <w:rsid w:val="007051F4"/>
    <w:rsid w:val="00706589"/>
    <w:rsid w:val="00707480"/>
    <w:rsid w:val="00707DBE"/>
    <w:rsid w:val="00711528"/>
    <w:rsid w:val="00711D61"/>
    <w:rsid w:val="00712034"/>
    <w:rsid w:val="007145E8"/>
    <w:rsid w:val="0071772B"/>
    <w:rsid w:val="00717984"/>
    <w:rsid w:val="00717DEA"/>
    <w:rsid w:val="00720F95"/>
    <w:rsid w:val="0072109A"/>
    <w:rsid w:val="00721722"/>
    <w:rsid w:val="00722B7F"/>
    <w:rsid w:val="00723A75"/>
    <w:rsid w:val="00723B41"/>
    <w:rsid w:val="0072488C"/>
    <w:rsid w:val="00724A63"/>
    <w:rsid w:val="00724AC4"/>
    <w:rsid w:val="007257C1"/>
    <w:rsid w:val="00725DB0"/>
    <w:rsid w:val="00726927"/>
    <w:rsid w:val="007306A8"/>
    <w:rsid w:val="0073140B"/>
    <w:rsid w:val="007316F6"/>
    <w:rsid w:val="00731BE4"/>
    <w:rsid w:val="0073326A"/>
    <w:rsid w:val="00734238"/>
    <w:rsid w:val="0073482D"/>
    <w:rsid w:val="007349A7"/>
    <w:rsid w:val="0073528E"/>
    <w:rsid w:val="00735C03"/>
    <w:rsid w:val="00735E09"/>
    <w:rsid w:val="00736758"/>
    <w:rsid w:val="00737678"/>
    <w:rsid w:val="0074016B"/>
    <w:rsid w:val="0074079F"/>
    <w:rsid w:val="00740BA2"/>
    <w:rsid w:val="00740DE0"/>
    <w:rsid w:val="00741DE0"/>
    <w:rsid w:val="007426A8"/>
    <w:rsid w:val="00745064"/>
    <w:rsid w:val="00745A3D"/>
    <w:rsid w:val="00745A73"/>
    <w:rsid w:val="00745FBA"/>
    <w:rsid w:val="00746A8B"/>
    <w:rsid w:val="00746FC4"/>
    <w:rsid w:val="007479A1"/>
    <w:rsid w:val="00751402"/>
    <w:rsid w:val="00751AA3"/>
    <w:rsid w:val="00751E23"/>
    <w:rsid w:val="00752137"/>
    <w:rsid w:val="00752190"/>
    <w:rsid w:val="00752D14"/>
    <w:rsid w:val="00754C61"/>
    <w:rsid w:val="00755E05"/>
    <w:rsid w:val="007609BB"/>
    <w:rsid w:val="007626D4"/>
    <w:rsid w:val="00762769"/>
    <w:rsid w:val="007629F5"/>
    <w:rsid w:val="00762C77"/>
    <w:rsid w:val="00763484"/>
    <w:rsid w:val="0076569F"/>
    <w:rsid w:val="00765DC2"/>
    <w:rsid w:val="00765EB1"/>
    <w:rsid w:val="00766A5A"/>
    <w:rsid w:val="00766AE2"/>
    <w:rsid w:val="00766B37"/>
    <w:rsid w:val="00767410"/>
    <w:rsid w:val="00767A27"/>
    <w:rsid w:val="00770285"/>
    <w:rsid w:val="00771833"/>
    <w:rsid w:val="00773E4B"/>
    <w:rsid w:val="0077669A"/>
    <w:rsid w:val="007770B8"/>
    <w:rsid w:val="00777147"/>
    <w:rsid w:val="00777A92"/>
    <w:rsid w:val="00780CF6"/>
    <w:rsid w:val="0078291E"/>
    <w:rsid w:val="00783399"/>
    <w:rsid w:val="00783BA4"/>
    <w:rsid w:val="00784171"/>
    <w:rsid w:val="007850A3"/>
    <w:rsid w:val="00785178"/>
    <w:rsid w:val="0078518C"/>
    <w:rsid w:val="00785ABE"/>
    <w:rsid w:val="00786120"/>
    <w:rsid w:val="00786B41"/>
    <w:rsid w:val="00786E11"/>
    <w:rsid w:val="0078778E"/>
    <w:rsid w:val="0079075B"/>
    <w:rsid w:val="0079158B"/>
    <w:rsid w:val="00792179"/>
    <w:rsid w:val="007922AF"/>
    <w:rsid w:val="007933AB"/>
    <w:rsid w:val="0079349D"/>
    <w:rsid w:val="00793FED"/>
    <w:rsid w:val="00794485"/>
    <w:rsid w:val="0079540B"/>
    <w:rsid w:val="00795ED4"/>
    <w:rsid w:val="007A0A24"/>
    <w:rsid w:val="007A10E7"/>
    <w:rsid w:val="007A2005"/>
    <w:rsid w:val="007A227C"/>
    <w:rsid w:val="007A2DBD"/>
    <w:rsid w:val="007A3EFF"/>
    <w:rsid w:val="007A482B"/>
    <w:rsid w:val="007A5810"/>
    <w:rsid w:val="007A5DBC"/>
    <w:rsid w:val="007A6ABD"/>
    <w:rsid w:val="007A7A73"/>
    <w:rsid w:val="007B1509"/>
    <w:rsid w:val="007B25FD"/>
    <w:rsid w:val="007B3149"/>
    <w:rsid w:val="007B4AEC"/>
    <w:rsid w:val="007B4ED6"/>
    <w:rsid w:val="007B51F8"/>
    <w:rsid w:val="007B6304"/>
    <w:rsid w:val="007B6617"/>
    <w:rsid w:val="007C05CD"/>
    <w:rsid w:val="007C0E46"/>
    <w:rsid w:val="007C1954"/>
    <w:rsid w:val="007C1F94"/>
    <w:rsid w:val="007C24A7"/>
    <w:rsid w:val="007C2CBB"/>
    <w:rsid w:val="007C2E19"/>
    <w:rsid w:val="007C3E35"/>
    <w:rsid w:val="007C5201"/>
    <w:rsid w:val="007C5D82"/>
    <w:rsid w:val="007C6371"/>
    <w:rsid w:val="007C70CE"/>
    <w:rsid w:val="007C71CC"/>
    <w:rsid w:val="007D00AB"/>
    <w:rsid w:val="007D0737"/>
    <w:rsid w:val="007D172B"/>
    <w:rsid w:val="007D49FA"/>
    <w:rsid w:val="007D51AF"/>
    <w:rsid w:val="007D5B41"/>
    <w:rsid w:val="007D5E7C"/>
    <w:rsid w:val="007D6299"/>
    <w:rsid w:val="007D7F11"/>
    <w:rsid w:val="007E1587"/>
    <w:rsid w:val="007E1ED8"/>
    <w:rsid w:val="007E26A9"/>
    <w:rsid w:val="007E3900"/>
    <w:rsid w:val="007E3A9A"/>
    <w:rsid w:val="007E452D"/>
    <w:rsid w:val="007E5093"/>
    <w:rsid w:val="007E5AEE"/>
    <w:rsid w:val="007E5E89"/>
    <w:rsid w:val="007E62B0"/>
    <w:rsid w:val="007E6610"/>
    <w:rsid w:val="007E7BA4"/>
    <w:rsid w:val="007F0206"/>
    <w:rsid w:val="007F2712"/>
    <w:rsid w:val="007F3B53"/>
    <w:rsid w:val="007F4D13"/>
    <w:rsid w:val="007F501F"/>
    <w:rsid w:val="007F5463"/>
    <w:rsid w:val="007F54FC"/>
    <w:rsid w:val="007F565A"/>
    <w:rsid w:val="007F57EE"/>
    <w:rsid w:val="007F6AF9"/>
    <w:rsid w:val="007F6E49"/>
    <w:rsid w:val="007F6F67"/>
    <w:rsid w:val="007F79D9"/>
    <w:rsid w:val="00800DB7"/>
    <w:rsid w:val="008013C1"/>
    <w:rsid w:val="00801C3B"/>
    <w:rsid w:val="008021F2"/>
    <w:rsid w:val="00803E4D"/>
    <w:rsid w:val="00804BCF"/>
    <w:rsid w:val="00805678"/>
    <w:rsid w:val="00805E4D"/>
    <w:rsid w:val="008067B9"/>
    <w:rsid w:val="00806887"/>
    <w:rsid w:val="00806A3D"/>
    <w:rsid w:val="00806DC6"/>
    <w:rsid w:val="0080725B"/>
    <w:rsid w:val="008111C7"/>
    <w:rsid w:val="00811B35"/>
    <w:rsid w:val="00811FA8"/>
    <w:rsid w:val="008129F4"/>
    <w:rsid w:val="008132B7"/>
    <w:rsid w:val="008139C1"/>
    <w:rsid w:val="008139DE"/>
    <w:rsid w:val="00814102"/>
    <w:rsid w:val="008148B4"/>
    <w:rsid w:val="00815092"/>
    <w:rsid w:val="008154CA"/>
    <w:rsid w:val="00815829"/>
    <w:rsid w:val="00815DBC"/>
    <w:rsid w:val="00815FD4"/>
    <w:rsid w:val="008165BF"/>
    <w:rsid w:val="008169A3"/>
    <w:rsid w:val="00816B48"/>
    <w:rsid w:val="008173CA"/>
    <w:rsid w:val="0081774C"/>
    <w:rsid w:val="008206B5"/>
    <w:rsid w:val="00820DB0"/>
    <w:rsid w:val="00821572"/>
    <w:rsid w:val="00822636"/>
    <w:rsid w:val="0082284C"/>
    <w:rsid w:val="00823207"/>
    <w:rsid w:val="00823599"/>
    <w:rsid w:val="00824C2B"/>
    <w:rsid w:val="00824E7D"/>
    <w:rsid w:val="008259F4"/>
    <w:rsid w:val="00827D46"/>
    <w:rsid w:val="0083068F"/>
    <w:rsid w:val="00831AD7"/>
    <w:rsid w:val="008352C6"/>
    <w:rsid w:val="008359F9"/>
    <w:rsid w:val="00835DB3"/>
    <w:rsid w:val="00835F33"/>
    <w:rsid w:val="00837189"/>
    <w:rsid w:val="00840255"/>
    <w:rsid w:val="00840882"/>
    <w:rsid w:val="00841558"/>
    <w:rsid w:val="00841ADE"/>
    <w:rsid w:val="008426A2"/>
    <w:rsid w:val="00842A96"/>
    <w:rsid w:val="00842E84"/>
    <w:rsid w:val="008438F8"/>
    <w:rsid w:val="0084449A"/>
    <w:rsid w:val="00845459"/>
    <w:rsid w:val="00846F38"/>
    <w:rsid w:val="0084782C"/>
    <w:rsid w:val="0085026A"/>
    <w:rsid w:val="0085041B"/>
    <w:rsid w:val="00852B38"/>
    <w:rsid w:val="00852D30"/>
    <w:rsid w:val="0085390D"/>
    <w:rsid w:val="008554E2"/>
    <w:rsid w:val="008564EF"/>
    <w:rsid w:val="00856FBE"/>
    <w:rsid w:val="008570D1"/>
    <w:rsid w:val="008614A6"/>
    <w:rsid w:val="00861FDB"/>
    <w:rsid w:val="00862577"/>
    <w:rsid w:val="0086265A"/>
    <w:rsid w:val="008629F4"/>
    <w:rsid w:val="00863520"/>
    <w:rsid w:val="00867F05"/>
    <w:rsid w:val="00870071"/>
    <w:rsid w:val="008700C3"/>
    <w:rsid w:val="008709DB"/>
    <w:rsid w:val="00870F4C"/>
    <w:rsid w:val="008716D6"/>
    <w:rsid w:val="0087194B"/>
    <w:rsid w:val="00873094"/>
    <w:rsid w:val="00873E72"/>
    <w:rsid w:val="00874991"/>
    <w:rsid w:val="00874ABF"/>
    <w:rsid w:val="00875D05"/>
    <w:rsid w:val="00880711"/>
    <w:rsid w:val="00880A4A"/>
    <w:rsid w:val="00880F14"/>
    <w:rsid w:val="00882355"/>
    <w:rsid w:val="0088258C"/>
    <w:rsid w:val="008827B9"/>
    <w:rsid w:val="00883A1C"/>
    <w:rsid w:val="00884FE7"/>
    <w:rsid w:val="008854B5"/>
    <w:rsid w:val="00885C05"/>
    <w:rsid w:val="00885FBD"/>
    <w:rsid w:val="008860F8"/>
    <w:rsid w:val="00886818"/>
    <w:rsid w:val="00886BFB"/>
    <w:rsid w:val="00887352"/>
    <w:rsid w:val="00887F8E"/>
    <w:rsid w:val="008906D9"/>
    <w:rsid w:val="00891917"/>
    <w:rsid w:val="00891C71"/>
    <w:rsid w:val="0089330C"/>
    <w:rsid w:val="00893A76"/>
    <w:rsid w:val="00894853"/>
    <w:rsid w:val="008948C1"/>
    <w:rsid w:val="0089648E"/>
    <w:rsid w:val="00897DEA"/>
    <w:rsid w:val="008A02F1"/>
    <w:rsid w:val="008A0463"/>
    <w:rsid w:val="008A16E0"/>
    <w:rsid w:val="008A1A87"/>
    <w:rsid w:val="008A3B5F"/>
    <w:rsid w:val="008A3F53"/>
    <w:rsid w:val="008A4656"/>
    <w:rsid w:val="008A4C5A"/>
    <w:rsid w:val="008A5647"/>
    <w:rsid w:val="008A5A27"/>
    <w:rsid w:val="008A6548"/>
    <w:rsid w:val="008A6CA7"/>
    <w:rsid w:val="008B0786"/>
    <w:rsid w:val="008B1143"/>
    <w:rsid w:val="008B146B"/>
    <w:rsid w:val="008B2EE2"/>
    <w:rsid w:val="008B4028"/>
    <w:rsid w:val="008B462D"/>
    <w:rsid w:val="008B5B56"/>
    <w:rsid w:val="008B6195"/>
    <w:rsid w:val="008B6B0C"/>
    <w:rsid w:val="008B7427"/>
    <w:rsid w:val="008B7BC3"/>
    <w:rsid w:val="008C29B2"/>
    <w:rsid w:val="008C2F77"/>
    <w:rsid w:val="008C4FC2"/>
    <w:rsid w:val="008C5717"/>
    <w:rsid w:val="008C5FEC"/>
    <w:rsid w:val="008C6DE0"/>
    <w:rsid w:val="008C7671"/>
    <w:rsid w:val="008C7EB8"/>
    <w:rsid w:val="008D11B3"/>
    <w:rsid w:val="008D274C"/>
    <w:rsid w:val="008D2FA2"/>
    <w:rsid w:val="008D42D8"/>
    <w:rsid w:val="008D5E81"/>
    <w:rsid w:val="008D7DDB"/>
    <w:rsid w:val="008E0698"/>
    <w:rsid w:val="008E25CE"/>
    <w:rsid w:val="008E34C3"/>
    <w:rsid w:val="008E3B0A"/>
    <w:rsid w:val="008E3CAF"/>
    <w:rsid w:val="008E3DC9"/>
    <w:rsid w:val="008E4D9D"/>
    <w:rsid w:val="008E6186"/>
    <w:rsid w:val="008E6238"/>
    <w:rsid w:val="008E6CC8"/>
    <w:rsid w:val="008E76CB"/>
    <w:rsid w:val="008F09AE"/>
    <w:rsid w:val="008F0F3E"/>
    <w:rsid w:val="008F267D"/>
    <w:rsid w:val="008F457A"/>
    <w:rsid w:val="008F5BD8"/>
    <w:rsid w:val="008F66D0"/>
    <w:rsid w:val="008F7329"/>
    <w:rsid w:val="008F7485"/>
    <w:rsid w:val="0090171F"/>
    <w:rsid w:val="00902133"/>
    <w:rsid w:val="00903E88"/>
    <w:rsid w:val="0090486E"/>
    <w:rsid w:val="00904C88"/>
    <w:rsid w:val="0090505E"/>
    <w:rsid w:val="009055A2"/>
    <w:rsid w:val="00905696"/>
    <w:rsid w:val="00907C20"/>
    <w:rsid w:val="00907EB9"/>
    <w:rsid w:val="009102F1"/>
    <w:rsid w:val="00912435"/>
    <w:rsid w:val="00912AC6"/>
    <w:rsid w:val="009130DC"/>
    <w:rsid w:val="00915458"/>
    <w:rsid w:val="00915BC0"/>
    <w:rsid w:val="00915E67"/>
    <w:rsid w:val="009160B6"/>
    <w:rsid w:val="00916951"/>
    <w:rsid w:val="00917529"/>
    <w:rsid w:val="00917DB2"/>
    <w:rsid w:val="00917E2A"/>
    <w:rsid w:val="00920645"/>
    <w:rsid w:val="00923D50"/>
    <w:rsid w:val="009241B0"/>
    <w:rsid w:val="00924E28"/>
    <w:rsid w:val="00925165"/>
    <w:rsid w:val="009253BE"/>
    <w:rsid w:val="009269AD"/>
    <w:rsid w:val="00926B85"/>
    <w:rsid w:val="009275EE"/>
    <w:rsid w:val="00930B96"/>
    <w:rsid w:val="00930DBE"/>
    <w:rsid w:val="00931078"/>
    <w:rsid w:val="00931A52"/>
    <w:rsid w:val="00932D40"/>
    <w:rsid w:val="009356F7"/>
    <w:rsid w:val="009373C9"/>
    <w:rsid w:val="009401F9"/>
    <w:rsid w:val="009403FD"/>
    <w:rsid w:val="00941301"/>
    <w:rsid w:val="0094261C"/>
    <w:rsid w:val="00942660"/>
    <w:rsid w:val="009433DB"/>
    <w:rsid w:val="00943861"/>
    <w:rsid w:val="00943882"/>
    <w:rsid w:val="00944085"/>
    <w:rsid w:val="0094444D"/>
    <w:rsid w:val="00944739"/>
    <w:rsid w:val="009447BE"/>
    <w:rsid w:val="00944CD2"/>
    <w:rsid w:val="00945931"/>
    <w:rsid w:val="00945DEC"/>
    <w:rsid w:val="00946469"/>
    <w:rsid w:val="00947EA0"/>
    <w:rsid w:val="00947FF8"/>
    <w:rsid w:val="0095144D"/>
    <w:rsid w:val="00951577"/>
    <w:rsid w:val="009548CD"/>
    <w:rsid w:val="00955DD1"/>
    <w:rsid w:val="009566DD"/>
    <w:rsid w:val="009567A4"/>
    <w:rsid w:val="00956E4B"/>
    <w:rsid w:val="00957260"/>
    <w:rsid w:val="009573AC"/>
    <w:rsid w:val="009611F1"/>
    <w:rsid w:val="009614A9"/>
    <w:rsid w:val="00961D6E"/>
    <w:rsid w:val="00961EF4"/>
    <w:rsid w:val="00963970"/>
    <w:rsid w:val="00963FBF"/>
    <w:rsid w:val="009644A8"/>
    <w:rsid w:val="00964637"/>
    <w:rsid w:val="00964EF9"/>
    <w:rsid w:val="00965E30"/>
    <w:rsid w:val="00966650"/>
    <w:rsid w:val="009671AD"/>
    <w:rsid w:val="009673E0"/>
    <w:rsid w:val="00967D83"/>
    <w:rsid w:val="00971C17"/>
    <w:rsid w:val="00971E81"/>
    <w:rsid w:val="009732E4"/>
    <w:rsid w:val="00973382"/>
    <w:rsid w:val="00973703"/>
    <w:rsid w:val="009737B0"/>
    <w:rsid w:val="00973BD5"/>
    <w:rsid w:val="00973C5A"/>
    <w:rsid w:val="00974300"/>
    <w:rsid w:val="009747C3"/>
    <w:rsid w:val="00974F28"/>
    <w:rsid w:val="0097587D"/>
    <w:rsid w:val="00976ADA"/>
    <w:rsid w:val="00980450"/>
    <w:rsid w:val="009825AC"/>
    <w:rsid w:val="009827C2"/>
    <w:rsid w:val="0098299F"/>
    <w:rsid w:val="00984137"/>
    <w:rsid w:val="009841F3"/>
    <w:rsid w:val="00984417"/>
    <w:rsid w:val="00984604"/>
    <w:rsid w:val="00985172"/>
    <w:rsid w:val="009851E2"/>
    <w:rsid w:val="009857AB"/>
    <w:rsid w:val="00985AF0"/>
    <w:rsid w:val="00985F59"/>
    <w:rsid w:val="00987021"/>
    <w:rsid w:val="0098788F"/>
    <w:rsid w:val="00990013"/>
    <w:rsid w:val="00990F67"/>
    <w:rsid w:val="0099168A"/>
    <w:rsid w:val="00991797"/>
    <w:rsid w:val="0099185D"/>
    <w:rsid w:val="00992562"/>
    <w:rsid w:val="009925AD"/>
    <w:rsid w:val="00992B0D"/>
    <w:rsid w:val="0099381D"/>
    <w:rsid w:val="009944F1"/>
    <w:rsid w:val="009947A3"/>
    <w:rsid w:val="00994D4F"/>
    <w:rsid w:val="00995428"/>
    <w:rsid w:val="00996372"/>
    <w:rsid w:val="009977A8"/>
    <w:rsid w:val="009A0231"/>
    <w:rsid w:val="009A0955"/>
    <w:rsid w:val="009A0F6C"/>
    <w:rsid w:val="009A1994"/>
    <w:rsid w:val="009A29BD"/>
    <w:rsid w:val="009A2BE0"/>
    <w:rsid w:val="009A407A"/>
    <w:rsid w:val="009A5A85"/>
    <w:rsid w:val="009A6E42"/>
    <w:rsid w:val="009A731C"/>
    <w:rsid w:val="009B04DC"/>
    <w:rsid w:val="009B40F6"/>
    <w:rsid w:val="009B5CC3"/>
    <w:rsid w:val="009B5F4E"/>
    <w:rsid w:val="009B735D"/>
    <w:rsid w:val="009B73A4"/>
    <w:rsid w:val="009B76A1"/>
    <w:rsid w:val="009C123F"/>
    <w:rsid w:val="009C32F8"/>
    <w:rsid w:val="009C380A"/>
    <w:rsid w:val="009C3AB5"/>
    <w:rsid w:val="009C3BEF"/>
    <w:rsid w:val="009C4378"/>
    <w:rsid w:val="009C44B0"/>
    <w:rsid w:val="009C4FD1"/>
    <w:rsid w:val="009C61A0"/>
    <w:rsid w:val="009C72B4"/>
    <w:rsid w:val="009D0860"/>
    <w:rsid w:val="009D095E"/>
    <w:rsid w:val="009D0BD4"/>
    <w:rsid w:val="009D0FFF"/>
    <w:rsid w:val="009D1508"/>
    <w:rsid w:val="009D187E"/>
    <w:rsid w:val="009D1C76"/>
    <w:rsid w:val="009D1E6C"/>
    <w:rsid w:val="009D21F3"/>
    <w:rsid w:val="009D2EA2"/>
    <w:rsid w:val="009D3CD0"/>
    <w:rsid w:val="009D41DC"/>
    <w:rsid w:val="009D54BC"/>
    <w:rsid w:val="009D5BCD"/>
    <w:rsid w:val="009D6CBE"/>
    <w:rsid w:val="009D7FA5"/>
    <w:rsid w:val="009E046F"/>
    <w:rsid w:val="009E232A"/>
    <w:rsid w:val="009E2B49"/>
    <w:rsid w:val="009E5864"/>
    <w:rsid w:val="009E5AB3"/>
    <w:rsid w:val="009E5F16"/>
    <w:rsid w:val="009E6185"/>
    <w:rsid w:val="009E78D0"/>
    <w:rsid w:val="009E7F81"/>
    <w:rsid w:val="009F0409"/>
    <w:rsid w:val="009F1F16"/>
    <w:rsid w:val="009F2165"/>
    <w:rsid w:val="009F30AF"/>
    <w:rsid w:val="009F35EB"/>
    <w:rsid w:val="009F3F60"/>
    <w:rsid w:val="009F3FA5"/>
    <w:rsid w:val="009F4CD4"/>
    <w:rsid w:val="009F511A"/>
    <w:rsid w:val="009F53D3"/>
    <w:rsid w:val="009F5626"/>
    <w:rsid w:val="009F58D3"/>
    <w:rsid w:val="009F5D38"/>
    <w:rsid w:val="009F61BE"/>
    <w:rsid w:val="009F626C"/>
    <w:rsid w:val="009F70A1"/>
    <w:rsid w:val="009F70B4"/>
    <w:rsid w:val="00A00383"/>
    <w:rsid w:val="00A00477"/>
    <w:rsid w:val="00A00A05"/>
    <w:rsid w:val="00A00BB9"/>
    <w:rsid w:val="00A00BD6"/>
    <w:rsid w:val="00A00DDB"/>
    <w:rsid w:val="00A03482"/>
    <w:rsid w:val="00A03AF5"/>
    <w:rsid w:val="00A04759"/>
    <w:rsid w:val="00A04A88"/>
    <w:rsid w:val="00A04BF2"/>
    <w:rsid w:val="00A05C78"/>
    <w:rsid w:val="00A062F0"/>
    <w:rsid w:val="00A07826"/>
    <w:rsid w:val="00A07C8D"/>
    <w:rsid w:val="00A12BAA"/>
    <w:rsid w:val="00A13737"/>
    <w:rsid w:val="00A13A53"/>
    <w:rsid w:val="00A13BEA"/>
    <w:rsid w:val="00A13EFD"/>
    <w:rsid w:val="00A14B48"/>
    <w:rsid w:val="00A14D41"/>
    <w:rsid w:val="00A17300"/>
    <w:rsid w:val="00A2072D"/>
    <w:rsid w:val="00A2099F"/>
    <w:rsid w:val="00A21A7D"/>
    <w:rsid w:val="00A22E5A"/>
    <w:rsid w:val="00A245A1"/>
    <w:rsid w:val="00A2460A"/>
    <w:rsid w:val="00A246EC"/>
    <w:rsid w:val="00A259B4"/>
    <w:rsid w:val="00A259D1"/>
    <w:rsid w:val="00A25C2B"/>
    <w:rsid w:val="00A2606A"/>
    <w:rsid w:val="00A26162"/>
    <w:rsid w:val="00A26B21"/>
    <w:rsid w:val="00A26C75"/>
    <w:rsid w:val="00A26FC5"/>
    <w:rsid w:val="00A27178"/>
    <w:rsid w:val="00A27C64"/>
    <w:rsid w:val="00A3147A"/>
    <w:rsid w:val="00A34259"/>
    <w:rsid w:val="00A36F11"/>
    <w:rsid w:val="00A37B2A"/>
    <w:rsid w:val="00A37D90"/>
    <w:rsid w:val="00A37F7E"/>
    <w:rsid w:val="00A41E21"/>
    <w:rsid w:val="00A42220"/>
    <w:rsid w:val="00A42D05"/>
    <w:rsid w:val="00A4311E"/>
    <w:rsid w:val="00A43C2A"/>
    <w:rsid w:val="00A43D9D"/>
    <w:rsid w:val="00A4424C"/>
    <w:rsid w:val="00A444AF"/>
    <w:rsid w:val="00A4496F"/>
    <w:rsid w:val="00A4602E"/>
    <w:rsid w:val="00A4708F"/>
    <w:rsid w:val="00A4743B"/>
    <w:rsid w:val="00A4783D"/>
    <w:rsid w:val="00A47D67"/>
    <w:rsid w:val="00A50270"/>
    <w:rsid w:val="00A50EB4"/>
    <w:rsid w:val="00A52248"/>
    <w:rsid w:val="00A52280"/>
    <w:rsid w:val="00A531A1"/>
    <w:rsid w:val="00A53509"/>
    <w:rsid w:val="00A53AF3"/>
    <w:rsid w:val="00A53BB1"/>
    <w:rsid w:val="00A548CA"/>
    <w:rsid w:val="00A54C0B"/>
    <w:rsid w:val="00A556A4"/>
    <w:rsid w:val="00A5614F"/>
    <w:rsid w:val="00A5733C"/>
    <w:rsid w:val="00A5782D"/>
    <w:rsid w:val="00A57D69"/>
    <w:rsid w:val="00A60464"/>
    <w:rsid w:val="00A60C6F"/>
    <w:rsid w:val="00A62FA7"/>
    <w:rsid w:val="00A63953"/>
    <w:rsid w:val="00A63A51"/>
    <w:rsid w:val="00A63B17"/>
    <w:rsid w:val="00A65E1C"/>
    <w:rsid w:val="00A668A5"/>
    <w:rsid w:val="00A675B9"/>
    <w:rsid w:val="00A70968"/>
    <w:rsid w:val="00A70F09"/>
    <w:rsid w:val="00A7111A"/>
    <w:rsid w:val="00A71587"/>
    <w:rsid w:val="00A72213"/>
    <w:rsid w:val="00A72C78"/>
    <w:rsid w:val="00A74247"/>
    <w:rsid w:val="00A7498E"/>
    <w:rsid w:val="00A74B1A"/>
    <w:rsid w:val="00A758B7"/>
    <w:rsid w:val="00A75F5D"/>
    <w:rsid w:val="00A77860"/>
    <w:rsid w:val="00A80067"/>
    <w:rsid w:val="00A8129F"/>
    <w:rsid w:val="00A826E7"/>
    <w:rsid w:val="00A82A66"/>
    <w:rsid w:val="00A82C30"/>
    <w:rsid w:val="00A82D28"/>
    <w:rsid w:val="00A830BB"/>
    <w:rsid w:val="00A83132"/>
    <w:rsid w:val="00A84154"/>
    <w:rsid w:val="00A85095"/>
    <w:rsid w:val="00A855B9"/>
    <w:rsid w:val="00A85B0F"/>
    <w:rsid w:val="00A85CDE"/>
    <w:rsid w:val="00A85D69"/>
    <w:rsid w:val="00A90145"/>
    <w:rsid w:val="00A910E6"/>
    <w:rsid w:val="00A9362F"/>
    <w:rsid w:val="00A9450C"/>
    <w:rsid w:val="00A95103"/>
    <w:rsid w:val="00A956F0"/>
    <w:rsid w:val="00A957CD"/>
    <w:rsid w:val="00A9588A"/>
    <w:rsid w:val="00A97684"/>
    <w:rsid w:val="00AA173D"/>
    <w:rsid w:val="00AA1827"/>
    <w:rsid w:val="00AA215B"/>
    <w:rsid w:val="00AA2654"/>
    <w:rsid w:val="00AA272A"/>
    <w:rsid w:val="00AA2F1C"/>
    <w:rsid w:val="00AA2F9E"/>
    <w:rsid w:val="00AA374C"/>
    <w:rsid w:val="00AA37D2"/>
    <w:rsid w:val="00AA38DC"/>
    <w:rsid w:val="00AA39B9"/>
    <w:rsid w:val="00AA4C4B"/>
    <w:rsid w:val="00AB127E"/>
    <w:rsid w:val="00AB37DD"/>
    <w:rsid w:val="00AB496B"/>
    <w:rsid w:val="00AB5184"/>
    <w:rsid w:val="00AB69ED"/>
    <w:rsid w:val="00AB72C6"/>
    <w:rsid w:val="00AC0E87"/>
    <w:rsid w:val="00AC105C"/>
    <w:rsid w:val="00AC13DB"/>
    <w:rsid w:val="00AC3AD8"/>
    <w:rsid w:val="00AC4658"/>
    <w:rsid w:val="00AC7033"/>
    <w:rsid w:val="00AD0280"/>
    <w:rsid w:val="00AD0526"/>
    <w:rsid w:val="00AD083F"/>
    <w:rsid w:val="00AD30B7"/>
    <w:rsid w:val="00AD3596"/>
    <w:rsid w:val="00AD403D"/>
    <w:rsid w:val="00AD41AF"/>
    <w:rsid w:val="00AD6E9A"/>
    <w:rsid w:val="00AD7022"/>
    <w:rsid w:val="00AD74D7"/>
    <w:rsid w:val="00AE1F8A"/>
    <w:rsid w:val="00AE2447"/>
    <w:rsid w:val="00AE3D8F"/>
    <w:rsid w:val="00AE491A"/>
    <w:rsid w:val="00AE4DC6"/>
    <w:rsid w:val="00AE57CD"/>
    <w:rsid w:val="00AE60CB"/>
    <w:rsid w:val="00AE66AC"/>
    <w:rsid w:val="00AE6BF5"/>
    <w:rsid w:val="00AE6DF8"/>
    <w:rsid w:val="00AE7A08"/>
    <w:rsid w:val="00AF0189"/>
    <w:rsid w:val="00AF0CE5"/>
    <w:rsid w:val="00AF0FF7"/>
    <w:rsid w:val="00AF100F"/>
    <w:rsid w:val="00AF18EF"/>
    <w:rsid w:val="00AF190C"/>
    <w:rsid w:val="00AF28C6"/>
    <w:rsid w:val="00AF2EB5"/>
    <w:rsid w:val="00AF340D"/>
    <w:rsid w:val="00AF3A40"/>
    <w:rsid w:val="00AF424D"/>
    <w:rsid w:val="00AF45BE"/>
    <w:rsid w:val="00AF50CE"/>
    <w:rsid w:val="00AF6800"/>
    <w:rsid w:val="00AF7CC4"/>
    <w:rsid w:val="00B00FDB"/>
    <w:rsid w:val="00B01CBC"/>
    <w:rsid w:val="00B02F1A"/>
    <w:rsid w:val="00B03413"/>
    <w:rsid w:val="00B03632"/>
    <w:rsid w:val="00B03A12"/>
    <w:rsid w:val="00B03EF4"/>
    <w:rsid w:val="00B04D20"/>
    <w:rsid w:val="00B05635"/>
    <w:rsid w:val="00B05C79"/>
    <w:rsid w:val="00B05FD4"/>
    <w:rsid w:val="00B06C7A"/>
    <w:rsid w:val="00B07271"/>
    <w:rsid w:val="00B0757C"/>
    <w:rsid w:val="00B12EBC"/>
    <w:rsid w:val="00B137FA"/>
    <w:rsid w:val="00B13B02"/>
    <w:rsid w:val="00B13FC2"/>
    <w:rsid w:val="00B14701"/>
    <w:rsid w:val="00B14964"/>
    <w:rsid w:val="00B14E60"/>
    <w:rsid w:val="00B15178"/>
    <w:rsid w:val="00B16C63"/>
    <w:rsid w:val="00B17860"/>
    <w:rsid w:val="00B17E46"/>
    <w:rsid w:val="00B21147"/>
    <w:rsid w:val="00B21BB2"/>
    <w:rsid w:val="00B2313A"/>
    <w:rsid w:val="00B231CF"/>
    <w:rsid w:val="00B231E6"/>
    <w:rsid w:val="00B236DE"/>
    <w:rsid w:val="00B23740"/>
    <w:rsid w:val="00B23A79"/>
    <w:rsid w:val="00B24EBD"/>
    <w:rsid w:val="00B24F88"/>
    <w:rsid w:val="00B255C5"/>
    <w:rsid w:val="00B258D2"/>
    <w:rsid w:val="00B262A3"/>
    <w:rsid w:val="00B27612"/>
    <w:rsid w:val="00B309F5"/>
    <w:rsid w:val="00B337AE"/>
    <w:rsid w:val="00B33E0A"/>
    <w:rsid w:val="00B34C61"/>
    <w:rsid w:val="00B34F97"/>
    <w:rsid w:val="00B35266"/>
    <w:rsid w:val="00B36649"/>
    <w:rsid w:val="00B36B50"/>
    <w:rsid w:val="00B37CD5"/>
    <w:rsid w:val="00B411C3"/>
    <w:rsid w:val="00B42311"/>
    <w:rsid w:val="00B4309B"/>
    <w:rsid w:val="00B4324F"/>
    <w:rsid w:val="00B43DF0"/>
    <w:rsid w:val="00B447C5"/>
    <w:rsid w:val="00B44E90"/>
    <w:rsid w:val="00B44F8B"/>
    <w:rsid w:val="00B4593E"/>
    <w:rsid w:val="00B459C9"/>
    <w:rsid w:val="00B45A15"/>
    <w:rsid w:val="00B45E14"/>
    <w:rsid w:val="00B47291"/>
    <w:rsid w:val="00B477EC"/>
    <w:rsid w:val="00B47A06"/>
    <w:rsid w:val="00B47A6C"/>
    <w:rsid w:val="00B5077B"/>
    <w:rsid w:val="00B51689"/>
    <w:rsid w:val="00B52BE4"/>
    <w:rsid w:val="00B52E9F"/>
    <w:rsid w:val="00B5370B"/>
    <w:rsid w:val="00B542DC"/>
    <w:rsid w:val="00B54FD1"/>
    <w:rsid w:val="00B5516A"/>
    <w:rsid w:val="00B55C40"/>
    <w:rsid w:val="00B56022"/>
    <w:rsid w:val="00B564F5"/>
    <w:rsid w:val="00B56702"/>
    <w:rsid w:val="00B56846"/>
    <w:rsid w:val="00B56BA9"/>
    <w:rsid w:val="00B56D68"/>
    <w:rsid w:val="00B56F1B"/>
    <w:rsid w:val="00B57605"/>
    <w:rsid w:val="00B6002C"/>
    <w:rsid w:val="00B60844"/>
    <w:rsid w:val="00B60F90"/>
    <w:rsid w:val="00B6179A"/>
    <w:rsid w:val="00B61EF2"/>
    <w:rsid w:val="00B62373"/>
    <w:rsid w:val="00B624C3"/>
    <w:rsid w:val="00B63C21"/>
    <w:rsid w:val="00B64A6D"/>
    <w:rsid w:val="00B65665"/>
    <w:rsid w:val="00B65893"/>
    <w:rsid w:val="00B65CF9"/>
    <w:rsid w:val="00B65DD4"/>
    <w:rsid w:val="00B66017"/>
    <w:rsid w:val="00B66DB7"/>
    <w:rsid w:val="00B67076"/>
    <w:rsid w:val="00B709FD"/>
    <w:rsid w:val="00B72024"/>
    <w:rsid w:val="00B720FF"/>
    <w:rsid w:val="00B72F96"/>
    <w:rsid w:val="00B7393A"/>
    <w:rsid w:val="00B73D61"/>
    <w:rsid w:val="00B746B8"/>
    <w:rsid w:val="00B74EC0"/>
    <w:rsid w:val="00B74F82"/>
    <w:rsid w:val="00B750E2"/>
    <w:rsid w:val="00B759E5"/>
    <w:rsid w:val="00B75BF3"/>
    <w:rsid w:val="00B75D56"/>
    <w:rsid w:val="00B773DA"/>
    <w:rsid w:val="00B77CC0"/>
    <w:rsid w:val="00B77D03"/>
    <w:rsid w:val="00B8187E"/>
    <w:rsid w:val="00B82270"/>
    <w:rsid w:val="00B8425D"/>
    <w:rsid w:val="00B84344"/>
    <w:rsid w:val="00B84E0F"/>
    <w:rsid w:val="00B86289"/>
    <w:rsid w:val="00B872E5"/>
    <w:rsid w:val="00B9052B"/>
    <w:rsid w:val="00B924F9"/>
    <w:rsid w:val="00B93385"/>
    <w:rsid w:val="00B949C4"/>
    <w:rsid w:val="00B94C15"/>
    <w:rsid w:val="00B94F9E"/>
    <w:rsid w:val="00B96479"/>
    <w:rsid w:val="00B966B3"/>
    <w:rsid w:val="00B971A2"/>
    <w:rsid w:val="00BA0D3A"/>
    <w:rsid w:val="00BA1648"/>
    <w:rsid w:val="00BA2711"/>
    <w:rsid w:val="00BA2983"/>
    <w:rsid w:val="00BA3311"/>
    <w:rsid w:val="00BA38F0"/>
    <w:rsid w:val="00BA54C2"/>
    <w:rsid w:val="00BA5529"/>
    <w:rsid w:val="00BA75BC"/>
    <w:rsid w:val="00BA7BCF"/>
    <w:rsid w:val="00BA7CA9"/>
    <w:rsid w:val="00BA7E8D"/>
    <w:rsid w:val="00BB0A06"/>
    <w:rsid w:val="00BB18E2"/>
    <w:rsid w:val="00BB3845"/>
    <w:rsid w:val="00BB3FD5"/>
    <w:rsid w:val="00BB549E"/>
    <w:rsid w:val="00BB56A4"/>
    <w:rsid w:val="00BB7416"/>
    <w:rsid w:val="00BC1347"/>
    <w:rsid w:val="00BC2E4A"/>
    <w:rsid w:val="00BC3F1E"/>
    <w:rsid w:val="00BC42E2"/>
    <w:rsid w:val="00BC529D"/>
    <w:rsid w:val="00BC5471"/>
    <w:rsid w:val="00BC56C3"/>
    <w:rsid w:val="00BC5F73"/>
    <w:rsid w:val="00BC7B29"/>
    <w:rsid w:val="00BC7CB1"/>
    <w:rsid w:val="00BC7E12"/>
    <w:rsid w:val="00BC7FDB"/>
    <w:rsid w:val="00BD0751"/>
    <w:rsid w:val="00BD0754"/>
    <w:rsid w:val="00BD08AA"/>
    <w:rsid w:val="00BD0C50"/>
    <w:rsid w:val="00BD0D08"/>
    <w:rsid w:val="00BD0EB3"/>
    <w:rsid w:val="00BD0EF6"/>
    <w:rsid w:val="00BD1D2C"/>
    <w:rsid w:val="00BD28E3"/>
    <w:rsid w:val="00BD38FF"/>
    <w:rsid w:val="00BD3E29"/>
    <w:rsid w:val="00BD455D"/>
    <w:rsid w:val="00BD5624"/>
    <w:rsid w:val="00BD5643"/>
    <w:rsid w:val="00BD577F"/>
    <w:rsid w:val="00BD6555"/>
    <w:rsid w:val="00BE0090"/>
    <w:rsid w:val="00BE05FB"/>
    <w:rsid w:val="00BE0798"/>
    <w:rsid w:val="00BE1CF6"/>
    <w:rsid w:val="00BE1FD1"/>
    <w:rsid w:val="00BE242E"/>
    <w:rsid w:val="00BE32D7"/>
    <w:rsid w:val="00BE3603"/>
    <w:rsid w:val="00BE3998"/>
    <w:rsid w:val="00BE3B48"/>
    <w:rsid w:val="00BE3CD2"/>
    <w:rsid w:val="00BE4794"/>
    <w:rsid w:val="00BE5BC9"/>
    <w:rsid w:val="00BE5BCE"/>
    <w:rsid w:val="00BE6382"/>
    <w:rsid w:val="00BE684D"/>
    <w:rsid w:val="00BF6E30"/>
    <w:rsid w:val="00C000F6"/>
    <w:rsid w:val="00C009CA"/>
    <w:rsid w:val="00C02485"/>
    <w:rsid w:val="00C03087"/>
    <w:rsid w:val="00C03BB5"/>
    <w:rsid w:val="00C05C85"/>
    <w:rsid w:val="00C05DE8"/>
    <w:rsid w:val="00C06626"/>
    <w:rsid w:val="00C0685A"/>
    <w:rsid w:val="00C072A2"/>
    <w:rsid w:val="00C11488"/>
    <w:rsid w:val="00C12AA6"/>
    <w:rsid w:val="00C13289"/>
    <w:rsid w:val="00C142FC"/>
    <w:rsid w:val="00C14642"/>
    <w:rsid w:val="00C151E3"/>
    <w:rsid w:val="00C16789"/>
    <w:rsid w:val="00C173A4"/>
    <w:rsid w:val="00C17429"/>
    <w:rsid w:val="00C17AA4"/>
    <w:rsid w:val="00C206E9"/>
    <w:rsid w:val="00C2087B"/>
    <w:rsid w:val="00C21A33"/>
    <w:rsid w:val="00C21A78"/>
    <w:rsid w:val="00C21E18"/>
    <w:rsid w:val="00C230F4"/>
    <w:rsid w:val="00C237F3"/>
    <w:rsid w:val="00C23FA1"/>
    <w:rsid w:val="00C241A9"/>
    <w:rsid w:val="00C25E59"/>
    <w:rsid w:val="00C2649F"/>
    <w:rsid w:val="00C26811"/>
    <w:rsid w:val="00C27203"/>
    <w:rsid w:val="00C27A19"/>
    <w:rsid w:val="00C27F76"/>
    <w:rsid w:val="00C31DDE"/>
    <w:rsid w:val="00C32928"/>
    <w:rsid w:val="00C342D7"/>
    <w:rsid w:val="00C345AF"/>
    <w:rsid w:val="00C34898"/>
    <w:rsid w:val="00C36A92"/>
    <w:rsid w:val="00C4146C"/>
    <w:rsid w:val="00C41931"/>
    <w:rsid w:val="00C42162"/>
    <w:rsid w:val="00C42B94"/>
    <w:rsid w:val="00C43836"/>
    <w:rsid w:val="00C45C6D"/>
    <w:rsid w:val="00C45C8E"/>
    <w:rsid w:val="00C46D2D"/>
    <w:rsid w:val="00C46FA2"/>
    <w:rsid w:val="00C477BA"/>
    <w:rsid w:val="00C50058"/>
    <w:rsid w:val="00C50A19"/>
    <w:rsid w:val="00C50CA1"/>
    <w:rsid w:val="00C51572"/>
    <w:rsid w:val="00C51DF2"/>
    <w:rsid w:val="00C523F7"/>
    <w:rsid w:val="00C528B5"/>
    <w:rsid w:val="00C52CE1"/>
    <w:rsid w:val="00C53A26"/>
    <w:rsid w:val="00C551B2"/>
    <w:rsid w:val="00C55CF4"/>
    <w:rsid w:val="00C55E5A"/>
    <w:rsid w:val="00C57052"/>
    <w:rsid w:val="00C57691"/>
    <w:rsid w:val="00C60750"/>
    <w:rsid w:val="00C639BE"/>
    <w:rsid w:val="00C63D42"/>
    <w:rsid w:val="00C64BAF"/>
    <w:rsid w:val="00C6531C"/>
    <w:rsid w:val="00C65DD7"/>
    <w:rsid w:val="00C67DA8"/>
    <w:rsid w:val="00C702C8"/>
    <w:rsid w:val="00C70308"/>
    <w:rsid w:val="00C727A7"/>
    <w:rsid w:val="00C73004"/>
    <w:rsid w:val="00C73C6C"/>
    <w:rsid w:val="00C74454"/>
    <w:rsid w:val="00C7476B"/>
    <w:rsid w:val="00C77579"/>
    <w:rsid w:val="00C779CB"/>
    <w:rsid w:val="00C77BC6"/>
    <w:rsid w:val="00C8111C"/>
    <w:rsid w:val="00C8191D"/>
    <w:rsid w:val="00C85B2E"/>
    <w:rsid w:val="00C85D3D"/>
    <w:rsid w:val="00C903C3"/>
    <w:rsid w:val="00C90553"/>
    <w:rsid w:val="00C90557"/>
    <w:rsid w:val="00C91132"/>
    <w:rsid w:val="00C91A29"/>
    <w:rsid w:val="00C927B8"/>
    <w:rsid w:val="00C9289F"/>
    <w:rsid w:val="00C92C36"/>
    <w:rsid w:val="00C92CC1"/>
    <w:rsid w:val="00C92D76"/>
    <w:rsid w:val="00C93E28"/>
    <w:rsid w:val="00C94480"/>
    <w:rsid w:val="00C96496"/>
    <w:rsid w:val="00C96B92"/>
    <w:rsid w:val="00C97878"/>
    <w:rsid w:val="00C97A28"/>
    <w:rsid w:val="00C97CCE"/>
    <w:rsid w:val="00CA018C"/>
    <w:rsid w:val="00CA10A8"/>
    <w:rsid w:val="00CA1F11"/>
    <w:rsid w:val="00CA29F7"/>
    <w:rsid w:val="00CA2D0F"/>
    <w:rsid w:val="00CA3075"/>
    <w:rsid w:val="00CA5ACE"/>
    <w:rsid w:val="00CA6C38"/>
    <w:rsid w:val="00CA6FFC"/>
    <w:rsid w:val="00CA73F2"/>
    <w:rsid w:val="00CA7797"/>
    <w:rsid w:val="00CA7F72"/>
    <w:rsid w:val="00CB04A0"/>
    <w:rsid w:val="00CB0A8D"/>
    <w:rsid w:val="00CB2E22"/>
    <w:rsid w:val="00CB3CB6"/>
    <w:rsid w:val="00CB4ABC"/>
    <w:rsid w:val="00CB4AE4"/>
    <w:rsid w:val="00CB4E97"/>
    <w:rsid w:val="00CB4F57"/>
    <w:rsid w:val="00CB5551"/>
    <w:rsid w:val="00CC0025"/>
    <w:rsid w:val="00CC00AD"/>
    <w:rsid w:val="00CC175A"/>
    <w:rsid w:val="00CC1FCC"/>
    <w:rsid w:val="00CC3042"/>
    <w:rsid w:val="00CC3341"/>
    <w:rsid w:val="00CC4004"/>
    <w:rsid w:val="00CC408A"/>
    <w:rsid w:val="00CC4787"/>
    <w:rsid w:val="00CC47F9"/>
    <w:rsid w:val="00CC538F"/>
    <w:rsid w:val="00CC7046"/>
    <w:rsid w:val="00CD077F"/>
    <w:rsid w:val="00CD1265"/>
    <w:rsid w:val="00CD1A0E"/>
    <w:rsid w:val="00CD2510"/>
    <w:rsid w:val="00CD3358"/>
    <w:rsid w:val="00CD33E8"/>
    <w:rsid w:val="00CD4B94"/>
    <w:rsid w:val="00CD5BD3"/>
    <w:rsid w:val="00CD72FC"/>
    <w:rsid w:val="00CE052E"/>
    <w:rsid w:val="00CE06FE"/>
    <w:rsid w:val="00CE1272"/>
    <w:rsid w:val="00CE20AE"/>
    <w:rsid w:val="00CE254F"/>
    <w:rsid w:val="00CE2639"/>
    <w:rsid w:val="00CE5339"/>
    <w:rsid w:val="00CE5967"/>
    <w:rsid w:val="00CE5986"/>
    <w:rsid w:val="00CE5B6B"/>
    <w:rsid w:val="00CE651C"/>
    <w:rsid w:val="00CE6B90"/>
    <w:rsid w:val="00CF04CD"/>
    <w:rsid w:val="00CF082E"/>
    <w:rsid w:val="00CF16E1"/>
    <w:rsid w:val="00CF23E3"/>
    <w:rsid w:val="00CF29BE"/>
    <w:rsid w:val="00CF2D3E"/>
    <w:rsid w:val="00CF4128"/>
    <w:rsid w:val="00CF4153"/>
    <w:rsid w:val="00CF453B"/>
    <w:rsid w:val="00CF4EAA"/>
    <w:rsid w:val="00CF6524"/>
    <w:rsid w:val="00CF73E3"/>
    <w:rsid w:val="00D006BC"/>
    <w:rsid w:val="00D0141D"/>
    <w:rsid w:val="00D01E5F"/>
    <w:rsid w:val="00D01F6F"/>
    <w:rsid w:val="00D02591"/>
    <w:rsid w:val="00D02601"/>
    <w:rsid w:val="00D0276A"/>
    <w:rsid w:val="00D02B26"/>
    <w:rsid w:val="00D04320"/>
    <w:rsid w:val="00D0483E"/>
    <w:rsid w:val="00D04933"/>
    <w:rsid w:val="00D04C1F"/>
    <w:rsid w:val="00D05896"/>
    <w:rsid w:val="00D0626B"/>
    <w:rsid w:val="00D06E99"/>
    <w:rsid w:val="00D076EB"/>
    <w:rsid w:val="00D11203"/>
    <w:rsid w:val="00D11506"/>
    <w:rsid w:val="00D11650"/>
    <w:rsid w:val="00D1210F"/>
    <w:rsid w:val="00D128B7"/>
    <w:rsid w:val="00D12BC5"/>
    <w:rsid w:val="00D12E69"/>
    <w:rsid w:val="00D1306A"/>
    <w:rsid w:val="00D13193"/>
    <w:rsid w:val="00D1379B"/>
    <w:rsid w:val="00D1390D"/>
    <w:rsid w:val="00D13A54"/>
    <w:rsid w:val="00D13E3D"/>
    <w:rsid w:val="00D16432"/>
    <w:rsid w:val="00D165A7"/>
    <w:rsid w:val="00D165CF"/>
    <w:rsid w:val="00D16621"/>
    <w:rsid w:val="00D16885"/>
    <w:rsid w:val="00D16AB8"/>
    <w:rsid w:val="00D17F5C"/>
    <w:rsid w:val="00D17F7A"/>
    <w:rsid w:val="00D206A6"/>
    <w:rsid w:val="00D21B7A"/>
    <w:rsid w:val="00D22ABF"/>
    <w:rsid w:val="00D2410D"/>
    <w:rsid w:val="00D26155"/>
    <w:rsid w:val="00D26AF4"/>
    <w:rsid w:val="00D26B56"/>
    <w:rsid w:val="00D26F2C"/>
    <w:rsid w:val="00D274A8"/>
    <w:rsid w:val="00D27E5C"/>
    <w:rsid w:val="00D30B27"/>
    <w:rsid w:val="00D31BA9"/>
    <w:rsid w:val="00D325B9"/>
    <w:rsid w:val="00D33A49"/>
    <w:rsid w:val="00D33AF3"/>
    <w:rsid w:val="00D34E72"/>
    <w:rsid w:val="00D35AB2"/>
    <w:rsid w:val="00D366DF"/>
    <w:rsid w:val="00D37815"/>
    <w:rsid w:val="00D4083B"/>
    <w:rsid w:val="00D40C5D"/>
    <w:rsid w:val="00D40DE4"/>
    <w:rsid w:val="00D4118E"/>
    <w:rsid w:val="00D41BE5"/>
    <w:rsid w:val="00D41E17"/>
    <w:rsid w:val="00D422B6"/>
    <w:rsid w:val="00D428E5"/>
    <w:rsid w:val="00D4391C"/>
    <w:rsid w:val="00D46E31"/>
    <w:rsid w:val="00D52055"/>
    <w:rsid w:val="00D521EC"/>
    <w:rsid w:val="00D52690"/>
    <w:rsid w:val="00D53302"/>
    <w:rsid w:val="00D54128"/>
    <w:rsid w:val="00D5489D"/>
    <w:rsid w:val="00D55024"/>
    <w:rsid w:val="00D5598F"/>
    <w:rsid w:val="00D55D3F"/>
    <w:rsid w:val="00D55F59"/>
    <w:rsid w:val="00D56E0B"/>
    <w:rsid w:val="00D60CD3"/>
    <w:rsid w:val="00D611B3"/>
    <w:rsid w:val="00D615D0"/>
    <w:rsid w:val="00D61783"/>
    <w:rsid w:val="00D6228F"/>
    <w:rsid w:val="00D6262B"/>
    <w:rsid w:val="00D62D5A"/>
    <w:rsid w:val="00D6397B"/>
    <w:rsid w:val="00D64E96"/>
    <w:rsid w:val="00D65ACA"/>
    <w:rsid w:val="00D66AB2"/>
    <w:rsid w:val="00D66FAA"/>
    <w:rsid w:val="00D67C6B"/>
    <w:rsid w:val="00D7031F"/>
    <w:rsid w:val="00D7166A"/>
    <w:rsid w:val="00D71A86"/>
    <w:rsid w:val="00D72212"/>
    <w:rsid w:val="00D723F2"/>
    <w:rsid w:val="00D72C02"/>
    <w:rsid w:val="00D750C3"/>
    <w:rsid w:val="00D76C2D"/>
    <w:rsid w:val="00D77695"/>
    <w:rsid w:val="00D77E50"/>
    <w:rsid w:val="00D817AB"/>
    <w:rsid w:val="00D82EB7"/>
    <w:rsid w:val="00D855AB"/>
    <w:rsid w:val="00D85918"/>
    <w:rsid w:val="00D85956"/>
    <w:rsid w:val="00D85D04"/>
    <w:rsid w:val="00D863B8"/>
    <w:rsid w:val="00D8644F"/>
    <w:rsid w:val="00D90CBF"/>
    <w:rsid w:val="00D90FE0"/>
    <w:rsid w:val="00D91D34"/>
    <w:rsid w:val="00D9222E"/>
    <w:rsid w:val="00D9223B"/>
    <w:rsid w:val="00D922FE"/>
    <w:rsid w:val="00D924B8"/>
    <w:rsid w:val="00D929D8"/>
    <w:rsid w:val="00D92D54"/>
    <w:rsid w:val="00D931F0"/>
    <w:rsid w:val="00D9405D"/>
    <w:rsid w:val="00D94403"/>
    <w:rsid w:val="00D9627D"/>
    <w:rsid w:val="00D97103"/>
    <w:rsid w:val="00D97236"/>
    <w:rsid w:val="00D97E8D"/>
    <w:rsid w:val="00DA2479"/>
    <w:rsid w:val="00DA3496"/>
    <w:rsid w:val="00DA3D14"/>
    <w:rsid w:val="00DA3EE7"/>
    <w:rsid w:val="00DA4A3A"/>
    <w:rsid w:val="00DA55F9"/>
    <w:rsid w:val="00DA6D09"/>
    <w:rsid w:val="00DA758A"/>
    <w:rsid w:val="00DB0A95"/>
    <w:rsid w:val="00DB2AF2"/>
    <w:rsid w:val="00DB6259"/>
    <w:rsid w:val="00DB6A37"/>
    <w:rsid w:val="00DB6C98"/>
    <w:rsid w:val="00DB77D4"/>
    <w:rsid w:val="00DB7C39"/>
    <w:rsid w:val="00DC04CD"/>
    <w:rsid w:val="00DC11BC"/>
    <w:rsid w:val="00DC13BD"/>
    <w:rsid w:val="00DC18FC"/>
    <w:rsid w:val="00DC2994"/>
    <w:rsid w:val="00DC2F53"/>
    <w:rsid w:val="00DC3960"/>
    <w:rsid w:val="00DC41B0"/>
    <w:rsid w:val="00DC53CE"/>
    <w:rsid w:val="00DC5662"/>
    <w:rsid w:val="00DC7F6D"/>
    <w:rsid w:val="00DD092D"/>
    <w:rsid w:val="00DD1009"/>
    <w:rsid w:val="00DD14B2"/>
    <w:rsid w:val="00DD26C3"/>
    <w:rsid w:val="00DD2C44"/>
    <w:rsid w:val="00DD3D4C"/>
    <w:rsid w:val="00DD3EC8"/>
    <w:rsid w:val="00DD444F"/>
    <w:rsid w:val="00DD5AFE"/>
    <w:rsid w:val="00DD6007"/>
    <w:rsid w:val="00DD6655"/>
    <w:rsid w:val="00DD6CB7"/>
    <w:rsid w:val="00DD7717"/>
    <w:rsid w:val="00DD7763"/>
    <w:rsid w:val="00DD7867"/>
    <w:rsid w:val="00DE02F0"/>
    <w:rsid w:val="00DE09BB"/>
    <w:rsid w:val="00DE1C1D"/>
    <w:rsid w:val="00DE231E"/>
    <w:rsid w:val="00DE36D4"/>
    <w:rsid w:val="00DE4F2D"/>
    <w:rsid w:val="00DE5D10"/>
    <w:rsid w:val="00DE6EBD"/>
    <w:rsid w:val="00DE73BC"/>
    <w:rsid w:val="00DE7711"/>
    <w:rsid w:val="00DF34BC"/>
    <w:rsid w:val="00DF371E"/>
    <w:rsid w:val="00DF4075"/>
    <w:rsid w:val="00DF557C"/>
    <w:rsid w:val="00DF5D0C"/>
    <w:rsid w:val="00DF647C"/>
    <w:rsid w:val="00DF701D"/>
    <w:rsid w:val="00DF7CAF"/>
    <w:rsid w:val="00E00DB3"/>
    <w:rsid w:val="00E020D6"/>
    <w:rsid w:val="00E022C5"/>
    <w:rsid w:val="00E024F0"/>
    <w:rsid w:val="00E02CA7"/>
    <w:rsid w:val="00E02E05"/>
    <w:rsid w:val="00E05244"/>
    <w:rsid w:val="00E05F1D"/>
    <w:rsid w:val="00E0615C"/>
    <w:rsid w:val="00E0680A"/>
    <w:rsid w:val="00E06DB2"/>
    <w:rsid w:val="00E07EBD"/>
    <w:rsid w:val="00E1009C"/>
    <w:rsid w:val="00E1063C"/>
    <w:rsid w:val="00E11401"/>
    <w:rsid w:val="00E1142A"/>
    <w:rsid w:val="00E11DC3"/>
    <w:rsid w:val="00E11E16"/>
    <w:rsid w:val="00E12802"/>
    <w:rsid w:val="00E135CE"/>
    <w:rsid w:val="00E1472F"/>
    <w:rsid w:val="00E14C24"/>
    <w:rsid w:val="00E14DE4"/>
    <w:rsid w:val="00E17920"/>
    <w:rsid w:val="00E17CAA"/>
    <w:rsid w:val="00E17D90"/>
    <w:rsid w:val="00E20DFD"/>
    <w:rsid w:val="00E21063"/>
    <w:rsid w:val="00E21D77"/>
    <w:rsid w:val="00E22E82"/>
    <w:rsid w:val="00E2336E"/>
    <w:rsid w:val="00E24AA1"/>
    <w:rsid w:val="00E2543B"/>
    <w:rsid w:val="00E26B56"/>
    <w:rsid w:val="00E26FFB"/>
    <w:rsid w:val="00E27A86"/>
    <w:rsid w:val="00E27D54"/>
    <w:rsid w:val="00E30B73"/>
    <w:rsid w:val="00E312A1"/>
    <w:rsid w:val="00E32240"/>
    <w:rsid w:val="00E326A8"/>
    <w:rsid w:val="00E343C2"/>
    <w:rsid w:val="00E347C9"/>
    <w:rsid w:val="00E403C2"/>
    <w:rsid w:val="00E4061F"/>
    <w:rsid w:val="00E40E14"/>
    <w:rsid w:val="00E41BBE"/>
    <w:rsid w:val="00E430E0"/>
    <w:rsid w:val="00E43241"/>
    <w:rsid w:val="00E43477"/>
    <w:rsid w:val="00E43D2A"/>
    <w:rsid w:val="00E45906"/>
    <w:rsid w:val="00E45B5B"/>
    <w:rsid w:val="00E45C4C"/>
    <w:rsid w:val="00E46D7D"/>
    <w:rsid w:val="00E4785A"/>
    <w:rsid w:val="00E50391"/>
    <w:rsid w:val="00E50554"/>
    <w:rsid w:val="00E52135"/>
    <w:rsid w:val="00E52167"/>
    <w:rsid w:val="00E5328A"/>
    <w:rsid w:val="00E54D39"/>
    <w:rsid w:val="00E551E2"/>
    <w:rsid w:val="00E5732E"/>
    <w:rsid w:val="00E57971"/>
    <w:rsid w:val="00E6083C"/>
    <w:rsid w:val="00E62FEF"/>
    <w:rsid w:val="00E63A9E"/>
    <w:rsid w:val="00E64099"/>
    <w:rsid w:val="00E6480F"/>
    <w:rsid w:val="00E64D72"/>
    <w:rsid w:val="00E64EAA"/>
    <w:rsid w:val="00E65301"/>
    <w:rsid w:val="00E65976"/>
    <w:rsid w:val="00E6602D"/>
    <w:rsid w:val="00E66476"/>
    <w:rsid w:val="00E67D8F"/>
    <w:rsid w:val="00E71293"/>
    <w:rsid w:val="00E715E6"/>
    <w:rsid w:val="00E72308"/>
    <w:rsid w:val="00E72742"/>
    <w:rsid w:val="00E72862"/>
    <w:rsid w:val="00E72B73"/>
    <w:rsid w:val="00E72DA6"/>
    <w:rsid w:val="00E730B5"/>
    <w:rsid w:val="00E738EA"/>
    <w:rsid w:val="00E73A7F"/>
    <w:rsid w:val="00E7751B"/>
    <w:rsid w:val="00E82096"/>
    <w:rsid w:val="00E82170"/>
    <w:rsid w:val="00E83042"/>
    <w:rsid w:val="00E83213"/>
    <w:rsid w:val="00E837E4"/>
    <w:rsid w:val="00E83BAA"/>
    <w:rsid w:val="00E83C93"/>
    <w:rsid w:val="00E84064"/>
    <w:rsid w:val="00E8454D"/>
    <w:rsid w:val="00E8538E"/>
    <w:rsid w:val="00E8549F"/>
    <w:rsid w:val="00E8577D"/>
    <w:rsid w:val="00E862B9"/>
    <w:rsid w:val="00E8715B"/>
    <w:rsid w:val="00E90C87"/>
    <w:rsid w:val="00E92E7C"/>
    <w:rsid w:val="00E9304A"/>
    <w:rsid w:val="00E932BE"/>
    <w:rsid w:val="00E9371E"/>
    <w:rsid w:val="00E93A63"/>
    <w:rsid w:val="00E93DEB"/>
    <w:rsid w:val="00E94230"/>
    <w:rsid w:val="00E958CE"/>
    <w:rsid w:val="00E95EB2"/>
    <w:rsid w:val="00E96CC0"/>
    <w:rsid w:val="00E97D26"/>
    <w:rsid w:val="00EA06BF"/>
    <w:rsid w:val="00EA0EF2"/>
    <w:rsid w:val="00EA2098"/>
    <w:rsid w:val="00EA20C0"/>
    <w:rsid w:val="00EA39DC"/>
    <w:rsid w:val="00EA39F8"/>
    <w:rsid w:val="00EA3D75"/>
    <w:rsid w:val="00EA41FF"/>
    <w:rsid w:val="00EA533A"/>
    <w:rsid w:val="00EA636F"/>
    <w:rsid w:val="00EA6826"/>
    <w:rsid w:val="00EA7138"/>
    <w:rsid w:val="00EA75DA"/>
    <w:rsid w:val="00EB0139"/>
    <w:rsid w:val="00EB0B6A"/>
    <w:rsid w:val="00EB0E68"/>
    <w:rsid w:val="00EB12D6"/>
    <w:rsid w:val="00EB1755"/>
    <w:rsid w:val="00EB2AFE"/>
    <w:rsid w:val="00EB40F9"/>
    <w:rsid w:val="00EB4272"/>
    <w:rsid w:val="00EB5010"/>
    <w:rsid w:val="00EB55A4"/>
    <w:rsid w:val="00EB66FD"/>
    <w:rsid w:val="00EB6901"/>
    <w:rsid w:val="00EB7370"/>
    <w:rsid w:val="00EC0146"/>
    <w:rsid w:val="00EC042F"/>
    <w:rsid w:val="00EC211D"/>
    <w:rsid w:val="00EC3E84"/>
    <w:rsid w:val="00EC5007"/>
    <w:rsid w:val="00EC5DF4"/>
    <w:rsid w:val="00EC7227"/>
    <w:rsid w:val="00ED15F7"/>
    <w:rsid w:val="00ED267B"/>
    <w:rsid w:val="00ED2CD2"/>
    <w:rsid w:val="00ED2FE6"/>
    <w:rsid w:val="00ED44F4"/>
    <w:rsid w:val="00ED4CE8"/>
    <w:rsid w:val="00ED550A"/>
    <w:rsid w:val="00ED5E39"/>
    <w:rsid w:val="00ED63B8"/>
    <w:rsid w:val="00ED63F6"/>
    <w:rsid w:val="00EE0C7C"/>
    <w:rsid w:val="00EE1563"/>
    <w:rsid w:val="00EE36A4"/>
    <w:rsid w:val="00EE383F"/>
    <w:rsid w:val="00EE3843"/>
    <w:rsid w:val="00EE4527"/>
    <w:rsid w:val="00EE4906"/>
    <w:rsid w:val="00EE52F4"/>
    <w:rsid w:val="00EE5459"/>
    <w:rsid w:val="00EE5F30"/>
    <w:rsid w:val="00EE6F7C"/>
    <w:rsid w:val="00EF04DD"/>
    <w:rsid w:val="00EF06D5"/>
    <w:rsid w:val="00EF087C"/>
    <w:rsid w:val="00EF0DFE"/>
    <w:rsid w:val="00EF0E5B"/>
    <w:rsid w:val="00EF1CB1"/>
    <w:rsid w:val="00EF2A43"/>
    <w:rsid w:val="00EF46B2"/>
    <w:rsid w:val="00EF4777"/>
    <w:rsid w:val="00EF47DC"/>
    <w:rsid w:val="00EF5115"/>
    <w:rsid w:val="00EF6451"/>
    <w:rsid w:val="00EF6DB8"/>
    <w:rsid w:val="00F00A4C"/>
    <w:rsid w:val="00F02996"/>
    <w:rsid w:val="00F04A82"/>
    <w:rsid w:val="00F04C67"/>
    <w:rsid w:val="00F054E2"/>
    <w:rsid w:val="00F05FD0"/>
    <w:rsid w:val="00F05FF6"/>
    <w:rsid w:val="00F10668"/>
    <w:rsid w:val="00F11811"/>
    <w:rsid w:val="00F13ED6"/>
    <w:rsid w:val="00F143A5"/>
    <w:rsid w:val="00F14B68"/>
    <w:rsid w:val="00F15382"/>
    <w:rsid w:val="00F156CD"/>
    <w:rsid w:val="00F16C15"/>
    <w:rsid w:val="00F1723F"/>
    <w:rsid w:val="00F178C2"/>
    <w:rsid w:val="00F178FF"/>
    <w:rsid w:val="00F17B95"/>
    <w:rsid w:val="00F209F8"/>
    <w:rsid w:val="00F228DC"/>
    <w:rsid w:val="00F22DF2"/>
    <w:rsid w:val="00F22F58"/>
    <w:rsid w:val="00F24BAB"/>
    <w:rsid w:val="00F254C2"/>
    <w:rsid w:val="00F26AC4"/>
    <w:rsid w:val="00F30275"/>
    <w:rsid w:val="00F31B89"/>
    <w:rsid w:val="00F31EDA"/>
    <w:rsid w:val="00F328B5"/>
    <w:rsid w:val="00F32DB5"/>
    <w:rsid w:val="00F32ED4"/>
    <w:rsid w:val="00F3419C"/>
    <w:rsid w:val="00F34278"/>
    <w:rsid w:val="00F35628"/>
    <w:rsid w:val="00F402EA"/>
    <w:rsid w:val="00F40C43"/>
    <w:rsid w:val="00F40F5A"/>
    <w:rsid w:val="00F4160D"/>
    <w:rsid w:val="00F42065"/>
    <w:rsid w:val="00F426D8"/>
    <w:rsid w:val="00F43937"/>
    <w:rsid w:val="00F43D2B"/>
    <w:rsid w:val="00F4451F"/>
    <w:rsid w:val="00F4458B"/>
    <w:rsid w:val="00F445B1"/>
    <w:rsid w:val="00F459FF"/>
    <w:rsid w:val="00F46608"/>
    <w:rsid w:val="00F46A68"/>
    <w:rsid w:val="00F47236"/>
    <w:rsid w:val="00F4791F"/>
    <w:rsid w:val="00F50E95"/>
    <w:rsid w:val="00F5247C"/>
    <w:rsid w:val="00F5270F"/>
    <w:rsid w:val="00F52F38"/>
    <w:rsid w:val="00F53FBC"/>
    <w:rsid w:val="00F53FD9"/>
    <w:rsid w:val="00F554CF"/>
    <w:rsid w:val="00F555B7"/>
    <w:rsid w:val="00F57016"/>
    <w:rsid w:val="00F60223"/>
    <w:rsid w:val="00F6056F"/>
    <w:rsid w:val="00F606DD"/>
    <w:rsid w:val="00F60BAD"/>
    <w:rsid w:val="00F61579"/>
    <w:rsid w:val="00F62519"/>
    <w:rsid w:val="00F62E96"/>
    <w:rsid w:val="00F6330E"/>
    <w:rsid w:val="00F63751"/>
    <w:rsid w:val="00F63C39"/>
    <w:rsid w:val="00F63CF5"/>
    <w:rsid w:val="00F647C8"/>
    <w:rsid w:val="00F64D86"/>
    <w:rsid w:val="00F66C47"/>
    <w:rsid w:val="00F6710A"/>
    <w:rsid w:val="00F70423"/>
    <w:rsid w:val="00F70C92"/>
    <w:rsid w:val="00F71037"/>
    <w:rsid w:val="00F71310"/>
    <w:rsid w:val="00F71AE0"/>
    <w:rsid w:val="00F72AEE"/>
    <w:rsid w:val="00F72C90"/>
    <w:rsid w:val="00F7338F"/>
    <w:rsid w:val="00F76029"/>
    <w:rsid w:val="00F775C4"/>
    <w:rsid w:val="00F77D77"/>
    <w:rsid w:val="00F81121"/>
    <w:rsid w:val="00F82DB2"/>
    <w:rsid w:val="00F84136"/>
    <w:rsid w:val="00F841DB"/>
    <w:rsid w:val="00F8600E"/>
    <w:rsid w:val="00F8642A"/>
    <w:rsid w:val="00F875CD"/>
    <w:rsid w:val="00F91C9E"/>
    <w:rsid w:val="00F920EE"/>
    <w:rsid w:val="00F9235A"/>
    <w:rsid w:val="00F93654"/>
    <w:rsid w:val="00F93B09"/>
    <w:rsid w:val="00F9521A"/>
    <w:rsid w:val="00F95C06"/>
    <w:rsid w:val="00F967D1"/>
    <w:rsid w:val="00FA1431"/>
    <w:rsid w:val="00FA158E"/>
    <w:rsid w:val="00FA1E2D"/>
    <w:rsid w:val="00FA25CC"/>
    <w:rsid w:val="00FA2EF7"/>
    <w:rsid w:val="00FA47B2"/>
    <w:rsid w:val="00FA4AC7"/>
    <w:rsid w:val="00FA5224"/>
    <w:rsid w:val="00FA5BFA"/>
    <w:rsid w:val="00FA6569"/>
    <w:rsid w:val="00FA7B3C"/>
    <w:rsid w:val="00FB0770"/>
    <w:rsid w:val="00FB174C"/>
    <w:rsid w:val="00FB19C5"/>
    <w:rsid w:val="00FB28BC"/>
    <w:rsid w:val="00FB2A29"/>
    <w:rsid w:val="00FB2E4F"/>
    <w:rsid w:val="00FB3228"/>
    <w:rsid w:val="00FB4977"/>
    <w:rsid w:val="00FB6218"/>
    <w:rsid w:val="00FB6920"/>
    <w:rsid w:val="00FB7177"/>
    <w:rsid w:val="00FC07F1"/>
    <w:rsid w:val="00FC19A9"/>
    <w:rsid w:val="00FC1C22"/>
    <w:rsid w:val="00FC35C5"/>
    <w:rsid w:val="00FC418B"/>
    <w:rsid w:val="00FC41EB"/>
    <w:rsid w:val="00FC44F5"/>
    <w:rsid w:val="00FC5489"/>
    <w:rsid w:val="00FC6797"/>
    <w:rsid w:val="00FC6AED"/>
    <w:rsid w:val="00FC6F6E"/>
    <w:rsid w:val="00FD0168"/>
    <w:rsid w:val="00FD0C3F"/>
    <w:rsid w:val="00FD1147"/>
    <w:rsid w:val="00FD2894"/>
    <w:rsid w:val="00FD2EAA"/>
    <w:rsid w:val="00FD309A"/>
    <w:rsid w:val="00FD44C1"/>
    <w:rsid w:val="00FD56D1"/>
    <w:rsid w:val="00FD6BFF"/>
    <w:rsid w:val="00FD7446"/>
    <w:rsid w:val="00FE1650"/>
    <w:rsid w:val="00FE2322"/>
    <w:rsid w:val="00FE2B22"/>
    <w:rsid w:val="00FE33E6"/>
    <w:rsid w:val="00FE3675"/>
    <w:rsid w:val="00FE44FC"/>
    <w:rsid w:val="00FE6834"/>
    <w:rsid w:val="00FE6FE9"/>
    <w:rsid w:val="00FE7A0F"/>
    <w:rsid w:val="00FE7A90"/>
    <w:rsid w:val="00FE7C67"/>
    <w:rsid w:val="00FF061C"/>
    <w:rsid w:val="00FF09C9"/>
    <w:rsid w:val="00FF0C29"/>
    <w:rsid w:val="00FF1699"/>
    <w:rsid w:val="00FF1C16"/>
    <w:rsid w:val="00FF1C7C"/>
    <w:rsid w:val="00FF35BF"/>
    <w:rsid w:val="00FF537F"/>
    <w:rsid w:val="00FF5A89"/>
    <w:rsid w:val="00FF6154"/>
    <w:rsid w:val="00FF6EFF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B30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3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1B7A"/>
    <w:pPr>
      <w:spacing w:before="120" w:after="12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paratextnonumbers"/>
    <w:link w:val="Heading1Char"/>
    <w:qFormat/>
    <w:rsid w:val="00E24AA1"/>
    <w:pPr>
      <w:keepNext/>
      <w:keepLines/>
      <w:pBdr>
        <w:bottom w:val="single" w:sz="4" w:space="1" w:color="auto"/>
      </w:pBdr>
      <w:spacing w:after="480"/>
      <w:outlineLvl w:val="0"/>
    </w:pPr>
    <w:rPr>
      <w:rFonts w:ascii="Helvitica" w:eastAsiaTheme="majorEastAsia" w:hAnsi="Helvitica" w:cstheme="majorBidi"/>
      <w:b/>
      <w:i/>
      <w:sz w:val="40"/>
      <w:szCs w:val="32"/>
    </w:rPr>
  </w:style>
  <w:style w:type="paragraph" w:styleId="Heading2">
    <w:name w:val="heading 2"/>
    <w:basedOn w:val="Heading1"/>
    <w:next w:val="Normalparatextnonumbers"/>
    <w:link w:val="Heading2Char"/>
    <w:qFormat/>
    <w:rsid w:val="003F1AD7"/>
    <w:pPr>
      <w:pBdr>
        <w:bottom w:val="none" w:sz="0" w:space="0" w:color="auto"/>
      </w:pBdr>
      <w:spacing w:before="360" w:after="360"/>
      <w:outlineLvl w:val="1"/>
    </w:pPr>
    <w:rPr>
      <w:b w:val="0"/>
      <w:i w:val="0"/>
      <w:sz w:val="36"/>
      <w:szCs w:val="26"/>
    </w:rPr>
  </w:style>
  <w:style w:type="paragraph" w:styleId="Heading3">
    <w:name w:val="heading 3"/>
    <w:basedOn w:val="Normal"/>
    <w:next w:val="Normalparatextnonumbers"/>
    <w:link w:val="Heading3Char"/>
    <w:qFormat/>
    <w:rsid w:val="003F1AD7"/>
    <w:pPr>
      <w:keepNext/>
      <w:keepLines/>
      <w:spacing w:before="240" w:after="360"/>
      <w:outlineLvl w:val="2"/>
    </w:pPr>
    <w:rPr>
      <w:rFonts w:ascii="Helvitica" w:eastAsiaTheme="majorEastAsia" w:hAnsi="Helvitica" w:cstheme="majorBidi"/>
      <w:sz w:val="32"/>
      <w:szCs w:val="24"/>
    </w:rPr>
  </w:style>
  <w:style w:type="paragraph" w:styleId="Heading4">
    <w:name w:val="heading 4"/>
    <w:basedOn w:val="Normal"/>
    <w:next w:val="Normalparatextnonumbers"/>
    <w:link w:val="Heading4Char"/>
    <w:uiPriority w:val="9"/>
    <w:unhideWhenUsed/>
    <w:qFormat/>
    <w:rsid w:val="003F1AD7"/>
    <w:pPr>
      <w:keepNext/>
      <w:keepLines/>
      <w:numPr>
        <w:ilvl w:val="3"/>
        <w:numId w:val="21"/>
      </w:numPr>
      <w:spacing w:before="280" w:after="240"/>
      <w:outlineLvl w:val="3"/>
    </w:pPr>
    <w:rPr>
      <w:rFonts w:ascii="Helvetica" w:eastAsiaTheme="majorEastAsia" w:hAnsi="Helvetica" w:cstheme="majorBidi"/>
      <w:iCs/>
      <w:sz w:val="28"/>
    </w:rPr>
  </w:style>
  <w:style w:type="paragraph" w:styleId="Heading5">
    <w:name w:val="heading 5"/>
    <w:basedOn w:val="Normal"/>
    <w:next w:val="Normalparatextnonumbers"/>
    <w:link w:val="Heading5Char"/>
    <w:uiPriority w:val="9"/>
    <w:unhideWhenUsed/>
    <w:qFormat/>
    <w:rsid w:val="00F22F58"/>
    <w:pPr>
      <w:keepNext/>
      <w:keepLines/>
      <w:numPr>
        <w:ilvl w:val="4"/>
        <w:numId w:val="21"/>
      </w:numPr>
      <w:spacing w:before="240" w:after="240"/>
      <w:contextualSpacing/>
      <w:outlineLvl w:val="4"/>
    </w:pPr>
    <w:rPr>
      <w:rFonts w:ascii="Helvetica" w:eastAsiaTheme="majorEastAsia" w:hAnsi="Helvetica" w:cstheme="majorBidi"/>
      <w:b/>
      <w:spacing w:val="-10"/>
      <w:kern w:val="28"/>
      <w:sz w:val="24"/>
      <w:szCs w:val="5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137"/>
    <w:pPr>
      <w:keepNext/>
      <w:keepLines/>
      <w:spacing w:before="240"/>
      <w:outlineLvl w:val="5"/>
    </w:pPr>
    <w:rPr>
      <w:rFonts w:ascii="Helvitica" w:eastAsiaTheme="majorEastAsia" w:hAnsi="Helvitic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4AA1"/>
    <w:rPr>
      <w:rFonts w:ascii="Helvitica" w:eastAsiaTheme="majorEastAsia" w:hAnsi="Helvitica" w:cstheme="majorBidi"/>
      <w:b/>
      <w:i/>
      <w:sz w:val="40"/>
      <w:szCs w:val="32"/>
    </w:rPr>
  </w:style>
  <w:style w:type="paragraph" w:customStyle="1" w:styleId="AttachmentHeading">
    <w:name w:val="AttachmentHeading"/>
    <w:basedOn w:val="Heading1"/>
    <w:next w:val="Normalparatextnonumbers"/>
    <w:uiPriority w:val="1"/>
    <w:rsid w:val="00777A92"/>
    <w:pPr>
      <w:numPr>
        <w:numId w:val="1"/>
      </w:numPr>
      <w:pBdr>
        <w:bottom w:val="single" w:sz="4" w:space="8" w:color="auto"/>
      </w:pBdr>
      <w:ind w:left="0" w:firstLine="0"/>
    </w:pPr>
  </w:style>
  <w:style w:type="paragraph" w:customStyle="1" w:styleId="Normalparatextnonumbers">
    <w:name w:val="Normal para text (no numbers)"/>
    <w:basedOn w:val="Normal"/>
    <w:qFormat/>
    <w:rsid w:val="00F22F58"/>
  </w:style>
  <w:style w:type="paragraph" w:customStyle="1" w:styleId="BillName">
    <w:name w:val="Bill Name"/>
    <w:basedOn w:val="Normalparatextnonumbers"/>
    <w:next w:val="Normalparatextnonumbers"/>
    <w:qFormat/>
    <w:rsid w:val="00DB0A95"/>
    <w:pPr>
      <w:spacing w:before="200" w:after="200"/>
      <w:jc w:val="center"/>
    </w:pPr>
    <w:rPr>
      <w:rFonts w:cs="Times New Roman"/>
      <w:caps/>
    </w:rPr>
  </w:style>
  <w:style w:type="character" w:customStyle="1" w:styleId="Heading4Char">
    <w:name w:val="Heading 4 Char"/>
    <w:basedOn w:val="DefaultParagraphFont"/>
    <w:link w:val="Heading4"/>
    <w:uiPriority w:val="9"/>
    <w:rsid w:val="003F1AD7"/>
    <w:rPr>
      <w:rFonts w:ascii="Helvetica" w:eastAsiaTheme="majorEastAsia" w:hAnsi="Helvetica" w:cstheme="majorBidi"/>
      <w:iCs/>
      <w:sz w:val="28"/>
    </w:rPr>
  </w:style>
  <w:style w:type="paragraph" w:customStyle="1" w:styleId="TableHeading">
    <w:name w:val="Table Heading"/>
    <w:basedOn w:val="Heading4"/>
    <w:next w:val="Normalparatextnonumbers"/>
    <w:uiPriority w:val="1"/>
    <w:rsid w:val="00492729"/>
    <w:pPr>
      <w:keepLines w:val="0"/>
      <w:numPr>
        <w:ilvl w:val="4"/>
        <w:numId w:val="6"/>
      </w:numPr>
      <w:spacing w:before="240" w:after="200"/>
    </w:pPr>
    <w:rPr>
      <w:rFonts w:eastAsia="Times New Roman" w:cs="Helvetica"/>
      <w:b/>
      <w:i/>
      <w:sz w:val="22"/>
    </w:rPr>
  </w:style>
  <w:style w:type="paragraph" w:styleId="Caption">
    <w:name w:val="caption"/>
    <w:basedOn w:val="TableHeading"/>
    <w:next w:val="Normal"/>
    <w:uiPriority w:val="35"/>
    <w:unhideWhenUsed/>
    <w:qFormat/>
    <w:rsid w:val="00BD0751"/>
    <w:pPr>
      <w:numPr>
        <w:ilvl w:val="0"/>
        <w:numId w:val="0"/>
      </w:numPr>
    </w:pPr>
    <w:rPr>
      <w:iCs w:val="0"/>
      <w:color w:val="44546A" w:themeColor="text2"/>
      <w:szCs w:val="18"/>
    </w:rPr>
  </w:style>
  <w:style w:type="paragraph" w:customStyle="1" w:styleId="Chapterheading">
    <w:name w:val="Chapter heading"/>
    <w:basedOn w:val="Heading1"/>
    <w:next w:val="Normalparatextnonumbers"/>
    <w:rsid w:val="00777A92"/>
    <w:pPr>
      <w:numPr>
        <w:numId w:val="6"/>
      </w:numPr>
      <w:pBdr>
        <w:bottom w:val="single" w:sz="4" w:space="8" w:color="auto"/>
      </w:pBdr>
      <w:spacing w:before="0"/>
    </w:pPr>
  </w:style>
  <w:style w:type="numbering" w:customStyle="1" w:styleId="Chapternumbering">
    <w:name w:val="Chapter numbering"/>
    <w:uiPriority w:val="99"/>
    <w:rsid w:val="005D0844"/>
    <w:pPr>
      <w:numPr>
        <w:numId w:val="24"/>
      </w:numPr>
    </w:pPr>
  </w:style>
  <w:style w:type="paragraph" w:customStyle="1" w:styleId="ChartandTableFootnoteAlpha">
    <w:name w:val="Chart and Table Footnote Alpha"/>
    <w:uiPriority w:val="1"/>
    <w:rsid w:val="00F22F58"/>
    <w:pPr>
      <w:tabs>
        <w:tab w:val="num" w:pos="284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sz w:val="20"/>
      <w:szCs w:val="16"/>
      <w:lang w:eastAsia="en-AU"/>
    </w:rPr>
  </w:style>
  <w:style w:type="paragraph" w:customStyle="1" w:styleId="Dash">
    <w:name w:val="Dash"/>
    <w:basedOn w:val="Normal"/>
    <w:semiHidden/>
    <w:rsid w:val="00F22F58"/>
    <w:pPr>
      <w:tabs>
        <w:tab w:val="num" w:pos="532"/>
      </w:tabs>
      <w:spacing w:before="0" w:after="240" w:line="260" w:lineRule="exact"/>
      <w:ind w:left="532" w:hanging="284"/>
    </w:pPr>
  </w:style>
  <w:style w:type="paragraph" w:customStyle="1" w:styleId="DiagramHeading">
    <w:name w:val="Diagram Heading"/>
    <w:basedOn w:val="TableHeading"/>
    <w:next w:val="Normalparatextnonumbers"/>
    <w:uiPriority w:val="1"/>
    <w:rsid w:val="00CB4F57"/>
    <w:pPr>
      <w:numPr>
        <w:ilvl w:val="2"/>
      </w:numPr>
    </w:pPr>
  </w:style>
  <w:style w:type="paragraph" w:customStyle="1" w:styleId="Dotpoint1">
    <w:name w:val="Dot point 1"/>
    <w:basedOn w:val="Normal"/>
    <w:link w:val="Dotpoint1Char"/>
    <w:uiPriority w:val="1"/>
    <w:qFormat/>
    <w:rsid w:val="000E521B"/>
    <w:pPr>
      <w:numPr>
        <w:numId w:val="17"/>
      </w:numPr>
      <w:ind w:left="1418" w:hanging="709"/>
    </w:pPr>
  </w:style>
  <w:style w:type="character" w:customStyle="1" w:styleId="Dotpoint1Char">
    <w:name w:val="Dot point 1 Char"/>
    <w:basedOn w:val="DefaultParagraphFont"/>
    <w:link w:val="Dotpoint1"/>
    <w:uiPriority w:val="1"/>
    <w:rsid w:val="000E521B"/>
    <w:rPr>
      <w:rFonts w:ascii="Times New Roman" w:hAnsi="Times New Roman"/>
    </w:rPr>
  </w:style>
  <w:style w:type="paragraph" w:customStyle="1" w:styleId="Dotpoint2">
    <w:name w:val="Dot point 2"/>
    <w:basedOn w:val="Dotpoint1"/>
    <w:uiPriority w:val="1"/>
    <w:rsid w:val="000E521B"/>
    <w:pPr>
      <w:numPr>
        <w:numId w:val="9"/>
      </w:numPr>
      <w:ind w:left="2127" w:hanging="709"/>
    </w:pPr>
  </w:style>
  <w:style w:type="paragraph" w:customStyle="1" w:styleId="Exampletext">
    <w:name w:val="Example text"/>
    <w:basedOn w:val="Normal"/>
    <w:uiPriority w:val="1"/>
    <w:qFormat/>
    <w:rsid w:val="00F22F58"/>
    <w:pPr>
      <w:spacing w:before="200" w:after="160"/>
      <w:ind w:left="1134" w:right="864"/>
    </w:pPr>
    <w:rPr>
      <w:iCs/>
      <w:color w:val="000000" w:themeColor="text1"/>
      <w:sz w:val="21"/>
    </w:rPr>
  </w:style>
  <w:style w:type="paragraph" w:customStyle="1" w:styleId="Exampledotpoint1">
    <w:name w:val="Example dot point 1"/>
    <w:basedOn w:val="Exampletext"/>
    <w:uiPriority w:val="1"/>
    <w:qFormat/>
    <w:rsid w:val="000E521B"/>
    <w:pPr>
      <w:numPr>
        <w:numId w:val="10"/>
      </w:numPr>
      <w:spacing w:before="120" w:after="120"/>
      <w:ind w:right="862"/>
    </w:pPr>
  </w:style>
  <w:style w:type="paragraph" w:customStyle="1" w:styleId="Exampledotpoint2">
    <w:name w:val="Example dot point 2"/>
    <w:basedOn w:val="Exampledotpoint1"/>
    <w:uiPriority w:val="1"/>
    <w:rsid w:val="000E521B"/>
    <w:pPr>
      <w:numPr>
        <w:numId w:val="11"/>
      </w:numPr>
      <w:ind w:left="2552" w:hanging="709"/>
    </w:pPr>
  </w:style>
  <w:style w:type="paragraph" w:customStyle="1" w:styleId="ExampleHeading">
    <w:name w:val="Example Heading"/>
    <w:basedOn w:val="TableHeading"/>
    <w:next w:val="Exampletext"/>
    <w:uiPriority w:val="1"/>
    <w:rsid w:val="00492729"/>
    <w:pPr>
      <w:numPr>
        <w:ilvl w:val="3"/>
      </w:numPr>
    </w:pPr>
  </w:style>
  <w:style w:type="paragraph" w:customStyle="1" w:styleId="Exampleindent">
    <w:name w:val="Example indent"/>
    <w:basedOn w:val="Exampletext"/>
    <w:uiPriority w:val="1"/>
    <w:rsid w:val="00F22F58"/>
    <w:pPr>
      <w:ind w:left="1560"/>
    </w:pPr>
  </w:style>
  <w:style w:type="paragraph" w:customStyle="1" w:styleId="Baseparagraphcentred">
    <w:name w:val="Base paragraph centred"/>
    <w:basedOn w:val="Normal"/>
    <w:rsid w:val="00E24AA1"/>
    <w:pPr>
      <w:spacing w:before="200" w:after="200"/>
      <w:jc w:val="center"/>
    </w:pPr>
    <w:rPr>
      <w:rFonts w:eastAsia="Times New Roman" w:cs="Times New Roman"/>
      <w:szCs w:val="20"/>
      <w:lang w:eastAsia="en-AU"/>
    </w:rPr>
  </w:style>
  <w:style w:type="paragraph" w:styleId="Footer">
    <w:name w:val="footer"/>
    <w:basedOn w:val="Normal"/>
    <w:link w:val="FooterChar"/>
    <w:rsid w:val="00F22F5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22F58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3"/>
    <w:rsid w:val="00F22F58"/>
    <w:rPr>
      <w:vertAlign w:val="superscript"/>
    </w:rPr>
  </w:style>
  <w:style w:type="paragraph" w:styleId="FootnoteText">
    <w:name w:val="footnote text"/>
    <w:basedOn w:val="Normal"/>
    <w:link w:val="FootnoteTextChar"/>
    <w:uiPriority w:val="3"/>
    <w:rsid w:val="00F22F58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"/>
    <w:rsid w:val="00F22F58"/>
    <w:rPr>
      <w:rFonts w:ascii="Times New Roman" w:hAnsi="Times New Roman"/>
      <w:sz w:val="20"/>
      <w:szCs w:val="20"/>
    </w:rPr>
  </w:style>
  <w:style w:type="paragraph" w:customStyle="1" w:styleId="Glossarytabletext">
    <w:name w:val="Glossary table text"/>
    <w:basedOn w:val="Normal"/>
    <w:uiPriority w:val="2"/>
    <w:rsid w:val="002D080A"/>
    <w:pPr>
      <w:spacing w:before="60" w:after="60"/>
    </w:pPr>
    <w:rPr>
      <w:sz w:val="20"/>
    </w:rPr>
  </w:style>
  <w:style w:type="paragraph" w:styleId="Header">
    <w:name w:val="header"/>
    <w:basedOn w:val="Normal"/>
    <w:link w:val="HeaderChar"/>
    <w:semiHidden/>
    <w:rsid w:val="00F22F5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F22F58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rsid w:val="003F1AD7"/>
    <w:rPr>
      <w:rFonts w:ascii="Helvitica" w:eastAsiaTheme="majorEastAsia" w:hAnsi="Helvitica" w:cstheme="majorBidi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3F1AD7"/>
    <w:rPr>
      <w:rFonts w:ascii="Helvitica" w:eastAsiaTheme="majorEastAsia" w:hAnsi="Helvitica" w:cstheme="majorBidi"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22F58"/>
    <w:rPr>
      <w:rFonts w:ascii="Helvetica" w:eastAsiaTheme="majorEastAsia" w:hAnsi="Helvetica" w:cstheme="majorBidi"/>
      <w:b/>
      <w:spacing w:val="-10"/>
      <w:kern w:val="28"/>
      <w:sz w:val="24"/>
      <w:szCs w:val="56"/>
    </w:rPr>
  </w:style>
  <w:style w:type="table" w:customStyle="1" w:styleId="InstructionTable">
    <w:name w:val="Instruction Table"/>
    <w:basedOn w:val="TableNormal"/>
    <w:uiPriority w:val="99"/>
    <w:rsid w:val="00F22F58"/>
    <w:pPr>
      <w:spacing w:after="0" w:line="240" w:lineRule="auto"/>
    </w:pPr>
    <w:tblPr>
      <w:tblBorders>
        <w:top w:val="single" w:sz="12" w:space="0" w:color="2F528F"/>
        <w:left w:val="single" w:sz="12" w:space="0" w:color="2F528F"/>
        <w:bottom w:val="single" w:sz="12" w:space="0" w:color="2F528F"/>
        <w:right w:val="single" w:sz="12" w:space="0" w:color="2F528F"/>
      </w:tblBorders>
    </w:tblPr>
    <w:tcPr>
      <w:shd w:val="clear" w:color="auto" w:fill="E7E6E6"/>
    </w:tcPr>
  </w:style>
  <w:style w:type="paragraph" w:customStyle="1" w:styleId="Instructionalguidance">
    <w:name w:val="Instructional guidance"/>
    <w:basedOn w:val="Normal"/>
    <w:link w:val="InstructionalguidanceChar"/>
    <w:uiPriority w:val="99"/>
    <w:rsid w:val="00090A2C"/>
    <w:rPr>
      <w:rFonts w:ascii="Calibri" w:hAnsi="Calibri"/>
      <w:color w:val="2F5496" w:themeColor="accent1" w:themeShade="BF"/>
    </w:rPr>
  </w:style>
  <w:style w:type="character" w:customStyle="1" w:styleId="InstructionalguidanceChar">
    <w:name w:val="Instructional guidance Char"/>
    <w:basedOn w:val="DefaultParagraphFont"/>
    <w:link w:val="Instructionalguidance"/>
    <w:uiPriority w:val="99"/>
    <w:rsid w:val="005515C0"/>
    <w:rPr>
      <w:rFonts w:ascii="Calibri" w:hAnsi="Calibri"/>
      <w:color w:val="2F5496" w:themeColor="accent1" w:themeShade="BF"/>
    </w:rPr>
  </w:style>
  <w:style w:type="paragraph" w:customStyle="1" w:styleId="Instructionalguidancebold">
    <w:name w:val="Instructional guidance bold"/>
    <w:basedOn w:val="Instructionalguidance"/>
    <w:next w:val="Instructionalguidance"/>
    <w:link w:val="InstructionalguidanceboldChar"/>
    <w:uiPriority w:val="99"/>
    <w:rsid w:val="00F22F58"/>
    <w:pPr>
      <w:keepNext/>
    </w:pPr>
    <w:rPr>
      <w:b/>
      <w:bCs/>
    </w:rPr>
  </w:style>
  <w:style w:type="character" w:customStyle="1" w:styleId="InstructionalguidanceboldChar">
    <w:name w:val="Instructional guidance bold Char"/>
    <w:basedOn w:val="InstructionalguidanceChar"/>
    <w:link w:val="Instructionalguidancebold"/>
    <w:uiPriority w:val="99"/>
    <w:rsid w:val="00F22F58"/>
    <w:rPr>
      <w:rFonts w:ascii="Calibri" w:hAnsi="Calibri"/>
      <w:b/>
      <w:bCs/>
      <w:color w:val="2F5496" w:themeColor="accent1" w:themeShade="BF"/>
    </w:rPr>
  </w:style>
  <w:style w:type="paragraph" w:customStyle="1" w:styleId="Instructionalguidancedotpoint">
    <w:name w:val="Instructional guidance dot point"/>
    <w:basedOn w:val="Instructionalguidance"/>
    <w:link w:val="InstructionalguidancedotpointChar"/>
    <w:uiPriority w:val="99"/>
    <w:qFormat/>
    <w:rsid w:val="00F22F58"/>
    <w:pPr>
      <w:numPr>
        <w:numId w:val="14"/>
      </w:numPr>
    </w:pPr>
    <w:rPr>
      <w:rFonts w:eastAsia="Calibri"/>
      <w:lang w:eastAsia="en-GB"/>
    </w:rPr>
  </w:style>
  <w:style w:type="paragraph" w:customStyle="1" w:styleId="Instructionalguidancenumbered">
    <w:name w:val="Instructional guidance numbered"/>
    <w:basedOn w:val="Normal"/>
    <w:uiPriority w:val="99"/>
    <w:semiHidden/>
    <w:rsid w:val="00F22F58"/>
    <w:pPr>
      <w:numPr>
        <w:numId w:val="15"/>
      </w:numPr>
    </w:pPr>
    <w:rPr>
      <w:rFonts w:eastAsia="Calibri"/>
      <w:color w:val="2F5496" w:themeColor="accent1" w:themeShade="BF"/>
      <w:lang w:val="en-US" w:eastAsia="en-GB"/>
    </w:rPr>
  </w:style>
  <w:style w:type="character" w:customStyle="1" w:styleId="Instructuralguidancebold">
    <w:name w:val="Instructural guidance bold"/>
    <w:basedOn w:val="DefaultParagraphFont"/>
    <w:uiPriority w:val="99"/>
    <w:semiHidden/>
    <w:rsid w:val="00F22F58"/>
    <w:rPr>
      <w:rFonts w:ascii="Calibri" w:hAnsi="Calibri"/>
      <w:b/>
      <w:color w:val="2F528F"/>
      <w:sz w:val="22"/>
      <w:u w:color="2F528F"/>
    </w:rPr>
  </w:style>
  <w:style w:type="paragraph" w:customStyle="1" w:styleId="leftfooter">
    <w:name w:val="left footer"/>
    <w:basedOn w:val="Normal"/>
    <w:uiPriority w:val="1"/>
    <w:rsid w:val="00F22F58"/>
    <w:pPr>
      <w:pBdr>
        <w:top w:val="single" w:sz="4" w:space="1" w:color="auto"/>
      </w:pBdr>
      <w:spacing w:before="240" w:after="0"/>
    </w:pPr>
    <w:rPr>
      <w:i/>
      <w:sz w:val="20"/>
    </w:rPr>
  </w:style>
  <w:style w:type="paragraph" w:customStyle="1" w:styleId="leftheader">
    <w:name w:val="left header"/>
    <w:basedOn w:val="Normal"/>
    <w:uiPriority w:val="1"/>
    <w:rsid w:val="00D04933"/>
    <w:pPr>
      <w:pBdr>
        <w:bottom w:val="single" w:sz="4" w:space="1" w:color="auto"/>
      </w:pBdr>
    </w:pPr>
    <w:rPr>
      <w:i/>
      <w:sz w:val="20"/>
    </w:rPr>
  </w:style>
  <w:style w:type="paragraph" w:customStyle="1" w:styleId="Normalparatextwithnumbers">
    <w:name w:val="Normal para text (with numbers)"/>
    <w:basedOn w:val="Normalparatextnonumbers"/>
    <w:qFormat/>
    <w:rsid w:val="005D0844"/>
    <w:pPr>
      <w:numPr>
        <w:ilvl w:val="1"/>
        <w:numId w:val="6"/>
      </w:numPr>
    </w:pPr>
  </w:style>
  <w:style w:type="paragraph" w:customStyle="1" w:styleId="PurposeheadingnoTOC">
    <w:name w:val="Purpose heading (no TOC)"/>
    <w:basedOn w:val="Normal"/>
    <w:next w:val="Normalparatextnonumbers"/>
    <w:rsid w:val="00F22F58"/>
    <w:pPr>
      <w:spacing w:before="480" w:after="480"/>
    </w:pPr>
    <w:rPr>
      <w:rFonts w:ascii="Helvitica" w:hAnsi="Helvitica"/>
      <w:sz w:val="48"/>
    </w:rPr>
  </w:style>
  <w:style w:type="paragraph" w:styleId="Quote">
    <w:name w:val="Quote"/>
    <w:basedOn w:val="Normal"/>
    <w:next w:val="Normal"/>
    <w:link w:val="QuoteChar"/>
    <w:uiPriority w:val="29"/>
    <w:semiHidden/>
    <w:rsid w:val="00F22F5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21B7A"/>
    <w:rPr>
      <w:rFonts w:ascii="Times New Roman" w:hAnsi="Times New Roman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3"/>
    <w:rsid w:val="002D080A"/>
    <w:pPr>
      <w:spacing w:before="0" w:after="0"/>
    </w:pPr>
    <w:rPr>
      <w:sz w:val="20"/>
      <w:szCs w:val="20"/>
    </w:rPr>
  </w:style>
  <w:style w:type="character" w:customStyle="1" w:styleId="References">
    <w:name w:val="References"/>
    <w:basedOn w:val="DefaultParagraphFont"/>
    <w:uiPriority w:val="1"/>
    <w:rsid w:val="00F22F58"/>
    <w:rPr>
      <w:rFonts w:ascii="Times New Roman" w:hAnsi="Times New Roman"/>
      <w:b/>
      <w:bCs/>
      <w:i/>
      <w:iCs/>
      <w:sz w:val="22"/>
    </w:rPr>
  </w:style>
  <w:style w:type="paragraph" w:customStyle="1" w:styleId="rightfooter">
    <w:name w:val="right footer"/>
    <w:basedOn w:val="Normal"/>
    <w:uiPriority w:val="1"/>
    <w:rsid w:val="00F22F58"/>
    <w:pPr>
      <w:pBdr>
        <w:top w:val="single" w:sz="4" w:space="1" w:color="auto"/>
      </w:pBdr>
      <w:spacing w:before="60" w:after="60"/>
      <w:ind w:left="34"/>
      <w:jc w:val="right"/>
    </w:pPr>
    <w:rPr>
      <w:rFonts w:eastAsia="Times New Roman" w:cs="Times New Roman"/>
      <w:i/>
      <w:sz w:val="20"/>
      <w:szCs w:val="20"/>
      <w:lang w:eastAsia="en-AU"/>
    </w:rPr>
  </w:style>
  <w:style w:type="paragraph" w:customStyle="1" w:styleId="rightheader">
    <w:name w:val="right header"/>
    <w:basedOn w:val="Normal"/>
    <w:uiPriority w:val="1"/>
    <w:rsid w:val="00D04933"/>
    <w:pPr>
      <w:pBdr>
        <w:bottom w:val="single" w:sz="4" w:space="1" w:color="auto"/>
      </w:pBdr>
      <w:jc w:val="right"/>
    </w:pPr>
    <w:rPr>
      <w:i/>
      <w:sz w:val="20"/>
    </w:rPr>
  </w:style>
  <w:style w:type="paragraph" w:customStyle="1" w:styleId="RISbullet">
    <w:name w:val="RIS bullet"/>
    <w:basedOn w:val="Dotpoint1"/>
    <w:uiPriority w:val="2"/>
    <w:rsid w:val="00F22F58"/>
    <w:pPr>
      <w:tabs>
        <w:tab w:val="left" w:pos="567"/>
      </w:tabs>
      <w:ind w:left="851" w:hanging="284"/>
    </w:pPr>
  </w:style>
  <w:style w:type="paragraph" w:customStyle="1" w:styleId="RISbullet2">
    <w:name w:val="RIS bullet 2"/>
    <w:basedOn w:val="RISbullet"/>
    <w:uiPriority w:val="2"/>
    <w:rsid w:val="00F22F58"/>
    <w:pPr>
      <w:numPr>
        <w:numId w:val="18"/>
      </w:numPr>
      <w:tabs>
        <w:tab w:val="clear" w:pos="567"/>
      </w:tabs>
    </w:pPr>
  </w:style>
  <w:style w:type="paragraph" w:customStyle="1" w:styleId="Tabledotpoint1">
    <w:name w:val="Table dot point 1"/>
    <w:basedOn w:val="Normalparatextnonumbers"/>
    <w:uiPriority w:val="1"/>
    <w:rsid w:val="000E521B"/>
    <w:pPr>
      <w:numPr>
        <w:numId w:val="19"/>
      </w:numPr>
      <w:ind w:left="425" w:hanging="425"/>
    </w:pPr>
    <w:rPr>
      <w:sz w:val="20"/>
    </w:rPr>
  </w:style>
  <w:style w:type="paragraph" w:customStyle="1" w:styleId="Tabledotpoint2">
    <w:name w:val="Table dot point 2"/>
    <w:basedOn w:val="Tabledotpoint1"/>
    <w:uiPriority w:val="1"/>
    <w:rsid w:val="000E521B"/>
    <w:pPr>
      <w:numPr>
        <w:numId w:val="20"/>
      </w:numPr>
      <w:ind w:left="850" w:hanging="425"/>
    </w:pPr>
  </w:style>
  <w:style w:type="paragraph" w:customStyle="1" w:styleId="Tableheaderrowtext">
    <w:name w:val="Table header row text"/>
    <w:basedOn w:val="Heading4"/>
    <w:uiPriority w:val="1"/>
    <w:rsid w:val="005D0844"/>
    <w:pPr>
      <w:keepLines w:val="0"/>
      <w:spacing w:before="120" w:after="120"/>
    </w:pPr>
    <w:rPr>
      <w:rFonts w:eastAsia="Times New Roman" w:cs="Helvetica"/>
      <w:b/>
      <w:i/>
      <w:sz w:val="22"/>
    </w:rPr>
  </w:style>
  <w:style w:type="paragraph" w:styleId="TOC1">
    <w:name w:val="toc 1"/>
    <w:basedOn w:val="Normal"/>
    <w:next w:val="TOC2"/>
    <w:uiPriority w:val="39"/>
    <w:rsid w:val="00170C78"/>
    <w:pPr>
      <w:tabs>
        <w:tab w:val="right" w:leader="dot" w:pos="7655"/>
      </w:tabs>
      <w:ind w:left="1758" w:hanging="1758"/>
    </w:pPr>
    <w:rPr>
      <w:rFonts w:ascii="Helvitica" w:hAnsi="Helvitica" w:cstheme="minorHAnsi"/>
      <w:bCs/>
      <w:sz w:val="24"/>
      <w:szCs w:val="20"/>
    </w:rPr>
  </w:style>
  <w:style w:type="paragraph" w:styleId="TOC2">
    <w:name w:val="toc 2"/>
    <w:basedOn w:val="Normal"/>
    <w:next w:val="Normal"/>
    <w:uiPriority w:val="39"/>
    <w:rsid w:val="00683847"/>
    <w:pPr>
      <w:tabs>
        <w:tab w:val="right" w:leader="dot" w:pos="7655"/>
      </w:tabs>
    </w:pPr>
    <w:rPr>
      <w:rFonts w:ascii="Helvetica" w:hAnsi="Helvetica"/>
      <w:noProof/>
      <w:sz w:val="24"/>
    </w:rPr>
  </w:style>
  <w:style w:type="paragraph" w:styleId="TOC3">
    <w:name w:val="toc 3"/>
    <w:basedOn w:val="Normal"/>
    <w:next w:val="Normal"/>
    <w:uiPriority w:val="39"/>
    <w:unhideWhenUsed/>
    <w:rsid w:val="00414017"/>
    <w:pPr>
      <w:tabs>
        <w:tab w:val="right" w:leader="dot" w:pos="7655"/>
      </w:tabs>
      <w:ind w:left="442"/>
    </w:pPr>
    <w:rPr>
      <w:rFonts w:ascii="Helvitica" w:hAnsi="Helvitica" w:cstheme="minorHAnsi"/>
      <w:iCs/>
      <w:sz w:val="24"/>
      <w:szCs w:val="20"/>
    </w:rPr>
  </w:style>
  <w:style w:type="paragraph" w:customStyle="1" w:styleId="Tabletext">
    <w:name w:val="Table text"/>
    <w:basedOn w:val="Normal"/>
    <w:uiPriority w:val="1"/>
    <w:rsid w:val="00F22F58"/>
    <w:pPr>
      <w:spacing w:before="60" w:after="60"/>
      <w:ind w:left="34"/>
    </w:pPr>
    <w:rPr>
      <w:rFonts w:eastAsia="Times New Roman" w:cs="Times New Roman"/>
      <w:sz w:val="20"/>
      <w:szCs w:val="20"/>
      <w:lang w:eastAsia="en-AU"/>
    </w:rPr>
  </w:style>
  <w:style w:type="paragraph" w:customStyle="1" w:styleId="TOCHeading">
    <w:name w:val="TOCHeading"/>
    <w:basedOn w:val="Normal"/>
    <w:next w:val="Normalparatextnonumbers"/>
    <w:qFormat/>
    <w:rsid w:val="00F22F58"/>
    <w:pPr>
      <w:spacing w:before="360" w:after="360"/>
    </w:pPr>
    <w:rPr>
      <w:rFonts w:ascii="Helvitica" w:hAnsi="Helvitica"/>
      <w:sz w:val="40"/>
    </w:rPr>
  </w:style>
  <w:style w:type="character" w:customStyle="1" w:styleId="EndnoteTextChar">
    <w:name w:val="Endnote Text Char"/>
    <w:basedOn w:val="DefaultParagraphFont"/>
    <w:link w:val="EndnoteText"/>
    <w:uiPriority w:val="3"/>
    <w:rsid w:val="002D080A"/>
    <w:rPr>
      <w:rFonts w:ascii="Times New Roman" w:hAnsi="Times New Roman"/>
      <w:sz w:val="20"/>
      <w:szCs w:val="20"/>
    </w:rPr>
  </w:style>
  <w:style w:type="paragraph" w:customStyle="1" w:styleId="Coverpageheading">
    <w:name w:val="Cover page heading"/>
    <w:basedOn w:val="Normalparatextnonumbers"/>
    <w:next w:val="Normalparatextnonumbers"/>
    <w:uiPriority w:val="1"/>
    <w:qFormat/>
    <w:rsid w:val="002D080A"/>
    <w:pPr>
      <w:spacing w:after="480"/>
      <w:jc w:val="center"/>
    </w:pPr>
    <w:rPr>
      <w:rFonts w:ascii="Helvitica" w:hAnsi="Helvitica"/>
      <w:sz w:val="36"/>
    </w:rPr>
  </w:style>
  <w:style w:type="paragraph" w:styleId="NoSpacing">
    <w:name w:val="No Spacing"/>
    <w:uiPriority w:val="3"/>
    <w:rsid w:val="002D080A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873094"/>
    <w:rPr>
      <w:color w:val="0563C1" w:themeColor="hyperlink"/>
      <w:u w:val="single"/>
    </w:rPr>
  </w:style>
  <w:style w:type="table" w:styleId="TableGrid">
    <w:name w:val="Table Grid"/>
    <w:basedOn w:val="TableNormal"/>
    <w:rsid w:val="00873094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easurytable">
    <w:name w:val="Treasury table"/>
    <w:basedOn w:val="TableNormal"/>
    <w:uiPriority w:val="99"/>
    <w:rsid w:val="0087309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280" w:beforeAutospacing="0" w:afterLines="0" w:after="240" w:afterAutospacing="0" w:line="240" w:lineRule="auto"/>
      </w:pPr>
      <w:rPr>
        <w:rFonts w:ascii="Helvetica" w:hAnsi="Helvetica"/>
        <w:sz w:val="28"/>
      </w:rPr>
      <w:tblPr/>
      <w:trPr>
        <w:cantSplit/>
        <w:tblHeader/>
      </w:trPr>
    </w:tblStylePr>
  </w:style>
  <w:style w:type="paragraph" w:customStyle="1" w:styleId="ParaCentredNoSpacing">
    <w:name w:val="ParaCentredNoSpacing"/>
    <w:basedOn w:val="Baseparagraphcentred"/>
    <w:qFormat/>
    <w:rsid w:val="00E24AA1"/>
    <w:pPr>
      <w:spacing w:before="0" w:after="0"/>
    </w:pPr>
  </w:style>
  <w:style w:type="paragraph" w:customStyle="1" w:styleId="Referenceafterdotpoint">
    <w:name w:val="Reference after dot point"/>
    <w:basedOn w:val="Normalparatextnonumbers"/>
    <w:next w:val="Dotpoint1"/>
    <w:rsid w:val="00DF5D0C"/>
    <w:pPr>
      <w:spacing w:before="0" w:after="0"/>
      <w:ind w:left="709"/>
    </w:pPr>
    <w:rPr>
      <w:b/>
      <w:i/>
      <w:noProof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137"/>
    <w:rPr>
      <w:rFonts w:ascii="Helvitica" w:eastAsiaTheme="majorEastAsia" w:hAnsi="Helvitica" w:cstheme="majorBidi"/>
      <w:i/>
    </w:rPr>
  </w:style>
  <w:style w:type="paragraph" w:customStyle="1" w:styleId="Scheduleheading">
    <w:name w:val="Schedule heading"/>
    <w:basedOn w:val="Heading2"/>
    <w:next w:val="Normalparatextnonumbers"/>
    <w:link w:val="ScheduleheadingChar"/>
    <w:rsid w:val="003556BF"/>
  </w:style>
  <w:style w:type="character" w:customStyle="1" w:styleId="ScheduleheadingChar">
    <w:name w:val="Schedule heading Char"/>
    <w:basedOn w:val="Heading2Char"/>
    <w:link w:val="Scheduleheading"/>
    <w:rsid w:val="003556BF"/>
    <w:rPr>
      <w:rFonts w:ascii="Helvitica" w:eastAsiaTheme="majorEastAsia" w:hAnsi="Helvitica" w:cstheme="majorBidi"/>
      <w:sz w:val="3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A2D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32E4"/>
    <w:pPr>
      <w:spacing w:after="0" w:line="240" w:lineRule="auto"/>
    </w:pPr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2F530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A4EB2"/>
    <w:rPr>
      <w:color w:val="954F72" w:themeColor="followedHyperlink"/>
      <w:u w:val="single"/>
    </w:rPr>
  </w:style>
  <w:style w:type="character" w:customStyle="1" w:styleId="InstructionalguidancedotpointChar">
    <w:name w:val="Instructional guidance dot point Char"/>
    <w:basedOn w:val="InstructionalguidanceChar"/>
    <w:link w:val="Instructionalguidancedotpoint"/>
    <w:uiPriority w:val="99"/>
    <w:rsid w:val="000A4EB2"/>
    <w:rPr>
      <w:rFonts w:ascii="Calibri" w:eastAsia="Calibri" w:hAnsi="Calibri"/>
      <w:color w:val="2F5496" w:themeColor="accent1" w:themeShade="BF"/>
      <w:lang w:eastAsia="en-GB"/>
    </w:rPr>
  </w:style>
  <w:style w:type="paragraph" w:customStyle="1" w:styleId="Bullet">
    <w:name w:val="Bullet"/>
    <w:basedOn w:val="Normal"/>
    <w:link w:val="BulletChar"/>
    <w:rsid w:val="0027000D"/>
    <w:pPr>
      <w:tabs>
        <w:tab w:val="num" w:pos="520"/>
        <w:tab w:val="left" w:pos="720"/>
      </w:tabs>
      <w:ind w:left="520" w:hanging="520"/>
    </w:pPr>
    <w:rPr>
      <w:rFonts w:eastAsia="Calibri"/>
      <w:color w:val="2F5496" w:themeColor="accent1" w:themeShade="BF"/>
      <w:lang w:eastAsia="en-GB"/>
    </w:rPr>
  </w:style>
  <w:style w:type="character" w:customStyle="1" w:styleId="BulletChar">
    <w:name w:val="Bullet Char"/>
    <w:basedOn w:val="InstructionalguidancedotpointChar"/>
    <w:link w:val="Bullet"/>
    <w:rsid w:val="0027000D"/>
    <w:rPr>
      <w:rFonts w:ascii="Times New Roman" w:eastAsia="Calibri" w:hAnsi="Times New Roman"/>
      <w:color w:val="2F5496" w:themeColor="accent1" w:themeShade="BF"/>
      <w:lang w:eastAsia="en-GB"/>
    </w:rPr>
  </w:style>
  <w:style w:type="paragraph" w:customStyle="1" w:styleId="DoubleDot">
    <w:name w:val="Double Dot"/>
    <w:basedOn w:val="Normal"/>
    <w:rsid w:val="0027000D"/>
    <w:pPr>
      <w:tabs>
        <w:tab w:val="left" w:pos="720"/>
        <w:tab w:val="num" w:pos="1560"/>
      </w:tabs>
      <w:ind w:left="1560" w:hanging="520"/>
    </w:pPr>
    <w:rPr>
      <w:rFonts w:eastAsia="Calibri"/>
      <w:color w:val="2F5496" w:themeColor="accent1" w:themeShade="BF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73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3B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3BD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BD5"/>
    <w:rPr>
      <w:rFonts w:ascii="Times New Roman" w:hAnsi="Times New Roman"/>
      <w:b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A39D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A39D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A39D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A39D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A39D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A39DC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3084</Words>
  <Characters>17581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materials: Treasury Laws Amendment Bill 2024: Product Safety Regulation</vt:lpstr>
    </vt:vector>
  </TitlesOfParts>
  <Company/>
  <LinksUpToDate>false</LinksUpToDate>
  <CharactersWithSpaces>20624</CharactersWithSpaces>
  <SharedDoc>false</SharedDoc>
  <HLinks>
    <vt:vector size="12" baseType="variant">
      <vt:variant>
        <vt:i4>1048670</vt:i4>
      </vt:variant>
      <vt:variant>
        <vt:i4>3</vt:i4>
      </vt:variant>
      <vt:variant>
        <vt:i4>0</vt:i4>
      </vt:variant>
      <vt:variant>
        <vt:i4>5</vt:i4>
      </vt:variant>
      <vt:variant>
        <vt:lpwstr>https://treasury.gov.au/consultation/c2021-223344</vt:lpwstr>
      </vt:variant>
      <vt:variant>
        <vt:lpwstr/>
      </vt:variant>
      <vt:variant>
        <vt:i4>8257634</vt:i4>
      </vt:variant>
      <vt:variant>
        <vt:i4>0</vt:i4>
      </vt:variant>
      <vt:variant>
        <vt:i4>0</vt:i4>
      </vt:variant>
      <vt:variant>
        <vt:i4>5</vt:i4>
      </vt:variant>
      <vt:variant>
        <vt:lpwstr>https://consumersfederation.org.au/adopting-trusted-overseas-product-safety-standards/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materials: Treasury Laws Amendment Bill 2024: Product Safety Regulation</dc:title>
  <dc:subject/>
  <dc:creator/>
  <cp:keywords/>
  <dc:description/>
  <cp:lastModifiedBy/>
  <cp:revision>1</cp:revision>
  <dcterms:created xsi:type="dcterms:W3CDTF">2024-10-11T00:36:00Z</dcterms:created>
  <dcterms:modified xsi:type="dcterms:W3CDTF">2024-10-11T00:37:00Z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2024-10-11T00:37:54Z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61ce132e-b6af-4bc7-b0ef-f05d0fca0b34</vt:lpwstr>
  </property>
  <property fmtid="{D5CDD505-2E9C-101B-9397-08002B2CF9AE}" pid="8" name="MSIP_Label_4f932d64-9ab1-4d9b-81d2-a3a8b82dd47d_ContentBits">
    <vt:lpwstr>0</vt:lpwstr>
  </property>
</Properties>
</file>