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523E" w14:textId="77777777" w:rsidR="00AE216B" w:rsidRPr="00A43C81" w:rsidRDefault="00AE216B" w:rsidP="00AD175F">
      <w:pPr>
        <w:pStyle w:val="ASFIHeadA"/>
        <w:rPr>
          <w:rFonts w:ascii="Aptos" w:hAnsi="Aptos" w:cs="Helvetica"/>
          <w:i/>
        </w:rPr>
      </w:pPr>
    </w:p>
    <w:p w14:paraId="7C755A70" w14:textId="5803DB8D" w:rsidR="00770C32" w:rsidRPr="00A43C81" w:rsidRDefault="00770C32" w:rsidP="00770C32">
      <w:pPr>
        <w:pStyle w:val="ASFIHeadA"/>
        <w:jc w:val="center"/>
        <w:rPr>
          <w:rFonts w:ascii="Aptos" w:hAnsi="Aptos" w:cs="Helvetica"/>
        </w:rPr>
      </w:pPr>
      <w:r w:rsidRPr="00A43C81">
        <w:rPr>
          <w:rFonts w:ascii="Aptos" w:hAnsi="Aptos" w:cs="Helvetica"/>
        </w:rPr>
        <w:t xml:space="preserve">DEVELOPING AN AUSTRALIAN SUSTAINABLE FINANCE TAXONOMY – INITIAL PHASE </w:t>
      </w:r>
    </w:p>
    <w:p w14:paraId="0BD25E9C" w14:textId="77777777" w:rsidR="00770C32" w:rsidRPr="00A43C81" w:rsidRDefault="00770C32" w:rsidP="00770C32">
      <w:pPr>
        <w:pStyle w:val="ASFIHeadA"/>
        <w:jc w:val="center"/>
        <w:rPr>
          <w:rFonts w:ascii="Aptos" w:hAnsi="Aptos" w:cs="Helvetica"/>
          <w:i/>
        </w:rPr>
      </w:pPr>
    </w:p>
    <w:p w14:paraId="410F2ACD" w14:textId="77777777" w:rsidR="00770C32" w:rsidRPr="00A43C81" w:rsidRDefault="00770C32" w:rsidP="00770C32">
      <w:pPr>
        <w:pStyle w:val="ASFIHeadA"/>
        <w:jc w:val="center"/>
        <w:rPr>
          <w:rFonts w:ascii="Aptos" w:hAnsi="Aptos" w:cs="Helvetica"/>
          <w:i/>
        </w:rPr>
      </w:pPr>
    </w:p>
    <w:p w14:paraId="0954211D" w14:textId="607689C5" w:rsidR="001E2E04" w:rsidRPr="00A43C81" w:rsidRDefault="002519B7" w:rsidP="00EB3E37">
      <w:pPr>
        <w:pStyle w:val="ASFIHeadA"/>
        <w:jc w:val="center"/>
        <w:rPr>
          <w:rFonts w:ascii="Aptos" w:hAnsi="Aptos" w:cs="Helvetica"/>
          <w:i/>
        </w:rPr>
      </w:pPr>
      <w:r w:rsidRPr="00A43C81">
        <w:rPr>
          <w:rFonts w:ascii="Aptos" w:hAnsi="Aptos" w:cs="Helvetica"/>
          <w:i/>
          <w:iCs/>
        </w:rPr>
        <w:t xml:space="preserve">Grant </w:t>
      </w:r>
      <w:r w:rsidR="0057677C" w:rsidRPr="00A43C81">
        <w:rPr>
          <w:rFonts w:ascii="Aptos" w:hAnsi="Aptos" w:cs="Helvetica"/>
          <w:i/>
          <w:iCs/>
        </w:rPr>
        <w:t>Report</w:t>
      </w:r>
      <w:r w:rsidR="00CF7E19" w:rsidRPr="00A43C81">
        <w:rPr>
          <w:rFonts w:ascii="Aptos" w:hAnsi="Aptos" w:cs="Helvetica"/>
          <w:i/>
          <w:iCs/>
        </w:rPr>
        <w:t xml:space="preserve"> for </w:t>
      </w:r>
      <w:r w:rsidR="00F77D78" w:rsidRPr="00A43C81">
        <w:rPr>
          <w:rFonts w:ascii="Aptos" w:hAnsi="Aptos" w:cs="Helvetica"/>
          <w:i/>
          <w:iCs/>
        </w:rPr>
        <w:t>Treasury</w:t>
      </w:r>
    </w:p>
    <w:p w14:paraId="6B9121C7" w14:textId="77777777" w:rsidR="00770C32" w:rsidRPr="00A43C81" w:rsidRDefault="00770C32" w:rsidP="00EB3E37">
      <w:pPr>
        <w:pStyle w:val="ASFIHeadA"/>
        <w:jc w:val="center"/>
        <w:rPr>
          <w:rFonts w:ascii="Aptos" w:hAnsi="Aptos" w:cs="Helvetica"/>
          <w:b w:val="0"/>
          <w:bCs w:val="0"/>
          <w:sz w:val="26"/>
          <w:szCs w:val="18"/>
        </w:rPr>
      </w:pPr>
    </w:p>
    <w:p w14:paraId="6A5FF8A2" w14:textId="6B4D9A5D" w:rsidR="00196657" w:rsidRPr="00A43C81" w:rsidRDefault="0057677C" w:rsidP="003E0A40">
      <w:pPr>
        <w:pStyle w:val="ASFIHeadA"/>
        <w:jc w:val="center"/>
        <w:rPr>
          <w:rFonts w:ascii="Aptos" w:hAnsi="Aptos"/>
        </w:rPr>
      </w:pPr>
      <w:r w:rsidRPr="00A43C81">
        <w:rPr>
          <w:rFonts w:ascii="Aptos" w:hAnsi="Aptos" w:cs="Helvetica"/>
          <w:b w:val="0"/>
          <w:bCs w:val="0"/>
          <w:i/>
          <w:iCs/>
          <w:sz w:val="26"/>
          <w:szCs w:val="18"/>
        </w:rPr>
        <w:t>30 June 2024</w:t>
      </w:r>
    </w:p>
    <w:p w14:paraId="675EEF4F" w14:textId="77777777" w:rsidR="00196657" w:rsidRPr="00A43C81" w:rsidRDefault="00196657" w:rsidP="00644B42">
      <w:pPr>
        <w:pStyle w:val="ASFIHeadB"/>
        <w:rPr>
          <w:rFonts w:ascii="Aptos" w:hAnsi="Aptos" w:cs="Helvetica"/>
        </w:rPr>
      </w:pPr>
    </w:p>
    <w:sdt>
      <w:sdtPr>
        <w:rPr>
          <w:rFonts w:ascii="Aptos" w:eastAsiaTheme="minorEastAsia" w:hAnsi="Aptos" w:cs="Helvetica"/>
          <w:color w:val="auto"/>
          <w:sz w:val="22"/>
          <w:szCs w:val="22"/>
        </w:rPr>
        <w:id w:val="-988940118"/>
        <w:docPartObj>
          <w:docPartGallery w:val="Table of Contents"/>
          <w:docPartUnique/>
        </w:docPartObj>
      </w:sdtPr>
      <w:sdtEndPr/>
      <w:sdtContent>
        <w:p w14:paraId="20872ED6" w14:textId="2B5BEDE7" w:rsidR="00996FAB" w:rsidRPr="00A43C81" w:rsidRDefault="00996FAB">
          <w:pPr>
            <w:pStyle w:val="TOCHeading"/>
            <w:rPr>
              <w:rFonts w:ascii="Aptos" w:eastAsiaTheme="minorHAnsi" w:hAnsi="Aptos" w:cs="Helvetica"/>
              <w:b/>
              <w:bCs/>
              <w:color w:val="auto"/>
              <w:u w:val="single"/>
              <w:lang w:val="en-GB"/>
            </w:rPr>
          </w:pPr>
          <w:r w:rsidRPr="00A43C81">
            <w:rPr>
              <w:rFonts w:ascii="Aptos" w:eastAsiaTheme="minorHAnsi" w:hAnsi="Aptos" w:cs="Helvetica"/>
              <w:b/>
              <w:bCs/>
              <w:color w:val="auto"/>
              <w:u w:val="single"/>
              <w:lang w:val="en-GB"/>
            </w:rPr>
            <w:t>Table of Contents</w:t>
          </w:r>
          <w:r w:rsidR="002C4C3B" w:rsidRPr="00A43C81">
            <w:rPr>
              <w:rFonts w:ascii="Aptos" w:eastAsiaTheme="minorHAnsi" w:hAnsi="Aptos" w:cs="Helvetica"/>
              <w:b/>
              <w:color w:val="auto"/>
              <w:lang w:val="en-GB"/>
            </w:rPr>
            <w:t>:</w:t>
          </w:r>
        </w:p>
        <w:p w14:paraId="7C6D3861" w14:textId="77777777" w:rsidR="00636F41" w:rsidRPr="00A43C81" w:rsidRDefault="00636F41" w:rsidP="003E0A40">
          <w:pPr>
            <w:rPr>
              <w:rFonts w:ascii="Aptos" w:hAnsi="Aptos" w:cs="Helvetica"/>
            </w:rPr>
          </w:pPr>
        </w:p>
        <w:p w14:paraId="7D1C9657" w14:textId="5940C1FF" w:rsidR="00996FAB" w:rsidRPr="005933A1" w:rsidRDefault="00D4509E" w:rsidP="00340E46">
          <w:pPr>
            <w:pStyle w:val="TOC1"/>
            <w:rPr>
              <w:rFonts w:ascii="Aptos" w:hAnsi="Aptos"/>
            </w:rPr>
          </w:pPr>
          <w:r w:rsidRPr="005933A1">
            <w:rPr>
              <w:rFonts w:ascii="Aptos" w:hAnsi="Aptos"/>
            </w:rPr>
            <w:t>Introduction</w:t>
          </w:r>
          <w:r w:rsidR="00996FAB" w:rsidRPr="005933A1">
            <w:rPr>
              <w:rFonts w:ascii="Aptos" w:hAnsi="Aptos"/>
            </w:rPr>
            <w:ptab w:relativeTo="margin" w:alignment="right" w:leader="dot"/>
          </w:r>
          <w:r w:rsidR="00A95FB4">
            <w:rPr>
              <w:rFonts w:ascii="Aptos" w:hAnsi="Aptos"/>
            </w:rPr>
            <w:t>2</w:t>
          </w:r>
        </w:p>
        <w:p w14:paraId="6110CD18" w14:textId="0015A9B0" w:rsidR="00996FAB" w:rsidRPr="005933A1" w:rsidRDefault="00E81074" w:rsidP="00340E46">
          <w:pPr>
            <w:pStyle w:val="TOC1"/>
            <w:rPr>
              <w:rFonts w:ascii="Aptos" w:hAnsi="Aptos"/>
            </w:rPr>
          </w:pPr>
          <w:r>
            <w:rPr>
              <w:rFonts w:ascii="Aptos" w:hAnsi="Aptos"/>
            </w:rPr>
            <w:t xml:space="preserve">Part 1: </w:t>
          </w:r>
          <w:r w:rsidR="0088109E" w:rsidRPr="005933A1">
            <w:rPr>
              <w:rFonts w:ascii="Aptos" w:hAnsi="Aptos"/>
            </w:rPr>
            <w:t>T</w:t>
          </w:r>
          <w:r w:rsidR="006D46B4" w:rsidRPr="005933A1">
            <w:rPr>
              <w:rFonts w:ascii="Aptos" w:hAnsi="Aptos"/>
            </w:rPr>
            <w:t xml:space="preserve">axonomy </w:t>
          </w:r>
          <w:r w:rsidR="00A222BE" w:rsidRPr="005933A1">
            <w:rPr>
              <w:rFonts w:ascii="Aptos" w:hAnsi="Aptos"/>
            </w:rPr>
            <w:t>Deliverables</w:t>
          </w:r>
          <w:r w:rsidR="009B5DB9">
            <w:rPr>
              <w:rFonts w:ascii="Aptos" w:hAnsi="Aptos"/>
            </w:rPr>
            <w:t xml:space="preserve"> and Development</w:t>
          </w:r>
          <w:r w:rsidR="00996FAB" w:rsidRPr="005933A1">
            <w:rPr>
              <w:rFonts w:ascii="Aptos" w:hAnsi="Aptos"/>
            </w:rPr>
            <w:ptab w:relativeTo="margin" w:alignment="right" w:leader="dot"/>
          </w:r>
          <w:r>
            <w:rPr>
              <w:rFonts w:ascii="Aptos" w:hAnsi="Aptos"/>
            </w:rPr>
            <w:t>3</w:t>
          </w:r>
        </w:p>
        <w:p w14:paraId="229324E9" w14:textId="09F22641" w:rsidR="00257EBD" w:rsidRPr="005933A1" w:rsidRDefault="00E81074" w:rsidP="00340E46">
          <w:pPr>
            <w:pStyle w:val="TOC1"/>
            <w:rPr>
              <w:rFonts w:ascii="Aptos" w:hAnsi="Aptos"/>
            </w:rPr>
          </w:pPr>
          <w:r>
            <w:rPr>
              <w:rFonts w:ascii="Aptos" w:hAnsi="Aptos"/>
            </w:rPr>
            <w:t xml:space="preserve">Part 2: </w:t>
          </w:r>
          <w:r w:rsidR="00C44FBC" w:rsidRPr="005933A1">
            <w:rPr>
              <w:rFonts w:ascii="Aptos" w:hAnsi="Aptos"/>
            </w:rPr>
            <w:t>Policy Alignment</w:t>
          </w:r>
          <w:r w:rsidR="006D46B4" w:rsidRPr="005933A1">
            <w:rPr>
              <w:rFonts w:ascii="Aptos" w:hAnsi="Aptos"/>
            </w:rPr>
            <w:t xml:space="preserve"> </w:t>
          </w:r>
          <w:r w:rsidR="00A222BE" w:rsidRPr="005933A1">
            <w:rPr>
              <w:rFonts w:ascii="Aptos" w:hAnsi="Aptos"/>
            </w:rPr>
            <w:t>Analysis</w:t>
          </w:r>
          <w:r w:rsidR="004A3DEE" w:rsidRPr="005933A1">
            <w:rPr>
              <w:rFonts w:ascii="Aptos" w:hAnsi="Aptos"/>
            </w:rPr>
            <w:ptab w:relativeTo="margin" w:alignment="right" w:leader="dot"/>
          </w:r>
          <w:r w:rsidR="000858EB">
            <w:rPr>
              <w:rFonts w:ascii="Aptos" w:hAnsi="Aptos"/>
            </w:rPr>
            <w:t>9</w:t>
          </w:r>
        </w:p>
        <w:p w14:paraId="3A15E243" w14:textId="35988DA0" w:rsidR="004A3DEE" w:rsidRPr="005933A1" w:rsidRDefault="007C1468" w:rsidP="00340E46">
          <w:pPr>
            <w:pStyle w:val="TOC1"/>
            <w:rPr>
              <w:rFonts w:ascii="Aptos" w:hAnsi="Aptos"/>
            </w:rPr>
          </w:pPr>
          <w:r>
            <w:rPr>
              <w:rFonts w:ascii="Aptos" w:hAnsi="Aptos"/>
            </w:rPr>
            <w:t xml:space="preserve">Part 3: </w:t>
          </w:r>
          <w:r w:rsidR="00A222BE" w:rsidRPr="005933A1">
            <w:rPr>
              <w:rFonts w:ascii="Aptos" w:hAnsi="Aptos"/>
            </w:rPr>
            <w:t>Stakeholder Consultation</w:t>
          </w:r>
          <w:r w:rsidR="004A3DEE" w:rsidRPr="005933A1">
            <w:rPr>
              <w:rFonts w:ascii="Aptos" w:hAnsi="Aptos"/>
            </w:rPr>
            <w:ptab w:relativeTo="margin" w:alignment="right" w:leader="dot"/>
          </w:r>
          <w:r w:rsidR="001023AB">
            <w:rPr>
              <w:rFonts w:ascii="Aptos" w:hAnsi="Aptos"/>
            </w:rPr>
            <w:t>1</w:t>
          </w:r>
          <w:r w:rsidR="000858EB">
            <w:rPr>
              <w:rFonts w:ascii="Aptos" w:hAnsi="Aptos"/>
            </w:rPr>
            <w:t>4</w:t>
          </w:r>
        </w:p>
        <w:p w14:paraId="73E1C3FA" w14:textId="25D2EC58" w:rsidR="00996FAB" w:rsidRPr="00A43C81" w:rsidRDefault="00ED3355" w:rsidP="00760159">
          <w:pPr>
            <w:pStyle w:val="TOC3"/>
            <w:rPr>
              <w:rFonts w:ascii="Aptos" w:hAnsi="Aptos" w:cs="Helvetica"/>
            </w:rPr>
          </w:pPr>
        </w:p>
      </w:sdtContent>
    </w:sdt>
    <w:p w14:paraId="01C9BD8C" w14:textId="4D2A38BB" w:rsidR="00196657" w:rsidRPr="00A43C81" w:rsidRDefault="00080200" w:rsidP="00644B42">
      <w:pPr>
        <w:pStyle w:val="ASFIHeadB"/>
        <w:rPr>
          <w:rFonts w:ascii="Aptos" w:hAnsi="Aptos" w:cs="Helvetica"/>
          <w:b/>
          <w:bCs/>
          <w:u w:val="single"/>
        </w:rPr>
      </w:pPr>
      <w:r w:rsidRPr="00A43C81">
        <w:rPr>
          <w:rFonts w:ascii="Aptos" w:hAnsi="Aptos" w:cs="Helvetica"/>
          <w:b/>
          <w:bCs/>
          <w:u w:val="single"/>
        </w:rPr>
        <w:t>Appendices</w:t>
      </w:r>
      <w:r w:rsidRPr="00A43C81">
        <w:rPr>
          <w:rFonts w:ascii="Aptos" w:hAnsi="Aptos" w:cs="Helvetica"/>
          <w:b/>
        </w:rPr>
        <w:t xml:space="preserve">: </w:t>
      </w:r>
    </w:p>
    <w:p w14:paraId="3B7BB9A1" w14:textId="77777777" w:rsidR="00636F41" w:rsidRPr="00A43C81" w:rsidRDefault="00636F41" w:rsidP="00644B42">
      <w:pPr>
        <w:pStyle w:val="ASFIHeadB"/>
        <w:rPr>
          <w:rFonts w:ascii="Aptos" w:hAnsi="Aptos" w:cs="Helvetica"/>
          <w:b/>
          <w:bCs/>
          <w:u w:val="single"/>
        </w:rPr>
      </w:pPr>
    </w:p>
    <w:p w14:paraId="078FF6F1" w14:textId="075B13B2" w:rsidR="002D728D" w:rsidRPr="00A43C81" w:rsidRDefault="007D37AE" w:rsidP="000A2A45">
      <w:pPr>
        <w:pStyle w:val="TOC1"/>
        <w:rPr>
          <w:rFonts w:ascii="Aptos" w:hAnsi="Aptos"/>
        </w:rPr>
      </w:pPr>
      <w:r w:rsidRPr="00A43C81">
        <w:rPr>
          <w:rFonts w:ascii="Aptos" w:hAnsi="Aptos"/>
          <w:b/>
          <w:bCs/>
        </w:rPr>
        <w:t xml:space="preserve">Appendix A: </w:t>
      </w:r>
      <w:r w:rsidR="004F4C09" w:rsidRPr="00A43C81">
        <w:rPr>
          <w:rFonts w:ascii="Aptos" w:hAnsi="Aptos"/>
        </w:rPr>
        <w:t>Australian</w:t>
      </w:r>
      <w:r w:rsidR="00EE0540" w:rsidRPr="00A43C81">
        <w:rPr>
          <w:rFonts w:ascii="Aptos" w:hAnsi="Aptos"/>
        </w:rPr>
        <w:t xml:space="preserve"> s</w:t>
      </w:r>
      <w:r w:rsidR="004F4C09" w:rsidRPr="00A43C81">
        <w:rPr>
          <w:rFonts w:ascii="Aptos" w:hAnsi="Aptos"/>
        </w:rPr>
        <w:t xml:space="preserve">ustainable finance taxonomy methodology report: Defining green and transition and determining the eligibility of economic </w:t>
      </w:r>
      <w:proofErr w:type="gramStart"/>
      <w:r w:rsidR="004F4C09" w:rsidRPr="00A43C81">
        <w:rPr>
          <w:rFonts w:ascii="Aptos" w:hAnsi="Aptos"/>
        </w:rPr>
        <w:t>sectors</w:t>
      </w:r>
      <w:proofErr w:type="gramEnd"/>
    </w:p>
    <w:p w14:paraId="0DCDBAEC" w14:textId="3277880E" w:rsidR="002D728D" w:rsidRPr="00A43C81" w:rsidRDefault="002D728D" w:rsidP="000A2A45">
      <w:pPr>
        <w:pStyle w:val="TOC1"/>
        <w:rPr>
          <w:rFonts w:ascii="Aptos" w:hAnsi="Aptos"/>
        </w:rPr>
      </w:pPr>
      <w:r w:rsidRPr="00A43C81">
        <w:rPr>
          <w:rFonts w:ascii="Aptos" w:hAnsi="Aptos"/>
          <w:b/>
          <w:bCs/>
        </w:rPr>
        <w:t>Appendix B:</w:t>
      </w:r>
      <w:r w:rsidRPr="00A43C81">
        <w:rPr>
          <w:rFonts w:ascii="Aptos" w:hAnsi="Aptos"/>
        </w:rPr>
        <w:t xml:space="preserve"> </w:t>
      </w:r>
      <w:r w:rsidR="00014F10" w:rsidRPr="00A43C81">
        <w:rPr>
          <w:rFonts w:ascii="Aptos" w:hAnsi="Aptos"/>
        </w:rPr>
        <w:t>Australian sustainable finance taxonomy methodology report: Determining the sustainability objectives and social consi</w:t>
      </w:r>
      <w:r w:rsidR="00243BFB" w:rsidRPr="00A43C81">
        <w:rPr>
          <w:rFonts w:ascii="Aptos" w:hAnsi="Aptos"/>
        </w:rPr>
        <w:t xml:space="preserve">derations in the </w:t>
      </w:r>
      <w:proofErr w:type="gramStart"/>
      <w:r w:rsidR="00243BFB" w:rsidRPr="00A43C81">
        <w:rPr>
          <w:rFonts w:ascii="Aptos" w:hAnsi="Aptos"/>
        </w:rPr>
        <w:t>taxonomy</w:t>
      </w:r>
      <w:proofErr w:type="gramEnd"/>
    </w:p>
    <w:p w14:paraId="3BB123F6" w14:textId="7077C6DE" w:rsidR="00C3370D" w:rsidRPr="005933A1" w:rsidRDefault="002D728D" w:rsidP="000A2A45">
      <w:pPr>
        <w:pStyle w:val="TOC1"/>
        <w:rPr>
          <w:rFonts w:ascii="Aptos" w:hAnsi="Aptos"/>
        </w:rPr>
      </w:pPr>
      <w:r w:rsidRPr="005933A1">
        <w:rPr>
          <w:rFonts w:ascii="Aptos" w:hAnsi="Aptos"/>
          <w:b/>
          <w:bCs/>
        </w:rPr>
        <w:t>Appendix C:</w:t>
      </w:r>
      <w:r w:rsidRPr="005933A1">
        <w:rPr>
          <w:rFonts w:ascii="Aptos" w:hAnsi="Aptos"/>
        </w:rPr>
        <w:t xml:space="preserve"> </w:t>
      </w:r>
      <w:r w:rsidR="00C3370D" w:rsidRPr="005933A1">
        <w:rPr>
          <w:rFonts w:ascii="Aptos" w:hAnsi="Aptos"/>
        </w:rPr>
        <w:t xml:space="preserve">ANSZIC Mapping </w:t>
      </w:r>
    </w:p>
    <w:p w14:paraId="6AFA8FFB" w14:textId="1BAF4F96" w:rsidR="00080200" w:rsidRPr="00A43C81" w:rsidRDefault="00C3370D" w:rsidP="000A2A45">
      <w:pPr>
        <w:pStyle w:val="TOC1"/>
        <w:rPr>
          <w:rFonts w:ascii="Aptos" w:hAnsi="Aptos"/>
        </w:rPr>
      </w:pPr>
      <w:r w:rsidRPr="00A43C81">
        <w:rPr>
          <w:rFonts w:ascii="Aptos" w:hAnsi="Aptos"/>
          <w:b/>
          <w:bCs/>
        </w:rPr>
        <w:t>Appendix D</w:t>
      </w:r>
      <w:r w:rsidRPr="00A43C81">
        <w:rPr>
          <w:rFonts w:ascii="Aptos" w:hAnsi="Aptos"/>
        </w:rPr>
        <w:t xml:space="preserve">: </w:t>
      </w:r>
      <w:r w:rsidR="001371F4" w:rsidRPr="00A43C81">
        <w:rPr>
          <w:rFonts w:ascii="Aptos" w:hAnsi="Aptos"/>
        </w:rPr>
        <w:t>Australian Sustainable Finance Taxonomy V0.1 – Public Consultation Paper</w:t>
      </w:r>
    </w:p>
    <w:p w14:paraId="5303BF12" w14:textId="4BB34F5A" w:rsidR="003E2DBE" w:rsidRPr="00A43C81" w:rsidRDefault="007D37AE" w:rsidP="000A2A45">
      <w:pPr>
        <w:pStyle w:val="TOC1"/>
        <w:rPr>
          <w:rFonts w:ascii="Aptos" w:hAnsi="Aptos"/>
        </w:rPr>
      </w:pPr>
      <w:r w:rsidRPr="00A43C81">
        <w:rPr>
          <w:rFonts w:ascii="Aptos" w:hAnsi="Aptos"/>
          <w:b/>
          <w:bCs/>
        </w:rPr>
        <w:t>Appendi</w:t>
      </w:r>
      <w:r w:rsidR="00EE0DA1" w:rsidRPr="00A43C81">
        <w:rPr>
          <w:rFonts w:ascii="Aptos" w:hAnsi="Aptos"/>
          <w:b/>
          <w:bCs/>
        </w:rPr>
        <w:t xml:space="preserve">x </w:t>
      </w:r>
      <w:r w:rsidR="00C3370D" w:rsidRPr="00A43C81">
        <w:rPr>
          <w:rFonts w:ascii="Aptos" w:hAnsi="Aptos"/>
          <w:b/>
          <w:bCs/>
        </w:rPr>
        <w:t>E</w:t>
      </w:r>
      <w:r w:rsidR="00EE0DA1" w:rsidRPr="00A43C81">
        <w:rPr>
          <w:rFonts w:ascii="Aptos" w:hAnsi="Aptos"/>
        </w:rPr>
        <w:t xml:space="preserve">: </w:t>
      </w:r>
      <w:r w:rsidR="001371F4" w:rsidRPr="00A43C81">
        <w:rPr>
          <w:rFonts w:ascii="Aptos" w:hAnsi="Aptos"/>
        </w:rPr>
        <w:t xml:space="preserve">Construction and the Built Environment – Emissions and Energy Targets – Urban </w:t>
      </w:r>
      <w:proofErr w:type="spellStart"/>
      <w:r w:rsidR="001371F4" w:rsidRPr="00A43C81">
        <w:rPr>
          <w:rFonts w:ascii="Aptos" w:hAnsi="Aptos"/>
        </w:rPr>
        <w:t>Centres</w:t>
      </w:r>
      <w:proofErr w:type="spellEnd"/>
      <w:r w:rsidR="001371F4" w:rsidRPr="00A43C81">
        <w:rPr>
          <w:rFonts w:ascii="Aptos" w:hAnsi="Aptos"/>
        </w:rPr>
        <w:t xml:space="preserve"> and Regions</w:t>
      </w:r>
    </w:p>
    <w:p w14:paraId="1D7FFD58" w14:textId="77777777" w:rsidR="001C6E52" w:rsidRDefault="001D0F00" w:rsidP="001C6E52">
      <w:pPr>
        <w:pStyle w:val="TOC1"/>
        <w:rPr>
          <w:rFonts w:ascii="Aptos" w:hAnsi="Aptos"/>
        </w:rPr>
      </w:pPr>
      <w:r w:rsidRPr="00A43C81">
        <w:rPr>
          <w:rFonts w:ascii="Aptos" w:hAnsi="Aptos"/>
          <w:b/>
          <w:bCs/>
        </w:rPr>
        <w:t xml:space="preserve">Appendix </w:t>
      </w:r>
      <w:r w:rsidR="00C3370D" w:rsidRPr="00A43C81">
        <w:rPr>
          <w:rFonts w:ascii="Aptos" w:hAnsi="Aptos"/>
          <w:b/>
          <w:bCs/>
        </w:rPr>
        <w:t>F</w:t>
      </w:r>
      <w:r w:rsidR="00805E27" w:rsidRPr="00A43C81">
        <w:rPr>
          <w:rFonts w:ascii="Aptos" w:hAnsi="Aptos"/>
        </w:rPr>
        <w:t>:</w:t>
      </w:r>
      <w:r w:rsidRPr="00A43C81">
        <w:rPr>
          <w:rFonts w:ascii="Aptos" w:hAnsi="Aptos"/>
        </w:rPr>
        <w:t xml:space="preserve"> </w:t>
      </w:r>
      <w:r w:rsidR="000A2A45" w:rsidRPr="00A43C81">
        <w:rPr>
          <w:rFonts w:ascii="Aptos" w:hAnsi="Aptos"/>
        </w:rPr>
        <w:t xml:space="preserve">Australian </w:t>
      </w:r>
      <w:r w:rsidR="00EE0540" w:rsidRPr="00A43C81">
        <w:rPr>
          <w:rFonts w:ascii="Aptos" w:hAnsi="Aptos"/>
        </w:rPr>
        <w:t>S</w:t>
      </w:r>
      <w:r w:rsidR="000A2A45" w:rsidRPr="00A43C81">
        <w:rPr>
          <w:rFonts w:ascii="Aptos" w:hAnsi="Aptos"/>
        </w:rPr>
        <w:t xml:space="preserve">ustainable </w:t>
      </w:r>
      <w:r w:rsidR="00EE0540" w:rsidRPr="00A43C81">
        <w:rPr>
          <w:rFonts w:ascii="Aptos" w:hAnsi="Aptos"/>
        </w:rPr>
        <w:t>F</w:t>
      </w:r>
      <w:r w:rsidR="000A2A45" w:rsidRPr="00A43C81">
        <w:rPr>
          <w:rFonts w:ascii="Aptos" w:hAnsi="Aptos"/>
        </w:rPr>
        <w:t xml:space="preserve">inance </w:t>
      </w:r>
      <w:r w:rsidR="00EE0540" w:rsidRPr="00A43C81">
        <w:rPr>
          <w:rFonts w:ascii="Aptos" w:hAnsi="Aptos"/>
        </w:rPr>
        <w:t>T</w:t>
      </w:r>
      <w:r w:rsidR="000A2A45" w:rsidRPr="00A43C81">
        <w:rPr>
          <w:rFonts w:ascii="Aptos" w:hAnsi="Aptos"/>
        </w:rPr>
        <w:t xml:space="preserve">axonomy </w:t>
      </w:r>
      <w:r w:rsidR="00EE0540" w:rsidRPr="00A43C81">
        <w:rPr>
          <w:rFonts w:ascii="Aptos" w:hAnsi="Aptos"/>
        </w:rPr>
        <w:t>S</w:t>
      </w:r>
      <w:r w:rsidR="000A2A45" w:rsidRPr="00A43C81">
        <w:rPr>
          <w:rFonts w:ascii="Aptos" w:hAnsi="Aptos"/>
        </w:rPr>
        <w:t xml:space="preserve">takeholder </w:t>
      </w:r>
      <w:r w:rsidR="00EE0540" w:rsidRPr="00A43C81">
        <w:rPr>
          <w:rFonts w:ascii="Aptos" w:hAnsi="Aptos"/>
        </w:rPr>
        <w:t>E</w:t>
      </w:r>
      <w:r w:rsidR="000A2A45" w:rsidRPr="00A43C81">
        <w:rPr>
          <w:rFonts w:ascii="Aptos" w:hAnsi="Aptos"/>
        </w:rPr>
        <w:t xml:space="preserve">ngagement </w:t>
      </w:r>
      <w:r w:rsidR="00EE0540" w:rsidRPr="00A43C81">
        <w:rPr>
          <w:rFonts w:ascii="Aptos" w:hAnsi="Aptos"/>
        </w:rPr>
        <w:t>P</w:t>
      </w:r>
      <w:r w:rsidR="000A2A45" w:rsidRPr="00A43C81">
        <w:rPr>
          <w:rFonts w:ascii="Aptos" w:hAnsi="Aptos"/>
        </w:rPr>
        <w:t xml:space="preserve">lan </w:t>
      </w:r>
    </w:p>
    <w:p w14:paraId="12DCA0C3" w14:textId="5C3C83B5" w:rsidR="001C6E52" w:rsidRDefault="00A43C81" w:rsidP="001C6E52">
      <w:pPr>
        <w:pStyle w:val="TOC1"/>
        <w:rPr>
          <w:rFonts w:ascii="Aptos" w:hAnsi="Aptos"/>
        </w:rPr>
      </w:pPr>
      <w:r w:rsidRPr="00862014">
        <w:rPr>
          <w:rFonts w:ascii="Aptos" w:hAnsi="Aptos"/>
          <w:b/>
          <w:bCs/>
        </w:rPr>
        <w:t>Appendix G</w:t>
      </w:r>
      <w:r w:rsidRPr="00862014">
        <w:rPr>
          <w:rFonts w:ascii="Aptos" w:hAnsi="Aptos"/>
        </w:rPr>
        <w:t xml:space="preserve">: </w:t>
      </w:r>
      <w:r w:rsidR="001C6E52">
        <w:rPr>
          <w:rFonts w:ascii="Aptos" w:hAnsi="Aptos"/>
        </w:rPr>
        <w:t xml:space="preserve">Australian Government Engagement </w:t>
      </w:r>
    </w:p>
    <w:p w14:paraId="15438F05" w14:textId="6A7E85B7" w:rsidR="00A43C81" w:rsidRPr="001C6E52" w:rsidRDefault="001C6E52" w:rsidP="001C6E52">
      <w:pPr>
        <w:pStyle w:val="TOC1"/>
        <w:rPr>
          <w:rFonts w:ascii="Aptos" w:hAnsi="Aptos"/>
          <w:b/>
          <w:bCs/>
        </w:rPr>
      </w:pPr>
      <w:r w:rsidRPr="001C6E52">
        <w:rPr>
          <w:rFonts w:ascii="Aptos" w:hAnsi="Aptos"/>
          <w:b/>
          <w:bCs/>
        </w:rPr>
        <w:t xml:space="preserve">Appendix H: </w:t>
      </w:r>
      <w:r w:rsidR="00A43C81" w:rsidRPr="001C6E52">
        <w:rPr>
          <w:rFonts w:ascii="Aptos" w:hAnsi="Aptos"/>
        </w:rPr>
        <w:t>Public Consultation Briefings</w:t>
      </w:r>
    </w:p>
    <w:p w14:paraId="4ACC5B65" w14:textId="667A8A2D" w:rsidR="00044531" w:rsidRPr="002C02B1" w:rsidRDefault="009B286D" w:rsidP="00474D81">
      <w:pPr>
        <w:pStyle w:val="ASFIHeadB"/>
        <w:jc w:val="center"/>
        <w:rPr>
          <w:rFonts w:ascii="Aptos" w:hAnsi="Aptos" w:cs="Helvetica"/>
          <w:b/>
        </w:rPr>
      </w:pPr>
      <w:r w:rsidRPr="002C02B1">
        <w:rPr>
          <w:rFonts w:ascii="Aptos" w:hAnsi="Aptos" w:cs="Helvetica"/>
          <w:b/>
        </w:rPr>
        <w:lastRenderedPageBreak/>
        <w:t>Introduction</w:t>
      </w:r>
    </w:p>
    <w:p w14:paraId="4338C9D3" w14:textId="77777777" w:rsidR="009B286D" w:rsidRPr="00A424FC" w:rsidRDefault="009B286D" w:rsidP="009B286D">
      <w:pPr>
        <w:rPr>
          <w:rFonts w:ascii="Aptos" w:hAnsi="Aptos" w:cs="Helvetica"/>
        </w:rPr>
      </w:pPr>
    </w:p>
    <w:p w14:paraId="37669837" w14:textId="77777777" w:rsidR="00A424FC" w:rsidRDefault="00A424FC" w:rsidP="009B286D">
      <w:pPr>
        <w:rPr>
          <w:rFonts w:ascii="Aptos" w:hAnsi="Aptos" w:cs="Helvetica"/>
        </w:rPr>
      </w:pPr>
    </w:p>
    <w:p w14:paraId="38896286" w14:textId="129B8536" w:rsidR="00A424FC" w:rsidRDefault="00BD0726" w:rsidP="009B286D">
      <w:pPr>
        <w:rPr>
          <w:rFonts w:ascii="Aptos" w:hAnsi="Aptos" w:cs="Helvetica"/>
        </w:rPr>
      </w:pPr>
      <w:r w:rsidRPr="2271792C">
        <w:rPr>
          <w:rFonts w:ascii="Aptos" w:hAnsi="Aptos" w:cs="Helvetica"/>
        </w:rPr>
        <w:t xml:space="preserve">The Australian Sustainable Finance Institute (ASFI) </w:t>
      </w:r>
      <w:r w:rsidR="004D2237" w:rsidRPr="2271792C">
        <w:rPr>
          <w:rFonts w:ascii="Aptos" w:hAnsi="Aptos" w:cs="Helvetica"/>
        </w:rPr>
        <w:t xml:space="preserve">and the Australian Government have partnered to develop an </w:t>
      </w:r>
      <w:r w:rsidR="5DB0A50D" w:rsidRPr="2271792C">
        <w:rPr>
          <w:rFonts w:ascii="Aptos" w:hAnsi="Aptos" w:cs="Helvetica"/>
        </w:rPr>
        <w:t xml:space="preserve">initial </w:t>
      </w:r>
      <w:r w:rsidR="004D2237" w:rsidRPr="2271792C">
        <w:rPr>
          <w:rFonts w:ascii="Aptos" w:hAnsi="Aptos" w:cs="Helvetica"/>
        </w:rPr>
        <w:t>Australian sustainable finance taxonomy</w:t>
      </w:r>
      <w:r w:rsidR="008D16C1" w:rsidRPr="2271792C">
        <w:rPr>
          <w:rFonts w:ascii="Aptos" w:hAnsi="Aptos" w:cs="Helvetica"/>
        </w:rPr>
        <w:t xml:space="preserve"> (Australian Taxonomy Project)</w:t>
      </w:r>
      <w:r w:rsidR="004D2237" w:rsidRPr="2271792C">
        <w:rPr>
          <w:rFonts w:ascii="Aptos" w:hAnsi="Aptos" w:cs="Helvetica"/>
        </w:rPr>
        <w:t>. This partnership reflects</w:t>
      </w:r>
      <w:r w:rsidRPr="2271792C">
        <w:rPr>
          <w:rFonts w:ascii="Aptos" w:hAnsi="Aptos" w:cs="Helvetica"/>
        </w:rPr>
        <w:t xml:space="preserve"> a</w:t>
      </w:r>
      <w:r w:rsidR="004F5A33" w:rsidRPr="2271792C">
        <w:rPr>
          <w:rFonts w:ascii="Aptos" w:hAnsi="Aptos" w:cs="Helvetica"/>
        </w:rPr>
        <w:t xml:space="preserve"> </w:t>
      </w:r>
      <w:r w:rsidR="004D2237" w:rsidRPr="2271792C">
        <w:rPr>
          <w:rFonts w:ascii="Aptos" w:hAnsi="Aptos" w:cs="Helvetica"/>
        </w:rPr>
        <w:t>shared</w:t>
      </w:r>
      <w:r w:rsidRPr="2271792C">
        <w:rPr>
          <w:rFonts w:ascii="Aptos" w:hAnsi="Aptos" w:cs="Helvetica"/>
        </w:rPr>
        <w:t xml:space="preserve"> </w:t>
      </w:r>
      <w:r w:rsidR="004D2237" w:rsidRPr="2271792C">
        <w:rPr>
          <w:rFonts w:ascii="Aptos" w:hAnsi="Aptos" w:cs="Helvetica"/>
        </w:rPr>
        <w:t xml:space="preserve">appetite across government, the finance sector and industry for </w:t>
      </w:r>
      <w:r w:rsidR="100F8D9F" w:rsidRPr="2271792C">
        <w:rPr>
          <w:rFonts w:ascii="Aptos" w:hAnsi="Aptos" w:cs="Helvetica"/>
        </w:rPr>
        <w:t xml:space="preserve">consistent, credible </w:t>
      </w:r>
      <w:r w:rsidR="004D2237" w:rsidRPr="2271792C">
        <w:rPr>
          <w:rFonts w:ascii="Aptos" w:hAnsi="Aptos" w:cs="Helvetica"/>
        </w:rPr>
        <w:t xml:space="preserve">frameworks to support sustainable finance markets in Australia. The taxonomy is a </w:t>
      </w:r>
      <w:r w:rsidR="3095F990" w:rsidRPr="2271792C">
        <w:rPr>
          <w:rFonts w:ascii="Aptos" w:hAnsi="Aptos" w:cs="Helvetica"/>
        </w:rPr>
        <w:t>foundational piece</w:t>
      </w:r>
      <w:r w:rsidR="004D2237" w:rsidRPr="2271792C">
        <w:rPr>
          <w:rFonts w:ascii="Aptos" w:hAnsi="Aptos" w:cs="Helvetica"/>
        </w:rPr>
        <w:t xml:space="preserve"> of the Australian Government’s sustainable finance agenda. </w:t>
      </w:r>
    </w:p>
    <w:p w14:paraId="466441DA" w14:textId="77777777" w:rsidR="00A424FC" w:rsidRDefault="00A424FC" w:rsidP="009B286D">
      <w:pPr>
        <w:rPr>
          <w:rFonts w:ascii="Aptos" w:hAnsi="Aptos" w:cs="Helvetica"/>
        </w:rPr>
      </w:pPr>
    </w:p>
    <w:p w14:paraId="0792A5C0" w14:textId="2D0134C4" w:rsidR="00741AF6" w:rsidRPr="00A424FC" w:rsidRDefault="008D16C1" w:rsidP="009B286D">
      <w:pPr>
        <w:rPr>
          <w:rFonts w:ascii="Aptos" w:hAnsi="Aptos" w:cs="Helvetica"/>
        </w:rPr>
      </w:pPr>
      <w:r>
        <w:rPr>
          <w:rFonts w:ascii="Aptos" w:hAnsi="Aptos" w:cs="Helvetica"/>
        </w:rPr>
        <w:t xml:space="preserve">The Australian Taxonomy Project commenced in July 2023. </w:t>
      </w:r>
      <w:r w:rsidR="009B286D" w:rsidRPr="00A424FC">
        <w:rPr>
          <w:rFonts w:ascii="Aptos" w:hAnsi="Aptos" w:cs="Helvetica"/>
        </w:rPr>
        <w:t xml:space="preserve">In accordance with the terms of the Grant Agreement between ASFI and the Australian Government </w:t>
      </w:r>
      <w:r w:rsidR="00A25B4B" w:rsidRPr="00A424FC">
        <w:rPr>
          <w:rFonts w:ascii="Aptos" w:hAnsi="Aptos" w:cs="Helvetica"/>
        </w:rPr>
        <w:t>r</w:t>
      </w:r>
      <w:r w:rsidR="009B286D" w:rsidRPr="00A424FC">
        <w:rPr>
          <w:rFonts w:ascii="Aptos" w:hAnsi="Aptos" w:cs="Helvetica"/>
        </w:rPr>
        <w:t xml:space="preserve">epresented by the Department </w:t>
      </w:r>
      <w:r w:rsidR="009B286D" w:rsidRPr="00862014">
        <w:rPr>
          <w:rFonts w:ascii="Aptos" w:hAnsi="Aptos" w:cs="Helvetica"/>
        </w:rPr>
        <w:t xml:space="preserve">of </w:t>
      </w:r>
      <w:r w:rsidR="00A25B4B" w:rsidRPr="00862014">
        <w:rPr>
          <w:rFonts w:ascii="Aptos" w:hAnsi="Aptos" w:cs="Helvetica"/>
        </w:rPr>
        <w:t xml:space="preserve">the </w:t>
      </w:r>
      <w:r w:rsidR="009B286D" w:rsidRPr="00862014">
        <w:rPr>
          <w:rFonts w:ascii="Aptos" w:hAnsi="Aptos" w:cs="Helvetica"/>
        </w:rPr>
        <w:t xml:space="preserve">Treasury, ASFI is required to provide </w:t>
      </w:r>
      <w:r w:rsidR="00D63007" w:rsidRPr="00862014">
        <w:rPr>
          <w:rFonts w:ascii="Aptos" w:hAnsi="Aptos" w:cs="Helvetica"/>
        </w:rPr>
        <w:t>a report</w:t>
      </w:r>
      <w:r w:rsidR="002519B7" w:rsidRPr="00862014">
        <w:rPr>
          <w:rFonts w:ascii="Aptos" w:hAnsi="Aptos" w:cs="Helvetica"/>
        </w:rPr>
        <w:t xml:space="preserve"> on progress</w:t>
      </w:r>
      <w:r w:rsidR="00D63007" w:rsidRPr="00862014">
        <w:rPr>
          <w:rFonts w:ascii="Aptos" w:hAnsi="Aptos" w:cs="Helvetica"/>
        </w:rPr>
        <w:t xml:space="preserve"> by 30 June 2024.</w:t>
      </w:r>
      <w:r w:rsidR="00D63007" w:rsidRPr="00A424FC">
        <w:rPr>
          <w:rFonts w:ascii="Aptos" w:hAnsi="Aptos" w:cs="Helvetica"/>
        </w:rPr>
        <w:t xml:space="preserve"> </w:t>
      </w:r>
      <w:r w:rsidR="009B286D" w:rsidRPr="00A424FC">
        <w:rPr>
          <w:rFonts w:ascii="Aptos" w:hAnsi="Aptos" w:cs="Helvetica"/>
        </w:rPr>
        <w:t xml:space="preserve"> </w:t>
      </w:r>
    </w:p>
    <w:p w14:paraId="71A3C9A7" w14:textId="77777777" w:rsidR="00741AF6" w:rsidRPr="00A424FC" w:rsidRDefault="00741AF6" w:rsidP="009B286D">
      <w:pPr>
        <w:rPr>
          <w:rFonts w:ascii="Aptos" w:hAnsi="Aptos" w:cs="Helvetica"/>
        </w:rPr>
      </w:pPr>
    </w:p>
    <w:p w14:paraId="34C16FD2" w14:textId="19BA775B" w:rsidR="00516C8D" w:rsidRPr="00A424FC" w:rsidRDefault="00381122" w:rsidP="00BB7C80">
      <w:pPr>
        <w:rPr>
          <w:rFonts w:ascii="Aptos" w:hAnsi="Aptos" w:cs="Helvetica"/>
        </w:rPr>
      </w:pPr>
      <w:r w:rsidRPr="00A424FC">
        <w:rPr>
          <w:rFonts w:ascii="Aptos" w:hAnsi="Aptos" w:cs="Helvetica"/>
        </w:rPr>
        <w:t xml:space="preserve">This </w:t>
      </w:r>
      <w:r w:rsidR="00123756" w:rsidRPr="00A424FC">
        <w:rPr>
          <w:rFonts w:ascii="Aptos" w:hAnsi="Aptos" w:cs="Helvetica"/>
        </w:rPr>
        <w:t>rep</w:t>
      </w:r>
      <w:r w:rsidR="00A83AB2" w:rsidRPr="00A424FC">
        <w:rPr>
          <w:rFonts w:ascii="Aptos" w:hAnsi="Aptos" w:cs="Helvetica"/>
        </w:rPr>
        <w:t xml:space="preserve">ort </w:t>
      </w:r>
      <w:r w:rsidR="00C12B37" w:rsidRPr="00A424FC">
        <w:rPr>
          <w:rFonts w:ascii="Aptos" w:hAnsi="Aptos" w:cs="Helvetica"/>
        </w:rPr>
        <w:t xml:space="preserve">comprises </w:t>
      </w:r>
      <w:r w:rsidR="008B4499" w:rsidRPr="00A424FC">
        <w:rPr>
          <w:rFonts w:ascii="Aptos" w:hAnsi="Aptos" w:cs="Helvetica"/>
        </w:rPr>
        <w:t xml:space="preserve">the following three sections.  </w:t>
      </w:r>
      <w:r w:rsidR="00C12B37" w:rsidRPr="00A424FC">
        <w:rPr>
          <w:rFonts w:ascii="Aptos" w:hAnsi="Aptos" w:cs="Helvetica"/>
        </w:rPr>
        <w:t xml:space="preserve"> </w:t>
      </w:r>
      <w:r w:rsidR="00A83AB2" w:rsidRPr="00A424FC">
        <w:rPr>
          <w:rFonts w:ascii="Aptos" w:hAnsi="Aptos" w:cs="Helvetica"/>
        </w:rPr>
        <w:t xml:space="preserve"> </w:t>
      </w:r>
    </w:p>
    <w:p w14:paraId="6635E38D" w14:textId="77777777" w:rsidR="00BB7C80" w:rsidRPr="00A424FC" w:rsidRDefault="00BB7C80" w:rsidP="00BB7C80">
      <w:pPr>
        <w:rPr>
          <w:rFonts w:ascii="Aptos" w:hAnsi="Aptos" w:cs="Helvetica"/>
        </w:rPr>
      </w:pPr>
    </w:p>
    <w:p w14:paraId="3E292E0B" w14:textId="245F2B88" w:rsidR="00CB6E40" w:rsidRPr="00A424FC" w:rsidRDefault="005A4D7D" w:rsidP="00C12B37">
      <w:pPr>
        <w:pStyle w:val="ListParagraph"/>
        <w:numPr>
          <w:ilvl w:val="0"/>
          <w:numId w:val="14"/>
        </w:numPr>
        <w:spacing w:before="120"/>
        <w:rPr>
          <w:rFonts w:ascii="Aptos" w:hAnsi="Aptos" w:cs="Helvetica"/>
          <w:sz w:val="24"/>
          <w:szCs w:val="24"/>
        </w:rPr>
      </w:pPr>
      <w:r w:rsidRPr="00A424FC">
        <w:rPr>
          <w:rFonts w:ascii="Aptos" w:hAnsi="Aptos" w:cs="Helvetica"/>
          <w:sz w:val="24"/>
          <w:szCs w:val="24"/>
        </w:rPr>
        <w:t>A</w:t>
      </w:r>
      <w:r w:rsidR="008B4499" w:rsidRPr="00A424FC">
        <w:rPr>
          <w:rFonts w:ascii="Aptos" w:hAnsi="Aptos" w:cs="Helvetica"/>
          <w:sz w:val="24"/>
          <w:szCs w:val="24"/>
        </w:rPr>
        <w:t xml:space="preserve">n overview </w:t>
      </w:r>
      <w:r w:rsidRPr="00A424FC">
        <w:rPr>
          <w:rFonts w:ascii="Aptos" w:hAnsi="Aptos" w:cs="Helvetica"/>
          <w:sz w:val="24"/>
          <w:szCs w:val="24"/>
        </w:rPr>
        <w:t xml:space="preserve">of the Australian taxonomy’s development </w:t>
      </w:r>
      <w:r w:rsidR="0034680E" w:rsidRPr="00A424FC">
        <w:rPr>
          <w:rFonts w:ascii="Aptos" w:hAnsi="Aptos" w:cs="Helvetica"/>
          <w:sz w:val="24"/>
          <w:szCs w:val="24"/>
        </w:rPr>
        <w:t>to date</w:t>
      </w:r>
      <w:r w:rsidR="00F46921" w:rsidRPr="00A424FC">
        <w:rPr>
          <w:rFonts w:ascii="Aptos" w:hAnsi="Aptos" w:cs="Helvetica"/>
          <w:sz w:val="24"/>
          <w:szCs w:val="24"/>
        </w:rPr>
        <w:t xml:space="preserve">, including: </w:t>
      </w:r>
    </w:p>
    <w:p w14:paraId="3947B71A" w14:textId="77777777" w:rsidR="00741AF6" w:rsidRPr="00A424FC" w:rsidRDefault="00741AF6" w:rsidP="00741AF6">
      <w:pPr>
        <w:pStyle w:val="ListParagraph"/>
        <w:spacing w:before="120"/>
        <w:rPr>
          <w:rFonts w:ascii="Aptos" w:hAnsi="Aptos" w:cs="Helvetica"/>
          <w:sz w:val="24"/>
          <w:szCs w:val="24"/>
        </w:rPr>
      </w:pPr>
    </w:p>
    <w:p w14:paraId="1FB3698F" w14:textId="47427817" w:rsidR="0034680E" w:rsidRPr="00A424FC" w:rsidRDefault="005457A2" w:rsidP="00F46921">
      <w:pPr>
        <w:pStyle w:val="ListParagraph"/>
        <w:numPr>
          <w:ilvl w:val="1"/>
          <w:numId w:val="14"/>
        </w:numPr>
        <w:spacing w:before="120"/>
        <w:rPr>
          <w:rFonts w:ascii="Aptos" w:hAnsi="Aptos" w:cs="Helvetica"/>
          <w:sz w:val="24"/>
          <w:szCs w:val="24"/>
        </w:rPr>
      </w:pPr>
      <w:r w:rsidRPr="00A424FC">
        <w:rPr>
          <w:rFonts w:ascii="Aptos" w:hAnsi="Aptos" w:cs="Helvetica"/>
          <w:sz w:val="24"/>
          <w:szCs w:val="24"/>
        </w:rPr>
        <w:t>the T</w:t>
      </w:r>
      <w:r w:rsidR="002F5664" w:rsidRPr="00A424FC">
        <w:rPr>
          <w:rFonts w:ascii="Aptos" w:hAnsi="Aptos" w:cs="Helvetica"/>
          <w:sz w:val="24"/>
          <w:szCs w:val="24"/>
        </w:rPr>
        <w:t xml:space="preserve">axonomy </w:t>
      </w:r>
      <w:r w:rsidRPr="00A424FC">
        <w:rPr>
          <w:rFonts w:ascii="Aptos" w:hAnsi="Aptos" w:cs="Helvetica"/>
          <w:sz w:val="24"/>
          <w:szCs w:val="24"/>
        </w:rPr>
        <w:t>T</w:t>
      </w:r>
      <w:r w:rsidR="002F5664" w:rsidRPr="00A424FC">
        <w:rPr>
          <w:rFonts w:ascii="Aptos" w:hAnsi="Aptos" w:cs="Helvetica"/>
          <w:sz w:val="24"/>
          <w:szCs w:val="24"/>
        </w:rPr>
        <w:t xml:space="preserve">echnical Expert </w:t>
      </w:r>
      <w:r w:rsidRPr="00A424FC">
        <w:rPr>
          <w:rFonts w:ascii="Aptos" w:hAnsi="Aptos" w:cs="Helvetica"/>
          <w:sz w:val="24"/>
          <w:szCs w:val="24"/>
        </w:rPr>
        <w:t>G</w:t>
      </w:r>
      <w:r w:rsidR="002F5664" w:rsidRPr="00A424FC">
        <w:rPr>
          <w:rFonts w:ascii="Aptos" w:hAnsi="Aptos" w:cs="Helvetica"/>
          <w:sz w:val="24"/>
          <w:szCs w:val="24"/>
        </w:rPr>
        <w:t>roup</w:t>
      </w:r>
      <w:r w:rsidR="00D10E0F" w:rsidRPr="00A424FC">
        <w:rPr>
          <w:rFonts w:ascii="Aptos" w:hAnsi="Aptos" w:cs="Helvetica"/>
          <w:sz w:val="24"/>
          <w:szCs w:val="24"/>
        </w:rPr>
        <w:t>’</w:t>
      </w:r>
      <w:r w:rsidRPr="00A424FC">
        <w:rPr>
          <w:rFonts w:ascii="Aptos" w:hAnsi="Aptos" w:cs="Helvetica"/>
          <w:sz w:val="24"/>
          <w:szCs w:val="24"/>
        </w:rPr>
        <w:t>s</w:t>
      </w:r>
      <w:r w:rsidR="002F5664" w:rsidRPr="00A424FC">
        <w:rPr>
          <w:rFonts w:ascii="Aptos" w:hAnsi="Aptos" w:cs="Helvetica"/>
          <w:sz w:val="24"/>
          <w:szCs w:val="24"/>
        </w:rPr>
        <w:t xml:space="preserve"> (TTEG)</w:t>
      </w:r>
      <w:r w:rsidR="00A83AB2" w:rsidRPr="00A424FC">
        <w:rPr>
          <w:rFonts w:ascii="Aptos" w:hAnsi="Aptos" w:cs="Helvetica"/>
          <w:sz w:val="24"/>
          <w:szCs w:val="24"/>
        </w:rPr>
        <w:t xml:space="preserve"> </w:t>
      </w:r>
      <w:r w:rsidRPr="00A424FC">
        <w:rPr>
          <w:rFonts w:ascii="Aptos" w:hAnsi="Aptos" w:cs="Helvetica"/>
          <w:sz w:val="24"/>
          <w:szCs w:val="24"/>
        </w:rPr>
        <w:t xml:space="preserve">recommendations </w:t>
      </w:r>
      <w:r w:rsidR="00A83AB2" w:rsidRPr="00A424FC">
        <w:rPr>
          <w:rFonts w:ascii="Aptos" w:hAnsi="Aptos" w:cs="Helvetica"/>
          <w:sz w:val="24"/>
          <w:szCs w:val="24"/>
        </w:rPr>
        <w:t xml:space="preserve">on </w:t>
      </w:r>
      <w:r w:rsidRPr="00A424FC">
        <w:rPr>
          <w:rFonts w:ascii="Aptos" w:hAnsi="Aptos" w:cs="Helvetica"/>
          <w:sz w:val="24"/>
          <w:szCs w:val="24"/>
        </w:rPr>
        <w:t xml:space="preserve">the taxonomy </w:t>
      </w:r>
      <w:r w:rsidR="00A83AB2" w:rsidRPr="00A424FC">
        <w:rPr>
          <w:rFonts w:ascii="Aptos" w:hAnsi="Aptos" w:cs="Helvetica"/>
          <w:sz w:val="24"/>
          <w:szCs w:val="24"/>
        </w:rPr>
        <w:t>issues</w:t>
      </w:r>
      <w:r w:rsidRPr="00A424FC">
        <w:rPr>
          <w:rFonts w:ascii="Aptos" w:hAnsi="Aptos" w:cs="Helvetica"/>
          <w:sz w:val="24"/>
          <w:szCs w:val="24"/>
        </w:rPr>
        <w:t xml:space="preserve"> outlined in the scope of the </w:t>
      </w:r>
      <w:proofErr w:type="gramStart"/>
      <w:r w:rsidRPr="00A424FC">
        <w:rPr>
          <w:rFonts w:ascii="Aptos" w:hAnsi="Aptos" w:cs="Helvetica"/>
          <w:sz w:val="24"/>
          <w:szCs w:val="24"/>
        </w:rPr>
        <w:t>project</w:t>
      </w:r>
      <w:r w:rsidR="00741AF6" w:rsidRPr="00A424FC">
        <w:rPr>
          <w:rFonts w:ascii="Aptos" w:hAnsi="Aptos" w:cs="Helvetica"/>
          <w:sz w:val="24"/>
          <w:szCs w:val="24"/>
        </w:rPr>
        <w:t>;</w:t>
      </w:r>
      <w:proofErr w:type="gramEnd"/>
      <w:r w:rsidR="00741AF6" w:rsidRPr="00A424FC">
        <w:rPr>
          <w:rFonts w:ascii="Aptos" w:hAnsi="Aptos" w:cs="Helvetica"/>
          <w:sz w:val="24"/>
          <w:szCs w:val="24"/>
        </w:rPr>
        <w:t xml:space="preserve"> </w:t>
      </w:r>
    </w:p>
    <w:p w14:paraId="40E564B2" w14:textId="77777777" w:rsidR="0034680E" w:rsidRPr="00A424FC" w:rsidRDefault="0034680E" w:rsidP="0034680E">
      <w:pPr>
        <w:pStyle w:val="ListParagraph"/>
        <w:rPr>
          <w:rFonts w:ascii="Aptos" w:hAnsi="Aptos" w:cs="Helvetica"/>
          <w:sz w:val="24"/>
          <w:szCs w:val="24"/>
        </w:rPr>
      </w:pPr>
    </w:p>
    <w:p w14:paraId="4FBA6B0D" w14:textId="3F480716" w:rsidR="00C12B37" w:rsidRPr="00A424FC" w:rsidRDefault="00741AF6" w:rsidP="00C12B37">
      <w:pPr>
        <w:pStyle w:val="ListParagraph"/>
        <w:numPr>
          <w:ilvl w:val="1"/>
          <w:numId w:val="14"/>
        </w:numPr>
        <w:spacing w:before="120"/>
        <w:rPr>
          <w:rFonts w:ascii="Aptos" w:hAnsi="Aptos" w:cs="Helvetica"/>
          <w:sz w:val="24"/>
          <w:szCs w:val="24"/>
        </w:rPr>
      </w:pPr>
      <w:r w:rsidRPr="00A424FC">
        <w:rPr>
          <w:rFonts w:ascii="Aptos" w:hAnsi="Aptos" w:cs="Helvetica"/>
          <w:sz w:val="24"/>
          <w:szCs w:val="24"/>
        </w:rPr>
        <w:t>the technical screening criteria for the first three priority sectors for development (</w:t>
      </w:r>
      <w:r w:rsidR="00516C8D" w:rsidRPr="00A424FC">
        <w:rPr>
          <w:rFonts w:ascii="Aptos" w:hAnsi="Aptos" w:cs="Helvetica"/>
          <w:sz w:val="24"/>
          <w:szCs w:val="24"/>
        </w:rPr>
        <w:t xml:space="preserve">electricity generation and supply; </w:t>
      </w:r>
      <w:r w:rsidRPr="00A424FC">
        <w:rPr>
          <w:rFonts w:ascii="Aptos" w:hAnsi="Aptos" w:cs="Helvetica"/>
          <w:sz w:val="24"/>
          <w:szCs w:val="24"/>
        </w:rPr>
        <w:t>minerals; mining and metals</w:t>
      </w:r>
      <w:r w:rsidR="00516C8D" w:rsidRPr="00A424FC">
        <w:rPr>
          <w:rFonts w:ascii="Aptos" w:hAnsi="Aptos" w:cs="Helvetica"/>
          <w:sz w:val="24"/>
          <w:szCs w:val="24"/>
        </w:rPr>
        <w:t>; and built environment)</w:t>
      </w:r>
      <w:r w:rsidR="00C12B37" w:rsidRPr="00A424FC">
        <w:rPr>
          <w:rFonts w:ascii="Aptos" w:hAnsi="Aptos" w:cs="Helvetica"/>
          <w:sz w:val="24"/>
          <w:szCs w:val="24"/>
        </w:rPr>
        <w:t xml:space="preserve"> against the climate change mitigation objective; </w:t>
      </w:r>
      <w:r w:rsidR="00472775" w:rsidRPr="00A424FC">
        <w:rPr>
          <w:rFonts w:ascii="Aptos" w:hAnsi="Aptos" w:cs="Helvetica"/>
          <w:sz w:val="24"/>
          <w:szCs w:val="24"/>
        </w:rPr>
        <w:t>and</w:t>
      </w:r>
      <w:r w:rsidR="00C12B37" w:rsidRPr="00A424FC">
        <w:rPr>
          <w:rFonts w:ascii="Aptos" w:hAnsi="Aptos" w:cs="Helvetica"/>
          <w:sz w:val="24"/>
          <w:szCs w:val="24"/>
        </w:rPr>
        <w:t xml:space="preserve"> </w:t>
      </w:r>
      <w:r w:rsidR="00516C8D" w:rsidRPr="00A424FC">
        <w:rPr>
          <w:rFonts w:ascii="Aptos" w:hAnsi="Aptos" w:cs="Helvetica"/>
          <w:sz w:val="24"/>
          <w:szCs w:val="24"/>
        </w:rPr>
        <w:t xml:space="preserve">  </w:t>
      </w:r>
      <w:r w:rsidRPr="00A424FC">
        <w:rPr>
          <w:rFonts w:ascii="Aptos" w:hAnsi="Aptos" w:cs="Helvetica"/>
          <w:sz w:val="24"/>
          <w:szCs w:val="24"/>
        </w:rPr>
        <w:t xml:space="preserve"> </w:t>
      </w:r>
    </w:p>
    <w:p w14:paraId="3DA9C21E" w14:textId="77777777" w:rsidR="00C12B37" w:rsidRPr="00A424FC" w:rsidRDefault="00C12B37" w:rsidP="00C12B37">
      <w:pPr>
        <w:pStyle w:val="ListParagraph"/>
        <w:rPr>
          <w:rFonts w:ascii="Aptos" w:hAnsi="Aptos" w:cs="Helvetica"/>
        </w:rPr>
      </w:pPr>
    </w:p>
    <w:p w14:paraId="72FE835B" w14:textId="34E6CD26" w:rsidR="00B136E0" w:rsidRPr="00A424FC" w:rsidRDefault="00472775" w:rsidP="00C12B37">
      <w:pPr>
        <w:pStyle w:val="ListParagraph"/>
        <w:numPr>
          <w:ilvl w:val="1"/>
          <w:numId w:val="14"/>
        </w:numPr>
        <w:spacing w:before="120"/>
        <w:rPr>
          <w:rFonts w:ascii="Aptos" w:hAnsi="Aptos" w:cs="Helvetica"/>
          <w:sz w:val="24"/>
          <w:szCs w:val="24"/>
        </w:rPr>
      </w:pPr>
      <w:r w:rsidRPr="00A424FC">
        <w:rPr>
          <w:rFonts w:ascii="Aptos" w:hAnsi="Aptos" w:cs="Helvetica"/>
          <w:sz w:val="24"/>
          <w:szCs w:val="24"/>
        </w:rPr>
        <w:t>t</w:t>
      </w:r>
      <w:r w:rsidR="008330C6" w:rsidRPr="00A424FC">
        <w:rPr>
          <w:rFonts w:ascii="Aptos" w:hAnsi="Aptos" w:cs="Helvetica"/>
          <w:sz w:val="24"/>
          <w:szCs w:val="24"/>
        </w:rPr>
        <w:t xml:space="preserve">he relevant data and research relied upon to develop the draft recommendations and the technical screening criteria. </w:t>
      </w:r>
    </w:p>
    <w:p w14:paraId="73C22146" w14:textId="77777777" w:rsidR="00F107A9" w:rsidRPr="00A424FC" w:rsidRDefault="00F107A9" w:rsidP="005B4BD4">
      <w:pPr>
        <w:pStyle w:val="ListParagraph"/>
        <w:spacing w:before="120"/>
        <w:ind w:left="1440"/>
        <w:rPr>
          <w:rFonts w:ascii="Aptos" w:hAnsi="Aptos" w:cs="Helvetica"/>
          <w:sz w:val="24"/>
          <w:szCs w:val="24"/>
        </w:rPr>
      </w:pPr>
    </w:p>
    <w:p w14:paraId="1EB67C2A" w14:textId="074BD38A" w:rsidR="008B4499" w:rsidRPr="00A424FC" w:rsidRDefault="00F46921" w:rsidP="008B4499">
      <w:pPr>
        <w:pStyle w:val="ListParagraph"/>
        <w:numPr>
          <w:ilvl w:val="0"/>
          <w:numId w:val="14"/>
        </w:numPr>
        <w:spacing w:before="120"/>
        <w:ind w:hanging="357"/>
        <w:rPr>
          <w:rFonts w:ascii="Aptos" w:hAnsi="Aptos" w:cs="Helvetica"/>
          <w:sz w:val="24"/>
          <w:szCs w:val="24"/>
        </w:rPr>
      </w:pPr>
      <w:r w:rsidRPr="00A424FC">
        <w:rPr>
          <w:rFonts w:ascii="Aptos" w:hAnsi="Aptos" w:cs="Helvetica"/>
          <w:sz w:val="24"/>
          <w:szCs w:val="24"/>
        </w:rPr>
        <w:t>A</w:t>
      </w:r>
      <w:r w:rsidR="00087E0C">
        <w:rPr>
          <w:rFonts w:ascii="Aptos" w:hAnsi="Aptos" w:cs="Helvetica"/>
          <w:sz w:val="24"/>
          <w:szCs w:val="24"/>
        </w:rPr>
        <w:t>n a</w:t>
      </w:r>
      <w:r w:rsidR="008B4499" w:rsidRPr="00A424FC">
        <w:rPr>
          <w:rFonts w:ascii="Aptos" w:hAnsi="Aptos" w:cs="Helvetica"/>
          <w:sz w:val="24"/>
          <w:szCs w:val="24"/>
        </w:rPr>
        <w:t>lignment analysis</w:t>
      </w:r>
      <w:r w:rsidR="00493033" w:rsidRPr="00A424FC">
        <w:rPr>
          <w:rFonts w:ascii="Aptos" w:hAnsi="Aptos" w:cs="Helvetica"/>
          <w:sz w:val="24"/>
          <w:szCs w:val="24"/>
        </w:rPr>
        <w:t xml:space="preserve"> of the </w:t>
      </w:r>
      <w:r w:rsidR="006735B6" w:rsidRPr="00A424FC">
        <w:rPr>
          <w:rFonts w:ascii="Aptos" w:hAnsi="Aptos" w:cs="Helvetica"/>
          <w:sz w:val="24"/>
          <w:szCs w:val="24"/>
        </w:rPr>
        <w:t xml:space="preserve">taxonomy </w:t>
      </w:r>
      <w:r w:rsidR="009B0592" w:rsidRPr="00A424FC">
        <w:rPr>
          <w:rFonts w:ascii="Aptos" w:hAnsi="Aptos" w:cs="Helvetica"/>
          <w:sz w:val="24"/>
          <w:szCs w:val="24"/>
        </w:rPr>
        <w:t>deliverables</w:t>
      </w:r>
      <w:r w:rsidR="008B4499" w:rsidRPr="00A424FC">
        <w:rPr>
          <w:rFonts w:ascii="Aptos" w:hAnsi="Aptos" w:cs="Helvetica"/>
          <w:sz w:val="24"/>
          <w:szCs w:val="24"/>
        </w:rPr>
        <w:t xml:space="preserve"> – including</w:t>
      </w:r>
      <w:r w:rsidR="00493033" w:rsidRPr="00A424FC">
        <w:rPr>
          <w:rFonts w:ascii="Aptos" w:hAnsi="Aptos" w:cs="Helvetica"/>
          <w:sz w:val="24"/>
          <w:szCs w:val="24"/>
        </w:rPr>
        <w:t xml:space="preserve"> </w:t>
      </w:r>
      <w:r w:rsidR="008B4499" w:rsidRPr="00A424FC">
        <w:rPr>
          <w:rFonts w:ascii="Aptos" w:hAnsi="Aptos" w:cs="Helvetica"/>
          <w:sz w:val="24"/>
          <w:szCs w:val="24"/>
        </w:rPr>
        <w:t>the draft</w:t>
      </w:r>
      <w:r w:rsidR="00493033" w:rsidRPr="00A424FC">
        <w:rPr>
          <w:rFonts w:ascii="Aptos" w:hAnsi="Aptos" w:cs="Helvetica"/>
          <w:sz w:val="24"/>
          <w:szCs w:val="24"/>
        </w:rPr>
        <w:t xml:space="preserve"> technical screening criteria</w:t>
      </w:r>
      <w:r w:rsidR="008B4499" w:rsidRPr="00A424FC">
        <w:rPr>
          <w:rFonts w:ascii="Aptos" w:hAnsi="Aptos" w:cs="Helvetica"/>
          <w:sz w:val="24"/>
          <w:szCs w:val="24"/>
        </w:rPr>
        <w:t xml:space="preserve"> – </w:t>
      </w:r>
      <w:r w:rsidR="00493033" w:rsidRPr="00A424FC">
        <w:rPr>
          <w:rFonts w:ascii="Aptos" w:hAnsi="Aptos" w:cs="Helvetica"/>
          <w:sz w:val="24"/>
          <w:szCs w:val="24"/>
        </w:rPr>
        <w:t>with the policy objectives set out in the</w:t>
      </w:r>
      <w:r w:rsidR="008872E1" w:rsidRPr="00A424FC">
        <w:rPr>
          <w:rFonts w:ascii="Aptos" w:hAnsi="Aptos" w:cs="Helvetica"/>
          <w:sz w:val="24"/>
          <w:szCs w:val="24"/>
        </w:rPr>
        <w:t xml:space="preserve"> </w:t>
      </w:r>
      <w:hyperlink r:id="rId11" w:history="1">
        <w:r w:rsidR="00493033" w:rsidRPr="00A424FC">
          <w:rPr>
            <w:rStyle w:val="Hyperlink"/>
            <w:rFonts w:ascii="Aptos" w:hAnsi="Aptos" w:cs="Helvetica"/>
            <w:sz w:val="24"/>
            <w:szCs w:val="24"/>
          </w:rPr>
          <w:t>Term</w:t>
        </w:r>
        <w:r w:rsidR="002B7464" w:rsidRPr="00A424FC">
          <w:rPr>
            <w:rStyle w:val="Hyperlink"/>
            <w:rFonts w:ascii="Aptos" w:hAnsi="Aptos" w:cs="Helvetica"/>
            <w:sz w:val="24"/>
            <w:szCs w:val="24"/>
          </w:rPr>
          <w:t>s</w:t>
        </w:r>
        <w:r w:rsidR="00493033" w:rsidRPr="00A424FC">
          <w:rPr>
            <w:rStyle w:val="Hyperlink"/>
            <w:rFonts w:ascii="Aptos" w:hAnsi="Aptos" w:cs="Helvetica"/>
            <w:sz w:val="24"/>
            <w:szCs w:val="24"/>
          </w:rPr>
          <w:t xml:space="preserve"> of Reference</w:t>
        </w:r>
      </w:hyperlink>
      <w:r w:rsidR="008B4499" w:rsidRPr="00A424FC">
        <w:rPr>
          <w:rFonts w:ascii="Aptos" w:hAnsi="Aptos" w:cs="Helvetica"/>
          <w:sz w:val="24"/>
          <w:szCs w:val="24"/>
        </w:rPr>
        <w:t xml:space="preserve">. </w:t>
      </w:r>
    </w:p>
    <w:p w14:paraId="79BB9CFA" w14:textId="77777777" w:rsidR="008B4499" w:rsidRPr="00A424FC" w:rsidRDefault="008B4499" w:rsidP="008B4499">
      <w:pPr>
        <w:pStyle w:val="ListParagraph"/>
        <w:spacing w:before="120"/>
        <w:rPr>
          <w:rFonts w:ascii="Aptos" w:hAnsi="Aptos" w:cs="Helvetica"/>
          <w:sz w:val="24"/>
          <w:szCs w:val="24"/>
        </w:rPr>
      </w:pPr>
    </w:p>
    <w:p w14:paraId="7727B522" w14:textId="77777777" w:rsidR="008B4499" w:rsidRPr="00A424FC" w:rsidRDefault="008B4499" w:rsidP="008B4499">
      <w:pPr>
        <w:pStyle w:val="ListParagraph"/>
        <w:numPr>
          <w:ilvl w:val="0"/>
          <w:numId w:val="14"/>
        </w:numPr>
        <w:spacing w:before="120"/>
        <w:rPr>
          <w:rFonts w:ascii="Aptos" w:hAnsi="Aptos" w:cs="Helvetica"/>
          <w:sz w:val="24"/>
          <w:szCs w:val="24"/>
        </w:rPr>
      </w:pPr>
      <w:r w:rsidRPr="00A424FC">
        <w:rPr>
          <w:rFonts w:ascii="Aptos" w:hAnsi="Aptos" w:cs="Helvetica"/>
          <w:sz w:val="24"/>
          <w:szCs w:val="24"/>
        </w:rPr>
        <w:t>A s</w:t>
      </w:r>
      <w:r w:rsidR="00BB6180" w:rsidRPr="00A424FC">
        <w:rPr>
          <w:rFonts w:ascii="Aptos" w:hAnsi="Aptos" w:cs="Helvetica"/>
          <w:sz w:val="24"/>
          <w:szCs w:val="24"/>
        </w:rPr>
        <w:t>ummar</w:t>
      </w:r>
      <w:r w:rsidRPr="00A424FC">
        <w:rPr>
          <w:rFonts w:ascii="Aptos" w:hAnsi="Aptos" w:cs="Helvetica"/>
          <w:sz w:val="24"/>
          <w:szCs w:val="24"/>
        </w:rPr>
        <w:t>y</w:t>
      </w:r>
      <w:r w:rsidR="00BB6180" w:rsidRPr="00A424FC">
        <w:rPr>
          <w:rFonts w:ascii="Aptos" w:hAnsi="Aptos" w:cs="Helvetica"/>
          <w:sz w:val="24"/>
          <w:szCs w:val="24"/>
        </w:rPr>
        <w:t xml:space="preserve"> of stakeholder consultation undertaken to </w:t>
      </w:r>
      <w:r w:rsidR="00F107A9" w:rsidRPr="00A424FC">
        <w:rPr>
          <w:rFonts w:ascii="Aptos" w:hAnsi="Aptos" w:cs="Helvetica"/>
          <w:sz w:val="24"/>
          <w:szCs w:val="24"/>
        </w:rPr>
        <w:t>date,</w:t>
      </w:r>
      <w:r w:rsidR="00BB6180" w:rsidRPr="00A424FC" w:rsidDel="00F107A9">
        <w:rPr>
          <w:rFonts w:ascii="Aptos" w:hAnsi="Aptos" w:cs="Helvetica"/>
          <w:sz w:val="24"/>
          <w:szCs w:val="24"/>
        </w:rPr>
        <w:t xml:space="preserve"> </w:t>
      </w:r>
      <w:r w:rsidR="00BB6180" w:rsidRPr="00A424FC">
        <w:rPr>
          <w:rFonts w:ascii="Aptos" w:hAnsi="Aptos" w:cs="Helvetica"/>
          <w:sz w:val="24"/>
          <w:szCs w:val="24"/>
        </w:rPr>
        <w:t>including</w:t>
      </w:r>
      <w:r w:rsidRPr="00A424FC">
        <w:rPr>
          <w:rFonts w:ascii="Aptos" w:hAnsi="Aptos" w:cs="Helvetica"/>
          <w:sz w:val="24"/>
          <w:szCs w:val="24"/>
        </w:rPr>
        <w:t>:</w:t>
      </w:r>
    </w:p>
    <w:p w14:paraId="495CD9DA" w14:textId="77777777" w:rsidR="008B4499" w:rsidRPr="00A424FC" w:rsidRDefault="008B4499" w:rsidP="008B4499">
      <w:pPr>
        <w:pStyle w:val="ListParagraph"/>
        <w:rPr>
          <w:rFonts w:ascii="Aptos" w:hAnsi="Aptos" w:cs="Helvetica"/>
          <w:sz w:val="24"/>
          <w:szCs w:val="24"/>
        </w:rPr>
      </w:pPr>
    </w:p>
    <w:p w14:paraId="72B8ECE6" w14:textId="77777777" w:rsidR="008B4499" w:rsidRPr="00A424FC" w:rsidRDefault="00BB6180" w:rsidP="008B4499">
      <w:pPr>
        <w:pStyle w:val="ListParagraph"/>
        <w:numPr>
          <w:ilvl w:val="1"/>
          <w:numId w:val="14"/>
        </w:numPr>
        <w:spacing w:before="120"/>
        <w:rPr>
          <w:rFonts w:ascii="Aptos" w:hAnsi="Aptos" w:cs="Helvetica"/>
          <w:sz w:val="24"/>
          <w:szCs w:val="24"/>
        </w:rPr>
      </w:pPr>
      <w:r w:rsidRPr="00A424FC">
        <w:rPr>
          <w:rFonts w:ascii="Aptos" w:hAnsi="Aptos" w:cs="Helvetica"/>
          <w:sz w:val="24"/>
          <w:szCs w:val="24"/>
        </w:rPr>
        <w:t xml:space="preserve">stakeholders </w:t>
      </w:r>
      <w:r w:rsidR="008B4499" w:rsidRPr="00A424FC">
        <w:rPr>
          <w:rFonts w:ascii="Aptos" w:hAnsi="Aptos" w:cs="Helvetica"/>
          <w:sz w:val="24"/>
          <w:szCs w:val="24"/>
        </w:rPr>
        <w:t xml:space="preserve">consulted </w:t>
      </w:r>
      <w:r w:rsidRPr="00A424FC">
        <w:rPr>
          <w:rFonts w:ascii="Aptos" w:hAnsi="Aptos" w:cs="Helvetica"/>
          <w:sz w:val="24"/>
          <w:szCs w:val="24"/>
        </w:rPr>
        <w:t xml:space="preserve">and who they </w:t>
      </w:r>
      <w:proofErr w:type="gramStart"/>
      <w:r w:rsidRPr="00A424FC">
        <w:rPr>
          <w:rFonts w:ascii="Aptos" w:hAnsi="Aptos" w:cs="Helvetica"/>
          <w:sz w:val="24"/>
          <w:szCs w:val="24"/>
        </w:rPr>
        <w:t>represent</w:t>
      </w:r>
      <w:r w:rsidR="008B4499" w:rsidRPr="00A424FC">
        <w:rPr>
          <w:rFonts w:ascii="Aptos" w:hAnsi="Aptos" w:cs="Helvetica"/>
          <w:sz w:val="24"/>
          <w:szCs w:val="24"/>
        </w:rPr>
        <w:t>;</w:t>
      </w:r>
      <w:proofErr w:type="gramEnd"/>
    </w:p>
    <w:p w14:paraId="3B485D8A" w14:textId="77777777" w:rsidR="00F90FDC" w:rsidRPr="00A424FC" w:rsidRDefault="00F90FDC" w:rsidP="00F90FDC">
      <w:pPr>
        <w:pStyle w:val="ListParagraph"/>
        <w:spacing w:before="120"/>
        <w:ind w:left="1440"/>
        <w:rPr>
          <w:rFonts w:ascii="Aptos" w:hAnsi="Aptos" w:cs="Helvetica"/>
          <w:sz w:val="24"/>
          <w:szCs w:val="24"/>
        </w:rPr>
      </w:pPr>
    </w:p>
    <w:p w14:paraId="58FEFA01" w14:textId="4205495E" w:rsidR="00F90FDC" w:rsidRPr="00A424FC" w:rsidRDefault="00BB6180" w:rsidP="00F90FDC">
      <w:pPr>
        <w:pStyle w:val="ListParagraph"/>
        <w:numPr>
          <w:ilvl w:val="1"/>
          <w:numId w:val="14"/>
        </w:numPr>
        <w:spacing w:before="120"/>
        <w:rPr>
          <w:rFonts w:ascii="Aptos" w:hAnsi="Aptos" w:cs="Helvetica"/>
          <w:sz w:val="24"/>
          <w:szCs w:val="24"/>
        </w:rPr>
      </w:pPr>
      <w:r w:rsidRPr="00A424FC">
        <w:rPr>
          <w:rFonts w:ascii="Aptos" w:hAnsi="Aptos" w:cs="Helvetica"/>
          <w:sz w:val="24"/>
          <w:szCs w:val="24"/>
        </w:rPr>
        <w:t>when and how often each stakeholder was consulted</w:t>
      </w:r>
      <w:r w:rsidR="008B4499" w:rsidRPr="00A424FC">
        <w:rPr>
          <w:rFonts w:ascii="Aptos" w:hAnsi="Aptos" w:cs="Helvetica"/>
          <w:sz w:val="24"/>
          <w:szCs w:val="24"/>
        </w:rPr>
        <w:t xml:space="preserve">; </w:t>
      </w:r>
      <w:r w:rsidRPr="00A424FC">
        <w:rPr>
          <w:rFonts w:ascii="Aptos" w:hAnsi="Aptos" w:cs="Helvetica"/>
          <w:sz w:val="24"/>
          <w:szCs w:val="24"/>
        </w:rPr>
        <w:t xml:space="preserve">and </w:t>
      </w:r>
    </w:p>
    <w:p w14:paraId="4D0F24AE" w14:textId="77777777" w:rsidR="00F90FDC" w:rsidRPr="00A424FC" w:rsidRDefault="00F90FDC" w:rsidP="00F90FDC">
      <w:pPr>
        <w:pStyle w:val="ListParagraph"/>
        <w:spacing w:before="120"/>
        <w:ind w:left="1440"/>
        <w:rPr>
          <w:rFonts w:ascii="Aptos" w:hAnsi="Aptos" w:cs="Helvetica"/>
          <w:sz w:val="24"/>
          <w:szCs w:val="24"/>
        </w:rPr>
      </w:pPr>
    </w:p>
    <w:p w14:paraId="59680328" w14:textId="65406D4B" w:rsidR="00BB6180" w:rsidRPr="00A424FC" w:rsidRDefault="00BB6180" w:rsidP="008B4499">
      <w:pPr>
        <w:pStyle w:val="ListParagraph"/>
        <w:numPr>
          <w:ilvl w:val="1"/>
          <w:numId w:val="14"/>
        </w:numPr>
        <w:spacing w:before="120"/>
        <w:rPr>
          <w:rFonts w:ascii="Aptos" w:hAnsi="Aptos" w:cs="Helvetica"/>
          <w:sz w:val="24"/>
          <w:szCs w:val="24"/>
        </w:rPr>
      </w:pPr>
      <w:r w:rsidRPr="00A424FC">
        <w:rPr>
          <w:rFonts w:ascii="Aptos" w:hAnsi="Aptos" w:cs="Helvetica"/>
          <w:sz w:val="24"/>
          <w:szCs w:val="24"/>
        </w:rPr>
        <w:t>key insights from stakeholder consultation</w:t>
      </w:r>
      <w:r w:rsidR="00F8371D" w:rsidRPr="00A424FC">
        <w:rPr>
          <w:rFonts w:ascii="Aptos" w:hAnsi="Aptos" w:cs="Helvetica"/>
          <w:sz w:val="24"/>
          <w:szCs w:val="24"/>
        </w:rPr>
        <w:t xml:space="preserve">. </w:t>
      </w:r>
      <w:r w:rsidRPr="00A424FC">
        <w:rPr>
          <w:rFonts w:ascii="Aptos" w:hAnsi="Aptos" w:cs="Helvetica"/>
          <w:sz w:val="24"/>
          <w:szCs w:val="24"/>
        </w:rPr>
        <w:t xml:space="preserve"> </w:t>
      </w:r>
    </w:p>
    <w:p w14:paraId="69220D17" w14:textId="77777777" w:rsidR="00812B89" w:rsidRDefault="00812B89">
      <w:pPr>
        <w:rPr>
          <w:rFonts w:ascii="Aptos" w:hAnsi="Aptos" w:cs="Helvetica"/>
        </w:rPr>
      </w:pPr>
    </w:p>
    <w:p w14:paraId="01A2B9FF" w14:textId="36601B51" w:rsidR="0056454F" w:rsidRDefault="009278A6">
      <w:pPr>
        <w:rPr>
          <w:rFonts w:ascii="Aptos" w:hAnsi="Aptos" w:cs="Helvetica"/>
        </w:rPr>
      </w:pPr>
      <w:r w:rsidRPr="2271792C">
        <w:rPr>
          <w:rFonts w:ascii="Aptos" w:hAnsi="Aptos" w:cs="Helvetica"/>
        </w:rPr>
        <w:t>A</w:t>
      </w:r>
      <w:r w:rsidR="00474D81" w:rsidRPr="2271792C">
        <w:rPr>
          <w:rFonts w:ascii="Aptos" w:hAnsi="Aptos" w:cs="Helvetica"/>
        </w:rPr>
        <w:t xml:space="preserve">SFI </w:t>
      </w:r>
      <w:r w:rsidRPr="2271792C">
        <w:rPr>
          <w:rFonts w:ascii="Aptos" w:hAnsi="Aptos" w:cs="Helvetica"/>
        </w:rPr>
        <w:t xml:space="preserve">would like to acknowledge the many people and organisations who have generously contributed their time, </w:t>
      </w:r>
      <w:proofErr w:type="gramStart"/>
      <w:r w:rsidRPr="2271792C">
        <w:rPr>
          <w:rFonts w:ascii="Aptos" w:hAnsi="Aptos" w:cs="Helvetica"/>
        </w:rPr>
        <w:t>expertise</w:t>
      </w:r>
      <w:proofErr w:type="gramEnd"/>
      <w:r w:rsidRPr="2271792C">
        <w:rPr>
          <w:rFonts w:ascii="Aptos" w:hAnsi="Aptos" w:cs="Helvetica"/>
        </w:rPr>
        <w:t xml:space="preserve"> and input into </w:t>
      </w:r>
      <w:r w:rsidR="001E52AB">
        <w:rPr>
          <w:rFonts w:ascii="Aptos" w:hAnsi="Aptos" w:cs="Helvetica"/>
        </w:rPr>
        <w:t xml:space="preserve">the </w:t>
      </w:r>
      <w:r w:rsidRPr="2271792C">
        <w:rPr>
          <w:rFonts w:ascii="Aptos" w:hAnsi="Aptos" w:cs="Helvetica"/>
        </w:rPr>
        <w:t xml:space="preserve">Australian taxonomy’s development to date. </w:t>
      </w:r>
    </w:p>
    <w:p w14:paraId="7BAD63D6" w14:textId="77777777" w:rsidR="0056454F" w:rsidRDefault="0056454F">
      <w:pPr>
        <w:rPr>
          <w:rFonts w:ascii="Aptos" w:hAnsi="Aptos" w:cs="Helvetica"/>
        </w:rPr>
      </w:pPr>
    </w:p>
    <w:p w14:paraId="4A9B26CA" w14:textId="77777777" w:rsidR="0056454F" w:rsidRDefault="0056454F">
      <w:pPr>
        <w:rPr>
          <w:rFonts w:ascii="Aptos" w:hAnsi="Aptos" w:cs="Helvetica"/>
        </w:rPr>
      </w:pPr>
      <w:r w:rsidRPr="2271792C">
        <w:rPr>
          <w:rFonts w:ascii="Aptos" w:hAnsi="Aptos" w:cs="Helvetica"/>
        </w:rPr>
        <w:t xml:space="preserve">Kristy Graham, CEO </w:t>
      </w:r>
    </w:p>
    <w:p w14:paraId="467BDC2A" w14:textId="16BE4709" w:rsidR="003679F9" w:rsidRPr="00A424FC" w:rsidRDefault="7AF585A8" w:rsidP="2271792C">
      <w:pPr>
        <w:rPr>
          <w:rFonts w:ascii="Aptos" w:hAnsi="Aptos" w:cs="Helvetica"/>
        </w:rPr>
      </w:pPr>
      <w:r>
        <w:rPr>
          <w:noProof/>
        </w:rPr>
        <w:drawing>
          <wp:inline distT="0" distB="0" distL="0" distR="0" wp14:anchorId="4FDEA8A0" wp14:editId="23427F61">
            <wp:extent cx="2152650" cy="502649"/>
            <wp:effectExtent l="0" t="0" r="0" b="0"/>
            <wp:docPr id="1646577126" name="Picture 1646577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152650" cy="502649"/>
                    </a:xfrm>
                    <a:prstGeom prst="rect">
                      <a:avLst/>
                    </a:prstGeom>
                  </pic:spPr>
                </pic:pic>
              </a:graphicData>
            </a:graphic>
          </wp:inline>
        </w:drawing>
      </w:r>
      <w:r w:rsidR="0056454F" w:rsidRPr="2271792C">
        <w:rPr>
          <w:rFonts w:ascii="Aptos" w:hAnsi="Aptos" w:cs="Helvetica"/>
        </w:rPr>
        <w:br w:type="page"/>
      </w:r>
    </w:p>
    <w:p w14:paraId="448CC673" w14:textId="10998F91" w:rsidR="005420E2" w:rsidRPr="002C02B1" w:rsidRDefault="0099198F" w:rsidP="00C9394D">
      <w:pPr>
        <w:pStyle w:val="ASFIHeadB"/>
        <w:jc w:val="center"/>
        <w:rPr>
          <w:rFonts w:ascii="Aptos" w:hAnsi="Aptos" w:cs="Helvetica"/>
          <w:b/>
        </w:rPr>
      </w:pPr>
      <w:r w:rsidRPr="002C02B1">
        <w:rPr>
          <w:rFonts w:ascii="Aptos" w:hAnsi="Aptos" w:cs="Helvetica"/>
          <w:b/>
          <w:bCs/>
        </w:rPr>
        <w:lastRenderedPageBreak/>
        <w:t>Part 1:</w:t>
      </w:r>
      <w:r w:rsidR="007F010F" w:rsidRPr="002C02B1">
        <w:rPr>
          <w:rFonts w:ascii="Aptos" w:hAnsi="Aptos" w:cs="Helvetica"/>
          <w:b/>
          <w:bCs/>
        </w:rPr>
        <w:t xml:space="preserve"> </w:t>
      </w:r>
      <w:r w:rsidR="00DE2143" w:rsidRPr="002C02B1">
        <w:rPr>
          <w:rFonts w:ascii="Aptos" w:hAnsi="Aptos" w:cs="Helvetica"/>
          <w:b/>
          <w:bCs/>
        </w:rPr>
        <w:t>Taxonomy</w:t>
      </w:r>
      <w:r w:rsidR="00DE2143" w:rsidRPr="002C02B1">
        <w:rPr>
          <w:rFonts w:ascii="Aptos" w:hAnsi="Aptos" w:cs="Helvetica"/>
          <w:b/>
        </w:rPr>
        <w:t xml:space="preserve"> Deliverables</w:t>
      </w:r>
      <w:r w:rsidR="00D4759C" w:rsidRPr="002C02B1">
        <w:rPr>
          <w:rFonts w:ascii="Aptos" w:hAnsi="Aptos" w:cs="Helvetica"/>
          <w:b/>
        </w:rPr>
        <w:t xml:space="preserve"> and Development</w:t>
      </w:r>
    </w:p>
    <w:p w14:paraId="01AA43BB" w14:textId="77777777" w:rsidR="00F92AE0" w:rsidRPr="00A424FC" w:rsidRDefault="00F92AE0" w:rsidP="000E43BE">
      <w:pPr>
        <w:rPr>
          <w:rFonts w:ascii="Aptos" w:hAnsi="Aptos" w:cs="Helvetica"/>
        </w:rPr>
      </w:pPr>
    </w:p>
    <w:tbl>
      <w:tblPr>
        <w:tblStyle w:val="TableGrid"/>
        <w:tblW w:w="0" w:type="auto"/>
        <w:tblLook w:val="04A0" w:firstRow="1" w:lastRow="0" w:firstColumn="1" w:lastColumn="0" w:noHBand="0" w:noVBand="1"/>
      </w:tblPr>
      <w:tblGrid>
        <w:gridCol w:w="3114"/>
        <w:gridCol w:w="6509"/>
      </w:tblGrid>
      <w:tr w:rsidR="0003150D" w:rsidRPr="00A424FC" w14:paraId="63EB00DB" w14:textId="77777777" w:rsidTr="00DB3659">
        <w:trPr>
          <w:trHeight w:val="1984"/>
        </w:trPr>
        <w:tc>
          <w:tcPr>
            <w:tcW w:w="3114" w:type="dxa"/>
            <w:shd w:val="clear" w:color="auto" w:fill="2F5496" w:themeFill="accent1" w:themeFillShade="BF"/>
          </w:tcPr>
          <w:p w14:paraId="2AF6BE28" w14:textId="1B3A372A" w:rsidR="003345BC" w:rsidRPr="00A424FC" w:rsidRDefault="00A22335" w:rsidP="000E43BE">
            <w:pPr>
              <w:rPr>
                <w:rFonts w:ascii="Aptos" w:hAnsi="Aptos" w:cs="Helvetica"/>
                <w:color w:val="FFFFFF" w:themeColor="background1"/>
              </w:rPr>
            </w:pPr>
            <w:r w:rsidRPr="00A424FC">
              <w:rPr>
                <w:rFonts w:ascii="Aptos" w:hAnsi="Aptos" w:cs="Helvetica"/>
                <w:color w:val="FFFFFF" w:themeColor="background1"/>
              </w:rPr>
              <w:t>Deliverable 1:</w:t>
            </w:r>
            <w:r w:rsidR="0003150D" w:rsidRPr="00A424FC">
              <w:rPr>
                <w:rFonts w:ascii="Aptos" w:hAnsi="Aptos" w:cs="Helvetica"/>
                <w:color w:val="FFFFFF" w:themeColor="background1"/>
              </w:rPr>
              <w:t xml:space="preserve"> Governance</w:t>
            </w:r>
            <w:r w:rsidR="00CC630A" w:rsidRPr="00A424FC">
              <w:rPr>
                <w:rFonts w:ascii="Aptos" w:hAnsi="Aptos" w:cs="Helvetica"/>
                <w:color w:val="FFFFFF" w:themeColor="background1"/>
              </w:rPr>
              <w:t xml:space="preserve"> and engagement</w:t>
            </w:r>
          </w:p>
        </w:tc>
        <w:tc>
          <w:tcPr>
            <w:tcW w:w="6509" w:type="dxa"/>
            <w:shd w:val="clear" w:color="auto" w:fill="2F5496" w:themeFill="accent1" w:themeFillShade="BF"/>
          </w:tcPr>
          <w:p w14:paraId="003D8988" w14:textId="3DCB6CF2" w:rsidR="009D1B48" w:rsidRPr="00A424FC" w:rsidRDefault="00014FC7" w:rsidP="00A1696B">
            <w:pPr>
              <w:pStyle w:val="ListParagraph"/>
              <w:numPr>
                <w:ilvl w:val="0"/>
                <w:numId w:val="22"/>
              </w:numPr>
              <w:rPr>
                <w:rFonts w:ascii="Aptos" w:hAnsi="Aptos" w:cs="Helvetica"/>
                <w:color w:val="FFFFFF" w:themeColor="background1"/>
                <w:sz w:val="24"/>
                <w:szCs w:val="24"/>
              </w:rPr>
            </w:pPr>
            <w:r w:rsidRPr="00A424FC">
              <w:rPr>
                <w:rFonts w:ascii="Aptos" w:hAnsi="Aptos" w:cs="Helvetica"/>
                <w:color w:val="FFFFFF" w:themeColor="background1"/>
                <w:sz w:val="24"/>
                <w:szCs w:val="24"/>
              </w:rPr>
              <w:t>Establish</w:t>
            </w:r>
            <w:r w:rsidR="00954A0C" w:rsidRPr="00A424FC">
              <w:rPr>
                <w:rFonts w:ascii="Aptos" w:hAnsi="Aptos" w:cs="Helvetica"/>
                <w:color w:val="FFFFFF" w:themeColor="background1"/>
                <w:sz w:val="24"/>
                <w:szCs w:val="24"/>
              </w:rPr>
              <w:t>ed</w:t>
            </w:r>
            <w:r w:rsidR="001C4E5A" w:rsidRPr="00A424FC">
              <w:rPr>
                <w:rFonts w:ascii="Aptos" w:hAnsi="Aptos" w:cs="Helvetica"/>
                <w:color w:val="FFFFFF" w:themeColor="background1"/>
                <w:sz w:val="24"/>
                <w:szCs w:val="24"/>
              </w:rPr>
              <w:t xml:space="preserve"> </w:t>
            </w:r>
            <w:r w:rsidR="00954A0C" w:rsidRPr="00A424FC">
              <w:rPr>
                <w:rFonts w:ascii="Aptos" w:hAnsi="Aptos" w:cs="Helvetica"/>
                <w:color w:val="FFFFFF" w:themeColor="background1"/>
                <w:sz w:val="24"/>
                <w:szCs w:val="24"/>
              </w:rPr>
              <w:t>a</w:t>
            </w:r>
            <w:r w:rsidR="001C4E5A" w:rsidRPr="00A424FC">
              <w:rPr>
                <w:rFonts w:ascii="Aptos" w:hAnsi="Aptos" w:cs="Helvetica"/>
                <w:color w:val="FFFFFF" w:themeColor="background1"/>
                <w:sz w:val="24"/>
                <w:szCs w:val="24"/>
              </w:rPr>
              <w:t>nd convened a</w:t>
            </w:r>
            <w:r w:rsidRPr="00A424FC">
              <w:rPr>
                <w:rFonts w:ascii="Aptos" w:hAnsi="Aptos" w:cs="Helvetica"/>
                <w:color w:val="FFFFFF" w:themeColor="background1"/>
                <w:sz w:val="24"/>
                <w:szCs w:val="24"/>
              </w:rPr>
              <w:t xml:space="preserve"> </w:t>
            </w:r>
            <w:r w:rsidR="00BC23A0" w:rsidRPr="00A424FC">
              <w:rPr>
                <w:rFonts w:ascii="Aptos" w:hAnsi="Aptos" w:cs="Helvetica"/>
                <w:color w:val="FFFFFF" w:themeColor="background1"/>
                <w:sz w:val="24"/>
                <w:szCs w:val="24"/>
              </w:rPr>
              <w:t xml:space="preserve">formal </w:t>
            </w:r>
            <w:r w:rsidR="00954A0C" w:rsidRPr="00A424FC">
              <w:rPr>
                <w:rFonts w:ascii="Aptos" w:hAnsi="Aptos" w:cs="Helvetica"/>
                <w:color w:val="FFFFFF" w:themeColor="background1"/>
                <w:sz w:val="24"/>
                <w:szCs w:val="24"/>
              </w:rPr>
              <w:t>Taxonomy Technical Expert Group</w:t>
            </w:r>
            <w:r w:rsidR="001C4E5A" w:rsidRPr="00A424FC">
              <w:rPr>
                <w:rFonts w:ascii="Aptos" w:hAnsi="Aptos" w:cs="Helvetica"/>
                <w:color w:val="FFFFFF" w:themeColor="background1"/>
                <w:sz w:val="24"/>
                <w:szCs w:val="24"/>
              </w:rPr>
              <w:t xml:space="preserve"> </w:t>
            </w:r>
          </w:p>
          <w:p w14:paraId="5AB819AA" w14:textId="0DFF7013" w:rsidR="00E04300" w:rsidRPr="00A424FC" w:rsidRDefault="00014FC7" w:rsidP="00A1696B">
            <w:pPr>
              <w:pStyle w:val="ListParagraph"/>
              <w:numPr>
                <w:ilvl w:val="0"/>
                <w:numId w:val="22"/>
              </w:numPr>
              <w:rPr>
                <w:rFonts w:ascii="Aptos" w:hAnsi="Aptos" w:cs="Helvetica"/>
                <w:color w:val="FFFFFF" w:themeColor="background1"/>
                <w:sz w:val="24"/>
                <w:szCs w:val="24"/>
              </w:rPr>
            </w:pPr>
            <w:r w:rsidRPr="00A424FC">
              <w:rPr>
                <w:rFonts w:ascii="Aptos" w:hAnsi="Aptos" w:cs="Helvetica"/>
                <w:color w:val="FFFFFF" w:themeColor="background1"/>
                <w:sz w:val="24"/>
                <w:szCs w:val="24"/>
              </w:rPr>
              <w:t>Establish</w:t>
            </w:r>
            <w:r w:rsidR="00954A0C" w:rsidRPr="00A424FC">
              <w:rPr>
                <w:rFonts w:ascii="Aptos" w:hAnsi="Aptos" w:cs="Helvetica"/>
                <w:color w:val="FFFFFF" w:themeColor="background1"/>
                <w:sz w:val="24"/>
                <w:szCs w:val="24"/>
              </w:rPr>
              <w:t>ed</w:t>
            </w:r>
            <w:r w:rsidR="008B2693" w:rsidRPr="00A424FC">
              <w:rPr>
                <w:rFonts w:ascii="Aptos" w:hAnsi="Aptos" w:cs="Helvetica"/>
                <w:color w:val="FFFFFF" w:themeColor="background1"/>
                <w:sz w:val="24"/>
                <w:szCs w:val="24"/>
              </w:rPr>
              <w:t xml:space="preserve"> </w:t>
            </w:r>
            <w:r w:rsidR="00BC23A0" w:rsidRPr="00A424FC">
              <w:rPr>
                <w:rFonts w:ascii="Aptos" w:hAnsi="Aptos" w:cs="Helvetica"/>
                <w:color w:val="FFFFFF" w:themeColor="background1"/>
                <w:sz w:val="24"/>
                <w:szCs w:val="24"/>
              </w:rPr>
              <w:t xml:space="preserve">and convened </w:t>
            </w:r>
            <w:r w:rsidR="00E04300" w:rsidRPr="00A424FC">
              <w:rPr>
                <w:rFonts w:ascii="Aptos" w:hAnsi="Aptos" w:cs="Helvetica"/>
                <w:color w:val="FFFFFF" w:themeColor="background1"/>
                <w:sz w:val="24"/>
                <w:szCs w:val="24"/>
              </w:rPr>
              <w:t>all subject and sector-specific taxonomy advisory groups</w:t>
            </w:r>
          </w:p>
          <w:p w14:paraId="56E9D707" w14:textId="26EA99AB" w:rsidR="009E6DF5" w:rsidRPr="002B3F34" w:rsidRDefault="00014FC7" w:rsidP="002B3F34">
            <w:pPr>
              <w:pStyle w:val="ListParagraph"/>
              <w:numPr>
                <w:ilvl w:val="0"/>
                <w:numId w:val="22"/>
              </w:numPr>
              <w:rPr>
                <w:rFonts w:ascii="Aptos" w:hAnsi="Aptos" w:cs="Helvetica"/>
                <w:color w:val="FFFFFF" w:themeColor="background1"/>
                <w:sz w:val="24"/>
                <w:szCs w:val="24"/>
              </w:rPr>
            </w:pPr>
            <w:r w:rsidRPr="00A424FC">
              <w:rPr>
                <w:rFonts w:ascii="Aptos" w:hAnsi="Aptos" w:cs="Helvetica"/>
                <w:color w:val="FFFFFF" w:themeColor="background1"/>
                <w:sz w:val="24"/>
                <w:szCs w:val="24"/>
              </w:rPr>
              <w:t>Contract</w:t>
            </w:r>
            <w:r w:rsidR="00954A0C" w:rsidRPr="00A424FC">
              <w:rPr>
                <w:rFonts w:ascii="Aptos" w:hAnsi="Aptos" w:cs="Helvetica"/>
                <w:color w:val="FFFFFF" w:themeColor="background1"/>
                <w:sz w:val="24"/>
                <w:szCs w:val="24"/>
              </w:rPr>
              <w:t>ed</w:t>
            </w:r>
            <w:r w:rsidR="00BC23A0" w:rsidRPr="00A424FC">
              <w:rPr>
                <w:rFonts w:ascii="Aptos" w:hAnsi="Aptos" w:cs="Helvetica"/>
                <w:color w:val="FFFFFF" w:themeColor="background1"/>
                <w:sz w:val="24"/>
                <w:szCs w:val="24"/>
              </w:rPr>
              <w:t xml:space="preserve"> a</w:t>
            </w:r>
            <w:r w:rsidRPr="00A424FC">
              <w:rPr>
                <w:rFonts w:ascii="Aptos" w:hAnsi="Aptos" w:cs="Helvetica"/>
                <w:color w:val="FFFFFF" w:themeColor="background1"/>
                <w:sz w:val="24"/>
                <w:szCs w:val="24"/>
              </w:rPr>
              <w:t xml:space="preserve"> taxonomy technical expert consortium to deliver technical output</w:t>
            </w:r>
            <w:r w:rsidR="00230150">
              <w:rPr>
                <w:rFonts w:ascii="Aptos" w:hAnsi="Aptos" w:cs="Helvetica"/>
                <w:color w:val="FFFFFF" w:themeColor="background1"/>
                <w:sz w:val="24"/>
                <w:szCs w:val="24"/>
              </w:rPr>
              <w:t>s</w:t>
            </w:r>
          </w:p>
        </w:tc>
      </w:tr>
      <w:tr w:rsidR="00014FC7" w:rsidRPr="00A424FC" w14:paraId="0788A119" w14:textId="77777777">
        <w:tc>
          <w:tcPr>
            <w:tcW w:w="9623" w:type="dxa"/>
            <w:gridSpan w:val="2"/>
          </w:tcPr>
          <w:p w14:paraId="6181AE80" w14:textId="77777777" w:rsidR="00014FC7" w:rsidRPr="00A424FC" w:rsidRDefault="00014FC7" w:rsidP="00015FE6">
            <w:pPr>
              <w:rPr>
                <w:rFonts w:ascii="Aptos" w:hAnsi="Aptos" w:cs="Helvetica"/>
              </w:rPr>
            </w:pPr>
          </w:p>
          <w:p w14:paraId="65D0BB43" w14:textId="0C7405AA" w:rsidR="001C4E5A" w:rsidRPr="00A424FC" w:rsidRDefault="001C4E5A" w:rsidP="00015FE6">
            <w:pPr>
              <w:rPr>
                <w:rFonts w:ascii="Aptos" w:hAnsi="Aptos" w:cs="Helvetica"/>
                <w:u w:val="single"/>
              </w:rPr>
            </w:pPr>
            <w:r w:rsidRPr="00A424FC">
              <w:rPr>
                <w:rFonts w:ascii="Aptos" w:hAnsi="Aptos" w:cs="Helvetica"/>
                <w:u w:val="single"/>
              </w:rPr>
              <w:t xml:space="preserve">Taxonomy Technical Expert Group </w:t>
            </w:r>
          </w:p>
          <w:p w14:paraId="4BFAFA83" w14:textId="77777777" w:rsidR="001C4E5A" w:rsidRPr="00A424FC" w:rsidRDefault="001C4E5A" w:rsidP="00015FE6">
            <w:pPr>
              <w:rPr>
                <w:rFonts w:ascii="Aptos" w:hAnsi="Aptos" w:cs="Helvetica"/>
              </w:rPr>
            </w:pPr>
          </w:p>
          <w:p w14:paraId="7ECD90D6" w14:textId="15ADB738" w:rsidR="008818CA" w:rsidRPr="00A424FC" w:rsidRDefault="00014FC7" w:rsidP="008818CA">
            <w:pPr>
              <w:rPr>
                <w:rFonts w:ascii="Aptos" w:hAnsi="Aptos" w:cs="Helvetica"/>
              </w:rPr>
            </w:pPr>
            <w:r w:rsidRPr="00A424FC">
              <w:rPr>
                <w:rFonts w:ascii="Aptos" w:hAnsi="Aptos" w:cs="Helvetica"/>
              </w:rPr>
              <w:t xml:space="preserve">ASFI, with endorsement from the </w:t>
            </w:r>
            <w:r w:rsidR="004170D1" w:rsidRPr="00A424FC">
              <w:rPr>
                <w:rFonts w:ascii="Aptos" w:hAnsi="Aptos" w:cs="Helvetica"/>
              </w:rPr>
              <w:t xml:space="preserve">Council of Financial Regulator’s Climate Working </w:t>
            </w:r>
            <w:r w:rsidR="00A5062A" w:rsidRPr="00A424FC">
              <w:rPr>
                <w:rFonts w:ascii="Aptos" w:hAnsi="Aptos" w:cs="Helvetica"/>
              </w:rPr>
              <w:t>G</w:t>
            </w:r>
            <w:r w:rsidR="004170D1" w:rsidRPr="00A424FC">
              <w:rPr>
                <w:rFonts w:ascii="Aptos" w:hAnsi="Aptos" w:cs="Helvetica"/>
              </w:rPr>
              <w:t>roup</w:t>
            </w:r>
            <w:r w:rsidR="002C02B1">
              <w:rPr>
                <w:rFonts w:ascii="Aptos" w:hAnsi="Aptos" w:cs="Helvetica"/>
              </w:rPr>
              <w:t xml:space="preserve"> Taxonomy Subgroup</w:t>
            </w:r>
            <w:r w:rsidRPr="00A424FC">
              <w:rPr>
                <w:rFonts w:ascii="Aptos" w:hAnsi="Aptos" w:cs="Helvetica"/>
              </w:rPr>
              <w:t xml:space="preserve"> </w:t>
            </w:r>
            <w:r w:rsidR="00AF7F33">
              <w:rPr>
                <w:rFonts w:ascii="Aptos" w:hAnsi="Aptos" w:cs="Helvetica"/>
              </w:rPr>
              <w:t xml:space="preserve">(CWG) </w:t>
            </w:r>
            <w:r w:rsidRPr="00A424FC">
              <w:rPr>
                <w:rFonts w:ascii="Aptos" w:hAnsi="Aptos" w:cs="Helvetica"/>
              </w:rPr>
              <w:t>established a Technical Expert Group (TTEG) through an open expression of interest process</w:t>
            </w:r>
            <w:r w:rsidR="00E01D71" w:rsidRPr="00A424FC">
              <w:rPr>
                <w:rFonts w:ascii="Aptos" w:hAnsi="Aptos" w:cs="Helvetica"/>
              </w:rPr>
              <w:t xml:space="preserve">. </w:t>
            </w:r>
            <w:r w:rsidR="008818CA" w:rsidRPr="00A424FC">
              <w:rPr>
                <w:rFonts w:ascii="Aptos" w:hAnsi="Aptos" w:cs="Helvetica"/>
              </w:rPr>
              <w:t xml:space="preserve">The TTEG Terms of Reference, Charter, Conflict of Interest Policy, Register of Interests and Stakeholder Engagement Register are available on ASFI’s website </w:t>
            </w:r>
            <w:hyperlink r:id="rId13" w:history="1">
              <w:r w:rsidR="008818CA" w:rsidRPr="00A424FC">
                <w:rPr>
                  <w:rStyle w:val="Hyperlink"/>
                  <w:rFonts w:ascii="Aptos" w:hAnsi="Aptos" w:cs="Helvetica"/>
                </w:rPr>
                <w:t>here</w:t>
              </w:r>
              <w:r w:rsidR="008818CA" w:rsidRPr="00A424FC">
                <w:rPr>
                  <w:rStyle w:val="Hyperlink"/>
                  <w:rFonts w:ascii="Aptos" w:hAnsi="Aptos" w:cs="Helvetica"/>
                  <w:color w:val="auto"/>
                  <w:u w:val="none"/>
                </w:rPr>
                <w:t>.</w:t>
              </w:r>
            </w:hyperlink>
            <w:r w:rsidR="008818CA" w:rsidRPr="00A424FC">
              <w:rPr>
                <w:rFonts w:ascii="Aptos" w:hAnsi="Aptos" w:cs="Helvetica"/>
              </w:rPr>
              <w:t xml:space="preserve"> </w:t>
            </w:r>
          </w:p>
          <w:p w14:paraId="20185DD9" w14:textId="77777777" w:rsidR="008159C2" w:rsidRPr="00A424FC" w:rsidRDefault="008159C2" w:rsidP="00015FE6">
            <w:pPr>
              <w:rPr>
                <w:rFonts w:ascii="Aptos" w:hAnsi="Aptos" w:cs="Helvetica"/>
              </w:rPr>
            </w:pPr>
          </w:p>
          <w:p w14:paraId="24744F5E" w14:textId="303A47B0" w:rsidR="00014FC7" w:rsidRPr="00A424FC" w:rsidRDefault="00014FC7" w:rsidP="00015FE6">
            <w:pPr>
              <w:rPr>
                <w:rFonts w:ascii="Aptos" w:hAnsi="Aptos" w:cs="Helvetica"/>
              </w:rPr>
            </w:pPr>
            <w:r w:rsidRPr="00A424FC">
              <w:rPr>
                <w:rFonts w:ascii="Aptos" w:hAnsi="Aptos" w:cs="Helvetica"/>
              </w:rPr>
              <w:t xml:space="preserve">The TTEG comprises 25 experts in sustainable finance; whole-of-economy decarbonisation; climate and environmental science and policy; human rights; and Indigenous rights and perspectives. This group provides strategic direction over, input into and endorsement of taxonomy products for </w:t>
            </w:r>
            <w:r w:rsidR="0097753B" w:rsidRPr="00A424FC">
              <w:rPr>
                <w:rFonts w:ascii="Aptos" w:hAnsi="Aptos" w:cs="Helvetica"/>
              </w:rPr>
              <w:t xml:space="preserve">the Australian Government’s consideration. </w:t>
            </w:r>
            <w:r w:rsidR="00ED4F4E" w:rsidRPr="00A424FC">
              <w:rPr>
                <w:rFonts w:ascii="Aptos" w:hAnsi="Aptos" w:cs="Helvetica"/>
              </w:rPr>
              <w:t>A</w:t>
            </w:r>
            <w:r w:rsidR="00B75315" w:rsidRPr="00A424FC">
              <w:rPr>
                <w:rFonts w:ascii="Aptos" w:hAnsi="Aptos" w:cs="Helvetica"/>
              </w:rPr>
              <w:t xml:space="preserve"> list of</w:t>
            </w:r>
            <w:r w:rsidR="00ED4F4E" w:rsidRPr="00A424FC">
              <w:rPr>
                <w:rFonts w:ascii="Aptos" w:hAnsi="Aptos" w:cs="Helvetica"/>
              </w:rPr>
              <w:t xml:space="preserve"> </w:t>
            </w:r>
            <w:r w:rsidR="00B75315" w:rsidRPr="00A424FC">
              <w:rPr>
                <w:rFonts w:ascii="Aptos" w:hAnsi="Aptos" w:cs="Helvetica"/>
              </w:rPr>
              <w:t xml:space="preserve">current </w:t>
            </w:r>
            <w:r w:rsidR="00ED4F4E" w:rsidRPr="00A424FC">
              <w:rPr>
                <w:rFonts w:ascii="Aptos" w:hAnsi="Aptos" w:cs="Helvetica"/>
              </w:rPr>
              <w:t xml:space="preserve">TTEG members </w:t>
            </w:r>
            <w:r w:rsidR="00154525" w:rsidRPr="00A424FC">
              <w:rPr>
                <w:rFonts w:ascii="Aptos" w:hAnsi="Aptos" w:cs="Helvetica"/>
              </w:rPr>
              <w:t xml:space="preserve">can be accessed </w:t>
            </w:r>
            <w:hyperlink r:id="rId14" w:history="1">
              <w:r w:rsidR="00154525" w:rsidRPr="00A424FC">
                <w:rPr>
                  <w:rStyle w:val="Hyperlink"/>
                  <w:rFonts w:ascii="Aptos" w:hAnsi="Aptos" w:cs="Helvetica"/>
                </w:rPr>
                <w:t>here</w:t>
              </w:r>
            </w:hyperlink>
            <w:r w:rsidR="00154525" w:rsidRPr="00A424FC">
              <w:rPr>
                <w:rFonts w:ascii="Aptos" w:hAnsi="Aptos" w:cs="Helvetica"/>
              </w:rPr>
              <w:t xml:space="preserve">. </w:t>
            </w:r>
          </w:p>
          <w:p w14:paraId="7CF6055D" w14:textId="77777777" w:rsidR="00007F14" w:rsidRPr="00A424FC" w:rsidRDefault="00007F14" w:rsidP="00015FE6">
            <w:pPr>
              <w:rPr>
                <w:rFonts w:ascii="Aptos" w:hAnsi="Aptos" w:cs="Helvetica"/>
              </w:rPr>
            </w:pPr>
          </w:p>
          <w:p w14:paraId="64FCC8A0" w14:textId="32995B75" w:rsidR="00E04300" w:rsidRPr="00A424FC" w:rsidRDefault="00E01D71" w:rsidP="00015FE6">
            <w:pPr>
              <w:rPr>
                <w:rFonts w:ascii="Aptos" w:hAnsi="Aptos" w:cs="Helvetica"/>
              </w:rPr>
            </w:pPr>
            <w:r w:rsidRPr="00A424FC">
              <w:rPr>
                <w:rFonts w:ascii="Aptos" w:hAnsi="Aptos" w:cs="Helvetica"/>
              </w:rPr>
              <w:t xml:space="preserve">ASFI has convened the </w:t>
            </w:r>
            <w:r w:rsidR="00483C5F">
              <w:rPr>
                <w:rFonts w:ascii="Aptos" w:hAnsi="Aptos" w:cs="Helvetica"/>
              </w:rPr>
              <w:t xml:space="preserve">full </w:t>
            </w:r>
            <w:r w:rsidRPr="00A424FC">
              <w:rPr>
                <w:rFonts w:ascii="Aptos" w:hAnsi="Aptos" w:cs="Helvetica"/>
              </w:rPr>
              <w:t>TTEG</w:t>
            </w:r>
            <w:r w:rsidR="008B0603" w:rsidRPr="00A424FC">
              <w:rPr>
                <w:rFonts w:ascii="Aptos" w:hAnsi="Aptos" w:cs="Helvetica"/>
              </w:rPr>
              <w:t xml:space="preserve"> approximately every six</w:t>
            </w:r>
            <w:r w:rsidR="0097753B" w:rsidRPr="00A424FC">
              <w:rPr>
                <w:rFonts w:ascii="Aptos" w:hAnsi="Aptos" w:cs="Helvetica"/>
              </w:rPr>
              <w:t xml:space="preserve"> to eight</w:t>
            </w:r>
            <w:r w:rsidR="008B0603" w:rsidRPr="00A424FC">
              <w:rPr>
                <w:rFonts w:ascii="Aptos" w:hAnsi="Aptos" w:cs="Helvetica"/>
              </w:rPr>
              <w:t xml:space="preserve"> week</w:t>
            </w:r>
            <w:r w:rsidR="00005996">
              <w:rPr>
                <w:rFonts w:ascii="Aptos" w:hAnsi="Aptos" w:cs="Helvetica"/>
              </w:rPr>
              <w:t>s</w:t>
            </w:r>
            <w:r w:rsidR="008B0603" w:rsidRPr="00A424FC">
              <w:rPr>
                <w:rFonts w:ascii="Aptos" w:hAnsi="Aptos" w:cs="Helvetica"/>
              </w:rPr>
              <w:t xml:space="preserve"> </w:t>
            </w:r>
            <w:r w:rsidR="00007F14" w:rsidRPr="00A424FC">
              <w:rPr>
                <w:rFonts w:ascii="Aptos" w:hAnsi="Aptos" w:cs="Helvetica"/>
              </w:rPr>
              <w:t>since its establishment</w:t>
            </w:r>
            <w:r w:rsidR="00096C2B" w:rsidRPr="00A424FC">
              <w:rPr>
                <w:rFonts w:ascii="Aptos" w:hAnsi="Aptos" w:cs="Helvetica"/>
              </w:rPr>
              <w:t>.</w:t>
            </w:r>
            <w:r w:rsidR="00007F14" w:rsidRPr="00A424FC">
              <w:rPr>
                <w:rFonts w:ascii="Aptos" w:hAnsi="Aptos" w:cs="Helvetica"/>
              </w:rPr>
              <w:t xml:space="preserve"> </w:t>
            </w:r>
            <w:r w:rsidR="00096C2B" w:rsidRPr="00A424FC">
              <w:rPr>
                <w:rFonts w:ascii="Aptos" w:hAnsi="Aptos" w:cs="Helvetica"/>
              </w:rPr>
              <w:t>S</w:t>
            </w:r>
            <w:r w:rsidR="00A60600" w:rsidRPr="00A424FC">
              <w:rPr>
                <w:rFonts w:ascii="Aptos" w:hAnsi="Aptos" w:cs="Helvetica"/>
              </w:rPr>
              <w:t>ub-committees of the TTEG have</w:t>
            </w:r>
            <w:r w:rsidR="0097753B" w:rsidRPr="00A424FC">
              <w:rPr>
                <w:rFonts w:ascii="Aptos" w:hAnsi="Aptos" w:cs="Helvetica"/>
              </w:rPr>
              <w:t xml:space="preserve"> </w:t>
            </w:r>
            <w:r w:rsidR="00096C2B" w:rsidRPr="00A424FC">
              <w:rPr>
                <w:rFonts w:ascii="Aptos" w:hAnsi="Aptos" w:cs="Helvetica"/>
              </w:rPr>
              <w:t xml:space="preserve">also </w:t>
            </w:r>
            <w:r w:rsidRPr="00A424FC">
              <w:rPr>
                <w:rFonts w:ascii="Aptos" w:hAnsi="Aptos" w:cs="Helvetica"/>
              </w:rPr>
              <w:t>been convened</w:t>
            </w:r>
            <w:r w:rsidR="0097753B" w:rsidRPr="00A424FC">
              <w:rPr>
                <w:rFonts w:ascii="Aptos" w:hAnsi="Aptos" w:cs="Helvetica"/>
              </w:rPr>
              <w:t xml:space="preserve"> </w:t>
            </w:r>
            <w:r w:rsidR="00B75315" w:rsidRPr="00A424FC">
              <w:rPr>
                <w:rFonts w:ascii="Aptos" w:hAnsi="Aptos" w:cs="Helvetica"/>
              </w:rPr>
              <w:t xml:space="preserve">between full TTEG meetings </w:t>
            </w:r>
            <w:r w:rsidR="00A60600" w:rsidRPr="00A424FC">
              <w:rPr>
                <w:rFonts w:ascii="Aptos" w:hAnsi="Aptos" w:cs="Helvetica"/>
              </w:rPr>
              <w:t xml:space="preserve">to consider </w:t>
            </w:r>
            <w:r w:rsidR="00E04300" w:rsidRPr="00A424FC">
              <w:rPr>
                <w:rFonts w:ascii="Aptos" w:hAnsi="Aptos" w:cs="Helvetica"/>
              </w:rPr>
              <w:t>specific</w:t>
            </w:r>
            <w:r w:rsidR="00A60600" w:rsidRPr="00A424FC">
              <w:rPr>
                <w:rFonts w:ascii="Aptos" w:hAnsi="Aptos" w:cs="Helvetica"/>
              </w:rPr>
              <w:t xml:space="preserve"> issues related to the </w:t>
            </w:r>
            <w:r w:rsidR="0097753B" w:rsidRPr="00A424FC">
              <w:rPr>
                <w:rFonts w:ascii="Aptos" w:hAnsi="Aptos" w:cs="Helvetica"/>
              </w:rPr>
              <w:t>taxonomy’s</w:t>
            </w:r>
            <w:r w:rsidR="00712F71" w:rsidRPr="00A424FC">
              <w:rPr>
                <w:rFonts w:ascii="Aptos" w:hAnsi="Aptos" w:cs="Helvetica"/>
              </w:rPr>
              <w:t xml:space="preserve"> design. </w:t>
            </w:r>
            <w:r w:rsidR="00E04300" w:rsidRPr="00A424FC">
              <w:rPr>
                <w:rFonts w:ascii="Aptos" w:hAnsi="Aptos" w:cs="Helvetica"/>
              </w:rPr>
              <w:t xml:space="preserve">These </w:t>
            </w:r>
            <w:proofErr w:type="gramStart"/>
            <w:r w:rsidR="00E04300" w:rsidRPr="00A424FC">
              <w:rPr>
                <w:rFonts w:ascii="Aptos" w:hAnsi="Aptos" w:cs="Helvetica"/>
              </w:rPr>
              <w:t>committees</w:t>
            </w:r>
            <w:proofErr w:type="gramEnd"/>
            <w:r w:rsidR="00E04300" w:rsidRPr="00A424FC">
              <w:rPr>
                <w:rFonts w:ascii="Aptos" w:hAnsi="Aptos" w:cs="Helvetica"/>
              </w:rPr>
              <w:t xml:space="preserve"> cover: (a) the taxonomy’s transition methodology</w:t>
            </w:r>
            <w:r w:rsidR="00B75315" w:rsidRPr="00A424FC">
              <w:rPr>
                <w:rFonts w:ascii="Aptos" w:hAnsi="Aptos" w:cs="Helvetica"/>
              </w:rPr>
              <w:t xml:space="preserve"> (now sunset)</w:t>
            </w:r>
            <w:r w:rsidR="00E04300" w:rsidRPr="00A424FC">
              <w:rPr>
                <w:rFonts w:ascii="Aptos" w:hAnsi="Aptos" w:cs="Helvetica"/>
              </w:rPr>
              <w:t>; (b)</w:t>
            </w:r>
            <w:r w:rsidR="000C322D">
              <w:rPr>
                <w:rFonts w:ascii="Aptos" w:hAnsi="Aptos" w:cs="Helvetica"/>
              </w:rPr>
              <w:t xml:space="preserve"> </w:t>
            </w:r>
            <w:r w:rsidR="000C322D" w:rsidRPr="00A424FC">
              <w:rPr>
                <w:rFonts w:ascii="Aptos" w:hAnsi="Aptos" w:cs="Helvetica"/>
              </w:rPr>
              <w:t>each of the sectors prioritised for development</w:t>
            </w:r>
            <w:r w:rsidR="000C322D">
              <w:rPr>
                <w:rFonts w:ascii="Aptos" w:hAnsi="Aptos" w:cs="Helvetica"/>
              </w:rPr>
              <w:t>; (c)</w:t>
            </w:r>
            <w:r w:rsidR="00E04300" w:rsidRPr="00A424FC">
              <w:rPr>
                <w:rFonts w:ascii="Aptos" w:hAnsi="Aptos" w:cs="Helvetica"/>
              </w:rPr>
              <w:t xml:space="preserve"> </w:t>
            </w:r>
            <w:r w:rsidR="00A22335" w:rsidRPr="00A424FC">
              <w:rPr>
                <w:rFonts w:ascii="Aptos" w:hAnsi="Aptos" w:cs="Helvetica"/>
              </w:rPr>
              <w:t>the development of</w:t>
            </w:r>
            <w:r w:rsidR="00096C2B" w:rsidRPr="00A424FC">
              <w:rPr>
                <w:rFonts w:ascii="Aptos" w:hAnsi="Aptos" w:cs="Helvetica"/>
              </w:rPr>
              <w:t xml:space="preserve"> a</w:t>
            </w:r>
            <w:r w:rsidR="00A22335" w:rsidRPr="00A424FC">
              <w:rPr>
                <w:rFonts w:ascii="Aptos" w:hAnsi="Aptos" w:cs="Helvetica"/>
              </w:rPr>
              <w:t xml:space="preserve"> Do No Significant Harm</w:t>
            </w:r>
            <w:r w:rsidR="00DB3659" w:rsidRPr="00A424FC">
              <w:rPr>
                <w:rFonts w:ascii="Aptos" w:hAnsi="Aptos" w:cs="Helvetica"/>
              </w:rPr>
              <w:t xml:space="preserve"> (DNSH)</w:t>
            </w:r>
            <w:r w:rsidR="00A22335" w:rsidRPr="00A424FC">
              <w:rPr>
                <w:rFonts w:ascii="Aptos" w:hAnsi="Aptos" w:cs="Helvetica"/>
              </w:rPr>
              <w:t xml:space="preserve"> framework; (</w:t>
            </w:r>
            <w:r w:rsidR="000C322D">
              <w:rPr>
                <w:rFonts w:ascii="Aptos" w:hAnsi="Aptos" w:cs="Helvetica"/>
              </w:rPr>
              <w:t>d</w:t>
            </w:r>
            <w:r w:rsidR="00A22335" w:rsidRPr="00A424FC">
              <w:rPr>
                <w:rFonts w:ascii="Aptos" w:hAnsi="Aptos" w:cs="Helvetica"/>
              </w:rPr>
              <w:t>) Minimum Social Safeguards</w:t>
            </w:r>
            <w:r w:rsidR="00DB3659" w:rsidRPr="00A424FC">
              <w:rPr>
                <w:rFonts w:ascii="Aptos" w:hAnsi="Aptos" w:cs="Helvetica"/>
              </w:rPr>
              <w:t xml:space="preserve"> (MSS)</w:t>
            </w:r>
            <w:r w:rsidR="00A22335" w:rsidRPr="00A424FC">
              <w:rPr>
                <w:rFonts w:ascii="Aptos" w:hAnsi="Aptos" w:cs="Helvetica"/>
              </w:rPr>
              <w:t>;</w:t>
            </w:r>
            <w:r w:rsidR="00096C2B" w:rsidRPr="00A424FC">
              <w:rPr>
                <w:rFonts w:ascii="Aptos" w:hAnsi="Aptos" w:cs="Helvetica"/>
              </w:rPr>
              <w:t xml:space="preserve"> </w:t>
            </w:r>
            <w:r w:rsidR="000C322D">
              <w:rPr>
                <w:rFonts w:ascii="Aptos" w:hAnsi="Aptos" w:cs="Helvetica"/>
              </w:rPr>
              <w:t>and</w:t>
            </w:r>
            <w:r w:rsidR="00A22335" w:rsidRPr="00A424FC">
              <w:rPr>
                <w:rFonts w:ascii="Aptos" w:hAnsi="Aptos" w:cs="Helvetica"/>
              </w:rPr>
              <w:t xml:space="preserve"> (</w:t>
            </w:r>
            <w:r w:rsidR="000B005F">
              <w:rPr>
                <w:rFonts w:ascii="Aptos" w:hAnsi="Aptos" w:cs="Helvetica"/>
              </w:rPr>
              <w:t>e</w:t>
            </w:r>
            <w:r w:rsidR="00A22335" w:rsidRPr="00A424FC">
              <w:rPr>
                <w:rFonts w:ascii="Aptos" w:hAnsi="Aptos" w:cs="Helvetica"/>
              </w:rPr>
              <w:t xml:space="preserve">) </w:t>
            </w:r>
            <w:r w:rsidR="000B005F">
              <w:rPr>
                <w:rFonts w:ascii="Aptos" w:hAnsi="Aptos" w:cs="Helvetica"/>
              </w:rPr>
              <w:t xml:space="preserve">the taxonomy’s </w:t>
            </w:r>
            <w:r w:rsidR="00096C2B" w:rsidRPr="00A424FC">
              <w:rPr>
                <w:rFonts w:ascii="Aptos" w:hAnsi="Aptos" w:cs="Helvetica"/>
              </w:rPr>
              <w:t>governance,</w:t>
            </w:r>
            <w:r w:rsidR="001C4E5A" w:rsidRPr="00A424FC">
              <w:rPr>
                <w:rFonts w:ascii="Aptos" w:hAnsi="Aptos" w:cs="Helvetica"/>
              </w:rPr>
              <w:t xml:space="preserve"> usability,</w:t>
            </w:r>
            <w:r w:rsidR="00096C2B" w:rsidRPr="00A424FC">
              <w:rPr>
                <w:rFonts w:ascii="Aptos" w:hAnsi="Aptos" w:cs="Helvetica"/>
              </w:rPr>
              <w:t xml:space="preserve"> </w:t>
            </w:r>
            <w:r w:rsidR="001C4E5A" w:rsidRPr="00A424FC">
              <w:rPr>
                <w:rFonts w:ascii="Aptos" w:hAnsi="Aptos" w:cs="Helvetica"/>
              </w:rPr>
              <w:t>interoperability</w:t>
            </w:r>
            <w:r w:rsidR="00096C2B" w:rsidRPr="00A424FC">
              <w:rPr>
                <w:rFonts w:ascii="Aptos" w:hAnsi="Aptos" w:cs="Helvetica"/>
              </w:rPr>
              <w:t>, data</w:t>
            </w:r>
            <w:r w:rsidR="001C4E5A" w:rsidRPr="00A424FC">
              <w:rPr>
                <w:rFonts w:ascii="Aptos" w:hAnsi="Aptos" w:cs="Helvetica"/>
              </w:rPr>
              <w:t xml:space="preserve"> and equivalence</w:t>
            </w:r>
            <w:r w:rsidRPr="00A424FC">
              <w:rPr>
                <w:rFonts w:ascii="Aptos" w:hAnsi="Aptos" w:cs="Helvetica"/>
              </w:rPr>
              <w:t xml:space="preserve"> considerations</w:t>
            </w:r>
            <w:r w:rsidR="001C4E5A" w:rsidRPr="00A424FC">
              <w:rPr>
                <w:rFonts w:ascii="Aptos" w:hAnsi="Aptos" w:cs="Helvetica"/>
              </w:rPr>
              <w:t xml:space="preserve">. </w:t>
            </w:r>
          </w:p>
          <w:p w14:paraId="2616E70A" w14:textId="77777777" w:rsidR="001C4E5A" w:rsidRPr="00A424FC" w:rsidRDefault="001C4E5A" w:rsidP="00015FE6">
            <w:pPr>
              <w:rPr>
                <w:rFonts w:ascii="Aptos" w:hAnsi="Aptos" w:cs="Helvetica"/>
              </w:rPr>
            </w:pPr>
          </w:p>
          <w:p w14:paraId="0D84B42B" w14:textId="1EBFA3A0" w:rsidR="008818CA" w:rsidRPr="00A424FC" w:rsidRDefault="008818CA" w:rsidP="00015FE6">
            <w:pPr>
              <w:rPr>
                <w:rFonts w:ascii="Aptos" w:hAnsi="Aptos" w:cs="Helvetica"/>
              </w:rPr>
            </w:pPr>
            <w:r w:rsidRPr="00A424FC">
              <w:rPr>
                <w:rFonts w:ascii="Aptos" w:hAnsi="Aptos" w:cs="Helvetica"/>
              </w:rPr>
              <w:t xml:space="preserve">Minutes of all full TTEG minutes are available on ASFI’s website </w:t>
            </w:r>
            <w:hyperlink r:id="rId15" w:anchor="tteg" w:history="1">
              <w:r w:rsidRPr="00A424FC">
                <w:rPr>
                  <w:rStyle w:val="Hyperlink"/>
                  <w:rFonts w:ascii="Aptos" w:hAnsi="Aptos" w:cs="Helvetica"/>
                </w:rPr>
                <w:t>here</w:t>
              </w:r>
            </w:hyperlink>
            <w:r w:rsidR="00EB6322" w:rsidRPr="00A424FC">
              <w:rPr>
                <w:rFonts w:ascii="Aptos" w:hAnsi="Aptos" w:cs="Helvetica"/>
              </w:rPr>
              <w:t>.</w:t>
            </w:r>
            <w:r w:rsidR="0019701E" w:rsidRPr="00A424FC">
              <w:rPr>
                <w:rFonts w:ascii="Aptos" w:hAnsi="Aptos" w:cs="Helvetica"/>
              </w:rPr>
              <w:t xml:space="preserve"> </w:t>
            </w:r>
            <w:r w:rsidR="0099198F" w:rsidRPr="00A424FC">
              <w:rPr>
                <w:rFonts w:ascii="Aptos" w:hAnsi="Aptos" w:cs="Helvetica"/>
              </w:rPr>
              <w:t xml:space="preserve">More information on </w:t>
            </w:r>
            <w:r w:rsidR="000B005F">
              <w:rPr>
                <w:rFonts w:ascii="Aptos" w:hAnsi="Aptos" w:cs="Helvetica"/>
              </w:rPr>
              <w:t>ASFI’s engagements</w:t>
            </w:r>
            <w:r w:rsidR="0099198F" w:rsidRPr="00A424FC">
              <w:rPr>
                <w:rFonts w:ascii="Aptos" w:hAnsi="Aptos" w:cs="Helvetica"/>
              </w:rPr>
              <w:t xml:space="preserve"> with the TTEG and TTEG committees is </w:t>
            </w:r>
            <w:r w:rsidR="00F61899" w:rsidRPr="00A424FC">
              <w:rPr>
                <w:rFonts w:ascii="Aptos" w:hAnsi="Aptos" w:cs="Helvetica"/>
              </w:rPr>
              <w:t xml:space="preserve">provided in </w:t>
            </w:r>
            <w:r w:rsidR="00F61899" w:rsidRPr="00A424FC">
              <w:rPr>
                <w:rFonts w:ascii="Aptos" w:hAnsi="Aptos" w:cs="Helvetica"/>
                <w:b/>
                <w:bCs/>
              </w:rPr>
              <w:t>Part 3</w:t>
            </w:r>
            <w:r w:rsidR="00F61899" w:rsidRPr="00A424FC">
              <w:rPr>
                <w:rFonts w:ascii="Aptos" w:hAnsi="Aptos" w:cs="Helvetica"/>
              </w:rPr>
              <w:t xml:space="preserve">. </w:t>
            </w:r>
            <w:r w:rsidR="0099198F" w:rsidRPr="00A424FC">
              <w:rPr>
                <w:rFonts w:ascii="Aptos" w:hAnsi="Aptos" w:cs="Helvetica"/>
              </w:rPr>
              <w:t xml:space="preserve"> </w:t>
            </w:r>
          </w:p>
          <w:p w14:paraId="2C83DFA4" w14:textId="77777777" w:rsidR="008818CA" w:rsidRPr="00A424FC" w:rsidRDefault="008818CA" w:rsidP="00015FE6">
            <w:pPr>
              <w:rPr>
                <w:rFonts w:ascii="Aptos" w:hAnsi="Aptos" w:cs="Helvetica"/>
              </w:rPr>
            </w:pPr>
          </w:p>
          <w:p w14:paraId="063341ED" w14:textId="6E934883" w:rsidR="001C4E5A" w:rsidRPr="00A424FC" w:rsidRDefault="001C4E5A" w:rsidP="00015FE6">
            <w:pPr>
              <w:rPr>
                <w:rFonts w:ascii="Aptos" w:hAnsi="Aptos" w:cs="Helvetica"/>
                <w:u w:val="single"/>
              </w:rPr>
            </w:pPr>
            <w:r w:rsidRPr="00A424FC">
              <w:rPr>
                <w:rFonts w:ascii="Aptos" w:hAnsi="Aptos" w:cs="Helvetica"/>
                <w:u w:val="single"/>
              </w:rPr>
              <w:t xml:space="preserve">Taxonomy </w:t>
            </w:r>
            <w:r w:rsidR="005C2D61">
              <w:rPr>
                <w:rFonts w:ascii="Aptos" w:hAnsi="Aptos" w:cs="Helvetica"/>
                <w:u w:val="single"/>
              </w:rPr>
              <w:t>advisory groups</w:t>
            </w:r>
          </w:p>
          <w:p w14:paraId="317F9371" w14:textId="48C4EE8B" w:rsidR="00002068" w:rsidRPr="00A424FC" w:rsidRDefault="001C4E5A" w:rsidP="00015FE6">
            <w:pPr>
              <w:rPr>
                <w:rFonts w:ascii="Aptos" w:hAnsi="Aptos" w:cs="Helvetica"/>
                <w:u w:val="single"/>
              </w:rPr>
            </w:pPr>
            <w:r w:rsidRPr="00A424FC">
              <w:rPr>
                <w:rFonts w:ascii="Aptos" w:hAnsi="Aptos" w:cs="Helvetica"/>
                <w:u w:val="single"/>
              </w:rPr>
              <w:t xml:space="preserve"> </w:t>
            </w:r>
          </w:p>
          <w:p w14:paraId="190DE212" w14:textId="6DA86148" w:rsidR="00DB3659" w:rsidRDefault="00EB6322" w:rsidP="000B005F">
            <w:pPr>
              <w:rPr>
                <w:rFonts w:ascii="Aptos" w:hAnsi="Aptos" w:cs="Helvetica"/>
              </w:rPr>
            </w:pPr>
            <w:r w:rsidRPr="00A424FC">
              <w:rPr>
                <w:rFonts w:ascii="Aptos" w:hAnsi="Aptos" w:cs="Helvetica"/>
              </w:rPr>
              <w:t>ASFI has established and convened taxonomy advisory groups</w:t>
            </w:r>
            <w:r w:rsidR="00FF4BDF" w:rsidRPr="00A424FC">
              <w:rPr>
                <w:rFonts w:ascii="Aptos" w:hAnsi="Aptos" w:cs="Helvetica"/>
              </w:rPr>
              <w:t xml:space="preserve"> (TAGs)</w:t>
            </w:r>
            <w:r w:rsidR="000B005F">
              <w:rPr>
                <w:rFonts w:ascii="Aptos" w:hAnsi="Aptos" w:cs="Helvetica"/>
              </w:rPr>
              <w:t xml:space="preserve"> on the following </w:t>
            </w:r>
            <w:r w:rsidR="006B20A8">
              <w:rPr>
                <w:rFonts w:ascii="Aptos" w:hAnsi="Aptos" w:cs="Helvetica"/>
              </w:rPr>
              <w:t>areas</w:t>
            </w:r>
            <w:r w:rsidR="000B005F">
              <w:rPr>
                <w:rFonts w:ascii="Aptos" w:hAnsi="Aptos" w:cs="Helvetica"/>
              </w:rPr>
              <w:t>: (a) e</w:t>
            </w:r>
            <w:r w:rsidR="00B75315" w:rsidRPr="000B005F">
              <w:rPr>
                <w:rFonts w:ascii="Aptos" w:hAnsi="Aptos" w:cs="Helvetica"/>
              </w:rPr>
              <w:t>lectricity</w:t>
            </w:r>
            <w:r w:rsidR="000B005F">
              <w:rPr>
                <w:rFonts w:ascii="Aptos" w:hAnsi="Aptos" w:cs="Helvetica"/>
              </w:rPr>
              <w:t xml:space="preserve"> g</w:t>
            </w:r>
            <w:r w:rsidR="00B75315" w:rsidRPr="000B005F">
              <w:rPr>
                <w:rFonts w:ascii="Aptos" w:hAnsi="Aptos" w:cs="Helvetica"/>
              </w:rPr>
              <w:t xml:space="preserve">eneration and </w:t>
            </w:r>
            <w:r w:rsidR="000B005F">
              <w:rPr>
                <w:rFonts w:ascii="Aptos" w:hAnsi="Aptos" w:cs="Helvetica"/>
              </w:rPr>
              <w:t>s</w:t>
            </w:r>
            <w:r w:rsidR="00B75315" w:rsidRPr="000B005F">
              <w:rPr>
                <w:rFonts w:ascii="Aptos" w:hAnsi="Aptos" w:cs="Helvetica"/>
              </w:rPr>
              <w:t>upply</w:t>
            </w:r>
            <w:r w:rsidR="000B005F">
              <w:rPr>
                <w:rFonts w:ascii="Aptos" w:hAnsi="Aptos" w:cs="Helvetica"/>
              </w:rPr>
              <w:t>; (b) m</w:t>
            </w:r>
            <w:r w:rsidR="00FF4BDF" w:rsidRPr="000B005F">
              <w:rPr>
                <w:rFonts w:ascii="Aptos" w:hAnsi="Aptos" w:cs="Helvetica"/>
              </w:rPr>
              <w:t xml:space="preserve">inerals, </w:t>
            </w:r>
            <w:proofErr w:type="gramStart"/>
            <w:r w:rsidR="000B005F">
              <w:rPr>
                <w:rFonts w:ascii="Aptos" w:hAnsi="Aptos" w:cs="Helvetica"/>
              </w:rPr>
              <w:t>m</w:t>
            </w:r>
            <w:r w:rsidR="00FF4BDF" w:rsidRPr="000B005F">
              <w:rPr>
                <w:rFonts w:ascii="Aptos" w:hAnsi="Aptos" w:cs="Helvetica"/>
              </w:rPr>
              <w:t>ining</w:t>
            </w:r>
            <w:proofErr w:type="gramEnd"/>
            <w:r w:rsidR="00FF4BDF" w:rsidRPr="000B005F">
              <w:rPr>
                <w:rFonts w:ascii="Aptos" w:hAnsi="Aptos" w:cs="Helvetica"/>
              </w:rPr>
              <w:t xml:space="preserve"> and </w:t>
            </w:r>
            <w:r w:rsidR="000B005F">
              <w:rPr>
                <w:rFonts w:ascii="Aptos" w:hAnsi="Aptos" w:cs="Helvetica"/>
              </w:rPr>
              <w:t>m</w:t>
            </w:r>
            <w:r w:rsidR="00FF4BDF" w:rsidRPr="000B005F">
              <w:rPr>
                <w:rFonts w:ascii="Aptos" w:hAnsi="Aptos" w:cs="Helvetica"/>
              </w:rPr>
              <w:t>etals</w:t>
            </w:r>
            <w:r w:rsidR="000B005F">
              <w:rPr>
                <w:rFonts w:ascii="Aptos" w:hAnsi="Aptos" w:cs="Helvetica"/>
              </w:rPr>
              <w:t xml:space="preserve">; </w:t>
            </w:r>
            <w:r w:rsidR="0002353A">
              <w:rPr>
                <w:rFonts w:ascii="Aptos" w:hAnsi="Aptos" w:cs="Helvetica"/>
              </w:rPr>
              <w:t xml:space="preserve">(c) </w:t>
            </w:r>
            <w:r w:rsidR="000B005F">
              <w:rPr>
                <w:rFonts w:ascii="Aptos" w:hAnsi="Aptos" w:cs="Helvetica"/>
              </w:rPr>
              <w:t>construction and the built environment;</w:t>
            </w:r>
            <w:r w:rsidR="0002353A">
              <w:rPr>
                <w:rFonts w:ascii="Aptos" w:hAnsi="Aptos" w:cs="Helvetica"/>
              </w:rPr>
              <w:t xml:space="preserve"> (d) m</w:t>
            </w:r>
            <w:r w:rsidR="00DB3659" w:rsidRPr="00A424FC">
              <w:rPr>
                <w:rFonts w:ascii="Aptos" w:hAnsi="Aptos" w:cs="Helvetica"/>
              </w:rPr>
              <w:t xml:space="preserve">anufacturing and </w:t>
            </w:r>
            <w:r w:rsidR="0002353A">
              <w:rPr>
                <w:rFonts w:ascii="Aptos" w:hAnsi="Aptos" w:cs="Helvetica"/>
              </w:rPr>
              <w:t xml:space="preserve">industry; (e) </w:t>
            </w:r>
            <w:r w:rsidR="00E71EE9">
              <w:rPr>
                <w:rFonts w:ascii="Aptos" w:hAnsi="Aptos" w:cs="Helvetica"/>
              </w:rPr>
              <w:t xml:space="preserve">transport; (f) agriculture and land; (g) DNSH; and (h) MSS. </w:t>
            </w:r>
          </w:p>
          <w:p w14:paraId="24698695" w14:textId="77777777" w:rsidR="0002353A" w:rsidRPr="00A424FC" w:rsidRDefault="0002353A" w:rsidP="000B005F">
            <w:pPr>
              <w:rPr>
                <w:rFonts w:ascii="Aptos" w:hAnsi="Aptos" w:cs="Helvetica"/>
              </w:rPr>
            </w:pPr>
          </w:p>
          <w:p w14:paraId="047F0897" w14:textId="185A67C0" w:rsidR="00A5532E" w:rsidRDefault="00AC5FA5" w:rsidP="001146F2">
            <w:pPr>
              <w:rPr>
                <w:rFonts w:ascii="Aptos" w:hAnsi="Aptos" w:cs="Helvetica"/>
              </w:rPr>
            </w:pPr>
            <w:r>
              <w:rPr>
                <w:rFonts w:ascii="Aptos" w:hAnsi="Aptos" w:cs="Helvetica"/>
              </w:rPr>
              <w:t xml:space="preserve">The Australian Taxonomy Project currently comprises a total of </w:t>
            </w:r>
            <w:r w:rsidR="00C343D0">
              <w:rPr>
                <w:rFonts w:ascii="Aptos" w:hAnsi="Aptos" w:cs="Helvetica"/>
              </w:rPr>
              <w:t>8</w:t>
            </w:r>
            <w:r w:rsidR="0053362E">
              <w:rPr>
                <w:rFonts w:ascii="Aptos" w:hAnsi="Aptos" w:cs="Helvetica"/>
              </w:rPr>
              <w:t>2</w:t>
            </w:r>
            <w:r>
              <w:rPr>
                <w:rFonts w:ascii="Aptos" w:hAnsi="Aptos" w:cs="Helvetica"/>
              </w:rPr>
              <w:t xml:space="preserve"> TAG members</w:t>
            </w:r>
            <w:r w:rsidR="009842D0">
              <w:rPr>
                <w:rFonts w:ascii="Aptos" w:hAnsi="Aptos" w:cs="Helvetica"/>
              </w:rPr>
              <w:t xml:space="preserve"> </w:t>
            </w:r>
            <w:r w:rsidR="005C2D61">
              <w:rPr>
                <w:rFonts w:ascii="Aptos" w:hAnsi="Aptos" w:cs="Helvetica"/>
              </w:rPr>
              <w:t xml:space="preserve">with relevant technical expertise from across </w:t>
            </w:r>
            <w:r w:rsidR="00C343D0">
              <w:rPr>
                <w:rFonts w:ascii="Aptos" w:hAnsi="Aptos" w:cs="Helvetica"/>
              </w:rPr>
              <w:t>the</w:t>
            </w:r>
            <w:r w:rsidR="006B20A8">
              <w:rPr>
                <w:rFonts w:ascii="Aptos" w:hAnsi="Aptos" w:cs="Helvetica"/>
              </w:rPr>
              <w:t xml:space="preserve"> </w:t>
            </w:r>
            <w:r w:rsidR="009842D0">
              <w:rPr>
                <w:rFonts w:ascii="Aptos" w:hAnsi="Aptos" w:cs="Helvetica"/>
              </w:rPr>
              <w:t>non-profit, academia, consultancy,</w:t>
            </w:r>
            <w:r w:rsidR="006B20A8">
              <w:rPr>
                <w:rFonts w:ascii="Aptos" w:hAnsi="Aptos" w:cs="Helvetica"/>
              </w:rPr>
              <w:t xml:space="preserve"> finance, government, and business and industry</w:t>
            </w:r>
            <w:r w:rsidR="009842D0">
              <w:rPr>
                <w:rFonts w:ascii="Aptos" w:hAnsi="Aptos" w:cs="Helvetica"/>
              </w:rPr>
              <w:t xml:space="preserve"> </w:t>
            </w:r>
            <w:r w:rsidR="006B20A8">
              <w:rPr>
                <w:rFonts w:ascii="Aptos" w:hAnsi="Aptos" w:cs="Helvetica"/>
              </w:rPr>
              <w:t>sectors</w:t>
            </w:r>
            <w:r>
              <w:rPr>
                <w:rFonts w:ascii="Aptos" w:hAnsi="Aptos" w:cs="Helvetica"/>
              </w:rPr>
              <w:t xml:space="preserve">. </w:t>
            </w:r>
            <w:r w:rsidR="00E71EE9">
              <w:rPr>
                <w:rFonts w:ascii="Aptos" w:hAnsi="Aptos" w:cs="Helvetica"/>
              </w:rPr>
              <w:t>A full li</w:t>
            </w:r>
            <w:r w:rsidR="001146F2" w:rsidRPr="00A424FC">
              <w:rPr>
                <w:rFonts w:ascii="Aptos" w:hAnsi="Aptos" w:cs="Helvetica"/>
              </w:rPr>
              <w:t xml:space="preserve">st of taxonomy advisory group members is available on ASFI’s website </w:t>
            </w:r>
            <w:hyperlink r:id="rId16" w:history="1">
              <w:r w:rsidR="001146F2" w:rsidRPr="00A424FC">
                <w:rPr>
                  <w:rStyle w:val="Hyperlink"/>
                  <w:rFonts w:ascii="Aptos" w:hAnsi="Aptos" w:cs="Helvetica"/>
                </w:rPr>
                <w:t>here</w:t>
              </w:r>
            </w:hyperlink>
            <w:r w:rsidR="001146F2" w:rsidRPr="00A424FC">
              <w:rPr>
                <w:rFonts w:ascii="Aptos" w:hAnsi="Aptos" w:cs="Helvetica"/>
              </w:rPr>
              <w:t xml:space="preserve">. </w:t>
            </w:r>
          </w:p>
          <w:p w14:paraId="7B493A5D" w14:textId="77777777" w:rsidR="00A5532E" w:rsidRDefault="00A5532E" w:rsidP="001146F2">
            <w:pPr>
              <w:rPr>
                <w:rFonts w:ascii="Aptos" w:hAnsi="Aptos" w:cs="Helvetica"/>
              </w:rPr>
            </w:pPr>
          </w:p>
          <w:p w14:paraId="602CC049" w14:textId="187929E7" w:rsidR="00F61899" w:rsidRPr="00A424FC" w:rsidRDefault="000E113B" w:rsidP="001146F2">
            <w:pPr>
              <w:rPr>
                <w:rFonts w:ascii="Aptos" w:hAnsi="Aptos" w:cs="Helvetica"/>
              </w:rPr>
            </w:pPr>
            <w:r w:rsidRPr="00A424FC">
              <w:rPr>
                <w:rFonts w:ascii="Aptos" w:hAnsi="Aptos" w:cs="Helvetica"/>
              </w:rPr>
              <w:t>TAG</w:t>
            </w:r>
            <w:r w:rsidR="007C1F17" w:rsidRPr="00A424FC">
              <w:rPr>
                <w:rFonts w:ascii="Aptos" w:hAnsi="Aptos" w:cs="Helvetica"/>
              </w:rPr>
              <w:t xml:space="preserve"> members</w:t>
            </w:r>
            <w:r w:rsidRPr="00A424FC">
              <w:rPr>
                <w:rFonts w:ascii="Aptos" w:hAnsi="Aptos" w:cs="Helvetica"/>
              </w:rPr>
              <w:t xml:space="preserve"> are bound by a </w:t>
            </w:r>
            <w:r w:rsidR="007C1F17" w:rsidRPr="00A424FC">
              <w:rPr>
                <w:rFonts w:ascii="Aptos" w:hAnsi="Aptos" w:cs="Helvetica"/>
              </w:rPr>
              <w:t>TAG C</w:t>
            </w:r>
            <w:r w:rsidRPr="00A424FC">
              <w:rPr>
                <w:rFonts w:ascii="Aptos" w:hAnsi="Aptos" w:cs="Helvetica"/>
              </w:rPr>
              <w:t xml:space="preserve">onfidentiality </w:t>
            </w:r>
            <w:r w:rsidR="007C1F17" w:rsidRPr="00A424FC">
              <w:rPr>
                <w:rFonts w:ascii="Aptos" w:hAnsi="Aptos" w:cs="Helvetica"/>
              </w:rPr>
              <w:t>Undertaking</w:t>
            </w:r>
            <w:r w:rsidRPr="00A424FC">
              <w:rPr>
                <w:rFonts w:ascii="Aptos" w:hAnsi="Aptos" w:cs="Helvetica"/>
              </w:rPr>
              <w:t xml:space="preserve"> and </w:t>
            </w:r>
            <w:r w:rsidR="007C1F17" w:rsidRPr="00A424FC">
              <w:rPr>
                <w:rFonts w:ascii="Aptos" w:hAnsi="Aptos" w:cs="Helvetica"/>
              </w:rPr>
              <w:t xml:space="preserve">a </w:t>
            </w:r>
            <w:r w:rsidRPr="00A424FC">
              <w:rPr>
                <w:rFonts w:ascii="Aptos" w:hAnsi="Aptos" w:cs="Helvetica"/>
              </w:rPr>
              <w:t>Conflicts of Interest Policy</w:t>
            </w:r>
            <w:r w:rsidR="007C1F17" w:rsidRPr="00A424FC">
              <w:rPr>
                <w:rFonts w:ascii="Aptos" w:hAnsi="Aptos" w:cs="Helvetica"/>
              </w:rPr>
              <w:t xml:space="preserve">. </w:t>
            </w:r>
            <w:r w:rsidR="00F61899" w:rsidRPr="00A424FC">
              <w:rPr>
                <w:rFonts w:ascii="Aptos" w:hAnsi="Aptos" w:cs="Helvetica"/>
              </w:rPr>
              <w:t>More information on ASFI’s engagement</w:t>
            </w:r>
            <w:r w:rsidR="005C2D61">
              <w:rPr>
                <w:rFonts w:ascii="Aptos" w:hAnsi="Aptos" w:cs="Helvetica"/>
              </w:rPr>
              <w:t>s</w:t>
            </w:r>
            <w:r w:rsidR="00F61899" w:rsidRPr="00A424FC">
              <w:rPr>
                <w:rFonts w:ascii="Aptos" w:hAnsi="Aptos" w:cs="Helvetica"/>
              </w:rPr>
              <w:t xml:space="preserve"> with the TAGs is provided in </w:t>
            </w:r>
            <w:r w:rsidR="00F61899" w:rsidRPr="00A424FC">
              <w:rPr>
                <w:rFonts w:ascii="Aptos" w:hAnsi="Aptos" w:cs="Helvetica"/>
                <w:b/>
                <w:bCs/>
              </w:rPr>
              <w:t>Part 3</w:t>
            </w:r>
            <w:r w:rsidR="00F61899" w:rsidRPr="00A424FC">
              <w:rPr>
                <w:rFonts w:ascii="Aptos" w:hAnsi="Aptos" w:cs="Helvetica"/>
              </w:rPr>
              <w:t>.</w:t>
            </w:r>
          </w:p>
          <w:p w14:paraId="603D0FD5" w14:textId="77777777" w:rsidR="00541289" w:rsidRDefault="00541289" w:rsidP="00015FE6">
            <w:pPr>
              <w:rPr>
                <w:rFonts w:ascii="Aptos" w:hAnsi="Aptos" w:cs="Helvetica"/>
                <w:u w:val="single"/>
              </w:rPr>
            </w:pPr>
          </w:p>
          <w:p w14:paraId="3BFEAD33" w14:textId="31A3493A" w:rsidR="00EB6322" w:rsidRPr="00A424FC" w:rsidRDefault="00EB6322" w:rsidP="00015FE6">
            <w:pPr>
              <w:rPr>
                <w:rFonts w:ascii="Aptos" w:hAnsi="Aptos" w:cs="Helvetica"/>
                <w:u w:val="single"/>
              </w:rPr>
            </w:pPr>
            <w:r w:rsidRPr="00A424FC">
              <w:rPr>
                <w:rFonts w:ascii="Aptos" w:hAnsi="Aptos" w:cs="Helvetica"/>
                <w:u w:val="single"/>
              </w:rPr>
              <w:t>C</w:t>
            </w:r>
            <w:r w:rsidR="004F73BD" w:rsidRPr="00A424FC">
              <w:rPr>
                <w:rFonts w:ascii="Aptos" w:hAnsi="Aptos" w:cs="Helvetica"/>
                <w:u w:val="single"/>
              </w:rPr>
              <w:t xml:space="preserve">ontracted technical </w:t>
            </w:r>
            <w:proofErr w:type="gramStart"/>
            <w:r w:rsidR="004F73BD" w:rsidRPr="00A424FC">
              <w:rPr>
                <w:rFonts w:ascii="Aptos" w:hAnsi="Aptos" w:cs="Helvetica"/>
                <w:u w:val="single"/>
              </w:rPr>
              <w:t>experts</w:t>
            </w:r>
            <w:proofErr w:type="gramEnd"/>
            <w:r w:rsidR="004F73BD" w:rsidRPr="00A424FC">
              <w:rPr>
                <w:rFonts w:ascii="Aptos" w:hAnsi="Aptos" w:cs="Helvetica"/>
                <w:u w:val="single"/>
              </w:rPr>
              <w:t xml:space="preserve"> </w:t>
            </w:r>
          </w:p>
          <w:p w14:paraId="23DF2267" w14:textId="77777777" w:rsidR="00EB6322" w:rsidRPr="00A424FC" w:rsidRDefault="00EB6322" w:rsidP="00015FE6">
            <w:pPr>
              <w:rPr>
                <w:rFonts w:ascii="Aptos" w:hAnsi="Aptos" w:cs="Helvetica"/>
                <w:u w:val="single"/>
              </w:rPr>
            </w:pPr>
          </w:p>
          <w:p w14:paraId="19709A5E" w14:textId="125A74C2" w:rsidR="00002068" w:rsidRPr="00A424FC" w:rsidRDefault="00735890" w:rsidP="00015FE6">
            <w:pPr>
              <w:rPr>
                <w:rFonts w:ascii="Aptos" w:hAnsi="Aptos" w:cs="Helvetica"/>
                <w:lang w:val="en-AU"/>
              </w:rPr>
            </w:pPr>
            <w:r w:rsidRPr="00A424FC">
              <w:rPr>
                <w:rFonts w:ascii="Aptos" w:hAnsi="Aptos" w:cs="Helvetica"/>
                <w:lang w:val="en-AU"/>
              </w:rPr>
              <w:t>G</w:t>
            </w:r>
            <w:r w:rsidR="0068140C" w:rsidRPr="00A424FC">
              <w:rPr>
                <w:rFonts w:ascii="Aptos" w:hAnsi="Aptos" w:cs="Helvetica"/>
                <w:lang w:val="en-AU"/>
              </w:rPr>
              <w:t>lobal standards setter</w:t>
            </w:r>
            <w:r w:rsidR="004F73BD" w:rsidRPr="00A424FC">
              <w:rPr>
                <w:rFonts w:ascii="Aptos" w:hAnsi="Aptos" w:cs="Helvetica"/>
                <w:lang w:val="en-AU"/>
              </w:rPr>
              <w:t>, the</w:t>
            </w:r>
            <w:r w:rsidR="0068140C" w:rsidRPr="00A424FC">
              <w:rPr>
                <w:rFonts w:ascii="Aptos" w:hAnsi="Aptos" w:cs="Helvetica"/>
                <w:lang w:val="en-AU"/>
              </w:rPr>
              <w:t xml:space="preserve"> Climate Bonds Initiative</w:t>
            </w:r>
            <w:r w:rsidR="004F73BD" w:rsidRPr="00A424FC">
              <w:rPr>
                <w:rFonts w:ascii="Aptos" w:hAnsi="Aptos" w:cs="Helvetica"/>
                <w:lang w:val="en-AU"/>
              </w:rPr>
              <w:t>,</w:t>
            </w:r>
            <w:r w:rsidR="0068140C" w:rsidRPr="00A424FC">
              <w:rPr>
                <w:rFonts w:ascii="Aptos" w:hAnsi="Aptos" w:cs="Helvetica"/>
                <w:lang w:val="en-AU"/>
              </w:rPr>
              <w:t xml:space="preserve"> </w:t>
            </w:r>
            <w:r w:rsidRPr="00A424FC">
              <w:rPr>
                <w:rFonts w:ascii="Aptos" w:hAnsi="Aptos" w:cs="Helvetica"/>
                <w:lang w:val="en-AU"/>
              </w:rPr>
              <w:t xml:space="preserve">has been contracted </w:t>
            </w:r>
            <w:r w:rsidR="0068140C" w:rsidRPr="00A424FC">
              <w:rPr>
                <w:rFonts w:ascii="Aptos" w:hAnsi="Aptos" w:cs="Helvetica"/>
                <w:lang w:val="en-AU"/>
              </w:rPr>
              <w:t xml:space="preserve">to </w:t>
            </w:r>
            <w:r w:rsidR="00B05C35" w:rsidRPr="00A424FC">
              <w:rPr>
                <w:rFonts w:ascii="Aptos" w:hAnsi="Aptos" w:cs="Helvetica"/>
                <w:lang w:val="en-AU"/>
              </w:rPr>
              <w:t>lead</w:t>
            </w:r>
            <w:r w:rsidR="0068140C" w:rsidRPr="00A424FC">
              <w:rPr>
                <w:rFonts w:ascii="Aptos" w:hAnsi="Aptos" w:cs="Helvetica"/>
                <w:lang w:val="en-AU"/>
              </w:rPr>
              <w:t xml:space="preserve"> a consortium of technical </w:t>
            </w:r>
            <w:r w:rsidR="00FE4C0A" w:rsidRPr="00A424FC">
              <w:rPr>
                <w:rFonts w:ascii="Aptos" w:hAnsi="Aptos" w:cs="Helvetica"/>
                <w:lang w:val="en-AU"/>
              </w:rPr>
              <w:t xml:space="preserve">experts </w:t>
            </w:r>
            <w:r w:rsidR="00FF0E63" w:rsidRPr="00A424FC">
              <w:rPr>
                <w:rFonts w:ascii="Aptos" w:hAnsi="Aptos" w:cs="Helvetica"/>
                <w:lang w:val="en-AU"/>
              </w:rPr>
              <w:t xml:space="preserve">to work with </w:t>
            </w:r>
            <w:r w:rsidR="00FB49DF" w:rsidRPr="00A424FC">
              <w:rPr>
                <w:rFonts w:ascii="Aptos" w:hAnsi="Aptos" w:cs="Helvetica"/>
                <w:lang w:val="en-AU"/>
              </w:rPr>
              <w:t xml:space="preserve">ASFI on the </w:t>
            </w:r>
            <w:r w:rsidR="005A71BF" w:rsidRPr="00A424FC">
              <w:rPr>
                <w:rFonts w:ascii="Aptos" w:hAnsi="Aptos" w:cs="Helvetica"/>
                <w:lang w:val="en-AU"/>
              </w:rPr>
              <w:t xml:space="preserve">delivery of taxonomy technical outputs. </w:t>
            </w:r>
          </w:p>
          <w:p w14:paraId="68230F58" w14:textId="31ED5E56" w:rsidR="004F73BD" w:rsidRPr="00A424FC" w:rsidRDefault="004F73BD" w:rsidP="00015FE6">
            <w:pPr>
              <w:rPr>
                <w:rFonts w:ascii="Aptos" w:hAnsi="Aptos" w:cs="Helvetica"/>
                <w:lang w:val="en-AU"/>
              </w:rPr>
            </w:pPr>
          </w:p>
          <w:p w14:paraId="350B334D" w14:textId="4EB9B9F2" w:rsidR="00735890" w:rsidRPr="00A424FC" w:rsidRDefault="004F73BD" w:rsidP="00015FE6">
            <w:pPr>
              <w:rPr>
                <w:rFonts w:ascii="Aptos" w:hAnsi="Aptos" w:cs="Helvetica"/>
                <w:lang w:val="en-AU"/>
              </w:rPr>
            </w:pPr>
            <w:r w:rsidRPr="00A424FC">
              <w:rPr>
                <w:rFonts w:ascii="Aptos" w:hAnsi="Aptos" w:cs="Helvetica"/>
                <w:lang w:val="en-AU"/>
              </w:rPr>
              <w:t xml:space="preserve">ASFI has also contracted with </w:t>
            </w:r>
            <w:r w:rsidR="003268EB">
              <w:rPr>
                <w:rFonts w:ascii="Aptos" w:hAnsi="Aptos" w:cs="Helvetica"/>
                <w:lang w:val="en-AU"/>
              </w:rPr>
              <w:t>First Nations Affairs</w:t>
            </w:r>
            <w:r w:rsidRPr="00A424FC">
              <w:rPr>
                <w:rFonts w:ascii="Aptos" w:hAnsi="Aptos" w:cs="Helvetica"/>
                <w:lang w:val="en-AU"/>
              </w:rPr>
              <w:t xml:space="preserve"> to lead the development of draft MSS criteria specific to First Nations rights and cultural heritage</w:t>
            </w:r>
            <w:r w:rsidR="003268EB">
              <w:rPr>
                <w:rFonts w:ascii="Aptos" w:hAnsi="Aptos" w:cs="Helvetica"/>
                <w:lang w:val="en-AU"/>
              </w:rPr>
              <w:t xml:space="preserve">, and to </w:t>
            </w:r>
            <w:r w:rsidR="005C398D">
              <w:rPr>
                <w:rFonts w:ascii="Aptos" w:hAnsi="Aptos" w:cs="Helvetica"/>
                <w:lang w:val="en-AU"/>
              </w:rPr>
              <w:t xml:space="preserve">undertake </w:t>
            </w:r>
            <w:r w:rsidR="003268EB">
              <w:rPr>
                <w:rFonts w:ascii="Aptos" w:hAnsi="Aptos" w:cs="Helvetica"/>
                <w:lang w:val="en-AU"/>
              </w:rPr>
              <w:t xml:space="preserve">targeted First Nations </w:t>
            </w:r>
            <w:r w:rsidR="005C398D">
              <w:rPr>
                <w:rFonts w:ascii="Aptos" w:hAnsi="Aptos" w:cs="Helvetica"/>
                <w:lang w:val="en-AU"/>
              </w:rPr>
              <w:t xml:space="preserve">engagement and </w:t>
            </w:r>
            <w:r w:rsidR="003268EB">
              <w:rPr>
                <w:rFonts w:ascii="Aptos" w:hAnsi="Aptos" w:cs="Helvetica"/>
                <w:lang w:val="en-AU"/>
              </w:rPr>
              <w:t>consultation on this work</w:t>
            </w:r>
            <w:r w:rsidR="00735890" w:rsidRPr="00A424FC">
              <w:rPr>
                <w:rFonts w:ascii="Aptos" w:hAnsi="Aptos" w:cs="Helvetica"/>
                <w:lang w:val="en-AU"/>
              </w:rPr>
              <w:t>.</w:t>
            </w:r>
          </w:p>
          <w:p w14:paraId="04FEAF59" w14:textId="77777777" w:rsidR="00735890" w:rsidRPr="00A424FC" w:rsidRDefault="00735890" w:rsidP="00015FE6">
            <w:pPr>
              <w:rPr>
                <w:rFonts w:ascii="Aptos" w:hAnsi="Aptos" w:cs="Helvetica"/>
                <w:lang w:val="en-AU"/>
              </w:rPr>
            </w:pPr>
          </w:p>
          <w:p w14:paraId="58E3524F" w14:textId="79B32129" w:rsidR="004F73BD" w:rsidRDefault="00735890" w:rsidP="00015FE6">
            <w:pPr>
              <w:rPr>
                <w:rFonts w:ascii="Aptos" w:hAnsi="Aptos" w:cs="Helvetica"/>
                <w:lang w:val="en-AU"/>
              </w:rPr>
            </w:pPr>
            <w:r w:rsidRPr="00A424FC">
              <w:rPr>
                <w:rFonts w:ascii="Aptos" w:hAnsi="Aptos" w:cs="Helvetica"/>
                <w:lang w:val="en-AU"/>
              </w:rPr>
              <w:t xml:space="preserve">Finally, ASFI has </w:t>
            </w:r>
            <w:r w:rsidR="001146E7" w:rsidRPr="00A424FC">
              <w:rPr>
                <w:rFonts w:ascii="Aptos" w:hAnsi="Aptos" w:cs="Helvetica"/>
                <w:lang w:val="en-AU"/>
              </w:rPr>
              <w:t xml:space="preserve">contracted with </w:t>
            </w:r>
            <w:proofErr w:type="spellStart"/>
            <w:r w:rsidR="001146E7" w:rsidRPr="00A424FC">
              <w:rPr>
                <w:rFonts w:ascii="Aptos" w:hAnsi="Aptos" w:cs="Helvetica"/>
                <w:lang w:val="en-AU"/>
              </w:rPr>
              <w:t>Climateworks</w:t>
            </w:r>
            <w:proofErr w:type="spellEnd"/>
            <w:r w:rsidR="001146E7" w:rsidRPr="00A424FC">
              <w:rPr>
                <w:rFonts w:ascii="Aptos" w:hAnsi="Aptos" w:cs="Helvetica"/>
                <w:lang w:val="en-AU"/>
              </w:rPr>
              <w:t xml:space="preserve"> Centre and Skarn Associates for the provision of key data inputs to inform the draft t</w:t>
            </w:r>
            <w:r w:rsidR="00DB3659" w:rsidRPr="00A424FC">
              <w:rPr>
                <w:rFonts w:ascii="Aptos" w:hAnsi="Aptos" w:cs="Helvetica"/>
                <w:lang w:val="en-AU"/>
              </w:rPr>
              <w:t xml:space="preserve">echnical screening criteria. </w:t>
            </w:r>
          </w:p>
          <w:p w14:paraId="378F1796" w14:textId="765C13F6" w:rsidR="009E6DF5" w:rsidRPr="00A424FC" w:rsidRDefault="009E6DF5" w:rsidP="002B3F34">
            <w:pPr>
              <w:rPr>
                <w:rFonts w:ascii="Aptos" w:hAnsi="Aptos" w:cs="Helvetica"/>
              </w:rPr>
            </w:pPr>
          </w:p>
        </w:tc>
      </w:tr>
      <w:tr w:rsidR="00836768" w:rsidRPr="00A424FC" w14:paraId="513E89BC" w14:textId="77777777" w:rsidTr="00DB3659">
        <w:tc>
          <w:tcPr>
            <w:tcW w:w="3114" w:type="dxa"/>
            <w:shd w:val="clear" w:color="auto" w:fill="2F5496" w:themeFill="accent1" w:themeFillShade="BF"/>
          </w:tcPr>
          <w:p w14:paraId="1F98FA20" w14:textId="2F0E3166" w:rsidR="003345BC" w:rsidRPr="00A424FC" w:rsidRDefault="00DB3659" w:rsidP="000E43BE">
            <w:pPr>
              <w:rPr>
                <w:rFonts w:ascii="Aptos" w:hAnsi="Aptos" w:cs="Helvetica"/>
                <w:color w:val="FFFFFF" w:themeColor="background1"/>
              </w:rPr>
            </w:pPr>
            <w:r w:rsidRPr="00A424FC">
              <w:rPr>
                <w:rFonts w:ascii="Aptos" w:hAnsi="Aptos" w:cs="Helvetica"/>
                <w:color w:val="FFFFFF" w:themeColor="background1"/>
              </w:rPr>
              <w:lastRenderedPageBreak/>
              <w:t>Deliverable 2:</w:t>
            </w:r>
            <w:r w:rsidR="00205FBA" w:rsidRPr="00A424FC">
              <w:rPr>
                <w:rFonts w:ascii="Aptos" w:hAnsi="Aptos" w:cs="Helvetica"/>
                <w:color w:val="FFFFFF" w:themeColor="background1"/>
              </w:rPr>
              <w:t xml:space="preserve"> Methodolog</w:t>
            </w:r>
            <w:r w:rsidRPr="00A424FC">
              <w:rPr>
                <w:rFonts w:ascii="Aptos" w:hAnsi="Aptos" w:cs="Helvetica"/>
                <w:color w:val="FFFFFF" w:themeColor="background1"/>
              </w:rPr>
              <w:t>ical</w:t>
            </w:r>
            <w:r w:rsidR="00205FBA" w:rsidRPr="00A424FC">
              <w:rPr>
                <w:rFonts w:ascii="Aptos" w:hAnsi="Aptos" w:cs="Helvetica"/>
                <w:color w:val="FFFFFF" w:themeColor="background1"/>
              </w:rPr>
              <w:t xml:space="preserve"> </w:t>
            </w:r>
            <w:r w:rsidR="001E1F05" w:rsidRPr="00A424FC">
              <w:rPr>
                <w:rFonts w:ascii="Aptos" w:hAnsi="Aptos" w:cs="Helvetica"/>
                <w:color w:val="FFFFFF" w:themeColor="background1"/>
              </w:rPr>
              <w:t>d</w:t>
            </w:r>
            <w:r w:rsidR="00205FBA" w:rsidRPr="00A424FC">
              <w:rPr>
                <w:rFonts w:ascii="Aptos" w:hAnsi="Aptos" w:cs="Helvetica"/>
                <w:color w:val="FFFFFF" w:themeColor="background1"/>
              </w:rPr>
              <w:t>esign</w:t>
            </w:r>
          </w:p>
        </w:tc>
        <w:tc>
          <w:tcPr>
            <w:tcW w:w="6509" w:type="dxa"/>
            <w:shd w:val="clear" w:color="auto" w:fill="2F5496" w:themeFill="accent1" w:themeFillShade="BF"/>
          </w:tcPr>
          <w:p w14:paraId="4AC06063" w14:textId="6DA6328E" w:rsidR="003345BC" w:rsidRPr="00A424FC" w:rsidRDefault="00B02F4C" w:rsidP="000E43BE">
            <w:pPr>
              <w:rPr>
                <w:rFonts w:ascii="Aptos" w:hAnsi="Aptos" w:cs="Helvetica"/>
                <w:color w:val="FFFFFF" w:themeColor="background1"/>
              </w:rPr>
            </w:pPr>
            <w:r>
              <w:rPr>
                <w:rFonts w:ascii="Aptos" w:hAnsi="Aptos" w:cs="Helvetica"/>
                <w:color w:val="FFFFFF" w:themeColor="background1"/>
              </w:rPr>
              <w:t xml:space="preserve">A methodology </w:t>
            </w:r>
            <w:r w:rsidR="008159C2" w:rsidRPr="00A424FC">
              <w:rPr>
                <w:rFonts w:ascii="Aptos" w:hAnsi="Aptos" w:cs="Helvetica"/>
                <w:color w:val="FFFFFF" w:themeColor="background1"/>
              </w:rPr>
              <w:t xml:space="preserve">for </w:t>
            </w:r>
            <w:r w:rsidR="00943DD9">
              <w:rPr>
                <w:rFonts w:ascii="Aptos" w:hAnsi="Aptos" w:cs="Helvetica"/>
                <w:color w:val="FFFFFF" w:themeColor="background1"/>
              </w:rPr>
              <w:t>defining green and transition in the Australian taxonomy and determining the eligibility of economic activities;</w:t>
            </w:r>
            <w:r w:rsidR="00644AFF">
              <w:rPr>
                <w:rFonts w:ascii="Aptos" w:hAnsi="Aptos" w:cs="Helvetica"/>
                <w:color w:val="FFFFFF" w:themeColor="background1"/>
              </w:rPr>
              <w:t xml:space="preserve"> and a methodology for determining the Australian taxonomy’s other environmental objectives and social considerations</w:t>
            </w:r>
          </w:p>
        </w:tc>
      </w:tr>
      <w:tr w:rsidR="00895659" w:rsidRPr="00A424FC" w14:paraId="70639A32" w14:textId="77777777">
        <w:tc>
          <w:tcPr>
            <w:tcW w:w="9623" w:type="dxa"/>
            <w:gridSpan w:val="2"/>
          </w:tcPr>
          <w:p w14:paraId="1C2E01E4" w14:textId="77777777" w:rsidR="00895659" w:rsidRPr="00A424FC" w:rsidRDefault="00895659" w:rsidP="00531DE2">
            <w:pPr>
              <w:rPr>
                <w:rFonts w:ascii="Aptos" w:hAnsi="Aptos" w:cs="Helvetica"/>
              </w:rPr>
            </w:pPr>
          </w:p>
          <w:p w14:paraId="3A5E4A79" w14:textId="06356C18" w:rsidR="009C4954" w:rsidRPr="00A424FC" w:rsidRDefault="00895659" w:rsidP="000E43BE">
            <w:pPr>
              <w:rPr>
                <w:rFonts w:ascii="Aptos" w:hAnsi="Aptos" w:cs="Helvetica"/>
              </w:rPr>
            </w:pPr>
            <w:r w:rsidRPr="00A424FC">
              <w:rPr>
                <w:rFonts w:ascii="Aptos" w:hAnsi="Aptos" w:cs="Helvetica"/>
              </w:rPr>
              <w:t>Two methodology reports</w:t>
            </w:r>
            <w:r w:rsidR="00BA3AD4" w:rsidRPr="00A424FC">
              <w:rPr>
                <w:rFonts w:ascii="Aptos" w:hAnsi="Aptos" w:cs="Helvetica"/>
              </w:rPr>
              <w:t>,</w:t>
            </w:r>
            <w:r w:rsidR="006D3060" w:rsidRPr="00A424FC">
              <w:rPr>
                <w:rFonts w:ascii="Aptos" w:hAnsi="Aptos" w:cs="Helvetica"/>
              </w:rPr>
              <w:t xml:space="preserve"> endorsed by the </w:t>
            </w:r>
            <w:r w:rsidR="005C398D">
              <w:rPr>
                <w:rFonts w:ascii="Aptos" w:hAnsi="Aptos" w:cs="Helvetica"/>
              </w:rPr>
              <w:t xml:space="preserve">full </w:t>
            </w:r>
            <w:r w:rsidR="006D3060" w:rsidRPr="00A424FC">
              <w:rPr>
                <w:rFonts w:ascii="Aptos" w:hAnsi="Aptos" w:cs="Helvetica"/>
              </w:rPr>
              <w:t>TTEG</w:t>
            </w:r>
            <w:r w:rsidRPr="00A424FC">
              <w:rPr>
                <w:rFonts w:ascii="Aptos" w:hAnsi="Aptos" w:cs="Helvetica"/>
              </w:rPr>
              <w:t xml:space="preserve"> </w:t>
            </w:r>
            <w:r w:rsidR="00DB3659" w:rsidRPr="00A424FC">
              <w:rPr>
                <w:rFonts w:ascii="Aptos" w:hAnsi="Aptos" w:cs="Helvetica"/>
              </w:rPr>
              <w:t>to inform the development of the Australian sustainable finance taxonomy</w:t>
            </w:r>
            <w:r w:rsidR="00BA3AD4" w:rsidRPr="00A424FC">
              <w:rPr>
                <w:rFonts w:ascii="Aptos" w:hAnsi="Aptos" w:cs="Helvetica"/>
              </w:rPr>
              <w:t>,</w:t>
            </w:r>
            <w:r w:rsidR="00DB3659" w:rsidRPr="00A424FC">
              <w:rPr>
                <w:rFonts w:ascii="Aptos" w:hAnsi="Aptos" w:cs="Helvetica"/>
              </w:rPr>
              <w:t xml:space="preserve"> were published in December 2023</w:t>
            </w:r>
            <w:r w:rsidR="00D13E78">
              <w:rPr>
                <w:rFonts w:ascii="Aptos" w:hAnsi="Aptos" w:cs="Helvetica"/>
              </w:rPr>
              <w:t xml:space="preserve">: </w:t>
            </w:r>
          </w:p>
          <w:p w14:paraId="3483F65A" w14:textId="58A15307" w:rsidR="009C4954" w:rsidRPr="00A424FC" w:rsidRDefault="009C4954" w:rsidP="005C398D">
            <w:pPr>
              <w:pStyle w:val="ListParagraph"/>
              <w:rPr>
                <w:rFonts w:ascii="Aptos" w:hAnsi="Aptos" w:cs="Helvetica"/>
                <w:sz w:val="24"/>
                <w:szCs w:val="24"/>
              </w:rPr>
            </w:pPr>
          </w:p>
          <w:p w14:paraId="7DDFCE27" w14:textId="2267E665" w:rsidR="00B05C35" w:rsidRPr="005C398D" w:rsidRDefault="00B05C35" w:rsidP="005C398D">
            <w:pPr>
              <w:pStyle w:val="ListParagraph"/>
              <w:numPr>
                <w:ilvl w:val="0"/>
                <w:numId w:val="29"/>
              </w:numPr>
              <w:rPr>
                <w:rFonts w:ascii="Aptos" w:hAnsi="Aptos" w:cs="Helvetica"/>
                <w:sz w:val="24"/>
                <w:szCs w:val="24"/>
              </w:rPr>
            </w:pPr>
            <w:r w:rsidRPr="005C398D">
              <w:rPr>
                <w:rFonts w:ascii="Aptos" w:hAnsi="Aptos" w:cs="Helvetica"/>
                <w:sz w:val="24"/>
                <w:szCs w:val="24"/>
              </w:rPr>
              <w:t xml:space="preserve">A </w:t>
            </w:r>
            <w:r w:rsidR="0098415F" w:rsidRPr="005C398D">
              <w:rPr>
                <w:rFonts w:ascii="Aptos" w:hAnsi="Aptos" w:cs="Helvetica"/>
                <w:b/>
                <w:bCs/>
                <w:sz w:val="24"/>
                <w:szCs w:val="24"/>
              </w:rPr>
              <w:t>t</w:t>
            </w:r>
            <w:r w:rsidR="009C4954" w:rsidRPr="005C398D">
              <w:rPr>
                <w:rFonts w:ascii="Aptos" w:hAnsi="Aptos" w:cs="Helvetica"/>
                <w:b/>
                <w:bCs/>
                <w:sz w:val="24"/>
                <w:szCs w:val="24"/>
              </w:rPr>
              <w:t>ransition methodology report</w:t>
            </w:r>
            <w:r w:rsidR="0098415F" w:rsidRPr="005C398D">
              <w:rPr>
                <w:rFonts w:ascii="Aptos" w:hAnsi="Aptos" w:cs="Helvetica"/>
                <w:sz w:val="24"/>
                <w:szCs w:val="24"/>
              </w:rPr>
              <w:t>,</w:t>
            </w:r>
            <w:r w:rsidR="009C4954" w:rsidRPr="005C398D">
              <w:rPr>
                <w:rFonts w:ascii="Aptos" w:hAnsi="Aptos" w:cs="Helvetica"/>
                <w:sz w:val="24"/>
                <w:szCs w:val="24"/>
              </w:rPr>
              <w:t xml:space="preserve"> which sets out</w:t>
            </w:r>
            <w:r w:rsidR="00895659" w:rsidRPr="005C398D">
              <w:rPr>
                <w:rFonts w:ascii="Aptos" w:hAnsi="Aptos" w:cs="Helvetica"/>
                <w:sz w:val="24"/>
                <w:szCs w:val="24"/>
              </w:rPr>
              <w:t xml:space="preserve"> how green and transition activities for climate </w:t>
            </w:r>
            <w:r w:rsidR="00D13E78">
              <w:rPr>
                <w:rFonts w:ascii="Aptos" w:hAnsi="Aptos" w:cs="Helvetica"/>
                <w:sz w:val="24"/>
                <w:szCs w:val="24"/>
              </w:rPr>
              <w:t xml:space="preserve">change </w:t>
            </w:r>
            <w:r w:rsidR="00895659" w:rsidRPr="005C398D">
              <w:rPr>
                <w:rFonts w:ascii="Aptos" w:hAnsi="Aptos" w:cs="Helvetica"/>
                <w:sz w:val="24"/>
                <w:szCs w:val="24"/>
              </w:rPr>
              <w:t>mitigation will be determined</w:t>
            </w:r>
            <w:r w:rsidR="002E2BB0" w:rsidRPr="005C398D">
              <w:rPr>
                <w:rFonts w:ascii="Aptos" w:hAnsi="Aptos" w:cs="Helvetica"/>
                <w:sz w:val="24"/>
                <w:szCs w:val="24"/>
              </w:rPr>
              <w:t xml:space="preserve"> (</w:t>
            </w:r>
            <w:r w:rsidR="002E2BB0" w:rsidRPr="005C398D">
              <w:rPr>
                <w:rFonts w:ascii="Aptos" w:hAnsi="Aptos" w:cs="Helvetica"/>
                <w:b/>
                <w:bCs/>
                <w:sz w:val="24"/>
                <w:szCs w:val="24"/>
                <w:u w:val="single"/>
              </w:rPr>
              <w:t>Appendix A</w:t>
            </w:r>
            <w:r w:rsidR="002E2BB0" w:rsidRPr="005C398D">
              <w:rPr>
                <w:rFonts w:ascii="Aptos" w:hAnsi="Aptos" w:cs="Helvetica"/>
                <w:sz w:val="24"/>
                <w:szCs w:val="24"/>
              </w:rPr>
              <w:t>)</w:t>
            </w:r>
            <w:r w:rsidRPr="005C398D">
              <w:rPr>
                <w:rFonts w:ascii="Aptos" w:hAnsi="Aptos" w:cs="Helvetica"/>
                <w:sz w:val="24"/>
                <w:szCs w:val="24"/>
              </w:rPr>
              <w:t>.</w:t>
            </w:r>
            <w:r w:rsidR="005C398D" w:rsidRPr="005C398D">
              <w:rPr>
                <w:rFonts w:ascii="Aptos" w:hAnsi="Aptos" w:cs="Helvetica"/>
                <w:sz w:val="24"/>
                <w:szCs w:val="24"/>
              </w:rPr>
              <w:t xml:space="preserve"> Th</w:t>
            </w:r>
            <w:r w:rsidR="005C398D">
              <w:rPr>
                <w:rFonts w:ascii="Aptos" w:hAnsi="Aptos" w:cs="Helvetica"/>
                <w:sz w:val="24"/>
                <w:szCs w:val="24"/>
              </w:rPr>
              <w:t xml:space="preserve">is </w:t>
            </w:r>
            <w:r w:rsidR="005C398D" w:rsidRPr="005C398D">
              <w:rPr>
                <w:rFonts w:ascii="Aptos" w:hAnsi="Aptos" w:cs="Helvetica"/>
                <w:sz w:val="24"/>
                <w:szCs w:val="24"/>
              </w:rPr>
              <w:t>report provides a clear methodology for determining what transition means in the context of the Australian taxonomy; and which sectors and activities should be eligible for inclusion in the Australian taxonomy’s transition category.</w:t>
            </w:r>
          </w:p>
          <w:p w14:paraId="2CF6B865" w14:textId="77777777" w:rsidR="005C398D" w:rsidRPr="005C398D" w:rsidRDefault="005C398D" w:rsidP="005C398D">
            <w:pPr>
              <w:pStyle w:val="ListParagraph"/>
              <w:rPr>
                <w:rFonts w:ascii="Aptos" w:hAnsi="Aptos" w:cs="Helvetica"/>
              </w:rPr>
            </w:pPr>
          </w:p>
          <w:p w14:paraId="13C0BDC8" w14:textId="6D63161B" w:rsidR="00671162" w:rsidRPr="00C66D44" w:rsidRDefault="00B05C35" w:rsidP="00C66D44">
            <w:pPr>
              <w:pStyle w:val="ListParagraph"/>
              <w:numPr>
                <w:ilvl w:val="0"/>
                <w:numId w:val="29"/>
              </w:numPr>
              <w:rPr>
                <w:rFonts w:ascii="Aptos" w:hAnsi="Aptos" w:cs="Helvetica"/>
                <w:sz w:val="24"/>
                <w:szCs w:val="24"/>
              </w:rPr>
            </w:pPr>
            <w:r w:rsidRPr="00A424FC">
              <w:rPr>
                <w:rFonts w:ascii="Aptos" w:hAnsi="Aptos" w:cs="Helvetica"/>
                <w:sz w:val="24"/>
                <w:szCs w:val="24"/>
              </w:rPr>
              <w:t>A</w:t>
            </w:r>
            <w:r w:rsidRPr="00A424FC">
              <w:rPr>
                <w:rFonts w:ascii="Aptos" w:hAnsi="Aptos" w:cs="Helvetica"/>
                <w:b/>
                <w:bCs/>
                <w:sz w:val="24"/>
                <w:szCs w:val="24"/>
              </w:rPr>
              <w:t xml:space="preserve"> </w:t>
            </w:r>
            <w:r w:rsidR="009C4954" w:rsidRPr="00C66D44">
              <w:rPr>
                <w:rFonts w:ascii="Aptos" w:hAnsi="Aptos" w:cs="Helvetica"/>
                <w:b/>
                <w:bCs/>
                <w:sz w:val="24"/>
                <w:szCs w:val="24"/>
              </w:rPr>
              <w:t>DNSH and MSS methodology report</w:t>
            </w:r>
            <w:r w:rsidR="0098415F" w:rsidRPr="00A424FC">
              <w:rPr>
                <w:rFonts w:ascii="Aptos" w:hAnsi="Aptos" w:cs="Helvetica"/>
                <w:sz w:val="24"/>
                <w:szCs w:val="24"/>
              </w:rPr>
              <w:t>,</w:t>
            </w:r>
            <w:r w:rsidR="009C4954" w:rsidRPr="00A424FC">
              <w:rPr>
                <w:rFonts w:ascii="Aptos" w:hAnsi="Aptos" w:cs="Helvetica"/>
                <w:sz w:val="24"/>
                <w:szCs w:val="24"/>
              </w:rPr>
              <w:t xml:space="preserve"> </w:t>
            </w:r>
            <w:r w:rsidR="00A25DF8" w:rsidRPr="00A424FC">
              <w:rPr>
                <w:rFonts w:ascii="Aptos" w:hAnsi="Aptos" w:cs="Helvetica"/>
                <w:sz w:val="24"/>
                <w:szCs w:val="24"/>
              </w:rPr>
              <w:t>which sets</w:t>
            </w:r>
            <w:r w:rsidR="0098415F" w:rsidRPr="00A424FC">
              <w:rPr>
                <w:rFonts w:ascii="Aptos" w:hAnsi="Aptos" w:cs="Helvetica"/>
                <w:sz w:val="24"/>
                <w:szCs w:val="24"/>
              </w:rPr>
              <w:t xml:space="preserve"> out</w:t>
            </w:r>
            <w:r w:rsidR="006E4CF1">
              <w:rPr>
                <w:rFonts w:ascii="Aptos" w:hAnsi="Aptos" w:cs="Helvetica"/>
                <w:sz w:val="24"/>
                <w:szCs w:val="24"/>
              </w:rPr>
              <w:t xml:space="preserve"> </w:t>
            </w:r>
            <w:r w:rsidR="00A25DF8" w:rsidRPr="00A424FC">
              <w:rPr>
                <w:rFonts w:ascii="Aptos" w:hAnsi="Aptos" w:cs="Helvetica"/>
                <w:sz w:val="24"/>
                <w:szCs w:val="24"/>
              </w:rPr>
              <w:t xml:space="preserve">the </w:t>
            </w:r>
            <w:r w:rsidR="002D648D">
              <w:rPr>
                <w:rFonts w:ascii="Aptos" w:hAnsi="Aptos" w:cs="Helvetica"/>
                <w:sz w:val="24"/>
                <w:szCs w:val="24"/>
              </w:rPr>
              <w:t xml:space="preserve">Australian taxonomy’s </w:t>
            </w:r>
            <w:r w:rsidR="00A25DF8" w:rsidRPr="00A424FC">
              <w:rPr>
                <w:rFonts w:ascii="Aptos" w:hAnsi="Aptos" w:cs="Helvetica"/>
                <w:sz w:val="24"/>
                <w:szCs w:val="24"/>
              </w:rPr>
              <w:t>environmental objectives</w:t>
            </w:r>
            <w:r w:rsidR="006E4CF1">
              <w:rPr>
                <w:rFonts w:ascii="Aptos" w:hAnsi="Aptos" w:cs="Helvetica"/>
                <w:sz w:val="24"/>
                <w:szCs w:val="24"/>
              </w:rPr>
              <w:t xml:space="preserve"> and how they will be defined; </w:t>
            </w:r>
            <w:r w:rsidR="00301CE4">
              <w:rPr>
                <w:rFonts w:ascii="Aptos" w:hAnsi="Aptos" w:cs="Helvetica"/>
                <w:sz w:val="24"/>
                <w:szCs w:val="24"/>
              </w:rPr>
              <w:t xml:space="preserve">the </w:t>
            </w:r>
            <w:r w:rsidR="006E4CF1">
              <w:rPr>
                <w:rFonts w:ascii="Aptos" w:hAnsi="Aptos" w:cs="Helvetica"/>
                <w:sz w:val="24"/>
                <w:szCs w:val="24"/>
              </w:rPr>
              <w:t>approach to developing DNSH criteria; and</w:t>
            </w:r>
            <w:r w:rsidR="00301CE4">
              <w:rPr>
                <w:rFonts w:ascii="Aptos" w:hAnsi="Aptos" w:cs="Helvetica"/>
                <w:sz w:val="24"/>
                <w:szCs w:val="24"/>
              </w:rPr>
              <w:t xml:space="preserve"> the approach to </w:t>
            </w:r>
            <w:r w:rsidR="00C66D44">
              <w:rPr>
                <w:rFonts w:ascii="Aptos" w:hAnsi="Aptos" w:cs="Helvetica"/>
                <w:sz w:val="24"/>
                <w:szCs w:val="24"/>
              </w:rPr>
              <w:t>identifying</w:t>
            </w:r>
            <w:r w:rsidR="00301CE4">
              <w:rPr>
                <w:rFonts w:ascii="Aptos" w:hAnsi="Aptos" w:cs="Helvetica"/>
                <w:sz w:val="24"/>
                <w:szCs w:val="24"/>
              </w:rPr>
              <w:t xml:space="preserve"> and defining the </w:t>
            </w:r>
            <w:r w:rsidR="00FA1CDE">
              <w:rPr>
                <w:rFonts w:ascii="Aptos" w:hAnsi="Aptos" w:cs="Helvetica"/>
                <w:sz w:val="24"/>
                <w:szCs w:val="24"/>
              </w:rPr>
              <w:t>taxonomy’s social objectives and their underlying core pillars</w:t>
            </w:r>
            <w:r w:rsidR="002E2BB0" w:rsidRPr="00C66D44">
              <w:rPr>
                <w:rFonts w:ascii="Aptos" w:hAnsi="Aptos" w:cs="Helvetica"/>
                <w:sz w:val="24"/>
                <w:szCs w:val="24"/>
              </w:rPr>
              <w:t xml:space="preserve"> (</w:t>
            </w:r>
            <w:r w:rsidR="002E2BB0" w:rsidRPr="00FA1CDE">
              <w:rPr>
                <w:rFonts w:ascii="Aptos" w:hAnsi="Aptos" w:cs="Helvetica"/>
                <w:b/>
                <w:bCs/>
                <w:sz w:val="24"/>
                <w:szCs w:val="24"/>
                <w:u w:val="single"/>
              </w:rPr>
              <w:t>Appendix B</w:t>
            </w:r>
            <w:r w:rsidR="002E2BB0" w:rsidRPr="00C66D44">
              <w:rPr>
                <w:rFonts w:ascii="Aptos" w:hAnsi="Aptos" w:cs="Helvetica"/>
                <w:sz w:val="24"/>
                <w:szCs w:val="24"/>
              </w:rPr>
              <w:t>).</w:t>
            </w:r>
            <w:r w:rsidR="00892401" w:rsidRPr="00C66D44">
              <w:rPr>
                <w:rFonts w:ascii="Aptos" w:hAnsi="Aptos" w:cs="Helvetica"/>
              </w:rPr>
              <w:t xml:space="preserve"> </w:t>
            </w:r>
          </w:p>
          <w:p w14:paraId="27E88899" w14:textId="77777777" w:rsidR="002C5591" w:rsidRPr="00A424FC" w:rsidRDefault="002C5591" w:rsidP="000E43BE">
            <w:pPr>
              <w:rPr>
                <w:rFonts w:ascii="Aptos" w:hAnsi="Aptos" w:cs="Helvetica"/>
              </w:rPr>
            </w:pPr>
          </w:p>
          <w:p w14:paraId="3EB869E4" w14:textId="78EA13AF" w:rsidR="002C5591" w:rsidRPr="00A424FC" w:rsidRDefault="002C5591" w:rsidP="000E43BE">
            <w:pPr>
              <w:rPr>
                <w:rFonts w:ascii="Aptos" w:hAnsi="Aptos" w:cs="Helvetica"/>
                <w:u w:val="single"/>
              </w:rPr>
            </w:pPr>
            <w:r w:rsidRPr="00A424FC">
              <w:rPr>
                <w:rFonts w:ascii="Aptos" w:hAnsi="Aptos" w:cs="Helvetica"/>
                <w:u w:val="single"/>
              </w:rPr>
              <w:t>Data and information relied upon</w:t>
            </w:r>
          </w:p>
          <w:p w14:paraId="08DE706C" w14:textId="77777777" w:rsidR="00895659" w:rsidRPr="00A424FC" w:rsidRDefault="00895659" w:rsidP="000E43BE">
            <w:pPr>
              <w:rPr>
                <w:rFonts w:ascii="Aptos" w:hAnsi="Aptos" w:cs="Helvetica"/>
              </w:rPr>
            </w:pPr>
          </w:p>
          <w:p w14:paraId="662DA7C8" w14:textId="6C0AB642" w:rsidR="00895659" w:rsidRPr="00A424FC" w:rsidRDefault="00895659" w:rsidP="000E43BE">
            <w:pPr>
              <w:rPr>
                <w:rFonts w:ascii="Aptos" w:hAnsi="Aptos" w:cs="Helvetica"/>
              </w:rPr>
            </w:pPr>
            <w:r w:rsidRPr="00A424FC">
              <w:rPr>
                <w:rFonts w:ascii="Aptos" w:hAnsi="Aptos" w:cs="Helvetica"/>
              </w:rPr>
              <w:t xml:space="preserve">The </w:t>
            </w:r>
            <w:r w:rsidR="008304C0" w:rsidRPr="00A424FC">
              <w:rPr>
                <w:rFonts w:ascii="Aptos" w:hAnsi="Aptos" w:cs="Helvetica"/>
              </w:rPr>
              <w:t>t</w:t>
            </w:r>
            <w:r w:rsidR="000D4119" w:rsidRPr="00A424FC">
              <w:rPr>
                <w:rFonts w:ascii="Aptos" w:hAnsi="Aptos" w:cs="Helvetica"/>
              </w:rPr>
              <w:t xml:space="preserve">ransition </w:t>
            </w:r>
            <w:r w:rsidR="001176A9" w:rsidRPr="00A424FC">
              <w:rPr>
                <w:rFonts w:ascii="Aptos" w:hAnsi="Aptos" w:cs="Helvetica"/>
              </w:rPr>
              <w:t>methodology</w:t>
            </w:r>
            <w:r w:rsidRPr="00A424FC">
              <w:rPr>
                <w:rFonts w:ascii="Aptos" w:hAnsi="Aptos" w:cs="Helvetica"/>
              </w:rPr>
              <w:t xml:space="preserve"> report draw</w:t>
            </w:r>
            <w:r w:rsidR="000D4119" w:rsidRPr="00A424FC">
              <w:rPr>
                <w:rFonts w:ascii="Aptos" w:hAnsi="Aptos" w:cs="Helvetica"/>
              </w:rPr>
              <w:t>s</w:t>
            </w:r>
            <w:r w:rsidRPr="00A424FC">
              <w:rPr>
                <w:rFonts w:ascii="Aptos" w:hAnsi="Aptos" w:cs="Helvetica"/>
              </w:rPr>
              <w:t xml:space="preserve"> on the scoping work undertaken by ASFI in 2022 and early 2023, </w:t>
            </w:r>
            <w:r w:rsidR="001D1864" w:rsidRPr="00A424FC">
              <w:rPr>
                <w:rFonts w:ascii="Aptos" w:hAnsi="Aptos" w:cs="Helvetica"/>
              </w:rPr>
              <w:t xml:space="preserve">and </w:t>
            </w:r>
            <w:r w:rsidRPr="00A424FC">
              <w:rPr>
                <w:rFonts w:ascii="Aptos" w:hAnsi="Aptos" w:cs="Helvetica"/>
              </w:rPr>
              <w:t xml:space="preserve">international examples from reference taxonomies and </w:t>
            </w:r>
            <w:r w:rsidR="00191AF6">
              <w:rPr>
                <w:rFonts w:ascii="Aptos" w:hAnsi="Aptos" w:cs="Helvetica"/>
              </w:rPr>
              <w:t xml:space="preserve">other </w:t>
            </w:r>
            <w:r w:rsidRPr="00A424FC">
              <w:rPr>
                <w:rFonts w:ascii="Aptos" w:hAnsi="Aptos" w:cs="Helvetica"/>
              </w:rPr>
              <w:t>developments in the European Union</w:t>
            </w:r>
            <w:r w:rsidR="00346742">
              <w:rPr>
                <w:rFonts w:ascii="Aptos" w:hAnsi="Aptos" w:cs="Helvetica"/>
              </w:rPr>
              <w:t xml:space="preserve"> (EU)</w:t>
            </w:r>
            <w:r w:rsidRPr="00A424FC">
              <w:rPr>
                <w:rFonts w:ascii="Aptos" w:hAnsi="Aptos" w:cs="Helvetica"/>
              </w:rPr>
              <w:t>, the United Kingdom</w:t>
            </w:r>
            <w:r w:rsidR="00346742">
              <w:rPr>
                <w:rFonts w:ascii="Aptos" w:hAnsi="Aptos" w:cs="Helvetica"/>
              </w:rPr>
              <w:t xml:space="preserve"> (UK)</w:t>
            </w:r>
            <w:r w:rsidRPr="00A424FC">
              <w:rPr>
                <w:rFonts w:ascii="Aptos" w:hAnsi="Aptos" w:cs="Helvetica"/>
              </w:rPr>
              <w:t xml:space="preserve">, Singapore, Chile, Columbia, Canada, South Africa, </w:t>
            </w:r>
            <w:proofErr w:type="gramStart"/>
            <w:r w:rsidRPr="00A424FC">
              <w:rPr>
                <w:rFonts w:ascii="Aptos" w:hAnsi="Aptos" w:cs="Helvetica"/>
              </w:rPr>
              <w:t>China</w:t>
            </w:r>
            <w:proofErr w:type="gramEnd"/>
            <w:r w:rsidRPr="00A424FC">
              <w:rPr>
                <w:rFonts w:ascii="Aptos" w:hAnsi="Aptos" w:cs="Helvetica"/>
              </w:rPr>
              <w:t xml:space="preserve"> and ASEAN. </w:t>
            </w:r>
          </w:p>
          <w:p w14:paraId="6F19E535" w14:textId="77777777" w:rsidR="00590155" w:rsidRPr="00A424FC" w:rsidRDefault="00590155" w:rsidP="000E43BE">
            <w:pPr>
              <w:rPr>
                <w:rFonts w:ascii="Aptos" w:hAnsi="Aptos" w:cs="Helvetica"/>
              </w:rPr>
            </w:pPr>
          </w:p>
          <w:p w14:paraId="5D3A486B" w14:textId="55463072" w:rsidR="002B6AEA" w:rsidRPr="00A424FC" w:rsidRDefault="00590155" w:rsidP="002B6AEA">
            <w:pPr>
              <w:rPr>
                <w:rFonts w:ascii="Aptos" w:hAnsi="Aptos" w:cs="Helvetica"/>
              </w:rPr>
            </w:pPr>
            <w:r w:rsidRPr="00A424FC">
              <w:rPr>
                <w:rFonts w:ascii="Aptos" w:hAnsi="Aptos" w:cs="Helvetica"/>
              </w:rPr>
              <w:t xml:space="preserve">The </w:t>
            </w:r>
            <w:r w:rsidR="001020F5" w:rsidRPr="00A424FC">
              <w:rPr>
                <w:rFonts w:ascii="Aptos" w:hAnsi="Aptos" w:cs="Helvetica"/>
              </w:rPr>
              <w:t>t</w:t>
            </w:r>
            <w:r w:rsidRPr="00A424FC">
              <w:rPr>
                <w:rFonts w:ascii="Aptos" w:hAnsi="Aptos" w:cs="Helvetica"/>
              </w:rPr>
              <w:t xml:space="preserve">ransition methodology </w:t>
            </w:r>
            <w:r w:rsidR="002E2BB0" w:rsidRPr="00A424FC">
              <w:rPr>
                <w:rFonts w:ascii="Aptos" w:hAnsi="Aptos" w:cs="Helvetica"/>
              </w:rPr>
              <w:t>relies</w:t>
            </w:r>
            <w:r w:rsidRPr="00A424FC">
              <w:rPr>
                <w:rFonts w:ascii="Aptos" w:hAnsi="Aptos" w:cs="Helvetica"/>
              </w:rPr>
              <w:t xml:space="preserve"> on</w:t>
            </w:r>
            <w:r w:rsidR="002D0F89" w:rsidRPr="00A424FC">
              <w:rPr>
                <w:rFonts w:ascii="Aptos" w:hAnsi="Aptos" w:cs="Helvetica"/>
              </w:rPr>
              <w:t xml:space="preserve"> </w:t>
            </w:r>
            <w:r w:rsidR="002B6AEA" w:rsidRPr="00A424FC">
              <w:rPr>
                <w:rFonts w:ascii="Aptos" w:hAnsi="Aptos" w:cs="Helvetica"/>
              </w:rPr>
              <w:t>the International Energy Agency Net Zero Emissions</w:t>
            </w:r>
            <w:r w:rsidR="00572C17">
              <w:rPr>
                <w:rFonts w:ascii="Aptos" w:hAnsi="Aptos" w:cs="Helvetica"/>
              </w:rPr>
              <w:t xml:space="preserve"> 2050</w:t>
            </w:r>
            <w:r w:rsidR="002B6AEA" w:rsidRPr="00A424FC">
              <w:rPr>
                <w:rFonts w:ascii="Aptos" w:hAnsi="Aptos" w:cs="Helvetica"/>
              </w:rPr>
              <w:t xml:space="preserve"> (IEA NZE</w:t>
            </w:r>
            <w:r w:rsidR="00572C17">
              <w:rPr>
                <w:rFonts w:ascii="Aptos" w:hAnsi="Aptos" w:cs="Helvetica"/>
              </w:rPr>
              <w:t>2050</w:t>
            </w:r>
            <w:r w:rsidR="002B6AEA" w:rsidRPr="00A424FC">
              <w:rPr>
                <w:rFonts w:ascii="Aptos" w:hAnsi="Aptos" w:cs="Helvetica"/>
              </w:rPr>
              <w:t xml:space="preserve">) </w:t>
            </w:r>
            <w:r w:rsidR="006F204C" w:rsidRPr="00A424FC">
              <w:rPr>
                <w:rFonts w:ascii="Aptos" w:hAnsi="Aptos" w:cs="Helvetica"/>
              </w:rPr>
              <w:t xml:space="preserve">scenario </w:t>
            </w:r>
            <w:r w:rsidR="002B6AEA" w:rsidRPr="00A424FC">
              <w:rPr>
                <w:rFonts w:ascii="Aptos" w:hAnsi="Aptos" w:cs="Helvetica"/>
              </w:rPr>
              <w:t xml:space="preserve">and </w:t>
            </w:r>
            <w:proofErr w:type="spellStart"/>
            <w:r w:rsidR="002B6AEA" w:rsidRPr="00A424FC">
              <w:rPr>
                <w:rFonts w:ascii="Aptos" w:hAnsi="Aptos" w:cs="Helvetica"/>
              </w:rPr>
              <w:t>Climateworks</w:t>
            </w:r>
            <w:proofErr w:type="spellEnd"/>
            <w:r w:rsidR="006F204C" w:rsidRPr="00A424FC">
              <w:rPr>
                <w:rFonts w:ascii="Aptos" w:hAnsi="Aptos" w:cs="Helvetica"/>
              </w:rPr>
              <w:t xml:space="preserve"> Centre</w:t>
            </w:r>
            <w:r w:rsidR="00E0201C" w:rsidRPr="00A424FC">
              <w:rPr>
                <w:rFonts w:ascii="Aptos" w:hAnsi="Aptos" w:cs="Helvetica"/>
              </w:rPr>
              <w:t>’s</w:t>
            </w:r>
            <w:r w:rsidR="002B6AEA" w:rsidRPr="00A424FC">
              <w:rPr>
                <w:rFonts w:ascii="Aptos" w:hAnsi="Aptos" w:cs="Helvetica"/>
              </w:rPr>
              <w:t xml:space="preserve"> </w:t>
            </w:r>
            <w:r w:rsidR="00A012E6" w:rsidRPr="00A424FC">
              <w:rPr>
                <w:rFonts w:ascii="Aptos" w:hAnsi="Aptos" w:cs="Helvetica"/>
              </w:rPr>
              <w:t xml:space="preserve">net zero </w:t>
            </w:r>
            <w:r w:rsidR="002B6AEA" w:rsidRPr="00A424FC">
              <w:rPr>
                <w:rFonts w:ascii="Aptos" w:hAnsi="Aptos" w:cs="Helvetica"/>
              </w:rPr>
              <w:t>scenario</w:t>
            </w:r>
            <w:r w:rsidR="00A65090" w:rsidRPr="00A424FC">
              <w:rPr>
                <w:rFonts w:ascii="Aptos" w:hAnsi="Aptos" w:cs="Helvetica"/>
              </w:rPr>
              <w:t xml:space="preserve"> </w:t>
            </w:r>
            <w:r w:rsidR="0062186F" w:rsidRPr="00A424FC">
              <w:rPr>
                <w:rFonts w:ascii="Aptos" w:hAnsi="Aptos" w:cs="Helvetica"/>
              </w:rPr>
              <w:t>(</w:t>
            </w:r>
            <w:r w:rsidR="00A65090" w:rsidRPr="00A424FC">
              <w:rPr>
                <w:rFonts w:ascii="Aptos" w:hAnsi="Aptos" w:cs="Helvetica"/>
              </w:rPr>
              <w:t xml:space="preserve">using the </w:t>
            </w:r>
            <w:proofErr w:type="spellStart"/>
            <w:r w:rsidR="00A65090" w:rsidRPr="00A424FC">
              <w:rPr>
                <w:rFonts w:ascii="Aptos" w:hAnsi="Aptos" w:cs="Helvetica"/>
              </w:rPr>
              <w:t>A</w:t>
            </w:r>
            <w:r w:rsidR="00DA30EC" w:rsidRPr="00A424FC">
              <w:rPr>
                <w:rFonts w:ascii="Aptos" w:hAnsi="Aptos" w:cs="Helvetica"/>
              </w:rPr>
              <w:t>us</w:t>
            </w:r>
            <w:r w:rsidR="00A65090" w:rsidRPr="00A424FC">
              <w:rPr>
                <w:rFonts w:ascii="Aptos" w:hAnsi="Aptos" w:cs="Helvetica"/>
              </w:rPr>
              <w:t>T</w:t>
            </w:r>
            <w:r w:rsidR="00751F79" w:rsidRPr="00A424FC">
              <w:rPr>
                <w:rFonts w:ascii="Aptos" w:hAnsi="Aptos" w:cs="Helvetica"/>
              </w:rPr>
              <w:t>IMES</w:t>
            </w:r>
            <w:proofErr w:type="spellEnd"/>
            <w:r w:rsidR="00751F79" w:rsidRPr="00A424FC">
              <w:rPr>
                <w:rStyle w:val="FootnoteReference"/>
                <w:rFonts w:ascii="Aptos" w:hAnsi="Aptos" w:cs="Helvetica"/>
              </w:rPr>
              <w:footnoteReference w:id="2"/>
            </w:r>
            <w:r w:rsidR="00A65090" w:rsidRPr="00A424FC">
              <w:rPr>
                <w:rFonts w:ascii="Aptos" w:hAnsi="Aptos" w:cs="Helvetica"/>
              </w:rPr>
              <w:t xml:space="preserve"> economy model</w:t>
            </w:r>
            <w:r w:rsidR="0062186F" w:rsidRPr="00A424FC">
              <w:rPr>
                <w:rFonts w:ascii="Aptos" w:hAnsi="Aptos" w:cs="Helvetica"/>
              </w:rPr>
              <w:t>)</w:t>
            </w:r>
            <w:r w:rsidR="002B6AEA" w:rsidRPr="00A424FC">
              <w:rPr>
                <w:rFonts w:ascii="Aptos" w:hAnsi="Aptos" w:cs="Helvetica"/>
              </w:rPr>
              <w:t>. Other</w:t>
            </w:r>
            <w:r w:rsidR="00A65090" w:rsidRPr="00A424FC">
              <w:rPr>
                <w:rFonts w:ascii="Aptos" w:hAnsi="Aptos" w:cs="Helvetica"/>
              </w:rPr>
              <w:t xml:space="preserve"> internationally credible scenarios</w:t>
            </w:r>
            <w:r w:rsidR="002B6AEA" w:rsidRPr="00A424FC">
              <w:rPr>
                <w:rFonts w:ascii="Aptos" w:hAnsi="Aptos" w:cs="Helvetica"/>
              </w:rPr>
              <w:t xml:space="preserve"> </w:t>
            </w:r>
            <w:r w:rsidR="002E2BB0" w:rsidRPr="00A424FC">
              <w:rPr>
                <w:rFonts w:ascii="Aptos" w:hAnsi="Aptos" w:cs="Helvetica"/>
              </w:rPr>
              <w:t>are e</w:t>
            </w:r>
            <w:r w:rsidR="002B6AEA" w:rsidRPr="00A424FC">
              <w:rPr>
                <w:rFonts w:ascii="Aptos" w:hAnsi="Aptos" w:cs="Helvetica"/>
              </w:rPr>
              <w:t xml:space="preserve">xplored and </w:t>
            </w:r>
            <w:r w:rsidR="002B6AEA" w:rsidRPr="00A424FC">
              <w:rPr>
                <w:rFonts w:ascii="Aptos" w:hAnsi="Aptos" w:cs="Helvetica"/>
              </w:rPr>
              <w:lastRenderedPageBreak/>
              <w:t>cross-referenced</w:t>
            </w:r>
            <w:r w:rsidR="002E2BB0" w:rsidRPr="00A424FC">
              <w:rPr>
                <w:rFonts w:ascii="Aptos" w:hAnsi="Aptos" w:cs="Helvetica"/>
              </w:rPr>
              <w:t>,</w:t>
            </w:r>
            <w:r w:rsidR="002B6AEA" w:rsidRPr="00A424FC">
              <w:rPr>
                <w:rFonts w:ascii="Aptos" w:hAnsi="Aptos" w:cs="Helvetica"/>
              </w:rPr>
              <w:t xml:space="preserve"> </w:t>
            </w:r>
            <w:r w:rsidR="002E2BB0" w:rsidRPr="00A424FC">
              <w:rPr>
                <w:rFonts w:ascii="Aptos" w:hAnsi="Aptos" w:cs="Helvetica"/>
              </w:rPr>
              <w:t xml:space="preserve">however, the </w:t>
            </w:r>
            <w:r w:rsidR="002B6AEA" w:rsidRPr="00A424FC">
              <w:rPr>
                <w:rFonts w:ascii="Aptos" w:hAnsi="Aptos" w:cs="Helvetica"/>
              </w:rPr>
              <w:t>intention is to be consistent by applying the same scenario across all sectors and activities</w:t>
            </w:r>
            <w:r w:rsidR="00A73434" w:rsidRPr="00A424FC">
              <w:rPr>
                <w:rFonts w:ascii="Aptos" w:hAnsi="Aptos" w:cs="Helvetica"/>
              </w:rPr>
              <w:t xml:space="preserve"> for the purpose of determining what sectors </w:t>
            </w:r>
            <w:r w:rsidR="002E2BB0" w:rsidRPr="00A424FC">
              <w:rPr>
                <w:rFonts w:ascii="Aptos" w:hAnsi="Aptos" w:cs="Helvetica"/>
              </w:rPr>
              <w:t>and</w:t>
            </w:r>
            <w:r w:rsidR="00A73434" w:rsidRPr="00A424FC">
              <w:rPr>
                <w:rFonts w:ascii="Aptos" w:hAnsi="Aptos" w:cs="Helvetica"/>
              </w:rPr>
              <w:t xml:space="preserve"> activities are eligible for transition categorisation</w:t>
            </w:r>
            <w:r w:rsidR="002B6AEA" w:rsidRPr="00A424FC">
              <w:rPr>
                <w:rFonts w:ascii="Aptos" w:hAnsi="Aptos" w:cs="Helvetica"/>
              </w:rPr>
              <w:t xml:space="preserve">. </w:t>
            </w:r>
          </w:p>
          <w:p w14:paraId="5CF23551" w14:textId="77777777" w:rsidR="002B6AEA" w:rsidRPr="00A424FC" w:rsidRDefault="002B6AEA" w:rsidP="002B6AEA">
            <w:pPr>
              <w:rPr>
                <w:rFonts w:ascii="Aptos" w:hAnsi="Aptos" w:cs="Helvetica"/>
              </w:rPr>
            </w:pPr>
          </w:p>
          <w:p w14:paraId="421691FA" w14:textId="2285D567" w:rsidR="00590155" w:rsidRPr="00A424FC" w:rsidRDefault="002B6AEA" w:rsidP="002B6AEA">
            <w:pPr>
              <w:rPr>
                <w:rFonts w:ascii="Aptos" w:hAnsi="Aptos" w:cs="Helvetica"/>
              </w:rPr>
            </w:pPr>
            <w:r w:rsidRPr="00A424FC">
              <w:rPr>
                <w:rFonts w:ascii="Aptos" w:hAnsi="Aptos" w:cs="Helvetica"/>
              </w:rPr>
              <w:t xml:space="preserve">While there are many scenarios available, IEA </w:t>
            </w:r>
            <w:r w:rsidR="002E2BB0" w:rsidRPr="00A424FC">
              <w:rPr>
                <w:rFonts w:ascii="Aptos" w:hAnsi="Aptos" w:cs="Helvetica"/>
              </w:rPr>
              <w:t>NZE</w:t>
            </w:r>
            <w:r w:rsidR="00484734">
              <w:rPr>
                <w:rFonts w:ascii="Aptos" w:hAnsi="Aptos" w:cs="Helvetica"/>
              </w:rPr>
              <w:t>2050</w:t>
            </w:r>
            <w:r w:rsidR="002E2BB0" w:rsidRPr="00A424FC">
              <w:rPr>
                <w:rFonts w:ascii="Aptos" w:hAnsi="Aptos" w:cs="Helvetica"/>
              </w:rPr>
              <w:t xml:space="preserve"> </w:t>
            </w:r>
            <w:r w:rsidRPr="00A424FC">
              <w:rPr>
                <w:rFonts w:ascii="Aptos" w:hAnsi="Aptos" w:cs="Helvetica"/>
              </w:rPr>
              <w:t xml:space="preserve">was selected </w:t>
            </w:r>
            <w:r w:rsidR="00A73434" w:rsidRPr="00A424FC">
              <w:rPr>
                <w:rFonts w:ascii="Aptos" w:hAnsi="Aptos" w:cs="Helvetica"/>
              </w:rPr>
              <w:t>because of</w:t>
            </w:r>
            <w:r w:rsidRPr="00A424FC">
              <w:rPr>
                <w:rFonts w:ascii="Aptos" w:hAnsi="Aptos" w:cs="Helvetica"/>
              </w:rPr>
              <w:t xml:space="preserve"> its widespread global use, regular updates, </w:t>
            </w:r>
            <w:proofErr w:type="gramStart"/>
            <w:r w:rsidRPr="00A424FC">
              <w:rPr>
                <w:rFonts w:ascii="Aptos" w:hAnsi="Aptos" w:cs="Helvetica"/>
              </w:rPr>
              <w:t>coverage</w:t>
            </w:r>
            <w:proofErr w:type="gramEnd"/>
            <w:r w:rsidRPr="00A424FC">
              <w:rPr>
                <w:rFonts w:ascii="Aptos" w:hAnsi="Aptos" w:cs="Helvetica"/>
              </w:rPr>
              <w:t xml:space="preserve"> and adoption into other sector pathway work (</w:t>
            </w:r>
            <w:r w:rsidR="00E0201C" w:rsidRPr="00A424FC">
              <w:rPr>
                <w:rFonts w:ascii="Aptos" w:hAnsi="Aptos" w:cs="Helvetica"/>
              </w:rPr>
              <w:t>for example, the</w:t>
            </w:r>
            <w:r w:rsidR="00FB09E7" w:rsidRPr="00A424FC">
              <w:rPr>
                <w:rFonts w:ascii="Aptos" w:hAnsi="Aptos" w:cs="Helvetica"/>
              </w:rPr>
              <w:t xml:space="preserve"> </w:t>
            </w:r>
            <w:r w:rsidRPr="00A424FC">
              <w:rPr>
                <w:rFonts w:ascii="Aptos" w:hAnsi="Aptos" w:cs="Helvetica"/>
              </w:rPr>
              <w:t xml:space="preserve">Transition Pathway </w:t>
            </w:r>
            <w:r w:rsidR="00FB09E7" w:rsidRPr="00A424FC">
              <w:rPr>
                <w:rFonts w:ascii="Aptos" w:hAnsi="Aptos" w:cs="Helvetica"/>
              </w:rPr>
              <w:t>I</w:t>
            </w:r>
            <w:r w:rsidRPr="00A424FC">
              <w:rPr>
                <w:rFonts w:ascii="Aptos" w:hAnsi="Aptos" w:cs="Helvetica"/>
              </w:rPr>
              <w:t xml:space="preserve">nitiative utilises </w:t>
            </w:r>
            <w:r w:rsidR="00E0201C" w:rsidRPr="00A424FC">
              <w:rPr>
                <w:rFonts w:ascii="Aptos" w:hAnsi="Aptos" w:cs="Helvetica"/>
              </w:rPr>
              <w:t xml:space="preserve">the </w:t>
            </w:r>
            <w:r w:rsidRPr="00A424FC">
              <w:rPr>
                <w:rFonts w:ascii="Aptos" w:hAnsi="Aptos" w:cs="Helvetica"/>
              </w:rPr>
              <w:t>IEA NZE</w:t>
            </w:r>
            <w:r w:rsidR="00484734">
              <w:rPr>
                <w:rFonts w:ascii="Aptos" w:hAnsi="Aptos" w:cs="Helvetica"/>
              </w:rPr>
              <w:t>2050</w:t>
            </w:r>
            <w:r w:rsidRPr="00A424FC">
              <w:rPr>
                <w:rFonts w:ascii="Aptos" w:hAnsi="Aptos" w:cs="Helvetica"/>
              </w:rPr>
              <w:t xml:space="preserve"> scenario). </w:t>
            </w:r>
            <w:proofErr w:type="spellStart"/>
            <w:r w:rsidRPr="00A424FC">
              <w:rPr>
                <w:rFonts w:ascii="Aptos" w:hAnsi="Aptos" w:cs="Helvetica"/>
              </w:rPr>
              <w:t>Climateworks</w:t>
            </w:r>
            <w:proofErr w:type="spellEnd"/>
            <w:r w:rsidR="00E0201C" w:rsidRPr="00A424FC">
              <w:rPr>
                <w:rFonts w:ascii="Aptos" w:hAnsi="Aptos" w:cs="Helvetica"/>
              </w:rPr>
              <w:t xml:space="preserve"> Centre’s</w:t>
            </w:r>
            <w:r w:rsidRPr="00A424FC">
              <w:rPr>
                <w:rFonts w:ascii="Aptos" w:hAnsi="Aptos" w:cs="Helvetica"/>
              </w:rPr>
              <w:t xml:space="preserve"> scenarios are the most detailed and up</w:t>
            </w:r>
            <w:r w:rsidR="00484734">
              <w:rPr>
                <w:rFonts w:ascii="Aptos" w:hAnsi="Aptos" w:cs="Helvetica"/>
              </w:rPr>
              <w:t>-</w:t>
            </w:r>
            <w:r w:rsidRPr="00A424FC">
              <w:rPr>
                <w:rFonts w:ascii="Aptos" w:hAnsi="Aptos" w:cs="Helvetica"/>
              </w:rPr>
              <w:t>to</w:t>
            </w:r>
            <w:r w:rsidR="00484734">
              <w:rPr>
                <w:rFonts w:ascii="Aptos" w:hAnsi="Aptos" w:cs="Helvetica"/>
              </w:rPr>
              <w:t>-</w:t>
            </w:r>
            <w:r w:rsidRPr="00A424FC">
              <w:rPr>
                <w:rFonts w:ascii="Aptos" w:hAnsi="Aptos" w:cs="Helvetica"/>
              </w:rPr>
              <w:t xml:space="preserve">date scenarios applicable </w:t>
            </w:r>
            <w:r w:rsidR="00484734">
              <w:rPr>
                <w:rFonts w:ascii="Aptos" w:hAnsi="Aptos" w:cs="Helvetica"/>
              </w:rPr>
              <w:t>to</w:t>
            </w:r>
            <w:r w:rsidRPr="00A424FC">
              <w:rPr>
                <w:rFonts w:ascii="Aptos" w:hAnsi="Aptos" w:cs="Helvetica"/>
              </w:rPr>
              <w:t xml:space="preserve"> the</w:t>
            </w:r>
            <w:r w:rsidR="006C73BC" w:rsidRPr="00A424FC">
              <w:rPr>
                <w:rFonts w:ascii="Aptos" w:hAnsi="Aptos" w:cs="Helvetica"/>
              </w:rPr>
              <w:t xml:space="preserve"> Australian context. </w:t>
            </w:r>
          </w:p>
          <w:p w14:paraId="63B304F2" w14:textId="77777777" w:rsidR="006C73BC" w:rsidRPr="00A424FC" w:rsidRDefault="006C73BC" w:rsidP="002B6AEA">
            <w:pPr>
              <w:rPr>
                <w:rFonts w:ascii="Aptos" w:hAnsi="Aptos" w:cs="Helvetica"/>
              </w:rPr>
            </w:pPr>
          </w:p>
          <w:p w14:paraId="7757618F" w14:textId="695DFABB" w:rsidR="005D0C6C" w:rsidRDefault="006C73BC" w:rsidP="002B6AEA">
            <w:pPr>
              <w:rPr>
                <w:rFonts w:ascii="Aptos" w:hAnsi="Aptos" w:cs="Helvetica"/>
              </w:rPr>
            </w:pPr>
            <w:r w:rsidRPr="00A424FC">
              <w:rPr>
                <w:rFonts w:ascii="Aptos" w:hAnsi="Aptos" w:cs="Helvetica"/>
              </w:rPr>
              <w:t>Other scenarios d</w:t>
            </w:r>
            <w:r w:rsidR="00021DF5" w:rsidRPr="00A424FC">
              <w:rPr>
                <w:rFonts w:ascii="Aptos" w:hAnsi="Aptos" w:cs="Helvetica"/>
              </w:rPr>
              <w:t>r</w:t>
            </w:r>
            <w:r w:rsidRPr="00A424FC">
              <w:rPr>
                <w:rFonts w:ascii="Aptos" w:hAnsi="Aptos" w:cs="Helvetica"/>
              </w:rPr>
              <w:t xml:space="preserve">awn on and cross-referenced </w:t>
            </w:r>
            <w:proofErr w:type="gramStart"/>
            <w:r w:rsidRPr="00A424FC">
              <w:rPr>
                <w:rFonts w:ascii="Aptos" w:hAnsi="Aptos" w:cs="Helvetica"/>
              </w:rPr>
              <w:t>ar</w:t>
            </w:r>
            <w:r w:rsidR="00FB09E7" w:rsidRPr="00A424FC">
              <w:rPr>
                <w:rFonts w:ascii="Aptos" w:hAnsi="Aptos" w:cs="Helvetica"/>
              </w:rPr>
              <w:t>e</w:t>
            </w:r>
            <w:r w:rsidRPr="00A424FC">
              <w:rPr>
                <w:rFonts w:ascii="Aptos" w:hAnsi="Aptos" w:cs="Helvetica"/>
              </w:rPr>
              <w:t>:</w:t>
            </w:r>
            <w:proofErr w:type="gramEnd"/>
            <w:r w:rsidRPr="00A424FC">
              <w:rPr>
                <w:rFonts w:ascii="Aptos" w:hAnsi="Aptos" w:cs="Helvetica"/>
              </w:rPr>
              <w:t xml:space="preserve"> </w:t>
            </w:r>
            <w:r w:rsidR="00AC5A31" w:rsidRPr="00A424FC">
              <w:rPr>
                <w:rFonts w:ascii="Aptos" w:hAnsi="Aptos" w:cs="Helvetica"/>
              </w:rPr>
              <w:t>the N</w:t>
            </w:r>
            <w:r w:rsidR="00E0201C" w:rsidRPr="00A424FC">
              <w:rPr>
                <w:rFonts w:ascii="Aptos" w:hAnsi="Aptos" w:cs="Helvetica"/>
              </w:rPr>
              <w:t xml:space="preserve">etwork for </w:t>
            </w:r>
            <w:r w:rsidR="00AC5A31" w:rsidRPr="00A424FC">
              <w:rPr>
                <w:rFonts w:ascii="Aptos" w:hAnsi="Aptos" w:cs="Helvetica"/>
              </w:rPr>
              <w:t>G</w:t>
            </w:r>
            <w:r w:rsidR="00E0201C" w:rsidRPr="00A424FC">
              <w:rPr>
                <w:rFonts w:ascii="Aptos" w:hAnsi="Aptos" w:cs="Helvetica"/>
              </w:rPr>
              <w:t xml:space="preserve">reening the </w:t>
            </w:r>
            <w:r w:rsidR="00AC5A31" w:rsidRPr="00A424FC">
              <w:rPr>
                <w:rFonts w:ascii="Aptos" w:hAnsi="Aptos" w:cs="Helvetica"/>
              </w:rPr>
              <w:t>F</w:t>
            </w:r>
            <w:r w:rsidR="00E0201C" w:rsidRPr="00A424FC">
              <w:rPr>
                <w:rFonts w:ascii="Aptos" w:hAnsi="Aptos" w:cs="Helvetica"/>
              </w:rPr>
              <w:t xml:space="preserve">inancial System’s </w:t>
            </w:r>
            <w:r w:rsidR="00AC5A31" w:rsidRPr="00A424FC">
              <w:rPr>
                <w:rFonts w:ascii="Aptos" w:hAnsi="Aptos" w:cs="Helvetica"/>
              </w:rPr>
              <w:t>net zero 2050 scenario and the I</w:t>
            </w:r>
            <w:r w:rsidR="00E0201C" w:rsidRPr="00A424FC">
              <w:rPr>
                <w:rFonts w:ascii="Aptos" w:hAnsi="Aptos" w:cs="Helvetica"/>
              </w:rPr>
              <w:t xml:space="preserve">ntergovernmental </w:t>
            </w:r>
            <w:r w:rsidR="00AC5A31" w:rsidRPr="00A424FC">
              <w:rPr>
                <w:rFonts w:ascii="Aptos" w:hAnsi="Aptos" w:cs="Helvetica"/>
              </w:rPr>
              <w:t>P</w:t>
            </w:r>
            <w:r w:rsidR="00E0201C" w:rsidRPr="00A424FC">
              <w:rPr>
                <w:rFonts w:ascii="Aptos" w:hAnsi="Aptos" w:cs="Helvetica"/>
              </w:rPr>
              <w:t xml:space="preserve">anel on Climate Change’s </w:t>
            </w:r>
            <w:r w:rsidR="00AC73A6">
              <w:rPr>
                <w:rFonts w:ascii="Aptos" w:hAnsi="Aptos" w:cs="Helvetica"/>
              </w:rPr>
              <w:t>1.5</w:t>
            </w:r>
            <w:r w:rsidR="00AC73A6" w:rsidRPr="00003DA2">
              <w:rPr>
                <w:rFonts w:ascii="Aptos" w:hAnsi="Aptos" w:cs="Helvetica"/>
              </w:rPr>
              <w:t>°</w:t>
            </w:r>
            <w:r w:rsidR="00AC73A6">
              <w:rPr>
                <w:rFonts w:ascii="Aptos" w:hAnsi="Aptos" w:cs="Helvetica"/>
              </w:rPr>
              <w:t>C</w:t>
            </w:r>
            <w:r w:rsidR="00AC73A6" w:rsidRPr="00A424FC">
              <w:rPr>
                <w:rFonts w:ascii="Aptos" w:hAnsi="Aptos" w:cs="Helvetica"/>
              </w:rPr>
              <w:t xml:space="preserve"> </w:t>
            </w:r>
            <w:r w:rsidR="00AC5A31" w:rsidRPr="00A424FC">
              <w:rPr>
                <w:rFonts w:ascii="Aptos" w:hAnsi="Aptos" w:cs="Helvetica"/>
              </w:rPr>
              <w:t>scenario</w:t>
            </w:r>
            <w:r w:rsidR="00FB09E7" w:rsidRPr="00A424FC">
              <w:rPr>
                <w:rFonts w:ascii="Aptos" w:hAnsi="Aptos" w:cs="Helvetica"/>
              </w:rPr>
              <w:t>,</w:t>
            </w:r>
            <w:r w:rsidR="00AC5A31" w:rsidRPr="00A424FC">
              <w:rPr>
                <w:rFonts w:ascii="Aptos" w:hAnsi="Aptos" w:cs="Helvetica"/>
              </w:rPr>
              <w:t xml:space="preserve"> as well as the A</w:t>
            </w:r>
            <w:r w:rsidR="00E0201C" w:rsidRPr="00A424FC">
              <w:rPr>
                <w:rFonts w:ascii="Aptos" w:hAnsi="Aptos" w:cs="Helvetica"/>
              </w:rPr>
              <w:t xml:space="preserve">ustralian </w:t>
            </w:r>
            <w:r w:rsidR="00AC5A31" w:rsidRPr="00A424FC">
              <w:rPr>
                <w:rFonts w:ascii="Aptos" w:hAnsi="Aptos" w:cs="Helvetica"/>
              </w:rPr>
              <w:t>E</w:t>
            </w:r>
            <w:r w:rsidR="00E0201C" w:rsidRPr="00A424FC">
              <w:rPr>
                <w:rFonts w:ascii="Aptos" w:hAnsi="Aptos" w:cs="Helvetica"/>
              </w:rPr>
              <w:t xml:space="preserve">nergy </w:t>
            </w:r>
            <w:r w:rsidR="00AC5A31" w:rsidRPr="00A424FC">
              <w:rPr>
                <w:rFonts w:ascii="Aptos" w:hAnsi="Aptos" w:cs="Helvetica"/>
              </w:rPr>
              <w:t>M</w:t>
            </w:r>
            <w:r w:rsidR="00E0201C" w:rsidRPr="00A424FC">
              <w:rPr>
                <w:rFonts w:ascii="Aptos" w:hAnsi="Aptos" w:cs="Helvetica"/>
              </w:rPr>
              <w:t xml:space="preserve">arket </w:t>
            </w:r>
            <w:r w:rsidR="00AC5A31" w:rsidRPr="00A424FC">
              <w:rPr>
                <w:rFonts w:ascii="Aptos" w:hAnsi="Aptos" w:cs="Helvetica"/>
              </w:rPr>
              <w:t>O</w:t>
            </w:r>
            <w:r w:rsidR="00E0201C" w:rsidRPr="00A424FC">
              <w:rPr>
                <w:rFonts w:ascii="Aptos" w:hAnsi="Aptos" w:cs="Helvetica"/>
              </w:rPr>
              <w:t>perator’s</w:t>
            </w:r>
            <w:r w:rsidR="00AC5A31" w:rsidRPr="00A424FC">
              <w:rPr>
                <w:rFonts w:ascii="Aptos" w:hAnsi="Aptos" w:cs="Helvetica"/>
              </w:rPr>
              <w:t xml:space="preserve"> high ambition scenario set out in the Integrated System Plan. </w:t>
            </w:r>
            <w:r w:rsidR="005D0C6C">
              <w:rPr>
                <w:rFonts w:ascii="Aptos" w:hAnsi="Aptos" w:cs="Helvetica"/>
              </w:rPr>
              <w:t xml:space="preserve">A full </w:t>
            </w:r>
            <w:r w:rsidR="009B4EEB">
              <w:rPr>
                <w:rFonts w:ascii="Aptos" w:hAnsi="Aptos" w:cs="Helvetica"/>
              </w:rPr>
              <w:t>reference list</w:t>
            </w:r>
            <w:r w:rsidR="005D0C6C">
              <w:rPr>
                <w:rFonts w:ascii="Aptos" w:hAnsi="Aptos" w:cs="Helvetica"/>
              </w:rPr>
              <w:t xml:space="preserve"> is available </w:t>
            </w:r>
            <w:r w:rsidR="00A430B0">
              <w:rPr>
                <w:rFonts w:ascii="Aptos" w:hAnsi="Aptos" w:cs="Helvetica"/>
              </w:rPr>
              <w:t xml:space="preserve">in </w:t>
            </w:r>
            <w:r w:rsidR="00A430B0" w:rsidRPr="009B4EEB">
              <w:rPr>
                <w:rFonts w:ascii="Aptos" w:hAnsi="Aptos" w:cs="Helvetica"/>
                <w:b/>
                <w:bCs/>
                <w:u w:val="single"/>
              </w:rPr>
              <w:t>Appendix A</w:t>
            </w:r>
            <w:r w:rsidR="00A430B0">
              <w:rPr>
                <w:rFonts w:ascii="Aptos" w:hAnsi="Aptos" w:cs="Helvetica"/>
              </w:rPr>
              <w:t xml:space="preserve"> (</w:t>
            </w:r>
            <w:r w:rsidR="009B4EEB">
              <w:rPr>
                <w:rFonts w:ascii="Aptos" w:hAnsi="Aptos" w:cs="Helvetica"/>
              </w:rPr>
              <w:t xml:space="preserve">p. 25). </w:t>
            </w:r>
          </w:p>
          <w:p w14:paraId="0EF058DD" w14:textId="77777777" w:rsidR="0057171C" w:rsidRDefault="0057171C" w:rsidP="002B6AEA">
            <w:pPr>
              <w:rPr>
                <w:rFonts w:ascii="Aptos" w:hAnsi="Aptos" w:cs="Helvetica"/>
              </w:rPr>
            </w:pPr>
          </w:p>
          <w:p w14:paraId="2ECCF97E" w14:textId="21EA6665" w:rsidR="0057171C" w:rsidRPr="00A424FC" w:rsidRDefault="0057171C" w:rsidP="002B6AEA">
            <w:pPr>
              <w:rPr>
                <w:rFonts w:ascii="Aptos" w:hAnsi="Aptos" w:cs="Helvetica"/>
              </w:rPr>
            </w:pPr>
            <w:r>
              <w:rPr>
                <w:rFonts w:ascii="Aptos" w:hAnsi="Aptos" w:cs="Helvetica"/>
              </w:rPr>
              <w:t>ASFI will also be cross-referencing the CS</w:t>
            </w:r>
            <w:r w:rsidR="0035652A">
              <w:rPr>
                <w:rFonts w:ascii="Aptos" w:hAnsi="Aptos" w:cs="Helvetica"/>
              </w:rPr>
              <w:t>IRO</w:t>
            </w:r>
            <w:r w:rsidR="00F5040E">
              <w:rPr>
                <w:rFonts w:ascii="Aptos" w:hAnsi="Aptos" w:cs="Helvetica"/>
              </w:rPr>
              <w:t>’s</w:t>
            </w:r>
            <w:r w:rsidR="0035652A">
              <w:rPr>
                <w:rFonts w:ascii="Aptos" w:hAnsi="Aptos" w:cs="Helvetica"/>
              </w:rPr>
              <w:t xml:space="preserve"> rapid decarbonisation pathways scenarios for key sectors. </w:t>
            </w:r>
          </w:p>
          <w:p w14:paraId="4577A232" w14:textId="77777777" w:rsidR="00895659" w:rsidRDefault="00895659" w:rsidP="00FB09E7">
            <w:pPr>
              <w:rPr>
                <w:rFonts w:ascii="Aptos" w:hAnsi="Aptos" w:cs="Helvetica"/>
              </w:rPr>
            </w:pPr>
          </w:p>
          <w:p w14:paraId="301AB848" w14:textId="315E099B" w:rsidR="00FA1CDE" w:rsidRDefault="006567EB" w:rsidP="00FB09E7">
            <w:pPr>
              <w:rPr>
                <w:rFonts w:ascii="Aptos" w:hAnsi="Aptos" w:cs="Helvetica"/>
              </w:rPr>
            </w:pPr>
            <w:r>
              <w:rPr>
                <w:rFonts w:ascii="Aptos" w:hAnsi="Aptos" w:cs="Helvetica"/>
              </w:rPr>
              <w:t xml:space="preserve">As set out in the </w:t>
            </w:r>
            <w:r w:rsidR="00FA1CDE">
              <w:rPr>
                <w:rFonts w:ascii="Aptos" w:hAnsi="Aptos" w:cs="Helvetica"/>
              </w:rPr>
              <w:t xml:space="preserve">DNSH and MSS methodology </w:t>
            </w:r>
            <w:r>
              <w:rPr>
                <w:rFonts w:ascii="Aptos" w:hAnsi="Aptos" w:cs="Helvetica"/>
              </w:rPr>
              <w:t>report, the DNSH and MSS criteria will be informed by</w:t>
            </w:r>
            <w:r w:rsidR="004C2DE9">
              <w:rPr>
                <w:rFonts w:ascii="Aptos" w:hAnsi="Aptos" w:cs="Helvetica"/>
              </w:rPr>
              <w:t xml:space="preserve"> international agreements </w:t>
            </w:r>
            <w:r w:rsidR="00F23796">
              <w:rPr>
                <w:rFonts w:ascii="Aptos" w:hAnsi="Aptos" w:cs="Helvetica"/>
              </w:rPr>
              <w:t>that A</w:t>
            </w:r>
            <w:r w:rsidR="004C2DE9">
              <w:rPr>
                <w:rFonts w:ascii="Aptos" w:hAnsi="Aptos" w:cs="Helvetica"/>
              </w:rPr>
              <w:t xml:space="preserve">ustralia has signed </w:t>
            </w:r>
            <w:r w:rsidR="00774F1D">
              <w:rPr>
                <w:rFonts w:ascii="Aptos" w:hAnsi="Aptos" w:cs="Helvetica"/>
              </w:rPr>
              <w:t>or</w:t>
            </w:r>
            <w:r w:rsidR="004C2DE9">
              <w:rPr>
                <w:rFonts w:ascii="Aptos" w:hAnsi="Aptos" w:cs="Helvetica"/>
              </w:rPr>
              <w:t xml:space="preserve"> ratified; </w:t>
            </w:r>
            <w:r w:rsidR="00774F1D">
              <w:rPr>
                <w:rFonts w:ascii="Aptos" w:hAnsi="Aptos" w:cs="Helvetica"/>
              </w:rPr>
              <w:t xml:space="preserve">national legislation, standards, </w:t>
            </w:r>
            <w:proofErr w:type="gramStart"/>
            <w:r w:rsidR="00774F1D">
              <w:rPr>
                <w:rFonts w:ascii="Aptos" w:hAnsi="Aptos" w:cs="Helvetica"/>
              </w:rPr>
              <w:t>policies</w:t>
            </w:r>
            <w:proofErr w:type="gramEnd"/>
            <w:r w:rsidR="00774F1D">
              <w:rPr>
                <w:rFonts w:ascii="Aptos" w:hAnsi="Aptos" w:cs="Helvetica"/>
              </w:rPr>
              <w:t xml:space="preserve"> and strategies; and </w:t>
            </w:r>
            <w:r w:rsidR="00BE6F9D">
              <w:rPr>
                <w:rFonts w:ascii="Aptos" w:hAnsi="Aptos" w:cs="Helvetica"/>
              </w:rPr>
              <w:t>finance and corporate sector environmental, social, and governance policies or risk management tools</w:t>
            </w:r>
            <w:r w:rsidR="007834CB">
              <w:rPr>
                <w:rFonts w:ascii="Aptos" w:hAnsi="Aptos" w:cs="Helvetica"/>
              </w:rPr>
              <w:t xml:space="preserve"> of relevance to Australia</w:t>
            </w:r>
            <w:r w:rsidR="00BE6F9D">
              <w:rPr>
                <w:rFonts w:ascii="Aptos" w:hAnsi="Aptos" w:cs="Helvetica"/>
              </w:rPr>
              <w:t>, such as disclosure</w:t>
            </w:r>
            <w:r w:rsidR="00F23796">
              <w:rPr>
                <w:rFonts w:ascii="Aptos" w:hAnsi="Aptos" w:cs="Helvetica"/>
              </w:rPr>
              <w:t xml:space="preserve"> </w:t>
            </w:r>
            <w:r w:rsidR="00BE6F9D">
              <w:rPr>
                <w:rFonts w:ascii="Aptos" w:hAnsi="Aptos" w:cs="Helvetica"/>
              </w:rPr>
              <w:t>frameworks.</w:t>
            </w:r>
            <w:r w:rsidR="00B11A7B">
              <w:rPr>
                <w:rFonts w:ascii="Aptos" w:hAnsi="Aptos" w:cs="Helvetica"/>
              </w:rPr>
              <w:t xml:space="preserve"> </w:t>
            </w:r>
            <w:r w:rsidR="009F5D11">
              <w:rPr>
                <w:rFonts w:ascii="Aptos" w:hAnsi="Aptos" w:cs="Helvetica"/>
              </w:rPr>
              <w:t>The methodology for DNSH also drew on the UK Green Technical Advisory Group’s work on improving the usability of DNSH</w:t>
            </w:r>
            <w:r w:rsidR="007834CB">
              <w:rPr>
                <w:rFonts w:ascii="Aptos" w:hAnsi="Aptos" w:cs="Helvetica"/>
              </w:rPr>
              <w:t xml:space="preserve">. </w:t>
            </w:r>
            <w:r w:rsidR="00BE6F9D">
              <w:rPr>
                <w:rFonts w:ascii="Aptos" w:hAnsi="Aptos" w:cs="Helvetica"/>
              </w:rPr>
              <w:t xml:space="preserve">A full reference list is available in </w:t>
            </w:r>
            <w:r w:rsidR="00940247" w:rsidRPr="00940247">
              <w:rPr>
                <w:rFonts w:ascii="Aptos" w:hAnsi="Aptos" w:cs="Helvetica"/>
                <w:b/>
                <w:bCs/>
                <w:u w:val="single"/>
              </w:rPr>
              <w:t>Appendix B</w:t>
            </w:r>
            <w:r w:rsidR="00940247">
              <w:rPr>
                <w:rFonts w:ascii="Aptos" w:hAnsi="Aptos" w:cs="Helvetica"/>
              </w:rPr>
              <w:t xml:space="preserve"> </w:t>
            </w:r>
            <w:r w:rsidR="004C2DE9">
              <w:rPr>
                <w:rFonts w:ascii="Aptos" w:hAnsi="Aptos" w:cs="Helvetica"/>
              </w:rPr>
              <w:t xml:space="preserve">(pp. 25-28). </w:t>
            </w:r>
            <w:r w:rsidR="00FA1CDE">
              <w:rPr>
                <w:rFonts w:ascii="Aptos" w:hAnsi="Aptos" w:cs="Helvetica"/>
              </w:rPr>
              <w:t xml:space="preserve"> </w:t>
            </w:r>
          </w:p>
          <w:p w14:paraId="3C890A79" w14:textId="3796C5C2" w:rsidR="00FA1CDE" w:rsidRPr="00A424FC" w:rsidRDefault="00FA1CDE" w:rsidP="00FB09E7">
            <w:pPr>
              <w:rPr>
                <w:rFonts w:ascii="Aptos" w:hAnsi="Aptos" w:cs="Helvetica"/>
              </w:rPr>
            </w:pPr>
          </w:p>
        </w:tc>
      </w:tr>
      <w:tr w:rsidR="00557E50" w:rsidRPr="00A424FC" w14:paraId="30E9CA63" w14:textId="77777777" w:rsidTr="00DB3659">
        <w:tc>
          <w:tcPr>
            <w:tcW w:w="3114" w:type="dxa"/>
            <w:shd w:val="clear" w:color="auto" w:fill="2F5496" w:themeFill="accent1" w:themeFillShade="BF"/>
          </w:tcPr>
          <w:p w14:paraId="79551DA0" w14:textId="7DF88615" w:rsidR="00557E50" w:rsidRPr="00A424FC" w:rsidRDefault="001E1F05" w:rsidP="000E43BE">
            <w:pPr>
              <w:rPr>
                <w:rFonts w:ascii="Aptos" w:hAnsi="Aptos" w:cs="Helvetica"/>
                <w:color w:val="FFFFFF" w:themeColor="background1"/>
              </w:rPr>
            </w:pPr>
            <w:r w:rsidRPr="00A424FC">
              <w:rPr>
                <w:rFonts w:ascii="Aptos" w:hAnsi="Aptos" w:cs="Helvetica"/>
                <w:color w:val="FFFFFF" w:themeColor="background1"/>
              </w:rPr>
              <w:lastRenderedPageBreak/>
              <w:t>Deliverable 3</w:t>
            </w:r>
            <w:r w:rsidR="00557E50" w:rsidRPr="00A424FC">
              <w:rPr>
                <w:rFonts w:ascii="Aptos" w:hAnsi="Aptos" w:cs="Helvetica"/>
                <w:color w:val="FFFFFF" w:themeColor="background1"/>
              </w:rPr>
              <w:t>: ANZ</w:t>
            </w:r>
            <w:r w:rsidR="00655C7A" w:rsidRPr="00A424FC">
              <w:rPr>
                <w:rFonts w:ascii="Aptos" w:hAnsi="Aptos" w:cs="Helvetica"/>
                <w:color w:val="FFFFFF" w:themeColor="background1"/>
              </w:rPr>
              <w:t>S</w:t>
            </w:r>
            <w:r w:rsidR="00557E50" w:rsidRPr="00A424FC">
              <w:rPr>
                <w:rFonts w:ascii="Aptos" w:hAnsi="Aptos" w:cs="Helvetica"/>
                <w:color w:val="FFFFFF" w:themeColor="background1"/>
              </w:rPr>
              <w:t>IC mapping</w:t>
            </w:r>
          </w:p>
        </w:tc>
        <w:tc>
          <w:tcPr>
            <w:tcW w:w="6509" w:type="dxa"/>
            <w:shd w:val="clear" w:color="auto" w:fill="2F5496" w:themeFill="accent1" w:themeFillShade="BF"/>
          </w:tcPr>
          <w:p w14:paraId="515E7CE2" w14:textId="0CADCD22" w:rsidR="00557E50" w:rsidRPr="00A424FC" w:rsidRDefault="00AC3309" w:rsidP="000E43BE">
            <w:pPr>
              <w:rPr>
                <w:rFonts w:ascii="Aptos" w:hAnsi="Aptos" w:cs="Helvetica"/>
                <w:color w:val="FFFFFF" w:themeColor="background1"/>
              </w:rPr>
            </w:pPr>
            <w:r w:rsidRPr="00A424FC">
              <w:rPr>
                <w:rFonts w:ascii="Aptos" w:hAnsi="Aptos" w:cs="Helvetica"/>
                <w:color w:val="FFFFFF" w:themeColor="background1"/>
              </w:rPr>
              <w:t>The building of an ANZ</w:t>
            </w:r>
            <w:r w:rsidR="00502A58" w:rsidRPr="00A424FC">
              <w:rPr>
                <w:rFonts w:ascii="Aptos" w:hAnsi="Aptos" w:cs="Helvetica"/>
                <w:color w:val="FFFFFF" w:themeColor="background1"/>
              </w:rPr>
              <w:t>S</w:t>
            </w:r>
            <w:r w:rsidRPr="00A424FC">
              <w:rPr>
                <w:rFonts w:ascii="Aptos" w:hAnsi="Aptos" w:cs="Helvetica"/>
                <w:color w:val="FFFFFF" w:themeColor="background1"/>
              </w:rPr>
              <w:t>IC spreadsheet with relevant columns breaking down ANZ</w:t>
            </w:r>
            <w:r w:rsidR="00502A58" w:rsidRPr="00A424FC">
              <w:rPr>
                <w:rFonts w:ascii="Aptos" w:hAnsi="Aptos" w:cs="Helvetica"/>
                <w:color w:val="FFFFFF" w:themeColor="background1"/>
              </w:rPr>
              <w:t>S</w:t>
            </w:r>
            <w:r w:rsidRPr="00A424FC">
              <w:rPr>
                <w:rFonts w:ascii="Aptos" w:hAnsi="Aptos" w:cs="Helvetica"/>
                <w:color w:val="FFFFFF" w:themeColor="background1"/>
              </w:rPr>
              <w:t xml:space="preserve">IC codes at the activity level </w:t>
            </w:r>
            <w:r w:rsidR="00980ABB">
              <w:rPr>
                <w:rFonts w:ascii="Aptos" w:hAnsi="Aptos" w:cs="Helvetica"/>
                <w:color w:val="FFFFFF" w:themeColor="background1"/>
              </w:rPr>
              <w:t>for</w:t>
            </w:r>
            <w:r w:rsidRPr="00A424FC">
              <w:rPr>
                <w:rFonts w:ascii="Aptos" w:hAnsi="Aptos" w:cs="Helvetica"/>
                <w:color w:val="FFFFFF" w:themeColor="background1"/>
              </w:rPr>
              <w:t xml:space="preserve"> </w:t>
            </w:r>
            <w:r w:rsidR="00980ABB">
              <w:rPr>
                <w:rFonts w:ascii="Aptos" w:hAnsi="Aptos" w:cs="Helvetica"/>
                <w:color w:val="FFFFFF" w:themeColor="background1"/>
              </w:rPr>
              <w:t xml:space="preserve">all </w:t>
            </w:r>
            <w:r w:rsidRPr="00A424FC">
              <w:rPr>
                <w:rFonts w:ascii="Aptos" w:hAnsi="Aptos" w:cs="Helvetica"/>
                <w:color w:val="FFFFFF" w:themeColor="background1"/>
              </w:rPr>
              <w:t>priority sectors</w:t>
            </w:r>
            <w:r w:rsidR="00980ABB">
              <w:rPr>
                <w:rFonts w:ascii="Aptos" w:hAnsi="Aptos" w:cs="Helvetica"/>
                <w:color w:val="FFFFFF" w:themeColor="background1"/>
              </w:rPr>
              <w:t xml:space="preserve"> for development</w:t>
            </w:r>
          </w:p>
        </w:tc>
      </w:tr>
      <w:tr w:rsidR="00EB3B0E" w:rsidRPr="00A424FC" w14:paraId="57783384" w14:textId="77777777">
        <w:tc>
          <w:tcPr>
            <w:tcW w:w="9623" w:type="dxa"/>
            <w:gridSpan w:val="2"/>
            <w:shd w:val="clear" w:color="auto" w:fill="FFFFFF" w:themeFill="background1"/>
          </w:tcPr>
          <w:p w14:paraId="1880C2DA" w14:textId="77777777" w:rsidR="00480F68" w:rsidRPr="00A424FC" w:rsidRDefault="00480F68" w:rsidP="00EB3B0E">
            <w:pPr>
              <w:rPr>
                <w:rFonts w:ascii="Aptos" w:hAnsi="Aptos" w:cs="Helvetica"/>
              </w:rPr>
            </w:pPr>
          </w:p>
          <w:p w14:paraId="034533D1" w14:textId="764828D3" w:rsidR="00705BA8" w:rsidRPr="00A424FC" w:rsidRDefault="00EB3B0E" w:rsidP="00EB3B0E">
            <w:pPr>
              <w:rPr>
                <w:rFonts w:ascii="Aptos" w:hAnsi="Aptos" w:cs="Helvetica"/>
              </w:rPr>
            </w:pPr>
            <w:r w:rsidRPr="00A424FC">
              <w:rPr>
                <w:rFonts w:ascii="Aptos" w:hAnsi="Aptos" w:cs="Helvetica"/>
              </w:rPr>
              <w:t>The taxonomy technical team finalis</w:t>
            </w:r>
            <w:r w:rsidR="001E1F05" w:rsidRPr="00A424FC">
              <w:rPr>
                <w:rFonts w:ascii="Aptos" w:hAnsi="Aptos" w:cs="Helvetica"/>
              </w:rPr>
              <w:t xml:space="preserve">ed </w:t>
            </w:r>
            <w:r w:rsidRPr="00A424FC">
              <w:rPr>
                <w:rFonts w:ascii="Aptos" w:hAnsi="Aptos" w:cs="Helvetica"/>
              </w:rPr>
              <w:t>the breakdown of Australian and New Zealand Standard Industrial Classification (ANZSIC) codes at an activity level for the priority sectors, which also includes a comparison of NACE</w:t>
            </w:r>
            <w:r w:rsidR="0072184B" w:rsidRPr="00A424FC">
              <w:rPr>
                <w:rFonts w:ascii="Aptos" w:hAnsi="Aptos" w:cs="Helvetica"/>
              </w:rPr>
              <w:t xml:space="preserve"> (Statistical Classification of Economic Activities in the European Community)</w:t>
            </w:r>
            <w:r w:rsidRPr="00A424FC">
              <w:rPr>
                <w:rFonts w:ascii="Aptos" w:hAnsi="Aptos" w:cs="Helvetica"/>
              </w:rPr>
              <w:t xml:space="preserve"> and I</w:t>
            </w:r>
            <w:r w:rsidR="00282983" w:rsidRPr="00A424FC">
              <w:rPr>
                <w:rFonts w:ascii="Aptos" w:hAnsi="Aptos" w:cs="Helvetica"/>
              </w:rPr>
              <w:t xml:space="preserve">nternational Standard of Industrial Classification (ISIC) </w:t>
            </w:r>
            <w:r w:rsidRPr="00A424FC">
              <w:rPr>
                <w:rFonts w:ascii="Aptos" w:hAnsi="Aptos" w:cs="Helvetica"/>
              </w:rPr>
              <w:t xml:space="preserve">codes to ensure international comparability with the Australian </w:t>
            </w:r>
            <w:r w:rsidR="00282983" w:rsidRPr="00A424FC">
              <w:rPr>
                <w:rFonts w:ascii="Aptos" w:hAnsi="Aptos" w:cs="Helvetica"/>
              </w:rPr>
              <w:t>t</w:t>
            </w:r>
            <w:r w:rsidRPr="00A424FC">
              <w:rPr>
                <w:rFonts w:ascii="Aptos" w:hAnsi="Aptos" w:cs="Helvetica"/>
              </w:rPr>
              <w:t>axonomy</w:t>
            </w:r>
            <w:r w:rsidR="00256E4E" w:rsidRPr="00A424FC">
              <w:rPr>
                <w:rFonts w:ascii="Aptos" w:hAnsi="Aptos" w:cs="Helvetica"/>
              </w:rPr>
              <w:t xml:space="preserve"> (</w:t>
            </w:r>
            <w:r w:rsidR="00256E4E" w:rsidRPr="00A424FC">
              <w:rPr>
                <w:rFonts w:ascii="Aptos" w:hAnsi="Aptos" w:cs="Helvetica"/>
                <w:b/>
                <w:bCs/>
                <w:u w:val="single"/>
              </w:rPr>
              <w:t>Appendix C</w:t>
            </w:r>
            <w:r w:rsidR="00256E4E" w:rsidRPr="00A424FC">
              <w:rPr>
                <w:rFonts w:ascii="Aptos" w:hAnsi="Aptos" w:cs="Helvetica"/>
              </w:rPr>
              <w:t>)</w:t>
            </w:r>
            <w:r w:rsidRPr="00A424FC">
              <w:rPr>
                <w:rFonts w:ascii="Aptos" w:hAnsi="Aptos" w:cs="Helvetica"/>
              </w:rPr>
              <w:t xml:space="preserve">. </w:t>
            </w:r>
          </w:p>
          <w:p w14:paraId="35C334E4" w14:textId="77777777" w:rsidR="00705BA8" w:rsidRPr="00A424FC" w:rsidRDefault="00705BA8" w:rsidP="00EB3B0E">
            <w:pPr>
              <w:rPr>
                <w:rFonts w:ascii="Aptos" w:hAnsi="Aptos" w:cs="Helvetica"/>
              </w:rPr>
            </w:pPr>
          </w:p>
          <w:p w14:paraId="244EDF27" w14:textId="09AA6C14" w:rsidR="00EE5BEB" w:rsidRPr="00365EB3" w:rsidRDefault="00EE5BEB" w:rsidP="00EB3B0E">
            <w:pPr>
              <w:rPr>
                <w:rFonts w:ascii="Aptos" w:hAnsi="Aptos" w:cs="Helvetica"/>
                <w:u w:val="single"/>
              </w:rPr>
            </w:pPr>
            <w:r w:rsidRPr="00365EB3">
              <w:rPr>
                <w:rFonts w:ascii="Aptos" w:hAnsi="Aptos" w:cs="Helvetica"/>
                <w:u w:val="single"/>
              </w:rPr>
              <w:t>Data and information relied upon</w:t>
            </w:r>
          </w:p>
          <w:p w14:paraId="42662E97" w14:textId="77777777" w:rsidR="00EE5BEB" w:rsidRPr="00A424FC" w:rsidRDefault="00EE5BEB" w:rsidP="00EB3B0E">
            <w:pPr>
              <w:rPr>
                <w:rFonts w:ascii="Aptos" w:hAnsi="Aptos" w:cs="Helvetica"/>
              </w:rPr>
            </w:pPr>
          </w:p>
          <w:p w14:paraId="7005E5D6" w14:textId="31183DD4" w:rsidR="00EB3B0E" w:rsidRPr="00A424FC" w:rsidRDefault="00EB3B0E" w:rsidP="00EB3B0E">
            <w:pPr>
              <w:rPr>
                <w:rFonts w:ascii="Aptos" w:hAnsi="Aptos" w:cs="Helvetica"/>
              </w:rPr>
            </w:pPr>
            <w:r w:rsidRPr="00A424FC">
              <w:rPr>
                <w:rFonts w:ascii="Aptos" w:hAnsi="Aptos" w:cs="Helvetica"/>
              </w:rPr>
              <w:t>The comparison benchmark</w:t>
            </w:r>
            <w:r w:rsidR="001E1F05" w:rsidRPr="00A424FC">
              <w:rPr>
                <w:rFonts w:ascii="Aptos" w:hAnsi="Aptos" w:cs="Helvetica"/>
              </w:rPr>
              <w:t>s</w:t>
            </w:r>
            <w:r w:rsidRPr="00A424FC">
              <w:rPr>
                <w:rFonts w:ascii="Aptos" w:hAnsi="Aptos" w:cs="Helvetica"/>
              </w:rPr>
              <w:t xml:space="preserve"> the identified activities for Australia against the EU</w:t>
            </w:r>
            <w:r w:rsidR="00B2067F" w:rsidRPr="00A424FC">
              <w:rPr>
                <w:rFonts w:ascii="Aptos" w:hAnsi="Aptos" w:cs="Helvetica"/>
              </w:rPr>
              <w:t xml:space="preserve">, </w:t>
            </w:r>
            <w:r w:rsidR="001D7740" w:rsidRPr="00A424FC">
              <w:rPr>
                <w:rFonts w:ascii="Aptos" w:hAnsi="Aptos" w:cs="Helvetica"/>
              </w:rPr>
              <w:t>which uses NAC</w:t>
            </w:r>
            <w:r w:rsidR="00B2067F" w:rsidRPr="00A424FC">
              <w:rPr>
                <w:rFonts w:ascii="Aptos" w:hAnsi="Aptos" w:cs="Helvetica"/>
              </w:rPr>
              <w:t>E</w:t>
            </w:r>
            <w:r w:rsidR="00282983" w:rsidRPr="00A424FC">
              <w:rPr>
                <w:rFonts w:ascii="Aptos" w:hAnsi="Aptos" w:cs="Helvetica"/>
              </w:rPr>
              <w:t>,</w:t>
            </w:r>
            <w:r w:rsidR="001D7740" w:rsidRPr="00A424FC">
              <w:rPr>
                <w:rFonts w:ascii="Aptos" w:hAnsi="Aptos" w:cs="Helvetica"/>
              </w:rPr>
              <w:t xml:space="preserve"> </w:t>
            </w:r>
            <w:r w:rsidRPr="00A424FC">
              <w:rPr>
                <w:rFonts w:ascii="Aptos" w:hAnsi="Aptos" w:cs="Helvetica"/>
              </w:rPr>
              <w:t>and other taxonomies in the ASEAN region, which generally use the ISIC codes. The comparison include</w:t>
            </w:r>
            <w:r w:rsidR="00A959CA" w:rsidRPr="00A424FC">
              <w:rPr>
                <w:rFonts w:ascii="Aptos" w:hAnsi="Aptos" w:cs="Helvetica"/>
              </w:rPr>
              <w:t>s</w:t>
            </w:r>
            <w:r w:rsidRPr="00A424FC">
              <w:rPr>
                <w:rFonts w:ascii="Aptos" w:hAnsi="Aptos" w:cs="Helvetica"/>
              </w:rPr>
              <w:t xml:space="preserve"> best practice metrics and thresholds from other taxonomies to provide a foundation of interoperability with reference taxonomies, but which will then be adapted specifically for the Australian context depending on the data, </w:t>
            </w:r>
            <w:proofErr w:type="gramStart"/>
            <w:r w:rsidRPr="00A424FC">
              <w:rPr>
                <w:rFonts w:ascii="Aptos" w:hAnsi="Aptos" w:cs="Helvetica"/>
              </w:rPr>
              <w:t>analysis</w:t>
            </w:r>
            <w:proofErr w:type="gramEnd"/>
            <w:r w:rsidRPr="00A424FC">
              <w:rPr>
                <w:rFonts w:ascii="Aptos" w:hAnsi="Aptos" w:cs="Helvetica"/>
              </w:rPr>
              <w:t xml:space="preserve"> and expert </w:t>
            </w:r>
            <w:r w:rsidR="00C72456" w:rsidRPr="00A424FC">
              <w:rPr>
                <w:rFonts w:ascii="Aptos" w:hAnsi="Aptos" w:cs="Helvetica"/>
              </w:rPr>
              <w:t>input</w:t>
            </w:r>
            <w:r w:rsidRPr="00A424FC">
              <w:rPr>
                <w:rFonts w:ascii="Aptos" w:hAnsi="Aptos" w:cs="Helvetica"/>
              </w:rPr>
              <w:t xml:space="preserve"> from the </w:t>
            </w:r>
            <w:r w:rsidR="001A2D21">
              <w:rPr>
                <w:rFonts w:ascii="Aptos" w:hAnsi="Aptos" w:cs="Helvetica"/>
              </w:rPr>
              <w:t>TAGs</w:t>
            </w:r>
            <w:r w:rsidRPr="00A424FC">
              <w:rPr>
                <w:rFonts w:ascii="Aptos" w:hAnsi="Aptos" w:cs="Helvetica"/>
              </w:rPr>
              <w:t xml:space="preserve">. </w:t>
            </w:r>
          </w:p>
          <w:p w14:paraId="515B9D28" w14:textId="77777777" w:rsidR="00B2067F" w:rsidRPr="00A424FC" w:rsidRDefault="00B2067F" w:rsidP="00EB3B0E">
            <w:pPr>
              <w:rPr>
                <w:rFonts w:ascii="Aptos" w:hAnsi="Aptos" w:cs="Helvetica"/>
              </w:rPr>
            </w:pPr>
          </w:p>
          <w:p w14:paraId="667B83EC" w14:textId="79A91691" w:rsidR="00B2067F" w:rsidRPr="003444A7" w:rsidRDefault="006E4DB6" w:rsidP="00EB3B0E">
            <w:pPr>
              <w:rPr>
                <w:rFonts w:ascii="Aptos" w:hAnsi="Aptos" w:cs="Helvetica"/>
              </w:rPr>
            </w:pPr>
            <w:r w:rsidRPr="00594851">
              <w:rPr>
                <w:rFonts w:ascii="Aptos" w:hAnsi="Aptos" w:cs="Helvetica"/>
              </w:rPr>
              <w:t>T</w:t>
            </w:r>
            <w:r w:rsidR="00805838" w:rsidRPr="00594851">
              <w:rPr>
                <w:rFonts w:ascii="Aptos" w:hAnsi="Aptos" w:cs="Helvetica"/>
              </w:rPr>
              <w:t>he</w:t>
            </w:r>
            <w:r w:rsidR="00ED5490" w:rsidRPr="00594851">
              <w:rPr>
                <w:rFonts w:ascii="Aptos" w:hAnsi="Aptos" w:cs="Helvetica"/>
              </w:rPr>
              <w:t xml:space="preserve"> </w:t>
            </w:r>
            <w:r w:rsidR="00282501" w:rsidRPr="00594851">
              <w:rPr>
                <w:rFonts w:ascii="Aptos" w:hAnsi="Aptos" w:cs="Helvetica"/>
              </w:rPr>
              <w:t xml:space="preserve">ANZSIC-ISIC-NACE </w:t>
            </w:r>
            <w:r w:rsidR="001E1F05" w:rsidRPr="00594851">
              <w:rPr>
                <w:rFonts w:ascii="Aptos" w:hAnsi="Aptos" w:cs="Helvetica"/>
              </w:rPr>
              <w:t xml:space="preserve">mapping </w:t>
            </w:r>
            <w:r w:rsidR="00ED5490" w:rsidRPr="00594851">
              <w:rPr>
                <w:rFonts w:ascii="Aptos" w:hAnsi="Aptos" w:cs="Helvetica"/>
              </w:rPr>
              <w:t xml:space="preserve">has </w:t>
            </w:r>
            <w:r w:rsidR="00AF4C1D" w:rsidRPr="00594851">
              <w:rPr>
                <w:rFonts w:ascii="Aptos" w:hAnsi="Aptos" w:cs="Helvetica"/>
              </w:rPr>
              <w:t>been undertak</w:t>
            </w:r>
            <w:r w:rsidR="00EF15DE" w:rsidRPr="00594851">
              <w:rPr>
                <w:rFonts w:ascii="Aptos" w:hAnsi="Aptos" w:cs="Helvetica"/>
              </w:rPr>
              <w:t>en</w:t>
            </w:r>
            <w:r w:rsidR="00AF4C1D" w:rsidRPr="00594851">
              <w:rPr>
                <w:rFonts w:ascii="Aptos" w:hAnsi="Aptos" w:cs="Helvetica"/>
              </w:rPr>
              <w:t xml:space="preserve"> for </w:t>
            </w:r>
            <w:r w:rsidR="00D4759C" w:rsidRPr="00594851">
              <w:rPr>
                <w:rFonts w:ascii="Aptos" w:hAnsi="Aptos" w:cs="Helvetica"/>
              </w:rPr>
              <w:t>all</w:t>
            </w:r>
            <w:r w:rsidR="00AF4C1D" w:rsidRPr="00594851">
              <w:rPr>
                <w:rFonts w:ascii="Aptos" w:hAnsi="Aptos" w:cs="Helvetica"/>
              </w:rPr>
              <w:t xml:space="preserve"> priority sectors</w:t>
            </w:r>
            <w:r w:rsidR="00E6734C" w:rsidRPr="00594851">
              <w:rPr>
                <w:rFonts w:ascii="Aptos" w:hAnsi="Aptos" w:cs="Helvetica"/>
              </w:rPr>
              <w:t xml:space="preserve"> that are covered by other taxonomies</w:t>
            </w:r>
            <w:r w:rsidR="00D4759C" w:rsidRPr="00594851">
              <w:rPr>
                <w:rFonts w:ascii="Aptos" w:hAnsi="Aptos" w:cs="Helvetica"/>
              </w:rPr>
              <w:t xml:space="preserve"> </w:t>
            </w:r>
            <w:r w:rsidR="00AF4C1D" w:rsidRPr="00594851">
              <w:rPr>
                <w:rFonts w:ascii="Aptos" w:hAnsi="Aptos" w:cs="Helvetica"/>
              </w:rPr>
              <w:t>(</w:t>
            </w:r>
            <w:r w:rsidR="00F0445A" w:rsidRPr="00594851">
              <w:rPr>
                <w:rFonts w:ascii="Aptos" w:hAnsi="Aptos" w:cs="Helvetica"/>
              </w:rPr>
              <w:t xml:space="preserve">construction and the </w:t>
            </w:r>
            <w:r w:rsidR="002A64EE" w:rsidRPr="00594851">
              <w:rPr>
                <w:rFonts w:ascii="Aptos" w:hAnsi="Aptos" w:cs="Helvetica"/>
              </w:rPr>
              <w:t>built environment</w:t>
            </w:r>
            <w:r w:rsidR="00F0445A" w:rsidRPr="00594851">
              <w:rPr>
                <w:rFonts w:ascii="Aptos" w:hAnsi="Aptos" w:cs="Helvetica"/>
              </w:rPr>
              <w:t>;</w:t>
            </w:r>
            <w:r w:rsidR="002A64EE" w:rsidRPr="00594851">
              <w:rPr>
                <w:rFonts w:ascii="Aptos" w:hAnsi="Aptos" w:cs="Helvetica"/>
              </w:rPr>
              <w:t xml:space="preserve"> manufacturing </w:t>
            </w:r>
            <w:r w:rsidR="00F0445A" w:rsidRPr="00594851">
              <w:rPr>
                <w:rFonts w:ascii="Aptos" w:hAnsi="Aptos" w:cs="Helvetica"/>
              </w:rPr>
              <w:t xml:space="preserve">and </w:t>
            </w:r>
            <w:r w:rsidR="00F0445A" w:rsidRPr="00594851">
              <w:rPr>
                <w:rFonts w:ascii="Aptos" w:hAnsi="Aptos" w:cs="Helvetica"/>
              </w:rPr>
              <w:lastRenderedPageBreak/>
              <w:t>industry; and electricity generation and supply</w:t>
            </w:r>
            <w:r w:rsidR="00D4759C" w:rsidRPr="00594851">
              <w:rPr>
                <w:rFonts w:ascii="Aptos" w:hAnsi="Aptos" w:cs="Helvetica"/>
              </w:rPr>
              <w:t>; transport; manufacturing and industry; and</w:t>
            </w:r>
            <w:r w:rsidR="00472C35" w:rsidRPr="00594851">
              <w:rPr>
                <w:rFonts w:ascii="Aptos" w:hAnsi="Aptos" w:cs="Helvetica"/>
              </w:rPr>
              <w:t xml:space="preserve"> limited agriculture and forestry</w:t>
            </w:r>
            <w:r w:rsidR="002A64EE" w:rsidRPr="00594851">
              <w:rPr>
                <w:rFonts w:ascii="Aptos" w:hAnsi="Aptos" w:cs="Helvetica"/>
              </w:rPr>
              <w:t>)</w:t>
            </w:r>
            <w:r w:rsidR="002A64EE" w:rsidRPr="003444A7">
              <w:rPr>
                <w:rFonts w:ascii="Aptos" w:hAnsi="Aptos" w:cs="Helvetica"/>
              </w:rPr>
              <w:t xml:space="preserve"> </w:t>
            </w:r>
            <w:r w:rsidR="007B27BA" w:rsidRPr="003444A7">
              <w:rPr>
                <w:rFonts w:ascii="Aptos" w:hAnsi="Aptos" w:cs="Helvetica"/>
              </w:rPr>
              <w:t xml:space="preserve">and cross-referenced against </w:t>
            </w:r>
            <w:r w:rsidR="00576A90" w:rsidRPr="003444A7">
              <w:rPr>
                <w:rFonts w:ascii="Aptos" w:hAnsi="Aptos" w:cs="Helvetica"/>
              </w:rPr>
              <w:t xml:space="preserve">the EU and Singapore taxonomies and the Common Ground taxonomy (CGT) </w:t>
            </w:r>
            <w:r w:rsidR="00753185" w:rsidRPr="003444A7">
              <w:rPr>
                <w:rFonts w:ascii="Aptos" w:hAnsi="Aptos" w:cs="Helvetica"/>
              </w:rPr>
              <w:t xml:space="preserve">for comparison with China. </w:t>
            </w:r>
          </w:p>
          <w:p w14:paraId="1D2C4311" w14:textId="77777777" w:rsidR="00DE4C8E" w:rsidRPr="003444A7" w:rsidRDefault="00DE4C8E" w:rsidP="00DE4C8E">
            <w:pPr>
              <w:rPr>
                <w:rFonts w:ascii="Aptos" w:hAnsi="Aptos" w:cs="Helvetica"/>
                <w:i/>
                <w:iCs/>
                <w:u w:val="single"/>
              </w:rPr>
            </w:pPr>
          </w:p>
          <w:p w14:paraId="5F50B685" w14:textId="1CE77B95" w:rsidR="004571A3" w:rsidRPr="002162CE" w:rsidRDefault="004571A3" w:rsidP="00DE4C8E">
            <w:pPr>
              <w:rPr>
                <w:rFonts w:ascii="Aptos" w:hAnsi="Aptos" w:cs="Helvetica"/>
                <w:i/>
                <w:iCs/>
                <w:u w:val="single"/>
              </w:rPr>
            </w:pPr>
            <w:r w:rsidRPr="003444A7">
              <w:rPr>
                <w:rFonts w:ascii="Aptos" w:hAnsi="Aptos" w:cs="Helvetica"/>
              </w:rPr>
              <w:t>A</w:t>
            </w:r>
            <w:r w:rsidR="00DE4C8E" w:rsidRPr="003444A7">
              <w:rPr>
                <w:rFonts w:ascii="Aptos" w:hAnsi="Aptos" w:cs="Helvetica"/>
              </w:rPr>
              <w:t xml:space="preserve">SFI engaged with the sector-specific TAGs, the TTEG, and relevant Australian Government policy experts on the ANZSIC mapping to ensure comprehensive coverage of the activities for the first three priority sectors. </w:t>
            </w:r>
            <w:r w:rsidRPr="00594851">
              <w:rPr>
                <w:rFonts w:ascii="Aptos" w:hAnsi="Aptos" w:cs="Helvetica"/>
              </w:rPr>
              <w:t>It will repeat this process in Q3 for the remaining three priority sectors</w:t>
            </w:r>
            <w:r w:rsidRPr="003444A7">
              <w:rPr>
                <w:rFonts w:ascii="Aptos" w:hAnsi="Aptos" w:cs="Helvetica"/>
              </w:rPr>
              <w:t>. The minerals, mining and metals sector</w:t>
            </w:r>
            <w:r w:rsidR="00A34129" w:rsidRPr="003444A7">
              <w:rPr>
                <w:rFonts w:ascii="Aptos" w:hAnsi="Aptos" w:cs="Helvetica"/>
              </w:rPr>
              <w:t xml:space="preserve"> and agriculture and land sector</w:t>
            </w:r>
            <w:r w:rsidRPr="003444A7">
              <w:rPr>
                <w:rFonts w:ascii="Aptos" w:hAnsi="Aptos" w:cs="Helvetica"/>
              </w:rPr>
              <w:t xml:space="preserve"> </w:t>
            </w:r>
            <w:r w:rsidR="00392FDD" w:rsidRPr="003444A7">
              <w:rPr>
                <w:rFonts w:ascii="Aptos" w:hAnsi="Aptos" w:cs="Helvetica"/>
              </w:rPr>
              <w:t>ha</w:t>
            </w:r>
            <w:r w:rsidR="00594851">
              <w:rPr>
                <w:rFonts w:ascii="Aptos" w:hAnsi="Aptos" w:cs="Helvetica"/>
              </w:rPr>
              <w:t>ve</w:t>
            </w:r>
            <w:r w:rsidR="00392FDD" w:rsidRPr="003444A7">
              <w:rPr>
                <w:rFonts w:ascii="Aptos" w:hAnsi="Aptos" w:cs="Helvetica"/>
              </w:rPr>
              <w:t xml:space="preserve"> </w:t>
            </w:r>
            <w:r w:rsidRPr="003444A7">
              <w:rPr>
                <w:rFonts w:ascii="Aptos" w:hAnsi="Aptos" w:cs="Helvetica"/>
              </w:rPr>
              <w:t>not been developed in other reference taxonomies.</w:t>
            </w:r>
          </w:p>
          <w:p w14:paraId="40C8191D" w14:textId="72EF6364" w:rsidR="004571A3" w:rsidRPr="00A424FC" w:rsidRDefault="004571A3" w:rsidP="00DE4C8E">
            <w:pPr>
              <w:rPr>
                <w:rFonts w:ascii="Aptos" w:hAnsi="Aptos" w:cs="Helvetica"/>
                <w:i/>
                <w:iCs/>
                <w:u w:val="single"/>
              </w:rPr>
            </w:pPr>
          </w:p>
        </w:tc>
      </w:tr>
      <w:tr w:rsidR="00557E50" w:rsidRPr="00A424FC" w14:paraId="74C2645F" w14:textId="77777777" w:rsidTr="00DB3659">
        <w:tc>
          <w:tcPr>
            <w:tcW w:w="3114" w:type="dxa"/>
            <w:shd w:val="clear" w:color="auto" w:fill="2F5496" w:themeFill="accent1" w:themeFillShade="BF"/>
          </w:tcPr>
          <w:p w14:paraId="4E8749E4" w14:textId="43D0EF59" w:rsidR="00557E50" w:rsidRPr="00A424FC" w:rsidRDefault="007132A7" w:rsidP="000E43BE">
            <w:pPr>
              <w:rPr>
                <w:rFonts w:ascii="Aptos" w:hAnsi="Aptos" w:cs="Helvetica"/>
                <w:color w:val="FFFFFF" w:themeColor="background1"/>
              </w:rPr>
            </w:pPr>
            <w:r w:rsidRPr="00A424FC">
              <w:rPr>
                <w:rFonts w:ascii="Aptos" w:hAnsi="Aptos" w:cs="Helvetica"/>
                <w:color w:val="FFFFFF" w:themeColor="background1"/>
              </w:rPr>
              <w:lastRenderedPageBreak/>
              <w:t>Deliverable</w:t>
            </w:r>
            <w:r w:rsidR="00CE7FA9" w:rsidRPr="00A424FC">
              <w:rPr>
                <w:rFonts w:ascii="Aptos" w:hAnsi="Aptos" w:cs="Helvetica"/>
                <w:color w:val="FFFFFF" w:themeColor="background1"/>
              </w:rPr>
              <w:t xml:space="preserve"> 4:</w:t>
            </w:r>
            <w:r w:rsidR="00A47ABA" w:rsidRPr="00A424FC">
              <w:rPr>
                <w:rFonts w:ascii="Aptos" w:hAnsi="Aptos" w:cs="Helvetica"/>
                <w:color w:val="FFFFFF" w:themeColor="background1"/>
              </w:rPr>
              <w:t xml:space="preserve"> </w:t>
            </w:r>
            <w:r w:rsidR="00937A89" w:rsidRPr="00A424FC">
              <w:rPr>
                <w:rFonts w:ascii="Aptos" w:hAnsi="Aptos" w:cs="Helvetica"/>
                <w:color w:val="FFFFFF" w:themeColor="background1"/>
              </w:rPr>
              <w:t>Technical screening criteria</w:t>
            </w:r>
            <w:r w:rsidR="00A47ABA" w:rsidRPr="00A424FC">
              <w:rPr>
                <w:rFonts w:ascii="Aptos" w:hAnsi="Aptos" w:cs="Helvetica"/>
                <w:color w:val="FFFFFF" w:themeColor="background1"/>
              </w:rPr>
              <w:t xml:space="preserve"> </w:t>
            </w:r>
          </w:p>
        </w:tc>
        <w:tc>
          <w:tcPr>
            <w:tcW w:w="6509" w:type="dxa"/>
            <w:shd w:val="clear" w:color="auto" w:fill="2F5496" w:themeFill="accent1" w:themeFillShade="BF"/>
          </w:tcPr>
          <w:p w14:paraId="372A81CD" w14:textId="7E2F7C19" w:rsidR="00557E50" w:rsidRPr="00A424FC" w:rsidRDefault="00AC3309" w:rsidP="000E43BE">
            <w:pPr>
              <w:rPr>
                <w:rFonts w:ascii="Aptos" w:hAnsi="Aptos" w:cs="Helvetica"/>
                <w:color w:val="FFFFFF" w:themeColor="background1"/>
              </w:rPr>
            </w:pPr>
            <w:r w:rsidRPr="00A424FC">
              <w:rPr>
                <w:rFonts w:ascii="Aptos" w:hAnsi="Aptos" w:cs="Helvetica"/>
                <w:color w:val="FFFFFF" w:themeColor="background1"/>
              </w:rPr>
              <w:t xml:space="preserve">The </w:t>
            </w:r>
            <w:r w:rsidR="00BA3AD4" w:rsidRPr="00A424FC">
              <w:rPr>
                <w:rFonts w:ascii="Aptos" w:hAnsi="Aptos" w:cs="Helvetica"/>
                <w:color w:val="FFFFFF" w:themeColor="background1"/>
              </w:rPr>
              <w:t xml:space="preserve">technical screening criteria for the first three priority sectors for development against the climate change mitigation objective </w:t>
            </w:r>
            <w:r w:rsidR="0092700D" w:rsidRPr="00A424FC">
              <w:rPr>
                <w:rFonts w:ascii="Aptos" w:hAnsi="Aptos" w:cs="Helvetica"/>
                <w:color w:val="FFFFFF" w:themeColor="background1"/>
              </w:rPr>
              <w:t xml:space="preserve"> </w:t>
            </w:r>
          </w:p>
        </w:tc>
      </w:tr>
      <w:tr w:rsidR="00AC3309" w:rsidRPr="00A424FC" w14:paraId="439A0522" w14:textId="77777777">
        <w:tc>
          <w:tcPr>
            <w:tcW w:w="9623" w:type="dxa"/>
            <w:gridSpan w:val="2"/>
            <w:shd w:val="clear" w:color="auto" w:fill="FFFFFF" w:themeFill="background1"/>
          </w:tcPr>
          <w:p w14:paraId="59F54C9D" w14:textId="77777777" w:rsidR="00AC3309" w:rsidRPr="00A424FC" w:rsidRDefault="00AC3309" w:rsidP="00532C2B">
            <w:pPr>
              <w:rPr>
                <w:rFonts w:ascii="Aptos" w:hAnsi="Aptos" w:cs="Helvetica"/>
              </w:rPr>
            </w:pPr>
          </w:p>
          <w:p w14:paraId="6C4A1C20" w14:textId="2E83584C" w:rsidR="008A54A7" w:rsidRDefault="00511F70" w:rsidP="000A0A70">
            <w:pPr>
              <w:rPr>
                <w:rFonts w:ascii="Aptos" w:eastAsia="Calibri" w:hAnsi="Aptos" w:cs="Helvetica"/>
                <w:lang w:eastAsia="zh-CN"/>
              </w:rPr>
            </w:pPr>
            <w:r>
              <w:rPr>
                <w:rFonts w:ascii="Aptos" w:eastAsia="Calibri" w:hAnsi="Aptos" w:cs="Helvetica"/>
                <w:lang w:eastAsia="zh-CN"/>
              </w:rPr>
              <w:t xml:space="preserve">ASFI released v0.1 of the Australian sustainable finance taxonomy in </w:t>
            </w:r>
            <w:r w:rsidR="007113FF">
              <w:rPr>
                <w:rFonts w:ascii="Aptos" w:eastAsia="Calibri" w:hAnsi="Aptos" w:cs="Helvetica"/>
                <w:lang w:eastAsia="zh-CN"/>
              </w:rPr>
              <w:t>May 2024</w:t>
            </w:r>
            <w:r w:rsidR="008A54A7">
              <w:rPr>
                <w:rFonts w:ascii="Aptos" w:eastAsia="Calibri" w:hAnsi="Aptos" w:cs="Helvetica"/>
                <w:lang w:eastAsia="zh-CN"/>
              </w:rPr>
              <w:t xml:space="preserve"> (</w:t>
            </w:r>
            <w:r w:rsidR="008A54A7" w:rsidRPr="008A54A7">
              <w:rPr>
                <w:rFonts w:ascii="Aptos" w:eastAsia="Calibri" w:hAnsi="Aptos" w:cs="Helvetica"/>
                <w:b/>
                <w:bCs/>
                <w:u w:val="single"/>
                <w:lang w:eastAsia="zh-CN"/>
              </w:rPr>
              <w:t>Appendix D</w:t>
            </w:r>
            <w:r w:rsidR="008A54A7">
              <w:rPr>
                <w:rFonts w:ascii="Aptos" w:eastAsia="Calibri" w:hAnsi="Aptos" w:cs="Helvetica"/>
                <w:lang w:eastAsia="zh-CN"/>
              </w:rPr>
              <w:t>)</w:t>
            </w:r>
            <w:r w:rsidR="00365EB3">
              <w:rPr>
                <w:rFonts w:ascii="Aptos" w:eastAsia="Calibri" w:hAnsi="Aptos" w:cs="Helvetica"/>
                <w:lang w:eastAsia="zh-CN"/>
              </w:rPr>
              <w:t xml:space="preserve">. This version was informed by the methodology reports and endorsed by the TTEG for public consultation. It </w:t>
            </w:r>
            <w:r w:rsidR="008A54A7">
              <w:rPr>
                <w:rFonts w:ascii="Aptos" w:eastAsia="Calibri" w:hAnsi="Aptos" w:cs="Helvetica"/>
                <w:lang w:eastAsia="zh-CN"/>
              </w:rPr>
              <w:t xml:space="preserve">includes the </w:t>
            </w:r>
            <w:r w:rsidR="008A54A7" w:rsidRPr="00A424FC">
              <w:rPr>
                <w:rFonts w:ascii="Aptos" w:eastAsia="Calibri" w:hAnsi="Aptos" w:cs="Helvetica"/>
                <w:lang w:eastAsia="zh-CN"/>
              </w:rPr>
              <w:t>draft climate change mitigation technical screening criteria (TSC) for the</w:t>
            </w:r>
            <w:r w:rsidR="008A54A7">
              <w:rPr>
                <w:rFonts w:ascii="Aptos" w:eastAsia="Calibri" w:hAnsi="Aptos" w:cs="Helvetica"/>
                <w:lang w:eastAsia="zh-CN"/>
              </w:rPr>
              <w:t xml:space="preserve"> first three priority sectors for development:</w:t>
            </w:r>
            <w:r w:rsidR="008A54A7" w:rsidRPr="00A424FC">
              <w:rPr>
                <w:rFonts w:ascii="Aptos" w:eastAsia="Calibri" w:hAnsi="Aptos" w:cs="Helvetica"/>
                <w:lang w:eastAsia="zh-CN"/>
              </w:rPr>
              <w:t xml:space="preserve"> </w:t>
            </w:r>
            <w:r w:rsidR="008A54A7">
              <w:rPr>
                <w:rFonts w:ascii="Aptos" w:eastAsia="Calibri" w:hAnsi="Aptos" w:cs="Helvetica"/>
                <w:lang w:eastAsia="zh-CN"/>
              </w:rPr>
              <w:t xml:space="preserve">electricity generation and supply; minerals, </w:t>
            </w:r>
            <w:proofErr w:type="gramStart"/>
            <w:r w:rsidR="008A54A7">
              <w:rPr>
                <w:rFonts w:ascii="Aptos" w:eastAsia="Calibri" w:hAnsi="Aptos" w:cs="Helvetica"/>
                <w:lang w:eastAsia="zh-CN"/>
              </w:rPr>
              <w:t>mining</w:t>
            </w:r>
            <w:proofErr w:type="gramEnd"/>
            <w:r w:rsidR="008A54A7">
              <w:rPr>
                <w:rFonts w:ascii="Aptos" w:eastAsia="Calibri" w:hAnsi="Aptos" w:cs="Helvetica"/>
                <w:lang w:eastAsia="zh-CN"/>
              </w:rPr>
              <w:t xml:space="preserve"> and metals; and construction and the built environment. </w:t>
            </w:r>
          </w:p>
          <w:p w14:paraId="6666386D" w14:textId="77777777" w:rsidR="00E04BBC" w:rsidRPr="00A424FC" w:rsidRDefault="00E04BBC" w:rsidP="00E04BBC">
            <w:pPr>
              <w:rPr>
                <w:rFonts w:ascii="Aptos" w:hAnsi="Aptos" w:cs="Helvetica"/>
                <w:lang w:eastAsia="zh-CN"/>
              </w:rPr>
            </w:pPr>
          </w:p>
          <w:p w14:paraId="62507F8C" w14:textId="77777777" w:rsidR="00E04BBC" w:rsidRPr="00365EB3" w:rsidRDefault="00E04BBC" w:rsidP="00E04BBC">
            <w:pPr>
              <w:rPr>
                <w:rFonts w:ascii="Aptos" w:hAnsi="Aptos" w:cs="Helvetica"/>
                <w:u w:val="single"/>
              </w:rPr>
            </w:pPr>
            <w:r w:rsidRPr="00365EB3">
              <w:rPr>
                <w:rFonts w:ascii="Aptos" w:hAnsi="Aptos" w:cs="Helvetica"/>
                <w:u w:val="single"/>
              </w:rPr>
              <w:t>Data and information relied upon</w:t>
            </w:r>
          </w:p>
          <w:p w14:paraId="2BC43455" w14:textId="77777777" w:rsidR="004629D2" w:rsidRDefault="004629D2" w:rsidP="00E04BBC">
            <w:pPr>
              <w:rPr>
                <w:rFonts w:ascii="Aptos" w:hAnsi="Aptos" w:cs="Helvetica"/>
                <w:lang w:eastAsia="zh-CN"/>
              </w:rPr>
            </w:pPr>
          </w:p>
          <w:p w14:paraId="08F98B7C" w14:textId="0B60BDF4" w:rsidR="00E04BBC" w:rsidRDefault="00E04BBC" w:rsidP="00E04BBC">
            <w:pPr>
              <w:rPr>
                <w:rFonts w:ascii="Aptos" w:hAnsi="Aptos" w:cs="Helvetica"/>
                <w:lang w:eastAsia="zh-CN"/>
              </w:rPr>
            </w:pPr>
            <w:r w:rsidRPr="00A424FC">
              <w:rPr>
                <w:rFonts w:ascii="Aptos" w:hAnsi="Aptos" w:cs="Helvetica"/>
                <w:lang w:eastAsia="zh-CN"/>
              </w:rPr>
              <w:t xml:space="preserve">The </w:t>
            </w:r>
            <w:r w:rsidR="004E0E70" w:rsidRPr="00A424FC">
              <w:rPr>
                <w:rFonts w:ascii="Aptos" w:hAnsi="Aptos" w:cs="Helvetica"/>
                <w:lang w:eastAsia="zh-CN"/>
              </w:rPr>
              <w:t xml:space="preserve">full list of </w:t>
            </w:r>
            <w:r w:rsidRPr="00A424FC">
              <w:rPr>
                <w:rFonts w:ascii="Aptos" w:hAnsi="Aptos" w:cs="Helvetica"/>
                <w:lang w:eastAsia="zh-CN"/>
              </w:rPr>
              <w:t>data and information relied on to develop the draft TSC for the first three priority sectors is</w:t>
            </w:r>
            <w:r w:rsidR="009F0B2E" w:rsidRPr="00A424FC">
              <w:rPr>
                <w:rFonts w:ascii="Aptos" w:hAnsi="Aptos" w:cs="Helvetica"/>
                <w:lang w:eastAsia="zh-CN"/>
              </w:rPr>
              <w:t xml:space="preserve"> referenced in </w:t>
            </w:r>
            <w:r w:rsidR="009F0B2E" w:rsidRPr="00A424FC">
              <w:rPr>
                <w:rFonts w:ascii="Aptos" w:hAnsi="Aptos" w:cs="Helvetica"/>
                <w:b/>
                <w:bCs/>
                <w:u w:val="single"/>
                <w:lang w:eastAsia="zh-CN"/>
              </w:rPr>
              <w:t>Appendix D</w:t>
            </w:r>
            <w:r w:rsidR="00AC73A6" w:rsidRPr="00175AAB">
              <w:rPr>
                <w:rFonts w:ascii="Aptos" w:hAnsi="Aptos" w:cs="Helvetica"/>
                <w:b/>
                <w:bCs/>
                <w:lang w:eastAsia="zh-CN"/>
              </w:rPr>
              <w:t xml:space="preserve"> </w:t>
            </w:r>
            <w:r w:rsidR="00175AAB" w:rsidRPr="00A424FC">
              <w:rPr>
                <w:rFonts w:ascii="Aptos" w:hAnsi="Aptos" w:cs="Helvetica"/>
                <w:lang w:eastAsia="zh-CN"/>
              </w:rPr>
              <w:t>(pp. 89-91)</w:t>
            </w:r>
            <w:r w:rsidR="00175AAB">
              <w:rPr>
                <w:rFonts w:ascii="Aptos" w:hAnsi="Aptos" w:cs="Helvetica"/>
                <w:lang w:eastAsia="zh-CN"/>
              </w:rPr>
              <w:t xml:space="preserve"> </w:t>
            </w:r>
            <w:r w:rsidR="00AC73A6" w:rsidRPr="00175AAB">
              <w:rPr>
                <w:rFonts w:ascii="Aptos" w:hAnsi="Aptos" w:cs="Helvetica"/>
                <w:lang w:eastAsia="zh-CN"/>
              </w:rPr>
              <w:t xml:space="preserve">and </w:t>
            </w:r>
            <w:r w:rsidR="00175AAB">
              <w:rPr>
                <w:rFonts w:ascii="Aptos" w:hAnsi="Aptos" w:cs="Helvetica"/>
                <w:b/>
                <w:bCs/>
                <w:u w:val="single"/>
                <w:lang w:eastAsia="zh-CN"/>
              </w:rPr>
              <w:t xml:space="preserve">Appendix </w:t>
            </w:r>
            <w:r w:rsidR="00AC73A6">
              <w:rPr>
                <w:rFonts w:ascii="Aptos" w:hAnsi="Aptos" w:cs="Helvetica"/>
                <w:b/>
                <w:bCs/>
                <w:u w:val="single"/>
                <w:lang w:eastAsia="zh-CN"/>
              </w:rPr>
              <w:t>E</w:t>
            </w:r>
            <w:r w:rsidR="004E0E70" w:rsidRPr="00A424FC">
              <w:rPr>
                <w:rFonts w:ascii="Aptos" w:hAnsi="Aptos" w:cs="Helvetica"/>
                <w:lang w:eastAsia="zh-CN"/>
              </w:rPr>
              <w:t xml:space="preserve">. </w:t>
            </w:r>
            <w:r w:rsidR="004A4F5A">
              <w:rPr>
                <w:rFonts w:ascii="Aptos" w:hAnsi="Aptos" w:cs="Helvetica"/>
                <w:lang w:eastAsia="zh-CN"/>
              </w:rPr>
              <w:t>The transition methodology report (</w:t>
            </w:r>
            <w:r w:rsidR="004A4F5A" w:rsidRPr="00EA4837">
              <w:rPr>
                <w:rFonts w:ascii="Aptos" w:hAnsi="Aptos" w:cs="Helvetica"/>
                <w:b/>
                <w:bCs/>
                <w:u w:val="single"/>
                <w:lang w:eastAsia="zh-CN"/>
              </w:rPr>
              <w:t>Appendix A</w:t>
            </w:r>
            <w:r w:rsidR="004A4F5A">
              <w:rPr>
                <w:rFonts w:ascii="Aptos" w:hAnsi="Aptos" w:cs="Helvetica"/>
                <w:lang w:eastAsia="zh-CN"/>
              </w:rPr>
              <w:t xml:space="preserve">) was also used to inform this work.  </w:t>
            </w:r>
          </w:p>
          <w:p w14:paraId="759439BC" w14:textId="77777777" w:rsidR="00365EB3" w:rsidRDefault="00365EB3" w:rsidP="00365EB3">
            <w:pPr>
              <w:rPr>
                <w:rFonts w:ascii="Aptos" w:eastAsia="Calibri" w:hAnsi="Aptos" w:cs="Helvetica"/>
                <w:b/>
                <w:bCs/>
                <w:lang w:eastAsia="zh-CN"/>
              </w:rPr>
            </w:pPr>
          </w:p>
          <w:p w14:paraId="5277D2BD" w14:textId="77777777" w:rsidR="00365EB3" w:rsidRPr="00365EB3" w:rsidRDefault="00365EB3" w:rsidP="00365EB3">
            <w:pPr>
              <w:rPr>
                <w:rFonts w:ascii="Aptos" w:hAnsi="Aptos" w:cs="Helvetica"/>
                <w:u w:val="single"/>
              </w:rPr>
            </w:pPr>
            <w:r w:rsidRPr="00365EB3">
              <w:rPr>
                <w:rFonts w:ascii="Aptos" w:eastAsia="Calibri" w:hAnsi="Aptos" w:cs="Helvetica"/>
                <w:u w:val="single"/>
              </w:rPr>
              <w:t>Next steps</w:t>
            </w:r>
          </w:p>
          <w:p w14:paraId="59DC76CC" w14:textId="77777777" w:rsidR="00365EB3" w:rsidRPr="00A424FC" w:rsidRDefault="00365EB3" w:rsidP="00365EB3">
            <w:pPr>
              <w:rPr>
                <w:rFonts w:ascii="Aptos" w:eastAsia="Calibri" w:hAnsi="Aptos" w:cs="Helvetica"/>
                <w:lang w:eastAsia="zh-CN"/>
              </w:rPr>
            </w:pPr>
          </w:p>
          <w:p w14:paraId="79C65DA7" w14:textId="37B4E4D9" w:rsidR="00365EB3" w:rsidRPr="00A424FC" w:rsidRDefault="00365EB3" w:rsidP="00365EB3">
            <w:pPr>
              <w:rPr>
                <w:rFonts w:ascii="Aptos" w:hAnsi="Aptos" w:cs="Helvetica"/>
                <w:lang w:eastAsia="zh-CN"/>
              </w:rPr>
            </w:pPr>
            <w:r w:rsidRPr="00A424FC">
              <w:rPr>
                <w:rFonts w:ascii="Aptos" w:hAnsi="Aptos" w:cs="Helvetica"/>
                <w:lang w:eastAsia="zh-CN"/>
              </w:rPr>
              <w:t xml:space="preserve">ASFI went out for public consultation on the </w:t>
            </w:r>
            <w:r>
              <w:rPr>
                <w:rFonts w:ascii="Aptos" w:hAnsi="Aptos" w:cs="Helvetica"/>
                <w:lang w:eastAsia="zh-CN"/>
              </w:rPr>
              <w:t xml:space="preserve">draft </w:t>
            </w:r>
            <w:r w:rsidRPr="00A424FC">
              <w:rPr>
                <w:rFonts w:ascii="Aptos" w:hAnsi="Aptos" w:cs="Helvetica"/>
                <w:lang w:eastAsia="zh-CN"/>
              </w:rPr>
              <w:t>TSC for the first three priority sectors for development in May-June 2024. Public consultation closes on 30 June, following which ASFI and its technical partners will engage with the relevant TAGs, TTEG committees, and full TTEG to incorporate feedback into v0.2 of the Australian sustainable finance taxonomy. ASFI will</w:t>
            </w:r>
            <w:r w:rsidR="00DE58D4">
              <w:rPr>
                <w:rFonts w:ascii="Aptos" w:hAnsi="Aptos" w:cs="Helvetica"/>
                <w:lang w:eastAsia="zh-CN"/>
              </w:rPr>
              <w:t xml:space="preserve"> publicly</w:t>
            </w:r>
            <w:r w:rsidRPr="00A424FC">
              <w:rPr>
                <w:rFonts w:ascii="Aptos" w:hAnsi="Aptos" w:cs="Helvetica"/>
                <w:lang w:eastAsia="zh-CN"/>
              </w:rPr>
              <w:t xml:space="preserve"> consult on </w:t>
            </w:r>
            <w:r>
              <w:rPr>
                <w:rFonts w:ascii="Aptos" w:hAnsi="Aptos" w:cs="Helvetica"/>
                <w:lang w:eastAsia="zh-CN"/>
              </w:rPr>
              <w:t>v0.2 of the taxonomy</w:t>
            </w:r>
            <w:r w:rsidR="00DE58D4">
              <w:rPr>
                <w:rFonts w:ascii="Aptos" w:hAnsi="Aptos" w:cs="Helvetica"/>
                <w:lang w:eastAsia="zh-CN"/>
              </w:rPr>
              <w:t xml:space="preserve"> in Q4 2024</w:t>
            </w:r>
            <w:r>
              <w:rPr>
                <w:rFonts w:ascii="Aptos" w:hAnsi="Aptos" w:cs="Helvetica"/>
                <w:lang w:eastAsia="zh-CN"/>
              </w:rPr>
              <w:t>,</w:t>
            </w:r>
            <w:r w:rsidRPr="00A424FC">
              <w:rPr>
                <w:rFonts w:ascii="Aptos" w:hAnsi="Aptos" w:cs="Helvetica"/>
                <w:lang w:eastAsia="zh-CN"/>
              </w:rPr>
              <w:t xml:space="preserve"> </w:t>
            </w:r>
            <w:r w:rsidR="00DE58D4">
              <w:rPr>
                <w:rFonts w:ascii="Aptos" w:hAnsi="Aptos" w:cs="Helvetica"/>
                <w:lang w:eastAsia="zh-CN"/>
              </w:rPr>
              <w:t>which will comprise</w:t>
            </w:r>
            <w:r w:rsidR="00DB2FE1">
              <w:rPr>
                <w:rFonts w:ascii="Aptos" w:hAnsi="Aptos" w:cs="Helvetica"/>
                <w:lang w:eastAsia="zh-CN"/>
              </w:rPr>
              <w:t xml:space="preserve"> updated TSC for</w:t>
            </w:r>
            <w:r w:rsidR="00DE58D4">
              <w:rPr>
                <w:rFonts w:ascii="Aptos" w:hAnsi="Aptos" w:cs="Helvetica"/>
                <w:lang w:eastAsia="zh-CN"/>
              </w:rPr>
              <w:t xml:space="preserve"> the </w:t>
            </w:r>
            <w:r w:rsidRPr="00A424FC">
              <w:rPr>
                <w:rFonts w:ascii="Aptos" w:hAnsi="Aptos" w:cs="Helvetica"/>
                <w:lang w:eastAsia="zh-CN"/>
              </w:rPr>
              <w:t xml:space="preserve">first three priority sectors for development as well as: </w:t>
            </w:r>
          </w:p>
          <w:p w14:paraId="4A03BEF0" w14:textId="77777777" w:rsidR="00365EB3" w:rsidRPr="00A424FC" w:rsidRDefault="00365EB3" w:rsidP="00365EB3">
            <w:pPr>
              <w:rPr>
                <w:rFonts w:ascii="Aptos" w:hAnsi="Aptos" w:cs="Helvetica"/>
                <w:lang w:eastAsia="zh-CN"/>
              </w:rPr>
            </w:pPr>
          </w:p>
          <w:p w14:paraId="0CC0CCFD" w14:textId="5670D938" w:rsidR="00365EB3" w:rsidRPr="00A424FC" w:rsidRDefault="00365EB3" w:rsidP="00365EB3">
            <w:pPr>
              <w:pStyle w:val="ListParagraph"/>
              <w:numPr>
                <w:ilvl w:val="0"/>
                <w:numId w:val="33"/>
              </w:numPr>
              <w:rPr>
                <w:rFonts w:ascii="Aptos" w:hAnsi="Aptos" w:cs="Helvetica"/>
                <w:sz w:val="24"/>
                <w:szCs w:val="24"/>
                <w:lang w:eastAsia="zh-CN"/>
              </w:rPr>
            </w:pPr>
            <w:r w:rsidRPr="00A424FC">
              <w:rPr>
                <w:rFonts w:ascii="Aptos" w:hAnsi="Aptos" w:cs="Helvetica"/>
                <w:sz w:val="24"/>
                <w:szCs w:val="24"/>
                <w:lang w:eastAsia="zh-CN"/>
              </w:rPr>
              <w:t xml:space="preserve">the draft climate change mitigation </w:t>
            </w:r>
            <w:r w:rsidR="00DB2FE1">
              <w:rPr>
                <w:rFonts w:ascii="Aptos" w:hAnsi="Aptos" w:cs="Helvetica"/>
                <w:sz w:val="24"/>
                <w:szCs w:val="24"/>
                <w:lang w:eastAsia="zh-CN"/>
              </w:rPr>
              <w:t>TSC</w:t>
            </w:r>
            <w:r w:rsidRPr="00A424FC">
              <w:rPr>
                <w:rFonts w:ascii="Aptos" w:hAnsi="Aptos" w:cs="Helvetica"/>
                <w:sz w:val="24"/>
                <w:szCs w:val="24"/>
                <w:lang w:eastAsia="zh-CN"/>
              </w:rPr>
              <w:t xml:space="preserve"> fo</w:t>
            </w:r>
            <w:r w:rsidR="00DE58D4">
              <w:rPr>
                <w:rFonts w:ascii="Aptos" w:hAnsi="Aptos" w:cs="Helvetica"/>
                <w:sz w:val="24"/>
                <w:szCs w:val="24"/>
                <w:lang w:eastAsia="zh-CN"/>
              </w:rPr>
              <w:t>r</w:t>
            </w:r>
            <w:r w:rsidRPr="00A424FC">
              <w:rPr>
                <w:rFonts w:ascii="Aptos" w:hAnsi="Aptos" w:cs="Helvetica"/>
                <w:sz w:val="24"/>
                <w:szCs w:val="24"/>
                <w:lang w:eastAsia="zh-CN"/>
              </w:rPr>
              <w:t xml:space="preserve"> transport; manufacturing and industry; and agriculture and </w:t>
            </w:r>
            <w:proofErr w:type="gramStart"/>
            <w:r w:rsidRPr="00A424FC">
              <w:rPr>
                <w:rFonts w:ascii="Aptos" w:hAnsi="Aptos" w:cs="Helvetica"/>
                <w:sz w:val="24"/>
                <w:szCs w:val="24"/>
                <w:lang w:eastAsia="zh-CN"/>
              </w:rPr>
              <w:t>land;</w:t>
            </w:r>
            <w:proofErr w:type="gramEnd"/>
            <w:r w:rsidRPr="00A424FC">
              <w:rPr>
                <w:rFonts w:ascii="Aptos" w:hAnsi="Aptos" w:cs="Helvetica"/>
                <w:sz w:val="24"/>
                <w:szCs w:val="24"/>
                <w:lang w:eastAsia="zh-CN"/>
              </w:rPr>
              <w:t xml:space="preserve"> </w:t>
            </w:r>
          </w:p>
          <w:p w14:paraId="5B84CA8B" w14:textId="77777777" w:rsidR="00365EB3" w:rsidRPr="00A424FC" w:rsidRDefault="00365EB3" w:rsidP="00365EB3">
            <w:pPr>
              <w:pStyle w:val="ListParagraph"/>
              <w:numPr>
                <w:ilvl w:val="0"/>
                <w:numId w:val="33"/>
              </w:numPr>
              <w:rPr>
                <w:rFonts w:ascii="Aptos" w:hAnsi="Aptos" w:cs="Helvetica"/>
                <w:sz w:val="24"/>
                <w:szCs w:val="24"/>
                <w:lang w:eastAsia="zh-CN"/>
              </w:rPr>
            </w:pPr>
            <w:r w:rsidRPr="00A424FC">
              <w:rPr>
                <w:rFonts w:ascii="Aptos" w:hAnsi="Aptos" w:cs="Helvetica"/>
                <w:sz w:val="24"/>
                <w:szCs w:val="24"/>
                <w:lang w:eastAsia="zh-CN"/>
              </w:rPr>
              <w:t xml:space="preserve">a DNSH </w:t>
            </w:r>
            <w:proofErr w:type="gramStart"/>
            <w:r w:rsidRPr="00A424FC">
              <w:rPr>
                <w:rFonts w:ascii="Aptos" w:hAnsi="Aptos" w:cs="Helvetica"/>
                <w:sz w:val="24"/>
                <w:szCs w:val="24"/>
                <w:lang w:eastAsia="zh-CN"/>
              </w:rPr>
              <w:t>framework;</w:t>
            </w:r>
            <w:proofErr w:type="gramEnd"/>
            <w:r w:rsidRPr="00A424FC">
              <w:rPr>
                <w:rFonts w:ascii="Aptos" w:hAnsi="Aptos" w:cs="Helvetica"/>
                <w:sz w:val="24"/>
                <w:szCs w:val="24"/>
                <w:lang w:eastAsia="zh-CN"/>
              </w:rPr>
              <w:t xml:space="preserve"> </w:t>
            </w:r>
          </w:p>
          <w:p w14:paraId="105B1F06" w14:textId="7C2ABEFE" w:rsidR="00365EB3" w:rsidRPr="00A424FC" w:rsidRDefault="00DB2FE1" w:rsidP="00365EB3">
            <w:pPr>
              <w:pStyle w:val="ListParagraph"/>
              <w:numPr>
                <w:ilvl w:val="0"/>
                <w:numId w:val="33"/>
              </w:numPr>
              <w:rPr>
                <w:rFonts w:ascii="Aptos" w:hAnsi="Aptos" w:cs="Helvetica"/>
                <w:sz w:val="24"/>
                <w:szCs w:val="24"/>
                <w:lang w:eastAsia="zh-CN"/>
              </w:rPr>
            </w:pPr>
            <w:r>
              <w:rPr>
                <w:rFonts w:ascii="Aptos" w:hAnsi="Aptos" w:cs="Helvetica"/>
                <w:sz w:val="24"/>
                <w:szCs w:val="24"/>
                <w:lang w:eastAsia="zh-CN"/>
              </w:rPr>
              <w:t>MSS criteria</w:t>
            </w:r>
            <w:r w:rsidR="00365EB3" w:rsidRPr="00A424FC">
              <w:rPr>
                <w:rFonts w:ascii="Aptos" w:hAnsi="Aptos" w:cs="Helvetica"/>
                <w:sz w:val="24"/>
                <w:szCs w:val="24"/>
                <w:lang w:eastAsia="zh-CN"/>
              </w:rPr>
              <w:t xml:space="preserve">; and </w:t>
            </w:r>
          </w:p>
          <w:p w14:paraId="43703B26" w14:textId="5B89A178" w:rsidR="00AC3309" w:rsidRPr="00365EB3" w:rsidRDefault="00365EB3" w:rsidP="00532C2B">
            <w:pPr>
              <w:pStyle w:val="ListParagraph"/>
              <w:numPr>
                <w:ilvl w:val="0"/>
                <w:numId w:val="33"/>
              </w:numPr>
              <w:rPr>
                <w:rFonts w:ascii="Aptos" w:hAnsi="Aptos" w:cs="Helvetica"/>
                <w:sz w:val="24"/>
                <w:szCs w:val="24"/>
                <w:lang w:eastAsia="zh-CN"/>
              </w:rPr>
            </w:pPr>
            <w:r w:rsidRPr="00A424FC">
              <w:rPr>
                <w:rFonts w:ascii="Aptos" w:hAnsi="Aptos" w:cs="Helvetica"/>
                <w:sz w:val="24"/>
                <w:szCs w:val="24"/>
                <w:lang w:eastAsia="zh-CN"/>
              </w:rPr>
              <w:t xml:space="preserve">advice for how taxonomy users can demonstrate alignment with the taxonomy. </w:t>
            </w:r>
          </w:p>
        </w:tc>
      </w:tr>
      <w:tr w:rsidR="00557E50" w:rsidRPr="00A424FC" w14:paraId="600CC2A9" w14:textId="77777777" w:rsidTr="00DB3659">
        <w:tc>
          <w:tcPr>
            <w:tcW w:w="3114" w:type="dxa"/>
            <w:shd w:val="clear" w:color="auto" w:fill="2F5496" w:themeFill="accent1" w:themeFillShade="BF"/>
          </w:tcPr>
          <w:p w14:paraId="13BAE537" w14:textId="3917E785" w:rsidR="00557E50" w:rsidRPr="00A424FC" w:rsidRDefault="007132A7" w:rsidP="000E43BE">
            <w:pPr>
              <w:rPr>
                <w:rFonts w:ascii="Aptos" w:hAnsi="Aptos" w:cs="Helvetica"/>
                <w:color w:val="FFFFFF" w:themeColor="background1"/>
              </w:rPr>
            </w:pPr>
            <w:r w:rsidRPr="00A424FC">
              <w:rPr>
                <w:rFonts w:ascii="Aptos" w:hAnsi="Aptos" w:cs="Helvetica"/>
                <w:color w:val="FFFFFF" w:themeColor="background1"/>
              </w:rPr>
              <w:t>Deliverable</w:t>
            </w:r>
            <w:r w:rsidR="00680245" w:rsidRPr="00A424FC">
              <w:rPr>
                <w:rFonts w:ascii="Aptos" w:hAnsi="Aptos" w:cs="Helvetica"/>
                <w:color w:val="FFFFFF" w:themeColor="background1"/>
              </w:rPr>
              <w:t xml:space="preserve"> 5: </w:t>
            </w:r>
            <w:r w:rsidR="00054621" w:rsidRPr="00A424FC">
              <w:rPr>
                <w:rFonts w:ascii="Aptos" w:hAnsi="Aptos" w:cs="Helvetica"/>
                <w:color w:val="FFFFFF" w:themeColor="background1"/>
              </w:rPr>
              <w:t xml:space="preserve">Other environmental and social objectives </w:t>
            </w:r>
          </w:p>
        </w:tc>
        <w:tc>
          <w:tcPr>
            <w:tcW w:w="6509" w:type="dxa"/>
            <w:shd w:val="clear" w:color="auto" w:fill="2F5496" w:themeFill="accent1" w:themeFillShade="BF"/>
          </w:tcPr>
          <w:p w14:paraId="03F81A11" w14:textId="22E9C2A7" w:rsidR="00557E50" w:rsidRPr="00A424FC" w:rsidRDefault="00825160" w:rsidP="000E43BE">
            <w:pPr>
              <w:rPr>
                <w:rFonts w:ascii="Aptos" w:hAnsi="Aptos" w:cs="Helvetica"/>
                <w:color w:val="FFFFFF" w:themeColor="background1"/>
              </w:rPr>
            </w:pPr>
            <w:r w:rsidRPr="00A424FC">
              <w:rPr>
                <w:rFonts w:ascii="Aptos" w:hAnsi="Aptos" w:cs="Helvetica"/>
                <w:color w:val="FFFFFF" w:themeColor="background1"/>
              </w:rPr>
              <w:t xml:space="preserve">Environmental objective headline ambitions and </w:t>
            </w:r>
            <w:r w:rsidR="000D73BA">
              <w:rPr>
                <w:rFonts w:ascii="Aptos" w:hAnsi="Aptos" w:cs="Helvetica"/>
                <w:color w:val="FFFFFF" w:themeColor="background1"/>
              </w:rPr>
              <w:t>social objective</w:t>
            </w:r>
            <w:r w:rsidRPr="00A424FC">
              <w:rPr>
                <w:rFonts w:ascii="Aptos" w:hAnsi="Aptos" w:cs="Helvetica"/>
                <w:color w:val="FFFFFF" w:themeColor="background1"/>
              </w:rPr>
              <w:t xml:space="preserve"> </w:t>
            </w:r>
            <w:r w:rsidR="000D73BA">
              <w:rPr>
                <w:rFonts w:ascii="Aptos" w:hAnsi="Aptos" w:cs="Helvetica"/>
                <w:color w:val="FFFFFF" w:themeColor="background1"/>
              </w:rPr>
              <w:t>core</w:t>
            </w:r>
            <w:r w:rsidRPr="00A424FC">
              <w:rPr>
                <w:rFonts w:ascii="Aptos" w:hAnsi="Aptos" w:cs="Helvetica"/>
                <w:color w:val="FFFFFF" w:themeColor="background1"/>
              </w:rPr>
              <w:t xml:space="preserve"> pillars</w:t>
            </w:r>
          </w:p>
        </w:tc>
      </w:tr>
      <w:tr w:rsidR="00AC3309" w:rsidRPr="00A424FC" w14:paraId="277CB3C8" w14:textId="77777777">
        <w:tc>
          <w:tcPr>
            <w:tcW w:w="9623" w:type="dxa"/>
            <w:gridSpan w:val="2"/>
            <w:shd w:val="clear" w:color="auto" w:fill="FFFFFF" w:themeFill="background1"/>
          </w:tcPr>
          <w:p w14:paraId="5E2CFDF7" w14:textId="77777777" w:rsidR="00E04BBC" w:rsidRPr="00A424FC" w:rsidRDefault="00E04BBC" w:rsidP="00B24344">
            <w:pPr>
              <w:rPr>
                <w:rFonts w:ascii="Aptos" w:hAnsi="Aptos" w:cs="Helvetica"/>
              </w:rPr>
            </w:pPr>
          </w:p>
          <w:p w14:paraId="06A187A2" w14:textId="6126269A" w:rsidR="00AC3309" w:rsidRDefault="00AC3309" w:rsidP="000E43BE">
            <w:pPr>
              <w:rPr>
                <w:rFonts w:ascii="Aptos" w:hAnsi="Aptos" w:cs="Helvetica"/>
              </w:rPr>
            </w:pPr>
            <w:r w:rsidRPr="00A424FC">
              <w:rPr>
                <w:rFonts w:ascii="Aptos" w:hAnsi="Aptos" w:cs="Helvetica"/>
              </w:rPr>
              <w:t xml:space="preserve">Climate change mitigation has been identified as the priority objective in the Australian taxonomy’s initial development phase. However, in line with the Australian Government’s broader policy ambitions, the taxonomy is being designed </w:t>
            </w:r>
            <w:r w:rsidR="00945FBA">
              <w:rPr>
                <w:rFonts w:ascii="Aptos" w:hAnsi="Aptos" w:cs="Helvetica"/>
              </w:rPr>
              <w:t xml:space="preserve">to </w:t>
            </w:r>
            <w:r w:rsidRPr="00A424FC">
              <w:rPr>
                <w:rFonts w:ascii="Aptos" w:hAnsi="Aptos" w:cs="Helvetica"/>
              </w:rPr>
              <w:t xml:space="preserve">provide a </w:t>
            </w:r>
            <w:r w:rsidR="00B24344" w:rsidRPr="00A424FC">
              <w:rPr>
                <w:rFonts w:ascii="Aptos" w:hAnsi="Aptos" w:cs="Helvetica"/>
              </w:rPr>
              <w:t>framework</w:t>
            </w:r>
            <w:r w:rsidRPr="00A424FC">
              <w:rPr>
                <w:rFonts w:ascii="Aptos" w:hAnsi="Aptos" w:cs="Helvetica"/>
              </w:rPr>
              <w:t xml:space="preserve"> to incorporate other sustainability-related issues</w:t>
            </w:r>
            <w:r w:rsidR="004A4F5A">
              <w:rPr>
                <w:rFonts w:ascii="Aptos" w:hAnsi="Aptos" w:cs="Helvetica"/>
              </w:rPr>
              <w:t xml:space="preserve"> over time</w:t>
            </w:r>
            <w:r w:rsidR="00C21381" w:rsidRPr="00A424FC">
              <w:rPr>
                <w:rFonts w:ascii="Aptos" w:hAnsi="Aptos" w:cs="Helvetica"/>
              </w:rPr>
              <w:t>,</w:t>
            </w:r>
            <w:r w:rsidRPr="00A424FC">
              <w:rPr>
                <w:rFonts w:ascii="Aptos" w:hAnsi="Aptos" w:cs="Helvetica"/>
              </w:rPr>
              <w:t xml:space="preserve"> with a focus on natural capital </w:t>
            </w:r>
            <w:r w:rsidRPr="00A424FC">
              <w:rPr>
                <w:rFonts w:ascii="Aptos" w:hAnsi="Aptos" w:cs="Helvetica"/>
              </w:rPr>
              <w:lastRenderedPageBreak/>
              <w:t>and biodiversity</w:t>
            </w:r>
            <w:r w:rsidR="00945FBA">
              <w:rPr>
                <w:rFonts w:ascii="Aptos" w:hAnsi="Aptos" w:cs="Helvetica"/>
              </w:rPr>
              <w:t xml:space="preserve">, as well as </w:t>
            </w:r>
            <w:r w:rsidRPr="00A424FC">
              <w:rPr>
                <w:rFonts w:ascii="Aptos" w:hAnsi="Aptos" w:cs="Helvetica"/>
              </w:rPr>
              <w:t>First Nations perspectives and supporting positive social and economic outcomes for First Nations people.</w:t>
            </w:r>
          </w:p>
          <w:p w14:paraId="4131AD26" w14:textId="77777777" w:rsidR="004629D2" w:rsidRDefault="004629D2" w:rsidP="000E43BE">
            <w:pPr>
              <w:rPr>
                <w:rFonts w:ascii="Aptos" w:hAnsi="Aptos" w:cs="Helvetica"/>
              </w:rPr>
            </w:pPr>
          </w:p>
          <w:p w14:paraId="0187E3BF" w14:textId="29083864" w:rsidR="004A4F5A" w:rsidRDefault="004A4F5A" w:rsidP="004A4F5A">
            <w:pPr>
              <w:rPr>
                <w:rFonts w:ascii="Aptos" w:eastAsia="Calibri" w:hAnsi="Aptos" w:cs="Helvetica"/>
                <w:lang w:eastAsia="zh-CN"/>
              </w:rPr>
            </w:pPr>
            <w:r>
              <w:rPr>
                <w:rFonts w:ascii="Aptos" w:eastAsia="Calibri" w:hAnsi="Aptos" w:cs="Helvetica"/>
                <w:lang w:eastAsia="zh-CN"/>
              </w:rPr>
              <w:t>Version 0.1 of the Australian sustainable finance taxonomy (</w:t>
            </w:r>
            <w:r w:rsidRPr="008A54A7">
              <w:rPr>
                <w:rFonts w:ascii="Aptos" w:eastAsia="Calibri" w:hAnsi="Aptos" w:cs="Helvetica"/>
                <w:b/>
                <w:bCs/>
                <w:u w:val="single"/>
                <w:lang w:eastAsia="zh-CN"/>
              </w:rPr>
              <w:t>Appendix D</w:t>
            </w:r>
            <w:r>
              <w:rPr>
                <w:rFonts w:ascii="Aptos" w:eastAsia="Calibri" w:hAnsi="Aptos" w:cs="Helvetica"/>
                <w:lang w:eastAsia="zh-CN"/>
              </w:rPr>
              <w:t>) sets out the taxonomy’s proposed environmental objective headline ambitions and core social pillars. These were informed by the DNSH and MSS methodology report (</w:t>
            </w:r>
            <w:r w:rsidRPr="004A4F5A">
              <w:rPr>
                <w:rFonts w:ascii="Aptos" w:eastAsia="Calibri" w:hAnsi="Aptos" w:cs="Helvetica"/>
                <w:b/>
                <w:bCs/>
                <w:u w:val="single"/>
                <w:lang w:eastAsia="zh-CN"/>
              </w:rPr>
              <w:t>Appendix B</w:t>
            </w:r>
            <w:r>
              <w:rPr>
                <w:rFonts w:ascii="Aptos" w:eastAsia="Calibri" w:hAnsi="Aptos" w:cs="Helvetica"/>
                <w:lang w:eastAsia="zh-CN"/>
              </w:rPr>
              <w:t xml:space="preserve">) and endorsed by the TTEG for public consultation. </w:t>
            </w:r>
          </w:p>
          <w:p w14:paraId="65DD9AC8" w14:textId="77777777" w:rsidR="004A4F5A" w:rsidRDefault="004A4F5A" w:rsidP="00A73587">
            <w:pPr>
              <w:rPr>
                <w:rFonts w:ascii="Aptos" w:hAnsi="Aptos" w:cs="Helvetica"/>
                <w:u w:val="single"/>
              </w:rPr>
            </w:pPr>
          </w:p>
          <w:p w14:paraId="5BAA2E10" w14:textId="4756BEAC" w:rsidR="006D5E56" w:rsidRPr="00A424FC" w:rsidRDefault="006D5E56" w:rsidP="00A73587">
            <w:pPr>
              <w:rPr>
                <w:rFonts w:ascii="Aptos" w:hAnsi="Aptos" w:cs="Helvetica"/>
                <w:u w:val="single"/>
              </w:rPr>
            </w:pPr>
            <w:r w:rsidRPr="00A424FC">
              <w:rPr>
                <w:rFonts w:ascii="Aptos" w:hAnsi="Aptos" w:cs="Helvetica"/>
                <w:u w:val="single"/>
              </w:rPr>
              <w:t xml:space="preserve">Environmental objectives and their headline ambitions </w:t>
            </w:r>
          </w:p>
          <w:p w14:paraId="147DAB34" w14:textId="77777777" w:rsidR="00E427B9" w:rsidRPr="00A424FC" w:rsidRDefault="00E427B9" w:rsidP="00A73587">
            <w:pPr>
              <w:rPr>
                <w:rFonts w:ascii="Aptos" w:hAnsi="Aptos" w:cs="Helvetica"/>
              </w:rPr>
            </w:pPr>
          </w:p>
          <w:p w14:paraId="15376FCA" w14:textId="669D4FF5" w:rsidR="00963DA3" w:rsidRDefault="0069433A" w:rsidP="00A73587">
            <w:pPr>
              <w:rPr>
                <w:rFonts w:ascii="Aptos" w:hAnsi="Aptos" w:cs="Helvetica"/>
              </w:rPr>
            </w:pPr>
            <w:r>
              <w:rPr>
                <w:rFonts w:ascii="Aptos" w:hAnsi="Aptos" w:cs="Helvetica"/>
              </w:rPr>
              <w:t xml:space="preserve">As established in </w:t>
            </w:r>
            <w:r w:rsidRPr="0069433A">
              <w:rPr>
                <w:rFonts w:ascii="Aptos" w:hAnsi="Aptos" w:cs="Helvetica"/>
                <w:b/>
                <w:bCs/>
                <w:u w:val="single"/>
              </w:rPr>
              <w:t>Appendix B</w:t>
            </w:r>
            <w:r>
              <w:rPr>
                <w:rFonts w:ascii="Aptos" w:hAnsi="Aptos" w:cs="Helvetica"/>
              </w:rPr>
              <w:t>, t</w:t>
            </w:r>
            <w:r w:rsidR="00963DA3" w:rsidRPr="00A424FC">
              <w:rPr>
                <w:rFonts w:ascii="Aptos" w:hAnsi="Aptos" w:cs="Helvetica"/>
              </w:rPr>
              <w:t xml:space="preserve">he Australian taxonomy’s environmental objectives are: </w:t>
            </w:r>
          </w:p>
          <w:p w14:paraId="7EB4D802" w14:textId="77777777" w:rsidR="00945FBA" w:rsidRPr="00A424FC" w:rsidRDefault="00945FBA" w:rsidP="00A73587">
            <w:pPr>
              <w:rPr>
                <w:rFonts w:ascii="Aptos" w:hAnsi="Aptos" w:cs="Helvetica"/>
              </w:rPr>
            </w:pPr>
          </w:p>
          <w:p w14:paraId="0D902AD5" w14:textId="77777777" w:rsidR="00E5192F" w:rsidRPr="00A424FC" w:rsidRDefault="00E5192F" w:rsidP="00A6375F">
            <w:pPr>
              <w:pStyle w:val="ListParagraph"/>
              <w:numPr>
                <w:ilvl w:val="0"/>
                <w:numId w:val="36"/>
              </w:numPr>
              <w:rPr>
                <w:rFonts w:ascii="Aptos" w:hAnsi="Aptos" w:cs="Helvetica"/>
                <w:sz w:val="24"/>
                <w:szCs w:val="24"/>
              </w:rPr>
            </w:pPr>
            <w:r w:rsidRPr="00A424FC">
              <w:rPr>
                <w:rFonts w:ascii="Aptos" w:hAnsi="Aptos" w:cs="Helvetica"/>
                <w:sz w:val="24"/>
                <w:szCs w:val="24"/>
              </w:rPr>
              <w:t xml:space="preserve">climate change </w:t>
            </w:r>
            <w:proofErr w:type="gramStart"/>
            <w:r w:rsidRPr="00A424FC">
              <w:rPr>
                <w:rFonts w:ascii="Aptos" w:hAnsi="Aptos" w:cs="Helvetica"/>
                <w:sz w:val="24"/>
                <w:szCs w:val="24"/>
              </w:rPr>
              <w:t>mitigation;</w:t>
            </w:r>
            <w:proofErr w:type="gramEnd"/>
            <w:r w:rsidRPr="00A424FC">
              <w:rPr>
                <w:rFonts w:ascii="Aptos" w:hAnsi="Aptos" w:cs="Helvetica"/>
                <w:sz w:val="24"/>
                <w:szCs w:val="24"/>
              </w:rPr>
              <w:t xml:space="preserve"> </w:t>
            </w:r>
          </w:p>
          <w:p w14:paraId="04F02466" w14:textId="77777777" w:rsidR="00E5192F" w:rsidRPr="00A424FC" w:rsidRDefault="00E5192F" w:rsidP="00A6375F">
            <w:pPr>
              <w:pStyle w:val="ListParagraph"/>
              <w:numPr>
                <w:ilvl w:val="0"/>
                <w:numId w:val="36"/>
              </w:numPr>
              <w:rPr>
                <w:rFonts w:ascii="Aptos" w:hAnsi="Aptos" w:cs="Helvetica"/>
                <w:sz w:val="24"/>
                <w:szCs w:val="24"/>
              </w:rPr>
            </w:pPr>
            <w:r w:rsidRPr="00A424FC">
              <w:rPr>
                <w:rFonts w:ascii="Aptos" w:hAnsi="Aptos" w:cs="Helvetica"/>
                <w:sz w:val="24"/>
                <w:szCs w:val="24"/>
              </w:rPr>
              <w:t xml:space="preserve">climate change adaptation and </w:t>
            </w:r>
            <w:proofErr w:type="gramStart"/>
            <w:r w:rsidRPr="00A424FC">
              <w:rPr>
                <w:rFonts w:ascii="Aptos" w:hAnsi="Aptos" w:cs="Helvetica"/>
                <w:sz w:val="24"/>
                <w:szCs w:val="24"/>
              </w:rPr>
              <w:t>resilience;</w:t>
            </w:r>
            <w:proofErr w:type="gramEnd"/>
            <w:r w:rsidRPr="00A424FC">
              <w:rPr>
                <w:rFonts w:ascii="Aptos" w:hAnsi="Aptos" w:cs="Helvetica"/>
                <w:sz w:val="24"/>
                <w:szCs w:val="24"/>
              </w:rPr>
              <w:t xml:space="preserve"> </w:t>
            </w:r>
          </w:p>
          <w:p w14:paraId="7ED34D27" w14:textId="4CD2B69E" w:rsidR="00B24344" w:rsidRPr="00A424FC" w:rsidRDefault="00E5192F" w:rsidP="00A6375F">
            <w:pPr>
              <w:pStyle w:val="ListParagraph"/>
              <w:numPr>
                <w:ilvl w:val="0"/>
                <w:numId w:val="36"/>
              </w:numPr>
              <w:rPr>
                <w:rFonts w:ascii="Aptos" w:hAnsi="Aptos" w:cs="Helvetica"/>
                <w:sz w:val="24"/>
                <w:szCs w:val="24"/>
              </w:rPr>
            </w:pPr>
            <w:r w:rsidRPr="00A424FC">
              <w:rPr>
                <w:rFonts w:ascii="Aptos" w:hAnsi="Aptos" w:cs="Helvetica"/>
                <w:sz w:val="24"/>
                <w:szCs w:val="24"/>
              </w:rPr>
              <w:t xml:space="preserve">biodiversity and ecosystem protection </w:t>
            </w:r>
          </w:p>
          <w:p w14:paraId="0D2E7E1D" w14:textId="212E29FC" w:rsidR="00E5192F" w:rsidRPr="00A424FC" w:rsidRDefault="00E5192F" w:rsidP="00A6375F">
            <w:pPr>
              <w:pStyle w:val="ListParagraph"/>
              <w:numPr>
                <w:ilvl w:val="0"/>
                <w:numId w:val="36"/>
              </w:numPr>
              <w:rPr>
                <w:rFonts w:ascii="Aptos" w:hAnsi="Aptos" w:cs="Helvetica"/>
                <w:sz w:val="24"/>
                <w:szCs w:val="24"/>
              </w:rPr>
            </w:pPr>
            <w:r w:rsidRPr="00A424FC">
              <w:rPr>
                <w:rFonts w:ascii="Aptos" w:hAnsi="Aptos" w:cs="Helvetica"/>
                <w:sz w:val="24"/>
                <w:szCs w:val="24"/>
              </w:rPr>
              <w:t xml:space="preserve">sustainable use and protection of water </w:t>
            </w:r>
            <w:proofErr w:type="gramStart"/>
            <w:r w:rsidRPr="00A424FC">
              <w:rPr>
                <w:rFonts w:ascii="Aptos" w:hAnsi="Aptos" w:cs="Helvetica"/>
                <w:sz w:val="24"/>
                <w:szCs w:val="24"/>
              </w:rPr>
              <w:t>resources;</w:t>
            </w:r>
            <w:proofErr w:type="gramEnd"/>
            <w:r w:rsidRPr="00A424FC">
              <w:rPr>
                <w:rFonts w:ascii="Aptos" w:hAnsi="Aptos" w:cs="Helvetica"/>
                <w:sz w:val="24"/>
                <w:szCs w:val="24"/>
              </w:rPr>
              <w:t xml:space="preserve"> </w:t>
            </w:r>
          </w:p>
          <w:p w14:paraId="3447F011" w14:textId="0FE55002" w:rsidR="00E5192F" w:rsidRPr="00A424FC" w:rsidRDefault="00E5192F" w:rsidP="00A6375F">
            <w:pPr>
              <w:pStyle w:val="ListParagraph"/>
              <w:numPr>
                <w:ilvl w:val="0"/>
                <w:numId w:val="36"/>
              </w:numPr>
              <w:rPr>
                <w:rFonts w:ascii="Aptos" w:hAnsi="Aptos" w:cs="Helvetica"/>
                <w:sz w:val="24"/>
                <w:szCs w:val="24"/>
              </w:rPr>
            </w:pPr>
            <w:r w:rsidRPr="00A424FC">
              <w:rPr>
                <w:rFonts w:ascii="Aptos" w:hAnsi="Aptos" w:cs="Helvetica"/>
                <w:sz w:val="24"/>
                <w:szCs w:val="24"/>
              </w:rPr>
              <w:t xml:space="preserve">pollution prevention and control; and </w:t>
            </w:r>
          </w:p>
          <w:p w14:paraId="5C88BED2" w14:textId="465197A8" w:rsidR="00963DA3" w:rsidRPr="00A424FC" w:rsidRDefault="00E5192F" w:rsidP="00963DA3">
            <w:pPr>
              <w:pStyle w:val="ListParagraph"/>
              <w:numPr>
                <w:ilvl w:val="0"/>
                <w:numId w:val="36"/>
              </w:numPr>
              <w:rPr>
                <w:rFonts w:ascii="Aptos" w:hAnsi="Aptos" w:cs="Helvetica"/>
                <w:sz w:val="24"/>
                <w:szCs w:val="24"/>
              </w:rPr>
            </w:pPr>
            <w:r w:rsidRPr="00A424FC">
              <w:rPr>
                <w:rFonts w:ascii="Aptos" w:hAnsi="Aptos" w:cs="Helvetica"/>
                <w:sz w:val="24"/>
                <w:szCs w:val="24"/>
              </w:rPr>
              <w:t>transition to a circular economy.</w:t>
            </w:r>
          </w:p>
          <w:p w14:paraId="72BD2001" w14:textId="284E7778" w:rsidR="000C15DE" w:rsidRPr="00A424FC" w:rsidRDefault="00A6375F" w:rsidP="003132EE">
            <w:pPr>
              <w:rPr>
                <w:rFonts w:ascii="Aptos" w:hAnsi="Aptos" w:cs="Helvetica"/>
              </w:rPr>
            </w:pPr>
            <w:r w:rsidRPr="00A424FC">
              <w:rPr>
                <w:rFonts w:ascii="Aptos" w:hAnsi="Aptos" w:cs="Helvetica"/>
              </w:rPr>
              <w:t>The Australian taxonomy’s environmental objectives are expressed as headline ambitions. Headline ambitions are th</w:t>
            </w:r>
            <w:r w:rsidR="00945FBA">
              <w:rPr>
                <w:rFonts w:ascii="Aptos" w:hAnsi="Aptos" w:cs="Helvetica"/>
              </w:rPr>
              <w:t>e</w:t>
            </w:r>
            <w:r w:rsidRPr="00A424FC">
              <w:rPr>
                <w:rFonts w:ascii="Aptos" w:hAnsi="Aptos" w:cs="Helvetica"/>
              </w:rPr>
              <w:t xml:space="preserve"> aspirational goals linked to each environmental objective</w:t>
            </w:r>
            <w:r w:rsidR="00945FBA">
              <w:rPr>
                <w:rFonts w:ascii="Aptos" w:hAnsi="Aptos" w:cs="Helvetica"/>
              </w:rPr>
              <w:t>.</w:t>
            </w:r>
            <w:r w:rsidRPr="00A424FC">
              <w:rPr>
                <w:rFonts w:ascii="Aptos" w:hAnsi="Aptos" w:cs="Helvetica"/>
              </w:rPr>
              <w:t xml:space="preserve"> </w:t>
            </w:r>
            <w:r w:rsidR="00963DA3" w:rsidRPr="00A424FC">
              <w:rPr>
                <w:rFonts w:ascii="Aptos" w:hAnsi="Aptos" w:cs="Helvetica"/>
              </w:rPr>
              <w:t xml:space="preserve">The proposed headline ambitions for the Australian taxonomy’s six environmental objective are </w:t>
            </w:r>
            <w:r w:rsidR="0016062F">
              <w:rPr>
                <w:rFonts w:ascii="Aptos" w:hAnsi="Aptos" w:cs="Helvetica"/>
              </w:rPr>
              <w:t>set out</w:t>
            </w:r>
            <w:r w:rsidR="00963DA3" w:rsidRPr="00A424FC">
              <w:rPr>
                <w:rFonts w:ascii="Aptos" w:hAnsi="Aptos" w:cs="Helvetica"/>
              </w:rPr>
              <w:t xml:space="preserve"> in</w:t>
            </w:r>
            <w:r w:rsidR="00963DA3" w:rsidRPr="0016062F">
              <w:rPr>
                <w:rFonts w:ascii="Aptos" w:hAnsi="Aptos" w:cs="Helvetica"/>
                <w:b/>
                <w:bCs/>
              </w:rPr>
              <w:t xml:space="preserve"> </w:t>
            </w:r>
            <w:r w:rsidR="00963DA3" w:rsidRPr="00A424FC">
              <w:rPr>
                <w:rFonts w:ascii="Aptos" w:hAnsi="Aptos" w:cs="Helvetica"/>
                <w:b/>
                <w:bCs/>
                <w:u w:val="single"/>
              </w:rPr>
              <w:t>Appendix D</w:t>
            </w:r>
            <w:r w:rsidR="00963DA3" w:rsidRPr="00A424FC">
              <w:rPr>
                <w:rFonts w:ascii="Aptos" w:hAnsi="Aptos" w:cs="Helvetica"/>
              </w:rPr>
              <w:t xml:space="preserve">. </w:t>
            </w:r>
          </w:p>
          <w:p w14:paraId="6FD1C8E8" w14:textId="77777777" w:rsidR="005E6D11" w:rsidRPr="00A424FC" w:rsidRDefault="005E6D11" w:rsidP="005E6D11">
            <w:pPr>
              <w:rPr>
                <w:rFonts w:ascii="Aptos" w:eastAsia="Calibri" w:hAnsi="Aptos" w:cs="Helvetica"/>
                <w:i/>
                <w:iCs/>
                <w:u w:val="single"/>
              </w:rPr>
            </w:pPr>
          </w:p>
          <w:p w14:paraId="5E157014" w14:textId="77777777" w:rsidR="005E6D11" w:rsidRPr="00A424FC" w:rsidRDefault="005E6D11" w:rsidP="005E6D11">
            <w:pPr>
              <w:rPr>
                <w:rFonts w:ascii="Aptos" w:hAnsi="Aptos" w:cs="Helvetica"/>
                <w:u w:val="single"/>
              </w:rPr>
            </w:pPr>
            <w:r w:rsidRPr="00A424FC">
              <w:rPr>
                <w:rFonts w:ascii="Aptos" w:hAnsi="Aptos" w:cs="Helvetica"/>
                <w:u w:val="single"/>
              </w:rPr>
              <w:t>Data and information relied upon</w:t>
            </w:r>
          </w:p>
          <w:p w14:paraId="77799C95" w14:textId="77777777" w:rsidR="005E6D11" w:rsidRPr="00A424FC" w:rsidRDefault="005E6D11" w:rsidP="005E6D11">
            <w:pPr>
              <w:rPr>
                <w:rFonts w:ascii="Aptos" w:hAnsi="Aptos" w:cs="Helvetica"/>
                <w:lang w:eastAsia="zh-CN"/>
              </w:rPr>
            </w:pPr>
          </w:p>
          <w:p w14:paraId="0F7900DC" w14:textId="725FC299" w:rsidR="005E6D11" w:rsidRPr="00A424FC" w:rsidRDefault="005E6D11" w:rsidP="005E6D11">
            <w:pPr>
              <w:rPr>
                <w:rFonts w:ascii="Aptos" w:hAnsi="Aptos" w:cs="Helvetica"/>
                <w:lang w:eastAsia="zh-CN"/>
              </w:rPr>
            </w:pPr>
            <w:r w:rsidRPr="00A424FC">
              <w:rPr>
                <w:rFonts w:ascii="Aptos" w:hAnsi="Aptos" w:cs="Helvetica"/>
                <w:lang w:eastAsia="zh-CN"/>
              </w:rPr>
              <w:t xml:space="preserve">The Australian taxonomy’s headline ambitions are based on international climate and broader environmental agreements that Australia supports, such as the Paris Agreement and the Kunming-Montreal Global Biodiversity framework; underpinned by science-based information, including alignment to the </w:t>
            </w:r>
            <w:r w:rsidR="00AC73A6">
              <w:rPr>
                <w:rFonts w:ascii="Aptos" w:hAnsi="Aptos" w:cs="Helvetica"/>
              </w:rPr>
              <w:t>1.5</w:t>
            </w:r>
            <w:r w:rsidR="00AC73A6" w:rsidRPr="00003DA2">
              <w:rPr>
                <w:rFonts w:ascii="Aptos" w:hAnsi="Aptos" w:cs="Helvetica"/>
              </w:rPr>
              <w:t>°</w:t>
            </w:r>
            <w:r w:rsidR="00AC73A6">
              <w:rPr>
                <w:rFonts w:ascii="Aptos" w:hAnsi="Aptos" w:cs="Helvetica"/>
              </w:rPr>
              <w:t>C</w:t>
            </w:r>
            <w:r w:rsidRPr="00A424FC">
              <w:rPr>
                <w:rFonts w:ascii="Aptos" w:hAnsi="Aptos" w:cs="Helvetica"/>
                <w:lang w:eastAsia="zh-CN"/>
              </w:rPr>
              <w:t xml:space="preserve"> trajectory; and informed by local commitments and strategies on environmental objectives, including Australia’s response to international agreement or leadership on a particular area. </w:t>
            </w:r>
          </w:p>
          <w:p w14:paraId="286618CA" w14:textId="77777777" w:rsidR="005E6D11" w:rsidRPr="00A424FC" w:rsidRDefault="005E6D11" w:rsidP="000C15DE">
            <w:pPr>
              <w:rPr>
                <w:rFonts w:ascii="Aptos" w:hAnsi="Aptos" w:cs="Helvetica"/>
                <w:u w:val="single"/>
                <w:lang w:eastAsia="zh-CN"/>
              </w:rPr>
            </w:pPr>
          </w:p>
          <w:p w14:paraId="0CBE8CB8" w14:textId="1D9D797D" w:rsidR="006D5E56" w:rsidRPr="00A424FC" w:rsidRDefault="000D73BA" w:rsidP="000C15DE">
            <w:pPr>
              <w:rPr>
                <w:rFonts w:ascii="Aptos" w:hAnsi="Aptos" w:cs="Helvetica"/>
                <w:u w:val="single"/>
                <w:lang w:eastAsia="zh-CN"/>
              </w:rPr>
            </w:pPr>
            <w:r>
              <w:rPr>
                <w:rFonts w:ascii="Aptos" w:hAnsi="Aptos" w:cs="Helvetica"/>
                <w:u w:val="single"/>
                <w:lang w:eastAsia="zh-CN"/>
              </w:rPr>
              <w:t>Social objectives and their core pillars</w:t>
            </w:r>
          </w:p>
          <w:p w14:paraId="172D48EB" w14:textId="77777777" w:rsidR="006D5E56" w:rsidRPr="00A424FC" w:rsidRDefault="006D5E56" w:rsidP="000C15DE">
            <w:pPr>
              <w:rPr>
                <w:rFonts w:ascii="Aptos" w:hAnsi="Aptos" w:cs="Helvetica"/>
                <w:lang w:eastAsia="zh-CN"/>
              </w:rPr>
            </w:pPr>
          </w:p>
          <w:p w14:paraId="14449197" w14:textId="77777777" w:rsidR="00631F04" w:rsidRDefault="00631F04" w:rsidP="003132EE">
            <w:pPr>
              <w:rPr>
                <w:rFonts w:ascii="Aptos" w:eastAsia="Calibri" w:hAnsi="Aptos" w:cs="Helvetica"/>
              </w:rPr>
            </w:pPr>
            <w:r w:rsidRPr="00A424FC">
              <w:rPr>
                <w:rFonts w:ascii="Aptos" w:eastAsia="Calibri" w:hAnsi="Aptos" w:cs="Helvetica"/>
              </w:rPr>
              <w:t xml:space="preserve">The Australian taxonomy’s proposed social objectives and their underlying core pillars, as endorsed by the TTEG, are set out in </w:t>
            </w:r>
            <w:r w:rsidRPr="00A424FC">
              <w:rPr>
                <w:rFonts w:ascii="Aptos" w:eastAsia="Calibri" w:hAnsi="Aptos" w:cs="Helvetica"/>
                <w:b/>
                <w:bCs/>
                <w:u w:val="single"/>
              </w:rPr>
              <w:t>Appendix D</w:t>
            </w:r>
            <w:r w:rsidRPr="00A424FC">
              <w:rPr>
                <w:rFonts w:ascii="Aptos" w:eastAsia="Calibri" w:hAnsi="Aptos" w:cs="Helvetica"/>
              </w:rPr>
              <w:t xml:space="preserve">. </w:t>
            </w:r>
          </w:p>
          <w:p w14:paraId="6BC8BCE1" w14:textId="77777777" w:rsidR="00631F04" w:rsidRDefault="00631F04" w:rsidP="003132EE">
            <w:pPr>
              <w:rPr>
                <w:rFonts w:ascii="Aptos" w:eastAsia="Calibri" w:hAnsi="Aptos" w:cs="Helvetica"/>
              </w:rPr>
            </w:pPr>
          </w:p>
          <w:p w14:paraId="5FB385FA" w14:textId="2591F74B" w:rsidR="0014023E" w:rsidRDefault="00276A7C" w:rsidP="003132EE">
            <w:pPr>
              <w:rPr>
                <w:rFonts w:ascii="Aptos" w:eastAsia="Calibri" w:hAnsi="Aptos" w:cs="Helvetica"/>
              </w:rPr>
            </w:pPr>
            <w:r w:rsidRPr="00A424FC">
              <w:rPr>
                <w:rFonts w:ascii="Aptos" w:eastAsia="Calibri" w:hAnsi="Aptos" w:cs="Helvetica"/>
              </w:rPr>
              <w:t xml:space="preserve">The Australian taxonomy’s social objectives </w:t>
            </w:r>
            <w:r w:rsidR="00192EA3" w:rsidRPr="00A424FC">
              <w:rPr>
                <w:rFonts w:ascii="Aptos" w:eastAsia="Calibri" w:hAnsi="Aptos" w:cs="Helvetica"/>
              </w:rPr>
              <w:t xml:space="preserve">will inform the development of draft MSS criteria. </w:t>
            </w:r>
            <w:r w:rsidR="0014023E">
              <w:rPr>
                <w:rFonts w:ascii="Aptos" w:eastAsia="Calibri" w:hAnsi="Aptos" w:cs="Helvetica"/>
              </w:rPr>
              <w:t xml:space="preserve">The taxonomy’s three proposed social objectives are: elements of corporate governance; human rights; and First Nations </w:t>
            </w:r>
            <w:r w:rsidR="00631F04">
              <w:rPr>
                <w:rFonts w:ascii="Aptos" w:eastAsia="Calibri" w:hAnsi="Aptos" w:cs="Helvetica"/>
              </w:rPr>
              <w:t xml:space="preserve">rights and cultural heritage. </w:t>
            </w:r>
          </w:p>
          <w:p w14:paraId="311726E7" w14:textId="77777777" w:rsidR="006D5E56" w:rsidRDefault="006D5E56" w:rsidP="003132EE">
            <w:pPr>
              <w:rPr>
                <w:rFonts w:ascii="Aptos" w:eastAsia="Calibri" w:hAnsi="Aptos" w:cs="Helvetica"/>
                <w:i/>
                <w:iCs/>
                <w:u w:val="single"/>
              </w:rPr>
            </w:pPr>
          </w:p>
          <w:p w14:paraId="4123E8BF" w14:textId="2AD8E3F4" w:rsidR="008C585E" w:rsidRDefault="008C585E" w:rsidP="003132EE">
            <w:pPr>
              <w:rPr>
                <w:rFonts w:ascii="Aptos" w:eastAsia="Calibri" w:hAnsi="Aptos" w:cs="Helvetica"/>
                <w:u w:val="single"/>
              </w:rPr>
            </w:pPr>
            <w:r>
              <w:rPr>
                <w:rFonts w:ascii="Aptos" w:eastAsia="Calibri" w:hAnsi="Aptos" w:cs="Helvetica"/>
                <w:u w:val="single"/>
              </w:rPr>
              <w:t xml:space="preserve">Data and information relied upon </w:t>
            </w:r>
          </w:p>
          <w:p w14:paraId="6F4624AB" w14:textId="77777777" w:rsidR="008C585E" w:rsidRDefault="008C585E" w:rsidP="003132EE">
            <w:pPr>
              <w:rPr>
                <w:rFonts w:ascii="Aptos" w:eastAsia="Calibri" w:hAnsi="Aptos" w:cs="Helvetica"/>
                <w:u w:val="single"/>
              </w:rPr>
            </w:pPr>
          </w:p>
          <w:p w14:paraId="347C7D70" w14:textId="2A654885" w:rsidR="008C585E" w:rsidRPr="008C585E" w:rsidRDefault="0014023E" w:rsidP="003132EE">
            <w:pPr>
              <w:rPr>
                <w:rFonts w:ascii="Aptos" w:eastAsia="Calibri" w:hAnsi="Aptos" w:cs="Helvetica"/>
              </w:rPr>
            </w:pPr>
            <w:r>
              <w:rPr>
                <w:rFonts w:ascii="Aptos" w:eastAsia="Calibri" w:hAnsi="Aptos" w:cs="Helvetica"/>
              </w:rPr>
              <w:t>The Australian taxonomy’s proposed social o</w:t>
            </w:r>
            <w:r w:rsidR="00631F04">
              <w:rPr>
                <w:rFonts w:ascii="Aptos" w:eastAsia="Calibri" w:hAnsi="Aptos" w:cs="Helvetica"/>
              </w:rPr>
              <w:t xml:space="preserve">bjectives and their underlying core pillars are informed by international agreements Australia has signed or ratified; national legislation, standards, </w:t>
            </w:r>
            <w:proofErr w:type="gramStart"/>
            <w:r w:rsidR="00631F04">
              <w:rPr>
                <w:rFonts w:ascii="Aptos" w:eastAsia="Calibri" w:hAnsi="Aptos" w:cs="Helvetica"/>
              </w:rPr>
              <w:t>policies</w:t>
            </w:r>
            <w:proofErr w:type="gramEnd"/>
            <w:r w:rsidR="00631F04">
              <w:rPr>
                <w:rFonts w:ascii="Aptos" w:eastAsia="Calibri" w:hAnsi="Aptos" w:cs="Helvetica"/>
              </w:rPr>
              <w:t xml:space="preserve"> and strategies; </w:t>
            </w:r>
            <w:r w:rsidR="00F521A5">
              <w:rPr>
                <w:rFonts w:ascii="Aptos" w:eastAsia="Calibri" w:hAnsi="Aptos" w:cs="Helvetica"/>
              </w:rPr>
              <w:t xml:space="preserve">and disclosure and related expectations for corporates and investors. </w:t>
            </w:r>
          </w:p>
          <w:p w14:paraId="5F64ED73" w14:textId="77777777" w:rsidR="008C585E" w:rsidRPr="00A424FC" w:rsidRDefault="008C585E" w:rsidP="003132EE">
            <w:pPr>
              <w:rPr>
                <w:rFonts w:ascii="Aptos" w:eastAsia="Calibri" w:hAnsi="Aptos" w:cs="Helvetica"/>
                <w:i/>
                <w:iCs/>
                <w:u w:val="single"/>
              </w:rPr>
            </w:pPr>
          </w:p>
          <w:p w14:paraId="3D6EE9D9" w14:textId="13F78DE4" w:rsidR="00195953" w:rsidRPr="00A424FC" w:rsidRDefault="00195953" w:rsidP="003132EE">
            <w:pPr>
              <w:rPr>
                <w:rFonts w:ascii="Aptos" w:eastAsia="Calibri" w:hAnsi="Aptos" w:cs="Helvetica"/>
                <w:u w:val="single"/>
              </w:rPr>
            </w:pPr>
            <w:r w:rsidRPr="00A424FC">
              <w:rPr>
                <w:rFonts w:ascii="Aptos" w:eastAsia="Calibri" w:hAnsi="Aptos" w:cs="Helvetica"/>
                <w:u w:val="single"/>
              </w:rPr>
              <w:lastRenderedPageBreak/>
              <w:t>Next steps</w:t>
            </w:r>
          </w:p>
          <w:p w14:paraId="77204D11" w14:textId="77777777" w:rsidR="00C83980" w:rsidRPr="00A424FC" w:rsidRDefault="00C83980" w:rsidP="003132EE">
            <w:pPr>
              <w:rPr>
                <w:rFonts w:ascii="Aptos" w:hAnsi="Aptos" w:cs="Helvetica"/>
              </w:rPr>
            </w:pPr>
          </w:p>
          <w:p w14:paraId="2A92D84C" w14:textId="3EC75B0A" w:rsidR="00F521A5" w:rsidRDefault="008C585E" w:rsidP="008C585E">
            <w:pPr>
              <w:rPr>
                <w:rFonts w:ascii="Aptos" w:hAnsi="Aptos" w:cs="Helvetica"/>
                <w:lang w:eastAsia="zh-CN"/>
              </w:rPr>
            </w:pPr>
            <w:r w:rsidRPr="00A424FC">
              <w:rPr>
                <w:rFonts w:ascii="Aptos" w:hAnsi="Aptos" w:cs="Helvetica"/>
                <w:lang w:eastAsia="zh-CN"/>
              </w:rPr>
              <w:t>ASFI went out for public consultation on</w:t>
            </w:r>
            <w:r w:rsidR="00F521A5">
              <w:rPr>
                <w:rFonts w:ascii="Aptos" w:hAnsi="Aptos" w:cs="Helvetica"/>
                <w:lang w:eastAsia="zh-CN"/>
              </w:rPr>
              <w:t xml:space="preserve"> the draft environmental headline ambitions for the Australian taxonomy in </w:t>
            </w:r>
            <w:r w:rsidRPr="00A424FC">
              <w:rPr>
                <w:rFonts w:ascii="Aptos" w:hAnsi="Aptos" w:cs="Helvetica"/>
                <w:lang w:eastAsia="zh-CN"/>
              </w:rPr>
              <w:t xml:space="preserve">May-June 2024. Public consultation closes on 30 June, following which ASFI and its technical partners will engage with the </w:t>
            </w:r>
            <w:r w:rsidR="00F521A5">
              <w:rPr>
                <w:rFonts w:ascii="Aptos" w:hAnsi="Aptos" w:cs="Helvetica"/>
                <w:lang w:eastAsia="zh-CN"/>
              </w:rPr>
              <w:t xml:space="preserve">DNSH </w:t>
            </w:r>
            <w:r w:rsidRPr="00A424FC">
              <w:rPr>
                <w:rFonts w:ascii="Aptos" w:hAnsi="Aptos" w:cs="Helvetica"/>
                <w:lang w:eastAsia="zh-CN"/>
              </w:rPr>
              <w:t>TAG</w:t>
            </w:r>
            <w:r w:rsidR="00F521A5">
              <w:rPr>
                <w:rFonts w:ascii="Aptos" w:hAnsi="Aptos" w:cs="Helvetica"/>
                <w:lang w:eastAsia="zh-CN"/>
              </w:rPr>
              <w:t>, the DNSH</w:t>
            </w:r>
            <w:r w:rsidRPr="00A424FC">
              <w:rPr>
                <w:rFonts w:ascii="Aptos" w:hAnsi="Aptos" w:cs="Helvetica"/>
                <w:lang w:eastAsia="zh-CN"/>
              </w:rPr>
              <w:t xml:space="preserve"> TTEG </w:t>
            </w:r>
            <w:r w:rsidR="00F521A5">
              <w:rPr>
                <w:rFonts w:ascii="Aptos" w:hAnsi="Aptos" w:cs="Helvetica"/>
                <w:lang w:eastAsia="zh-CN"/>
              </w:rPr>
              <w:t>C</w:t>
            </w:r>
            <w:r w:rsidRPr="00A424FC">
              <w:rPr>
                <w:rFonts w:ascii="Aptos" w:hAnsi="Aptos" w:cs="Helvetica"/>
                <w:lang w:eastAsia="zh-CN"/>
              </w:rPr>
              <w:t xml:space="preserve">ommittee, and full TTEG to incorporate feedback </w:t>
            </w:r>
            <w:r w:rsidR="00F521A5">
              <w:rPr>
                <w:rFonts w:ascii="Aptos" w:hAnsi="Aptos" w:cs="Helvetica"/>
                <w:lang w:eastAsia="zh-CN"/>
              </w:rPr>
              <w:t xml:space="preserve">and reach a determination on the final headline ambition language. </w:t>
            </w:r>
            <w:r w:rsidR="00462BB9">
              <w:rPr>
                <w:rFonts w:ascii="Aptos" w:hAnsi="Aptos" w:cs="Helvetica"/>
                <w:lang w:eastAsia="zh-CN"/>
              </w:rPr>
              <w:t xml:space="preserve">ASFI and its technical partners will then use these headline ambitions to inform the development of generic and specific DNSH criteria. </w:t>
            </w:r>
          </w:p>
          <w:p w14:paraId="048ADD87" w14:textId="3933E68C" w:rsidR="00F521A5" w:rsidRDefault="00F521A5" w:rsidP="008C585E">
            <w:pPr>
              <w:rPr>
                <w:rFonts w:ascii="Aptos" w:hAnsi="Aptos" w:cs="Helvetica"/>
                <w:lang w:eastAsia="zh-CN"/>
              </w:rPr>
            </w:pPr>
          </w:p>
          <w:p w14:paraId="09D6F748" w14:textId="77777777" w:rsidR="00462BB9" w:rsidRDefault="00462BB9" w:rsidP="003132EE">
            <w:pPr>
              <w:rPr>
                <w:rFonts w:ascii="Aptos" w:hAnsi="Aptos" w:cs="Helvetica"/>
                <w:lang w:eastAsia="zh-CN"/>
              </w:rPr>
            </w:pPr>
            <w:r>
              <w:rPr>
                <w:rFonts w:ascii="Aptos" w:hAnsi="Aptos" w:cs="Helvetica"/>
                <w:lang w:eastAsia="zh-CN"/>
              </w:rPr>
              <w:t xml:space="preserve">ASFI and its technical partners are in the process of developing streamlined MSS criteria for the Australian taxonomy’s social objectives and core pillars, in consultation with the MSS TAG, the MSS TTEG Committee, and the full TTEG. </w:t>
            </w:r>
          </w:p>
          <w:p w14:paraId="28415ACC" w14:textId="77777777" w:rsidR="00462BB9" w:rsidRDefault="00462BB9" w:rsidP="003132EE">
            <w:pPr>
              <w:rPr>
                <w:rFonts w:ascii="Aptos" w:hAnsi="Aptos" w:cs="Helvetica"/>
                <w:lang w:eastAsia="zh-CN"/>
              </w:rPr>
            </w:pPr>
          </w:p>
          <w:p w14:paraId="142F276C" w14:textId="15D3C312" w:rsidR="00443717" w:rsidRPr="00A424FC" w:rsidRDefault="00462BB9" w:rsidP="003132EE">
            <w:pPr>
              <w:rPr>
                <w:rFonts w:ascii="Aptos" w:hAnsi="Aptos" w:cs="Helvetica"/>
              </w:rPr>
            </w:pPr>
            <w:r>
              <w:rPr>
                <w:rFonts w:ascii="Aptos" w:hAnsi="Aptos" w:cs="Helvetica"/>
                <w:lang w:eastAsia="zh-CN"/>
              </w:rPr>
              <w:t>Public consultation on th</w:t>
            </w:r>
            <w:r w:rsidR="00D5148F">
              <w:rPr>
                <w:rFonts w:ascii="Aptos" w:hAnsi="Aptos" w:cs="Helvetica"/>
                <w:lang w:eastAsia="zh-CN"/>
              </w:rPr>
              <w:t xml:space="preserve">e DNSH and MSS components of the Australian taxonomy </w:t>
            </w:r>
            <w:r>
              <w:rPr>
                <w:rFonts w:ascii="Aptos" w:hAnsi="Aptos" w:cs="Helvetica"/>
                <w:lang w:eastAsia="zh-CN"/>
              </w:rPr>
              <w:t xml:space="preserve">will commence in Q4 2024.  </w:t>
            </w:r>
          </w:p>
          <w:p w14:paraId="5FADBEC7" w14:textId="52FA94E4" w:rsidR="00AC3309" w:rsidRPr="00A424FC" w:rsidRDefault="00AC3309" w:rsidP="000E43BE">
            <w:pPr>
              <w:rPr>
                <w:rFonts w:ascii="Aptos" w:hAnsi="Aptos" w:cs="Helvetica"/>
              </w:rPr>
            </w:pPr>
          </w:p>
        </w:tc>
      </w:tr>
      <w:tr w:rsidR="009E0FC7" w:rsidRPr="00A424FC" w14:paraId="5ACCE02F" w14:textId="77777777" w:rsidTr="00DB3659">
        <w:tc>
          <w:tcPr>
            <w:tcW w:w="3114" w:type="dxa"/>
            <w:shd w:val="clear" w:color="auto" w:fill="2F5496" w:themeFill="accent1" w:themeFillShade="BF"/>
          </w:tcPr>
          <w:p w14:paraId="395C2ACD" w14:textId="5214118D" w:rsidR="009E0FC7" w:rsidRPr="00A424FC" w:rsidRDefault="007132A7" w:rsidP="000E43BE">
            <w:pPr>
              <w:rPr>
                <w:rFonts w:ascii="Aptos" w:hAnsi="Aptos" w:cs="Helvetica"/>
                <w:color w:val="FFFFFF" w:themeColor="background1"/>
              </w:rPr>
            </w:pPr>
            <w:r w:rsidRPr="00A424FC">
              <w:rPr>
                <w:rFonts w:ascii="Aptos" w:hAnsi="Aptos" w:cs="Helvetica"/>
                <w:color w:val="FFFFFF" w:themeColor="background1"/>
              </w:rPr>
              <w:lastRenderedPageBreak/>
              <w:t>Deliverable 6</w:t>
            </w:r>
            <w:r w:rsidR="000A4263" w:rsidRPr="00A424FC">
              <w:rPr>
                <w:rFonts w:ascii="Aptos" w:hAnsi="Aptos" w:cs="Helvetica"/>
                <w:color w:val="FFFFFF" w:themeColor="background1"/>
              </w:rPr>
              <w:t xml:space="preserve">: </w:t>
            </w:r>
            <w:r w:rsidR="00966212" w:rsidRPr="00A424FC">
              <w:rPr>
                <w:rFonts w:ascii="Aptos" w:hAnsi="Aptos" w:cs="Helvetica"/>
                <w:color w:val="FFFFFF" w:themeColor="background1"/>
              </w:rPr>
              <w:t>Public Consultation</w:t>
            </w:r>
          </w:p>
        </w:tc>
        <w:tc>
          <w:tcPr>
            <w:tcW w:w="6509" w:type="dxa"/>
            <w:shd w:val="clear" w:color="auto" w:fill="2F5496" w:themeFill="accent1" w:themeFillShade="BF"/>
          </w:tcPr>
          <w:p w14:paraId="1FE2CC85" w14:textId="2C687133" w:rsidR="009E0FC7" w:rsidRPr="00A424FC" w:rsidRDefault="0022730E" w:rsidP="000E43BE">
            <w:pPr>
              <w:rPr>
                <w:rFonts w:ascii="Aptos" w:hAnsi="Aptos" w:cs="Helvetica"/>
                <w:color w:val="FFFFFF" w:themeColor="background1"/>
              </w:rPr>
            </w:pPr>
            <w:r w:rsidRPr="00A424FC">
              <w:rPr>
                <w:rFonts w:ascii="Aptos" w:hAnsi="Aptos" w:cs="Helvetica"/>
                <w:color w:val="FFFFFF" w:themeColor="background1"/>
              </w:rPr>
              <w:t>Comprehensive public consultation on draft criteria</w:t>
            </w:r>
          </w:p>
        </w:tc>
      </w:tr>
      <w:tr w:rsidR="0022552C" w:rsidRPr="00A424FC" w14:paraId="34FFBC05" w14:textId="77777777">
        <w:tc>
          <w:tcPr>
            <w:tcW w:w="9623" w:type="dxa"/>
            <w:gridSpan w:val="2"/>
            <w:shd w:val="clear" w:color="auto" w:fill="FFFFFF" w:themeFill="background1"/>
          </w:tcPr>
          <w:p w14:paraId="62492BDF" w14:textId="77777777" w:rsidR="00FB51DE" w:rsidRDefault="00FB51DE" w:rsidP="000E43BE">
            <w:pPr>
              <w:rPr>
                <w:rFonts w:ascii="Aptos" w:hAnsi="Aptos" w:cs="Helvetica"/>
              </w:rPr>
            </w:pPr>
          </w:p>
          <w:p w14:paraId="78951F1F" w14:textId="1A3855E9" w:rsidR="00780404" w:rsidRPr="00007A32" w:rsidRDefault="00780404" w:rsidP="00007A32">
            <w:pPr>
              <w:rPr>
                <w:rFonts w:ascii="Aptos" w:hAnsi="Aptos" w:cs="Helvetica"/>
                <w:lang w:eastAsia="zh-CN"/>
              </w:rPr>
            </w:pPr>
            <w:r w:rsidRPr="00007A32">
              <w:rPr>
                <w:rFonts w:ascii="Aptos" w:hAnsi="Aptos" w:cs="Helvetica"/>
                <w:lang w:eastAsia="zh-CN"/>
              </w:rPr>
              <w:t xml:space="preserve">In the first round of public </w:t>
            </w:r>
            <w:r w:rsidR="00007A32" w:rsidRPr="00007A32">
              <w:rPr>
                <w:rFonts w:ascii="Aptos" w:hAnsi="Aptos" w:cs="Helvetica"/>
                <w:lang w:eastAsia="zh-CN"/>
              </w:rPr>
              <w:t>consultation, which ran from 28 May to 30 June 2024</w:t>
            </w:r>
            <w:r w:rsidRPr="00007A32">
              <w:rPr>
                <w:rFonts w:ascii="Aptos" w:hAnsi="Aptos" w:cs="Helvetica"/>
                <w:lang w:eastAsia="zh-CN"/>
              </w:rPr>
              <w:t>, ASFI</w:t>
            </w:r>
            <w:r w:rsidR="00AF0D1A" w:rsidRPr="00007A32">
              <w:rPr>
                <w:rFonts w:ascii="Aptos" w:hAnsi="Aptos" w:cs="Helvetica"/>
                <w:lang w:eastAsia="zh-CN"/>
              </w:rPr>
              <w:t xml:space="preserve"> </w:t>
            </w:r>
            <w:r w:rsidRPr="00007A32">
              <w:rPr>
                <w:rFonts w:ascii="Aptos" w:hAnsi="Aptos" w:cs="Helvetica"/>
                <w:lang w:eastAsia="zh-CN"/>
              </w:rPr>
              <w:t>sought feedback on v0.1 of the Australian sustainable finance taxonomy (</w:t>
            </w:r>
            <w:r w:rsidRPr="00184F4A">
              <w:rPr>
                <w:rFonts w:ascii="Aptos" w:hAnsi="Aptos" w:cs="Helvetica"/>
                <w:b/>
                <w:bCs/>
                <w:u w:val="single"/>
                <w:lang w:eastAsia="zh-CN"/>
              </w:rPr>
              <w:t>Appendix D</w:t>
            </w:r>
            <w:r w:rsidRPr="00007A32">
              <w:rPr>
                <w:rFonts w:ascii="Aptos" w:hAnsi="Aptos" w:cs="Helvetica"/>
                <w:lang w:eastAsia="zh-CN"/>
              </w:rPr>
              <w:t>) and undert</w:t>
            </w:r>
            <w:r w:rsidR="00007A32" w:rsidRPr="00007A32">
              <w:rPr>
                <w:rFonts w:ascii="Aptos" w:hAnsi="Aptos" w:cs="Helvetica"/>
                <w:lang w:eastAsia="zh-CN"/>
              </w:rPr>
              <w:t xml:space="preserve">ook </w:t>
            </w:r>
            <w:r w:rsidRPr="00007A32">
              <w:rPr>
                <w:rFonts w:ascii="Aptos" w:hAnsi="Aptos" w:cs="Helvetica"/>
                <w:lang w:eastAsia="zh-CN"/>
              </w:rPr>
              <w:t xml:space="preserve">targeted engagement with the following stakeholder groups:  </w:t>
            </w:r>
          </w:p>
          <w:p w14:paraId="2842F21A" w14:textId="77777777" w:rsidR="00007A32" w:rsidRPr="00007A32" w:rsidRDefault="00007A32" w:rsidP="00007A32">
            <w:pPr>
              <w:rPr>
                <w:rFonts w:ascii="Aptos" w:hAnsi="Aptos" w:cs="Helvetica"/>
                <w:lang w:eastAsia="zh-CN"/>
              </w:rPr>
            </w:pPr>
          </w:p>
          <w:p w14:paraId="3BF5BC84" w14:textId="77777777" w:rsidR="00007A32" w:rsidRPr="00007A32" w:rsidRDefault="00780404" w:rsidP="00007A32">
            <w:pPr>
              <w:pStyle w:val="ListParagraph"/>
              <w:numPr>
                <w:ilvl w:val="0"/>
                <w:numId w:val="38"/>
              </w:numPr>
              <w:rPr>
                <w:rFonts w:ascii="Aptos" w:hAnsi="Aptos" w:cs="Helvetica"/>
                <w:sz w:val="24"/>
                <w:szCs w:val="24"/>
                <w:lang w:eastAsia="zh-CN"/>
              </w:rPr>
            </w:pPr>
            <w:r w:rsidRPr="00007A32">
              <w:rPr>
                <w:rFonts w:ascii="Aptos" w:hAnsi="Aptos" w:cs="Helvetica"/>
                <w:sz w:val="24"/>
                <w:szCs w:val="24"/>
                <w:lang w:eastAsia="zh-CN"/>
              </w:rPr>
              <w:t>finance sector participants (including from wholesale, retail and investment banking; asset owners and managers; insurance; private equity; reporting and assurance; credit rating agencies; ESG data providers; and key peak bodies</w:t>
            </w:r>
            <w:proofErr w:type="gramStart"/>
            <w:r w:rsidRPr="00007A32">
              <w:rPr>
                <w:rFonts w:ascii="Aptos" w:hAnsi="Aptos" w:cs="Helvetica"/>
                <w:sz w:val="24"/>
                <w:szCs w:val="24"/>
                <w:lang w:eastAsia="zh-CN"/>
              </w:rPr>
              <w:t>);</w:t>
            </w:r>
            <w:proofErr w:type="gramEnd"/>
            <w:r w:rsidRPr="00007A32">
              <w:rPr>
                <w:rFonts w:ascii="Aptos" w:hAnsi="Aptos" w:cs="Helvetica"/>
                <w:sz w:val="24"/>
                <w:szCs w:val="24"/>
                <w:lang w:eastAsia="zh-CN"/>
              </w:rPr>
              <w:t xml:space="preserve"> </w:t>
            </w:r>
          </w:p>
          <w:p w14:paraId="37D0A7BB" w14:textId="77777777" w:rsidR="00007A32" w:rsidRPr="00007A32" w:rsidRDefault="00780404" w:rsidP="00007A32">
            <w:pPr>
              <w:pStyle w:val="ListParagraph"/>
              <w:numPr>
                <w:ilvl w:val="0"/>
                <w:numId w:val="38"/>
              </w:numPr>
              <w:rPr>
                <w:rFonts w:ascii="Aptos" w:hAnsi="Aptos" w:cs="Helvetica"/>
                <w:sz w:val="24"/>
                <w:szCs w:val="24"/>
                <w:lang w:eastAsia="zh-CN"/>
              </w:rPr>
            </w:pPr>
            <w:r w:rsidRPr="00007A32">
              <w:rPr>
                <w:rFonts w:ascii="Aptos" w:hAnsi="Aptos" w:cs="Helvetica"/>
                <w:sz w:val="24"/>
                <w:szCs w:val="24"/>
                <w:lang w:eastAsia="zh-CN"/>
              </w:rPr>
              <w:t xml:space="preserve">real economy participants, from the three economic sectors currently under development in the taxonomy: energy; minerals, mining and metals; and construction and built environment </w:t>
            </w:r>
            <w:proofErr w:type="gramStart"/>
            <w:r w:rsidRPr="00007A32">
              <w:rPr>
                <w:rFonts w:ascii="Aptos" w:hAnsi="Aptos" w:cs="Helvetica"/>
                <w:sz w:val="24"/>
                <w:szCs w:val="24"/>
                <w:lang w:eastAsia="zh-CN"/>
              </w:rPr>
              <w:t>sectors;</w:t>
            </w:r>
            <w:proofErr w:type="gramEnd"/>
            <w:r w:rsidRPr="00007A32">
              <w:rPr>
                <w:rFonts w:ascii="Aptos" w:hAnsi="Aptos" w:cs="Helvetica"/>
                <w:sz w:val="24"/>
                <w:szCs w:val="24"/>
                <w:lang w:eastAsia="zh-CN"/>
              </w:rPr>
              <w:t xml:space="preserve"> </w:t>
            </w:r>
          </w:p>
          <w:p w14:paraId="15CD3A63" w14:textId="7465CE4B" w:rsidR="00007A32" w:rsidRPr="00007A32" w:rsidRDefault="007D3250" w:rsidP="00007A32">
            <w:pPr>
              <w:pStyle w:val="ListParagraph"/>
              <w:numPr>
                <w:ilvl w:val="0"/>
                <w:numId w:val="38"/>
              </w:numPr>
              <w:rPr>
                <w:rFonts w:ascii="Aptos" w:hAnsi="Aptos" w:cs="Helvetica"/>
                <w:sz w:val="24"/>
                <w:szCs w:val="24"/>
                <w:lang w:eastAsia="zh-CN"/>
              </w:rPr>
            </w:pPr>
            <w:r w:rsidRPr="00007A32">
              <w:rPr>
                <w:rFonts w:ascii="Aptos" w:hAnsi="Aptos" w:cs="Helvetica"/>
                <w:sz w:val="24"/>
                <w:szCs w:val="24"/>
                <w:lang w:eastAsia="zh-CN"/>
              </w:rPr>
              <w:t xml:space="preserve">federal and state government departments and </w:t>
            </w:r>
            <w:proofErr w:type="gramStart"/>
            <w:r w:rsidRPr="00007A32">
              <w:rPr>
                <w:rFonts w:ascii="Aptos" w:hAnsi="Aptos" w:cs="Helvetica"/>
                <w:sz w:val="24"/>
                <w:szCs w:val="24"/>
                <w:lang w:eastAsia="zh-CN"/>
              </w:rPr>
              <w:t>agencies</w:t>
            </w:r>
            <w:r w:rsidR="00007A32" w:rsidRPr="00007A32">
              <w:rPr>
                <w:rFonts w:ascii="Aptos" w:hAnsi="Aptos" w:cs="Helvetica"/>
                <w:sz w:val="24"/>
                <w:szCs w:val="24"/>
                <w:lang w:eastAsia="zh-CN"/>
              </w:rPr>
              <w:t>;</w:t>
            </w:r>
            <w:proofErr w:type="gramEnd"/>
            <w:r w:rsidRPr="00007A32">
              <w:rPr>
                <w:rFonts w:ascii="Aptos" w:hAnsi="Aptos" w:cs="Helvetica"/>
                <w:sz w:val="24"/>
                <w:szCs w:val="24"/>
                <w:lang w:eastAsia="zh-CN"/>
              </w:rPr>
              <w:t xml:space="preserve"> </w:t>
            </w:r>
          </w:p>
          <w:p w14:paraId="5FAC8C0F" w14:textId="3E6EFA06" w:rsidR="00007A32" w:rsidRPr="00007A32" w:rsidRDefault="00780404" w:rsidP="00007A32">
            <w:pPr>
              <w:pStyle w:val="ListParagraph"/>
              <w:numPr>
                <w:ilvl w:val="0"/>
                <w:numId w:val="38"/>
              </w:numPr>
              <w:rPr>
                <w:rFonts w:ascii="Aptos" w:hAnsi="Aptos" w:cs="Helvetica"/>
                <w:sz w:val="24"/>
                <w:szCs w:val="24"/>
                <w:lang w:eastAsia="zh-CN"/>
              </w:rPr>
            </w:pPr>
            <w:r w:rsidRPr="00007A32">
              <w:rPr>
                <w:rFonts w:ascii="Aptos" w:hAnsi="Aptos" w:cs="Helvetica"/>
                <w:sz w:val="24"/>
                <w:szCs w:val="24"/>
                <w:lang w:eastAsia="zh-CN"/>
              </w:rPr>
              <w:t xml:space="preserve">non-government organisations, including environmental and human rights non-governmental organisations; </w:t>
            </w:r>
            <w:r w:rsidR="00007A32" w:rsidRPr="00007A32">
              <w:rPr>
                <w:rFonts w:ascii="Aptos" w:hAnsi="Aptos" w:cs="Helvetica"/>
                <w:sz w:val="24"/>
                <w:szCs w:val="24"/>
                <w:lang w:eastAsia="zh-CN"/>
              </w:rPr>
              <w:t>and</w:t>
            </w:r>
          </w:p>
          <w:p w14:paraId="0DBDD0F8" w14:textId="277D4BD1" w:rsidR="007D3250" w:rsidRDefault="00780404" w:rsidP="000E43BE">
            <w:pPr>
              <w:pStyle w:val="ListParagraph"/>
              <w:numPr>
                <w:ilvl w:val="0"/>
                <w:numId w:val="38"/>
              </w:numPr>
              <w:rPr>
                <w:rFonts w:ascii="Aptos" w:hAnsi="Aptos" w:cs="Helvetica"/>
                <w:sz w:val="24"/>
                <w:szCs w:val="24"/>
                <w:lang w:eastAsia="zh-CN"/>
              </w:rPr>
            </w:pPr>
            <w:r w:rsidRPr="00007A32">
              <w:rPr>
                <w:rFonts w:ascii="Aptos" w:hAnsi="Aptos" w:cs="Helvetica"/>
                <w:sz w:val="24"/>
                <w:szCs w:val="24"/>
                <w:lang w:eastAsia="zh-CN"/>
              </w:rPr>
              <w:t>scientific and technical experts, including from universities and thinktanks</w:t>
            </w:r>
            <w:r w:rsidR="007D3250" w:rsidRPr="00007A32">
              <w:rPr>
                <w:rFonts w:ascii="Aptos" w:hAnsi="Aptos" w:cs="Helvetica"/>
                <w:sz w:val="24"/>
                <w:szCs w:val="24"/>
                <w:lang w:eastAsia="zh-CN"/>
              </w:rPr>
              <w:t xml:space="preserve">. </w:t>
            </w:r>
          </w:p>
          <w:p w14:paraId="7AB66827" w14:textId="77777777" w:rsidR="00104B55" w:rsidRPr="00104B55" w:rsidRDefault="00104B55" w:rsidP="00104B55">
            <w:pPr>
              <w:pStyle w:val="ListParagraph"/>
              <w:rPr>
                <w:rFonts w:ascii="Aptos" w:hAnsi="Aptos" w:cs="Helvetica"/>
                <w:sz w:val="24"/>
                <w:szCs w:val="24"/>
                <w:lang w:eastAsia="zh-CN"/>
              </w:rPr>
            </w:pPr>
          </w:p>
          <w:p w14:paraId="3C857286" w14:textId="151E698C" w:rsidR="00AF0D1A" w:rsidRDefault="006D6BD3" w:rsidP="000E43BE">
            <w:pPr>
              <w:rPr>
                <w:rFonts w:ascii="Aptos" w:hAnsi="Aptos" w:cs="Helvetica"/>
                <w:lang w:eastAsia="zh-CN"/>
              </w:rPr>
            </w:pPr>
            <w:r>
              <w:rPr>
                <w:rFonts w:ascii="Aptos" w:hAnsi="Aptos" w:cs="Helvetica"/>
                <w:lang w:eastAsia="zh-CN"/>
              </w:rPr>
              <w:t>The ASFI Taxonomy Team went on a</w:t>
            </w:r>
            <w:r w:rsidR="00007A32">
              <w:rPr>
                <w:rFonts w:ascii="Aptos" w:hAnsi="Aptos" w:cs="Helvetica"/>
                <w:lang w:eastAsia="zh-CN"/>
              </w:rPr>
              <w:t xml:space="preserve"> roadshow across key</w:t>
            </w:r>
            <w:r w:rsidR="00C22319">
              <w:rPr>
                <w:rFonts w:ascii="Aptos" w:hAnsi="Aptos" w:cs="Helvetica"/>
                <w:lang w:eastAsia="zh-CN"/>
              </w:rPr>
              <w:t xml:space="preserve"> Australian</w:t>
            </w:r>
            <w:r w:rsidR="00007A32">
              <w:rPr>
                <w:rFonts w:ascii="Aptos" w:hAnsi="Aptos" w:cs="Helvetica"/>
                <w:lang w:eastAsia="zh-CN"/>
              </w:rPr>
              <w:t xml:space="preserve"> states and territories and</w:t>
            </w:r>
            <w:r w:rsidR="007D3250">
              <w:rPr>
                <w:rFonts w:ascii="Aptos" w:hAnsi="Aptos" w:cs="Helvetica"/>
                <w:lang w:eastAsia="zh-CN"/>
              </w:rPr>
              <w:t xml:space="preserve"> </w:t>
            </w:r>
            <w:r w:rsidR="00A610FD">
              <w:rPr>
                <w:rFonts w:ascii="Aptos" w:hAnsi="Aptos" w:cs="Helvetica"/>
                <w:lang w:eastAsia="zh-CN"/>
              </w:rPr>
              <w:t xml:space="preserve">delivered </w:t>
            </w:r>
            <w:r w:rsidR="00007A32">
              <w:rPr>
                <w:rFonts w:ascii="Aptos" w:hAnsi="Aptos" w:cs="Helvetica"/>
                <w:lang w:eastAsia="zh-CN"/>
              </w:rPr>
              <w:t xml:space="preserve">a total of </w:t>
            </w:r>
            <w:r w:rsidR="007D3250">
              <w:rPr>
                <w:rFonts w:ascii="Aptos" w:hAnsi="Aptos" w:cs="Helvetica"/>
                <w:lang w:eastAsia="zh-CN"/>
              </w:rPr>
              <w:t>4</w:t>
            </w:r>
            <w:r w:rsidR="00C41505">
              <w:rPr>
                <w:rFonts w:ascii="Aptos" w:hAnsi="Aptos" w:cs="Helvetica"/>
                <w:lang w:eastAsia="zh-CN"/>
              </w:rPr>
              <w:t>7</w:t>
            </w:r>
            <w:r w:rsidR="007D3250">
              <w:rPr>
                <w:rFonts w:ascii="Aptos" w:hAnsi="Aptos" w:cs="Helvetica"/>
                <w:lang w:eastAsia="zh-CN"/>
              </w:rPr>
              <w:t xml:space="preserve"> briefings for these stakeholder groups </w:t>
            </w:r>
            <w:r w:rsidR="00007A32">
              <w:rPr>
                <w:rFonts w:ascii="Aptos" w:hAnsi="Aptos" w:cs="Helvetica"/>
                <w:lang w:eastAsia="zh-CN"/>
              </w:rPr>
              <w:t>during the first round of public consultation</w:t>
            </w:r>
            <w:r w:rsidR="007D3250">
              <w:rPr>
                <w:rFonts w:ascii="Aptos" w:hAnsi="Aptos" w:cs="Helvetica"/>
                <w:lang w:eastAsia="zh-CN"/>
              </w:rPr>
              <w:t>.</w:t>
            </w:r>
            <w:r w:rsidR="00A610FD">
              <w:rPr>
                <w:rFonts w:ascii="Aptos" w:hAnsi="Aptos" w:cs="Helvetica"/>
                <w:lang w:eastAsia="zh-CN"/>
              </w:rPr>
              <w:t xml:space="preserve"> Each briefing ran for between 60 and 90 </w:t>
            </w:r>
            <w:proofErr w:type="gramStart"/>
            <w:r w:rsidR="00A610FD">
              <w:rPr>
                <w:rFonts w:ascii="Aptos" w:hAnsi="Aptos" w:cs="Helvetica"/>
                <w:lang w:eastAsia="zh-CN"/>
              </w:rPr>
              <w:t>minutes, and</w:t>
            </w:r>
            <w:proofErr w:type="gramEnd"/>
            <w:r w:rsidR="00A610FD">
              <w:rPr>
                <w:rFonts w:ascii="Aptos" w:hAnsi="Aptos" w:cs="Helvetica"/>
                <w:lang w:eastAsia="zh-CN"/>
              </w:rPr>
              <w:t xml:space="preserve"> was targeted to its audience.</w:t>
            </w:r>
            <w:r w:rsidR="00596745">
              <w:rPr>
                <w:rFonts w:ascii="Aptos" w:hAnsi="Aptos" w:cs="Helvetica"/>
                <w:lang w:eastAsia="zh-CN"/>
              </w:rPr>
              <w:t xml:space="preserve"> </w:t>
            </w:r>
            <w:r w:rsidR="00596745" w:rsidRPr="00007A32">
              <w:rPr>
                <w:rFonts w:ascii="Aptos" w:hAnsi="Aptos" w:cs="Helvetica"/>
                <w:lang w:eastAsia="zh-CN"/>
              </w:rPr>
              <w:t xml:space="preserve">A full list of public consultation briefings is available at </w:t>
            </w:r>
            <w:r w:rsidR="00596745" w:rsidRPr="00AC73A6">
              <w:rPr>
                <w:rFonts w:ascii="Aptos" w:hAnsi="Aptos" w:cs="Helvetica"/>
                <w:b/>
                <w:bCs/>
                <w:u w:val="single"/>
                <w:lang w:eastAsia="zh-CN"/>
              </w:rPr>
              <w:t xml:space="preserve">Appendix </w:t>
            </w:r>
            <w:r w:rsidR="00E13CFC">
              <w:rPr>
                <w:rFonts w:ascii="Aptos" w:hAnsi="Aptos" w:cs="Helvetica"/>
                <w:b/>
                <w:bCs/>
                <w:u w:val="single"/>
                <w:lang w:eastAsia="zh-CN"/>
              </w:rPr>
              <w:t>H</w:t>
            </w:r>
            <w:r w:rsidR="00596745">
              <w:rPr>
                <w:rFonts w:ascii="Aptos" w:hAnsi="Aptos" w:cs="Helvetica"/>
                <w:lang w:eastAsia="zh-CN"/>
              </w:rPr>
              <w:t xml:space="preserve">. </w:t>
            </w:r>
          </w:p>
          <w:p w14:paraId="72F3E59F" w14:textId="77777777" w:rsidR="00AF0D1A" w:rsidRDefault="00AF0D1A" w:rsidP="000E43BE">
            <w:pPr>
              <w:rPr>
                <w:rFonts w:ascii="Aptos" w:hAnsi="Aptos" w:cs="Helvetica"/>
                <w:lang w:eastAsia="zh-CN"/>
              </w:rPr>
            </w:pPr>
          </w:p>
          <w:p w14:paraId="5D879EA7" w14:textId="5AAB9302" w:rsidR="007D3250" w:rsidRPr="00A424FC" w:rsidRDefault="00E13CFC" w:rsidP="000E43BE">
            <w:pPr>
              <w:rPr>
                <w:rFonts w:ascii="Aptos" w:hAnsi="Aptos" w:cs="Helvetica"/>
                <w:lang w:eastAsia="zh-CN"/>
              </w:rPr>
            </w:pPr>
            <w:r>
              <w:rPr>
                <w:rFonts w:ascii="Aptos" w:hAnsi="Aptos" w:cs="Helvetica"/>
                <w:lang w:eastAsia="zh-CN"/>
              </w:rPr>
              <w:t xml:space="preserve">ASFI </w:t>
            </w:r>
            <w:r w:rsidR="00007A32">
              <w:rPr>
                <w:rFonts w:ascii="Aptos" w:hAnsi="Aptos" w:cs="Helvetica"/>
                <w:lang w:eastAsia="zh-CN"/>
              </w:rPr>
              <w:t>anticipates that ma</w:t>
            </w:r>
            <w:r w:rsidR="00CC3977">
              <w:rPr>
                <w:rFonts w:ascii="Aptos" w:hAnsi="Aptos" w:cs="Helvetica"/>
                <w:lang w:eastAsia="zh-CN"/>
              </w:rPr>
              <w:t>n</w:t>
            </w:r>
            <w:r w:rsidR="00007A32">
              <w:rPr>
                <w:rFonts w:ascii="Aptos" w:hAnsi="Aptos" w:cs="Helvetica"/>
                <w:lang w:eastAsia="zh-CN"/>
              </w:rPr>
              <w:t>y stakeholders will provide feedback through the</w:t>
            </w:r>
            <w:r>
              <w:rPr>
                <w:rFonts w:ascii="Aptos" w:hAnsi="Aptos" w:cs="Helvetica"/>
                <w:lang w:eastAsia="zh-CN"/>
              </w:rPr>
              <w:t xml:space="preserve"> first</w:t>
            </w:r>
            <w:r w:rsidR="00007A32">
              <w:rPr>
                <w:rFonts w:ascii="Aptos" w:hAnsi="Aptos" w:cs="Helvetica"/>
                <w:lang w:eastAsia="zh-CN"/>
              </w:rPr>
              <w:t xml:space="preserve"> consultation process. </w:t>
            </w:r>
            <w:r w:rsidR="00046114">
              <w:rPr>
                <w:rFonts w:ascii="Aptos" w:hAnsi="Aptos" w:cs="Helvetica"/>
                <w:lang w:eastAsia="zh-CN"/>
              </w:rPr>
              <w:t>ASFI will work with its technical partners, the TAGs, TTEG committees and full TTEG to review and incorporate feedback in Q3 2024 to inform v0.2 of the Australian sustainable finance taxonomy. This version will be released for public consultation in Q4 2024. A</w:t>
            </w:r>
            <w:r w:rsidR="00FA0651">
              <w:rPr>
                <w:rFonts w:ascii="Aptos" w:hAnsi="Aptos" w:cs="Helvetica"/>
                <w:lang w:eastAsia="zh-CN"/>
              </w:rPr>
              <w:t>ll feedback</w:t>
            </w:r>
            <w:r w:rsidR="00046114">
              <w:rPr>
                <w:rFonts w:ascii="Aptos" w:hAnsi="Aptos" w:cs="Helvetica"/>
                <w:lang w:eastAsia="zh-CN"/>
              </w:rPr>
              <w:t xml:space="preserve"> received through public consultation,</w:t>
            </w:r>
            <w:r w:rsidR="00FA0651">
              <w:rPr>
                <w:rFonts w:ascii="Aptos" w:hAnsi="Aptos" w:cs="Helvetica"/>
                <w:lang w:eastAsia="zh-CN"/>
              </w:rPr>
              <w:t xml:space="preserve"> unless otherwise requested, will be published on ASFI’s website. </w:t>
            </w:r>
            <w:r w:rsidR="00A610FD">
              <w:rPr>
                <w:rFonts w:ascii="Aptos" w:hAnsi="Aptos" w:cs="Helvetica"/>
                <w:lang w:eastAsia="zh-CN"/>
              </w:rPr>
              <w:t xml:space="preserve"> </w:t>
            </w:r>
          </w:p>
          <w:p w14:paraId="2D5F1D9C" w14:textId="75325C43" w:rsidR="00825160" w:rsidRPr="00A424FC" w:rsidRDefault="00825160" w:rsidP="00825160">
            <w:pPr>
              <w:rPr>
                <w:rFonts w:ascii="Aptos" w:hAnsi="Aptos" w:cs="Helvetica"/>
              </w:rPr>
            </w:pPr>
          </w:p>
        </w:tc>
      </w:tr>
    </w:tbl>
    <w:p w14:paraId="3A9684C2" w14:textId="777CBFE5" w:rsidR="007132A7" w:rsidRPr="00A424FC" w:rsidRDefault="007132A7">
      <w:pPr>
        <w:rPr>
          <w:rFonts w:ascii="Aptos" w:hAnsi="Aptos" w:cs="Helvetica"/>
          <w:b/>
        </w:rPr>
      </w:pPr>
    </w:p>
    <w:p w14:paraId="43938809" w14:textId="1BB4E94F" w:rsidR="00581A5A" w:rsidRPr="00CF5A75" w:rsidRDefault="00843258" w:rsidP="00843258">
      <w:pPr>
        <w:pStyle w:val="ASFIHeadB"/>
        <w:jc w:val="center"/>
        <w:rPr>
          <w:rFonts w:ascii="Aptos" w:hAnsi="Aptos" w:cs="Helvetica"/>
          <w:b/>
          <w:sz w:val="28"/>
          <w:szCs w:val="28"/>
        </w:rPr>
      </w:pPr>
      <w:r w:rsidRPr="00CF5A75">
        <w:rPr>
          <w:rFonts w:ascii="Aptos" w:hAnsi="Aptos" w:cs="Helvetica"/>
          <w:b/>
          <w:bCs/>
          <w:sz w:val="28"/>
          <w:szCs w:val="28"/>
        </w:rPr>
        <w:lastRenderedPageBreak/>
        <w:t>Part 2: Policy Alignment Analysis</w:t>
      </w:r>
    </w:p>
    <w:p w14:paraId="72E73410" w14:textId="77777777" w:rsidR="00132C09" w:rsidRPr="00CF5A75" w:rsidRDefault="00132C09" w:rsidP="00132C09">
      <w:pPr>
        <w:rPr>
          <w:rFonts w:ascii="Aptos" w:hAnsi="Aptos" w:cs="Helvetica"/>
        </w:rPr>
      </w:pPr>
    </w:p>
    <w:p w14:paraId="3756B5E2" w14:textId="4D690702" w:rsidR="00132C09" w:rsidRPr="00CF5A75" w:rsidRDefault="00843258" w:rsidP="00132C09">
      <w:pPr>
        <w:rPr>
          <w:rFonts w:ascii="Aptos" w:hAnsi="Aptos" w:cs="Helvetica"/>
        </w:rPr>
      </w:pPr>
      <w:r w:rsidRPr="00CF5A75">
        <w:rPr>
          <w:rFonts w:ascii="Aptos" w:hAnsi="Aptos" w:cs="Helvetica"/>
        </w:rPr>
        <w:t>Part 2</w:t>
      </w:r>
      <w:r w:rsidR="00BC2FA7" w:rsidRPr="00CF5A75">
        <w:rPr>
          <w:rFonts w:ascii="Aptos" w:hAnsi="Aptos" w:cs="Helvetica"/>
        </w:rPr>
        <w:t xml:space="preserve"> of this report</w:t>
      </w:r>
      <w:r w:rsidRPr="00CF5A75">
        <w:rPr>
          <w:rFonts w:ascii="Aptos" w:hAnsi="Aptos" w:cs="Helvetica"/>
        </w:rPr>
        <w:t xml:space="preserve"> maps the</w:t>
      </w:r>
      <w:r w:rsidR="00BC2FA7" w:rsidRPr="00CF5A75">
        <w:rPr>
          <w:rFonts w:ascii="Aptos" w:hAnsi="Aptos" w:cs="Helvetica"/>
        </w:rPr>
        <w:t xml:space="preserve"> core</w:t>
      </w:r>
      <w:r w:rsidRPr="00CF5A75">
        <w:rPr>
          <w:rFonts w:ascii="Aptos" w:hAnsi="Aptos" w:cs="Helvetica"/>
        </w:rPr>
        <w:t xml:space="preserve"> t</w:t>
      </w:r>
      <w:r w:rsidR="006402FC" w:rsidRPr="00CF5A75">
        <w:rPr>
          <w:rFonts w:ascii="Aptos" w:hAnsi="Aptos" w:cs="Helvetica"/>
        </w:rPr>
        <w:t>axonomy design principles outline</w:t>
      </w:r>
      <w:r w:rsidR="005A1F64" w:rsidRPr="00CF5A75">
        <w:rPr>
          <w:rFonts w:ascii="Aptos" w:hAnsi="Aptos" w:cs="Helvetica"/>
        </w:rPr>
        <w:t>d</w:t>
      </w:r>
      <w:r w:rsidR="006402FC" w:rsidRPr="00CF5A75">
        <w:rPr>
          <w:rFonts w:ascii="Aptos" w:hAnsi="Aptos" w:cs="Helvetica"/>
        </w:rPr>
        <w:t xml:space="preserve"> in the </w:t>
      </w:r>
      <w:r w:rsidR="00DA5174" w:rsidRPr="00CF5A75">
        <w:rPr>
          <w:rFonts w:ascii="Aptos" w:hAnsi="Aptos" w:cs="Helvetica"/>
        </w:rPr>
        <w:t>T</w:t>
      </w:r>
      <w:r w:rsidR="006402FC" w:rsidRPr="00CF5A75">
        <w:rPr>
          <w:rFonts w:ascii="Aptos" w:hAnsi="Aptos" w:cs="Helvetica"/>
        </w:rPr>
        <w:t xml:space="preserve">erms of </w:t>
      </w:r>
      <w:r w:rsidR="00DA5174" w:rsidRPr="00CF5A75">
        <w:rPr>
          <w:rFonts w:ascii="Aptos" w:hAnsi="Aptos" w:cs="Helvetica"/>
        </w:rPr>
        <w:t>R</w:t>
      </w:r>
      <w:r w:rsidR="006402FC" w:rsidRPr="00CF5A75">
        <w:rPr>
          <w:rFonts w:ascii="Aptos" w:hAnsi="Aptos" w:cs="Helvetica"/>
        </w:rPr>
        <w:t>eference</w:t>
      </w:r>
      <w:r w:rsidR="00450531" w:rsidRPr="00CF5A75">
        <w:rPr>
          <w:rFonts w:ascii="Aptos" w:hAnsi="Aptos" w:cs="Helvetica"/>
        </w:rPr>
        <w:t xml:space="preserve"> </w:t>
      </w:r>
      <w:r w:rsidR="00DA5174" w:rsidRPr="00CF5A75">
        <w:rPr>
          <w:rFonts w:ascii="Aptos" w:hAnsi="Aptos" w:cs="Helvetica"/>
        </w:rPr>
        <w:t>between ASFI and</w:t>
      </w:r>
      <w:r w:rsidR="00450531" w:rsidRPr="00CF5A75">
        <w:rPr>
          <w:rFonts w:ascii="Aptos" w:hAnsi="Aptos" w:cs="Helvetica"/>
        </w:rPr>
        <w:t xml:space="preserve"> the CFR CWG</w:t>
      </w:r>
      <w:r w:rsidR="007B418B" w:rsidRPr="00CF5A75">
        <w:rPr>
          <w:rFonts w:ascii="Aptos" w:hAnsi="Aptos" w:cs="Helvetica"/>
        </w:rPr>
        <w:t xml:space="preserve"> </w:t>
      </w:r>
      <w:r w:rsidRPr="00CF5A75">
        <w:rPr>
          <w:rFonts w:ascii="Aptos" w:hAnsi="Aptos" w:cs="Helvetica"/>
        </w:rPr>
        <w:t xml:space="preserve">Taxonomy Subgroup </w:t>
      </w:r>
      <w:r w:rsidR="006402FC" w:rsidRPr="00CF5A75">
        <w:rPr>
          <w:rFonts w:ascii="Aptos" w:hAnsi="Aptos" w:cs="Helvetica"/>
        </w:rPr>
        <w:t xml:space="preserve">to the </w:t>
      </w:r>
      <w:r w:rsidR="007B418B" w:rsidRPr="00CF5A75">
        <w:rPr>
          <w:rFonts w:ascii="Aptos" w:hAnsi="Aptos" w:cs="Helvetica"/>
        </w:rPr>
        <w:t>G</w:t>
      </w:r>
      <w:r w:rsidR="006402FC" w:rsidRPr="00CF5A75">
        <w:rPr>
          <w:rFonts w:ascii="Aptos" w:hAnsi="Aptos" w:cs="Helvetica"/>
        </w:rPr>
        <w:t>overnment</w:t>
      </w:r>
      <w:r w:rsidR="00DA5174" w:rsidRPr="00CF5A75">
        <w:rPr>
          <w:rFonts w:ascii="Aptos" w:hAnsi="Aptos" w:cs="Helvetica"/>
        </w:rPr>
        <w:t>’</w:t>
      </w:r>
      <w:r w:rsidR="006402FC" w:rsidRPr="00CF5A75">
        <w:rPr>
          <w:rFonts w:ascii="Aptos" w:hAnsi="Aptos" w:cs="Helvetica"/>
        </w:rPr>
        <w:t xml:space="preserve">s </w:t>
      </w:r>
      <w:r w:rsidR="007E22A0" w:rsidRPr="00CF5A75">
        <w:rPr>
          <w:rFonts w:ascii="Aptos" w:hAnsi="Aptos" w:cs="Helvetica"/>
        </w:rPr>
        <w:t xml:space="preserve">sustainable </w:t>
      </w:r>
      <w:r w:rsidR="005A1F64" w:rsidRPr="00CF5A75">
        <w:rPr>
          <w:rFonts w:ascii="Aptos" w:hAnsi="Aptos" w:cs="Helvetica"/>
        </w:rPr>
        <w:t>finance policy objectives</w:t>
      </w:r>
      <w:r w:rsidRPr="00CF5A75">
        <w:rPr>
          <w:rFonts w:ascii="Aptos" w:hAnsi="Aptos" w:cs="Helvetica"/>
        </w:rPr>
        <w:t>,</w:t>
      </w:r>
      <w:r w:rsidR="005A1F64" w:rsidRPr="00CF5A75">
        <w:rPr>
          <w:rFonts w:ascii="Aptos" w:hAnsi="Aptos" w:cs="Helvetica"/>
        </w:rPr>
        <w:t xml:space="preserve"> and </w:t>
      </w:r>
      <w:r w:rsidRPr="00CF5A75">
        <w:rPr>
          <w:rFonts w:ascii="Aptos" w:hAnsi="Aptos" w:cs="Helvetica"/>
        </w:rPr>
        <w:t>analyses</w:t>
      </w:r>
      <w:r w:rsidR="006D0751" w:rsidRPr="00CF5A75">
        <w:rPr>
          <w:rFonts w:ascii="Aptos" w:hAnsi="Aptos" w:cs="Helvetica"/>
        </w:rPr>
        <w:t xml:space="preserve"> how the taxonomy deliverables </w:t>
      </w:r>
      <w:r w:rsidRPr="00CF5A75">
        <w:rPr>
          <w:rFonts w:ascii="Aptos" w:hAnsi="Aptos" w:cs="Helvetica"/>
        </w:rPr>
        <w:t xml:space="preserve">align with these </w:t>
      </w:r>
      <w:r w:rsidR="006D0751" w:rsidRPr="00CF5A75">
        <w:rPr>
          <w:rFonts w:ascii="Aptos" w:hAnsi="Aptos" w:cs="Helvetica"/>
        </w:rPr>
        <w:t xml:space="preserve">objectives. </w:t>
      </w:r>
    </w:p>
    <w:p w14:paraId="1ACBC48F" w14:textId="77777777" w:rsidR="00BC2FA7" w:rsidRPr="00CF5A75" w:rsidRDefault="00BC2FA7" w:rsidP="00132C09">
      <w:pPr>
        <w:rPr>
          <w:rFonts w:ascii="Aptos" w:hAnsi="Aptos" w:cs="Helvetica"/>
        </w:rPr>
      </w:pPr>
    </w:p>
    <w:p w14:paraId="2BE9F964" w14:textId="77777777" w:rsidR="000A0FC2" w:rsidRPr="00CF5A75" w:rsidRDefault="00BC2FA7" w:rsidP="00132C09">
      <w:pPr>
        <w:rPr>
          <w:rFonts w:ascii="Aptos" w:hAnsi="Aptos" w:cs="Helvetica"/>
        </w:rPr>
      </w:pPr>
      <w:r w:rsidRPr="00CF5A75">
        <w:rPr>
          <w:rFonts w:ascii="Aptos" w:hAnsi="Aptos" w:cs="Helvetica"/>
        </w:rPr>
        <w:t xml:space="preserve">The core principles guiding the development of the Australian sustainable finance taxonomy are credibility; usability; interoperability; and prioritisation for impact. These principles were identified in collaboration with industry and Government during the Australian taxonomy scoping phase. </w:t>
      </w:r>
    </w:p>
    <w:p w14:paraId="128958CC" w14:textId="77777777" w:rsidR="000A0FC2" w:rsidRPr="00CF5A75" w:rsidRDefault="000A0FC2" w:rsidP="00132C09">
      <w:pPr>
        <w:rPr>
          <w:rFonts w:ascii="Aptos" w:hAnsi="Aptos" w:cs="Helvetica"/>
        </w:rPr>
      </w:pPr>
    </w:p>
    <w:p w14:paraId="3DDA9F9B" w14:textId="1F004B54" w:rsidR="00BC2FA7" w:rsidRPr="00CF5A75" w:rsidRDefault="00BC2FA7" w:rsidP="00132C09">
      <w:pPr>
        <w:rPr>
          <w:rFonts w:ascii="Aptos" w:hAnsi="Aptos" w:cs="Helvetica"/>
        </w:rPr>
      </w:pPr>
      <w:r w:rsidRPr="00CF5A75">
        <w:rPr>
          <w:rFonts w:ascii="Aptos" w:hAnsi="Aptos" w:cs="Helvetica"/>
        </w:rPr>
        <w:t>In developing the Australian taxonomy, the TTEG and ASFI are required to ensure that the</w:t>
      </w:r>
      <w:r w:rsidR="000A0FC2" w:rsidRPr="00CF5A75">
        <w:rPr>
          <w:rFonts w:ascii="Aptos" w:hAnsi="Aptos" w:cs="Helvetica"/>
        </w:rPr>
        <w:t>se</w:t>
      </w:r>
      <w:r w:rsidRPr="00CF5A75">
        <w:rPr>
          <w:rFonts w:ascii="Aptos" w:hAnsi="Aptos" w:cs="Helvetica"/>
        </w:rPr>
        <w:t xml:space="preserve"> core principles are upheld and, if a conflict between principles occurs, that the right balance is reached and appropriately consulted on.</w:t>
      </w:r>
      <w:r w:rsidR="000A0FC2" w:rsidRPr="00CF5A75">
        <w:rPr>
          <w:rFonts w:ascii="Aptos" w:hAnsi="Aptos" w:cs="Helvetica"/>
        </w:rPr>
        <w:t xml:space="preserve"> More information is </w:t>
      </w:r>
      <w:r w:rsidR="00E81DB2">
        <w:rPr>
          <w:rFonts w:ascii="Aptos" w:hAnsi="Aptos" w:cs="Helvetica"/>
        </w:rPr>
        <w:t>provided</w:t>
      </w:r>
      <w:r w:rsidR="000A0FC2" w:rsidRPr="00CF5A75">
        <w:rPr>
          <w:rFonts w:ascii="Aptos" w:hAnsi="Aptos" w:cs="Helvetica"/>
        </w:rPr>
        <w:t xml:space="preserve"> below. </w:t>
      </w:r>
      <w:r w:rsidRPr="00CF5A75">
        <w:rPr>
          <w:rFonts w:ascii="Aptos" w:hAnsi="Aptos" w:cs="Helvetica"/>
        </w:rPr>
        <w:t xml:space="preserve"> </w:t>
      </w:r>
    </w:p>
    <w:p w14:paraId="7FEF3974" w14:textId="77777777" w:rsidR="00581A5A" w:rsidRPr="00CF5A75" w:rsidRDefault="00581A5A" w:rsidP="00581A5A">
      <w:pPr>
        <w:rPr>
          <w:rFonts w:ascii="Aptos" w:hAnsi="Aptos" w:cs="Helvetica"/>
        </w:rPr>
      </w:pPr>
    </w:p>
    <w:tbl>
      <w:tblPr>
        <w:tblStyle w:val="TableGrid"/>
        <w:tblW w:w="9776" w:type="dxa"/>
        <w:tblLook w:val="04A0" w:firstRow="1" w:lastRow="0" w:firstColumn="1" w:lastColumn="0" w:noHBand="0" w:noVBand="1"/>
      </w:tblPr>
      <w:tblGrid>
        <w:gridCol w:w="1861"/>
        <w:gridCol w:w="7915"/>
      </w:tblGrid>
      <w:tr w:rsidR="00EC54AC" w:rsidRPr="00CF5A75" w14:paraId="4EBB0168" w14:textId="77777777" w:rsidTr="00113FF1">
        <w:tc>
          <w:tcPr>
            <w:tcW w:w="1838" w:type="dxa"/>
            <w:shd w:val="clear" w:color="auto" w:fill="2F5496" w:themeFill="accent1" w:themeFillShade="BF"/>
          </w:tcPr>
          <w:p w14:paraId="26550EFB" w14:textId="79E433D4" w:rsidR="00EC54AC" w:rsidRPr="00CF5A75" w:rsidRDefault="00943D67" w:rsidP="00581A5A">
            <w:pPr>
              <w:rPr>
                <w:rFonts w:ascii="Aptos" w:hAnsi="Aptos" w:cs="Helvetica"/>
                <w:color w:val="FFFFFF" w:themeColor="background1"/>
              </w:rPr>
            </w:pPr>
            <w:r w:rsidRPr="00CF5A75">
              <w:rPr>
                <w:rFonts w:ascii="Aptos" w:hAnsi="Aptos" w:cs="Helvetica"/>
                <w:color w:val="FFFFFF" w:themeColor="background1"/>
              </w:rPr>
              <w:t>Taxonomy design principles</w:t>
            </w:r>
          </w:p>
        </w:tc>
        <w:tc>
          <w:tcPr>
            <w:tcW w:w="7938" w:type="dxa"/>
            <w:shd w:val="clear" w:color="auto" w:fill="2F5496" w:themeFill="accent1" w:themeFillShade="BF"/>
          </w:tcPr>
          <w:p w14:paraId="160E803E" w14:textId="4A1051AE" w:rsidR="00EC54AC" w:rsidRPr="00CF5A75" w:rsidRDefault="00943D67" w:rsidP="00581A5A">
            <w:pPr>
              <w:rPr>
                <w:rFonts w:ascii="Aptos" w:hAnsi="Aptos" w:cs="Helvetica"/>
                <w:color w:val="FFFFFF" w:themeColor="background1"/>
              </w:rPr>
            </w:pPr>
            <w:r w:rsidRPr="00CF5A75">
              <w:rPr>
                <w:rFonts w:ascii="Aptos" w:hAnsi="Aptos" w:cs="Helvetica"/>
                <w:color w:val="FFFFFF" w:themeColor="background1"/>
              </w:rPr>
              <w:t>Alignment of taxonomy d</w:t>
            </w:r>
            <w:r w:rsidR="007F5380" w:rsidRPr="00CF5A75">
              <w:rPr>
                <w:rFonts w:ascii="Aptos" w:hAnsi="Aptos" w:cs="Helvetica"/>
                <w:color w:val="FFFFFF" w:themeColor="background1"/>
              </w:rPr>
              <w:t>eliverables</w:t>
            </w:r>
            <w:r w:rsidRPr="00CF5A75">
              <w:rPr>
                <w:rFonts w:ascii="Aptos" w:hAnsi="Aptos" w:cs="Helvetica"/>
                <w:color w:val="FFFFFF" w:themeColor="background1"/>
              </w:rPr>
              <w:t xml:space="preserve"> with design principles and policy objectives</w:t>
            </w:r>
          </w:p>
          <w:p w14:paraId="282C836F" w14:textId="1F41330E" w:rsidR="00FC7825" w:rsidRPr="00CF5A75" w:rsidRDefault="00FC7825" w:rsidP="00581A5A">
            <w:pPr>
              <w:rPr>
                <w:rFonts w:ascii="Aptos" w:hAnsi="Aptos" w:cs="Helvetica"/>
                <w:color w:val="FFFFFF" w:themeColor="background1"/>
              </w:rPr>
            </w:pPr>
          </w:p>
        </w:tc>
      </w:tr>
      <w:tr w:rsidR="00EC54AC" w:rsidRPr="00CF5A75" w14:paraId="3CC52B5E" w14:textId="77777777" w:rsidTr="00113FF1">
        <w:tc>
          <w:tcPr>
            <w:tcW w:w="1838" w:type="dxa"/>
          </w:tcPr>
          <w:p w14:paraId="167D5257" w14:textId="77777777" w:rsidR="00EC54AC" w:rsidRPr="00CF5A75" w:rsidRDefault="00DE36B1" w:rsidP="00581A5A">
            <w:pPr>
              <w:rPr>
                <w:rFonts w:ascii="Aptos" w:hAnsi="Aptos" w:cs="Helvetica"/>
                <w:b/>
                <w:bCs/>
              </w:rPr>
            </w:pPr>
            <w:r w:rsidRPr="00CF5A75">
              <w:rPr>
                <w:rFonts w:ascii="Aptos" w:hAnsi="Aptos" w:cs="Helvetica"/>
                <w:b/>
                <w:bCs/>
              </w:rPr>
              <w:t xml:space="preserve">The taxonomy should be credible and </w:t>
            </w:r>
            <w:proofErr w:type="gramStart"/>
            <w:r w:rsidRPr="00CF5A75">
              <w:rPr>
                <w:rFonts w:ascii="Aptos" w:hAnsi="Aptos" w:cs="Helvetica"/>
                <w:b/>
                <w:bCs/>
              </w:rPr>
              <w:t>science-based</w:t>
            </w:r>
            <w:proofErr w:type="gramEnd"/>
            <w:r w:rsidR="000E5395" w:rsidRPr="00CF5A75">
              <w:rPr>
                <w:rFonts w:ascii="Aptos" w:hAnsi="Aptos" w:cs="Helvetica"/>
                <w:b/>
                <w:bCs/>
              </w:rPr>
              <w:t xml:space="preserve">. </w:t>
            </w:r>
          </w:p>
          <w:p w14:paraId="212AA505" w14:textId="77777777" w:rsidR="009C31E5" w:rsidRPr="00CF5A75" w:rsidRDefault="009C31E5" w:rsidP="00581A5A">
            <w:pPr>
              <w:rPr>
                <w:rFonts w:ascii="Aptos" w:hAnsi="Aptos" w:cs="Helvetica"/>
              </w:rPr>
            </w:pPr>
          </w:p>
          <w:p w14:paraId="47D85CB8" w14:textId="5400A10F" w:rsidR="00BC2FA7" w:rsidRPr="00CF5A75" w:rsidRDefault="00DE708A" w:rsidP="00581A5A">
            <w:pPr>
              <w:rPr>
                <w:rFonts w:ascii="Aptos" w:hAnsi="Aptos" w:cs="Helvetica"/>
                <w:i/>
                <w:iCs/>
              </w:rPr>
            </w:pPr>
            <w:r w:rsidRPr="00CF5A75">
              <w:rPr>
                <w:rFonts w:ascii="Aptos" w:hAnsi="Aptos" w:cs="Helvetica"/>
                <w:i/>
                <w:iCs/>
              </w:rPr>
              <w:t>The</w:t>
            </w:r>
            <w:r w:rsidR="009C31E5" w:rsidRPr="00CF5A75">
              <w:rPr>
                <w:rFonts w:ascii="Aptos" w:hAnsi="Aptos" w:cs="Helvetica"/>
                <w:i/>
                <w:iCs/>
              </w:rPr>
              <w:t xml:space="preserve"> taxonomy should be science- and </w:t>
            </w:r>
            <w:r w:rsidR="00BC2FA7" w:rsidRPr="00CF5A75">
              <w:rPr>
                <w:rFonts w:ascii="Aptos" w:hAnsi="Aptos" w:cs="Helvetica"/>
                <w:i/>
                <w:iCs/>
              </w:rPr>
              <w:t xml:space="preserve">evidence-based, technology neutral, and informed by up-to-date information and best practice. </w:t>
            </w:r>
          </w:p>
          <w:p w14:paraId="3F96BB2C" w14:textId="77777777" w:rsidR="00BC2FA7" w:rsidRPr="00CF5A75" w:rsidRDefault="00BC2FA7" w:rsidP="00581A5A">
            <w:pPr>
              <w:rPr>
                <w:rFonts w:ascii="Aptos" w:hAnsi="Aptos" w:cs="Helvetica"/>
                <w:i/>
                <w:iCs/>
              </w:rPr>
            </w:pPr>
          </w:p>
          <w:p w14:paraId="7731C294" w14:textId="792604BF" w:rsidR="009C31E5" w:rsidRPr="00CF5A75" w:rsidRDefault="00BC2FA7" w:rsidP="00581A5A">
            <w:pPr>
              <w:rPr>
                <w:rFonts w:ascii="Aptos" w:hAnsi="Aptos" w:cs="Helvetica"/>
                <w:i/>
                <w:iCs/>
              </w:rPr>
            </w:pPr>
            <w:r w:rsidRPr="00CF5A75">
              <w:rPr>
                <w:rFonts w:ascii="Aptos" w:hAnsi="Aptos" w:cs="Helvetica"/>
                <w:i/>
                <w:iCs/>
              </w:rPr>
              <w:t xml:space="preserve">Credibility helps ensure the taxonomy is robust and supports the flow of capital towards </w:t>
            </w:r>
            <w:r w:rsidR="003601FF" w:rsidRPr="00CF5A75">
              <w:rPr>
                <w:rFonts w:ascii="Aptos" w:hAnsi="Aptos" w:cs="Helvetica"/>
                <w:i/>
                <w:iCs/>
              </w:rPr>
              <w:t xml:space="preserve">activities with strong sustainability attributes. </w:t>
            </w:r>
            <w:r w:rsidRPr="00CF5A75">
              <w:rPr>
                <w:rFonts w:ascii="Aptos" w:hAnsi="Aptos" w:cs="Helvetica"/>
                <w:i/>
                <w:iCs/>
              </w:rPr>
              <w:t xml:space="preserve"> </w:t>
            </w:r>
            <w:r w:rsidR="009C31E5" w:rsidRPr="00CF5A75">
              <w:rPr>
                <w:rFonts w:ascii="Aptos" w:hAnsi="Aptos" w:cs="Helvetica"/>
                <w:i/>
                <w:iCs/>
              </w:rPr>
              <w:t xml:space="preserve"> </w:t>
            </w:r>
          </w:p>
        </w:tc>
        <w:tc>
          <w:tcPr>
            <w:tcW w:w="7938" w:type="dxa"/>
          </w:tcPr>
          <w:p w14:paraId="0FE857B1" w14:textId="48144AF6" w:rsidR="00EC54AC" w:rsidRPr="00CF5A75" w:rsidRDefault="00EC4DA7" w:rsidP="00581A5A">
            <w:pPr>
              <w:rPr>
                <w:rFonts w:ascii="Aptos" w:hAnsi="Aptos" w:cs="Helvetica"/>
              </w:rPr>
            </w:pPr>
            <w:r w:rsidRPr="00CF5A75">
              <w:rPr>
                <w:rFonts w:ascii="Aptos" w:hAnsi="Aptos" w:cs="Helvetica"/>
              </w:rPr>
              <w:t xml:space="preserve">This design principle aligns with the </w:t>
            </w:r>
            <w:r w:rsidR="00C500F3" w:rsidRPr="00CF5A75">
              <w:rPr>
                <w:rFonts w:ascii="Aptos" w:hAnsi="Aptos" w:cs="Helvetica"/>
              </w:rPr>
              <w:t xml:space="preserve">Australian Government’s </w:t>
            </w:r>
            <w:r w:rsidR="000A1C02" w:rsidRPr="00CF5A75">
              <w:rPr>
                <w:rFonts w:ascii="Aptos" w:hAnsi="Aptos" w:cs="Helvetica"/>
              </w:rPr>
              <w:t>S</w:t>
            </w:r>
            <w:r w:rsidR="00C500F3" w:rsidRPr="00CF5A75">
              <w:rPr>
                <w:rFonts w:ascii="Aptos" w:hAnsi="Aptos" w:cs="Helvetica"/>
              </w:rPr>
              <w:t xml:space="preserve">ustainable </w:t>
            </w:r>
            <w:r w:rsidR="000A1C02" w:rsidRPr="00CF5A75">
              <w:rPr>
                <w:rFonts w:ascii="Aptos" w:hAnsi="Aptos" w:cs="Helvetica"/>
              </w:rPr>
              <w:t>F</w:t>
            </w:r>
            <w:r w:rsidR="00C500F3" w:rsidRPr="00CF5A75">
              <w:rPr>
                <w:rFonts w:ascii="Aptos" w:hAnsi="Aptos" w:cs="Helvetica"/>
              </w:rPr>
              <w:t xml:space="preserve">inance </w:t>
            </w:r>
            <w:r w:rsidR="000A1C02" w:rsidRPr="00CF5A75">
              <w:rPr>
                <w:rFonts w:ascii="Aptos" w:hAnsi="Aptos" w:cs="Helvetica"/>
              </w:rPr>
              <w:t>S</w:t>
            </w:r>
            <w:r w:rsidR="00C500F3" w:rsidRPr="00CF5A75">
              <w:rPr>
                <w:rFonts w:ascii="Aptos" w:hAnsi="Aptos" w:cs="Helvetica"/>
              </w:rPr>
              <w:t xml:space="preserve">trategy consultation paper, which states that </w:t>
            </w:r>
            <w:r w:rsidR="00D561B9" w:rsidRPr="00CF5A75">
              <w:rPr>
                <w:rFonts w:ascii="Aptos" w:hAnsi="Aptos" w:cs="Helvetica"/>
              </w:rPr>
              <w:t>Australia’s sustainable finance arrangements s</w:t>
            </w:r>
            <w:r w:rsidR="004C5332" w:rsidRPr="00CF5A75">
              <w:rPr>
                <w:rFonts w:ascii="Aptos" w:hAnsi="Aptos" w:cs="Helvetica"/>
              </w:rPr>
              <w:t xml:space="preserve">hould </w:t>
            </w:r>
            <w:r w:rsidR="000A1C02" w:rsidRPr="00CF5A75">
              <w:rPr>
                <w:rFonts w:ascii="Aptos" w:hAnsi="Aptos" w:cs="Helvetica"/>
              </w:rPr>
              <w:t>be</w:t>
            </w:r>
            <w:r w:rsidR="0059478D" w:rsidRPr="00CF5A75">
              <w:rPr>
                <w:rFonts w:ascii="Aptos" w:hAnsi="Aptos" w:cs="Helvetica"/>
              </w:rPr>
              <w:t xml:space="preserve"> </w:t>
            </w:r>
            <w:r w:rsidR="00E13953" w:rsidRPr="00CF5A75">
              <w:rPr>
                <w:rFonts w:ascii="Aptos" w:hAnsi="Aptos" w:cs="Helvetica"/>
              </w:rPr>
              <w:t>“</w:t>
            </w:r>
            <w:r w:rsidR="0059478D" w:rsidRPr="00CF5A75">
              <w:rPr>
                <w:rFonts w:ascii="Aptos" w:hAnsi="Aptos" w:cs="Helvetica"/>
                <w:i/>
                <w:iCs/>
              </w:rPr>
              <w:t xml:space="preserve">aligned with science-based global climate and sustainability goals, and with Australia’s policy targets and commitments. They should encourage high-ambition approaches by firms, </w:t>
            </w:r>
            <w:proofErr w:type="gramStart"/>
            <w:r w:rsidR="0059478D" w:rsidRPr="00CF5A75">
              <w:rPr>
                <w:rFonts w:ascii="Aptos" w:hAnsi="Aptos" w:cs="Helvetica"/>
                <w:i/>
                <w:iCs/>
              </w:rPr>
              <w:t>institutions</w:t>
            </w:r>
            <w:proofErr w:type="gramEnd"/>
            <w:r w:rsidR="0059478D" w:rsidRPr="00CF5A75">
              <w:rPr>
                <w:rFonts w:ascii="Aptos" w:hAnsi="Aptos" w:cs="Helvetica"/>
                <w:i/>
                <w:iCs/>
              </w:rPr>
              <w:t xml:space="preserve"> and entities, including where these go beyond baseline standards established by regulation and policy. They should ensure that activities aligned with certain sustainability objectives do not undermine other sustainability goals.</w:t>
            </w:r>
            <w:r w:rsidR="00E13953" w:rsidRPr="00CF5A75">
              <w:rPr>
                <w:rFonts w:ascii="Aptos" w:hAnsi="Aptos" w:cs="Helvetica"/>
                <w:i/>
                <w:iCs/>
              </w:rPr>
              <w:t>”</w:t>
            </w:r>
            <w:r w:rsidR="00F809F5">
              <w:rPr>
                <w:rFonts w:ascii="Aptos" w:hAnsi="Aptos" w:cs="Helvetica"/>
                <w:i/>
                <w:iCs/>
              </w:rPr>
              <w:t xml:space="preserve"> </w:t>
            </w:r>
          </w:p>
          <w:p w14:paraId="3911CD45" w14:textId="77777777" w:rsidR="00E13953" w:rsidRPr="00CF5A75" w:rsidRDefault="00E13953" w:rsidP="00581A5A">
            <w:pPr>
              <w:rPr>
                <w:rFonts w:ascii="Aptos" w:hAnsi="Aptos" w:cs="Helvetica"/>
              </w:rPr>
            </w:pPr>
          </w:p>
          <w:p w14:paraId="7B97D223" w14:textId="1B47BBA7" w:rsidR="00614E84" w:rsidRPr="00CF5A75" w:rsidRDefault="00943502" w:rsidP="00581A5A">
            <w:pPr>
              <w:rPr>
                <w:rFonts w:ascii="Aptos" w:hAnsi="Aptos" w:cs="Helvetica"/>
              </w:rPr>
            </w:pPr>
            <w:r w:rsidRPr="00CF5A75">
              <w:rPr>
                <w:rFonts w:ascii="Aptos" w:hAnsi="Aptos" w:cs="Helvetica"/>
              </w:rPr>
              <w:t xml:space="preserve">As set out </w:t>
            </w:r>
            <w:r w:rsidR="00381AB7">
              <w:rPr>
                <w:rFonts w:ascii="Aptos" w:hAnsi="Aptos" w:cs="Helvetica"/>
              </w:rPr>
              <w:t>in Part 1</w:t>
            </w:r>
            <w:r w:rsidRPr="00CF5A75">
              <w:rPr>
                <w:rFonts w:ascii="Aptos" w:hAnsi="Aptos" w:cs="Helvetica"/>
              </w:rPr>
              <w:t>, t</w:t>
            </w:r>
            <w:r w:rsidR="000A1C02" w:rsidRPr="00CF5A75">
              <w:rPr>
                <w:rFonts w:ascii="Aptos" w:hAnsi="Aptos" w:cs="Helvetica"/>
              </w:rPr>
              <w:t xml:space="preserve">he Australian taxonomy’s </w:t>
            </w:r>
            <w:r w:rsidR="00381AB7">
              <w:rPr>
                <w:rFonts w:ascii="Aptos" w:hAnsi="Aptos" w:cs="Helvetica"/>
              </w:rPr>
              <w:t xml:space="preserve">green and </w:t>
            </w:r>
            <w:r w:rsidR="00563EB4" w:rsidRPr="00CF5A75">
              <w:rPr>
                <w:rFonts w:ascii="Aptos" w:hAnsi="Aptos" w:cs="Helvetica"/>
              </w:rPr>
              <w:t>t</w:t>
            </w:r>
            <w:r w:rsidR="00134C8E" w:rsidRPr="00CF5A75">
              <w:rPr>
                <w:rFonts w:ascii="Aptos" w:hAnsi="Aptos" w:cs="Helvetica"/>
              </w:rPr>
              <w:t xml:space="preserve">ransition </w:t>
            </w:r>
            <w:r w:rsidR="00563EB4" w:rsidRPr="00CF5A75">
              <w:rPr>
                <w:rFonts w:ascii="Aptos" w:hAnsi="Aptos" w:cs="Helvetica"/>
              </w:rPr>
              <w:t>m</w:t>
            </w:r>
            <w:r w:rsidR="00134C8E" w:rsidRPr="00CF5A75">
              <w:rPr>
                <w:rFonts w:ascii="Aptos" w:hAnsi="Aptos" w:cs="Helvetica"/>
              </w:rPr>
              <w:t>ethodology</w:t>
            </w:r>
            <w:r w:rsidR="000A1C02" w:rsidRPr="00CF5A75">
              <w:rPr>
                <w:rFonts w:ascii="Aptos" w:hAnsi="Aptos" w:cs="Helvetica"/>
              </w:rPr>
              <w:t xml:space="preserve"> </w:t>
            </w:r>
            <w:r w:rsidRPr="00CF5A75">
              <w:rPr>
                <w:rFonts w:ascii="Aptos" w:hAnsi="Aptos" w:cs="Helvetica"/>
              </w:rPr>
              <w:t>(</w:t>
            </w:r>
            <w:r w:rsidRPr="00CF5A75">
              <w:rPr>
                <w:rFonts w:ascii="Aptos" w:hAnsi="Aptos" w:cs="Helvetica"/>
                <w:b/>
                <w:bCs/>
                <w:u w:val="single"/>
              </w:rPr>
              <w:t>Appendix A</w:t>
            </w:r>
            <w:r w:rsidRPr="00CF5A75">
              <w:rPr>
                <w:rFonts w:ascii="Aptos" w:hAnsi="Aptos" w:cs="Helvetica"/>
              </w:rPr>
              <w:t xml:space="preserve">) </w:t>
            </w:r>
            <w:r w:rsidR="000A1C02" w:rsidRPr="00CF5A75">
              <w:rPr>
                <w:rFonts w:ascii="Aptos" w:hAnsi="Aptos" w:cs="Helvetica"/>
              </w:rPr>
              <w:t>and DNSH and MSS methodolog</w:t>
            </w:r>
            <w:r w:rsidR="00CF5A75" w:rsidRPr="00CF5A75">
              <w:rPr>
                <w:rFonts w:ascii="Aptos" w:hAnsi="Aptos" w:cs="Helvetica"/>
              </w:rPr>
              <w:t>ies</w:t>
            </w:r>
            <w:r w:rsidRPr="00CF5A75">
              <w:rPr>
                <w:rFonts w:ascii="Aptos" w:hAnsi="Aptos" w:cs="Helvetica"/>
              </w:rPr>
              <w:t xml:space="preserve"> (</w:t>
            </w:r>
            <w:r w:rsidRPr="00CF5A75">
              <w:rPr>
                <w:rFonts w:ascii="Aptos" w:hAnsi="Aptos" w:cs="Helvetica"/>
                <w:b/>
                <w:bCs/>
                <w:u w:val="single"/>
              </w:rPr>
              <w:t>Appendix B</w:t>
            </w:r>
            <w:r w:rsidRPr="00CF5A75">
              <w:rPr>
                <w:rFonts w:ascii="Aptos" w:hAnsi="Aptos" w:cs="Helvetica"/>
              </w:rPr>
              <w:t xml:space="preserve">) are </w:t>
            </w:r>
            <w:r w:rsidR="00905795" w:rsidRPr="00CF5A75">
              <w:rPr>
                <w:rFonts w:ascii="Aptos" w:hAnsi="Aptos" w:cs="Helvetica"/>
              </w:rPr>
              <w:t xml:space="preserve">underpinned by </w:t>
            </w:r>
            <w:r w:rsidR="00DC22A0" w:rsidRPr="00CF5A75">
              <w:rPr>
                <w:rFonts w:ascii="Aptos" w:hAnsi="Aptos" w:cs="Helvetica"/>
              </w:rPr>
              <w:t>international</w:t>
            </w:r>
            <w:r w:rsidRPr="00CF5A75">
              <w:rPr>
                <w:rFonts w:ascii="Aptos" w:hAnsi="Aptos" w:cs="Helvetica"/>
              </w:rPr>
              <w:t>ly recognised, science-</w:t>
            </w:r>
            <w:r w:rsidR="00614E84" w:rsidRPr="00CF5A75">
              <w:rPr>
                <w:rFonts w:ascii="Aptos" w:hAnsi="Aptos" w:cs="Helvetica"/>
              </w:rPr>
              <w:t xml:space="preserve"> and evidence-</w:t>
            </w:r>
            <w:r w:rsidRPr="00CF5A75">
              <w:rPr>
                <w:rFonts w:ascii="Aptos" w:hAnsi="Aptos" w:cs="Helvetica"/>
              </w:rPr>
              <w:t>based</w:t>
            </w:r>
            <w:r w:rsidR="00DC22A0" w:rsidRPr="00CF5A75">
              <w:rPr>
                <w:rFonts w:ascii="Aptos" w:hAnsi="Aptos" w:cs="Helvetica"/>
              </w:rPr>
              <w:t xml:space="preserve"> </w:t>
            </w:r>
            <w:r w:rsidR="006A5FE5" w:rsidRPr="00CF5A75">
              <w:rPr>
                <w:rFonts w:ascii="Aptos" w:hAnsi="Aptos" w:cs="Helvetica"/>
              </w:rPr>
              <w:t>information</w:t>
            </w:r>
            <w:r w:rsidR="00614E84" w:rsidRPr="00CF5A75">
              <w:rPr>
                <w:rFonts w:ascii="Aptos" w:hAnsi="Aptos" w:cs="Helvetica"/>
              </w:rPr>
              <w:t xml:space="preserve"> and approaches</w:t>
            </w:r>
            <w:r w:rsidR="00DC22A0" w:rsidRPr="00CF5A75">
              <w:rPr>
                <w:rFonts w:ascii="Aptos" w:hAnsi="Aptos" w:cs="Helvetica"/>
              </w:rPr>
              <w:t xml:space="preserve">. </w:t>
            </w:r>
          </w:p>
          <w:p w14:paraId="740EB371" w14:textId="77777777" w:rsidR="00614E84" w:rsidRDefault="00614E84" w:rsidP="00581A5A">
            <w:pPr>
              <w:rPr>
                <w:rFonts w:ascii="Aptos" w:hAnsi="Aptos" w:cs="Helvetica"/>
              </w:rPr>
            </w:pPr>
          </w:p>
          <w:p w14:paraId="60A98331" w14:textId="79B26926" w:rsidR="00381AB7" w:rsidRPr="00381AB7" w:rsidRDefault="00381AB7" w:rsidP="00581A5A">
            <w:pPr>
              <w:rPr>
                <w:rFonts w:ascii="Aptos" w:hAnsi="Aptos" w:cs="Helvetica"/>
                <w:u w:val="single"/>
              </w:rPr>
            </w:pPr>
            <w:r>
              <w:rPr>
                <w:rFonts w:ascii="Aptos" w:hAnsi="Aptos" w:cs="Helvetica"/>
                <w:u w:val="single"/>
              </w:rPr>
              <w:t xml:space="preserve">Technical screening criteria </w:t>
            </w:r>
          </w:p>
          <w:p w14:paraId="40926984" w14:textId="77777777" w:rsidR="00381AB7" w:rsidRDefault="00381AB7" w:rsidP="00581A5A">
            <w:pPr>
              <w:rPr>
                <w:rFonts w:ascii="Aptos" w:hAnsi="Aptos" w:cs="Helvetica"/>
              </w:rPr>
            </w:pPr>
          </w:p>
          <w:p w14:paraId="33198D79" w14:textId="79A1A9A7" w:rsidR="00003DA2" w:rsidRDefault="004E0AED" w:rsidP="00581A5A">
            <w:pPr>
              <w:rPr>
                <w:rFonts w:ascii="Aptos" w:hAnsi="Aptos" w:cs="Helvetica"/>
              </w:rPr>
            </w:pPr>
            <w:r>
              <w:rPr>
                <w:rFonts w:ascii="Aptos" w:hAnsi="Aptos" w:cs="Helvetica"/>
              </w:rPr>
              <w:t xml:space="preserve">Internationally recognised and </w:t>
            </w:r>
            <w:r w:rsidR="00AF7108">
              <w:rPr>
                <w:rFonts w:ascii="Aptos" w:hAnsi="Aptos" w:cs="Helvetica"/>
              </w:rPr>
              <w:t>credible 1.5</w:t>
            </w:r>
            <w:r w:rsidR="00003DA2" w:rsidRPr="00003DA2">
              <w:rPr>
                <w:rFonts w:ascii="Aptos" w:hAnsi="Aptos" w:cs="Helvetica"/>
              </w:rPr>
              <w:t>°</w:t>
            </w:r>
            <w:r w:rsidR="00AF7108">
              <w:rPr>
                <w:rFonts w:ascii="Aptos" w:hAnsi="Aptos" w:cs="Helvetica"/>
              </w:rPr>
              <w:t xml:space="preserve">C-aligned scenarios </w:t>
            </w:r>
            <w:r w:rsidR="00981497">
              <w:rPr>
                <w:rFonts w:ascii="Aptos" w:hAnsi="Aptos" w:cs="Helvetica"/>
              </w:rPr>
              <w:t xml:space="preserve">have been used to </w:t>
            </w:r>
            <w:r w:rsidR="00AF7108">
              <w:rPr>
                <w:rFonts w:ascii="Aptos" w:hAnsi="Aptos" w:cs="Helvetica"/>
              </w:rPr>
              <w:t xml:space="preserve">identify (a) which activities can be classified as </w:t>
            </w:r>
            <w:r w:rsidR="006541DE">
              <w:rPr>
                <w:rFonts w:ascii="Aptos" w:hAnsi="Aptos" w:cs="Helvetica"/>
              </w:rPr>
              <w:t>‘green’ or ‘transition’ under the Australian taxonomy; and (b) to inform the TSC for those activities, including the greenhouse gas emissions thresholds.</w:t>
            </w:r>
          </w:p>
          <w:p w14:paraId="3E10C532" w14:textId="77777777" w:rsidR="00003DA2" w:rsidRDefault="00003DA2" w:rsidP="00581A5A">
            <w:pPr>
              <w:rPr>
                <w:rFonts w:ascii="Aptos" w:hAnsi="Aptos" w:cs="Helvetica"/>
              </w:rPr>
            </w:pPr>
          </w:p>
          <w:p w14:paraId="7B964306" w14:textId="482E9CA8" w:rsidR="00981497" w:rsidRDefault="00003DA2" w:rsidP="001F0145">
            <w:pPr>
              <w:rPr>
                <w:rFonts w:ascii="Aptos" w:hAnsi="Aptos" w:cs="Helvetica"/>
              </w:rPr>
            </w:pPr>
            <w:r w:rsidRPr="00003DA2">
              <w:rPr>
                <w:rFonts w:ascii="Aptos" w:hAnsi="Aptos" w:cs="Helvetica"/>
              </w:rPr>
              <w:t>The core reference scenario for the</w:t>
            </w:r>
            <w:r>
              <w:rPr>
                <w:rFonts w:ascii="Aptos" w:hAnsi="Aptos" w:cs="Helvetica"/>
              </w:rPr>
              <w:t xml:space="preserve"> Australian</w:t>
            </w:r>
            <w:r w:rsidRPr="00003DA2">
              <w:rPr>
                <w:rFonts w:ascii="Aptos" w:hAnsi="Aptos" w:cs="Helvetica"/>
              </w:rPr>
              <w:t xml:space="preserve"> taxonomy’s development is the IEA NZE2050, and the Australian 1.5°C scenario developed by </w:t>
            </w:r>
            <w:proofErr w:type="spellStart"/>
            <w:r w:rsidRPr="00003DA2">
              <w:rPr>
                <w:rFonts w:ascii="Aptos" w:hAnsi="Aptos" w:cs="Helvetica"/>
              </w:rPr>
              <w:t>Climateworks</w:t>
            </w:r>
            <w:proofErr w:type="spellEnd"/>
            <w:r w:rsidRPr="00003DA2">
              <w:rPr>
                <w:rFonts w:ascii="Aptos" w:hAnsi="Aptos" w:cs="Helvetica"/>
              </w:rPr>
              <w:t xml:space="preserve"> Centre based on partnership with CSIRO, which downscales the IEA’s TIMES model to the Australian context</w:t>
            </w:r>
            <w:r w:rsidR="00FF0C83">
              <w:rPr>
                <w:rFonts w:ascii="Aptos" w:hAnsi="Aptos" w:cs="Helvetica"/>
              </w:rPr>
              <w:t xml:space="preserve">. </w:t>
            </w:r>
            <w:r w:rsidR="00FF0C83" w:rsidRPr="00FF0C83">
              <w:rPr>
                <w:rFonts w:ascii="Aptos" w:hAnsi="Aptos" w:cs="Helvetica"/>
              </w:rPr>
              <w:t xml:space="preserve">While other credible 1.5°C scenarios have been developed, including by the Intergovernmental Panel on Climate Change and the Network for Greening the Financial System, the IEA’s NZE2050 model is commonly used as a reference in global capital markets, and using it strengthens the </w:t>
            </w:r>
            <w:r w:rsidR="00FF0C83" w:rsidRPr="00FF0C83">
              <w:rPr>
                <w:rFonts w:ascii="Aptos" w:hAnsi="Aptos" w:cs="Helvetica"/>
              </w:rPr>
              <w:lastRenderedPageBreak/>
              <w:t>taxonomy’s interoperability</w:t>
            </w:r>
            <w:r w:rsidR="00FF0C83">
              <w:rPr>
                <w:rFonts w:ascii="Aptos" w:hAnsi="Aptos" w:cs="Helvetica"/>
              </w:rPr>
              <w:t xml:space="preserve">. </w:t>
            </w:r>
            <w:r w:rsidR="002200DF" w:rsidRPr="002200DF">
              <w:rPr>
                <w:rFonts w:ascii="Aptos" w:hAnsi="Aptos" w:cs="Helvetica"/>
              </w:rPr>
              <w:t xml:space="preserve">Where data are available and applicable to </w:t>
            </w:r>
            <w:r w:rsidR="00E41A10">
              <w:rPr>
                <w:rFonts w:ascii="Aptos" w:hAnsi="Aptos" w:cs="Helvetica"/>
              </w:rPr>
              <w:t>an</w:t>
            </w:r>
            <w:r w:rsidR="002200DF" w:rsidRPr="002200DF">
              <w:rPr>
                <w:rFonts w:ascii="Aptos" w:hAnsi="Aptos" w:cs="Helvetica"/>
              </w:rPr>
              <w:t xml:space="preserve"> activity, the Australian taxonomy defines performance level requirements for green and transition activities using objective</w:t>
            </w:r>
            <w:r w:rsidR="00981497">
              <w:rPr>
                <w:rFonts w:ascii="Aptos" w:hAnsi="Aptos" w:cs="Helvetica"/>
              </w:rPr>
              <w:t>,</w:t>
            </w:r>
            <w:r w:rsidR="002200DF" w:rsidRPr="002200DF">
              <w:rPr>
                <w:rFonts w:ascii="Aptos" w:hAnsi="Aptos" w:cs="Helvetica"/>
              </w:rPr>
              <w:t xml:space="preserve"> science</w:t>
            </w:r>
            <w:r w:rsidR="00981497">
              <w:rPr>
                <w:rFonts w:ascii="Aptos" w:hAnsi="Aptos" w:cs="Helvetica"/>
              </w:rPr>
              <w:t>-</w:t>
            </w:r>
            <w:r w:rsidR="002200DF" w:rsidRPr="002200DF">
              <w:rPr>
                <w:rFonts w:ascii="Aptos" w:hAnsi="Aptos" w:cs="Helvetica"/>
              </w:rPr>
              <w:t xml:space="preserve">based </w:t>
            </w:r>
            <w:r w:rsidR="00EE2F74">
              <w:rPr>
                <w:rFonts w:ascii="Aptos" w:hAnsi="Aptos" w:cs="Helvetica"/>
              </w:rPr>
              <w:t>TSC</w:t>
            </w:r>
            <w:r w:rsidR="002200DF" w:rsidRPr="002200DF">
              <w:rPr>
                <w:rFonts w:ascii="Aptos" w:hAnsi="Aptos" w:cs="Helvetica"/>
              </w:rPr>
              <w:t xml:space="preserve">, utilising emissions intensity thresholds </w:t>
            </w:r>
            <w:r w:rsidR="00EE2F74">
              <w:rPr>
                <w:rFonts w:ascii="Aptos" w:hAnsi="Aptos" w:cs="Helvetica"/>
              </w:rPr>
              <w:t>that are consistent</w:t>
            </w:r>
            <w:r w:rsidR="002200DF" w:rsidRPr="002200DF">
              <w:rPr>
                <w:rFonts w:ascii="Aptos" w:hAnsi="Aptos" w:cs="Helvetica"/>
              </w:rPr>
              <w:t xml:space="preserve"> with 1.5°C-aligned pathways. </w:t>
            </w:r>
          </w:p>
          <w:p w14:paraId="767B3660" w14:textId="77777777" w:rsidR="00981497" w:rsidRDefault="00981497" w:rsidP="00FF0C83">
            <w:pPr>
              <w:tabs>
                <w:tab w:val="left" w:pos="1180"/>
              </w:tabs>
              <w:rPr>
                <w:rFonts w:ascii="Aptos" w:hAnsi="Aptos" w:cs="Helvetica"/>
              </w:rPr>
            </w:pPr>
          </w:p>
          <w:p w14:paraId="61F4334C" w14:textId="561FC080" w:rsidR="002200DF" w:rsidRDefault="002200DF" w:rsidP="00FF0C83">
            <w:pPr>
              <w:tabs>
                <w:tab w:val="left" w:pos="1180"/>
              </w:tabs>
              <w:rPr>
                <w:rFonts w:ascii="Aptos" w:hAnsi="Aptos" w:cs="Helvetica"/>
              </w:rPr>
            </w:pPr>
            <w:r w:rsidRPr="002200DF">
              <w:rPr>
                <w:rFonts w:ascii="Aptos" w:hAnsi="Aptos" w:cs="Helvetica"/>
              </w:rPr>
              <w:t>For some activities, emissions intensity thresholds are not applicable. In these cases, other relative or absolute performance indicators, targets, and measures, including specific technologies or products, and standards or codes are used depending on which is more appropriate to set the thresholds for green or transition activities. For a limited range of activities, automatic eligibility is granted based on the verified contribution that can be attributed to the underlying technology. For example, all solar, wind, and ocean energy generation activities are proposed as automatically eligible until 2030 due to a high degree of certainty that they fit within the 100g CO2e/kWh emissions intensity threshold fixed until that date</w:t>
            </w:r>
            <w:r w:rsidR="00066FD4">
              <w:rPr>
                <w:rFonts w:ascii="Aptos" w:hAnsi="Aptos" w:cs="Helvetica"/>
              </w:rPr>
              <w:t xml:space="preserve">. </w:t>
            </w:r>
          </w:p>
          <w:p w14:paraId="4A49D8B3" w14:textId="77777777" w:rsidR="00E41A10" w:rsidRDefault="00E41A10" w:rsidP="00FF0C83">
            <w:pPr>
              <w:tabs>
                <w:tab w:val="left" w:pos="1180"/>
              </w:tabs>
              <w:rPr>
                <w:rFonts w:ascii="Aptos" w:hAnsi="Aptos" w:cs="Helvetica"/>
              </w:rPr>
            </w:pPr>
          </w:p>
          <w:p w14:paraId="5F6C4978" w14:textId="7606EDF1" w:rsidR="00E41A10" w:rsidRDefault="00E41A10" w:rsidP="00FF0C83">
            <w:pPr>
              <w:tabs>
                <w:tab w:val="left" w:pos="1180"/>
              </w:tabs>
              <w:rPr>
                <w:rFonts w:ascii="Aptos" w:hAnsi="Aptos" w:cs="Helvetica"/>
              </w:rPr>
            </w:pPr>
            <w:r>
              <w:rPr>
                <w:rFonts w:ascii="Aptos" w:hAnsi="Aptos" w:cs="Helvetica"/>
              </w:rPr>
              <w:t xml:space="preserve">More information on this is available in </w:t>
            </w:r>
            <w:r w:rsidRPr="00E41A10">
              <w:rPr>
                <w:rFonts w:ascii="Aptos" w:hAnsi="Aptos" w:cs="Helvetica"/>
                <w:b/>
                <w:bCs/>
                <w:u w:val="single"/>
              </w:rPr>
              <w:t>Appendix D</w:t>
            </w:r>
            <w:r>
              <w:rPr>
                <w:rFonts w:ascii="Aptos" w:hAnsi="Aptos" w:cs="Helvetica"/>
              </w:rPr>
              <w:t xml:space="preserve">. </w:t>
            </w:r>
          </w:p>
          <w:p w14:paraId="081E91D2" w14:textId="77777777" w:rsidR="00066FD4" w:rsidRDefault="00066FD4" w:rsidP="00FF0C83">
            <w:pPr>
              <w:tabs>
                <w:tab w:val="left" w:pos="1180"/>
              </w:tabs>
              <w:rPr>
                <w:rFonts w:ascii="Aptos" w:hAnsi="Aptos" w:cs="Helvetica"/>
              </w:rPr>
            </w:pPr>
          </w:p>
          <w:p w14:paraId="47D96048" w14:textId="521CD15C" w:rsidR="00B51C1E" w:rsidRPr="00B51C1E" w:rsidRDefault="00B51C1E" w:rsidP="00FF0C83">
            <w:pPr>
              <w:tabs>
                <w:tab w:val="left" w:pos="1180"/>
              </w:tabs>
              <w:rPr>
                <w:rFonts w:ascii="Aptos" w:hAnsi="Aptos" w:cs="Helvetica"/>
                <w:u w:val="single"/>
              </w:rPr>
            </w:pPr>
            <w:r>
              <w:rPr>
                <w:rFonts w:ascii="Aptos" w:hAnsi="Aptos" w:cs="Helvetica"/>
                <w:u w:val="single"/>
              </w:rPr>
              <w:t xml:space="preserve">Environmental objective headline ambitions and </w:t>
            </w:r>
            <w:r w:rsidR="002C3FA3">
              <w:rPr>
                <w:rFonts w:ascii="Aptos" w:hAnsi="Aptos" w:cs="Helvetica"/>
                <w:u w:val="single"/>
              </w:rPr>
              <w:t>core social pillars</w:t>
            </w:r>
          </w:p>
          <w:p w14:paraId="45445779" w14:textId="77777777" w:rsidR="00FF0C83" w:rsidRPr="00CF5A75" w:rsidRDefault="00FF0C83" w:rsidP="00FF0C83">
            <w:pPr>
              <w:tabs>
                <w:tab w:val="left" w:pos="1180"/>
              </w:tabs>
              <w:rPr>
                <w:rFonts w:ascii="Aptos" w:hAnsi="Aptos" w:cs="Helvetica"/>
              </w:rPr>
            </w:pPr>
          </w:p>
          <w:p w14:paraId="16EE7FFD" w14:textId="762FE18F" w:rsidR="002C3FA3" w:rsidRDefault="002C3FA3" w:rsidP="00581A5A">
            <w:pPr>
              <w:rPr>
                <w:rFonts w:ascii="Aptos" w:eastAsia="Calibri" w:hAnsi="Aptos" w:cs="Helvetica"/>
              </w:rPr>
            </w:pPr>
            <w:r>
              <w:rPr>
                <w:rFonts w:ascii="Aptos" w:eastAsia="Calibri" w:hAnsi="Aptos" w:cs="Helvetica"/>
              </w:rPr>
              <w:t xml:space="preserve">The </w:t>
            </w:r>
            <w:r w:rsidR="007415F4">
              <w:rPr>
                <w:rFonts w:ascii="Aptos" w:eastAsia="Calibri" w:hAnsi="Aptos" w:cs="Helvetica"/>
              </w:rPr>
              <w:t>Australian taxonomy’s headline ambitions are informed by international climate and broader environmental agreements that Australia supports, such as the Paris Agreement and the Kunming-Montreal Global Biodiversity Framework. They are also underpinned by science-based information and frameworks</w:t>
            </w:r>
            <w:r w:rsidR="00231CE4">
              <w:rPr>
                <w:rFonts w:ascii="Aptos" w:eastAsia="Calibri" w:hAnsi="Aptos" w:cs="Helvetica"/>
              </w:rPr>
              <w:t>,</w:t>
            </w:r>
            <w:r w:rsidR="007415F4">
              <w:rPr>
                <w:rFonts w:ascii="Aptos" w:eastAsia="Calibri" w:hAnsi="Aptos" w:cs="Helvetica"/>
              </w:rPr>
              <w:t xml:space="preserve"> and informed by national commitments and strategies, including Australia’s leadership on </w:t>
            </w:r>
            <w:proofErr w:type="gramStart"/>
            <w:r w:rsidR="007415F4">
              <w:rPr>
                <w:rFonts w:ascii="Aptos" w:eastAsia="Calibri" w:hAnsi="Aptos" w:cs="Helvetica"/>
              </w:rPr>
              <w:t>particular environmental</w:t>
            </w:r>
            <w:proofErr w:type="gramEnd"/>
            <w:r w:rsidR="007415F4">
              <w:rPr>
                <w:rFonts w:ascii="Aptos" w:eastAsia="Calibri" w:hAnsi="Aptos" w:cs="Helvetica"/>
              </w:rPr>
              <w:t xml:space="preserve"> objectives. </w:t>
            </w:r>
          </w:p>
          <w:p w14:paraId="55CE87C4" w14:textId="77777777" w:rsidR="002C3FA3" w:rsidRDefault="002C3FA3" w:rsidP="00581A5A">
            <w:pPr>
              <w:rPr>
                <w:rFonts w:ascii="Aptos" w:eastAsia="Calibri" w:hAnsi="Aptos" w:cs="Helvetica"/>
              </w:rPr>
            </w:pPr>
          </w:p>
          <w:p w14:paraId="66339231" w14:textId="77EC882F" w:rsidR="00231CE4" w:rsidRDefault="00CF5A75" w:rsidP="00581A5A">
            <w:pPr>
              <w:rPr>
                <w:rFonts w:ascii="Aptos" w:eastAsia="Calibri" w:hAnsi="Aptos" w:cs="Helvetica"/>
              </w:rPr>
            </w:pPr>
            <w:r w:rsidRPr="00CF5A75">
              <w:rPr>
                <w:rFonts w:ascii="Aptos" w:eastAsia="Calibri" w:hAnsi="Aptos" w:cs="Helvetica"/>
              </w:rPr>
              <w:t xml:space="preserve">The Australian taxonomy’s proposed social objectives and their underlying core pillars align with international agreements Australia has signed or ratified; national legislation, standards, </w:t>
            </w:r>
            <w:proofErr w:type="gramStart"/>
            <w:r w:rsidRPr="00CF5A75">
              <w:rPr>
                <w:rFonts w:ascii="Aptos" w:eastAsia="Calibri" w:hAnsi="Aptos" w:cs="Helvetica"/>
              </w:rPr>
              <w:t>policies</w:t>
            </w:r>
            <w:proofErr w:type="gramEnd"/>
            <w:r w:rsidRPr="00CF5A75">
              <w:rPr>
                <w:rFonts w:ascii="Aptos" w:eastAsia="Calibri" w:hAnsi="Aptos" w:cs="Helvetica"/>
              </w:rPr>
              <w:t xml:space="preserve"> and strategies; </w:t>
            </w:r>
            <w:r w:rsidR="00B04B13">
              <w:rPr>
                <w:rFonts w:ascii="Aptos" w:eastAsia="Calibri" w:hAnsi="Aptos" w:cs="Helvetica"/>
              </w:rPr>
              <w:t xml:space="preserve">and </w:t>
            </w:r>
            <w:r w:rsidR="002C3FA3">
              <w:rPr>
                <w:rFonts w:ascii="Aptos" w:eastAsia="Calibri" w:hAnsi="Aptos" w:cs="Helvetica"/>
              </w:rPr>
              <w:t xml:space="preserve">best-practice </w:t>
            </w:r>
            <w:r w:rsidRPr="00CF5A75">
              <w:rPr>
                <w:rFonts w:ascii="Aptos" w:eastAsia="Calibri" w:hAnsi="Aptos" w:cs="Helvetica"/>
              </w:rPr>
              <w:t xml:space="preserve">disclosure </w:t>
            </w:r>
            <w:r w:rsidR="001F0145">
              <w:rPr>
                <w:rFonts w:ascii="Aptos" w:eastAsia="Calibri" w:hAnsi="Aptos" w:cs="Helvetica"/>
              </w:rPr>
              <w:t>frameworks</w:t>
            </w:r>
            <w:r w:rsidRPr="00CF5A75">
              <w:rPr>
                <w:rFonts w:ascii="Aptos" w:eastAsia="Calibri" w:hAnsi="Aptos" w:cs="Helvetica"/>
              </w:rPr>
              <w:t xml:space="preserve"> for corporates and investors</w:t>
            </w:r>
            <w:r w:rsidR="00B04B13">
              <w:rPr>
                <w:rFonts w:ascii="Aptos" w:eastAsia="Calibri" w:hAnsi="Aptos" w:cs="Helvetica"/>
              </w:rPr>
              <w:t xml:space="preserve">. Where </w:t>
            </w:r>
            <w:r w:rsidR="00F809F5">
              <w:rPr>
                <w:rFonts w:ascii="Aptos" w:eastAsia="Calibri" w:hAnsi="Aptos" w:cs="Helvetica"/>
              </w:rPr>
              <w:t xml:space="preserve">it is considered </w:t>
            </w:r>
            <w:r w:rsidR="00B04B13">
              <w:rPr>
                <w:rFonts w:ascii="Aptos" w:eastAsia="Calibri" w:hAnsi="Aptos" w:cs="Helvetica"/>
              </w:rPr>
              <w:t>necessary and appropriate,</w:t>
            </w:r>
            <w:r w:rsidR="00F809F5">
              <w:rPr>
                <w:rFonts w:ascii="Aptos" w:eastAsia="Calibri" w:hAnsi="Aptos" w:cs="Helvetica"/>
              </w:rPr>
              <w:t xml:space="preserve"> such</w:t>
            </w:r>
            <w:r w:rsidR="00244FA7">
              <w:rPr>
                <w:rFonts w:ascii="Aptos" w:eastAsia="Calibri" w:hAnsi="Aptos" w:cs="Helvetica"/>
              </w:rPr>
              <w:t xml:space="preserve"> in relation to</w:t>
            </w:r>
            <w:r w:rsidR="00F809F5">
              <w:rPr>
                <w:rFonts w:ascii="Aptos" w:eastAsia="Calibri" w:hAnsi="Aptos" w:cs="Helvetica"/>
              </w:rPr>
              <w:t xml:space="preserve"> gaining the</w:t>
            </w:r>
            <w:r w:rsidR="00244FA7">
              <w:rPr>
                <w:rFonts w:ascii="Aptos" w:eastAsia="Calibri" w:hAnsi="Aptos" w:cs="Helvetica"/>
              </w:rPr>
              <w:t xml:space="preserve"> f</w:t>
            </w:r>
            <w:r w:rsidR="00F809F5">
              <w:rPr>
                <w:rFonts w:ascii="Aptos" w:eastAsia="Calibri" w:hAnsi="Aptos" w:cs="Helvetica"/>
              </w:rPr>
              <w:t xml:space="preserve">ree, </w:t>
            </w:r>
            <w:proofErr w:type="gramStart"/>
            <w:r w:rsidR="00244FA7">
              <w:rPr>
                <w:rFonts w:ascii="Aptos" w:eastAsia="Calibri" w:hAnsi="Aptos" w:cs="Helvetica"/>
              </w:rPr>
              <w:t>p</w:t>
            </w:r>
            <w:r w:rsidR="00F809F5">
              <w:rPr>
                <w:rFonts w:ascii="Aptos" w:eastAsia="Calibri" w:hAnsi="Aptos" w:cs="Helvetica"/>
              </w:rPr>
              <w:t>rior</w:t>
            </w:r>
            <w:proofErr w:type="gramEnd"/>
            <w:r w:rsidR="00F809F5">
              <w:rPr>
                <w:rFonts w:ascii="Aptos" w:eastAsia="Calibri" w:hAnsi="Aptos" w:cs="Helvetica"/>
              </w:rPr>
              <w:t xml:space="preserve"> and </w:t>
            </w:r>
            <w:r w:rsidR="00244FA7">
              <w:rPr>
                <w:rFonts w:ascii="Aptos" w:eastAsia="Calibri" w:hAnsi="Aptos" w:cs="Helvetica"/>
              </w:rPr>
              <w:t>i</w:t>
            </w:r>
            <w:r w:rsidR="00F809F5">
              <w:rPr>
                <w:rFonts w:ascii="Aptos" w:eastAsia="Calibri" w:hAnsi="Aptos" w:cs="Helvetica"/>
              </w:rPr>
              <w:t xml:space="preserve">nformed </w:t>
            </w:r>
            <w:r w:rsidR="00244FA7">
              <w:rPr>
                <w:rFonts w:ascii="Aptos" w:eastAsia="Calibri" w:hAnsi="Aptos" w:cs="Helvetica"/>
              </w:rPr>
              <w:t>c</w:t>
            </w:r>
            <w:r w:rsidR="00F809F5">
              <w:rPr>
                <w:rFonts w:ascii="Aptos" w:eastAsia="Calibri" w:hAnsi="Aptos" w:cs="Helvetica"/>
              </w:rPr>
              <w:t>onsent of First Nations peoples</w:t>
            </w:r>
            <w:r w:rsidR="00244FA7">
              <w:rPr>
                <w:rFonts w:ascii="Aptos" w:eastAsia="Calibri" w:hAnsi="Aptos" w:cs="Helvetica"/>
              </w:rPr>
              <w:t xml:space="preserve"> to undertake projects on their lands,</w:t>
            </w:r>
            <w:r w:rsidR="00B04B13">
              <w:rPr>
                <w:rFonts w:ascii="Aptos" w:eastAsia="Calibri" w:hAnsi="Aptos" w:cs="Helvetica"/>
              </w:rPr>
              <w:t xml:space="preserve"> the Australian taxonomy’s MSS criteria </w:t>
            </w:r>
            <w:r w:rsidR="00F809F5">
              <w:rPr>
                <w:rFonts w:ascii="Aptos" w:eastAsia="Calibri" w:hAnsi="Aptos" w:cs="Helvetica"/>
              </w:rPr>
              <w:t>will likely go above the baseline standards set by current regulation and policy.</w:t>
            </w:r>
          </w:p>
          <w:p w14:paraId="32D1B42E" w14:textId="77777777" w:rsidR="00231CE4" w:rsidRDefault="00231CE4" w:rsidP="00581A5A">
            <w:pPr>
              <w:rPr>
                <w:rFonts w:ascii="Aptos" w:eastAsia="Calibri" w:hAnsi="Aptos" w:cs="Helvetica"/>
              </w:rPr>
            </w:pPr>
          </w:p>
          <w:p w14:paraId="15CD8B91" w14:textId="77777777" w:rsidR="005B35BC" w:rsidRDefault="00231CE4" w:rsidP="00CF5A75">
            <w:pPr>
              <w:rPr>
                <w:rFonts w:ascii="Aptos" w:eastAsia="Calibri" w:hAnsi="Aptos" w:cs="Helvetica"/>
              </w:rPr>
            </w:pPr>
            <w:r>
              <w:rPr>
                <w:rFonts w:ascii="Aptos" w:eastAsia="Calibri" w:hAnsi="Aptos" w:cs="Helvetica"/>
              </w:rPr>
              <w:t xml:space="preserve">More information on this is available in </w:t>
            </w:r>
            <w:r w:rsidRPr="00231CE4">
              <w:rPr>
                <w:rFonts w:ascii="Aptos" w:eastAsia="Calibri" w:hAnsi="Aptos" w:cs="Helvetica"/>
                <w:b/>
                <w:bCs/>
                <w:u w:val="single"/>
              </w:rPr>
              <w:t>Appendix B and D</w:t>
            </w:r>
            <w:r>
              <w:rPr>
                <w:rFonts w:ascii="Aptos" w:eastAsia="Calibri" w:hAnsi="Aptos" w:cs="Helvetica"/>
              </w:rPr>
              <w:t xml:space="preserve">. </w:t>
            </w:r>
          </w:p>
          <w:p w14:paraId="2908DEE4" w14:textId="77777777" w:rsidR="005B35BC" w:rsidRDefault="005B35BC" w:rsidP="00CF5A75">
            <w:pPr>
              <w:rPr>
                <w:rFonts w:ascii="Aptos" w:eastAsia="Calibri" w:hAnsi="Aptos" w:cs="Helvetica"/>
              </w:rPr>
            </w:pPr>
          </w:p>
          <w:p w14:paraId="295A3C69" w14:textId="77777777" w:rsidR="00E13953" w:rsidRDefault="00FB7EBB" w:rsidP="00CF5A75">
            <w:pPr>
              <w:rPr>
                <w:rFonts w:ascii="Aptos" w:eastAsia="Calibri" w:hAnsi="Aptos" w:cs="Helvetica"/>
              </w:rPr>
            </w:pPr>
            <w:r>
              <w:rPr>
                <w:rFonts w:ascii="Aptos" w:eastAsia="Calibri" w:hAnsi="Aptos" w:cs="Helvetica"/>
              </w:rPr>
              <w:t xml:space="preserve">Through the first round of public consultation, ASFI has </w:t>
            </w:r>
            <w:r w:rsidR="005B35BC">
              <w:rPr>
                <w:rFonts w:ascii="Aptos" w:eastAsia="Calibri" w:hAnsi="Aptos" w:cs="Helvetica"/>
              </w:rPr>
              <w:t>encouraged</w:t>
            </w:r>
            <w:r>
              <w:rPr>
                <w:rFonts w:ascii="Aptos" w:eastAsia="Calibri" w:hAnsi="Aptos" w:cs="Helvetica"/>
              </w:rPr>
              <w:t xml:space="preserve"> feedback on the credibility of the Australian taxonomy’s draft TSC for the first three priority sectors for development and environmental objective headline ambitions. </w:t>
            </w:r>
          </w:p>
          <w:p w14:paraId="4B0292C3" w14:textId="7118CA89" w:rsidR="001F0145" w:rsidRPr="00757467" w:rsidRDefault="001F0145" w:rsidP="00CF5A75">
            <w:pPr>
              <w:rPr>
                <w:rFonts w:ascii="Aptos" w:eastAsia="Calibri" w:hAnsi="Aptos" w:cs="Helvetica"/>
              </w:rPr>
            </w:pPr>
          </w:p>
        </w:tc>
      </w:tr>
      <w:tr w:rsidR="003601FF" w:rsidRPr="00CF5A75" w14:paraId="6836D396" w14:textId="77777777" w:rsidTr="00113FF1">
        <w:tc>
          <w:tcPr>
            <w:tcW w:w="1838" w:type="dxa"/>
          </w:tcPr>
          <w:p w14:paraId="487AC258" w14:textId="77777777" w:rsidR="003601FF" w:rsidRPr="00CF5A75" w:rsidRDefault="003601FF" w:rsidP="00581A5A">
            <w:pPr>
              <w:rPr>
                <w:rFonts w:ascii="Aptos" w:hAnsi="Aptos" w:cs="Helvetica"/>
                <w:b/>
                <w:bCs/>
              </w:rPr>
            </w:pPr>
            <w:r w:rsidRPr="00CF5A75">
              <w:rPr>
                <w:rFonts w:ascii="Aptos" w:hAnsi="Aptos" w:cs="Helvetica"/>
                <w:b/>
                <w:bCs/>
              </w:rPr>
              <w:lastRenderedPageBreak/>
              <w:t xml:space="preserve">The taxonomy should be usable by a </w:t>
            </w:r>
            <w:r w:rsidRPr="00CF5A75">
              <w:rPr>
                <w:rFonts w:ascii="Aptos" w:hAnsi="Aptos" w:cs="Helvetica"/>
                <w:b/>
                <w:bCs/>
              </w:rPr>
              <w:lastRenderedPageBreak/>
              <w:t xml:space="preserve">broad range of users. </w:t>
            </w:r>
          </w:p>
          <w:p w14:paraId="1BACCA2E" w14:textId="77777777" w:rsidR="003601FF" w:rsidRPr="00CF5A75" w:rsidRDefault="003601FF" w:rsidP="00581A5A">
            <w:pPr>
              <w:rPr>
                <w:rFonts w:ascii="Aptos" w:hAnsi="Aptos" w:cs="Helvetica"/>
                <w:b/>
                <w:bCs/>
              </w:rPr>
            </w:pPr>
          </w:p>
          <w:p w14:paraId="5D82FE9B" w14:textId="1EB5FBC7" w:rsidR="003601FF" w:rsidRPr="00CF5A75" w:rsidRDefault="003601FF" w:rsidP="00581A5A">
            <w:pPr>
              <w:rPr>
                <w:rFonts w:ascii="Aptos" w:hAnsi="Aptos" w:cs="Helvetica"/>
                <w:i/>
                <w:iCs/>
              </w:rPr>
            </w:pPr>
            <w:r w:rsidRPr="00CF5A75">
              <w:rPr>
                <w:rFonts w:ascii="Aptos" w:hAnsi="Aptos" w:cs="Helvetica"/>
                <w:i/>
                <w:iCs/>
              </w:rPr>
              <w:t xml:space="preserve">The taxonomy should be designed in a manner that is clear, efficient, and understandable by the financial and real economy sectors, as well as by organisations of different sizes and maturities. It should also leverage available and fit-for-purpose data and proxies to promote transparent and comparable reporting that reduces the burden on users. </w:t>
            </w:r>
          </w:p>
          <w:p w14:paraId="773A21D1" w14:textId="77777777" w:rsidR="003601FF" w:rsidRPr="00CF5A75" w:rsidRDefault="003601FF" w:rsidP="00581A5A">
            <w:pPr>
              <w:rPr>
                <w:rFonts w:ascii="Aptos" w:hAnsi="Aptos" w:cs="Helvetica"/>
                <w:b/>
                <w:bCs/>
              </w:rPr>
            </w:pPr>
          </w:p>
          <w:p w14:paraId="639DC954" w14:textId="2FA50FC8" w:rsidR="003601FF" w:rsidRPr="00CF5A75" w:rsidRDefault="003601FF" w:rsidP="00581A5A">
            <w:pPr>
              <w:rPr>
                <w:rFonts w:ascii="Aptos" w:hAnsi="Aptos" w:cs="Helvetica"/>
                <w:b/>
                <w:bCs/>
              </w:rPr>
            </w:pPr>
          </w:p>
        </w:tc>
        <w:tc>
          <w:tcPr>
            <w:tcW w:w="7938" w:type="dxa"/>
          </w:tcPr>
          <w:p w14:paraId="5342DA2D" w14:textId="4A1E5A62" w:rsidR="0012404A" w:rsidRPr="00CF5A75" w:rsidRDefault="0012404A" w:rsidP="0012404A">
            <w:pPr>
              <w:rPr>
                <w:rFonts w:ascii="Aptos" w:hAnsi="Aptos" w:cs="Helvetica"/>
              </w:rPr>
            </w:pPr>
            <w:r w:rsidRPr="00CF5A75">
              <w:rPr>
                <w:rFonts w:ascii="Aptos" w:hAnsi="Aptos" w:cs="Helvetica"/>
              </w:rPr>
              <w:lastRenderedPageBreak/>
              <w:t>This design principle aligns with the Australian Government’s Sustainable Finance Strategy consultation paper, which states that</w:t>
            </w:r>
            <w:r w:rsidR="002A51B7">
              <w:rPr>
                <w:rFonts w:ascii="Aptos" w:hAnsi="Aptos" w:cs="Helvetica"/>
              </w:rPr>
              <w:t xml:space="preserve"> sustainable finance frameworks </w:t>
            </w:r>
            <w:r w:rsidR="002A51B7" w:rsidRPr="00841506">
              <w:rPr>
                <w:rFonts w:ascii="Aptos" w:hAnsi="Aptos" w:cs="Helvetica"/>
                <w:i/>
                <w:iCs/>
              </w:rPr>
              <w:t>“should make it simpler for firms to report opportunities and risks</w:t>
            </w:r>
            <w:r w:rsidR="0006445C" w:rsidRPr="00841506">
              <w:rPr>
                <w:rFonts w:ascii="Aptos" w:hAnsi="Aptos" w:cs="Helvetica"/>
                <w:i/>
                <w:iCs/>
              </w:rPr>
              <w:t xml:space="preserve">, back up sustainability claims, and pursue </w:t>
            </w:r>
            <w:r w:rsidR="0006445C" w:rsidRPr="00841506">
              <w:rPr>
                <w:rFonts w:ascii="Aptos" w:hAnsi="Aptos" w:cs="Helvetica"/>
                <w:i/>
                <w:iCs/>
              </w:rPr>
              <w:lastRenderedPageBreak/>
              <w:t xml:space="preserve">sustainability-aligned investments. They should also make it easier for individual shareholders and decision-makers to access, understand and act on sustainability-related information. Where complex regulatory </w:t>
            </w:r>
            <w:r w:rsidR="00841506" w:rsidRPr="00841506">
              <w:rPr>
                <w:rFonts w:ascii="Aptos" w:hAnsi="Aptos" w:cs="Helvetica"/>
                <w:i/>
                <w:iCs/>
              </w:rPr>
              <w:t xml:space="preserve">arrangements are required, these should be proportional to need and aligned as far as practical with existing regulatory thresholds, </w:t>
            </w:r>
            <w:proofErr w:type="gramStart"/>
            <w:r w:rsidR="00841506" w:rsidRPr="00841506">
              <w:rPr>
                <w:rFonts w:ascii="Aptos" w:hAnsi="Aptos" w:cs="Helvetica"/>
                <w:i/>
                <w:iCs/>
              </w:rPr>
              <w:t>frameworks</w:t>
            </w:r>
            <w:proofErr w:type="gramEnd"/>
            <w:r w:rsidR="00841506" w:rsidRPr="00841506">
              <w:rPr>
                <w:rFonts w:ascii="Aptos" w:hAnsi="Aptos" w:cs="Helvetica"/>
                <w:i/>
                <w:iCs/>
              </w:rPr>
              <w:t xml:space="preserve"> and models”.</w:t>
            </w:r>
            <w:r w:rsidR="00841506">
              <w:rPr>
                <w:rFonts w:ascii="Aptos" w:hAnsi="Aptos" w:cs="Helvetica"/>
              </w:rPr>
              <w:t xml:space="preserve"> </w:t>
            </w:r>
            <w:r w:rsidR="002A51B7">
              <w:rPr>
                <w:rFonts w:ascii="Aptos" w:hAnsi="Aptos" w:cs="Helvetica"/>
              </w:rPr>
              <w:t xml:space="preserve"> </w:t>
            </w:r>
            <w:r>
              <w:rPr>
                <w:rFonts w:ascii="Aptos" w:hAnsi="Aptos" w:cs="Helvetica"/>
                <w:i/>
                <w:iCs/>
              </w:rPr>
              <w:t xml:space="preserve"> </w:t>
            </w:r>
          </w:p>
          <w:p w14:paraId="34DE1BD0" w14:textId="77777777" w:rsidR="0012404A" w:rsidRDefault="0012404A" w:rsidP="00581A5A">
            <w:pPr>
              <w:rPr>
                <w:rFonts w:ascii="Aptos" w:hAnsi="Aptos" w:cs="Helvetica"/>
              </w:rPr>
            </w:pPr>
          </w:p>
          <w:p w14:paraId="1FB0E854" w14:textId="77777777" w:rsidR="0097301F" w:rsidRPr="00381AB7" w:rsidRDefault="0097301F" w:rsidP="0097301F">
            <w:pPr>
              <w:rPr>
                <w:rFonts w:ascii="Aptos" w:hAnsi="Aptos" w:cs="Helvetica"/>
                <w:u w:val="single"/>
              </w:rPr>
            </w:pPr>
            <w:r>
              <w:rPr>
                <w:rFonts w:ascii="Aptos" w:hAnsi="Aptos" w:cs="Helvetica"/>
                <w:u w:val="single"/>
              </w:rPr>
              <w:t xml:space="preserve">Technical screening criteria </w:t>
            </w:r>
          </w:p>
          <w:p w14:paraId="258A2C71" w14:textId="77777777" w:rsidR="003F6BE4" w:rsidRDefault="003F6BE4" w:rsidP="00581A5A">
            <w:pPr>
              <w:rPr>
                <w:rFonts w:ascii="Aptos" w:hAnsi="Aptos" w:cs="Helvetica"/>
                <w:i/>
                <w:iCs/>
              </w:rPr>
            </w:pPr>
          </w:p>
          <w:p w14:paraId="5183BF93" w14:textId="37AD6E66" w:rsidR="0012404A" w:rsidRDefault="0071518D" w:rsidP="00581A5A">
            <w:pPr>
              <w:rPr>
                <w:rFonts w:ascii="Aptos" w:hAnsi="Aptos" w:cs="Helvetica"/>
              </w:rPr>
            </w:pPr>
            <w:r w:rsidRPr="0071518D">
              <w:rPr>
                <w:rFonts w:ascii="Aptos" w:hAnsi="Aptos" w:cs="Helvetica"/>
                <w:b/>
                <w:bCs/>
              </w:rPr>
              <w:t>Electricity generation and supply</w:t>
            </w:r>
            <w:r>
              <w:rPr>
                <w:rFonts w:ascii="Aptos" w:hAnsi="Aptos" w:cs="Helvetica"/>
              </w:rPr>
              <w:t xml:space="preserve">: </w:t>
            </w:r>
            <w:r w:rsidR="0097301F">
              <w:rPr>
                <w:rFonts w:ascii="Aptos" w:hAnsi="Aptos" w:cs="Helvetica"/>
              </w:rPr>
              <w:t>The draft TSC for the electricity generation and supply sector</w:t>
            </w:r>
            <w:r>
              <w:rPr>
                <w:rFonts w:ascii="Aptos" w:hAnsi="Aptos" w:cs="Helvetica"/>
              </w:rPr>
              <w:t xml:space="preserve"> are based</w:t>
            </w:r>
            <w:r w:rsidR="008067E0">
              <w:rPr>
                <w:rFonts w:ascii="Aptos" w:hAnsi="Aptos" w:cs="Helvetica"/>
              </w:rPr>
              <w:t xml:space="preserve"> on an assessment of </w:t>
            </w:r>
            <w:r w:rsidR="004A1343">
              <w:rPr>
                <w:rFonts w:ascii="Aptos" w:hAnsi="Aptos" w:cs="Helvetica"/>
              </w:rPr>
              <w:t xml:space="preserve">taxonomy </w:t>
            </w:r>
            <w:r w:rsidR="008067E0">
              <w:rPr>
                <w:rFonts w:ascii="Aptos" w:hAnsi="Aptos" w:cs="Helvetica"/>
              </w:rPr>
              <w:t xml:space="preserve">practices </w:t>
            </w:r>
            <w:r w:rsidR="0097301F">
              <w:rPr>
                <w:rFonts w:ascii="Aptos" w:hAnsi="Aptos" w:cs="Helvetica"/>
              </w:rPr>
              <w:t xml:space="preserve">implemented in </w:t>
            </w:r>
            <w:r w:rsidR="0057079C">
              <w:rPr>
                <w:rFonts w:ascii="Aptos" w:hAnsi="Aptos" w:cs="Helvetica"/>
              </w:rPr>
              <w:t>other</w:t>
            </w:r>
            <w:r w:rsidR="004A1343">
              <w:rPr>
                <w:rFonts w:ascii="Aptos" w:hAnsi="Aptos" w:cs="Helvetica"/>
              </w:rPr>
              <w:t xml:space="preserve"> </w:t>
            </w:r>
            <w:r w:rsidR="0057079C">
              <w:rPr>
                <w:rFonts w:ascii="Aptos" w:hAnsi="Aptos" w:cs="Helvetica"/>
              </w:rPr>
              <w:t>jurisdictions</w:t>
            </w:r>
            <w:r w:rsidR="00A9493A">
              <w:rPr>
                <w:rFonts w:ascii="Aptos" w:hAnsi="Aptos" w:cs="Helvetica"/>
              </w:rPr>
              <w:t>, to ensure</w:t>
            </w:r>
            <w:r w:rsidR="0097301F">
              <w:rPr>
                <w:rFonts w:ascii="Aptos" w:hAnsi="Aptos" w:cs="Helvetica"/>
              </w:rPr>
              <w:t xml:space="preserve"> ease of use by the market</w:t>
            </w:r>
            <w:r w:rsidR="0057079C">
              <w:rPr>
                <w:rFonts w:ascii="Aptos" w:hAnsi="Aptos" w:cs="Helvetica"/>
              </w:rPr>
              <w:t>. They also account for</w:t>
            </w:r>
            <w:r w:rsidR="0097301F">
              <w:rPr>
                <w:rFonts w:ascii="Aptos" w:hAnsi="Aptos" w:cs="Helvetica"/>
              </w:rPr>
              <w:t xml:space="preserve"> con</w:t>
            </w:r>
            <w:r w:rsidR="002701F0">
              <w:rPr>
                <w:rFonts w:ascii="Aptos" w:hAnsi="Aptos" w:cs="Helvetica"/>
              </w:rPr>
              <w:t xml:space="preserve">ditions </w:t>
            </w:r>
            <w:r w:rsidR="0097301F">
              <w:rPr>
                <w:rFonts w:ascii="Aptos" w:hAnsi="Aptos" w:cs="Helvetica"/>
              </w:rPr>
              <w:t xml:space="preserve">specific to the Australian </w:t>
            </w:r>
            <w:r w:rsidR="00806180">
              <w:rPr>
                <w:rFonts w:ascii="Aptos" w:hAnsi="Aptos" w:cs="Helvetica"/>
              </w:rPr>
              <w:t>energy</w:t>
            </w:r>
            <w:r w:rsidR="002701F0">
              <w:rPr>
                <w:rFonts w:ascii="Aptos" w:hAnsi="Aptos" w:cs="Helvetica"/>
              </w:rPr>
              <w:t xml:space="preserve"> </w:t>
            </w:r>
            <w:r w:rsidR="0097301F">
              <w:rPr>
                <w:rFonts w:ascii="Aptos" w:hAnsi="Aptos" w:cs="Helvetica"/>
              </w:rPr>
              <w:t>contex</w:t>
            </w:r>
            <w:r w:rsidR="00A9493A">
              <w:rPr>
                <w:rFonts w:ascii="Aptos" w:hAnsi="Aptos" w:cs="Helvetica"/>
              </w:rPr>
              <w:t>t</w:t>
            </w:r>
            <w:r w:rsidR="0057079C">
              <w:rPr>
                <w:rFonts w:ascii="Aptos" w:hAnsi="Aptos" w:cs="Helvetica"/>
              </w:rPr>
              <w:t>.</w:t>
            </w:r>
          </w:p>
          <w:p w14:paraId="2A6AE67B" w14:textId="77777777" w:rsidR="0057079C" w:rsidRDefault="0057079C" w:rsidP="00581A5A">
            <w:pPr>
              <w:rPr>
                <w:rFonts w:ascii="Aptos" w:hAnsi="Aptos" w:cs="Helvetica"/>
              </w:rPr>
            </w:pPr>
          </w:p>
          <w:p w14:paraId="6C49D71A" w14:textId="112CF620" w:rsidR="0057079C" w:rsidRDefault="00A9493A" w:rsidP="00581A5A">
            <w:pPr>
              <w:rPr>
                <w:rFonts w:ascii="Aptos" w:hAnsi="Aptos" w:cs="Helvetica"/>
              </w:rPr>
            </w:pPr>
            <w:r w:rsidRPr="00A9493A">
              <w:rPr>
                <w:rFonts w:ascii="Aptos" w:hAnsi="Aptos" w:cs="Helvetica"/>
                <w:b/>
                <w:bCs/>
              </w:rPr>
              <w:t xml:space="preserve">Minerals, </w:t>
            </w:r>
            <w:proofErr w:type="gramStart"/>
            <w:r w:rsidRPr="00A9493A">
              <w:rPr>
                <w:rFonts w:ascii="Aptos" w:hAnsi="Aptos" w:cs="Helvetica"/>
                <w:b/>
                <w:bCs/>
              </w:rPr>
              <w:t>mining</w:t>
            </w:r>
            <w:proofErr w:type="gramEnd"/>
            <w:r w:rsidRPr="00A9493A">
              <w:rPr>
                <w:rFonts w:ascii="Aptos" w:hAnsi="Aptos" w:cs="Helvetica"/>
                <w:b/>
                <w:bCs/>
              </w:rPr>
              <w:t xml:space="preserve"> and metals</w:t>
            </w:r>
            <w:r>
              <w:rPr>
                <w:rFonts w:ascii="Aptos" w:hAnsi="Aptos" w:cs="Helvetica"/>
              </w:rPr>
              <w:t xml:space="preserve">: </w:t>
            </w:r>
            <w:r w:rsidR="003F6BE4">
              <w:rPr>
                <w:rFonts w:ascii="Aptos" w:hAnsi="Aptos" w:cs="Helvetica"/>
              </w:rPr>
              <w:t xml:space="preserve">To date, </w:t>
            </w:r>
            <w:r w:rsidR="00020469">
              <w:rPr>
                <w:rFonts w:ascii="Aptos" w:hAnsi="Aptos" w:cs="Helvetica"/>
              </w:rPr>
              <w:t>coverage of</w:t>
            </w:r>
            <w:r w:rsidR="003F6BE4">
              <w:rPr>
                <w:rFonts w:ascii="Aptos" w:hAnsi="Aptos" w:cs="Helvetica"/>
              </w:rPr>
              <w:t xml:space="preserve"> mining activities i</w:t>
            </w:r>
            <w:r w:rsidR="00B14657">
              <w:rPr>
                <w:rFonts w:ascii="Aptos" w:hAnsi="Aptos" w:cs="Helvetica"/>
              </w:rPr>
              <w:t xml:space="preserve">n taxonomy development </w:t>
            </w:r>
            <w:r>
              <w:rPr>
                <w:rFonts w:ascii="Aptos" w:hAnsi="Aptos" w:cs="Helvetica"/>
              </w:rPr>
              <w:t>internationally has been limited</w:t>
            </w:r>
            <w:r w:rsidR="00F27B4C">
              <w:rPr>
                <w:rFonts w:ascii="Aptos" w:hAnsi="Aptos" w:cs="Helvetica"/>
              </w:rPr>
              <w:t xml:space="preserve">. The draft minerals, </w:t>
            </w:r>
            <w:proofErr w:type="gramStart"/>
            <w:r w:rsidR="00F27B4C">
              <w:rPr>
                <w:rFonts w:ascii="Aptos" w:hAnsi="Aptos" w:cs="Helvetica"/>
              </w:rPr>
              <w:t>mining</w:t>
            </w:r>
            <w:proofErr w:type="gramEnd"/>
            <w:r w:rsidR="00F27B4C">
              <w:rPr>
                <w:rFonts w:ascii="Aptos" w:hAnsi="Aptos" w:cs="Helvetica"/>
              </w:rPr>
              <w:t xml:space="preserve"> and metals</w:t>
            </w:r>
            <w:r>
              <w:rPr>
                <w:rFonts w:ascii="Aptos" w:hAnsi="Aptos" w:cs="Helvetica"/>
              </w:rPr>
              <w:t xml:space="preserve"> </w:t>
            </w:r>
            <w:r w:rsidR="00020469">
              <w:rPr>
                <w:rFonts w:ascii="Aptos" w:hAnsi="Aptos" w:cs="Helvetica"/>
              </w:rPr>
              <w:t>TSC</w:t>
            </w:r>
            <w:r w:rsidR="00282651">
              <w:rPr>
                <w:rFonts w:ascii="Aptos" w:hAnsi="Aptos" w:cs="Helvetica"/>
              </w:rPr>
              <w:t xml:space="preserve"> seek to balance ambition, credibility and usability</w:t>
            </w:r>
            <w:r w:rsidR="00020469">
              <w:rPr>
                <w:rFonts w:ascii="Aptos" w:hAnsi="Aptos" w:cs="Helvetica"/>
              </w:rPr>
              <w:t xml:space="preserve">, including through </w:t>
            </w:r>
            <w:r w:rsidR="00282651">
              <w:rPr>
                <w:rFonts w:ascii="Aptos" w:hAnsi="Aptos" w:cs="Helvetica"/>
              </w:rPr>
              <w:t>a</w:t>
            </w:r>
            <w:r w:rsidR="00675E03">
              <w:rPr>
                <w:rFonts w:ascii="Aptos" w:hAnsi="Aptos" w:cs="Helvetica"/>
              </w:rPr>
              <w:t xml:space="preserve"> proposed</w:t>
            </w:r>
            <w:r w:rsidR="00282651">
              <w:rPr>
                <w:rFonts w:ascii="Aptos" w:hAnsi="Aptos" w:cs="Helvetica"/>
              </w:rPr>
              <w:t xml:space="preserve"> ‘stepped’ pathway approach. ASFI </w:t>
            </w:r>
            <w:r w:rsidR="00B61BE3">
              <w:rPr>
                <w:rFonts w:ascii="Aptos" w:hAnsi="Aptos" w:cs="Helvetica"/>
              </w:rPr>
              <w:t>has explicitly sought feedback</w:t>
            </w:r>
            <w:r w:rsidR="00A870DA">
              <w:rPr>
                <w:rFonts w:ascii="Aptos" w:hAnsi="Aptos" w:cs="Helvetica"/>
              </w:rPr>
              <w:t xml:space="preserve"> in the first round of public consultation</w:t>
            </w:r>
            <w:r w:rsidR="00B61BE3">
              <w:rPr>
                <w:rFonts w:ascii="Aptos" w:hAnsi="Aptos" w:cs="Helvetica"/>
              </w:rPr>
              <w:t xml:space="preserve"> on th</w:t>
            </w:r>
            <w:r w:rsidR="00422741">
              <w:rPr>
                <w:rFonts w:ascii="Aptos" w:hAnsi="Aptos" w:cs="Helvetica"/>
              </w:rPr>
              <w:t xml:space="preserve">e usability of </w:t>
            </w:r>
            <w:r w:rsidR="00760811">
              <w:rPr>
                <w:rFonts w:ascii="Aptos" w:hAnsi="Aptos" w:cs="Helvetica"/>
              </w:rPr>
              <w:t xml:space="preserve">(a) </w:t>
            </w:r>
            <w:r w:rsidR="00422741">
              <w:rPr>
                <w:rFonts w:ascii="Aptos" w:hAnsi="Aptos" w:cs="Helvetica"/>
              </w:rPr>
              <w:t>th</w:t>
            </w:r>
            <w:r w:rsidR="00A870DA">
              <w:rPr>
                <w:rFonts w:ascii="Aptos" w:hAnsi="Aptos" w:cs="Helvetica"/>
              </w:rPr>
              <w:t xml:space="preserve">e stepped </w:t>
            </w:r>
            <w:r w:rsidR="00B61BE3">
              <w:rPr>
                <w:rFonts w:ascii="Aptos" w:hAnsi="Aptos" w:cs="Helvetica"/>
              </w:rPr>
              <w:t>approach</w:t>
            </w:r>
            <w:r w:rsidR="00760811">
              <w:rPr>
                <w:rFonts w:ascii="Aptos" w:hAnsi="Aptos" w:cs="Helvetica"/>
              </w:rPr>
              <w:t>; (b);</w:t>
            </w:r>
            <w:r w:rsidR="00C841C0">
              <w:rPr>
                <w:rFonts w:ascii="Aptos" w:hAnsi="Aptos" w:cs="Helvetica"/>
              </w:rPr>
              <w:t xml:space="preserve"> the </w:t>
            </w:r>
            <w:r w:rsidR="001F7FBC">
              <w:rPr>
                <w:rFonts w:ascii="Aptos" w:hAnsi="Aptos" w:cs="Helvetica"/>
              </w:rPr>
              <w:t xml:space="preserve">proposed </w:t>
            </w:r>
            <w:r w:rsidR="00C841C0">
              <w:rPr>
                <w:rFonts w:ascii="Aptos" w:hAnsi="Aptos" w:cs="Helvetica"/>
              </w:rPr>
              <w:t>thre</w:t>
            </w:r>
            <w:r w:rsidR="00233E9D">
              <w:rPr>
                <w:rFonts w:ascii="Aptos" w:hAnsi="Aptos" w:cs="Helvetica"/>
              </w:rPr>
              <w:t xml:space="preserve">sholds and trajectories </w:t>
            </w:r>
            <w:r w:rsidR="00A870DA">
              <w:rPr>
                <w:rFonts w:ascii="Aptos" w:hAnsi="Aptos" w:cs="Helvetica"/>
              </w:rPr>
              <w:t>identified f</w:t>
            </w:r>
            <w:r w:rsidR="001F7FBC">
              <w:rPr>
                <w:rFonts w:ascii="Aptos" w:hAnsi="Aptos" w:cs="Helvetica"/>
              </w:rPr>
              <w:t xml:space="preserve">or copper, </w:t>
            </w:r>
            <w:proofErr w:type="gramStart"/>
            <w:r w:rsidR="001F7FBC">
              <w:rPr>
                <w:rFonts w:ascii="Aptos" w:hAnsi="Aptos" w:cs="Helvetica"/>
              </w:rPr>
              <w:t>lithium</w:t>
            </w:r>
            <w:proofErr w:type="gramEnd"/>
            <w:r w:rsidR="001F7FBC">
              <w:rPr>
                <w:rFonts w:ascii="Aptos" w:hAnsi="Aptos" w:cs="Helvetica"/>
              </w:rPr>
              <w:t xml:space="preserve"> and </w:t>
            </w:r>
            <w:r w:rsidR="00233E9D">
              <w:rPr>
                <w:rFonts w:ascii="Aptos" w:hAnsi="Aptos" w:cs="Helvetica"/>
              </w:rPr>
              <w:t>nickel;</w:t>
            </w:r>
            <w:r w:rsidR="00760811">
              <w:rPr>
                <w:rFonts w:ascii="Aptos" w:hAnsi="Aptos" w:cs="Helvetica"/>
              </w:rPr>
              <w:t xml:space="preserve"> (c)</w:t>
            </w:r>
            <w:r w:rsidR="00B61BE3">
              <w:rPr>
                <w:rFonts w:ascii="Aptos" w:hAnsi="Aptos" w:cs="Helvetica"/>
              </w:rPr>
              <w:t xml:space="preserve"> and </w:t>
            </w:r>
            <w:r w:rsidR="00422741">
              <w:rPr>
                <w:rFonts w:ascii="Aptos" w:hAnsi="Aptos" w:cs="Helvetica"/>
              </w:rPr>
              <w:t>the proposed criteria for scope 3 emissions from iron ore</w:t>
            </w:r>
            <w:r w:rsidR="00A870DA">
              <w:rPr>
                <w:rFonts w:ascii="Aptos" w:hAnsi="Aptos" w:cs="Helvetica"/>
              </w:rPr>
              <w:t>.</w:t>
            </w:r>
            <w:r w:rsidR="00422741">
              <w:rPr>
                <w:rFonts w:ascii="Aptos" w:hAnsi="Aptos" w:cs="Helvetica"/>
              </w:rPr>
              <w:t xml:space="preserve"> </w:t>
            </w:r>
          </w:p>
          <w:p w14:paraId="4AB1C375" w14:textId="77777777" w:rsidR="00AC2E01" w:rsidRDefault="00AC2E01" w:rsidP="00581A5A">
            <w:pPr>
              <w:rPr>
                <w:rFonts w:ascii="Aptos" w:hAnsi="Aptos" w:cs="Helvetica"/>
              </w:rPr>
            </w:pPr>
          </w:p>
          <w:p w14:paraId="77601FFF" w14:textId="6098DDA0" w:rsidR="00282651" w:rsidRDefault="006054E4" w:rsidP="00581A5A">
            <w:pPr>
              <w:rPr>
                <w:rFonts w:ascii="Aptos" w:hAnsi="Aptos" w:cs="Helvetica"/>
              </w:rPr>
            </w:pPr>
            <w:r w:rsidRPr="006054E4">
              <w:rPr>
                <w:rFonts w:ascii="Aptos" w:hAnsi="Aptos" w:cs="Helvetica"/>
                <w:b/>
                <w:bCs/>
              </w:rPr>
              <w:t>Construction and the built environment</w:t>
            </w:r>
            <w:r>
              <w:rPr>
                <w:rFonts w:ascii="Aptos" w:hAnsi="Aptos" w:cs="Helvetica"/>
              </w:rPr>
              <w:t>: T</w:t>
            </w:r>
            <w:r w:rsidR="00AC2E01">
              <w:rPr>
                <w:rFonts w:ascii="Aptos" w:hAnsi="Aptos" w:cs="Helvetica"/>
              </w:rPr>
              <w:t xml:space="preserve">he draft TSC for </w:t>
            </w:r>
            <w:r w:rsidR="006713A1">
              <w:rPr>
                <w:rFonts w:ascii="Aptos" w:hAnsi="Aptos" w:cs="Helvetica"/>
              </w:rPr>
              <w:t xml:space="preserve">construction and the built environment </w:t>
            </w:r>
            <w:r w:rsidR="00D3037E">
              <w:rPr>
                <w:rFonts w:ascii="Aptos" w:hAnsi="Aptos" w:cs="Helvetica"/>
              </w:rPr>
              <w:t xml:space="preserve">seeks to </w:t>
            </w:r>
            <w:r>
              <w:rPr>
                <w:rFonts w:ascii="Aptos" w:hAnsi="Aptos" w:cs="Helvetica"/>
              </w:rPr>
              <w:t>balance credibility and ambition with usability considerations, including</w:t>
            </w:r>
            <w:r w:rsidR="00706726">
              <w:rPr>
                <w:rFonts w:ascii="Aptos" w:hAnsi="Aptos" w:cs="Helvetica"/>
              </w:rPr>
              <w:t xml:space="preserve"> by aligning with existing </w:t>
            </w:r>
            <w:r w:rsidR="00371BEC">
              <w:rPr>
                <w:rFonts w:ascii="Aptos" w:hAnsi="Aptos" w:cs="Helvetica"/>
              </w:rPr>
              <w:t>legislative</w:t>
            </w:r>
            <w:r w:rsidR="00706726">
              <w:rPr>
                <w:rFonts w:ascii="Aptos" w:hAnsi="Aptos" w:cs="Helvetica"/>
              </w:rPr>
              <w:t xml:space="preserve"> requirements and</w:t>
            </w:r>
            <w:r w:rsidR="00480364">
              <w:rPr>
                <w:rFonts w:ascii="Aptos" w:hAnsi="Aptos" w:cs="Helvetica"/>
              </w:rPr>
              <w:t xml:space="preserve"> </w:t>
            </w:r>
            <w:r w:rsidR="00706726">
              <w:rPr>
                <w:rFonts w:ascii="Aptos" w:hAnsi="Aptos" w:cs="Helvetica"/>
              </w:rPr>
              <w:t xml:space="preserve">accounting for </w:t>
            </w:r>
            <w:r w:rsidR="00F921C7">
              <w:rPr>
                <w:rFonts w:ascii="Aptos" w:hAnsi="Aptos" w:cs="Helvetica"/>
              </w:rPr>
              <w:t>data accessibility constraints</w:t>
            </w:r>
            <w:r>
              <w:rPr>
                <w:rFonts w:ascii="Aptos" w:hAnsi="Aptos" w:cs="Helvetica"/>
              </w:rPr>
              <w:t xml:space="preserve">. </w:t>
            </w:r>
            <w:r w:rsidR="009B79D1">
              <w:rPr>
                <w:rFonts w:ascii="Aptos" w:hAnsi="Aptos" w:cs="Helvetica"/>
              </w:rPr>
              <w:t>A framework for weighing the suitability of potential proxies</w:t>
            </w:r>
            <w:r w:rsidR="00D3037E">
              <w:rPr>
                <w:rFonts w:ascii="Aptos" w:hAnsi="Aptos" w:cs="Helvetica"/>
              </w:rPr>
              <w:t xml:space="preserve">, such as the NABERS Energy star ratings, the Green Star Rating </w:t>
            </w:r>
            <w:proofErr w:type="gramStart"/>
            <w:r w:rsidR="00D3037E">
              <w:rPr>
                <w:rFonts w:ascii="Aptos" w:hAnsi="Aptos" w:cs="Helvetica"/>
              </w:rPr>
              <w:t>system</w:t>
            </w:r>
            <w:proofErr w:type="gramEnd"/>
            <w:r w:rsidR="00D3037E">
              <w:rPr>
                <w:rFonts w:ascii="Aptos" w:hAnsi="Aptos" w:cs="Helvetica"/>
              </w:rPr>
              <w:t xml:space="preserve"> and the Nationwide House Energy Rating Scheme (</w:t>
            </w:r>
            <w:proofErr w:type="spellStart"/>
            <w:r w:rsidR="00D3037E">
              <w:rPr>
                <w:rFonts w:ascii="Aptos" w:hAnsi="Aptos" w:cs="Helvetica"/>
              </w:rPr>
              <w:t>NatHERS</w:t>
            </w:r>
            <w:proofErr w:type="spellEnd"/>
            <w:r w:rsidR="00D3037E">
              <w:rPr>
                <w:rFonts w:ascii="Aptos" w:hAnsi="Aptos" w:cs="Helvetica"/>
              </w:rPr>
              <w:t>)</w:t>
            </w:r>
            <w:r w:rsidR="000976A9">
              <w:rPr>
                <w:rFonts w:ascii="Aptos" w:hAnsi="Aptos" w:cs="Helvetica"/>
              </w:rPr>
              <w:t>,</w:t>
            </w:r>
            <w:r w:rsidR="009B79D1">
              <w:rPr>
                <w:rFonts w:ascii="Aptos" w:hAnsi="Aptos" w:cs="Helvetica"/>
              </w:rPr>
              <w:t xml:space="preserve"> has also been developed to balance the credibility of emissions accounting with the benefits of improved usability. </w:t>
            </w:r>
          </w:p>
          <w:p w14:paraId="785FDF8D" w14:textId="77777777" w:rsidR="009B79D1" w:rsidRDefault="009B79D1" w:rsidP="00581A5A">
            <w:pPr>
              <w:rPr>
                <w:rFonts w:ascii="Aptos" w:hAnsi="Aptos" w:cs="Helvetica"/>
              </w:rPr>
            </w:pPr>
          </w:p>
          <w:p w14:paraId="2758618F" w14:textId="42918945" w:rsidR="00FB7EBB" w:rsidRDefault="00482463" w:rsidP="00581A5A">
            <w:pPr>
              <w:rPr>
                <w:rFonts w:ascii="Aptos" w:eastAsia="Calibri" w:hAnsi="Aptos" w:cs="Helvetica"/>
              </w:rPr>
            </w:pPr>
            <w:r>
              <w:rPr>
                <w:rFonts w:ascii="Aptos" w:eastAsia="Calibri" w:hAnsi="Aptos" w:cs="Helvetica"/>
              </w:rPr>
              <w:t>More information on</w:t>
            </w:r>
            <w:r w:rsidR="009B79D1">
              <w:rPr>
                <w:rFonts w:ascii="Aptos" w:eastAsia="Calibri" w:hAnsi="Aptos" w:cs="Helvetica"/>
              </w:rPr>
              <w:t xml:space="preserve"> this is available</w:t>
            </w:r>
            <w:r>
              <w:rPr>
                <w:rFonts w:ascii="Aptos" w:eastAsia="Calibri" w:hAnsi="Aptos" w:cs="Helvetica"/>
              </w:rPr>
              <w:t xml:space="preserve"> in </w:t>
            </w:r>
            <w:r w:rsidRPr="00231CE4">
              <w:rPr>
                <w:rFonts w:ascii="Aptos" w:eastAsia="Calibri" w:hAnsi="Aptos" w:cs="Helvetica"/>
                <w:b/>
                <w:bCs/>
                <w:u w:val="single"/>
              </w:rPr>
              <w:t>Appendix D</w:t>
            </w:r>
            <w:r>
              <w:rPr>
                <w:rFonts w:ascii="Aptos" w:eastAsia="Calibri" w:hAnsi="Aptos" w:cs="Helvetica"/>
              </w:rPr>
              <w:t xml:space="preserve">. </w:t>
            </w:r>
          </w:p>
          <w:p w14:paraId="37418923" w14:textId="488B27C9" w:rsidR="00282651" w:rsidRPr="00CF5A75" w:rsidRDefault="00282651" w:rsidP="00581A5A">
            <w:pPr>
              <w:rPr>
                <w:rFonts w:ascii="Aptos" w:hAnsi="Aptos" w:cs="Helvetica"/>
              </w:rPr>
            </w:pPr>
          </w:p>
        </w:tc>
      </w:tr>
      <w:tr w:rsidR="00EC54AC" w:rsidRPr="00CF5A75" w14:paraId="564622D1" w14:textId="77777777" w:rsidTr="00113FF1">
        <w:tc>
          <w:tcPr>
            <w:tcW w:w="1838" w:type="dxa"/>
          </w:tcPr>
          <w:p w14:paraId="33748A31" w14:textId="77777777" w:rsidR="00EC54AC" w:rsidRPr="00CF5A75" w:rsidRDefault="00A065EB" w:rsidP="00581A5A">
            <w:pPr>
              <w:rPr>
                <w:rFonts w:ascii="Aptos" w:hAnsi="Aptos" w:cs="Helvetica"/>
                <w:b/>
                <w:bCs/>
              </w:rPr>
            </w:pPr>
            <w:r w:rsidRPr="00CF5A75">
              <w:rPr>
                <w:rFonts w:ascii="Aptos" w:hAnsi="Aptos" w:cs="Helvetica"/>
                <w:b/>
                <w:bCs/>
              </w:rPr>
              <w:lastRenderedPageBreak/>
              <w:t>The taxonomy should be interoperable and broadly compatible with international approaches to sustainable finance taxonomies</w:t>
            </w:r>
            <w:r w:rsidR="00F27D34" w:rsidRPr="00CF5A75">
              <w:rPr>
                <w:rFonts w:ascii="Aptos" w:hAnsi="Aptos" w:cs="Helvetica"/>
                <w:b/>
                <w:bCs/>
              </w:rPr>
              <w:t>.</w:t>
            </w:r>
          </w:p>
          <w:p w14:paraId="549CC959" w14:textId="77777777" w:rsidR="00F27D34" w:rsidRPr="00CF5A75" w:rsidRDefault="00F27D34" w:rsidP="00581A5A">
            <w:pPr>
              <w:rPr>
                <w:rFonts w:ascii="Aptos" w:hAnsi="Aptos" w:cs="Helvetica"/>
                <w:b/>
                <w:bCs/>
              </w:rPr>
            </w:pPr>
          </w:p>
          <w:p w14:paraId="0C176936" w14:textId="77777777" w:rsidR="00F27D34" w:rsidRPr="00CF5A75" w:rsidRDefault="00F27D34" w:rsidP="00581A5A">
            <w:pPr>
              <w:rPr>
                <w:rFonts w:ascii="Aptos" w:hAnsi="Aptos" w:cs="Helvetica"/>
                <w:i/>
                <w:iCs/>
              </w:rPr>
            </w:pPr>
            <w:r w:rsidRPr="00CF5A75">
              <w:rPr>
                <w:rFonts w:ascii="Aptos" w:hAnsi="Aptos" w:cs="Helvetica"/>
                <w:i/>
                <w:iCs/>
              </w:rPr>
              <w:lastRenderedPageBreak/>
              <w:t xml:space="preserve">The taxonomy should be broadly compatible with international </w:t>
            </w:r>
            <w:r w:rsidR="000A0FC2" w:rsidRPr="00CF5A75">
              <w:rPr>
                <w:rFonts w:ascii="Aptos" w:hAnsi="Aptos" w:cs="Helvetica"/>
                <w:i/>
                <w:iCs/>
              </w:rPr>
              <w:t xml:space="preserve">standards and other jurisdictions’ sustainable finance taxonomies, while still </w:t>
            </w:r>
            <w:proofErr w:type="gramStart"/>
            <w:r w:rsidR="000A0FC2" w:rsidRPr="00CF5A75">
              <w:rPr>
                <w:rFonts w:ascii="Aptos" w:hAnsi="Aptos" w:cs="Helvetica"/>
                <w:i/>
                <w:iCs/>
              </w:rPr>
              <w:t>taking into account</w:t>
            </w:r>
            <w:proofErr w:type="gramEnd"/>
            <w:r w:rsidR="000A0FC2" w:rsidRPr="00CF5A75">
              <w:rPr>
                <w:rFonts w:ascii="Aptos" w:hAnsi="Aptos" w:cs="Helvetica"/>
                <w:i/>
                <w:iCs/>
              </w:rPr>
              <w:t xml:space="preserve"> the Australian context in which it will operate. </w:t>
            </w:r>
          </w:p>
          <w:p w14:paraId="731D7788" w14:textId="3820E92D" w:rsidR="000A0FC2" w:rsidRPr="00CF5A75" w:rsidRDefault="000A0FC2" w:rsidP="00581A5A">
            <w:pPr>
              <w:rPr>
                <w:rFonts w:ascii="Aptos" w:hAnsi="Aptos" w:cs="Helvetica"/>
                <w:i/>
                <w:iCs/>
              </w:rPr>
            </w:pPr>
          </w:p>
        </w:tc>
        <w:tc>
          <w:tcPr>
            <w:tcW w:w="7938" w:type="dxa"/>
          </w:tcPr>
          <w:p w14:paraId="4334D722" w14:textId="692A8C84" w:rsidR="00EC54AC" w:rsidRPr="00CF5A75" w:rsidRDefault="000976A9" w:rsidP="00572F03">
            <w:pPr>
              <w:rPr>
                <w:rFonts w:ascii="Aptos" w:hAnsi="Aptos" w:cs="Helvetica"/>
                <w:lang w:val="en-AU"/>
              </w:rPr>
            </w:pPr>
            <w:r w:rsidRPr="00CF5A75">
              <w:rPr>
                <w:rFonts w:ascii="Aptos" w:hAnsi="Aptos" w:cs="Helvetica"/>
              </w:rPr>
              <w:lastRenderedPageBreak/>
              <w:t>This design principle aligns with the Australian Government’s Sustainable Finance Strategy consultation paper,</w:t>
            </w:r>
            <w:r>
              <w:rPr>
                <w:rFonts w:ascii="Aptos" w:hAnsi="Aptos" w:cs="Helvetica"/>
              </w:rPr>
              <w:t xml:space="preserve"> </w:t>
            </w:r>
            <w:r w:rsidR="00572F03" w:rsidRPr="00CF5A75">
              <w:rPr>
                <w:rFonts w:ascii="Aptos" w:hAnsi="Aptos" w:cs="Helvetica"/>
              </w:rPr>
              <w:t>which outlines that</w:t>
            </w:r>
            <w:r w:rsidR="00115757" w:rsidRPr="00CF5A75">
              <w:rPr>
                <w:rFonts w:ascii="Aptos" w:hAnsi="Aptos" w:cs="Helvetica"/>
              </w:rPr>
              <w:t xml:space="preserve"> </w:t>
            </w:r>
            <w:r w:rsidR="00ED72C1" w:rsidRPr="00CF5A75">
              <w:rPr>
                <w:rFonts w:ascii="Aptos" w:hAnsi="Aptos" w:cs="Helvetica"/>
              </w:rPr>
              <w:t>“</w:t>
            </w:r>
            <w:r w:rsidR="00115757" w:rsidRPr="00CF5A75">
              <w:rPr>
                <w:rFonts w:ascii="Aptos" w:hAnsi="Aptos" w:cs="Helvetica"/>
                <w:i/>
                <w:iCs/>
              </w:rPr>
              <w:t>Australia’s arrangements should be aligned with</w:t>
            </w:r>
            <w:r w:rsidR="00572F03" w:rsidRPr="00CF5A75">
              <w:rPr>
                <w:rFonts w:ascii="Aptos" w:hAnsi="Aptos" w:cs="Helvetica"/>
                <w:i/>
                <w:iCs/>
                <w:lang w:val="en-AU"/>
              </w:rPr>
              <w:t xml:space="preserve"> global frameworks for sustainable finance </w:t>
            </w:r>
            <w:r w:rsidR="00ED72C1" w:rsidRPr="00CF5A75">
              <w:rPr>
                <w:rFonts w:ascii="Aptos" w:hAnsi="Aptos" w:cs="Helvetica"/>
                <w:i/>
                <w:iCs/>
                <w:lang w:val="en-AU"/>
              </w:rPr>
              <w:t xml:space="preserve">to </w:t>
            </w:r>
            <w:r w:rsidR="00572F03" w:rsidRPr="00CF5A75">
              <w:rPr>
                <w:rFonts w:ascii="Aptos" w:hAnsi="Aptos" w:cs="Helvetica"/>
                <w:i/>
                <w:iCs/>
                <w:lang w:val="en-AU"/>
              </w:rPr>
              <w:t>ensure comparability and minimise compliance burdens and costs for Australian and international firms and investors. This should include consistency in the design of regulatory requirements or standards, recognising that in some cases divergence will be necessary to reflect Australia-specific economic and policy priorities.</w:t>
            </w:r>
            <w:r w:rsidR="00ED72C1" w:rsidRPr="00CF5A75">
              <w:rPr>
                <w:rFonts w:ascii="Aptos" w:hAnsi="Aptos" w:cs="Helvetica"/>
                <w:i/>
                <w:iCs/>
                <w:lang w:val="en-AU"/>
              </w:rPr>
              <w:t>”</w:t>
            </w:r>
          </w:p>
          <w:p w14:paraId="4BAB77BD" w14:textId="77777777" w:rsidR="00ED72C1" w:rsidRPr="00CF5A75" w:rsidRDefault="00ED72C1" w:rsidP="00572F03">
            <w:pPr>
              <w:rPr>
                <w:rFonts w:ascii="Aptos" w:hAnsi="Aptos" w:cs="Helvetica"/>
                <w:lang w:val="en-AU"/>
              </w:rPr>
            </w:pPr>
          </w:p>
          <w:p w14:paraId="562D9CCA" w14:textId="498B134A" w:rsidR="009D7BF3" w:rsidRDefault="00975419" w:rsidP="00B4360B">
            <w:pPr>
              <w:rPr>
                <w:rFonts w:ascii="Aptos" w:hAnsi="Aptos" w:cs="Helvetica"/>
              </w:rPr>
            </w:pPr>
            <w:r w:rsidRPr="00CF5A75">
              <w:rPr>
                <w:rFonts w:ascii="Aptos" w:hAnsi="Aptos" w:cs="Helvetica"/>
                <w:lang w:val="en-AU"/>
              </w:rPr>
              <w:t>The Aust</w:t>
            </w:r>
            <w:r w:rsidR="00974075" w:rsidRPr="00CF5A75">
              <w:rPr>
                <w:rFonts w:ascii="Aptos" w:hAnsi="Aptos" w:cs="Helvetica"/>
                <w:lang w:val="en-AU"/>
              </w:rPr>
              <w:t>ralian taxonomy</w:t>
            </w:r>
            <w:r w:rsidR="0007639D">
              <w:rPr>
                <w:rFonts w:ascii="Aptos" w:hAnsi="Aptos" w:cs="Helvetica"/>
                <w:lang w:val="en-AU"/>
              </w:rPr>
              <w:t>’s</w:t>
            </w:r>
            <w:r w:rsidR="00974075" w:rsidRPr="00CF5A75">
              <w:rPr>
                <w:rFonts w:ascii="Aptos" w:hAnsi="Aptos" w:cs="Helvetica"/>
                <w:lang w:val="en-AU"/>
              </w:rPr>
              <w:t xml:space="preserve"> design features</w:t>
            </w:r>
            <w:r w:rsidR="00AD33FA" w:rsidRPr="002200DF">
              <w:rPr>
                <w:rFonts w:ascii="Aptos" w:hAnsi="Aptos" w:cs="Helvetica"/>
              </w:rPr>
              <w:t xml:space="preserve"> </w:t>
            </w:r>
            <w:r w:rsidR="00974075" w:rsidRPr="00CF5A75">
              <w:rPr>
                <w:rFonts w:ascii="Aptos" w:hAnsi="Aptos" w:cs="Helvetica"/>
                <w:lang w:val="en-AU"/>
              </w:rPr>
              <w:t xml:space="preserve">draw on </w:t>
            </w:r>
            <w:r w:rsidR="00974075" w:rsidRPr="00CF5A75">
              <w:rPr>
                <w:rFonts w:ascii="Aptos" w:hAnsi="Aptos" w:cs="Helvetica"/>
              </w:rPr>
              <w:t>international examples from reference taxonomies and developments in the E</w:t>
            </w:r>
            <w:r w:rsidR="00AE4F56" w:rsidRPr="00CF5A75">
              <w:rPr>
                <w:rFonts w:ascii="Aptos" w:hAnsi="Aptos" w:cs="Helvetica"/>
              </w:rPr>
              <w:t>U</w:t>
            </w:r>
            <w:r w:rsidR="00974075" w:rsidRPr="00CF5A75">
              <w:rPr>
                <w:rFonts w:ascii="Aptos" w:hAnsi="Aptos" w:cs="Helvetica"/>
              </w:rPr>
              <w:t>, the U</w:t>
            </w:r>
            <w:r w:rsidR="00AC1F08">
              <w:rPr>
                <w:rFonts w:ascii="Aptos" w:hAnsi="Aptos" w:cs="Helvetica"/>
              </w:rPr>
              <w:t>K</w:t>
            </w:r>
            <w:r w:rsidR="00974075" w:rsidRPr="00CF5A75">
              <w:rPr>
                <w:rFonts w:ascii="Aptos" w:hAnsi="Aptos" w:cs="Helvetica"/>
              </w:rPr>
              <w:t>, Singapore, Chile, Columbia, Canada, South Africa, China and ASEAN.</w:t>
            </w:r>
            <w:r w:rsidR="009D7BF3">
              <w:rPr>
                <w:rFonts w:ascii="Aptos" w:hAnsi="Aptos" w:cs="Helvetica"/>
              </w:rPr>
              <w:t xml:space="preserve"> </w:t>
            </w:r>
            <w:r w:rsidR="003C2CB9">
              <w:rPr>
                <w:rFonts w:ascii="Aptos" w:hAnsi="Aptos" w:cs="Helvetica"/>
              </w:rPr>
              <w:t xml:space="preserve">Initially prioritising the </w:t>
            </w:r>
            <w:r w:rsidR="00B4360B">
              <w:rPr>
                <w:rFonts w:ascii="Aptos" w:hAnsi="Aptos" w:cs="Helvetica"/>
              </w:rPr>
              <w:t xml:space="preserve">development of TSC for climate change mitigation </w:t>
            </w:r>
            <w:r w:rsidR="00B4360B">
              <w:rPr>
                <w:rFonts w:ascii="Aptos" w:hAnsi="Aptos" w:cs="Helvetica"/>
              </w:rPr>
              <w:lastRenderedPageBreak/>
              <w:t xml:space="preserve">also supports interoperability with international taxonomies and consistency with sustainability-related disclosure frameworks. </w:t>
            </w:r>
          </w:p>
          <w:p w14:paraId="797F0EE1" w14:textId="77777777" w:rsidR="00B4360B" w:rsidRDefault="00B4360B" w:rsidP="00B4360B">
            <w:pPr>
              <w:rPr>
                <w:rFonts w:ascii="Aptos" w:hAnsi="Aptos" w:cs="Helvetica"/>
              </w:rPr>
            </w:pPr>
          </w:p>
          <w:p w14:paraId="1F5625D5" w14:textId="77777777" w:rsidR="00180286" w:rsidRDefault="00FE476B" w:rsidP="009D7BF3">
            <w:pPr>
              <w:rPr>
                <w:rFonts w:ascii="Aptos" w:hAnsi="Aptos" w:cs="Helvetica"/>
                <w:lang w:val="en-AU"/>
              </w:rPr>
            </w:pPr>
            <w:r>
              <w:rPr>
                <w:rFonts w:ascii="Aptos" w:hAnsi="Aptos" w:cs="Helvetica"/>
                <w:lang w:val="en-AU"/>
              </w:rPr>
              <w:t xml:space="preserve">The core </w:t>
            </w:r>
            <w:r w:rsidRPr="002200DF">
              <w:rPr>
                <w:rFonts w:ascii="Aptos" w:hAnsi="Aptos" w:cs="Helvetica"/>
              </w:rPr>
              <w:t>1.5°C</w:t>
            </w:r>
            <w:r>
              <w:rPr>
                <w:rFonts w:ascii="Aptos" w:hAnsi="Aptos" w:cs="Helvetica"/>
                <w:lang w:val="en-AU"/>
              </w:rPr>
              <w:t xml:space="preserve"> reference scenario for the taxonomy’s development is the IEA NZE2050. As outlined above, the IEA NZE2050 is commonly used as a reference in global capital markets,</w:t>
            </w:r>
            <w:r w:rsidR="00180286">
              <w:rPr>
                <w:rFonts w:ascii="Aptos" w:hAnsi="Aptos" w:cs="Helvetica"/>
                <w:lang w:val="en-AU"/>
              </w:rPr>
              <w:t xml:space="preserve"> contributing to </w:t>
            </w:r>
            <w:r>
              <w:rPr>
                <w:rFonts w:ascii="Aptos" w:hAnsi="Aptos" w:cs="Helvetica"/>
                <w:lang w:val="en-AU"/>
              </w:rPr>
              <w:t>the Australian taxonomy’s interoperability.</w:t>
            </w:r>
          </w:p>
          <w:p w14:paraId="6CECE6A3" w14:textId="77777777" w:rsidR="00180286" w:rsidRDefault="00180286" w:rsidP="009D7BF3">
            <w:pPr>
              <w:rPr>
                <w:rFonts w:ascii="Aptos" w:hAnsi="Aptos" w:cs="Helvetica"/>
                <w:lang w:val="en-AU"/>
              </w:rPr>
            </w:pPr>
          </w:p>
          <w:p w14:paraId="54ED4989" w14:textId="46F62B6E" w:rsidR="009D7BF3" w:rsidRDefault="009144B6" w:rsidP="009D7BF3">
            <w:pPr>
              <w:rPr>
                <w:rFonts w:ascii="Aptos" w:hAnsi="Aptos" w:cs="Helvetica"/>
                <w:lang w:val="en-AU"/>
              </w:rPr>
            </w:pPr>
            <w:r w:rsidRPr="00CF5A75">
              <w:rPr>
                <w:rFonts w:ascii="Aptos" w:hAnsi="Aptos" w:cs="Helvetica"/>
                <w:lang w:val="en-AU"/>
              </w:rPr>
              <w:t>T</w:t>
            </w:r>
            <w:r w:rsidR="00A03E2F" w:rsidRPr="00CF5A75">
              <w:rPr>
                <w:rFonts w:ascii="Aptos" w:hAnsi="Aptos" w:cs="Helvetica"/>
                <w:lang w:val="en-AU"/>
              </w:rPr>
              <w:t>he comprehe</w:t>
            </w:r>
            <w:r w:rsidR="00180286">
              <w:rPr>
                <w:rFonts w:ascii="Aptos" w:hAnsi="Aptos" w:cs="Helvetica"/>
                <w:lang w:val="en-AU"/>
              </w:rPr>
              <w:t xml:space="preserve">nsive </w:t>
            </w:r>
            <w:r w:rsidR="00A03E2F" w:rsidRPr="00CF5A75">
              <w:rPr>
                <w:rFonts w:ascii="Aptos" w:hAnsi="Aptos" w:cs="Helvetica"/>
                <w:lang w:val="en-AU"/>
              </w:rPr>
              <w:t xml:space="preserve">mapping of the </w:t>
            </w:r>
            <w:r w:rsidR="00BC50F8" w:rsidRPr="00CF5A75">
              <w:rPr>
                <w:rFonts w:ascii="Aptos" w:hAnsi="Aptos" w:cs="Helvetica"/>
                <w:lang w:val="en-AU"/>
              </w:rPr>
              <w:t xml:space="preserve">classification and selection of economic activities for the Australian taxonomy against </w:t>
            </w:r>
            <w:r w:rsidR="00F271C1" w:rsidRPr="00CF5A75">
              <w:rPr>
                <w:rFonts w:ascii="Aptos" w:hAnsi="Aptos" w:cs="Helvetica"/>
                <w:lang w:val="en-AU"/>
              </w:rPr>
              <w:t xml:space="preserve">leading international taxonomies and industry classification codes </w:t>
            </w:r>
            <w:r w:rsidR="0007639D">
              <w:rPr>
                <w:rFonts w:ascii="Aptos" w:hAnsi="Aptos" w:cs="Helvetica"/>
                <w:lang w:val="en-AU"/>
              </w:rPr>
              <w:t xml:space="preserve">also </w:t>
            </w:r>
            <w:r w:rsidR="00F271C1" w:rsidRPr="00CF5A75">
              <w:rPr>
                <w:rFonts w:ascii="Aptos" w:hAnsi="Aptos" w:cs="Helvetica"/>
                <w:lang w:val="en-AU"/>
              </w:rPr>
              <w:t>promote</w:t>
            </w:r>
            <w:r w:rsidR="00180286">
              <w:rPr>
                <w:rFonts w:ascii="Aptos" w:hAnsi="Aptos" w:cs="Helvetica"/>
                <w:lang w:val="en-AU"/>
              </w:rPr>
              <w:t>s</w:t>
            </w:r>
            <w:r w:rsidR="00F271C1" w:rsidRPr="00CF5A75">
              <w:rPr>
                <w:rFonts w:ascii="Aptos" w:hAnsi="Aptos" w:cs="Helvetica"/>
                <w:lang w:val="en-AU"/>
              </w:rPr>
              <w:t xml:space="preserve"> </w:t>
            </w:r>
            <w:r w:rsidR="00A8227B" w:rsidRPr="00CF5A75">
              <w:rPr>
                <w:rFonts w:ascii="Aptos" w:hAnsi="Aptos" w:cs="Helvetica"/>
                <w:lang w:val="en-AU"/>
              </w:rPr>
              <w:t>international alignment and interoperability.</w:t>
            </w:r>
          </w:p>
          <w:p w14:paraId="6FB61FD0" w14:textId="77777777" w:rsidR="00EB6A80" w:rsidRDefault="00EB6A80" w:rsidP="009D7BF3">
            <w:pPr>
              <w:rPr>
                <w:rFonts w:ascii="Aptos" w:hAnsi="Aptos" w:cs="Helvetica"/>
                <w:lang w:val="en-AU"/>
              </w:rPr>
            </w:pPr>
          </w:p>
          <w:p w14:paraId="11FB88C1" w14:textId="27B4DD3D" w:rsidR="00FE476B" w:rsidRDefault="0007639D" w:rsidP="009D7BF3">
            <w:pPr>
              <w:rPr>
                <w:rFonts w:ascii="Aptos" w:hAnsi="Aptos" w:cs="Helvetica"/>
              </w:rPr>
            </w:pPr>
            <w:r>
              <w:rPr>
                <w:rFonts w:ascii="Aptos" w:hAnsi="Aptos" w:cs="Helvetica"/>
              </w:rPr>
              <w:t>Finally, t</w:t>
            </w:r>
            <w:r w:rsidR="00EB6A80">
              <w:rPr>
                <w:rFonts w:ascii="Aptos" w:hAnsi="Aptos" w:cs="Helvetica"/>
              </w:rPr>
              <w:t xml:space="preserve">he draft TSC </w:t>
            </w:r>
            <w:r>
              <w:rPr>
                <w:rFonts w:ascii="Aptos" w:hAnsi="Aptos" w:cs="Helvetica"/>
              </w:rPr>
              <w:t>account for</w:t>
            </w:r>
            <w:r w:rsidR="00EB6A80">
              <w:rPr>
                <w:rFonts w:ascii="Aptos" w:hAnsi="Aptos" w:cs="Helvetica"/>
              </w:rPr>
              <w:t xml:space="preserve"> </w:t>
            </w:r>
            <w:r w:rsidR="00F84C5E">
              <w:rPr>
                <w:rFonts w:ascii="Aptos" w:hAnsi="Aptos" w:cs="Helvetica"/>
              </w:rPr>
              <w:t xml:space="preserve">international practices implemented in the development of other taxonomies </w:t>
            </w:r>
            <w:proofErr w:type="gramStart"/>
            <w:r w:rsidR="00F84C5E">
              <w:rPr>
                <w:rFonts w:ascii="Aptos" w:hAnsi="Aptos" w:cs="Helvetica"/>
              </w:rPr>
              <w:t>where</w:t>
            </w:r>
            <w:proofErr w:type="gramEnd"/>
            <w:r>
              <w:rPr>
                <w:rFonts w:ascii="Aptos" w:hAnsi="Aptos" w:cs="Helvetica"/>
              </w:rPr>
              <w:t xml:space="preserve"> doing so is relevant and practical</w:t>
            </w:r>
            <w:r w:rsidR="00180286">
              <w:rPr>
                <w:rFonts w:ascii="Aptos" w:hAnsi="Aptos" w:cs="Helvetica"/>
              </w:rPr>
              <w:t xml:space="preserve"> in an Australian context</w:t>
            </w:r>
            <w:r>
              <w:rPr>
                <w:rFonts w:ascii="Aptos" w:hAnsi="Aptos" w:cs="Helvetica"/>
              </w:rPr>
              <w:t xml:space="preserve">. </w:t>
            </w:r>
            <w:r w:rsidR="00180286">
              <w:rPr>
                <w:rFonts w:ascii="Aptos" w:hAnsi="Aptos" w:cs="Helvetica"/>
              </w:rPr>
              <w:t>Approaches to</w:t>
            </w:r>
            <w:r w:rsidR="002C4965">
              <w:rPr>
                <w:rFonts w:ascii="Aptos" w:hAnsi="Aptos" w:cs="Helvetica"/>
              </w:rPr>
              <w:t xml:space="preserve"> developing criteria for the </w:t>
            </w:r>
            <w:r w:rsidR="00F84C5E">
              <w:rPr>
                <w:rFonts w:ascii="Aptos" w:hAnsi="Aptos" w:cs="Helvetica"/>
              </w:rPr>
              <w:t>electricity generation and supply secto</w:t>
            </w:r>
            <w:r w:rsidR="00FE476B">
              <w:rPr>
                <w:rFonts w:ascii="Aptos" w:hAnsi="Aptos" w:cs="Helvetica"/>
              </w:rPr>
              <w:t>r</w:t>
            </w:r>
            <w:r w:rsidR="00AE399B">
              <w:rPr>
                <w:rFonts w:ascii="Aptos" w:hAnsi="Aptos" w:cs="Helvetica"/>
              </w:rPr>
              <w:t xml:space="preserve"> </w:t>
            </w:r>
            <w:r w:rsidR="00E61B8F">
              <w:rPr>
                <w:rFonts w:ascii="Aptos" w:hAnsi="Aptos" w:cs="Helvetica"/>
              </w:rPr>
              <w:t>are well established internationally, for example, lending themselves well to interoperability.</w:t>
            </w:r>
            <w:r w:rsidR="00D411F7">
              <w:rPr>
                <w:rFonts w:ascii="Aptos" w:hAnsi="Aptos" w:cs="Helvetica"/>
              </w:rPr>
              <w:t xml:space="preserve"> </w:t>
            </w:r>
            <w:r w:rsidR="00E61B8F">
              <w:rPr>
                <w:rFonts w:ascii="Aptos" w:hAnsi="Aptos" w:cs="Helvetica"/>
              </w:rPr>
              <w:t xml:space="preserve"> </w:t>
            </w:r>
          </w:p>
          <w:p w14:paraId="10E393F1" w14:textId="4C157B28" w:rsidR="00FE476B" w:rsidRDefault="00FE476B" w:rsidP="009D7BF3">
            <w:pPr>
              <w:rPr>
                <w:rFonts w:ascii="Aptos" w:hAnsi="Aptos" w:cs="Helvetica"/>
                <w:lang w:val="en-AU"/>
              </w:rPr>
            </w:pPr>
          </w:p>
          <w:p w14:paraId="05AF515B" w14:textId="77777777" w:rsidR="00FE476B" w:rsidRDefault="00FE476B" w:rsidP="00FE476B">
            <w:pPr>
              <w:rPr>
                <w:rFonts w:ascii="Aptos" w:eastAsia="Calibri" w:hAnsi="Aptos" w:cs="Helvetica"/>
              </w:rPr>
            </w:pPr>
            <w:r>
              <w:rPr>
                <w:rFonts w:ascii="Aptos" w:eastAsia="Calibri" w:hAnsi="Aptos" w:cs="Helvetica"/>
              </w:rPr>
              <w:t xml:space="preserve">More information on this is available in </w:t>
            </w:r>
            <w:r w:rsidRPr="00231CE4">
              <w:rPr>
                <w:rFonts w:ascii="Aptos" w:eastAsia="Calibri" w:hAnsi="Aptos" w:cs="Helvetica"/>
                <w:b/>
                <w:bCs/>
                <w:u w:val="single"/>
              </w:rPr>
              <w:t>Appendix D</w:t>
            </w:r>
            <w:r>
              <w:rPr>
                <w:rFonts w:ascii="Aptos" w:eastAsia="Calibri" w:hAnsi="Aptos" w:cs="Helvetica"/>
              </w:rPr>
              <w:t xml:space="preserve">. </w:t>
            </w:r>
          </w:p>
          <w:p w14:paraId="4C7F9A10" w14:textId="273EC4AD" w:rsidR="00FE476B" w:rsidRPr="00CF5A75" w:rsidRDefault="00FE476B" w:rsidP="009D7BF3">
            <w:pPr>
              <w:rPr>
                <w:rFonts w:ascii="Aptos" w:hAnsi="Aptos" w:cs="Helvetica"/>
                <w:lang w:val="en-AU"/>
              </w:rPr>
            </w:pPr>
          </w:p>
        </w:tc>
      </w:tr>
      <w:tr w:rsidR="00A065EB" w:rsidRPr="00CF5A75" w14:paraId="3C6A5B63" w14:textId="77777777" w:rsidTr="00113FF1">
        <w:tc>
          <w:tcPr>
            <w:tcW w:w="1838" w:type="dxa"/>
          </w:tcPr>
          <w:p w14:paraId="268F6FEB" w14:textId="77777777" w:rsidR="000A0FC2" w:rsidRPr="00CF5A75" w:rsidRDefault="00A065EB" w:rsidP="00581A5A">
            <w:pPr>
              <w:rPr>
                <w:rFonts w:ascii="Aptos" w:hAnsi="Aptos" w:cs="Helvetica"/>
                <w:b/>
                <w:bCs/>
              </w:rPr>
            </w:pPr>
            <w:r w:rsidRPr="00CF5A75">
              <w:rPr>
                <w:rFonts w:ascii="Aptos" w:hAnsi="Aptos" w:cs="Helvetica"/>
                <w:b/>
                <w:bCs/>
              </w:rPr>
              <w:lastRenderedPageBreak/>
              <w:t>The taxonomy should be tailored to Australian priorities.</w:t>
            </w:r>
          </w:p>
          <w:p w14:paraId="4612904A" w14:textId="77777777" w:rsidR="000A0FC2" w:rsidRPr="00CF5A75" w:rsidRDefault="000A0FC2" w:rsidP="00581A5A">
            <w:pPr>
              <w:rPr>
                <w:rFonts w:ascii="Aptos" w:hAnsi="Aptos" w:cs="Helvetica"/>
              </w:rPr>
            </w:pPr>
          </w:p>
          <w:p w14:paraId="0399F4AD" w14:textId="45FE410E" w:rsidR="00A065EB" w:rsidRPr="00CF5A75" w:rsidRDefault="00A065EB" w:rsidP="00581A5A">
            <w:pPr>
              <w:rPr>
                <w:rFonts w:ascii="Aptos" w:hAnsi="Aptos" w:cs="Helvetica"/>
                <w:i/>
                <w:iCs/>
              </w:rPr>
            </w:pPr>
            <w:r w:rsidRPr="00CF5A75">
              <w:rPr>
                <w:rFonts w:ascii="Aptos" w:hAnsi="Aptos" w:cs="Helvetica"/>
                <w:i/>
                <w:iCs/>
              </w:rPr>
              <w:t>These include supporting the allocation of capital towards transition activities; aligning with broader Government climate policy objectives;</w:t>
            </w:r>
            <w:r w:rsidR="004A243D" w:rsidRPr="00CF5A75">
              <w:rPr>
                <w:rFonts w:ascii="Aptos" w:hAnsi="Aptos" w:cs="Helvetica"/>
                <w:i/>
                <w:iCs/>
              </w:rPr>
              <w:t xml:space="preserve"> </w:t>
            </w:r>
            <w:r w:rsidRPr="00CF5A75">
              <w:rPr>
                <w:rFonts w:ascii="Aptos" w:hAnsi="Aptos" w:cs="Helvetica"/>
                <w:i/>
                <w:iCs/>
              </w:rPr>
              <w:t xml:space="preserve">supporting the foundation for broader regulatory frameworks on sustainable finance; </w:t>
            </w:r>
            <w:r w:rsidR="001F1397" w:rsidRPr="00CF5A75">
              <w:rPr>
                <w:rFonts w:ascii="Aptos" w:hAnsi="Aptos" w:cs="Helvetica"/>
                <w:i/>
                <w:iCs/>
              </w:rPr>
              <w:t xml:space="preserve">being </w:t>
            </w:r>
            <w:r w:rsidRPr="00CF5A75">
              <w:rPr>
                <w:rFonts w:ascii="Aptos" w:hAnsi="Aptos" w:cs="Helvetica"/>
                <w:i/>
                <w:iCs/>
              </w:rPr>
              <w:t xml:space="preserve">adaptable to incorporating other climate and </w:t>
            </w:r>
            <w:r w:rsidRPr="00CF5A75">
              <w:rPr>
                <w:rFonts w:ascii="Aptos" w:hAnsi="Aptos" w:cs="Helvetica"/>
                <w:i/>
                <w:iCs/>
              </w:rPr>
              <w:lastRenderedPageBreak/>
              <w:t>sustainability objectives such as nature in the taxonomy.</w:t>
            </w:r>
          </w:p>
        </w:tc>
        <w:tc>
          <w:tcPr>
            <w:tcW w:w="7938" w:type="dxa"/>
          </w:tcPr>
          <w:p w14:paraId="3E14C44D" w14:textId="5E0DD47A" w:rsidR="00A065EB" w:rsidRPr="00CF5A75" w:rsidRDefault="00D411F7" w:rsidP="00581A5A">
            <w:pPr>
              <w:rPr>
                <w:rFonts w:ascii="Aptos" w:hAnsi="Aptos" w:cs="Helvetica"/>
                <w:lang w:val="en-AU"/>
              </w:rPr>
            </w:pPr>
            <w:r w:rsidRPr="00CF5A75">
              <w:rPr>
                <w:rFonts w:ascii="Aptos" w:hAnsi="Aptos" w:cs="Helvetica"/>
              </w:rPr>
              <w:lastRenderedPageBreak/>
              <w:t>This design principle aligns with the Australian Government’s Sustainable Finance Strategy consultation paper,</w:t>
            </w:r>
            <w:r>
              <w:rPr>
                <w:rFonts w:ascii="Aptos" w:hAnsi="Aptos" w:cs="Helvetica"/>
              </w:rPr>
              <w:t xml:space="preserve"> </w:t>
            </w:r>
            <w:r w:rsidR="00565CE2" w:rsidRPr="00CF5A75">
              <w:rPr>
                <w:rFonts w:ascii="Aptos" w:hAnsi="Aptos" w:cs="Helvetica"/>
              </w:rPr>
              <w:t>which</w:t>
            </w:r>
            <w:r w:rsidR="00632516">
              <w:rPr>
                <w:rFonts w:ascii="Aptos" w:hAnsi="Aptos" w:cs="Helvetica"/>
              </w:rPr>
              <w:t xml:space="preserve"> </w:t>
            </w:r>
            <w:r w:rsidR="00E72F70">
              <w:rPr>
                <w:rFonts w:ascii="Aptos" w:hAnsi="Aptos" w:cs="Helvetica"/>
              </w:rPr>
              <w:t>seeks to help</w:t>
            </w:r>
            <w:r w:rsidR="00632516">
              <w:rPr>
                <w:rFonts w:ascii="Aptos" w:hAnsi="Aptos" w:cs="Helvetica"/>
              </w:rPr>
              <w:t xml:space="preserve"> </w:t>
            </w:r>
            <w:r w:rsidR="00BF6744" w:rsidRPr="00CF5A75">
              <w:rPr>
                <w:rFonts w:ascii="Aptos" w:hAnsi="Aptos" w:cs="Helvetica"/>
              </w:rPr>
              <w:t>“</w:t>
            </w:r>
            <w:r w:rsidR="00565CE2" w:rsidRPr="00CF5A75">
              <w:rPr>
                <w:rFonts w:ascii="Aptos" w:hAnsi="Aptos" w:cs="Helvetica"/>
                <w:i/>
                <w:iCs/>
                <w:lang w:val="en-AU"/>
              </w:rPr>
              <w:t>mobilise the private sector investment needed to support net zero, Australia becoming a renewable energy superpower and other sustainability goals. The Strategy should support investment in transition activities, as they are critical to ensuring our economy can effectively pivot to a low to zero emissions world, meeting our emissions reductions targets, and providing the critical resources and support needed for our region’s energy transition.</w:t>
            </w:r>
            <w:r w:rsidR="00BF6744" w:rsidRPr="00CF5A75">
              <w:rPr>
                <w:rFonts w:ascii="Aptos" w:hAnsi="Aptos" w:cs="Helvetica"/>
                <w:i/>
                <w:iCs/>
                <w:lang w:val="en-AU"/>
              </w:rPr>
              <w:t>”</w:t>
            </w:r>
          </w:p>
          <w:p w14:paraId="7FAF9BB7" w14:textId="77777777" w:rsidR="00E80BF0" w:rsidRPr="00CF5A75" w:rsidRDefault="00E80BF0" w:rsidP="00B57E27">
            <w:pPr>
              <w:rPr>
                <w:rFonts w:ascii="Aptos" w:hAnsi="Aptos" w:cs="Helvetica"/>
              </w:rPr>
            </w:pPr>
          </w:p>
          <w:p w14:paraId="183F3374" w14:textId="1F44F258" w:rsidR="00B57E27" w:rsidRPr="00CF5A75" w:rsidRDefault="00E72F70" w:rsidP="00B57E27">
            <w:pPr>
              <w:rPr>
                <w:rFonts w:ascii="Aptos" w:hAnsi="Aptos" w:cs="Helvetica"/>
              </w:rPr>
            </w:pPr>
            <w:r>
              <w:rPr>
                <w:rFonts w:ascii="Aptos" w:hAnsi="Aptos" w:cs="Helvetica"/>
              </w:rPr>
              <w:t>F</w:t>
            </w:r>
            <w:r w:rsidR="00B57E27" w:rsidRPr="00CF5A75">
              <w:rPr>
                <w:rFonts w:ascii="Aptos" w:hAnsi="Aptos" w:cs="Helvetica"/>
              </w:rPr>
              <w:t xml:space="preserve">inancial decision-makers in Australia lack access to the information they need to </w:t>
            </w:r>
            <w:r w:rsidR="00CE40F4">
              <w:rPr>
                <w:rFonts w:ascii="Aptos" w:hAnsi="Aptos" w:cs="Helvetica"/>
              </w:rPr>
              <w:t xml:space="preserve">(a) </w:t>
            </w:r>
            <w:r w:rsidR="00B57E27" w:rsidRPr="00CF5A75">
              <w:rPr>
                <w:rFonts w:ascii="Aptos" w:hAnsi="Aptos" w:cs="Helvetica"/>
              </w:rPr>
              <w:t>confidently identify sustainable activities that align to their net zero climate targets and</w:t>
            </w:r>
            <w:r w:rsidR="00CE40F4">
              <w:rPr>
                <w:rFonts w:ascii="Aptos" w:hAnsi="Aptos" w:cs="Helvetica"/>
              </w:rPr>
              <w:t xml:space="preserve"> (b)</w:t>
            </w:r>
            <w:r w:rsidR="00CD6888">
              <w:rPr>
                <w:rFonts w:ascii="Aptos" w:hAnsi="Aptos" w:cs="Helvetica"/>
              </w:rPr>
              <w:t xml:space="preserve"> </w:t>
            </w:r>
            <w:r w:rsidR="00B57E27" w:rsidRPr="00CF5A75">
              <w:rPr>
                <w:rFonts w:ascii="Aptos" w:hAnsi="Aptos" w:cs="Helvetica"/>
              </w:rPr>
              <w:t xml:space="preserve">deploy capital in an efficient and effective way at the scale and speed required for Australia to meet it climate and sustainability ambitions. This challenge is most acute with respect to transition activities, where global best practice is still emerging and there is a lack of consensus on the purpose, intent, and meaning of transition finance. </w:t>
            </w:r>
          </w:p>
          <w:p w14:paraId="6531E546" w14:textId="77777777" w:rsidR="00013350" w:rsidRPr="00CF5A75" w:rsidRDefault="00013350" w:rsidP="00013350">
            <w:pPr>
              <w:rPr>
                <w:rFonts w:ascii="Aptos" w:hAnsi="Aptos" w:cs="Helvetica"/>
              </w:rPr>
            </w:pPr>
          </w:p>
          <w:p w14:paraId="51260C3A" w14:textId="7706ACE5" w:rsidR="00013350" w:rsidRDefault="00CE40F4" w:rsidP="00013350">
            <w:pPr>
              <w:rPr>
                <w:rFonts w:ascii="Aptos" w:hAnsi="Aptos" w:cs="Helvetica"/>
              </w:rPr>
            </w:pPr>
            <w:r>
              <w:rPr>
                <w:rFonts w:ascii="Aptos" w:hAnsi="Aptos" w:cs="Helvetica"/>
              </w:rPr>
              <w:t>The Australian taxonomy</w:t>
            </w:r>
            <w:r w:rsidR="00BC42BC">
              <w:rPr>
                <w:rFonts w:ascii="Aptos" w:hAnsi="Aptos" w:cs="Helvetica"/>
              </w:rPr>
              <w:t xml:space="preserve">’s </w:t>
            </w:r>
            <w:r w:rsidR="00013350" w:rsidRPr="00CF5A75">
              <w:rPr>
                <w:rFonts w:ascii="Aptos" w:hAnsi="Aptos" w:cs="Helvetica"/>
              </w:rPr>
              <w:t xml:space="preserve">transition methodology seeks to provide that clarity by </w:t>
            </w:r>
            <w:r w:rsidR="00045C15">
              <w:rPr>
                <w:rFonts w:ascii="Aptos" w:hAnsi="Aptos" w:cs="Helvetica"/>
              </w:rPr>
              <w:t>establishing</w:t>
            </w:r>
            <w:r w:rsidR="00013350" w:rsidRPr="00CF5A75">
              <w:rPr>
                <w:rFonts w:ascii="Aptos" w:hAnsi="Aptos" w:cs="Helvetica"/>
              </w:rPr>
              <w:t xml:space="preserve"> granular and useful definitions that</w:t>
            </w:r>
            <w:r w:rsidR="00C22283">
              <w:rPr>
                <w:rFonts w:ascii="Aptos" w:hAnsi="Aptos" w:cs="Helvetica"/>
              </w:rPr>
              <w:t xml:space="preserve"> allow</w:t>
            </w:r>
            <w:r w:rsidR="00013350" w:rsidRPr="00CF5A75">
              <w:rPr>
                <w:rFonts w:ascii="Aptos" w:hAnsi="Aptos" w:cs="Helvetica"/>
              </w:rPr>
              <w:t xml:space="preserve"> investors, </w:t>
            </w:r>
            <w:proofErr w:type="gramStart"/>
            <w:r w:rsidR="00013350" w:rsidRPr="00CF5A75">
              <w:rPr>
                <w:rFonts w:ascii="Aptos" w:hAnsi="Aptos" w:cs="Helvetica"/>
              </w:rPr>
              <w:t>lenders</w:t>
            </w:r>
            <w:proofErr w:type="gramEnd"/>
            <w:r w:rsidR="00013350" w:rsidRPr="00CF5A75">
              <w:rPr>
                <w:rFonts w:ascii="Aptos" w:hAnsi="Aptos" w:cs="Helvetica"/>
              </w:rPr>
              <w:t xml:space="preserve"> and regulators </w:t>
            </w:r>
            <w:r w:rsidR="00C22283">
              <w:rPr>
                <w:rFonts w:ascii="Aptos" w:hAnsi="Aptos" w:cs="Helvetica"/>
              </w:rPr>
              <w:t>to</w:t>
            </w:r>
            <w:r w:rsidR="00013350" w:rsidRPr="00CF5A75">
              <w:rPr>
                <w:rFonts w:ascii="Aptos" w:hAnsi="Aptos" w:cs="Helvetica"/>
              </w:rPr>
              <w:t xml:space="preserve"> clearly identify</w:t>
            </w:r>
            <w:r w:rsidR="00C22283">
              <w:rPr>
                <w:rFonts w:ascii="Aptos" w:hAnsi="Aptos" w:cs="Helvetica"/>
              </w:rPr>
              <w:t xml:space="preserve"> </w:t>
            </w:r>
            <w:r w:rsidR="00013350" w:rsidRPr="00CF5A75">
              <w:rPr>
                <w:rFonts w:ascii="Aptos" w:hAnsi="Aptos" w:cs="Helvetica"/>
              </w:rPr>
              <w:t xml:space="preserve">which existing or new activities are aligned to </w:t>
            </w:r>
            <w:r w:rsidR="00045C15">
              <w:rPr>
                <w:rFonts w:ascii="Aptos" w:hAnsi="Aptos" w:cs="Helvetica"/>
              </w:rPr>
              <w:t>Australia’s</w:t>
            </w:r>
            <w:r w:rsidR="00013350" w:rsidRPr="00CF5A75">
              <w:rPr>
                <w:rFonts w:ascii="Aptos" w:hAnsi="Aptos" w:cs="Helvetica"/>
              </w:rPr>
              <w:t xml:space="preserve"> climate goals (green activities)</w:t>
            </w:r>
            <w:r w:rsidR="002114B9">
              <w:rPr>
                <w:rFonts w:ascii="Aptos" w:hAnsi="Aptos" w:cs="Helvetica"/>
              </w:rPr>
              <w:t>,</w:t>
            </w:r>
            <w:r w:rsidR="00013350" w:rsidRPr="00CF5A75">
              <w:rPr>
                <w:rFonts w:ascii="Aptos" w:hAnsi="Aptos" w:cs="Helvetica"/>
              </w:rPr>
              <w:t xml:space="preserve"> and which activities are on a clear pathway to alignment with </w:t>
            </w:r>
            <w:r w:rsidR="00C22283">
              <w:rPr>
                <w:rFonts w:ascii="Aptos" w:hAnsi="Aptos" w:cs="Helvetica"/>
              </w:rPr>
              <w:t>Australia’s</w:t>
            </w:r>
            <w:r w:rsidR="00013350" w:rsidRPr="00CF5A75">
              <w:rPr>
                <w:rFonts w:ascii="Aptos" w:hAnsi="Aptos" w:cs="Helvetica"/>
              </w:rPr>
              <w:t xml:space="preserve"> climate goals and will remain part of a future Paris-aligned net zero economy (transition activities).</w:t>
            </w:r>
          </w:p>
          <w:p w14:paraId="71813944" w14:textId="77777777" w:rsidR="00CC5912" w:rsidRDefault="00CC5912" w:rsidP="00013350">
            <w:pPr>
              <w:rPr>
                <w:rFonts w:ascii="Aptos" w:hAnsi="Aptos" w:cs="Helvetica"/>
              </w:rPr>
            </w:pPr>
          </w:p>
          <w:p w14:paraId="31E43019" w14:textId="55AE206D" w:rsidR="002170A1" w:rsidRDefault="002170A1" w:rsidP="004B27BA">
            <w:pPr>
              <w:rPr>
                <w:rFonts w:ascii="Aptos" w:hAnsi="Aptos" w:cs="Helvetica"/>
                <w:u w:val="single"/>
              </w:rPr>
            </w:pPr>
            <w:r>
              <w:rPr>
                <w:rFonts w:ascii="Aptos" w:hAnsi="Aptos" w:cs="Helvetica"/>
                <w:u w:val="single"/>
              </w:rPr>
              <w:t>Taxonomy coverage</w:t>
            </w:r>
            <w:r w:rsidR="007F0BE9">
              <w:rPr>
                <w:rFonts w:ascii="Aptos" w:hAnsi="Aptos" w:cs="Helvetica"/>
                <w:u w:val="single"/>
              </w:rPr>
              <w:t xml:space="preserve"> and activity selection</w:t>
            </w:r>
          </w:p>
          <w:p w14:paraId="3BA77A05" w14:textId="77777777" w:rsidR="00C22283" w:rsidRDefault="00C22283" w:rsidP="004B27BA">
            <w:pPr>
              <w:rPr>
                <w:rFonts w:ascii="Aptos" w:hAnsi="Aptos" w:cs="Helvetica"/>
              </w:rPr>
            </w:pPr>
          </w:p>
          <w:p w14:paraId="0AD6F957" w14:textId="709C6A50" w:rsidR="004B27BA" w:rsidRPr="00CF5A75" w:rsidRDefault="004B27BA" w:rsidP="004B27BA">
            <w:pPr>
              <w:rPr>
                <w:rFonts w:ascii="Aptos" w:hAnsi="Aptos" w:cs="Helvetica"/>
              </w:rPr>
            </w:pPr>
            <w:r w:rsidRPr="00CF5A75">
              <w:rPr>
                <w:rFonts w:ascii="Aptos" w:hAnsi="Aptos" w:cs="Helvetica"/>
              </w:rPr>
              <w:t>The taxonomy sector coverage</w:t>
            </w:r>
            <w:r>
              <w:rPr>
                <w:rFonts w:ascii="Aptos" w:hAnsi="Aptos" w:cs="Helvetica"/>
              </w:rPr>
              <w:t xml:space="preserve"> </w:t>
            </w:r>
            <w:r w:rsidRPr="00CF5A75">
              <w:rPr>
                <w:rFonts w:ascii="Aptos" w:hAnsi="Aptos" w:cs="Helvetica"/>
                <w:lang w:val="en-AU"/>
              </w:rPr>
              <w:t xml:space="preserve">aligns with the </w:t>
            </w:r>
            <w:proofErr w:type="gramStart"/>
            <w:r w:rsidRPr="00CF5A75">
              <w:rPr>
                <w:rFonts w:ascii="Aptos" w:hAnsi="Aptos" w:cs="Helvetica"/>
                <w:lang w:val="en-AU"/>
              </w:rPr>
              <w:t>six sector</w:t>
            </w:r>
            <w:proofErr w:type="gramEnd"/>
            <w:r w:rsidRPr="00CF5A75">
              <w:rPr>
                <w:rFonts w:ascii="Aptos" w:hAnsi="Aptos" w:cs="Helvetica"/>
                <w:lang w:val="en-AU"/>
              </w:rPr>
              <w:t xml:space="preserve"> decarbonisation plans that the Australian Government is developing to inform its 2050 Net Zero plan and 2035 emission reduction targets. </w:t>
            </w:r>
          </w:p>
          <w:p w14:paraId="58C1C023" w14:textId="77777777" w:rsidR="004B27BA" w:rsidRDefault="004B27BA" w:rsidP="00013350">
            <w:pPr>
              <w:rPr>
                <w:rFonts w:ascii="Aptos" w:hAnsi="Aptos" w:cs="Helvetica"/>
              </w:rPr>
            </w:pPr>
          </w:p>
          <w:p w14:paraId="4904AF75" w14:textId="01DBDCD2" w:rsidR="009F101A" w:rsidRDefault="004B27BA" w:rsidP="00013350">
            <w:pPr>
              <w:rPr>
                <w:rFonts w:ascii="Aptos" w:hAnsi="Aptos" w:cs="Helvetica"/>
              </w:rPr>
            </w:pPr>
            <w:r>
              <w:rPr>
                <w:rFonts w:ascii="Aptos" w:hAnsi="Aptos" w:cs="Helvetica"/>
                <w:b/>
                <w:bCs/>
              </w:rPr>
              <w:t>Electricity generation and supply</w:t>
            </w:r>
            <w:r>
              <w:rPr>
                <w:rFonts w:ascii="Aptos" w:hAnsi="Aptos" w:cs="Helvetica"/>
              </w:rPr>
              <w:t xml:space="preserve">: </w:t>
            </w:r>
            <w:r w:rsidR="00B91ADE">
              <w:rPr>
                <w:rFonts w:ascii="Aptos" w:hAnsi="Aptos" w:cs="Helvetica"/>
              </w:rPr>
              <w:t xml:space="preserve">Activities </w:t>
            </w:r>
            <w:r w:rsidR="006E27F0">
              <w:rPr>
                <w:rFonts w:ascii="Aptos" w:hAnsi="Aptos" w:cs="Helvetica"/>
              </w:rPr>
              <w:t xml:space="preserve">were </w:t>
            </w:r>
            <w:r w:rsidR="00B91ADE">
              <w:rPr>
                <w:rFonts w:ascii="Aptos" w:hAnsi="Aptos" w:cs="Helvetica"/>
              </w:rPr>
              <w:t xml:space="preserve">selected for inclusion in the Australian taxonomy </w:t>
            </w:r>
            <w:r w:rsidR="006E27F0">
              <w:rPr>
                <w:rFonts w:ascii="Aptos" w:hAnsi="Aptos" w:cs="Helvetica"/>
              </w:rPr>
              <w:t xml:space="preserve">based on: </w:t>
            </w:r>
            <w:r w:rsidR="00B150B7">
              <w:rPr>
                <w:rFonts w:ascii="Aptos" w:hAnsi="Aptos" w:cs="Helvetica"/>
              </w:rPr>
              <w:t xml:space="preserve"> </w:t>
            </w:r>
          </w:p>
          <w:p w14:paraId="526204B6" w14:textId="77777777" w:rsidR="009F101A" w:rsidRDefault="009F101A" w:rsidP="00013350">
            <w:pPr>
              <w:rPr>
                <w:rFonts w:ascii="Aptos" w:hAnsi="Aptos" w:cs="Helvetica"/>
              </w:rPr>
            </w:pPr>
          </w:p>
          <w:p w14:paraId="393FB16B" w14:textId="3BCA3CD2" w:rsidR="009F101A" w:rsidRPr="006E27F0" w:rsidRDefault="00B150B7" w:rsidP="00013350">
            <w:pPr>
              <w:pStyle w:val="ListParagraph"/>
              <w:numPr>
                <w:ilvl w:val="0"/>
                <w:numId w:val="39"/>
              </w:numPr>
              <w:rPr>
                <w:rFonts w:ascii="Aptos" w:hAnsi="Aptos" w:cs="Helvetica"/>
                <w:sz w:val="24"/>
                <w:szCs w:val="24"/>
              </w:rPr>
            </w:pPr>
            <w:r>
              <w:rPr>
                <w:rFonts w:ascii="Aptos" w:hAnsi="Aptos" w:cs="Helvetica"/>
                <w:sz w:val="24"/>
                <w:szCs w:val="24"/>
              </w:rPr>
              <w:t xml:space="preserve">their </w:t>
            </w:r>
            <w:r w:rsidR="009F101A" w:rsidRPr="009F101A">
              <w:rPr>
                <w:rFonts w:ascii="Aptos" w:hAnsi="Aptos" w:cs="Helvetica"/>
                <w:sz w:val="24"/>
                <w:szCs w:val="24"/>
              </w:rPr>
              <w:t xml:space="preserve">ability to deploy before 2030, given the immediate need to decarbonise electricity generation and considering this is a </w:t>
            </w:r>
            <w:r w:rsidR="009F101A" w:rsidRPr="006E27F0">
              <w:rPr>
                <w:rFonts w:ascii="Aptos" w:hAnsi="Aptos" w:cs="Helvetica"/>
                <w:sz w:val="24"/>
                <w:szCs w:val="24"/>
              </w:rPr>
              <w:t xml:space="preserve">critical decade to achieve net zero by </w:t>
            </w:r>
            <w:proofErr w:type="gramStart"/>
            <w:r w:rsidR="009F101A" w:rsidRPr="006E27F0">
              <w:rPr>
                <w:rFonts w:ascii="Aptos" w:hAnsi="Aptos" w:cs="Helvetica"/>
                <w:sz w:val="24"/>
                <w:szCs w:val="24"/>
              </w:rPr>
              <w:t>2050;</w:t>
            </w:r>
            <w:proofErr w:type="gramEnd"/>
          </w:p>
          <w:p w14:paraId="409E4CBF" w14:textId="06990A39" w:rsidR="009F101A" w:rsidRPr="006E27F0" w:rsidRDefault="009A785B" w:rsidP="006E27F0">
            <w:pPr>
              <w:pStyle w:val="ListParagraph"/>
              <w:numPr>
                <w:ilvl w:val="0"/>
                <w:numId w:val="39"/>
              </w:numPr>
              <w:rPr>
                <w:rFonts w:ascii="Aptos" w:hAnsi="Aptos" w:cs="Helvetica"/>
                <w:sz w:val="24"/>
                <w:szCs w:val="24"/>
              </w:rPr>
            </w:pPr>
            <w:r w:rsidRPr="006E27F0">
              <w:rPr>
                <w:rFonts w:ascii="Aptos" w:hAnsi="Aptos" w:cs="Helvetica"/>
                <w:sz w:val="24"/>
                <w:szCs w:val="24"/>
              </w:rPr>
              <w:t>the</w:t>
            </w:r>
            <w:r w:rsidR="00B150B7" w:rsidRPr="006E27F0">
              <w:rPr>
                <w:rFonts w:ascii="Aptos" w:hAnsi="Aptos" w:cs="Helvetica"/>
                <w:sz w:val="24"/>
                <w:szCs w:val="24"/>
              </w:rPr>
              <w:t xml:space="preserve"> </w:t>
            </w:r>
            <w:r w:rsidR="009F101A" w:rsidRPr="006E27F0">
              <w:rPr>
                <w:rFonts w:ascii="Aptos" w:hAnsi="Aptos" w:cs="Helvetica"/>
                <w:sz w:val="24"/>
                <w:szCs w:val="24"/>
              </w:rPr>
              <w:t>focus on major decarbonisation levers as a priority rather than solving for edge cases and residual emissions</w:t>
            </w:r>
            <w:r w:rsidR="006E27F0" w:rsidRPr="006E27F0">
              <w:rPr>
                <w:rFonts w:ascii="Aptos" w:hAnsi="Aptos" w:cs="Helvetica"/>
                <w:sz w:val="24"/>
                <w:szCs w:val="24"/>
              </w:rPr>
              <w:t xml:space="preserve"> and </w:t>
            </w:r>
            <w:r w:rsidR="00B150B7" w:rsidRPr="006E27F0">
              <w:rPr>
                <w:rFonts w:ascii="Aptos" w:hAnsi="Aptos" w:cs="Helvetica"/>
                <w:sz w:val="24"/>
                <w:szCs w:val="24"/>
              </w:rPr>
              <w:t xml:space="preserve">the </w:t>
            </w:r>
            <w:r w:rsidR="009F101A" w:rsidRPr="006E27F0">
              <w:rPr>
                <w:rFonts w:ascii="Aptos" w:hAnsi="Aptos" w:cs="Helvetica"/>
                <w:sz w:val="24"/>
                <w:szCs w:val="24"/>
              </w:rPr>
              <w:t>role of a</w:t>
            </w:r>
            <w:r w:rsidR="00B705A9" w:rsidRPr="006E27F0">
              <w:rPr>
                <w:rFonts w:ascii="Aptos" w:hAnsi="Aptos" w:cs="Helvetica"/>
                <w:sz w:val="24"/>
                <w:szCs w:val="24"/>
              </w:rPr>
              <w:t>n</w:t>
            </w:r>
            <w:r w:rsidR="009F101A" w:rsidRPr="006E27F0">
              <w:rPr>
                <w:rFonts w:ascii="Aptos" w:hAnsi="Aptos" w:cs="Helvetica"/>
                <w:sz w:val="24"/>
                <w:szCs w:val="24"/>
              </w:rPr>
              <w:t xml:space="preserve"> activity (technology) as</w:t>
            </w:r>
            <w:r w:rsidR="00B705A9" w:rsidRPr="006E27F0">
              <w:rPr>
                <w:rFonts w:ascii="Aptos" w:hAnsi="Aptos" w:cs="Helvetica"/>
                <w:sz w:val="24"/>
                <w:szCs w:val="24"/>
              </w:rPr>
              <w:t xml:space="preserve"> a</w:t>
            </w:r>
            <w:r w:rsidR="009F101A" w:rsidRPr="006E27F0">
              <w:rPr>
                <w:rFonts w:ascii="Aptos" w:hAnsi="Aptos" w:cs="Helvetica"/>
                <w:sz w:val="24"/>
                <w:szCs w:val="24"/>
              </w:rPr>
              <w:t xml:space="preserve"> </w:t>
            </w:r>
            <w:r w:rsidR="006E27F0" w:rsidRPr="006E27F0">
              <w:rPr>
                <w:rFonts w:ascii="Aptos" w:hAnsi="Aptos" w:cs="Helvetica"/>
                <w:sz w:val="24"/>
                <w:szCs w:val="24"/>
              </w:rPr>
              <w:t>major</w:t>
            </w:r>
            <w:r w:rsidR="009F101A" w:rsidRPr="006E27F0">
              <w:rPr>
                <w:rFonts w:ascii="Aptos" w:hAnsi="Aptos" w:cs="Helvetica"/>
                <w:sz w:val="24"/>
                <w:szCs w:val="24"/>
              </w:rPr>
              <w:t xml:space="preserve"> decarbonisation </w:t>
            </w:r>
            <w:proofErr w:type="gramStart"/>
            <w:r w:rsidR="009F101A" w:rsidRPr="006E27F0">
              <w:rPr>
                <w:rFonts w:ascii="Aptos" w:hAnsi="Aptos" w:cs="Helvetica"/>
                <w:sz w:val="24"/>
                <w:szCs w:val="24"/>
              </w:rPr>
              <w:t>lever;</w:t>
            </w:r>
            <w:proofErr w:type="gramEnd"/>
          </w:p>
          <w:p w14:paraId="3DAC06B2" w14:textId="1FAD5E6B" w:rsidR="009F101A" w:rsidRPr="006E27F0" w:rsidRDefault="00B150B7" w:rsidP="00013350">
            <w:pPr>
              <w:pStyle w:val="ListParagraph"/>
              <w:numPr>
                <w:ilvl w:val="0"/>
                <w:numId w:val="39"/>
              </w:numPr>
              <w:rPr>
                <w:rFonts w:ascii="Aptos" w:hAnsi="Aptos" w:cs="Helvetica"/>
                <w:sz w:val="24"/>
                <w:szCs w:val="24"/>
              </w:rPr>
            </w:pPr>
            <w:r w:rsidRPr="006E27F0">
              <w:rPr>
                <w:rFonts w:ascii="Aptos" w:hAnsi="Aptos" w:cs="Helvetica"/>
                <w:sz w:val="24"/>
                <w:szCs w:val="24"/>
              </w:rPr>
              <w:t xml:space="preserve">the </w:t>
            </w:r>
            <w:r w:rsidR="009F101A" w:rsidRPr="006E27F0">
              <w:rPr>
                <w:rFonts w:ascii="Aptos" w:hAnsi="Aptos" w:cs="Helvetica"/>
                <w:sz w:val="24"/>
                <w:szCs w:val="24"/>
              </w:rPr>
              <w:t>maturity of the given activity (technology) as described by the Technology Readiness Level (TRL), with the taxonomy aiming to focus on TRL of 9 and above; and</w:t>
            </w:r>
          </w:p>
          <w:p w14:paraId="4DABC825" w14:textId="77777777" w:rsidR="001F0145" w:rsidRDefault="009F101A" w:rsidP="00013350">
            <w:pPr>
              <w:pStyle w:val="ListParagraph"/>
              <w:numPr>
                <w:ilvl w:val="0"/>
                <w:numId w:val="39"/>
              </w:numPr>
              <w:rPr>
                <w:rFonts w:ascii="Aptos" w:hAnsi="Aptos" w:cs="Helvetica"/>
                <w:sz w:val="24"/>
                <w:szCs w:val="24"/>
              </w:rPr>
            </w:pPr>
            <w:r w:rsidRPr="009F101A">
              <w:rPr>
                <w:rFonts w:ascii="Aptos" w:hAnsi="Aptos" w:cs="Helvetica"/>
                <w:sz w:val="24"/>
                <w:szCs w:val="24"/>
              </w:rPr>
              <w:t>the role of a given economic activity in the 2050 economy envisaged both by the science-based modelling and governmental strategies and policies.</w:t>
            </w:r>
          </w:p>
          <w:p w14:paraId="29F3980C" w14:textId="77777777" w:rsidR="007C6A81" w:rsidRDefault="007C6A81" w:rsidP="001F0145">
            <w:pPr>
              <w:rPr>
                <w:rFonts w:ascii="Aptos" w:hAnsi="Aptos" w:cs="Helvetica"/>
                <w:b/>
                <w:bCs/>
                <w:lang w:val="en-AU"/>
              </w:rPr>
            </w:pPr>
          </w:p>
          <w:p w14:paraId="442A76BA" w14:textId="7E2D466C" w:rsidR="003B7474" w:rsidRPr="001F0145" w:rsidRDefault="00A02102" w:rsidP="001F0145">
            <w:pPr>
              <w:rPr>
                <w:rFonts w:ascii="Aptos" w:hAnsi="Aptos" w:cs="Helvetica"/>
              </w:rPr>
            </w:pPr>
            <w:r w:rsidRPr="001F0145">
              <w:rPr>
                <w:rFonts w:ascii="Aptos" w:hAnsi="Aptos" w:cs="Helvetica"/>
                <w:b/>
                <w:bCs/>
                <w:lang w:val="en-AU"/>
              </w:rPr>
              <w:t>Minerals, mining and metals</w:t>
            </w:r>
            <w:r w:rsidRPr="001F0145">
              <w:rPr>
                <w:rFonts w:ascii="Aptos" w:hAnsi="Aptos" w:cs="Helvetica"/>
                <w:lang w:val="en-AU"/>
              </w:rPr>
              <w:t xml:space="preserve">: </w:t>
            </w:r>
            <w:r w:rsidR="009D59A3" w:rsidRPr="001F0145">
              <w:rPr>
                <w:rFonts w:ascii="Aptos" w:hAnsi="Aptos" w:cs="Helvetica"/>
                <w:lang w:val="en-AU"/>
              </w:rPr>
              <w:t xml:space="preserve">When selecting priority minerals for the Australian taxonomy, minerals’ presence on global criterial and strategic minerals lists was considered as a proxy indicator for their importance to the clean energy </w:t>
            </w:r>
            <w:r w:rsidR="00733617" w:rsidRPr="001F0145">
              <w:rPr>
                <w:rFonts w:ascii="Aptos" w:hAnsi="Aptos" w:cs="Helvetica"/>
                <w:lang w:val="en-AU"/>
              </w:rPr>
              <w:t>transition. Other indicators were also considered, including projected deman</w:t>
            </w:r>
            <w:r w:rsidR="006F79E7" w:rsidRPr="001F0145">
              <w:rPr>
                <w:rFonts w:ascii="Aptos" w:hAnsi="Aptos" w:cs="Helvetica"/>
                <w:lang w:val="en-AU"/>
              </w:rPr>
              <w:t xml:space="preserve">d increases for clean energy technologies and end use </w:t>
            </w:r>
            <w:r w:rsidR="006F79E7" w:rsidRPr="001F0145">
              <w:rPr>
                <w:rFonts w:ascii="Aptos" w:hAnsi="Aptos" w:cs="Helvetica"/>
              </w:rPr>
              <w:t>of minerals in the clean energy transition.</w:t>
            </w:r>
            <w:r w:rsidR="009C3E9D" w:rsidRPr="001F0145">
              <w:rPr>
                <w:rFonts w:ascii="Aptos" w:hAnsi="Aptos" w:cs="Helvetica"/>
              </w:rPr>
              <w:t xml:space="preserve"> </w:t>
            </w:r>
            <w:r w:rsidR="006F79E7" w:rsidRPr="001F0145">
              <w:rPr>
                <w:rFonts w:ascii="Aptos" w:hAnsi="Aptos" w:cs="Helvetica"/>
              </w:rPr>
              <w:t xml:space="preserve"> </w:t>
            </w:r>
          </w:p>
          <w:p w14:paraId="6E847549" w14:textId="77777777" w:rsidR="003B7474" w:rsidRDefault="003B7474" w:rsidP="00013350">
            <w:pPr>
              <w:rPr>
                <w:rFonts w:ascii="Aptos" w:hAnsi="Aptos" w:cs="Helvetica"/>
              </w:rPr>
            </w:pPr>
          </w:p>
          <w:p w14:paraId="2F1F09F3" w14:textId="61E76F99" w:rsidR="0011091E" w:rsidRDefault="003B7474" w:rsidP="00FC1E79">
            <w:pPr>
              <w:rPr>
                <w:rFonts w:ascii="Aptos" w:hAnsi="Aptos" w:cs="Helvetica"/>
              </w:rPr>
            </w:pPr>
            <w:r>
              <w:rPr>
                <w:rFonts w:ascii="Aptos" w:hAnsi="Aptos" w:cs="Helvetica"/>
              </w:rPr>
              <w:t xml:space="preserve">While copper, lithium, </w:t>
            </w:r>
            <w:proofErr w:type="gramStart"/>
            <w:r>
              <w:rPr>
                <w:rFonts w:ascii="Aptos" w:hAnsi="Aptos" w:cs="Helvetica"/>
              </w:rPr>
              <w:t>nickel</w:t>
            </w:r>
            <w:proofErr w:type="gramEnd"/>
            <w:r>
              <w:rPr>
                <w:rFonts w:ascii="Aptos" w:hAnsi="Aptos" w:cs="Helvetica"/>
              </w:rPr>
              <w:t xml:space="preserve"> and iron ore have been prioritised in the initial development phase, the inclusion of other minerals is under active consideration</w:t>
            </w:r>
            <w:r w:rsidR="001F0145">
              <w:rPr>
                <w:rFonts w:ascii="Aptos" w:hAnsi="Aptos" w:cs="Helvetica"/>
              </w:rPr>
              <w:t>.</w:t>
            </w:r>
            <w:r w:rsidR="0011091E">
              <w:rPr>
                <w:rFonts w:ascii="Aptos" w:hAnsi="Aptos" w:cs="Helvetica"/>
              </w:rPr>
              <w:t xml:space="preserve"> </w:t>
            </w:r>
          </w:p>
          <w:p w14:paraId="683DE1AB" w14:textId="77777777" w:rsidR="0011091E" w:rsidRDefault="0011091E" w:rsidP="00FC1E79">
            <w:pPr>
              <w:rPr>
                <w:rFonts w:ascii="Aptos" w:hAnsi="Aptos" w:cs="Helvetica"/>
              </w:rPr>
            </w:pPr>
          </w:p>
          <w:p w14:paraId="299A98A7" w14:textId="011CC3AE" w:rsidR="0011091E" w:rsidRDefault="0011091E" w:rsidP="00FC1E79">
            <w:pPr>
              <w:rPr>
                <w:rFonts w:ascii="Aptos" w:hAnsi="Aptos" w:cs="Helvetica"/>
              </w:rPr>
            </w:pPr>
            <w:r w:rsidRPr="0011091E">
              <w:rPr>
                <w:rFonts w:ascii="Aptos" w:hAnsi="Aptos" w:cs="Helvetica"/>
                <w:b/>
                <w:bCs/>
              </w:rPr>
              <w:t>Construction and the built environment</w:t>
            </w:r>
            <w:r>
              <w:rPr>
                <w:rFonts w:ascii="Aptos" w:hAnsi="Aptos" w:cs="Helvetica"/>
              </w:rPr>
              <w:t>:</w:t>
            </w:r>
            <w:r w:rsidR="00C55FF0">
              <w:rPr>
                <w:rFonts w:ascii="Aptos" w:hAnsi="Aptos" w:cs="Helvetica"/>
              </w:rPr>
              <w:t xml:space="preserve"> </w:t>
            </w:r>
            <w:r w:rsidR="00524E71">
              <w:rPr>
                <w:rFonts w:ascii="Aptos" w:hAnsi="Aptos" w:cs="Helvetica"/>
              </w:rPr>
              <w:t xml:space="preserve">Modelling of sectoral carbon budgets demonstrates that the projected </w:t>
            </w:r>
            <w:r w:rsidR="00C55FF0">
              <w:rPr>
                <w:rFonts w:ascii="Aptos" w:hAnsi="Aptos" w:cs="Helvetica"/>
              </w:rPr>
              <w:t xml:space="preserve">rapid decarbonisation of electricity supplied through Australia’s distribution utilities </w:t>
            </w:r>
            <w:r w:rsidR="00524E71">
              <w:rPr>
                <w:rFonts w:ascii="Aptos" w:hAnsi="Aptos" w:cs="Helvetica"/>
              </w:rPr>
              <w:t xml:space="preserve">will have the most significant effect on emissions reduction within the building sector. </w:t>
            </w:r>
            <w:r w:rsidR="00094A9B">
              <w:rPr>
                <w:rFonts w:ascii="Aptos" w:hAnsi="Aptos" w:cs="Helvetica"/>
              </w:rPr>
              <w:t>The Australian taxonomy’s framework design for the construction and built environment sector tak</w:t>
            </w:r>
            <w:r w:rsidR="001F0145">
              <w:rPr>
                <w:rFonts w:ascii="Aptos" w:hAnsi="Aptos" w:cs="Helvetica"/>
              </w:rPr>
              <w:t>es</w:t>
            </w:r>
            <w:r w:rsidR="00094A9B">
              <w:rPr>
                <w:rFonts w:ascii="Aptos" w:hAnsi="Aptos" w:cs="Helvetica"/>
              </w:rPr>
              <w:t xml:space="preserve"> this into acco</w:t>
            </w:r>
            <w:r w:rsidR="00B705A9">
              <w:rPr>
                <w:rFonts w:ascii="Aptos" w:hAnsi="Aptos" w:cs="Helvetica"/>
              </w:rPr>
              <w:t xml:space="preserve">unt in its approach to </w:t>
            </w:r>
            <w:r w:rsidR="001F0145">
              <w:rPr>
                <w:rFonts w:ascii="Aptos" w:hAnsi="Aptos" w:cs="Helvetica"/>
              </w:rPr>
              <w:t xml:space="preserve">prioritising </w:t>
            </w:r>
            <w:r w:rsidR="00B705A9">
              <w:rPr>
                <w:rFonts w:ascii="Aptos" w:hAnsi="Aptos" w:cs="Helvetica"/>
              </w:rPr>
              <w:t xml:space="preserve">electrification, embodied carbon, </w:t>
            </w:r>
            <w:proofErr w:type="gramStart"/>
            <w:r w:rsidR="00B705A9">
              <w:rPr>
                <w:rFonts w:ascii="Aptos" w:hAnsi="Aptos" w:cs="Helvetica"/>
              </w:rPr>
              <w:t>refrigerants</w:t>
            </w:r>
            <w:proofErr w:type="gramEnd"/>
            <w:r w:rsidR="00B705A9">
              <w:rPr>
                <w:rFonts w:ascii="Aptos" w:hAnsi="Aptos" w:cs="Helvetica"/>
              </w:rPr>
              <w:t xml:space="preserve"> and metrics.</w:t>
            </w:r>
          </w:p>
          <w:p w14:paraId="4AC4D005" w14:textId="77777777" w:rsidR="0011091E" w:rsidRDefault="0011091E" w:rsidP="00FC1E79">
            <w:pPr>
              <w:rPr>
                <w:rFonts w:ascii="Aptos" w:hAnsi="Aptos" w:cs="Helvetica"/>
              </w:rPr>
            </w:pPr>
          </w:p>
          <w:p w14:paraId="67C994C9" w14:textId="6383A265" w:rsidR="00FD7CB1" w:rsidRDefault="00FD7CB1" w:rsidP="00FC1E79">
            <w:pPr>
              <w:rPr>
                <w:rFonts w:ascii="Aptos" w:hAnsi="Aptos" w:cs="Helvetica"/>
              </w:rPr>
            </w:pPr>
            <w:r>
              <w:rPr>
                <w:rFonts w:ascii="Aptos" w:hAnsi="Aptos" w:cs="Helvetica"/>
              </w:rPr>
              <w:t xml:space="preserve">More information is available in </w:t>
            </w:r>
            <w:r w:rsidRPr="00FD7CB1">
              <w:rPr>
                <w:rFonts w:ascii="Aptos" w:hAnsi="Aptos" w:cs="Helvetica"/>
                <w:b/>
                <w:bCs/>
                <w:u w:val="single"/>
              </w:rPr>
              <w:t>Appendix D</w:t>
            </w:r>
            <w:r>
              <w:rPr>
                <w:rFonts w:ascii="Aptos" w:hAnsi="Aptos" w:cs="Helvetica"/>
              </w:rPr>
              <w:t>.</w:t>
            </w:r>
          </w:p>
          <w:p w14:paraId="679B4977" w14:textId="77777777" w:rsidR="001F0145" w:rsidRDefault="001F0145" w:rsidP="00FC1E79">
            <w:pPr>
              <w:rPr>
                <w:rFonts w:ascii="Aptos" w:hAnsi="Aptos" w:cs="Helvetica"/>
              </w:rPr>
            </w:pPr>
          </w:p>
          <w:p w14:paraId="56E189C8" w14:textId="252498B4" w:rsidR="00113FF1" w:rsidRDefault="00113FF1" w:rsidP="001F0145">
            <w:pPr>
              <w:rPr>
                <w:rFonts w:ascii="Aptos" w:hAnsi="Aptos"/>
              </w:rPr>
            </w:pPr>
            <w:r>
              <w:rPr>
                <w:rFonts w:ascii="Aptos" w:hAnsi="Aptos" w:cs="Helvetica"/>
              </w:rPr>
              <w:t>Finally</w:t>
            </w:r>
            <w:r w:rsidR="00CC5912" w:rsidRPr="00CF5A75">
              <w:rPr>
                <w:rFonts w:ascii="Aptos" w:hAnsi="Aptos" w:cs="Helvetica"/>
              </w:rPr>
              <w:t>,</w:t>
            </w:r>
            <w:r>
              <w:rPr>
                <w:rFonts w:ascii="Aptos" w:hAnsi="Aptos" w:cs="Helvetica"/>
              </w:rPr>
              <w:t xml:space="preserve"> </w:t>
            </w:r>
            <w:r w:rsidR="00172A58">
              <w:rPr>
                <w:rFonts w:ascii="Aptos" w:hAnsi="Aptos" w:cs="Helvetica"/>
              </w:rPr>
              <w:t xml:space="preserve">ASFI </w:t>
            </w:r>
            <w:r>
              <w:rPr>
                <w:rFonts w:ascii="Aptos" w:hAnsi="Aptos" w:cs="Helvetica"/>
              </w:rPr>
              <w:t xml:space="preserve">has </w:t>
            </w:r>
            <w:r w:rsidR="00172A58">
              <w:rPr>
                <w:rFonts w:ascii="Aptos" w:hAnsi="Aptos" w:cs="Helvetica"/>
              </w:rPr>
              <w:t>undert</w:t>
            </w:r>
            <w:r>
              <w:rPr>
                <w:rFonts w:ascii="Aptos" w:hAnsi="Aptos" w:cs="Helvetica"/>
              </w:rPr>
              <w:t>aken</w:t>
            </w:r>
            <w:r w:rsidR="00172A58">
              <w:rPr>
                <w:rFonts w:ascii="Aptos" w:hAnsi="Aptos" w:cs="Helvetica"/>
              </w:rPr>
              <w:t xml:space="preserve"> </w:t>
            </w:r>
            <w:r w:rsidR="00CC5912" w:rsidRPr="00CF5A75">
              <w:rPr>
                <w:rFonts w:ascii="Aptos" w:hAnsi="Aptos" w:cs="Helvetica"/>
              </w:rPr>
              <w:t>r</w:t>
            </w:r>
            <w:r w:rsidR="00B22488" w:rsidRPr="00CF5A75">
              <w:rPr>
                <w:rFonts w:ascii="Aptos" w:hAnsi="Aptos" w:cs="Helvetica"/>
              </w:rPr>
              <w:t>esearch</w:t>
            </w:r>
            <w:r w:rsidR="00CC5912" w:rsidRPr="00CF5A75">
              <w:rPr>
                <w:rFonts w:ascii="Aptos" w:hAnsi="Aptos" w:cs="Helvetica"/>
                <w:lang w:val="en-AU"/>
              </w:rPr>
              <w:t xml:space="preserve"> and analysis </w:t>
            </w:r>
            <w:r w:rsidR="00172A58">
              <w:rPr>
                <w:rFonts w:ascii="Aptos" w:hAnsi="Aptos" w:cs="Helvetica"/>
                <w:lang w:val="en-AU"/>
              </w:rPr>
              <w:t xml:space="preserve">to </w:t>
            </w:r>
            <w:r w:rsidR="00CC5912" w:rsidRPr="00CF5A75">
              <w:rPr>
                <w:rFonts w:ascii="Aptos" w:hAnsi="Aptos" w:cs="Helvetica"/>
                <w:lang w:val="en-AU"/>
              </w:rPr>
              <w:t xml:space="preserve">identify pathways and options to expand the </w:t>
            </w:r>
            <w:r w:rsidR="00172A58">
              <w:rPr>
                <w:rFonts w:ascii="Aptos" w:hAnsi="Aptos" w:cs="Helvetica"/>
                <w:lang w:val="en-AU"/>
              </w:rPr>
              <w:t xml:space="preserve">Australian </w:t>
            </w:r>
            <w:r w:rsidR="00CC5912" w:rsidRPr="00CF5A75">
              <w:rPr>
                <w:rFonts w:ascii="Aptos" w:hAnsi="Aptos" w:cs="Helvetica"/>
                <w:lang w:val="en-AU"/>
              </w:rPr>
              <w:t>taxonomy</w:t>
            </w:r>
            <w:r w:rsidR="00172A58">
              <w:rPr>
                <w:rFonts w:ascii="Aptos" w:hAnsi="Aptos" w:cs="Helvetica"/>
                <w:lang w:val="en-AU"/>
              </w:rPr>
              <w:t>’s</w:t>
            </w:r>
            <w:r w:rsidR="00CC5912" w:rsidRPr="00CF5A75">
              <w:rPr>
                <w:rFonts w:ascii="Aptos" w:hAnsi="Aptos" w:cs="Helvetica"/>
                <w:lang w:val="en-AU"/>
              </w:rPr>
              <w:t xml:space="preserve"> criteria to other sustainability goals </w:t>
            </w:r>
            <w:r w:rsidR="00172A58">
              <w:rPr>
                <w:rFonts w:ascii="Aptos" w:hAnsi="Aptos" w:cs="Helvetica"/>
                <w:lang w:val="en-AU"/>
              </w:rPr>
              <w:t>over time.</w:t>
            </w:r>
            <w:r w:rsidR="00604AB9">
              <w:rPr>
                <w:rFonts w:ascii="Aptos" w:hAnsi="Aptos" w:cs="Helvetica"/>
                <w:lang w:val="en-AU"/>
              </w:rPr>
              <w:t xml:space="preserve"> </w:t>
            </w:r>
          </w:p>
          <w:p w14:paraId="444C411A" w14:textId="20A1FC6D" w:rsidR="001F0145" w:rsidRPr="001F0145" w:rsidRDefault="001F0145" w:rsidP="001F0145">
            <w:pPr>
              <w:rPr>
                <w:rFonts w:ascii="Aptos" w:hAnsi="Aptos" w:cs="Helvetica"/>
                <w:lang w:val="en-AU"/>
              </w:rPr>
            </w:pPr>
          </w:p>
        </w:tc>
      </w:tr>
    </w:tbl>
    <w:p w14:paraId="32371024" w14:textId="05CC4FA1" w:rsidR="001A0C7F" w:rsidRPr="000807ED" w:rsidRDefault="001A0C7F">
      <w:pPr>
        <w:rPr>
          <w:rFonts w:ascii="Helvetica" w:hAnsi="Helvetica" w:cs="Helvetica"/>
          <w:sz w:val="32"/>
          <w:szCs w:val="32"/>
        </w:rPr>
      </w:pPr>
    </w:p>
    <w:p w14:paraId="2E9746E7" w14:textId="61D78E47" w:rsidR="00D3140A" w:rsidRPr="007C6A81" w:rsidRDefault="006A1B11" w:rsidP="007C6A81">
      <w:pPr>
        <w:jc w:val="center"/>
        <w:rPr>
          <w:rFonts w:ascii="Aptos" w:hAnsi="Aptos" w:cs="Helvetica"/>
          <w:b/>
          <w:sz w:val="28"/>
          <w:szCs w:val="28"/>
        </w:rPr>
      </w:pPr>
      <w:r>
        <w:rPr>
          <w:rFonts w:ascii="Aptos" w:hAnsi="Aptos" w:cs="Helvetica"/>
          <w:b/>
          <w:bCs/>
        </w:rPr>
        <w:br w:type="page"/>
      </w:r>
      <w:r w:rsidR="00D3140A" w:rsidRPr="007C6A81">
        <w:rPr>
          <w:rFonts w:ascii="Aptos" w:hAnsi="Aptos" w:cs="Helvetica"/>
          <w:b/>
          <w:bCs/>
          <w:sz w:val="28"/>
          <w:szCs w:val="28"/>
        </w:rPr>
        <w:lastRenderedPageBreak/>
        <w:t xml:space="preserve">Part 3: </w:t>
      </w:r>
      <w:r w:rsidR="00A43C81" w:rsidRPr="007C6A81">
        <w:rPr>
          <w:rFonts w:ascii="Aptos" w:hAnsi="Aptos" w:cs="Helvetica"/>
          <w:b/>
          <w:bCs/>
          <w:sz w:val="28"/>
          <w:szCs w:val="28"/>
        </w:rPr>
        <w:t>Stakeholder Consultation</w:t>
      </w:r>
    </w:p>
    <w:p w14:paraId="779C43AB" w14:textId="2CB7F87F" w:rsidR="00302CAF" w:rsidRPr="001F0145" w:rsidRDefault="00302CAF" w:rsidP="00581A5A">
      <w:pPr>
        <w:rPr>
          <w:rFonts w:ascii="Aptos" w:hAnsi="Aptos" w:cs="Helvetica"/>
        </w:rPr>
      </w:pPr>
    </w:p>
    <w:p w14:paraId="3FFC685C" w14:textId="74533B3E" w:rsidR="0087759A" w:rsidRPr="0087759A" w:rsidRDefault="0087759A" w:rsidP="00581A5A">
      <w:pPr>
        <w:rPr>
          <w:rFonts w:ascii="Helvetica" w:hAnsi="Helvetica" w:cs="Helvetica"/>
          <w:b/>
          <w:i/>
          <w:iCs/>
          <w:sz w:val="28"/>
          <w:szCs w:val="28"/>
        </w:rPr>
      </w:pPr>
      <w:r w:rsidRPr="001F0145">
        <w:rPr>
          <w:rFonts w:ascii="Aptos" w:hAnsi="Aptos" w:cs="Helvetica"/>
        </w:rPr>
        <w:t xml:space="preserve">Under the Grant Agreement between ASFI and the Australian Government, ASFI is responsible for managing all stakeholder engagement and consultation for the development of </w:t>
      </w:r>
      <w:r w:rsidR="008A6BCE">
        <w:rPr>
          <w:rFonts w:ascii="Aptos" w:hAnsi="Aptos" w:cs="Helvetica"/>
        </w:rPr>
        <w:t>the</w:t>
      </w:r>
      <w:r w:rsidRPr="001F0145">
        <w:rPr>
          <w:rFonts w:ascii="Aptos" w:hAnsi="Aptos" w:cs="Helvetica"/>
        </w:rPr>
        <w:t xml:space="preserve"> Australian sustainable finance taxonomy. </w:t>
      </w:r>
      <w:r w:rsidR="00A43C81">
        <w:rPr>
          <w:rFonts w:ascii="Aptos" w:hAnsi="Aptos" w:cs="Helvetica"/>
        </w:rPr>
        <w:t xml:space="preserve">Part 3 of this report outlines ASFI’s approach to stakeholder consultation on the Australian taxonomy’s initial development and provides an overview of consultation undertaken to date.  </w:t>
      </w:r>
    </w:p>
    <w:p w14:paraId="12C3FF5B" w14:textId="77777777" w:rsidR="0087759A" w:rsidRDefault="0087759A" w:rsidP="00581A5A">
      <w:pPr>
        <w:rPr>
          <w:rFonts w:ascii="Aptos" w:hAnsi="Aptos" w:cs="Helvetica"/>
        </w:rPr>
      </w:pPr>
    </w:p>
    <w:p w14:paraId="7D3BE3B5" w14:textId="07EF6D8A" w:rsidR="007A1BE8" w:rsidRPr="001F0145" w:rsidRDefault="00D345E7" w:rsidP="00581A5A">
      <w:pPr>
        <w:rPr>
          <w:rFonts w:ascii="Aptos" w:hAnsi="Aptos" w:cs="Helvetica"/>
        </w:rPr>
      </w:pPr>
      <w:r w:rsidRPr="001F0145">
        <w:rPr>
          <w:rFonts w:ascii="Aptos" w:hAnsi="Aptos" w:cs="Helvetica"/>
        </w:rPr>
        <w:t xml:space="preserve">In August 2023, </w:t>
      </w:r>
      <w:r w:rsidR="00EF3221" w:rsidRPr="001F0145">
        <w:rPr>
          <w:rFonts w:ascii="Aptos" w:hAnsi="Aptos" w:cs="Helvetica"/>
        </w:rPr>
        <w:t xml:space="preserve">ASFI </w:t>
      </w:r>
      <w:r w:rsidR="00CE2579" w:rsidRPr="001F0145">
        <w:rPr>
          <w:rFonts w:ascii="Aptos" w:hAnsi="Aptos" w:cs="Helvetica"/>
        </w:rPr>
        <w:t>undertook an extensive taxonomy stakeholder mapping exercise</w:t>
      </w:r>
      <w:r w:rsidR="00045200" w:rsidRPr="001F0145">
        <w:rPr>
          <w:rFonts w:ascii="Aptos" w:hAnsi="Aptos" w:cs="Helvetica"/>
        </w:rPr>
        <w:t xml:space="preserve"> to inform a stakeholder engagement plan</w:t>
      </w:r>
      <w:r w:rsidR="00A365D3" w:rsidRPr="001F0145">
        <w:rPr>
          <w:rFonts w:ascii="Aptos" w:hAnsi="Aptos" w:cs="Helvetica"/>
        </w:rPr>
        <w:t xml:space="preserve"> for the taxonomy’s initial development phase</w:t>
      </w:r>
      <w:r w:rsidR="00045200" w:rsidRPr="001F0145">
        <w:rPr>
          <w:rFonts w:ascii="Aptos" w:hAnsi="Aptos" w:cs="Helvetica"/>
        </w:rPr>
        <w:t>.</w:t>
      </w:r>
      <w:r w:rsidR="00F07777" w:rsidRPr="001F0145">
        <w:rPr>
          <w:rFonts w:ascii="Aptos" w:hAnsi="Aptos" w:cs="Helvetica"/>
        </w:rPr>
        <w:t xml:space="preserve"> </w:t>
      </w:r>
      <w:r w:rsidR="0049510A" w:rsidRPr="001F0145">
        <w:rPr>
          <w:rFonts w:ascii="Aptos" w:hAnsi="Aptos" w:cs="Helvetica"/>
        </w:rPr>
        <w:t>ASFI</w:t>
      </w:r>
      <w:r w:rsidR="00C2525E" w:rsidRPr="001F0145">
        <w:rPr>
          <w:rFonts w:ascii="Aptos" w:hAnsi="Aptos" w:cs="Helvetica"/>
        </w:rPr>
        <w:t>’s mapping exercise</w:t>
      </w:r>
      <w:r w:rsidR="0049510A" w:rsidRPr="001F0145">
        <w:rPr>
          <w:rFonts w:ascii="Aptos" w:hAnsi="Aptos" w:cs="Helvetica"/>
        </w:rPr>
        <w:t xml:space="preserve"> identified over 250 stakeholder organisations</w:t>
      </w:r>
      <w:r w:rsidR="00D5257F" w:rsidRPr="001F0145">
        <w:rPr>
          <w:rFonts w:ascii="Aptos" w:hAnsi="Aptos" w:cs="Helvetica"/>
        </w:rPr>
        <w:t xml:space="preserve"> with an interest</w:t>
      </w:r>
      <w:r w:rsidR="00E958CE" w:rsidRPr="001F0145">
        <w:rPr>
          <w:rFonts w:ascii="Aptos" w:hAnsi="Aptos" w:cs="Helvetica"/>
        </w:rPr>
        <w:t xml:space="preserve"> </w:t>
      </w:r>
      <w:r w:rsidR="00D5257F" w:rsidRPr="001F0145">
        <w:rPr>
          <w:rFonts w:ascii="Aptos" w:hAnsi="Aptos" w:cs="Helvetica"/>
        </w:rPr>
        <w:t>in th</w:t>
      </w:r>
      <w:r w:rsidR="00E958CE" w:rsidRPr="001F0145">
        <w:rPr>
          <w:rFonts w:ascii="Aptos" w:hAnsi="Aptos" w:cs="Helvetica"/>
        </w:rPr>
        <w:t>e Australian taxonomy’s development</w:t>
      </w:r>
      <w:r w:rsidR="002101F4" w:rsidRPr="001F0145">
        <w:rPr>
          <w:rFonts w:ascii="Aptos" w:hAnsi="Aptos" w:cs="Helvetica"/>
        </w:rPr>
        <w:t xml:space="preserve">. </w:t>
      </w:r>
      <w:r w:rsidR="009310FE" w:rsidRPr="001F0145">
        <w:rPr>
          <w:rFonts w:ascii="Aptos" w:hAnsi="Aptos" w:cs="Helvetica"/>
        </w:rPr>
        <w:t xml:space="preserve">While </w:t>
      </w:r>
      <w:r w:rsidR="00B678BC" w:rsidRPr="001F0145">
        <w:rPr>
          <w:rFonts w:ascii="Aptos" w:hAnsi="Aptos" w:cs="Helvetica"/>
        </w:rPr>
        <w:t>a significant proportion of stakeholder organisations</w:t>
      </w:r>
      <w:r w:rsidR="0087759A">
        <w:rPr>
          <w:rFonts w:ascii="Aptos" w:hAnsi="Aptos" w:cs="Helvetica"/>
        </w:rPr>
        <w:t xml:space="preserve"> </w:t>
      </w:r>
      <w:r w:rsidR="00AD22E7">
        <w:rPr>
          <w:rFonts w:ascii="Aptos" w:hAnsi="Aptos" w:cs="Helvetica"/>
        </w:rPr>
        <w:t>that have an interest in</w:t>
      </w:r>
      <w:r w:rsidR="00F66B20" w:rsidRPr="001F0145">
        <w:rPr>
          <w:rFonts w:ascii="Aptos" w:hAnsi="Aptos" w:cs="Helvetica"/>
        </w:rPr>
        <w:t xml:space="preserve"> the taxonomy’s development</w:t>
      </w:r>
      <w:r w:rsidR="00B678BC" w:rsidRPr="001F0145">
        <w:rPr>
          <w:rFonts w:ascii="Aptos" w:hAnsi="Aptos" w:cs="Helvetica"/>
        </w:rPr>
        <w:t xml:space="preserve"> </w:t>
      </w:r>
      <w:r w:rsidR="00E94B65" w:rsidRPr="001F0145">
        <w:rPr>
          <w:rFonts w:ascii="Aptos" w:hAnsi="Aptos" w:cs="Helvetica"/>
        </w:rPr>
        <w:t>are financial sector participants</w:t>
      </w:r>
      <w:r w:rsidR="00B678BC" w:rsidRPr="001F0145">
        <w:rPr>
          <w:rFonts w:ascii="Aptos" w:hAnsi="Aptos" w:cs="Helvetica"/>
        </w:rPr>
        <w:t>, government, non-profit and real economy participants from</w:t>
      </w:r>
      <w:r w:rsidR="00C811FD" w:rsidRPr="001F0145">
        <w:rPr>
          <w:rFonts w:ascii="Aptos" w:hAnsi="Aptos" w:cs="Helvetica"/>
        </w:rPr>
        <w:t xml:space="preserve"> across the </w:t>
      </w:r>
      <w:r w:rsidR="00836D09" w:rsidRPr="001F0145">
        <w:rPr>
          <w:rFonts w:ascii="Aptos" w:hAnsi="Aptos" w:cs="Helvetica"/>
        </w:rPr>
        <w:t xml:space="preserve">six sectors prioritised for development </w:t>
      </w:r>
      <w:r w:rsidR="00B678BC" w:rsidRPr="001F0145">
        <w:rPr>
          <w:rFonts w:ascii="Aptos" w:hAnsi="Aptos" w:cs="Helvetica"/>
        </w:rPr>
        <w:t>also</w:t>
      </w:r>
      <w:r w:rsidR="0034789F" w:rsidRPr="001F0145">
        <w:rPr>
          <w:rFonts w:ascii="Aptos" w:hAnsi="Aptos" w:cs="Helvetica"/>
        </w:rPr>
        <w:t xml:space="preserve"> have</w:t>
      </w:r>
      <w:r w:rsidR="00F66B20" w:rsidRPr="001F0145">
        <w:rPr>
          <w:rFonts w:ascii="Aptos" w:hAnsi="Aptos" w:cs="Helvetica"/>
        </w:rPr>
        <w:t xml:space="preserve"> varying degrees of</w:t>
      </w:r>
      <w:r w:rsidR="0034789F" w:rsidRPr="001F0145">
        <w:rPr>
          <w:rFonts w:ascii="Aptos" w:hAnsi="Aptos" w:cs="Helvetica"/>
        </w:rPr>
        <w:t xml:space="preserve"> </w:t>
      </w:r>
      <w:r w:rsidR="0087759A">
        <w:rPr>
          <w:rFonts w:ascii="Aptos" w:hAnsi="Aptos" w:cs="Helvetica"/>
        </w:rPr>
        <w:t>interest in</w:t>
      </w:r>
      <w:r w:rsidR="0057084E" w:rsidRPr="001F0145">
        <w:rPr>
          <w:rFonts w:ascii="Aptos" w:hAnsi="Aptos" w:cs="Helvetica"/>
        </w:rPr>
        <w:t xml:space="preserve"> the taxonomy project</w:t>
      </w:r>
      <w:r w:rsidR="00F66B20" w:rsidRPr="001F0145">
        <w:rPr>
          <w:rFonts w:ascii="Aptos" w:hAnsi="Aptos" w:cs="Helvetica"/>
        </w:rPr>
        <w:t xml:space="preserve"> and </w:t>
      </w:r>
      <w:r w:rsidR="005A1E5B" w:rsidRPr="001F0145">
        <w:rPr>
          <w:rFonts w:ascii="Aptos" w:hAnsi="Aptos" w:cs="Helvetica"/>
        </w:rPr>
        <w:t>need to be effectively consulted</w:t>
      </w:r>
      <w:r w:rsidR="00AD22E7">
        <w:rPr>
          <w:rFonts w:ascii="Aptos" w:hAnsi="Aptos" w:cs="Helvetica"/>
        </w:rPr>
        <w:t xml:space="preserve">. </w:t>
      </w:r>
    </w:p>
    <w:p w14:paraId="558D472C" w14:textId="77777777" w:rsidR="00A97E2D" w:rsidRPr="001F0145" w:rsidRDefault="00A97E2D" w:rsidP="00581A5A">
      <w:pPr>
        <w:rPr>
          <w:rFonts w:ascii="Aptos" w:hAnsi="Aptos" w:cs="Helvetica"/>
        </w:rPr>
      </w:pPr>
    </w:p>
    <w:p w14:paraId="11257B79" w14:textId="56FE52EB" w:rsidR="00DB2F79" w:rsidRPr="001F0145" w:rsidRDefault="00A71911" w:rsidP="00581A5A">
      <w:pPr>
        <w:rPr>
          <w:rFonts w:ascii="Aptos" w:hAnsi="Aptos" w:cs="Helvetica"/>
          <w:u w:val="single"/>
        </w:rPr>
      </w:pPr>
      <w:r w:rsidRPr="001F0145">
        <w:rPr>
          <w:rFonts w:ascii="Aptos" w:hAnsi="Aptos" w:cs="Helvetica"/>
          <w:u w:val="single"/>
        </w:rPr>
        <w:t xml:space="preserve">Purpose and </w:t>
      </w:r>
      <w:r w:rsidR="00422E03" w:rsidRPr="001F0145">
        <w:rPr>
          <w:rFonts w:ascii="Aptos" w:hAnsi="Aptos" w:cs="Helvetica"/>
          <w:u w:val="single"/>
        </w:rPr>
        <w:t>p</w:t>
      </w:r>
      <w:r w:rsidRPr="001F0145">
        <w:rPr>
          <w:rFonts w:ascii="Aptos" w:hAnsi="Aptos" w:cs="Helvetica"/>
          <w:u w:val="single"/>
        </w:rPr>
        <w:t>rinciples</w:t>
      </w:r>
      <w:r w:rsidR="00684CDC" w:rsidRPr="001F0145">
        <w:rPr>
          <w:rFonts w:ascii="Aptos" w:hAnsi="Aptos" w:cs="Helvetica"/>
          <w:u w:val="single"/>
        </w:rPr>
        <w:t xml:space="preserve"> of </w:t>
      </w:r>
      <w:r w:rsidR="00422E03" w:rsidRPr="001F0145">
        <w:rPr>
          <w:rFonts w:ascii="Aptos" w:hAnsi="Aptos" w:cs="Helvetica"/>
          <w:u w:val="single"/>
        </w:rPr>
        <w:t>e</w:t>
      </w:r>
      <w:r w:rsidR="00684CDC" w:rsidRPr="001F0145">
        <w:rPr>
          <w:rFonts w:ascii="Aptos" w:hAnsi="Aptos" w:cs="Helvetica"/>
          <w:u w:val="single"/>
        </w:rPr>
        <w:t>ngagement</w:t>
      </w:r>
    </w:p>
    <w:p w14:paraId="56C8FC6F" w14:textId="77777777" w:rsidR="00745F9E" w:rsidRPr="001F0145" w:rsidRDefault="00745F9E" w:rsidP="00581A5A">
      <w:pPr>
        <w:rPr>
          <w:rFonts w:ascii="Aptos" w:hAnsi="Aptos" w:cs="Helvetica"/>
        </w:rPr>
      </w:pPr>
    </w:p>
    <w:p w14:paraId="52232028" w14:textId="5C84DDF8" w:rsidR="00422E03" w:rsidRPr="001F0145" w:rsidRDefault="00745F9E" w:rsidP="00745F9E">
      <w:pPr>
        <w:rPr>
          <w:rFonts w:ascii="Aptos" w:hAnsi="Aptos" w:cs="Helvetica"/>
        </w:rPr>
      </w:pPr>
      <w:r w:rsidRPr="001F0145">
        <w:rPr>
          <w:rFonts w:ascii="Aptos" w:hAnsi="Aptos" w:cs="Helvetica"/>
        </w:rPr>
        <w:t xml:space="preserve">The purpose of engaging with stakeholders on the Australian </w:t>
      </w:r>
      <w:r w:rsidR="0011593D" w:rsidRPr="001F0145">
        <w:rPr>
          <w:rFonts w:ascii="Aptos" w:hAnsi="Aptos" w:cs="Helvetica"/>
        </w:rPr>
        <w:t>t</w:t>
      </w:r>
      <w:r w:rsidRPr="001F0145">
        <w:rPr>
          <w:rFonts w:ascii="Aptos" w:hAnsi="Aptos" w:cs="Helvetica"/>
        </w:rPr>
        <w:t>axonomy’s design and development is</w:t>
      </w:r>
      <w:r w:rsidR="00422E03" w:rsidRPr="001F0145">
        <w:rPr>
          <w:rFonts w:ascii="Aptos" w:hAnsi="Aptos" w:cs="Helvetica"/>
        </w:rPr>
        <w:t xml:space="preserve"> threefold:</w:t>
      </w:r>
    </w:p>
    <w:p w14:paraId="72FC6869" w14:textId="7C292952" w:rsidR="00745F9E" w:rsidRPr="001F0145" w:rsidRDefault="00745F9E" w:rsidP="00745F9E">
      <w:pPr>
        <w:rPr>
          <w:rFonts w:ascii="Aptos" w:hAnsi="Aptos" w:cs="Helvetica"/>
        </w:rPr>
      </w:pPr>
      <w:r w:rsidRPr="001F0145">
        <w:rPr>
          <w:rFonts w:ascii="Aptos" w:hAnsi="Aptos" w:cs="Helvetica"/>
        </w:rPr>
        <w:t xml:space="preserve"> </w:t>
      </w:r>
    </w:p>
    <w:p w14:paraId="37E2A2E6" w14:textId="0CE3E632" w:rsidR="00422E03" w:rsidRPr="001F0145" w:rsidRDefault="00745F9E" w:rsidP="00A1696B">
      <w:pPr>
        <w:pStyle w:val="ListParagraph"/>
        <w:numPr>
          <w:ilvl w:val="0"/>
          <w:numId w:val="6"/>
        </w:numPr>
        <w:rPr>
          <w:rFonts w:ascii="Aptos" w:hAnsi="Aptos" w:cs="Helvetica"/>
          <w:sz w:val="24"/>
          <w:szCs w:val="24"/>
        </w:rPr>
      </w:pPr>
      <w:r w:rsidRPr="001F0145">
        <w:rPr>
          <w:rFonts w:ascii="Aptos" w:hAnsi="Aptos" w:cs="Helvetica"/>
          <w:sz w:val="24"/>
          <w:szCs w:val="24"/>
        </w:rPr>
        <w:t>seek diverse and informed</w:t>
      </w:r>
      <w:r w:rsidR="00CD08B7">
        <w:rPr>
          <w:rFonts w:ascii="Aptos" w:hAnsi="Aptos" w:cs="Helvetica"/>
          <w:sz w:val="24"/>
          <w:szCs w:val="24"/>
        </w:rPr>
        <w:t xml:space="preserve"> technical and other </w:t>
      </w:r>
      <w:r w:rsidRPr="001F0145">
        <w:rPr>
          <w:rFonts w:ascii="Aptos" w:hAnsi="Aptos" w:cs="Helvetica"/>
          <w:sz w:val="24"/>
          <w:szCs w:val="24"/>
        </w:rPr>
        <w:t>input</w:t>
      </w:r>
      <w:r w:rsidR="00226048">
        <w:rPr>
          <w:rFonts w:ascii="Aptos" w:hAnsi="Aptos" w:cs="Helvetica"/>
          <w:sz w:val="24"/>
          <w:szCs w:val="24"/>
        </w:rPr>
        <w:t xml:space="preserve"> to optimise taxonomy </w:t>
      </w:r>
      <w:proofErr w:type="gramStart"/>
      <w:r w:rsidR="00226048">
        <w:rPr>
          <w:rFonts w:ascii="Aptos" w:hAnsi="Aptos" w:cs="Helvetica"/>
          <w:sz w:val="24"/>
          <w:szCs w:val="24"/>
        </w:rPr>
        <w:t>outputs;</w:t>
      </w:r>
      <w:proofErr w:type="gramEnd"/>
      <w:r w:rsidR="00226048">
        <w:rPr>
          <w:rFonts w:ascii="Aptos" w:hAnsi="Aptos" w:cs="Helvetica"/>
          <w:sz w:val="24"/>
          <w:szCs w:val="24"/>
        </w:rPr>
        <w:t xml:space="preserve"> </w:t>
      </w:r>
      <w:r w:rsidRPr="001F0145">
        <w:rPr>
          <w:rFonts w:ascii="Aptos" w:hAnsi="Aptos" w:cs="Helvetica"/>
          <w:sz w:val="24"/>
          <w:szCs w:val="24"/>
        </w:rPr>
        <w:t xml:space="preserve"> </w:t>
      </w:r>
    </w:p>
    <w:p w14:paraId="53D7BFF1" w14:textId="27F144A4" w:rsidR="00422E03" w:rsidRPr="001F0145" w:rsidRDefault="00745F9E" w:rsidP="00A1696B">
      <w:pPr>
        <w:pStyle w:val="ListParagraph"/>
        <w:numPr>
          <w:ilvl w:val="0"/>
          <w:numId w:val="6"/>
        </w:numPr>
        <w:rPr>
          <w:rFonts w:ascii="Aptos" w:hAnsi="Aptos" w:cs="Helvetica"/>
          <w:sz w:val="24"/>
          <w:szCs w:val="24"/>
        </w:rPr>
      </w:pPr>
      <w:r w:rsidRPr="001F0145">
        <w:rPr>
          <w:rFonts w:ascii="Aptos" w:hAnsi="Aptos" w:cs="Helvetica"/>
          <w:sz w:val="24"/>
          <w:szCs w:val="24"/>
        </w:rPr>
        <w:t xml:space="preserve">ensure stakeholders </w:t>
      </w:r>
      <w:r w:rsidR="00683296">
        <w:rPr>
          <w:rFonts w:ascii="Aptos" w:hAnsi="Aptos" w:cs="Helvetica"/>
          <w:sz w:val="24"/>
          <w:szCs w:val="24"/>
        </w:rPr>
        <w:t>interested in the</w:t>
      </w:r>
      <w:r w:rsidRPr="001F0145">
        <w:rPr>
          <w:rFonts w:ascii="Aptos" w:hAnsi="Aptos" w:cs="Helvetica"/>
          <w:sz w:val="24"/>
          <w:szCs w:val="24"/>
        </w:rPr>
        <w:t xml:space="preserve"> taxonomy are properly consulted and given the opportunity to provide input on matters of relevance to them; and </w:t>
      </w:r>
    </w:p>
    <w:p w14:paraId="4CD3D638" w14:textId="6DE2FD99" w:rsidR="00422E03" w:rsidRPr="001F0145" w:rsidRDefault="00745F9E" w:rsidP="00A1696B">
      <w:pPr>
        <w:pStyle w:val="ListParagraph"/>
        <w:numPr>
          <w:ilvl w:val="0"/>
          <w:numId w:val="6"/>
        </w:numPr>
        <w:rPr>
          <w:rFonts w:ascii="Aptos" w:hAnsi="Aptos" w:cs="Helvetica"/>
          <w:sz w:val="24"/>
          <w:szCs w:val="24"/>
        </w:rPr>
      </w:pPr>
      <w:r w:rsidRPr="001F0145">
        <w:rPr>
          <w:rFonts w:ascii="Aptos" w:hAnsi="Aptos" w:cs="Helvetica"/>
          <w:sz w:val="24"/>
          <w:szCs w:val="24"/>
        </w:rPr>
        <w:t xml:space="preserve">socialise the taxonomy with a diversity of stakeholder groups and foster understanding and alignment in relation to its use and objectives.  </w:t>
      </w:r>
    </w:p>
    <w:p w14:paraId="60B471CA" w14:textId="62EBEE18" w:rsidR="00745F9E" w:rsidRPr="001F0145" w:rsidRDefault="00C16742" w:rsidP="00422E03">
      <w:pPr>
        <w:rPr>
          <w:rFonts w:ascii="Aptos" w:hAnsi="Aptos" w:cs="Helvetica"/>
        </w:rPr>
      </w:pPr>
      <w:r w:rsidRPr="001F0145">
        <w:rPr>
          <w:rFonts w:ascii="Aptos" w:hAnsi="Aptos" w:cs="Helvetica"/>
        </w:rPr>
        <w:t xml:space="preserve">The key principles </w:t>
      </w:r>
      <w:r w:rsidR="001325A8" w:rsidRPr="001F0145">
        <w:rPr>
          <w:rFonts w:ascii="Aptos" w:hAnsi="Aptos" w:cs="Helvetica"/>
        </w:rPr>
        <w:t>informing ASFI’s approach to stakeholder</w:t>
      </w:r>
      <w:r w:rsidR="00745F9E" w:rsidRPr="001F0145">
        <w:rPr>
          <w:rFonts w:ascii="Aptos" w:hAnsi="Aptos" w:cs="Helvetica"/>
        </w:rPr>
        <w:t xml:space="preserve"> engagement </w:t>
      </w:r>
      <w:r w:rsidR="00365AFE" w:rsidRPr="001F0145">
        <w:rPr>
          <w:rFonts w:ascii="Aptos" w:hAnsi="Aptos" w:cs="Helvetica"/>
        </w:rPr>
        <w:t>are</w:t>
      </w:r>
      <w:r w:rsidR="00745F9E" w:rsidRPr="001F0145">
        <w:rPr>
          <w:rFonts w:ascii="Aptos" w:hAnsi="Aptos" w:cs="Helvetica"/>
        </w:rPr>
        <w:t xml:space="preserve"> </w:t>
      </w:r>
      <w:r w:rsidR="00765DE9" w:rsidRPr="001F0145">
        <w:rPr>
          <w:rFonts w:ascii="Aptos" w:hAnsi="Aptos" w:cs="Helvetica"/>
        </w:rPr>
        <w:t xml:space="preserve">inclusivity, timeliness, </w:t>
      </w:r>
      <w:proofErr w:type="gramStart"/>
      <w:r w:rsidR="00765DE9" w:rsidRPr="001F0145">
        <w:rPr>
          <w:rFonts w:ascii="Aptos" w:hAnsi="Aptos" w:cs="Helvetica"/>
        </w:rPr>
        <w:t>transparency</w:t>
      </w:r>
      <w:proofErr w:type="gramEnd"/>
      <w:r w:rsidR="00765DE9" w:rsidRPr="001F0145">
        <w:rPr>
          <w:rFonts w:ascii="Aptos" w:hAnsi="Aptos" w:cs="Helvetica"/>
        </w:rPr>
        <w:t xml:space="preserve"> and respect. Th</w:t>
      </w:r>
      <w:r w:rsidR="00422E03" w:rsidRPr="001F0145">
        <w:rPr>
          <w:rFonts w:ascii="Aptos" w:hAnsi="Aptos" w:cs="Helvetica"/>
        </w:rPr>
        <w:t xml:space="preserve">e taxonomy engagement principles </w:t>
      </w:r>
      <w:r w:rsidR="005D1482" w:rsidRPr="001F0145">
        <w:rPr>
          <w:rFonts w:ascii="Aptos" w:hAnsi="Aptos" w:cs="Helvetica"/>
        </w:rPr>
        <w:t xml:space="preserve">were </w:t>
      </w:r>
      <w:r w:rsidR="004C1043">
        <w:rPr>
          <w:rFonts w:ascii="Aptos" w:hAnsi="Aptos" w:cs="Helvetica"/>
        </w:rPr>
        <w:t xml:space="preserve">developed based on </w:t>
      </w:r>
      <w:r w:rsidR="00745F9E" w:rsidRPr="001F0145">
        <w:rPr>
          <w:rFonts w:ascii="Aptos" w:hAnsi="Aptos" w:cs="Helvetica"/>
        </w:rPr>
        <w:t xml:space="preserve">feedback from the </w:t>
      </w:r>
      <w:r w:rsidR="00317751" w:rsidRPr="001F0145">
        <w:rPr>
          <w:rFonts w:ascii="Aptos" w:hAnsi="Aptos" w:cs="Helvetica"/>
        </w:rPr>
        <w:t xml:space="preserve">ASFI </w:t>
      </w:r>
      <w:r w:rsidR="00756350" w:rsidRPr="001F0145">
        <w:rPr>
          <w:rFonts w:ascii="Aptos" w:hAnsi="Aptos" w:cs="Helvetica"/>
        </w:rPr>
        <w:t>T</w:t>
      </w:r>
      <w:r w:rsidR="00745F9E" w:rsidRPr="001F0145">
        <w:rPr>
          <w:rFonts w:ascii="Aptos" w:hAnsi="Aptos" w:cs="Helvetica"/>
        </w:rPr>
        <w:t xml:space="preserve">axonomy </w:t>
      </w:r>
      <w:r w:rsidR="00756350" w:rsidRPr="001F0145">
        <w:rPr>
          <w:rFonts w:ascii="Aptos" w:hAnsi="Aptos" w:cs="Helvetica"/>
        </w:rPr>
        <w:t>S</w:t>
      </w:r>
      <w:r w:rsidR="00745F9E" w:rsidRPr="001F0145">
        <w:rPr>
          <w:rFonts w:ascii="Aptos" w:hAnsi="Aptos" w:cs="Helvetica"/>
        </w:rPr>
        <w:t>coping</w:t>
      </w:r>
      <w:r w:rsidR="00756350" w:rsidRPr="001F0145">
        <w:rPr>
          <w:rFonts w:ascii="Aptos" w:hAnsi="Aptos" w:cs="Helvetica"/>
        </w:rPr>
        <w:t xml:space="preserve"> Project</w:t>
      </w:r>
      <w:r w:rsidR="00745F9E" w:rsidRPr="001F0145">
        <w:rPr>
          <w:rFonts w:ascii="Aptos" w:hAnsi="Aptos" w:cs="Helvetica"/>
        </w:rPr>
        <w:t xml:space="preserve"> </w:t>
      </w:r>
      <w:r w:rsidR="00756350" w:rsidRPr="001F0145">
        <w:rPr>
          <w:rFonts w:ascii="Aptos" w:hAnsi="Aptos" w:cs="Helvetica"/>
        </w:rPr>
        <w:t xml:space="preserve">(conducted June 2022 </w:t>
      </w:r>
      <w:r w:rsidR="005D1482" w:rsidRPr="001F0145">
        <w:rPr>
          <w:rFonts w:ascii="Aptos" w:hAnsi="Aptos" w:cs="Helvetica"/>
        </w:rPr>
        <w:t>through</w:t>
      </w:r>
      <w:r w:rsidR="00756350" w:rsidRPr="001F0145">
        <w:rPr>
          <w:rFonts w:ascii="Aptos" w:hAnsi="Aptos" w:cs="Helvetica"/>
        </w:rPr>
        <w:t xml:space="preserve"> July 2023)</w:t>
      </w:r>
      <w:r w:rsidRPr="001F0145">
        <w:rPr>
          <w:rFonts w:ascii="Aptos" w:hAnsi="Aptos" w:cs="Helvetica"/>
        </w:rPr>
        <w:t xml:space="preserve"> and</w:t>
      </w:r>
      <w:r w:rsidR="00E562AE" w:rsidRPr="001F0145">
        <w:rPr>
          <w:rFonts w:ascii="Aptos" w:hAnsi="Aptos" w:cs="Helvetica"/>
        </w:rPr>
        <w:t xml:space="preserve"> </w:t>
      </w:r>
      <w:r w:rsidR="00A91342" w:rsidRPr="001F0145">
        <w:rPr>
          <w:rFonts w:ascii="Aptos" w:hAnsi="Aptos" w:cs="Helvetica"/>
        </w:rPr>
        <w:t xml:space="preserve">an assessment of </w:t>
      </w:r>
      <w:r w:rsidR="00745F9E" w:rsidRPr="001F0145">
        <w:rPr>
          <w:rFonts w:ascii="Aptos" w:hAnsi="Aptos" w:cs="Helvetica"/>
        </w:rPr>
        <w:t>international taxonomy development processes</w:t>
      </w:r>
      <w:r w:rsidR="00A91342" w:rsidRPr="001F0145">
        <w:rPr>
          <w:rFonts w:ascii="Aptos" w:hAnsi="Aptos" w:cs="Helvetica"/>
        </w:rPr>
        <w:t xml:space="preserve">. </w:t>
      </w:r>
      <w:r w:rsidR="002D7B6E" w:rsidRPr="001F0145">
        <w:rPr>
          <w:rFonts w:ascii="Aptos" w:hAnsi="Aptos" w:cs="Helvetica"/>
        </w:rPr>
        <w:t xml:space="preserve">A more detailed </w:t>
      </w:r>
      <w:r w:rsidR="005D1482" w:rsidRPr="001F0145">
        <w:rPr>
          <w:rFonts w:ascii="Aptos" w:hAnsi="Aptos" w:cs="Helvetica"/>
        </w:rPr>
        <w:t>explanation of th</w:t>
      </w:r>
      <w:r w:rsidR="0011593D" w:rsidRPr="001F0145">
        <w:rPr>
          <w:rFonts w:ascii="Aptos" w:hAnsi="Aptos" w:cs="Helvetica"/>
        </w:rPr>
        <w:t xml:space="preserve">ese </w:t>
      </w:r>
      <w:r w:rsidR="005D1482" w:rsidRPr="001F0145">
        <w:rPr>
          <w:rFonts w:ascii="Aptos" w:hAnsi="Aptos" w:cs="Helvetica"/>
        </w:rPr>
        <w:t xml:space="preserve">principles is </w:t>
      </w:r>
      <w:r w:rsidR="002D7B6E" w:rsidRPr="001F0145">
        <w:rPr>
          <w:rFonts w:ascii="Aptos" w:hAnsi="Aptos" w:cs="Helvetica"/>
        </w:rPr>
        <w:t>set out in</w:t>
      </w:r>
      <w:r w:rsidR="00385FE9" w:rsidRPr="001F0145">
        <w:rPr>
          <w:rFonts w:ascii="Aptos" w:hAnsi="Aptos" w:cs="Helvetica"/>
        </w:rPr>
        <w:t xml:space="preserve"> </w:t>
      </w:r>
      <w:r w:rsidR="000E4DD7" w:rsidRPr="00683296">
        <w:rPr>
          <w:rFonts w:ascii="Aptos" w:hAnsi="Aptos" w:cs="Helvetica"/>
          <w:b/>
          <w:bCs/>
          <w:u w:val="single"/>
        </w:rPr>
        <w:t xml:space="preserve">Appendix </w:t>
      </w:r>
      <w:r w:rsidR="00B418FF">
        <w:rPr>
          <w:rFonts w:ascii="Aptos" w:hAnsi="Aptos" w:cs="Helvetica"/>
          <w:b/>
          <w:bCs/>
          <w:u w:val="single"/>
        </w:rPr>
        <w:t>F</w:t>
      </w:r>
      <w:r w:rsidR="00683296">
        <w:rPr>
          <w:rFonts w:ascii="Aptos" w:hAnsi="Aptos" w:cs="Helvetica"/>
          <w:b/>
          <w:bCs/>
        </w:rPr>
        <w:t xml:space="preserve">. </w:t>
      </w:r>
    </w:p>
    <w:p w14:paraId="5F0D9894" w14:textId="72283EBB" w:rsidR="00CF604C" w:rsidRPr="001F0145" w:rsidRDefault="00CF604C" w:rsidP="00581A5A">
      <w:pPr>
        <w:rPr>
          <w:rFonts w:ascii="Aptos" w:hAnsi="Aptos" w:cs="Helvetica"/>
        </w:rPr>
      </w:pPr>
    </w:p>
    <w:p w14:paraId="7689AF44" w14:textId="338C4D56" w:rsidR="00A71911" w:rsidRPr="001F0145" w:rsidRDefault="00A71911" w:rsidP="00581A5A">
      <w:pPr>
        <w:rPr>
          <w:rFonts w:ascii="Aptos" w:hAnsi="Aptos" w:cs="Helvetica"/>
          <w:u w:val="single"/>
        </w:rPr>
      </w:pPr>
      <w:r w:rsidRPr="001F0145">
        <w:rPr>
          <w:rFonts w:ascii="Aptos" w:hAnsi="Aptos" w:cs="Helvetica"/>
          <w:u w:val="single"/>
        </w:rPr>
        <w:t xml:space="preserve">Key </w:t>
      </w:r>
      <w:r w:rsidR="001B6807" w:rsidRPr="001F0145">
        <w:rPr>
          <w:rFonts w:ascii="Aptos" w:hAnsi="Aptos" w:cs="Helvetica"/>
          <w:u w:val="single"/>
        </w:rPr>
        <w:t>s</w:t>
      </w:r>
      <w:r w:rsidRPr="001F0145">
        <w:rPr>
          <w:rFonts w:ascii="Aptos" w:hAnsi="Aptos" w:cs="Helvetica"/>
          <w:u w:val="single"/>
        </w:rPr>
        <w:t xml:space="preserve">takeholder </w:t>
      </w:r>
      <w:r w:rsidR="001B6807" w:rsidRPr="001F0145">
        <w:rPr>
          <w:rFonts w:ascii="Aptos" w:hAnsi="Aptos" w:cs="Helvetica"/>
          <w:u w:val="single"/>
        </w:rPr>
        <w:t>g</w:t>
      </w:r>
      <w:r w:rsidRPr="001F0145">
        <w:rPr>
          <w:rFonts w:ascii="Aptos" w:hAnsi="Aptos" w:cs="Helvetica"/>
          <w:u w:val="single"/>
        </w:rPr>
        <w:t xml:space="preserve">roups </w:t>
      </w:r>
    </w:p>
    <w:p w14:paraId="0847FE20" w14:textId="1B15A7F6" w:rsidR="00925A80" w:rsidRPr="001F0145" w:rsidRDefault="00925A80" w:rsidP="00581A5A">
      <w:pPr>
        <w:rPr>
          <w:rFonts w:ascii="Aptos" w:hAnsi="Aptos" w:cs="Helvetica"/>
        </w:rPr>
      </w:pPr>
    </w:p>
    <w:p w14:paraId="3C6F976D" w14:textId="62609A1D" w:rsidR="00925A80" w:rsidRPr="001F0145" w:rsidRDefault="003C13C8" w:rsidP="00581A5A">
      <w:pPr>
        <w:rPr>
          <w:rFonts w:ascii="Aptos" w:hAnsi="Aptos" w:cs="Helvetica"/>
        </w:rPr>
      </w:pPr>
      <w:r w:rsidRPr="001F0145">
        <w:rPr>
          <w:rFonts w:ascii="Aptos" w:hAnsi="Aptos" w:cs="Helvetica"/>
        </w:rPr>
        <w:t xml:space="preserve">ASFI identified the following key stakeholder groups in its mapping exercise: </w:t>
      </w:r>
    </w:p>
    <w:p w14:paraId="7370E71F" w14:textId="77777777" w:rsidR="003C13C8" w:rsidRPr="001F0145" w:rsidRDefault="003C13C8" w:rsidP="00581A5A">
      <w:pPr>
        <w:rPr>
          <w:rFonts w:ascii="Aptos" w:hAnsi="Aptos" w:cs="Helvetica"/>
        </w:rPr>
      </w:pPr>
    </w:p>
    <w:p w14:paraId="056E2F9C" w14:textId="025F7B27" w:rsidR="00842679" w:rsidRPr="001F0145" w:rsidRDefault="003C13C8" w:rsidP="00A1696B">
      <w:pPr>
        <w:pStyle w:val="ListParagraph"/>
        <w:numPr>
          <w:ilvl w:val="0"/>
          <w:numId w:val="5"/>
        </w:numPr>
        <w:rPr>
          <w:rFonts w:ascii="Aptos" w:hAnsi="Aptos" w:cs="Helvetica"/>
          <w:sz w:val="24"/>
          <w:szCs w:val="24"/>
        </w:rPr>
      </w:pPr>
      <w:r w:rsidRPr="001F0145">
        <w:rPr>
          <w:rFonts w:ascii="Aptos" w:hAnsi="Aptos" w:cs="Helvetica"/>
          <w:sz w:val="24"/>
          <w:szCs w:val="24"/>
        </w:rPr>
        <w:t>Council of Financial Regulators Climate Working Group</w:t>
      </w:r>
      <w:r w:rsidR="00FB0F38">
        <w:rPr>
          <w:rFonts w:ascii="Aptos" w:hAnsi="Aptos" w:cs="Helvetica"/>
          <w:sz w:val="24"/>
          <w:szCs w:val="24"/>
        </w:rPr>
        <w:t xml:space="preserve"> Taxonomy Subgroup</w:t>
      </w:r>
      <w:r w:rsidRPr="001F0145">
        <w:rPr>
          <w:rFonts w:ascii="Aptos" w:hAnsi="Aptos" w:cs="Helvetica"/>
          <w:sz w:val="24"/>
          <w:szCs w:val="24"/>
        </w:rPr>
        <w:t xml:space="preserve"> (CWG)</w:t>
      </w:r>
      <w:r w:rsidR="00842679" w:rsidRPr="001F0145">
        <w:rPr>
          <w:rFonts w:ascii="Aptos" w:hAnsi="Aptos" w:cs="Helvetica"/>
          <w:sz w:val="24"/>
          <w:szCs w:val="24"/>
        </w:rPr>
        <w:t xml:space="preserve"> </w:t>
      </w:r>
    </w:p>
    <w:p w14:paraId="7BE0AF35" w14:textId="37FD1221" w:rsidR="0097345E" w:rsidRPr="001F0145" w:rsidRDefault="003C13C8" w:rsidP="00A1696B">
      <w:pPr>
        <w:pStyle w:val="ListParagraph"/>
        <w:numPr>
          <w:ilvl w:val="0"/>
          <w:numId w:val="5"/>
        </w:numPr>
        <w:rPr>
          <w:rFonts w:ascii="Aptos" w:hAnsi="Aptos" w:cs="Helvetica"/>
          <w:sz w:val="24"/>
          <w:szCs w:val="24"/>
        </w:rPr>
      </w:pPr>
      <w:r w:rsidRPr="001F0145">
        <w:rPr>
          <w:rFonts w:ascii="Aptos" w:hAnsi="Aptos" w:cs="Helvetica"/>
          <w:sz w:val="24"/>
          <w:szCs w:val="24"/>
        </w:rPr>
        <w:t>Taxonomy Technical Expert Group (TTEG)</w:t>
      </w:r>
    </w:p>
    <w:p w14:paraId="2F93722D" w14:textId="01E4FFEC" w:rsidR="0097345E" w:rsidRPr="001F0145" w:rsidRDefault="003C13C8" w:rsidP="00A1696B">
      <w:pPr>
        <w:pStyle w:val="ListParagraph"/>
        <w:numPr>
          <w:ilvl w:val="0"/>
          <w:numId w:val="5"/>
        </w:numPr>
        <w:rPr>
          <w:rFonts w:ascii="Aptos" w:hAnsi="Aptos" w:cs="Helvetica"/>
          <w:sz w:val="24"/>
          <w:szCs w:val="24"/>
        </w:rPr>
      </w:pPr>
      <w:r w:rsidRPr="001F0145">
        <w:rPr>
          <w:rFonts w:ascii="Aptos" w:hAnsi="Aptos" w:cs="Helvetica"/>
          <w:sz w:val="24"/>
          <w:szCs w:val="24"/>
        </w:rPr>
        <w:t>Federal Government departments and agencies</w:t>
      </w:r>
    </w:p>
    <w:p w14:paraId="1879E207" w14:textId="7E3BA802" w:rsidR="0097345E" w:rsidRPr="001F0145" w:rsidRDefault="003C13C8" w:rsidP="00A1696B">
      <w:pPr>
        <w:pStyle w:val="ListParagraph"/>
        <w:numPr>
          <w:ilvl w:val="0"/>
          <w:numId w:val="5"/>
        </w:numPr>
        <w:rPr>
          <w:rFonts w:ascii="Aptos" w:hAnsi="Aptos" w:cs="Helvetica"/>
          <w:sz w:val="24"/>
          <w:szCs w:val="24"/>
        </w:rPr>
      </w:pPr>
      <w:r w:rsidRPr="001F0145">
        <w:rPr>
          <w:rFonts w:ascii="Aptos" w:hAnsi="Aptos" w:cs="Helvetica"/>
          <w:sz w:val="24"/>
          <w:szCs w:val="24"/>
        </w:rPr>
        <w:t>State treasuries</w:t>
      </w:r>
      <w:r w:rsidR="00FB0F38">
        <w:rPr>
          <w:rFonts w:ascii="Aptos" w:hAnsi="Aptos" w:cs="Helvetica"/>
          <w:sz w:val="24"/>
          <w:szCs w:val="24"/>
        </w:rPr>
        <w:t xml:space="preserve">, treasury corporations </w:t>
      </w:r>
      <w:r w:rsidRPr="001F0145">
        <w:rPr>
          <w:rFonts w:ascii="Aptos" w:hAnsi="Aptos" w:cs="Helvetica"/>
          <w:sz w:val="24"/>
          <w:szCs w:val="24"/>
        </w:rPr>
        <w:t>and other government agencies</w:t>
      </w:r>
    </w:p>
    <w:p w14:paraId="774FD2B6" w14:textId="718ADA10" w:rsidR="0097345E" w:rsidRPr="001F0145" w:rsidRDefault="003C13C8" w:rsidP="00A1696B">
      <w:pPr>
        <w:pStyle w:val="ListParagraph"/>
        <w:numPr>
          <w:ilvl w:val="0"/>
          <w:numId w:val="5"/>
        </w:numPr>
        <w:rPr>
          <w:rFonts w:ascii="Aptos" w:hAnsi="Aptos" w:cs="Helvetica"/>
          <w:sz w:val="24"/>
          <w:szCs w:val="24"/>
        </w:rPr>
      </w:pPr>
      <w:r w:rsidRPr="001F0145">
        <w:rPr>
          <w:rFonts w:ascii="Aptos" w:hAnsi="Aptos" w:cs="Helvetica"/>
          <w:sz w:val="24"/>
          <w:szCs w:val="24"/>
        </w:rPr>
        <w:t>Financial sector participants (including from wholesale, retail and investment banking, asset</w:t>
      </w:r>
      <w:r w:rsidR="0097345E" w:rsidRPr="001F0145">
        <w:rPr>
          <w:rFonts w:ascii="Aptos" w:hAnsi="Aptos" w:cs="Helvetica"/>
          <w:sz w:val="24"/>
          <w:szCs w:val="24"/>
        </w:rPr>
        <w:t xml:space="preserve"> </w:t>
      </w:r>
      <w:r w:rsidRPr="001F0145">
        <w:rPr>
          <w:rFonts w:ascii="Aptos" w:hAnsi="Aptos" w:cs="Helvetica"/>
          <w:sz w:val="24"/>
          <w:szCs w:val="24"/>
        </w:rPr>
        <w:t>owners and asset managers, insurance, private equity, reporting and assurance, credit rating agencies, ESG data providers and finance sector peak bodies)</w:t>
      </w:r>
    </w:p>
    <w:p w14:paraId="39E62D5E" w14:textId="21C73E8B" w:rsidR="0097345E" w:rsidRPr="001F0145" w:rsidRDefault="003C13C8" w:rsidP="00A1696B">
      <w:pPr>
        <w:pStyle w:val="ListParagraph"/>
        <w:numPr>
          <w:ilvl w:val="0"/>
          <w:numId w:val="5"/>
        </w:numPr>
        <w:rPr>
          <w:rFonts w:ascii="Aptos" w:hAnsi="Aptos" w:cs="Helvetica"/>
          <w:sz w:val="24"/>
          <w:szCs w:val="24"/>
        </w:rPr>
      </w:pPr>
      <w:r w:rsidRPr="001F0145">
        <w:rPr>
          <w:rFonts w:ascii="Aptos" w:hAnsi="Aptos" w:cs="Helvetica"/>
          <w:sz w:val="24"/>
          <w:szCs w:val="24"/>
        </w:rPr>
        <w:t xml:space="preserve">Real economy participants from all </w:t>
      </w:r>
      <w:r w:rsidR="0097345E" w:rsidRPr="001F0145">
        <w:rPr>
          <w:rFonts w:ascii="Aptos" w:hAnsi="Aptos" w:cs="Helvetica"/>
          <w:sz w:val="24"/>
          <w:szCs w:val="24"/>
        </w:rPr>
        <w:t>priority sectors,</w:t>
      </w:r>
      <w:r w:rsidRPr="001F0145">
        <w:rPr>
          <w:rFonts w:ascii="Aptos" w:hAnsi="Aptos" w:cs="Helvetica"/>
          <w:sz w:val="24"/>
          <w:szCs w:val="24"/>
        </w:rPr>
        <w:t xml:space="preserve"> </w:t>
      </w:r>
      <w:r w:rsidR="0097345E" w:rsidRPr="001F0145">
        <w:rPr>
          <w:rFonts w:ascii="Aptos" w:hAnsi="Aptos" w:cs="Helvetica"/>
          <w:sz w:val="24"/>
          <w:szCs w:val="24"/>
        </w:rPr>
        <w:t xml:space="preserve">including </w:t>
      </w:r>
      <w:r w:rsidRPr="001F0145">
        <w:rPr>
          <w:rFonts w:ascii="Aptos" w:hAnsi="Aptos" w:cs="Helvetica"/>
          <w:sz w:val="24"/>
          <w:szCs w:val="24"/>
        </w:rPr>
        <w:t>industry peak bod</w:t>
      </w:r>
      <w:r w:rsidR="0074633F" w:rsidRPr="001F0145">
        <w:rPr>
          <w:rFonts w:ascii="Aptos" w:hAnsi="Aptos" w:cs="Helvetica"/>
          <w:sz w:val="24"/>
          <w:szCs w:val="24"/>
        </w:rPr>
        <w:t xml:space="preserve">ies </w:t>
      </w:r>
    </w:p>
    <w:p w14:paraId="4921798D" w14:textId="77777777" w:rsidR="005D1482" w:rsidRPr="001F0145" w:rsidRDefault="003C13C8" w:rsidP="00A1696B">
      <w:pPr>
        <w:pStyle w:val="ListParagraph"/>
        <w:numPr>
          <w:ilvl w:val="0"/>
          <w:numId w:val="5"/>
        </w:numPr>
        <w:rPr>
          <w:rFonts w:ascii="Aptos" w:hAnsi="Aptos" w:cs="Helvetica"/>
          <w:sz w:val="24"/>
          <w:szCs w:val="24"/>
        </w:rPr>
      </w:pPr>
      <w:r w:rsidRPr="001F0145">
        <w:rPr>
          <w:rFonts w:ascii="Aptos" w:hAnsi="Aptos" w:cs="Helvetica"/>
          <w:sz w:val="24"/>
          <w:szCs w:val="24"/>
        </w:rPr>
        <w:t>Non-government organisations, including environmental NGOs</w:t>
      </w:r>
    </w:p>
    <w:p w14:paraId="29D47100" w14:textId="3A4A22AF" w:rsidR="005C0D1E" w:rsidRPr="001F0145" w:rsidRDefault="003C13C8" w:rsidP="00A1696B">
      <w:pPr>
        <w:pStyle w:val="ListParagraph"/>
        <w:numPr>
          <w:ilvl w:val="0"/>
          <w:numId w:val="5"/>
        </w:numPr>
        <w:rPr>
          <w:rFonts w:ascii="Aptos" w:hAnsi="Aptos" w:cs="Helvetica"/>
          <w:sz w:val="24"/>
          <w:szCs w:val="24"/>
        </w:rPr>
      </w:pPr>
      <w:r w:rsidRPr="001F0145">
        <w:rPr>
          <w:rFonts w:ascii="Aptos" w:hAnsi="Aptos" w:cs="Helvetica"/>
          <w:sz w:val="24"/>
          <w:szCs w:val="24"/>
        </w:rPr>
        <w:t xml:space="preserve">Scientific and technical experts, including from universities and thinktanks  </w:t>
      </w:r>
    </w:p>
    <w:p w14:paraId="1D22BCC5" w14:textId="76866BEF" w:rsidR="00755268" w:rsidRPr="001F0145" w:rsidRDefault="005B367B" w:rsidP="00581A5A">
      <w:pPr>
        <w:rPr>
          <w:rFonts w:ascii="Aptos" w:hAnsi="Aptos" w:cs="Helvetica"/>
          <w:u w:val="single"/>
        </w:rPr>
      </w:pPr>
      <w:r>
        <w:rPr>
          <w:rFonts w:ascii="Aptos" w:hAnsi="Aptos" w:cs="Helvetica"/>
          <w:u w:val="single"/>
        </w:rPr>
        <w:lastRenderedPageBreak/>
        <w:t>S</w:t>
      </w:r>
      <w:r w:rsidR="00755268" w:rsidRPr="001F0145">
        <w:rPr>
          <w:rFonts w:ascii="Aptos" w:hAnsi="Aptos" w:cs="Helvetica"/>
          <w:u w:val="single"/>
        </w:rPr>
        <w:t xml:space="preserve">takeholder </w:t>
      </w:r>
      <w:r w:rsidR="005D1482" w:rsidRPr="001F0145">
        <w:rPr>
          <w:rFonts w:ascii="Aptos" w:hAnsi="Aptos" w:cs="Helvetica"/>
          <w:u w:val="single"/>
        </w:rPr>
        <w:t>e</w:t>
      </w:r>
      <w:r w:rsidR="00755268" w:rsidRPr="001F0145">
        <w:rPr>
          <w:rFonts w:ascii="Aptos" w:hAnsi="Aptos" w:cs="Helvetica"/>
          <w:u w:val="single"/>
        </w:rPr>
        <w:t>ngagement</w:t>
      </w:r>
      <w:r>
        <w:rPr>
          <w:rFonts w:ascii="Aptos" w:hAnsi="Aptos" w:cs="Helvetica"/>
          <w:u w:val="single"/>
        </w:rPr>
        <w:t xml:space="preserve"> snapshot</w:t>
      </w:r>
      <w:r w:rsidR="00A43C81">
        <w:rPr>
          <w:rFonts w:ascii="Aptos" w:hAnsi="Aptos" w:cs="Helvetica"/>
          <w:u w:val="single"/>
        </w:rPr>
        <w:t>:</w:t>
      </w:r>
      <w:r w:rsidR="005D1482" w:rsidRPr="001F0145">
        <w:rPr>
          <w:rFonts w:ascii="Aptos" w:hAnsi="Aptos" w:cs="Helvetica"/>
          <w:u w:val="single"/>
        </w:rPr>
        <w:t xml:space="preserve"> </w:t>
      </w:r>
      <w:r w:rsidR="00A43C81">
        <w:rPr>
          <w:rFonts w:ascii="Aptos" w:hAnsi="Aptos" w:cs="Helvetica"/>
          <w:u w:val="single"/>
        </w:rPr>
        <w:t xml:space="preserve">1 </w:t>
      </w:r>
      <w:r w:rsidR="005D1482" w:rsidRPr="001F0145">
        <w:rPr>
          <w:rFonts w:ascii="Aptos" w:hAnsi="Aptos" w:cs="Helvetica"/>
          <w:u w:val="single"/>
        </w:rPr>
        <w:t xml:space="preserve">July </w:t>
      </w:r>
      <w:r w:rsidR="00A43C81">
        <w:rPr>
          <w:rFonts w:ascii="Aptos" w:hAnsi="Aptos" w:cs="Helvetica"/>
          <w:u w:val="single"/>
        </w:rPr>
        <w:t>2023 – 30 June 2024</w:t>
      </w:r>
    </w:p>
    <w:p w14:paraId="45D3EC20" w14:textId="77777777" w:rsidR="00581A5A" w:rsidRPr="001F0145" w:rsidRDefault="00581A5A" w:rsidP="00581A5A">
      <w:pPr>
        <w:rPr>
          <w:rFonts w:ascii="Aptos" w:hAnsi="Aptos" w:cs="Helvetica"/>
        </w:rPr>
      </w:pPr>
    </w:p>
    <w:tbl>
      <w:tblPr>
        <w:tblStyle w:val="TableGrid"/>
        <w:tblW w:w="0" w:type="auto"/>
        <w:tblLook w:val="04A0" w:firstRow="1" w:lastRow="0" w:firstColumn="1" w:lastColumn="0" w:noHBand="0" w:noVBand="1"/>
      </w:tblPr>
      <w:tblGrid>
        <w:gridCol w:w="1413"/>
        <w:gridCol w:w="8210"/>
      </w:tblGrid>
      <w:tr w:rsidR="00C1755A" w:rsidRPr="001F0145" w14:paraId="59BCFCFD" w14:textId="77777777" w:rsidTr="00557E56">
        <w:tc>
          <w:tcPr>
            <w:tcW w:w="9623" w:type="dxa"/>
            <w:gridSpan w:val="2"/>
            <w:shd w:val="clear" w:color="auto" w:fill="0D4E80"/>
          </w:tcPr>
          <w:p w14:paraId="5CDBD35F" w14:textId="5C547685" w:rsidR="00F778B6" w:rsidRPr="001F0145" w:rsidRDefault="00F778B6" w:rsidP="009B16AA">
            <w:pPr>
              <w:pStyle w:val="bulletlist"/>
              <w:numPr>
                <w:ilvl w:val="0"/>
                <w:numId w:val="0"/>
              </w:numPr>
              <w:rPr>
                <w:rFonts w:ascii="Aptos" w:hAnsi="Aptos" w:cs="Helvetica"/>
                <w:i/>
                <w:sz w:val="24"/>
              </w:rPr>
            </w:pPr>
            <w:r w:rsidRPr="001F0145">
              <w:rPr>
                <w:rFonts w:ascii="Aptos" w:hAnsi="Aptos" w:cs="Helvetica"/>
                <w:i/>
                <w:color w:val="FFFFFF" w:themeColor="background1"/>
                <w:sz w:val="24"/>
              </w:rPr>
              <w:t xml:space="preserve">Council of Financial Regulators Climate Working Group </w:t>
            </w:r>
            <w:r w:rsidR="000A6BC5" w:rsidRPr="001F0145">
              <w:rPr>
                <w:rFonts w:ascii="Aptos" w:hAnsi="Aptos" w:cs="Helvetica"/>
                <w:i/>
                <w:color w:val="FFFFFF" w:themeColor="background1"/>
                <w:sz w:val="24"/>
              </w:rPr>
              <w:t>Taxonomy Subgroup (CWG)</w:t>
            </w:r>
          </w:p>
        </w:tc>
      </w:tr>
      <w:tr w:rsidR="0007052E" w:rsidRPr="001F0145" w14:paraId="477436FB" w14:textId="551867A5" w:rsidTr="00894EED">
        <w:trPr>
          <w:trHeight w:val="1072"/>
        </w:trPr>
        <w:tc>
          <w:tcPr>
            <w:tcW w:w="1413" w:type="dxa"/>
          </w:tcPr>
          <w:p w14:paraId="091D6339" w14:textId="63501C97" w:rsidR="0007052E" w:rsidRPr="001F0145" w:rsidRDefault="000B5680" w:rsidP="009B16AA">
            <w:pPr>
              <w:pStyle w:val="bulletlist"/>
              <w:numPr>
                <w:ilvl w:val="0"/>
                <w:numId w:val="0"/>
              </w:numPr>
              <w:rPr>
                <w:rFonts w:ascii="Aptos" w:hAnsi="Aptos" w:cs="Helvetica"/>
                <w:i/>
                <w:sz w:val="24"/>
              </w:rPr>
            </w:pPr>
            <w:r w:rsidRPr="001F0145">
              <w:rPr>
                <w:rFonts w:ascii="Aptos" w:hAnsi="Aptos" w:cs="Helvetica"/>
                <w:i/>
                <w:sz w:val="24"/>
              </w:rPr>
              <w:t xml:space="preserve">Who </w:t>
            </w:r>
          </w:p>
        </w:tc>
        <w:tc>
          <w:tcPr>
            <w:tcW w:w="8210" w:type="dxa"/>
          </w:tcPr>
          <w:p w14:paraId="2AC652F8" w14:textId="7CD78896" w:rsidR="00F778B6" w:rsidRPr="001F0145" w:rsidRDefault="00894EED" w:rsidP="00894EED">
            <w:pPr>
              <w:rPr>
                <w:rFonts w:ascii="Aptos" w:hAnsi="Aptos" w:cs="Helvetica"/>
              </w:rPr>
            </w:pPr>
            <w:r>
              <w:rPr>
                <w:rFonts w:ascii="Aptos" w:hAnsi="Aptos" w:cs="Helvetica"/>
              </w:rPr>
              <w:t xml:space="preserve">Representatives from the Department of the </w:t>
            </w:r>
            <w:r w:rsidR="00A13F70" w:rsidRPr="00894EED">
              <w:rPr>
                <w:rFonts w:ascii="Aptos" w:hAnsi="Aptos" w:cs="Helvetica"/>
              </w:rPr>
              <w:t>Treasury</w:t>
            </w:r>
            <w:r w:rsidR="00AE1BBF">
              <w:rPr>
                <w:rFonts w:ascii="Aptos" w:hAnsi="Aptos" w:cs="Helvetica"/>
              </w:rPr>
              <w:t xml:space="preserve"> (Treasury)</w:t>
            </w:r>
            <w:r>
              <w:rPr>
                <w:rFonts w:ascii="Aptos" w:hAnsi="Aptos" w:cs="Helvetica"/>
              </w:rPr>
              <w:t xml:space="preserve">; </w:t>
            </w:r>
            <w:r w:rsidR="00A30758" w:rsidRPr="00894EED">
              <w:rPr>
                <w:rFonts w:ascii="Aptos" w:hAnsi="Aptos" w:cs="Helvetica"/>
              </w:rPr>
              <w:t>Australian Prudential Regulation Authority</w:t>
            </w:r>
            <w:r>
              <w:rPr>
                <w:rFonts w:ascii="Aptos" w:hAnsi="Aptos" w:cs="Helvetica"/>
              </w:rPr>
              <w:t xml:space="preserve">; </w:t>
            </w:r>
            <w:r w:rsidR="00B91ABE" w:rsidRPr="00894EED">
              <w:rPr>
                <w:rFonts w:ascii="Aptos" w:hAnsi="Aptos" w:cs="Helvetica"/>
              </w:rPr>
              <w:t>Reserve Bank of Australia</w:t>
            </w:r>
            <w:r>
              <w:rPr>
                <w:rFonts w:ascii="Aptos" w:hAnsi="Aptos" w:cs="Helvetica"/>
                <w:lang w:val="en-AU"/>
              </w:rPr>
              <w:t>; and</w:t>
            </w:r>
            <w:r w:rsidR="00B54186" w:rsidRPr="001F0145">
              <w:rPr>
                <w:rFonts w:ascii="Aptos" w:hAnsi="Aptos" w:cs="Helvetica"/>
              </w:rPr>
              <w:t xml:space="preserve"> Australian Securities and Investments Commission</w:t>
            </w:r>
          </w:p>
        </w:tc>
      </w:tr>
      <w:tr w:rsidR="0007052E" w:rsidRPr="001F0145" w14:paraId="5DE38262" w14:textId="7EF1733E" w:rsidTr="009F1672">
        <w:trPr>
          <w:trHeight w:val="1731"/>
        </w:trPr>
        <w:tc>
          <w:tcPr>
            <w:tcW w:w="1413" w:type="dxa"/>
          </w:tcPr>
          <w:p w14:paraId="2B00EF27" w14:textId="1365BF46" w:rsidR="0098360D" w:rsidRPr="001F0145" w:rsidRDefault="000B5680" w:rsidP="009B16AA">
            <w:pPr>
              <w:pStyle w:val="bulletlist"/>
              <w:numPr>
                <w:ilvl w:val="0"/>
                <w:numId w:val="0"/>
              </w:numPr>
              <w:rPr>
                <w:rFonts w:ascii="Aptos" w:hAnsi="Aptos" w:cs="Helvetica"/>
                <w:i/>
                <w:sz w:val="24"/>
              </w:rPr>
            </w:pPr>
            <w:r w:rsidRPr="001F0145">
              <w:rPr>
                <w:rFonts w:ascii="Aptos" w:hAnsi="Aptos" w:cs="Helvetica"/>
                <w:i/>
                <w:sz w:val="24"/>
              </w:rPr>
              <w:t xml:space="preserve">What </w:t>
            </w:r>
          </w:p>
        </w:tc>
        <w:tc>
          <w:tcPr>
            <w:tcW w:w="8210" w:type="dxa"/>
          </w:tcPr>
          <w:p w14:paraId="6F7EBBA0" w14:textId="7EF220ED" w:rsidR="000D203F" w:rsidRPr="001F0145" w:rsidRDefault="00940842" w:rsidP="005B4BD4">
            <w:pPr>
              <w:spacing w:after="240"/>
              <w:rPr>
                <w:rFonts w:ascii="Aptos" w:hAnsi="Aptos" w:cs="Helvetica"/>
              </w:rPr>
            </w:pPr>
            <w:r w:rsidRPr="001F0145">
              <w:rPr>
                <w:rFonts w:ascii="Aptos" w:hAnsi="Aptos" w:cs="Helvetica"/>
              </w:rPr>
              <w:t xml:space="preserve">The CWG </w:t>
            </w:r>
            <w:r w:rsidR="00AE1BBF">
              <w:rPr>
                <w:rFonts w:ascii="Aptos" w:hAnsi="Aptos" w:cs="Helvetica"/>
              </w:rPr>
              <w:t xml:space="preserve">provides governance </w:t>
            </w:r>
            <w:r w:rsidR="000D203F" w:rsidRPr="001F0145">
              <w:rPr>
                <w:rFonts w:ascii="Aptos" w:hAnsi="Aptos" w:cs="Helvetica"/>
              </w:rPr>
              <w:t>overs</w:t>
            </w:r>
            <w:r w:rsidR="00B853CB">
              <w:rPr>
                <w:rFonts w:ascii="Aptos" w:hAnsi="Aptos" w:cs="Helvetica"/>
              </w:rPr>
              <w:t>ight to</w:t>
            </w:r>
            <w:r w:rsidR="000D203F" w:rsidRPr="001F0145">
              <w:rPr>
                <w:rFonts w:ascii="Aptos" w:hAnsi="Aptos" w:cs="Helvetica"/>
              </w:rPr>
              <w:t xml:space="preserve"> the</w:t>
            </w:r>
            <w:r w:rsidRPr="001F0145">
              <w:rPr>
                <w:rFonts w:ascii="Aptos" w:hAnsi="Aptos" w:cs="Helvetica"/>
              </w:rPr>
              <w:t xml:space="preserve"> development of the Australian </w:t>
            </w:r>
            <w:r w:rsidR="000A6BC5" w:rsidRPr="001F0145">
              <w:rPr>
                <w:rFonts w:ascii="Aptos" w:hAnsi="Aptos" w:cs="Helvetica"/>
              </w:rPr>
              <w:t>t</w:t>
            </w:r>
            <w:r w:rsidRPr="001F0145">
              <w:rPr>
                <w:rFonts w:ascii="Aptos" w:hAnsi="Aptos" w:cs="Helvetica"/>
              </w:rPr>
              <w:t>axonomy</w:t>
            </w:r>
            <w:r w:rsidR="000D203F" w:rsidRPr="001F0145">
              <w:rPr>
                <w:rFonts w:ascii="Aptos" w:hAnsi="Aptos" w:cs="Helvetica"/>
              </w:rPr>
              <w:t xml:space="preserve">. Led by Treasury, the CWG </w:t>
            </w:r>
            <w:r w:rsidR="000A2F25" w:rsidRPr="001F0145">
              <w:rPr>
                <w:rFonts w:ascii="Aptos" w:hAnsi="Aptos" w:cs="Helvetica"/>
              </w:rPr>
              <w:t>considers</w:t>
            </w:r>
            <w:r w:rsidRPr="001F0145">
              <w:rPr>
                <w:rFonts w:ascii="Aptos" w:hAnsi="Aptos" w:cs="Helvetica"/>
              </w:rPr>
              <w:t xml:space="preserve"> products endorsed by the TTEG</w:t>
            </w:r>
            <w:r w:rsidR="000A2F25" w:rsidRPr="001F0145">
              <w:rPr>
                <w:rFonts w:ascii="Aptos" w:hAnsi="Aptos" w:cs="Helvetica"/>
              </w:rPr>
              <w:t xml:space="preserve"> and may provide feedback through</w:t>
            </w:r>
            <w:r w:rsidR="003D501C" w:rsidRPr="001F0145">
              <w:rPr>
                <w:rFonts w:ascii="Aptos" w:hAnsi="Aptos" w:cs="Helvetica"/>
              </w:rPr>
              <w:t xml:space="preserve"> ASFI to </w:t>
            </w:r>
            <w:r w:rsidR="000A2F25" w:rsidRPr="001F0145">
              <w:rPr>
                <w:rFonts w:ascii="Aptos" w:hAnsi="Aptos" w:cs="Helvetica"/>
              </w:rPr>
              <w:t xml:space="preserve">facilitate alignment with the Government’s key sustainable finance policy </w:t>
            </w:r>
            <w:r w:rsidR="00AE776E" w:rsidRPr="001F0145">
              <w:rPr>
                <w:rFonts w:ascii="Aptos" w:hAnsi="Aptos" w:cs="Helvetica"/>
              </w:rPr>
              <w:t xml:space="preserve">objectives and wider market and regulatory developments in sustainable finance. </w:t>
            </w:r>
            <w:r w:rsidR="00E27F87" w:rsidRPr="001F0145">
              <w:rPr>
                <w:rFonts w:ascii="Aptos" w:hAnsi="Aptos" w:cs="Helvetica"/>
              </w:rPr>
              <w:t>ASFI</w:t>
            </w:r>
            <w:r w:rsidR="00AE776E" w:rsidRPr="001F0145">
              <w:rPr>
                <w:rFonts w:ascii="Aptos" w:hAnsi="Aptos" w:cs="Helvetica"/>
              </w:rPr>
              <w:t xml:space="preserve"> and the CWG’s engagement</w:t>
            </w:r>
            <w:r w:rsidR="00E27F87" w:rsidRPr="001F0145">
              <w:rPr>
                <w:rFonts w:ascii="Aptos" w:hAnsi="Aptos" w:cs="Helvetica"/>
              </w:rPr>
              <w:t xml:space="preserve"> </w:t>
            </w:r>
            <w:r w:rsidR="00C36CCB" w:rsidRPr="001F0145">
              <w:rPr>
                <w:rFonts w:ascii="Aptos" w:hAnsi="Aptos" w:cs="Helvetica"/>
              </w:rPr>
              <w:t xml:space="preserve">is </w:t>
            </w:r>
            <w:r w:rsidR="00AE776E" w:rsidRPr="001F0145">
              <w:rPr>
                <w:rFonts w:ascii="Aptos" w:hAnsi="Aptos" w:cs="Helvetica"/>
              </w:rPr>
              <w:t>governed</w:t>
            </w:r>
            <w:r w:rsidR="00F778B6" w:rsidRPr="001F0145">
              <w:rPr>
                <w:rFonts w:ascii="Aptos" w:hAnsi="Aptos" w:cs="Helvetica"/>
              </w:rPr>
              <w:t xml:space="preserve"> by the ASFI-CWG Terms of Reference</w:t>
            </w:r>
            <w:r w:rsidR="00C95EEB">
              <w:rPr>
                <w:rFonts w:ascii="Aptos" w:hAnsi="Aptos" w:cs="Helvetica"/>
              </w:rPr>
              <w:t xml:space="preserve">, available on ASFI’s website </w:t>
            </w:r>
            <w:hyperlink r:id="rId17" w:history="1">
              <w:r w:rsidR="00C95EEB" w:rsidRPr="005A232A">
                <w:rPr>
                  <w:rStyle w:val="Hyperlink"/>
                  <w:rFonts w:ascii="Aptos" w:hAnsi="Aptos" w:cs="Helvetica"/>
                </w:rPr>
                <w:t>here</w:t>
              </w:r>
            </w:hyperlink>
            <w:r w:rsidR="000A0090" w:rsidRPr="001F0145">
              <w:rPr>
                <w:rFonts w:ascii="Aptos" w:hAnsi="Aptos" w:cs="Helvetica"/>
              </w:rPr>
              <w:t>.</w:t>
            </w:r>
          </w:p>
        </w:tc>
      </w:tr>
      <w:tr w:rsidR="006D663B" w:rsidRPr="001F0145" w14:paraId="6733E788" w14:textId="45DC5AFC" w:rsidTr="009F1672">
        <w:trPr>
          <w:trHeight w:val="706"/>
        </w:trPr>
        <w:tc>
          <w:tcPr>
            <w:tcW w:w="1413" w:type="dxa"/>
            <w:shd w:val="clear" w:color="auto" w:fill="auto"/>
          </w:tcPr>
          <w:p w14:paraId="3CE2E339" w14:textId="4167A1EB" w:rsidR="006D663B" w:rsidRPr="001F0145" w:rsidRDefault="000B5680" w:rsidP="009B16AA">
            <w:pPr>
              <w:pStyle w:val="bulletlist"/>
              <w:numPr>
                <w:ilvl w:val="0"/>
                <w:numId w:val="0"/>
              </w:numPr>
              <w:rPr>
                <w:rFonts w:ascii="Aptos" w:hAnsi="Aptos" w:cs="Helvetica"/>
                <w:i/>
                <w:sz w:val="24"/>
              </w:rPr>
            </w:pPr>
            <w:r w:rsidRPr="001F0145">
              <w:rPr>
                <w:rFonts w:ascii="Aptos" w:hAnsi="Aptos" w:cs="Helvetica"/>
                <w:i/>
                <w:sz w:val="24"/>
              </w:rPr>
              <w:t>When</w:t>
            </w:r>
            <w:r w:rsidR="00C22EA3" w:rsidRPr="001F0145">
              <w:rPr>
                <w:rFonts w:ascii="Aptos" w:hAnsi="Aptos" w:cs="Helvetica"/>
                <w:i/>
                <w:sz w:val="24"/>
              </w:rPr>
              <w:t xml:space="preserve"> </w:t>
            </w:r>
          </w:p>
        </w:tc>
        <w:tc>
          <w:tcPr>
            <w:tcW w:w="8210" w:type="dxa"/>
            <w:shd w:val="clear" w:color="auto" w:fill="auto"/>
          </w:tcPr>
          <w:p w14:paraId="4C56C426" w14:textId="02413CD5" w:rsidR="00C57D02" w:rsidRPr="001F0145" w:rsidRDefault="00AE776E" w:rsidP="005B4BD4">
            <w:pPr>
              <w:spacing w:after="240"/>
              <w:rPr>
                <w:rFonts w:ascii="Aptos" w:hAnsi="Aptos" w:cs="Helvetica"/>
              </w:rPr>
            </w:pPr>
            <w:r w:rsidRPr="001F0145">
              <w:rPr>
                <w:rFonts w:ascii="Aptos" w:hAnsi="Aptos" w:cs="Helvetica"/>
              </w:rPr>
              <w:t>ASFI and the</w:t>
            </w:r>
            <w:r w:rsidR="00F778B6" w:rsidRPr="001F0145">
              <w:rPr>
                <w:rFonts w:ascii="Aptos" w:hAnsi="Aptos" w:cs="Helvetica"/>
              </w:rPr>
              <w:t xml:space="preserve"> CWG ha</w:t>
            </w:r>
            <w:r w:rsidRPr="001F0145">
              <w:rPr>
                <w:rFonts w:ascii="Aptos" w:hAnsi="Aptos" w:cs="Helvetica"/>
              </w:rPr>
              <w:t>ve</w:t>
            </w:r>
            <w:r w:rsidR="00F778B6" w:rsidRPr="001F0145">
              <w:rPr>
                <w:rFonts w:ascii="Aptos" w:hAnsi="Aptos" w:cs="Helvetica"/>
              </w:rPr>
              <w:t xml:space="preserve"> met </w:t>
            </w:r>
            <w:r w:rsidR="00B418FF">
              <w:rPr>
                <w:rFonts w:ascii="Aptos" w:hAnsi="Aptos" w:cs="Helvetica"/>
              </w:rPr>
              <w:t>approximately</w:t>
            </w:r>
            <w:r w:rsidR="00964B2E" w:rsidRPr="001F0145">
              <w:rPr>
                <w:rFonts w:ascii="Aptos" w:hAnsi="Aptos" w:cs="Helvetica"/>
              </w:rPr>
              <w:t xml:space="preserve"> every </w:t>
            </w:r>
            <w:r w:rsidR="00F00A4C" w:rsidRPr="001F0145">
              <w:rPr>
                <w:rFonts w:ascii="Aptos" w:hAnsi="Aptos" w:cs="Helvetica"/>
              </w:rPr>
              <w:t>eight weeks since the project commenced:</w:t>
            </w:r>
            <w:r w:rsidR="00B749C6">
              <w:rPr>
                <w:rFonts w:ascii="Aptos" w:hAnsi="Aptos" w:cs="Helvetica"/>
              </w:rPr>
              <w:t xml:space="preserve"> </w:t>
            </w:r>
            <w:r w:rsidR="00964B2E" w:rsidRPr="00B749C6">
              <w:rPr>
                <w:rFonts w:ascii="Aptos" w:hAnsi="Aptos" w:cs="Helvetica"/>
              </w:rPr>
              <w:t>27 July</w:t>
            </w:r>
            <w:r w:rsidR="009859B9">
              <w:rPr>
                <w:rFonts w:ascii="Aptos" w:hAnsi="Aptos" w:cs="Helvetica"/>
              </w:rPr>
              <w:t xml:space="preserve"> 2023;</w:t>
            </w:r>
            <w:r w:rsidR="00964B2E" w:rsidRPr="00B749C6">
              <w:rPr>
                <w:rFonts w:ascii="Aptos" w:hAnsi="Aptos" w:cs="Helvetica"/>
              </w:rPr>
              <w:t xml:space="preserve"> 31 August</w:t>
            </w:r>
            <w:r w:rsidR="009859B9">
              <w:rPr>
                <w:rFonts w:ascii="Aptos" w:hAnsi="Aptos" w:cs="Helvetica"/>
              </w:rPr>
              <w:t xml:space="preserve"> 2023</w:t>
            </w:r>
            <w:r w:rsidR="00C57D02" w:rsidRPr="00B749C6">
              <w:rPr>
                <w:rFonts w:ascii="Aptos" w:hAnsi="Aptos" w:cs="Helvetica"/>
              </w:rPr>
              <w:t xml:space="preserve">; </w:t>
            </w:r>
            <w:r w:rsidR="00964B2E" w:rsidRPr="00B749C6">
              <w:rPr>
                <w:rFonts w:ascii="Aptos" w:hAnsi="Aptos" w:cs="Helvetica"/>
              </w:rPr>
              <w:t>19 October</w:t>
            </w:r>
            <w:r w:rsidR="009859B9">
              <w:rPr>
                <w:rFonts w:ascii="Aptos" w:hAnsi="Aptos" w:cs="Helvetica"/>
              </w:rPr>
              <w:t xml:space="preserve"> 2023</w:t>
            </w:r>
            <w:r w:rsidR="00C57D02" w:rsidRPr="00B749C6">
              <w:rPr>
                <w:rFonts w:ascii="Aptos" w:hAnsi="Aptos" w:cs="Helvetica"/>
              </w:rPr>
              <w:t xml:space="preserve">; </w:t>
            </w:r>
            <w:r w:rsidR="00B749C6" w:rsidRPr="00B749C6">
              <w:rPr>
                <w:rFonts w:ascii="Aptos" w:hAnsi="Aptos" w:cs="Helvetica"/>
              </w:rPr>
              <w:t>15 December</w:t>
            </w:r>
            <w:r w:rsidR="009859B9">
              <w:rPr>
                <w:rFonts w:ascii="Aptos" w:hAnsi="Aptos" w:cs="Helvetica"/>
              </w:rPr>
              <w:t xml:space="preserve"> 2023</w:t>
            </w:r>
            <w:r w:rsidR="00595565">
              <w:rPr>
                <w:rFonts w:ascii="Aptos" w:hAnsi="Aptos" w:cs="Helvetica"/>
              </w:rPr>
              <w:t>; 7 March</w:t>
            </w:r>
            <w:r w:rsidR="003B5C7C">
              <w:rPr>
                <w:rFonts w:ascii="Aptos" w:hAnsi="Aptos" w:cs="Helvetica"/>
              </w:rPr>
              <w:t xml:space="preserve"> 2024</w:t>
            </w:r>
            <w:r w:rsidR="00595565">
              <w:rPr>
                <w:rFonts w:ascii="Aptos" w:hAnsi="Aptos" w:cs="Helvetica"/>
              </w:rPr>
              <w:t xml:space="preserve">; </w:t>
            </w:r>
            <w:r w:rsidR="0042411C">
              <w:rPr>
                <w:rFonts w:ascii="Aptos" w:hAnsi="Aptos" w:cs="Helvetica"/>
              </w:rPr>
              <w:t>16 May</w:t>
            </w:r>
            <w:r w:rsidR="003B5C7C">
              <w:rPr>
                <w:rFonts w:ascii="Aptos" w:hAnsi="Aptos" w:cs="Helvetica"/>
              </w:rPr>
              <w:t xml:space="preserve"> 2024</w:t>
            </w:r>
            <w:r w:rsidR="0042411C">
              <w:rPr>
                <w:rFonts w:ascii="Aptos" w:hAnsi="Aptos" w:cs="Helvetica"/>
              </w:rPr>
              <w:t>; 23 May</w:t>
            </w:r>
            <w:r w:rsidR="003B5C7C">
              <w:rPr>
                <w:rFonts w:ascii="Aptos" w:hAnsi="Aptos" w:cs="Helvetica"/>
              </w:rPr>
              <w:t xml:space="preserve"> 2024;</w:t>
            </w:r>
            <w:r w:rsidR="0042411C">
              <w:rPr>
                <w:rFonts w:ascii="Aptos" w:hAnsi="Aptos" w:cs="Helvetica"/>
              </w:rPr>
              <w:t xml:space="preserve"> and 28 June</w:t>
            </w:r>
            <w:r w:rsidR="003B5C7C">
              <w:rPr>
                <w:rFonts w:ascii="Aptos" w:hAnsi="Aptos" w:cs="Helvetica"/>
              </w:rPr>
              <w:t xml:space="preserve"> 2024</w:t>
            </w:r>
            <w:r w:rsidR="0042411C">
              <w:rPr>
                <w:rFonts w:ascii="Aptos" w:hAnsi="Aptos" w:cs="Helvetica"/>
              </w:rPr>
              <w:t xml:space="preserve">. </w:t>
            </w:r>
          </w:p>
        </w:tc>
      </w:tr>
      <w:tr w:rsidR="003512D1" w:rsidRPr="001F0145" w14:paraId="4FCC5535" w14:textId="77777777" w:rsidTr="007F5F81">
        <w:trPr>
          <w:trHeight w:val="699"/>
        </w:trPr>
        <w:tc>
          <w:tcPr>
            <w:tcW w:w="1413" w:type="dxa"/>
            <w:shd w:val="clear" w:color="auto" w:fill="auto"/>
          </w:tcPr>
          <w:p w14:paraId="540A6357" w14:textId="08E89488" w:rsidR="003512D1" w:rsidRPr="001F0145" w:rsidRDefault="003512D1" w:rsidP="009B16AA">
            <w:pPr>
              <w:pStyle w:val="bulletlist"/>
              <w:numPr>
                <w:ilvl w:val="0"/>
                <w:numId w:val="0"/>
              </w:numPr>
              <w:rPr>
                <w:rFonts w:ascii="Aptos" w:hAnsi="Aptos" w:cs="Helvetica"/>
                <w:i/>
                <w:sz w:val="24"/>
              </w:rPr>
            </w:pPr>
            <w:r w:rsidRPr="001F0145">
              <w:rPr>
                <w:rFonts w:ascii="Aptos" w:hAnsi="Aptos" w:cs="Helvetica"/>
                <w:i/>
                <w:sz w:val="24"/>
              </w:rPr>
              <w:t>Key Insights</w:t>
            </w:r>
          </w:p>
        </w:tc>
        <w:tc>
          <w:tcPr>
            <w:tcW w:w="8210" w:type="dxa"/>
            <w:shd w:val="clear" w:color="auto" w:fill="auto"/>
          </w:tcPr>
          <w:p w14:paraId="6E2AF12A" w14:textId="3C5C14F5" w:rsidR="003512D1" w:rsidRPr="001F0145" w:rsidRDefault="00B418FF" w:rsidP="00A1696B">
            <w:pPr>
              <w:pStyle w:val="ListParagraph"/>
              <w:numPr>
                <w:ilvl w:val="0"/>
                <w:numId w:val="8"/>
              </w:numPr>
              <w:rPr>
                <w:rFonts w:ascii="Aptos" w:hAnsi="Aptos" w:cs="Helvetica"/>
                <w:sz w:val="24"/>
                <w:szCs w:val="24"/>
              </w:rPr>
            </w:pPr>
            <w:r>
              <w:rPr>
                <w:rFonts w:ascii="Aptos" w:hAnsi="Aptos" w:cs="Helvetica"/>
                <w:sz w:val="24"/>
                <w:szCs w:val="24"/>
                <w:u w:val="single"/>
              </w:rPr>
              <w:t xml:space="preserve">27 </w:t>
            </w:r>
            <w:r w:rsidR="005433B0" w:rsidRPr="0026512D">
              <w:rPr>
                <w:rFonts w:ascii="Aptos" w:hAnsi="Aptos" w:cs="Helvetica"/>
                <w:sz w:val="24"/>
                <w:szCs w:val="24"/>
                <w:u w:val="single"/>
              </w:rPr>
              <w:t>July</w:t>
            </w:r>
            <w:r w:rsidR="005433B0" w:rsidRPr="001F0145">
              <w:rPr>
                <w:rFonts w:ascii="Aptos" w:hAnsi="Aptos" w:cs="Helvetica"/>
                <w:sz w:val="24"/>
                <w:szCs w:val="24"/>
              </w:rPr>
              <w:t>:</w:t>
            </w:r>
            <w:r w:rsidR="00CD1AA6">
              <w:rPr>
                <w:rFonts w:ascii="Aptos" w:hAnsi="Aptos" w:cs="Helvetica"/>
                <w:sz w:val="24"/>
                <w:szCs w:val="24"/>
              </w:rPr>
              <w:t xml:space="preserve"> </w:t>
            </w:r>
            <w:r w:rsidR="00232BED">
              <w:rPr>
                <w:rFonts w:ascii="Aptos" w:hAnsi="Aptos" w:cs="Helvetica"/>
                <w:sz w:val="24"/>
                <w:szCs w:val="24"/>
              </w:rPr>
              <w:t>The c</w:t>
            </w:r>
            <w:r w:rsidR="00852585" w:rsidRPr="001F0145">
              <w:rPr>
                <w:rFonts w:ascii="Aptos" w:hAnsi="Aptos" w:cs="Helvetica"/>
                <w:sz w:val="24"/>
                <w:szCs w:val="24"/>
              </w:rPr>
              <w:t xml:space="preserve">onstitution of TTEG </w:t>
            </w:r>
            <w:r w:rsidR="00752778" w:rsidRPr="001F0145">
              <w:rPr>
                <w:rFonts w:ascii="Aptos" w:hAnsi="Aptos" w:cs="Helvetica"/>
                <w:sz w:val="24"/>
                <w:szCs w:val="24"/>
              </w:rPr>
              <w:t xml:space="preserve">was </w:t>
            </w:r>
            <w:r w:rsidR="005433B0" w:rsidRPr="001F0145">
              <w:rPr>
                <w:rFonts w:ascii="Aptos" w:hAnsi="Aptos" w:cs="Helvetica"/>
                <w:sz w:val="24"/>
                <w:szCs w:val="24"/>
              </w:rPr>
              <w:t>discussed and</w:t>
            </w:r>
            <w:r w:rsidR="00752778" w:rsidRPr="001F0145">
              <w:rPr>
                <w:rFonts w:ascii="Aptos" w:hAnsi="Aptos" w:cs="Helvetica"/>
                <w:sz w:val="24"/>
                <w:szCs w:val="24"/>
              </w:rPr>
              <w:t xml:space="preserve"> ASFI’s proposed shortlist of </w:t>
            </w:r>
            <w:r w:rsidR="007B7DE5" w:rsidRPr="001F0145">
              <w:rPr>
                <w:rFonts w:ascii="Aptos" w:hAnsi="Aptos" w:cs="Helvetica"/>
                <w:sz w:val="24"/>
                <w:szCs w:val="24"/>
              </w:rPr>
              <w:t xml:space="preserve">TTEG </w:t>
            </w:r>
            <w:r w:rsidR="00752778" w:rsidRPr="001F0145">
              <w:rPr>
                <w:rFonts w:ascii="Aptos" w:hAnsi="Aptos" w:cs="Helvetica"/>
                <w:sz w:val="24"/>
                <w:szCs w:val="24"/>
              </w:rPr>
              <w:t>members was</w:t>
            </w:r>
            <w:r w:rsidR="005433B0" w:rsidRPr="001F0145">
              <w:rPr>
                <w:rFonts w:ascii="Aptos" w:hAnsi="Aptos" w:cs="Helvetica"/>
                <w:sz w:val="24"/>
                <w:szCs w:val="24"/>
              </w:rPr>
              <w:t xml:space="preserve"> endorsed</w:t>
            </w:r>
            <w:r w:rsidR="00852585" w:rsidRPr="001F0145">
              <w:rPr>
                <w:rFonts w:ascii="Aptos" w:hAnsi="Aptos" w:cs="Helvetica"/>
                <w:sz w:val="24"/>
                <w:szCs w:val="24"/>
              </w:rPr>
              <w:t xml:space="preserve"> out-of-session</w:t>
            </w:r>
            <w:r w:rsidR="007B7DE5" w:rsidRPr="001F0145">
              <w:rPr>
                <w:rFonts w:ascii="Aptos" w:hAnsi="Aptos" w:cs="Helvetica"/>
                <w:sz w:val="24"/>
                <w:szCs w:val="24"/>
              </w:rPr>
              <w:t xml:space="preserve"> by the CWG</w:t>
            </w:r>
            <w:r w:rsidR="005433B0" w:rsidRPr="001F0145">
              <w:rPr>
                <w:rFonts w:ascii="Aptos" w:hAnsi="Aptos" w:cs="Helvetica"/>
                <w:sz w:val="24"/>
                <w:szCs w:val="24"/>
              </w:rPr>
              <w:t xml:space="preserve">. </w:t>
            </w:r>
          </w:p>
          <w:p w14:paraId="752B1403" w14:textId="1CA03D25" w:rsidR="005433B0" w:rsidRPr="001F0145" w:rsidRDefault="00B418FF" w:rsidP="00A1696B">
            <w:pPr>
              <w:pStyle w:val="ListParagraph"/>
              <w:numPr>
                <w:ilvl w:val="0"/>
                <w:numId w:val="8"/>
              </w:numPr>
              <w:rPr>
                <w:rFonts w:ascii="Aptos" w:hAnsi="Aptos" w:cs="Helvetica"/>
                <w:sz w:val="24"/>
                <w:szCs w:val="24"/>
              </w:rPr>
            </w:pPr>
            <w:r>
              <w:rPr>
                <w:rFonts w:ascii="Aptos" w:hAnsi="Aptos" w:cs="Helvetica"/>
                <w:sz w:val="24"/>
                <w:szCs w:val="24"/>
                <w:u w:val="single"/>
              </w:rPr>
              <w:t xml:space="preserve">31 </w:t>
            </w:r>
            <w:r w:rsidR="005433B0" w:rsidRPr="0026512D">
              <w:rPr>
                <w:rFonts w:ascii="Aptos" w:hAnsi="Aptos" w:cs="Helvetica"/>
                <w:sz w:val="24"/>
                <w:szCs w:val="24"/>
                <w:u w:val="single"/>
              </w:rPr>
              <w:t>August</w:t>
            </w:r>
            <w:r w:rsidR="005433B0" w:rsidRPr="001F0145">
              <w:rPr>
                <w:rFonts w:ascii="Aptos" w:hAnsi="Aptos" w:cs="Helvetica"/>
                <w:sz w:val="24"/>
                <w:szCs w:val="24"/>
              </w:rPr>
              <w:t>:</w:t>
            </w:r>
            <w:r w:rsidR="00752778" w:rsidRPr="001F0145">
              <w:rPr>
                <w:rFonts w:ascii="Aptos" w:hAnsi="Aptos" w:cs="Helvetica"/>
                <w:sz w:val="24"/>
                <w:szCs w:val="24"/>
              </w:rPr>
              <w:t xml:space="preserve"> </w:t>
            </w:r>
            <w:r w:rsidR="00273DAA">
              <w:rPr>
                <w:rFonts w:ascii="Aptos" w:hAnsi="Aptos" w:cs="Helvetica"/>
                <w:sz w:val="24"/>
                <w:szCs w:val="24"/>
              </w:rPr>
              <w:t>S</w:t>
            </w:r>
            <w:r w:rsidR="00752778" w:rsidRPr="001F0145">
              <w:rPr>
                <w:rFonts w:ascii="Aptos" w:hAnsi="Aptos" w:cs="Helvetica"/>
                <w:sz w:val="24"/>
                <w:szCs w:val="24"/>
              </w:rPr>
              <w:t xml:space="preserve">ix </w:t>
            </w:r>
            <w:r w:rsidR="00273DAA">
              <w:rPr>
                <w:rFonts w:ascii="Aptos" w:hAnsi="Aptos" w:cs="Helvetica"/>
                <w:sz w:val="24"/>
                <w:szCs w:val="24"/>
              </w:rPr>
              <w:t xml:space="preserve">proposed </w:t>
            </w:r>
            <w:r w:rsidR="00752778" w:rsidRPr="001F0145">
              <w:rPr>
                <w:rFonts w:ascii="Aptos" w:hAnsi="Aptos" w:cs="Helvetica"/>
                <w:sz w:val="24"/>
                <w:szCs w:val="24"/>
              </w:rPr>
              <w:t>priority sectors for initial development under the Australian taxonomy</w:t>
            </w:r>
            <w:r w:rsidR="00CD1AA6">
              <w:rPr>
                <w:rFonts w:ascii="Aptos" w:hAnsi="Aptos" w:cs="Helvetica"/>
                <w:sz w:val="24"/>
                <w:szCs w:val="24"/>
              </w:rPr>
              <w:t xml:space="preserve"> were put forward by ASFI and</w:t>
            </w:r>
            <w:r w:rsidR="007B7DE5" w:rsidRPr="001F0145">
              <w:rPr>
                <w:rFonts w:ascii="Aptos" w:hAnsi="Aptos" w:cs="Helvetica"/>
                <w:sz w:val="24"/>
                <w:szCs w:val="24"/>
              </w:rPr>
              <w:t xml:space="preserve"> approved by the CWG. </w:t>
            </w:r>
          </w:p>
          <w:p w14:paraId="337DA67E" w14:textId="2B4942BC" w:rsidR="00752778" w:rsidRDefault="00B418FF" w:rsidP="00A1696B">
            <w:pPr>
              <w:pStyle w:val="ListParagraph"/>
              <w:numPr>
                <w:ilvl w:val="0"/>
                <w:numId w:val="8"/>
              </w:numPr>
              <w:rPr>
                <w:rFonts w:ascii="Aptos" w:hAnsi="Aptos" w:cs="Helvetica"/>
                <w:sz w:val="24"/>
                <w:szCs w:val="24"/>
              </w:rPr>
            </w:pPr>
            <w:r>
              <w:rPr>
                <w:rFonts w:ascii="Aptos" w:hAnsi="Aptos" w:cs="Helvetica"/>
                <w:sz w:val="24"/>
                <w:szCs w:val="24"/>
                <w:u w:val="single"/>
              </w:rPr>
              <w:t xml:space="preserve">19 </w:t>
            </w:r>
            <w:r w:rsidR="007B7DE5" w:rsidRPr="0026512D">
              <w:rPr>
                <w:rFonts w:ascii="Aptos" w:hAnsi="Aptos" w:cs="Helvetica"/>
                <w:sz w:val="24"/>
                <w:szCs w:val="24"/>
                <w:u w:val="single"/>
              </w:rPr>
              <w:t>October</w:t>
            </w:r>
            <w:r w:rsidR="007B7DE5" w:rsidRPr="001F0145">
              <w:rPr>
                <w:rFonts w:ascii="Aptos" w:hAnsi="Aptos" w:cs="Helvetica"/>
                <w:sz w:val="24"/>
                <w:szCs w:val="24"/>
              </w:rPr>
              <w:t xml:space="preserve">: </w:t>
            </w:r>
            <w:r w:rsidR="00824B74" w:rsidRPr="001F0145">
              <w:rPr>
                <w:rFonts w:ascii="Aptos" w:hAnsi="Aptos" w:cs="Helvetica"/>
                <w:sz w:val="24"/>
                <w:szCs w:val="24"/>
              </w:rPr>
              <w:t>ASFI provided an overview of its stakeholder engagement plan</w:t>
            </w:r>
            <w:r w:rsidR="00C24115" w:rsidRPr="001F0145">
              <w:rPr>
                <w:rFonts w:ascii="Aptos" w:hAnsi="Aptos" w:cs="Helvetica"/>
                <w:sz w:val="24"/>
                <w:szCs w:val="24"/>
              </w:rPr>
              <w:t xml:space="preserve">, with a focus on the taxonomy advisory groups, and provided the CWG with an </w:t>
            </w:r>
            <w:r w:rsidR="000A0090" w:rsidRPr="001F0145">
              <w:rPr>
                <w:rFonts w:ascii="Aptos" w:hAnsi="Aptos" w:cs="Helvetica"/>
                <w:sz w:val="24"/>
                <w:szCs w:val="24"/>
              </w:rPr>
              <w:t xml:space="preserve">overview of the </w:t>
            </w:r>
            <w:r w:rsidR="00C24115" w:rsidRPr="001F0145">
              <w:rPr>
                <w:rFonts w:ascii="Aptos" w:hAnsi="Aptos" w:cs="Helvetica"/>
                <w:sz w:val="24"/>
                <w:szCs w:val="24"/>
              </w:rPr>
              <w:t xml:space="preserve">transition methodology </w:t>
            </w:r>
            <w:r w:rsidR="000A0090" w:rsidRPr="001F0145">
              <w:rPr>
                <w:rFonts w:ascii="Aptos" w:hAnsi="Aptos" w:cs="Helvetica"/>
                <w:sz w:val="24"/>
                <w:szCs w:val="24"/>
              </w:rPr>
              <w:t>and approach to DNSH and MSS</w:t>
            </w:r>
            <w:r w:rsidR="007F5F81">
              <w:rPr>
                <w:rFonts w:ascii="Aptos" w:hAnsi="Aptos" w:cs="Helvetica"/>
                <w:sz w:val="24"/>
                <w:szCs w:val="24"/>
              </w:rPr>
              <w:t>, which were pending TTEG endorsement.</w:t>
            </w:r>
            <w:r w:rsidR="00824B74" w:rsidRPr="001F0145">
              <w:rPr>
                <w:rFonts w:ascii="Aptos" w:hAnsi="Aptos" w:cs="Helvetica"/>
                <w:sz w:val="24"/>
                <w:szCs w:val="24"/>
              </w:rPr>
              <w:t xml:space="preserve"> </w:t>
            </w:r>
          </w:p>
          <w:p w14:paraId="62D63A1F" w14:textId="3AC72DB1" w:rsidR="00C85758" w:rsidRDefault="00B418FF" w:rsidP="00A1696B">
            <w:pPr>
              <w:pStyle w:val="ListParagraph"/>
              <w:numPr>
                <w:ilvl w:val="0"/>
                <w:numId w:val="8"/>
              </w:numPr>
              <w:rPr>
                <w:rFonts w:ascii="Aptos" w:hAnsi="Aptos" w:cs="Helvetica"/>
                <w:sz w:val="24"/>
                <w:szCs w:val="24"/>
              </w:rPr>
            </w:pPr>
            <w:r>
              <w:rPr>
                <w:rFonts w:ascii="Aptos" w:hAnsi="Aptos" w:cs="Helvetica"/>
                <w:sz w:val="24"/>
                <w:szCs w:val="24"/>
                <w:u w:val="single"/>
              </w:rPr>
              <w:t xml:space="preserve">15 </w:t>
            </w:r>
            <w:r w:rsidR="00C85758" w:rsidRPr="0026512D">
              <w:rPr>
                <w:rFonts w:ascii="Aptos" w:hAnsi="Aptos" w:cs="Helvetica"/>
                <w:sz w:val="24"/>
                <w:szCs w:val="24"/>
                <w:u w:val="single"/>
              </w:rPr>
              <w:t>December</w:t>
            </w:r>
            <w:r w:rsidR="00C85758">
              <w:rPr>
                <w:rFonts w:ascii="Aptos" w:hAnsi="Aptos" w:cs="Helvetica"/>
                <w:sz w:val="24"/>
                <w:szCs w:val="24"/>
              </w:rPr>
              <w:t xml:space="preserve">: </w:t>
            </w:r>
            <w:r w:rsidR="00427F63">
              <w:rPr>
                <w:rFonts w:ascii="Aptos" w:hAnsi="Aptos" w:cs="Helvetica"/>
                <w:sz w:val="24"/>
                <w:szCs w:val="24"/>
              </w:rPr>
              <w:t xml:space="preserve">ASFI provided an update on the release of </w:t>
            </w:r>
            <w:r w:rsidR="00273DAA">
              <w:rPr>
                <w:rFonts w:ascii="Aptos" w:hAnsi="Aptos" w:cs="Helvetica"/>
                <w:sz w:val="24"/>
                <w:szCs w:val="24"/>
              </w:rPr>
              <w:t>the</w:t>
            </w:r>
            <w:r w:rsidR="00427F63">
              <w:rPr>
                <w:rFonts w:ascii="Aptos" w:hAnsi="Aptos" w:cs="Helvetica"/>
                <w:sz w:val="24"/>
                <w:szCs w:val="24"/>
              </w:rPr>
              <w:t xml:space="preserve"> taxonomy methodology reports; a progress update on the development of TSC for the first three priority sectors for development, DNSH and MSS; and </w:t>
            </w:r>
            <w:r w:rsidR="0026512D">
              <w:rPr>
                <w:rFonts w:ascii="Aptos" w:hAnsi="Aptos" w:cs="Helvetica"/>
                <w:sz w:val="24"/>
                <w:szCs w:val="24"/>
              </w:rPr>
              <w:t>presented the taxonomy expansion recommendations</w:t>
            </w:r>
            <w:r w:rsidR="00EF312F">
              <w:rPr>
                <w:rFonts w:ascii="Aptos" w:hAnsi="Aptos" w:cs="Helvetica"/>
                <w:sz w:val="24"/>
                <w:szCs w:val="24"/>
              </w:rPr>
              <w:t xml:space="preserve"> as</w:t>
            </w:r>
            <w:r w:rsidR="0026512D">
              <w:rPr>
                <w:rFonts w:ascii="Aptos" w:hAnsi="Aptos" w:cs="Helvetica"/>
                <w:sz w:val="24"/>
                <w:szCs w:val="24"/>
              </w:rPr>
              <w:t xml:space="preserve"> endorsed by the TTEG for the CWG’s consideration. </w:t>
            </w:r>
            <w:r w:rsidR="00427F63">
              <w:rPr>
                <w:rFonts w:ascii="Aptos" w:hAnsi="Aptos" w:cs="Helvetica"/>
                <w:sz w:val="24"/>
                <w:szCs w:val="24"/>
              </w:rPr>
              <w:t xml:space="preserve">  </w:t>
            </w:r>
          </w:p>
          <w:p w14:paraId="2D3EE3AA" w14:textId="4B8FFAD6" w:rsidR="00C85758" w:rsidRDefault="00273DAA" w:rsidP="00A1696B">
            <w:pPr>
              <w:pStyle w:val="ListParagraph"/>
              <w:numPr>
                <w:ilvl w:val="0"/>
                <w:numId w:val="8"/>
              </w:numPr>
              <w:rPr>
                <w:rFonts w:ascii="Aptos" w:hAnsi="Aptos" w:cs="Helvetica"/>
                <w:sz w:val="24"/>
                <w:szCs w:val="24"/>
              </w:rPr>
            </w:pPr>
            <w:r>
              <w:rPr>
                <w:rFonts w:ascii="Aptos" w:hAnsi="Aptos" w:cs="Helvetica"/>
                <w:sz w:val="24"/>
                <w:szCs w:val="24"/>
                <w:u w:val="single"/>
              </w:rPr>
              <w:t xml:space="preserve">7 </w:t>
            </w:r>
            <w:r w:rsidR="00C85758" w:rsidRPr="0026512D">
              <w:rPr>
                <w:rFonts w:ascii="Aptos" w:hAnsi="Aptos" w:cs="Helvetica"/>
                <w:sz w:val="24"/>
                <w:szCs w:val="24"/>
                <w:u w:val="single"/>
              </w:rPr>
              <w:t>March</w:t>
            </w:r>
            <w:r w:rsidR="00C85758">
              <w:rPr>
                <w:rFonts w:ascii="Aptos" w:hAnsi="Aptos" w:cs="Helvetica"/>
                <w:sz w:val="24"/>
                <w:szCs w:val="24"/>
              </w:rPr>
              <w:t xml:space="preserve">: </w:t>
            </w:r>
            <w:r w:rsidR="00E409EC">
              <w:rPr>
                <w:rFonts w:ascii="Aptos" w:hAnsi="Aptos" w:cs="Helvetica"/>
                <w:sz w:val="24"/>
                <w:szCs w:val="24"/>
              </w:rPr>
              <w:t>ASFI</w:t>
            </w:r>
            <w:r w:rsidR="00DE03AE">
              <w:rPr>
                <w:rFonts w:ascii="Aptos" w:hAnsi="Aptos" w:cs="Helvetica"/>
                <w:sz w:val="24"/>
                <w:szCs w:val="24"/>
              </w:rPr>
              <w:t xml:space="preserve"> introduced </w:t>
            </w:r>
            <w:r w:rsidR="00000A7F">
              <w:rPr>
                <w:rFonts w:ascii="Aptos" w:hAnsi="Aptos" w:cs="Helvetica"/>
                <w:sz w:val="24"/>
                <w:szCs w:val="24"/>
              </w:rPr>
              <w:t>the</w:t>
            </w:r>
            <w:r w:rsidR="00DE03AE">
              <w:rPr>
                <w:rFonts w:ascii="Aptos" w:hAnsi="Aptos" w:cs="Helvetica"/>
                <w:sz w:val="24"/>
                <w:szCs w:val="24"/>
              </w:rPr>
              <w:t xml:space="preserve"> draft headline ambitions for the taxonomy’s environmental objectives, as endorsed by the TTEG, and</w:t>
            </w:r>
            <w:r w:rsidR="00000A7F">
              <w:rPr>
                <w:rFonts w:ascii="Aptos" w:hAnsi="Aptos" w:cs="Helvetica"/>
                <w:sz w:val="24"/>
                <w:szCs w:val="24"/>
              </w:rPr>
              <w:t xml:space="preserve"> </w:t>
            </w:r>
            <w:r w:rsidR="00DE03AE">
              <w:rPr>
                <w:rFonts w:ascii="Aptos" w:hAnsi="Aptos" w:cs="Helvetica"/>
                <w:sz w:val="24"/>
                <w:szCs w:val="24"/>
              </w:rPr>
              <w:t xml:space="preserve">the </w:t>
            </w:r>
            <w:r w:rsidR="00000A7F">
              <w:rPr>
                <w:rFonts w:ascii="Aptos" w:hAnsi="Aptos" w:cs="Helvetica"/>
                <w:sz w:val="24"/>
                <w:szCs w:val="24"/>
              </w:rPr>
              <w:t xml:space="preserve">workplan for taxonomy governance, use and institutions, data and equivalence. </w:t>
            </w:r>
          </w:p>
          <w:p w14:paraId="5D6748EC" w14:textId="34B16015" w:rsidR="00C85758" w:rsidRDefault="00273DAA" w:rsidP="00A1696B">
            <w:pPr>
              <w:pStyle w:val="ListParagraph"/>
              <w:numPr>
                <w:ilvl w:val="0"/>
                <w:numId w:val="8"/>
              </w:numPr>
              <w:rPr>
                <w:rFonts w:ascii="Aptos" w:hAnsi="Aptos" w:cs="Helvetica"/>
                <w:sz w:val="24"/>
                <w:szCs w:val="24"/>
              </w:rPr>
            </w:pPr>
            <w:r>
              <w:rPr>
                <w:rFonts w:ascii="Aptos" w:hAnsi="Aptos" w:cs="Helvetica"/>
                <w:sz w:val="24"/>
                <w:szCs w:val="24"/>
                <w:u w:val="single"/>
              </w:rPr>
              <w:t xml:space="preserve">23 </w:t>
            </w:r>
            <w:r w:rsidR="00C85758" w:rsidRPr="00CD1AA6">
              <w:rPr>
                <w:rFonts w:ascii="Aptos" w:hAnsi="Aptos" w:cs="Helvetica"/>
                <w:sz w:val="24"/>
                <w:szCs w:val="24"/>
                <w:u w:val="single"/>
              </w:rPr>
              <w:t>May</w:t>
            </w:r>
            <w:r w:rsidR="00C85758">
              <w:rPr>
                <w:rFonts w:ascii="Aptos" w:hAnsi="Aptos" w:cs="Helvetica"/>
                <w:sz w:val="24"/>
                <w:szCs w:val="24"/>
              </w:rPr>
              <w:t xml:space="preserve">: </w:t>
            </w:r>
            <w:r w:rsidR="00CD1AA6">
              <w:rPr>
                <w:rFonts w:ascii="Aptos" w:hAnsi="Aptos" w:cs="Helvetica"/>
                <w:sz w:val="24"/>
                <w:szCs w:val="24"/>
              </w:rPr>
              <w:t xml:space="preserve">ASFI introduced the draft taxonomy criteria for the first three priority sectors for development, as endorsed by the TTEG; </w:t>
            </w:r>
            <w:r w:rsidR="009B0113">
              <w:rPr>
                <w:rFonts w:ascii="Aptos" w:hAnsi="Aptos" w:cs="Helvetica"/>
                <w:sz w:val="24"/>
                <w:szCs w:val="24"/>
              </w:rPr>
              <w:t xml:space="preserve">and </w:t>
            </w:r>
            <w:r w:rsidR="00CD1AA6">
              <w:rPr>
                <w:rFonts w:ascii="Aptos" w:hAnsi="Aptos" w:cs="Helvetica"/>
                <w:sz w:val="24"/>
                <w:szCs w:val="24"/>
              </w:rPr>
              <w:t xml:space="preserve">the </w:t>
            </w:r>
            <w:r w:rsidR="009B0113">
              <w:rPr>
                <w:rFonts w:ascii="Aptos" w:hAnsi="Aptos" w:cs="Helvetica"/>
                <w:sz w:val="24"/>
                <w:szCs w:val="24"/>
              </w:rPr>
              <w:t xml:space="preserve">proposed taxonomy </w:t>
            </w:r>
            <w:r w:rsidR="00CD1AA6">
              <w:rPr>
                <w:rFonts w:ascii="Aptos" w:hAnsi="Aptos" w:cs="Helvetica"/>
                <w:sz w:val="24"/>
                <w:szCs w:val="24"/>
              </w:rPr>
              <w:t xml:space="preserve">release and </w:t>
            </w:r>
            <w:r w:rsidR="009B0113">
              <w:rPr>
                <w:rFonts w:ascii="Aptos" w:hAnsi="Aptos" w:cs="Helvetica"/>
                <w:sz w:val="24"/>
                <w:szCs w:val="24"/>
              </w:rPr>
              <w:t xml:space="preserve">public consultation plan. </w:t>
            </w:r>
          </w:p>
          <w:p w14:paraId="2D91DCB2" w14:textId="236680F0" w:rsidR="009859B9" w:rsidRPr="009859B9" w:rsidRDefault="00273DAA" w:rsidP="009859B9">
            <w:pPr>
              <w:pStyle w:val="ListParagraph"/>
              <w:numPr>
                <w:ilvl w:val="0"/>
                <w:numId w:val="8"/>
              </w:numPr>
              <w:rPr>
                <w:rFonts w:ascii="Aptos" w:hAnsi="Aptos" w:cs="Helvetica"/>
                <w:sz w:val="24"/>
                <w:szCs w:val="24"/>
              </w:rPr>
            </w:pPr>
            <w:r w:rsidRPr="00273DAA">
              <w:rPr>
                <w:rFonts w:ascii="Aptos" w:hAnsi="Aptos" w:cs="Helvetica"/>
                <w:sz w:val="24"/>
                <w:szCs w:val="24"/>
                <w:u w:val="single"/>
              </w:rPr>
              <w:t xml:space="preserve">28 </w:t>
            </w:r>
            <w:r w:rsidR="00C85758" w:rsidRPr="00273DAA">
              <w:rPr>
                <w:rFonts w:ascii="Aptos" w:hAnsi="Aptos" w:cs="Helvetica"/>
                <w:sz w:val="24"/>
                <w:szCs w:val="24"/>
                <w:u w:val="single"/>
              </w:rPr>
              <w:t>June</w:t>
            </w:r>
            <w:r w:rsidR="00C85758">
              <w:rPr>
                <w:rFonts w:ascii="Aptos" w:hAnsi="Aptos" w:cs="Helvetica"/>
                <w:sz w:val="24"/>
                <w:szCs w:val="24"/>
              </w:rPr>
              <w:t>:</w:t>
            </w:r>
            <w:r w:rsidR="009B0113">
              <w:rPr>
                <w:rFonts w:ascii="Aptos" w:hAnsi="Aptos" w:cs="Helvetica"/>
                <w:sz w:val="24"/>
                <w:szCs w:val="24"/>
              </w:rPr>
              <w:t xml:space="preserve"> </w:t>
            </w:r>
            <w:r w:rsidR="00AA2340">
              <w:rPr>
                <w:rFonts w:ascii="Aptos" w:hAnsi="Aptos" w:cs="Helvetica"/>
                <w:sz w:val="24"/>
                <w:szCs w:val="24"/>
              </w:rPr>
              <w:t xml:space="preserve">ASFI provided an update on the work being undertaken on </w:t>
            </w:r>
            <w:r w:rsidR="009859B9">
              <w:rPr>
                <w:rFonts w:ascii="Aptos" w:hAnsi="Aptos" w:cs="Helvetica"/>
                <w:sz w:val="24"/>
                <w:szCs w:val="24"/>
              </w:rPr>
              <w:t xml:space="preserve">the </w:t>
            </w:r>
            <w:r w:rsidR="00AA2340">
              <w:rPr>
                <w:rFonts w:ascii="Aptos" w:hAnsi="Aptos" w:cs="Helvetica"/>
                <w:sz w:val="24"/>
                <w:szCs w:val="24"/>
              </w:rPr>
              <w:t>taxonomy</w:t>
            </w:r>
            <w:r w:rsidR="009859B9">
              <w:rPr>
                <w:rFonts w:ascii="Aptos" w:hAnsi="Aptos" w:cs="Helvetica"/>
                <w:sz w:val="24"/>
                <w:szCs w:val="24"/>
              </w:rPr>
              <w:t>’s proposed</w:t>
            </w:r>
            <w:r w:rsidR="00AA2340">
              <w:rPr>
                <w:rFonts w:ascii="Aptos" w:hAnsi="Aptos" w:cs="Helvetica"/>
                <w:sz w:val="24"/>
                <w:szCs w:val="24"/>
              </w:rPr>
              <w:t xml:space="preserve"> governance and institutional arrangements; the development of DNSH and MSS criteria; </w:t>
            </w:r>
            <w:r w:rsidR="009859B9">
              <w:rPr>
                <w:rFonts w:ascii="Aptos" w:hAnsi="Aptos" w:cs="Helvetica"/>
                <w:sz w:val="24"/>
                <w:szCs w:val="24"/>
              </w:rPr>
              <w:t>and</w:t>
            </w:r>
            <w:r w:rsidR="00244DB0">
              <w:rPr>
                <w:rFonts w:ascii="Aptos" w:hAnsi="Aptos" w:cs="Helvetica"/>
                <w:sz w:val="24"/>
                <w:szCs w:val="24"/>
              </w:rPr>
              <w:t xml:space="preserve"> initial</w:t>
            </w:r>
            <w:r w:rsidR="009859B9">
              <w:rPr>
                <w:rFonts w:ascii="Aptos" w:hAnsi="Aptos" w:cs="Helvetica"/>
                <w:sz w:val="24"/>
                <w:szCs w:val="24"/>
              </w:rPr>
              <w:t xml:space="preserve"> feedback received during the first round of public consultation.</w:t>
            </w:r>
          </w:p>
        </w:tc>
      </w:tr>
      <w:tr w:rsidR="00F778B6" w:rsidRPr="001F0145" w14:paraId="23AA9578" w14:textId="77777777" w:rsidTr="00B55525">
        <w:trPr>
          <w:trHeight w:val="343"/>
        </w:trPr>
        <w:tc>
          <w:tcPr>
            <w:tcW w:w="9623" w:type="dxa"/>
            <w:gridSpan w:val="2"/>
            <w:shd w:val="clear" w:color="auto" w:fill="0D4E80"/>
          </w:tcPr>
          <w:p w14:paraId="6DEFCD79" w14:textId="311F036A" w:rsidR="00F778B6" w:rsidRPr="001F0145" w:rsidRDefault="00F778B6" w:rsidP="00B55525">
            <w:pPr>
              <w:pStyle w:val="bulletlist"/>
              <w:numPr>
                <w:ilvl w:val="0"/>
                <w:numId w:val="0"/>
              </w:numPr>
              <w:rPr>
                <w:rFonts w:ascii="Aptos" w:hAnsi="Aptos" w:cs="Helvetica"/>
                <w:i/>
                <w:color w:val="FFFFFF" w:themeColor="background1"/>
                <w:sz w:val="24"/>
              </w:rPr>
            </w:pPr>
            <w:r w:rsidRPr="001F0145">
              <w:rPr>
                <w:rFonts w:ascii="Aptos" w:hAnsi="Aptos" w:cs="Helvetica"/>
                <w:i/>
                <w:color w:val="FFFFFF" w:themeColor="background1"/>
                <w:sz w:val="24"/>
              </w:rPr>
              <w:t>Taxonomy Technical Expert Group (TTEG)</w:t>
            </w:r>
          </w:p>
        </w:tc>
      </w:tr>
      <w:tr w:rsidR="009F54F6" w:rsidRPr="001F0145" w14:paraId="308949C7" w14:textId="47496133" w:rsidTr="009F1672">
        <w:trPr>
          <w:trHeight w:val="882"/>
        </w:trPr>
        <w:tc>
          <w:tcPr>
            <w:tcW w:w="1413" w:type="dxa"/>
            <w:shd w:val="clear" w:color="auto" w:fill="auto"/>
          </w:tcPr>
          <w:p w14:paraId="1029EF0D" w14:textId="77777777" w:rsidR="00B6321B" w:rsidRPr="001F0145" w:rsidRDefault="00B6321B" w:rsidP="009F54F6">
            <w:pPr>
              <w:rPr>
                <w:rFonts w:ascii="Aptos" w:hAnsi="Aptos" w:cs="Helvetica"/>
                <w:i/>
              </w:rPr>
            </w:pPr>
          </w:p>
          <w:p w14:paraId="089AAA70" w14:textId="6B2A8FD1" w:rsidR="009F54F6" w:rsidRPr="001F0145" w:rsidRDefault="00F778B6" w:rsidP="00F5311E">
            <w:pPr>
              <w:rPr>
                <w:rFonts w:ascii="Aptos" w:hAnsi="Aptos" w:cs="Helvetica"/>
                <w:i/>
              </w:rPr>
            </w:pPr>
            <w:r w:rsidRPr="001F0145">
              <w:rPr>
                <w:rFonts w:ascii="Aptos" w:hAnsi="Aptos" w:cs="Helvetica"/>
                <w:i/>
              </w:rPr>
              <w:t xml:space="preserve">Who </w:t>
            </w:r>
          </w:p>
        </w:tc>
        <w:tc>
          <w:tcPr>
            <w:tcW w:w="8210" w:type="dxa"/>
            <w:shd w:val="clear" w:color="auto" w:fill="auto"/>
          </w:tcPr>
          <w:p w14:paraId="7A2CD316" w14:textId="42475136" w:rsidR="00F778B6" w:rsidRPr="001F0145" w:rsidRDefault="005D4AC0" w:rsidP="005B4BD4">
            <w:pPr>
              <w:spacing w:after="240"/>
              <w:rPr>
                <w:rFonts w:ascii="Aptos" w:hAnsi="Aptos" w:cs="Helvetica"/>
              </w:rPr>
            </w:pPr>
            <w:r w:rsidRPr="001F0145">
              <w:rPr>
                <w:rFonts w:ascii="Aptos" w:hAnsi="Aptos" w:cs="Helvetica"/>
              </w:rPr>
              <w:t xml:space="preserve">The TTEG comprises 25 </w:t>
            </w:r>
            <w:r w:rsidR="006D0E4E" w:rsidRPr="001F0145">
              <w:rPr>
                <w:rFonts w:ascii="Aptos" w:hAnsi="Aptos" w:cs="Helvetica"/>
              </w:rPr>
              <w:t xml:space="preserve">senior leaders with </w:t>
            </w:r>
            <w:r w:rsidR="0026296A" w:rsidRPr="001F0145">
              <w:rPr>
                <w:rFonts w:ascii="Aptos" w:hAnsi="Aptos" w:cs="Helvetica"/>
              </w:rPr>
              <w:t xml:space="preserve">expertise in sustainable finance, whole-of-economy decarbonisation; climate and environmental science and </w:t>
            </w:r>
            <w:r w:rsidR="0026296A" w:rsidRPr="001F0145">
              <w:rPr>
                <w:rFonts w:ascii="Aptos" w:hAnsi="Aptos" w:cs="Helvetica"/>
              </w:rPr>
              <w:lastRenderedPageBreak/>
              <w:t xml:space="preserve">policy; human rights; and indigenous rights and perspectives. A </w:t>
            </w:r>
            <w:r w:rsidR="009F1672" w:rsidRPr="001F0145">
              <w:rPr>
                <w:rFonts w:ascii="Aptos" w:hAnsi="Aptos" w:cs="Helvetica"/>
              </w:rPr>
              <w:t>l</w:t>
            </w:r>
            <w:r w:rsidR="00DF774F" w:rsidRPr="001F0145">
              <w:rPr>
                <w:rFonts w:ascii="Aptos" w:hAnsi="Aptos" w:cs="Helvetica"/>
              </w:rPr>
              <w:t>ist of TTEG memb</w:t>
            </w:r>
            <w:r w:rsidR="00FF2DE8" w:rsidRPr="001F0145">
              <w:rPr>
                <w:rFonts w:ascii="Aptos" w:hAnsi="Aptos" w:cs="Helvetica"/>
              </w:rPr>
              <w:t xml:space="preserve">ers can be found on </w:t>
            </w:r>
            <w:r w:rsidR="00244DB0">
              <w:rPr>
                <w:rFonts w:ascii="Aptos" w:hAnsi="Aptos" w:cs="Helvetica"/>
              </w:rPr>
              <w:t>ASFI’s</w:t>
            </w:r>
            <w:r w:rsidR="00FF2DE8" w:rsidRPr="001F0145">
              <w:rPr>
                <w:rFonts w:ascii="Aptos" w:hAnsi="Aptos" w:cs="Helvetica"/>
              </w:rPr>
              <w:t xml:space="preserve"> website </w:t>
            </w:r>
            <w:hyperlink r:id="rId18" w:history="1">
              <w:r w:rsidR="00B40B58" w:rsidRPr="001F0145">
                <w:rPr>
                  <w:rStyle w:val="Hyperlink"/>
                  <w:rFonts w:ascii="Aptos" w:hAnsi="Aptos" w:cs="Helvetica"/>
                </w:rPr>
                <w:t>here</w:t>
              </w:r>
            </w:hyperlink>
            <w:r w:rsidR="00B40B58" w:rsidRPr="001F0145">
              <w:rPr>
                <w:rFonts w:ascii="Aptos" w:hAnsi="Aptos" w:cs="Helvetica"/>
              </w:rPr>
              <w:t xml:space="preserve">. </w:t>
            </w:r>
          </w:p>
        </w:tc>
      </w:tr>
      <w:tr w:rsidR="00F778B6" w:rsidRPr="001F0145" w14:paraId="229CB3FF" w14:textId="77777777" w:rsidTr="00CD08B7">
        <w:trPr>
          <w:trHeight w:val="2638"/>
        </w:trPr>
        <w:tc>
          <w:tcPr>
            <w:tcW w:w="1413" w:type="dxa"/>
          </w:tcPr>
          <w:p w14:paraId="366D68D1" w14:textId="0F4BA69E" w:rsidR="00F778B6" w:rsidRPr="001F0145" w:rsidRDefault="0085411E" w:rsidP="009F54F6">
            <w:pPr>
              <w:rPr>
                <w:rFonts w:ascii="Aptos" w:hAnsi="Aptos" w:cs="Helvetica"/>
                <w:i/>
              </w:rPr>
            </w:pPr>
            <w:r w:rsidRPr="001F0145">
              <w:rPr>
                <w:rFonts w:ascii="Aptos" w:hAnsi="Aptos" w:cs="Helvetica"/>
                <w:i/>
              </w:rPr>
              <w:lastRenderedPageBreak/>
              <w:t>What</w:t>
            </w:r>
          </w:p>
        </w:tc>
        <w:tc>
          <w:tcPr>
            <w:tcW w:w="8210" w:type="dxa"/>
          </w:tcPr>
          <w:p w14:paraId="66F3C95C" w14:textId="36A1F73C" w:rsidR="00F778B6" w:rsidRPr="001F0145" w:rsidRDefault="00F8710D" w:rsidP="00F778B6">
            <w:pPr>
              <w:rPr>
                <w:rFonts w:ascii="Aptos" w:hAnsi="Aptos" w:cs="Helvetica"/>
              </w:rPr>
            </w:pPr>
            <w:r w:rsidRPr="001F0145">
              <w:rPr>
                <w:rFonts w:ascii="Aptos" w:hAnsi="Aptos" w:cs="Helvetica"/>
              </w:rPr>
              <w:t>The TTEG provide</w:t>
            </w:r>
            <w:r w:rsidR="006E7CE1" w:rsidRPr="001F0145">
              <w:rPr>
                <w:rFonts w:ascii="Aptos" w:hAnsi="Aptos" w:cs="Helvetica"/>
              </w:rPr>
              <w:t>s</w:t>
            </w:r>
            <w:r w:rsidRPr="001F0145">
              <w:rPr>
                <w:rFonts w:ascii="Aptos" w:hAnsi="Aptos" w:cs="Helvetica"/>
              </w:rPr>
              <w:t xml:space="preserve"> strategic direction</w:t>
            </w:r>
            <w:r w:rsidR="0083006D" w:rsidRPr="001F0145">
              <w:rPr>
                <w:rFonts w:ascii="Aptos" w:hAnsi="Aptos" w:cs="Helvetica"/>
              </w:rPr>
              <w:t xml:space="preserve"> over, input into and endorsement of </w:t>
            </w:r>
            <w:r w:rsidR="00A25887" w:rsidRPr="001F0145">
              <w:rPr>
                <w:rFonts w:ascii="Aptos" w:hAnsi="Aptos" w:cs="Helvetica"/>
              </w:rPr>
              <w:t>taxonomy</w:t>
            </w:r>
            <w:r w:rsidR="0083006D" w:rsidRPr="001F0145">
              <w:rPr>
                <w:rFonts w:ascii="Aptos" w:hAnsi="Aptos" w:cs="Helvetica"/>
              </w:rPr>
              <w:t xml:space="preserve"> outputs. </w:t>
            </w:r>
            <w:r w:rsidR="009F1672" w:rsidRPr="001F0145">
              <w:rPr>
                <w:rFonts w:ascii="Aptos" w:hAnsi="Aptos" w:cs="Helvetica"/>
              </w:rPr>
              <w:t xml:space="preserve">ASFI and the TTEG’s engagement </w:t>
            </w:r>
            <w:r w:rsidR="00A25887" w:rsidRPr="001F0145">
              <w:rPr>
                <w:rFonts w:ascii="Aptos" w:hAnsi="Aptos" w:cs="Helvetica"/>
              </w:rPr>
              <w:t>is</w:t>
            </w:r>
            <w:r w:rsidR="009F1672" w:rsidRPr="001F0145">
              <w:rPr>
                <w:rFonts w:ascii="Aptos" w:hAnsi="Aptos" w:cs="Helvetica"/>
              </w:rPr>
              <w:t xml:space="preserve"> governed by </w:t>
            </w:r>
            <w:r w:rsidR="00F778B6" w:rsidRPr="001F0145">
              <w:rPr>
                <w:rFonts w:ascii="Aptos" w:hAnsi="Aptos" w:cs="Helvetica"/>
              </w:rPr>
              <w:t>the TTEG Terms of Reference</w:t>
            </w:r>
            <w:r w:rsidR="00260629" w:rsidRPr="001F0145">
              <w:rPr>
                <w:rFonts w:ascii="Aptos" w:hAnsi="Aptos" w:cs="Helvetica"/>
              </w:rPr>
              <w:t xml:space="preserve">, </w:t>
            </w:r>
            <w:proofErr w:type="gramStart"/>
            <w:r w:rsidR="00260629" w:rsidRPr="001F0145">
              <w:rPr>
                <w:rFonts w:ascii="Aptos" w:hAnsi="Aptos" w:cs="Helvetica"/>
              </w:rPr>
              <w:t>Charter</w:t>
            </w:r>
            <w:proofErr w:type="gramEnd"/>
            <w:r w:rsidR="00260629" w:rsidRPr="001F0145">
              <w:rPr>
                <w:rFonts w:ascii="Aptos" w:hAnsi="Aptos" w:cs="Helvetica"/>
              </w:rPr>
              <w:t xml:space="preserve"> and </w:t>
            </w:r>
            <w:r w:rsidR="009859B9">
              <w:rPr>
                <w:rFonts w:ascii="Aptos" w:hAnsi="Aptos" w:cs="Helvetica"/>
              </w:rPr>
              <w:t>C</w:t>
            </w:r>
            <w:r w:rsidR="00260629" w:rsidRPr="001F0145">
              <w:rPr>
                <w:rFonts w:ascii="Aptos" w:hAnsi="Aptos" w:cs="Helvetica"/>
              </w:rPr>
              <w:t xml:space="preserve">onflict of </w:t>
            </w:r>
            <w:r w:rsidR="009859B9">
              <w:rPr>
                <w:rFonts w:ascii="Aptos" w:hAnsi="Aptos" w:cs="Helvetica"/>
              </w:rPr>
              <w:t>I</w:t>
            </w:r>
            <w:r w:rsidR="00260629" w:rsidRPr="001F0145">
              <w:rPr>
                <w:rFonts w:ascii="Aptos" w:hAnsi="Aptos" w:cs="Helvetica"/>
              </w:rPr>
              <w:t xml:space="preserve">nterest policy. These </w:t>
            </w:r>
            <w:r w:rsidR="009859B9">
              <w:rPr>
                <w:rFonts w:ascii="Aptos" w:hAnsi="Aptos" w:cs="Helvetica"/>
              </w:rPr>
              <w:t xml:space="preserve">resources </w:t>
            </w:r>
            <w:r w:rsidR="00260629" w:rsidRPr="001F0145">
              <w:rPr>
                <w:rFonts w:ascii="Aptos" w:hAnsi="Aptos" w:cs="Helvetica"/>
              </w:rPr>
              <w:t xml:space="preserve">are available on </w:t>
            </w:r>
            <w:r w:rsidR="009859B9">
              <w:rPr>
                <w:rFonts w:ascii="Aptos" w:hAnsi="Aptos" w:cs="Helvetica"/>
              </w:rPr>
              <w:t>ASFI’s</w:t>
            </w:r>
            <w:r w:rsidR="00260629" w:rsidRPr="001F0145">
              <w:rPr>
                <w:rFonts w:ascii="Aptos" w:hAnsi="Aptos" w:cs="Helvetica"/>
              </w:rPr>
              <w:t xml:space="preserve"> website </w:t>
            </w:r>
            <w:hyperlink r:id="rId19" w:history="1">
              <w:r w:rsidR="00260629" w:rsidRPr="001F0145">
                <w:rPr>
                  <w:rStyle w:val="Hyperlink"/>
                  <w:rFonts w:ascii="Aptos" w:hAnsi="Aptos" w:cs="Helvetica"/>
                </w:rPr>
                <w:t>here</w:t>
              </w:r>
              <w:r w:rsidR="00264B10" w:rsidRPr="001F0145">
                <w:rPr>
                  <w:rFonts w:ascii="Aptos" w:hAnsi="Aptos" w:cs="Helvetica"/>
                </w:rPr>
                <w:t>.</w:t>
              </w:r>
            </w:hyperlink>
          </w:p>
          <w:p w14:paraId="53B6FD53" w14:textId="77777777" w:rsidR="00327ECF" w:rsidRPr="001F0145" w:rsidRDefault="00327ECF" w:rsidP="00F778B6">
            <w:pPr>
              <w:rPr>
                <w:rFonts w:ascii="Aptos" w:hAnsi="Aptos" w:cs="Helvetica"/>
              </w:rPr>
            </w:pPr>
          </w:p>
          <w:p w14:paraId="1E5AF604" w14:textId="0A5A21CD" w:rsidR="00F778B6" w:rsidRPr="001F0145" w:rsidRDefault="009F1672" w:rsidP="005B4BD4">
            <w:pPr>
              <w:spacing w:after="240"/>
              <w:rPr>
                <w:rFonts w:ascii="Aptos" w:hAnsi="Aptos" w:cs="Helvetica"/>
              </w:rPr>
            </w:pPr>
            <w:r w:rsidRPr="001F0145">
              <w:rPr>
                <w:rFonts w:ascii="Aptos" w:hAnsi="Aptos" w:cs="Helvetica"/>
              </w:rPr>
              <w:t>ASFI</w:t>
            </w:r>
            <w:r w:rsidR="004915C3" w:rsidRPr="001F0145">
              <w:rPr>
                <w:rFonts w:ascii="Aptos" w:hAnsi="Aptos" w:cs="Helvetica"/>
              </w:rPr>
              <w:t xml:space="preserve"> </w:t>
            </w:r>
            <w:r w:rsidR="009859B9">
              <w:rPr>
                <w:rFonts w:ascii="Aptos" w:hAnsi="Aptos" w:cs="Helvetica"/>
              </w:rPr>
              <w:t xml:space="preserve">has </w:t>
            </w:r>
            <w:r w:rsidR="004915C3" w:rsidRPr="001F0145">
              <w:rPr>
                <w:rFonts w:ascii="Aptos" w:hAnsi="Aptos" w:cs="Helvetica"/>
              </w:rPr>
              <w:t>also</w:t>
            </w:r>
            <w:r w:rsidRPr="001F0145">
              <w:rPr>
                <w:rFonts w:ascii="Aptos" w:hAnsi="Aptos" w:cs="Helvetica"/>
              </w:rPr>
              <w:t xml:space="preserve"> established </w:t>
            </w:r>
            <w:proofErr w:type="gramStart"/>
            <w:r w:rsidR="009859B9">
              <w:rPr>
                <w:rFonts w:ascii="Aptos" w:hAnsi="Aptos" w:cs="Helvetica"/>
              </w:rPr>
              <w:t>a number of</w:t>
            </w:r>
            <w:proofErr w:type="gramEnd"/>
            <w:r w:rsidR="00074FA9" w:rsidRPr="001F0145">
              <w:rPr>
                <w:rFonts w:ascii="Aptos" w:hAnsi="Aptos" w:cs="Helvetica"/>
              </w:rPr>
              <w:t xml:space="preserve"> TTEG committees</w:t>
            </w:r>
            <w:r w:rsidR="004915C3" w:rsidRPr="001F0145">
              <w:rPr>
                <w:rFonts w:ascii="Aptos" w:hAnsi="Aptos" w:cs="Helvetica"/>
              </w:rPr>
              <w:t xml:space="preserve"> (a full l</w:t>
            </w:r>
            <w:r w:rsidR="00FB1562" w:rsidRPr="001F0145">
              <w:rPr>
                <w:rFonts w:ascii="Aptos" w:hAnsi="Aptos" w:cs="Helvetica"/>
              </w:rPr>
              <w:t>is</w:t>
            </w:r>
            <w:r w:rsidR="004915C3" w:rsidRPr="001F0145">
              <w:rPr>
                <w:rFonts w:ascii="Aptos" w:hAnsi="Aptos" w:cs="Helvetica"/>
              </w:rPr>
              <w:t xml:space="preserve">t is provided in </w:t>
            </w:r>
            <w:r w:rsidR="00264B10" w:rsidRPr="00264B10">
              <w:rPr>
                <w:rFonts w:ascii="Aptos" w:hAnsi="Aptos" w:cs="Helvetica"/>
                <w:b/>
                <w:bCs/>
                <w:u w:val="single"/>
              </w:rPr>
              <w:t xml:space="preserve">Appendix </w:t>
            </w:r>
            <w:r w:rsidR="002900C8">
              <w:rPr>
                <w:rFonts w:ascii="Aptos" w:hAnsi="Aptos" w:cs="Helvetica"/>
                <w:b/>
                <w:bCs/>
                <w:u w:val="single"/>
              </w:rPr>
              <w:t>F</w:t>
            </w:r>
            <w:r w:rsidR="00264B10">
              <w:rPr>
                <w:rFonts w:ascii="Aptos" w:hAnsi="Aptos" w:cs="Helvetica"/>
              </w:rPr>
              <w:t>)</w:t>
            </w:r>
            <w:r w:rsidR="00074FA9" w:rsidRPr="001F0145">
              <w:rPr>
                <w:rFonts w:ascii="Aptos" w:hAnsi="Aptos" w:cs="Helvetica"/>
              </w:rPr>
              <w:t>. The purpose of these committees is to</w:t>
            </w:r>
            <w:r w:rsidR="004915C3" w:rsidRPr="001F0145">
              <w:rPr>
                <w:rFonts w:ascii="Aptos" w:hAnsi="Aptos" w:cs="Helvetica"/>
              </w:rPr>
              <w:t xml:space="preserve"> channel expertise and </w:t>
            </w:r>
            <w:r w:rsidR="00074FA9" w:rsidRPr="001F0145">
              <w:rPr>
                <w:rFonts w:ascii="Aptos" w:hAnsi="Aptos" w:cs="Helvetica"/>
              </w:rPr>
              <w:t>streamline</w:t>
            </w:r>
            <w:r w:rsidR="00D90C74" w:rsidRPr="001F0145">
              <w:rPr>
                <w:rFonts w:ascii="Aptos" w:hAnsi="Aptos" w:cs="Helvetica"/>
              </w:rPr>
              <w:t xml:space="preserve"> advice </w:t>
            </w:r>
            <w:r w:rsidR="009E5676" w:rsidRPr="001F0145">
              <w:rPr>
                <w:rFonts w:ascii="Aptos" w:hAnsi="Aptos" w:cs="Helvetica"/>
              </w:rPr>
              <w:t xml:space="preserve">from </w:t>
            </w:r>
            <w:r w:rsidR="00D90C74" w:rsidRPr="001F0145">
              <w:rPr>
                <w:rFonts w:ascii="Aptos" w:hAnsi="Aptos" w:cs="Helvetica"/>
              </w:rPr>
              <w:t xml:space="preserve">the TTEG on </w:t>
            </w:r>
            <w:r w:rsidR="00264B10">
              <w:rPr>
                <w:rFonts w:ascii="Aptos" w:hAnsi="Aptos" w:cs="Helvetica"/>
              </w:rPr>
              <w:t xml:space="preserve">sector and subject-specific aspects </w:t>
            </w:r>
            <w:r w:rsidR="00D90C74" w:rsidRPr="001F0145">
              <w:rPr>
                <w:rFonts w:ascii="Aptos" w:hAnsi="Aptos" w:cs="Helvetica"/>
              </w:rPr>
              <w:t xml:space="preserve">of the taxonomy’s development. </w:t>
            </w:r>
          </w:p>
        </w:tc>
      </w:tr>
      <w:tr w:rsidR="00F778B6" w:rsidRPr="001F0145" w14:paraId="26964EAD" w14:textId="77777777" w:rsidTr="00CD4AFD">
        <w:trPr>
          <w:trHeight w:val="1976"/>
        </w:trPr>
        <w:tc>
          <w:tcPr>
            <w:tcW w:w="1413" w:type="dxa"/>
          </w:tcPr>
          <w:p w14:paraId="02026AF0" w14:textId="5EE7C3EF" w:rsidR="00F778B6" w:rsidRPr="001F0145" w:rsidRDefault="0085411E" w:rsidP="009F54F6">
            <w:pPr>
              <w:rPr>
                <w:rFonts w:ascii="Aptos" w:hAnsi="Aptos" w:cs="Helvetica"/>
                <w:i/>
              </w:rPr>
            </w:pPr>
            <w:r w:rsidRPr="001F0145">
              <w:rPr>
                <w:rFonts w:ascii="Aptos" w:hAnsi="Aptos" w:cs="Helvetica"/>
                <w:i/>
              </w:rPr>
              <w:t xml:space="preserve">When </w:t>
            </w:r>
          </w:p>
        </w:tc>
        <w:tc>
          <w:tcPr>
            <w:tcW w:w="8210" w:type="dxa"/>
          </w:tcPr>
          <w:p w14:paraId="4E43BAC2" w14:textId="3F392FD0" w:rsidR="00E54520" w:rsidRPr="001F0145" w:rsidRDefault="001C2D9F" w:rsidP="00C9279B">
            <w:pPr>
              <w:rPr>
                <w:rFonts w:ascii="Aptos" w:hAnsi="Aptos" w:cs="Helvetica"/>
              </w:rPr>
            </w:pPr>
            <w:r w:rsidRPr="001F0145">
              <w:rPr>
                <w:rFonts w:ascii="Aptos" w:hAnsi="Aptos" w:cs="Helvetica"/>
              </w:rPr>
              <w:t xml:space="preserve">ASFI and the </w:t>
            </w:r>
            <w:r>
              <w:rPr>
                <w:rFonts w:ascii="Aptos" w:hAnsi="Aptos" w:cs="Helvetica"/>
              </w:rPr>
              <w:t xml:space="preserve">TTEG </w:t>
            </w:r>
            <w:r w:rsidRPr="001F0145">
              <w:rPr>
                <w:rFonts w:ascii="Aptos" w:hAnsi="Aptos" w:cs="Helvetica"/>
              </w:rPr>
              <w:t xml:space="preserve">have met roughly every </w:t>
            </w:r>
            <w:r w:rsidR="00C9279B">
              <w:rPr>
                <w:rFonts w:ascii="Aptos" w:hAnsi="Aptos" w:cs="Helvetica"/>
              </w:rPr>
              <w:t>six</w:t>
            </w:r>
            <w:r w:rsidRPr="001F0145">
              <w:rPr>
                <w:rFonts w:ascii="Aptos" w:hAnsi="Aptos" w:cs="Helvetica"/>
              </w:rPr>
              <w:t xml:space="preserve"> weeks since the project commenced</w:t>
            </w:r>
            <w:r w:rsidR="00C9279B">
              <w:rPr>
                <w:rFonts w:ascii="Aptos" w:hAnsi="Aptos" w:cs="Helvetica"/>
              </w:rPr>
              <w:t xml:space="preserve">: </w:t>
            </w:r>
            <w:r w:rsidR="006E7CE1" w:rsidRPr="001F0145">
              <w:rPr>
                <w:rFonts w:ascii="Aptos" w:hAnsi="Aptos" w:cs="Helvetica"/>
              </w:rPr>
              <w:t>31 August</w:t>
            </w:r>
            <w:r w:rsidR="003B5C7C">
              <w:rPr>
                <w:rFonts w:ascii="Aptos" w:hAnsi="Aptos" w:cs="Helvetica"/>
              </w:rPr>
              <w:t xml:space="preserve"> 2023;</w:t>
            </w:r>
            <w:r w:rsidR="006E7CE1" w:rsidRPr="001F0145">
              <w:rPr>
                <w:rFonts w:ascii="Aptos" w:hAnsi="Aptos" w:cs="Helvetica"/>
              </w:rPr>
              <w:t xml:space="preserve"> 12 October</w:t>
            </w:r>
            <w:r w:rsidR="003B5C7C">
              <w:rPr>
                <w:rFonts w:ascii="Aptos" w:hAnsi="Aptos" w:cs="Helvetica"/>
              </w:rPr>
              <w:t xml:space="preserve"> 2023</w:t>
            </w:r>
            <w:r w:rsidR="009859B9">
              <w:rPr>
                <w:rFonts w:ascii="Aptos" w:hAnsi="Aptos" w:cs="Helvetica"/>
              </w:rPr>
              <w:t xml:space="preserve">; </w:t>
            </w:r>
            <w:r w:rsidR="006E7CE1" w:rsidRPr="001F0145">
              <w:rPr>
                <w:rFonts w:ascii="Aptos" w:hAnsi="Aptos" w:cs="Helvetica"/>
              </w:rPr>
              <w:t>5 December</w:t>
            </w:r>
            <w:r w:rsidR="003B5C7C">
              <w:rPr>
                <w:rFonts w:ascii="Aptos" w:hAnsi="Aptos" w:cs="Helvetica"/>
              </w:rPr>
              <w:t xml:space="preserve"> 2023;</w:t>
            </w:r>
            <w:r>
              <w:rPr>
                <w:rFonts w:ascii="Aptos" w:hAnsi="Aptos" w:cs="Helvetica"/>
              </w:rPr>
              <w:t xml:space="preserve"> 13 March 2024; 30 April 2024; and 11 June 2024. </w:t>
            </w:r>
            <w:r w:rsidR="006E7CE1" w:rsidRPr="001F0145">
              <w:rPr>
                <w:rFonts w:ascii="Aptos" w:hAnsi="Aptos" w:cs="Helvetica"/>
              </w:rPr>
              <w:t xml:space="preserve"> </w:t>
            </w:r>
          </w:p>
          <w:p w14:paraId="3741EF3F" w14:textId="22811D0A" w:rsidR="00F778B6" w:rsidRPr="001F0145" w:rsidRDefault="00F778B6" w:rsidP="00F778B6">
            <w:pPr>
              <w:rPr>
                <w:rFonts w:ascii="Aptos" w:hAnsi="Aptos" w:cs="Helvetica"/>
              </w:rPr>
            </w:pPr>
            <w:r w:rsidRPr="001F0145">
              <w:rPr>
                <w:rFonts w:ascii="Aptos" w:hAnsi="Aptos" w:cs="Helvetica"/>
              </w:rPr>
              <w:t xml:space="preserve"> </w:t>
            </w:r>
          </w:p>
          <w:p w14:paraId="0145E5A3" w14:textId="7CFFBC04" w:rsidR="00CD4AFD" w:rsidRDefault="004915C3" w:rsidP="005B4BD4">
            <w:pPr>
              <w:spacing w:after="240"/>
              <w:rPr>
                <w:rFonts w:ascii="Aptos" w:hAnsi="Aptos" w:cs="Helvetica"/>
              </w:rPr>
            </w:pPr>
            <w:r w:rsidRPr="001F0145">
              <w:rPr>
                <w:rFonts w:ascii="Aptos" w:hAnsi="Aptos" w:cs="Helvetica"/>
              </w:rPr>
              <w:t>The TTEG Transition Methodology Committee</w:t>
            </w:r>
            <w:r w:rsidR="00AC19B3">
              <w:rPr>
                <w:rFonts w:ascii="Aptos" w:hAnsi="Aptos" w:cs="Helvetica"/>
              </w:rPr>
              <w:t xml:space="preserve">; DNSH Committee; and MSS Committee </w:t>
            </w:r>
            <w:r w:rsidRPr="001F0145">
              <w:rPr>
                <w:rFonts w:ascii="Aptos" w:hAnsi="Aptos" w:cs="Helvetica"/>
              </w:rPr>
              <w:t>each met in October</w:t>
            </w:r>
            <w:r w:rsidR="00AC19B3">
              <w:rPr>
                <w:rFonts w:ascii="Aptos" w:hAnsi="Aptos" w:cs="Helvetica"/>
              </w:rPr>
              <w:t xml:space="preserve"> 2023</w:t>
            </w:r>
            <w:r w:rsidRPr="001F0145">
              <w:rPr>
                <w:rFonts w:ascii="Aptos" w:hAnsi="Aptos" w:cs="Helvetica"/>
              </w:rPr>
              <w:t xml:space="preserve"> to provide recommendations to the full TTEG on relevant methodological design considerations for the Australian taxonomy.</w:t>
            </w:r>
            <w:r w:rsidR="002900C8">
              <w:rPr>
                <w:rFonts w:ascii="Aptos" w:hAnsi="Aptos" w:cs="Helvetica"/>
              </w:rPr>
              <w:t xml:space="preserve"> The TTEG Transition Methodology Committee met a further two times in 2023 to discuss scoping</w:t>
            </w:r>
            <w:r w:rsidR="00E0524D">
              <w:rPr>
                <w:rFonts w:ascii="Aptos" w:hAnsi="Aptos" w:cs="Helvetica"/>
              </w:rPr>
              <w:t xml:space="preserve"> and </w:t>
            </w:r>
            <w:r w:rsidR="002900C8">
              <w:rPr>
                <w:rFonts w:ascii="Aptos" w:hAnsi="Aptos" w:cs="Helvetica"/>
              </w:rPr>
              <w:t xml:space="preserve">coverage for the six sectors prioritised for development. This committee has now sunset.  </w:t>
            </w:r>
            <w:r w:rsidR="006E7CE1" w:rsidRPr="001F0145">
              <w:rPr>
                <w:rFonts w:ascii="Aptos" w:hAnsi="Aptos" w:cs="Helvetica"/>
              </w:rPr>
              <w:t xml:space="preserve"> </w:t>
            </w:r>
          </w:p>
          <w:p w14:paraId="77145EEF" w14:textId="2F0B852A" w:rsidR="005D7E42" w:rsidRDefault="00C9279B" w:rsidP="005B4BD4">
            <w:pPr>
              <w:spacing w:after="240"/>
              <w:rPr>
                <w:rFonts w:ascii="Aptos" w:hAnsi="Aptos" w:cs="Helvetica"/>
              </w:rPr>
            </w:pPr>
            <w:r>
              <w:rPr>
                <w:rFonts w:ascii="Aptos" w:hAnsi="Aptos" w:cs="Helvetica"/>
              </w:rPr>
              <w:t xml:space="preserve">The TTEG </w:t>
            </w:r>
            <w:r w:rsidR="000F300C">
              <w:rPr>
                <w:rFonts w:ascii="Aptos" w:hAnsi="Aptos" w:cs="Helvetica"/>
              </w:rPr>
              <w:t>Electricity Generation and Supply Committee</w:t>
            </w:r>
            <w:r w:rsidR="00AC19B3">
              <w:rPr>
                <w:rFonts w:ascii="Aptos" w:hAnsi="Aptos" w:cs="Helvetica"/>
              </w:rPr>
              <w:t>; Minerals, Mining and Metals Committee; and</w:t>
            </w:r>
            <w:r w:rsidR="008F5881">
              <w:rPr>
                <w:rFonts w:ascii="Aptos" w:hAnsi="Aptos" w:cs="Helvetica"/>
              </w:rPr>
              <w:t xml:space="preserve"> Construction and the Built Environment Committee each met several times </w:t>
            </w:r>
            <w:r w:rsidR="001633A5">
              <w:rPr>
                <w:rFonts w:ascii="Aptos" w:hAnsi="Aptos" w:cs="Helvetica"/>
              </w:rPr>
              <w:t>in</w:t>
            </w:r>
            <w:r w:rsidR="008F5881">
              <w:rPr>
                <w:rFonts w:ascii="Aptos" w:hAnsi="Aptos" w:cs="Helvetica"/>
              </w:rPr>
              <w:t xml:space="preserve"> 2024 to </w:t>
            </w:r>
            <w:r w:rsidR="005D7E42">
              <w:rPr>
                <w:rFonts w:ascii="Aptos" w:hAnsi="Aptos" w:cs="Helvetica"/>
              </w:rPr>
              <w:t xml:space="preserve">prepare recommendations to the full TTEG on the draft TSC for climate change mitigation. </w:t>
            </w:r>
          </w:p>
          <w:p w14:paraId="70EDCD0A" w14:textId="10606313" w:rsidR="00C9279B" w:rsidRDefault="005D7E42" w:rsidP="005B4BD4">
            <w:pPr>
              <w:spacing w:after="240"/>
              <w:rPr>
                <w:rFonts w:ascii="Aptos" w:hAnsi="Aptos" w:cs="Helvetica"/>
              </w:rPr>
            </w:pPr>
            <w:r>
              <w:rPr>
                <w:rFonts w:ascii="Aptos" w:hAnsi="Aptos" w:cs="Helvetica"/>
              </w:rPr>
              <w:t xml:space="preserve">The TTEG DNSH and MSS </w:t>
            </w:r>
            <w:r w:rsidR="00D32968">
              <w:rPr>
                <w:rFonts w:ascii="Aptos" w:hAnsi="Aptos" w:cs="Helvetica"/>
              </w:rPr>
              <w:t>c</w:t>
            </w:r>
            <w:r>
              <w:rPr>
                <w:rFonts w:ascii="Aptos" w:hAnsi="Aptos" w:cs="Helvetica"/>
              </w:rPr>
              <w:t xml:space="preserve">ommittees have also </w:t>
            </w:r>
            <w:r w:rsidR="002900C8">
              <w:rPr>
                <w:rFonts w:ascii="Aptos" w:hAnsi="Aptos" w:cs="Helvetica"/>
              </w:rPr>
              <w:t xml:space="preserve">each </w:t>
            </w:r>
            <w:r>
              <w:rPr>
                <w:rFonts w:ascii="Aptos" w:hAnsi="Aptos" w:cs="Helvetica"/>
              </w:rPr>
              <w:t xml:space="preserve">met several times in 2024 to prepare recommendations to the full TTEG on the </w:t>
            </w:r>
            <w:r w:rsidR="00E76F05">
              <w:rPr>
                <w:rFonts w:ascii="Aptos" w:hAnsi="Aptos" w:cs="Helvetica"/>
              </w:rPr>
              <w:t>environmental objective headline ambitions and core social safeguards, as well as on draft generic DNSH criteria and MSS criteria.</w:t>
            </w:r>
          </w:p>
          <w:p w14:paraId="31CD2878" w14:textId="768718DA" w:rsidR="00E76F05" w:rsidRPr="001F0145" w:rsidRDefault="00E76F05" w:rsidP="005B4BD4">
            <w:pPr>
              <w:spacing w:after="240"/>
              <w:rPr>
                <w:rFonts w:ascii="Aptos" w:hAnsi="Aptos" w:cs="Helvetica"/>
              </w:rPr>
            </w:pPr>
            <w:r>
              <w:rPr>
                <w:rFonts w:ascii="Aptos" w:hAnsi="Aptos" w:cs="Helvetica"/>
              </w:rPr>
              <w:t xml:space="preserve">ASFI convened the TTEG committees on manufacturing and industry; transport; and agriculture and land in June 2024. These committees will meet for the first time in </w:t>
            </w:r>
            <w:r w:rsidR="001633A5">
              <w:rPr>
                <w:rFonts w:ascii="Aptos" w:hAnsi="Aptos" w:cs="Helvetica"/>
              </w:rPr>
              <w:t>July 2024</w:t>
            </w:r>
            <w:r w:rsidR="00E64A48">
              <w:rPr>
                <w:rFonts w:ascii="Aptos" w:hAnsi="Aptos" w:cs="Helvetica"/>
              </w:rPr>
              <w:t xml:space="preserve">. </w:t>
            </w:r>
          </w:p>
        </w:tc>
      </w:tr>
      <w:tr w:rsidR="003512D1" w:rsidRPr="001F0145" w14:paraId="23383BCE" w14:textId="77777777" w:rsidTr="00E63C97">
        <w:trPr>
          <w:trHeight w:val="1265"/>
        </w:trPr>
        <w:tc>
          <w:tcPr>
            <w:tcW w:w="1413" w:type="dxa"/>
          </w:tcPr>
          <w:p w14:paraId="2BFA4A92" w14:textId="4041AFB2" w:rsidR="003512D1" w:rsidRPr="001F0145" w:rsidRDefault="003512D1" w:rsidP="009F54F6">
            <w:pPr>
              <w:rPr>
                <w:rFonts w:ascii="Aptos" w:hAnsi="Aptos" w:cs="Helvetica"/>
                <w:i/>
              </w:rPr>
            </w:pPr>
            <w:r w:rsidRPr="001F0145">
              <w:rPr>
                <w:rFonts w:ascii="Aptos" w:hAnsi="Aptos" w:cs="Helvetica"/>
                <w:i/>
              </w:rPr>
              <w:t>Key Insights</w:t>
            </w:r>
            <w:r w:rsidR="001633A5">
              <w:rPr>
                <w:rFonts w:ascii="Aptos" w:hAnsi="Aptos" w:cs="Helvetica"/>
                <w:i/>
              </w:rPr>
              <w:t xml:space="preserve"> from full TTEG meetings</w:t>
            </w:r>
          </w:p>
        </w:tc>
        <w:tc>
          <w:tcPr>
            <w:tcW w:w="8210" w:type="dxa"/>
          </w:tcPr>
          <w:p w14:paraId="0D4D2BB6" w14:textId="0FA14772" w:rsidR="00E63C97" w:rsidRPr="001F0145" w:rsidRDefault="002D1301" w:rsidP="00A1696B">
            <w:pPr>
              <w:pStyle w:val="ListParagraph"/>
              <w:numPr>
                <w:ilvl w:val="0"/>
                <w:numId w:val="9"/>
              </w:numPr>
              <w:rPr>
                <w:rFonts w:ascii="Aptos" w:hAnsi="Aptos" w:cs="Helvetica"/>
                <w:sz w:val="24"/>
                <w:szCs w:val="24"/>
              </w:rPr>
            </w:pPr>
            <w:r>
              <w:rPr>
                <w:rFonts w:ascii="Aptos" w:hAnsi="Aptos" w:cs="Helvetica"/>
                <w:sz w:val="24"/>
                <w:szCs w:val="24"/>
                <w:u w:val="single"/>
              </w:rPr>
              <w:t xml:space="preserve">31 </w:t>
            </w:r>
            <w:r w:rsidR="00F80AE5" w:rsidRPr="000F300C">
              <w:rPr>
                <w:rFonts w:ascii="Aptos" w:hAnsi="Aptos" w:cs="Helvetica"/>
                <w:sz w:val="24"/>
                <w:szCs w:val="24"/>
                <w:u w:val="single"/>
              </w:rPr>
              <w:t>August</w:t>
            </w:r>
            <w:r w:rsidR="00F80AE5" w:rsidRPr="001F0145">
              <w:rPr>
                <w:rFonts w:ascii="Aptos" w:hAnsi="Aptos" w:cs="Helvetica"/>
                <w:sz w:val="24"/>
                <w:szCs w:val="24"/>
              </w:rPr>
              <w:t xml:space="preserve">: </w:t>
            </w:r>
            <w:r w:rsidR="00176F21" w:rsidRPr="001F0145">
              <w:rPr>
                <w:rFonts w:ascii="Aptos" w:hAnsi="Aptos" w:cs="Helvetica"/>
                <w:sz w:val="24"/>
                <w:szCs w:val="24"/>
              </w:rPr>
              <w:t xml:space="preserve">As </w:t>
            </w:r>
            <w:r w:rsidR="0097101E" w:rsidRPr="001F0145">
              <w:rPr>
                <w:rFonts w:ascii="Aptos" w:hAnsi="Aptos" w:cs="Helvetica"/>
                <w:sz w:val="24"/>
                <w:szCs w:val="24"/>
              </w:rPr>
              <w:t xml:space="preserve">this was </w:t>
            </w:r>
            <w:r w:rsidR="00176F21" w:rsidRPr="001F0145">
              <w:rPr>
                <w:rFonts w:ascii="Aptos" w:hAnsi="Aptos" w:cs="Helvetica"/>
                <w:sz w:val="24"/>
                <w:szCs w:val="24"/>
              </w:rPr>
              <w:t xml:space="preserve">the inaugural meeting of the TTEG, members were introduced to each other, </w:t>
            </w:r>
            <w:r w:rsidR="00AA171A" w:rsidRPr="001F0145">
              <w:rPr>
                <w:rFonts w:ascii="Aptos" w:hAnsi="Aptos" w:cs="Helvetica"/>
                <w:sz w:val="24"/>
                <w:szCs w:val="24"/>
              </w:rPr>
              <w:t xml:space="preserve">the project and its governance arrangements. An overview of the draft methodological framework was also provided by ASFI’s technical partners. </w:t>
            </w:r>
          </w:p>
          <w:p w14:paraId="23CA6EB2" w14:textId="3A0D56DE" w:rsidR="00E63C97" w:rsidRPr="001F0145" w:rsidRDefault="002D1301" w:rsidP="00A1696B">
            <w:pPr>
              <w:pStyle w:val="ListParagraph"/>
              <w:numPr>
                <w:ilvl w:val="0"/>
                <w:numId w:val="9"/>
              </w:numPr>
              <w:rPr>
                <w:rFonts w:ascii="Aptos" w:hAnsi="Aptos" w:cs="Helvetica"/>
                <w:sz w:val="24"/>
                <w:szCs w:val="24"/>
              </w:rPr>
            </w:pPr>
            <w:r>
              <w:rPr>
                <w:rFonts w:ascii="Aptos" w:hAnsi="Aptos" w:cs="Helvetica"/>
                <w:sz w:val="24"/>
                <w:szCs w:val="24"/>
                <w:u w:val="single"/>
              </w:rPr>
              <w:t xml:space="preserve">12 </w:t>
            </w:r>
            <w:r w:rsidR="00E63C97" w:rsidRPr="000F300C">
              <w:rPr>
                <w:rFonts w:ascii="Aptos" w:hAnsi="Aptos" w:cs="Helvetica"/>
                <w:sz w:val="24"/>
                <w:szCs w:val="24"/>
                <w:u w:val="single"/>
              </w:rPr>
              <w:t>October</w:t>
            </w:r>
            <w:r w:rsidR="00E63C97" w:rsidRPr="001F0145">
              <w:rPr>
                <w:rFonts w:ascii="Aptos" w:hAnsi="Aptos" w:cs="Helvetica"/>
                <w:sz w:val="24"/>
                <w:szCs w:val="24"/>
              </w:rPr>
              <w:t xml:space="preserve">: </w:t>
            </w:r>
            <w:r w:rsidR="00453838" w:rsidRPr="001F0145">
              <w:rPr>
                <w:rFonts w:ascii="Aptos" w:hAnsi="Aptos" w:cs="Helvetica"/>
                <w:sz w:val="24"/>
                <w:szCs w:val="24"/>
              </w:rPr>
              <w:t xml:space="preserve">Members </w:t>
            </w:r>
            <w:r w:rsidR="004F659D" w:rsidRPr="001F0145">
              <w:rPr>
                <w:rFonts w:ascii="Aptos" w:hAnsi="Aptos" w:cs="Helvetica"/>
                <w:sz w:val="24"/>
                <w:szCs w:val="24"/>
              </w:rPr>
              <w:t xml:space="preserve">considered and endorsed the recommendations of the TTEG committees for the transition methodology, DNSH sustainability objectives, and design and approach to determining MSS. </w:t>
            </w:r>
            <w:r w:rsidR="00546F1B" w:rsidRPr="001F0145">
              <w:rPr>
                <w:rFonts w:ascii="Aptos" w:hAnsi="Aptos" w:cs="Helvetica"/>
                <w:sz w:val="24"/>
                <w:szCs w:val="24"/>
              </w:rPr>
              <w:t xml:space="preserve">The TTEG was also introduced to </w:t>
            </w:r>
            <w:r w:rsidR="009C157D" w:rsidRPr="001F0145">
              <w:rPr>
                <w:rFonts w:ascii="Aptos" w:hAnsi="Aptos" w:cs="Helvetica"/>
                <w:sz w:val="24"/>
                <w:szCs w:val="24"/>
              </w:rPr>
              <w:t xml:space="preserve">a proposed pathway to expand the Australian taxonomy criteria beyond climate mitigation </w:t>
            </w:r>
            <w:r w:rsidR="004152EB">
              <w:rPr>
                <w:rFonts w:ascii="Aptos" w:hAnsi="Aptos" w:cs="Helvetica"/>
                <w:sz w:val="24"/>
                <w:szCs w:val="24"/>
              </w:rPr>
              <w:t>to</w:t>
            </w:r>
            <w:r w:rsidR="009C157D" w:rsidRPr="001F0145">
              <w:rPr>
                <w:rFonts w:ascii="Aptos" w:hAnsi="Aptos" w:cs="Helvetica"/>
                <w:sz w:val="24"/>
                <w:szCs w:val="24"/>
              </w:rPr>
              <w:t xml:space="preserve"> additional sectors and categories. </w:t>
            </w:r>
          </w:p>
          <w:p w14:paraId="21C939CF" w14:textId="326AB76E" w:rsidR="009E5676" w:rsidRDefault="002D1301" w:rsidP="00A1696B">
            <w:pPr>
              <w:pStyle w:val="ListParagraph"/>
              <w:numPr>
                <w:ilvl w:val="0"/>
                <w:numId w:val="9"/>
              </w:numPr>
              <w:rPr>
                <w:rFonts w:ascii="Aptos" w:hAnsi="Aptos" w:cs="Helvetica"/>
                <w:sz w:val="24"/>
                <w:szCs w:val="24"/>
              </w:rPr>
            </w:pPr>
            <w:r>
              <w:rPr>
                <w:rFonts w:ascii="Aptos" w:hAnsi="Aptos" w:cs="Helvetica"/>
                <w:sz w:val="24"/>
                <w:szCs w:val="24"/>
                <w:u w:val="single"/>
              </w:rPr>
              <w:lastRenderedPageBreak/>
              <w:t xml:space="preserve">5 </w:t>
            </w:r>
            <w:r w:rsidR="008C6FB9" w:rsidRPr="008C6FB9">
              <w:rPr>
                <w:rFonts w:ascii="Aptos" w:hAnsi="Aptos" w:cs="Helvetica"/>
                <w:sz w:val="24"/>
                <w:szCs w:val="24"/>
                <w:u w:val="single"/>
              </w:rPr>
              <w:t>December</w:t>
            </w:r>
            <w:r w:rsidR="008C6FB9">
              <w:rPr>
                <w:rFonts w:ascii="Aptos" w:hAnsi="Aptos" w:cs="Helvetica"/>
                <w:sz w:val="24"/>
                <w:szCs w:val="24"/>
              </w:rPr>
              <w:t xml:space="preserve">: </w:t>
            </w:r>
            <w:r w:rsidR="000A4388">
              <w:rPr>
                <w:rFonts w:ascii="Aptos" w:hAnsi="Aptos" w:cs="Helvetica"/>
                <w:sz w:val="24"/>
                <w:szCs w:val="24"/>
              </w:rPr>
              <w:t xml:space="preserve">Members </w:t>
            </w:r>
            <w:r w:rsidR="004152EB">
              <w:rPr>
                <w:rFonts w:ascii="Aptos" w:hAnsi="Aptos" w:cs="Helvetica"/>
                <w:sz w:val="24"/>
                <w:szCs w:val="24"/>
              </w:rPr>
              <w:t xml:space="preserve">endorsed the proposed pathway to expand the Australian taxonomy criteria beyond climate change mitigation. </w:t>
            </w:r>
          </w:p>
          <w:p w14:paraId="778D47F9" w14:textId="34BFA115" w:rsidR="00C500E9" w:rsidRPr="00C500E9" w:rsidRDefault="002D1301" w:rsidP="00A1696B">
            <w:pPr>
              <w:pStyle w:val="ListParagraph"/>
              <w:numPr>
                <w:ilvl w:val="0"/>
                <w:numId w:val="9"/>
              </w:numPr>
              <w:rPr>
                <w:rFonts w:ascii="Aptos" w:hAnsi="Aptos" w:cs="Helvetica"/>
                <w:sz w:val="24"/>
                <w:szCs w:val="24"/>
                <w:u w:val="single"/>
              </w:rPr>
            </w:pPr>
            <w:r>
              <w:rPr>
                <w:rFonts w:ascii="Aptos" w:hAnsi="Aptos" w:cs="Helvetica"/>
                <w:sz w:val="24"/>
                <w:szCs w:val="24"/>
                <w:u w:val="single"/>
              </w:rPr>
              <w:t xml:space="preserve">13 </w:t>
            </w:r>
            <w:r w:rsidR="00C500E9" w:rsidRPr="00C500E9">
              <w:rPr>
                <w:rFonts w:ascii="Aptos" w:hAnsi="Aptos" w:cs="Helvetica"/>
                <w:sz w:val="24"/>
                <w:szCs w:val="24"/>
                <w:u w:val="single"/>
              </w:rPr>
              <w:t>March</w:t>
            </w:r>
            <w:r w:rsidR="00C500E9">
              <w:rPr>
                <w:rFonts w:ascii="Aptos" w:hAnsi="Aptos" w:cs="Helvetica"/>
                <w:sz w:val="24"/>
                <w:szCs w:val="24"/>
                <w:u w:val="single"/>
              </w:rPr>
              <w:t>:</w:t>
            </w:r>
            <w:r w:rsidR="00C500E9">
              <w:rPr>
                <w:rFonts w:ascii="Aptos" w:hAnsi="Aptos" w:cs="Helvetica"/>
                <w:b/>
                <w:bCs/>
                <w:sz w:val="24"/>
                <w:szCs w:val="24"/>
              </w:rPr>
              <w:t xml:space="preserve"> </w:t>
            </w:r>
            <w:r w:rsidR="00C500E9">
              <w:rPr>
                <w:rFonts w:ascii="Aptos" w:hAnsi="Aptos" w:cs="Helvetica"/>
                <w:sz w:val="24"/>
                <w:szCs w:val="24"/>
              </w:rPr>
              <w:t>Members considered and endorsed the draft environmental objective headline ambitions and draft social objectives and core pillars.</w:t>
            </w:r>
          </w:p>
          <w:p w14:paraId="3F92437C" w14:textId="48798E84" w:rsidR="00AA45EF" w:rsidRPr="00AA45EF" w:rsidRDefault="002D1301" w:rsidP="00A1696B">
            <w:pPr>
              <w:pStyle w:val="ListParagraph"/>
              <w:numPr>
                <w:ilvl w:val="0"/>
                <w:numId w:val="9"/>
              </w:numPr>
              <w:rPr>
                <w:rFonts w:ascii="Aptos" w:hAnsi="Aptos" w:cs="Helvetica"/>
                <w:sz w:val="24"/>
                <w:szCs w:val="24"/>
                <w:u w:val="single"/>
              </w:rPr>
            </w:pPr>
            <w:r>
              <w:rPr>
                <w:rFonts w:ascii="Aptos" w:hAnsi="Aptos" w:cs="Helvetica"/>
                <w:sz w:val="24"/>
                <w:szCs w:val="24"/>
                <w:u w:val="single"/>
              </w:rPr>
              <w:t>30 April</w:t>
            </w:r>
            <w:r w:rsidR="00AA45EF">
              <w:rPr>
                <w:rFonts w:ascii="Aptos" w:hAnsi="Aptos" w:cs="Helvetica"/>
                <w:sz w:val="24"/>
                <w:szCs w:val="24"/>
                <w:u w:val="single"/>
              </w:rPr>
              <w:t>:</w:t>
            </w:r>
            <w:r w:rsidR="00AA45EF">
              <w:rPr>
                <w:rFonts w:ascii="Aptos" w:hAnsi="Aptos" w:cs="Helvetica"/>
                <w:sz w:val="24"/>
                <w:szCs w:val="24"/>
              </w:rPr>
              <w:t xml:space="preserve"> Members considered and endorsed the draft TSC for the first three priority sectors for development. </w:t>
            </w:r>
          </w:p>
          <w:p w14:paraId="5722B2AF" w14:textId="32060401" w:rsidR="008C6FB9" w:rsidRPr="001633A5" w:rsidRDefault="002D1301" w:rsidP="00A1696B">
            <w:pPr>
              <w:pStyle w:val="ListParagraph"/>
              <w:numPr>
                <w:ilvl w:val="0"/>
                <w:numId w:val="9"/>
              </w:numPr>
              <w:rPr>
                <w:rFonts w:ascii="Aptos" w:hAnsi="Aptos" w:cs="Helvetica"/>
                <w:sz w:val="24"/>
                <w:szCs w:val="24"/>
                <w:u w:val="single"/>
              </w:rPr>
            </w:pPr>
            <w:r>
              <w:rPr>
                <w:rFonts w:ascii="Aptos" w:hAnsi="Aptos" w:cs="Helvetica"/>
                <w:sz w:val="24"/>
                <w:szCs w:val="24"/>
                <w:u w:val="single"/>
              </w:rPr>
              <w:t xml:space="preserve">11 </w:t>
            </w:r>
            <w:r w:rsidR="00AA45EF" w:rsidRPr="00AA45EF">
              <w:rPr>
                <w:rFonts w:ascii="Aptos" w:hAnsi="Aptos" w:cs="Helvetica"/>
                <w:sz w:val="24"/>
                <w:szCs w:val="24"/>
                <w:u w:val="single"/>
              </w:rPr>
              <w:t>June</w:t>
            </w:r>
            <w:r w:rsidR="00AA45EF">
              <w:rPr>
                <w:rFonts w:ascii="Aptos" w:hAnsi="Aptos" w:cs="Helvetica"/>
                <w:sz w:val="24"/>
                <w:szCs w:val="24"/>
              </w:rPr>
              <w:t xml:space="preserve">: Members considered and discussed the proposed institutional arrangements for the Australian taxonomy. </w:t>
            </w:r>
            <w:r w:rsidR="00AA45EF">
              <w:rPr>
                <w:rFonts w:ascii="Aptos" w:hAnsi="Aptos" w:cs="Helvetica"/>
                <w:sz w:val="24"/>
                <w:szCs w:val="24"/>
                <w:u w:val="single"/>
              </w:rPr>
              <w:t xml:space="preserve"> </w:t>
            </w:r>
            <w:r w:rsidR="00C500E9">
              <w:rPr>
                <w:rFonts w:ascii="Aptos" w:hAnsi="Aptos" w:cs="Helvetica"/>
                <w:sz w:val="24"/>
                <w:szCs w:val="24"/>
              </w:rPr>
              <w:t xml:space="preserve"> </w:t>
            </w:r>
          </w:p>
          <w:p w14:paraId="2E205BEC" w14:textId="71B5A5EA" w:rsidR="001633A5" w:rsidRDefault="001633A5" w:rsidP="001633A5">
            <w:pPr>
              <w:rPr>
                <w:rFonts w:ascii="Aptos" w:hAnsi="Aptos" w:cs="Helvetica"/>
              </w:rPr>
            </w:pPr>
            <w:r w:rsidRPr="001633A5">
              <w:rPr>
                <w:rFonts w:ascii="Aptos" w:hAnsi="Aptos" w:cs="Helvetica"/>
              </w:rPr>
              <w:t xml:space="preserve">The minutes of all full TTEG minutes are available on ASFI’s website </w:t>
            </w:r>
            <w:hyperlink r:id="rId20" w:anchor="tteg" w:history="1">
              <w:r w:rsidRPr="005A3C4A">
                <w:rPr>
                  <w:rStyle w:val="Hyperlink"/>
                  <w:rFonts w:ascii="Aptos" w:hAnsi="Aptos" w:cs="Helvetica"/>
                </w:rPr>
                <w:t>here</w:t>
              </w:r>
            </w:hyperlink>
            <w:r w:rsidRPr="001633A5">
              <w:rPr>
                <w:rFonts w:ascii="Aptos" w:hAnsi="Aptos" w:cs="Helvetica"/>
              </w:rPr>
              <w:t>.</w:t>
            </w:r>
          </w:p>
          <w:p w14:paraId="3C0B93F7" w14:textId="4EDDD90A" w:rsidR="001633A5" w:rsidRPr="001633A5" w:rsidRDefault="001633A5" w:rsidP="001633A5">
            <w:pPr>
              <w:rPr>
                <w:rFonts w:ascii="Aptos" w:hAnsi="Aptos" w:cs="Helvetica"/>
              </w:rPr>
            </w:pPr>
          </w:p>
        </w:tc>
      </w:tr>
      <w:tr w:rsidR="00C1755A" w:rsidRPr="001F0145" w14:paraId="75E2410A" w14:textId="59DDC6BD" w:rsidTr="00B55525">
        <w:tc>
          <w:tcPr>
            <w:tcW w:w="9623" w:type="dxa"/>
            <w:gridSpan w:val="2"/>
            <w:shd w:val="clear" w:color="auto" w:fill="0D4E80"/>
          </w:tcPr>
          <w:p w14:paraId="1394511F" w14:textId="28CEC55A" w:rsidR="00F778B6" w:rsidRPr="001F0145" w:rsidRDefault="00E83C25" w:rsidP="00581A5A">
            <w:pPr>
              <w:rPr>
                <w:rFonts w:ascii="Aptos" w:hAnsi="Aptos" w:cs="Helvetica"/>
                <w:i/>
                <w:color w:val="FFFFFF" w:themeColor="background1"/>
              </w:rPr>
            </w:pPr>
            <w:r w:rsidRPr="001F0145">
              <w:rPr>
                <w:rFonts w:ascii="Aptos" w:hAnsi="Aptos" w:cs="Helvetica"/>
                <w:i/>
                <w:color w:val="FFFFFF" w:themeColor="background1"/>
              </w:rPr>
              <w:lastRenderedPageBreak/>
              <w:t>Taxonomy Advisory Groups</w:t>
            </w:r>
            <w:r w:rsidR="005A3C16" w:rsidRPr="001F0145">
              <w:rPr>
                <w:rFonts w:ascii="Aptos" w:hAnsi="Aptos" w:cs="Helvetica"/>
                <w:i/>
                <w:color w:val="FFFFFF" w:themeColor="background1"/>
              </w:rPr>
              <w:t xml:space="preserve"> (TAGs)</w:t>
            </w:r>
          </w:p>
        </w:tc>
      </w:tr>
      <w:tr w:rsidR="00F778B6" w:rsidRPr="001F0145" w14:paraId="54EB6F6D" w14:textId="77777777" w:rsidTr="00CE6087">
        <w:trPr>
          <w:trHeight w:val="3548"/>
        </w:trPr>
        <w:tc>
          <w:tcPr>
            <w:tcW w:w="1413" w:type="dxa"/>
          </w:tcPr>
          <w:p w14:paraId="02102F18" w14:textId="77777777" w:rsidR="0085411E" w:rsidRPr="001F0145" w:rsidRDefault="0085411E" w:rsidP="0085411E">
            <w:pPr>
              <w:rPr>
                <w:rFonts w:ascii="Aptos" w:hAnsi="Aptos" w:cs="Helvetica"/>
                <w:i/>
              </w:rPr>
            </w:pPr>
          </w:p>
          <w:p w14:paraId="4F8ABDA0" w14:textId="41EB4EA3" w:rsidR="00F778B6" w:rsidRPr="001F0145" w:rsidRDefault="00F778B6" w:rsidP="00581A5A">
            <w:pPr>
              <w:rPr>
                <w:rFonts w:ascii="Aptos" w:hAnsi="Aptos" w:cs="Helvetica"/>
                <w:i/>
              </w:rPr>
            </w:pPr>
            <w:r w:rsidRPr="001F0145">
              <w:rPr>
                <w:rFonts w:ascii="Aptos" w:hAnsi="Aptos" w:cs="Helvetica"/>
                <w:i/>
              </w:rPr>
              <w:t>Wh</w:t>
            </w:r>
            <w:r w:rsidR="00DF774F" w:rsidRPr="001F0145">
              <w:rPr>
                <w:rFonts w:ascii="Aptos" w:hAnsi="Aptos" w:cs="Helvetica"/>
                <w:i/>
              </w:rPr>
              <w:t>o</w:t>
            </w:r>
            <w:r w:rsidRPr="001F0145">
              <w:rPr>
                <w:rFonts w:ascii="Aptos" w:hAnsi="Aptos" w:cs="Helvetica"/>
                <w:i/>
              </w:rPr>
              <w:t xml:space="preserve"> </w:t>
            </w:r>
          </w:p>
        </w:tc>
        <w:tc>
          <w:tcPr>
            <w:tcW w:w="8210" w:type="dxa"/>
          </w:tcPr>
          <w:p w14:paraId="57CDDC26" w14:textId="6B20C328" w:rsidR="00CC2024" w:rsidRPr="001F0145" w:rsidRDefault="00F778B6" w:rsidP="00F778B6">
            <w:pPr>
              <w:rPr>
                <w:rFonts w:ascii="Aptos" w:hAnsi="Aptos" w:cs="Helvetica"/>
              </w:rPr>
            </w:pPr>
            <w:r w:rsidRPr="001F0145">
              <w:rPr>
                <w:rFonts w:ascii="Aptos" w:hAnsi="Aptos" w:cs="Helvetica"/>
              </w:rPr>
              <w:t xml:space="preserve">The </w:t>
            </w:r>
            <w:r w:rsidR="005A3C16" w:rsidRPr="001F0145">
              <w:rPr>
                <w:rFonts w:ascii="Aptos" w:hAnsi="Aptos" w:cs="Helvetica"/>
              </w:rPr>
              <w:t xml:space="preserve">TAGs </w:t>
            </w:r>
            <w:r w:rsidR="00EA53E9" w:rsidRPr="001F0145">
              <w:rPr>
                <w:rFonts w:ascii="Aptos" w:hAnsi="Aptos" w:cs="Helvetica"/>
              </w:rPr>
              <w:t xml:space="preserve">bring together key stakeholders and experts from across industry, policy, </w:t>
            </w:r>
            <w:proofErr w:type="gramStart"/>
            <w:r w:rsidR="00EA53E9" w:rsidRPr="001F0145">
              <w:rPr>
                <w:rFonts w:ascii="Aptos" w:hAnsi="Aptos" w:cs="Helvetica"/>
              </w:rPr>
              <w:t>academia</w:t>
            </w:r>
            <w:proofErr w:type="gramEnd"/>
            <w:r w:rsidR="00EA53E9" w:rsidRPr="001F0145">
              <w:rPr>
                <w:rFonts w:ascii="Aptos" w:hAnsi="Aptos" w:cs="Helvetica"/>
              </w:rPr>
              <w:t xml:space="preserve"> and civil society to contribute technical insights and advice to </w:t>
            </w:r>
            <w:r w:rsidR="00656367" w:rsidRPr="001F0145">
              <w:rPr>
                <w:rFonts w:ascii="Aptos" w:hAnsi="Aptos" w:cs="Helvetica"/>
              </w:rPr>
              <w:t xml:space="preserve">the Australian taxonomy’s design. </w:t>
            </w:r>
            <w:r w:rsidRPr="001F0145">
              <w:rPr>
                <w:rFonts w:ascii="Aptos" w:hAnsi="Aptos" w:cs="Helvetica"/>
              </w:rPr>
              <w:t xml:space="preserve">The following subject-specific and sector-specific </w:t>
            </w:r>
            <w:r w:rsidR="008B1ADD" w:rsidRPr="001F0145">
              <w:rPr>
                <w:rFonts w:ascii="Aptos" w:hAnsi="Aptos" w:cs="Helvetica"/>
              </w:rPr>
              <w:t>TAGs</w:t>
            </w:r>
            <w:r w:rsidRPr="001F0145">
              <w:rPr>
                <w:rFonts w:ascii="Aptos" w:hAnsi="Aptos" w:cs="Helvetica"/>
              </w:rPr>
              <w:t xml:space="preserve"> have been established:</w:t>
            </w:r>
          </w:p>
          <w:p w14:paraId="36559332" w14:textId="10A2FCED" w:rsidR="00F778B6" w:rsidRPr="001F0145" w:rsidRDefault="00F778B6" w:rsidP="00F778B6">
            <w:pPr>
              <w:rPr>
                <w:rFonts w:ascii="Aptos" w:hAnsi="Aptos" w:cs="Helvetica"/>
              </w:rPr>
            </w:pPr>
            <w:r w:rsidRPr="001F0145">
              <w:rPr>
                <w:rFonts w:ascii="Aptos" w:hAnsi="Aptos" w:cs="Helvetica"/>
              </w:rPr>
              <w:t xml:space="preserve"> </w:t>
            </w:r>
          </w:p>
          <w:p w14:paraId="0BFCB9C3" w14:textId="57ED5F2A" w:rsidR="00F778B6" w:rsidRPr="001F0145" w:rsidRDefault="00F778B6" w:rsidP="007A18A0">
            <w:pPr>
              <w:pStyle w:val="bulletlist"/>
              <w:numPr>
                <w:ilvl w:val="0"/>
                <w:numId w:val="4"/>
              </w:numPr>
              <w:spacing w:after="0"/>
              <w:rPr>
                <w:rFonts w:ascii="Aptos" w:hAnsi="Aptos" w:cs="Helvetica"/>
                <w:sz w:val="24"/>
              </w:rPr>
            </w:pPr>
            <w:r w:rsidRPr="001F0145">
              <w:rPr>
                <w:rFonts w:ascii="Aptos" w:hAnsi="Aptos" w:cs="Helvetica"/>
                <w:sz w:val="24"/>
              </w:rPr>
              <w:t xml:space="preserve">Taxonomy Advisory Group on DNSH </w:t>
            </w:r>
          </w:p>
          <w:p w14:paraId="796F2416" w14:textId="730E0CDA" w:rsidR="00F778B6" w:rsidRPr="001F0145" w:rsidRDefault="00F778B6" w:rsidP="007A18A0">
            <w:pPr>
              <w:pStyle w:val="bulletlist"/>
              <w:numPr>
                <w:ilvl w:val="0"/>
                <w:numId w:val="4"/>
              </w:numPr>
              <w:spacing w:after="0"/>
              <w:rPr>
                <w:rFonts w:ascii="Aptos" w:hAnsi="Aptos" w:cs="Helvetica"/>
                <w:sz w:val="24"/>
              </w:rPr>
            </w:pPr>
            <w:r w:rsidRPr="001F0145">
              <w:rPr>
                <w:rFonts w:ascii="Aptos" w:hAnsi="Aptos" w:cs="Helvetica"/>
                <w:sz w:val="24"/>
              </w:rPr>
              <w:t xml:space="preserve">Taxonomy Advisory Group on MSS  </w:t>
            </w:r>
          </w:p>
          <w:p w14:paraId="37C84D50" w14:textId="7D100B71" w:rsidR="00F778B6" w:rsidRPr="001F0145" w:rsidRDefault="00F778B6" w:rsidP="007A18A0">
            <w:pPr>
              <w:pStyle w:val="bulletlist"/>
              <w:numPr>
                <w:ilvl w:val="0"/>
                <w:numId w:val="4"/>
              </w:numPr>
              <w:spacing w:after="0"/>
              <w:rPr>
                <w:rFonts w:ascii="Aptos" w:hAnsi="Aptos" w:cs="Helvetica"/>
                <w:sz w:val="24"/>
              </w:rPr>
            </w:pPr>
            <w:r w:rsidRPr="001F0145">
              <w:rPr>
                <w:rFonts w:ascii="Aptos" w:hAnsi="Aptos" w:cs="Helvetica"/>
                <w:sz w:val="24"/>
              </w:rPr>
              <w:t xml:space="preserve">Taxonomy Advisory Group on Electricity Generation and Supply </w:t>
            </w:r>
          </w:p>
          <w:p w14:paraId="38ECD653" w14:textId="5B792364" w:rsidR="00F778B6" w:rsidRPr="001F0145" w:rsidRDefault="00721D01" w:rsidP="007A18A0">
            <w:pPr>
              <w:pStyle w:val="bulletlist"/>
              <w:numPr>
                <w:ilvl w:val="0"/>
                <w:numId w:val="4"/>
              </w:numPr>
              <w:spacing w:after="0"/>
              <w:rPr>
                <w:rFonts w:ascii="Aptos" w:hAnsi="Aptos" w:cs="Helvetica"/>
                <w:sz w:val="24"/>
              </w:rPr>
            </w:pPr>
            <w:r w:rsidRPr="001F0145">
              <w:rPr>
                <w:rFonts w:ascii="Aptos" w:hAnsi="Aptos" w:cs="Helvetica"/>
                <w:sz w:val="24"/>
              </w:rPr>
              <w:t xml:space="preserve">Taxonomy Advisory </w:t>
            </w:r>
            <w:r w:rsidR="00F778B6" w:rsidRPr="001F0145">
              <w:rPr>
                <w:rFonts w:ascii="Aptos" w:hAnsi="Aptos" w:cs="Helvetica"/>
                <w:sz w:val="24"/>
              </w:rPr>
              <w:t xml:space="preserve">Group on Minerals, Mining and Metals </w:t>
            </w:r>
          </w:p>
          <w:p w14:paraId="43AB4E6E" w14:textId="77777777" w:rsidR="00F778B6" w:rsidRDefault="00F778B6" w:rsidP="007A18A0">
            <w:pPr>
              <w:pStyle w:val="bulletlist"/>
              <w:numPr>
                <w:ilvl w:val="0"/>
                <w:numId w:val="4"/>
              </w:numPr>
              <w:spacing w:after="0"/>
              <w:rPr>
                <w:rFonts w:ascii="Aptos" w:hAnsi="Aptos" w:cs="Helvetica"/>
                <w:i/>
                <w:sz w:val="24"/>
              </w:rPr>
            </w:pPr>
            <w:r w:rsidRPr="001F0145">
              <w:rPr>
                <w:rFonts w:ascii="Aptos" w:hAnsi="Aptos" w:cs="Helvetica"/>
                <w:sz w:val="24"/>
              </w:rPr>
              <w:t>Taxonomy Advisory Group on Buildings and Construction</w:t>
            </w:r>
            <w:r w:rsidRPr="001F0145">
              <w:rPr>
                <w:rFonts w:ascii="Aptos" w:hAnsi="Aptos" w:cs="Helvetica"/>
                <w:i/>
                <w:sz w:val="24"/>
              </w:rPr>
              <w:t xml:space="preserve"> </w:t>
            </w:r>
          </w:p>
          <w:p w14:paraId="187EC894" w14:textId="2669E188" w:rsidR="008C6FB9" w:rsidRPr="008C6FB9" w:rsidRDefault="008C6FB9" w:rsidP="007A18A0">
            <w:pPr>
              <w:pStyle w:val="bulletlist"/>
              <w:numPr>
                <w:ilvl w:val="0"/>
                <w:numId w:val="4"/>
              </w:numPr>
              <w:spacing w:after="0"/>
              <w:rPr>
                <w:rFonts w:ascii="Aptos" w:hAnsi="Aptos" w:cs="Helvetica"/>
                <w:i/>
                <w:sz w:val="24"/>
              </w:rPr>
            </w:pPr>
            <w:r>
              <w:rPr>
                <w:rFonts w:ascii="Aptos" w:hAnsi="Aptos" w:cs="Helvetica"/>
                <w:iCs/>
                <w:sz w:val="24"/>
              </w:rPr>
              <w:t xml:space="preserve">Taxonomy Advisory Group on Manufacturing and Industry </w:t>
            </w:r>
          </w:p>
          <w:p w14:paraId="14A5A30A" w14:textId="22DC1D30" w:rsidR="008C6FB9" w:rsidRPr="008C6FB9" w:rsidRDefault="008C6FB9" w:rsidP="007A18A0">
            <w:pPr>
              <w:pStyle w:val="bulletlist"/>
              <w:numPr>
                <w:ilvl w:val="0"/>
                <w:numId w:val="4"/>
              </w:numPr>
              <w:spacing w:after="0"/>
              <w:rPr>
                <w:rFonts w:ascii="Aptos" w:hAnsi="Aptos" w:cs="Helvetica"/>
                <w:i/>
                <w:sz w:val="24"/>
              </w:rPr>
            </w:pPr>
            <w:r>
              <w:rPr>
                <w:rFonts w:ascii="Aptos" w:hAnsi="Aptos" w:cs="Helvetica"/>
                <w:iCs/>
                <w:sz w:val="24"/>
              </w:rPr>
              <w:t xml:space="preserve">Taxonomy Advisory Group on Transport </w:t>
            </w:r>
          </w:p>
          <w:p w14:paraId="67DF23FD" w14:textId="5484492F" w:rsidR="008C6FB9" w:rsidRPr="001F0145" w:rsidRDefault="008C6FB9" w:rsidP="007A18A0">
            <w:pPr>
              <w:pStyle w:val="bulletlist"/>
              <w:numPr>
                <w:ilvl w:val="0"/>
                <w:numId w:val="4"/>
              </w:numPr>
              <w:spacing w:after="0"/>
              <w:rPr>
                <w:rFonts w:ascii="Aptos" w:hAnsi="Aptos" w:cs="Helvetica"/>
                <w:i/>
                <w:sz w:val="24"/>
              </w:rPr>
            </w:pPr>
            <w:r>
              <w:rPr>
                <w:rFonts w:ascii="Aptos" w:hAnsi="Aptos" w:cs="Helvetica"/>
                <w:iCs/>
                <w:sz w:val="24"/>
              </w:rPr>
              <w:t xml:space="preserve">Taxonomy Advisory Group on Agriculture and Land </w:t>
            </w:r>
          </w:p>
          <w:p w14:paraId="5D1C8004" w14:textId="77777777" w:rsidR="00CC2024" w:rsidRPr="001F0145" w:rsidRDefault="00CC2024" w:rsidP="00912AAE">
            <w:pPr>
              <w:pStyle w:val="bulletlist"/>
              <w:numPr>
                <w:ilvl w:val="0"/>
                <w:numId w:val="0"/>
              </w:numPr>
              <w:spacing w:after="0"/>
              <w:rPr>
                <w:rFonts w:ascii="Aptos" w:hAnsi="Aptos" w:cs="Helvetica"/>
                <w:sz w:val="24"/>
              </w:rPr>
            </w:pPr>
          </w:p>
          <w:p w14:paraId="18998762" w14:textId="770DEA89" w:rsidR="005A3C4A" w:rsidRPr="001F0145" w:rsidRDefault="00912AAE" w:rsidP="005B4BD4">
            <w:pPr>
              <w:pStyle w:val="bulletlist"/>
              <w:numPr>
                <w:ilvl w:val="0"/>
                <w:numId w:val="0"/>
              </w:numPr>
              <w:rPr>
                <w:rFonts w:ascii="Aptos" w:hAnsi="Aptos" w:cs="Helvetica"/>
                <w:sz w:val="24"/>
              </w:rPr>
            </w:pPr>
            <w:r w:rsidRPr="001F0145">
              <w:rPr>
                <w:rFonts w:ascii="Aptos" w:hAnsi="Aptos" w:cs="Helvetica"/>
                <w:sz w:val="24"/>
              </w:rPr>
              <w:t>A list of TAG members to date</w:t>
            </w:r>
            <w:r w:rsidR="005102E3" w:rsidRPr="001F0145">
              <w:rPr>
                <w:rFonts w:ascii="Aptos" w:hAnsi="Aptos" w:cs="Helvetica"/>
                <w:sz w:val="24"/>
              </w:rPr>
              <w:t xml:space="preserve"> can be found on our website </w:t>
            </w:r>
            <w:hyperlink r:id="rId21" w:history="1">
              <w:r w:rsidR="005102E3" w:rsidRPr="001F0145">
                <w:rPr>
                  <w:rStyle w:val="Hyperlink"/>
                  <w:rFonts w:ascii="Aptos" w:hAnsi="Aptos" w:cs="Helvetica"/>
                  <w:sz w:val="24"/>
                </w:rPr>
                <w:t>here</w:t>
              </w:r>
            </w:hyperlink>
            <w:r w:rsidRPr="001F0145">
              <w:rPr>
                <w:rFonts w:ascii="Aptos" w:hAnsi="Aptos" w:cs="Helvetica"/>
                <w:sz w:val="24"/>
              </w:rPr>
              <w:t>.</w:t>
            </w:r>
            <w:r w:rsidR="004F1EDF" w:rsidRPr="001F0145">
              <w:rPr>
                <w:rFonts w:ascii="Aptos" w:hAnsi="Aptos" w:cs="Helvetica"/>
                <w:sz w:val="24"/>
              </w:rPr>
              <w:t xml:space="preserve"> </w:t>
            </w:r>
            <w:r w:rsidR="005A3C4A">
              <w:rPr>
                <w:rFonts w:ascii="Aptos" w:hAnsi="Aptos" w:cs="Helvetica"/>
                <w:sz w:val="24"/>
              </w:rPr>
              <w:t>There are currently 8</w:t>
            </w:r>
            <w:r w:rsidR="00AF7D72">
              <w:rPr>
                <w:rFonts w:ascii="Aptos" w:hAnsi="Aptos" w:cs="Helvetica"/>
                <w:sz w:val="24"/>
              </w:rPr>
              <w:t>2</w:t>
            </w:r>
            <w:r w:rsidR="005A3C4A">
              <w:rPr>
                <w:rFonts w:ascii="Aptos" w:hAnsi="Aptos" w:cs="Helvetica"/>
                <w:sz w:val="24"/>
              </w:rPr>
              <w:t xml:space="preserve"> TAG members. </w:t>
            </w:r>
          </w:p>
        </w:tc>
      </w:tr>
      <w:tr w:rsidR="00094954" w:rsidRPr="001F0145" w14:paraId="48DE7E2B" w14:textId="77777777" w:rsidTr="005B4BD4">
        <w:trPr>
          <w:trHeight w:val="982"/>
        </w:trPr>
        <w:tc>
          <w:tcPr>
            <w:tcW w:w="1413" w:type="dxa"/>
          </w:tcPr>
          <w:p w14:paraId="03A5A962" w14:textId="2A6EE24D" w:rsidR="00094954" w:rsidRPr="001F0145" w:rsidRDefault="0085411E" w:rsidP="00094954">
            <w:pPr>
              <w:rPr>
                <w:rFonts w:ascii="Aptos" w:hAnsi="Aptos" w:cs="Helvetica"/>
                <w:i/>
              </w:rPr>
            </w:pPr>
            <w:r w:rsidRPr="001F0145">
              <w:rPr>
                <w:rFonts w:ascii="Aptos" w:hAnsi="Aptos" w:cs="Helvetica"/>
                <w:i/>
              </w:rPr>
              <w:t>What</w:t>
            </w:r>
          </w:p>
        </w:tc>
        <w:tc>
          <w:tcPr>
            <w:tcW w:w="8210" w:type="dxa"/>
          </w:tcPr>
          <w:p w14:paraId="1C7D5962" w14:textId="42C9A890" w:rsidR="00912AAE" w:rsidRPr="001F0145" w:rsidRDefault="00992D0E" w:rsidP="00094954">
            <w:pPr>
              <w:rPr>
                <w:rFonts w:ascii="Aptos" w:hAnsi="Aptos" w:cs="Helvetica"/>
              </w:rPr>
            </w:pPr>
            <w:r w:rsidRPr="001F0145">
              <w:rPr>
                <w:rFonts w:ascii="Aptos" w:hAnsi="Aptos" w:cs="Helvetica"/>
              </w:rPr>
              <w:t xml:space="preserve">The TAGs provide </w:t>
            </w:r>
            <w:r w:rsidR="008D4E4B" w:rsidRPr="001F0145">
              <w:rPr>
                <w:rFonts w:ascii="Aptos" w:hAnsi="Aptos" w:cs="Helvetica"/>
              </w:rPr>
              <w:t>advice and input into technical taxonomy work prepared by ASFI’s</w:t>
            </w:r>
            <w:r w:rsidR="00AF7D72">
              <w:rPr>
                <w:rFonts w:ascii="Aptos" w:hAnsi="Aptos" w:cs="Helvetica"/>
              </w:rPr>
              <w:t xml:space="preserve"> consortium of technical experts</w:t>
            </w:r>
            <w:r w:rsidR="00912AAE" w:rsidRPr="001F0145">
              <w:rPr>
                <w:rFonts w:ascii="Aptos" w:hAnsi="Aptos" w:cs="Helvetica"/>
              </w:rPr>
              <w:t xml:space="preserve"> to help shape </w:t>
            </w:r>
            <w:r w:rsidR="00AF7D72">
              <w:rPr>
                <w:rFonts w:ascii="Aptos" w:hAnsi="Aptos" w:cs="Helvetica"/>
              </w:rPr>
              <w:t>the TSC</w:t>
            </w:r>
            <w:r w:rsidR="00912AAE" w:rsidRPr="001F0145">
              <w:rPr>
                <w:rFonts w:ascii="Aptos" w:hAnsi="Aptos" w:cs="Helvetica"/>
              </w:rPr>
              <w:t xml:space="preserve"> for climate mitigation across the economic sectors that have been prioritised for development; DNSH criteria for those same sectors; and the application of MSS under the Australian taxonomy. </w:t>
            </w:r>
          </w:p>
          <w:p w14:paraId="55C61E13" w14:textId="77777777" w:rsidR="00912AAE" w:rsidRPr="001F0145" w:rsidRDefault="00912AAE" w:rsidP="00094954">
            <w:pPr>
              <w:rPr>
                <w:rFonts w:ascii="Aptos" w:hAnsi="Aptos" w:cs="Helvetica"/>
              </w:rPr>
            </w:pPr>
          </w:p>
          <w:p w14:paraId="08405194" w14:textId="6D878E42" w:rsidR="000C02F1" w:rsidRDefault="00912AAE" w:rsidP="005B4BD4">
            <w:pPr>
              <w:spacing w:after="240"/>
              <w:rPr>
                <w:rFonts w:ascii="Aptos" w:hAnsi="Aptos" w:cs="Helvetica"/>
              </w:rPr>
            </w:pPr>
            <w:r w:rsidRPr="001F0145">
              <w:rPr>
                <w:rFonts w:ascii="Aptos" w:hAnsi="Aptos" w:cs="Helvetica"/>
              </w:rPr>
              <w:t xml:space="preserve">The TAGs have been constituted by ASFI following an open expression of interest process, and do not have decision-making powers over the taxonomy’s development. </w:t>
            </w:r>
          </w:p>
          <w:p w14:paraId="055FD797" w14:textId="3C4F1A4F" w:rsidR="000C02F1" w:rsidRPr="001F0145" w:rsidRDefault="000C02F1" w:rsidP="005B4BD4">
            <w:pPr>
              <w:spacing w:after="240"/>
              <w:rPr>
                <w:rFonts w:ascii="Aptos" w:hAnsi="Aptos" w:cs="Helvetica"/>
              </w:rPr>
            </w:pPr>
            <w:r w:rsidRPr="001F0145">
              <w:rPr>
                <w:rFonts w:ascii="Aptos" w:hAnsi="Aptos" w:cs="Helvetica"/>
              </w:rPr>
              <w:t xml:space="preserve">Advice from TAG members </w:t>
            </w:r>
            <w:r>
              <w:rPr>
                <w:rFonts w:ascii="Aptos" w:hAnsi="Aptos" w:cs="Helvetica"/>
              </w:rPr>
              <w:t>is</w:t>
            </w:r>
            <w:r w:rsidRPr="001F0145">
              <w:rPr>
                <w:rFonts w:ascii="Aptos" w:hAnsi="Aptos" w:cs="Helvetica"/>
              </w:rPr>
              <w:t xml:space="preserve"> captured in meetings and through a series of targeted post-meeting surveys. </w:t>
            </w:r>
          </w:p>
        </w:tc>
      </w:tr>
      <w:tr w:rsidR="00094954" w:rsidRPr="001F0145" w14:paraId="6CE9322B" w14:textId="77777777" w:rsidTr="00CE6087">
        <w:trPr>
          <w:trHeight w:val="709"/>
        </w:trPr>
        <w:tc>
          <w:tcPr>
            <w:tcW w:w="1413" w:type="dxa"/>
          </w:tcPr>
          <w:p w14:paraId="5594D868" w14:textId="59A41446" w:rsidR="00094954" w:rsidRPr="001F0145" w:rsidRDefault="0085411E" w:rsidP="00094954">
            <w:pPr>
              <w:rPr>
                <w:rFonts w:ascii="Aptos" w:hAnsi="Aptos" w:cs="Helvetica"/>
                <w:i/>
              </w:rPr>
            </w:pPr>
            <w:r w:rsidRPr="001F0145">
              <w:rPr>
                <w:rFonts w:ascii="Aptos" w:hAnsi="Aptos" w:cs="Helvetica"/>
                <w:i/>
              </w:rPr>
              <w:t xml:space="preserve">When </w:t>
            </w:r>
          </w:p>
        </w:tc>
        <w:tc>
          <w:tcPr>
            <w:tcW w:w="8210" w:type="dxa"/>
          </w:tcPr>
          <w:p w14:paraId="72C157B7" w14:textId="4B0BACB3" w:rsidR="00425A3E" w:rsidRDefault="00460993" w:rsidP="005B4BD4">
            <w:pPr>
              <w:spacing w:after="240"/>
              <w:rPr>
                <w:rFonts w:ascii="Aptos" w:hAnsi="Aptos" w:cs="Helvetica"/>
              </w:rPr>
            </w:pPr>
            <w:r w:rsidRPr="001F0145">
              <w:rPr>
                <w:rFonts w:ascii="Aptos" w:hAnsi="Aptos" w:cs="Helvetica"/>
              </w:rPr>
              <w:t xml:space="preserve">The </w:t>
            </w:r>
            <w:r w:rsidR="00425A3E">
              <w:rPr>
                <w:rFonts w:ascii="Aptos" w:hAnsi="Aptos" w:cs="Helvetica"/>
              </w:rPr>
              <w:t xml:space="preserve">following TAGs were convened in October 2023 and have </w:t>
            </w:r>
            <w:r w:rsidR="000A4607">
              <w:rPr>
                <w:rFonts w:ascii="Aptos" w:hAnsi="Aptos" w:cs="Helvetica"/>
              </w:rPr>
              <w:t xml:space="preserve">since </w:t>
            </w:r>
            <w:r w:rsidR="00425A3E">
              <w:rPr>
                <w:rFonts w:ascii="Aptos" w:hAnsi="Aptos" w:cs="Helvetica"/>
              </w:rPr>
              <w:t xml:space="preserve">each </w:t>
            </w:r>
            <w:r w:rsidR="000A4607">
              <w:rPr>
                <w:rFonts w:ascii="Aptos" w:hAnsi="Aptos" w:cs="Helvetica"/>
              </w:rPr>
              <w:t xml:space="preserve">met </w:t>
            </w:r>
            <w:r w:rsidR="00425A3E">
              <w:rPr>
                <w:rFonts w:ascii="Aptos" w:hAnsi="Aptos" w:cs="Helvetica"/>
              </w:rPr>
              <w:t xml:space="preserve">between </w:t>
            </w:r>
            <w:r w:rsidR="002A52E5">
              <w:rPr>
                <w:rFonts w:ascii="Aptos" w:hAnsi="Aptos" w:cs="Helvetica"/>
              </w:rPr>
              <w:t xml:space="preserve">three and five times to provide input and feedback: </w:t>
            </w:r>
            <w:r w:rsidR="00425A3E">
              <w:rPr>
                <w:rFonts w:ascii="Aptos" w:hAnsi="Aptos" w:cs="Helvetica"/>
              </w:rPr>
              <w:t xml:space="preserve"> </w:t>
            </w:r>
          </w:p>
          <w:p w14:paraId="25091649" w14:textId="77777777" w:rsidR="00425A3E" w:rsidRPr="001F0145" w:rsidRDefault="00425A3E" w:rsidP="00425A3E">
            <w:pPr>
              <w:pStyle w:val="bulletlist"/>
              <w:numPr>
                <w:ilvl w:val="0"/>
                <w:numId w:val="4"/>
              </w:numPr>
              <w:spacing w:after="0"/>
              <w:rPr>
                <w:rFonts w:ascii="Aptos" w:hAnsi="Aptos" w:cs="Helvetica"/>
                <w:sz w:val="24"/>
              </w:rPr>
            </w:pPr>
            <w:r w:rsidRPr="001F0145">
              <w:rPr>
                <w:rFonts w:ascii="Aptos" w:hAnsi="Aptos" w:cs="Helvetica"/>
                <w:sz w:val="24"/>
              </w:rPr>
              <w:t xml:space="preserve">Taxonomy Advisory Group on DNSH </w:t>
            </w:r>
          </w:p>
          <w:p w14:paraId="68A8BFAA" w14:textId="77777777" w:rsidR="00425A3E" w:rsidRPr="001F0145" w:rsidRDefault="00425A3E" w:rsidP="00425A3E">
            <w:pPr>
              <w:pStyle w:val="bulletlist"/>
              <w:numPr>
                <w:ilvl w:val="0"/>
                <w:numId w:val="4"/>
              </w:numPr>
              <w:spacing w:after="0"/>
              <w:rPr>
                <w:rFonts w:ascii="Aptos" w:hAnsi="Aptos" w:cs="Helvetica"/>
                <w:sz w:val="24"/>
              </w:rPr>
            </w:pPr>
            <w:r w:rsidRPr="001F0145">
              <w:rPr>
                <w:rFonts w:ascii="Aptos" w:hAnsi="Aptos" w:cs="Helvetica"/>
                <w:sz w:val="24"/>
              </w:rPr>
              <w:t xml:space="preserve">Taxonomy Advisory Group on MSS  </w:t>
            </w:r>
          </w:p>
          <w:p w14:paraId="2CCDD219" w14:textId="77777777" w:rsidR="00425A3E" w:rsidRPr="001F0145" w:rsidRDefault="00425A3E" w:rsidP="00425A3E">
            <w:pPr>
              <w:pStyle w:val="bulletlist"/>
              <w:numPr>
                <w:ilvl w:val="0"/>
                <w:numId w:val="4"/>
              </w:numPr>
              <w:spacing w:after="0"/>
              <w:rPr>
                <w:rFonts w:ascii="Aptos" w:hAnsi="Aptos" w:cs="Helvetica"/>
                <w:sz w:val="24"/>
              </w:rPr>
            </w:pPr>
            <w:r w:rsidRPr="001F0145">
              <w:rPr>
                <w:rFonts w:ascii="Aptos" w:hAnsi="Aptos" w:cs="Helvetica"/>
                <w:sz w:val="24"/>
              </w:rPr>
              <w:t xml:space="preserve">Taxonomy Advisory Group on Electricity Generation and Supply </w:t>
            </w:r>
          </w:p>
          <w:p w14:paraId="6F01CDCA" w14:textId="77777777" w:rsidR="00425A3E" w:rsidRPr="001F0145" w:rsidRDefault="00425A3E" w:rsidP="00425A3E">
            <w:pPr>
              <w:pStyle w:val="bulletlist"/>
              <w:numPr>
                <w:ilvl w:val="0"/>
                <w:numId w:val="4"/>
              </w:numPr>
              <w:spacing w:after="0"/>
              <w:rPr>
                <w:rFonts w:ascii="Aptos" w:hAnsi="Aptos" w:cs="Helvetica"/>
                <w:sz w:val="24"/>
              </w:rPr>
            </w:pPr>
            <w:r w:rsidRPr="001F0145">
              <w:rPr>
                <w:rFonts w:ascii="Aptos" w:hAnsi="Aptos" w:cs="Helvetica"/>
                <w:sz w:val="24"/>
              </w:rPr>
              <w:t xml:space="preserve">Taxonomy Advisory Group on Minerals, Mining and Metals </w:t>
            </w:r>
          </w:p>
          <w:p w14:paraId="6C21A98C" w14:textId="77777777" w:rsidR="00716E44" w:rsidRPr="00716E44" w:rsidRDefault="00425A3E" w:rsidP="00716E44">
            <w:pPr>
              <w:pStyle w:val="bulletlist"/>
              <w:numPr>
                <w:ilvl w:val="0"/>
                <w:numId w:val="4"/>
              </w:numPr>
              <w:spacing w:after="0"/>
              <w:rPr>
                <w:rFonts w:ascii="Aptos" w:hAnsi="Aptos" w:cs="Helvetica"/>
                <w:i/>
                <w:sz w:val="24"/>
              </w:rPr>
            </w:pPr>
            <w:r w:rsidRPr="001F0145">
              <w:rPr>
                <w:rFonts w:ascii="Aptos" w:hAnsi="Aptos" w:cs="Helvetica"/>
                <w:sz w:val="24"/>
              </w:rPr>
              <w:t>Taxonomy Advisory Group on Buildings and Construction</w:t>
            </w:r>
          </w:p>
          <w:p w14:paraId="12652D82" w14:textId="77777777" w:rsidR="009270F3" w:rsidRDefault="009270F3" w:rsidP="009270F3">
            <w:pPr>
              <w:pStyle w:val="bulletlist"/>
              <w:numPr>
                <w:ilvl w:val="0"/>
                <w:numId w:val="0"/>
              </w:numPr>
              <w:spacing w:after="0"/>
              <w:rPr>
                <w:rFonts w:ascii="Aptos" w:hAnsi="Aptos" w:cs="Helvetica"/>
                <w:sz w:val="24"/>
              </w:rPr>
            </w:pPr>
          </w:p>
          <w:p w14:paraId="7E9F383A" w14:textId="45EB64AB" w:rsidR="000A4607" w:rsidRDefault="00425A3E" w:rsidP="009270F3">
            <w:pPr>
              <w:pStyle w:val="bulletlist"/>
              <w:numPr>
                <w:ilvl w:val="0"/>
                <w:numId w:val="0"/>
              </w:numPr>
              <w:spacing w:after="0"/>
              <w:rPr>
                <w:rFonts w:ascii="Aptos" w:hAnsi="Aptos" w:cs="Helvetica"/>
                <w:sz w:val="24"/>
              </w:rPr>
            </w:pPr>
            <w:r w:rsidRPr="00716E44">
              <w:rPr>
                <w:rFonts w:ascii="Aptos" w:hAnsi="Aptos" w:cs="Helvetica"/>
                <w:sz w:val="24"/>
              </w:rPr>
              <w:t xml:space="preserve">The </w:t>
            </w:r>
            <w:r w:rsidR="000A4607" w:rsidRPr="00716E44">
              <w:rPr>
                <w:rFonts w:ascii="Aptos" w:hAnsi="Aptos" w:cs="Helvetica"/>
                <w:sz w:val="24"/>
              </w:rPr>
              <w:t xml:space="preserve">following TAGs were convened in </w:t>
            </w:r>
            <w:r w:rsidR="00716E44" w:rsidRPr="00716E44">
              <w:rPr>
                <w:rFonts w:ascii="Aptos" w:hAnsi="Aptos" w:cs="Helvetica"/>
                <w:sz w:val="24"/>
              </w:rPr>
              <w:t xml:space="preserve">May 2024 and </w:t>
            </w:r>
            <w:r w:rsidR="009270F3">
              <w:rPr>
                <w:rFonts w:ascii="Aptos" w:hAnsi="Aptos" w:cs="Helvetica"/>
                <w:sz w:val="24"/>
              </w:rPr>
              <w:t xml:space="preserve">met together for an initial orientation meeting in June 2024: </w:t>
            </w:r>
          </w:p>
          <w:p w14:paraId="1CFE7A26" w14:textId="77777777" w:rsidR="009270F3" w:rsidRDefault="009270F3" w:rsidP="009270F3">
            <w:pPr>
              <w:pStyle w:val="bulletlist"/>
              <w:numPr>
                <w:ilvl w:val="0"/>
                <w:numId w:val="0"/>
              </w:numPr>
              <w:spacing w:after="0"/>
              <w:rPr>
                <w:rFonts w:ascii="Aptos" w:hAnsi="Aptos" w:cs="Helvetica"/>
                <w:sz w:val="24"/>
              </w:rPr>
            </w:pPr>
          </w:p>
          <w:p w14:paraId="50C33E5E" w14:textId="77777777" w:rsidR="009270F3" w:rsidRPr="008C6FB9" w:rsidRDefault="009270F3" w:rsidP="009270F3">
            <w:pPr>
              <w:pStyle w:val="bulletlist"/>
              <w:numPr>
                <w:ilvl w:val="0"/>
                <w:numId w:val="4"/>
              </w:numPr>
              <w:spacing w:after="0"/>
              <w:rPr>
                <w:rFonts w:ascii="Aptos" w:hAnsi="Aptos" w:cs="Helvetica"/>
                <w:i/>
                <w:sz w:val="24"/>
              </w:rPr>
            </w:pPr>
            <w:r>
              <w:rPr>
                <w:rFonts w:ascii="Aptos" w:hAnsi="Aptos" w:cs="Helvetica"/>
                <w:iCs/>
                <w:sz w:val="24"/>
              </w:rPr>
              <w:t xml:space="preserve">Taxonomy Advisory Group on Manufacturing and Industry </w:t>
            </w:r>
          </w:p>
          <w:p w14:paraId="6D3C7DC7" w14:textId="77777777" w:rsidR="009270F3" w:rsidRPr="008C6FB9" w:rsidRDefault="009270F3" w:rsidP="009270F3">
            <w:pPr>
              <w:pStyle w:val="bulletlist"/>
              <w:numPr>
                <w:ilvl w:val="0"/>
                <w:numId w:val="4"/>
              </w:numPr>
              <w:spacing w:after="0"/>
              <w:rPr>
                <w:rFonts w:ascii="Aptos" w:hAnsi="Aptos" w:cs="Helvetica"/>
                <w:i/>
                <w:sz w:val="24"/>
              </w:rPr>
            </w:pPr>
            <w:r>
              <w:rPr>
                <w:rFonts w:ascii="Aptos" w:hAnsi="Aptos" w:cs="Helvetica"/>
                <w:iCs/>
                <w:sz w:val="24"/>
              </w:rPr>
              <w:t xml:space="preserve">Taxonomy Advisory Group on Transport </w:t>
            </w:r>
          </w:p>
          <w:p w14:paraId="16F908F1" w14:textId="77777777" w:rsidR="00094954" w:rsidRPr="009270F3" w:rsidRDefault="009270F3" w:rsidP="009270F3">
            <w:pPr>
              <w:pStyle w:val="bulletlist"/>
              <w:numPr>
                <w:ilvl w:val="0"/>
                <w:numId w:val="4"/>
              </w:numPr>
              <w:spacing w:after="0"/>
              <w:rPr>
                <w:rFonts w:ascii="Aptos" w:hAnsi="Aptos" w:cs="Helvetica"/>
                <w:i/>
                <w:sz w:val="24"/>
              </w:rPr>
            </w:pPr>
            <w:r>
              <w:rPr>
                <w:rFonts w:ascii="Aptos" w:hAnsi="Aptos" w:cs="Helvetica"/>
                <w:iCs/>
                <w:sz w:val="24"/>
              </w:rPr>
              <w:t xml:space="preserve">Taxonomy Advisory Group on Agriculture and Land </w:t>
            </w:r>
          </w:p>
          <w:p w14:paraId="4A3EF927" w14:textId="15AECDE9" w:rsidR="009270F3" w:rsidRPr="009270F3" w:rsidRDefault="009270F3" w:rsidP="009270F3">
            <w:pPr>
              <w:pStyle w:val="bulletlist"/>
              <w:numPr>
                <w:ilvl w:val="0"/>
                <w:numId w:val="0"/>
              </w:numPr>
              <w:spacing w:after="0"/>
              <w:ind w:left="360"/>
              <w:rPr>
                <w:rFonts w:ascii="Aptos" w:hAnsi="Aptos" w:cs="Helvetica"/>
                <w:i/>
                <w:sz w:val="24"/>
              </w:rPr>
            </w:pPr>
          </w:p>
        </w:tc>
      </w:tr>
      <w:tr w:rsidR="0085411E" w:rsidRPr="001F0145" w14:paraId="0B66CE4E" w14:textId="77777777" w:rsidTr="00593368">
        <w:trPr>
          <w:trHeight w:val="1992"/>
        </w:trPr>
        <w:tc>
          <w:tcPr>
            <w:tcW w:w="1413" w:type="dxa"/>
          </w:tcPr>
          <w:p w14:paraId="7CE73FF0" w14:textId="23CF60C6" w:rsidR="0085411E" w:rsidRPr="001F0145" w:rsidRDefault="0085411E" w:rsidP="0085411E">
            <w:pPr>
              <w:rPr>
                <w:rFonts w:ascii="Aptos" w:hAnsi="Aptos" w:cs="Helvetica"/>
                <w:i/>
              </w:rPr>
            </w:pPr>
            <w:r w:rsidRPr="001F0145">
              <w:rPr>
                <w:rFonts w:ascii="Aptos" w:hAnsi="Aptos" w:cs="Helvetica"/>
                <w:i/>
              </w:rPr>
              <w:lastRenderedPageBreak/>
              <w:t>Key Insights</w:t>
            </w:r>
          </w:p>
        </w:tc>
        <w:tc>
          <w:tcPr>
            <w:tcW w:w="8210" w:type="dxa"/>
          </w:tcPr>
          <w:p w14:paraId="488FE404" w14:textId="4004DF78" w:rsidR="00CD08B7" w:rsidRPr="00530865" w:rsidRDefault="004F1EDF" w:rsidP="00530865">
            <w:pPr>
              <w:pStyle w:val="ListParagraph"/>
              <w:numPr>
                <w:ilvl w:val="0"/>
                <w:numId w:val="44"/>
              </w:numPr>
              <w:spacing w:after="240"/>
              <w:rPr>
                <w:rFonts w:ascii="Aptos" w:hAnsi="Aptos" w:cs="Helvetica"/>
                <w:sz w:val="24"/>
                <w:szCs w:val="24"/>
              </w:rPr>
            </w:pPr>
            <w:r w:rsidRPr="00530865">
              <w:rPr>
                <w:rFonts w:ascii="Aptos" w:hAnsi="Aptos" w:cs="Helvetica"/>
                <w:sz w:val="24"/>
                <w:szCs w:val="24"/>
                <w:u w:val="single"/>
              </w:rPr>
              <w:t xml:space="preserve">October </w:t>
            </w:r>
            <w:r w:rsidR="00CD08B7" w:rsidRPr="00530865">
              <w:rPr>
                <w:rFonts w:ascii="Aptos" w:hAnsi="Aptos" w:cs="Helvetica"/>
                <w:sz w:val="24"/>
                <w:szCs w:val="24"/>
                <w:u w:val="single"/>
              </w:rPr>
              <w:t>2023</w:t>
            </w:r>
            <w:r w:rsidR="00B10F27" w:rsidRPr="00530865">
              <w:rPr>
                <w:rFonts w:ascii="Aptos" w:hAnsi="Aptos" w:cs="Helvetica"/>
                <w:sz w:val="24"/>
                <w:szCs w:val="24"/>
                <w:u w:val="single"/>
              </w:rPr>
              <w:t xml:space="preserve"> TAG meetings</w:t>
            </w:r>
            <w:r w:rsidRPr="00530865">
              <w:rPr>
                <w:rFonts w:ascii="Aptos" w:hAnsi="Aptos" w:cs="Helvetica"/>
                <w:sz w:val="24"/>
                <w:szCs w:val="24"/>
              </w:rPr>
              <w:t xml:space="preserve">: </w:t>
            </w:r>
            <w:r w:rsidR="00B10F27" w:rsidRPr="00530865">
              <w:rPr>
                <w:rFonts w:ascii="Aptos" w:hAnsi="Aptos" w:cs="Helvetica"/>
                <w:sz w:val="24"/>
                <w:szCs w:val="24"/>
              </w:rPr>
              <w:t xml:space="preserve">ASFI introduced the Australian Taxonomy Project. </w:t>
            </w:r>
            <w:r w:rsidR="00B10D88" w:rsidRPr="00530865">
              <w:rPr>
                <w:rFonts w:ascii="Aptos" w:hAnsi="Aptos" w:cs="Helvetica"/>
                <w:sz w:val="24"/>
                <w:szCs w:val="24"/>
              </w:rPr>
              <w:t>TAG members</w:t>
            </w:r>
            <w:r w:rsidR="00AD5E75" w:rsidRPr="00530865">
              <w:rPr>
                <w:rFonts w:ascii="Aptos" w:hAnsi="Aptos" w:cs="Helvetica"/>
                <w:sz w:val="24"/>
                <w:szCs w:val="24"/>
              </w:rPr>
              <w:t xml:space="preserve"> </w:t>
            </w:r>
            <w:r w:rsidR="00B10D88" w:rsidRPr="00530865">
              <w:rPr>
                <w:rFonts w:ascii="Aptos" w:hAnsi="Aptos" w:cs="Helvetica"/>
                <w:sz w:val="24"/>
                <w:szCs w:val="24"/>
              </w:rPr>
              <w:t>provided</w:t>
            </w:r>
            <w:r w:rsidR="00AD5E75" w:rsidRPr="00530865">
              <w:rPr>
                <w:rFonts w:ascii="Aptos" w:hAnsi="Aptos" w:cs="Helvetica"/>
                <w:sz w:val="24"/>
                <w:szCs w:val="24"/>
              </w:rPr>
              <w:t xml:space="preserve"> </w:t>
            </w:r>
            <w:r w:rsidR="00B10F27" w:rsidRPr="00530865">
              <w:rPr>
                <w:rFonts w:ascii="Aptos" w:hAnsi="Aptos" w:cs="Helvetica"/>
                <w:sz w:val="24"/>
                <w:szCs w:val="24"/>
              </w:rPr>
              <w:t>initial</w:t>
            </w:r>
            <w:r w:rsidR="00AD5E75" w:rsidRPr="00530865">
              <w:rPr>
                <w:rFonts w:ascii="Aptos" w:hAnsi="Aptos" w:cs="Helvetica"/>
                <w:sz w:val="24"/>
                <w:szCs w:val="24"/>
              </w:rPr>
              <w:t xml:space="preserve"> technical advice</w:t>
            </w:r>
            <w:r w:rsidR="00B10D88" w:rsidRPr="00530865">
              <w:rPr>
                <w:rFonts w:ascii="Aptos" w:hAnsi="Aptos" w:cs="Helvetica"/>
                <w:sz w:val="24"/>
                <w:szCs w:val="24"/>
              </w:rPr>
              <w:t xml:space="preserve"> </w:t>
            </w:r>
            <w:r w:rsidR="00A410BA" w:rsidRPr="00530865">
              <w:rPr>
                <w:rFonts w:ascii="Aptos" w:hAnsi="Aptos" w:cs="Helvetica"/>
                <w:sz w:val="24"/>
                <w:szCs w:val="24"/>
              </w:rPr>
              <w:t xml:space="preserve">– especially in relation to data and information sources – to inform the development of </w:t>
            </w:r>
            <w:r w:rsidR="00B10D88" w:rsidRPr="00530865">
              <w:rPr>
                <w:rFonts w:ascii="Aptos" w:hAnsi="Aptos" w:cs="Helvetica"/>
                <w:sz w:val="24"/>
                <w:szCs w:val="24"/>
              </w:rPr>
              <w:t>TSC</w:t>
            </w:r>
            <w:r w:rsidR="00A410BA" w:rsidRPr="00530865">
              <w:rPr>
                <w:rFonts w:ascii="Aptos" w:hAnsi="Aptos" w:cs="Helvetica"/>
                <w:sz w:val="24"/>
                <w:szCs w:val="24"/>
              </w:rPr>
              <w:t xml:space="preserve"> for electricity generation and supply</w:t>
            </w:r>
            <w:r w:rsidR="00593368" w:rsidRPr="00530865">
              <w:rPr>
                <w:rFonts w:ascii="Aptos" w:hAnsi="Aptos" w:cs="Helvetica"/>
                <w:sz w:val="24"/>
                <w:szCs w:val="24"/>
              </w:rPr>
              <w:t>;</w:t>
            </w:r>
            <w:r w:rsidR="00A410BA" w:rsidRPr="00530865">
              <w:rPr>
                <w:rFonts w:ascii="Aptos" w:hAnsi="Aptos" w:cs="Helvetica"/>
                <w:sz w:val="24"/>
                <w:szCs w:val="24"/>
              </w:rPr>
              <w:t xml:space="preserve"> minerals mining and metals</w:t>
            </w:r>
            <w:r w:rsidR="00593368" w:rsidRPr="00530865">
              <w:rPr>
                <w:rFonts w:ascii="Aptos" w:hAnsi="Aptos" w:cs="Helvetica"/>
                <w:sz w:val="24"/>
                <w:szCs w:val="24"/>
              </w:rPr>
              <w:t>;</w:t>
            </w:r>
            <w:r w:rsidR="00A410BA" w:rsidRPr="00530865">
              <w:rPr>
                <w:rFonts w:ascii="Aptos" w:hAnsi="Aptos" w:cs="Helvetica"/>
                <w:sz w:val="24"/>
                <w:szCs w:val="24"/>
              </w:rPr>
              <w:t xml:space="preserve"> and buildings and construction, a</w:t>
            </w:r>
            <w:r w:rsidR="00593368" w:rsidRPr="00530865">
              <w:rPr>
                <w:rFonts w:ascii="Aptos" w:hAnsi="Aptos" w:cs="Helvetica"/>
                <w:sz w:val="24"/>
                <w:szCs w:val="24"/>
              </w:rPr>
              <w:t xml:space="preserve">s well as </w:t>
            </w:r>
            <w:r w:rsidR="00A410BA" w:rsidRPr="00530865">
              <w:rPr>
                <w:rFonts w:ascii="Aptos" w:hAnsi="Aptos" w:cs="Helvetica"/>
                <w:sz w:val="24"/>
                <w:szCs w:val="24"/>
              </w:rPr>
              <w:t>further qualifying criteria for DNSH and MSS.</w:t>
            </w:r>
            <w:r w:rsidR="00C538DB" w:rsidRPr="00530865">
              <w:rPr>
                <w:rFonts w:ascii="Aptos" w:hAnsi="Aptos" w:cs="Helvetica"/>
                <w:sz w:val="24"/>
                <w:szCs w:val="24"/>
              </w:rPr>
              <w:t xml:space="preserve"> </w:t>
            </w:r>
          </w:p>
          <w:p w14:paraId="7FCD0955" w14:textId="2CF3BBF6" w:rsidR="00D01166" w:rsidRPr="00530865" w:rsidRDefault="001349EA" w:rsidP="00530865">
            <w:pPr>
              <w:pStyle w:val="ListParagraph"/>
              <w:numPr>
                <w:ilvl w:val="0"/>
                <w:numId w:val="44"/>
              </w:numPr>
              <w:spacing w:after="240"/>
              <w:rPr>
                <w:rFonts w:ascii="Aptos" w:hAnsi="Aptos" w:cs="Helvetica"/>
                <w:sz w:val="24"/>
                <w:szCs w:val="24"/>
              </w:rPr>
            </w:pPr>
            <w:r w:rsidRPr="00530865">
              <w:rPr>
                <w:rFonts w:ascii="Aptos" w:hAnsi="Aptos" w:cs="Helvetica"/>
                <w:sz w:val="24"/>
                <w:szCs w:val="24"/>
                <w:u w:val="single"/>
              </w:rPr>
              <w:t>November 2023</w:t>
            </w:r>
            <w:r w:rsidR="00B10F27" w:rsidRPr="00530865">
              <w:rPr>
                <w:rFonts w:ascii="Aptos" w:hAnsi="Aptos" w:cs="Helvetica"/>
                <w:sz w:val="24"/>
                <w:szCs w:val="24"/>
                <w:u w:val="single"/>
              </w:rPr>
              <w:t xml:space="preserve"> TAG meetings</w:t>
            </w:r>
            <w:r w:rsidR="00541C26" w:rsidRPr="00530865">
              <w:rPr>
                <w:rFonts w:ascii="Aptos" w:hAnsi="Aptos" w:cs="Helvetica"/>
                <w:sz w:val="24"/>
                <w:szCs w:val="24"/>
                <w:u w:val="single"/>
              </w:rPr>
              <w:t>:</w:t>
            </w:r>
            <w:r w:rsidRPr="00530865">
              <w:rPr>
                <w:rFonts w:ascii="Aptos" w:hAnsi="Aptos" w:cs="Helvetica"/>
                <w:sz w:val="24"/>
                <w:szCs w:val="24"/>
              </w:rPr>
              <w:t xml:space="preserve"> </w:t>
            </w:r>
            <w:r w:rsidR="00773091" w:rsidRPr="00530865">
              <w:rPr>
                <w:rFonts w:ascii="Aptos" w:hAnsi="Aptos" w:cs="Helvetica"/>
                <w:sz w:val="24"/>
                <w:szCs w:val="24"/>
              </w:rPr>
              <w:t xml:space="preserve">Sector-specific TAGs provided </w:t>
            </w:r>
            <w:r w:rsidR="00D01166" w:rsidRPr="00530865">
              <w:rPr>
                <w:rFonts w:ascii="Aptos" w:hAnsi="Aptos" w:cs="Helvetica"/>
                <w:sz w:val="24"/>
                <w:szCs w:val="24"/>
              </w:rPr>
              <w:t xml:space="preserve">initial feedback </w:t>
            </w:r>
            <w:r w:rsidR="00773091" w:rsidRPr="00530865">
              <w:rPr>
                <w:rFonts w:ascii="Aptos" w:hAnsi="Aptos" w:cs="Helvetica"/>
                <w:sz w:val="24"/>
                <w:szCs w:val="24"/>
              </w:rPr>
              <w:t xml:space="preserve">on the scope and bounding of the </w:t>
            </w:r>
            <w:r w:rsidR="00D01166" w:rsidRPr="00530865">
              <w:rPr>
                <w:rFonts w:ascii="Aptos" w:hAnsi="Aptos" w:cs="Helvetica"/>
                <w:sz w:val="24"/>
                <w:szCs w:val="24"/>
              </w:rPr>
              <w:t xml:space="preserve">sectors and </w:t>
            </w:r>
            <w:r w:rsidR="00E7431F">
              <w:rPr>
                <w:rFonts w:ascii="Aptos" w:hAnsi="Aptos" w:cs="Helvetica"/>
                <w:sz w:val="24"/>
                <w:szCs w:val="24"/>
              </w:rPr>
              <w:t xml:space="preserve">the proposed </w:t>
            </w:r>
            <w:r w:rsidR="00D01166" w:rsidRPr="00530865">
              <w:rPr>
                <w:rFonts w:ascii="Aptos" w:hAnsi="Aptos" w:cs="Helvetica"/>
                <w:sz w:val="24"/>
                <w:szCs w:val="24"/>
              </w:rPr>
              <w:t>activit</w:t>
            </w:r>
            <w:r w:rsidR="00286E1A" w:rsidRPr="00530865">
              <w:rPr>
                <w:rFonts w:ascii="Aptos" w:hAnsi="Aptos" w:cs="Helvetica"/>
                <w:sz w:val="24"/>
                <w:szCs w:val="24"/>
              </w:rPr>
              <w:t>y classification</w:t>
            </w:r>
            <w:r w:rsidR="00D01166" w:rsidRPr="00530865">
              <w:rPr>
                <w:rFonts w:ascii="Aptos" w:hAnsi="Aptos" w:cs="Helvetica"/>
                <w:sz w:val="24"/>
                <w:szCs w:val="24"/>
              </w:rPr>
              <w:t>.</w:t>
            </w:r>
            <w:r w:rsidR="00541C26" w:rsidRPr="00530865">
              <w:rPr>
                <w:rFonts w:ascii="Aptos" w:hAnsi="Aptos" w:cs="Helvetica"/>
                <w:sz w:val="24"/>
                <w:szCs w:val="24"/>
              </w:rPr>
              <w:t xml:space="preserve"> The DNSH and MSS TAGs provide</w:t>
            </w:r>
            <w:r w:rsidR="00C40014">
              <w:rPr>
                <w:rFonts w:ascii="Aptos" w:hAnsi="Aptos" w:cs="Helvetica"/>
                <w:sz w:val="24"/>
                <w:szCs w:val="24"/>
              </w:rPr>
              <w:t xml:space="preserve">d </w:t>
            </w:r>
            <w:r w:rsidR="00EB669B">
              <w:rPr>
                <w:rFonts w:ascii="Aptos" w:hAnsi="Aptos" w:cs="Helvetica"/>
                <w:sz w:val="24"/>
                <w:szCs w:val="24"/>
              </w:rPr>
              <w:t xml:space="preserve">early </w:t>
            </w:r>
            <w:r w:rsidR="00C40014">
              <w:rPr>
                <w:rFonts w:ascii="Aptos" w:hAnsi="Aptos" w:cs="Helvetica"/>
                <w:sz w:val="24"/>
                <w:szCs w:val="24"/>
              </w:rPr>
              <w:t xml:space="preserve">input into the taxonomy’s </w:t>
            </w:r>
            <w:r w:rsidR="00F85838">
              <w:rPr>
                <w:rFonts w:ascii="Aptos" w:hAnsi="Aptos" w:cs="Helvetica"/>
                <w:sz w:val="24"/>
                <w:szCs w:val="24"/>
              </w:rPr>
              <w:t xml:space="preserve">draft </w:t>
            </w:r>
            <w:r w:rsidR="00C40014">
              <w:rPr>
                <w:rFonts w:ascii="Aptos" w:hAnsi="Aptos" w:cs="Helvetica"/>
                <w:sz w:val="24"/>
                <w:szCs w:val="24"/>
              </w:rPr>
              <w:t xml:space="preserve">environmental objective headline ambitions and core social pillars respectively. </w:t>
            </w:r>
            <w:r w:rsidR="00286E1A" w:rsidRPr="00530865">
              <w:rPr>
                <w:rFonts w:ascii="Aptos" w:hAnsi="Aptos" w:cs="Helvetica"/>
                <w:sz w:val="24"/>
                <w:szCs w:val="24"/>
              </w:rPr>
              <w:t xml:space="preserve"> </w:t>
            </w:r>
            <w:r w:rsidR="00541C26" w:rsidRPr="00530865">
              <w:rPr>
                <w:rFonts w:ascii="Aptos" w:hAnsi="Aptos" w:cs="Helvetica"/>
                <w:sz w:val="24"/>
                <w:szCs w:val="24"/>
              </w:rPr>
              <w:t xml:space="preserve"> </w:t>
            </w:r>
            <w:r w:rsidR="00D01166" w:rsidRPr="00530865">
              <w:rPr>
                <w:rFonts w:ascii="Aptos" w:hAnsi="Aptos" w:cs="Helvetica"/>
                <w:sz w:val="24"/>
                <w:szCs w:val="24"/>
              </w:rPr>
              <w:t xml:space="preserve"> </w:t>
            </w:r>
          </w:p>
          <w:p w14:paraId="447783E7" w14:textId="6EB4B561" w:rsidR="00840811" w:rsidRPr="00D41F70" w:rsidRDefault="00541C26" w:rsidP="00530865">
            <w:pPr>
              <w:pStyle w:val="ListParagraph"/>
              <w:numPr>
                <w:ilvl w:val="0"/>
                <w:numId w:val="44"/>
              </w:numPr>
              <w:spacing w:after="240"/>
              <w:rPr>
                <w:rFonts w:ascii="Aptos" w:hAnsi="Aptos" w:cs="Helvetica"/>
                <w:sz w:val="24"/>
                <w:szCs w:val="24"/>
                <w:u w:val="single"/>
              </w:rPr>
            </w:pPr>
            <w:r w:rsidRPr="00530865">
              <w:rPr>
                <w:rFonts w:ascii="Aptos" w:hAnsi="Aptos" w:cs="Helvetica"/>
                <w:sz w:val="24"/>
                <w:szCs w:val="24"/>
                <w:u w:val="single"/>
              </w:rPr>
              <w:t>February 2024</w:t>
            </w:r>
            <w:r w:rsidR="00B10F27" w:rsidRPr="00530865">
              <w:rPr>
                <w:rFonts w:ascii="Aptos" w:hAnsi="Aptos" w:cs="Helvetica"/>
                <w:sz w:val="24"/>
                <w:szCs w:val="24"/>
                <w:u w:val="single"/>
              </w:rPr>
              <w:t xml:space="preserve"> TAG meetings</w:t>
            </w:r>
            <w:r w:rsidRPr="00530865">
              <w:rPr>
                <w:rFonts w:ascii="Aptos" w:hAnsi="Aptos" w:cs="Helvetica"/>
                <w:sz w:val="24"/>
                <w:szCs w:val="24"/>
                <w:u w:val="single"/>
              </w:rPr>
              <w:t>:</w:t>
            </w:r>
            <w:r w:rsidRPr="00530865">
              <w:rPr>
                <w:rFonts w:ascii="Aptos" w:hAnsi="Aptos" w:cs="Helvetica"/>
                <w:sz w:val="24"/>
                <w:szCs w:val="24"/>
              </w:rPr>
              <w:t xml:space="preserve"> </w:t>
            </w:r>
            <w:r w:rsidR="005D7D6C" w:rsidRPr="00530865">
              <w:rPr>
                <w:rFonts w:ascii="Aptos" w:hAnsi="Aptos" w:cs="Helvetica"/>
                <w:sz w:val="24"/>
                <w:szCs w:val="24"/>
              </w:rPr>
              <w:t>Sector-specific TAGs provided feedback on the methodolog</w:t>
            </w:r>
            <w:r w:rsidR="001C6281" w:rsidRPr="00530865">
              <w:rPr>
                <w:rFonts w:ascii="Aptos" w:hAnsi="Aptos" w:cs="Helvetica"/>
                <w:sz w:val="24"/>
                <w:szCs w:val="24"/>
              </w:rPr>
              <w:t>ies</w:t>
            </w:r>
            <w:r w:rsidR="005D7D6C" w:rsidRPr="00530865">
              <w:rPr>
                <w:rFonts w:ascii="Aptos" w:hAnsi="Aptos" w:cs="Helvetica"/>
                <w:sz w:val="24"/>
                <w:szCs w:val="24"/>
              </w:rPr>
              <w:t xml:space="preserve"> for developing TSC</w:t>
            </w:r>
            <w:r w:rsidR="004127B8" w:rsidRPr="00530865">
              <w:rPr>
                <w:rFonts w:ascii="Aptos" w:hAnsi="Aptos" w:cs="Helvetica"/>
                <w:sz w:val="24"/>
                <w:szCs w:val="24"/>
              </w:rPr>
              <w:t xml:space="preserve"> </w:t>
            </w:r>
            <w:r w:rsidR="001C6281" w:rsidRPr="00530865">
              <w:rPr>
                <w:rFonts w:ascii="Aptos" w:hAnsi="Aptos" w:cs="Helvetica"/>
                <w:sz w:val="24"/>
                <w:szCs w:val="24"/>
              </w:rPr>
              <w:t xml:space="preserve">and </w:t>
            </w:r>
            <w:r w:rsidR="004127B8" w:rsidRPr="00530865">
              <w:rPr>
                <w:rFonts w:ascii="Aptos" w:hAnsi="Aptos" w:cs="Helvetica"/>
                <w:sz w:val="24"/>
                <w:szCs w:val="24"/>
              </w:rPr>
              <w:t>the data underlying the</w:t>
            </w:r>
            <w:r w:rsidR="001C6281" w:rsidRPr="00530865">
              <w:rPr>
                <w:rFonts w:ascii="Aptos" w:hAnsi="Aptos" w:cs="Helvetica"/>
                <w:sz w:val="24"/>
                <w:szCs w:val="24"/>
              </w:rPr>
              <w:t xml:space="preserve">ir </w:t>
            </w:r>
            <w:r w:rsidR="004127B8" w:rsidRPr="00530865">
              <w:rPr>
                <w:rFonts w:ascii="Aptos" w:hAnsi="Aptos" w:cs="Helvetica"/>
                <w:sz w:val="24"/>
                <w:szCs w:val="24"/>
              </w:rPr>
              <w:t>design</w:t>
            </w:r>
            <w:r w:rsidR="001C6281" w:rsidRPr="00530865">
              <w:rPr>
                <w:rFonts w:ascii="Aptos" w:hAnsi="Aptos" w:cs="Helvetica"/>
                <w:sz w:val="24"/>
                <w:szCs w:val="24"/>
              </w:rPr>
              <w:t>.</w:t>
            </w:r>
            <w:r w:rsidR="00286E1A" w:rsidRPr="00530865">
              <w:rPr>
                <w:rFonts w:ascii="Aptos" w:hAnsi="Aptos" w:cs="Helvetica"/>
                <w:sz w:val="24"/>
                <w:szCs w:val="24"/>
              </w:rPr>
              <w:t xml:space="preserve"> </w:t>
            </w:r>
            <w:r w:rsidR="001C6281" w:rsidRPr="00530865">
              <w:rPr>
                <w:rFonts w:ascii="Aptos" w:hAnsi="Aptos" w:cs="Helvetica"/>
                <w:sz w:val="24"/>
                <w:szCs w:val="24"/>
              </w:rPr>
              <w:t>The Electricity Generation and Supply TAG</w:t>
            </w:r>
            <w:r w:rsidR="009114DC">
              <w:rPr>
                <w:rFonts w:ascii="Aptos" w:hAnsi="Aptos" w:cs="Helvetica"/>
                <w:sz w:val="24"/>
                <w:szCs w:val="24"/>
              </w:rPr>
              <w:t xml:space="preserve"> also</w:t>
            </w:r>
            <w:r w:rsidR="001C6281" w:rsidRPr="00530865">
              <w:rPr>
                <w:rFonts w:ascii="Aptos" w:hAnsi="Aptos" w:cs="Helvetica"/>
                <w:sz w:val="24"/>
                <w:szCs w:val="24"/>
              </w:rPr>
              <w:t xml:space="preserve"> provided feedback on the draft TSC</w:t>
            </w:r>
            <w:r w:rsidR="00522A47">
              <w:rPr>
                <w:rFonts w:ascii="Aptos" w:hAnsi="Aptos" w:cs="Helvetica"/>
                <w:sz w:val="24"/>
                <w:szCs w:val="24"/>
              </w:rPr>
              <w:t xml:space="preserve">. </w:t>
            </w:r>
            <w:r w:rsidR="00A33BF8">
              <w:rPr>
                <w:rFonts w:ascii="Aptos" w:hAnsi="Aptos" w:cs="Helvetica"/>
                <w:sz w:val="24"/>
                <w:szCs w:val="24"/>
              </w:rPr>
              <w:t xml:space="preserve">The DNSH TAG provided feedback on </w:t>
            </w:r>
            <w:r w:rsidR="00EB669B">
              <w:rPr>
                <w:rFonts w:ascii="Aptos" w:hAnsi="Aptos" w:cs="Helvetica"/>
                <w:sz w:val="24"/>
                <w:szCs w:val="24"/>
              </w:rPr>
              <w:t xml:space="preserve">final </w:t>
            </w:r>
            <w:r w:rsidR="00F85838">
              <w:rPr>
                <w:rFonts w:ascii="Aptos" w:hAnsi="Aptos" w:cs="Helvetica"/>
                <w:sz w:val="24"/>
                <w:szCs w:val="24"/>
              </w:rPr>
              <w:t xml:space="preserve">draft </w:t>
            </w:r>
            <w:r w:rsidR="00EB669B">
              <w:rPr>
                <w:rFonts w:ascii="Aptos" w:hAnsi="Aptos" w:cs="Helvetica"/>
                <w:sz w:val="24"/>
                <w:szCs w:val="24"/>
              </w:rPr>
              <w:t>versions of the environmental objective headline ambitions and</w:t>
            </w:r>
            <w:r w:rsidR="00522A47">
              <w:rPr>
                <w:rFonts w:ascii="Aptos" w:hAnsi="Aptos" w:cs="Helvetica"/>
                <w:sz w:val="24"/>
                <w:szCs w:val="24"/>
              </w:rPr>
              <w:t xml:space="preserve"> the MSS Tag provided feedback on the framework for compliance</w:t>
            </w:r>
            <w:r w:rsidR="00966E20">
              <w:rPr>
                <w:rFonts w:ascii="Aptos" w:hAnsi="Aptos" w:cs="Helvetica"/>
                <w:sz w:val="24"/>
                <w:szCs w:val="24"/>
              </w:rPr>
              <w:t xml:space="preserve"> with MSS</w:t>
            </w:r>
            <w:r w:rsidR="00522A47">
              <w:rPr>
                <w:rFonts w:ascii="Aptos" w:hAnsi="Aptos" w:cs="Helvetica"/>
                <w:sz w:val="24"/>
                <w:szCs w:val="24"/>
              </w:rPr>
              <w:t xml:space="preserve"> and </w:t>
            </w:r>
            <w:r w:rsidR="00ED553C">
              <w:rPr>
                <w:rFonts w:ascii="Aptos" w:hAnsi="Aptos" w:cs="Helvetica"/>
                <w:sz w:val="24"/>
                <w:szCs w:val="24"/>
              </w:rPr>
              <w:t xml:space="preserve">the </w:t>
            </w:r>
            <w:r w:rsidR="00522A47">
              <w:rPr>
                <w:rFonts w:ascii="Aptos" w:hAnsi="Aptos" w:cs="Helvetica"/>
                <w:sz w:val="24"/>
                <w:szCs w:val="24"/>
              </w:rPr>
              <w:t xml:space="preserve">approach to streamlining </w:t>
            </w:r>
            <w:r w:rsidR="00966E20">
              <w:rPr>
                <w:rFonts w:ascii="Aptos" w:hAnsi="Aptos" w:cs="Helvetica"/>
                <w:sz w:val="24"/>
                <w:szCs w:val="24"/>
              </w:rPr>
              <w:t xml:space="preserve">MSS </w:t>
            </w:r>
            <w:r w:rsidR="00522A47">
              <w:rPr>
                <w:rFonts w:ascii="Aptos" w:hAnsi="Aptos" w:cs="Helvetica"/>
                <w:sz w:val="24"/>
                <w:szCs w:val="24"/>
              </w:rPr>
              <w:t xml:space="preserve">criteria.  </w:t>
            </w:r>
          </w:p>
          <w:p w14:paraId="24E0D1F1" w14:textId="5C62DE1B" w:rsidR="00D41F70" w:rsidRPr="00530865" w:rsidRDefault="00D41F70" w:rsidP="00530865">
            <w:pPr>
              <w:pStyle w:val="ListParagraph"/>
              <w:numPr>
                <w:ilvl w:val="0"/>
                <w:numId w:val="44"/>
              </w:numPr>
              <w:spacing w:after="240"/>
              <w:rPr>
                <w:rFonts w:ascii="Aptos" w:hAnsi="Aptos" w:cs="Helvetica"/>
                <w:sz w:val="24"/>
                <w:szCs w:val="24"/>
                <w:u w:val="single"/>
              </w:rPr>
            </w:pPr>
            <w:r>
              <w:rPr>
                <w:rFonts w:ascii="Aptos" w:hAnsi="Aptos" w:cs="Helvetica"/>
                <w:sz w:val="24"/>
                <w:szCs w:val="24"/>
                <w:u w:val="single"/>
              </w:rPr>
              <w:t>March 2023</w:t>
            </w:r>
            <w:r w:rsidR="00ED553C">
              <w:rPr>
                <w:rFonts w:ascii="Aptos" w:hAnsi="Aptos" w:cs="Helvetica"/>
                <w:sz w:val="24"/>
                <w:szCs w:val="24"/>
                <w:u w:val="single"/>
              </w:rPr>
              <w:t xml:space="preserve"> TAG meetings</w:t>
            </w:r>
            <w:r w:rsidRPr="00ED553C">
              <w:rPr>
                <w:rFonts w:ascii="Aptos" w:hAnsi="Aptos" w:cs="Helvetica"/>
                <w:sz w:val="24"/>
                <w:szCs w:val="24"/>
              </w:rPr>
              <w:t xml:space="preserve">: </w:t>
            </w:r>
            <w:r w:rsidR="00330A1E">
              <w:rPr>
                <w:rFonts w:ascii="Aptos" w:hAnsi="Aptos" w:cs="Helvetica"/>
                <w:sz w:val="24"/>
                <w:szCs w:val="24"/>
              </w:rPr>
              <w:t>The DNSH TAG</w:t>
            </w:r>
            <w:r w:rsidR="00504C54">
              <w:rPr>
                <w:rFonts w:ascii="Aptos" w:hAnsi="Aptos" w:cs="Helvetica"/>
                <w:sz w:val="24"/>
                <w:szCs w:val="24"/>
              </w:rPr>
              <w:t xml:space="preserve"> provided guidance on international and Australian frameworks that could be used as proxies to develo</w:t>
            </w:r>
            <w:r w:rsidR="00BE2A20">
              <w:rPr>
                <w:rFonts w:ascii="Aptos" w:hAnsi="Aptos" w:cs="Helvetica"/>
                <w:sz w:val="24"/>
                <w:szCs w:val="24"/>
              </w:rPr>
              <w:t>p</w:t>
            </w:r>
            <w:r w:rsidR="00504C54">
              <w:rPr>
                <w:rFonts w:ascii="Aptos" w:hAnsi="Aptos" w:cs="Helvetica"/>
                <w:sz w:val="24"/>
                <w:szCs w:val="24"/>
              </w:rPr>
              <w:t xml:space="preserve"> DNSH criteria</w:t>
            </w:r>
            <w:r w:rsidR="00BE2A20">
              <w:rPr>
                <w:rFonts w:ascii="Aptos" w:hAnsi="Aptos" w:cs="Helvetica"/>
                <w:sz w:val="24"/>
                <w:szCs w:val="24"/>
              </w:rPr>
              <w:t xml:space="preserve"> for the taxonomy. </w:t>
            </w:r>
            <w:r w:rsidR="00EF3EA6">
              <w:rPr>
                <w:rFonts w:ascii="Aptos" w:hAnsi="Aptos" w:cs="Helvetica"/>
                <w:sz w:val="24"/>
                <w:szCs w:val="24"/>
              </w:rPr>
              <w:t xml:space="preserve"> </w:t>
            </w:r>
          </w:p>
          <w:p w14:paraId="00A84F69" w14:textId="53DB91E4" w:rsidR="004127B8" w:rsidRPr="00530865" w:rsidRDefault="00B10D88" w:rsidP="00530865">
            <w:pPr>
              <w:pStyle w:val="ListParagraph"/>
              <w:numPr>
                <w:ilvl w:val="0"/>
                <w:numId w:val="44"/>
              </w:numPr>
              <w:spacing w:after="240"/>
              <w:rPr>
                <w:rFonts w:ascii="Aptos" w:hAnsi="Aptos" w:cs="Helvetica"/>
                <w:sz w:val="24"/>
                <w:szCs w:val="24"/>
                <w:u w:val="single"/>
              </w:rPr>
            </w:pPr>
            <w:r w:rsidRPr="00530865">
              <w:rPr>
                <w:rFonts w:ascii="Aptos" w:hAnsi="Aptos" w:cs="Helvetica"/>
                <w:sz w:val="24"/>
                <w:szCs w:val="24"/>
                <w:u w:val="single"/>
              </w:rPr>
              <w:t>April 2024</w:t>
            </w:r>
            <w:r w:rsidR="00B10F27" w:rsidRPr="00530865">
              <w:rPr>
                <w:rFonts w:ascii="Aptos" w:hAnsi="Aptos" w:cs="Helvetica"/>
                <w:sz w:val="24"/>
                <w:szCs w:val="24"/>
                <w:u w:val="single"/>
              </w:rPr>
              <w:t xml:space="preserve"> TAG meetings</w:t>
            </w:r>
            <w:r w:rsidRPr="00530865">
              <w:rPr>
                <w:rFonts w:ascii="Aptos" w:hAnsi="Aptos" w:cs="Helvetica"/>
                <w:sz w:val="24"/>
                <w:szCs w:val="24"/>
                <w:u w:val="single"/>
              </w:rPr>
              <w:t>:</w:t>
            </w:r>
            <w:r w:rsidRPr="00530865">
              <w:rPr>
                <w:rFonts w:ascii="Aptos" w:hAnsi="Aptos" w:cs="Helvetica"/>
                <w:sz w:val="24"/>
                <w:szCs w:val="24"/>
              </w:rPr>
              <w:t xml:space="preserve"> </w:t>
            </w:r>
            <w:r w:rsidR="00335CDF" w:rsidRPr="00530865">
              <w:rPr>
                <w:rFonts w:ascii="Aptos" w:hAnsi="Aptos" w:cs="Helvetica"/>
                <w:sz w:val="24"/>
                <w:szCs w:val="24"/>
              </w:rPr>
              <w:t>The Construction and the Built Environment</w:t>
            </w:r>
            <w:r w:rsidRPr="00530865">
              <w:rPr>
                <w:rFonts w:ascii="Aptos" w:hAnsi="Aptos" w:cs="Helvetica"/>
                <w:sz w:val="24"/>
                <w:szCs w:val="24"/>
              </w:rPr>
              <w:t xml:space="preserve"> TAG</w:t>
            </w:r>
            <w:r w:rsidR="00335CDF" w:rsidRPr="00530865">
              <w:rPr>
                <w:rFonts w:ascii="Aptos" w:hAnsi="Aptos" w:cs="Helvetica"/>
                <w:sz w:val="24"/>
                <w:szCs w:val="24"/>
              </w:rPr>
              <w:t xml:space="preserve"> and Minerals, Mining and Metals TAG provided </w:t>
            </w:r>
            <w:r w:rsidRPr="00530865">
              <w:rPr>
                <w:rFonts w:ascii="Aptos" w:hAnsi="Aptos" w:cs="Helvetica"/>
                <w:sz w:val="24"/>
                <w:szCs w:val="24"/>
              </w:rPr>
              <w:t xml:space="preserve">feedback on the draft </w:t>
            </w:r>
            <w:r w:rsidR="00335CDF" w:rsidRPr="00530865">
              <w:rPr>
                <w:rFonts w:ascii="Aptos" w:hAnsi="Aptos" w:cs="Helvetica"/>
                <w:sz w:val="24"/>
                <w:szCs w:val="24"/>
              </w:rPr>
              <w:t>TSC.</w:t>
            </w:r>
            <w:r w:rsidR="00A33BF8">
              <w:rPr>
                <w:rFonts w:ascii="Aptos" w:hAnsi="Aptos" w:cs="Helvetica"/>
                <w:sz w:val="24"/>
                <w:szCs w:val="24"/>
              </w:rPr>
              <w:t xml:space="preserve"> The DNSH and MSS TAGs provided feedback on </w:t>
            </w:r>
            <w:r w:rsidR="006D37CB">
              <w:rPr>
                <w:rFonts w:ascii="Aptos" w:hAnsi="Aptos" w:cs="Helvetica"/>
                <w:sz w:val="24"/>
                <w:szCs w:val="24"/>
              </w:rPr>
              <w:t xml:space="preserve">draft DNSH generic criteria and draft MSS criteria respectively. </w:t>
            </w:r>
            <w:r w:rsidR="00335CDF" w:rsidRPr="00530865">
              <w:rPr>
                <w:rFonts w:ascii="Aptos" w:hAnsi="Aptos" w:cs="Helvetica"/>
                <w:sz w:val="24"/>
                <w:szCs w:val="24"/>
              </w:rPr>
              <w:t xml:space="preserve"> </w:t>
            </w:r>
            <w:r w:rsidRPr="00530865">
              <w:rPr>
                <w:rFonts w:ascii="Aptos" w:hAnsi="Aptos" w:cs="Helvetica"/>
                <w:sz w:val="24"/>
                <w:szCs w:val="24"/>
                <w:u w:val="single"/>
              </w:rPr>
              <w:t xml:space="preserve"> </w:t>
            </w:r>
          </w:p>
          <w:p w14:paraId="4E8CD226" w14:textId="51CFAAD3" w:rsidR="00F24B22" w:rsidRPr="00530865" w:rsidRDefault="00EE5A2E" w:rsidP="00530865">
            <w:pPr>
              <w:pStyle w:val="ListParagraph"/>
              <w:numPr>
                <w:ilvl w:val="0"/>
                <w:numId w:val="44"/>
              </w:numPr>
              <w:spacing w:after="240"/>
              <w:rPr>
                <w:rFonts w:ascii="Aptos" w:hAnsi="Aptos" w:cs="Helvetica"/>
                <w:u w:val="single"/>
              </w:rPr>
            </w:pPr>
            <w:r w:rsidRPr="00530865">
              <w:rPr>
                <w:rFonts w:ascii="Aptos" w:hAnsi="Aptos" w:cs="Helvetica"/>
                <w:sz w:val="24"/>
                <w:szCs w:val="24"/>
                <w:u w:val="single"/>
              </w:rPr>
              <w:t>Other</w:t>
            </w:r>
            <w:r w:rsidR="007435CE" w:rsidRPr="00530865">
              <w:rPr>
                <w:rFonts w:ascii="Aptos" w:hAnsi="Aptos" w:cs="Helvetica"/>
                <w:sz w:val="24"/>
                <w:szCs w:val="24"/>
                <w:u w:val="single"/>
              </w:rPr>
              <w:t xml:space="preserve"> (Construction and the Built Environment TAG)</w:t>
            </w:r>
            <w:r w:rsidRPr="00530865">
              <w:rPr>
                <w:rFonts w:ascii="Aptos" w:hAnsi="Aptos" w:cs="Helvetica"/>
                <w:sz w:val="24"/>
                <w:szCs w:val="24"/>
              </w:rPr>
              <w:t xml:space="preserve">: </w:t>
            </w:r>
            <w:r w:rsidR="006640F0" w:rsidRPr="00530865">
              <w:rPr>
                <w:rFonts w:ascii="Aptos" w:hAnsi="Aptos" w:cs="Helvetica"/>
                <w:sz w:val="24"/>
                <w:szCs w:val="24"/>
              </w:rPr>
              <w:t>A subset of the Construction and Built Environment TAG</w:t>
            </w:r>
            <w:r w:rsidR="008C194E">
              <w:rPr>
                <w:rFonts w:ascii="Aptos" w:hAnsi="Aptos" w:cs="Helvetica"/>
                <w:sz w:val="24"/>
                <w:szCs w:val="24"/>
              </w:rPr>
              <w:t xml:space="preserve"> – comprising members from the Green Buildings Council of Australia; NABERS; and the Department of Climate Change, Energy, the Environment and Water – </w:t>
            </w:r>
            <w:r w:rsidR="006640F0" w:rsidRPr="00530865">
              <w:rPr>
                <w:rFonts w:ascii="Aptos" w:hAnsi="Aptos" w:cs="Helvetica"/>
                <w:sz w:val="24"/>
                <w:szCs w:val="24"/>
              </w:rPr>
              <w:t xml:space="preserve">met three times between February and </w:t>
            </w:r>
            <w:r w:rsidR="000C02F1" w:rsidRPr="00530865">
              <w:rPr>
                <w:rFonts w:ascii="Aptos" w:hAnsi="Aptos" w:cs="Helvetica"/>
                <w:sz w:val="24"/>
                <w:szCs w:val="24"/>
              </w:rPr>
              <w:t xml:space="preserve">April 2024 to discuss </w:t>
            </w:r>
            <w:r w:rsidRPr="00530865">
              <w:rPr>
                <w:rFonts w:ascii="Aptos" w:hAnsi="Aptos" w:cs="Helvetica"/>
                <w:sz w:val="24"/>
                <w:szCs w:val="24"/>
              </w:rPr>
              <w:t>the integration of</w:t>
            </w:r>
            <w:r w:rsidR="007435CE" w:rsidRPr="00530865">
              <w:rPr>
                <w:rFonts w:ascii="Aptos" w:hAnsi="Aptos" w:cs="Helvetica"/>
                <w:sz w:val="24"/>
                <w:szCs w:val="24"/>
              </w:rPr>
              <w:t xml:space="preserve"> data </w:t>
            </w:r>
            <w:r w:rsidRPr="00530865">
              <w:rPr>
                <w:rFonts w:ascii="Aptos" w:hAnsi="Aptos" w:cs="Helvetica"/>
                <w:sz w:val="24"/>
                <w:szCs w:val="24"/>
              </w:rPr>
              <w:t>proxies.</w:t>
            </w:r>
            <w:r w:rsidR="007435CE" w:rsidRPr="00530865">
              <w:rPr>
                <w:rFonts w:ascii="Aptos" w:hAnsi="Aptos" w:cs="Helvetica"/>
                <w:sz w:val="24"/>
                <w:szCs w:val="24"/>
              </w:rPr>
              <w:t xml:space="preserve"> This work is ongoing</w:t>
            </w:r>
            <w:r w:rsidR="000B3009" w:rsidRPr="00530865">
              <w:rPr>
                <w:rFonts w:ascii="Aptos" w:hAnsi="Aptos" w:cs="Helvetica"/>
                <w:sz w:val="24"/>
                <w:szCs w:val="24"/>
              </w:rPr>
              <w:t xml:space="preserve">. </w:t>
            </w:r>
          </w:p>
        </w:tc>
      </w:tr>
      <w:tr w:rsidR="00F778B6" w:rsidRPr="001F0145" w14:paraId="5CF041D6" w14:textId="77777777" w:rsidTr="00B55525">
        <w:tc>
          <w:tcPr>
            <w:tcW w:w="9623" w:type="dxa"/>
            <w:gridSpan w:val="2"/>
            <w:shd w:val="clear" w:color="auto" w:fill="0D4E80"/>
          </w:tcPr>
          <w:p w14:paraId="51A25DAB" w14:textId="562FA68F" w:rsidR="00F778B6" w:rsidRPr="001F0145" w:rsidRDefault="005D4855" w:rsidP="00E83C25">
            <w:pPr>
              <w:pStyle w:val="bulletlist"/>
              <w:numPr>
                <w:ilvl w:val="0"/>
                <w:numId w:val="0"/>
              </w:numPr>
              <w:rPr>
                <w:rFonts w:ascii="Aptos" w:hAnsi="Aptos" w:cs="Helvetica"/>
                <w:i/>
                <w:color w:val="FFFFFF" w:themeColor="background1"/>
                <w:sz w:val="24"/>
              </w:rPr>
            </w:pPr>
            <w:r w:rsidRPr="001F0145">
              <w:rPr>
                <w:rFonts w:ascii="Aptos" w:hAnsi="Aptos" w:cs="Helvetica"/>
                <w:i/>
                <w:color w:val="FFFFFF" w:themeColor="background1"/>
                <w:sz w:val="24"/>
              </w:rPr>
              <w:t>Australian Government</w:t>
            </w:r>
          </w:p>
        </w:tc>
      </w:tr>
      <w:tr w:rsidR="00B70213" w:rsidRPr="001F0145" w14:paraId="666D521A" w14:textId="56F0E002" w:rsidTr="009F1672">
        <w:tc>
          <w:tcPr>
            <w:tcW w:w="1413" w:type="dxa"/>
          </w:tcPr>
          <w:p w14:paraId="57D6CC6D" w14:textId="6B90F310" w:rsidR="00B22F8A" w:rsidRPr="001F0145" w:rsidRDefault="00E83C25" w:rsidP="00581A5A">
            <w:pPr>
              <w:rPr>
                <w:rFonts w:ascii="Aptos" w:hAnsi="Aptos" w:cs="Helvetica"/>
                <w:i/>
              </w:rPr>
            </w:pPr>
            <w:r w:rsidRPr="001F0145">
              <w:rPr>
                <w:rFonts w:ascii="Aptos" w:hAnsi="Aptos" w:cs="Helvetica"/>
                <w:i/>
              </w:rPr>
              <w:t>Who</w:t>
            </w:r>
            <w:r w:rsidR="0085411E" w:rsidRPr="001F0145">
              <w:rPr>
                <w:rFonts w:ascii="Aptos" w:hAnsi="Aptos" w:cs="Helvetica"/>
                <w:i/>
              </w:rPr>
              <w:t xml:space="preserve"> </w:t>
            </w:r>
          </w:p>
        </w:tc>
        <w:tc>
          <w:tcPr>
            <w:tcW w:w="8210" w:type="dxa"/>
          </w:tcPr>
          <w:p w14:paraId="464A30F0" w14:textId="53DE8281" w:rsidR="00F778B6" w:rsidRPr="001F0145" w:rsidRDefault="00CE6087" w:rsidP="00BD7B04">
            <w:pPr>
              <w:pStyle w:val="bulletlist"/>
              <w:numPr>
                <w:ilvl w:val="0"/>
                <w:numId w:val="0"/>
              </w:numPr>
              <w:rPr>
                <w:rFonts w:ascii="Aptos" w:hAnsi="Aptos" w:cs="Helvetica"/>
                <w:sz w:val="24"/>
              </w:rPr>
            </w:pPr>
            <w:r w:rsidRPr="001F0145">
              <w:rPr>
                <w:rFonts w:ascii="Aptos" w:hAnsi="Aptos" w:cs="Helvetica"/>
                <w:sz w:val="24"/>
              </w:rPr>
              <w:t>ASFI is engaging directly with p</w:t>
            </w:r>
            <w:r w:rsidR="00CC3E2E" w:rsidRPr="001F0145">
              <w:rPr>
                <w:rFonts w:ascii="Aptos" w:hAnsi="Aptos" w:cs="Helvetica"/>
                <w:sz w:val="24"/>
              </w:rPr>
              <w:t xml:space="preserve">olicy and technical </w:t>
            </w:r>
            <w:r w:rsidR="005957FC" w:rsidRPr="001F0145">
              <w:rPr>
                <w:rFonts w:ascii="Aptos" w:hAnsi="Aptos" w:cs="Helvetica"/>
                <w:sz w:val="24"/>
              </w:rPr>
              <w:t>lead</w:t>
            </w:r>
            <w:r w:rsidRPr="001F0145">
              <w:rPr>
                <w:rFonts w:ascii="Aptos" w:hAnsi="Aptos" w:cs="Helvetica"/>
                <w:sz w:val="24"/>
              </w:rPr>
              <w:t>s</w:t>
            </w:r>
            <w:r w:rsidR="005957FC" w:rsidRPr="001F0145">
              <w:rPr>
                <w:rFonts w:ascii="Aptos" w:hAnsi="Aptos" w:cs="Helvetica"/>
                <w:sz w:val="24"/>
              </w:rPr>
              <w:t xml:space="preserve"> from key Australian Government departments and agencies</w:t>
            </w:r>
            <w:r w:rsidRPr="001F0145">
              <w:rPr>
                <w:rFonts w:ascii="Aptos" w:hAnsi="Aptos" w:cs="Helvetica"/>
                <w:sz w:val="24"/>
              </w:rPr>
              <w:t>,</w:t>
            </w:r>
            <w:r w:rsidR="005957FC" w:rsidRPr="001F0145">
              <w:rPr>
                <w:rFonts w:ascii="Aptos" w:hAnsi="Aptos" w:cs="Helvetica"/>
                <w:sz w:val="24"/>
              </w:rPr>
              <w:t xml:space="preserve"> including </w:t>
            </w:r>
            <w:r w:rsidR="00484244" w:rsidRPr="001F0145">
              <w:rPr>
                <w:rFonts w:ascii="Aptos" w:hAnsi="Aptos" w:cs="Helvetica"/>
                <w:sz w:val="24"/>
              </w:rPr>
              <w:t>the Department of Climate Change, Energy, the Environment and Water</w:t>
            </w:r>
            <w:r w:rsidRPr="001F0145">
              <w:rPr>
                <w:rFonts w:ascii="Aptos" w:hAnsi="Aptos" w:cs="Helvetica"/>
                <w:sz w:val="24"/>
              </w:rPr>
              <w:t xml:space="preserve"> (DCCEEW)</w:t>
            </w:r>
            <w:r w:rsidR="00484244" w:rsidRPr="001F0145">
              <w:rPr>
                <w:rFonts w:ascii="Aptos" w:hAnsi="Aptos" w:cs="Helvetica"/>
                <w:sz w:val="24"/>
              </w:rPr>
              <w:t xml:space="preserve">; </w:t>
            </w:r>
            <w:r w:rsidR="00287502">
              <w:rPr>
                <w:rFonts w:ascii="Aptos" w:hAnsi="Aptos" w:cs="Helvetica"/>
                <w:sz w:val="24"/>
              </w:rPr>
              <w:t xml:space="preserve">the Department of Agriculture, Fisheries, and Forestry (DAFF); </w:t>
            </w:r>
            <w:r w:rsidR="00484244" w:rsidRPr="001F0145">
              <w:rPr>
                <w:rFonts w:ascii="Aptos" w:hAnsi="Aptos" w:cs="Helvetica"/>
                <w:sz w:val="24"/>
              </w:rPr>
              <w:t>the Department of Industry, Science and Resources</w:t>
            </w:r>
            <w:r w:rsidRPr="001F0145">
              <w:rPr>
                <w:rFonts w:ascii="Aptos" w:hAnsi="Aptos" w:cs="Helvetica"/>
                <w:sz w:val="24"/>
              </w:rPr>
              <w:t xml:space="preserve"> (DISR)</w:t>
            </w:r>
            <w:r w:rsidR="00484244" w:rsidRPr="001F0145">
              <w:rPr>
                <w:rFonts w:ascii="Aptos" w:hAnsi="Aptos" w:cs="Helvetica"/>
                <w:sz w:val="24"/>
              </w:rPr>
              <w:t>; the Department of Foreign Affairs and Trade</w:t>
            </w:r>
            <w:r w:rsidRPr="001F0145">
              <w:rPr>
                <w:rFonts w:ascii="Aptos" w:hAnsi="Aptos" w:cs="Helvetica"/>
                <w:sz w:val="24"/>
              </w:rPr>
              <w:t xml:space="preserve"> </w:t>
            </w:r>
            <w:r w:rsidRPr="001F0145">
              <w:rPr>
                <w:rFonts w:ascii="Aptos" w:hAnsi="Aptos" w:cs="Helvetica"/>
                <w:sz w:val="24"/>
              </w:rPr>
              <w:lastRenderedPageBreak/>
              <w:t>(DFAT)</w:t>
            </w:r>
            <w:r w:rsidR="00484244" w:rsidRPr="001F0145">
              <w:rPr>
                <w:rFonts w:ascii="Aptos" w:hAnsi="Aptos" w:cs="Helvetica"/>
                <w:sz w:val="24"/>
              </w:rPr>
              <w:t>; the Clean Energy Regulator</w:t>
            </w:r>
            <w:r w:rsidRPr="001F0145">
              <w:rPr>
                <w:rFonts w:ascii="Aptos" w:hAnsi="Aptos" w:cs="Helvetica"/>
                <w:sz w:val="24"/>
              </w:rPr>
              <w:t xml:space="preserve"> (CER)</w:t>
            </w:r>
            <w:r w:rsidR="00484244" w:rsidRPr="001F0145">
              <w:rPr>
                <w:rFonts w:ascii="Aptos" w:hAnsi="Aptos" w:cs="Helvetica"/>
                <w:sz w:val="24"/>
              </w:rPr>
              <w:t>; the Australian Energy Market Operator</w:t>
            </w:r>
            <w:r w:rsidRPr="001F0145">
              <w:rPr>
                <w:rFonts w:ascii="Aptos" w:hAnsi="Aptos" w:cs="Helvetica"/>
                <w:sz w:val="24"/>
              </w:rPr>
              <w:t xml:space="preserve"> (AEMO)</w:t>
            </w:r>
            <w:r w:rsidR="00484244" w:rsidRPr="001F0145">
              <w:rPr>
                <w:rFonts w:ascii="Aptos" w:hAnsi="Aptos" w:cs="Helvetica"/>
                <w:sz w:val="24"/>
              </w:rPr>
              <w:t>; and the Climate Change Authority</w:t>
            </w:r>
            <w:r w:rsidRPr="001F0145">
              <w:rPr>
                <w:rFonts w:ascii="Aptos" w:hAnsi="Aptos" w:cs="Helvetica"/>
                <w:sz w:val="24"/>
              </w:rPr>
              <w:t xml:space="preserve"> (CCA)</w:t>
            </w:r>
            <w:r w:rsidR="00484244" w:rsidRPr="001F0145">
              <w:rPr>
                <w:rFonts w:ascii="Aptos" w:hAnsi="Aptos" w:cs="Helvetica"/>
                <w:sz w:val="24"/>
              </w:rPr>
              <w:t xml:space="preserve">. A </w:t>
            </w:r>
            <w:r w:rsidRPr="001F0145">
              <w:rPr>
                <w:rFonts w:ascii="Aptos" w:hAnsi="Aptos" w:cs="Helvetica"/>
                <w:sz w:val="24"/>
              </w:rPr>
              <w:t xml:space="preserve">comprehensive </w:t>
            </w:r>
            <w:r w:rsidR="00484244" w:rsidRPr="001F0145">
              <w:rPr>
                <w:rFonts w:ascii="Aptos" w:hAnsi="Aptos" w:cs="Helvetica"/>
                <w:sz w:val="24"/>
              </w:rPr>
              <w:t>list of government eng</w:t>
            </w:r>
            <w:r w:rsidR="002E1886" w:rsidRPr="001F0145">
              <w:rPr>
                <w:rFonts w:ascii="Aptos" w:hAnsi="Aptos" w:cs="Helvetica"/>
                <w:sz w:val="24"/>
              </w:rPr>
              <w:t xml:space="preserve">agement </w:t>
            </w:r>
            <w:r w:rsidRPr="001F0145">
              <w:rPr>
                <w:rFonts w:ascii="Aptos" w:hAnsi="Aptos" w:cs="Helvetica"/>
                <w:sz w:val="24"/>
              </w:rPr>
              <w:t>on the taxonomy project to date</w:t>
            </w:r>
            <w:r w:rsidR="002E1886" w:rsidRPr="001F0145">
              <w:rPr>
                <w:rFonts w:ascii="Aptos" w:hAnsi="Aptos" w:cs="Helvetica"/>
                <w:sz w:val="24"/>
              </w:rPr>
              <w:t xml:space="preserve"> is </w:t>
            </w:r>
            <w:r w:rsidR="000F56C4" w:rsidRPr="001F0145">
              <w:rPr>
                <w:rFonts w:ascii="Aptos" w:hAnsi="Aptos" w:cs="Helvetica"/>
                <w:sz w:val="24"/>
              </w:rPr>
              <w:t>provided at</w:t>
            </w:r>
            <w:r w:rsidR="002E1886" w:rsidRPr="001F0145">
              <w:rPr>
                <w:rFonts w:ascii="Aptos" w:hAnsi="Aptos" w:cs="Helvetica"/>
                <w:sz w:val="24"/>
              </w:rPr>
              <w:t xml:space="preserve"> </w:t>
            </w:r>
            <w:r w:rsidR="002E1886" w:rsidRPr="0046335C">
              <w:rPr>
                <w:rFonts w:ascii="Aptos" w:hAnsi="Aptos" w:cs="Helvetica"/>
                <w:b/>
                <w:bCs/>
                <w:sz w:val="24"/>
                <w:u w:val="single"/>
              </w:rPr>
              <w:t xml:space="preserve">Appendix </w:t>
            </w:r>
            <w:r w:rsidR="0046335C" w:rsidRPr="0046335C">
              <w:rPr>
                <w:rFonts w:ascii="Aptos" w:hAnsi="Aptos" w:cs="Helvetica"/>
                <w:b/>
                <w:bCs/>
                <w:sz w:val="24"/>
                <w:u w:val="single"/>
              </w:rPr>
              <w:t>G</w:t>
            </w:r>
            <w:r w:rsidR="002E1886" w:rsidRPr="001F0145">
              <w:rPr>
                <w:rFonts w:ascii="Aptos" w:hAnsi="Aptos" w:cs="Helvetica"/>
                <w:b/>
                <w:bCs/>
                <w:sz w:val="24"/>
              </w:rPr>
              <w:t>.</w:t>
            </w:r>
            <w:r w:rsidR="002E1886" w:rsidRPr="001F0145">
              <w:rPr>
                <w:rFonts w:ascii="Aptos" w:hAnsi="Aptos" w:cs="Helvetica"/>
                <w:sz w:val="24"/>
              </w:rPr>
              <w:t xml:space="preserve"> </w:t>
            </w:r>
          </w:p>
        </w:tc>
      </w:tr>
      <w:tr w:rsidR="00E83C25" w:rsidRPr="001F0145" w14:paraId="5569397F" w14:textId="77777777" w:rsidTr="009F1672">
        <w:tc>
          <w:tcPr>
            <w:tcW w:w="1413" w:type="dxa"/>
          </w:tcPr>
          <w:p w14:paraId="1E7F05CB" w14:textId="7B47A37E" w:rsidR="00E83C25" w:rsidRPr="001F0145" w:rsidRDefault="0085411E" w:rsidP="0085411E">
            <w:pPr>
              <w:rPr>
                <w:rFonts w:ascii="Aptos" w:hAnsi="Aptos" w:cs="Helvetica"/>
                <w:i/>
              </w:rPr>
            </w:pPr>
            <w:r w:rsidRPr="001F0145">
              <w:rPr>
                <w:rFonts w:ascii="Aptos" w:hAnsi="Aptos" w:cs="Helvetica"/>
                <w:i/>
              </w:rPr>
              <w:lastRenderedPageBreak/>
              <w:t>What</w:t>
            </w:r>
          </w:p>
        </w:tc>
        <w:tc>
          <w:tcPr>
            <w:tcW w:w="8210" w:type="dxa"/>
          </w:tcPr>
          <w:p w14:paraId="3FED6257" w14:textId="5CEAD0A8" w:rsidR="004E2C8A" w:rsidRPr="001F0145" w:rsidRDefault="003E04F1" w:rsidP="00E83C25">
            <w:pPr>
              <w:pStyle w:val="bulletlist"/>
              <w:numPr>
                <w:ilvl w:val="0"/>
                <w:numId w:val="0"/>
              </w:numPr>
              <w:rPr>
                <w:rFonts w:ascii="Aptos" w:hAnsi="Aptos" w:cs="Helvetica"/>
                <w:sz w:val="24"/>
              </w:rPr>
            </w:pPr>
            <w:r w:rsidRPr="001F0145">
              <w:rPr>
                <w:rFonts w:ascii="Aptos" w:hAnsi="Aptos" w:cs="Helvetica"/>
                <w:sz w:val="24"/>
              </w:rPr>
              <w:t xml:space="preserve">ASFI met with </w:t>
            </w:r>
            <w:r w:rsidR="008A57AB" w:rsidRPr="001F0145">
              <w:rPr>
                <w:rFonts w:ascii="Aptos" w:hAnsi="Aptos" w:cs="Helvetica"/>
                <w:sz w:val="24"/>
              </w:rPr>
              <w:t>various teams within</w:t>
            </w:r>
            <w:r w:rsidR="007F412A" w:rsidRPr="001F0145">
              <w:rPr>
                <w:rFonts w:ascii="Aptos" w:hAnsi="Aptos" w:cs="Helvetica"/>
                <w:sz w:val="24"/>
              </w:rPr>
              <w:t xml:space="preserve"> the above </w:t>
            </w:r>
            <w:r w:rsidR="008A57AB" w:rsidRPr="001F0145">
              <w:rPr>
                <w:rFonts w:ascii="Aptos" w:hAnsi="Aptos" w:cs="Helvetica"/>
                <w:sz w:val="24"/>
              </w:rPr>
              <w:t xml:space="preserve">Australian Government departments and agencies to discuss where their policy priorities intersect with the Australian taxonomy’s development </w:t>
            </w:r>
            <w:r w:rsidR="008E287C">
              <w:rPr>
                <w:rFonts w:ascii="Aptos" w:hAnsi="Aptos" w:cs="Helvetica"/>
                <w:sz w:val="24"/>
              </w:rPr>
              <w:t>and</w:t>
            </w:r>
            <w:r w:rsidR="008A57AB" w:rsidRPr="001F0145">
              <w:rPr>
                <w:rFonts w:ascii="Aptos" w:hAnsi="Aptos" w:cs="Helvetica"/>
                <w:sz w:val="24"/>
              </w:rPr>
              <w:t xml:space="preserve"> where </w:t>
            </w:r>
            <w:r w:rsidR="008E287C">
              <w:rPr>
                <w:rFonts w:ascii="Aptos" w:hAnsi="Aptos" w:cs="Helvetica"/>
                <w:sz w:val="24"/>
              </w:rPr>
              <w:t>or</w:t>
            </w:r>
            <w:r w:rsidR="00C83F81" w:rsidRPr="001F0145">
              <w:rPr>
                <w:rFonts w:ascii="Aptos" w:hAnsi="Aptos" w:cs="Helvetica"/>
                <w:sz w:val="24"/>
              </w:rPr>
              <w:t xml:space="preserve"> how the taxonomy should integrate </w:t>
            </w:r>
            <w:r w:rsidR="00A33241" w:rsidRPr="001F0145">
              <w:rPr>
                <w:rFonts w:ascii="Aptos" w:hAnsi="Aptos" w:cs="Helvetica"/>
                <w:sz w:val="24"/>
              </w:rPr>
              <w:t xml:space="preserve">an area of </w:t>
            </w:r>
            <w:r w:rsidR="008E287C">
              <w:rPr>
                <w:rFonts w:ascii="Aptos" w:hAnsi="Aptos" w:cs="Helvetica"/>
                <w:sz w:val="24"/>
              </w:rPr>
              <w:t>G</w:t>
            </w:r>
            <w:r w:rsidR="00A33241" w:rsidRPr="001F0145">
              <w:rPr>
                <w:rFonts w:ascii="Aptos" w:hAnsi="Aptos" w:cs="Helvetica"/>
                <w:sz w:val="24"/>
              </w:rPr>
              <w:t xml:space="preserve">overnment’s </w:t>
            </w:r>
            <w:r w:rsidR="00340112" w:rsidRPr="001F0145">
              <w:rPr>
                <w:rFonts w:ascii="Aptos" w:hAnsi="Aptos" w:cs="Helvetica"/>
                <w:sz w:val="24"/>
              </w:rPr>
              <w:t>relevant data or information.</w:t>
            </w:r>
            <w:r w:rsidR="00A33241" w:rsidRPr="001F0145">
              <w:rPr>
                <w:rFonts w:ascii="Aptos" w:hAnsi="Aptos" w:cs="Helvetica"/>
                <w:sz w:val="24"/>
              </w:rPr>
              <w:t xml:space="preserve"> </w:t>
            </w:r>
          </w:p>
          <w:p w14:paraId="0A0DFB2A" w14:textId="3F6106CE" w:rsidR="004E2C8A" w:rsidRPr="001F0145" w:rsidRDefault="004E2C8A" w:rsidP="00E83C25">
            <w:pPr>
              <w:pStyle w:val="bulletlist"/>
              <w:numPr>
                <w:ilvl w:val="0"/>
                <w:numId w:val="0"/>
              </w:numPr>
              <w:rPr>
                <w:rFonts w:ascii="Aptos" w:hAnsi="Aptos" w:cs="Helvetica"/>
                <w:sz w:val="24"/>
              </w:rPr>
            </w:pPr>
            <w:r w:rsidRPr="001F0145">
              <w:rPr>
                <w:rFonts w:ascii="Aptos" w:hAnsi="Aptos" w:cs="Helvetica"/>
                <w:sz w:val="24"/>
              </w:rPr>
              <w:t xml:space="preserve">In some instances, </w:t>
            </w:r>
            <w:r w:rsidR="008E287C">
              <w:rPr>
                <w:rFonts w:ascii="Aptos" w:hAnsi="Aptos" w:cs="Helvetica"/>
                <w:sz w:val="24"/>
              </w:rPr>
              <w:t>G</w:t>
            </w:r>
            <w:r w:rsidRPr="001F0145">
              <w:rPr>
                <w:rFonts w:ascii="Aptos" w:hAnsi="Aptos" w:cs="Helvetica"/>
                <w:sz w:val="24"/>
              </w:rPr>
              <w:t xml:space="preserve">overnment representatives with specific technical expertise have been asked to participate in the taxonomy’s development via the relevant taxonomy advisory group. This is particularly the case for the </w:t>
            </w:r>
            <w:r w:rsidR="008E287C">
              <w:rPr>
                <w:rFonts w:ascii="Aptos" w:hAnsi="Aptos" w:cs="Helvetica"/>
                <w:sz w:val="24"/>
              </w:rPr>
              <w:t>construction and the built environment</w:t>
            </w:r>
            <w:r w:rsidRPr="001F0145">
              <w:rPr>
                <w:rFonts w:ascii="Aptos" w:hAnsi="Aptos" w:cs="Helvetica"/>
                <w:sz w:val="24"/>
              </w:rPr>
              <w:t xml:space="preserve"> sector.</w:t>
            </w:r>
          </w:p>
        </w:tc>
      </w:tr>
      <w:tr w:rsidR="00E83C25" w:rsidRPr="001F0145" w14:paraId="65D3443B" w14:textId="77777777" w:rsidTr="009F1672">
        <w:tc>
          <w:tcPr>
            <w:tcW w:w="1413" w:type="dxa"/>
          </w:tcPr>
          <w:p w14:paraId="34B7301B" w14:textId="7DB7557F" w:rsidR="00E83C25" w:rsidRPr="001F0145" w:rsidRDefault="0085411E" w:rsidP="0085411E">
            <w:pPr>
              <w:rPr>
                <w:rFonts w:ascii="Aptos" w:hAnsi="Aptos" w:cs="Helvetica"/>
                <w:i/>
              </w:rPr>
            </w:pPr>
            <w:r w:rsidRPr="001F0145">
              <w:rPr>
                <w:rFonts w:ascii="Aptos" w:hAnsi="Aptos" w:cs="Helvetica"/>
                <w:i/>
              </w:rPr>
              <w:t xml:space="preserve">When </w:t>
            </w:r>
          </w:p>
        </w:tc>
        <w:tc>
          <w:tcPr>
            <w:tcW w:w="8210" w:type="dxa"/>
          </w:tcPr>
          <w:p w14:paraId="72BD5E30" w14:textId="1E9430DA" w:rsidR="00871AC5" w:rsidRPr="001F0145" w:rsidRDefault="00D45EF6" w:rsidP="00E83C25">
            <w:pPr>
              <w:pStyle w:val="bulletlist"/>
              <w:numPr>
                <w:ilvl w:val="0"/>
                <w:numId w:val="0"/>
              </w:numPr>
              <w:rPr>
                <w:rFonts w:ascii="Aptos" w:hAnsi="Aptos" w:cs="Helvetica"/>
                <w:sz w:val="24"/>
              </w:rPr>
            </w:pPr>
            <w:r>
              <w:rPr>
                <w:rFonts w:ascii="Aptos" w:hAnsi="Aptos" w:cs="Helvetica"/>
                <w:sz w:val="24"/>
              </w:rPr>
              <w:t>Ongoing / ad hoc</w:t>
            </w:r>
            <w:r w:rsidR="00E474C9">
              <w:rPr>
                <w:rFonts w:ascii="Aptos" w:hAnsi="Aptos" w:cs="Helvetica"/>
                <w:sz w:val="24"/>
              </w:rPr>
              <w:t>.</w:t>
            </w:r>
            <w:r>
              <w:rPr>
                <w:rFonts w:ascii="Aptos" w:hAnsi="Aptos" w:cs="Helvetica"/>
                <w:sz w:val="24"/>
              </w:rPr>
              <w:t xml:space="preserve"> </w:t>
            </w:r>
            <w:r w:rsidR="00C3274C">
              <w:rPr>
                <w:rFonts w:ascii="Aptos" w:hAnsi="Aptos" w:cs="Helvetica"/>
                <w:sz w:val="24"/>
              </w:rPr>
              <w:t xml:space="preserve"> </w:t>
            </w:r>
          </w:p>
        </w:tc>
      </w:tr>
      <w:tr w:rsidR="0085411E" w:rsidRPr="001F0145" w14:paraId="23E4850B" w14:textId="77777777" w:rsidTr="009F1672">
        <w:tc>
          <w:tcPr>
            <w:tcW w:w="1413" w:type="dxa"/>
          </w:tcPr>
          <w:p w14:paraId="76DDBDA6" w14:textId="492DE58A" w:rsidR="0085411E" w:rsidRPr="001F0145" w:rsidRDefault="0085411E" w:rsidP="0085411E">
            <w:pPr>
              <w:rPr>
                <w:rFonts w:ascii="Aptos" w:hAnsi="Aptos" w:cs="Helvetica"/>
                <w:i/>
              </w:rPr>
            </w:pPr>
            <w:r w:rsidRPr="001F0145">
              <w:rPr>
                <w:rFonts w:ascii="Aptos" w:hAnsi="Aptos" w:cs="Helvetica"/>
                <w:i/>
              </w:rPr>
              <w:t>Key Insights</w:t>
            </w:r>
          </w:p>
        </w:tc>
        <w:tc>
          <w:tcPr>
            <w:tcW w:w="8210" w:type="dxa"/>
          </w:tcPr>
          <w:p w14:paraId="1D760B75" w14:textId="58B64444" w:rsidR="006878E1" w:rsidRPr="001F0145" w:rsidRDefault="008142AF" w:rsidP="0085411E">
            <w:pPr>
              <w:pStyle w:val="bulletlist"/>
              <w:numPr>
                <w:ilvl w:val="0"/>
                <w:numId w:val="0"/>
              </w:numPr>
              <w:rPr>
                <w:rFonts w:ascii="Aptos" w:hAnsi="Aptos" w:cs="Helvetica"/>
                <w:sz w:val="24"/>
              </w:rPr>
            </w:pPr>
            <w:r w:rsidRPr="001F0145">
              <w:rPr>
                <w:rFonts w:ascii="Aptos" w:hAnsi="Aptos" w:cs="Helvetica"/>
                <w:sz w:val="24"/>
              </w:rPr>
              <w:t>ASFI and its technical team met with key Australian Government stakeholders in a series of introductory meetings throughout October and November 2023.</w:t>
            </w:r>
            <w:r>
              <w:rPr>
                <w:rFonts w:ascii="Aptos" w:hAnsi="Aptos" w:cs="Helvetica"/>
                <w:sz w:val="24"/>
              </w:rPr>
              <w:t xml:space="preserve"> ASFI identified </w:t>
            </w:r>
            <w:r w:rsidR="00DA140A" w:rsidRPr="001F0145">
              <w:rPr>
                <w:rFonts w:ascii="Aptos" w:hAnsi="Aptos" w:cs="Helvetica"/>
                <w:sz w:val="24"/>
              </w:rPr>
              <w:t>a range of</w:t>
            </w:r>
            <w:r w:rsidR="0083367C" w:rsidRPr="001F0145">
              <w:rPr>
                <w:rFonts w:ascii="Aptos" w:hAnsi="Aptos" w:cs="Helvetica"/>
                <w:sz w:val="24"/>
              </w:rPr>
              <w:t xml:space="preserve"> </w:t>
            </w:r>
            <w:r w:rsidR="00D729E6" w:rsidRPr="001F0145">
              <w:rPr>
                <w:rFonts w:ascii="Aptos" w:hAnsi="Aptos" w:cs="Helvetica"/>
                <w:sz w:val="24"/>
              </w:rPr>
              <w:t>opportunities to collaborate with different areas of</w:t>
            </w:r>
            <w:r w:rsidR="0083367C" w:rsidRPr="001F0145">
              <w:rPr>
                <w:rFonts w:ascii="Aptos" w:hAnsi="Aptos" w:cs="Helvetica"/>
                <w:sz w:val="24"/>
              </w:rPr>
              <w:t xml:space="preserve"> </w:t>
            </w:r>
            <w:r w:rsidR="008E287C">
              <w:rPr>
                <w:rFonts w:ascii="Aptos" w:hAnsi="Aptos" w:cs="Helvetica"/>
                <w:sz w:val="24"/>
              </w:rPr>
              <w:t>G</w:t>
            </w:r>
            <w:r w:rsidR="001F00C9" w:rsidRPr="001F0145">
              <w:rPr>
                <w:rFonts w:ascii="Aptos" w:hAnsi="Aptos" w:cs="Helvetica"/>
                <w:sz w:val="24"/>
              </w:rPr>
              <w:t>overnment on the taxonomy’s development</w:t>
            </w:r>
            <w:r w:rsidR="00A966D4" w:rsidRPr="001F0145">
              <w:rPr>
                <w:rFonts w:ascii="Aptos" w:hAnsi="Aptos" w:cs="Helvetica"/>
                <w:sz w:val="24"/>
              </w:rPr>
              <w:t xml:space="preserve"> to </w:t>
            </w:r>
            <w:r w:rsidR="00DA140A" w:rsidRPr="001F0145">
              <w:rPr>
                <w:rFonts w:ascii="Aptos" w:hAnsi="Aptos" w:cs="Helvetica"/>
                <w:sz w:val="24"/>
              </w:rPr>
              <w:t>enable consistency between taxonomy</w:t>
            </w:r>
            <w:r w:rsidR="002A01B0" w:rsidRPr="001F0145">
              <w:rPr>
                <w:rFonts w:ascii="Aptos" w:hAnsi="Aptos" w:cs="Helvetica"/>
                <w:sz w:val="24"/>
              </w:rPr>
              <w:t xml:space="preserve"> outputs</w:t>
            </w:r>
            <w:r w:rsidR="00DA140A" w:rsidRPr="001F0145">
              <w:rPr>
                <w:rFonts w:ascii="Aptos" w:hAnsi="Aptos" w:cs="Helvetica"/>
                <w:sz w:val="24"/>
              </w:rPr>
              <w:t xml:space="preserve"> and public policy objectives, </w:t>
            </w:r>
            <w:proofErr w:type="gramStart"/>
            <w:r w:rsidR="00DA140A" w:rsidRPr="001F0145">
              <w:rPr>
                <w:rFonts w:ascii="Aptos" w:hAnsi="Aptos" w:cs="Helvetica"/>
                <w:sz w:val="24"/>
              </w:rPr>
              <w:t>standards</w:t>
            </w:r>
            <w:proofErr w:type="gramEnd"/>
            <w:r w:rsidR="00DA140A" w:rsidRPr="001F0145">
              <w:rPr>
                <w:rFonts w:ascii="Aptos" w:hAnsi="Aptos" w:cs="Helvetica"/>
                <w:sz w:val="24"/>
              </w:rPr>
              <w:t xml:space="preserve"> and data. </w:t>
            </w:r>
            <w:r w:rsidR="002721F0" w:rsidRPr="001F0145">
              <w:rPr>
                <w:rFonts w:ascii="Aptos" w:hAnsi="Aptos" w:cs="Helvetica"/>
                <w:sz w:val="24"/>
              </w:rPr>
              <w:t>ASFI continue</w:t>
            </w:r>
            <w:r>
              <w:rPr>
                <w:rFonts w:ascii="Aptos" w:hAnsi="Aptos" w:cs="Helvetica"/>
                <w:sz w:val="24"/>
              </w:rPr>
              <w:t>s</w:t>
            </w:r>
            <w:r w:rsidR="002721F0" w:rsidRPr="001F0145">
              <w:rPr>
                <w:rFonts w:ascii="Aptos" w:hAnsi="Aptos" w:cs="Helvetica"/>
                <w:sz w:val="24"/>
              </w:rPr>
              <w:t xml:space="preserve"> to work closely with key </w:t>
            </w:r>
            <w:r w:rsidR="008E287C">
              <w:rPr>
                <w:rFonts w:ascii="Aptos" w:hAnsi="Aptos" w:cs="Helvetica"/>
                <w:sz w:val="24"/>
              </w:rPr>
              <w:t>G</w:t>
            </w:r>
            <w:r w:rsidR="002721F0" w:rsidRPr="001F0145">
              <w:rPr>
                <w:rFonts w:ascii="Aptos" w:hAnsi="Aptos" w:cs="Helvetica"/>
                <w:sz w:val="24"/>
              </w:rPr>
              <w:t xml:space="preserve">overnment leads to </w:t>
            </w:r>
            <w:r w:rsidR="00F277DD" w:rsidRPr="001F0145">
              <w:rPr>
                <w:rFonts w:ascii="Aptos" w:hAnsi="Aptos" w:cs="Helvetica"/>
                <w:sz w:val="24"/>
              </w:rPr>
              <w:t xml:space="preserve">support alignment. </w:t>
            </w:r>
            <w:r w:rsidR="006878E1" w:rsidRPr="001F0145">
              <w:rPr>
                <w:rFonts w:ascii="Aptos" w:hAnsi="Aptos" w:cs="Helvetica"/>
                <w:sz w:val="24"/>
              </w:rPr>
              <w:t>This includes:</w:t>
            </w:r>
          </w:p>
          <w:p w14:paraId="5DD610BE" w14:textId="61408B2B" w:rsidR="00C37F6E" w:rsidRPr="001F0145" w:rsidRDefault="008142AF" w:rsidP="00A1696B">
            <w:pPr>
              <w:pStyle w:val="bulletlist"/>
              <w:numPr>
                <w:ilvl w:val="0"/>
                <w:numId w:val="20"/>
              </w:numPr>
              <w:rPr>
                <w:rFonts w:ascii="Aptos" w:hAnsi="Aptos" w:cs="Helvetica"/>
                <w:sz w:val="24"/>
              </w:rPr>
            </w:pPr>
            <w:r>
              <w:rPr>
                <w:rFonts w:ascii="Aptos" w:hAnsi="Aptos" w:cs="Helvetica"/>
                <w:sz w:val="24"/>
              </w:rPr>
              <w:t>e</w:t>
            </w:r>
            <w:r w:rsidR="00C37F6E" w:rsidRPr="001F0145">
              <w:rPr>
                <w:rFonts w:ascii="Aptos" w:hAnsi="Aptos" w:cs="Helvetica"/>
                <w:sz w:val="24"/>
              </w:rPr>
              <w:t xml:space="preserve">nsuring sector definitions are aligned with </w:t>
            </w:r>
            <w:r w:rsidR="007B17BF" w:rsidRPr="001F0145">
              <w:rPr>
                <w:rFonts w:ascii="Aptos" w:hAnsi="Aptos" w:cs="Helvetica"/>
                <w:sz w:val="24"/>
              </w:rPr>
              <w:t>the G</w:t>
            </w:r>
            <w:r w:rsidR="00C37F6E" w:rsidRPr="001F0145">
              <w:rPr>
                <w:rFonts w:ascii="Aptos" w:hAnsi="Aptos" w:cs="Helvetica"/>
                <w:sz w:val="24"/>
              </w:rPr>
              <w:t>overnment</w:t>
            </w:r>
            <w:r w:rsidR="008E287C">
              <w:rPr>
                <w:rFonts w:ascii="Aptos" w:hAnsi="Aptos" w:cs="Helvetica"/>
                <w:sz w:val="24"/>
              </w:rPr>
              <w:t>’</w:t>
            </w:r>
            <w:r w:rsidR="00C37F6E" w:rsidRPr="001F0145">
              <w:rPr>
                <w:rFonts w:ascii="Aptos" w:hAnsi="Aptos" w:cs="Helvetica"/>
                <w:sz w:val="24"/>
              </w:rPr>
              <w:t>s sector</w:t>
            </w:r>
            <w:r w:rsidR="008E287C">
              <w:rPr>
                <w:rFonts w:ascii="Aptos" w:hAnsi="Aptos" w:cs="Helvetica"/>
                <w:sz w:val="24"/>
              </w:rPr>
              <w:t>al</w:t>
            </w:r>
            <w:r w:rsidR="00C37F6E" w:rsidRPr="001F0145">
              <w:rPr>
                <w:rFonts w:ascii="Aptos" w:hAnsi="Aptos" w:cs="Helvetica"/>
                <w:sz w:val="24"/>
              </w:rPr>
              <w:t xml:space="preserve"> </w:t>
            </w:r>
            <w:r w:rsidR="006B6488" w:rsidRPr="001F0145">
              <w:rPr>
                <w:rFonts w:ascii="Aptos" w:hAnsi="Aptos" w:cs="Helvetica"/>
                <w:sz w:val="24"/>
              </w:rPr>
              <w:t xml:space="preserve">decarbonisation </w:t>
            </w:r>
            <w:proofErr w:type="gramStart"/>
            <w:r w:rsidR="006B6488" w:rsidRPr="001F0145">
              <w:rPr>
                <w:rFonts w:ascii="Aptos" w:hAnsi="Aptos" w:cs="Helvetica"/>
                <w:sz w:val="24"/>
              </w:rPr>
              <w:t>plans</w:t>
            </w:r>
            <w:r>
              <w:rPr>
                <w:rFonts w:ascii="Aptos" w:hAnsi="Aptos" w:cs="Helvetica"/>
                <w:sz w:val="24"/>
              </w:rPr>
              <w:t>;</w:t>
            </w:r>
            <w:proofErr w:type="gramEnd"/>
            <w:r>
              <w:rPr>
                <w:rFonts w:ascii="Aptos" w:hAnsi="Aptos" w:cs="Helvetica"/>
                <w:sz w:val="24"/>
              </w:rPr>
              <w:t xml:space="preserve"> </w:t>
            </w:r>
          </w:p>
          <w:p w14:paraId="358736F0" w14:textId="1FDDF2E1" w:rsidR="006B6488" w:rsidRPr="001F0145" w:rsidRDefault="008142AF" w:rsidP="00A1696B">
            <w:pPr>
              <w:pStyle w:val="bulletlist"/>
              <w:numPr>
                <w:ilvl w:val="0"/>
                <w:numId w:val="20"/>
              </w:numPr>
              <w:rPr>
                <w:rFonts w:ascii="Aptos" w:hAnsi="Aptos" w:cs="Helvetica"/>
                <w:sz w:val="24"/>
              </w:rPr>
            </w:pPr>
            <w:r>
              <w:rPr>
                <w:rFonts w:ascii="Aptos" w:hAnsi="Aptos" w:cs="Helvetica"/>
                <w:sz w:val="24"/>
              </w:rPr>
              <w:t>e</w:t>
            </w:r>
            <w:r w:rsidR="006B6488" w:rsidRPr="001F0145">
              <w:rPr>
                <w:rFonts w:ascii="Aptos" w:hAnsi="Aptos" w:cs="Helvetica"/>
                <w:sz w:val="24"/>
              </w:rPr>
              <w:t xml:space="preserve">nsuring coverage of priority activities across the different </w:t>
            </w:r>
            <w:proofErr w:type="gramStart"/>
            <w:r w:rsidR="006B6488" w:rsidRPr="001F0145">
              <w:rPr>
                <w:rFonts w:ascii="Aptos" w:hAnsi="Aptos" w:cs="Helvetica"/>
                <w:sz w:val="24"/>
              </w:rPr>
              <w:t>sectors</w:t>
            </w:r>
            <w:r>
              <w:rPr>
                <w:rFonts w:ascii="Aptos" w:hAnsi="Aptos" w:cs="Helvetica"/>
                <w:sz w:val="24"/>
              </w:rPr>
              <w:t>;</w:t>
            </w:r>
            <w:proofErr w:type="gramEnd"/>
          </w:p>
          <w:p w14:paraId="6764105B" w14:textId="068AFB45" w:rsidR="006878E1" w:rsidRPr="001F0145" w:rsidRDefault="008142AF" w:rsidP="00A1696B">
            <w:pPr>
              <w:pStyle w:val="bulletlist"/>
              <w:numPr>
                <w:ilvl w:val="0"/>
                <w:numId w:val="20"/>
              </w:numPr>
              <w:rPr>
                <w:rFonts w:ascii="Aptos" w:hAnsi="Aptos" w:cs="Helvetica"/>
                <w:sz w:val="24"/>
              </w:rPr>
            </w:pPr>
            <w:r>
              <w:rPr>
                <w:rFonts w:ascii="Aptos" w:hAnsi="Aptos" w:cs="Helvetica"/>
                <w:sz w:val="24"/>
              </w:rPr>
              <w:t>t</w:t>
            </w:r>
            <w:r w:rsidR="006878E1" w:rsidRPr="001F0145">
              <w:rPr>
                <w:rFonts w:ascii="Aptos" w:hAnsi="Aptos" w:cs="Helvetica"/>
                <w:sz w:val="24"/>
              </w:rPr>
              <w:t xml:space="preserve">he use of key </w:t>
            </w:r>
            <w:r w:rsidR="008E287C">
              <w:rPr>
                <w:rFonts w:ascii="Aptos" w:hAnsi="Aptos" w:cs="Helvetica"/>
                <w:sz w:val="24"/>
              </w:rPr>
              <w:t>G</w:t>
            </w:r>
            <w:r w:rsidR="006878E1" w:rsidRPr="001F0145">
              <w:rPr>
                <w:rFonts w:ascii="Aptos" w:hAnsi="Aptos" w:cs="Helvetica"/>
                <w:sz w:val="24"/>
              </w:rPr>
              <w:t>overnment data to baseline</w:t>
            </w:r>
            <w:r w:rsidR="008E287C">
              <w:rPr>
                <w:rFonts w:ascii="Aptos" w:hAnsi="Aptos" w:cs="Helvetica"/>
                <w:sz w:val="24"/>
              </w:rPr>
              <w:t xml:space="preserve"> </w:t>
            </w:r>
            <w:proofErr w:type="gramStart"/>
            <w:r w:rsidR="008E287C">
              <w:rPr>
                <w:rFonts w:ascii="Aptos" w:hAnsi="Aptos" w:cs="Helvetica"/>
                <w:sz w:val="24"/>
              </w:rPr>
              <w:t>TSC;</w:t>
            </w:r>
            <w:proofErr w:type="gramEnd"/>
          </w:p>
          <w:p w14:paraId="340A8F68" w14:textId="5C6EA35D" w:rsidR="006878E1" w:rsidRPr="001F0145" w:rsidRDefault="008142AF" w:rsidP="00A1696B">
            <w:pPr>
              <w:pStyle w:val="bulletlist"/>
              <w:numPr>
                <w:ilvl w:val="0"/>
                <w:numId w:val="20"/>
              </w:numPr>
              <w:rPr>
                <w:rFonts w:ascii="Aptos" w:hAnsi="Aptos" w:cs="Helvetica"/>
                <w:sz w:val="24"/>
              </w:rPr>
            </w:pPr>
            <w:r>
              <w:rPr>
                <w:rFonts w:ascii="Aptos" w:hAnsi="Aptos" w:cs="Helvetica"/>
                <w:sz w:val="24"/>
              </w:rPr>
              <w:t>t</w:t>
            </w:r>
            <w:r w:rsidR="00CF2084" w:rsidRPr="001F0145">
              <w:rPr>
                <w:rFonts w:ascii="Aptos" w:hAnsi="Aptos" w:cs="Helvetica"/>
                <w:sz w:val="24"/>
              </w:rPr>
              <w:t>he develop</w:t>
            </w:r>
            <w:r w:rsidR="00222E5D" w:rsidRPr="001F0145">
              <w:rPr>
                <w:rFonts w:ascii="Aptos" w:hAnsi="Aptos" w:cs="Helvetica"/>
                <w:sz w:val="24"/>
              </w:rPr>
              <w:t>ment</w:t>
            </w:r>
            <w:r w:rsidR="00CF2084" w:rsidRPr="001F0145">
              <w:rPr>
                <w:rFonts w:ascii="Aptos" w:hAnsi="Aptos" w:cs="Helvetica"/>
                <w:sz w:val="24"/>
              </w:rPr>
              <w:t xml:space="preserve"> of additional digits in the ANZSIC to capture new activities that are currently not classified</w:t>
            </w:r>
            <w:r>
              <w:rPr>
                <w:rFonts w:ascii="Aptos" w:hAnsi="Aptos" w:cs="Helvetica"/>
                <w:sz w:val="24"/>
              </w:rPr>
              <w:t xml:space="preserve">; </w:t>
            </w:r>
            <w:r w:rsidR="008E287C">
              <w:rPr>
                <w:rFonts w:ascii="Aptos" w:hAnsi="Aptos" w:cs="Helvetica"/>
                <w:sz w:val="24"/>
              </w:rPr>
              <w:t>and</w:t>
            </w:r>
          </w:p>
          <w:p w14:paraId="4EA80E23" w14:textId="77777777" w:rsidR="00DB5C68" w:rsidRDefault="008E287C" w:rsidP="00E474C9">
            <w:pPr>
              <w:pStyle w:val="bulletlist"/>
              <w:numPr>
                <w:ilvl w:val="0"/>
                <w:numId w:val="20"/>
              </w:numPr>
              <w:rPr>
                <w:rFonts w:ascii="Aptos" w:hAnsi="Aptos" w:cs="Helvetica"/>
                <w:sz w:val="24"/>
              </w:rPr>
            </w:pPr>
            <w:r>
              <w:rPr>
                <w:rFonts w:ascii="Aptos" w:hAnsi="Aptos" w:cs="Helvetica"/>
                <w:sz w:val="24"/>
              </w:rPr>
              <w:t>s</w:t>
            </w:r>
            <w:r w:rsidR="00CF2084" w:rsidRPr="001F0145">
              <w:rPr>
                <w:rFonts w:ascii="Aptos" w:hAnsi="Aptos" w:cs="Helvetica"/>
                <w:sz w:val="24"/>
              </w:rPr>
              <w:t xml:space="preserve">coping the definition of the other environmental sustainability objectives and aligning the taxonomy expansion proposal with </w:t>
            </w:r>
            <w:r>
              <w:rPr>
                <w:rFonts w:ascii="Aptos" w:hAnsi="Aptos" w:cs="Helvetica"/>
                <w:sz w:val="24"/>
              </w:rPr>
              <w:t>G</w:t>
            </w:r>
            <w:r w:rsidR="00CF2084" w:rsidRPr="001F0145">
              <w:rPr>
                <w:rFonts w:ascii="Aptos" w:hAnsi="Aptos" w:cs="Helvetica"/>
                <w:sz w:val="24"/>
              </w:rPr>
              <w:t xml:space="preserve">overnment policy priorities in the environment, </w:t>
            </w:r>
            <w:proofErr w:type="gramStart"/>
            <w:r w:rsidR="00CF2084" w:rsidRPr="001F0145">
              <w:rPr>
                <w:rFonts w:ascii="Aptos" w:hAnsi="Aptos" w:cs="Helvetica"/>
                <w:sz w:val="24"/>
              </w:rPr>
              <w:t>adaptation</w:t>
            </w:r>
            <w:proofErr w:type="gramEnd"/>
            <w:r w:rsidR="00CF2084" w:rsidRPr="001F0145">
              <w:rPr>
                <w:rFonts w:ascii="Aptos" w:hAnsi="Aptos" w:cs="Helvetica"/>
                <w:sz w:val="24"/>
              </w:rPr>
              <w:t xml:space="preserve"> and circular economy.</w:t>
            </w:r>
            <w:r w:rsidR="00D45EF6" w:rsidRPr="00E474C9">
              <w:rPr>
                <w:rFonts w:ascii="Aptos" w:hAnsi="Aptos" w:cs="Helvetica"/>
                <w:sz w:val="24"/>
              </w:rPr>
              <w:t xml:space="preserve"> </w:t>
            </w:r>
          </w:p>
          <w:p w14:paraId="33C19100" w14:textId="2E1817AF" w:rsidR="008E287C" w:rsidRPr="00E474C9" w:rsidRDefault="008E287C" w:rsidP="008E287C">
            <w:pPr>
              <w:pStyle w:val="bulletlist"/>
              <w:numPr>
                <w:ilvl w:val="0"/>
                <w:numId w:val="0"/>
              </w:numPr>
              <w:ind w:left="284" w:hanging="284"/>
              <w:rPr>
                <w:rFonts w:ascii="Aptos" w:hAnsi="Aptos" w:cs="Helvetica"/>
                <w:sz w:val="24"/>
              </w:rPr>
            </w:pPr>
            <w:r>
              <w:rPr>
                <w:rFonts w:ascii="Aptos" w:hAnsi="Aptos" w:cs="Helvetica"/>
                <w:sz w:val="24"/>
              </w:rPr>
              <w:t xml:space="preserve">More insights are provided in </w:t>
            </w:r>
            <w:r w:rsidRPr="008E287C">
              <w:rPr>
                <w:rFonts w:ascii="Aptos" w:hAnsi="Aptos" w:cs="Helvetica"/>
                <w:b/>
                <w:bCs/>
                <w:sz w:val="24"/>
                <w:u w:val="single"/>
              </w:rPr>
              <w:t>Appendix G</w:t>
            </w:r>
            <w:r>
              <w:rPr>
                <w:rFonts w:ascii="Aptos" w:hAnsi="Aptos" w:cs="Helvetica"/>
                <w:sz w:val="24"/>
              </w:rPr>
              <w:t>.</w:t>
            </w:r>
          </w:p>
        </w:tc>
      </w:tr>
      <w:tr w:rsidR="00B22F8A" w:rsidRPr="001F0145" w14:paraId="370B1F60" w14:textId="7845AED7" w:rsidTr="00B55525">
        <w:tc>
          <w:tcPr>
            <w:tcW w:w="9623" w:type="dxa"/>
            <w:gridSpan w:val="2"/>
            <w:shd w:val="clear" w:color="auto" w:fill="0D4E80"/>
          </w:tcPr>
          <w:p w14:paraId="62B979AD" w14:textId="21511B53" w:rsidR="00F778B6" w:rsidRPr="001F0145" w:rsidRDefault="00CD6A95" w:rsidP="00DB1411">
            <w:pPr>
              <w:pStyle w:val="bulletlist"/>
              <w:numPr>
                <w:ilvl w:val="0"/>
                <w:numId w:val="0"/>
              </w:numPr>
              <w:rPr>
                <w:rFonts w:ascii="Aptos" w:hAnsi="Aptos" w:cs="Helvetica"/>
                <w:i/>
                <w:color w:val="FFFFFF" w:themeColor="background1"/>
                <w:sz w:val="24"/>
              </w:rPr>
            </w:pPr>
            <w:r>
              <w:rPr>
                <w:rFonts w:ascii="Aptos" w:hAnsi="Aptos" w:cs="Helvetica"/>
                <w:i/>
                <w:color w:val="FFFFFF" w:themeColor="background1"/>
                <w:sz w:val="24"/>
              </w:rPr>
              <w:t>State and territory governments</w:t>
            </w:r>
          </w:p>
        </w:tc>
      </w:tr>
      <w:tr w:rsidR="00E83C25" w:rsidRPr="001F0145" w14:paraId="7E05EAF3" w14:textId="77777777" w:rsidTr="009F1672">
        <w:tc>
          <w:tcPr>
            <w:tcW w:w="1413" w:type="dxa"/>
          </w:tcPr>
          <w:p w14:paraId="306C789D" w14:textId="5D354049" w:rsidR="00E83C25" w:rsidRPr="001F0145" w:rsidRDefault="00E83C25" w:rsidP="00E83C25">
            <w:pPr>
              <w:pStyle w:val="bulletlist"/>
              <w:numPr>
                <w:ilvl w:val="0"/>
                <w:numId w:val="0"/>
              </w:numPr>
              <w:rPr>
                <w:rFonts w:ascii="Aptos" w:hAnsi="Aptos" w:cs="Helvetica"/>
                <w:i/>
                <w:sz w:val="24"/>
              </w:rPr>
            </w:pPr>
            <w:r w:rsidRPr="001F0145">
              <w:rPr>
                <w:rFonts w:ascii="Aptos" w:hAnsi="Aptos" w:cs="Helvetica"/>
                <w:i/>
                <w:sz w:val="24"/>
              </w:rPr>
              <w:t>Who</w:t>
            </w:r>
            <w:r w:rsidR="0085411E" w:rsidRPr="001F0145">
              <w:rPr>
                <w:rFonts w:ascii="Aptos" w:hAnsi="Aptos" w:cs="Helvetica"/>
                <w:i/>
                <w:sz w:val="24"/>
              </w:rPr>
              <w:t xml:space="preserve"> </w:t>
            </w:r>
          </w:p>
        </w:tc>
        <w:tc>
          <w:tcPr>
            <w:tcW w:w="8210" w:type="dxa"/>
          </w:tcPr>
          <w:p w14:paraId="4C5BEFA8" w14:textId="659D80C6" w:rsidR="00E83C25" w:rsidRPr="001F0145" w:rsidRDefault="0000042E" w:rsidP="00E83C25">
            <w:pPr>
              <w:pStyle w:val="bulletlist"/>
              <w:numPr>
                <w:ilvl w:val="0"/>
                <w:numId w:val="0"/>
              </w:numPr>
              <w:rPr>
                <w:rFonts w:ascii="Aptos" w:hAnsi="Aptos" w:cs="Helvetica"/>
                <w:sz w:val="24"/>
              </w:rPr>
            </w:pPr>
            <w:r w:rsidRPr="001F0145">
              <w:rPr>
                <w:rFonts w:ascii="Aptos" w:hAnsi="Aptos" w:cs="Helvetica"/>
                <w:sz w:val="24"/>
              </w:rPr>
              <w:t xml:space="preserve">State and territory </w:t>
            </w:r>
            <w:r w:rsidR="00F277DD" w:rsidRPr="001F0145">
              <w:rPr>
                <w:rFonts w:ascii="Aptos" w:hAnsi="Aptos" w:cs="Helvetica"/>
                <w:sz w:val="24"/>
              </w:rPr>
              <w:t>treasur</w:t>
            </w:r>
            <w:r w:rsidR="008C6FB9">
              <w:rPr>
                <w:rFonts w:ascii="Aptos" w:hAnsi="Aptos" w:cs="Helvetica"/>
                <w:sz w:val="24"/>
              </w:rPr>
              <w:t>ies, their issuing agencies,</w:t>
            </w:r>
            <w:r w:rsidR="00F277DD" w:rsidRPr="001F0145">
              <w:rPr>
                <w:rFonts w:ascii="Aptos" w:hAnsi="Aptos" w:cs="Helvetica"/>
                <w:sz w:val="24"/>
              </w:rPr>
              <w:t xml:space="preserve"> and other</w:t>
            </w:r>
            <w:r w:rsidR="008C6FB9">
              <w:rPr>
                <w:rFonts w:ascii="Aptos" w:hAnsi="Aptos" w:cs="Helvetica"/>
                <w:sz w:val="24"/>
              </w:rPr>
              <w:t xml:space="preserve"> state</w:t>
            </w:r>
            <w:r w:rsidR="00F277DD" w:rsidRPr="001F0145">
              <w:rPr>
                <w:rFonts w:ascii="Aptos" w:hAnsi="Aptos" w:cs="Helvetica"/>
                <w:sz w:val="24"/>
              </w:rPr>
              <w:t xml:space="preserve"> government representatives as relevant.</w:t>
            </w:r>
          </w:p>
        </w:tc>
      </w:tr>
      <w:tr w:rsidR="00E83C25" w:rsidRPr="001F0145" w14:paraId="0B04A388" w14:textId="77777777" w:rsidTr="009F1672">
        <w:tc>
          <w:tcPr>
            <w:tcW w:w="1413" w:type="dxa"/>
          </w:tcPr>
          <w:p w14:paraId="554AE2ED" w14:textId="3B626ABB" w:rsidR="00E83C25" w:rsidRPr="001F0145" w:rsidRDefault="0085411E" w:rsidP="00E83C25">
            <w:pPr>
              <w:pStyle w:val="bulletlist"/>
              <w:numPr>
                <w:ilvl w:val="0"/>
                <w:numId w:val="0"/>
              </w:numPr>
              <w:rPr>
                <w:rFonts w:ascii="Aptos" w:hAnsi="Aptos" w:cs="Helvetica"/>
                <w:i/>
                <w:sz w:val="24"/>
              </w:rPr>
            </w:pPr>
            <w:r w:rsidRPr="001F0145">
              <w:rPr>
                <w:rFonts w:ascii="Aptos" w:hAnsi="Aptos" w:cs="Helvetica"/>
                <w:i/>
                <w:sz w:val="24"/>
              </w:rPr>
              <w:t>What</w:t>
            </w:r>
          </w:p>
        </w:tc>
        <w:tc>
          <w:tcPr>
            <w:tcW w:w="8210" w:type="dxa"/>
          </w:tcPr>
          <w:p w14:paraId="34F08AAB" w14:textId="6BFF8319" w:rsidR="00E83C25" w:rsidRPr="001F0145" w:rsidRDefault="00BE6802" w:rsidP="00E83C25">
            <w:pPr>
              <w:pStyle w:val="bulletlist"/>
              <w:numPr>
                <w:ilvl w:val="0"/>
                <w:numId w:val="0"/>
              </w:numPr>
              <w:rPr>
                <w:rFonts w:ascii="Aptos" w:hAnsi="Aptos" w:cs="Helvetica"/>
                <w:sz w:val="24"/>
              </w:rPr>
            </w:pPr>
            <w:r w:rsidRPr="001F0145">
              <w:rPr>
                <w:rFonts w:ascii="Aptos" w:hAnsi="Aptos" w:cs="Helvetica"/>
                <w:sz w:val="24"/>
              </w:rPr>
              <w:t xml:space="preserve">The purpose of </w:t>
            </w:r>
            <w:r w:rsidR="00CD6A95">
              <w:rPr>
                <w:rFonts w:ascii="Aptos" w:hAnsi="Aptos" w:cs="Helvetica"/>
                <w:sz w:val="24"/>
              </w:rPr>
              <w:t>engaging with state governments</w:t>
            </w:r>
            <w:r w:rsidRPr="001F0145">
              <w:rPr>
                <w:rFonts w:ascii="Aptos" w:hAnsi="Aptos" w:cs="Helvetica"/>
                <w:sz w:val="24"/>
              </w:rPr>
              <w:t xml:space="preserve"> is to provide an update on the </w:t>
            </w:r>
            <w:r w:rsidR="009F4B35">
              <w:rPr>
                <w:rFonts w:ascii="Aptos" w:hAnsi="Aptos" w:cs="Helvetica"/>
                <w:sz w:val="24"/>
              </w:rPr>
              <w:t>t</w:t>
            </w:r>
            <w:r w:rsidRPr="001F0145">
              <w:rPr>
                <w:rFonts w:ascii="Aptos" w:hAnsi="Aptos" w:cs="Helvetica"/>
                <w:sz w:val="24"/>
              </w:rPr>
              <w:t>axonomy’s development at key points in the process, with a focus on information relevant to the policy mandates of state and territory governments</w:t>
            </w:r>
            <w:r w:rsidR="00CD6A95">
              <w:rPr>
                <w:rFonts w:ascii="Aptos" w:hAnsi="Aptos" w:cs="Helvetica"/>
                <w:sz w:val="24"/>
              </w:rPr>
              <w:t xml:space="preserve"> and potential use cases for state treasur</w:t>
            </w:r>
            <w:r w:rsidR="004E622A">
              <w:rPr>
                <w:rFonts w:ascii="Aptos" w:hAnsi="Aptos" w:cs="Helvetica"/>
                <w:sz w:val="24"/>
              </w:rPr>
              <w:t xml:space="preserve">ies and their issuing agencies. </w:t>
            </w:r>
          </w:p>
        </w:tc>
      </w:tr>
      <w:tr w:rsidR="00E83C25" w:rsidRPr="001F0145" w14:paraId="7AB5654B" w14:textId="77777777" w:rsidTr="009F1672">
        <w:tc>
          <w:tcPr>
            <w:tcW w:w="1413" w:type="dxa"/>
          </w:tcPr>
          <w:p w14:paraId="07FA1BE3" w14:textId="671DCC30" w:rsidR="00E83C25" w:rsidRPr="001F0145" w:rsidRDefault="0085411E" w:rsidP="00E83C25">
            <w:pPr>
              <w:pStyle w:val="bulletlist"/>
              <w:numPr>
                <w:ilvl w:val="0"/>
                <w:numId w:val="0"/>
              </w:numPr>
              <w:rPr>
                <w:rFonts w:ascii="Aptos" w:hAnsi="Aptos" w:cs="Helvetica"/>
                <w:i/>
                <w:sz w:val="24"/>
              </w:rPr>
            </w:pPr>
            <w:r w:rsidRPr="001F0145">
              <w:rPr>
                <w:rFonts w:ascii="Aptos" w:hAnsi="Aptos" w:cs="Helvetica"/>
                <w:i/>
                <w:sz w:val="24"/>
              </w:rPr>
              <w:t xml:space="preserve">When </w:t>
            </w:r>
          </w:p>
        </w:tc>
        <w:tc>
          <w:tcPr>
            <w:tcW w:w="8210" w:type="dxa"/>
          </w:tcPr>
          <w:p w14:paraId="210C94CE" w14:textId="017BAB39" w:rsidR="00E83C25" w:rsidRPr="001F0145" w:rsidRDefault="00956FDE" w:rsidP="00E83C25">
            <w:pPr>
              <w:pStyle w:val="bulletlist"/>
              <w:numPr>
                <w:ilvl w:val="0"/>
                <w:numId w:val="0"/>
              </w:numPr>
              <w:rPr>
                <w:rFonts w:ascii="Aptos" w:hAnsi="Aptos" w:cs="Helvetica"/>
                <w:sz w:val="24"/>
              </w:rPr>
            </w:pPr>
            <w:r>
              <w:rPr>
                <w:rFonts w:ascii="Aptos" w:hAnsi="Aptos" w:cs="Helvetica"/>
                <w:sz w:val="24"/>
              </w:rPr>
              <w:t>ASFI convened in-person and online meetings with all</w:t>
            </w:r>
            <w:r w:rsidR="0011126D">
              <w:rPr>
                <w:rFonts w:ascii="Aptos" w:hAnsi="Aptos" w:cs="Helvetica"/>
                <w:sz w:val="24"/>
              </w:rPr>
              <w:t xml:space="preserve"> state and territory treasuries and their issuing agencies </w:t>
            </w:r>
            <w:r w:rsidR="009F4B35">
              <w:rPr>
                <w:rFonts w:ascii="Aptos" w:hAnsi="Aptos" w:cs="Helvetica"/>
                <w:sz w:val="24"/>
              </w:rPr>
              <w:t>in</w:t>
            </w:r>
            <w:r w:rsidR="0011126D">
              <w:rPr>
                <w:rFonts w:ascii="Aptos" w:hAnsi="Aptos" w:cs="Helvetica"/>
                <w:sz w:val="24"/>
              </w:rPr>
              <w:t xml:space="preserve"> May and June 2024, </w:t>
            </w:r>
            <w:r w:rsidR="009F4B35">
              <w:rPr>
                <w:rFonts w:ascii="Aptos" w:hAnsi="Aptos" w:cs="Helvetica"/>
                <w:sz w:val="24"/>
              </w:rPr>
              <w:t>aligning with</w:t>
            </w:r>
            <w:r w:rsidR="00CD6A95">
              <w:rPr>
                <w:rFonts w:ascii="Aptos" w:hAnsi="Aptos" w:cs="Helvetica"/>
                <w:sz w:val="24"/>
              </w:rPr>
              <w:t xml:space="preserve"> the first round of public consultation. </w:t>
            </w:r>
            <w:r w:rsidR="00B87294">
              <w:rPr>
                <w:rFonts w:ascii="Aptos" w:hAnsi="Aptos" w:cs="Helvetica"/>
                <w:sz w:val="24"/>
              </w:rPr>
              <w:t>ASFI</w:t>
            </w:r>
            <w:r w:rsidR="00CD6A95">
              <w:rPr>
                <w:rFonts w:ascii="Aptos" w:hAnsi="Aptos" w:cs="Helvetica"/>
                <w:sz w:val="24"/>
              </w:rPr>
              <w:t xml:space="preserve"> will continue to convene state and territory government representatives on an ad hoc basis.</w:t>
            </w:r>
          </w:p>
        </w:tc>
      </w:tr>
      <w:tr w:rsidR="004E622A" w:rsidRPr="001F0145" w14:paraId="7A6FFC4A" w14:textId="77777777" w:rsidTr="009F1672">
        <w:tc>
          <w:tcPr>
            <w:tcW w:w="1413" w:type="dxa"/>
          </w:tcPr>
          <w:p w14:paraId="781B93D5" w14:textId="56399716" w:rsidR="004E622A" w:rsidRPr="001F0145" w:rsidRDefault="004E622A" w:rsidP="00E83C25">
            <w:pPr>
              <w:pStyle w:val="bulletlist"/>
              <w:numPr>
                <w:ilvl w:val="0"/>
                <w:numId w:val="0"/>
              </w:numPr>
              <w:rPr>
                <w:rFonts w:ascii="Aptos" w:hAnsi="Aptos" w:cs="Helvetica"/>
                <w:i/>
                <w:sz w:val="24"/>
              </w:rPr>
            </w:pPr>
          </w:p>
        </w:tc>
        <w:tc>
          <w:tcPr>
            <w:tcW w:w="8210" w:type="dxa"/>
          </w:tcPr>
          <w:p w14:paraId="55034B63" w14:textId="6BA80089" w:rsidR="004E622A" w:rsidRDefault="004E622A" w:rsidP="00E83C25">
            <w:pPr>
              <w:pStyle w:val="bulletlist"/>
              <w:numPr>
                <w:ilvl w:val="0"/>
                <w:numId w:val="0"/>
              </w:numPr>
              <w:rPr>
                <w:rFonts w:ascii="Aptos" w:hAnsi="Aptos" w:cs="Helvetica"/>
                <w:sz w:val="24"/>
              </w:rPr>
            </w:pPr>
            <w:r>
              <w:rPr>
                <w:rFonts w:ascii="Aptos" w:hAnsi="Aptos" w:cs="Helvetica"/>
                <w:sz w:val="24"/>
              </w:rPr>
              <w:t>In the first round of public consultation, ASFI also met with</w:t>
            </w:r>
            <w:r w:rsidR="00B87294">
              <w:rPr>
                <w:rFonts w:ascii="Aptos" w:hAnsi="Aptos" w:cs="Helvetica"/>
                <w:sz w:val="24"/>
              </w:rPr>
              <w:t xml:space="preserve"> the relevant</w:t>
            </w:r>
            <w:r>
              <w:rPr>
                <w:rFonts w:ascii="Aptos" w:hAnsi="Aptos" w:cs="Helvetica"/>
                <w:sz w:val="24"/>
              </w:rPr>
              <w:t xml:space="preserve"> NSW and ACT Government polic</w:t>
            </w:r>
            <w:r w:rsidR="009F4B35">
              <w:rPr>
                <w:rFonts w:ascii="Aptos" w:hAnsi="Aptos" w:cs="Helvetica"/>
                <w:sz w:val="24"/>
              </w:rPr>
              <w:t>y</w:t>
            </w:r>
            <w:r>
              <w:rPr>
                <w:rFonts w:ascii="Aptos" w:hAnsi="Aptos" w:cs="Helvetica"/>
                <w:sz w:val="24"/>
              </w:rPr>
              <w:t xml:space="preserve"> </w:t>
            </w:r>
            <w:r w:rsidR="00CD6376">
              <w:rPr>
                <w:rFonts w:ascii="Aptos" w:hAnsi="Aptos" w:cs="Helvetica"/>
                <w:sz w:val="24"/>
              </w:rPr>
              <w:t xml:space="preserve">areas to socialise and seek feedback on the draft built environment TSC. </w:t>
            </w:r>
          </w:p>
        </w:tc>
      </w:tr>
      <w:tr w:rsidR="0085411E" w:rsidRPr="001F0145" w14:paraId="3E2346FB" w14:textId="77777777" w:rsidTr="009F1672">
        <w:tc>
          <w:tcPr>
            <w:tcW w:w="1413" w:type="dxa"/>
          </w:tcPr>
          <w:p w14:paraId="0068CEE0" w14:textId="52D3C1E6" w:rsidR="0085411E" w:rsidRPr="001F0145" w:rsidRDefault="0085411E" w:rsidP="0085411E">
            <w:pPr>
              <w:pStyle w:val="bulletlist"/>
              <w:numPr>
                <w:ilvl w:val="0"/>
                <w:numId w:val="0"/>
              </w:numPr>
              <w:rPr>
                <w:rFonts w:ascii="Aptos" w:hAnsi="Aptos" w:cs="Helvetica"/>
                <w:i/>
                <w:sz w:val="24"/>
              </w:rPr>
            </w:pPr>
            <w:r w:rsidRPr="001F0145">
              <w:rPr>
                <w:rFonts w:ascii="Aptos" w:hAnsi="Aptos" w:cs="Helvetica"/>
                <w:i/>
                <w:sz w:val="24"/>
              </w:rPr>
              <w:t>Key Insights</w:t>
            </w:r>
          </w:p>
        </w:tc>
        <w:tc>
          <w:tcPr>
            <w:tcW w:w="8210" w:type="dxa"/>
          </w:tcPr>
          <w:p w14:paraId="4FD51F6C" w14:textId="1C7F77F6" w:rsidR="0085411E" w:rsidRPr="001F0145" w:rsidRDefault="00502143" w:rsidP="0085411E">
            <w:pPr>
              <w:pStyle w:val="bulletlist"/>
              <w:numPr>
                <w:ilvl w:val="0"/>
                <w:numId w:val="0"/>
              </w:numPr>
              <w:rPr>
                <w:rFonts w:ascii="Aptos" w:hAnsi="Aptos" w:cs="Helvetica"/>
                <w:sz w:val="24"/>
              </w:rPr>
            </w:pPr>
            <w:r>
              <w:rPr>
                <w:rFonts w:ascii="Aptos" w:hAnsi="Aptos" w:cs="Helvetica"/>
                <w:sz w:val="24"/>
              </w:rPr>
              <w:t>State treasury corporations have indicated a strong interest in aligning proceeds from sub-</w:t>
            </w:r>
            <w:r w:rsidR="000E7F42">
              <w:rPr>
                <w:rFonts w:ascii="Aptos" w:hAnsi="Aptos" w:cs="Helvetica"/>
                <w:sz w:val="24"/>
              </w:rPr>
              <w:t>sovereign</w:t>
            </w:r>
            <w:r w:rsidR="00745341">
              <w:rPr>
                <w:rFonts w:ascii="Aptos" w:hAnsi="Aptos" w:cs="Helvetica"/>
                <w:sz w:val="24"/>
              </w:rPr>
              <w:t xml:space="preserve"> </w:t>
            </w:r>
            <w:r w:rsidR="000E7F42">
              <w:rPr>
                <w:rFonts w:ascii="Aptos" w:hAnsi="Aptos" w:cs="Helvetica"/>
                <w:sz w:val="24"/>
              </w:rPr>
              <w:t>g</w:t>
            </w:r>
            <w:r w:rsidR="00745341">
              <w:rPr>
                <w:rFonts w:ascii="Aptos" w:hAnsi="Aptos" w:cs="Helvetica"/>
                <w:sz w:val="24"/>
              </w:rPr>
              <w:t xml:space="preserve">reen bond issuances, and policy expenditure </w:t>
            </w:r>
            <w:r w:rsidR="000E7F42">
              <w:rPr>
                <w:rFonts w:ascii="Aptos" w:hAnsi="Aptos" w:cs="Helvetica"/>
                <w:sz w:val="24"/>
              </w:rPr>
              <w:t xml:space="preserve">programs, with eligible taxonomy activities. </w:t>
            </w:r>
          </w:p>
        </w:tc>
      </w:tr>
      <w:tr w:rsidR="00DB1411" w:rsidRPr="001F0145" w14:paraId="72ADD566" w14:textId="36823400" w:rsidTr="00B55525">
        <w:tc>
          <w:tcPr>
            <w:tcW w:w="9623" w:type="dxa"/>
            <w:gridSpan w:val="2"/>
            <w:shd w:val="clear" w:color="auto" w:fill="0D4E80"/>
          </w:tcPr>
          <w:p w14:paraId="54C4BD06" w14:textId="5092D228" w:rsidR="00F778B6" w:rsidRPr="001F0145" w:rsidRDefault="00E83C25" w:rsidP="00AD1A60">
            <w:pPr>
              <w:pStyle w:val="bulletlist"/>
              <w:numPr>
                <w:ilvl w:val="0"/>
                <w:numId w:val="0"/>
              </w:numPr>
              <w:rPr>
                <w:rFonts w:ascii="Aptos" w:hAnsi="Aptos" w:cs="Helvetica"/>
                <w:i/>
                <w:sz w:val="24"/>
              </w:rPr>
            </w:pPr>
            <w:r w:rsidRPr="001F0145">
              <w:rPr>
                <w:rFonts w:ascii="Aptos" w:hAnsi="Aptos" w:cs="Helvetica"/>
                <w:i/>
                <w:color w:val="FFFFFF" w:themeColor="background1"/>
                <w:sz w:val="24"/>
              </w:rPr>
              <w:t>Environmental NGO Taxonomy Forum</w:t>
            </w:r>
          </w:p>
        </w:tc>
      </w:tr>
      <w:tr w:rsidR="00E83C25" w:rsidRPr="001F0145" w14:paraId="6346184E" w14:textId="77777777" w:rsidTr="008C6FB9">
        <w:trPr>
          <w:trHeight w:val="3959"/>
        </w:trPr>
        <w:tc>
          <w:tcPr>
            <w:tcW w:w="1413" w:type="dxa"/>
          </w:tcPr>
          <w:p w14:paraId="590A30EC" w14:textId="1E8B90C3" w:rsidR="00E83C25" w:rsidRPr="001F0145" w:rsidRDefault="00E83C25" w:rsidP="00E83C25">
            <w:pPr>
              <w:pStyle w:val="bulletlist"/>
              <w:numPr>
                <w:ilvl w:val="0"/>
                <w:numId w:val="0"/>
              </w:numPr>
              <w:rPr>
                <w:rFonts w:ascii="Aptos" w:hAnsi="Aptos" w:cs="Helvetica"/>
                <w:i/>
                <w:sz w:val="24"/>
              </w:rPr>
            </w:pPr>
            <w:r w:rsidRPr="001F0145">
              <w:rPr>
                <w:rFonts w:ascii="Aptos" w:hAnsi="Aptos" w:cs="Helvetica"/>
                <w:i/>
                <w:sz w:val="24"/>
              </w:rPr>
              <w:t>Who</w:t>
            </w:r>
          </w:p>
        </w:tc>
        <w:tc>
          <w:tcPr>
            <w:tcW w:w="8210" w:type="dxa"/>
          </w:tcPr>
          <w:p w14:paraId="39532CFB" w14:textId="1F25092F" w:rsidR="00E83C25" w:rsidRPr="001F0145" w:rsidRDefault="00CD6A95" w:rsidP="00E83C25">
            <w:pPr>
              <w:pStyle w:val="bulletlist"/>
              <w:numPr>
                <w:ilvl w:val="0"/>
                <w:numId w:val="0"/>
              </w:numPr>
              <w:rPr>
                <w:rFonts w:ascii="Aptos" w:hAnsi="Aptos" w:cs="Helvetica"/>
                <w:sz w:val="24"/>
              </w:rPr>
            </w:pPr>
            <w:r>
              <w:rPr>
                <w:rFonts w:ascii="Aptos" w:hAnsi="Aptos" w:cs="Helvetica"/>
                <w:sz w:val="24"/>
              </w:rPr>
              <w:t xml:space="preserve">The Environmental NGO (ENGO) Taxonomy Forum comprises representatives from the following organisations: </w:t>
            </w:r>
          </w:p>
          <w:p w14:paraId="2F858FAA" w14:textId="54FC7169" w:rsidR="00C52551" w:rsidRPr="001F0145" w:rsidRDefault="00D37FD4" w:rsidP="00A1696B">
            <w:pPr>
              <w:pStyle w:val="bulletlist"/>
              <w:numPr>
                <w:ilvl w:val="0"/>
                <w:numId w:val="10"/>
              </w:numPr>
              <w:spacing w:after="0"/>
              <w:rPr>
                <w:rFonts w:ascii="Aptos" w:hAnsi="Aptos" w:cs="Helvetica"/>
                <w:sz w:val="24"/>
              </w:rPr>
            </w:pPr>
            <w:r w:rsidRPr="001F0145">
              <w:rPr>
                <w:rFonts w:ascii="Aptos" w:hAnsi="Aptos" w:cs="Helvetica"/>
                <w:sz w:val="24"/>
              </w:rPr>
              <w:t>A</w:t>
            </w:r>
            <w:r w:rsidR="00482956" w:rsidRPr="001F0145">
              <w:rPr>
                <w:rFonts w:ascii="Aptos" w:hAnsi="Aptos" w:cs="Helvetica"/>
                <w:sz w:val="24"/>
              </w:rPr>
              <w:t>ustralian Land Conservation Alliance</w:t>
            </w:r>
          </w:p>
          <w:p w14:paraId="15996A45" w14:textId="34AEBCF4" w:rsidR="007A74E9" w:rsidRPr="001F0145" w:rsidRDefault="007A74E9" w:rsidP="00A1696B">
            <w:pPr>
              <w:pStyle w:val="bulletlist"/>
              <w:numPr>
                <w:ilvl w:val="0"/>
                <w:numId w:val="10"/>
              </w:numPr>
              <w:spacing w:after="0"/>
              <w:rPr>
                <w:rFonts w:ascii="Aptos" w:hAnsi="Aptos" w:cs="Helvetica"/>
                <w:sz w:val="24"/>
              </w:rPr>
            </w:pPr>
            <w:r w:rsidRPr="001F0145">
              <w:rPr>
                <w:rFonts w:ascii="Aptos" w:hAnsi="Aptos" w:cs="Helvetica"/>
                <w:sz w:val="24"/>
              </w:rPr>
              <w:t>A</w:t>
            </w:r>
            <w:r w:rsidR="003B3CDF" w:rsidRPr="001F0145">
              <w:rPr>
                <w:rFonts w:ascii="Aptos" w:hAnsi="Aptos" w:cs="Helvetica"/>
                <w:sz w:val="24"/>
              </w:rPr>
              <w:t xml:space="preserve">ustralian Conservation Foundation </w:t>
            </w:r>
          </w:p>
          <w:p w14:paraId="520A0EDD" w14:textId="5E5710C7" w:rsidR="00DB1D19" w:rsidRDefault="00DB1D19" w:rsidP="00C40916">
            <w:pPr>
              <w:pStyle w:val="bulletlist"/>
              <w:numPr>
                <w:ilvl w:val="0"/>
                <w:numId w:val="10"/>
              </w:numPr>
              <w:spacing w:after="0"/>
              <w:rPr>
                <w:rFonts w:ascii="Aptos" w:hAnsi="Aptos" w:cs="Helvetica"/>
                <w:sz w:val="24"/>
              </w:rPr>
            </w:pPr>
            <w:r>
              <w:rPr>
                <w:rFonts w:ascii="Aptos" w:hAnsi="Aptos" w:cs="Helvetica"/>
                <w:sz w:val="24"/>
              </w:rPr>
              <w:t>Climate Integrity</w:t>
            </w:r>
          </w:p>
          <w:p w14:paraId="52FE73A2" w14:textId="1B98DAAE" w:rsidR="00C40916" w:rsidRPr="00C40916" w:rsidRDefault="00C40916" w:rsidP="00C40916">
            <w:pPr>
              <w:pStyle w:val="bulletlist"/>
              <w:numPr>
                <w:ilvl w:val="0"/>
                <w:numId w:val="10"/>
              </w:numPr>
              <w:spacing w:after="0"/>
              <w:rPr>
                <w:rFonts w:ascii="Aptos" w:hAnsi="Aptos" w:cs="Helvetica"/>
                <w:sz w:val="24"/>
              </w:rPr>
            </w:pPr>
            <w:r w:rsidRPr="001F0145">
              <w:rPr>
                <w:rFonts w:ascii="Aptos" w:hAnsi="Aptos" w:cs="Helvetica"/>
                <w:sz w:val="24"/>
              </w:rPr>
              <w:t>CSIRO</w:t>
            </w:r>
          </w:p>
          <w:p w14:paraId="17C127E4" w14:textId="55DE7A16" w:rsidR="00473930" w:rsidRPr="001F0145" w:rsidRDefault="00081915" w:rsidP="00A1696B">
            <w:pPr>
              <w:pStyle w:val="bulletlist"/>
              <w:numPr>
                <w:ilvl w:val="0"/>
                <w:numId w:val="10"/>
              </w:numPr>
              <w:spacing w:after="0"/>
              <w:rPr>
                <w:rFonts w:ascii="Aptos" w:hAnsi="Aptos" w:cs="Helvetica"/>
                <w:sz w:val="24"/>
              </w:rPr>
            </w:pPr>
            <w:r>
              <w:rPr>
                <w:rFonts w:ascii="Aptos" w:hAnsi="Aptos" w:cs="Helvetica"/>
                <w:sz w:val="24"/>
              </w:rPr>
              <w:t>M</w:t>
            </w:r>
            <w:r w:rsidR="00473930" w:rsidRPr="001F0145">
              <w:rPr>
                <w:rFonts w:ascii="Aptos" w:hAnsi="Aptos" w:cs="Helvetica"/>
                <w:sz w:val="24"/>
              </w:rPr>
              <w:t>inderoo</w:t>
            </w:r>
            <w:r w:rsidR="00B029F6" w:rsidRPr="001F0145">
              <w:rPr>
                <w:rFonts w:ascii="Aptos" w:hAnsi="Aptos" w:cs="Helvetica"/>
                <w:sz w:val="24"/>
              </w:rPr>
              <w:t xml:space="preserve"> Foundation</w:t>
            </w:r>
          </w:p>
          <w:p w14:paraId="713A2C77" w14:textId="0E1DDA5E" w:rsidR="00C40916" w:rsidRPr="00C40916" w:rsidRDefault="00C40916" w:rsidP="00C40916">
            <w:pPr>
              <w:pStyle w:val="bulletlist"/>
              <w:numPr>
                <w:ilvl w:val="0"/>
                <w:numId w:val="10"/>
              </w:numPr>
              <w:spacing w:after="0"/>
              <w:rPr>
                <w:rFonts w:ascii="Aptos" w:hAnsi="Aptos" w:cs="Helvetica"/>
                <w:sz w:val="24"/>
              </w:rPr>
            </w:pPr>
            <w:r w:rsidRPr="001F0145">
              <w:rPr>
                <w:rFonts w:ascii="Aptos" w:hAnsi="Aptos" w:cs="Helvetica"/>
                <w:sz w:val="24"/>
              </w:rPr>
              <w:t>Ocean Decade Australia</w:t>
            </w:r>
          </w:p>
          <w:p w14:paraId="1989C830" w14:textId="235AE61A" w:rsidR="00C40916" w:rsidRPr="00C40916" w:rsidRDefault="00C40916" w:rsidP="00C40916">
            <w:pPr>
              <w:pStyle w:val="bulletlist"/>
              <w:numPr>
                <w:ilvl w:val="0"/>
                <w:numId w:val="10"/>
              </w:numPr>
              <w:spacing w:after="0"/>
              <w:rPr>
                <w:rFonts w:ascii="Aptos" w:hAnsi="Aptos" w:cs="Helvetica"/>
                <w:sz w:val="24"/>
              </w:rPr>
            </w:pPr>
            <w:r w:rsidRPr="001F0145">
              <w:rPr>
                <w:rFonts w:ascii="Aptos" w:hAnsi="Aptos" w:cs="Helvetica"/>
                <w:sz w:val="24"/>
              </w:rPr>
              <w:t>Pollination Group</w:t>
            </w:r>
          </w:p>
          <w:p w14:paraId="6F287ACC" w14:textId="7EFBC3F0" w:rsidR="00DB1D19" w:rsidRDefault="00DB1D19" w:rsidP="00A1696B">
            <w:pPr>
              <w:pStyle w:val="bulletlist"/>
              <w:numPr>
                <w:ilvl w:val="0"/>
                <w:numId w:val="10"/>
              </w:numPr>
              <w:spacing w:after="0"/>
              <w:rPr>
                <w:rFonts w:ascii="Aptos" w:hAnsi="Aptos" w:cs="Helvetica"/>
                <w:sz w:val="24"/>
              </w:rPr>
            </w:pPr>
            <w:r w:rsidRPr="001F0145">
              <w:rPr>
                <w:rFonts w:ascii="Aptos" w:hAnsi="Aptos" w:cs="Helvetica"/>
                <w:sz w:val="24"/>
              </w:rPr>
              <w:t>Pew Research Centre</w:t>
            </w:r>
          </w:p>
          <w:p w14:paraId="4BB985B0" w14:textId="6E5C8A09" w:rsidR="0012560B" w:rsidRPr="001F0145" w:rsidRDefault="00946DC5" w:rsidP="00A1696B">
            <w:pPr>
              <w:pStyle w:val="bulletlist"/>
              <w:numPr>
                <w:ilvl w:val="0"/>
                <w:numId w:val="10"/>
              </w:numPr>
              <w:spacing w:after="0"/>
              <w:rPr>
                <w:rFonts w:ascii="Aptos" w:hAnsi="Aptos" w:cs="Helvetica"/>
                <w:sz w:val="24"/>
              </w:rPr>
            </w:pPr>
            <w:r w:rsidRPr="001F0145">
              <w:rPr>
                <w:rFonts w:ascii="Aptos" w:hAnsi="Aptos" w:cs="Helvetica"/>
                <w:sz w:val="24"/>
              </w:rPr>
              <w:t xml:space="preserve">Wilderness </w:t>
            </w:r>
            <w:r w:rsidR="00C304AB" w:rsidRPr="001F0145">
              <w:rPr>
                <w:rFonts w:ascii="Aptos" w:hAnsi="Aptos" w:cs="Helvetica"/>
                <w:sz w:val="24"/>
              </w:rPr>
              <w:t>Society</w:t>
            </w:r>
          </w:p>
          <w:p w14:paraId="7703AE64" w14:textId="4D6A1904" w:rsidR="009F6325" w:rsidRPr="00DB1D19" w:rsidRDefault="00D04D93" w:rsidP="00DB1D19">
            <w:pPr>
              <w:pStyle w:val="bulletlist"/>
              <w:numPr>
                <w:ilvl w:val="0"/>
                <w:numId w:val="10"/>
              </w:numPr>
              <w:spacing w:after="0"/>
              <w:rPr>
                <w:rFonts w:ascii="Aptos" w:hAnsi="Aptos" w:cs="Helvetica"/>
                <w:sz w:val="24"/>
              </w:rPr>
            </w:pPr>
            <w:r w:rsidRPr="001F0145">
              <w:rPr>
                <w:rFonts w:ascii="Aptos" w:hAnsi="Aptos" w:cs="Helvetica"/>
                <w:sz w:val="24"/>
              </w:rPr>
              <w:t>WWF</w:t>
            </w:r>
          </w:p>
        </w:tc>
      </w:tr>
      <w:tr w:rsidR="00E83C25" w:rsidRPr="001F0145" w14:paraId="3DB5FB07" w14:textId="77777777" w:rsidTr="009F1672">
        <w:tc>
          <w:tcPr>
            <w:tcW w:w="1413" w:type="dxa"/>
          </w:tcPr>
          <w:p w14:paraId="100F3B2F" w14:textId="3882F4DF" w:rsidR="00E83C25" w:rsidRPr="001F0145" w:rsidRDefault="0085411E" w:rsidP="00E83C25">
            <w:pPr>
              <w:pStyle w:val="bulletlist"/>
              <w:numPr>
                <w:ilvl w:val="0"/>
                <w:numId w:val="0"/>
              </w:numPr>
              <w:rPr>
                <w:rFonts w:ascii="Aptos" w:hAnsi="Aptos" w:cs="Helvetica"/>
                <w:i/>
                <w:sz w:val="24"/>
              </w:rPr>
            </w:pPr>
            <w:r w:rsidRPr="001F0145">
              <w:rPr>
                <w:rFonts w:ascii="Aptos" w:hAnsi="Aptos" w:cs="Helvetica"/>
                <w:i/>
                <w:sz w:val="24"/>
              </w:rPr>
              <w:t>What</w:t>
            </w:r>
          </w:p>
        </w:tc>
        <w:tc>
          <w:tcPr>
            <w:tcW w:w="8210" w:type="dxa"/>
          </w:tcPr>
          <w:p w14:paraId="335E24C9" w14:textId="150F31DB" w:rsidR="00BE6802" w:rsidRPr="001F0145" w:rsidRDefault="009F6325" w:rsidP="00E83C25">
            <w:pPr>
              <w:pStyle w:val="bulletlist"/>
              <w:numPr>
                <w:ilvl w:val="0"/>
                <w:numId w:val="0"/>
              </w:numPr>
              <w:rPr>
                <w:rFonts w:ascii="Aptos" w:hAnsi="Aptos" w:cs="Helvetica"/>
                <w:sz w:val="24"/>
              </w:rPr>
            </w:pPr>
            <w:r w:rsidRPr="001F0145">
              <w:rPr>
                <w:rFonts w:ascii="Aptos" w:hAnsi="Aptos" w:cs="Helvetica"/>
                <w:sz w:val="24"/>
              </w:rPr>
              <w:t xml:space="preserve">ASFI </w:t>
            </w:r>
            <w:r w:rsidR="009F3A70" w:rsidRPr="001F0145">
              <w:rPr>
                <w:rFonts w:ascii="Aptos" w:hAnsi="Aptos" w:cs="Helvetica"/>
                <w:sz w:val="24"/>
              </w:rPr>
              <w:t xml:space="preserve">is running </w:t>
            </w:r>
            <w:r w:rsidRPr="001F0145">
              <w:rPr>
                <w:rFonts w:ascii="Aptos" w:hAnsi="Aptos" w:cs="Helvetica"/>
                <w:sz w:val="24"/>
              </w:rPr>
              <w:t xml:space="preserve">an engagement forum specifically for </w:t>
            </w:r>
            <w:r w:rsidR="00265E65">
              <w:rPr>
                <w:rFonts w:ascii="Aptos" w:hAnsi="Aptos" w:cs="Helvetica"/>
                <w:sz w:val="24"/>
              </w:rPr>
              <w:t>ENGOs</w:t>
            </w:r>
            <w:r w:rsidRPr="001F0145">
              <w:rPr>
                <w:rFonts w:ascii="Aptos" w:hAnsi="Aptos" w:cs="Helvetica"/>
                <w:sz w:val="24"/>
              </w:rPr>
              <w:t xml:space="preserve"> at key intervals over the course of the Australian Taxonomy’s development. The purpose of the ENGO</w:t>
            </w:r>
            <w:r w:rsidR="009B7D8C">
              <w:rPr>
                <w:rFonts w:ascii="Aptos" w:hAnsi="Aptos" w:cs="Helvetica"/>
                <w:sz w:val="24"/>
              </w:rPr>
              <w:t xml:space="preserve"> </w:t>
            </w:r>
            <w:r w:rsidRPr="001F0145">
              <w:rPr>
                <w:rFonts w:ascii="Aptos" w:hAnsi="Aptos" w:cs="Helvetica"/>
                <w:sz w:val="24"/>
              </w:rPr>
              <w:t xml:space="preserve">Taxonomy Forum is to </w:t>
            </w:r>
            <w:r w:rsidR="009B7D8C">
              <w:rPr>
                <w:rFonts w:ascii="Aptos" w:hAnsi="Aptos" w:cs="Helvetica"/>
                <w:sz w:val="24"/>
              </w:rPr>
              <w:t>socialise</w:t>
            </w:r>
            <w:r w:rsidRPr="001F0145">
              <w:rPr>
                <w:rFonts w:ascii="Aptos" w:hAnsi="Aptos" w:cs="Helvetica"/>
                <w:sz w:val="24"/>
              </w:rPr>
              <w:t xml:space="preserve"> the </w:t>
            </w:r>
            <w:r w:rsidR="009B7D8C">
              <w:rPr>
                <w:rFonts w:ascii="Aptos" w:hAnsi="Aptos" w:cs="Helvetica"/>
                <w:sz w:val="24"/>
              </w:rPr>
              <w:t>Australian T</w:t>
            </w:r>
            <w:r w:rsidRPr="001F0145">
              <w:rPr>
                <w:rFonts w:ascii="Aptos" w:hAnsi="Aptos" w:cs="Helvetica"/>
                <w:sz w:val="24"/>
              </w:rPr>
              <w:t xml:space="preserve">axonomy </w:t>
            </w:r>
            <w:r w:rsidR="009B7D8C">
              <w:rPr>
                <w:rFonts w:ascii="Aptos" w:hAnsi="Aptos" w:cs="Helvetica"/>
                <w:sz w:val="24"/>
              </w:rPr>
              <w:t>P</w:t>
            </w:r>
            <w:r w:rsidRPr="001F0145">
              <w:rPr>
                <w:rFonts w:ascii="Aptos" w:hAnsi="Aptos" w:cs="Helvetica"/>
                <w:sz w:val="24"/>
              </w:rPr>
              <w:t>roject and what it means from an environmental perspective; seek advice and feedback on pathways for the taxonomy’s expansion into broader sustainability objectives</w:t>
            </w:r>
            <w:r w:rsidR="009B7D8C">
              <w:rPr>
                <w:rFonts w:ascii="Aptos" w:hAnsi="Aptos" w:cs="Helvetica"/>
                <w:sz w:val="24"/>
              </w:rPr>
              <w:t xml:space="preserve"> and on the headline ambitions for the taxonomy’s environmental objectives</w:t>
            </w:r>
            <w:r w:rsidRPr="001F0145">
              <w:rPr>
                <w:rFonts w:ascii="Aptos" w:hAnsi="Aptos" w:cs="Helvetica"/>
                <w:sz w:val="24"/>
              </w:rPr>
              <w:t>; and engage and consult on the development of D</w:t>
            </w:r>
            <w:r w:rsidR="00420EA8">
              <w:rPr>
                <w:rFonts w:ascii="Aptos" w:hAnsi="Aptos" w:cs="Helvetica"/>
                <w:sz w:val="24"/>
              </w:rPr>
              <w:t xml:space="preserve">NSH </w:t>
            </w:r>
            <w:r w:rsidRPr="001F0145">
              <w:rPr>
                <w:rFonts w:ascii="Aptos" w:hAnsi="Aptos" w:cs="Helvetica"/>
                <w:sz w:val="24"/>
              </w:rPr>
              <w:t xml:space="preserve">criteria.   </w:t>
            </w:r>
          </w:p>
        </w:tc>
      </w:tr>
      <w:tr w:rsidR="00E83C25" w:rsidRPr="001F0145" w14:paraId="7ACD38F1" w14:textId="77777777" w:rsidTr="009F1672">
        <w:tc>
          <w:tcPr>
            <w:tcW w:w="1413" w:type="dxa"/>
          </w:tcPr>
          <w:p w14:paraId="1D28CBA4" w14:textId="279D5850" w:rsidR="00E83C25" w:rsidRPr="001F0145" w:rsidRDefault="0085411E" w:rsidP="00E83C25">
            <w:pPr>
              <w:pStyle w:val="bulletlist"/>
              <w:numPr>
                <w:ilvl w:val="0"/>
                <w:numId w:val="0"/>
              </w:numPr>
              <w:rPr>
                <w:rFonts w:ascii="Aptos" w:hAnsi="Aptos" w:cs="Helvetica"/>
                <w:i/>
                <w:sz w:val="24"/>
              </w:rPr>
            </w:pPr>
            <w:r w:rsidRPr="001F0145">
              <w:rPr>
                <w:rFonts w:ascii="Aptos" w:hAnsi="Aptos" w:cs="Helvetica"/>
                <w:i/>
                <w:sz w:val="24"/>
              </w:rPr>
              <w:t>When</w:t>
            </w:r>
          </w:p>
        </w:tc>
        <w:tc>
          <w:tcPr>
            <w:tcW w:w="8210" w:type="dxa"/>
          </w:tcPr>
          <w:p w14:paraId="4119187D" w14:textId="4369A7CA" w:rsidR="00D779C5" w:rsidRPr="001F0145" w:rsidRDefault="00585CCF" w:rsidP="00E83C25">
            <w:pPr>
              <w:pStyle w:val="bulletlist"/>
              <w:numPr>
                <w:ilvl w:val="0"/>
                <w:numId w:val="0"/>
              </w:numPr>
              <w:rPr>
                <w:rFonts w:ascii="Aptos" w:hAnsi="Aptos" w:cs="Helvetica"/>
                <w:sz w:val="24"/>
              </w:rPr>
            </w:pPr>
            <w:r>
              <w:rPr>
                <w:rFonts w:ascii="Aptos" w:hAnsi="Aptos" w:cs="Helvetica"/>
                <w:sz w:val="24"/>
              </w:rPr>
              <w:t xml:space="preserve">Ongoing / ad hoc. The ENGO Taxonomy Forum has been convened on </w:t>
            </w:r>
            <w:r w:rsidR="00265E65">
              <w:rPr>
                <w:rFonts w:ascii="Aptos" w:hAnsi="Aptos" w:cs="Helvetica"/>
                <w:sz w:val="24"/>
              </w:rPr>
              <w:t>22 November 2023</w:t>
            </w:r>
            <w:r>
              <w:rPr>
                <w:rFonts w:ascii="Aptos" w:hAnsi="Aptos" w:cs="Helvetica"/>
                <w:sz w:val="24"/>
              </w:rPr>
              <w:t xml:space="preserve">; </w:t>
            </w:r>
            <w:r w:rsidR="00D779C5">
              <w:rPr>
                <w:rFonts w:ascii="Aptos" w:hAnsi="Aptos" w:cs="Helvetica"/>
                <w:sz w:val="24"/>
              </w:rPr>
              <w:t>14 Feb</w:t>
            </w:r>
            <w:r w:rsidR="00265E65">
              <w:rPr>
                <w:rFonts w:ascii="Aptos" w:hAnsi="Aptos" w:cs="Helvetica"/>
                <w:sz w:val="24"/>
              </w:rPr>
              <w:t>r</w:t>
            </w:r>
            <w:r w:rsidR="00D779C5">
              <w:rPr>
                <w:rFonts w:ascii="Aptos" w:hAnsi="Aptos" w:cs="Helvetica"/>
                <w:sz w:val="24"/>
              </w:rPr>
              <w:t>u</w:t>
            </w:r>
            <w:r w:rsidR="00265E65">
              <w:rPr>
                <w:rFonts w:ascii="Aptos" w:hAnsi="Aptos" w:cs="Helvetica"/>
                <w:sz w:val="24"/>
              </w:rPr>
              <w:t>ary 2024</w:t>
            </w:r>
            <w:r>
              <w:rPr>
                <w:rFonts w:ascii="Aptos" w:hAnsi="Aptos" w:cs="Helvetica"/>
                <w:sz w:val="24"/>
              </w:rPr>
              <w:t xml:space="preserve">; and 31 May 2024.  </w:t>
            </w:r>
            <w:r w:rsidR="00D779C5">
              <w:rPr>
                <w:rFonts w:ascii="Aptos" w:hAnsi="Aptos" w:cs="Helvetica"/>
                <w:sz w:val="24"/>
              </w:rPr>
              <w:t xml:space="preserve"> </w:t>
            </w:r>
          </w:p>
        </w:tc>
      </w:tr>
      <w:tr w:rsidR="0085411E" w:rsidRPr="001F0145" w14:paraId="755D9200" w14:textId="77777777" w:rsidTr="009F1672">
        <w:tc>
          <w:tcPr>
            <w:tcW w:w="1413" w:type="dxa"/>
          </w:tcPr>
          <w:p w14:paraId="3B493542" w14:textId="20C26F12" w:rsidR="0085411E" w:rsidRPr="001F0145" w:rsidRDefault="0085411E" w:rsidP="0085411E">
            <w:pPr>
              <w:pStyle w:val="bulletlist"/>
              <w:numPr>
                <w:ilvl w:val="0"/>
                <w:numId w:val="0"/>
              </w:numPr>
              <w:rPr>
                <w:rFonts w:ascii="Aptos" w:hAnsi="Aptos" w:cs="Helvetica"/>
                <w:i/>
                <w:sz w:val="24"/>
              </w:rPr>
            </w:pPr>
            <w:r w:rsidRPr="001F0145">
              <w:rPr>
                <w:rFonts w:ascii="Aptos" w:hAnsi="Aptos" w:cs="Helvetica"/>
                <w:i/>
                <w:sz w:val="24"/>
              </w:rPr>
              <w:t>Key Insights</w:t>
            </w:r>
          </w:p>
        </w:tc>
        <w:tc>
          <w:tcPr>
            <w:tcW w:w="8210" w:type="dxa"/>
          </w:tcPr>
          <w:p w14:paraId="11860EB3" w14:textId="0CF17763" w:rsidR="0085411E" w:rsidRDefault="00585CCF" w:rsidP="0085411E">
            <w:pPr>
              <w:pStyle w:val="bulletlist"/>
              <w:numPr>
                <w:ilvl w:val="0"/>
                <w:numId w:val="0"/>
              </w:numPr>
              <w:rPr>
                <w:rFonts w:ascii="Aptos" w:hAnsi="Aptos" w:cs="Helvetica"/>
                <w:sz w:val="24"/>
              </w:rPr>
            </w:pPr>
            <w:r w:rsidRPr="004E33D9">
              <w:rPr>
                <w:rFonts w:ascii="Aptos" w:hAnsi="Aptos" w:cs="Helvetica"/>
                <w:sz w:val="24"/>
                <w:u w:val="single"/>
              </w:rPr>
              <w:t>22 November</w:t>
            </w:r>
            <w:r>
              <w:rPr>
                <w:rFonts w:ascii="Aptos" w:hAnsi="Aptos" w:cs="Helvetica"/>
                <w:sz w:val="24"/>
              </w:rPr>
              <w:t xml:space="preserve">: </w:t>
            </w:r>
            <w:r w:rsidR="00531317">
              <w:rPr>
                <w:rFonts w:ascii="Aptos" w:hAnsi="Aptos" w:cs="Helvetica"/>
                <w:sz w:val="24"/>
              </w:rPr>
              <w:t xml:space="preserve">ASFI introduced the Australian Taxonomy Project and sought preliminary advice on options to extend the development of TSC beyond climate change mitigation. </w:t>
            </w:r>
          </w:p>
          <w:p w14:paraId="17250262" w14:textId="0ED3BD1D" w:rsidR="00585CCF" w:rsidRDefault="00585CCF" w:rsidP="0085411E">
            <w:pPr>
              <w:pStyle w:val="bulletlist"/>
              <w:numPr>
                <w:ilvl w:val="0"/>
                <w:numId w:val="0"/>
              </w:numPr>
              <w:rPr>
                <w:rFonts w:ascii="Aptos" w:hAnsi="Aptos" w:cs="Helvetica"/>
                <w:sz w:val="24"/>
              </w:rPr>
            </w:pPr>
            <w:r w:rsidRPr="00F85186">
              <w:rPr>
                <w:rFonts w:ascii="Aptos" w:hAnsi="Aptos" w:cs="Helvetica"/>
                <w:sz w:val="24"/>
                <w:u w:val="single"/>
              </w:rPr>
              <w:t>13 February</w:t>
            </w:r>
            <w:r>
              <w:rPr>
                <w:rFonts w:ascii="Aptos" w:hAnsi="Aptos" w:cs="Helvetica"/>
                <w:sz w:val="24"/>
              </w:rPr>
              <w:t>:</w:t>
            </w:r>
            <w:r w:rsidR="00F85186">
              <w:rPr>
                <w:rFonts w:ascii="Aptos" w:hAnsi="Aptos" w:cs="Helvetica"/>
                <w:sz w:val="24"/>
              </w:rPr>
              <w:t xml:space="preserve"> Participants provided feedback on the draft </w:t>
            </w:r>
            <w:r w:rsidR="00C37F4D">
              <w:rPr>
                <w:rFonts w:ascii="Aptos" w:hAnsi="Aptos" w:cs="Helvetica"/>
                <w:sz w:val="24"/>
              </w:rPr>
              <w:t xml:space="preserve">environmental objective headline ambitions prior to </w:t>
            </w:r>
            <w:r w:rsidR="00531317">
              <w:rPr>
                <w:rFonts w:ascii="Aptos" w:hAnsi="Aptos" w:cs="Helvetica"/>
                <w:sz w:val="24"/>
              </w:rPr>
              <w:t xml:space="preserve">their </w:t>
            </w:r>
            <w:r w:rsidR="00C37F4D">
              <w:rPr>
                <w:rFonts w:ascii="Aptos" w:hAnsi="Aptos" w:cs="Helvetica"/>
                <w:sz w:val="24"/>
              </w:rPr>
              <w:t xml:space="preserve">finalisation for public consultation. </w:t>
            </w:r>
            <w:r w:rsidR="00F85186">
              <w:rPr>
                <w:rFonts w:ascii="Aptos" w:hAnsi="Aptos" w:cs="Helvetica"/>
                <w:sz w:val="24"/>
              </w:rPr>
              <w:t xml:space="preserve"> </w:t>
            </w:r>
          </w:p>
          <w:p w14:paraId="028CF9F3" w14:textId="7A609B7F" w:rsidR="00585CCF" w:rsidRPr="001F0145" w:rsidRDefault="00585CCF" w:rsidP="0085411E">
            <w:pPr>
              <w:pStyle w:val="bulletlist"/>
              <w:numPr>
                <w:ilvl w:val="0"/>
                <w:numId w:val="0"/>
              </w:numPr>
              <w:rPr>
                <w:rFonts w:ascii="Aptos" w:hAnsi="Aptos" w:cs="Helvetica"/>
                <w:sz w:val="24"/>
              </w:rPr>
            </w:pPr>
            <w:r w:rsidRPr="00F85186">
              <w:rPr>
                <w:rFonts w:ascii="Aptos" w:hAnsi="Aptos" w:cs="Helvetica"/>
                <w:sz w:val="24"/>
                <w:u w:val="single"/>
              </w:rPr>
              <w:t>31 May</w:t>
            </w:r>
            <w:r>
              <w:rPr>
                <w:rFonts w:ascii="Aptos" w:hAnsi="Aptos" w:cs="Helvetica"/>
                <w:sz w:val="24"/>
              </w:rPr>
              <w:t xml:space="preserve">: </w:t>
            </w:r>
            <w:r w:rsidR="00C37F4D">
              <w:rPr>
                <w:rFonts w:ascii="Aptos" w:hAnsi="Aptos" w:cs="Helvetica"/>
                <w:sz w:val="24"/>
              </w:rPr>
              <w:t xml:space="preserve">ASFI </w:t>
            </w:r>
            <w:r w:rsidR="00EB3CD2">
              <w:rPr>
                <w:rFonts w:ascii="Aptos" w:hAnsi="Aptos" w:cs="Helvetica"/>
                <w:sz w:val="24"/>
              </w:rPr>
              <w:t>provided a briefing on</w:t>
            </w:r>
            <w:r w:rsidR="00C37F4D">
              <w:rPr>
                <w:rFonts w:ascii="Aptos" w:hAnsi="Aptos" w:cs="Helvetica"/>
                <w:sz w:val="24"/>
              </w:rPr>
              <w:t xml:space="preserve"> </w:t>
            </w:r>
            <w:r w:rsidR="00BC0E02">
              <w:rPr>
                <w:rFonts w:ascii="Aptos" w:hAnsi="Aptos" w:cs="Helvetica"/>
                <w:sz w:val="24"/>
              </w:rPr>
              <w:t xml:space="preserve">Australian sustainable finance taxonomy v0.1 </w:t>
            </w:r>
            <w:r w:rsidR="00EB3CD2">
              <w:rPr>
                <w:rFonts w:ascii="Aptos" w:hAnsi="Aptos" w:cs="Helvetica"/>
                <w:sz w:val="24"/>
              </w:rPr>
              <w:t>an</w:t>
            </w:r>
            <w:r w:rsidR="004E33D9">
              <w:rPr>
                <w:rFonts w:ascii="Aptos" w:hAnsi="Aptos" w:cs="Helvetica"/>
                <w:sz w:val="24"/>
              </w:rPr>
              <w:t xml:space="preserve">d </w:t>
            </w:r>
            <w:r w:rsidR="00531317">
              <w:rPr>
                <w:rFonts w:ascii="Aptos" w:hAnsi="Aptos" w:cs="Helvetica"/>
                <w:sz w:val="24"/>
              </w:rPr>
              <w:t xml:space="preserve">provided time for Q&amp;A to support feedback through public consultation. </w:t>
            </w:r>
            <w:r w:rsidR="00BC0E02">
              <w:rPr>
                <w:rFonts w:ascii="Aptos" w:hAnsi="Aptos" w:cs="Helvetica"/>
                <w:sz w:val="24"/>
              </w:rPr>
              <w:t xml:space="preserve"> </w:t>
            </w:r>
            <w:r w:rsidR="00C37F4D">
              <w:rPr>
                <w:rFonts w:ascii="Aptos" w:hAnsi="Aptos" w:cs="Helvetica"/>
                <w:sz w:val="24"/>
              </w:rPr>
              <w:t xml:space="preserve"> </w:t>
            </w:r>
          </w:p>
        </w:tc>
      </w:tr>
      <w:tr w:rsidR="00AD1A60" w:rsidRPr="001F0145" w14:paraId="7B4EDA7E" w14:textId="1444F7A7" w:rsidTr="00B55525">
        <w:tc>
          <w:tcPr>
            <w:tcW w:w="9623" w:type="dxa"/>
            <w:gridSpan w:val="2"/>
            <w:shd w:val="clear" w:color="auto" w:fill="0D4E80"/>
          </w:tcPr>
          <w:p w14:paraId="728B15FC" w14:textId="39C5B732" w:rsidR="00FC137B" w:rsidRPr="001F0145" w:rsidRDefault="00FC137B" w:rsidP="00610F28">
            <w:pPr>
              <w:pStyle w:val="bulletlist"/>
              <w:numPr>
                <w:ilvl w:val="0"/>
                <w:numId w:val="0"/>
              </w:numPr>
              <w:rPr>
                <w:rFonts w:ascii="Aptos" w:hAnsi="Aptos" w:cs="Helvetica"/>
                <w:i/>
                <w:color w:val="FFFFFF" w:themeColor="background1"/>
                <w:sz w:val="24"/>
              </w:rPr>
            </w:pPr>
            <w:r w:rsidRPr="001F0145">
              <w:rPr>
                <w:rFonts w:ascii="Aptos" w:hAnsi="Aptos" w:cs="Helvetica"/>
                <w:i/>
                <w:color w:val="FFFFFF" w:themeColor="background1"/>
                <w:sz w:val="24"/>
              </w:rPr>
              <w:t xml:space="preserve">International </w:t>
            </w:r>
            <w:r w:rsidR="00683DF9">
              <w:rPr>
                <w:rFonts w:ascii="Aptos" w:hAnsi="Aptos" w:cs="Helvetica"/>
                <w:i/>
                <w:color w:val="FFFFFF" w:themeColor="background1"/>
                <w:sz w:val="24"/>
              </w:rPr>
              <w:t>Engagement</w:t>
            </w:r>
          </w:p>
        </w:tc>
      </w:tr>
      <w:tr w:rsidR="00E83C25" w:rsidRPr="001F0145" w14:paraId="342D5536" w14:textId="77777777" w:rsidTr="009F1672">
        <w:tc>
          <w:tcPr>
            <w:tcW w:w="1413" w:type="dxa"/>
          </w:tcPr>
          <w:p w14:paraId="55FDB943" w14:textId="3989F6A0" w:rsidR="00E83C25" w:rsidRPr="001F0145" w:rsidRDefault="00E83C25" w:rsidP="00E83C25">
            <w:pPr>
              <w:pStyle w:val="bulletlist"/>
              <w:numPr>
                <w:ilvl w:val="0"/>
                <w:numId w:val="0"/>
              </w:numPr>
              <w:rPr>
                <w:rFonts w:ascii="Aptos" w:hAnsi="Aptos" w:cs="Helvetica"/>
                <w:i/>
                <w:sz w:val="24"/>
              </w:rPr>
            </w:pPr>
            <w:r w:rsidRPr="001F0145">
              <w:rPr>
                <w:rFonts w:ascii="Aptos" w:hAnsi="Aptos" w:cs="Helvetica"/>
                <w:i/>
                <w:sz w:val="24"/>
              </w:rPr>
              <w:t>Who</w:t>
            </w:r>
          </w:p>
        </w:tc>
        <w:tc>
          <w:tcPr>
            <w:tcW w:w="8210" w:type="dxa"/>
          </w:tcPr>
          <w:p w14:paraId="01B9137D" w14:textId="1AFC808C" w:rsidR="008461D9" w:rsidRPr="001F0145" w:rsidRDefault="008461D9" w:rsidP="00E83C25">
            <w:pPr>
              <w:pStyle w:val="bulletlist"/>
              <w:numPr>
                <w:ilvl w:val="0"/>
                <w:numId w:val="0"/>
              </w:numPr>
              <w:rPr>
                <w:rFonts w:ascii="Aptos" w:hAnsi="Aptos" w:cs="Helvetica"/>
                <w:sz w:val="24"/>
              </w:rPr>
            </w:pPr>
            <w:r w:rsidRPr="001F0145">
              <w:rPr>
                <w:rFonts w:ascii="Aptos" w:hAnsi="Aptos" w:cs="Helvetica"/>
                <w:sz w:val="24"/>
              </w:rPr>
              <w:t>Stakeholders from other jurisdictions that have developed or are developing sustainable finance taxonomies, including from the</w:t>
            </w:r>
            <w:r w:rsidR="00683DF9">
              <w:rPr>
                <w:rFonts w:ascii="Aptos" w:hAnsi="Aptos" w:cs="Helvetica"/>
                <w:sz w:val="24"/>
              </w:rPr>
              <w:t xml:space="preserve"> E</w:t>
            </w:r>
            <w:r w:rsidR="00420EA8">
              <w:rPr>
                <w:rFonts w:ascii="Aptos" w:hAnsi="Aptos" w:cs="Helvetica"/>
                <w:sz w:val="24"/>
              </w:rPr>
              <w:t>U</w:t>
            </w:r>
            <w:r w:rsidR="00683DF9">
              <w:rPr>
                <w:rFonts w:ascii="Aptos" w:hAnsi="Aptos" w:cs="Helvetica"/>
                <w:sz w:val="24"/>
              </w:rPr>
              <w:t>,</w:t>
            </w:r>
            <w:r w:rsidRPr="001F0145">
              <w:rPr>
                <w:rFonts w:ascii="Aptos" w:hAnsi="Aptos" w:cs="Helvetica"/>
                <w:sz w:val="24"/>
              </w:rPr>
              <w:t xml:space="preserve"> U</w:t>
            </w:r>
            <w:r w:rsidR="00420EA8">
              <w:rPr>
                <w:rFonts w:ascii="Aptos" w:hAnsi="Aptos" w:cs="Helvetica"/>
                <w:sz w:val="24"/>
              </w:rPr>
              <w:t>K,</w:t>
            </w:r>
            <w:r w:rsidRPr="001F0145">
              <w:rPr>
                <w:rFonts w:ascii="Aptos" w:hAnsi="Aptos" w:cs="Helvetica"/>
                <w:sz w:val="24"/>
              </w:rPr>
              <w:t xml:space="preserve"> Canada, </w:t>
            </w:r>
            <w:proofErr w:type="gramStart"/>
            <w:r w:rsidRPr="001F0145">
              <w:rPr>
                <w:rFonts w:ascii="Aptos" w:hAnsi="Aptos" w:cs="Helvetica"/>
                <w:sz w:val="24"/>
              </w:rPr>
              <w:t>ASEAN</w:t>
            </w:r>
            <w:proofErr w:type="gramEnd"/>
            <w:r w:rsidR="00683DF9">
              <w:rPr>
                <w:rFonts w:ascii="Aptos" w:hAnsi="Aptos" w:cs="Helvetica"/>
                <w:sz w:val="24"/>
              </w:rPr>
              <w:t xml:space="preserve"> and</w:t>
            </w:r>
            <w:r w:rsidRPr="001F0145">
              <w:rPr>
                <w:rFonts w:ascii="Aptos" w:hAnsi="Aptos" w:cs="Helvetica"/>
                <w:sz w:val="24"/>
              </w:rPr>
              <w:t xml:space="preserve"> New Zealand</w:t>
            </w:r>
            <w:r w:rsidR="00683DF9">
              <w:rPr>
                <w:rFonts w:ascii="Aptos" w:hAnsi="Aptos" w:cs="Helvetica"/>
                <w:sz w:val="24"/>
              </w:rPr>
              <w:t xml:space="preserve">. </w:t>
            </w:r>
          </w:p>
        </w:tc>
      </w:tr>
      <w:tr w:rsidR="00E83C25" w:rsidRPr="001F0145" w14:paraId="629D003F" w14:textId="77777777" w:rsidTr="009F1672">
        <w:tc>
          <w:tcPr>
            <w:tcW w:w="1413" w:type="dxa"/>
          </w:tcPr>
          <w:p w14:paraId="1A05E782" w14:textId="33ACAEAB" w:rsidR="00E83C25" w:rsidRPr="001F0145" w:rsidRDefault="0085411E" w:rsidP="00E83C25">
            <w:pPr>
              <w:pStyle w:val="bulletlist"/>
              <w:numPr>
                <w:ilvl w:val="0"/>
                <w:numId w:val="0"/>
              </w:numPr>
              <w:rPr>
                <w:rFonts w:ascii="Aptos" w:hAnsi="Aptos" w:cs="Helvetica"/>
                <w:i/>
                <w:sz w:val="24"/>
              </w:rPr>
            </w:pPr>
            <w:r w:rsidRPr="001F0145">
              <w:rPr>
                <w:rFonts w:ascii="Aptos" w:hAnsi="Aptos" w:cs="Helvetica"/>
                <w:i/>
                <w:sz w:val="24"/>
              </w:rPr>
              <w:t>What</w:t>
            </w:r>
          </w:p>
        </w:tc>
        <w:tc>
          <w:tcPr>
            <w:tcW w:w="8210" w:type="dxa"/>
          </w:tcPr>
          <w:p w14:paraId="6F8F2C22" w14:textId="2A16F62D" w:rsidR="00E83C25" w:rsidRPr="001F0145" w:rsidRDefault="00E4639E" w:rsidP="00E83C25">
            <w:pPr>
              <w:pStyle w:val="bulletlist"/>
              <w:numPr>
                <w:ilvl w:val="0"/>
                <w:numId w:val="0"/>
              </w:numPr>
              <w:rPr>
                <w:rFonts w:ascii="Aptos" w:hAnsi="Aptos" w:cs="Helvetica"/>
                <w:sz w:val="24"/>
              </w:rPr>
            </w:pPr>
            <w:r w:rsidRPr="001F0145">
              <w:rPr>
                <w:rFonts w:ascii="Aptos" w:hAnsi="Aptos" w:cs="Helvetica"/>
                <w:sz w:val="24"/>
              </w:rPr>
              <w:t xml:space="preserve">The purpose of </w:t>
            </w:r>
            <w:r w:rsidR="000D00D7">
              <w:rPr>
                <w:rFonts w:ascii="Aptos" w:hAnsi="Aptos" w:cs="Helvetica"/>
                <w:sz w:val="24"/>
              </w:rPr>
              <w:t xml:space="preserve">ASFI’s international taxonomy engagement </w:t>
            </w:r>
            <w:r w:rsidRPr="001F0145">
              <w:rPr>
                <w:rFonts w:ascii="Aptos" w:hAnsi="Aptos" w:cs="Helvetica"/>
                <w:sz w:val="24"/>
              </w:rPr>
              <w:t xml:space="preserve">is twofold: to share information with stakeholders on the development of taxonomies in </w:t>
            </w:r>
            <w:r w:rsidRPr="001F0145">
              <w:rPr>
                <w:rFonts w:ascii="Aptos" w:hAnsi="Aptos" w:cs="Helvetica"/>
                <w:sz w:val="24"/>
              </w:rPr>
              <w:lastRenderedPageBreak/>
              <w:t>other jurisdictions and taxonomy development processe</w:t>
            </w:r>
            <w:r w:rsidR="00683DF9">
              <w:rPr>
                <w:rFonts w:ascii="Aptos" w:hAnsi="Aptos" w:cs="Helvetica"/>
                <w:sz w:val="24"/>
              </w:rPr>
              <w:t>s</w:t>
            </w:r>
            <w:r w:rsidRPr="001F0145">
              <w:rPr>
                <w:rFonts w:ascii="Aptos" w:hAnsi="Aptos" w:cs="Helvetica"/>
                <w:sz w:val="24"/>
              </w:rPr>
              <w:t>; and to share information and engage with other jurisdictions directly in relation to taxonomy development and interoperability</w:t>
            </w:r>
            <w:r w:rsidR="00683DF9">
              <w:rPr>
                <w:rFonts w:ascii="Aptos" w:hAnsi="Aptos" w:cs="Helvetica"/>
                <w:sz w:val="24"/>
              </w:rPr>
              <w:t xml:space="preserve">. </w:t>
            </w:r>
          </w:p>
        </w:tc>
      </w:tr>
      <w:tr w:rsidR="00E83C25" w:rsidRPr="001F0145" w14:paraId="662370D1" w14:textId="77777777" w:rsidTr="009F1672">
        <w:tc>
          <w:tcPr>
            <w:tcW w:w="1413" w:type="dxa"/>
          </w:tcPr>
          <w:p w14:paraId="168EAB6D" w14:textId="7E64AEA1" w:rsidR="00E83C25" w:rsidRPr="001F0145" w:rsidRDefault="0085411E" w:rsidP="00E83C25">
            <w:pPr>
              <w:pStyle w:val="bulletlist"/>
              <w:numPr>
                <w:ilvl w:val="0"/>
                <w:numId w:val="0"/>
              </w:numPr>
              <w:rPr>
                <w:rFonts w:ascii="Aptos" w:hAnsi="Aptos" w:cs="Helvetica"/>
                <w:i/>
                <w:sz w:val="24"/>
              </w:rPr>
            </w:pPr>
            <w:r w:rsidRPr="001F0145">
              <w:rPr>
                <w:rFonts w:ascii="Aptos" w:hAnsi="Aptos" w:cs="Helvetica"/>
                <w:i/>
                <w:sz w:val="24"/>
              </w:rPr>
              <w:lastRenderedPageBreak/>
              <w:t>When</w:t>
            </w:r>
          </w:p>
        </w:tc>
        <w:tc>
          <w:tcPr>
            <w:tcW w:w="8210" w:type="dxa"/>
          </w:tcPr>
          <w:p w14:paraId="539AB7A6" w14:textId="77777777" w:rsidR="00BE2A20" w:rsidRDefault="00F312C7" w:rsidP="00F312C7">
            <w:pPr>
              <w:pStyle w:val="bulletlist"/>
              <w:numPr>
                <w:ilvl w:val="0"/>
                <w:numId w:val="0"/>
              </w:numPr>
              <w:rPr>
                <w:rFonts w:ascii="Aptos" w:hAnsi="Aptos" w:cs="Helvetica"/>
                <w:sz w:val="24"/>
              </w:rPr>
            </w:pPr>
            <w:r>
              <w:rPr>
                <w:rFonts w:ascii="Aptos" w:hAnsi="Aptos" w:cs="Helvetica"/>
                <w:sz w:val="24"/>
              </w:rPr>
              <w:t xml:space="preserve">Ongoing. </w:t>
            </w:r>
          </w:p>
          <w:p w14:paraId="2E75046B" w14:textId="5CC477CB" w:rsidR="00746D46" w:rsidRDefault="000D00D7" w:rsidP="00F312C7">
            <w:pPr>
              <w:pStyle w:val="bulletlist"/>
              <w:numPr>
                <w:ilvl w:val="0"/>
                <w:numId w:val="0"/>
              </w:numPr>
              <w:rPr>
                <w:rFonts w:ascii="Aptos" w:hAnsi="Aptos" w:cs="Helvetica"/>
                <w:sz w:val="24"/>
              </w:rPr>
            </w:pPr>
            <w:r>
              <w:rPr>
                <w:rFonts w:ascii="Aptos" w:hAnsi="Aptos" w:cs="Helvetica"/>
                <w:sz w:val="24"/>
              </w:rPr>
              <w:t>An</w:t>
            </w:r>
            <w:r w:rsidR="007F04B7">
              <w:rPr>
                <w:rFonts w:ascii="Aptos" w:hAnsi="Aptos" w:cs="Helvetica"/>
                <w:sz w:val="24"/>
              </w:rPr>
              <w:t xml:space="preserve"> informal</w:t>
            </w:r>
            <w:r>
              <w:rPr>
                <w:rFonts w:ascii="Aptos" w:hAnsi="Aptos" w:cs="Helvetica"/>
                <w:sz w:val="24"/>
              </w:rPr>
              <w:t xml:space="preserve"> International Group on Taxonomies </w:t>
            </w:r>
            <w:r w:rsidR="00420EA8">
              <w:rPr>
                <w:rFonts w:ascii="Aptos" w:hAnsi="Aptos" w:cs="Helvetica"/>
                <w:sz w:val="24"/>
              </w:rPr>
              <w:t>was</w:t>
            </w:r>
            <w:r w:rsidR="00F312C7">
              <w:rPr>
                <w:rFonts w:ascii="Aptos" w:hAnsi="Aptos" w:cs="Helvetica"/>
                <w:sz w:val="24"/>
              </w:rPr>
              <w:t xml:space="preserve"> convened on 23 November 202</w:t>
            </w:r>
            <w:r w:rsidR="00B67647">
              <w:rPr>
                <w:rFonts w:ascii="Aptos" w:hAnsi="Aptos" w:cs="Helvetica"/>
                <w:sz w:val="24"/>
              </w:rPr>
              <w:t>3</w:t>
            </w:r>
            <w:r w:rsidR="00F312C7">
              <w:rPr>
                <w:rFonts w:ascii="Aptos" w:hAnsi="Aptos" w:cs="Helvetica"/>
                <w:sz w:val="24"/>
              </w:rPr>
              <w:t xml:space="preserve"> and </w:t>
            </w:r>
            <w:r w:rsidR="00746D46">
              <w:rPr>
                <w:rFonts w:ascii="Aptos" w:hAnsi="Aptos" w:cs="Helvetica"/>
                <w:sz w:val="24"/>
              </w:rPr>
              <w:t xml:space="preserve">22 May 2024. </w:t>
            </w:r>
            <w:r w:rsidR="00E4639E" w:rsidRPr="001F0145">
              <w:rPr>
                <w:rFonts w:ascii="Aptos" w:hAnsi="Aptos" w:cs="Helvetica"/>
                <w:sz w:val="24"/>
              </w:rPr>
              <w:t>It</w:t>
            </w:r>
            <w:r w:rsidR="00746D46">
              <w:rPr>
                <w:rFonts w:ascii="Aptos" w:hAnsi="Aptos" w:cs="Helvetica"/>
                <w:sz w:val="24"/>
              </w:rPr>
              <w:t xml:space="preserve"> </w:t>
            </w:r>
            <w:r w:rsidR="00E4639E" w:rsidRPr="001F0145">
              <w:rPr>
                <w:rFonts w:ascii="Aptos" w:hAnsi="Aptos" w:cs="Helvetica"/>
                <w:sz w:val="24"/>
              </w:rPr>
              <w:t xml:space="preserve">comprises representatives from </w:t>
            </w:r>
            <w:r w:rsidR="007F04B7">
              <w:rPr>
                <w:rFonts w:ascii="Aptos" w:hAnsi="Aptos" w:cs="Helvetica"/>
                <w:sz w:val="24"/>
              </w:rPr>
              <w:t xml:space="preserve">ASFI, the Centre for Sustainable Finance Canada, the Sustainable Finance Institute Asia, and the New Zealand Centre for Sustainable Finance. </w:t>
            </w:r>
          </w:p>
          <w:p w14:paraId="7A533BA0" w14:textId="73B44D72" w:rsidR="00E83C25" w:rsidRPr="001F0145" w:rsidRDefault="002F3871" w:rsidP="00F312C7">
            <w:pPr>
              <w:pStyle w:val="bulletlist"/>
              <w:numPr>
                <w:ilvl w:val="0"/>
                <w:numId w:val="0"/>
              </w:numPr>
              <w:rPr>
                <w:rFonts w:ascii="Aptos" w:hAnsi="Aptos" w:cs="Helvetica"/>
                <w:sz w:val="24"/>
              </w:rPr>
            </w:pPr>
            <w:r>
              <w:rPr>
                <w:rFonts w:ascii="Aptos" w:hAnsi="Aptos" w:cs="Helvetica"/>
                <w:sz w:val="24"/>
              </w:rPr>
              <w:t xml:space="preserve">In May 2023, ASFI representatives, including </w:t>
            </w:r>
            <w:r w:rsidR="00E34348">
              <w:rPr>
                <w:rFonts w:ascii="Aptos" w:hAnsi="Aptos" w:cs="Helvetica"/>
                <w:sz w:val="24"/>
              </w:rPr>
              <w:t>ASFI’s</w:t>
            </w:r>
            <w:r>
              <w:rPr>
                <w:rFonts w:ascii="Aptos" w:hAnsi="Aptos" w:cs="Helvetica"/>
                <w:sz w:val="24"/>
              </w:rPr>
              <w:t xml:space="preserve"> Head of Taxonomy and Natural Capital, </w:t>
            </w:r>
            <w:r w:rsidR="00E34348">
              <w:rPr>
                <w:rFonts w:ascii="Aptos" w:hAnsi="Aptos" w:cs="Helvetica"/>
                <w:sz w:val="24"/>
              </w:rPr>
              <w:t>travelled</w:t>
            </w:r>
            <w:r>
              <w:rPr>
                <w:rFonts w:ascii="Aptos" w:hAnsi="Aptos" w:cs="Helvetica"/>
                <w:sz w:val="24"/>
              </w:rPr>
              <w:t xml:space="preserve"> to Indonesia to exchange knowledge on sustainable finance taxonomies with Indonesian Government representatives. </w:t>
            </w:r>
          </w:p>
        </w:tc>
      </w:tr>
      <w:tr w:rsidR="0085411E" w:rsidRPr="001F0145" w14:paraId="4392D474" w14:textId="77777777" w:rsidTr="009F1672">
        <w:tc>
          <w:tcPr>
            <w:tcW w:w="1413" w:type="dxa"/>
          </w:tcPr>
          <w:p w14:paraId="0E2D00F9" w14:textId="7826033D" w:rsidR="0085411E" w:rsidRPr="001F0145" w:rsidRDefault="0085411E" w:rsidP="0085411E">
            <w:pPr>
              <w:pStyle w:val="bulletlist"/>
              <w:numPr>
                <w:ilvl w:val="0"/>
                <w:numId w:val="0"/>
              </w:numPr>
              <w:rPr>
                <w:rFonts w:ascii="Aptos" w:hAnsi="Aptos" w:cs="Helvetica"/>
                <w:i/>
                <w:sz w:val="24"/>
              </w:rPr>
            </w:pPr>
            <w:r w:rsidRPr="001F0145">
              <w:rPr>
                <w:rFonts w:ascii="Aptos" w:hAnsi="Aptos" w:cs="Helvetica"/>
                <w:i/>
                <w:sz w:val="24"/>
              </w:rPr>
              <w:t xml:space="preserve">Key Insights </w:t>
            </w:r>
          </w:p>
        </w:tc>
        <w:tc>
          <w:tcPr>
            <w:tcW w:w="8210" w:type="dxa"/>
          </w:tcPr>
          <w:p w14:paraId="55D832BE" w14:textId="5077965B" w:rsidR="00E34348" w:rsidRDefault="00C57F31" w:rsidP="0085411E">
            <w:pPr>
              <w:pStyle w:val="bulletlist"/>
              <w:numPr>
                <w:ilvl w:val="0"/>
                <w:numId w:val="0"/>
              </w:numPr>
              <w:rPr>
                <w:rFonts w:ascii="Aptos" w:hAnsi="Aptos" w:cs="Helvetica"/>
                <w:sz w:val="24"/>
              </w:rPr>
            </w:pPr>
            <w:r w:rsidRPr="00C57F31">
              <w:rPr>
                <w:rFonts w:ascii="Aptos" w:hAnsi="Aptos" w:cs="Helvetica"/>
                <w:sz w:val="24"/>
                <w:u w:val="single"/>
              </w:rPr>
              <w:t>23 Novembe</w:t>
            </w:r>
            <w:r>
              <w:rPr>
                <w:rFonts w:ascii="Aptos" w:hAnsi="Aptos" w:cs="Helvetica"/>
                <w:sz w:val="24"/>
                <w:u w:val="single"/>
              </w:rPr>
              <w:t>r</w:t>
            </w:r>
            <w:r>
              <w:rPr>
                <w:rFonts w:ascii="Aptos" w:hAnsi="Aptos" w:cs="Helvetica"/>
                <w:sz w:val="24"/>
              </w:rPr>
              <w:t xml:space="preserve">: </w:t>
            </w:r>
            <w:r w:rsidR="007F04B7">
              <w:rPr>
                <w:rFonts w:ascii="Aptos" w:hAnsi="Aptos" w:cs="Helvetica"/>
                <w:sz w:val="24"/>
              </w:rPr>
              <w:t>The International Group on Taxonom</w:t>
            </w:r>
            <w:r w:rsidR="00B67647">
              <w:rPr>
                <w:rFonts w:ascii="Aptos" w:hAnsi="Aptos" w:cs="Helvetica"/>
                <w:sz w:val="24"/>
              </w:rPr>
              <w:t>ies</w:t>
            </w:r>
            <w:r w:rsidR="002D3EC5">
              <w:rPr>
                <w:rFonts w:ascii="Aptos" w:hAnsi="Aptos" w:cs="Helvetica"/>
                <w:sz w:val="24"/>
              </w:rPr>
              <w:t xml:space="preserve"> provided general updates on taxonomy development in their respective jurisdictions. Members discussed the role taxonomies play in driving transition, and the complexities associated with the treatment of fossil fuels </w:t>
            </w:r>
            <w:r w:rsidR="00EC5748">
              <w:rPr>
                <w:rFonts w:ascii="Aptos" w:hAnsi="Aptos" w:cs="Helvetica"/>
                <w:sz w:val="24"/>
              </w:rPr>
              <w:t xml:space="preserve">in different jurisdictions in this regard. ASFI shared its principles-based approach to determining which activities will fall under the Australian taxonomy’s </w:t>
            </w:r>
            <w:r w:rsidR="00BA53E6">
              <w:rPr>
                <w:rFonts w:ascii="Aptos" w:hAnsi="Aptos" w:cs="Helvetica"/>
                <w:sz w:val="24"/>
              </w:rPr>
              <w:t xml:space="preserve">‘transition’ category. Members also discussed the growing focus on reconciliation and First Nations communities and priorities in the context of sustainable finance taxonomies. </w:t>
            </w:r>
          </w:p>
          <w:p w14:paraId="2987FC28" w14:textId="5F4C7C40" w:rsidR="00C57F31" w:rsidRDefault="00C57F31" w:rsidP="0085411E">
            <w:pPr>
              <w:pStyle w:val="bulletlist"/>
              <w:numPr>
                <w:ilvl w:val="0"/>
                <w:numId w:val="0"/>
              </w:numPr>
              <w:rPr>
                <w:rFonts w:ascii="Aptos" w:hAnsi="Aptos" w:cs="Helvetica"/>
                <w:sz w:val="24"/>
              </w:rPr>
            </w:pPr>
            <w:r w:rsidRPr="00C57F31">
              <w:rPr>
                <w:rFonts w:ascii="Aptos" w:hAnsi="Aptos" w:cs="Helvetica"/>
                <w:sz w:val="24"/>
                <w:u w:val="single"/>
              </w:rPr>
              <w:t>22 May</w:t>
            </w:r>
            <w:r>
              <w:rPr>
                <w:rFonts w:ascii="Aptos" w:hAnsi="Aptos" w:cs="Helvetica"/>
                <w:sz w:val="24"/>
              </w:rPr>
              <w:t>:</w:t>
            </w:r>
            <w:r w:rsidR="00BA53E6">
              <w:rPr>
                <w:rFonts w:ascii="Aptos" w:hAnsi="Aptos" w:cs="Helvetica"/>
                <w:sz w:val="24"/>
              </w:rPr>
              <w:t xml:space="preserve"> The International Group on Taxonomies </w:t>
            </w:r>
            <w:r w:rsidR="006D24D1">
              <w:rPr>
                <w:rFonts w:ascii="Aptos" w:hAnsi="Aptos" w:cs="Helvetica"/>
                <w:sz w:val="24"/>
              </w:rPr>
              <w:t xml:space="preserve">provided general updates on taxonomy development in their respective jurisdictions. </w:t>
            </w:r>
            <w:r w:rsidR="00AD1F99">
              <w:rPr>
                <w:rFonts w:ascii="Aptos" w:hAnsi="Aptos" w:cs="Helvetica"/>
                <w:sz w:val="24"/>
              </w:rPr>
              <w:t xml:space="preserve">ASFI introduced v0.1 of the Australian Sustainable Finance Taxonomy, with a focus on the draft TSC for minerals, </w:t>
            </w:r>
            <w:proofErr w:type="gramStart"/>
            <w:r w:rsidR="00AD1F99">
              <w:rPr>
                <w:rFonts w:ascii="Aptos" w:hAnsi="Aptos" w:cs="Helvetica"/>
                <w:sz w:val="24"/>
              </w:rPr>
              <w:t>mining</w:t>
            </w:r>
            <w:proofErr w:type="gramEnd"/>
            <w:r w:rsidR="00AD1F99">
              <w:rPr>
                <w:rFonts w:ascii="Aptos" w:hAnsi="Aptos" w:cs="Helvetica"/>
                <w:sz w:val="24"/>
              </w:rPr>
              <w:t xml:space="preserve"> and metals. </w:t>
            </w:r>
            <w:r>
              <w:rPr>
                <w:rFonts w:ascii="Aptos" w:hAnsi="Aptos" w:cs="Helvetica"/>
                <w:sz w:val="24"/>
              </w:rPr>
              <w:t xml:space="preserve"> </w:t>
            </w:r>
          </w:p>
          <w:p w14:paraId="6F8B06DA" w14:textId="6475E53E" w:rsidR="00DF4493" w:rsidRPr="001F0145" w:rsidRDefault="00E34348" w:rsidP="0085411E">
            <w:pPr>
              <w:pStyle w:val="bulletlist"/>
              <w:numPr>
                <w:ilvl w:val="0"/>
                <w:numId w:val="0"/>
              </w:numPr>
              <w:rPr>
                <w:rFonts w:ascii="Aptos" w:hAnsi="Aptos" w:cs="Helvetica"/>
                <w:sz w:val="24"/>
              </w:rPr>
            </w:pPr>
            <w:r w:rsidRPr="00E34348">
              <w:rPr>
                <w:rFonts w:ascii="Aptos" w:hAnsi="Aptos" w:cs="Helvetica"/>
                <w:sz w:val="24"/>
                <w:u w:val="single"/>
              </w:rPr>
              <w:t>Indonesia</w:t>
            </w:r>
            <w:r w:rsidR="00583CEF">
              <w:rPr>
                <w:rFonts w:ascii="Aptos" w:hAnsi="Aptos" w:cs="Helvetica"/>
                <w:sz w:val="24"/>
                <w:u w:val="single"/>
              </w:rPr>
              <w:t xml:space="preserve"> exchange</w:t>
            </w:r>
            <w:r>
              <w:rPr>
                <w:rFonts w:ascii="Aptos" w:hAnsi="Aptos" w:cs="Helvetica"/>
                <w:sz w:val="24"/>
              </w:rPr>
              <w:t xml:space="preserve">: </w:t>
            </w:r>
            <w:r w:rsidR="00DF4493">
              <w:rPr>
                <w:rFonts w:ascii="Aptos" w:hAnsi="Aptos" w:cs="Helvetica"/>
                <w:sz w:val="24"/>
              </w:rPr>
              <w:t>This forum provided an opportunity for ASFI and the Indonesian Government to work together to share challenges and learnings on sustainable finance taxonomies and support collective climate and sustainability goals.</w:t>
            </w:r>
            <w:r w:rsidR="00C63BBE">
              <w:rPr>
                <w:rFonts w:ascii="Aptos" w:hAnsi="Aptos" w:cs="Helvetica"/>
                <w:sz w:val="24"/>
              </w:rPr>
              <w:t xml:space="preserve"> ASFI met with </w:t>
            </w:r>
            <w:r w:rsidR="00BC0CFC">
              <w:rPr>
                <w:rFonts w:ascii="Aptos" w:hAnsi="Aptos" w:cs="Helvetica"/>
                <w:sz w:val="24"/>
              </w:rPr>
              <w:t xml:space="preserve">participants from Indonesia’s Fiscal Policy Agency (BFK) and Financial Services Authority (OJK) to share technical knowledge of taxonomies. This included building a shared understanding of the fundamental components of sustainable finance taxonomies, how they are used in practice by business and industry to facilitate green capital flows, and the impacts and opportunities for regulators and policymakers. </w:t>
            </w:r>
            <w:r w:rsidR="00A85C4A">
              <w:rPr>
                <w:rFonts w:ascii="Aptos" w:hAnsi="Aptos" w:cs="Helvetica"/>
                <w:sz w:val="24"/>
              </w:rPr>
              <w:t xml:space="preserve">The trip highlighted the critical need for regional collaboration on sustainable finance to ensure that our financial system supports a sustainable future for all.  </w:t>
            </w:r>
          </w:p>
        </w:tc>
      </w:tr>
      <w:tr w:rsidR="00E83C25" w:rsidRPr="001F0145" w14:paraId="48B1BF2F" w14:textId="77777777" w:rsidTr="00B55525">
        <w:tc>
          <w:tcPr>
            <w:tcW w:w="9623" w:type="dxa"/>
            <w:gridSpan w:val="2"/>
            <w:shd w:val="clear" w:color="auto" w:fill="0D4E80"/>
          </w:tcPr>
          <w:p w14:paraId="015583E6" w14:textId="5E2BAF76" w:rsidR="00E83C25" w:rsidRPr="001F0145" w:rsidRDefault="008461D9" w:rsidP="00E83C25">
            <w:pPr>
              <w:pStyle w:val="bulletlist"/>
              <w:numPr>
                <w:ilvl w:val="0"/>
                <w:numId w:val="0"/>
              </w:numPr>
              <w:rPr>
                <w:rFonts w:ascii="Aptos" w:hAnsi="Aptos" w:cs="Helvetica"/>
                <w:i/>
                <w:color w:val="FFFFFF" w:themeColor="background1"/>
                <w:sz w:val="24"/>
              </w:rPr>
            </w:pPr>
            <w:r w:rsidRPr="001F0145">
              <w:rPr>
                <w:rFonts w:ascii="Aptos" w:hAnsi="Aptos" w:cs="Helvetica"/>
                <w:i/>
                <w:color w:val="FFFFFF" w:themeColor="background1"/>
                <w:sz w:val="24"/>
              </w:rPr>
              <w:t xml:space="preserve">General Taxonomy Forum </w:t>
            </w:r>
          </w:p>
        </w:tc>
      </w:tr>
      <w:tr w:rsidR="00E83C25" w:rsidRPr="001F0145" w14:paraId="52860AB7" w14:textId="77777777" w:rsidTr="009F1672">
        <w:tc>
          <w:tcPr>
            <w:tcW w:w="1413" w:type="dxa"/>
          </w:tcPr>
          <w:p w14:paraId="3F029599" w14:textId="6E58AE14" w:rsidR="00E83C25" w:rsidRPr="001F0145" w:rsidRDefault="00E83C25" w:rsidP="00E83C25">
            <w:pPr>
              <w:pStyle w:val="bulletlist"/>
              <w:numPr>
                <w:ilvl w:val="0"/>
                <w:numId w:val="0"/>
              </w:numPr>
              <w:rPr>
                <w:rFonts w:ascii="Aptos" w:hAnsi="Aptos" w:cs="Helvetica"/>
                <w:i/>
                <w:sz w:val="24"/>
              </w:rPr>
            </w:pPr>
            <w:r w:rsidRPr="001F0145">
              <w:rPr>
                <w:rFonts w:ascii="Aptos" w:hAnsi="Aptos" w:cs="Helvetica"/>
                <w:i/>
                <w:sz w:val="24"/>
              </w:rPr>
              <w:t>Who</w:t>
            </w:r>
          </w:p>
        </w:tc>
        <w:tc>
          <w:tcPr>
            <w:tcW w:w="8210" w:type="dxa"/>
          </w:tcPr>
          <w:p w14:paraId="6131E75F" w14:textId="4665FE96" w:rsidR="00E83C25" w:rsidRPr="001F0145" w:rsidRDefault="008461D9" w:rsidP="00E83C25">
            <w:pPr>
              <w:pStyle w:val="bulletlist"/>
              <w:numPr>
                <w:ilvl w:val="0"/>
                <w:numId w:val="0"/>
              </w:numPr>
              <w:rPr>
                <w:rFonts w:ascii="Aptos" w:hAnsi="Aptos" w:cs="Helvetica"/>
                <w:sz w:val="24"/>
              </w:rPr>
            </w:pPr>
            <w:r w:rsidRPr="001F0145">
              <w:rPr>
                <w:rFonts w:ascii="Aptos" w:hAnsi="Aptos" w:cs="Helvetica"/>
                <w:sz w:val="24"/>
              </w:rPr>
              <w:t xml:space="preserve">This is an open forum designed to be accessible to the </w:t>
            </w:r>
            <w:proofErr w:type="gramStart"/>
            <w:r w:rsidRPr="001F0145">
              <w:rPr>
                <w:rFonts w:ascii="Aptos" w:hAnsi="Aptos" w:cs="Helvetica"/>
                <w:sz w:val="24"/>
              </w:rPr>
              <w:t>general public</w:t>
            </w:r>
            <w:proofErr w:type="gramEnd"/>
            <w:r w:rsidRPr="001F0145">
              <w:rPr>
                <w:rFonts w:ascii="Aptos" w:hAnsi="Aptos" w:cs="Helvetica"/>
                <w:sz w:val="24"/>
              </w:rPr>
              <w:t xml:space="preserve">. It is advertised through ASFI’s wider communication channels, including its general database and LinkedIn.  </w:t>
            </w:r>
          </w:p>
        </w:tc>
      </w:tr>
      <w:tr w:rsidR="00E83C25" w:rsidRPr="001F0145" w14:paraId="2810CC6A" w14:textId="77777777" w:rsidTr="009F1672">
        <w:tc>
          <w:tcPr>
            <w:tcW w:w="1413" w:type="dxa"/>
          </w:tcPr>
          <w:p w14:paraId="154ABBDB" w14:textId="3235B7EA" w:rsidR="00E83C25" w:rsidRPr="001F0145" w:rsidRDefault="0085411E" w:rsidP="00E83C25">
            <w:pPr>
              <w:pStyle w:val="bulletlist"/>
              <w:numPr>
                <w:ilvl w:val="0"/>
                <w:numId w:val="0"/>
              </w:numPr>
              <w:rPr>
                <w:rFonts w:ascii="Aptos" w:hAnsi="Aptos" w:cs="Helvetica"/>
                <w:i/>
                <w:sz w:val="24"/>
              </w:rPr>
            </w:pPr>
            <w:r w:rsidRPr="001F0145">
              <w:rPr>
                <w:rFonts w:ascii="Aptos" w:hAnsi="Aptos" w:cs="Helvetica"/>
                <w:i/>
                <w:sz w:val="24"/>
              </w:rPr>
              <w:t>What</w:t>
            </w:r>
          </w:p>
        </w:tc>
        <w:tc>
          <w:tcPr>
            <w:tcW w:w="8210" w:type="dxa"/>
          </w:tcPr>
          <w:p w14:paraId="6F15880A" w14:textId="1A6C4B27" w:rsidR="00C321C7" w:rsidRPr="001F0145" w:rsidRDefault="008461D9" w:rsidP="00C321C7">
            <w:pPr>
              <w:pStyle w:val="bulletlist"/>
              <w:numPr>
                <w:ilvl w:val="0"/>
                <w:numId w:val="0"/>
              </w:numPr>
              <w:rPr>
                <w:rFonts w:ascii="Aptos" w:hAnsi="Aptos" w:cs="Helvetica"/>
                <w:sz w:val="24"/>
              </w:rPr>
            </w:pPr>
            <w:r w:rsidRPr="001F0145">
              <w:rPr>
                <w:rFonts w:ascii="Aptos" w:hAnsi="Aptos" w:cs="Helvetica"/>
                <w:sz w:val="24"/>
              </w:rPr>
              <w:t xml:space="preserve">The General Taxonomy Forum supports understanding and awareness of the Australian </w:t>
            </w:r>
            <w:r w:rsidR="00A85C4A">
              <w:rPr>
                <w:rFonts w:ascii="Aptos" w:hAnsi="Aptos" w:cs="Helvetica"/>
                <w:sz w:val="24"/>
              </w:rPr>
              <w:t>t</w:t>
            </w:r>
            <w:r w:rsidRPr="001F0145">
              <w:rPr>
                <w:rFonts w:ascii="Aptos" w:hAnsi="Aptos" w:cs="Helvetica"/>
                <w:sz w:val="24"/>
              </w:rPr>
              <w:t>axonomy’s purpose, use cases and timeline for development. The forum comprises a series of webinars, which are recorded and made publicly accessible via ASFI’s website.</w:t>
            </w:r>
          </w:p>
        </w:tc>
      </w:tr>
      <w:tr w:rsidR="00E83C25" w:rsidRPr="001F0145" w14:paraId="4D24EDBC" w14:textId="77777777" w:rsidTr="009F1672">
        <w:tc>
          <w:tcPr>
            <w:tcW w:w="1413" w:type="dxa"/>
          </w:tcPr>
          <w:p w14:paraId="282EB276" w14:textId="35D2906B" w:rsidR="00E83C25" w:rsidRPr="001F0145" w:rsidRDefault="0085411E" w:rsidP="00E83C25">
            <w:pPr>
              <w:pStyle w:val="bulletlist"/>
              <w:numPr>
                <w:ilvl w:val="0"/>
                <w:numId w:val="0"/>
              </w:numPr>
              <w:rPr>
                <w:rFonts w:ascii="Aptos" w:hAnsi="Aptos" w:cs="Helvetica"/>
                <w:i/>
                <w:sz w:val="24"/>
              </w:rPr>
            </w:pPr>
            <w:r w:rsidRPr="001F0145">
              <w:rPr>
                <w:rFonts w:ascii="Aptos" w:hAnsi="Aptos" w:cs="Helvetica"/>
                <w:i/>
                <w:sz w:val="24"/>
              </w:rPr>
              <w:t>When</w:t>
            </w:r>
          </w:p>
        </w:tc>
        <w:tc>
          <w:tcPr>
            <w:tcW w:w="8210" w:type="dxa"/>
          </w:tcPr>
          <w:p w14:paraId="78F1B2DC" w14:textId="64A20B54" w:rsidR="00BE2A20" w:rsidRDefault="00BE2A20" w:rsidP="006B2554">
            <w:pPr>
              <w:pStyle w:val="bulletlist"/>
              <w:numPr>
                <w:ilvl w:val="0"/>
                <w:numId w:val="0"/>
              </w:numPr>
              <w:rPr>
                <w:rFonts w:ascii="Aptos" w:hAnsi="Aptos" w:cs="Helvetica"/>
                <w:sz w:val="24"/>
              </w:rPr>
            </w:pPr>
            <w:r>
              <w:rPr>
                <w:rFonts w:ascii="Aptos" w:hAnsi="Aptos" w:cs="Helvetica"/>
                <w:sz w:val="24"/>
              </w:rPr>
              <w:t xml:space="preserve">Ongoing. </w:t>
            </w:r>
          </w:p>
          <w:p w14:paraId="556E135F" w14:textId="234E7A18" w:rsidR="006B2554" w:rsidRPr="001F0145" w:rsidRDefault="006B2554" w:rsidP="006B2554">
            <w:pPr>
              <w:pStyle w:val="bulletlist"/>
              <w:numPr>
                <w:ilvl w:val="0"/>
                <w:numId w:val="0"/>
              </w:numPr>
              <w:rPr>
                <w:rFonts w:ascii="Aptos" w:hAnsi="Aptos" w:cs="Helvetica"/>
                <w:sz w:val="24"/>
              </w:rPr>
            </w:pPr>
            <w:r w:rsidRPr="001F0145">
              <w:rPr>
                <w:rFonts w:ascii="Aptos" w:hAnsi="Aptos" w:cs="Helvetica"/>
                <w:sz w:val="24"/>
              </w:rPr>
              <w:lastRenderedPageBreak/>
              <w:t xml:space="preserve">ASFI held the first General Taxonomy Forum </w:t>
            </w:r>
            <w:r w:rsidR="0048110D">
              <w:rPr>
                <w:rFonts w:ascii="Aptos" w:hAnsi="Aptos" w:cs="Helvetica"/>
                <w:sz w:val="24"/>
              </w:rPr>
              <w:t xml:space="preserve">webinar </w:t>
            </w:r>
            <w:r w:rsidR="00091CB0">
              <w:rPr>
                <w:rFonts w:ascii="Aptos" w:hAnsi="Aptos" w:cs="Helvetica"/>
                <w:sz w:val="24"/>
              </w:rPr>
              <w:t>on 27</w:t>
            </w:r>
            <w:r w:rsidRPr="001F0145">
              <w:rPr>
                <w:rFonts w:ascii="Aptos" w:hAnsi="Aptos" w:cs="Helvetica"/>
                <w:sz w:val="24"/>
              </w:rPr>
              <w:t xml:space="preserve"> September 2023, which introduced the </w:t>
            </w:r>
            <w:r w:rsidR="00477C8B">
              <w:rPr>
                <w:rFonts w:ascii="Aptos" w:hAnsi="Aptos" w:cs="Helvetica"/>
                <w:sz w:val="24"/>
              </w:rPr>
              <w:t>Australian T</w:t>
            </w:r>
            <w:r w:rsidRPr="001F0145">
              <w:rPr>
                <w:rFonts w:ascii="Aptos" w:hAnsi="Aptos" w:cs="Helvetica"/>
                <w:sz w:val="24"/>
              </w:rPr>
              <w:t xml:space="preserve">axonomy </w:t>
            </w:r>
            <w:r w:rsidR="00477C8B">
              <w:rPr>
                <w:rFonts w:ascii="Aptos" w:hAnsi="Aptos" w:cs="Helvetica"/>
                <w:sz w:val="24"/>
              </w:rPr>
              <w:t>P</w:t>
            </w:r>
            <w:r w:rsidRPr="001F0145">
              <w:rPr>
                <w:rFonts w:ascii="Aptos" w:hAnsi="Aptos" w:cs="Helvetica"/>
                <w:sz w:val="24"/>
              </w:rPr>
              <w:t xml:space="preserve">roject's key objectives, governance arrangements and forward work program. It also provided time for open Q&amp;A about the project. </w:t>
            </w:r>
          </w:p>
          <w:p w14:paraId="7AEA11E1" w14:textId="5559AAEB" w:rsidR="006B2554" w:rsidRPr="001F0145" w:rsidRDefault="006B2554" w:rsidP="006B2554">
            <w:pPr>
              <w:pStyle w:val="bulletlist"/>
              <w:numPr>
                <w:ilvl w:val="0"/>
                <w:numId w:val="0"/>
              </w:numPr>
              <w:rPr>
                <w:rFonts w:ascii="Aptos" w:hAnsi="Aptos" w:cs="Helvetica"/>
                <w:sz w:val="24"/>
              </w:rPr>
            </w:pPr>
            <w:r w:rsidRPr="001F0145">
              <w:rPr>
                <w:rFonts w:ascii="Aptos" w:hAnsi="Aptos" w:cs="Helvetica"/>
                <w:sz w:val="24"/>
              </w:rPr>
              <w:t xml:space="preserve">ASFI </w:t>
            </w:r>
            <w:r w:rsidR="00A85C4A">
              <w:rPr>
                <w:rFonts w:ascii="Aptos" w:hAnsi="Aptos" w:cs="Helvetica"/>
                <w:sz w:val="24"/>
              </w:rPr>
              <w:t xml:space="preserve">held the second General Taxonomy Forum </w:t>
            </w:r>
            <w:r w:rsidR="0048110D">
              <w:rPr>
                <w:rFonts w:ascii="Aptos" w:hAnsi="Aptos" w:cs="Helvetica"/>
                <w:sz w:val="24"/>
              </w:rPr>
              <w:t>webinar on 6</w:t>
            </w:r>
            <w:r w:rsidR="00A85C4A">
              <w:rPr>
                <w:rFonts w:ascii="Aptos" w:hAnsi="Aptos" w:cs="Helvetica"/>
                <w:sz w:val="24"/>
              </w:rPr>
              <w:t xml:space="preserve"> December 2023 to </w:t>
            </w:r>
            <w:r w:rsidR="00886249">
              <w:rPr>
                <w:rFonts w:ascii="Aptos" w:hAnsi="Aptos" w:cs="Helvetica"/>
                <w:sz w:val="24"/>
              </w:rPr>
              <w:t xml:space="preserve">socialise </w:t>
            </w:r>
            <w:r w:rsidRPr="001F0145">
              <w:rPr>
                <w:rFonts w:ascii="Aptos" w:hAnsi="Aptos" w:cs="Helvetica"/>
                <w:sz w:val="24"/>
              </w:rPr>
              <w:t>the</w:t>
            </w:r>
            <w:r w:rsidR="0048110D">
              <w:rPr>
                <w:rFonts w:ascii="Aptos" w:hAnsi="Aptos" w:cs="Helvetica"/>
                <w:sz w:val="24"/>
              </w:rPr>
              <w:t xml:space="preserve"> methodological design features of the Australian taxonomy with the </w:t>
            </w:r>
            <w:proofErr w:type="gramStart"/>
            <w:r w:rsidR="0048110D">
              <w:rPr>
                <w:rFonts w:ascii="Aptos" w:hAnsi="Aptos" w:cs="Helvetica"/>
                <w:sz w:val="24"/>
              </w:rPr>
              <w:t>general public</w:t>
            </w:r>
            <w:proofErr w:type="gramEnd"/>
            <w:r w:rsidR="0048110D">
              <w:rPr>
                <w:rFonts w:ascii="Aptos" w:hAnsi="Aptos" w:cs="Helvetica"/>
                <w:sz w:val="24"/>
              </w:rPr>
              <w:t xml:space="preserve">. It also provided time for open Q&amp;A on this work. </w:t>
            </w:r>
          </w:p>
          <w:p w14:paraId="22811590" w14:textId="27EEE9F7" w:rsidR="00C20FB0" w:rsidRPr="001F0145" w:rsidRDefault="006B2554" w:rsidP="00E83C25">
            <w:pPr>
              <w:pStyle w:val="bulletlist"/>
              <w:numPr>
                <w:ilvl w:val="0"/>
                <w:numId w:val="0"/>
              </w:numPr>
              <w:rPr>
                <w:rFonts w:ascii="Aptos" w:hAnsi="Aptos" w:cs="Helvetica"/>
                <w:sz w:val="24"/>
              </w:rPr>
            </w:pPr>
            <w:r w:rsidRPr="001F0145">
              <w:rPr>
                <w:rFonts w:ascii="Aptos" w:hAnsi="Aptos" w:cs="Helvetica"/>
                <w:sz w:val="24"/>
              </w:rPr>
              <w:t>ASFI</w:t>
            </w:r>
            <w:r w:rsidR="0048110D">
              <w:rPr>
                <w:rFonts w:ascii="Aptos" w:hAnsi="Aptos" w:cs="Helvetica"/>
                <w:sz w:val="24"/>
              </w:rPr>
              <w:t xml:space="preserve"> held the third </w:t>
            </w:r>
            <w:r w:rsidRPr="001F0145">
              <w:rPr>
                <w:rFonts w:ascii="Aptos" w:hAnsi="Aptos" w:cs="Helvetica"/>
                <w:sz w:val="24"/>
              </w:rPr>
              <w:t xml:space="preserve">General Taxonomy Forum webinar </w:t>
            </w:r>
            <w:r w:rsidR="0048110D">
              <w:rPr>
                <w:rFonts w:ascii="Aptos" w:hAnsi="Aptos" w:cs="Helvetica"/>
                <w:sz w:val="24"/>
              </w:rPr>
              <w:t>on 28 May 2024</w:t>
            </w:r>
            <w:r w:rsidR="00C20FB0">
              <w:rPr>
                <w:rFonts w:ascii="Aptos" w:hAnsi="Aptos" w:cs="Helvetica"/>
                <w:sz w:val="24"/>
              </w:rPr>
              <w:t xml:space="preserve"> at which it officially</w:t>
            </w:r>
            <w:r w:rsidR="0048110D">
              <w:rPr>
                <w:rFonts w:ascii="Aptos" w:hAnsi="Aptos" w:cs="Helvetica"/>
                <w:sz w:val="24"/>
              </w:rPr>
              <w:t xml:space="preserve"> release</w:t>
            </w:r>
            <w:r w:rsidR="00C20FB0">
              <w:rPr>
                <w:rFonts w:ascii="Aptos" w:hAnsi="Aptos" w:cs="Helvetica"/>
                <w:sz w:val="24"/>
              </w:rPr>
              <w:t>d</w:t>
            </w:r>
            <w:r w:rsidR="0048110D">
              <w:rPr>
                <w:rFonts w:ascii="Aptos" w:hAnsi="Aptos" w:cs="Helvetica"/>
                <w:sz w:val="24"/>
              </w:rPr>
              <w:t xml:space="preserve"> v0.1 of the Australian sustainable finance taxonomy</w:t>
            </w:r>
            <w:r w:rsidR="00C20FB0">
              <w:rPr>
                <w:rFonts w:ascii="Aptos" w:hAnsi="Aptos" w:cs="Helvetica"/>
                <w:sz w:val="24"/>
              </w:rPr>
              <w:t>. This webinar marked the commencement of the first round of public consultation</w:t>
            </w:r>
            <w:r w:rsidR="0048110D">
              <w:rPr>
                <w:rFonts w:ascii="Aptos" w:hAnsi="Aptos" w:cs="Helvetica"/>
                <w:sz w:val="24"/>
              </w:rPr>
              <w:t xml:space="preserve">. </w:t>
            </w:r>
            <w:r w:rsidR="00C20FB0">
              <w:rPr>
                <w:rFonts w:ascii="Aptos" w:hAnsi="Aptos" w:cs="Helvetica"/>
                <w:sz w:val="24"/>
              </w:rPr>
              <w:t xml:space="preserve">It also provided time for open Q&amp;A. </w:t>
            </w:r>
          </w:p>
        </w:tc>
      </w:tr>
      <w:tr w:rsidR="0085411E" w:rsidRPr="001F0145" w14:paraId="1EAC83A4" w14:textId="77777777" w:rsidTr="009F1672">
        <w:tc>
          <w:tcPr>
            <w:tcW w:w="1413" w:type="dxa"/>
          </w:tcPr>
          <w:p w14:paraId="737A13A9" w14:textId="76A14D92" w:rsidR="0085411E" w:rsidRPr="001F0145" w:rsidRDefault="0085411E" w:rsidP="0085411E">
            <w:pPr>
              <w:pStyle w:val="bulletlist"/>
              <w:numPr>
                <w:ilvl w:val="0"/>
                <w:numId w:val="0"/>
              </w:numPr>
              <w:rPr>
                <w:rFonts w:ascii="Aptos" w:hAnsi="Aptos" w:cs="Helvetica"/>
                <w:i/>
                <w:sz w:val="24"/>
              </w:rPr>
            </w:pPr>
            <w:r w:rsidRPr="001F0145">
              <w:rPr>
                <w:rFonts w:ascii="Aptos" w:hAnsi="Aptos" w:cs="Helvetica"/>
                <w:i/>
                <w:sz w:val="24"/>
              </w:rPr>
              <w:lastRenderedPageBreak/>
              <w:t>Key Insights</w:t>
            </w:r>
          </w:p>
        </w:tc>
        <w:tc>
          <w:tcPr>
            <w:tcW w:w="8210" w:type="dxa"/>
          </w:tcPr>
          <w:p w14:paraId="16E3CBED" w14:textId="329C9F0E" w:rsidR="000A19BC" w:rsidRDefault="00DF4493" w:rsidP="0085411E">
            <w:pPr>
              <w:pStyle w:val="bulletlist"/>
              <w:numPr>
                <w:ilvl w:val="0"/>
                <w:numId w:val="0"/>
              </w:numPr>
              <w:rPr>
                <w:rFonts w:ascii="Aptos" w:hAnsi="Aptos" w:cs="Helvetica"/>
                <w:sz w:val="24"/>
              </w:rPr>
            </w:pPr>
            <w:r w:rsidRPr="001F0145">
              <w:rPr>
                <w:rFonts w:ascii="Aptos" w:hAnsi="Aptos" w:cs="Helvetica"/>
                <w:sz w:val="24"/>
              </w:rPr>
              <w:t>There is significant</w:t>
            </w:r>
            <w:r w:rsidR="00A617B5">
              <w:rPr>
                <w:rFonts w:ascii="Aptos" w:hAnsi="Aptos" w:cs="Helvetica"/>
                <w:sz w:val="24"/>
              </w:rPr>
              <w:t xml:space="preserve"> and growing</w:t>
            </w:r>
            <w:r w:rsidRPr="001F0145">
              <w:rPr>
                <w:rFonts w:ascii="Aptos" w:hAnsi="Aptos" w:cs="Helvetica"/>
                <w:sz w:val="24"/>
              </w:rPr>
              <w:t xml:space="preserve"> external interest in the</w:t>
            </w:r>
            <w:r w:rsidR="00A617B5">
              <w:rPr>
                <w:rFonts w:ascii="Aptos" w:hAnsi="Aptos" w:cs="Helvetica"/>
                <w:sz w:val="24"/>
              </w:rPr>
              <w:t xml:space="preserve"> Australian Taxonomy Project.</w:t>
            </w:r>
            <w:r w:rsidRPr="001F0145">
              <w:rPr>
                <w:rFonts w:ascii="Aptos" w:hAnsi="Aptos" w:cs="Helvetica"/>
                <w:sz w:val="24"/>
              </w:rPr>
              <w:t xml:space="preserve"> </w:t>
            </w:r>
          </w:p>
          <w:p w14:paraId="315FF97F" w14:textId="6D1CF185" w:rsidR="000A19BC" w:rsidRDefault="00391D08" w:rsidP="00BE2A20">
            <w:pPr>
              <w:pStyle w:val="bulletlist"/>
              <w:numPr>
                <w:ilvl w:val="0"/>
                <w:numId w:val="45"/>
              </w:numPr>
              <w:rPr>
                <w:rFonts w:ascii="Aptos" w:hAnsi="Aptos" w:cs="Helvetica"/>
                <w:sz w:val="24"/>
              </w:rPr>
            </w:pPr>
            <w:r>
              <w:rPr>
                <w:rFonts w:ascii="Aptos" w:hAnsi="Aptos" w:cs="Helvetica"/>
                <w:sz w:val="24"/>
              </w:rPr>
              <w:t>183</w:t>
            </w:r>
            <w:r w:rsidR="00DF4493" w:rsidRPr="001F0145">
              <w:rPr>
                <w:rFonts w:ascii="Aptos" w:hAnsi="Aptos" w:cs="Helvetica"/>
                <w:sz w:val="24"/>
              </w:rPr>
              <w:t xml:space="preserve"> people registered for the first General Taxonomy Forum, of which </w:t>
            </w:r>
            <w:r w:rsidR="00B375C2">
              <w:rPr>
                <w:rFonts w:ascii="Aptos" w:hAnsi="Aptos" w:cs="Helvetica"/>
                <w:sz w:val="24"/>
              </w:rPr>
              <w:t xml:space="preserve">89 </w:t>
            </w:r>
            <w:r w:rsidR="00DF4493" w:rsidRPr="001F0145">
              <w:rPr>
                <w:rFonts w:ascii="Aptos" w:hAnsi="Aptos" w:cs="Helvetica"/>
                <w:sz w:val="24"/>
              </w:rPr>
              <w:t xml:space="preserve">joined the webinar live. </w:t>
            </w:r>
          </w:p>
          <w:p w14:paraId="416A15F8" w14:textId="44A03178" w:rsidR="000A19BC" w:rsidRDefault="000A19BC" w:rsidP="00BE2A20">
            <w:pPr>
              <w:pStyle w:val="bulletlist"/>
              <w:numPr>
                <w:ilvl w:val="0"/>
                <w:numId w:val="45"/>
              </w:numPr>
              <w:rPr>
                <w:rFonts w:ascii="Aptos" w:hAnsi="Aptos" w:cs="Helvetica"/>
                <w:sz w:val="24"/>
              </w:rPr>
            </w:pPr>
            <w:r>
              <w:rPr>
                <w:rFonts w:ascii="Aptos" w:hAnsi="Aptos" w:cs="Helvetica"/>
                <w:sz w:val="24"/>
              </w:rPr>
              <w:t xml:space="preserve">319 people registered to attend the second General Taxonomy Forum, of which </w:t>
            </w:r>
            <w:r w:rsidR="00A617B5">
              <w:rPr>
                <w:rFonts w:ascii="Aptos" w:hAnsi="Aptos" w:cs="Helvetica"/>
                <w:sz w:val="24"/>
              </w:rPr>
              <w:t xml:space="preserve">128 </w:t>
            </w:r>
            <w:r w:rsidR="00B375C2">
              <w:rPr>
                <w:rFonts w:ascii="Aptos" w:hAnsi="Aptos" w:cs="Helvetica"/>
                <w:sz w:val="24"/>
              </w:rPr>
              <w:t xml:space="preserve">joined the webinar live. </w:t>
            </w:r>
          </w:p>
          <w:p w14:paraId="63366434" w14:textId="10F436A8" w:rsidR="00C20FB0" w:rsidRDefault="005861B4" w:rsidP="00BE2A20">
            <w:pPr>
              <w:pStyle w:val="bulletlist"/>
              <w:numPr>
                <w:ilvl w:val="0"/>
                <w:numId w:val="45"/>
              </w:numPr>
              <w:rPr>
                <w:rFonts w:ascii="Aptos" w:hAnsi="Aptos" w:cs="Helvetica"/>
                <w:sz w:val="24"/>
              </w:rPr>
            </w:pPr>
            <w:r>
              <w:rPr>
                <w:rFonts w:ascii="Aptos" w:hAnsi="Aptos" w:cs="Helvetica"/>
                <w:sz w:val="24"/>
              </w:rPr>
              <w:t>50</w:t>
            </w:r>
            <w:r w:rsidR="00B375C2">
              <w:rPr>
                <w:rFonts w:ascii="Aptos" w:hAnsi="Aptos" w:cs="Helvetica"/>
                <w:sz w:val="24"/>
              </w:rPr>
              <w:t>9</w:t>
            </w:r>
            <w:r>
              <w:rPr>
                <w:rFonts w:ascii="Aptos" w:hAnsi="Aptos" w:cs="Helvetica"/>
                <w:sz w:val="24"/>
              </w:rPr>
              <w:t xml:space="preserve"> people registered to attend </w:t>
            </w:r>
            <w:r w:rsidR="005E1FE2">
              <w:rPr>
                <w:rFonts w:ascii="Aptos" w:hAnsi="Aptos" w:cs="Helvetica"/>
                <w:sz w:val="24"/>
              </w:rPr>
              <w:t>the official release of v0.1 of the Australian taxonomy on 28 May</w:t>
            </w:r>
            <w:r w:rsidR="00C33AFC">
              <w:rPr>
                <w:rFonts w:ascii="Aptos" w:hAnsi="Aptos" w:cs="Helvetica"/>
                <w:sz w:val="24"/>
              </w:rPr>
              <w:t xml:space="preserve">, of which 290 joined the webinar live. </w:t>
            </w:r>
          </w:p>
          <w:p w14:paraId="36F06839" w14:textId="24F19A6C" w:rsidR="00C20FB0" w:rsidRDefault="00DF4493" w:rsidP="0085411E">
            <w:pPr>
              <w:pStyle w:val="bulletlist"/>
              <w:numPr>
                <w:ilvl w:val="0"/>
                <w:numId w:val="0"/>
              </w:numPr>
              <w:rPr>
                <w:rFonts w:ascii="Aptos" w:hAnsi="Aptos" w:cs="Helvetica"/>
                <w:sz w:val="24"/>
              </w:rPr>
            </w:pPr>
            <w:r w:rsidRPr="001F0145">
              <w:rPr>
                <w:rFonts w:ascii="Aptos" w:hAnsi="Aptos" w:cs="Helvetica"/>
                <w:sz w:val="24"/>
              </w:rPr>
              <w:t>Questions asked by participants</w:t>
            </w:r>
            <w:r w:rsidR="00BE2A20">
              <w:rPr>
                <w:rFonts w:ascii="Aptos" w:hAnsi="Aptos" w:cs="Helvetica"/>
                <w:sz w:val="24"/>
              </w:rPr>
              <w:t xml:space="preserve"> initially focused largely on </w:t>
            </w:r>
            <w:r w:rsidRPr="001F0145">
              <w:rPr>
                <w:rFonts w:ascii="Aptos" w:hAnsi="Aptos" w:cs="Helvetica"/>
                <w:sz w:val="24"/>
              </w:rPr>
              <w:t>the governance arrangements, opportunities for public consultation and how the Australian taxonomy will cover broader environmental objectives, such as biodiversity protection and pollution control and prevention.</w:t>
            </w:r>
          </w:p>
          <w:p w14:paraId="6E0955AA" w14:textId="18000613" w:rsidR="004A2D9D" w:rsidRDefault="00FE23B6" w:rsidP="0085411E">
            <w:pPr>
              <w:pStyle w:val="bulletlist"/>
              <w:numPr>
                <w:ilvl w:val="0"/>
                <w:numId w:val="0"/>
              </w:numPr>
              <w:rPr>
                <w:rFonts w:ascii="Aptos" w:hAnsi="Aptos" w:cs="Helvetica"/>
                <w:sz w:val="24"/>
              </w:rPr>
            </w:pPr>
            <w:r>
              <w:rPr>
                <w:rFonts w:ascii="Aptos" w:hAnsi="Aptos" w:cs="Helvetica"/>
                <w:sz w:val="24"/>
              </w:rPr>
              <w:t xml:space="preserve">In the most recent General Taxonomy Forum webinar, </w:t>
            </w:r>
            <w:r w:rsidR="004A2D9D">
              <w:rPr>
                <w:rFonts w:ascii="Aptos" w:hAnsi="Aptos" w:cs="Helvetica"/>
                <w:sz w:val="24"/>
              </w:rPr>
              <w:t>participants expressed interest</w:t>
            </w:r>
            <w:r>
              <w:rPr>
                <w:rFonts w:ascii="Aptos" w:hAnsi="Aptos" w:cs="Helvetica"/>
                <w:sz w:val="24"/>
              </w:rPr>
              <w:t xml:space="preserve"> i</w:t>
            </w:r>
            <w:r w:rsidR="00FC70D2">
              <w:rPr>
                <w:rFonts w:ascii="Aptos" w:hAnsi="Aptos" w:cs="Helvetica"/>
                <w:sz w:val="24"/>
              </w:rPr>
              <w:t>n what the Australian taxonomy means for corporate reporting</w:t>
            </w:r>
            <w:r w:rsidR="00A307FB">
              <w:rPr>
                <w:rFonts w:ascii="Aptos" w:hAnsi="Aptos" w:cs="Helvetica"/>
                <w:sz w:val="24"/>
              </w:rPr>
              <w:t xml:space="preserve"> and how it will be applied</w:t>
            </w:r>
            <w:r w:rsidR="00DC6B7A">
              <w:rPr>
                <w:rFonts w:ascii="Aptos" w:hAnsi="Aptos" w:cs="Helvetica"/>
                <w:sz w:val="24"/>
              </w:rPr>
              <w:t>. A range of sector-specific and technical questions were also asked</w:t>
            </w:r>
            <w:r w:rsidR="004A2D9D">
              <w:rPr>
                <w:rFonts w:ascii="Aptos" w:hAnsi="Aptos" w:cs="Helvetica"/>
                <w:sz w:val="24"/>
              </w:rPr>
              <w:t xml:space="preserve"> by various participants, indicating a high level of</w:t>
            </w:r>
            <w:r w:rsidR="00563DFE">
              <w:rPr>
                <w:rFonts w:ascii="Aptos" w:hAnsi="Aptos" w:cs="Helvetica"/>
                <w:sz w:val="24"/>
              </w:rPr>
              <w:t xml:space="preserve"> maturity on</w:t>
            </w:r>
            <w:r w:rsidR="004D04A0">
              <w:rPr>
                <w:rFonts w:ascii="Aptos" w:hAnsi="Aptos" w:cs="Helvetica"/>
                <w:sz w:val="24"/>
              </w:rPr>
              <w:t>,</w:t>
            </w:r>
            <w:r w:rsidR="00563DFE">
              <w:rPr>
                <w:rFonts w:ascii="Aptos" w:hAnsi="Aptos" w:cs="Helvetica"/>
                <w:sz w:val="24"/>
              </w:rPr>
              <w:t xml:space="preserve"> and</w:t>
            </w:r>
            <w:r w:rsidR="004A2D9D">
              <w:rPr>
                <w:rFonts w:ascii="Aptos" w:hAnsi="Aptos" w:cs="Helvetica"/>
                <w:sz w:val="24"/>
              </w:rPr>
              <w:t xml:space="preserve"> interest and engagement in</w:t>
            </w:r>
            <w:r w:rsidR="004D04A0">
              <w:rPr>
                <w:rFonts w:ascii="Aptos" w:hAnsi="Aptos" w:cs="Helvetica"/>
                <w:sz w:val="24"/>
              </w:rPr>
              <w:t>,</w:t>
            </w:r>
            <w:r w:rsidR="004A2D9D">
              <w:rPr>
                <w:rFonts w:ascii="Aptos" w:hAnsi="Aptos" w:cs="Helvetica"/>
                <w:sz w:val="24"/>
              </w:rPr>
              <w:t xml:space="preserve"> the Australian taxonomy’s development.</w:t>
            </w:r>
          </w:p>
          <w:p w14:paraId="2D513009" w14:textId="567BFA83" w:rsidR="00FE23B6" w:rsidRPr="001F0145" w:rsidRDefault="004A2D9D" w:rsidP="0085411E">
            <w:pPr>
              <w:pStyle w:val="bulletlist"/>
              <w:numPr>
                <w:ilvl w:val="0"/>
                <w:numId w:val="0"/>
              </w:numPr>
              <w:rPr>
                <w:rFonts w:ascii="Aptos" w:hAnsi="Aptos" w:cs="Helvetica"/>
                <w:sz w:val="24"/>
              </w:rPr>
            </w:pPr>
            <w:r>
              <w:rPr>
                <w:rFonts w:ascii="Aptos" w:hAnsi="Aptos" w:cs="Helvetica"/>
                <w:sz w:val="24"/>
              </w:rPr>
              <w:t>ASFI will gain further insights through the feedback it receive</w:t>
            </w:r>
            <w:r w:rsidR="00BE2A20">
              <w:rPr>
                <w:rFonts w:ascii="Aptos" w:hAnsi="Aptos" w:cs="Helvetica"/>
                <w:sz w:val="24"/>
              </w:rPr>
              <w:t>s in</w:t>
            </w:r>
            <w:r>
              <w:rPr>
                <w:rFonts w:ascii="Aptos" w:hAnsi="Aptos" w:cs="Helvetica"/>
                <w:sz w:val="24"/>
              </w:rPr>
              <w:t xml:space="preserve"> the first round of public consultation. </w:t>
            </w:r>
            <w:r w:rsidR="00BE2A20">
              <w:rPr>
                <w:rFonts w:ascii="Aptos" w:hAnsi="Aptos" w:cs="Helvetica"/>
                <w:sz w:val="24"/>
              </w:rPr>
              <w:t xml:space="preserve">This feedback will be collated after 30 June 2024, when the first round of public consultation closes. </w:t>
            </w:r>
            <w:r>
              <w:rPr>
                <w:rFonts w:ascii="Aptos" w:hAnsi="Aptos" w:cs="Helvetica"/>
                <w:sz w:val="24"/>
              </w:rPr>
              <w:t xml:space="preserve"> </w:t>
            </w:r>
          </w:p>
        </w:tc>
      </w:tr>
      <w:tr w:rsidR="00B00DE2" w:rsidRPr="001F0145" w14:paraId="182793C7" w14:textId="6ADEF487" w:rsidTr="00374065">
        <w:tc>
          <w:tcPr>
            <w:tcW w:w="9623" w:type="dxa"/>
            <w:gridSpan w:val="2"/>
            <w:shd w:val="clear" w:color="auto" w:fill="0D4E80"/>
          </w:tcPr>
          <w:p w14:paraId="5F05FCD5" w14:textId="727BA88C" w:rsidR="00F778B6" w:rsidRPr="001F0145" w:rsidRDefault="00E83C25" w:rsidP="00D468F0">
            <w:pPr>
              <w:pStyle w:val="bulletlist"/>
              <w:numPr>
                <w:ilvl w:val="0"/>
                <w:numId w:val="0"/>
              </w:numPr>
              <w:rPr>
                <w:rFonts w:ascii="Aptos" w:hAnsi="Aptos" w:cs="Helvetica"/>
                <w:i/>
                <w:sz w:val="24"/>
              </w:rPr>
            </w:pPr>
            <w:r w:rsidRPr="001F0145">
              <w:rPr>
                <w:rFonts w:ascii="Aptos" w:hAnsi="Aptos" w:cs="Helvetica"/>
                <w:i/>
                <w:color w:val="FFFFFF" w:themeColor="background1"/>
                <w:sz w:val="24"/>
              </w:rPr>
              <w:t xml:space="preserve">First Nations Engagement </w:t>
            </w:r>
          </w:p>
        </w:tc>
      </w:tr>
      <w:tr w:rsidR="00E83C25" w:rsidRPr="001F0145" w14:paraId="0406AA91" w14:textId="77777777" w:rsidTr="009F1672">
        <w:tc>
          <w:tcPr>
            <w:tcW w:w="1413" w:type="dxa"/>
          </w:tcPr>
          <w:p w14:paraId="7DCD22E2" w14:textId="7B53150A" w:rsidR="00E83C25" w:rsidRPr="001F0145" w:rsidRDefault="00E83C25" w:rsidP="00E83C25">
            <w:pPr>
              <w:pStyle w:val="bulletlist"/>
              <w:numPr>
                <w:ilvl w:val="0"/>
                <w:numId w:val="0"/>
              </w:numPr>
              <w:rPr>
                <w:rFonts w:ascii="Aptos" w:hAnsi="Aptos" w:cs="Helvetica"/>
                <w:i/>
                <w:sz w:val="24"/>
              </w:rPr>
            </w:pPr>
            <w:r w:rsidRPr="001F0145">
              <w:rPr>
                <w:rFonts w:ascii="Aptos" w:hAnsi="Aptos" w:cs="Helvetica"/>
                <w:i/>
                <w:sz w:val="24"/>
              </w:rPr>
              <w:t>Who</w:t>
            </w:r>
          </w:p>
        </w:tc>
        <w:tc>
          <w:tcPr>
            <w:tcW w:w="8210" w:type="dxa"/>
          </w:tcPr>
          <w:p w14:paraId="41C0298C" w14:textId="0F2620AA" w:rsidR="00E83C25" w:rsidRPr="001F0145" w:rsidRDefault="00EA6ABC" w:rsidP="00E83C25">
            <w:pPr>
              <w:pStyle w:val="bulletlist"/>
              <w:numPr>
                <w:ilvl w:val="0"/>
                <w:numId w:val="0"/>
              </w:numPr>
              <w:rPr>
                <w:rFonts w:ascii="Aptos" w:hAnsi="Aptos" w:cs="Helvetica"/>
                <w:sz w:val="24"/>
              </w:rPr>
            </w:pPr>
            <w:r w:rsidRPr="001F0145">
              <w:rPr>
                <w:rFonts w:ascii="Aptos" w:hAnsi="Aptos" w:cs="Helvetica"/>
                <w:sz w:val="24"/>
              </w:rPr>
              <w:t xml:space="preserve">Stakeholders with expertise in First Nations considerations </w:t>
            </w:r>
            <w:r w:rsidR="00A474FA" w:rsidRPr="001F0145">
              <w:rPr>
                <w:rFonts w:ascii="Aptos" w:hAnsi="Aptos" w:cs="Helvetica"/>
                <w:sz w:val="24"/>
              </w:rPr>
              <w:t xml:space="preserve">and </w:t>
            </w:r>
            <w:r w:rsidR="008D2BA7" w:rsidRPr="001F0145">
              <w:rPr>
                <w:rFonts w:ascii="Aptos" w:hAnsi="Aptos" w:cs="Helvetica"/>
                <w:sz w:val="24"/>
              </w:rPr>
              <w:t xml:space="preserve">perspectives, </w:t>
            </w:r>
            <w:r w:rsidR="00A50BB4" w:rsidRPr="001F0145">
              <w:rPr>
                <w:rFonts w:ascii="Aptos" w:hAnsi="Aptos" w:cs="Helvetica"/>
                <w:sz w:val="24"/>
              </w:rPr>
              <w:t xml:space="preserve">including </w:t>
            </w:r>
            <w:r w:rsidR="007D1CF5" w:rsidRPr="001F0145">
              <w:rPr>
                <w:rFonts w:ascii="Aptos" w:hAnsi="Aptos" w:cs="Helvetica"/>
                <w:sz w:val="24"/>
              </w:rPr>
              <w:t>in relation</w:t>
            </w:r>
            <w:r w:rsidRPr="001F0145">
              <w:rPr>
                <w:rFonts w:ascii="Aptos" w:hAnsi="Aptos" w:cs="Helvetica"/>
                <w:sz w:val="24"/>
              </w:rPr>
              <w:t xml:space="preserve"> to Free, Prior and Informed Consent (FPIC)</w:t>
            </w:r>
            <w:r w:rsidR="00A50BB4" w:rsidRPr="001F0145">
              <w:rPr>
                <w:rFonts w:ascii="Aptos" w:hAnsi="Aptos" w:cs="Helvetica"/>
                <w:sz w:val="24"/>
              </w:rPr>
              <w:t xml:space="preserve">. </w:t>
            </w:r>
          </w:p>
        </w:tc>
      </w:tr>
      <w:tr w:rsidR="00E83C25" w:rsidRPr="001F0145" w14:paraId="11F4485D" w14:textId="77777777" w:rsidTr="009F1672">
        <w:tc>
          <w:tcPr>
            <w:tcW w:w="1413" w:type="dxa"/>
          </w:tcPr>
          <w:p w14:paraId="03B46B24" w14:textId="3575638F" w:rsidR="00E83C25" w:rsidRPr="001F0145" w:rsidRDefault="0085411E" w:rsidP="00E83C25">
            <w:pPr>
              <w:pStyle w:val="bulletlist"/>
              <w:numPr>
                <w:ilvl w:val="0"/>
                <w:numId w:val="0"/>
              </w:numPr>
              <w:rPr>
                <w:rFonts w:ascii="Aptos" w:hAnsi="Aptos" w:cs="Helvetica"/>
                <w:i/>
                <w:sz w:val="24"/>
              </w:rPr>
            </w:pPr>
            <w:r w:rsidRPr="001F0145">
              <w:rPr>
                <w:rFonts w:ascii="Aptos" w:hAnsi="Aptos" w:cs="Helvetica"/>
                <w:i/>
                <w:sz w:val="24"/>
              </w:rPr>
              <w:t>What</w:t>
            </w:r>
          </w:p>
        </w:tc>
        <w:tc>
          <w:tcPr>
            <w:tcW w:w="8210" w:type="dxa"/>
          </w:tcPr>
          <w:p w14:paraId="51F0F48D" w14:textId="4F040980" w:rsidR="00163566" w:rsidRDefault="00163566" w:rsidP="00E83C25">
            <w:pPr>
              <w:pStyle w:val="bulletlist"/>
              <w:numPr>
                <w:ilvl w:val="0"/>
                <w:numId w:val="0"/>
              </w:numPr>
              <w:rPr>
                <w:rFonts w:ascii="Aptos" w:hAnsi="Aptos" w:cs="Helvetica"/>
                <w:sz w:val="24"/>
              </w:rPr>
            </w:pPr>
            <w:r>
              <w:rPr>
                <w:rFonts w:ascii="Aptos" w:hAnsi="Aptos" w:cs="Helvetica"/>
                <w:sz w:val="24"/>
              </w:rPr>
              <w:t xml:space="preserve">ASFI has contracted First Nations Affairs to draft the MSS criteria for First Nations rights and cultural heritage and to undertake targeted First Nations consultation on this work.  </w:t>
            </w:r>
          </w:p>
          <w:p w14:paraId="6A228BA6" w14:textId="66A6A906" w:rsidR="00163566" w:rsidRDefault="00163566" w:rsidP="00E83C25">
            <w:pPr>
              <w:pStyle w:val="bulletlist"/>
              <w:numPr>
                <w:ilvl w:val="0"/>
                <w:numId w:val="0"/>
              </w:numPr>
              <w:rPr>
                <w:rFonts w:ascii="Aptos" w:hAnsi="Aptos" w:cs="Helvetica"/>
                <w:sz w:val="24"/>
              </w:rPr>
            </w:pPr>
            <w:r w:rsidRPr="001F0145">
              <w:rPr>
                <w:rFonts w:ascii="Aptos" w:hAnsi="Aptos" w:cs="Helvetica"/>
                <w:sz w:val="24"/>
              </w:rPr>
              <w:t xml:space="preserve">First Nations considerations and perspectives </w:t>
            </w:r>
            <w:r>
              <w:rPr>
                <w:rFonts w:ascii="Aptos" w:hAnsi="Aptos" w:cs="Helvetica"/>
                <w:sz w:val="24"/>
              </w:rPr>
              <w:t xml:space="preserve">are being </w:t>
            </w:r>
            <w:r w:rsidRPr="001F0145">
              <w:rPr>
                <w:rFonts w:ascii="Aptos" w:hAnsi="Aptos" w:cs="Helvetica"/>
                <w:sz w:val="24"/>
              </w:rPr>
              <w:t xml:space="preserve">incorporated into the taxonomy’s design </w:t>
            </w:r>
            <w:r>
              <w:rPr>
                <w:rFonts w:ascii="Aptos" w:hAnsi="Aptos" w:cs="Helvetica"/>
                <w:sz w:val="24"/>
              </w:rPr>
              <w:t xml:space="preserve">through the TAGs and TTEG, especially the MSS TAG and TTEG MSS Committee. </w:t>
            </w:r>
          </w:p>
          <w:p w14:paraId="3B7EFE73" w14:textId="329ECFD1" w:rsidR="00F15984" w:rsidRPr="001F0145" w:rsidRDefault="00E10DC7" w:rsidP="00F15984">
            <w:pPr>
              <w:pStyle w:val="bulletlist"/>
              <w:numPr>
                <w:ilvl w:val="0"/>
                <w:numId w:val="0"/>
              </w:numPr>
              <w:rPr>
                <w:rFonts w:ascii="Aptos" w:hAnsi="Aptos" w:cs="Helvetica"/>
                <w:sz w:val="24"/>
              </w:rPr>
            </w:pPr>
            <w:r>
              <w:rPr>
                <w:rFonts w:ascii="Aptos" w:hAnsi="Aptos" w:cs="Helvetica"/>
                <w:sz w:val="24"/>
              </w:rPr>
              <w:t xml:space="preserve">ASFI is also engaging on an ad hoc basis with its </w:t>
            </w:r>
            <w:r w:rsidR="003C2EB0" w:rsidRPr="001F0145">
              <w:rPr>
                <w:rFonts w:ascii="Aptos" w:hAnsi="Aptos" w:cs="Helvetica"/>
                <w:sz w:val="24"/>
              </w:rPr>
              <w:t xml:space="preserve">First Nations Reference Group </w:t>
            </w:r>
            <w:r w:rsidR="00434387" w:rsidRPr="001F0145">
              <w:rPr>
                <w:rFonts w:ascii="Aptos" w:hAnsi="Aptos" w:cs="Helvetica"/>
                <w:sz w:val="24"/>
              </w:rPr>
              <w:t xml:space="preserve">to </w:t>
            </w:r>
            <w:r w:rsidR="00163566">
              <w:rPr>
                <w:rFonts w:ascii="Aptos" w:hAnsi="Aptos" w:cs="Helvetica"/>
                <w:sz w:val="24"/>
              </w:rPr>
              <w:t xml:space="preserve">seek </w:t>
            </w:r>
            <w:r w:rsidR="00434387" w:rsidRPr="001F0145">
              <w:rPr>
                <w:rFonts w:ascii="Aptos" w:hAnsi="Aptos" w:cs="Helvetica"/>
                <w:sz w:val="24"/>
              </w:rPr>
              <w:t>adv</w:t>
            </w:r>
            <w:r w:rsidR="00163566">
              <w:rPr>
                <w:rFonts w:ascii="Aptos" w:hAnsi="Aptos" w:cs="Helvetica"/>
                <w:sz w:val="24"/>
              </w:rPr>
              <w:t>ice</w:t>
            </w:r>
            <w:r w:rsidR="00434387" w:rsidRPr="001F0145">
              <w:rPr>
                <w:rFonts w:ascii="Aptos" w:hAnsi="Aptos" w:cs="Helvetica"/>
                <w:sz w:val="24"/>
              </w:rPr>
              <w:t xml:space="preserve"> on</w:t>
            </w:r>
            <w:r w:rsidR="00163566">
              <w:rPr>
                <w:rFonts w:ascii="Aptos" w:hAnsi="Aptos" w:cs="Helvetica"/>
                <w:sz w:val="24"/>
              </w:rPr>
              <w:t xml:space="preserve"> key issues and</w:t>
            </w:r>
            <w:r w:rsidR="00434387" w:rsidRPr="001F0145">
              <w:rPr>
                <w:rFonts w:ascii="Aptos" w:hAnsi="Aptos" w:cs="Helvetica"/>
                <w:sz w:val="24"/>
              </w:rPr>
              <w:t xml:space="preserve"> best practice integration</w:t>
            </w:r>
            <w:r w:rsidR="00163566">
              <w:rPr>
                <w:rFonts w:ascii="Aptos" w:hAnsi="Aptos" w:cs="Helvetica"/>
                <w:sz w:val="24"/>
              </w:rPr>
              <w:t xml:space="preserve">, and </w:t>
            </w:r>
            <w:r w:rsidR="00F15984">
              <w:rPr>
                <w:rFonts w:ascii="Aptos" w:hAnsi="Aptos" w:cs="Helvetica"/>
                <w:sz w:val="24"/>
              </w:rPr>
              <w:t xml:space="preserve">with </w:t>
            </w:r>
            <w:r w:rsidR="00F15984" w:rsidRPr="001F0145">
              <w:rPr>
                <w:rFonts w:ascii="Aptos" w:hAnsi="Aptos" w:cs="Helvetica"/>
                <w:sz w:val="24"/>
              </w:rPr>
              <w:lastRenderedPageBreak/>
              <w:t>First Nations representatives and experts</w:t>
            </w:r>
            <w:r w:rsidR="00F15984">
              <w:rPr>
                <w:rFonts w:ascii="Aptos" w:hAnsi="Aptos" w:cs="Helvetica"/>
                <w:sz w:val="24"/>
              </w:rPr>
              <w:t xml:space="preserve"> from other jurisdictions</w:t>
            </w:r>
            <w:r w:rsidR="00BE2A20">
              <w:rPr>
                <w:rFonts w:ascii="Aptos" w:hAnsi="Aptos" w:cs="Helvetica"/>
                <w:sz w:val="24"/>
              </w:rPr>
              <w:t>, particularly Canada and New Zealand</w:t>
            </w:r>
            <w:r w:rsidR="005F1873">
              <w:rPr>
                <w:rFonts w:ascii="Aptos" w:hAnsi="Aptos" w:cs="Helvetica"/>
                <w:sz w:val="24"/>
              </w:rPr>
              <w:t xml:space="preserve">. </w:t>
            </w:r>
            <w:r w:rsidR="00F15984" w:rsidRPr="001F0145">
              <w:rPr>
                <w:rFonts w:ascii="Aptos" w:hAnsi="Aptos" w:cs="Helvetica"/>
                <w:sz w:val="24"/>
              </w:rPr>
              <w:t xml:space="preserve"> </w:t>
            </w:r>
          </w:p>
        </w:tc>
      </w:tr>
      <w:tr w:rsidR="00E83C25" w:rsidRPr="001F0145" w14:paraId="2497A353" w14:textId="77777777" w:rsidTr="009F1672">
        <w:tc>
          <w:tcPr>
            <w:tcW w:w="1413" w:type="dxa"/>
          </w:tcPr>
          <w:p w14:paraId="3323F194" w14:textId="096E2AF8" w:rsidR="00E83C25" w:rsidRPr="001F0145" w:rsidRDefault="0085411E" w:rsidP="00E83C25">
            <w:pPr>
              <w:pStyle w:val="bulletlist"/>
              <w:numPr>
                <w:ilvl w:val="0"/>
                <w:numId w:val="0"/>
              </w:numPr>
              <w:rPr>
                <w:rFonts w:ascii="Aptos" w:hAnsi="Aptos" w:cs="Helvetica"/>
                <w:i/>
                <w:sz w:val="24"/>
              </w:rPr>
            </w:pPr>
            <w:r w:rsidRPr="001F0145">
              <w:rPr>
                <w:rFonts w:ascii="Aptos" w:hAnsi="Aptos" w:cs="Helvetica"/>
                <w:i/>
                <w:sz w:val="24"/>
              </w:rPr>
              <w:lastRenderedPageBreak/>
              <w:t>When</w:t>
            </w:r>
          </w:p>
        </w:tc>
        <w:tc>
          <w:tcPr>
            <w:tcW w:w="8210" w:type="dxa"/>
          </w:tcPr>
          <w:p w14:paraId="04F776DD" w14:textId="074AE6F8" w:rsidR="0072202A" w:rsidRPr="001F0145" w:rsidRDefault="00F15984" w:rsidP="00E83C25">
            <w:pPr>
              <w:pStyle w:val="bulletlist"/>
              <w:numPr>
                <w:ilvl w:val="0"/>
                <w:numId w:val="0"/>
              </w:numPr>
              <w:rPr>
                <w:rFonts w:ascii="Aptos" w:hAnsi="Aptos" w:cs="Helvetica"/>
                <w:sz w:val="24"/>
              </w:rPr>
            </w:pPr>
            <w:r>
              <w:rPr>
                <w:rFonts w:ascii="Aptos" w:hAnsi="Aptos" w:cs="Helvetica"/>
                <w:sz w:val="24"/>
              </w:rPr>
              <w:t xml:space="preserve">Ongoing.  </w:t>
            </w:r>
            <w:r w:rsidR="00BA74DD" w:rsidRPr="001F0145">
              <w:rPr>
                <w:rFonts w:ascii="Aptos" w:hAnsi="Aptos" w:cs="Helvetica"/>
                <w:sz w:val="24"/>
              </w:rPr>
              <w:t xml:space="preserve"> </w:t>
            </w:r>
          </w:p>
        </w:tc>
      </w:tr>
      <w:tr w:rsidR="0085411E" w:rsidRPr="001F0145" w14:paraId="2FD3159D" w14:textId="77777777" w:rsidTr="009F1672">
        <w:tc>
          <w:tcPr>
            <w:tcW w:w="1413" w:type="dxa"/>
          </w:tcPr>
          <w:p w14:paraId="0EB9F336" w14:textId="0DE5B2D1" w:rsidR="0085411E" w:rsidRPr="001F0145" w:rsidRDefault="0085411E" w:rsidP="0085411E">
            <w:pPr>
              <w:pStyle w:val="bulletlist"/>
              <w:numPr>
                <w:ilvl w:val="0"/>
                <w:numId w:val="0"/>
              </w:numPr>
              <w:rPr>
                <w:rFonts w:ascii="Aptos" w:hAnsi="Aptos" w:cs="Helvetica"/>
                <w:i/>
                <w:sz w:val="24"/>
              </w:rPr>
            </w:pPr>
            <w:r w:rsidRPr="001F0145">
              <w:rPr>
                <w:rFonts w:ascii="Aptos" w:hAnsi="Aptos" w:cs="Helvetica"/>
                <w:i/>
                <w:sz w:val="24"/>
              </w:rPr>
              <w:t>Key Insights</w:t>
            </w:r>
          </w:p>
        </w:tc>
        <w:tc>
          <w:tcPr>
            <w:tcW w:w="8210" w:type="dxa"/>
          </w:tcPr>
          <w:p w14:paraId="0EB423EE" w14:textId="2D017003" w:rsidR="005F1873" w:rsidRPr="001F0145" w:rsidRDefault="0038040C" w:rsidP="0085411E">
            <w:pPr>
              <w:pStyle w:val="bulletlist"/>
              <w:numPr>
                <w:ilvl w:val="0"/>
                <w:numId w:val="0"/>
              </w:numPr>
              <w:rPr>
                <w:rFonts w:ascii="Aptos" w:hAnsi="Aptos" w:cs="Helvetica"/>
                <w:sz w:val="24"/>
              </w:rPr>
            </w:pPr>
            <w:r w:rsidRPr="001F0145">
              <w:rPr>
                <w:rFonts w:ascii="Aptos" w:hAnsi="Aptos" w:cs="Helvetica"/>
                <w:sz w:val="24"/>
              </w:rPr>
              <w:t xml:space="preserve">There is an opportunity </w:t>
            </w:r>
            <w:r w:rsidR="00D04D95" w:rsidRPr="001F0145">
              <w:rPr>
                <w:rFonts w:ascii="Aptos" w:hAnsi="Aptos" w:cs="Helvetica"/>
                <w:sz w:val="24"/>
              </w:rPr>
              <w:t xml:space="preserve">for </w:t>
            </w:r>
            <w:r w:rsidRPr="001F0145">
              <w:rPr>
                <w:rFonts w:ascii="Aptos" w:hAnsi="Aptos" w:cs="Helvetica"/>
                <w:sz w:val="24"/>
              </w:rPr>
              <w:t xml:space="preserve">Australia to be a global leader </w:t>
            </w:r>
            <w:r w:rsidR="00EA2001" w:rsidRPr="001F0145">
              <w:rPr>
                <w:rFonts w:ascii="Aptos" w:hAnsi="Aptos" w:cs="Helvetica"/>
                <w:sz w:val="24"/>
              </w:rPr>
              <w:t xml:space="preserve">on </w:t>
            </w:r>
            <w:r w:rsidR="00D04D95" w:rsidRPr="001F0145">
              <w:rPr>
                <w:rFonts w:ascii="Aptos" w:hAnsi="Aptos" w:cs="Helvetica"/>
                <w:sz w:val="24"/>
              </w:rPr>
              <w:t>the incorporation of First Nations considerations and perspectives</w:t>
            </w:r>
            <w:r w:rsidRPr="001F0145">
              <w:rPr>
                <w:rFonts w:ascii="Aptos" w:hAnsi="Aptos" w:cs="Helvetica"/>
                <w:sz w:val="24"/>
              </w:rPr>
              <w:t xml:space="preserve"> into taxonomy design</w:t>
            </w:r>
            <w:r w:rsidR="00EA2001" w:rsidRPr="001F0145">
              <w:rPr>
                <w:rFonts w:ascii="Aptos" w:hAnsi="Aptos" w:cs="Helvetica"/>
                <w:sz w:val="24"/>
              </w:rPr>
              <w:t xml:space="preserve">, especially in relation to </w:t>
            </w:r>
            <w:r w:rsidRPr="001F0145">
              <w:rPr>
                <w:rFonts w:ascii="Aptos" w:hAnsi="Aptos" w:cs="Helvetica"/>
                <w:sz w:val="24"/>
              </w:rPr>
              <w:t>FPIC best practice</w:t>
            </w:r>
            <w:r w:rsidR="00EA2001" w:rsidRPr="001F0145">
              <w:rPr>
                <w:rFonts w:ascii="Aptos" w:hAnsi="Aptos" w:cs="Helvetica"/>
                <w:sz w:val="24"/>
              </w:rPr>
              <w:t xml:space="preserve">. </w:t>
            </w:r>
            <w:r w:rsidR="00D04D95" w:rsidRPr="001F0145">
              <w:rPr>
                <w:rFonts w:ascii="Aptos" w:hAnsi="Aptos" w:cs="Helvetica"/>
                <w:sz w:val="24"/>
              </w:rPr>
              <w:t xml:space="preserve"> </w:t>
            </w:r>
          </w:p>
        </w:tc>
      </w:tr>
      <w:tr w:rsidR="00B00DE2" w:rsidRPr="001F0145" w14:paraId="3A7ADFDE" w14:textId="4B699193" w:rsidTr="00965D43">
        <w:trPr>
          <w:trHeight w:val="120"/>
        </w:trPr>
        <w:tc>
          <w:tcPr>
            <w:tcW w:w="9623" w:type="dxa"/>
            <w:gridSpan w:val="2"/>
            <w:shd w:val="clear" w:color="auto" w:fill="0D4E80"/>
          </w:tcPr>
          <w:p w14:paraId="74A81776" w14:textId="4FF24A99" w:rsidR="00F778B6" w:rsidRPr="001F0145" w:rsidRDefault="00E83C25" w:rsidP="006E3AF9">
            <w:pPr>
              <w:pStyle w:val="bulletlist"/>
              <w:numPr>
                <w:ilvl w:val="0"/>
                <w:numId w:val="0"/>
              </w:numPr>
              <w:rPr>
                <w:rFonts w:ascii="Aptos" w:hAnsi="Aptos" w:cs="Helvetica"/>
                <w:i/>
                <w:color w:val="FFFFFF" w:themeColor="background1"/>
                <w:sz w:val="24"/>
              </w:rPr>
            </w:pPr>
            <w:r w:rsidRPr="001F0145">
              <w:rPr>
                <w:rFonts w:ascii="Aptos" w:hAnsi="Aptos" w:cs="Helvetica"/>
                <w:i/>
                <w:color w:val="FFFFFF" w:themeColor="background1"/>
                <w:sz w:val="24"/>
              </w:rPr>
              <w:t xml:space="preserve">Public Consultation </w:t>
            </w:r>
          </w:p>
        </w:tc>
      </w:tr>
      <w:tr w:rsidR="00E83C25" w:rsidRPr="001F0145" w14:paraId="67A4FA1A" w14:textId="77777777" w:rsidTr="009F1672">
        <w:tc>
          <w:tcPr>
            <w:tcW w:w="1413" w:type="dxa"/>
          </w:tcPr>
          <w:p w14:paraId="52984446" w14:textId="7E822641" w:rsidR="00E83C25" w:rsidRPr="001F0145" w:rsidRDefault="00E83C25" w:rsidP="00E83C25">
            <w:pPr>
              <w:pStyle w:val="bulletlist"/>
              <w:numPr>
                <w:ilvl w:val="0"/>
                <w:numId w:val="0"/>
              </w:numPr>
              <w:rPr>
                <w:rFonts w:ascii="Aptos" w:hAnsi="Aptos" w:cs="Helvetica"/>
                <w:i/>
                <w:sz w:val="24"/>
              </w:rPr>
            </w:pPr>
            <w:r w:rsidRPr="001F0145">
              <w:rPr>
                <w:rFonts w:ascii="Aptos" w:hAnsi="Aptos" w:cs="Helvetica"/>
                <w:i/>
                <w:sz w:val="24"/>
              </w:rPr>
              <w:t>Who</w:t>
            </w:r>
          </w:p>
        </w:tc>
        <w:tc>
          <w:tcPr>
            <w:tcW w:w="8210" w:type="dxa"/>
          </w:tcPr>
          <w:p w14:paraId="368000A1" w14:textId="37870D49" w:rsidR="00E83C25" w:rsidRPr="001F0145" w:rsidRDefault="004D04A0" w:rsidP="00E83C25">
            <w:pPr>
              <w:pStyle w:val="bulletlist"/>
              <w:numPr>
                <w:ilvl w:val="0"/>
                <w:numId w:val="0"/>
              </w:numPr>
              <w:rPr>
                <w:rFonts w:ascii="Aptos" w:hAnsi="Aptos" w:cs="Helvetica"/>
                <w:sz w:val="24"/>
              </w:rPr>
            </w:pPr>
            <w:r>
              <w:rPr>
                <w:rFonts w:ascii="Aptos" w:hAnsi="Aptos" w:cs="Helvetica"/>
                <w:sz w:val="24"/>
              </w:rPr>
              <w:t>All s</w:t>
            </w:r>
            <w:r w:rsidR="00560F92" w:rsidRPr="001F0145">
              <w:rPr>
                <w:rFonts w:ascii="Aptos" w:hAnsi="Aptos" w:cs="Helvetica"/>
                <w:sz w:val="24"/>
              </w:rPr>
              <w:t xml:space="preserve">takeholders </w:t>
            </w:r>
            <w:r w:rsidR="00F15984">
              <w:rPr>
                <w:rFonts w:ascii="Aptos" w:hAnsi="Aptos" w:cs="Helvetica"/>
                <w:sz w:val="24"/>
              </w:rPr>
              <w:t>with an interest in the development of an</w:t>
            </w:r>
            <w:r w:rsidR="00F40FFD" w:rsidRPr="001F0145">
              <w:rPr>
                <w:rFonts w:ascii="Aptos" w:hAnsi="Aptos" w:cs="Helvetica"/>
                <w:sz w:val="24"/>
              </w:rPr>
              <w:t xml:space="preserve"> Australian </w:t>
            </w:r>
            <w:r w:rsidR="00BA74DD" w:rsidRPr="001F0145">
              <w:rPr>
                <w:rFonts w:ascii="Aptos" w:hAnsi="Aptos" w:cs="Helvetica"/>
                <w:sz w:val="24"/>
              </w:rPr>
              <w:t>t</w:t>
            </w:r>
            <w:r w:rsidR="00F40FFD" w:rsidRPr="001F0145">
              <w:rPr>
                <w:rFonts w:ascii="Aptos" w:hAnsi="Aptos" w:cs="Helvetica"/>
                <w:sz w:val="24"/>
              </w:rPr>
              <w:t>axonomy</w:t>
            </w:r>
            <w:r w:rsidR="00E94337" w:rsidRPr="001F0145">
              <w:rPr>
                <w:rFonts w:ascii="Aptos" w:hAnsi="Aptos" w:cs="Helvetica"/>
                <w:sz w:val="24"/>
              </w:rPr>
              <w:t xml:space="preserve">, especially those who </w:t>
            </w:r>
            <w:r w:rsidR="00F40FFD" w:rsidRPr="001F0145">
              <w:rPr>
                <w:rFonts w:ascii="Aptos" w:hAnsi="Aptos" w:cs="Helvetica"/>
                <w:sz w:val="24"/>
              </w:rPr>
              <w:t xml:space="preserve">have not had </w:t>
            </w:r>
            <w:r w:rsidR="00E94337" w:rsidRPr="001F0145">
              <w:rPr>
                <w:rFonts w:ascii="Aptos" w:hAnsi="Aptos" w:cs="Helvetica"/>
                <w:sz w:val="24"/>
              </w:rPr>
              <w:t>an</w:t>
            </w:r>
            <w:r w:rsidR="00F40FFD" w:rsidRPr="001F0145">
              <w:rPr>
                <w:rFonts w:ascii="Aptos" w:hAnsi="Aptos" w:cs="Helvetica"/>
                <w:sz w:val="24"/>
              </w:rPr>
              <w:t xml:space="preserve"> opportunity to engage or provide their views</w:t>
            </w:r>
            <w:r w:rsidR="00E94337" w:rsidRPr="001F0145">
              <w:rPr>
                <w:rFonts w:ascii="Aptos" w:hAnsi="Aptos" w:cs="Helvetica"/>
                <w:sz w:val="24"/>
              </w:rPr>
              <w:t xml:space="preserve"> to date</w:t>
            </w:r>
            <w:r w:rsidR="00BA74DD" w:rsidRPr="001F0145">
              <w:rPr>
                <w:rFonts w:ascii="Aptos" w:hAnsi="Aptos" w:cs="Helvetica"/>
                <w:sz w:val="24"/>
              </w:rPr>
              <w:t xml:space="preserve"> and wish to do so.  </w:t>
            </w:r>
            <w:r w:rsidR="00F40FFD" w:rsidRPr="001F0145">
              <w:rPr>
                <w:rFonts w:ascii="Aptos" w:hAnsi="Aptos" w:cs="Helvetica"/>
                <w:sz w:val="24"/>
              </w:rPr>
              <w:t xml:space="preserve"> </w:t>
            </w:r>
            <w:r w:rsidR="00064E06" w:rsidRPr="001F0145">
              <w:rPr>
                <w:rFonts w:ascii="Aptos" w:hAnsi="Aptos" w:cs="Helvetica"/>
                <w:sz w:val="24"/>
              </w:rPr>
              <w:t xml:space="preserve"> </w:t>
            </w:r>
          </w:p>
        </w:tc>
      </w:tr>
      <w:tr w:rsidR="00E83C25" w:rsidRPr="001F0145" w14:paraId="18D29C0E" w14:textId="77777777" w:rsidTr="009F1672">
        <w:tc>
          <w:tcPr>
            <w:tcW w:w="1413" w:type="dxa"/>
          </w:tcPr>
          <w:p w14:paraId="794ECEA1" w14:textId="1D38921B" w:rsidR="00E83C25" w:rsidRPr="001F0145" w:rsidRDefault="0085411E" w:rsidP="00E83C25">
            <w:pPr>
              <w:pStyle w:val="bulletlist"/>
              <w:numPr>
                <w:ilvl w:val="0"/>
                <w:numId w:val="0"/>
              </w:numPr>
              <w:rPr>
                <w:rFonts w:ascii="Aptos" w:hAnsi="Aptos" w:cs="Helvetica"/>
                <w:i/>
                <w:sz w:val="24"/>
              </w:rPr>
            </w:pPr>
            <w:r w:rsidRPr="001F0145">
              <w:rPr>
                <w:rFonts w:ascii="Aptos" w:hAnsi="Aptos" w:cs="Helvetica"/>
                <w:i/>
                <w:sz w:val="24"/>
              </w:rPr>
              <w:t>What</w:t>
            </w:r>
          </w:p>
        </w:tc>
        <w:tc>
          <w:tcPr>
            <w:tcW w:w="8210" w:type="dxa"/>
          </w:tcPr>
          <w:p w14:paraId="1D008864" w14:textId="53158934" w:rsidR="00DB77DF" w:rsidRPr="001F0145" w:rsidRDefault="00BA74DD" w:rsidP="00E83C25">
            <w:pPr>
              <w:pStyle w:val="bulletlist"/>
              <w:numPr>
                <w:ilvl w:val="0"/>
                <w:numId w:val="0"/>
              </w:numPr>
              <w:rPr>
                <w:rFonts w:ascii="Aptos" w:hAnsi="Aptos" w:cs="Helvetica"/>
                <w:sz w:val="24"/>
              </w:rPr>
            </w:pPr>
            <w:r w:rsidRPr="001F0145">
              <w:rPr>
                <w:rFonts w:ascii="Aptos" w:hAnsi="Aptos" w:cs="Helvetica"/>
                <w:sz w:val="24"/>
              </w:rPr>
              <w:t xml:space="preserve">ASFI </w:t>
            </w:r>
            <w:r w:rsidR="00163566">
              <w:rPr>
                <w:rFonts w:ascii="Aptos" w:hAnsi="Aptos" w:cs="Helvetica"/>
                <w:sz w:val="24"/>
              </w:rPr>
              <w:t>is responsible for running</w:t>
            </w:r>
            <w:r w:rsidR="00A91C30" w:rsidRPr="001F0145">
              <w:rPr>
                <w:rFonts w:ascii="Aptos" w:hAnsi="Aptos" w:cs="Helvetica"/>
                <w:sz w:val="24"/>
              </w:rPr>
              <w:t xml:space="preserve"> </w:t>
            </w:r>
            <w:r w:rsidR="0076670A" w:rsidRPr="001F0145">
              <w:rPr>
                <w:rFonts w:ascii="Aptos" w:hAnsi="Aptos" w:cs="Helvetica"/>
                <w:sz w:val="24"/>
              </w:rPr>
              <w:t>public</w:t>
            </w:r>
            <w:r w:rsidR="00A91C30" w:rsidRPr="001F0145">
              <w:rPr>
                <w:rFonts w:ascii="Aptos" w:hAnsi="Aptos" w:cs="Helvetica"/>
                <w:sz w:val="24"/>
              </w:rPr>
              <w:t xml:space="preserve"> </w:t>
            </w:r>
            <w:r w:rsidR="0017579E" w:rsidRPr="001F0145">
              <w:rPr>
                <w:rFonts w:ascii="Aptos" w:hAnsi="Aptos" w:cs="Helvetica"/>
                <w:sz w:val="24"/>
              </w:rPr>
              <w:t>consultation</w:t>
            </w:r>
            <w:r w:rsidR="00A91C30" w:rsidRPr="001F0145">
              <w:rPr>
                <w:rFonts w:ascii="Aptos" w:hAnsi="Aptos" w:cs="Helvetica"/>
                <w:sz w:val="24"/>
              </w:rPr>
              <w:t xml:space="preserve"> on </w:t>
            </w:r>
            <w:r w:rsidR="00163566">
              <w:rPr>
                <w:rFonts w:ascii="Aptos" w:hAnsi="Aptos" w:cs="Helvetica"/>
                <w:sz w:val="24"/>
              </w:rPr>
              <w:t>the draft Australia</w:t>
            </w:r>
            <w:r w:rsidR="004D04A0">
              <w:rPr>
                <w:rFonts w:ascii="Aptos" w:hAnsi="Aptos" w:cs="Helvetica"/>
                <w:sz w:val="24"/>
              </w:rPr>
              <w:t>n</w:t>
            </w:r>
            <w:r w:rsidR="00163566">
              <w:rPr>
                <w:rFonts w:ascii="Aptos" w:hAnsi="Aptos" w:cs="Helvetica"/>
                <w:sz w:val="24"/>
              </w:rPr>
              <w:t xml:space="preserve"> taxonomy as part of the Australian Taxonomy Project</w:t>
            </w:r>
            <w:r w:rsidR="00153ADD" w:rsidRPr="001F0145">
              <w:rPr>
                <w:rFonts w:ascii="Aptos" w:hAnsi="Aptos" w:cs="Helvetica"/>
                <w:sz w:val="24"/>
              </w:rPr>
              <w:t xml:space="preserve">. </w:t>
            </w:r>
            <w:proofErr w:type="gramStart"/>
            <w:r w:rsidR="00153ADD" w:rsidRPr="001F0145">
              <w:rPr>
                <w:rFonts w:ascii="Aptos" w:hAnsi="Aptos" w:cs="Helvetica"/>
                <w:sz w:val="24"/>
              </w:rPr>
              <w:t>In particular, ASFI</w:t>
            </w:r>
            <w:proofErr w:type="gramEnd"/>
            <w:r w:rsidR="00153ADD" w:rsidRPr="001F0145">
              <w:rPr>
                <w:rFonts w:ascii="Aptos" w:hAnsi="Aptos" w:cs="Helvetica"/>
                <w:sz w:val="24"/>
              </w:rPr>
              <w:t xml:space="preserve"> </w:t>
            </w:r>
            <w:r w:rsidR="00163566">
              <w:rPr>
                <w:rFonts w:ascii="Aptos" w:hAnsi="Aptos" w:cs="Helvetica"/>
                <w:sz w:val="24"/>
              </w:rPr>
              <w:t xml:space="preserve">is seeking </w:t>
            </w:r>
            <w:r w:rsidR="00153ADD" w:rsidRPr="001F0145">
              <w:rPr>
                <w:rFonts w:ascii="Aptos" w:hAnsi="Aptos" w:cs="Helvetica"/>
                <w:sz w:val="24"/>
              </w:rPr>
              <w:t xml:space="preserve">feedback on whether the draft </w:t>
            </w:r>
            <w:r w:rsidR="00154576">
              <w:rPr>
                <w:rFonts w:ascii="Aptos" w:hAnsi="Aptos" w:cs="Helvetica"/>
                <w:sz w:val="24"/>
              </w:rPr>
              <w:t>TSC</w:t>
            </w:r>
            <w:r w:rsidR="00153ADD" w:rsidRPr="001F0145">
              <w:rPr>
                <w:rFonts w:ascii="Aptos" w:hAnsi="Aptos" w:cs="Helvetica"/>
                <w:sz w:val="24"/>
              </w:rPr>
              <w:t xml:space="preserve"> </w:t>
            </w:r>
            <w:r w:rsidR="0017579E" w:rsidRPr="001F0145">
              <w:rPr>
                <w:rFonts w:ascii="Aptos" w:hAnsi="Aptos" w:cs="Helvetica"/>
                <w:sz w:val="24"/>
              </w:rPr>
              <w:t>are aligned with</w:t>
            </w:r>
            <w:r w:rsidR="00A91C30" w:rsidRPr="001F0145">
              <w:rPr>
                <w:rFonts w:ascii="Aptos" w:hAnsi="Aptos" w:cs="Helvetica"/>
                <w:sz w:val="24"/>
              </w:rPr>
              <w:t xml:space="preserve"> the key principles of credibility, usability, interoperability and prioritisation for impact. </w:t>
            </w:r>
          </w:p>
          <w:p w14:paraId="5F59F32B" w14:textId="44F8F589" w:rsidR="00E83C25" w:rsidRPr="001F0145" w:rsidRDefault="00E752F9" w:rsidP="00E83C25">
            <w:pPr>
              <w:pStyle w:val="bulletlist"/>
              <w:numPr>
                <w:ilvl w:val="0"/>
                <w:numId w:val="0"/>
              </w:numPr>
              <w:rPr>
                <w:rFonts w:ascii="Aptos" w:hAnsi="Aptos" w:cs="Helvetica"/>
                <w:sz w:val="24"/>
              </w:rPr>
            </w:pPr>
            <w:r w:rsidRPr="001F0145">
              <w:rPr>
                <w:rFonts w:ascii="Aptos" w:hAnsi="Aptos" w:cs="Helvetica"/>
                <w:sz w:val="24"/>
              </w:rPr>
              <w:t xml:space="preserve">Public consultation </w:t>
            </w:r>
            <w:r w:rsidR="00154576">
              <w:rPr>
                <w:rFonts w:ascii="Aptos" w:hAnsi="Aptos" w:cs="Helvetica"/>
                <w:sz w:val="24"/>
              </w:rPr>
              <w:t>does not</w:t>
            </w:r>
            <w:r w:rsidR="00F5688A" w:rsidRPr="001F0145">
              <w:rPr>
                <w:rFonts w:ascii="Aptos" w:hAnsi="Aptos" w:cs="Helvetica"/>
                <w:sz w:val="24"/>
              </w:rPr>
              <w:t xml:space="preserve"> extend to the methodological design of the taxonomy</w:t>
            </w:r>
            <w:r w:rsidR="00154576">
              <w:rPr>
                <w:rFonts w:ascii="Aptos" w:hAnsi="Aptos" w:cs="Helvetica"/>
                <w:sz w:val="24"/>
              </w:rPr>
              <w:t xml:space="preserve">, which was finalised and endorsed by the TTEG in December 2023. </w:t>
            </w:r>
          </w:p>
        </w:tc>
      </w:tr>
      <w:tr w:rsidR="00E83C25" w:rsidRPr="001F0145" w14:paraId="3131B3BD" w14:textId="77777777" w:rsidTr="009F1672">
        <w:tc>
          <w:tcPr>
            <w:tcW w:w="1413" w:type="dxa"/>
          </w:tcPr>
          <w:p w14:paraId="3A2061DC" w14:textId="129BA616" w:rsidR="00E83C25" w:rsidRPr="001F0145" w:rsidRDefault="0085411E" w:rsidP="00E83C25">
            <w:pPr>
              <w:pStyle w:val="bulletlist"/>
              <w:numPr>
                <w:ilvl w:val="0"/>
                <w:numId w:val="0"/>
              </w:numPr>
              <w:rPr>
                <w:rFonts w:ascii="Aptos" w:hAnsi="Aptos" w:cs="Helvetica"/>
                <w:i/>
                <w:sz w:val="24"/>
              </w:rPr>
            </w:pPr>
            <w:r w:rsidRPr="001F0145">
              <w:rPr>
                <w:rFonts w:ascii="Aptos" w:hAnsi="Aptos" w:cs="Helvetica"/>
                <w:i/>
                <w:sz w:val="24"/>
              </w:rPr>
              <w:t>When</w:t>
            </w:r>
          </w:p>
        </w:tc>
        <w:tc>
          <w:tcPr>
            <w:tcW w:w="8210" w:type="dxa"/>
          </w:tcPr>
          <w:p w14:paraId="73575217" w14:textId="7B2B8678" w:rsidR="00E83C25" w:rsidRDefault="00F15984" w:rsidP="00E83C25">
            <w:pPr>
              <w:pStyle w:val="bulletlist"/>
              <w:numPr>
                <w:ilvl w:val="0"/>
                <w:numId w:val="0"/>
              </w:numPr>
              <w:rPr>
                <w:rFonts w:ascii="Aptos" w:hAnsi="Aptos" w:cs="Helvetica"/>
                <w:sz w:val="24"/>
              </w:rPr>
            </w:pPr>
            <w:r>
              <w:rPr>
                <w:rFonts w:ascii="Aptos" w:hAnsi="Aptos" w:cs="Helvetica"/>
                <w:sz w:val="24"/>
              </w:rPr>
              <w:t xml:space="preserve">The first round of public consultation on v0.1 of the Australian sustainable finance taxonomy ran from 28 May to 30 June 2024. </w:t>
            </w:r>
          </w:p>
          <w:p w14:paraId="07570A45" w14:textId="593FC9BA" w:rsidR="00F15984" w:rsidRPr="001F0145" w:rsidRDefault="00F15984" w:rsidP="00E83C25">
            <w:pPr>
              <w:pStyle w:val="bulletlist"/>
              <w:numPr>
                <w:ilvl w:val="0"/>
                <w:numId w:val="0"/>
              </w:numPr>
              <w:rPr>
                <w:rFonts w:ascii="Aptos" w:hAnsi="Aptos" w:cs="Helvetica"/>
                <w:sz w:val="24"/>
              </w:rPr>
            </w:pPr>
            <w:r>
              <w:rPr>
                <w:rFonts w:ascii="Aptos" w:hAnsi="Aptos" w:cs="Helvetica"/>
                <w:sz w:val="24"/>
              </w:rPr>
              <w:t xml:space="preserve">The second round of public consultation on v0.2 of the Australian sustainable finance taxonomy will be held in Q4 2024. </w:t>
            </w:r>
          </w:p>
        </w:tc>
      </w:tr>
      <w:tr w:rsidR="0085411E" w:rsidRPr="001F0145" w14:paraId="6F348F3C" w14:textId="77777777" w:rsidTr="009F1672">
        <w:tc>
          <w:tcPr>
            <w:tcW w:w="1413" w:type="dxa"/>
          </w:tcPr>
          <w:p w14:paraId="6BBA8B03" w14:textId="14EE59DD" w:rsidR="0085411E" w:rsidRPr="001F0145" w:rsidRDefault="0085411E" w:rsidP="0085411E">
            <w:pPr>
              <w:pStyle w:val="bulletlist"/>
              <w:numPr>
                <w:ilvl w:val="0"/>
                <w:numId w:val="0"/>
              </w:numPr>
              <w:rPr>
                <w:rFonts w:ascii="Aptos" w:hAnsi="Aptos" w:cs="Helvetica"/>
                <w:i/>
                <w:sz w:val="24"/>
              </w:rPr>
            </w:pPr>
            <w:r w:rsidRPr="001F0145">
              <w:rPr>
                <w:rFonts w:ascii="Aptos" w:hAnsi="Aptos" w:cs="Helvetica"/>
                <w:i/>
                <w:sz w:val="24"/>
              </w:rPr>
              <w:t>Key Insights</w:t>
            </w:r>
          </w:p>
        </w:tc>
        <w:tc>
          <w:tcPr>
            <w:tcW w:w="8210" w:type="dxa"/>
          </w:tcPr>
          <w:p w14:paraId="1453FC65" w14:textId="564753A3" w:rsidR="004E44DA" w:rsidRDefault="00B745CD" w:rsidP="00B745CD">
            <w:pPr>
              <w:rPr>
                <w:rFonts w:ascii="Aptos" w:hAnsi="Aptos" w:cs="Helvetica"/>
                <w:lang w:eastAsia="zh-CN"/>
              </w:rPr>
            </w:pPr>
            <w:r w:rsidRPr="00007A32">
              <w:rPr>
                <w:rFonts w:ascii="Aptos" w:hAnsi="Aptos" w:cs="Helvetica"/>
                <w:lang w:eastAsia="zh-CN"/>
              </w:rPr>
              <w:t xml:space="preserve">In the first round of public consultation, </w:t>
            </w:r>
            <w:r w:rsidR="004C0C76">
              <w:rPr>
                <w:rFonts w:ascii="Aptos" w:hAnsi="Aptos" w:cs="Helvetica"/>
                <w:lang w:eastAsia="zh-CN"/>
              </w:rPr>
              <w:t>t</w:t>
            </w:r>
            <w:r>
              <w:rPr>
                <w:rFonts w:ascii="Aptos" w:hAnsi="Aptos" w:cs="Helvetica"/>
                <w:lang w:eastAsia="zh-CN"/>
              </w:rPr>
              <w:t>he ASFI Taxonomy Team went on a roadshow across key Australian states and territories and delivered a total of 4</w:t>
            </w:r>
            <w:r w:rsidR="00C41505">
              <w:rPr>
                <w:rFonts w:ascii="Aptos" w:hAnsi="Aptos" w:cs="Helvetica"/>
                <w:lang w:eastAsia="zh-CN"/>
              </w:rPr>
              <w:t>7</w:t>
            </w:r>
            <w:r>
              <w:rPr>
                <w:rFonts w:ascii="Aptos" w:hAnsi="Aptos" w:cs="Helvetica"/>
                <w:lang w:eastAsia="zh-CN"/>
              </w:rPr>
              <w:t xml:space="preserve"> briefings. Each briefing ran for between 60 and 90 </w:t>
            </w:r>
            <w:proofErr w:type="gramStart"/>
            <w:r>
              <w:rPr>
                <w:rFonts w:ascii="Aptos" w:hAnsi="Aptos" w:cs="Helvetica"/>
                <w:lang w:eastAsia="zh-CN"/>
              </w:rPr>
              <w:t>minutes, and</w:t>
            </w:r>
            <w:proofErr w:type="gramEnd"/>
            <w:r>
              <w:rPr>
                <w:rFonts w:ascii="Aptos" w:hAnsi="Aptos" w:cs="Helvetica"/>
                <w:lang w:eastAsia="zh-CN"/>
              </w:rPr>
              <w:t xml:space="preserve"> was targeted to its audience. </w:t>
            </w:r>
            <w:r w:rsidR="004E44DA">
              <w:rPr>
                <w:rFonts w:ascii="Aptos" w:hAnsi="Aptos" w:cs="Helvetica"/>
                <w:lang w:eastAsia="zh-CN"/>
              </w:rPr>
              <w:t>In total, over 1</w:t>
            </w:r>
            <w:r w:rsidR="002F713B">
              <w:rPr>
                <w:rFonts w:ascii="Aptos" w:hAnsi="Aptos" w:cs="Helvetica"/>
                <w:lang w:eastAsia="zh-CN"/>
              </w:rPr>
              <w:t>0</w:t>
            </w:r>
            <w:r w:rsidR="004E44DA">
              <w:rPr>
                <w:rFonts w:ascii="Aptos" w:hAnsi="Aptos" w:cs="Helvetica"/>
                <w:lang w:eastAsia="zh-CN"/>
              </w:rPr>
              <w:t>00 people were briefed</w:t>
            </w:r>
            <w:r w:rsidR="002F713B">
              <w:rPr>
                <w:rFonts w:ascii="Aptos" w:hAnsi="Aptos" w:cs="Helvetica"/>
                <w:lang w:eastAsia="zh-CN"/>
              </w:rPr>
              <w:t xml:space="preserve"> on the development of the Australian sustainable finance taxonomy either in person or online</w:t>
            </w:r>
            <w:r w:rsidR="004E44DA">
              <w:rPr>
                <w:rFonts w:ascii="Aptos" w:hAnsi="Aptos" w:cs="Helvetica"/>
                <w:lang w:eastAsia="zh-CN"/>
              </w:rPr>
              <w:t xml:space="preserve"> during the public consultation period. </w:t>
            </w:r>
            <w:r w:rsidRPr="00007A32">
              <w:rPr>
                <w:rFonts w:ascii="Aptos" w:hAnsi="Aptos" w:cs="Helvetica"/>
                <w:lang w:eastAsia="zh-CN"/>
              </w:rPr>
              <w:t xml:space="preserve">A full list of public consultation briefings is available at </w:t>
            </w:r>
            <w:r w:rsidRPr="00AC73A6">
              <w:rPr>
                <w:rFonts w:ascii="Aptos" w:hAnsi="Aptos" w:cs="Helvetica"/>
                <w:b/>
                <w:bCs/>
                <w:u w:val="single"/>
                <w:lang w:eastAsia="zh-CN"/>
              </w:rPr>
              <w:t xml:space="preserve">Appendix </w:t>
            </w:r>
            <w:r w:rsidR="004D04A0">
              <w:rPr>
                <w:rFonts w:ascii="Aptos" w:hAnsi="Aptos" w:cs="Helvetica"/>
                <w:b/>
                <w:bCs/>
                <w:u w:val="single"/>
                <w:lang w:eastAsia="zh-CN"/>
              </w:rPr>
              <w:t>H</w:t>
            </w:r>
            <w:r>
              <w:rPr>
                <w:rFonts w:ascii="Aptos" w:hAnsi="Aptos" w:cs="Helvetica"/>
                <w:lang w:eastAsia="zh-CN"/>
              </w:rPr>
              <w:t xml:space="preserve">. </w:t>
            </w:r>
          </w:p>
          <w:p w14:paraId="5C336974" w14:textId="77777777" w:rsidR="00B745CD" w:rsidRDefault="00B745CD" w:rsidP="00B745CD">
            <w:pPr>
              <w:rPr>
                <w:rFonts w:ascii="Aptos" w:hAnsi="Aptos" w:cs="Helvetica"/>
                <w:lang w:eastAsia="zh-CN"/>
              </w:rPr>
            </w:pPr>
          </w:p>
          <w:p w14:paraId="1C0074AD" w14:textId="6FB07E44" w:rsidR="004C0C76" w:rsidRDefault="00C90091" w:rsidP="004E44DA">
            <w:pPr>
              <w:rPr>
                <w:rFonts w:ascii="Aptos" w:hAnsi="Aptos" w:cs="Helvetica"/>
                <w:lang w:eastAsia="zh-CN"/>
              </w:rPr>
            </w:pPr>
            <w:r>
              <w:rPr>
                <w:rFonts w:ascii="Aptos" w:hAnsi="Aptos" w:cs="Helvetica"/>
                <w:lang w:eastAsia="zh-CN"/>
              </w:rPr>
              <w:t>T</w:t>
            </w:r>
            <w:r w:rsidR="004E44DA">
              <w:rPr>
                <w:rFonts w:ascii="Aptos" w:hAnsi="Aptos" w:cs="Helvetica"/>
                <w:lang w:eastAsia="zh-CN"/>
              </w:rPr>
              <w:t>he level of stakeholder engagement throughout the public consultation period</w:t>
            </w:r>
            <w:r>
              <w:rPr>
                <w:rFonts w:ascii="Aptos" w:hAnsi="Aptos" w:cs="Helvetica"/>
                <w:lang w:eastAsia="zh-CN"/>
              </w:rPr>
              <w:t xml:space="preserve"> was high across all stakeholder groups.</w:t>
            </w:r>
            <w:r w:rsidR="004E44DA">
              <w:rPr>
                <w:rFonts w:ascii="Aptos" w:hAnsi="Aptos" w:cs="Helvetica"/>
                <w:lang w:eastAsia="zh-CN"/>
              </w:rPr>
              <w:t xml:space="preserve"> </w:t>
            </w:r>
            <w:r w:rsidR="00B745CD">
              <w:rPr>
                <w:rFonts w:ascii="Aptos" w:hAnsi="Aptos" w:cs="Helvetica"/>
                <w:lang w:eastAsia="zh-CN"/>
              </w:rPr>
              <w:t xml:space="preserve">ASFI anticipates that many stakeholders will provide </w:t>
            </w:r>
            <w:r w:rsidR="004E44DA">
              <w:rPr>
                <w:rFonts w:ascii="Aptos" w:hAnsi="Aptos" w:cs="Helvetica"/>
                <w:lang w:eastAsia="zh-CN"/>
              </w:rPr>
              <w:t xml:space="preserve">substantive </w:t>
            </w:r>
            <w:r w:rsidR="00B745CD">
              <w:rPr>
                <w:rFonts w:ascii="Aptos" w:hAnsi="Aptos" w:cs="Helvetica"/>
                <w:lang w:eastAsia="zh-CN"/>
              </w:rPr>
              <w:t>feedback through the consultation process</w:t>
            </w:r>
            <w:r w:rsidR="004E44DA">
              <w:rPr>
                <w:rFonts w:ascii="Aptos" w:hAnsi="Aptos" w:cs="Helvetica"/>
                <w:lang w:eastAsia="zh-CN"/>
              </w:rPr>
              <w:t>, to help further refine the draft environmental objective headline ambitions and TSC for the first three priority sectors for development.</w:t>
            </w:r>
          </w:p>
          <w:p w14:paraId="6E73E567" w14:textId="183033C2" w:rsidR="004E44DA" w:rsidRPr="001F0145" w:rsidRDefault="004E44DA" w:rsidP="007351EC">
            <w:pPr>
              <w:rPr>
                <w:rFonts w:ascii="Aptos" w:hAnsi="Aptos" w:cs="Helvetica"/>
                <w:lang w:eastAsia="zh-CN"/>
              </w:rPr>
            </w:pPr>
          </w:p>
        </w:tc>
      </w:tr>
    </w:tbl>
    <w:p w14:paraId="2027E1B9" w14:textId="3649924F" w:rsidR="00C1755A" w:rsidRDefault="00C1755A" w:rsidP="0001244E">
      <w:pPr>
        <w:rPr>
          <w:rFonts w:ascii="Aptos" w:hAnsi="Aptos" w:cs="Helvetica"/>
        </w:rPr>
      </w:pPr>
    </w:p>
    <w:p w14:paraId="72567785" w14:textId="77777777" w:rsidR="00E474C9" w:rsidRDefault="00E474C9" w:rsidP="0001244E">
      <w:pPr>
        <w:rPr>
          <w:rFonts w:ascii="Aptos" w:hAnsi="Aptos" w:cs="Helvetica"/>
        </w:rPr>
      </w:pPr>
    </w:p>
    <w:p w14:paraId="3F407872" w14:textId="52F4C328" w:rsidR="00E474C9" w:rsidRPr="001F0145" w:rsidRDefault="00071163" w:rsidP="00E474C9">
      <w:pPr>
        <w:rPr>
          <w:rFonts w:ascii="Aptos" w:hAnsi="Aptos" w:cs="Helvetica"/>
        </w:rPr>
      </w:pPr>
      <w:r>
        <w:rPr>
          <w:rFonts w:ascii="Aptos" w:hAnsi="Aptos" w:cs="Helvetica"/>
        </w:rPr>
        <w:t>In addition to the above</w:t>
      </w:r>
      <w:r w:rsidR="000F0A1E">
        <w:rPr>
          <w:rFonts w:ascii="Aptos" w:hAnsi="Aptos" w:cs="Helvetica"/>
        </w:rPr>
        <w:t xml:space="preserve"> stakeholder engagements</w:t>
      </w:r>
      <w:r>
        <w:rPr>
          <w:rFonts w:ascii="Aptos" w:hAnsi="Aptos" w:cs="Helvetica"/>
        </w:rPr>
        <w:t>, ASFI has</w:t>
      </w:r>
      <w:r w:rsidR="005518BE">
        <w:rPr>
          <w:rFonts w:ascii="Aptos" w:hAnsi="Aptos" w:cs="Helvetica"/>
        </w:rPr>
        <w:t xml:space="preserve"> been invited to and attended </w:t>
      </w:r>
      <w:r w:rsidR="00322961">
        <w:rPr>
          <w:rFonts w:ascii="Aptos" w:hAnsi="Aptos" w:cs="Helvetica"/>
        </w:rPr>
        <w:t xml:space="preserve">numerous </w:t>
      </w:r>
      <w:r>
        <w:rPr>
          <w:rFonts w:ascii="Aptos" w:hAnsi="Aptos" w:cs="Helvetica"/>
        </w:rPr>
        <w:t>conferences</w:t>
      </w:r>
      <w:r w:rsidR="00D15A2E">
        <w:rPr>
          <w:rFonts w:ascii="Aptos" w:hAnsi="Aptos" w:cs="Helvetica"/>
        </w:rPr>
        <w:t xml:space="preserve">, </w:t>
      </w:r>
      <w:proofErr w:type="gramStart"/>
      <w:r w:rsidR="00D15A2E">
        <w:rPr>
          <w:rFonts w:ascii="Aptos" w:hAnsi="Aptos" w:cs="Helvetica"/>
        </w:rPr>
        <w:t>workshops</w:t>
      </w:r>
      <w:proofErr w:type="gramEnd"/>
      <w:r w:rsidR="00322961">
        <w:rPr>
          <w:rFonts w:ascii="Aptos" w:hAnsi="Aptos" w:cs="Helvetica"/>
        </w:rPr>
        <w:t xml:space="preserve"> </w:t>
      </w:r>
      <w:r w:rsidR="005518BE">
        <w:rPr>
          <w:rFonts w:ascii="Aptos" w:hAnsi="Aptos" w:cs="Helvetica"/>
        </w:rPr>
        <w:t>and</w:t>
      </w:r>
      <w:r w:rsidR="00322961">
        <w:rPr>
          <w:rFonts w:ascii="Aptos" w:hAnsi="Aptos" w:cs="Helvetica"/>
        </w:rPr>
        <w:t xml:space="preserve"> meetings</w:t>
      </w:r>
      <w:r w:rsidR="005518BE">
        <w:rPr>
          <w:rFonts w:ascii="Aptos" w:hAnsi="Aptos" w:cs="Helvetica"/>
        </w:rPr>
        <w:t xml:space="preserve"> over the past 12 months </w:t>
      </w:r>
      <w:r w:rsidR="00D15A2E">
        <w:rPr>
          <w:rFonts w:ascii="Aptos" w:hAnsi="Aptos" w:cs="Helvetica"/>
        </w:rPr>
        <w:t>to</w:t>
      </w:r>
      <w:r w:rsidR="005518BE">
        <w:rPr>
          <w:rFonts w:ascii="Aptos" w:hAnsi="Aptos" w:cs="Helvetica"/>
        </w:rPr>
        <w:t xml:space="preserve"> maximise</w:t>
      </w:r>
      <w:r w:rsidR="00D15A2E">
        <w:rPr>
          <w:rFonts w:ascii="Aptos" w:hAnsi="Aptos" w:cs="Helvetica"/>
        </w:rPr>
        <w:t xml:space="preserve"> </w:t>
      </w:r>
      <w:r w:rsidR="005518BE">
        <w:rPr>
          <w:rFonts w:ascii="Aptos" w:hAnsi="Aptos" w:cs="Helvetica"/>
        </w:rPr>
        <w:t xml:space="preserve">engagement </w:t>
      </w:r>
      <w:r w:rsidR="00D15A2E">
        <w:rPr>
          <w:rFonts w:ascii="Aptos" w:hAnsi="Aptos" w:cs="Helvetica"/>
        </w:rPr>
        <w:t>with relevant stakeholder groups</w:t>
      </w:r>
      <w:r w:rsidR="00A10B31">
        <w:rPr>
          <w:rFonts w:ascii="Aptos" w:hAnsi="Aptos" w:cs="Helvetica"/>
        </w:rPr>
        <w:t>;</w:t>
      </w:r>
      <w:r w:rsidR="00D15A2E">
        <w:rPr>
          <w:rFonts w:ascii="Aptos" w:hAnsi="Aptos" w:cs="Helvetica"/>
        </w:rPr>
        <w:t xml:space="preserve"> ensure </w:t>
      </w:r>
      <w:r w:rsidR="007E6158">
        <w:rPr>
          <w:rFonts w:ascii="Aptos" w:hAnsi="Aptos" w:cs="Helvetica"/>
        </w:rPr>
        <w:t>t</w:t>
      </w:r>
      <w:r w:rsidR="00D15A2E">
        <w:rPr>
          <w:rFonts w:ascii="Aptos" w:hAnsi="Aptos" w:cs="Helvetica"/>
        </w:rPr>
        <w:t>he Australian Taxonomy Project</w:t>
      </w:r>
      <w:r w:rsidR="005518BE">
        <w:rPr>
          <w:rFonts w:ascii="Aptos" w:hAnsi="Aptos" w:cs="Helvetica"/>
        </w:rPr>
        <w:t xml:space="preserve"> is well socialised</w:t>
      </w:r>
      <w:r w:rsidR="00C17C4A">
        <w:rPr>
          <w:rFonts w:ascii="Aptos" w:hAnsi="Aptos" w:cs="Helvetica"/>
        </w:rPr>
        <w:t xml:space="preserve"> throughout t</w:t>
      </w:r>
      <w:r w:rsidR="00A10B31">
        <w:rPr>
          <w:rFonts w:ascii="Aptos" w:hAnsi="Aptos" w:cs="Helvetica"/>
        </w:rPr>
        <w:t>he</w:t>
      </w:r>
      <w:r w:rsidR="000F0A1E">
        <w:rPr>
          <w:rFonts w:ascii="Aptos" w:hAnsi="Aptos" w:cs="Helvetica"/>
        </w:rPr>
        <w:t xml:space="preserve"> </w:t>
      </w:r>
      <w:r w:rsidR="00C17C4A">
        <w:rPr>
          <w:rFonts w:ascii="Aptos" w:hAnsi="Aptos" w:cs="Helvetica"/>
        </w:rPr>
        <w:t>initial development phase</w:t>
      </w:r>
      <w:r w:rsidR="00A10B31">
        <w:rPr>
          <w:rFonts w:ascii="Aptos" w:hAnsi="Aptos" w:cs="Helvetica"/>
        </w:rPr>
        <w:t>;</w:t>
      </w:r>
      <w:r w:rsidR="005518BE">
        <w:rPr>
          <w:rFonts w:ascii="Aptos" w:hAnsi="Aptos" w:cs="Helvetica"/>
        </w:rPr>
        <w:t xml:space="preserve"> and support the broader establishment of Australia’s sustainable finance architecture. </w:t>
      </w:r>
      <w:r w:rsidR="004E7AA7">
        <w:rPr>
          <w:rFonts w:ascii="Aptos" w:hAnsi="Aptos" w:cs="Helvetica"/>
        </w:rPr>
        <w:t>Exchanges at</w:t>
      </w:r>
      <w:r w:rsidR="00322961">
        <w:rPr>
          <w:rFonts w:ascii="Aptos" w:hAnsi="Aptos" w:cs="Helvetica"/>
        </w:rPr>
        <w:t xml:space="preserve"> these events ha</w:t>
      </w:r>
      <w:r w:rsidR="004E7AA7">
        <w:rPr>
          <w:rFonts w:ascii="Aptos" w:hAnsi="Aptos" w:cs="Helvetica"/>
        </w:rPr>
        <w:t>ve</w:t>
      </w:r>
      <w:r w:rsidR="00322961">
        <w:rPr>
          <w:rFonts w:ascii="Aptos" w:hAnsi="Aptos" w:cs="Helvetica"/>
        </w:rPr>
        <w:t xml:space="preserve"> not gone beyond the provision of publicly available information. </w:t>
      </w:r>
    </w:p>
    <w:sectPr w:rsidR="00E474C9" w:rsidRPr="001F0145" w:rsidSect="00194904">
      <w:headerReference w:type="default" r:id="rId22"/>
      <w:footerReference w:type="default" r:id="rId23"/>
      <w:headerReference w:type="first" r:id="rId24"/>
      <w:type w:val="continuous"/>
      <w:pgSz w:w="11901" w:h="16817"/>
      <w:pgMar w:top="1134" w:right="1134" w:bottom="1134" w:left="1134" w:header="454" w:footer="22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D475" w14:textId="77777777" w:rsidR="00203E56" w:rsidRDefault="00203E56" w:rsidP="006A206B">
      <w:r>
        <w:separator/>
      </w:r>
    </w:p>
  </w:endnote>
  <w:endnote w:type="continuationSeparator" w:id="0">
    <w:p w14:paraId="1DBFA709" w14:textId="77777777" w:rsidR="00203E56" w:rsidRDefault="00203E56" w:rsidP="006A206B">
      <w:r>
        <w:continuationSeparator/>
      </w:r>
    </w:p>
  </w:endnote>
  <w:endnote w:type="continuationNotice" w:id="1">
    <w:p w14:paraId="794C5AFC" w14:textId="77777777" w:rsidR="00203E56" w:rsidRDefault="00203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ublic Sans">
    <w:altName w:val="Calibri"/>
    <w:charset w:val="4D"/>
    <w:family w:val="auto"/>
    <w:pitch w:val="variable"/>
    <w:sig w:usb0="A00000FF" w:usb1="4000205B" w:usb2="00000000" w:usb3="00000000" w:csb0="00000193" w:csb1="00000000"/>
  </w:font>
  <w:font w:name="Helvetica">
    <w:panose1 w:val="020B0604020202020204"/>
    <w:charset w:val="00"/>
    <w:family w:val="auto"/>
    <w:pitch w:val="variable"/>
    <w:sig w:usb0="E00002FF" w:usb1="5000785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mo">
    <w:altName w:val="Calibri"/>
    <w:panose1 w:val="00000000000000000000"/>
    <w:charset w:val="00"/>
    <w:family w:val="swiss"/>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873986"/>
      <w:docPartObj>
        <w:docPartGallery w:val="Page Numbers (Bottom of Page)"/>
        <w:docPartUnique/>
      </w:docPartObj>
    </w:sdtPr>
    <w:sdtEndPr>
      <w:rPr>
        <w:noProof/>
      </w:rPr>
    </w:sdtEndPr>
    <w:sdtContent>
      <w:p w14:paraId="2B1BC0BE" w14:textId="60727F29" w:rsidR="00752F23" w:rsidRDefault="00752F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AB46EB" w14:textId="77777777" w:rsidR="000A4840" w:rsidRDefault="000A4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EDCD" w14:textId="77777777" w:rsidR="00203E56" w:rsidRDefault="00203E56" w:rsidP="006A206B">
      <w:r>
        <w:separator/>
      </w:r>
    </w:p>
  </w:footnote>
  <w:footnote w:type="continuationSeparator" w:id="0">
    <w:p w14:paraId="11E31539" w14:textId="77777777" w:rsidR="00203E56" w:rsidRDefault="00203E56" w:rsidP="006A206B">
      <w:r>
        <w:continuationSeparator/>
      </w:r>
    </w:p>
  </w:footnote>
  <w:footnote w:type="continuationNotice" w:id="1">
    <w:p w14:paraId="7610DCA4" w14:textId="77777777" w:rsidR="00203E56" w:rsidRDefault="00203E56"/>
  </w:footnote>
  <w:footnote w:id="2">
    <w:p w14:paraId="7426F065" w14:textId="57E5B35C" w:rsidR="00751F79" w:rsidRPr="00751F79" w:rsidRDefault="00751F79" w:rsidP="00751F79">
      <w:pPr>
        <w:pStyle w:val="FootnoteText"/>
        <w:rPr>
          <w:rFonts w:ascii="Helvetica" w:eastAsia="Calibri" w:hAnsi="Helvetica" w:cs="Helvetica"/>
        </w:rPr>
      </w:pPr>
      <w:r w:rsidRPr="00751F79">
        <w:rPr>
          <w:rStyle w:val="FootnoteReference"/>
          <w:rFonts w:ascii="Helvetica" w:hAnsi="Helvetica" w:cs="Helvetica"/>
        </w:rPr>
        <w:footnoteRef/>
      </w:r>
      <w:r w:rsidRPr="00751F79">
        <w:rPr>
          <w:rFonts w:ascii="Helvetica" w:hAnsi="Helvetica" w:cs="Helvetica"/>
        </w:rPr>
        <w:t xml:space="preserve"> </w:t>
      </w:r>
      <w:r w:rsidRPr="00751F79">
        <w:rPr>
          <w:rFonts w:ascii="Helvetica" w:eastAsia="Calibri" w:hAnsi="Helvetica" w:cs="Helvetica"/>
        </w:rPr>
        <w:t xml:space="preserve">Climateworks Centre and </w:t>
      </w:r>
      <w:hyperlink r:id="rId1" w:history="1">
        <w:r w:rsidRPr="00751F79">
          <w:rPr>
            <w:rFonts w:ascii="Helvetica" w:eastAsia="Calibri" w:hAnsi="Helvetica" w:cs="Helvetica"/>
          </w:rPr>
          <w:t>CSIRO</w:t>
        </w:r>
      </w:hyperlink>
      <w:r w:rsidRPr="00751F79">
        <w:rPr>
          <w:rFonts w:ascii="Helvetica" w:eastAsia="Calibri" w:hAnsi="Helvetica" w:cs="Helvetica"/>
        </w:rPr>
        <w:t xml:space="preserve"> have joint ownership of the AusTIMES model- a detailed whole-of-economy model of Australia. AusTIMES is based on globally recognised frameworks from the </w:t>
      </w:r>
      <w:hyperlink r:id="rId2" w:history="1">
        <w:r w:rsidRPr="00751F79">
          <w:rPr>
            <w:rFonts w:ascii="Helvetica" w:eastAsia="Calibri" w:hAnsi="Helvetica" w:cs="Helvetica"/>
          </w:rPr>
          <w:t>International Energy Agency</w:t>
        </w:r>
      </w:hyperlink>
      <w:r w:rsidRPr="00751F79">
        <w:rPr>
          <w:rFonts w:ascii="Helvetica" w:eastAsia="Calibri" w:hAnsi="Helvetica" w:cs="Helvetica"/>
        </w:rPr>
        <w:t>. AusTIMES explores future energy and emissions scenarios and offers insights into achieving emissions reduction goals at the least cost to society. https://www.climateworkscentre.org/news/how-our-economy-wide-decarbonisation-models-are-helping-to-guide-the-energy-transition/</w:t>
      </w:r>
      <w:r w:rsidR="0070288F">
        <w:rPr>
          <w:rFonts w:ascii="Helvetica" w:eastAsia="Calibri" w:hAnsi="Helvetica" w:cs="Helvetica"/>
        </w:rPr>
        <w:t>.</w:t>
      </w:r>
    </w:p>
    <w:p w14:paraId="7D2110F1" w14:textId="14E1531F" w:rsidR="00751F79" w:rsidRPr="00751F79" w:rsidRDefault="00751F7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7416" w14:textId="268D1914" w:rsidR="00B01E6F" w:rsidRPr="00A765C2" w:rsidRDefault="00194904">
    <w:pPr>
      <w:pStyle w:val="Header"/>
      <w:rPr>
        <w:b/>
        <w:bCs/>
      </w:rPr>
    </w:pPr>
    <w:r>
      <w:rPr>
        <w:noProof/>
      </w:rPr>
      <w:drawing>
        <wp:anchor distT="0" distB="0" distL="114300" distR="114300" simplePos="0" relativeHeight="251658240" behindDoc="1" locked="0" layoutInCell="1" allowOverlap="1" wp14:anchorId="24C2E6A0" wp14:editId="641658AC">
          <wp:simplePos x="0" y="0"/>
          <wp:positionH relativeFrom="column">
            <wp:posOffset>4206924</wp:posOffset>
          </wp:positionH>
          <wp:positionV relativeFrom="paragraph">
            <wp:posOffset>46355</wp:posOffset>
          </wp:positionV>
          <wp:extent cx="2269440" cy="899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440" cy="89974"/>
                  </a:xfrm>
                  <a:prstGeom prst="rect">
                    <a:avLst/>
                  </a:prstGeom>
                </pic:spPr>
              </pic:pic>
            </a:graphicData>
          </a:graphic>
          <wp14:sizeRelH relativeFrom="margin">
            <wp14:pctWidth>0</wp14:pctWidth>
          </wp14:sizeRelH>
          <wp14:sizeRelV relativeFrom="margin">
            <wp14:pctHeight>0</wp14:pctHeight>
          </wp14:sizeRelV>
        </wp:anchor>
      </w:drawing>
    </w:r>
    <w:r w:rsidR="00A765C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38BE" w14:textId="77777777" w:rsidR="00194904" w:rsidRPr="0005096A" w:rsidRDefault="00194904" w:rsidP="004B7739">
    <w:pPr>
      <w:tabs>
        <w:tab w:val="left" w:pos="1320"/>
      </w:tabs>
      <w:spacing w:after="3200"/>
      <w:rPr>
        <w:rFonts w:cs="Times New Roman (Body CS)"/>
        <w:szCs w:val="2"/>
        <w:lang w:val="en-AU"/>
      </w:rPr>
    </w:pPr>
    <w:r>
      <w:rPr>
        <w:rFonts w:cs="Times New Roman (Body CS)"/>
        <w:noProof/>
        <w:szCs w:val="2"/>
        <w:lang w:val="en-AU"/>
      </w:rPr>
      <w:drawing>
        <wp:anchor distT="0" distB="0" distL="114300" distR="114300" simplePos="0" relativeHeight="251658241" behindDoc="1" locked="0" layoutInCell="1" allowOverlap="1" wp14:anchorId="4854A270" wp14:editId="71E8885D">
          <wp:simplePos x="0" y="0"/>
          <wp:positionH relativeFrom="page">
            <wp:posOffset>1</wp:posOffset>
          </wp:positionH>
          <wp:positionV relativeFrom="page">
            <wp:posOffset>0</wp:posOffset>
          </wp:positionV>
          <wp:extent cx="7555677" cy="17957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5677" cy="17957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C9E"/>
    <w:multiLevelType w:val="hybridMultilevel"/>
    <w:tmpl w:val="2424BCA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D40318"/>
    <w:multiLevelType w:val="hybridMultilevel"/>
    <w:tmpl w:val="6AA6E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120700"/>
    <w:multiLevelType w:val="hybridMultilevel"/>
    <w:tmpl w:val="52924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BC5E9D"/>
    <w:multiLevelType w:val="hybridMultilevel"/>
    <w:tmpl w:val="F83496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2382984"/>
    <w:multiLevelType w:val="hybridMultilevel"/>
    <w:tmpl w:val="E14EF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B96F7D"/>
    <w:multiLevelType w:val="hybridMultilevel"/>
    <w:tmpl w:val="55D08EF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791019"/>
    <w:multiLevelType w:val="hybridMultilevel"/>
    <w:tmpl w:val="7C6CC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3D4AAE"/>
    <w:multiLevelType w:val="hybridMultilevel"/>
    <w:tmpl w:val="5D92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77EA7"/>
    <w:multiLevelType w:val="hybridMultilevel"/>
    <w:tmpl w:val="D9DC78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397FC8"/>
    <w:multiLevelType w:val="hybridMultilevel"/>
    <w:tmpl w:val="E610933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745768"/>
    <w:multiLevelType w:val="hybridMultilevel"/>
    <w:tmpl w:val="086C9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130B06"/>
    <w:multiLevelType w:val="hybridMultilevel"/>
    <w:tmpl w:val="28383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FD31BD"/>
    <w:multiLevelType w:val="hybridMultilevel"/>
    <w:tmpl w:val="9E9AEE3E"/>
    <w:lvl w:ilvl="0" w:tplc="050CE35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BE66F9"/>
    <w:multiLevelType w:val="hybridMultilevel"/>
    <w:tmpl w:val="31424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CD2C4A"/>
    <w:multiLevelType w:val="hybridMultilevel"/>
    <w:tmpl w:val="93D870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6051C31"/>
    <w:multiLevelType w:val="hybridMultilevel"/>
    <w:tmpl w:val="732E407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D7A3758"/>
    <w:multiLevelType w:val="hybridMultilevel"/>
    <w:tmpl w:val="EE20E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127B69"/>
    <w:multiLevelType w:val="hybridMultilevel"/>
    <w:tmpl w:val="8B363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603719"/>
    <w:multiLevelType w:val="hybridMultilevel"/>
    <w:tmpl w:val="EC9E0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DF7172"/>
    <w:multiLevelType w:val="hybridMultilevel"/>
    <w:tmpl w:val="89785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0E5FA2"/>
    <w:multiLevelType w:val="hybridMultilevel"/>
    <w:tmpl w:val="0E60C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767C61"/>
    <w:multiLevelType w:val="hybridMultilevel"/>
    <w:tmpl w:val="E7A66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1D54D9"/>
    <w:multiLevelType w:val="hybridMultilevel"/>
    <w:tmpl w:val="85CA06E0"/>
    <w:lvl w:ilvl="0" w:tplc="A986F1B6">
      <w:start w:val="1"/>
      <w:numFmt w:val="bullet"/>
      <w:pStyle w:val="ASFI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7A668A"/>
    <w:multiLevelType w:val="hybridMultilevel"/>
    <w:tmpl w:val="23EED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C10AC9"/>
    <w:multiLevelType w:val="hybridMultilevel"/>
    <w:tmpl w:val="D7047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B02556"/>
    <w:multiLevelType w:val="hybridMultilevel"/>
    <w:tmpl w:val="67CC77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530231"/>
    <w:multiLevelType w:val="hybridMultilevel"/>
    <w:tmpl w:val="8F16C1B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AD4901"/>
    <w:multiLevelType w:val="hybridMultilevel"/>
    <w:tmpl w:val="F6329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975A60"/>
    <w:multiLevelType w:val="hybridMultilevel"/>
    <w:tmpl w:val="C8B67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A4214E"/>
    <w:multiLevelType w:val="hybridMultilevel"/>
    <w:tmpl w:val="C0BC6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232903"/>
    <w:multiLevelType w:val="hybridMultilevel"/>
    <w:tmpl w:val="0F209E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484E75"/>
    <w:multiLevelType w:val="multilevel"/>
    <w:tmpl w:val="0F98B28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32" w15:restartNumberingAfterBreak="0">
    <w:nsid w:val="5DF5410F"/>
    <w:multiLevelType w:val="hybridMultilevel"/>
    <w:tmpl w:val="BCCEDA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B7301D"/>
    <w:multiLevelType w:val="hybridMultilevel"/>
    <w:tmpl w:val="10B41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67C6DE8"/>
    <w:multiLevelType w:val="hybridMultilevel"/>
    <w:tmpl w:val="5C4EAE0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D301077"/>
    <w:multiLevelType w:val="hybridMultilevel"/>
    <w:tmpl w:val="CA1E5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780777"/>
    <w:multiLevelType w:val="hybridMultilevel"/>
    <w:tmpl w:val="6C043A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0D0EA0"/>
    <w:multiLevelType w:val="hybridMultilevel"/>
    <w:tmpl w:val="A5206B9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434B92"/>
    <w:multiLevelType w:val="hybridMultilevel"/>
    <w:tmpl w:val="3288E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C53631"/>
    <w:multiLevelType w:val="hybridMultilevel"/>
    <w:tmpl w:val="B15CB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303A54"/>
    <w:multiLevelType w:val="hybridMultilevel"/>
    <w:tmpl w:val="C3CE4F3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15:restartNumberingAfterBreak="0">
    <w:nsid w:val="78163DB2"/>
    <w:multiLevelType w:val="hybridMultilevel"/>
    <w:tmpl w:val="A626A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227944"/>
    <w:multiLevelType w:val="hybridMultilevel"/>
    <w:tmpl w:val="B5F628CA"/>
    <w:lvl w:ilvl="0" w:tplc="239218D4">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AF7105"/>
    <w:multiLevelType w:val="hybridMultilevel"/>
    <w:tmpl w:val="5F0E2D16"/>
    <w:lvl w:ilvl="0" w:tplc="0C090001">
      <w:start w:val="1"/>
      <w:numFmt w:val="bullet"/>
      <w:pStyle w:val="bulletlist"/>
      <w:lvlText w:val=""/>
      <w:lvlJc w:val="left"/>
      <w:pPr>
        <w:tabs>
          <w:tab w:val="num" w:pos="284"/>
        </w:tabs>
        <w:ind w:left="284" w:hanging="284"/>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800412772">
    <w:abstractNumId w:val="22"/>
  </w:num>
  <w:num w:numId="2" w16cid:durableId="129709007">
    <w:abstractNumId w:val="19"/>
  </w:num>
  <w:num w:numId="3" w16cid:durableId="334110064">
    <w:abstractNumId w:val="43"/>
  </w:num>
  <w:num w:numId="4" w16cid:durableId="2049984516">
    <w:abstractNumId w:val="42"/>
  </w:num>
  <w:num w:numId="5" w16cid:durableId="1721397813">
    <w:abstractNumId w:val="5"/>
  </w:num>
  <w:num w:numId="6" w16cid:durableId="146361213">
    <w:abstractNumId w:val="20"/>
  </w:num>
  <w:num w:numId="7" w16cid:durableId="1716585882">
    <w:abstractNumId w:val="4"/>
  </w:num>
  <w:num w:numId="8" w16cid:durableId="1140420518">
    <w:abstractNumId w:val="41"/>
  </w:num>
  <w:num w:numId="9" w16cid:durableId="1099183559">
    <w:abstractNumId w:val="29"/>
  </w:num>
  <w:num w:numId="10" w16cid:durableId="1915778526">
    <w:abstractNumId w:val="2"/>
  </w:num>
  <w:num w:numId="11" w16cid:durableId="1950775104">
    <w:abstractNumId w:val="31"/>
  </w:num>
  <w:num w:numId="12" w16cid:durableId="1007171728">
    <w:abstractNumId w:val="34"/>
  </w:num>
  <w:num w:numId="13" w16cid:durableId="1869829913">
    <w:abstractNumId w:val="6"/>
  </w:num>
  <w:num w:numId="14" w16cid:durableId="515972125">
    <w:abstractNumId w:val="9"/>
  </w:num>
  <w:num w:numId="15" w16cid:durableId="746804515">
    <w:abstractNumId w:val="28"/>
  </w:num>
  <w:num w:numId="16" w16cid:durableId="985815173">
    <w:abstractNumId w:val="1"/>
  </w:num>
  <w:num w:numId="17" w16cid:durableId="997345920">
    <w:abstractNumId w:val="25"/>
  </w:num>
  <w:num w:numId="18" w16cid:durableId="1863933683">
    <w:abstractNumId w:val="39"/>
  </w:num>
  <w:num w:numId="19" w16cid:durableId="1736859614">
    <w:abstractNumId w:val="3"/>
  </w:num>
  <w:num w:numId="20" w16cid:durableId="1317419346">
    <w:abstractNumId w:val="23"/>
  </w:num>
  <w:num w:numId="21" w16cid:durableId="1627731399">
    <w:abstractNumId w:val="26"/>
  </w:num>
  <w:num w:numId="22" w16cid:durableId="1555432720">
    <w:abstractNumId w:val="33"/>
  </w:num>
  <w:num w:numId="23" w16cid:durableId="1039628307">
    <w:abstractNumId w:val="36"/>
  </w:num>
  <w:num w:numId="24" w16cid:durableId="191771426">
    <w:abstractNumId w:val="27"/>
  </w:num>
  <w:num w:numId="25" w16cid:durableId="2076509148">
    <w:abstractNumId w:val="14"/>
  </w:num>
  <w:num w:numId="26" w16cid:durableId="1275864809">
    <w:abstractNumId w:val="35"/>
  </w:num>
  <w:num w:numId="27" w16cid:durableId="1862621938">
    <w:abstractNumId w:val="18"/>
  </w:num>
  <w:num w:numId="28" w16cid:durableId="1436706768">
    <w:abstractNumId w:val="37"/>
  </w:num>
  <w:num w:numId="29" w16cid:durableId="634219593">
    <w:abstractNumId w:val="8"/>
  </w:num>
  <w:num w:numId="30" w16cid:durableId="178012924">
    <w:abstractNumId w:val="12"/>
  </w:num>
  <w:num w:numId="31" w16cid:durableId="1507591915">
    <w:abstractNumId w:val="38"/>
  </w:num>
  <w:num w:numId="32" w16cid:durableId="256255740">
    <w:abstractNumId w:val="16"/>
  </w:num>
  <w:num w:numId="33" w16cid:durableId="473371336">
    <w:abstractNumId w:val="11"/>
  </w:num>
  <w:num w:numId="34" w16cid:durableId="1698001285">
    <w:abstractNumId w:val="24"/>
  </w:num>
  <w:num w:numId="35" w16cid:durableId="1348095067">
    <w:abstractNumId w:val="30"/>
  </w:num>
  <w:num w:numId="36" w16cid:durableId="726346007">
    <w:abstractNumId w:val="0"/>
  </w:num>
  <w:num w:numId="37" w16cid:durableId="1981642343">
    <w:abstractNumId w:val="10"/>
  </w:num>
  <w:num w:numId="38" w16cid:durableId="463234923">
    <w:abstractNumId w:val="21"/>
  </w:num>
  <w:num w:numId="39" w16cid:durableId="1675496901">
    <w:abstractNumId w:val="40"/>
  </w:num>
  <w:num w:numId="40" w16cid:durableId="2099667539">
    <w:abstractNumId w:val="22"/>
  </w:num>
  <w:num w:numId="41" w16cid:durableId="918095876">
    <w:abstractNumId w:val="15"/>
  </w:num>
  <w:num w:numId="42" w16cid:durableId="1710837296">
    <w:abstractNumId w:val="32"/>
  </w:num>
  <w:num w:numId="43" w16cid:durableId="682781550">
    <w:abstractNumId w:val="7"/>
  </w:num>
  <w:num w:numId="44" w16cid:durableId="1570190437">
    <w:abstractNumId w:val="17"/>
  </w:num>
  <w:num w:numId="45" w16cid:durableId="1905793797">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50"/>
    <w:rsid w:val="0000042E"/>
    <w:rsid w:val="00000A7F"/>
    <w:rsid w:val="00002068"/>
    <w:rsid w:val="00002B20"/>
    <w:rsid w:val="00003D8F"/>
    <w:rsid w:val="00003DA2"/>
    <w:rsid w:val="00003E22"/>
    <w:rsid w:val="00004357"/>
    <w:rsid w:val="00004AD6"/>
    <w:rsid w:val="00005736"/>
    <w:rsid w:val="00005996"/>
    <w:rsid w:val="00005C45"/>
    <w:rsid w:val="00006498"/>
    <w:rsid w:val="00006F60"/>
    <w:rsid w:val="00006F7B"/>
    <w:rsid w:val="000072BA"/>
    <w:rsid w:val="00007A32"/>
    <w:rsid w:val="00007C45"/>
    <w:rsid w:val="00007F14"/>
    <w:rsid w:val="00010360"/>
    <w:rsid w:val="0001061C"/>
    <w:rsid w:val="000112B2"/>
    <w:rsid w:val="00011D34"/>
    <w:rsid w:val="0001244E"/>
    <w:rsid w:val="00013350"/>
    <w:rsid w:val="00014F10"/>
    <w:rsid w:val="00014FC7"/>
    <w:rsid w:val="00015FE6"/>
    <w:rsid w:val="000163A3"/>
    <w:rsid w:val="00016794"/>
    <w:rsid w:val="000168B4"/>
    <w:rsid w:val="000170DE"/>
    <w:rsid w:val="000172FB"/>
    <w:rsid w:val="00020469"/>
    <w:rsid w:val="00020C8E"/>
    <w:rsid w:val="00020F72"/>
    <w:rsid w:val="000211A9"/>
    <w:rsid w:val="00021C5B"/>
    <w:rsid w:val="00021DF5"/>
    <w:rsid w:val="00022776"/>
    <w:rsid w:val="00022E6F"/>
    <w:rsid w:val="0002353A"/>
    <w:rsid w:val="00023782"/>
    <w:rsid w:val="00023ED3"/>
    <w:rsid w:val="00024C85"/>
    <w:rsid w:val="00025CDA"/>
    <w:rsid w:val="00026729"/>
    <w:rsid w:val="00026845"/>
    <w:rsid w:val="00026E5B"/>
    <w:rsid w:val="000271A3"/>
    <w:rsid w:val="000274A7"/>
    <w:rsid w:val="00027A30"/>
    <w:rsid w:val="00030562"/>
    <w:rsid w:val="0003088C"/>
    <w:rsid w:val="00030CD4"/>
    <w:rsid w:val="000310E4"/>
    <w:rsid w:val="0003150D"/>
    <w:rsid w:val="00031B5A"/>
    <w:rsid w:val="00034696"/>
    <w:rsid w:val="00034FCA"/>
    <w:rsid w:val="00035002"/>
    <w:rsid w:val="00036036"/>
    <w:rsid w:val="00036076"/>
    <w:rsid w:val="00036BC0"/>
    <w:rsid w:val="0003720A"/>
    <w:rsid w:val="0003784A"/>
    <w:rsid w:val="000400A3"/>
    <w:rsid w:val="000417CE"/>
    <w:rsid w:val="00041B7C"/>
    <w:rsid w:val="00041F11"/>
    <w:rsid w:val="0004327C"/>
    <w:rsid w:val="000434F4"/>
    <w:rsid w:val="00044098"/>
    <w:rsid w:val="00044246"/>
    <w:rsid w:val="000444C8"/>
    <w:rsid w:val="00044531"/>
    <w:rsid w:val="00045200"/>
    <w:rsid w:val="00045B7A"/>
    <w:rsid w:val="00045BCE"/>
    <w:rsid w:val="00045C15"/>
    <w:rsid w:val="00045CC9"/>
    <w:rsid w:val="00045DF4"/>
    <w:rsid w:val="00046114"/>
    <w:rsid w:val="00046638"/>
    <w:rsid w:val="00047598"/>
    <w:rsid w:val="000475D5"/>
    <w:rsid w:val="00047BD1"/>
    <w:rsid w:val="00047E68"/>
    <w:rsid w:val="000501FC"/>
    <w:rsid w:val="0005059E"/>
    <w:rsid w:val="0005096A"/>
    <w:rsid w:val="00051919"/>
    <w:rsid w:val="00052333"/>
    <w:rsid w:val="000524EF"/>
    <w:rsid w:val="00052ADA"/>
    <w:rsid w:val="00054075"/>
    <w:rsid w:val="00054621"/>
    <w:rsid w:val="00055065"/>
    <w:rsid w:val="00055848"/>
    <w:rsid w:val="00056D3D"/>
    <w:rsid w:val="00057AFA"/>
    <w:rsid w:val="000602FE"/>
    <w:rsid w:val="00060605"/>
    <w:rsid w:val="0006314D"/>
    <w:rsid w:val="0006315E"/>
    <w:rsid w:val="00063E41"/>
    <w:rsid w:val="00063E68"/>
    <w:rsid w:val="0006445C"/>
    <w:rsid w:val="00064AED"/>
    <w:rsid w:val="00064E06"/>
    <w:rsid w:val="000658B4"/>
    <w:rsid w:val="00066571"/>
    <w:rsid w:val="00066FD4"/>
    <w:rsid w:val="00067126"/>
    <w:rsid w:val="000701A1"/>
    <w:rsid w:val="0007052E"/>
    <w:rsid w:val="000705D6"/>
    <w:rsid w:val="00070B4D"/>
    <w:rsid w:val="00071163"/>
    <w:rsid w:val="0007159E"/>
    <w:rsid w:val="000721AE"/>
    <w:rsid w:val="00072203"/>
    <w:rsid w:val="00073485"/>
    <w:rsid w:val="0007366B"/>
    <w:rsid w:val="00073EE7"/>
    <w:rsid w:val="00074AD5"/>
    <w:rsid w:val="00074FA9"/>
    <w:rsid w:val="00075264"/>
    <w:rsid w:val="0007610C"/>
    <w:rsid w:val="000761FD"/>
    <w:rsid w:val="0007639D"/>
    <w:rsid w:val="00076563"/>
    <w:rsid w:val="000769F3"/>
    <w:rsid w:val="000772FC"/>
    <w:rsid w:val="0007746E"/>
    <w:rsid w:val="00077B4B"/>
    <w:rsid w:val="00080160"/>
    <w:rsid w:val="00080200"/>
    <w:rsid w:val="0008022E"/>
    <w:rsid w:val="000807ED"/>
    <w:rsid w:val="00080A5D"/>
    <w:rsid w:val="0008189B"/>
    <w:rsid w:val="00081915"/>
    <w:rsid w:val="000847BF"/>
    <w:rsid w:val="00084842"/>
    <w:rsid w:val="00084D74"/>
    <w:rsid w:val="00084DF3"/>
    <w:rsid w:val="000855AB"/>
    <w:rsid w:val="000855D1"/>
    <w:rsid w:val="000858EB"/>
    <w:rsid w:val="00086313"/>
    <w:rsid w:val="000866E2"/>
    <w:rsid w:val="00087D05"/>
    <w:rsid w:val="00087E0C"/>
    <w:rsid w:val="000903AF"/>
    <w:rsid w:val="00090FA8"/>
    <w:rsid w:val="00091CB0"/>
    <w:rsid w:val="00091EE4"/>
    <w:rsid w:val="00092B20"/>
    <w:rsid w:val="000941C3"/>
    <w:rsid w:val="00094954"/>
    <w:rsid w:val="00094A9B"/>
    <w:rsid w:val="00095C19"/>
    <w:rsid w:val="00096C2B"/>
    <w:rsid w:val="0009712E"/>
    <w:rsid w:val="0009722C"/>
    <w:rsid w:val="000972A3"/>
    <w:rsid w:val="0009752F"/>
    <w:rsid w:val="000976A9"/>
    <w:rsid w:val="00097C68"/>
    <w:rsid w:val="000A0090"/>
    <w:rsid w:val="000A0A70"/>
    <w:rsid w:val="000A0FC2"/>
    <w:rsid w:val="000A11B4"/>
    <w:rsid w:val="000A19BC"/>
    <w:rsid w:val="000A1C02"/>
    <w:rsid w:val="000A26D6"/>
    <w:rsid w:val="000A2A45"/>
    <w:rsid w:val="000A2F25"/>
    <w:rsid w:val="000A3EB6"/>
    <w:rsid w:val="000A4263"/>
    <w:rsid w:val="000A4388"/>
    <w:rsid w:val="000A4607"/>
    <w:rsid w:val="000A4840"/>
    <w:rsid w:val="000A59CA"/>
    <w:rsid w:val="000A629E"/>
    <w:rsid w:val="000A6371"/>
    <w:rsid w:val="000A6BC5"/>
    <w:rsid w:val="000B005F"/>
    <w:rsid w:val="000B0B58"/>
    <w:rsid w:val="000B0FD7"/>
    <w:rsid w:val="000B137E"/>
    <w:rsid w:val="000B2AED"/>
    <w:rsid w:val="000B3009"/>
    <w:rsid w:val="000B34AF"/>
    <w:rsid w:val="000B3B60"/>
    <w:rsid w:val="000B42C5"/>
    <w:rsid w:val="000B4C25"/>
    <w:rsid w:val="000B4FF1"/>
    <w:rsid w:val="000B5680"/>
    <w:rsid w:val="000B674A"/>
    <w:rsid w:val="000B6988"/>
    <w:rsid w:val="000C02F1"/>
    <w:rsid w:val="000C10E6"/>
    <w:rsid w:val="000C15DE"/>
    <w:rsid w:val="000C1C63"/>
    <w:rsid w:val="000C1ED1"/>
    <w:rsid w:val="000C322D"/>
    <w:rsid w:val="000C4ABE"/>
    <w:rsid w:val="000C51A5"/>
    <w:rsid w:val="000C541D"/>
    <w:rsid w:val="000C59B6"/>
    <w:rsid w:val="000C7DCB"/>
    <w:rsid w:val="000D00D7"/>
    <w:rsid w:val="000D0961"/>
    <w:rsid w:val="000D0F69"/>
    <w:rsid w:val="000D1689"/>
    <w:rsid w:val="000D203F"/>
    <w:rsid w:val="000D25D2"/>
    <w:rsid w:val="000D2DB8"/>
    <w:rsid w:val="000D4119"/>
    <w:rsid w:val="000D4F8C"/>
    <w:rsid w:val="000D5520"/>
    <w:rsid w:val="000D63D1"/>
    <w:rsid w:val="000D67CD"/>
    <w:rsid w:val="000D73BA"/>
    <w:rsid w:val="000E010C"/>
    <w:rsid w:val="000E051C"/>
    <w:rsid w:val="000E0525"/>
    <w:rsid w:val="000E1035"/>
    <w:rsid w:val="000E113B"/>
    <w:rsid w:val="000E12D1"/>
    <w:rsid w:val="000E18D2"/>
    <w:rsid w:val="000E3BF0"/>
    <w:rsid w:val="000E4180"/>
    <w:rsid w:val="000E43BE"/>
    <w:rsid w:val="000E4981"/>
    <w:rsid w:val="000E49CA"/>
    <w:rsid w:val="000E4DD7"/>
    <w:rsid w:val="000E5237"/>
    <w:rsid w:val="000E5395"/>
    <w:rsid w:val="000E5930"/>
    <w:rsid w:val="000E5A10"/>
    <w:rsid w:val="000E75CF"/>
    <w:rsid w:val="000E75F1"/>
    <w:rsid w:val="000E7F42"/>
    <w:rsid w:val="000F0A1E"/>
    <w:rsid w:val="000F1E56"/>
    <w:rsid w:val="000F2B8D"/>
    <w:rsid w:val="000F300C"/>
    <w:rsid w:val="000F335A"/>
    <w:rsid w:val="000F384A"/>
    <w:rsid w:val="000F3C18"/>
    <w:rsid w:val="000F48CB"/>
    <w:rsid w:val="000F4A05"/>
    <w:rsid w:val="000F4CCD"/>
    <w:rsid w:val="000F52E3"/>
    <w:rsid w:val="000F54E7"/>
    <w:rsid w:val="000F56C4"/>
    <w:rsid w:val="000F642D"/>
    <w:rsid w:val="000F68E9"/>
    <w:rsid w:val="000F7F0C"/>
    <w:rsid w:val="000F7FA9"/>
    <w:rsid w:val="00100073"/>
    <w:rsid w:val="00100948"/>
    <w:rsid w:val="00101EEB"/>
    <w:rsid w:val="001020F5"/>
    <w:rsid w:val="001023AB"/>
    <w:rsid w:val="00102923"/>
    <w:rsid w:val="00103017"/>
    <w:rsid w:val="001030E0"/>
    <w:rsid w:val="00103527"/>
    <w:rsid w:val="00104B55"/>
    <w:rsid w:val="00105957"/>
    <w:rsid w:val="0010628B"/>
    <w:rsid w:val="00106470"/>
    <w:rsid w:val="00107C50"/>
    <w:rsid w:val="001101A8"/>
    <w:rsid w:val="0011091E"/>
    <w:rsid w:val="00110CBD"/>
    <w:rsid w:val="0011126D"/>
    <w:rsid w:val="0011208E"/>
    <w:rsid w:val="0011239F"/>
    <w:rsid w:val="001131AC"/>
    <w:rsid w:val="00113254"/>
    <w:rsid w:val="001135A6"/>
    <w:rsid w:val="00113FF1"/>
    <w:rsid w:val="001146E7"/>
    <w:rsid w:val="001146F2"/>
    <w:rsid w:val="00115757"/>
    <w:rsid w:val="001158A6"/>
    <w:rsid w:val="0011593D"/>
    <w:rsid w:val="00116BFB"/>
    <w:rsid w:val="001170EE"/>
    <w:rsid w:val="001176A9"/>
    <w:rsid w:val="001208E6"/>
    <w:rsid w:val="00121022"/>
    <w:rsid w:val="001211A4"/>
    <w:rsid w:val="00121C34"/>
    <w:rsid w:val="00123756"/>
    <w:rsid w:val="00123A33"/>
    <w:rsid w:val="0012404A"/>
    <w:rsid w:val="00124895"/>
    <w:rsid w:val="00124E07"/>
    <w:rsid w:val="0012560B"/>
    <w:rsid w:val="0012582E"/>
    <w:rsid w:val="00127BAE"/>
    <w:rsid w:val="0013062E"/>
    <w:rsid w:val="001316C4"/>
    <w:rsid w:val="001325A8"/>
    <w:rsid w:val="00132C09"/>
    <w:rsid w:val="001336A5"/>
    <w:rsid w:val="00134632"/>
    <w:rsid w:val="00134849"/>
    <w:rsid w:val="001349EA"/>
    <w:rsid w:val="00134C8E"/>
    <w:rsid w:val="00135345"/>
    <w:rsid w:val="001353F9"/>
    <w:rsid w:val="00135558"/>
    <w:rsid w:val="00136355"/>
    <w:rsid w:val="001371F4"/>
    <w:rsid w:val="0014008F"/>
    <w:rsid w:val="0014023E"/>
    <w:rsid w:val="00142603"/>
    <w:rsid w:val="00142778"/>
    <w:rsid w:val="00142E11"/>
    <w:rsid w:val="00144145"/>
    <w:rsid w:val="00144941"/>
    <w:rsid w:val="001449D9"/>
    <w:rsid w:val="00145FD9"/>
    <w:rsid w:val="001468DA"/>
    <w:rsid w:val="00146933"/>
    <w:rsid w:val="0014699D"/>
    <w:rsid w:val="00147A11"/>
    <w:rsid w:val="00147EFF"/>
    <w:rsid w:val="00151811"/>
    <w:rsid w:val="00152930"/>
    <w:rsid w:val="00152DFE"/>
    <w:rsid w:val="00153485"/>
    <w:rsid w:val="00153ADD"/>
    <w:rsid w:val="00153B19"/>
    <w:rsid w:val="00154525"/>
    <w:rsid w:val="00154576"/>
    <w:rsid w:val="001545F8"/>
    <w:rsid w:val="001576FD"/>
    <w:rsid w:val="00157C93"/>
    <w:rsid w:val="00160396"/>
    <w:rsid w:val="0016062F"/>
    <w:rsid w:val="00160B16"/>
    <w:rsid w:val="00160CB5"/>
    <w:rsid w:val="001633A5"/>
    <w:rsid w:val="00163566"/>
    <w:rsid w:val="00164B26"/>
    <w:rsid w:val="00165A32"/>
    <w:rsid w:val="00165A42"/>
    <w:rsid w:val="00166EC0"/>
    <w:rsid w:val="00167237"/>
    <w:rsid w:val="00167618"/>
    <w:rsid w:val="00167649"/>
    <w:rsid w:val="001716C5"/>
    <w:rsid w:val="00172A50"/>
    <w:rsid w:val="00172A58"/>
    <w:rsid w:val="00173A91"/>
    <w:rsid w:val="00174681"/>
    <w:rsid w:val="00174A7F"/>
    <w:rsid w:val="0017579E"/>
    <w:rsid w:val="00175AAB"/>
    <w:rsid w:val="00175D60"/>
    <w:rsid w:val="00176F21"/>
    <w:rsid w:val="00180286"/>
    <w:rsid w:val="001827DF"/>
    <w:rsid w:val="00183531"/>
    <w:rsid w:val="00184049"/>
    <w:rsid w:val="00184324"/>
    <w:rsid w:val="00184430"/>
    <w:rsid w:val="00184507"/>
    <w:rsid w:val="00184EA8"/>
    <w:rsid w:val="00184F4A"/>
    <w:rsid w:val="001857C7"/>
    <w:rsid w:val="0018592A"/>
    <w:rsid w:val="001906CA"/>
    <w:rsid w:val="00191049"/>
    <w:rsid w:val="00191AF6"/>
    <w:rsid w:val="00192211"/>
    <w:rsid w:val="00192EA3"/>
    <w:rsid w:val="0019387C"/>
    <w:rsid w:val="00194422"/>
    <w:rsid w:val="00194904"/>
    <w:rsid w:val="00195084"/>
    <w:rsid w:val="001956CD"/>
    <w:rsid w:val="00195953"/>
    <w:rsid w:val="00195B51"/>
    <w:rsid w:val="00196657"/>
    <w:rsid w:val="00196683"/>
    <w:rsid w:val="00196C0D"/>
    <w:rsid w:val="0019701E"/>
    <w:rsid w:val="001976E4"/>
    <w:rsid w:val="00197F47"/>
    <w:rsid w:val="001A021F"/>
    <w:rsid w:val="001A073F"/>
    <w:rsid w:val="001A0A1E"/>
    <w:rsid w:val="001A0C75"/>
    <w:rsid w:val="001A0C7F"/>
    <w:rsid w:val="001A1229"/>
    <w:rsid w:val="001A218E"/>
    <w:rsid w:val="001A2D21"/>
    <w:rsid w:val="001A30F3"/>
    <w:rsid w:val="001A5273"/>
    <w:rsid w:val="001A68CE"/>
    <w:rsid w:val="001A77DE"/>
    <w:rsid w:val="001A77EA"/>
    <w:rsid w:val="001A7D17"/>
    <w:rsid w:val="001A7DA4"/>
    <w:rsid w:val="001B03F7"/>
    <w:rsid w:val="001B1B3F"/>
    <w:rsid w:val="001B2B6A"/>
    <w:rsid w:val="001B4206"/>
    <w:rsid w:val="001B4F21"/>
    <w:rsid w:val="001B5F9E"/>
    <w:rsid w:val="001B6807"/>
    <w:rsid w:val="001B71B9"/>
    <w:rsid w:val="001B7371"/>
    <w:rsid w:val="001C03B4"/>
    <w:rsid w:val="001C2957"/>
    <w:rsid w:val="001C2D9F"/>
    <w:rsid w:val="001C3047"/>
    <w:rsid w:val="001C31EF"/>
    <w:rsid w:val="001C3BD6"/>
    <w:rsid w:val="001C4E5A"/>
    <w:rsid w:val="001C58E5"/>
    <w:rsid w:val="001C5A28"/>
    <w:rsid w:val="001C6281"/>
    <w:rsid w:val="001C6E52"/>
    <w:rsid w:val="001C70A0"/>
    <w:rsid w:val="001C7958"/>
    <w:rsid w:val="001C7E13"/>
    <w:rsid w:val="001D0566"/>
    <w:rsid w:val="001D0F00"/>
    <w:rsid w:val="001D0FE1"/>
    <w:rsid w:val="001D149D"/>
    <w:rsid w:val="001D178F"/>
    <w:rsid w:val="001D1864"/>
    <w:rsid w:val="001D1C90"/>
    <w:rsid w:val="001D24DD"/>
    <w:rsid w:val="001D295D"/>
    <w:rsid w:val="001D34DB"/>
    <w:rsid w:val="001D414B"/>
    <w:rsid w:val="001D48B3"/>
    <w:rsid w:val="001D54C5"/>
    <w:rsid w:val="001D660E"/>
    <w:rsid w:val="001D69C8"/>
    <w:rsid w:val="001D7740"/>
    <w:rsid w:val="001E1CB9"/>
    <w:rsid w:val="001E1F05"/>
    <w:rsid w:val="001E2356"/>
    <w:rsid w:val="001E2E04"/>
    <w:rsid w:val="001E3DCD"/>
    <w:rsid w:val="001E4001"/>
    <w:rsid w:val="001E4A21"/>
    <w:rsid w:val="001E52AB"/>
    <w:rsid w:val="001E57B4"/>
    <w:rsid w:val="001E62A5"/>
    <w:rsid w:val="001E6919"/>
    <w:rsid w:val="001E739F"/>
    <w:rsid w:val="001F00C9"/>
    <w:rsid w:val="001F0145"/>
    <w:rsid w:val="001F026C"/>
    <w:rsid w:val="001F0EA6"/>
    <w:rsid w:val="001F1397"/>
    <w:rsid w:val="001F21AD"/>
    <w:rsid w:val="001F227E"/>
    <w:rsid w:val="001F3B58"/>
    <w:rsid w:val="001F3BB5"/>
    <w:rsid w:val="001F4012"/>
    <w:rsid w:val="001F456E"/>
    <w:rsid w:val="001F4CB4"/>
    <w:rsid w:val="001F5065"/>
    <w:rsid w:val="001F5E4D"/>
    <w:rsid w:val="001F617C"/>
    <w:rsid w:val="001F6244"/>
    <w:rsid w:val="001F64F0"/>
    <w:rsid w:val="001F65E2"/>
    <w:rsid w:val="001F7FBC"/>
    <w:rsid w:val="001F7FBF"/>
    <w:rsid w:val="00201396"/>
    <w:rsid w:val="00201C46"/>
    <w:rsid w:val="00201C83"/>
    <w:rsid w:val="0020206D"/>
    <w:rsid w:val="002020A6"/>
    <w:rsid w:val="002034EA"/>
    <w:rsid w:val="00203E56"/>
    <w:rsid w:val="00203F5F"/>
    <w:rsid w:val="00204694"/>
    <w:rsid w:val="002046ED"/>
    <w:rsid w:val="00205113"/>
    <w:rsid w:val="00205FBA"/>
    <w:rsid w:val="002064A1"/>
    <w:rsid w:val="002067BC"/>
    <w:rsid w:val="0020695E"/>
    <w:rsid w:val="00207B38"/>
    <w:rsid w:val="002101F4"/>
    <w:rsid w:val="00210327"/>
    <w:rsid w:val="002103A2"/>
    <w:rsid w:val="002108ED"/>
    <w:rsid w:val="00211383"/>
    <w:rsid w:val="002114B9"/>
    <w:rsid w:val="00211FAB"/>
    <w:rsid w:val="00212D65"/>
    <w:rsid w:val="00214C0D"/>
    <w:rsid w:val="00214D6B"/>
    <w:rsid w:val="00214F30"/>
    <w:rsid w:val="002152AB"/>
    <w:rsid w:val="00215608"/>
    <w:rsid w:val="00215F1E"/>
    <w:rsid w:val="002162CE"/>
    <w:rsid w:val="002166A3"/>
    <w:rsid w:val="002170A1"/>
    <w:rsid w:val="0021747B"/>
    <w:rsid w:val="00217CE9"/>
    <w:rsid w:val="002200DF"/>
    <w:rsid w:val="00221F46"/>
    <w:rsid w:val="002221BC"/>
    <w:rsid w:val="00222E5D"/>
    <w:rsid w:val="002240E1"/>
    <w:rsid w:val="00224395"/>
    <w:rsid w:val="00224A3C"/>
    <w:rsid w:val="0022552C"/>
    <w:rsid w:val="002256C0"/>
    <w:rsid w:val="00226048"/>
    <w:rsid w:val="0022627D"/>
    <w:rsid w:val="00226351"/>
    <w:rsid w:val="002263B0"/>
    <w:rsid w:val="00226E8E"/>
    <w:rsid w:val="0022730E"/>
    <w:rsid w:val="00227ED3"/>
    <w:rsid w:val="00230150"/>
    <w:rsid w:val="0023145D"/>
    <w:rsid w:val="00231CE4"/>
    <w:rsid w:val="00232BED"/>
    <w:rsid w:val="00232CC0"/>
    <w:rsid w:val="00232FA1"/>
    <w:rsid w:val="00233E9D"/>
    <w:rsid w:val="00235CF7"/>
    <w:rsid w:val="002367B0"/>
    <w:rsid w:val="00236A8A"/>
    <w:rsid w:val="00240352"/>
    <w:rsid w:val="002403F4"/>
    <w:rsid w:val="0024116D"/>
    <w:rsid w:val="00241B34"/>
    <w:rsid w:val="00241B92"/>
    <w:rsid w:val="00241D7F"/>
    <w:rsid w:val="002429AE"/>
    <w:rsid w:val="00242FBF"/>
    <w:rsid w:val="0024392C"/>
    <w:rsid w:val="00243BFB"/>
    <w:rsid w:val="002449E9"/>
    <w:rsid w:val="00244CF4"/>
    <w:rsid w:val="00244DB0"/>
    <w:rsid w:val="00244FA7"/>
    <w:rsid w:val="002459E1"/>
    <w:rsid w:val="00245FBF"/>
    <w:rsid w:val="0024640B"/>
    <w:rsid w:val="002477AD"/>
    <w:rsid w:val="00251337"/>
    <w:rsid w:val="0025140B"/>
    <w:rsid w:val="002519B7"/>
    <w:rsid w:val="00251E2B"/>
    <w:rsid w:val="00253474"/>
    <w:rsid w:val="00254AE8"/>
    <w:rsid w:val="002552F4"/>
    <w:rsid w:val="00255FAC"/>
    <w:rsid w:val="00256430"/>
    <w:rsid w:val="00256E4E"/>
    <w:rsid w:val="0025708F"/>
    <w:rsid w:val="002576D9"/>
    <w:rsid w:val="00257888"/>
    <w:rsid w:val="00257DA0"/>
    <w:rsid w:val="00257EBD"/>
    <w:rsid w:val="00260629"/>
    <w:rsid w:val="00260C61"/>
    <w:rsid w:val="002610BB"/>
    <w:rsid w:val="00261657"/>
    <w:rsid w:val="0026173E"/>
    <w:rsid w:val="00261D09"/>
    <w:rsid w:val="002620A9"/>
    <w:rsid w:val="0026296A"/>
    <w:rsid w:val="00262D9C"/>
    <w:rsid w:val="002637E1"/>
    <w:rsid w:val="00264266"/>
    <w:rsid w:val="00264B10"/>
    <w:rsid w:val="0026512D"/>
    <w:rsid w:val="00265E65"/>
    <w:rsid w:val="00266735"/>
    <w:rsid w:val="00266C22"/>
    <w:rsid w:val="0026738B"/>
    <w:rsid w:val="00267F11"/>
    <w:rsid w:val="002701F0"/>
    <w:rsid w:val="0027079A"/>
    <w:rsid w:val="00270C08"/>
    <w:rsid w:val="002713B6"/>
    <w:rsid w:val="002721F0"/>
    <w:rsid w:val="00272D4E"/>
    <w:rsid w:val="00272FF6"/>
    <w:rsid w:val="00273950"/>
    <w:rsid w:val="00273A27"/>
    <w:rsid w:val="00273C10"/>
    <w:rsid w:val="00273DAA"/>
    <w:rsid w:val="00274460"/>
    <w:rsid w:val="002745C2"/>
    <w:rsid w:val="002749F4"/>
    <w:rsid w:val="00274CB3"/>
    <w:rsid w:val="00274CEA"/>
    <w:rsid w:val="00275258"/>
    <w:rsid w:val="002752E2"/>
    <w:rsid w:val="002753DB"/>
    <w:rsid w:val="00276A7C"/>
    <w:rsid w:val="00276C84"/>
    <w:rsid w:val="00277BC7"/>
    <w:rsid w:val="00277F2C"/>
    <w:rsid w:val="0028120A"/>
    <w:rsid w:val="0028127B"/>
    <w:rsid w:val="0028209E"/>
    <w:rsid w:val="00282501"/>
    <w:rsid w:val="00282651"/>
    <w:rsid w:val="00282983"/>
    <w:rsid w:val="002833E4"/>
    <w:rsid w:val="00283A83"/>
    <w:rsid w:val="00283C1C"/>
    <w:rsid w:val="00286B79"/>
    <w:rsid w:val="00286E1A"/>
    <w:rsid w:val="00286EA0"/>
    <w:rsid w:val="002870D1"/>
    <w:rsid w:val="00287502"/>
    <w:rsid w:val="002900C8"/>
    <w:rsid w:val="002901D5"/>
    <w:rsid w:val="002906C8"/>
    <w:rsid w:val="00290866"/>
    <w:rsid w:val="002911A3"/>
    <w:rsid w:val="00291903"/>
    <w:rsid w:val="00294570"/>
    <w:rsid w:val="0029461E"/>
    <w:rsid w:val="00294B73"/>
    <w:rsid w:val="002951E9"/>
    <w:rsid w:val="002978EF"/>
    <w:rsid w:val="002A01B0"/>
    <w:rsid w:val="002A073A"/>
    <w:rsid w:val="002A170D"/>
    <w:rsid w:val="002A19B9"/>
    <w:rsid w:val="002A1D73"/>
    <w:rsid w:val="002A2D3C"/>
    <w:rsid w:val="002A32D7"/>
    <w:rsid w:val="002A3D60"/>
    <w:rsid w:val="002A400B"/>
    <w:rsid w:val="002A4400"/>
    <w:rsid w:val="002A4AF5"/>
    <w:rsid w:val="002A4E47"/>
    <w:rsid w:val="002A500D"/>
    <w:rsid w:val="002A51B7"/>
    <w:rsid w:val="002A52E5"/>
    <w:rsid w:val="002A5383"/>
    <w:rsid w:val="002A6395"/>
    <w:rsid w:val="002A64EE"/>
    <w:rsid w:val="002A739C"/>
    <w:rsid w:val="002A7460"/>
    <w:rsid w:val="002A76D8"/>
    <w:rsid w:val="002A7746"/>
    <w:rsid w:val="002B0FC4"/>
    <w:rsid w:val="002B1263"/>
    <w:rsid w:val="002B2CA0"/>
    <w:rsid w:val="002B2EC7"/>
    <w:rsid w:val="002B3463"/>
    <w:rsid w:val="002B3F34"/>
    <w:rsid w:val="002B5536"/>
    <w:rsid w:val="002B5765"/>
    <w:rsid w:val="002B5DCF"/>
    <w:rsid w:val="002B601A"/>
    <w:rsid w:val="002B6AEA"/>
    <w:rsid w:val="002B7464"/>
    <w:rsid w:val="002B75C0"/>
    <w:rsid w:val="002B7C49"/>
    <w:rsid w:val="002B7D97"/>
    <w:rsid w:val="002C02B1"/>
    <w:rsid w:val="002C0923"/>
    <w:rsid w:val="002C1362"/>
    <w:rsid w:val="002C1553"/>
    <w:rsid w:val="002C2CBE"/>
    <w:rsid w:val="002C2D81"/>
    <w:rsid w:val="002C3627"/>
    <w:rsid w:val="002C3FA3"/>
    <w:rsid w:val="002C4965"/>
    <w:rsid w:val="002C4C3B"/>
    <w:rsid w:val="002C5284"/>
    <w:rsid w:val="002C5591"/>
    <w:rsid w:val="002C76EE"/>
    <w:rsid w:val="002D0F89"/>
    <w:rsid w:val="002D0FB2"/>
    <w:rsid w:val="002D1301"/>
    <w:rsid w:val="002D155E"/>
    <w:rsid w:val="002D15AB"/>
    <w:rsid w:val="002D2165"/>
    <w:rsid w:val="002D23B8"/>
    <w:rsid w:val="002D25E7"/>
    <w:rsid w:val="002D3B23"/>
    <w:rsid w:val="002D3EC5"/>
    <w:rsid w:val="002D4F91"/>
    <w:rsid w:val="002D5163"/>
    <w:rsid w:val="002D5D56"/>
    <w:rsid w:val="002D641D"/>
    <w:rsid w:val="002D648D"/>
    <w:rsid w:val="002D6E3F"/>
    <w:rsid w:val="002D7035"/>
    <w:rsid w:val="002D7199"/>
    <w:rsid w:val="002D728D"/>
    <w:rsid w:val="002D7481"/>
    <w:rsid w:val="002D7B6E"/>
    <w:rsid w:val="002E09C1"/>
    <w:rsid w:val="002E1603"/>
    <w:rsid w:val="002E173C"/>
    <w:rsid w:val="002E1886"/>
    <w:rsid w:val="002E2BB0"/>
    <w:rsid w:val="002E5478"/>
    <w:rsid w:val="002E5D8A"/>
    <w:rsid w:val="002E7503"/>
    <w:rsid w:val="002E7A3A"/>
    <w:rsid w:val="002F0A63"/>
    <w:rsid w:val="002F3871"/>
    <w:rsid w:val="002F389D"/>
    <w:rsid w:val="002F3F5B"/>
    <w:rsid w:val="002F4996"/>
    <w:rsid w:val="002F4AB4"/>
    <w:rsid w:val="002F51DF"/>
    <w:rsid w:val="002F5664"/>
    <w:rsid w:val="002F63C2"/>
    <w:rsid w:val="002F713B"/>
    <w:rsid w:val="002F7BB5"/>
    <w:rsid w:val="003007AD"/>
    <w:rsid w:val="0030196B"/>
    <w:rsid w:val="0030197F"/>
    <w:rsid w:val="00301CE4"/>
    <w:rsid w:val="00301EB3"/>
    <w:rsid w:val="00302061"/>
    <w:rsid w:val="00302B10"/>
    <w:rsid w:val="00302CAF"/>
    <w:rsid w:val="00302E96"/>
    <w:rsid w:val="003030F0"/>
    <w:rsid w:val="00303E4B"/>
    <w:rsid w:val="0030443C"/>
    <w:rsid w:val="0030482F"/>
    <w:rsid w:val="003048CD"/>
    <w:rsid w:val="00305A23"/>
    <w:rsid w:val="00306095"/>
    <w:rsid w:val="00306F44"/>
    <w:rsid w:val="00310BD8"/>
    <w:rsid w:val="0031114C"/>
    <w:rsid w:val="003125D3"/>
    <w:rsid w:val="00312A63"/>
    <w:rsid w:val="00312B4F"/>
    <w:rsid w:val="003132EE"/>
    <w:rsid w:val="0031372E"/>
    <w:rsid w:val="00313C6A"/>
    <w:rsid w:val="00314952"/>
    <w:rsid w:val="0031601A"/>
    <w:rsid w:val="0031622B"/>
    <w:rsid w:val="00317283"/>
    <w:rsid w:val="00317751"/>
    <w:rsid w:val="003218E1"/>
    <w:rsid w:val="00321D21"/>
    <w:rsid w:val="0032259F"/>
    <w:rsid w:val="00322668"/>
    <w:rsid w:val="0032287F"/>
    <w:rsid w:val="003228D4"/>
    <w:rsid w:val="003228EF"/>
    <w:rsid w:val="00322961"/>
    <w:rsid w:val="00322A94"/>
    <w:rsid w:val="00323FA4"/>
    <w:rsid w:val="00325090"/>
    <w:rsid w:val="00325129"/>
    <w:rsid w:val="0032537E"/>
    <w:rsid w:val="00325C2B"/>
    <w:rsid w:val="00325E6B"/>
    <w:rsid w:val="00326848"/>
    <w:rsid w:val="003268EB"/>
    <w:rsid w:val="00326EB0"/>
    <w:rsid w:val="003272DC"/>
    <w:rsid w:val="0032732D"/>
    <w:rsid w:val="0032774A"/>
    <w:rsid w:val="00327B16"/>
    <w:rsid w:val="00327B85"/>
    <w:rsid w:val="00327C80"/>
    <w:rsid w:val="00327CF3"/>
    <w:rsid w:val="00327ECF"/>
    <w:rsid w:val="00330A1E"/>
    <w:rsid w:val="00330AA8"/>
    <w:rsid w:val="003310BD"/>
    <w:rsid w:val="00331A12"/>
    <w:rsid w:val="00331B03"/>
    <w:rsid w:val="00331FC5"/>
    <w:rsid w:val="0033248B"/>
    <w:rsid w:val="00333B54"/>
    <w:rsid w:val="003345BC"/>
    <w:rsid w:val="00334956"/>
    <w:rsid w:val="003352D1"/>
    <w:rsid w:val="003354D9"/>
    <w:rsid w:val="00335CDF"/>
    <w:rsid w:val="00336C0A"/>
    <w:rsid w:val="00337E4F"/>
    <w:rsid w:val="00340112"/>
    <w:rsid w:val="003402A5"/>
    <w:rsid w:val="003409C4"/>
    <w:rsid w:val="00340E46"/>
    <w:rsid w:val="003410B2"/>
    <w:rsid w:val="003413B1"/>
    <w:rsid w:val="00341904"/>
    <w:rsid w:val="00341B9E"/>
    <w:rsid w:val="0034216B"/>
    <w:rsid w:val="00343044"/>
    <w:rsid w:val="00343622"/>
    <w:rsid w:val="00343D79"/>
    <w:rsid w:val="003444A7"/>
    <w:rsid w:val="00344596"/>
    <w:rsid w:val="00344FA9"/>
    <w:rsid w:val="003452CD"/>
    <w:rsid w:val="00346742"/>
    <w:rsid w:val="0034680E"/>
    <w:rsid w:val="0034789F"/>
    <w:rsid w:val="00347B7A"/>
    <w:rsid w:val="00347FF9"/>
    <w:rsid w:val="0035043B"/>
    <w:rsid w:val="0035077F"/>
    <w:rsid w:val="00350ACB"/>
    <w:rsid w:val="00350B74"/>
    <w:rsid w:val="003512D1"/>
    <w:rsid w:val="00351F7A"/>
    <w:rsid w:val="003548A1"/>
    <w:rsid w:val="00355A2B"/>
    <w:rsid w:val="00355AF5"/>
    <w:rsid w:val="0035652A"/>
    <w:rsid w:val="003570EE"/>
    <w:rsid w:val="003571C8"/>
    <w:rsid w:val="003574D0"/>
    <w:rsid w:val="003601FF"/>
    <w:rsid w:val="00360FD3"/>
    <w:rsid w:val="00361BE4"/>
    <w:rsid w:val="00362949"/>
    <w:rsid w:val="00363C08"/>
    <w:rsid w:val="003644B0"/>
    <w:rsid w:val="00364E2D"/>
    <w:rsid w:val="00365AFE"/>
    <w:rsid w:val="00365CBB"/>
    <w:rsid w:val="00365EB3"/>
    <w:rsid w:val="003660A0"/>
    <w:rsid w:val="0036674A"/>
    <w:rsid w:val="00366D04"/>
    <w:rsid w:val="00366EA0"/>
    <w:rsid w:val="0036700E"/>
    <w:rsid w:val="003679F9"/>
    <w:rsid w:val="00367EB7"/>
    <w:rsid w:val="00370042"/>
    <w:rsid w:val="00371272"/>
    <w:rsid w:val="00371312"/>
    <w:rsid w:val="003714E2"/>
    <w:rsid w:val="00371B2C"/>
    <w:rsid w:val="00371BEC"/>
    <w:rsid w:val="0037212C"/>
    <w:rsid w:val="00374065"/>
    <w:rsid w:val="0037445B"/>
    <w:rsid w:val="0037446E"/>
    <w:rsid w:val="00374FCE"/>
    <w:rsid w:val="00375219"/>
    <w:rsid w:val="003764E7"/>
    <w:rsid w:val="00376F3F"/>
    <w:rsid w:val="0037794F"/>
    <w:rsid w:val="00377D77"/>
    <w:rsid w:val="0038040C"/>
    <w:rsid w:val="00380DC1"/>
    <w:rsid w:val="00381122"/>
    <w:rsid w:val="00381AB7"/>
    <w:rsid w:val="0038228A"/>
    <w:rsid w:val="0038343E"/>
    <w:rsid w:val="00383B4C"/>
    <w:rsid w:val="0038431E"/>
    <w:rsid w:val="003846AB"/>
    <w:rsid w:val="00384EEA"/>
    <w:rsid w:val="003853A3"/>
    <w:rsid w:val="0038580A"/>
    <w:rsid w:val="00385B81"/>
    <w:rsid w:val="00385D4A"/>
    <w:rsid w:val="00385FE9"/>
    <w:rsid w:val="0039130C"/>
    <w:rsid w:val="0039189F"/>
    <w:rsid w:val="00391AE5"/>
    <w:rsid w:val="00391D08"/>
    <w:rsid w:val="00392FDD"/>
    <w:rsid w:val="00393D71"/>
    <w:rsid w:val="00395C20"/>
    <w:rsid w:val="00395EFD"/>
    <w:rsid w:val="00397AF5"/>
    <w:rsid w:val="00397B37"/>
    <w:rsid w:val="003A106D"/>
    <w:rsid w:val="003A1611"/>
    <w:rsid w:val="003A1AE3"/>
    <w:rsid w:val="003A1CF8"/>
    <w:rsid w:val="003A2C23"/>
    <w:rsid w:val="003A3C27"/>
    <w:rsid w:val="003A4918"/>
    <w:rsid w:val="003A5CBF"/>
    <w:rsid w:val="003A717E"/>
    <w:rsid w:val="003A74D2"/>
    <w:rsid w:val="003A7C54"/>
    <w:rsid w:val="003B0152"/>
    <w:rsid w:val="003B0456"/>
    <w:rsid w:val="003B0697"/>
    <w:rsid w:val="003B0DEC"/>
    <w:rsid w:val="003B2739"/>
    <w:rsid w:val="003B2DC8"/>
    <w:rsid w:val="003B2EC4"/>
    <w:rsid w:val="003B3211"/>
    <w:rsid w:val="003B3CDF"/>
    <w:rsid w:val="003B3ED4"/>
    <w:rsid w:val="003B5C7C"/>
    <w:rsid w:val="003B6505"/>
    <w:rsid w:val="003B7474"/>
    <w:rsid w:val="003B76ED"/>
    <w:rsid w:val="003B7DC9"/>
    <w:rsid w:val="003C0406"/>
    <w:rsid w:val="003C0EA9"/>
    <w:rsid w:val="003C13C8"/>
    <w:rsid w:val="003C1D39"/>
    <w:rsid w:val="003C2024"/>
    <w:rsid w:val="003C2174"/>
    <w:rsid w:val="003C232D"/>
    <w:rsid w:val="003C2453"/>
    <w:rsid w:val="003C254D"/>
    <w:rsid w:val="003C2CB9"/>
    <w:rsid w:val="003C2EB0"/>
    <w:rsid w:val="003C4123"/>
    <w:rsid w:val="003C42AD"/>
    <w:rsid w:val="003C4332"/>
    <w:rsid w:val="003C47B2"/>
    <w:rsid w:val="003C4878"/>
    <w:rsid w:val="003C4CB0"/>
    <w:rsid w:val="003C5429"/>
    <w:rsid w:val="003C56A4"/>
    <w:rsid w:val="003C5E03"/>
    <w:rsid w:val="003C6EA3"/>
    <w:rsid w:val="003C74B3"/>
    <w:rsid w:val="003C791E"/>
    <w:rsid w:val="003C7A91"/>
    <w:rsid w:val="003D011D"/>
    <w:rsid w:val="003D2569"/>
    <w:rsid w:val="003D408A"/>
    <w:rsid w:val="003D4513"/>
    <w:rsid w:val="003D4B86"/>
    <w:rsid w:val="003D501C"/>
    <w:rsid w:val="003D5972"/>
    <w:rsid w:val="003D59B7"/>
    <w:rsid w:val="003D5BE4"/>
    <w:rsid w:val="003D643F"/>
    <w:rsid w:val="003D6811"/>
    <w:rsid w:val="003D7CDC"/>
    <w:rsid w:val="003E04F1"/>
    <w:rsid w:val="003E05B0"/>
    <w:rsid w:val="003E0A40"/>
    <w:rsid w:val="003E1588"/>
    <w:rsid w:val="003E2DBE"/>
    <w:rsid w:val="003E3589"/>
    <w:rsid w:val="003E393F"/>
    <w:rsid w:val="003E39DF"/>
    <w:rsid w:val="003E47B8"/>
    <w:rsid w:val="003E4968"/>
    <w:rsid w:val="003E4A8F"/>
    <w:rsid w:val="003E5499"/>
    <w:rsid w:val="003E5F74"/>
    <w:rsid w:val="003E674A"/>
    <w:rsid w:val="003E68E4"/>
    <w:rsid w:val="003F0222"/>
    <w:rsid w:val="003F0615"/>
    <w:rsid w:val="003F1655"/>
    <w:rsid w:val="003F22F3"/>
    <w:rsid w:val="003F2386"/>
    <w:rsid w:val="003F2688"/>
    <w:rsid w:val="003F305A"/>
    <w:rsid w:val="003F3367"/>
    <w:rsid w:val="003F5307"/>
    <w:rsid w:val="003F5BAD"/>
    <w:rsid w:val="003F6BE4"/>
    <w:rsid w:val="00400A7A"/>
    <w:rsid w:val="004029E6"/>
    <w:rsid w:val="004032DE"/>
    <w:rsid w:val="004036E1"/>
    <w:rsid w:val="004047F7"/>
    <w:rsid w:val="0040482F"/>
    <w:rsid w:val="00404996"/>
    <w:rsid w:val="004049D0"/>
    <w:rsid w:val="00404D29"/>
    <w:rsid w:val="0040564C"/>
    <w:rsid w:val="004059B2"/>
    <w:rsid w:val="00405A08"/>
    <w:rsid w:val="00405D01"/>
    <w:rsid w:val="00405FCB"/>
    <w:rsid w:val="00405FE0"/>
    <w:rsid w:val="00406566"/>
    <w:rsid w:val="00406A8F"/>
    <w:rsid w:val="004071E3"/>
    <w:rsid w:val="00407471"/>
    <w:rsid w:val="00407780"/>
    <w:rsid w:val="00410257"/>
    <w:rsid w:val="00410690"/>
    <w:rsid w:val="004108B1"/>
    <w:rsid w:val="00410D25"/>
    <w:rsid w:val="00411AAF"/>
    <w:rsid w:val="004127B8"/>
    <w:rsid w:val="00414E7C"/>
    <w:rsid w:val="004152EB"/>
    <w:rsid w:val="004163E3"/>
    <w:rsid w:val="004170D1"/>
    <w:rsid w:val="00417DE6"/>
    <w:rsid w:val="00417F48"/>
    <w:rsid w:val="00420179"/>
    <w:rsid w:val="004209D6"/>
    <w:rsid w:val="00420D33"/>
    <w:rsid w:val="00420EA8"/>
    <w:rsid w:val="00421302"/>
    <w:rsid w:val="00421C87"/>
    <w:rsid w:val="004222E2"/>
    <w:rsid w:val="00422741"/>
    <w:rsid w:val="00422DAA"/>
    <w:rsid w:val="00422E03"/>
    <w:rsid w:val="00423E4E"/>
    <w:rsid w:val="0042411C"/>
    <w:rsid w:val="00424E3D"/>
    <w:rsid w:val="00424EFF"/>
    <w:rsid w:val="004251AC"/>
    <w:rsid w:val="00425A3E"/>
    <w:rsid w:val="004267AA"/>
    <w:rsid w:val="00426A52"/>
    <w:rsid w:val="00427978"/>
    <w:rsid w:val="00427F63"/>
    <w:rsid w:val="00430459"/>
    <w:rsid w:val="00430BCF"/>
    <w:rsid w:val="00431933"/>
    <w:rsid w:val="00432364"/>
    <w:rsid w:val="00433BC0"/>
    <w:rsid w:val="00434387"/>
    <w:rsid w:val="0043449C"/>
    <w:rsid w:val="00434DEF"/>
    <w:rsid w:val="00435238"/>
    <w:rsid w:val="00436272"/>
    <w:rsid w:val="004368F9"/>
    <w:rsid w:val="004378D6"/>
    <w:rsid w:val="00440D7A"/>
    <w:rsid w:val="004416A4"/>
    <w:rsid w:val="00442EFA"/>
    <w:rsid w:val="004430B2"/>
    <w:rsid w:val="00443717"/>
    <w:rsid w:val="00443BA2"/>
    <w:rsid w:val="00445062"/>
    <w:rsid w:val="004457CA"/>
    <w:rsid w:val="00445EBF"/>
    <w:rsid w:val="00446200"/>
    <w:rsid w:val="00446970"/>
    <w:rsid w:val="00450009"/>
    <w:rsid w:val="00450531"/>
    <w:rsid w:val="00450960"/>
    <w:rsid w:val="00450E0C"/>
    <w:rsid w:val="00451934"/>
    <w:rsid w:val="0045210E"/>
    <w:rsid w:val="00453838"/>
    <w:rsid w:val="00453852"/>
    <w:rsid w:val="00454901"/>
    <w:rsid w:val="004550B3"/>
    <w:rsid w:val="00456618"/>
    <w:rsid w:val="004571A3"/>
    <w:rsid w:val="00457BEC"/>
    <w:rsid w:val="004600B2"/>
    <w:rsid w:val="0046057B"/>
    <w:rsid w:val="00460993"/>
    <w:rsid w:val="004611EC"/>
    <w:rsid w:val="004627BB"/>
    <w:rsid w:val="004629D2"/>
    <w:rsid w:val="00462BB9"/>
    <w:rsid w:val="00462D45"/>
    <w:rsid w:val="0046335C"/>
    <w:rsid w:val="00464C71"/>
    <w:rsid w:val="0046708B"/>
    <w:rsid w:val="004674F4"/>
    <w:rsid w:val="004708B2"/>
    <w:rsid w:val="00471EF2"/>
    <w:rsid w:val="004721FE"/>
    <w:rsid w:val="00472299"/>
    <w:rsid w:val="00472775"/>
    <w:rsid w:val="00472999"/>
    <w:rsid w:val="00472C35"/>
    <w:rsid w:val="0047335D"/>
    <w:rsid w:val="00473930"/>
    <w:rsid w:val="00473FB7"/>
    <w:rsid w:val="0047451F"/>
    <w:rsid w:val="0047488E"/>
    <w:rsid w:val="004748F6"/>
    <w:rsid w:val="00474CF5"/>
    <w:rsid w:val="00474D81"/>
    <w:rsid w:val="0047511A"/>
    <w:rsid w:val="00475709"/>
    <w:rsid w:val="00475FF6"/>
    <w:rsid w:val="00477C8B"/>
    <w:rsid w:val="00480364"/>
    <w:rsid w:val="00480F68"/>
    <w:rsid w:val="0048110D"/>
    <w:rsid w:val="00482463"/>
    <w:rsid w:val="00482956"/>
    <w:rsid w:val="00483354"/>
    <w:rsid w:val="00483974"/>
    <w:rsid w:val="00483C5F"/>
    <w:rsid w:val="0048413B"/>
    <w:rsid w:val="0048418B"/>
    <w:rsid w:val="00484244"/>
    <w:rsid w:val="00484734"/>
    <w:rsid w:val="00485668"/>
    <w:rsid w:val="004857D2"/>
    <w:rsid w:val="00485EB4"/>
    <w:rsid w:val="00485EBF"/>
    <w:rsid w:val="004861DA"/>
    <w:rsid w:val="00486CEF"/>
    <w:rsid w:val="0048756B"/>
    <w:rsid w:val="00490F6F"/>
    <w:rsid w:val="0049135B"/>
    <w:rsid w:val="004915C3"/>
    <w:rsid w:val="00491BA0"/>
    <w:rsid w:val="00492196"/>
    <w:rsid w:val="00493033"/>
    <w:rsid w:val="004936B2"/>
    <w:rsid w:val="00493B08"/>
    <w:rsid w:val="0049510A"/>
    <w:rsid w:val="004954BF"/>
    <w:rsid w:val="00496438"/>
    <w:rsid w:val="0049661C"/>
    <w:rsid w:val="004968A1"/>
    <w:rsid w:val="004976B7"/>
    <w:rsid w:val="00497729"/>
    <w:rsid w:val="004A038D"/>
    <w:rsid w:val="004A0D96"/>
    <w:rsid w:val="004A1343"/>
    <w:rsid w:val="004A2175"/>
    <w:rsid w:val="004A2245"/>
    <w:rsid w:val="004A243D"/>
    <w:rsid w:val="004A2D9D"/>
    <w:rsid w:val="004A3947"/>
    <w:rsid w:val="004A398A"/>
    <w:rsid w:val="004A3B6B"/>
    <w:rsid w:val="004A3DEE"/>
    <w:rsid w:val="004A4F5A"/>
    <w:rsid w:val="004A53C2"/>
    <w:rsid w:val="004A5682"/>
    <w:rsid w:val="004A5E12"/>
    <w:rsid w:val="004A667A"/>
    <w:rsid w:val="004B00CE"/>
    <w:rsid w:val="004B164B"/>
    <w:rsid w:val="004B27BA"/>
    <w:rsid w:val="004B2C3A"/>
    <w:rsid w:val="004B336A"/>
    <w:rsid w:val="004B3DF8"/>
    <w:rsid w:val="004B4C6A"/>
    <w:rsid w:val="004B5F4F"/>
    <w:rsid w:val="004B6511"/>
    <w:rsid w:val="004B698E"/>
    <w:rsid w:val="004B723B"/>
    <w:rsid w:val="004B73A6"/>
    <w:rsid w:val="004B7739"/>
    <w:rsid w:val="004B7E0B"/>
    <w:rsid w:val="004C0333"/>
    <w:rsid w:val="004C0830"/>
    <w:rsid w:val="004C0B60"/>
    <w:rsid w:val="004C0C76"/>
    <w:rsid w:val="004C0DEE"/>
    <w:rsid w:val="004C1043"/>
    <w:rsid w:val="004C1CB0"/>
    <w:rsid w:val="004C1D79"/>
    <w:rsid w:val="004C2104"/>
    <w:rsid w:val="004C2600"/>
    <w:rsid w:val="004C2633"/>
    <w:rsid w:val="004C2DE9"/>
    <w:rsid w:val="004C3702"/>
    <w:rsid w:val="004C3C19"/>
    <w:rsid w:val="004C406F"/>
    <w:rsid w:val="004C4FFF"/>
    <w:rsid w:val="004C5302"/>
    <w:rsid w:val="004C5332"/>
    <w:rsid w:val="004C6B00"/>
    <w:rsid w:val="004D0307"/>
    <w:rsid w:val="004D04A0"/>
    <w:rsid w:val="004D15B9"/>
    <w:rsid w:val="004D175B"/>
    <w:rsid w:val="004D17A6"/>
    <w:rsid w:val="004D1AD4"/>
    <w:rsid w:val="004D1FC9"/>
    <w:rsid w:val="004D2237"/>
    <w:rsid w:val="004D2714"/>
    <w:rsid w:val="004D2C85"/>
    <w:rsid w:val="004D35B8"/>
    <w:rsid w:val="004D36D4"/>
    <w:rsid w:val="004D39BF"/>
    <w:rsid w:val="004D3C6B"/>
    <w:rsid w:val="004D468F"/>
    <w:rsid w:val="004D4715"/>
    <w:rsid w:val="004D48F8"/>
    <w:rsid w:val="004D49C1"/>
    <w:rsid w:val="004D4DDE"/>
    <w:rsid w:val="004D5441"/>
    <w:rsid w:val="004D615C"/>
    <w:rsid w:val="004D6678"/>
    <w:rsid w:val="004D66D6"/>
    <w:rsid w:val="004E0AED"/>
    <w:rsid w:val="004E0E70"/>
    <w:rsid w:val="004E0FAA"/>
    <w:rsid w:val="004E1C8A"/>
    <w:rsid w:val="004E244D"/>
    <w:rsid w:val="004E2A64"/>
    <w:rsid w:val="004E2C8A"/>
    <w:rsid w:val="004E33D9"/>
    <w:rsid w:val="004E3601"/>
    <w:rsid w:val="004E433B"/>
    <w:rsid w:val="004E44DA"/>
    <w:rsid w:val="004E45B8"/>
    <w:rsid w:val="004E4E6F"/>
    <w:rsid w:val="004E516A"/>
    <w:rsid w:val="004E622A"/>
    <w:rsid w:val="004E65B7"/>
    <w:rsid w:val="004E74BD"/>
    <w:rsid w:val="004E799F"/>
    <w:rsid w:val="004E7AA7"/>
    <w:rsid w:val="004F1021"/>
    <w:rsid w:val="004F1091"/>
    <w:rsid w:val="004F1EDF"/>
    <w:rsid w:val="004F2D88"/>
    <w:rsid w:val="004F37FA"/>
    <w:rsid w:val="004F3F8E"/>
    <w:rsid w:val="004F4A87"/>
    <w:rsid w:val="004F4C09"/>
    <w:rsid w:val="004F54E4"/>
    <w:rsid w:val="004F5A33"/>
    <w:rsid w:val="004F5BE4"/>
    <w:rsid w:val="004F5E62"/>
    <w:rsid w:val="004F5EB4"/>
    <w:rsid w:val="004F659D"/>
    <w:rsid w:val="004F6ADA"/>
    <w:rsid w:val="004F73BD"/>
    <w:rsid w:val="004F73F9"/>
    <w:rsid w:val="00500365"/>
    <w:rsid w:val="00500C63"/>
    <w:rsid w:val="00500FD1"/>
    <w:rsid w:val="005014EB"/>
    <w:rsid w:val="0050163B"/>
    <w:rsid w:val="00501FA8"/>
    <w:rsid w:val="00502143"/>
    <w:rsid w:val="005024B4"/>
    <w:rsid w:val="00502640"/>
    <w:rsid w:val="0050277D"/>
    <w:rsid w:val="00502A58"/>
    <w:rsid w:val="005031C8"/>
    <w:rsid w:val="005037BB"/>
    <w:rsid w:val="0050472A"/>
    <w:rsid w:val="005047BE"/>
    <w:rsid w:val="00504C54"/>
    <w:rsid w:val="00505FC0"/>
    <w:rsid w:val="0050607F"/>
    <w:rsid w:val="00506457"/>
    <w:rsid w:val="005102E3"/>
    <w:rsid w:val="00511383"/>
    <w:rsid w:val="00511F70"/>
    <w:rsid w:val="00512677"/>
    <w:rsid w:val="00512C0A"/>
    <w:rsid w:val="005133CD"/>
    <w:rsid w:val="005133FE"/>
    <w:rsid w:val="005136F2"/>
    <w:rsid w:val="00514266"/>
    <w:rsid w:val="005146C8"/>
    <w:rsid w:val="00514BDA"/>
    <w:rsid w:val="00515187"/>
    <w:rsid w:val="0051600F"/>
    <w:rsid w:val="00516C8D"/>
    <w:rsid w:val="00517BCC"/>
    <w:rsid w:val="00522A47"/>
    <w:rsid w:val="00522D5E"/>
    <w:rsid w:val="0052373B"/>
    <w:rsid w:val="005240FC"/>
    <w:rsid w:val="00524C89"/>
    <w:rsid w:val="00524E71"/>
    <w:rsid w:val="005251D9"/>
    <w:rsid w:val="00525407"/>
    <w:rsid w:val="00525B7F"/>
    <w:rsid w:val="005304BB"/>
    <w:rsid w:val="00530865"/>
    <w:rsid w:val="00530F45"/>
    <w:rsid w:val="00530F8D"/>
    <w:rsid w:val="00531309"/>
    <w:rsid w:val="00531317"/>
    <w:rsid w:val="005319D1"/>
    <w:rsid w:val="00531DE2"/>
    <w:rsid w:val="005326D6"/>
    <w:rsid w:val="0053272D"/>
    <w:rsid w:val="00532C2B"/>
    <w:rsid w:val="00532D5C"/>
    <w:rsid w:val="0053362E"/>
    <w:rsid w:val="0053496D"/>
    <w:rsid w:val="0053506A"/>
    <w:rsid w:val="00535203"/>
    <w:rsid w:val="00536223"/>
    <w:rsid w:val="00536654"/>
    <w:rsid w:val="00540EF9"/>
    <w:rsid w:val="00541289"/>
    <w:rsid w:val="00541981"/>
    <w:rsid w:val="00541C26"/>
    <w:rsid w:val="00541C2E"/>
    <w:rsid w:val="00541E12"/>
    <w:rsid w:val="005420E2"/>
    <w:rsid w:val="005429C0"/>
    <w:rsid w:val="00542D8B"/>
    <w:rsid w:val="005433B0"/>
    <w:rsid w:val="005448B0"/>
    <w:rsid w:val="005457A2"/>
    <w:rsid w:val="00546F1B"/>
    <w:rsid w:val="005500BE"/>
    <w:rsid w:val="00550284"/>
    <w:rsid w:val="00550D2F"/>
    <w:rsid w:val="00551365"/>
    <w:rsid w:val="005518BE"/>
    <w:rsid w:val="00551FDA"/>
    <w:rsid w:val="00553945"/>
    <w:rsid w:val="00553E54"/>
    <w:rsid w:val="00553F27"/>
    <w:rsid w:val="00553FE7"/>
    <w:rsid w:val="00554471"/>
    <w:rsid w:val="00554BC2"/>
    <w:rsid w:val="005551C0"/>
    <w:rsid w:val="0055552B"/>
    <w:rsid w:val="00555A0E"/>
    <w:rsid w:val="00556B6B"/>
    <w:rsid w:val="00557E50"/>
    <w:rsid w:val="00557E56"/>
    <w:rsid w:val="00557FE3"/>
    <w:rsid w:val="005604DA"/>
    <w:rsid w:val="00560BEE"/>
    <w:rsid w:val="00560F92"/>
    <w:rsid w:val="00561BAB"/>
    <w:rsid w:val="00562255"/>
    <w:rsid w:val="00563DFE"/>
    <w:rsid w:val="00563EB4"/>
    <w:rsid w:val="00564313"/>
    <w:rsid w:val="0056454F"/>
    <w:rsid w:val="00564DC8"/>
    <w:rsid w:val="005659AE"/>
    <w:rsid w:val="00565CE2"/>
    <w:rsid w:val="00566D29"/>
    <w:rsid w:val="00566E57"/>
    <w:rsid w:val="005678B8"/>
    <w:rsid w:val="00567B4D"/>
    <w:rsid w:val="0057079C"/>
    <w:rsid w:val="0057084E"/>
    <w:rsid w:val="00571275"/>
    <w:rsid w:val="0057155E"/>
    <w:rsid w:val="0057171C"/>
    <w:rsid w:val="00571B22"/>
    <w:rsid w:val="00571C4D"/>
    <w:rsid w:val="00572C17"/>
    <w:rsid w:val="00572F03"/>
    <w:rsid w:val="0057391E"/>
    <w:rsid w:val="005739AF"/>
    <w:rsid w:val="0057463F"/>
    <w:rsid w:val="005747E3"/>
    <w:rsid w:val="0057490E"/>
    <w:rsid w:val="00574D52"/>
    <w:rsid w:val="0057654E"/>
    <w:rsid w:val="0057677C"/>
    <w:rsid w:val="00576A90"/>
    <w:rsid w:val="00577E96"/>
    <w:rsid w:val="00580BFD"/>
    <w:rsid w:val="00581A5A"/>
    <w:rsid w:val="00583CEF"/>
    <w:rsid w:val="005844B9"/>
    <w:rsid w:val="00584E60"/>
    <w:rsid w:val="005853BF"/>
    <w:rsid w:val="0058595A"/>
    <w:rsid w:val="00585CCF"/>
    <w:rsid w:val="00586195"/>
    <w:rsid w:val="005861B4"/>
    <w:rsid w:val="00587A76"/>
    <w:rsid w:val="00590155"/>
    <w:rsid w:val="005909F5"/>
    <w:rsid w:val="00591113"/>
    <w:rsid w:val="00592339"/>
    <w:rsid w:val="00593368"/>
    <w:rsid w:val="005933A1"/>
    <w:rsid w:val="00593BF8"/>
    <w:rsid w:val="0059436A"/>
    <w:rsid w:val="00594592"/>
    <w:rsid w:val="0059478D"/>
    <w:rsid w:val="00594851"/>
    <w:rsid w:val="005954C3"/>
    <w:rsid w:val="00595565"/>
    <w:rsid w:val="005956D3"/>
    <w:rsid w:val="005957FC"/>
    <w:rsid w:val="00596745"/>
    <w:rsid w:val="00597704"/>
    <w:rsid w:val="00597CDF"/>
    <w:rsid w:val="005A00B3"/>
    <w:rsid w:val="005A1E5B"/>
    <w:rsid w:val="005A1F64"/>
    <w:rsid w:val="005A232A"/>
    <w:rsid w:val="005A3493"/>
    <w:rsid w:val="005A3C16"/>
    <w:rsid w:val="005A3C4A"/>
    <w:rsid w:val="005A4A2C"/>
    <w:rsid w:val="005A4D7D"/>
    <w:rsid w:val="005A4DED"/>
    <w:rsid w:val="005A6453"/>
    <w:rsid w:val="005A71BF"/>
    <w:rsid w:val="005B0BD5"/>
    <w:rsid w:val="005B1025"/>
    <w:rsid w:val="005B164B"/>
    <w:rsid w:val="005B16D8"/>
    <w:rsid w:val="005B1F1D"/>
    <w:rsid w:val="005B31F3"/>
    <w:rsid w:val="005B35BC"/>
    <w:rsid w:val="005B367B"/>
    <w:rsid w:val="005B3747"/>
    <w:rsid w:val="005B3AC3"/>
    <w:rsid w:val="005B407F"/>
    <w:rsid w:val="005B4924"/>
    <w:rsid w:val="005B4BD4"/>
    <w:rsid w:val="005B4D7E"/>
    <w:rsid w:val="005B52F9"/>
    <w:rsid w:val="005B6C1A"/>
    <w:rsid w:val="005B74A3"/>
    <w:rsid w:val="005B757C"/>
    <w:rsid w:val="005C035E"/>
    <w:rsid w:val="005C04F1"/>
    <w:rsid w:val="005C080B"/>
    <w:rsid w:val="005C0D1E"/>
    <w:rsid w:val="005C1718"/>
    <w:rsid w:val="005C177A"/>
    <w:rsid w:val="005C1B89"/>
    <w:rsid w:val="005C1D9F"/>
    <w:rsid w:val="005C26C3"/>
    <w:rsid w:val="005C2D61"/>
    <w:rsid w:val="005C3380"/>
    <w:rsid w:val="005C3875"/>
    <w:rsid w:val="005C398D"/>
    <w:rsid w:val="005C411E"/>
    <w:rsid w:val="005C41E1"/>
    <w:rsid w:val="005C4538"/>
    <w:rsid w:val="005C4742"/>
    <w:rsid w:val="005C6520"/>
    <w:rsid w:val="005C7167"/>
    <w:rsid w:val="005C7676"/>
    <w:rsid w:val="005C7BA9"/>
    <w:rsid w:val="005D02E8"/>
    <w:rsid w:val="005D09F6"/>
    <w:rsid w:val="005D0C6C"/>
    <w:rsid w:val="005D1157"/>
    <w:rsid w:val="005D1482"/>
    <w:rsid w:val="005D149B"/>
    <w:rsid w:val="005D2E61"/>
    <w:rsid w:val="005D4855"/>
    <w:rsid w:val="005D4AC0"/>
    <w:rsid w:val="005D5F97"/>
    <w:rsid w:val="005D6FF8"/>
    <w:rsid w:val="005D7829"/>
    <w:rsid w:val="005D7D6C"/>
    <w:rsid w:val="005D7E42"/>
    <w:rsid w:val="005E0564"/>
    <w:rsid w:val="005E1D8A"/>
    <w:rsid w:val="005E1FE2"/>
    <w:rsid w:val="005E2DBC"/>
    <w:rsid w:val="005E48F9"/>
    <w:rsid w:val="005E52BE"/>
    <w:rsid w:val="005E55E8"/>
    <w:rsid w:val="005E57E7"/>
    <w:rsid w:val="005E58C9"/>
    <w:rsid w:val="005E5E07"/>
    <w:rsid w:val="005E5E55"/>
    <w:rsid w:val="005E5EE4"/>
    <w:rsid w:val="005E6D11"/>
    <w:rsid w:val="005F0272"/>
    <w:rsid w:val="005F1038"/>
    <w:rsid w:val="005F1873"/>
    <w:rsid w:val="005F30CA"/>
    <w:rsid w:val="005F394D"/>
    <w:rsid w:val="005F4609"/>
    <w:rsid w:val="005F515C"/>
    <w:rsid w:val="005F5CE3"/>
    <w:rsid w:val="005F5FCC"/>
    <w:rsid w:val="005F6067"/>
    <w:rsid w:val="005F6FB2"/>
    <w:rsid w:val="005F7547"/>
    <w:rsid w:val="006009C5"/>
    <w:rsid w:val="00600D9F"/>
    <w:rsid w:val="00601034"/>
    <w:rsid w:val="006012CD"/>
    <w:rsid w:val="00601E93"/>
    <w:rsid w:val="00601F1C"/>
    <w:rsid w:val="006021F0"/>
    <w:rsid w:val="00602447"/>
    <w:rsid w:val="00602779"/>
    <w:rsid w:val="00602B06"/>
    <w:rsid w:val="00602E06"/>
    <w:rsid w:val="0060301A"/>
    <w:rsid w:val="0060333C"/>
    <w:rsid w:val="0060440D"/>
    <w:rsid w:val="00604699"/>
    <w:rsid w:val="00604AB9"/>
    <w:rsid w:val="0060509A"/>
    <w:rsid w:val="006054E4"/>
    <w:rsid w:val="006055AD"/>
    <w:rsid w:val="00610542"/>
    <w:rsid w:val="00610560"/>
    <w:rsid w:val="006107D9"/>
    <w:rsid w:val="00610857"/>
    <w:rsid w:val="00610D01"/>
    <w:rsid w:val="00610F28"/>
    <w:rsid w:val="00611851"/>
    <w:rsid w:val="00612765"/>
    <w:rsid w:val="0061331F"/>
    <w:rsid w:val="00614E84"/>
    <w:rsid w:val="00615DA4"/>
    <w:rsid w:val="0061646B"/>
    <w:rsid w:val="00616981"/>
    <w:rsid w:val="006169D0"/>
    <w:rsid w:val="00616FDB"/>
    <w:rsid w:val="00617030"/>
    <w:rsid w:val="00617659"/>
    <w:rsid w:val="006214E3"/>
    <w:rsid w:val="0062186F"/>
    <w:rsid w:val="00623476"/>
    <w:rsid w:val="006234DB"/>
    <w:rsid w:val="00623A67"/>
    <w:rsid w:val="006245CC"/>
    <w:rsid w:val="006246E4"/>
    <w:rsid w:val="00624D49"/>
    <w:rsid w:val="00625578"/>
    <w:rsid w:val="006259FE"/>
    <w:rsid w:val="00625A4B"/>
    <w:rsid w:val="0062643E"/>
    <w:rsid w:val="00626D21"/>
    <w:rsid w:val="006270BE"/>
    <w:rsid w:val="00630569"/>
    <w:rsid w:val="00630ED2"/>
    <w:rsid w:val="00631F04"/>
    <w:rsid w:val="00632516"/>
    <w:rsid w:val="006329FE"/>
    <w:rsid w:val="006333D2"/>
    <w:rsid w:val="006335C3"/>
    <w:rsid w:val="0063393F"/>
    <w:rsid w:val="00633E72"/>
    <w:rsid w:val="00634383"/>
    <w:rsid w:val="00634516"/>
    <w:rsid w:val="006349D1"/>
    <w:rsid w:val="0063505E"/>
    <w:rsid w:val="006352FC"/>
    <w:rsid w:val="006357D8"/>
    <w:rsid w:val="00635C62"/>
    <w:rsid w:val="00636F41"/>
    <w:rsid w:val="00637BA8"/>
    <w:rsid w:val="00637D52"/>
    <w:rsid w:val="00637F2C"/>
    <w:rsid w:val="006402FC"/>
    <w:rsid w:val="00640865"/>
    <w:rsid w:val="00641290"/>
    <w:rsid w:val="00641845"/>
    <w:rsid w:val="00642178"/>
    <w:rsid w:val="0064265B"/>
    <w:rsid w:val="00642A28"/>
    <w:rsid w:val="00642FEE"/>
    <w:rsid w:val="0064322A"/>
    <w:rsid w:val="00644AFF"/>
    <w:rsid w:val="00644B42"/>
    <w:rsid w:val="0064554F"/>
    <w:rsid w:val="00645A95"/>
    <w:rsid w:val="00646C1F"/>
    <w:rsid w:val="0064780B"/>
    <w:rsid w:val="00650454"/>
    <w:rsid w:val="00652081"/>
    <w:rsid w:val="00652ACA"/>
    <w:rsid w:val="006531E8"/>
    <w:rsid w:val="00653746"/>
    <w:rsid w:val="00653A28"/>
    <w:rsid w:val="006541DE"/>
    <w:rsid w:val="006552BA"/>
    <w:rsid w:val="0065539E"/>
    <w:rsid w:val="006555F5"/>
    <w:rsid w:val="00655A51"/>
    <w:rsid w:val="00655C4B"/>
    <w:rsid w:val="00655C7A"/>
    <w:rsid w:val="00655E5E"/>
    <w:rsid w:val="00656367"/>
    <w:rsid w:val="0065638C"/>
    <w:rsid w:val="006564C6"/>
    <w:rsid w:val="006567EB"/>
    <w:rsid w:val="0065694A"/>
    <w:rsid w:val="00656CCD"/>
    <w:rsid w:val="00656D53"/>
    <w:rsid w:val="00657258"/>
    <w:rsid w:val="00660B9D"/>
    <w:rsid w:val="006638DC"/>
    <w:rsid w:val="00663DD0"/>
    <w:rsid w:val="006640F0"/>
    <w:rsid w:val="0066452B"/>
    <w:rsid w:val="00665908"/>
    <w:rsid w:val="00665ADC"/>
    <w:rsid w:val="0066609D"/>
    <w:rsid w:val="00666372"/>
    <w:rsid w:val="00667285"/>
    <w:rsid w:val="00667AB1"/>
    <w:rsid w:val="00670550"/>
    <w:rsid w:val="006705AE"/>
    <w:rsid w:val="00671162"/>
    <w:rsid w:val="006713A1"/>
    <w:rsid w:val="00671E70"/>
    <w:rsid w:val="00673037"/>
    <w:rsid w:val="006735B6"/>
    <w:rsid w:val="00673A13"/>
    <w:rsid w:val="00674CB4"/>
    <w:rsid w:val="006757D5"/>
    <w:rsid w:val="00675E03"/>
    <w:rsid w:val="00676141"/>
    <w:rsid w:val="00676731"/>
    <w:rsid w:val="0067707E"/>
    <w:rsid w:val="006776A2"/>
    <w:rsid w:val="00677B26"/>
    <w:rsid w:val="00677E72"/>
    <w:rsid w:val="00680160"/>
    <w:rsid w:val="00680245"/>
    <w:rsid w:val="00680BB7"/>
    <w:rsid w:val="0068140C"/>
    <w:rsid w:val="00682A87"/>
    <w:rsid w:val="00683296"/>
    <w:rsid w:val="00683575"/>
    <w:rsid w:val="00683DF9"/>
    <w:rsid w:val="00684CDC"/>
    <w:rsid w:val="00686C42"/>
    <w:rsid w:val="00687012"/>
    <w:rsid w:val="006878E1"/>
    <w:rsid w:val="006878F6"/>
    <w:rsid w:val="00687D50"/>
    <w:rsid w:val="00690404"/>
    <w:rsid w:val="00690525"/>
    <w:rsid w:val="006910C6"/>
    <w:rsid w:val="006911AC"/>
    <w:rsid w:val="00691275"/>
    <w:rsid w:val="00692D3C"/>
    <w:rsid w:val="006937D8"/>
    <w:rsid w:val="0069433A"/>
    <w:rsid w:val="0069478F"/>
    <w:rsid w:val="00694F75"/>
    <w:rsid w:val="00695657"/>
    <w:rsid w:val="00696E7A"/>
    <w:rsid w:val="006A0AB3"/>
    <w:rsid w:val="006A1B11"/>
    <w:rsid w:val="006A206B"/>
    <w:rsid w:val="006A2EAD"/>
    <w:rsid w:val="006A393F"/>
    <w:rsid w:val="006A3CF4"/>
    <w:rsid w:val="006A50FB"/>
    <w:rsid w:val="006A53CF"/>
    <w:rsid w:val="006A5AD4"/>
    <w:rsid w:val="006A5B2A"/>
    <w:rsid w:val="006A5FE5"/>
    <w:rsid w:val="006A6AEC"/>
    <w:rsid w:val="006A75A4"/>
    <w:rsid w:val="006A7923"/>
    <w:rsid w:val="006A7CC5"/>
    <w:rsid w:val="006B0A33"/>
    <w:rsid w:val="006B1262"/>
    <w:rsid w:val="006B1345"/>
    <w:rsid w:val="006B1834"/>
    <w:rsid w:val="006B20A8"/>
    <w:rsid w:val="006B2554"/>
    <w:rsid w:val="006B25AE"/>
    <w:rsid w:val="006B32D5"/>
    <w:rsid w:val="006B39AE"/>
    <w:rsid w:val="006B42B0"/>
    <w:rsid w:val="006B5D6B"/>
    <w:rsid w:val="006B5E72"/>
    <w:rsid w:val="006B6488"/>
    <w:rsid w:val="006B6F10"/>
    <w:rsid w:val="006B7092"/>
    <w:rsid w:val="006B7258"/>
    <w:rsid w:val="006B75C0"/>
    <w:rsid w:val="006B7F6E"/>
    <w:rsid w:val="006C05B0"/>
    <w:rsid w:val="006C0D3C"/>
    <w:rsid w:val="006C1608"/>
    <w:rsid w:val="006C18D1"/>
    <w:rsid w:val="006C253D"/>
    <w:rsid w:val="006C2771"/>
    <w:rsid w:val="006C2943"/>
    <w:rsid w:val="006C2C8E"/>
    <w:rsid w:val="006C2E7A"/>
    <w:rsid w:val="006C36A9"/>
    <w:rsid w:val="006C3CDE"/>
    <w:rsid w:val="006C42BD"/>
    <w:rsid w:val="006C4900"/>
    <w:rsid w:val="006C4B2F"/>
    <w:rsid w:val="006C4C5A"/>
    <w:rsid w:val="006C574C"/>
    <w:rsid w:val="006C5B47"/>
    <w:rsid w:val="006C609A"/>
    <w:rsid w:val="006C6416"/>
    <w:rsid w:val="006C6635"/>
    <w:rsid w:val="006C73BC"/>
    <w:rsid w:val="006C74CB"/>
    <w:rsid w:val="006C7BF6"/>
    <w:rsid w:val="006C7F46"/>
    <w:rsid w:val="006D042E"/>
    <w:rsid w:val="006D0751"/>
    <w:rsid w:val="006D0E4E"/>
    <w:rsid w:val="006D24D1"/>
    <w:rsid w:val="006D3060"/>
    <w:rsid w:val="006D37CB"/>
    <w:rsid w:val="006D46B4"/>
    <w:rsid w:val="006D47C6"/>
    <w:rsid w:val="006D505D"/>
    <w:rsid w:val="006D5B90"/>
    <w:rsid w:val="006D5E56"/>
    <w:rsid w:val="006D63DC"/>
    <w:rsid w:val="006D663B"/>
    <w:rsid w:val="006D6BD3"/>
    <w:rsid w:val="006D7A45"/>
    <w:rsid w:val="006E09E7"/>
    <w:rsid w:val="006E16A0"/>
    <w:rsid w:val="006E17A7"/>
    <w:rsid w:val="006E2536"/>
    <w:rsid w:val="006E2709"/>
    <w:rsid w:val="006E27F0"/>
    <w:rsid w:val="006E2C27"/>
    <w:rsid w:val="006E2CDC"/>
    <w:rsid w:val="006E3300"/>
    <w:rsid w:val="006E3AF9"/>
    <w:rsid w:val="006E3B8D"/>
    <w:rsid w:val="006E437B"/>
    <w:rsid w:val="006E461A"/>
    <w:rsid w:val="006E4922"/>
    <w:rsid w:val="006E4990"/>
    <w:rsid w:val="006E4CF1"/>
    <w:rsid w:val="006E4DB6"/>
    <w:rsid w:val="006E61D1"/>
    <w:rsid w:val="006E79F8"/>
    <w:rsid w:val="006E7CE1"/>
    <w:rsid w:val="006F1574"/>
    <w:rsid w:val="006F204C"/>
    <w:rsid w:val="006F5E5D"/>
    <w:rsid w:val="006F6727"/>
    <w:rsid w:val="006F7697"/>
    <w:rsid w:val="006F79E7"/>
    <w:rsid w:val="00700A18"/>
    <w:rsid w:val="00700FF2"/>
    <w:rsid w:val="00702023"/>
    <w:rsid w:val="0070288F"/>
    <w:rsid w:val="0070533D"/>
    <w:rsid w:val="007054D7"/>
    <w:rsid w:val="00705BA8"/>
    <w:rsid w:val="00706726"/>
    <w:rsid w:val="0070686E"/>
    <w:rsid w:val="00707623"/>
    <w:rsid w:val="00710759"/>
    <w:rsid w:val="007111CF"/>
    <w:rsid w:val="007113FF"/>
    <w:rsid w:val="00711407"/>
    <w:rsid w:val="00711EC7"/>
    <w:rsid w:val="0071255F"/>
    <w:rsid w:val="00712C6D"/>
    <w:rsid w:val="00712DEB"/>
    <w:rsid w:val="00712F71"/>
    <w:rsid w:val="00713145"/>
    <w:rsid w:val="007132A7"/>
    <w:rsid w:val="00713417"/>
    <w:rsid w:val="0071427B"/>
    <w:rsid w:val="00714ED7"/>
    <w:rsid w:val="0071518D"/>
    <w:rsid w:val="007157DA"/>
    <w:rsid w:val="00715954"/>
    <w:rsid w:val="00715D1C"/>
    <w:rsid w:val="00716453"/>
    <w:rsid w:val="00716542"/>
    <w:rsid w:val="00716E44"/>
    <w:rsid w:val="007200D1"/>
    <w:rsid w:val="007206CD"/>
    <w:rsid w:val="0072184B"/>
    <w:rsid w:val="007218B4"/>
    <w:rsid w:val="00721B16"/>
    <w:rsid w:val="00721D01"/>
    <w:rsid w:val="0072202A"/>
    <w:rsid w:val="007233C8"/>
    <w:rsid w:val="007260CC"/>
    <w:rsid w:val="00726D8C"/>
    <w:rsid w:val="00730BB8"/>
    <w:rsid w:val="0073191D"/>
    <w:rsid w:val="00732A32"/>
    <w:rsid w:val="007331AA"/>
    <w:rsid w:val="00733617"/>
    <w:rsid w:val="00734DF3"/>
    <w:rsid w:val="007351EC"/>
    <w:rsid w:val="007357DC"/>
    <w:rsid w:val="00735890"/>
    <w:rsid w:val="007365D8"/>
    <w:rsid w:val="00741326"/>
    <w:rsid w:val="007415F4"/>
    <w:rsid w:val="00741A7C"/>
    <w:rsid w:val="00741AF6"/>
    <w:rsid w:val="00742CC1"/>
    <w:rsid w:val="00742CF7"/>
    <w:rsid w:val="007435CE"/>
    <w:rsid w:val="00743810"/>
    <w:rsid w:val="00743CAB"/>
    <w:rsid w:val="00743D3A"/>
    <w:rsid w:val="00745341"/>
    <w:rsid w:val="00745A66"/>
    <w:rsid w:val="00745F9E"/>
    <w:rsid w:val="0074633F"/>
    <w:rsid w:val="00746521"/>
    <w:rsid w:val="00746ABB"/>
    <w:rsid w:val="00746D46"/>
    <w:rsid w:val="007472CB"/>
    <w:rsid w:val="007510E9"/>
    <w:rsid w:val="007515A4"/>
    <w:rsid w:val="00751F79"/>
    <w:rsid w:val="0075267D"/>
    <w:rsid w:val="00752778"/>
    <w:rsid w:val="0075284F"/>
    <w:rsid w:val="00752972"/>
    <w:rsid w:val="00752F23"/>
    <w:rsid w:val="0075316D"/>
    <w:rsid w:val="00753185"/>
    <w:rsid w:val="00753FB1"/>
    <w:rsid w:val="00754118"/>
    <w:rsid w:val="00754848"/>
    <w:rsid w:val="00754E9C"/>
    <w:rsid w:val="00755268"/>
    <w:rsid w:val="00756350"/>
    <w:rsid w:val="00756522"/>
    <w:rsid w:val="00757467"/>
    <w:rsid w:val="00757B27"/>
    <w:rsid w:val="00760082"/>
    <w:rsid w:val="00760159"/>
    <w:rsid w:val="00760402"/>
    <w:rsid w:val="00760811"/>
    <w:rsid w:val="00760945"/>
    <w:rsid w:val="00760B4A"/>
    <w:rsid w:val="00761272"/>
    <w:rsid w:val="00761704"/>
    <w:rsid w:val="0076172E"/>
    <w:rsid w:val="00761D02"/>
    <w:rsid w:val="0076287F"/>
    <w:rsid w:val="00762893"/>
    <w:rsid w:val="00762B3B"/>
    <w:rsid w:val="007653EE"/>
    <w:rsid w:val="00765740"/>
    <w:rsid w:val="00765DE9"/>
    <w:rsid w:val="00765F7B"/>
    <w:rsid w:val="0076670A"/>
    <w:rsid w:val="00767E5E"/>
    <w:rsid w:val="007701C8"/>
    <w:rsid w:val="00770C32"/>
    <w:rsid w:val="0077128C"/>
    <w:rsid w:val="00771B77"/>
    <w:rsid w:val="00771CB8"/>
    <w:rsid w:val="007722E2"/>
    <w:rsid w:val="0077281D"/>
    <w:rsid w:val="00772A1C"/>
    <w:rsid w:val="00773091"/>
    <w:rsid w:val="00773753"/>
    <w:rsid w:val="00773999"/>
    <w:rsid w:val="00774317"/>
    <w:rsid w:val="00774E78"/>
    <w:rsid w:val="00774F1D"/>
    <w:rsid w:val="007753FD"/>
    <w:rsid w:val="00776196"/>
    <w:rsid w:val="0077749F"/>
    <w:rsid w:val="00777908"/>
    <w:rsid w:val="00780402"/>
    <w:rsid w:val="00780404"/>
    <w:rsid w:val="00781CAB"/>
    <w:rsid w:val="0078295F"/>
    <w:rsid w:val="007829E9"/>
    <w:rsid w:val="00782A21"/>
    <w:rsid w:val="00783089"/>
    <w:rsid w:val="007830E4"/>
    <w:rsid w:val="00783235"/>
    <w:rsid w:val="007834CB"/>
    <w:rsid w:val="007865E2"/>
    <w:rsid w:val="00787D4A"/>
    <w:rsid w:val="00792D02"/>
    <w:rsid w:val="007930C5"/>
    <w:rsid w:val="007944E8"/>
    <w:rsid w:val="0079517A"/>
    <w:rsid w:val="007952AA"/>
    <w:rsid w:val="007961D3"/>
    <w:rsid w:val="00796755"/>
    <w:rsid w:val="007971FD"/>
    <w:rsid w:val="0079738D"/>
    <w:rsid w:val="007979E8"/>
    <w:rsid w:val="00797E8C"/>
    <w:rsid w:val="007A051D"/>
    <w:rsid w:val="007A097A"/>
    <w:rsid w:val="007A1698"/>
    <w:rsid w:val="007A18A0"/>
    <w:rsid w:val="007A1BE8"/>
    <w:rsid w:val="007A3565"/>
    <w:rsid w:val="007A391F"/>
    <w:rsid w:val="007A47A6"/>
    <w:rsid w:val="007A59E2"/>
    <w:rsid w:val="007A6B85"/>
    <w:rsid w:val="007A6F09"/>
    <w:rsid w:val="007A74E9"/>
    <w:rsid w:val="007A79FA"/>
    <w:rsid w:val="007A7B0C"/>
    <w:rsid w:val="007A7F28"/>
    <w:rsid w:val="007B09B5"/>
    <w:rsid w:val="007B0AE8"/>
    <w:rsid w:val="007B17BF"/>
    <w:rsid w:val="007B27BA"/>
    <w:rsid w:val="007B27E8"/>
    <w:rsid w:val="007B2CDA"/>
    <w:rsid w:val="007B3C6F"/>
    <w:rsid w:val="007B3F38"/>
    <w:rsid w:val="007B418B"/>
    <w:rsid w:val="007B571B"/>
    <w:rsid w:val="007B615B"/>
    <w:rsid w:val="007B6F0B"/>
    <w:rsid w:val="007B7253"/>
    <w:rsid w:val="007B72A0"/>
    <w:rsid w:val="007B7DE5"/>
    <w:rsid w:val="007C001A"/>
    <w:rsid w:val="007C080A"/>
    <w:rsid w:val="007C0F6F"/>
    <w:rsid w:val="007C1468"/>
    <w:rsid w:val="007C1523"/>
    <w:rsid w:val="007C1D47"/>
    <w:rsid w:val="007C1F17"/>
    <w:rsid w:val="007C1F67"/>
    <w:rsid w:val="007C2C9C"/>
    <w:rsid w:val="007C326F"/>
    <w:rsid w:val="007C32D3"/>
    <w:rsid w:val="007C43BE"/>
    <w:rsid w:val="007C472C"/>
    <w:rsid w:val="007C53D6"/>
    <w:rsid w:val="007C689F"/>
    <w:rsid w:val="007C6A81"/>
    <w:rsid w:val="007C6FE5"/>
    <w:rsid w:val="007C71B9"/>
    <w:rsid w:val="007D0E6B"/>
    <w:rsid w:val="007D111E"/>
    <w:rsid w:val="007D12CD"/>
    <w:rsid w:val="007D1B42"/>
    <w:rsid w:val="007D1CF5"/>
    <w:rsid w:val="007D25DD"/>
    <w:rsid w:val="007D2DE7"/>
    <w:rsid w:val="007D3250"/>
    <w:rsid w:val="007D343E"/>
    <w:rsid w:val="007D37AE"/>
    <w:rsid w:val="007D3BD2"/>
    <w:rsid w:val="007D509B"/>
    <w:rsid w:val="007D5D00"/>
    <w:rsid w:val="007D62EF"/>
    <w:rsid w:val="007D662F"/>
    <w:rsid w:val="007D6699"/>
    <w:rsid w:val="007D73A3"/>
    <w:rsid w:val="007D7787"/>
    <w:rsid w:val="007E1BE3"/>
    <w:rsid w:val="007E2085"/>
    <w:rsid w:val="007E22A0"/>
    <w:rsid w:val="007E3134"/>
    <w:rsid w:val="007E35D7"/>
    <w:rsid w:val="007E4201"/>
    <w:rsid w:val="007E4DBF"/>
    <w:rsid w:val="007E57C9"/>
    <w:rsid w:val="007E6158"/>
    <w:rsid w:val="007E7F1A"/>
    <w:rsid w:val="007E7FDD"/>
    <w:rsid w:val="007F010F"/>
    <w:rsid w:val="007F04B7"/>
    <w:rsid w:val="007F0BE9"/>
    <w:rsid w:val="007F140E"/>
    <w:rsid w:val="007F1886"/>
    <w:rsid w:val="007F1FC0"/>
    <w:rsid w:val="007F3565"/>
    <w:rsid w:val="007F3C56"/>
    <w:rsid w:val="007F3C9F"/>
    <w:rsid w:val="007F412A"/>
    <w:rsid w:val="007F49E4"/>
    <w:rsid w:val="007F4CD5"/>
    <w:rsid w:val="007F5380"/>
    <w:rsid w:val="007F5973"/>
    <w:rsid w:val="007F5AB7"/>
    <w:rsid w:val="007F5F81"/>
    <w:rsid w:val="007F63F1"/>
    <w:rsid w:val="007F6F8B"/>
    <w:rsid w:val="007F75A7"/>
    <w:rsid w:val="007F7677"/>
    <w:rsid w:val="007F76E6"/>
    <w:rsid w:val="007F776D"/>
    <w:rsid w:val="00800A05"/>
    <w:rsid w:val="00800BEF"/>
    <w:rsid w:val="008010F8"/>
    <w:rsid w:val="00801440"/>
    <w:rsid w:val="00801E9B"/>
    <w:rsid w:val="00801EE1"/>
    <w:rsid w:val="0080292B"/>
    <w:rsid w:val="00802BAB"/>
    <w:rsid w:val="0080396C"/>
    <w:rsid w:val="00804673"/>
    <w:rsid w:val="00805838"/>
    <w:rsid w:val="00805E27"/>
    <w:rsid w:val="00806180"/>
    <w:rsid w:val="008067E0"/>
    <w:rsid w:val="00806DB1"/>
    <w:rsid w:val="00806EB9"/>
    <w:rsid w:val="00807747"/>
    <w:rsid w:val="00807CE3"/>
    <w:rsid w:val="00807E44"/>
    <w:rsid w:val="00810039"/>
    <w:rsid w:val="00810789"/>
    <w:rsid w:val="00810F7D"/>
    <w:rsid w:val="008113C4"/>
    <w:rsid w:val="00811546"/>
    <w:rsid w:val="008116A6"/>
    <w:rsid w:val="00811AB7"/>
    <w:rsid w:val="00812B89"/>
    <w:rsid w:val="00813666"/>
    <w:rsid w:val="008142AF"/>
    <w:rsid w:val="00814BA4"/>
    <w:rsid w:val="00815518"/>
    <w:rsid w:val="008159C2"/>
    <w:rsid w:val="00816B5F"/>
    <w:rsid w:val="008178FD"/>
    <w:rsid w:val="008201C6"/>
    <w:rsid w:val="00820235"/>
    <w:rsid w:val="00820520"/>
    <w:rsid w:val="00820630"/>
    <w:rsid w:val="008211DD"/>
    <w:rsid w:val="00821770"/>
    <w:rsid w:val="00823600"/>
    <w:rsid w:val="00824737"/>
    <w:rsid w:val="00824B74"/>
    <w:rsid w:val="00824D80"/>
    <w:rsid w:val="00825160"/>
    <w:rsid w:val="0082559F"/>
    <w:rsid w:val="008279C0"/>
    <w:rsid w:val="0083006D"/>
    <w:rsid w:val="008304C0"/>
    <w:rsid w:val="00830735"/>
    <w:rsid w:val="00831669"/>
    <w:rsid w:val="00831FB1"/>
    <w:rsid w:val="008325AF"/>
    <w:rsid w:val="00832B99"/>
    <w:rsid w:val="00833005"/>
    <w:rsid w:val="008330C6"/>
    <w:rsid w:val="00833234"/>
    <w:rsid w:val="0083367C"/>
    <w:rsid w:val="00833CC3"/>
    <w:rsid w:val="008345D7"/>
    <w:rsid w:val="008348D1"/>
    <w:rsid w:val="00835D1D"/>
    <w:rsid w:val="00836269"/>
    <w:rsid w:val="00836362"/>
    <w:rsid w:val="00836664"/>
    <w:rsid w:val="00836768"/>
    <w:rsid w:val="00836C5F"/>
    <w:rsid w:val="00836D09"/>
    <w:rsid w:val="008370C6"/>
    <w:rsid w:val="00837BFF"/>
    <w:rsid w:val="00837CA0"/>
    <w:rsid w:val="00840811"/>
    <w:rsid w:val="00841218"/>
    <w:rsid w:val="00841506"/>
    <w:rsid w:val="00842679"/>
    <w:rsid w:val="00842D29"/>
    <w:rsid w:val="00842FBC"/>
    <w:rsid w:val="00843258"/>
    <w:rsid w:val="0084386E"/>
    <w:rsid w:val="00843951"/>
    <w:rsid w:val="00843EB7"/>
    <w:rsid w:val="0084573A"/>
    <w:rsid w:val="008461D9"/>
    <w:rsid w:val="00850305"/>
    <w:rsid w:val="008510B2"/>
    <w:rsid w:val="008513B7"/>
    <w:rsid w:val="00851653"/>
    <w:rsid w:val="00851897"/>
    <w:rsid w:val="00852585"/>
    <w:rsid w:val="0085411E"/>
    <w:rsid w:val="0085475D"/>
    <w:rsid w:val="00854986"/>
    <w:rsid w:val="00855C72"/>
    <w:rsid w:val="00860751"/>
    <w:rsid w:val="00860F2D"/>
    <w:rsid w:val="008610D7"/>
    <w:rsid w:val="00862014"/>
    <w:rsid w:val="008626AA"/>
    <w:rsid w:val="00862EDD"/>
    <w:rsid w:val="00863A41"/>
    <w:rsid w:val="00864148"/>
    <w:rsid w:val="00865293"/>
    <w:rsid w:val="00865DF1"/>
    <w:rsid w:val="00866376"/>
    <w:rsid w:val="00866EB3"/>
    <w:rsid w:val="0086723A"/>
    <w:rsid w:val="00867394"/>
    <w:rsid w:val="00867456"/>
    <w:rsid w:val="00870684"/>
    <w:rsid w:val="00871A61"/>
    <w:rsid w:val="00871AC5"/>
    <w:rsid w:val="008731D3"/>
    <w:rsid w:val="00875128"/>
    <w:rsid w:val="008753CA"/>
    <w:rsid w:val="00875930"/>
    <w:rsid w:val="00875ACA"/>
    <w:rsid w:val="0087661B"/>
    <w:rsid w:val="0087759A"/>
    <w:rsid w:val="00877EA1"/>
    <w:rsid w:val="00877F68"/>
    <w:rsid w:val="0088005B"/>
    <w:rsid w:val="00880636"/>
    <w:rsid w:val="0088109E"/>
    <w:rsid w:val="008818CA"/>
    <w:rsid w:val="0088302F"/>
    <w:rsid w:val="008840EE"/>
    <w:rsid w:val="0088487D"/>
    <w:rsid w:val="00884C8F"/>
    <w:rsid w:val="00885238"/>
    <w:rsid w:val="00885F74"/>
    <w:rsid w:val="00886249"/>
    <w:rsid w:val="0088661B"/>
    <w:rsid w:val="008872E1"/>
    <w:rsid w:val="008878CF"/>
    <w:rsid w:val="008906F5"/>
    <w:rsid w:val="0089143F"/>
    <w:rsid w:val="008920E1"/>
    <w:rsid w:val="00892401"/>
    <w:rsid w:val="008926CC"/>
    <w:rsid w:val="00892D10"/>
    <w:rsid w:val="00892F9B"/>
    <w:rsid w:val="00894CEF"/>
    <w:rsid w:val="00894EED"/>
    <w:rsid w:val="00894FD9"/>
    <w:rsid w:val="00895659"/>
    <w:rsid w:val="00895AE0"/>
    <w:rsid w:val="00895E04"/>
    <w:rsid w:val="00896228"/>
    <w:rsid w:val="008963EB"/>
    <w:rsid w:val="008974F3"/>
    <w:rsid w:val="008977F0"/>
    <w:rsid w:val="008A03CB"/>
    <w:rsid w:val="008A0AB7"/>
    <w:rsid w:val="008A0AF4"/>
    <w:rsid w:val="008A107F"/>
    <w:rsid w:val="008A10B3"/>
    <w:rsid w:val="008A40C5"/>
    <w:rsid w:val="008A4236"/>
    <w:rsid w:val="008A4DB7"/>
    <w:rsid w:val="008A5195"/>
    <w:rsid w:val="008A54A7"/>
    <w:rsid w:val="008A57AB"/>
    <w:rsid w:val="008A5C53"/>
    <w:rsid w:val="008A67B8"/>
    <w:rsid w:val="008A6BCE"/>
    <w:rsid w:val="008A6D6F"/>
    <w:rsid w:val="008A6EDE"/>
    <w:rsid w:val="008A7128"/>
    <w:rsid w:val="008A7519"/>
    <w:rsid w:val="008A7EBF"/>
    <w:rsid w:val="008B0237"/>
    <w:rsid w:val="008B0603"/>
    <w:rsid w:val="008B0B23"/>
    <w:rsid w:val="008B1865"/>
    <w:rsid w:val="008B1ADD"/>
    <w:rsid w:val="008B2693"/>
    <w:rsid w:val="008B333C"/>
    <w:rsid w:val="008B3B93"/>
    <w:rsid w:val="008B3BCF"/>
    <w:rsid w:val="008B4499"/>
    <w:rsid w:val="008B461D"/>
    <w:rsid w:val="008B47C0"/>
    <w:rsid w:val="008B5D25"/>
    <w:rsid w:val="008B690F"/>
    <w:rsid w:val="008B6DD6"/>
    <w:rsid w:val="008B7009"/>
    <w:rsid w:val="008B7493"/>
    <w:rsid w:val="008B75B9"/>
    <w:rsid w:val="008B7612"/>
    <w:rsid w:val="008C0ECD"/>
    <w:rsid w:val="008C194E"/>
    <w:rsid w:val="008C19DB"/>
    <w:rsid w:val="008C2098"/>
    <w:rsid w:val="008C21D4"/>
    <w:rsid w:val="008C2F65"/>
    <w:rsid w:val="008C30E2"/>
    <w:rsid w:val="008C3A58"/>
    <w:rsid w:val="008C585E"/>
    <w:rsid w:val="008C5D10"/>
    <w:rsid w:val="008C6009"/>
    <w:rsid w:val="008C61A3"/>
    <w:rsid w:val="008C6D31"/>
    <w:rsid w:val="008C6FB9"/>
    <w:rsid w:val="008D16C1"/>
    <w:rsid w:val="008D1CF8"/>
    <w:rsid w:val="008D2A69"/>
    <w:rsid w:val="008D2BA7"/>
    <w:rsid w:val="008D3FDF"/>
    <w:rsid w:val="008D476F"/>
    <w:rsid w:val="008D4E4B"/>
    <w:rsid w:val="008D4E8F"/>
    <w:rsid w:val="008D5948"/>
    <w:rsid w:val="008D6115"/>
    <w:rsid w:val="008D649A"/>
    <w:rsid w:val="008D706B"/>
    <w:rsid w:val="008D753F"/>
    <w:rsid w:val="008D76EA"/>
    <w:rsid w:val="008D79AA"/>
    <w:rsid w:val="008D7D60"/>
    <w:rsid w:val="008E06ED"/>
    <w:rsid w:val="008E0701"/>
    <w:rsid w:val="008E184D"/>
    <w:rsid w:val="008E287C"/>
    <w:rsid w:val="008E28D8"/>
    <w:rsid w:val="008E42E4"/>
    <w:rsid w:val="008E5F05"/>
    <w:rsid w:val="008E688A"/>
    <w:rsid w:val="008E7C09"/>
    <w:rsid w:val="008E7C7C"/>
    <w:rsid w:val="008F04F3"/>
    <w:rsid w:val="008F0D06"/>
    <w:rsid w:val="008F16B5"/>
    <w:rsid w:val="008F2219"/>
    <w:rsid w:val="008F30B4"/>
    <w:rsid w:val="008F382B"/>
    <w:rsid w:val="008F3A2C"/>
    <w:rsid w:val="008F4491"/>
    <w:rsid w:val="008F4B77"/>
    <w:rsid w:val="008F5881"/>
    <w:rsid w:val="008F67EA"/>
    <w:rsid w:val="008F67EF"/>
    <w:rsid w:val="008F6895"/>
    <w:rsid w:val="008F73A6"/>
    <w:rsid w:val="008F755C"/>
    <w:rsid w:val="00900115"/>
    <w:rsid w:val="009001E7"/>
    <w:rsid w:val="00901315"/>
    <w:rsid w:val="00902265"/>
    <w:rsid w:val="009024E7"/>
    <w:rsid w:val="0090366D"/>
    <w:rsid w:val="00903920"/>
    <w:rsid w:val="00904097"/>
    <w:rsid w:val="00904A30"/>
    <w:rsid w:val="00904AA9"/>
    <w:rsid w:val="0090517D"/>
    <w:rsid w:val="00905418"/>
    <w:rsid w:val="00905795"/>
    <w:rsid w:val="00905A87"/>
    <w:rsid w:val="009063F4"/>
    <w:rsid w:val="00906554"/>
    <w:rsid w:val="009067BF"/>
    <w:rsid w:val="009071DE"/>
    <w:rsid w:val="0090758A"/>
    <w:rsid w:val="009075ED"/>
    <w:rsid w:val="00907A1A"/>
    <w:rsid w:val="00907E0F"/>
    <w:rsid w:val="009100A9"/>
    <w:rsid w:val="00910C33"/>
    <w:rsid w:val="009114DC"/>
    <w:rsid w:val="0091156B"/>
    <w:rsid w:val="00911841"/>
    <w:rsid w:val="0091192B"/>
    <w:rsid w:val="00911D3E"/>
    <w:rsid w:val="00911F98"/>
    <w:rsid w:val="009122E9"/>
    <w:rsid w:val="00912AAE"/>
    <w:rsid w:val="00912FB5"/>
    <w:rsid w:val="009130CD"/>
    <w:rsid w:val="009144B6"/>
    <w:rsid w:val="009166CC"/>
    <w:rsid w:val="00916C44"/>
    <w:rsid w:val="00916DF7"/>
    <w:rsid w:val="009173F9"/>
    <w:rsid w:val="00917492"/>
    <w:rsid w:val="00917EA6"/>
    <w:rsid w:val="0092041C"/>
    <w:rsid w:val="00920FAA"/>
    <w:rsid w:val="00921638"/>
    <w:rsid w:val="00923937"/>
    <w:rsid w:val="00923EEC"/>
    <w:rsid w:val="00924AFB"/>
    <w:rsid w:val="0092515B"/>
    <w:rsid w:val="009255CB"/>
    <w:rsid w:val="00925A80"/>
    <w:rsid w:val="0092608D"/>
    <w:rsid w:val="0092700D"/>
    <w:rsid w:val="009270F3"/>
    <w:rsid w:val="00927267"/>
    <w:rsid w:val="009278A6"/>
    <w:rsid w:val="009303EA"/>
    <w:rsid w:val="0093093F"/>
    <w:rsid w:val="00930F9B"/>
    <w:rsid w:val="009310FE"/>
    <w:rsid w:val="0093288D"/>
    <w:rsid w:val="00932F09"/>
    <w:rsid w:val="0093327C"/>
    <w:rsid w:val="00933EC2"/>
    <w:rsid w:val="009346B1"/>
    <w:rsid w:val="00935091"/>
    <w:rsid w:val="00936542"/>
    <w:rsid w:val="00936D73"/>
    <w:rsid w:val="00937020"/>
    <w:rsid w:val="00937505"/>
    <w:rsid w:val="00937A89"/>
    <w:rsid w:val="00937A8E"/>
    <w:rsid w:val="00940247"/>
    <w:rsid w:val="00940453"/>
    <w:rsid w:val="00940842"/>
    <w:rsid w:val="009408B0"/>
    <w:rsid w:val="009429D3"/>
    <w:rsid w:val="00943502"/>
    <w:rsid w:val="00943D67"/>
    <w:rsid w:val="00943DD9"/>
    <w:rsid w:val="00944580"/>
    <w:rsid w:val="00945A93"/>
    <w:rsid w:val="00945FBA"/>
    <w:rsid w:val="00946C21"/>
    <w:rsid w:val="00946DC5"/>
    <w:rsid w:val="00947494"/>
    <w:rsid w:val="00951390"/>
    <w:rsid w:val="00951F14"/>
    <w:rsid w:val="00952EF7"/>
    <w:rsid w:val="00952F74"/>
    <w:rsid w:val="00953401"/>
    <w:rsid w:val="00954739"/>
    <w:rsid w:val="00954A0C"/>
    <w:rsid w:val="00954DD3"/>
    <w:rsid w:val="009553F1"/>
    <w:rsid w:val="0095595E"/>
    <w:rsid w:val="00956586"/>
    <w:rsid w:val="00956FDE"/>
    <w:rsid w:val="009602DB"/>
    <w:rsid w:val="0096084C"/>
    <w:rsid w:val="00960F2E"/>
    <w:rsid w:val="00961A47"/>
    <w:rsid w:val="0096234F"/>
    <w:rsid w:val="00962716"/>
    <w:rsid w:val="00962E18"/>
    <w:rsid w:val="009638F3"/>
    <w:rsid w:val="00963B02"/>
    <w:rsid w:val="00963D39"/>
    <w:rsid w:val="00963DA3"/>
    <w:rsid w:val="00963DB8"/>
    <w:rsid w:val="00963DEE"/>
    <w:rsid w:val="00964B2E"/>
    <w:rsid w:val="00964BB0"/>
    <w:rsid w:val="0096530A"/>
    <w:rsid w:val="00965D0D"/>
    <w:rsid w:val="00965D43"/>
    <w:rsid w:val="00965D44"/>
    <w:rsid w:val="00966212"/>
    <w:rsid w:val="00966492"/>
    <w:rsid w:val="009666A3"/>
    <w:rsid w:val="00966DF9"/>
    <w:rsid w:val="00966E20"/>
    <w:rsid w:val="0096765D"/>
    <w:rsid w:val="00967A85"/>
    <w:rsid w:val="00970836"/>
    <w:rsid w:val="00970E4A"/>
    <w:rsid w:val="0097101E"/>
    <w:rsid w:val="0097111F"/>
    <w:rsid w:val="00972A5F"/>
    <w:rsid w:val="0097301F"/>
    <w:rsid w:val="0097321D"/>
    <w:rsid w:val="0097336C"/>
    <w:rsid w:val="0097345E"/>
    <w:rsid w:val="009737D1"/>
    <w:rsid w:val="00974075"/>
    <w:rsid w:val="009743CD"/>
    <w:rsid w:val="00974D9C"/>
    <w:rsid w:val="00975419"/>
    <w:rsid w:val="00975F64"/>
    <w:rsid w:val="009767DE"/>
    <w:rsid w:val="0097753B"/>
    <w:rsid w:val="00977BED"/>
    <w:rsid w:val="0098010E"/>
    <w:rsid w:val="009802D7"/>
    <w:rsid w:val="00980ABB"/>
    <w:rsid w:val="00981497"/>
    <w:rsid w:val="009816CA"/>
    <w:rsid w:val="00982404"/>
    <w:rsid w:val="00982770"/>
    <w:rsid w:val="0098360D"/>
    <w:rsid w:val="0098415F"/>
    <w:rsid w:val="009842D0"/>
    <w:rsid w:val="00984981"/>
    <w:rsid w:val="009859B9"/>
    <w:rsid w:val="00986732"/>
    <w:rsid w:val="00986F0A"/>
    <w:rsid w:val="00987C4F"/>
    <w:rsid w:val="00990159"/>
    <w:rsid w:val="00990779"/>
    <w:rsid w:val="0099198F"/>
    <w:rsid w:val="00991D8E"/>
    <w:rsid w:val="009921E8"/>
    <w:rsid w:val="0099236C"/>
    <w:rsid w:val="0099253E"/>
    <w:rsid w:val="00992AED"/>
    <w:rsid w:val="00992D0E"/>
    <w:rsid w:val="009940E3"/>
    <w:rsid w:val="0099490F"/>
    <w:rsid w:val="0099499D"/>
    <w:rsid w:val="00994F7C"/>
    <w:rsid w:val="0099558F"/>
    <w:rsid w:val="009962D6"/>
    <w:rsid w:val="00996EA2"/>
    <w:rsid w:val="00996FAB"/>
    <w:rsid w:val="00997D6A"/>
    <w:rsid w:val="009A01CD"/>
    <w:rsid w:val="009A04FF"/>
    <w:rsid w:val="009A07DF"/>
    <w:rsid w:val="009A1785"/>
    <w:rsid w:val="009A1DC4"/>
    <w:rsid w:val="009A26EF"/>
    <w:rsid w:val="009A4A8B"/>
    <w:rsid w:val="009A4B7C"/>
    <w:rsid w:val="009A4D49"/>
    <w:rsid w:val="009A55F1"/>
    <w:rsid w:val="009A64D4"/>
    <w:rsid w:val="009A6653"/>
    <w:rsid w:val="009A785B"/>
    <w:rsid w:val="009A7BB7"/>
    <w:rsid w:val="009B0113"/>
    <w:rsid w:val="009B0592"/>
    <w:rsid w:val="009B0C13"/>
    <w:rsid w:val="009B1003"/>
    <w:rsid w:val="009B16AA"/>
    <w:rsid w:val="009B2532"/>
    <w:rsid w:val="009B286D"/>
    <w:rsid w:val="009B2A7B"/>
    <w:rsid w:val="009B3E1B"/>
    <w:rsid w:val="009B4EEB"/>
    <w:rsid w:val="009B5986"/>
    <w:rsid w:val="009B5DB9"/>
    <w:rsid w:val="009B6725"/>
    <w:rsid w:val="009B79D1"/>
    <w:rsid w:val="009B7D8C"/>
    <w:rsid w:val="009C097A"/>
    <w:rsid w:val="009C157D"/>
    <w:rsid w:val="009C174F"/>
    <w:rsid w:val="009C1CBA"/>
    <w:rsid w:val="009C1F3E"/>
    <w:rsid w:val="009C20AE"/>
    <w:rsid w:val="009C2569"/>
    <w:rsid w:val="009C258E"/>
    <w:rsid w:val="009C2825"/>
    <w:rsid w:val="009C31E5"/>
    <w:rsid w:val="009C3A95"/>
    <w:rsid w:val="009C3ACB"/>
    <w:rsid w:val="009C3BC0"/>
    <w:rsid w:val="009C3E9D"/>
    <w:rsid w:val="009C4306"/>
    <w:rsid w:val="009C46DD"/>
    <w:rsid w:val="009C4954"/>
    <w:rsid w:val="009C60A0"/>
    <w:rsid w:val="009C65A6"/>
    <w:rsid w:val="009C6B61"/>
    <w:rsid w:val="009C7139"/>
    <w:rsid w:val="009C724B"/>
    <w:rsid w:val="009C7349"/>
    <w:rsid w:val="009D0BF4"/>
    <w:rsid w:val="009D0E11"/>
    <w:rsid w:val="009D125D"/>
    <w:rsid w:val="009D1B48"/>
    <w:rsid w:val="009D1CA1"/>
    <w:rsid w:val="009D2401"/>
    <w:rsid w:val="009D2C83"/>
    <w:rsid w:val="009D2E7F"/>
    <w:rsid w:val="009D3CE8"/>
    <w:rsid w:val="009D51AA"/>
    <w:rsid w:val="009D59A3"/>
    <w:rsid w:val="009D65EF"/>
    <w:rsid w:val="009D6651"/>
    <w:rsid w:val="009D6847"/>
    <w:rsid w:val="009D6A32"/>
    <w:rsid w:val="009D715D"/>
    <w:rsid w:val="009D7BF3"/>
    <w:rsid w:val="009D7D72"/>
    <w:rsid w:val="009E08C6"/>
    <w:rsid w:val="009E0A90"/>
    <w:rsid w:val="009E0FC7"/>
    <w:rsid w:val="009E1B3D"/>
    <w:rsid w:val="009E246E"/>
    <w:rsid w:val="009E2BF6"/>
    <w:rsid w:val="009E313F"/>
    <w:rsid w:val="009E35D6"/>
    <w:rsid w:val="009E557A"/>
    <w:rsid w:val="009E5676"/>
    <w:rsid w:val="009E5DB6"/>
    <w:rsid w:val="009E6DF5"/>
    <w:rsid w:val="009E7837"/>
    <w:rsid w:val="009E7CF5"/>
    <w:rsid w:val="009E7EBE"/>
    <w:rsid w:val="009E7FE2"/>
    <w:rsid w:val="009F04A4"/>
    <w:rsid w:val="009F0B2E"/>
    <w:rsid w:val="009F101A"/>
    <w:rsid w:val="009F1291"/>
    <w:rsid w:val="009F1394"/>
    <w:rsid w:val="009F1672"/>
    <w:rsid w:val="009F1947"/>
    <w:rsid w:val="009F2758"/>
    <w:rsid w:val="009F2D78"/>
    <w:rsid w:val="009F3617"/>
    <w:rsid w:val="009F399E"/>
    <w:rsid w:val="009F3A70"/>
    <w:rsid w:val="009F3E0D"/>
    <w:rsid w:val="009F458E"/>
    <w:rsid w:val="009F4B35"/>
    <w:rsid w:val="009F54F6"/>
    <w:rsid w:val="009F5886"/>
    <w:rsid w:val="009F5CBA"/>
    <w:rsid w:val="009F5D11"/>
    <w:rsid w:val="009F6325"/>
    <w:rsid w:val="009F690F"/>
    <w:rsid w:val="009F6DB4"/>
    <w:rsid w:val="009F703F"/>
    <w:rsid w:val="00A00892"/>
    <w:rsid w:val="00A0109C"/>
    <w:rsid w:val="00A012E6"/>
    <w:rsid w:val="00A01383"/>
    <w:rsid w:val="00A013BD"/>
    <w:rsid w:val="00A017AF"/>
    <w:rsid w:val="00A01857"/>
    <w:rsid w:val="00A02102"/>
    <w:rsid w:val="00A02565"/>
    <w:rsid w:val="00A02878"/>
    <w:rsid w:val="00A03E2F"/>
    <w:rsid w:val="00A05189"/>
    <w:rsid w:val="00A054D3"/>
    <w:rsid w:val="00A06113"/>
    <w:rsid w:val="00A065EB"/>
    <w:rsid w:val="00A06C8B"/>
    <w:rsid w:val="00A10201"/>
    <w:rsid w:val="00A105D7"/>
    <w:rsid w:val="00A106F2"/>
    <w:rsid w:val="00A10B31"/>
    <w:rsid w:val="00A10CDA"/>
    <w:rsid w:val="00A11223"/>
    <w:rsid w:val="00A11C2D"/>
    <w:rsid w:val="00A120BD"/>
    <w:rsid w:val="00A12125"/>
    <w:rsid w:val="00A13F70"/>
    <w:rsid w:val="00A14568"/>
    <w:rsid w:val="00A14A68"/>
    <w:rsid w:val="00A15879"/>
    <w:rsid w:val="00A15A0C"/>
    <w:rsid w:val="00A160A8"/>
    <w:rsid w:val="00A1696B"/>
    <w:rsid w:val="00A169C5"/>
    <w:rsid w:val="00A2034D"/>
    <w:rsid w:val="00A206E0"/>
    <w:rsid w:val="00A222BE"/>
    <w:rsid w:val="00A22335"/>
    <w:rsid w:val="00A23727"/>
    <w:rsid w:val="00A25887"/>
    <w:rsid w:val="00A25B4B"/>
    <w:rsid w:val="00A25DF8"/>
    <w:rsid w:val="00A26DE6"/>
    <w:rsid w:val="00A27042"/>
    <w:rsid w:val="00A27296"/>
    <w:rsid w:val="00A27D60"/>
    <w:rsid w:val="00A3003B"/>
    <w:rsid w:val="00A306B6"/>
    <w:rsid w:val="00A30758"/>
    <w:rsid w:val="00A307FB"/>
    <w:rsid w:val="00A30887"/>
    <w:rsid w:val="00A32D91"/>
    <w:rsid w:val="00A33241"/>
    <w:rsid w:val="00A33BF8"/>
    <w:rsid w:val="00A34129"/>
    <w:rsid w:val="00A345A8"/>
    <w:rsid w:val="00A34EAB"/>
    <w:rsid w:val="00A35070"/>
    <w:rsid w:val="00A365D3"/>
    <w:rsid w:val="00A36867"/>
    <w:rsid w:val="00A36D92"/>
    <w:rsid w:val="00A371D3"/>
    <w:rsid w:val="00A378FE"/>
    <w:rsid w:val="00A402FE"/>
    <w:rsid w:val="00A40C5B"/>
    <w:rsid w:val="00A40D4B"/>
    <w:rsid w:val="00A410BA"/>
    <w:rsid w:val="00A4126D"/>
    <w:rsid w:val="00A41C49"/>
    <w:rsid w:val="00A41DAC"/>
    <w:rsid w:val="00A41FD3"/>
    <w:rsid w:val="00A422DF"/>
    <w:rsid w:val="00A424FC"/>
    <w:rsid w:val="00A4265E"/>
    <w:rsid w:val="00A430B0"/>
    <w:rsid w:val="00A435A0"/>
    <w:rsid w:val="00A43C81"/>
    <w:rsid w:val="00A4462F"/>
    <w:rsid w:val="00A4575F"/>
    <w:rsid w:val="00A46846"/>
    <w:rsid w:val="00A47192"/>
    <w:rsid w:val="00A474FA"/>
    <w:rsid w:val="00A47ABA"/>
    <w:rsid w:val="00A501E8"/>
    <w:rsid w:val="00A5062A"/>
    <w:rsid w:val="00A5077C"/>
    <w:rsid w:val="00A50906"/>
    <w:rsid w:val="00A50BB4"/>
    <w:rsid w:val="00A50C10"/>
    <w:rsid w:val="00A51B39"/>
    <w:rsid w:val="00A5274C"/>
    <w:rsid w:val="00A53171"/>
    <w:rsid w:val="00A53350"/>
    <w:rsid w:val="00A5349F"/>
    <w:rsid w:val="00A5490A"/>
    <w:rsid w:val="00A5532E"/>
    <w:rsid w:val="00A60193"/>
    <w:rsid w:val="00A60600"/>
    <w:rsid w:val="00A610FD"/>
    <w:rsid w:val="00A61450"/>
    <w:rsid w:val="00A617B5"/>
    <w:rsid w:val="00A6207F"/>
    <w:rsid w:val="00A6257B"/>
    <w:rsid w:val="00A626DB"/>
    <w:rsid w:val="00A62E3B"/>
    <w:rsid w:val="00A62EC7"/>
    <w:rsid w:val="00A6375F"/>
    <w:rsid w:val="00A63AD0"/>
    <w:rsid w:val="00A63DEC"/>
    <w:rsid w:val="00A64112"/>
    <w:rsid w:val="00A64F07"/>
    <w:rsid w:val="00A65090"/>
    <w:rsid w:val="00A6692A"/>
    <w:rsid w:val="00A70280"/>
    <w:rsid w:val="00A702FC"/>
    <w:rsid w:val="00A716BB"/>
    <w:rsid w:val="00A71911"/>
    <w:rsid w:val="00A72630"/>
    <w:rsid w:val="00A72BD3"/>
    <w:rsid w:val="00A72EC8"/>
    <w:rsid w:val="00A72F30"/>
    <w:rsid w:val="00A731F4"/>
    <w:rsid w:val="00A73434"/>
    <w:rsid w:val="00A73587"/>
    <w:rsid w:val="00A73770"/>
    <w:rsid w:val="00A738BF"/>
    <w:rsid w:val="00A74B1D"/>
    <w:rsid w:val="00A761A8"/>
    <w:rsid w:val="00A765C2"/>
    <w:rsid w:val="00A76B4F"/>
    <w:rsid w:val="00A76E09"/>
    <w:rsid w:val="00A77892"/>
    <w:rsid w:val="00A77AD8"/>
    <w:rsid w:val="00A8227B"/>
    <w:rsid w:val="00A82291"/>
    <w:rsid w:val="00A828B3"/>
    <w:rsid w:val="00A83432"/>
    <w:rsid w:val="00A835B2"/>
    <w:rsid w:val="00A83AB2"/>
    <w:rsid w:val="00A85012"/>
    <w:rsid w:val="00A85C4A"/>
    <w:rsid w:val="00A86535"/>
    <w:rsid w:val="00A870DA"/>
    <w:rsid w:val="00A87C2F"/>
    <w:rsid w:val="00A90120"/>
    <w:rsid w:val="00A90C09"/>
    <w:rsid w:val="00A91183"/>
    <w:rsid w:val="00A91342"/>
    <w:rsid w:val="00A91C30"/>
    <w:rsid w:val="00A934B6"/>
    <w:rsid w:val="00A94827"/>
    <w:rsid w:val="00A9493A"/>
    <w:rsid w:val="00A959CA"/>
    <w:rsid w:val="00A95FB4"/>
    <w:rsid w:val="00A966D4"/>
    <w:rsid w:val="00A96E24"/>
    <w:rsid w:val="00A97E2D"/>
    <w:rsid w:val="00AA07C4"/>
    <w:rsid w:val="00AA171A"/>
    <w:rsid w:val="00AA1A0A"/>
    <w:rsid w:val="00AA2340"/>
    <w:rsid w:val="00AA3661"/>
    <w:rsid w:val="00AA3B95"/>
    <w:rsid w:val="00AA45EF"/>
    <w:rsid w:val="00AA64ED"/>
    <w:rsid w:val="00AA6709"/>
    <w:rsid w:val="00AA6D1E"/>
    <w:rsid w:val="00AA6FB4"/>
    <w:rsid w:val="00AA7837"/>
    <w:rsid w:val="00AB093D"/>
    <w:rsid w:val="00AB0B41"/>
    <w:rsid w:val="00AB0DBA"/>
    <w:rsid w:val="00AB176E"/>
    <w:rsid w:val="00AB1A92"/>
    <w:rsid w:val="00AB1D78"/>
    <w:rsid w:val="00AB1FB0"/>
    <w:rsid w:val="00AB2699"/>
    <w:rsid w:val="00AB2F65"/>
    <w:rsid w:val="00AB4669"/>
    <w:rsid w:val="00AB597F"/>
    <w:rsid w:val="00AB59B8"/>
    <w:rsid w:val="00AB5D16"/>
    <w:rsid w:val="00AB5F33"/>
    <w:rsid w:val="00AB64F6"/>
    <w:rsid w:val="00AB669B"/>
    <w:rsid w:val="00AB68E4"/>
    <w:rsid w:val="00AB693C"/>
    <w:rsid w:val="00AB7692"/>
    <w:rsid w:val="00AB7D90"/>
    <w:rsid w:val="00AB7EDE"/>
    <w:rsid w:val="00AC05FD"/>
    <w:rsid w:val="00AC0741"/>
    <w:rsid w:val="00AC0916"/>
    <w:rsid w:val="00AC10B8"/>
    <w:rsid w:val="00AC12F9"/>
    <w:rsid w:val="00AC19B3"/>
    <w:rsid w:val="00AC1F08"/>
    <w:rsid w:val="00AC2E01"/>
    <w:rsid w:val="00AC3063"/>
    <w:rsid w:val="00AC3309"/>
    <w:rsid w:val="00AC351E"/>
    <w:rsid w:val="00AC3ACC"/>
    <w:rsid w:val="00AC47C0"/>
    <w:rsid w:val="00AC4C95"/>
    <w:rsid w:val="00AC5A31"/>
    <w:rsid w:val="00AC5FA5"/>
    <w:rsid w:val="00AC6D28"/>
    <w:rsid w:val="00AC73A6"/>
    <w:rsid w:val="00AC7C6F"/>
    <w:rsid w:val="00AD02D5"/>
    <w:rsid w:val="00AD0422"/>
    <w:rsid w:val="00AD1386"/>
    <w:rsid w:val="00AD175F"/>
    <w:rsid w:val="00AD1A60"/>
    <w:rsid w:val="00AD1F99"/>
    <w:rsid w:val="00AD22E7"/>
    <w:rsid w:val="00AD33FA"/>
    <w:rsid w:val="00AD342C"/>
    <w:rsid w:val="00AD3F74"/>
    <w:rsid w:val="00AD42E2"/>
    <w:rsid w:val="00AD5704"/>
    <w:rsid w:val="00AD5E75"/>
    <w:rsid w:val="00AD5F0A"/>
    <w:rsid w:val="00AD68DC"/>
    <w:rsid w:val="00AD6A57"/>
    <w:rsid w:val="00AD6E19"/>
    <w:rsid w:val="00AD7410"/>
    <w:rsid w:val="00AD7D4F"/>
    <w:rsid w:val="00AD7E08"/>
    <w:rsid w:val="00AE04F6"/>
    <w:rsid w:val="00AE0A29"/>
    <w:rsid w:val="00AE0A4F"/>
    <w:rsid w:val="00AE1032"/>
    <w:rsid w:val="00AE1BBF"/>
    <w:rsid w:val="00AE1C9B"/>
    <w:rsid w:val="00AE216B"/>
    <w:rsid w:val="00AE2569"/>
    <w:rsid w:val="00AE2968"/>
    <w:rsid w:val="00AE2F26"/>
    <w:rsid w:val="00AE399B"/>
    <w:rsid w:val="00AE4EA4"/>
    <w:rsid w:val="00AE4F56"/>
    <w:rsid w:val="00AE5478"/>
    <w:rsid w:val="00AE5C6E"/>
    <w:rsid w:val="00AE5FCC"/>
    <w:rsid w:val="00AE6273"/>
    <w:rsid w:val="00AE6F0A"/>
    <w:rsid w:val="00AE76EA"/>
    <w:rsid w:val="00AE776E"/>
    <w:rsid w:val="00AE7787"/>
    <w:rsid w:val="00AF0B5D"/>
    <w:rsid w:val="00AF0D1A"/>
    <w:rsid w:val="00AF1673"/>
    <w:rsid w:val="00AF1DEE"/>
    <w:rsid w:val="00AF27D4"/>
    <w:rsid w:val="00AF29E2"/>
    <w:rsid w:val="00AF2C05"/>
    <w:rsid w:val="00AF4872"/>
    <w:rsid w:val="00AF498D"/>
    <w:rsid w:val="00AF4C1D"/>
    <w:rsid w:val="00AF4D11"/>
    <w:rsid w:val="00AF5262"/>
    <w:rsid w:val="00AF5348"/>
    <w:rsid w:val="00AF58E9"/>
    <w:rsid w:val="00AF6409"/>
    <w:rsid w:val="00AF6737"/>
    <w:rsid w:val="00AF682C"/>
    <w:rsid w:val="00AF7108"/>
    <w:rsid w:val="00AF77F1"/>
    <w:rsid w:val="00AF7D72"/>
    <w:rsid w:val="00AF7F33"/>
    <w:rsid w:val="00B00347"/>
    <w:rsid w:val="00B00489"/>
    <w:rsid w:val="00B00DE2"/>
    <w:rsid w:val="00B011A4"/>
    <w:rsid w:val="00B013A8"/>
    <w:rsid w:val="00B016A0"/>
    <w:rsid w:val="00B01E6F"/>
    <w:rsid w:val="00B02025"/>
    <w:rsid w:val="00B026C2"/>
    <w:rsid w:val="00B029F6"/>
    <w:rsid w:val="00B02F4C"/>
    <w:rsid w:val="00B03057"/>
    <w:rsid w:val="00B03C97"/>
    <w:rsid w:val="00B03FD3"/>
    <w:rsid w:val="00B046F0"/>
    <w:rsid w:val="00B049E5"/>
    <w:rsid w:val="00B04B13"/>
    <w:rsid w:val="00B05C35"/>
    <w:rsid w:val="00B10127"/>
    <w:rsid w:val="00B10D88"/>
    <w:rsid w:val="00B10F27"/>
    <w:rsid w:val="00B1109A"/>
    <w:rsid w:val="00B11A7B"/>
    <w:rsid w:val="00B12631"/>
    <w:rsid w:val="00B132CD"/>
    <w:rsid w:val="00B136E0"/>
    <w:rsid w:val="00B138D7"/>
    <w:rsid w:val="00B144D0"/>
    <w:rsid w:val="00B14657"/>
    <w:rsid w:val="00B150B7"/>
    <w:rsid w:val="00B15881"/>
    <w:rsid w:val="00B16806"/>
    <w:rsid w:val="00B17913"/>
    <w:rsid w:val="00B2049D"/>
    <w:rsid w:val="00B2067F"/>
    <w:rsid w:val="00B20D93"/>
    <w:rsid w:val="00B21AD6"/>
    <w:rsid w:val="00B21F2C"/>
    <w:rsid w:val="00B221C1"/>
    <w:rsid w:val="00B22488"/>
    <w:rsid w:val="00B22791"/>
    <w:rsid w:val="00B22F8A"/>
    <w:rsid w:val="00B24344"/>
    <w:rsid w:val="00B24353"/>
    <w:rsid w:val="00B24493"/>
    <w:rsid w:val="00B24B53"/>
    <w:rsid w:val="00B2509E"/>
    <w:rsid w:val="00B25228"/>
    <w:rsid w:val="00B25263"/>
    <w:rsid w:val="00B25464"/>
    <w:rsid w:val="00B268F7"/>
    <w:rsid w:val="00B273F5"/>
    <w:rsid w:val="00B27695"/>
    <w:rsid w:val="00B27DF3"/>
    <w:rsid w:val="00B30AB1"/>
    <w:rsid w:val="00B31019"/>
    <w:rsid w:val="00B315DA"/>
    <w:rsid w:val="00B31C20"/>
    <w:rsid w:val="00B32B2C"/>
    <w:rsid w:val="00B34415"/>
    <w:rsid w:val="00B34962"/>
    <w:rsid w:val="00B34C4E"/>
    <w:rsid w:val="00B352EC"/>
    <w:rsid w:val="00B36340"/>
    <w:rsid w:val="00B36C25"/>
    <w:rsid w:val="00B371E0"/>
    <w:rsid w:val="00B375C2"/>
    <w:rsid w:val="00B40927"/>
    <w:rsid w:val="00B40938"/>
    <w:rsid w:val="00B40B58"/>
    <w:rsid w:val="00B4102C"/>
    <w:rsid w:val="00B418FF"/>
    <w:rsid w:val="00B4360B"/>
    <w:rsid w:val="00B43656"/>
    <w:rsid w:val="00B43E6E"/>
    <w:rsid w:val="00B4506D"/>
    <w:rsid w:val="00B459BA"/>
    <w:rsid w:val="00B47499"/>
    <w:rsid w:val="00B4789B"/>
    <w:rsid w:val="00B50742"/>
    <w:rsid w:val="00B50BBF"/>
    <w:rsid w:val="00B511D6"/>
    <w:rsid w:val="00B51C1E"/>
    <w:rsid w:val="00B5299A"/>
    <w:rsid w:val="00B52BBF"/>
    <w:rsid w:val="00B53DE2"/>
    <w:rsid w:val="00B54186"/>
    <w:rsid w:val="00B5419A"/>
    <w:rsid w:val="00B54B27"/>
    <w:rsid w:val="00B55004"/>
    <w:rsid w:val="00B55525"/>
    <w:rsid w:val="00B559C4"/>
    <w:rsid w:val="00B57DF5"/>
    <w:rsid w:val="00B57E27"/>
    <w:rsid w:val="00B600BA"/>
    <w:rsid w:val="00B610E8"/>
    <w:rsid w:val="00B61BE3"/>
    <w:rsid w:val="00B62E80"/>
    <w:rsid w:val="00B6321B"/>
    <w:rsid w:val="00B637BF"/>
    <w:rsid w:val="00B64F3D"/>
    <w:rsid w:val="00B66638"/>
    <w:rsid w:val="00B6758F"/>
    <w:rsid w:val="00B67647"/>
    <w:rsid w:val="00B678BC"/>
    <w:rsid w:val="00B70213"/>
    <w:rsid w:val="00B705A9"/>
    <w:rsid w:val="00B70AFE"/>
    <w:rsid w:val="00B70E28"/>
    <w:rsid w:val="00B714E3"/>
    <w:rsid w:val="00B72109"/>
    <w:rsid w:val="00B722F7"/>
    <w:rsid w:val="00B73C74"/>
    <w:rsid w:val="00B745CD"/>
    <w:rsid w:val="00B7473B"/>
    <w:rsid w:val="00B749C6"/>
    <w:rsid w:val="00B75315"/>
    <w:rsid w:val="00B76483"/>
    <w:rsid w:val="00B765BD"/>
    <w:rsid w:val="00B81706"/>
    <w:rsid w:val="00B81ABE"/>
    <w:rsid w:val="00B82A57"/>
    <w:rsid w:val="00B844CC"/>
    <w:rsid w:val="00B8457E"/>
    <w:rsid w:val="00B853CB"/>
    <w:rsid w:val="00B85907"/>
    <w:rsid w:val="00B85A38"/>
    <w:rsid w:val="00B85A74"/>
    <w:rsid w:val="00B8632C"/>
    <w:rsid w:val="00B86D03"/>
    <w:rsid w:val="00B87294"/>
    <w:rsid w:val="00B874A6"/>
    <w:rsid w:val="00B87632"/>
    <w:rsid w:val="00B9144B"/>
    <w:rsid w:val="00B9147C"/>
    <w:rsid w:val="00B91ABE"/>
    <w:rsid w:val="00B91ADE"/>
    <w:rsid w:val="00B91D10"/>
    <w:rsid w:val="00B91D6A"/>
    <w:rsid w:val="00B92988"/>
    <w:rsid w:val="00B9338B"/>
    <w:rsid w:val="00B94293"/>
    <w:rsid w:val="00B951A8"/>
    <w:rsid w:val="00B951B7"/>
    <w:rsid w:val="00B96927"/>
    <w:rsid w:val="00B96BCE"/>
    <w:rsid w:val="00B978E2"/>
    <w:rsid w:val="00B97B46"/>
    <w:rsid w:val="00B97E3C"/>
    <w:rsid w:val="00BA016C"/>
    <w:rsid w:val="00BA0FFC"/>
    <w:rsid w:val="00BA339E"/>
    <w:rsid w:val="00BA34E3"/>
    <w:rsid w:val="00BA3AD4"/>
    <w:rsid w:val="00BA3C66"/>
    <w:rsid w:val="00BA4206"/>
    <w:rsid w:val="00BA4762"/>
    <w:rsid w:val="00BA4CF6"/>
    <w:rsid w:val="00BA53E6"/>
    <w:rsid w:val="00BA5733"/>
    <w:rsid w:val="00BA6825"/>
    <w:rsid w:val="00BA6DCC"/>
    <w:rsid w:val="00BA74DD"/>
    <w:rsid w:val="00BA76F2"/>
    <w:rsid w:val="00BA7B4A"/>
    <w:rsid w:val="00BA7BF9"/>
    <w:rsid w:val="00BB0248"/>
    <w:rsid w:val="00BB1631"/>
    <w:rsid w:val="00BB1DE1"/>
    <w:rsid w:val="00BB225C"/>
    <w:rsid w:val="00BB275C"/>
    <w:rsid w:val="00BB2AC0"/>
    <w:rsid w:val="00BB3785"/>
    <w:rsid w:val="00BB4451"/>
    <w:rsid w:val="00BB488D"/>
    <w:rsid w:val="00BB4A10"/>
    <w:rsid w:val="00BB4CCE"/>
    <w:rsid w:val="00BB4CD0"/>
    <w:rsid w:val="00BB591F"/>
    <w:rsid w:val="00BB5EC6"/>
    <w:rsid w:val="00BB6180"/>
    <w:rsid w:val="00BB688F"/>
    <w:rsid w:val="00BB6C6F"/>
    <w:rsid w:val="00BB70C2"/>
    <w:rsid w:val="00BB7C80"/>
    <w:rsid w:val="00BB7FDB"/>
    <w:rsid w:val="00BC0408"/>
    <w:rsid w:val="00BC0B4B"/>
    <w:rsid w:val="00BC0CFC"/>
    <w:rsid w:val="00BC0E02"/>
    <w:rsid w:val="00BC114A"/>
    <w:rsid w:val="00BC154C"/>
    <w:rsid w:val="00BC23A0"/>
    <w:rsid w:val="00BC2FA7"/>
    <w:rsid w:val="00BC42BC"/>
    <w:rsid w:val="00BC4A3B"/>
    <w:rsid w:val="00BC50F8"/>
    <w:rsid w:val="00BC52E7"/>
    <w:rsid w:val="00BC5747"/>
    <w:rsid w:val="00BC6284"/>
    <w:rsid w:val="00BD0361"/>
    <w:rsid w:val="00BD0726"/>
    <w:rsid w:val="00BD0ED9"/>
    <w:rsid w:val="00BD0FB7"/>
    <w:rsid w:val="00BD11C5"/>
    <w:rsid w:val="00BD17D4"/>
    <w:rsid w:val="00BD1BCC"/>
    <w:rsid w:val="00BD21DF"/>
    <w:rsid w:val="00BD23F1"/>
    <w:rsid w:val="00BD370A"/>
    <w:rsid w:val="00BD3EE3"/>
    <w:rsid w:val="00BD48B2"/>
    <w:rsid w:val="00BD5025"/>
    <w:rsid w:val="00BD660C"/>
    <w:rsid w:val="00BD7B04"/>
    <w:rsid w:val="00BE0227"/>
    <w:rsid w:val="00BE0420"/>
    <w:rsid w:val="00BE1890"/>
    <w:rsid w:val="00BE255F"/>
    <w:rsid w:val="00BE2A20"/>
    <w:rsid w:val="00BE30DD"/>
    <w:rsid w:val="00BE478D"/>
    <w:rsid w:val="00BE50C8"/>
    <w:rsid w:val="00BE51F5"/>
    <w:rsid w:val="00BE5460"/>
    <w:rsid w:val="00BE5EC7"/>
    <w:rsid w:val="00BE5F38"/>
    <w:rsid w:val="00BE6802"/>
    <w:rsid w:val="00BE6E1B"/>
    <w:rsid w:val="00BE6F9D"/>
    <w:rsid w:val="00BE74AB"/>
    <w:rsid w:val="00BE77EB"/>
    <w:rsid w:val="00BF06F5"/>
    <w:rsid w:val="00BF1DC4"/>
    <w:rsid w:val="00BF2384"/>
    <w:rsid w:val="00BF2AAB"/>
    <w:rsid w:val="00BF2F54"/>
    <w:rsid w:val="00BF31E6"/>
    <w:rsid w:val="00BF39B7"/>
    <w:rsid w:val="00BF3B00"/>
    <w:rsid w:val="00BF483C"/>
    <w:rsid w:val="00BF490E"/>
    <w:rsid w:val="00BF56CC"/>
    <w:rsid w:val="00BF58CC"/>
    <w:rsid w:val="00BF6744"/>
    <w:rsid w:val="00BF6B06"/>
    <w:rsid w:val="00BF723E"/>
    <w:rsid w:val="00BF7647"/>
    <w:rsid w:val="00BF7A77"/>
    <w:rsid w:val="00C00C1E"/>
    <w:rsid w:val="00C013ED"/>
    <w:rsid w:val="00C01404"/>
    <w:rsid w:val="00C01981"/>
    <w:rsid w:val="00C01B5E"/>
    <w:rsid w:val="00C0221B"/>
    <w:rsid w:val="00C05614"/>
    <w:rsid w:val="00C063BD"/>
    <w:rsid w:val="00C0791C"/>
    <w:rsid w:val="00C07CB2"/>
    <w:rsid w:val="00C107B4"/>
    <w:rsid w:val="00C12B37"/>
    <w:rsid w:val="00C12EE0"/>
    <w:rsid w:val="00C1327D"/>
    <w:rsid w:val="00C13AB3"/>
    <w:rsid w:val="00C13DCE"/>
    <w:rsid w:val="00C142D7"/>
    <w:rsid w:val="00C149EB"/>
    <w:rsid w:val="00C15251"/>
    <w:rsid w:val="00C15C80"/>
    <w:rsid w:val="00C16742"/>
    <w:rsid w:val="00C16E1B"/>
    <w:rsid w:val="00C1755A"/>
    <w:rsid w:val="00C17C4A"/>
    <w:rsid w:val="00C20FB0"/>
    <w:rsid w:val="00C21381"/>
    <w:rsid w:val="00C22283"/>
    <w:rsid w:val="00C22319"/>
    <w:rsid w:val="00C226A7"/>
    <w:rsid w:val="00C22EA3"/>
    <w:rsid w:val="00C22FB4"/>
    <w:rsid w:val="00C231F4"/>
    <w:rsid w:val="00C238ED"/>
    <w:rsid w:val="00C24115"/>
    <w:rsid w:val="00C24ACF"/>
    <w:rsid w:val="00C24AEB"/>
    <w:rsid w:val="00C24B2C"/>
    <w:rsid w:val="00C2525E"/>
    <w:rsid w:val="00C2624B"/>
    <w:rsid w:val="00C262D0"/>
    <w:rsid w:val="00C2785F"/>
    <w:rsid w:val="00C304AB"/>
    <w:rsid w:val="00C315A2"/>
    <w:rsid w:val="00C321C7"/>
    <w:rsid w:val="00C3274C"/>
    <w:rsid w:val="00C32B2E"/>
    <w:rsid w:val="00C32D96"/>
    <w:rsid w:val="00C331EA"/>
    <w:rsid w:val="00C336F2"/>
    <w:rsid w:val="00C3370D"/>
    <w:rsid w:val="00C33AFC"/>
    <w:rsid w:val="00C33D69"/>
    <w:rsid w:val="00C3409E"/>
    <w:rsid w:val="00C343D0"/>
    <w:rsid w:val="00C3582B"/>
    <w:rsid w:val="00C35BB7"/>
    <w:rsid w:val="00C35EBC"/>
    <w:rsid w:val="00C35F27"/>
    <w:rsid w:val="00C3671C"/>
    <w:rsid w:val="00C36CCB"/>
    <w:rsid w:val="00C37F4D"/>
    <w:rsid w:val="00C37F6E"/>
    <w:rsid w:val="00C40014"/>
    <w:rsid w:val="00C40916"/>
    <w:rsid w:val="00C4131F"/>
    <w:rsid w:val="00C41505"/>
    <w:rsid w:val="00C415BA"/>
    <w:rsid w:val="00C41C48"/>
    <w:rsid w:val="00C422EA"/>
    <w:rsid w:val="00C42B98"/>
    <w:rsid w:val="00C430F6"/>
    <w:rsid w:val="00C44FBC"/>
    <w:rsid w:val="00C46496"/>
    <w:rsid w:val="00C46E19"/>
    <w:rsid w:val="00C47296"/>
    <w:rsid w:val="00C472CD"/>
    <w:rsid w:val="00C500E9"/>
    <w:rsid w:val="00C500F3"/>
    <w:rsid w:val="00C50D2C"/>
    <w:rsid w:val="00C51247"/>
    <w:rsid w:val="00C52551"/>
    <w:rsid w:val="00C52ACD"/>
    <w:rsid w:val="00C531A9"/>
    <w:rsid w:val="00C538DB"/>
    <w:rsid w:val="00C53E97"/>
    <w:rsid w:val="00C54766"/>
    <w:rsid w:val="00C54D09"/>
    <w:rsid w:val="00C552CA"/>
    <w:rsid w:val="00C5580B"/>
    <w:rsid w:val="00C558B7"/>
    <w:rsid w:val="00C55FF0"/>
    <w:rsid w:val="00C560EF"/>
    <w:rsid w:val="00C57B6C"/>
    <w:rsid w:val="00C57D02"/>
    <w:rsid w:val="00C57F31"/>
    <w:rsid w:val="00C60254"/>
    <w:rsid w:val="00C602A0"/>
    <w:rsid w:val="00C608AD"/>
    <w:rsid w:val="00C62729"/>
    <w:rsid w:val="00C63A92"/>
    <w:rsid w:val="00C63BBE"/>
    <w:rsid w:val="00C640E5"/>
    <w:rsid w:val="00C64304"/>
    <w:rsid w:val="00C64B5B"/>
    <w:rsid w:val="00C658F7"/>
    <w:rsid w:val="00C65909"/>
    <w:rsid w:val="00C66D44"/>
    <w:rsid w:val="00C677AB"/>
    <w:rsid w:val="00C70792"/>
    <w:rsid w:val="00C71A3C"/>
    <w:rsid w:val="00C71B61"/>
    <w:rsid w:val="00C72074"/>
    <w:rsid w:val="00C72456"/>
    <w:rsid w:val="00C7270F"/>
    <w:rsid w:val="00C727D1"/>
    <w:rsid w:val="00C729CE"/>
    <w:rsid w:val="00C732C9"/>
    <w:rsid w:val="00C73DC8"/>
    <w:rsid w:val="00C74375"/>
    <w:rsid w:val="00C748A7"/>
    <w:rsid w:val="00C7562E"/>
    <w:rsid w:val="00C7565B"/>
    <w:rsid w:val="00C75E34"/>
    <w:rsid w:val="00C765FF"/>
    <w:rsid w:val="00C76A93"/>
    <w:rsid w:val="00C76F1B"/>
    <w:rsid w:val="00C77171"/>
    <w:rsid w:val="00C8050E"/>
    <w:rsid w:val="00C811FD"/>
    <w:rsid w:val="00C81BD2"/>
    <w:rsid w:val="00C82C4E"/>
    <w:rsid w:val="00C83980"/>
    <w:rsid w:val="00C83B76"/>
    <w:rsid w:val="00C83F81"/>
    <w:rsid w:val="00C841C0"/>
    <w:rsid w:val="00C84D2E"/>
    <w:rsid w:val="00C8506F"/>
    <w:rsid w:val="00C85758"/>
    <w:rsid w:val="00C8591B"/>
    <w:rsid w:val="00C86192"/>
    <w:rsid w:val="00C86356"/>
    <w:rsid w:val="00C87B16"/>
    <w:rsid w:val="00C87C56"/>
    <w:rsid w:val="00C90012"/>
    <w:rsid w:val="00C90091"/>
    <w:rsid w:val="00C90189"/>
    <w:rsid w:val="00C91737"/>
    <w:rsid w:val="00C91C98"/>
    <w:rsid w:val="00C926D8"/>
    <w:rsid w:val="00C9273E"/>
    <w:rsid w:val="00C9279B"/>
    <w:rsid w:val="00C928A4"/>
    <w:rsid w:val="00C9394D"/>
    <w:rsid w:val="00C95113"/>
    <w:rsid w:val="00C9553D"/>
    <w:rsid w:val="00C95EEB"/>
    <w:rsid w:val="00C96FFD"/>
    <w:rsid w:val="00C97D09"/>
    <w:rsid w:val="00CA07EA"/>
    <w:rsid w:val="00CA1BB4"/>
    <w:rsid w:val="00CA2259"/>
    <w:rsid w:val="00CA387C"/>
    <w:rsid w:val="00CA3969"/>
    <w:rsid w:val="00CA4238"/>
    <w:rsid w:val="00CA4616"/>
    <w:rsid w:val="00CA56F8"/>
    <w:rsid w:val="00CA5AA4"/>
    <w:rsid w:val="00CA6AB6"/>
    <w:rsid w:val="00CA6F14"/>
    <w:rsid w:val="00CB072C"/>
    <w:rsid w:val="00CB11D2"/>
    <w:rsid w:val="00CB16CC"/>
    <w:rsid w:val="00CB35A9"/>
    <w:rsid w:val="00CB4ADC"/>
    <w:rsid w:val="00CB5342"/>
    <w:rsid w:val="00CB5917"/>
    <w:rsid w:val="00CB5E1F"/>
    <w:rsid w:val="00CB6840"/>
    <w:rsid w:val="00CB6D05"/>
    <w:rsid w:val="00CB6E40"/>
    <w:rsid w:val="00CB7461"/>
    <w:rsid w:val="00CB7470"/>
    <w:rsid w:val="00CB7842"/>
    <w:rsid w:val="00CC03E2"/>
    <w:rsid w:val="00CC2024"/>
    <w:rsid w:val="00CC2E15"/>
    <w:rsid w:val="00CC3158"/>
    <w:rsid w:val="00CC378C"/>
    <w:rsid w:val="00CC3977"/>
    <w:rsid w:val="00CC3E2E"/>
    <w:rsid w:val="00CC46D8"/>
    <w:rsid w:val="00CC47F4"/>
    <w:rsid w:val="00CC48DC"/>
    <w:rsid w:val="00CC4C16"/>
    <w:rsid w:val="00CC4EB3"/>
    <w:rsid w:val="00CC5104"/>
    <w:rsid w:val="00CC5912"/>
    <w:rsid w:val="00CC6030"/>
    <w:rsid w:val="00CC630A"/>
    <w:rsid w:val="00CC6CD3"/>
    <w:rsid w:val="00CC6E90"/>
    <w:rsid w:val="00CC7D44"/>
    <w:rsid w:val="00CC7EFA"/>
    <w:rsid w:val="00CD08B7"/>
    <w:rsid w:val="00CD09DB"/>
    <w:rsid w:val="00CD0BD1"/>
    <w:rsid w:val="00CD0D11"/>
    <w:rsid w:val="00CD101E"/>
    <w:rsid w:val="00CD1AA6"/>
    <w:rsid w:val="00CD1F20"/>
    <w:rsid w:val="00CD25A7"/>
    <w:rsid w:val="00CD2876"/>
    <w:rsid w:val="00CD2EDE"/>
    <w:rsid w:val="00CD38C3"/>
    <w:rsid w:val="00CD4646"/>
    <w:rsid w:val="00CD46EA"/>
    <w:rsid w:val="00CD47A5"/>
    <w:rsid w:val="00CD4AFD"/>
    <w:rsid w:val="00CD5244"/>
    <w:rsid w:val="00CD5321"/>
    <w:rsid w:val="00CD569B"/>
    <w:rsid w:val="00CD6376"/>
    <w:rsid w:val="00CD6888"/>
    <w:rsid w:val="00CD69B5"/>
    <w:rsid w:val="00CD69DB"/>
    <w:rsid w:val="00CD6A95"/>
    <w:rsid w:val="00CD6B61"/>
    <w:rsid w:val="00CD7066"/>
    <w:rsid w:val="00CD7F0C"/>
    <w:rsid w:val="00CE05EC"/>
    <w:rsid w:val="00CE099B"/>
    <w:rsid w:val="00CE10CE"/>
    <w:rsid w:val="00CE1C02"/>
    <w:rsid w:val="00CE2579"/>
    <w:rsid w:val="00CE26A7"/>
    <w:rsid w:val="00CE304D"/>
    <w:rsid w:val="00CE4064"/>
    <w:rsid w:val="00CE408E"/>
    <w:rsid w:val="00CE40F4"/>
    <w:rsid w:val="00CE4B37"/>
    <w:rsid w:val="00CE4F92"/>
    <w:rsid w:val="00CE5488"/>
    <w:rsid w:val="00CE6087"/>
    <w:rsid w:val="00CE6615"/>
    <w:rsid w:val="00CE6D00"/>
    <w:rsid w:val="00CE73CE"/>
    <w:rsid w:val="00CE7567"/>
    <w:rsid w:val="00CE7FA9"/>
    <w:rsid w:val="00CF03B0"/>
    <w:rsid w:val="00CF05FB"/>
    <w:rsid w:val="00CF2084"/>
    <w:rsid w:val="00CF22F7"/>
    <w:rsid w:val="00CF3400"/>
    <w:rsid w:val="00CF3FA6"/>
    <w:rsid w:val="00CF4116"/>
    <w:rsid w:val="00CF47F6"/>
    <w:rsid w:val="00CF497A"/>
    <w:rsid w:val="00CF4989"/>
    <w:rsid w:val="00CF5A75"/>
    <w:rsid w:val="00CF5B78"/>
    <w:rsid w:val="00CF604C"/>
    <w:rsid w:val="00CF76D1"/>
    <w:rsid w:val="00CF7E19"/>
    <w:rsid w:val="00D01166"/>
    <w:rsid w:val="00D016A2"/>
    <w:rsid w:val="00D0210D"/>
    <w:rsid w:val="00D04102"/>
    <w:rsid w:val="00D0413C"/>
    <w:rsid w:val="00D04D93"/>
    <w:rsid w:val="00D04D95"/>
    <w:rsid w:val="00D05182"/>
    <w:rsid w:val="00D0696D"/>
    <w:rsid w:val="00D07F5A"/>
    <w:rsid w:val="00D105FB"/>
    <w:rsid w:val="00D10AE4"/>
    <w:rsid w:val="00D10E0F"/>
    <w:rsid w:val="00D128EF"/>
    <w:rsid w:val="00D13135"/>
    <w:rsid w:val="00D1331D"/>
    <w:rsid w:val="00D13D9D"/>
    <w:rsid w:val="00D13E78"/>
    <w:rsid w:val="00D149F0"/>
    <w:rsid w:val="00D14F2B"/>
    <w:rsid w:val="00D150E0"/>
    <w:rsid w:val="00D1515B"/>
    <w:rsid w:val="00D1540A"/>
    <w:rsid w:val="00D15474"/>
    <w:rsid w:val="00D155ED"/>
    <w:rsid w:val="00D15A2E"/>
    <w:rsid w:val="00D1724C"/>
    <w:rsid w:val="00D176FC"/>
    <w:rsid w:val="00D2019A"/>
    <w:rsid w:val="00D208AE"/>
    <w:rsid w:val="00D2142C"/>
    <w:rsid w:val="00D21805"/>
    <w:rsid w:val="00D22512"/>
    <w:rsid w:val="00D22B3C"/>
    <w:rsid w:val="00D23408"/>
    <w:rsid w:val="00D23791"/>
    <w:rsid w:val="00D24240"/>
    <w:rsid w:val="00D2468B"/>
    <w:rsid w:val="00D24A26"/>
    <w:rsid w:val="00D24C3B"/>
    <w:rsid w:val="00D25DE0"/>
    <w:rsid w:val="00D260FF"/>
    <w:rsid w:val="00D26C3D"/>
    <w:rsid w:val="00D277FD"/>
    <w:rsid w:val="00D3037E"/>
    <w:rsid w:val="00D3041C"/>
    <w:rsid w:val="00D3096E"/>
    <w:rsid w:val="00D3140A"/>
    <w:rsid w:val="00D325C8"/>
    <w:rsid w:val="00D32968"/>
    <w:rsid w:val="00D331C9"/>
    <w:rsid w:val="00D33895"/>
    <w:rsid w:val="00D345E7"/>
    <w:rsid w:val="00D34838"/>
    <w:rsid w:val="00D351FA"/>
    <w:rsid w:val="00D35740"/>
    <w:rsid w:val="00D35B8C"/>
    <w:rsid w:val="00D370EC"/>
    <w:rsid w:val="00D37469"/>
    <w:rsid w:val="00D374D5"/>
    <w:rsid w:val="00D37723"/>
    <w:rsid w:val="00D3796F"/>
    <w:rsid w:val="00D37B9C"/>
    <w:rsid w:val="00D37C8E"/>
    <w:rsid w:val="00D37CA9"/>
    <w:rsid w:val="00D37D14"/>
    <w:rsid w:val="00D37FD4"/>
    <w:rsid w:val="00D411F7"/>
    <w:rsid w:val="00D41F70"/>
    <w:rsid w:val="00D43460"/>
    <w:rsid w:val="00D43E92"/>
    <w:rsid w:val="00D4485D"/>
    <w:rsid w:val="00D44C23"/>
    <w:rsid w:val="00D44FBD"/>
    <w:rsid w:val="00D4509E"/>
    <w:rsid w:val="00D45EF6"/>
    <w:rsid w:val="00D46530"/>
    <w:rsid w:val="00D468F0"/>
    <w:rsid w:val="00D46AB8"/>
    <w:rsid w:val="00D4759C"/>
    <w:rsid w:val="00D50870"/>
    <w:rsid w:val="00D50E25"/>
    <w:rsid w:val="00D5148F"/>
    <w:rsid w:val="00D51B8A"/>
    <w:rsid w:val="00D5257F"/>
    <w:rsid w:val="00D528BE"/>
    <w:rsid w:val="00D53E42"/>
    <w:rsid w:val="00D54076"/>
    <w:rsid w:val="00D54E8D"/>
    <w:rsid w:val="00D55133"/>
    <w:rsid w:val="00D561B9"/>
    <w:rsid w:val="00D5670A"/>
    <w:rsid w:val="00D5734B"/>
    <w:rsid w:val="00D57569"/>
    <w:rsid w:val="00D6036C"/>
    <w:rsid w:val="00D60765"/>
    <w:rsid w:val="00D60939"/>
    <w:rsid w:val="00D60C54"/>
    <w:rsid w:val="00D62B5A"/>
    <w:rsid w:val="00D62F56"/>
    <w:rsid w:val="00D63007"/>
    <w:rsid w:val="00D6375C"/>
    <w:rsid w:val="00D63922"/>
    <w:rsid w:val="00D63DED"/>
    <w:rsid w:val="00D6473D"/>
    <w:rsid w:val="00D678F1"/>
    <w:rsid w:val="00D708A3"/>
    <w:rsid w:val="00D7093C"/>
    <w:rsid w:val="00D715AE"/>
    <w:rsid w:val="00D729E6"/>
    <w:rsid w:val="00D73129"/>
    <w:rsid w:val="00D73C54"/>
    <w:rsid w:val="00D742F0"/>
    <w:rsid w:val="00D76297"/>
    <w:rsid w:val="00D77081"/>
    <w:rsid w:val="00D773BC"/>
    <w:rsid w:val="00D779C5"/>
    <w:rsid w:val="00D80757"/>
    <w:rsid w:val="00D80C6C"/>
    <w:rsid w:val="00D8103F"/>
    <w:rsid w:val="00D8131D"/>
    <w:rsid w:val="00D81981"/>
    <w:rsid w:val="00D835BF"/>
    <w:rsid w:val="00D83625"/>
    <w:rsid w:val="00D83788"/>
    <w:rsid w:val="00D83E4E"/>
    <w:rsid w:val="00D848F9"/>
    <w:rsid w:val="00D84A07"/>
    <w:rsid w:val="00D86F6C"/>
    <w:rsid w:val="00D87ACC"/>
    <w:rsid w:val="00D87C8F"/>
    <w:rsid w:val="00D907EA"/>
    <w:rsid w:val="00D90C74"/>
    <w:rsid w:val="00D90FA3"/>
    <w:rsid w:val="00D91CD0"/>
    <w:rsid w:val="00D91D7E"/>
    <w:rsid w:val="00D9305D"/>
    <w:rsid w:val="00D93473"/>
    <w:rsid w:val="00D93999"/>
    <w:rsid w:val="00D94181"/>
    <w:rsid w:val="00D94F73"/>
    <w:rsid w:val="00D952EC"/>
    <w:rsid w:val="00D966CF"/>
    <w:rsid w:val="00D968D2"/>
    <w:rsid w:val="00D96C7F"/>
    <w:rsid w:val="00D97E8B"/>
    <w:rsid w:val="00DA140A"/>
    <w:rsid w:val="00DA1B11"/>
    <w:rsid w:val="00DA1EC1"/>
    <w:rsid w:val="00DA2B15"/>
    <w:rsid w:val="00DA304D"/>
    <w:rsid w:val="00DA3069"/>
    <w:rsid w:val="00DA30EC"/>
    <w:rsid w:val="00DA3219"/>
    <w:rsid w:val="00DA3583"/>
    <w:rsid w:val="00DA5174"/>
    <w:rsid w:val="00DA64CB"/>
    <w:rsid w:val="00DA78B9"/>
    <w:rsid w:val="00DB1284"/>
    <w:rsid w:val="00DB139F"/>
    <w:rsid w:val="00DB1411"/>
    <w:rsid w:val="00DB1C21"/>
    <w:rsid w:val="00DB1D12"/>
    <w:rsid w:val="00DB1D19"/>
    <w:rsid w:val="00DB1E48"/>
    <w:rsid w:val="00DB1EA0"/>
    <w:rsid w:val="00DB2F79"/>
    <w:rsid w:val="00DB2FDE"/>
    <w:rsid w:val="00DB2FE1"/>
    <w:rsid w:val="00DB3327"/>
    <w:rsid w:val="00DB3659"/>
    <w:rsid w:val="00DB3698"/>
    <w:rsid w:val="00DB3F1E"/>
    <w:rsid w:val="00DB5C68"/>
    <w:rsid w:val="00DB6273"/>
    <w:rsid w:val="00DB6697"/>
    <w:rsid w:val="00DB75EF"/>
    <w:rsid w:val="00DB77D7"/>
    <w:rsid w:val="00DB77DF"/>
    <w:rsid w:val="00DB7984"/>
    <w:rsid w:val="00DC021A"/>
    <w:rsid w:val="00DC1628"/>
    <w:rsid w:val="00DC1C7A"/>
    <w:rsid w:val="00DC1D40"/>
    <w:rsid w:val="00DC22A0"/>
    <w:rsid w:val="00DC2D5B"/>
    <w:rsid w:val="00DC3288"/>
    <w:rsid w:val="00DC44A5"/>
    <w:rsid w:val="00DC4C7E"/>
    <w:rsid w:val="00DC6108"/>
    <w:rsid w:val="00DC6B7A"/>
    <w:rsid w:val="00DC7FD9"/>
    <w:rsid w:val="00DD069E"/>
    <w:rsid w:val="00DD1043"/>
    <w:rsid w:val="00DD3059"/>
    <w:rsid w:val="00DD3C44"/>
    <w:rsid w:val="00DD3DB6"/>
    <w:rsid w:val="00DD4E6E"/>
    <w:rsid w:val="00DD665D"/>
    <w:rsid w:val="00DD7CF3"/>
    <w:rsid w:val="00DE008D"/>
    <w:rsid w:val="00DE03AE"/>
    <w:rsid w:val="00DE08E9"/>
    <w:rsid w:val="00DE0D43"/>
    <w:rsid w:val="00DE1B03"/>
    <w:rsid w:val="00DE1FA3"/>
    <w:rsid w:val="00DE2143"/>
    <w:rsid w:val="00DE2687"/>
    <w:rsid w:val="00DE27EF"/>
    <w:rsid w:val="00DE2B09"/>
    <w:rsid w:val="00DE36B1"/>
    <w:rsid w:val="00DE375D"/>
    <w:rsid w:val="00DE489D"/>
    <w:rsid w:val="00DE4C8E"/>
    <w:rsid w:val="00DE5879"/>
    <w:rsid w:val="00DE58D4"/>
    <w:rsid w:val="00DE639A"/>
    <w:rsid w:val="00DE648F"/>
    <w:rsid w:val="00DE6FEF"/>
    <w:rsid w:val="00DE708A"/>
    <w:rsid w:val="00DE7535"/>
    <w:rsid w:val="00DE7F74"/>
    <w:rsid w:val="00DF0973"/>
    <w:rsid w:val="00DF09AF"/>
    <w:rsid w:val="00DF14E9"/>
    <w:rsid w:val="00DF1FA2"/>
    <w:rsid w:val="00DF21FE"/>
    <w:rsid w:val="00DF3043"/>
    <w:rsid w:val="00DF3E4C"/>
    <w:rsid w:val="00DF4493"/>
    <w:rsid w:val="00DF774F"/>
    <w:rsid w:val="00E01D71"/>
    <w:rsid w:val="00E0201C"/>
    <w:rsid w:val="00E020C4"/>
    <w:rsid w:val="00E02267"/>
    <w:rsid w:val="00E0270A"/>
    <w:rsid w:val="00E02CCA"/>
    <w:rsid w:val="00E038A8"/>
    <w:rsid w:val="00E04300"/>
    <w:rsid w:val="00E04BBC"/>
    <w:rsid w:val="00E0524D"/>
    <w:rsid w:val="00E06A80"/>
    <w:rsid w:val="00E07050"/>
    <w:rsid w:val="00E07BAC"/>
    <w:rsid w:val="00E07C1E"/>
    <w:rsid w:val="00E10DC7"/>
    <w:rsid w:val="00E11CDA"/>
    <w:rsid w:val="00E1247A"/>
    <w:rsid w:val="00E12981"/>
    <w:rsid w:val="00E12EB3"/>
    <w:rsid w:val="00E13287"/>
    <w:rsid w:val="00E13953"/>
    <w:rsid w:val="00E13CFC"/>
    <w:rsid w:val="00E141B2"/>
    <w:rsid w:val="00E14E5D"/>
    <w:rsid w:val="00E178BE"/>
    <w:rsid w:val="00E17CD1"/>
    <w:rsid w:val="00E205C7"/>
    <w:rsid w:val="00E20867"/>
    <w:rsid w:val="00E20F60"/>
    <w:rsid w:val="00E21435"/>
    <w:rsid w:val="00E22437"/>
    <w:rsid w:val="00E22B5B"/>
    <w:rsid w:val="00E23A23"/>
    <w:rsid w:val="00E253F9"/>
    <w:rsid w:val="00E25EE5"/>
    <w:rsid w:val="00E27F87"/>
    <w:rsid w:val="00E30084"/>
    <w:rsid w:val="00E31585"/>
    <w:rsid w:val="00E31831"/>
    <w:rsid w:val="00E31905"/>
    <w:rsid w:val="00E32674"/>
    <w:rsid w:val="00E34348"/>
    <w:rsid w:val="00E361E5"/>
    <w:rsid w:val="00E36D38"/>
    <w:rsid w:val="00E37224"/>
    <w:rsid w:val="00E376E7"/>
    <w:rsid w:val="00E37A15"/>
    <w:rsid w:val="00E409EC"/>
    <w:rsid w:val="00E414C9"/>
    <w:rsid w:val="00E4164E"/>
    <w:rsid w:val="00E41A10"/>
    <w:rsid w:val="00E427B9"/>
    <w:rsid w:val="00E4280F"/>
    <w:rsid w:val="00E42C34"/>
    <w:rsid w:val="00E43864"/>
    <w:rsid w:val="00E43F39"/>
    <w:rsid w:val="00E44399"/>
    <w:rsid w:val="00E454E2"/>
    <w:rsid w:val="00E457F5"/>
    <w:rsid w:val="00E4639E"/>
    <w:rsid w:val="00E470D4"/>
    <w:rsid w:val="00E474C9"/>
    <w:rsid w:val="00E4791B"/>
    <w:rsid w:val="00E501EE"/>
    <w:rsid w:val="00E5192F"/>
    <w:rsid w:val="00E51B3F"/>
    <w:rsid w:val="00E52307"/>
    <w:rsid w:val="00E53BC6"/>
    <w:rsid w:val="00E54083"/>
    <w:rsid w:val="00E5424E"/>
    <w:rsid w:val="00E54520"/>
    <w:rsid w:val="00E562AE"/>
    <w:rsid w:val="00E56D06"/>
    <w:rsid w:val="00E578DD"/>
    <w:rsid w:val="00E60755"/>
    <w:rsid w:val="00E60841"/>
    <w:rsid w:val="00E61721"/>
    <w:rsid w:val="00E61B8F"/>
    <w:rsid w:val="00E61D9B"/>
    <w:rsid w:val="00E63C97"/>
    <w:rsid w:val="00E64342"/>
    <w:rsid w:val="00E64A48"/>
    <w:rsid w:val="00E65002"/>
    <w:rsid w:val="00E65121"/>
    <w:rsid w:val="00E66083"/>
    <w:rsid w:val="00E660D5"/>
    <w:rsid w:val="00E6734C"/>
    <w:rsid w:val="00E67733"/>
    <w:rsid w:val="00E67858"/>
    <w:rsid w:val="00E714D2"/>
    <w:rsid w:val="00E71B5B"/>
    <w:rsid w:val="00E71EE9"/>
    <w:rsid w:val="00E725DE"/>
    <w:rsid w:val="00E72906"/>
    <w:rsid w:val="00E72F70"/>
    <w:rsid w:val="00E73DC5"/>
    <w:rsid w:val="00E73F67"/>
    <w:rsid w:val="00E7431F"/>
    <w:rsid w:val="00E748B1"/>
    <w:rsid w:val="00E74DA8"/>
    <w:rsid w:val="00E752F9"/>
    <w:rsid w:val="00E7597A"/>
    <w:rsid w:val="00E75A99"/>
    <w:rsid w:val="00E75FDA"/>
    <w:rsid w:val="00E76F05"/>
    <w:rsid w:val="00E77068"/>
    <w:rsid w:val="00E77D46"/>
    <w:rsid w:val="00E77F7D"/>
    <w:rsid w:val="00E77FA0"/>
    <w:rsid w:val="00E80A33"/>
    <w:rsid w:val="00E80BF0"/>
    <w:rsid w:val="00E80C37"/>
    <w:rsid w:val="00E81074"/>
    <w:rsid w:val="00E811AA"/>
    <w:rsid w:val="00E8193D"/>
    <w:rsid w:val="00E81B2E"/>
    <w:rsid w:val="00E81DB2"/>
    <w:rsid w:val="00E82CF6"/>
    <w:rsid w:val="00E83C25"/>
    <w:rsid w:val="00E84C72"/>
    <w:rsid w:val="00E84E83"/>
    <w:rsid w:val="00E878AD"/>
    <w:rsid w:val="00E904AE"/>
    <w:rsid w:val="00E911F8"/>
    <w:rsid w:val="00E91DC1"/>
    <w:rsid w:val="00E9268C"/>
    <w:rsid w:val="00E927CB"/>
    <w:rsid w:val="00E9311C"/>
    <w:rsid w:val="00E9345A"/>
    <w:rsid w:val="00E936FE"/>
    <w:rsid w:val="00E94337"/>
    <w:rsid w:val="00E94B65"/>
    <w:rsid w:val="00E958CE"/>
    <w:rsid w:val="00E964E8"/>
    <w:rsid w:val="00EA0BEC"/>
    <w:rsid w:val="00EA0D52"/>
    <w:rsid w:val="00EA2001"/>
    <w:rsid w:val="00EA2B33"/>
    <w:rsid w:val="00EA4745"/>
    <w:rsid w:val="00EA4837"/>
    <w:rsid w:val="00EA4FD6"/>
    <w:rsid w:val="00EA53E9"/>
    <w:rsid w:val="00EA6ABC"/>
    <w:rsid w:val="00EB12CE"/>
    <w:rsid w:val="00EB1646"/>
    <w:rsid w:val="00EB2037"/>
    <w:rsid w:val="00EB24D6"/>
    <w:rsid w:val="00EB25CA"/>
    <w:rsid w:val="00EB38C1"/>
    <w:rsid w:val="00EB3B0E"/>
    <w:rsid w:val="00EB3CD2"/>
    <w:rsid w:val="00EB3E37"/>
    <w:rsid w:val="00EB47D2"/>
    <w:rsid w:val="00EB4B1F"/>
    <w:rsid w:val="00EB4BF8"/>
    <w:rsid w:val="00EB4ED7"/>
    <w:rsid w:val="00EB4FEF"/>
    <w:rsid w:val="00EB5E40"/>
    <w:rsid w:val="00EB5E54"/>
    <w:rsid w:val="00EB6322"/>
    <w:rsid w:val="00EB6605"/>
    <w:rsid w:val="00EB669B"/>
    <w:rsid w:val="00EB6A80"/>
    <w:rsid w:val="00EB7549"/>
    <w:rsid w:val="00EC009C"/>
    <w:rsid w:val="00EC0893"/>
    <w:rsid w:val="00EC1884"/>
    <w:rsid w:val="00EC1D96"/>
    <w:rsid w:val="00EC2F73"/>
    <w:rsid w:val="00EC4BD5"/>
    <w:rsid w:val="00EC4DA7"/>
    <w:rsid w:val="00EC4F0B"/>
    <w:rsid w:val="00EC54AC"/>
    <w:rsid w:val="00EC5748"/>
    <w:rsid w:val="00EC59CD"/>
    <w:rsid w:val="00EC667C"/>
    <w:rsid w:val="00EC7F6E"/>
    <w:rsid w:val="00ED05D8"/>
    <w:rsid w:val="00ED13C6"/>
    <w:rsid w:val="00ED2014"/>
    <w:rsid w:val="00ED3355"/>
    <w:rsid w:val="00ED44C7"/>
    <w:rsid w:val="00ED4F4E"/>
    <w:rsid w:val="00ED5490"/>
    <w:rsid w:val="00ED553C"/>
    <w:rsid w:val="00ED5550"/>
    <w:rsid w:val="00ED58BE"/>
    <w:rsid w:val="00ED5CEC"/>
    <w:rsid w:val="00ED6F09"/>
    <w:rsid w:val="00ED71E5"/>
    <w:rsid w:val="00ED72C1"/>
    <w:rsid w:val="00ED7599"/>
    <w:rsid w:val="00EE0540"/>
    <w:rsid w:val="00EE0BB5"/>
    <w:rsid w:val="00EE0DA1"/>
    <w:rsid w:val="00EE124D"/>
    <w:rsid w:val="00EE12ED"/>
    <w:rsid w:val="00EE228C"/>
    <w:rsid w:val="00EE240B"/>
    <w:rsid w:val="00EE2F74"/>
    <w:rsid w:val="00EE3BAA"/>
    <w:rsid w:val="00EE3DE2"/>
    <w:rsid w:val="00EE432B"/>
    <w:rsid w:val="00EE436B"/>
    <w:rsid w:val="00EE45B0"/>
    <w:rsid w:val="00EE467E"/>
    <w:rsid w:val="00EE4A25"/>
    <w:rsid w:val="00EE51B2"/>
    <w:rsid w:val="00EE584D"/>
    <w:rsid w:val="00EE58C8"/>
    <w:rsid w:val="00EE5A2E"/>
    <w:rsid w:val="00EE5BEB"/>
    <w:rsid w:val="00EE6DF4"/>
    <w:rsid w:val="00EE6F5D"/>
    <w:rsid w:val="00EF0BDA"/>
    <w:rsid w:val="00EF0CCD"/>
    <w:rsid w:val="00EF104C"/>
    <w:rsid w:val="00EF10B0"/>
    <w:rsid w:val="00EF15DE"/>
    <w:rsid w:val="00EF20EA"/>
    <w:rsid w:val="00EF219D"/>
    <w:rsid w:val="00EF312F"/>
    <w:rsid w:val="00EF3221"/>
    <w:rsid w:val="00EF3EA6"/>
    <w:rsid w:val="00EF48EA"/>
    <w:rsid w:val="00EF4B07"/>
    <w:rsid w:val="00EF52C6"/>
    <w:rsid w:val="00EF531B"/>
    <w:rsid w:val="00EF60F5"/>
    <w:rsid w:val="00EF7696"/>
    <w:rsid w:val="00EF7B01"/>
    <w:rsid w:val="00F00889"/>
    <w:rsid w:val="00F00A4C"/>
    <w:rsid w:val="00F011EA"/>
    <w:rsid w:val="00F02FCF"/>
    <w:rsid w:val="00F03B17"/>
    <w:rsid w:val="00F03E27"/>
    <w:rsid w:val="00F0402A"/>
    <w:rsid w:val="00F0445A"/>
    <w:rsid w:val="00F046FD"/>
    <w:rsid w:val="00F0494E"/>
    <w:rsid w:val="00F049E6"/>
    <w:rsid w:val="00F0656B"/>
    <w:rsid w:val="00F06635"/>
    <w:rsid w:val="00F07557"/>
    <w:rsid w:val="00F07593"/>
    <w:rsid w:val="00F0764F"/>
    <w:rsid w:val="00F07777"/>
    <w:rsid w:val="00F0793E"/>
    <w:rsid w:val="00F100A2"/>
    <w:rsid w:val="00F101BA"/>
    <w:rsid w:val="00F107A9"/>
    <w:rsid w:val="00F107C4"/>
    <w:rsid w:val="00F11C99"/>
    <w:rsid w:val="00F135EC"/>
    <w:rsid w:val="00F138DE"/>
    <w:rsid w:val="00F148A8"/>
    <w:rsid w:val="00F14DEB"/>
    <w:rsid w:val="00F15984"/>
    <w:rsid w:val="00F165B5"/>
    <w:rsid w:val="00F2014F"/>
    <w:rsid w:val="00F207C9"/>
    <w:rsid w:val="00F213C3"/>
    <w:rsid w:val="00F21735"/>
    <w:rsid w:val="00F21E6B"/>
    <w:rsid w:val="00F23750"/>
    <w:rsid w:val="00F23796"/>
    <w:rsid w:val="00F23FAC"/>
    <w:rsid w:val="00F2416D"/>
    <w:rsid w:val="00F24332"/>
    <w:rsid w:val="00F24B22"/>
    <w:rsid w:val="00F24BD4"/>
    <w:rsid w:val="00F266D2"/>
    <w:rsid w:val="00F271C1"/>
    <w:rsid w:val="00F274DD"/>
    <w:rsid w:val="00F277A7"/>
    <w:rsid w:val="00F277DD"/>
    <w:rsid w:val="00F27A61"/>
    <w:rsid w:val="00F27B4C"/>
    <w:rsid w:val="00F27D34"/>
    <w:rsid w:val="00F304C4"/>
    <w:rsid w:val="00F30A53"/>
    <w:rsid w:val="00F312C7"/>
    <w:rsid w:val="00F31366"/>
    <w:rsid w:val="00F3423C"/>
    <w:rsid w:val="00F35412"/>
    <w:rsid w:val="00F36450"/>
    <w:rsid w:val="00F36E9E"/>
    <w:rsid w:val="00F36F7D"/>
    <w:rsid w:val="00F37B7A"/>
    <w:rsid w:val="00F40FFD"/>
    <w:rsid w:val="00F41610"/>
    <w:rsid w:val="00F41CD9"/>
    <w:rsid w:val="00F439A2"/>
    <w:rsid w:val="00F440F9"/>
    <w:rsid w:val="00F449C1"/>
    <w:rsid w:val="00F4619C"/>
    <w:rsid w:val="00F46921"/>
    <w:rsid w:val="00F47A83"/>
    <w:rsid w:val="00F47ED8"/>
    <w:rsid w:val="00F5040E"/>
    <w:rsid w:val="00F50607"/>
    <w:rsid w:val="00F50D66"/>
    <w:rsid w:val="00F521A5"/>
    <w:rsid w:val="00F5311E"/>
    <w:rsid w:val="00F5313D"/>
    <w:rsid w:val="00F537A0"/>
    <w:rsid w:val="00F53845"/>
    <w:rsid w:val="00F53B54"/>
    <w:rsid w:val="00F5688A"/>
    <w:rsid w:val="00F576CF"/>
    <w:rsid w:val="00F616F5"/>
    <w:rsid w:val="00F61899"/>
    <w:rsid w:val="00F61AA5"/>
    <w:rsid w:val="00F61E9E"/>
    <w:rsid w:val="00F62B5E"/>
    <w:rsid w:val="00F6334E"/>
    <w:rsid w:val="00F64A7C"/>
    <w:rsid w:val="00F65787"/>
    <w:rsid w:val="00F66127"/>
    <w:rsid w:val="00F66B20"/>
    <w:rsid w:val="00F6701D"/>
    <w:rsid w:val="00F67E6F"/>
    <w:rsid w:val="00F67EA4"/>
    <w:rsid w:val="00F70DCC"/>
    <w:rsid w:val="00F723FE"/>
    <w:rsid w:val="00F725F8"/>
    <w:rsid w:val="00F72618"/>
    <w:rsid w:val="00F7417D"/>
    <w:rsid w:val="00F74C3A"/>
    <w:rsid w:val="00F7518B"/>
    <w:rsid w:val="00F75DD1"/>
    <w:rsid w:val="00F76319"/>
    <w:rsid w:val="00F778B6"/>
    <w:rsid w:val="00F77A85"/>
    <w:rsid w:val="00F77D78"/>
    <w:rsid w:val="00F80872"/>
    <w:rsid w:val="00F809F5"/>
    <w:rsid w:val="00F80AE5"/>
    <w:rsid w:val="00F81506"/>
    <w:rsid w:val="00F81CD7"/>
    <w:rsid w:val="00F823DD"/>
    <w:rsid w:val="00F827DD"/>
    <w:rsid w:val="00F8354B"/>
    <w:rsid w:val="00F8371D"/>
    <w:rsid w:val="00F83B42"/>
    <w:rsid w:val="00F84C5E"/>
    <w:rsid w:val="00F85186"/>
    <w:rsid w:val="00F85838"/>
    <w:rsid w:val="00F858C3"/>
    <w:rsid w:val="00F85B11"/>
    <w:rsid w:val="00F85FE3"/>
    <w:rsid w:val="00F86610"/>
    <w:rsid w:val="00F8710D"/>
    <w:rsid w:val="00F87B71"/>
    <w:rsid w:val="00F87DC1"/>
    <w:rsid w:val="00F907ED"/>
    <w:rsid w:val="00F90895"/>
    <w:rsid w:val="00F90FDC"/>
    <w:rsid w:val="00F90FED"/>
    <w:rsid w:val="00F91105"/>
    <w:rsid w:val="00F921C7"/>
    <w:rsid w:val="00F9264D"/>
    <w:rsid w:val="00F92A74"/>
    <w:rsid w:val="00F92AE0"/>
    <w:rsid w:val="00F930D3"/>
    <w:rsid w:val="00F930E9"/>
    <w:rsid w:val="00F94610"/>
    <w:rsid w:val="00F94797"/>
    <w:rsid w:val="00F94916"/>
    <w:rsid w:val="00F95376"/>
    <w:rsid w:val="00F95BDE"/>
    <w:rsid w:val="00F96F12"/>
    <w:rsid w:val="00F9753E"/>
    <w:rsid w:val="00F97BA0"/>
    <w:rsid w:val="00FA0651"/>
    <w:rsid w:val="00FA0BB2"/>
    <w:rsid w:val="00FA1B1F"/>
    <w:rsid w:val="00FA1CDE"/>
    <w:rsid w:val="00FA2157"/>
    <w:rsid w:val="00FA2A20"/>
    <w:rsid w:val="00FA2E78"/>
    <w:rsid w:val="00FA410D"/>
    <w:rsid w:val="00FA497A"/>
    <w:rsid w:val="00FA522F"/>
    <w:rsid w:val="00FA6B28"/>
    <w:rsid w:val="00FA6DA8"/>
    <w:rsid w:val="00FA73E2"/>
    <w:rsid w:val="00FA77A8"/>
    <w:rsid w:val="00FA788C"/>
    <w:rsid w:val="00FA7AFF"/>
    <w:rsid w:val="00FA7D4F"/>
    <w:rsid w:val="00FB09E7"/>
    <w:rsid w:val="00FB0F38"/>
    <w:rsid w:val="00FB114D"/>
    <w:rsid w:val="00FB1562"/>
    <w:rsid w:val="00FB1610"/>
    <w:rsid w:val="00FB1AA9"/>
    <w:rsid w:val="00FB235B"/>
    <w:rsid w:val="00FB2CCD"/>
    <w:rsid w:val="00FB49DF"/>
    <w:rsid w:val="00FB51DE"/>
    <w:rsid w:val="00FB641D"/>
    <w:rsid w:val="00FB7EBB"/>
    <w:rsid w:val="00FB7F78"/>
    <w:rsid w:val="00FC0801"/>
    <w:rsid w:val="00FC0C41"/>
    <w:rsid w:val="00FC0F74"/>
    <w:rsid w:val="00FC137B"/>
    <w:rsid w:val="00FC1E79"/>
    <w:rsid w:val="00FC1FEB"/>
    <w:rsid w:val="00FC284B"/>
    <w:rsid w:val="00FC48B7"/>
    <w:rsid w:val="00FC4F69"/>
    <w:rsid w:val="00FC683C"/>
    <w:rsid w:val="00FC70D2"/>
    <w:rsid w:val="00FC7825"/>
    <w:rsid w:val="00FC7D8D"/>
    <w:rsid w:val="00FC7EFE"/>
    <w:rsid w:val="00FD10EE"/>
    <w:rsid w:val="00FD14A6"/>
    <w:rsid w:val="00FD1725"/>
    <w:rsid w:val="00FD1774"/>
    <w:rsid w:val="00FD278A"/>
    <w:rsid w:val="00FD37B3"/>
    <w:rsid w:val="00FD3A5C"/>
    <w:rsid w:val="00FD3BFA"/>
    <w:rsid w:val="00FD429A"/>
    <w:rsid w:val="00FD549D"/>
    <w:rsid w:val="00FD5A58"/>
    <w:rsid w:val="00FD7210"/>
    <w:rsid w:val="00FD75FB"/>
    <w:rsid w:val="00FD7CB1"/>
    <w:rsid w:val="00FE009C"/>
    <w:rsid w:val="00FE1614"/>
    <w:rsid w:val="00FE1850"/>
    <w:rsid w:val="00FE23B6"/>
    <w:rsid w:val="00FE3B1C"/>
    <w:rsid w:val="00FE476B"/>
    <w:rsid w:val="00FE4AE7"/>
    <w:rsid w:val="00FE4C0A"/>
    <w:rsid w:val="00FE606C"/>
    <w:rsid w:val="00FE6341"/>
    <w:rsid w:val="00FE6DB2"/>
    <w:rsid w:val="00FE729E"/>
    <w:rsid w:val="00FE7BE0"/>
    <w:rsid w:val="00FF0063"/>
    <w:rsid w:val="00FF06BB"/>
    <w:rsid w:val="00FF095E"/>
    <w:rsid w:val="00FF0C83"/>
    <w:rsid w:val="00FF0E63"/>
    <w:rsid w:val="00FF17ED"/>
    <w:rsid w:val="00FF1DFF"/>
    <w:rsid w:val="00FF22FC"/>
    <w:rsid w:val="00FF234C"/>
    <w:rsid w:val="00FF2DA2"/>
    <w:rsid w:val="00FF2DE8"/>
    <w:rsid w:val="00FF2EBD"/>
    <w:rsid w:val="00FF3E3E"/>
    <w:rsid w:val="00FF4BDF"/>
    <w:rsid w:val="00FF5B58"/>
    <w:rsid w:val="00FF6464"/>
    <w:rsid w:val="00FF79B6"/>
    <w:rsid w:val="00FF7A4C"/>
    <w:rsid w:val="00FF7B79"/>
    <w:rsid w:val="00FF7DCB"/>
    <w:rsid w:val="100F8D9F"/>
    <w:rsid w:val="1C232288"/>
    <w:rsid w:val="2271792C"/>
    <w:rsid w:val="2DDE2ADC"/>
    <w:rsid w:val="3095F990"/>
    <w:rsid w:val="3C5CDE3E"/>
    <w:rsid w:val="3D29325A"/>
    <w:rsid w:val="464DE177"/>
    <w:rsid w:val="475F2C82"/>
    <w:rsid w:val="4A1EB2B0"/>
    <w:rsid w:val="4DB214DE"/>
    <w:rsid w:val="5108C75C"/>
    <w:rsid w:val="527D66A5"/>
    <w:rsid w:val="52C806A4"/>
    <w:rsid w:val="5B084DD3"/>
    <w:rsid w:val="5DB0A50D"/>
    <w:rsid w:val="625AED1E"/>
    <w:rsid w:val="6642E11E"/>
    <w:rsid w:val="674E9D7E"/>
    <w:rsid w:val="679B1C51"/>
    <w:rsid w:val="76FF1A18"/>
    <w:rsid w:val="7AF585A8"/>
    <w:rsid w:val="7EEAA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C5899"/>
  <w14:defaultImageDpi w14:val="32767"/>
  <w15:chartTrackingRefBased/>
  <w15:docId w15:val="{99CA6312-EA6A-4659-A0B6-4EB66C7D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10C33"/>
    <w:rPr>
      <w:rFonts w:ascii="Helvetica Light" w:hAnsi="Helvetica Light"/>
    </w:rPr>
  </w:style>
  <w:style w:type="paragraph" w:styleId="Heading1">
    <w:name w:val="heading 1"/>
    <w:basedOn w:val="Normal"/>
    <w:next w:val="Normal"/>
    <w:link w:val="Heading1Char"/>
    <w:uiPriority w:val="9"/>
    <w:rsid w:val="00996F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F101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FIHeadA">
    <w:name w:val="ASFI Head A"/>
    <w:qFormat/>
    <w:rsid w:val="00194904"/>
    <w:rPr>
      <w:rFonts w:ascii="Public Sans" w:hAnsi="Public Sans"/>
      <w:b/>
      <w:bCs/>
      <w:sz w:val="40"/>
      <w:szCs w:val="40"/>
    </w:rPr>
  </w:style>
  <w:style w:type="paragraph" w:customStyle="1" w:styleId="ASFIHeadB">
    <w:name w:val="ASFI Head B"/>
    <w:basedOn w:val="ASFIHeadA"/>
    <w:qFormat/>
    <w:rsid w:val="00880636"/>
    <w:rPr>
      <w:b w:val="0"/>
      <w:bCs w:val="0"/>
      <w:sz w:val="32"/>
      <w:szCs w:val="32"/>
    </w:rPr>
  </w:style>
  <w:style w:type="paragraph" w:customStyle="1" w:styleId="ASFIBody">
    <w:name w:val="ASFI Body"/>
    <w:basedOn w:val="ASFIHeadB"/>
    <w:qFormat/>
    <w:rsid w:val="002E173C"/>
    <w:pPr>
      <w:spacing w:line="280" w:lineRule="exact"/>
    </w:pPr>
    <w:rPr>
      <w:rFonts w:ascii="Helvetica" w:hAnsi="Helvetica"/>
      <w:sz w:val="22"/>
    </w:rPr>
  </w:style>
  <w:style w:type="paragraph" w:customStyle="1" w:styleId="ASFIBodyIntro">
    <w:name w:val="ASFI Body Intro"/>
    <w:basedOn w:val="ASFIBody"/>
    <w:qFormat/>
    <w:rsid w:val="00EB4B1F"/>
    <w:rPr>
      <w:b/>
      <w:bCs/>
    </w:rPr>
  </w:style>
  <w:style w:type="paragraph" w:customStyle="1" w:styleId="ASFIBullet">
    <w:name w:val="ASFI Bullet"/>
    <w:basedOn w:val="ASFIBody"/>
    <w:qFormat/>
    <w:rsid w:val="00686C42"/>
    <w:pPr>
      <w:numPr>
        <w:numId w:val="1"/>
      </w:numPr>
    </w:pPr>
  </w:style>
  <w:style w:type="character" w:customStyle="1" w:styleId="Heading2Char">
    <w:name w:val="Heading 2 Char"/>
    <w:basedOn w:val="DefaultParagraphFont"/>
    <w:link w:val="Heading2"/>
    <w:uiPriority w:val="9"/>
    <w:rsid w:val="00F101B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F6ADA"/>
    <w:pPr>
      <w:tabs>
        <w:tab w:val="center" w:pos="4513"/>
        <w:tab w:val="right" w:pos="9026"/>
      </w:tabs>
    </w:pPr>
  </w:style>
  <w:style w:type="character" w:customStyle="1" w:styleId="HeaderChar">
    <w:name w:val="Header Char"/>
    <w:basedOn w:val="DefaultParagraphFont"/>
    <w:link w:val="Header"/>
    <w:uiPriority w:val="99"/>
    <w:rsid w:val="004F6ADA"/>
    <w:rPr>
      <w:rFonts w:ascii="Helvetica Light" w:hAnsi="Helvetica Light"/>
    </w:rPr>
  </w:style>
  <w:style w:type="paragraph" w:styleId="Footer">
    <w:name w:val="footer"/>
    <w:basedOn w:val="Normal"/>
    <w:link w:val="FooterChar"/>
    <w:uiPriority w:val="99"/>
    <w:unhideWhenUsed/>
    <w:rsid w:val="004F6ADA"/>
    <w:pPr>
      <w:tabs>
        <w:tab w:val="center" w:pos="4513"/>
        <w:tab w:val="right" w:pos="9026"/>
      </w:tabs>
    </w:pPr>
  </w:style>
  <w:style w:type="character" w:customStyle="1" w:styleId="FooterChar">
    <w:name w:val="Footer Char"/>
    <w:basedOn w:val="DefaultParagraphFont"/>
    <w:link w:val="Footer"/>
    <w:uiPriority w:val="99"/>
    <w:rsid w:val="004F6ADA"/>
    <w:rPr>
      <w:rFonts w:ascii="Helvetica Light" w:hAnsi="Helvetica Light"/>
    </w:rPr>
  </w:style>
  <w:style w:type="paragraph" w:customStyle="1" w:styleId="ASFIBodyHead">
    <w:name w:val="ASFI Body Head"/>
    <w:basedOn w:val="ASFIBody"/>
    <w:rsid w:val="00880636"/>
    <w:rPr>
      <w:b/>
      <w:bCs/>
      <w:color w:val="233A7A"/>
    </w:rPr>
  </w:style>
  <w:style w:type="paragraph" w:customStyle="1" w:styleId="ASFIPull-Quote">
    <w:name w:val="ASFI Pull-Quote"/>
    <w:basedOn w:val="ASFIBodyIntro"/>
    <w:rsid w:val="00194904"/>
    <w:pPr>
      <w:pBdr>
        <w:top w:val="single" w:sz="4" w:space="10" w:color="auto"/>
        <w:bottom w:val="single" w:sz="4" w:space="10" w:color="auto"/>
      </w:pBdr>
      <w:spacing w:before="220" w:after="220" w:line="300" w:lineRule="exact"/>
    </w:pPr>
    <w:rPr>
      <w:rFonts w:ascii="Public Sans" w:hAnsi="Public Sans"/>
      <w:b w:val="0"/>
      <w:bCs w:val="0"/>
      <w:sz w:val="24"/>
    </w:rPr>
  </w:style>
  <w:style w:type="character" w:styleId="Hyperlink">
    <w:name w:val="Hyperlink"/>
    <w:basedOn w:val="DefaultParagraphFont"/>
    <w:uiPriority w:val="99"/>
    <w:unhideWhenUsed/>
    <w:rsid w:val="001F21AD"/>
    <w:rPr>
      <w:color w:val="0563C1" w:themeColor="hyperlink"/>
      <w:u w:val="single"/>
    </w:rPr>
  </w:style>
  <w:style w:type="paragraph" w:styleId="ListParagraph">
    <w:name w:val="List Paragraph"/>
    <w:basedOn w:val="Normal"/>
    <w:uiPriority w:val="34"/>
    <w:qFormat/>
    <w:rsid w:val="001F21AD"/>
    <w:pPr>
      <w:spacing w:after="160" w:line="259" w:lineRule="auto"/>
      <w:ind w:left="720"/>
      <w:contextualSpacing/>
    </w:pPr>
    <w:rPr>
      <w:rFonts w:asciiTheme="minorHAnsi" w:hAnsiTheme="minorHAnsi"/>
      <w:sz w:val="22"/>
      <w:szCs w:val="22"/>
      <w:lang w:val="en-AU"/>
    </w:rPr>
  </w:style>
  <w:style w:type="table" w:styleId="TableGrid">
    <w:name w:val="Table Grid"/>
    <w:basedOn w:val="TableNormal"/>
    <w:uiPriority w:val="39"/>
    <w:rsid w:val="00C1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rsid w:val="008B5D25"/>
    <w:pPr>
      <w:numPr>
        <w:numId w:val="3"/>
      </w:numPr>
      <w:spacing w:after="120" w:line="260" w:lineRule="atLeast"/>
    </w:pPr>
    <w:rPr>
      <w:rFonts w:ascii="Lucida Sans" w:eastAsia="Times New Roman" w:hAnsi="Lucida Sans" w:cs="Times New Roman"/>
      <w:sz w:val="18"/>
      <w:lang w:eastAsia="en-GB"/>
    </w:rPr>
  </w:style>
  <w:style w:type="character" w:customStyle="1" w:styleId="ui-provider">
    <w:name w:val="ui-provider"/>
    <w:basedOn w:val="DefaultParagraphFont"/>
    <w:rsid w:val="00420D33"/>
  </w:style>
  <w:style w:type="character" w:styleId="CommentReference">
    <w:name w:val="annotation reference"/>
    <w:basedOn w:val="DefaultParagraphFont"/>
    <w:uiPriority w:val="99"/>
    <w:semiHidden/>
    <w:unhideWhenUsed/>
    <w:rsid w:val="00045200"/>
    <w:rPr>
      <w:sz w:val="16"/>
      <w:szCs w:val="16"/>
    </w:rPr>
  </w:style>
  <w:style w:type="paragraph" w:styleId="CommentText">
    <w:name w:val="annotation text"/>
    <w:basedOn w:val="Normal"/>
    <w:link w:val="CommentTextChar"/>
    <w:uiPriority w:val="99"/>
    <w:unhideWhenUsed/>
    <w:rsid w:val="00045200"/>
    <w:rPr>
      <w:sz w:val="20"/>
      <w:szCs w:val="20"/>
    </w:rPr>
  </w:style>
  <w:style w:type="character" w:customStyle="1" w:styleId="CommentTextChar">
    <w:name w:val="Comment Text Char"/>
    <w:basedOn w:val="DefaultParagraphFont"/>
    <w:link w:val="CommentText"/>
    <w:uiPriority w:val="99"/>
    <w:rsid w:val="00045200"/>
    <w:rPr>
      <w:rFonts w:ascii="Helvetica Light" w:hAnsi="Helvetica Light"/>
      <w:sz w:val="20"/>
      <w:szCs w:val="20"/>
    </w:rPr>
  </w:style>
  <w:style w:type="paragraph" w:styleId="CommentSubject">
    <w:name w:val="annotation subject"/>
    <w:basedOn w:val="CommentText"/>
    <w:next w:val="CommentText"/>
    <w:link w:val="CommentSubjectChar"/>
    <w:uiPriority w:val="99"/>
    <w:semiHidden/>
    <w:unhideWhenUsed/>
    <w:rsid w:val="00045200"/>
    <w:rPr>
      <w:b/>
      <w:bCs/>
    </w:rPr>
  </w:style>
  <w:style w:type="character" w:customStyle="1" w:styleId="CommentSubjectChar">
    <w:name w:val="Comment Subject Char"/>
    <w:basedOn w:val="CommentTextChar"/>
    <w:link w:val="CommentSubject"/>
    <w:uiPriority w:val="99"/>
    <w:semiHidden/>
    <w:rsid w:val="00045200"/>
    <w:rPr>
      <w:rFonts w:ascii="Helvetica Light" w:hAnsi="Helvetica Light"/>
      <w:b/>
      <w:bCs/>
      <w:sz w:val="20"/>
      <w:szCs w:val="20"/>
    </w:rPr>
  </w:style>
  <w:style w:type="character" w:styleId="Mention">
    <w:name w:val="Mention"/>
    <w:basedOn w:val="DefaultParagraphFont"/>
    <w:uiPriority w:val="99"/>
    <w:unhideWhenUsed/>
    <w:rsid w:val="00CF604C"/>
    <w:rPr>
      <w:color w:val="2B579A"/>
      <w:shd w:val="clear" w:color="auto" w:fill="E1DFDD"/>
    </w:rPr>
  </w:style>
  <w:style w:type="paragraph" w:styleId="NormalWeb">
    <w:name w:val="Normal (Web)"/>
    <w:basedOn w:val="Normal"/>
    <w:uiPriority w:val="99"/>
    <w:semiHidden/>
    <w:unhideWhenUsed/>
    <w:rsid w:val="00CE304D"/>
    <w:pPr>
      <w:spacing w:before="100" w:beforeAutospacing="1" w:after="100" w:afterAutospacing="1"/>
    </w:pPr>
    <w:rPr>
      <w:rFonts w:ascii="Times New Roman" w:eastAsia="Times New Roman" w:hAnsi="Times New Roman" w:cs="Times New Roman"/>
      <w:lang w:val="en-AU" w:eastAsia="en-AU"/>
    </w:rPr>
  </w:style>
  <w:style w:type="character" w:styleId="UnresolvedMention">
    <w:name w:val="Unresolved Mention"/>
    <w:basedOn w:val="DefaultParagraphFont"/>
    <w:uiPriority w:val="99"/>
    <w:rsid w:val="00E51B3F"/>
    <w:rPr>
      <w:color w:val="605E5C"/>
      <w:shd w:val="clear" w:color="auto" w:fill="E1DFDD"/>
    </w:rPr>
  </w:style>
  <w:style w:type="paragraph" w:customStyle="1" w:styleId="Default">
    <w:name w:val="Default"/>
    <w:rsid w:val="00F92AE0"/>
    <w:pPr>
      <w:autoSpaceDE w:val="0"/>
      <w:autoSpaceDN w:val="0"/>
      <w:adjustRightInd w:val="0"/>
    </w:pPr>
    <w:rPr>
      <w:rFonts w:ascii="Arimo" w:hAnsi="Arimo" w:cs="Arimo"/>
      <w:color w:val="000000"/>
      <w:lang w:val="en-AU"/>
    </w:rPr>
  </w:style>
  <w:style w:type="paragraph" w:styleId="Revision">
    <w:name w:val="Revision"/>
    <w:hidden/>
    <w:uiPriority w:val="99"/>
    <w:semiHidden/>
    <w:rsid w:val="00CC378C"/>
    <w:rPr>
      <w:rFonts w:ascii="Helvetica Light" w:hAnsi="Helvetica Light"/>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2B7D97"/>
    <w:pPr>
      <w:numPr>
        <w:numId w:val="11"/>
      </w:numPr>
      <w:spacing w:after="160" w:line="259" w:lineRule="auto"/>
    </w:pPr>
    <w:rPr>
      <w:rFonts w:asciiTheme="minorHAnsi" w:hAnsiTheme="minorHAnsi"/>
      <w:sz w:val="22"/>
      <w:szCs w:val="22"/>
      <w:lang w:val="en-AU"/>
    </w:rPr>
  </w:style>
  <w:style w:type="character" w:customStyle="1" w:styleId="BulletChar">
    <w:name w:val="Bullet Char"/>
    <w:aliases w:val="Body Char,Bulleted Para Char,Bullets Char,FooterText Char,L Char,List Paragraph Char,List Paragraph1 Char,List Paragraph11 Char,List Paragraph2 Char,Number Char,Recommendation Char,b + line Char,b + line Char Char,b Char,b Char Char,b1 Char"/>
    <w:basedOn w:val="DefaultParagraphFont"/>
    <w:link w:val="Bullet"/>
    <w:qFormat/>
    <w:rsid w:val="002B7D97"/>
    <w:rPr>
      <w:sz w:val="22"/>
      <w:szCs w:val="22"/>
      <w:lang w:val="en-AU"/>
    </w:rPr>
  </w:style>
  <w:style w:type="paragraph" w:customStyle="1" w:styleId="Dash">
    <w:name w:val="Dash"/>
    <w:basedOn w:val="Normal"/>
    <w:rsid w:val="002B7D97"/>
    <w:pPr>
      <w:numPr>
        <w:ilvl w:val="1"/>
        <w:numId w:val="11"/>
      </w:numPr>
      <w:spacing w:after="160" w:line="259" w:lineRule="auto"/>
    </w:pPr>
    <w:rPr>
      <w:rFonts w:asciiTheme="minorHAnsi" w:hAnsiTheme="minorHAnsi"/>
      <w:sz w:val="22"/>
      <w:szCs w:val="22"/>
      <w:lang w:val="en-AU"/>
    </w:rPr>
  </w:style>
  <w:style w:type="paragraph" w:customStyle="1" w:styleId="DoubleDot">
    <w:name w:val="Double Dot"/>
    <w:basedOn w:val="Normal"/>
    <w:rsid w:val="002B7D97"/>
    <w:pPr>
      <w:numPr>
        <w:ilvl w:val="2"/>
        <w:numId w:val="11"/>
      </w:numPr>
      <w:spacing w:after="160" w:line="259" w:lineRule="auto"/>
    </w:pPr>
    <w:rPr>
      <w:rFonts w:asciiTheme="minorHAnsi" w:hAnsiTheme="minorHAnsi"/>
      <w:sz w:val="22"/>
      <w:szCs w:val="22"/>
      <w:lang w:val="en-AU"/>
    </w:rPr>
  </w:style>
  <w:style w:type="paragraph" w:styleId="FootnoteText">
    <w:name w:val="footnote text"/>
    <w:basedOn w:val="Normal"/>
    <w:link w:val="FootnoteTextChar"/>
    <w:uiPriority w:val="99"/>
    <w:unhideWhenUsed/>
    <w:rsid w:val="002B6AEA"/>
    <w:rPr>
      <w:rFonts w:asciiTheme="majorHAnsi" w:hAnsiTheme="majorHAnsi" w:cs="Times New Roman (Body CS)"/>
      <w:sz w:val="13"/>
      <w:szCs w:val="20"/>
    </w:rPr>
  </w:style>
  <w:style w:type="character" w:customStyle="1" w:styleId="FootnoteTextChar">
    <w:name w:val="Footnote Text Char"/>
    <w:basedOn w:val="DefaultParagraphFont"/>
    <w:link w:val="FootnoteText"/>
    <w:uiPriority w:val="99"/>
    <w:rsid w:val="002B6AEA"/>
    <w:rPr>
      <w:rFonts w:asciiTheme="majorHAnsi" w:hAnsiTheme="majorHAnsi" w:cs="Times New Roman (Body CS)"/>
      <w:sz w:val="13"/>
      <w:szCs w:val="20"/>
    </w:rPr>
  </w:style>
  <w:style w:type="character" w:styleId="FootnoteReference">
    <w:name w:val="footnote reference"/>
    <w:basedOn w:val="DefaultParagraphFont"/>
    <w:uiPriority w:val="99"/>
    <w:semiHidden/>
    <w:unhideWhenUsed/>
    <w:rsid w:val="002B6AEA"/>
    <w:rPr>
      <w:vertAlign w:val="superscript"/>
    </w:rPr>
  </w:style>
  <w:style w:type="character" w:customStyle="1" w:styleId="Heading1Char">
    <w:name w:val="Heading 1 Char"/>
    <w:basedOn w:val="DefaultParagraphFont"/>
    <w:link w:val="Heading1"/>
    <w:uiPriority w:val="9"/>
    <w:rsid w:val="00996FA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96FAB"/>
    <w:pPr>
      <w:spacing w:line="259" w:lineRule="auto"/>
      <w:outlineLvl w:val="9"/>
    </w:pPr>
    <w:rPr>
      <w:lang w:val="en-US"/>
    </w:rPr>
  </w:style>
  <w:style w:type="paragraph" w:styleId="TOC2">
    <w:name w:val="toc 2"/>
    <w:basedOn w:val="Normal"/>
    <w:next w:val="Normal"/>
    <w:autoRedefine/>
    <w:uiPriority w:val="39"/>
    <w:unhideWhenUsed/>
    <w:rsid w:val="00996FAB"/>
    <w:pPr>
      <w:spacing w:after="100" w:line="259" w:lineRule="auto"/>
      <w:ind w:left="220"/>
    </w:pPr>
    <w:rPr>
      <w:rFonts w:asciiTheme="minorHAnsi" w:eastAsiaTheme="minorEastAsia" w:hAnsiTheme="minorHAnsi" w:cs="Times New Roman"/>
      <w:sz w:val="22"/>
      <w:szCs w:val="22"/>
      <w:lang w:val="en-US"/>
    </w:rPr>
  </w:style>
  <w:style w:type="paragraph" w:styleId="TOC1">
    <w:name w:val="toc 1"/>
    <w:basedOn w:val="Normal"/>
    <w:next w:val="Normal"/>
    <w:autoRedefine/>
    <w:uiPriority w:val="39"/>
    <w:unhideWhenUsed/>
    <w:rsid w:val="00340E46"/>
    <w:pPr>
      <w:spacing w:after="100" w:line="259" w:lineRule="auto"/>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796755"/>
    <w:pPr>
      <w:spacing w:after="100" w:line="259" w:lineRule="auto"/>
      <w:ind w:left="446"/>
    </w:pPr>
    <w:rPr>
      <w:rFonts w:asciiTheme="minorHAnsi" w:eastAsiaTheme="minorEastAsia" w:hAnsiTheme="minorHAnsi" w:cs="Times New Roman"/>
      <w:sz w:val="22"/>
      <w:szCs w:val="22"/>
      <w:lang w:val="en-US"/>
    </w:rPr>
  </w:style>
  <w:style w:type="character" w:customStyle="1" w:styleId="normaltextrun">
    <w:name w:val="normaltextrun"/>
    <w:basedOn w:val="DefaultParagraphFont"/>
    <w:rsid w:val="0078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7289">
      <w:bodyDiv w:val="1"/>
      <w:marLeft w:val="0"/>
      <w:marRight w:val="0"/>
      <w:marTop w:val="0"/>
      <w:marBottom w:val="0"/>
      <w:divBdr>
        <w:top w:val="none" w:sz="0" w:space="0" w:color="auto"/>
        <w:left w:val="none" w:sz="0" w:space="0" w:color="auto"/>
        <w:bottom w:val="none" w:sz="0" w:space="0" w:color="auto"/>
        <w:right w:val="none" w:sz="0" w:space="0" w:color="auto"/>
      </w:divBdr>
    </w:div>
    <w:div w:id="228658190">
      <w:bodyDiv w:val="1"/>
      <w:marLeft w:val="0"/>
      <w:marRight w:val="0"/>
      <w:marTop w:val="0"/>
      <w:marBottom w:val="0"/>
      <w:divBdr>
        <w:top w:val="none" w:sz="0" w:space="0" w:color="auto"/>
        <w:left w:val="none" w:sz="0" w:space="0" w:color="auto"/>
        <w:bottom w:val="none" w:sz="0" w:space="0" w:color="auto"/>
        <w:right w:val="none" w:sz="0" w:space="0" w:color="auto"/>
      </w:divBdr>
    </w:div>
    <w:div w:id="373818179">
      <w:bodyDiv w:val="1"/>
      <w:marLeft w:val="0"/>
      <w:marRight w:val="0"/>
      <w:marTop w:val="0"/>
      <w:marBottom w:val="0"/>
      <w:divBdr>
        <w:top w:val="none" w:sz="0" w:space="0" w:color="auto"/>
        <w:left w:val="none" w:sz="0" w:space="0" w:color="auto"/>
        <w:bottom w:val="none" w:sz="0" w:space="0" w:color="auto"/>
        <w:right w:val="none" w:sz="0" w:space="0" w:color="auto"/>
      </w:divBdr>
    </w:div>
    <w:div w:id="870265707">
      <w:bodyDiv w:val="1"/>
      <w:marLeft w:val="0"/>
      <w:marRight w:val="0"/>
      <w:marTop w:val="0"/>
      <w:marBottom w:val="0"/>
      <w:divBdr>
        <w:top w:val="none" w:sz="0" w:space="0" w:color="auto"/>
        <w:left w:val="none" w:sz="0" w:space="0" w:color="auto"/>
        <w:bottom w:val="none" w:sz="0" w:space="0" w:color="auto"/>
        <w:right w:val="none" w:sz="0" w:space="0" w:color="auto"/>
      </w:divBdr>
    </w:div>
    <w:div w:id="939409947">
      <w:bodyDiv w:val="1"/>
      <w:marLeft w:val="0"/>
      <w:marRight w:val="0"/>
      <w:marTop w:val="0"/>
      <w:marBottom w:val="0"/>
      <w:divBdr>
        <w:top w:val="none" w:sz="0" w:space="0" w:color="auto"/>
        <w:left w:val="none" w:sz="0" w:space="0" w:color="auto"/>
        <w:bottom w:val="none" w:sz="0" w:space="0" w:color="auto"/>
        <w:right w:val="none" w:sz="0" w:space="0" w:color="auto"/>
      </w:divBdr>
    </w:div>
    <w:div w:id="1057557106">
      <w:bodyDiv w:val="1"/>
      <w:marLeft w:val="0"/>
      <w:marRight w:val="0"/>
      <w:marTop w:val="0"/>
      <w:marBottom w:val="0"/>
      <w:divBdr>
        <w:top w:val="none" w:sz="0" w:space="0" w:color="auto"/>
        <w:left w:val="none" w:sz="0" w:space="0" w:color="auto"/>
        <w:bottom w:val="none" w:sz="0" w:space="0" w:color="auto"/>
        <w:right w:val="none" w:sz="0" w:space="0" w:color="auto"/>
      </w:divBdr>
    </w:div>
    <w:div w:id="1234777331">
      <w:bodyDiv w:val="1"/>
      <w:marLeft w:val="0"/>
      <w:marRight w:val="0"/>
      <w:marTop w:val="0"/>
      <w:marBottom w:val="0"/>
      <w:divBdr>
        <w:top w:val="none" w:sz="0" w:space="0" w:color="auto"/>
        <w:left w:val="none" w:sz="0" w:space="0" w:color="auto"/>
        <w:bottom w:val="none" w:sz="0" w:space="0" w:color="auto"/>
        <w:right w:val="none" w:sz="0" w:space="0" w:color="auto"/>
      </w:divBdr>
    </w:div>
    <w:div w:id="139430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fi.org.au/taxonomy-governance" TargetMode="External"/><Relationship Id="rId18" Type="http://schemas.openxmlformats.org/officeDocument/2006/relationships/hyperlink" Target="https://static1.squarespace.com/static/6182172c8c1fdb1d7425fd0d/t/64cc7196efd6ae16dddfd6e5/1691120023048/TTEG+Member+Lis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tatic1.squarespace.com/static/6182172c8c1fdb1d7425fd0d/t/654b1050c9b7c56a3dcfd85a/1699418211515/TAG+Membership+v3.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static1.squarespace.com/static/6182172c8c1fdb1d7425fd0d/t/64fe9c082d79333e832f7390/1694407689554/ASFI-CWG+ToR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tic1.squarespace.com/static/6182172c8c1fdb1d7425fd0d/t/66446476f989541a046a0f5f/1715758198988/TAG+Members+-+May+2024.pdf" TargetMode="External"/><Relationship Id="rId20" Type="http://schemas.openxmlformats.org/officeDocument/2006/relationships/hyperlink" Target="https://www.asfi.org.au/taxonomy-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ic1.squarespace.com/static/6182172c8c1fdb1d7425fd0d/t/64fe9c082d79333e832f7390/1694407689554/ASFI-CWG+ToRs.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sfi.org.au/taxonomy-governanc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sfi.org.au/taxonomy-govern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ic1.squarespace.com/static/6182172c8c1fdb1d7425fd0d/t/664eb42a02458464cf5d9a7a/1716433963686/TTEG+Member+List+-+May+2024.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ea.org/" TargetMode="External"/><Relationship Id="rId1" Type="http://schemas.openxmlformats.org/officeDocument/2006/relationships/hyperlink" Target="https://www.csiro.au/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AE4AD48B0AA43B29FF019DD1E581A" ma:contentTypeVersion="18" ma:contentTypeDescription="Create a new document." ma:contentTypeScope="" ma:versionID="d9701be1ee5fa954a72c899cf719b211">
  <xsd:schema xmlns:xsd="http://www.w3.org/2001/XMLSchema" xmlns:xs="http://www.w3.org/2001/XMLSchema" xmlns:p="http://schemas.microsoft.com/office/2006/metadata/properties" xmlns:ns2="71a67b96-aca5-402c-a883-d5e0fd7ab825" xmlns:ns3="efc3ab94-83a3-4856-a5bc-97fbff1a58f0" targetNamespace="http://schemas.microsoft.com/office/2006/metadata/properties" ma:root="true" ma:fieldsID="b4fd42f4dc39ebf30ed37b5a2b34800a" ns2:_="" ns3:_="">
    <xsd:import namespace="71a67b96-aca5-402c-a883-d5e0fd7ab825"/>
    <xsd:import namespace="efc3ab94-83a3-4856-a5bc-97fbff1a5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67b96-aca5-402c-a883-d5e0fd7ab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f59cdf-47b8-4df1-ab0a-4c10b9f5349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3ab94-83a3-4856-a5bc-97fbff1a58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2eba5f-d78c-43f9-a1e5-31c0bdca737b}" ma:internalName="TaxCatchAll" ma:showField="CatchAllData" ma:web="efc3ab94-83a3-4856-a5bc-97fbff1a5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c3ab94-83a3-4856-a5bc-97fbff1a58f0" xsi:nil="true"/>
    <lcf76f155ced4ddcb4097134ff3c332f xmlns="71a67b96-aca5-402c-a883-d5e0fd7ab8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E7F45-0D9C-403F-90A6-B0F178F0D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67b96-aca5-402c-a883-d5e0fd7ab825"/>
    <ds:schemaRef ds:uri="efc3ab94-83a3-4856-a5bc-97fbff1a5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40A93-BDBE-E24C-AEF6-6F446BB6064E}">
  <ds:schemaRefs>
    <ds:schemaRef ds:uri="http://schemas.openxmlformats.org/officeDocument/2006/bibliography"/>
  </ds:schemaRefs>
</ds:datastoreItem>
</file>

<file path=customXml/itemProps3.xml><?xml version="1.0" encoding="utf-8"?>
<ds:datastoreItem xmlns:ds="http://schemas.openxmlformats.org/officeDocument/2006/customXml" ds:itemID="{68973F18-63D3-4A6F-A158-D79A3B0DA1B6}">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purl.org/dc/terms/"/>
    <ds:schemaRef ds:uri="efc3ab94-83a3-4856-a5bc-97fbff1a58f0"/>
    <ds:schemaRef ds:uri="71a67b96-aca5-402c-a883-d5e0fd7ab825"/>
    <ds:schemaRef ds:uri="http://www.w3.org/XML/1998/namespace"/>
  </ds:schemaRefs>
</ds:datastoreItem>
</file>

<file path=customXml/itemProps4.xml><?xml version="1.0" encoding="utf-8"?>
<ds:datastoreItem xmlns:ds="http://schemas.openxmlformats.org/officeDocument/2006/customXml" ds:itemID="{C1399F68-D6B4-424B-A810-FFBD42AD5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23</Pages>
  <Words>8690</Words>
  <Characters>52060</Characters>
  <Application>Microsoft Office Word</Application>
  <DocSecurity>0</DocSecurity>
  <Lines>1269</Lines>
  <Paragraphs>427</Paragraphs>
  <ScaleCrop>false</ScaleCrop>
  <HeadingPairs>
    <vt:vector size="2" baseType="variant">
      <vt:variant>
        <vt:lpstr>Title</vt:lpstr>
      </vt:variant>
      <vt:variant>
        <vt:i4>1</vt:i4>
      </vt:variant>
    </vt:vector>
  </HeadingPairs>
  <TitlesOfParts>
    <vt:vector size="1" baseType="lpstr">
      <vt:lpstr>DEVELOPING AN AUSTRALIAN SUSTAINABLE FINANCE TAXONOMY – INITIAL PHASE </vt:lpstr>
    </vt:vector>
  </TitlesOfParts>
  <Company/>
  <LinksUpToDate>false</LinksUpToDate>
  <CharactersWithSpaces>60323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AN AUSTRALIAN SUSTAINABLE FINANCE TAXONOMY – INITIAL PHASE </dc:title>
  <dc:subject/>
  <dc:creator>Australian Sustainable Finance Institute </dc:creator>
  <cp:keywords/>
  <dc:description/>
  <cp:lastModifiedBy>Keogh, Vicky</cp:lastModifiedBy>
  <cp:revision>706</cp:revision>
  <cp:lastPrinted>2023-11-13T23:05:00Z</cp:lastPrinted>
  <dcterms:created xsi:type="dcterms:W3CDTF">2024-06-18T06:55:00Z</dcterms:created>
  <dcterms:modified xsi:type="dcterms:W3CDTF">2024-09-03T02:39:00Z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2024-09-03T02:38:34Z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db6b51ce-99c8-475e-a3c6-d4b0fb6d8a11</vt:lpwstr>
  </property>
  <property fmtid="{D5CDD505-2E9C-101B-9397-08002B2CF9AE}" pid="8" name="MSIP_Label_4f932d64-9ab1-4d9b-81d2-a3a8b82dd47d_ContentBits">
    <vt:lpwstr>0</vt:lpwstr>
  </property>
</Properties>
</file>