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56009D" w:rsidP="00236901">
      <w:pPr>
        <w:spacing w:before="360"/>
        <w:ind w:right="95"/>
        <w:jc w:val="center"/>
      </w:pPr>
      <w:r>
        <w:rPr>
          <w:caps/>
          <w:noProof/>
        </w:rPr>
        <w:drawing>
          <wp:inline distT="0" distB="0" distL="0" distR="0" wp14:anchorId="657517C0" wp14:editId="581D17CF">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5987F612" w14:textId="77777777" w:rsidR="007355F1" w:rsidRDefault="0056009D" w:rsidP="002A31E6">
      <w:pPr>
        <w:spacing w:before="360"/>
        <w:jc w:val="cente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 xml:space="preserve">Senate </w:t>
          </w:r>
          <w:r w:rsidR="001638E5">
            <w:rPr>
              <w:rFonts w:ascii="Montserrat Light" w:hAnsi="Montserrat Light"/>
              <w:sz w:val="32"/>
              <w:szCs w:val="32"/>
            </w:rPr>
            <w:t xml:space="preserve">Select </w:t>
          </w:r>
          <w:r>
            <w:rPr>
              <w:rFonts w:ascii="Montserrat Light" w:hAnsi="Montserrat Light"/>
              <w:sz w:val="32"/>
              <w:szCs w:val="32"/>
            </w:rPr>
            <w:t>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proofErr w:type="gramStart"/>
          <w:r w:rsidR="001638E5">
            <w:rPr>
              <w:rStyle w:val="commiChar"/>
            </w:rPr>
            <w:t>on</w:t>
          </w:r>
          <w:proofErr w:type="gramEnd"/>
          <w:r w:rsidR="001638E5">
            <w:rPr>
              <w:rStyle w:val="commiChar"/>
            </w:rPr>
            <w:t xml:space="preserve"> </w:t>
          </w:r>
          <w:r>
            <w:rPr>
              <w:rFonts w:ascii="Montserrat Light" w:hAnsi="Montserrat Light"/>
              <w:sz w:val="32"/>
              <w:szCs w:val="32"/>
            </w:rPr>
            <w:t>Australia as a Technology and Financial Centre</w:t>
          </w:r>
        </w:sdtContent>
      </w:sdt>
      <w:r w:rsidR="007355F1">
        <w:t>:</w:t>
      </w:r>
    </w:p>
    <w:p w14:paraId="6B1CCAE9" w14:textId="60DB8EFB" w:rsidR="002A31E6" w:rsidRPr="00EC7701" w:rsidRDefault="007355F1" w:rsidP="002A31E6">
      <w:pPr>
        <w:spacing w:before="360"/>
        <w:jc w:val="center"/>
        <w:rPr>
          <w:rFonts w:ascii="Montserrat Light" w:hAnsi="Montserrat Light"/>
          <w:sz w:val="32"/>
          <w:szCs w:val="32"/>
        </w:rPr>
      </w:pPr>
      <w:r>
        <w:rPr>
          <w:rFonts w:ascii="Montserrat Light" w:hAnsi="Montserrat Light"/>
          <w:sz w:val="32"/>
          <w:szCs w:val="32"/>
        </w:rPr>
        <w:t>Second Interim r</w:t>
      </w:r>
      <w:r w:rsidRPr="00EC7701">
        <w:rPr>
          <w:rFonts w:ascii="Montserrat Light" w:hAnsi="Montserrat Light"/>
          <w:sz w:val="32"/>
          <w:szCs w:val="32"/>
        </w:rPr>
        <w:t>eport</w:t>
      </w:r>
      <w:r w:rsidR="00E12215" w:rsidRPr="00EC7701">
        <w:rPr>
          <w:rFonts w:ascii="Montserrat Light" w:hAnsi="Montserrat Light"/>
          <w:sz w:val="32"/>
          <w:szCs w:val="32"/>
        </w:rPr>
        <w:t xml:space="preserve"> </w:t>
      </w:r>
    </w:p>
    <w:p w14:paraId="06B4A7B1" w14:textId="3C8F27A3" w:rsidR="002A31E6" w:rsidRPr="00EC7701" w:rsidRDefault="002E2155"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1638E5">
            <w:rPr>
              <w:rFonts w:ascii="Montserrat Light" w:hAnsi="Montserrat Light"/>
              <w:sz w:val="32"/>
              <w:szCs w:val="32"/>
            </w:rPr>
            <w:t xml:space="preserve"> </w:t>
          </w:r>
        </w:sdtContent>
      </w:sdt>
    </w:p>
    <w:p w14:paraId="26B52DAF" w14:textId="63FE2B4D" w:rsidR="002A31E6" w:rsidRPr="00EC7701" w:rsidRDefault="001638E5"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18239B3A" w14:textId="77777777" w:rsidR="001638E5" w:rsidRPr="00C47A9C" w:rsidRDefault="001638E5" w:rsidP="001638E5">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638E5" w14:paraId="76752ED3" w14:textId="77777777" w:rsidTr="00A1759D">
        <w:trPr>
          <w:trHeight w:val="70"/>
        </w:trPr>
        <w:tc>
          <w:tcPr>
            <w:tcW w:w="9016" w:type="dxa"/>
          </w:tcPr>
          <w:p w14:paraId="2906BA37" w14:textId="77777777" w:rsidR="001638E5" w:rsidRPr="008774BA" w:rsidRDefault="001638E5" w:rsidP="00A1759D">
            <w:pPr>
              <w:pStyle w:val="BoxHeading"/>
              <w:keepNext w:val="0"/>
              <w:widowControl w:val="0"/>
              <w:rPr>
                <w:caps/>
              </w:rPr>
            </w:pPr>
            <w:r w:rsidRPr="008774BA">
              <w:t>Recommendation 1</w:t>
            </w:r>
          </w:p>
          <w:p w14:paraId="752C52F2" w14:textId="67148A0B" w:rsidR="001638E5" w:rsidRDefault="001638E5" w:rsidP="001638E5">
            <w:pPr>
              <w:pStyle w:val="BoxText"/>
              <w:widowControl w:val="0"/>
            </w:pPr>
            <w:r>
              <w:t>The committee recommends that the Research &amp; Development Tax Incentive be amended to allow for:</w:t>
            </w:r>
          </w:p>
          <w:p w14:paraId="40771430" w14:textId="08C21F8F" w:rsidR="001638E5" w:rsidRDefault="001638E5" w:rsidP="001638E5">
            <w:pPr>
              <w:pStyle w:val="BoxText"/>
              <w:widowControl w:val="0"/>
            </w:pPr>
            <w:r>
              <w:t>- different assessment methodologies to be used; and</w:t>
            </w:r>
          </w:p>
          <w:p w14:paraId="0222A806" w14:textId="0150D18F" w:rsidR="001638E5" w:rsidRPr="008774BA" w:rsidRDefault="001638E5" w:rsidP="001638E5">
            <w:pPr>
              <w:pStyle w:val="BoxText"/>
              <w:widowControl w:val="0"/>
            </w:pPr>
            <w:r>
              <w:t>- quarterly payments to successful applicants.</w:t>
            </w:r>
          </w:p>
          <w:p w14:paraId="0694B212" w14:textId="77777777" w:rsidR="001638E5" w:rsidRPr="009753EB" w:rsidRDefault="001638E5" w:rsidP="00A1759D">
            <w:pPr>
              <w:pStyle w:val="BoxSubHeading"/>
              <w:keepNext w:val="0"/>
              <w:widowControl w:val="0"/>
              <w:rPr>
                <w:caps/>
              </w:rPr>
            </w:pPr>
            <w:r w:rsidRPr="009753EB">
              <w:t xml:space="preserve">Australian Government response </w:t>
            </w:r>
          </w:p>
          <w:p w14:paraId="117FFF63" w14:textId="59EC8832" w:rsidR="001638E5" w:rsidRPr="008774BA" w:rsidRDefault="001638E5" w:rsidP="00A1759D">
            <w:pPr>
              <w:pStyle w:val="BoxText"/>
              <w:widowControl w:val="0"/>
              <w:rPr>
                <w:cap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14:paraId="03C93D7D" w14:textId="77777777" w:rsidTr="00A1759D">
        <w:trPr>
          <w:trHeight w:val="70"/>
        </w:trPr>
        <w:tc>
          <w:tcPr>
            <w:tcW w:w="9016" w:type="dxa"/>
          </w:tcPr>
          <w:p w14:paraId="08925C9D" w14:textId="77777777" w:rsidR="001638E5" w:rsidRPr="008774BA" w:rsidRDefault="001638E5" w:rsidP="00A1759D">
            <w:pPr>
              <w:pStyle w:val="BoxHeading"/>
              <w:keepNext w:val="0"/>
              <w:widowControl w:val="0"/>
              <w:rPr>
                <w:caps/>
              </w:rPr>
            </w:pPr>
            <w:r w:rsidRPr="008774BA">
              <w:t xml:space="preserve">Recommendation </w:t>
            </w:r>
            <w:r>
              <w:t>2</w:t>
            </w:r>
          </w:p>
          <w:p w14:paraId="71F7A9F4" w14:textId="1450BEA9" w:rsidR="001638E5" w:rsidRPr="008774BA" w:rsidRDefault="001638E5" w:rsidP="001638E5">
            <w:pPr>
              <w:pStyle w:val="BoxText"/>
              <w:widowControl w:val="0"/>
            </w:pPr>
            <w:r>
              <w:t>The committee recommends that the Australian Government consider the establishment of a separate software-specific tax incentive scheme.</w:t>
            </w:r>
          </w:p>
          <w:p w14:paraId="453FFB50" w14:textId="77777777" w:rsidR="001638E5" w:rsidRPr="009753EB" w:rsidRDefault="001638E5" w:rsidP="00A1759D">
            <w:pPr>
              <w:pStyle w:val="BoxSubHeading"/>
              <w:keepNext w:val="0"/>
              <w:widowControl w:val="0"/>
              <w:rPr>
                <w:caps/>
              </w:rPr>
            </w:pPr>
            <w:r w:rsidRPr="009753EB">
              <w:t xml:space="preserve">Australian Government response </w:t>
            </w:r>
          </w:p>
          <w:p w14:paraId="429907B3" w14:textId="29497BEB"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r>
              <w:t xml:space="preserve"> </w:t>
            </w:r>
          </w:p>
        </w:tc>
      </w:tr>
      <w:tr w:rsidR="001638E5" w14:paraId="30854F83" w14:textId="77777777" w:rsidTr="00A1759D">
        <w:trPr>
          <w:trHeight w:val="70"/>
        </w:trPr>
        <w:tc>
          <w:tcPr>
            <w:tcW w:w="9016" w:type="dxa"/>
          </w:tcPr>
          <w:p w14:paraId="5A48A79F" w14:textId="77777777" w:rsidR="001638E5" w:rsidRPr="008774BA" w:rsidRDefault="001638E5" w:rsidP="00A1759D">
            <w:pPr>
              <w:pStyle w:val="BoxHeading"/>
              <w:keepNext w:val="0"/>
              <w:widowControl w:val="0"/>
              <w:rPr>
                <w:caps/>
              </w:rPr>
            </w:pPr>
            <w:r w:rsidRPr="008774BA">
              <w:t xml:space="preserve">Recommendation </w:t>
            </w:r>
            <w:r>
              <w:t>3</w:t>
            </w:r>
          </w:p>
          <w:p w14:paraId="305355FB" w14:textId="7F84E7AE" w:rsidR="001638E5" w:rsidRPr="008774BA" w:rsidRDefault="001638E5" w:rsidP="001638E5">
            <w:pPr>
              <w:pStyle w:val="BoxText"/>
              <w:widowControl w:val="0"/>
            </w:pPr>
            <w:r>
              <w:t>The committee recommends that the Australian Government consider abolishing interest withholding tax, in line with recommendations from the Johnson Review.</w:t>
            </w:r>
          </w:p>
          <w:p w14:paraId="08164226" w14:textId="77777777" w:rsidR="001638E5" w:rsidRPr="009753EB" w:rsidRDefault="001638E5" w:rsidP="00A1759D">
            <w:pPr>
              <w:pStyle w:val="BoxSubHeading"/>
              <w:keepNext w:val="0"/>
              <w:widowControl w:val="0"/>
              <w:rPr>
                <w:caps/>
              </w:rPr>
            </w:pPr>
            <w:r w:rsidRPr="009753EB">
              <w:t xml:space="preserve">Australian Government response </w:t>
            </w:r>
          </w:p>
          <w:p w14:paraId="58F4559D" w14:textId="09085D8A"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bl>
    <w:p w14:paraId="46250DEB" w14:textId="77777777" w:rsidR="001638E5" w:rsidRDefault="001638E5">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638E5" w:rsidRPr="008774BA" w14:paraId="440E025A" w14:textId="77777777" w:rsidTr="00A1759D">
        <w:trPr>
          <w:trHeight w:val="70"/>
        </w:trPr>
        <w:tc>
          <w:tcPr>
            <w:tcW w:w="9016" w:type="dxa"/>
          </w:tcPr>
          <w:p w14:paraId="05482883" w14:textId="42CCCEC4" w:rsidR="001638E5" w:rsidRPr="008774BA" w:rsidRDefault="001638E5" w:rsidP="00A1759D">
            <w:pPr>
              <w:pStyle w:val="BoxHeading"/>
              <w:keepNext w:val="0"/>
              <w:widowControl w:val="0"/>
              <w:rPr>
                <w:caps/>
              </w:rPr>
            </w:pPr>
            <w:r w:rsidRPr="008774BA">
              <w:t xml:space="preserve">Recommendation </w:t>
            </w:r>
            <w:r>
              <w:t>4</w:t>
            </w:r>
          </w:p>
          <w:p w14:paraId="223494FB" w14:textId="5E3FE8EC" w:rsidR="001638E5" w:rsidRDefault="001638E5" w:rsidP="001638E5">
            <w:pPr>
              <w:pStyle w:val="BoxText"/>
              <w:widowControl w:val="0"/>
            </w:pPr>
            <w:r>
              <w:t>The committee recommends that the Australian Government and relevant agencies pursue mechanisms to increase international participation in the Consumer Data Right (CDR) and interoperability with similar schemes in other jurisdictions, including by:</w:t>
            </w:r>
          </w:p>
          <w:p w14:paraId="119392A0" w14:textId="2E3ECDF0" w:rsidR="001638E5" w:rsidRDefault="001638E5" w:rsidP="001638E5">
            <w:pPr>
              <w:pStyle w:val="BoxText"/>
              <w:widowControl w:val="0"/>
            </w:pPr>
            <w:r>
              <w:t xml:space="preserve">- driving the establishment of International Open Banking standards and broader standards relating to data sharing and consent management; and </w:t>
            </w:r>
          </w:p>
          <w:p w14:paraId="3C46EDDA" w14:textId="66871997" w:rsidR="001638E5" w:rsidRPr="008774BA" w:rsidRDefault="001638E5" w:rsidP="001638E5">
            <w:pPr>
              <w:pStyle w:val="BoxText"/>
              <w:widowControl w:val="0"/>
            </w:pPr>
            <w:r>
              <w:t xml:space="preserve">- establishing mutual recognition arrangements for accreditation under the CDR and relevant schemes in other jurisdictions, </w:t>
            </w:r>
            <w:proofErr w:type="gramStart"/>
            <w:r>
              <w:t>in particular</w:t>
            </w:r>
            <w:proofErr w:type="gramEnd"/>
            <w:r>
              <w:t xml:space="preserve"> the United Kingdom.</w:t>
            </w:r>
          </w:p>
          <w:p w14:paraId="081F89E2" w14:textId="77777777" w:rsidR="001638E5" w:rsidRPr="009753EB" w:rsidRDefault="001638E5" w:rsidP="00A1759D">
            <w:pPr>
              <w:pStyle w:val="BoxSubHeading"/>
              <w:keepNext w:val="0"/>
              <w:widowControl w:val="0"/>
              <w:rPr>
                <w:caps/>
              </w:rPr>
            </w:pPr>
            <w:r w:rsidRPr="009753EB">
              <w:t xml:space="preserve">Australian Government response </w:t>
            </w:r>
          </w:p>
          <w:p w14:paraId="3CF953BB" w14:textId="141DB1BC" w:rsidR="001638E5" w:rsidRPr="008774BA" w:rsidRDefault="001638E5" w:rsidP="00A1759D">
            <w:pPr>
              <w:pStyle w:val="BoxText"/>
              <w:widowControl w:val="0"/>
              <w:rPr>
                <w:cap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5C5436D4" w14:textId="77777777" w:rsidTr="00A1759D">
        <w:trPr>
          <w:trHeight w:val="70"/>
        </w:trPr>
        <w:tc>
          <w:tcPr>
            <w:tcW w:w="9016" w:type="dxa"/>
          </w:tcPr>
          <w:p w14:paraId="687D133B" w14:textId="77777777" w:rsidR="001638E5" w:rsidRPr="008774BA" w:rsidRDefault="001638E5" w:rsidP="00A1759D">
            <w:pPr>
              <w:pStyle w:val="BoxHeading"/>
              <w:keepNext w:val="0"/>
              <w:widowControl w:val="0"/>
              <w:rPr>
                <w:caps/>
              </w:rPr>
            </w:pPr>
            <w:r w:rsidRPr="008774BA">
              <w:t xml:space="preserve">Recommendation </w:t>
            </w:r>
            <w:r>
              <w:t>5</w:t>
            </w:r>
          </w:p>
          <w:p w14:paraId="2157A4CA" w14:textId="51FAB54E" w:rsidR="001638E5" w:rsidRPr="008774BA" w:rsidRDefault="001638E5" w:rsidP="001638E5">
            <w:pPr>
              <w:pStyle w:val="BoxText"/>
              <w:widowControl w:val="0"/>
            </w:pPr>
            <w:r>
              <w:t xml:space="preserve">The committee recommends that the Australian Government, through Treasury and other relevant agencies, review and publicly report on what additional rules and safeguards may be required </w:t>
            </w:r>
            <w:proofErr w:type="gramStart"/>
            <w:r>
              <w:t>in the event that</w:t>
            </w:r>
            <w:proofErr w:type="gramEnd"/>
            <w:r>
              <w:t xml:space="preserve"> large non-bank digital platforms were to seek accreditation under the CDR regime.</w:t>
            </w:r>
          </w:p>
          <w:p w14:paraId="3A599181" w14:textId="77777777" w:rsidR="001638E5" w:rsidRPr="009753EB" w:rsidRDefault="001638E5" w:rsidP="00A1759D">
            <w:pPr>
              <w:pStyle w:val="BoxSubHeading"/>
              <w:keepNext w:val="0"/>
              <w:widowControl w:val="0"/>
              <w:rPr>
                <w:caps/>
              </w:rPr>
            </w:pPr>
            <w:r w:rsidRPr="009753EB">
              <w:t xml:space="preserve">Australian Government response </w:t>
            </w:r>
          </w:p>
          <w:p w14:paraId="192FDD94" w14:textId="509783FA"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r>
              <w:t xml:space="preserve"> </w:t>
            </w:r>
          </w:p>
        </w:tc>
      </w:tr>
      <w:tr w:rsidR="001638E5" w:rsidRPr="008774BA" w14:paraId="1D8C80B0" w14:textId="77777777" w:rsidTr="00A1759D">
        <w:trPr>
          <w:trHeight w:val="70"/>
        </w:trPr>
        <w:tc>
          <w:tcPr>
            <w:tcW w:w="9016" w:type="dxa"/>
          </w:tcPr>
          <w:p w14:paraId="25C84878" w14:textId="77777777" w:rsidR="001638E5" w:rsidRPr="008774BA" w:rsidRDefault="001638E5" w:rsidP="00A1759D">
            <w:pPr>
              <w:pStyle w:val="BoxHeading"/>
              <w:keepNext w:val="0"/>
              <w:widowControl w:val="0"/>
              <w:rPr>
                <w:caps/>
              </w:rPr>
            </w:pPr>
            <w:r w:rsidRPr="008774BA">
              <w:t xml:space="preserve">Recommendation </w:t>
            </w:r>
            <w:r>
              <w:t>6</w:t>
            </w:r>
          </w:p>
          <w:p w14:paraId="0F90FB30" w14:textId="3832F950" w:rsidR="001638E5" w:rsidRPr="008774BA" w:rsidRDefault="001638E5" w:rsidP="001638E5">
            <w:pPr>
              <w:pStyle w:val="BoxText"/>
              <w:widowControl w:val="0"/>
            </w:pPr>
            <w:r>
              <w:t>The committee recommends that the Australian Government develop consumer 'nudge' mechanisms to be incorporated into the design of the CDR regime, to ensure consumers are periodically made aware of their ability to find better products and services through the CDR.</w:t>
            </w:r>
          </w:p>
          <w:p w14:paraId="480120E0" w14:textId="77777777" w:rsidR="001638E5" w:rsidRPr="009753EB" w:rsidRDefault="001638E5" w:rsidP="00A1759D">
            <w:pPr>
              <w:pStyle w:val="BoxSubHeading"/>
              <w:keepNext w:val="0"/>
              <w:widowControl w:val="0"/>
              <w:rPr>
                <w:caps/>
              </w:rPr>
            </w:pPr>
            <w:r w:rsidRPr="009753EB">
              <w:t xml:space="preserve">Australian Government response </w:t>
            </w:r>
          </w:p>
          <w:p w14:paraId="6E57134E" w14:textId="52E8FC5A"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4D059009" w14:textId="77777777" w:rsidTr="00A1759D">
        <w:trPr>
          <w:trHeight w:val="70"/>
        </w:trPr>
        <w:tc>
          <w:tcPr>
            <w:tcW w:w="9016" w:type="dxa"/>
          </w:tcPr>
          <w:p w14:paraId="3231A266" w14:textId="77777777" w:rsidR="001638E5" w:rsidRPr="008774BA" w:rsidRDefault="001638E5" w:rsidP="00A1759D">
            <w:pPr>
              <w:pStyle w:val="BoxHeading"/>
              <w:keepNext w:val="0"/>
              <w:widowControl w:val="0"/>
              <w:rPr>
                <w:caps/>
              </w:rPr>
            </w:pPr>
            <w:r w:rsidRPr="008774BA">
              <w:t xml:space="preserve">Recommendation </w:t>
            </w:r>
            <w:r>
              <w:t>7</w:t>
            </w:r>
          </w:p>
          <w:p w14:paraId="35300151" w14:textId="45F23D20" w:rsidR="001638E5" w:rsidRPr="008774BA" w:rsidRDefault="001638E5" w:rsidP="001638E5">
            <w:pPr>
              <w:pStyle w:val="BoxText"/>
              <w:widowControl w:val="0"/>
            </w:pPr>
            <w:r>
              <w:t xml:space="preserve">The committee recommends that, pending any relevant findings of the ACCC, the Australian Government consider whether an access regime for app marketplaces may be necessary </w:t>
            </w:r>
            <w:proofErr w:type="gramStart"/>
            <w:r>
              <w:t>in order to</w:t>
            </w:r>
            <w:proofErr w:type="gramEnd"/>
            <w:r>
              <w:t xml:space="preserve"> ensure fair and equitable access for app developers.</w:t>
            </w:r>
          </w:p>
          <w:p w14:paraId="0DAF473D" w14:textId="77777777" w:rsidR="001638E5" w:rsidRPr="009753EB" w:rsidRDefault="001638E5" w:rsidP="00A1759D">
            <w:pPr>
              <w:pStyle w:val="BoxSubHeading"/>
              <w:keepNext w:val="0"/>
              <w:widowControl w:val="0"/>
              <w:rPr>
                <w:caps/>
              </w:rPr>
            </w:pPr>
            <w:r w:rsidRPr="009753EB">
              <w:t xml:space="preserve">Australian Government response </w:t>
            </w:r>
          </w:p>
          <w:p w14:paraId="184C953A" w14:textId="7C8D06A2" w:rsidR="001638E5" w:rsidRPr="008774BA" w:rsidRDefault="001638E5" w:rsidP="00A1759D">
            <w:pPr>
              <w:pStyle w:val="BoxText"/>
              <w:widowControl w:val="0"/>
              <w:rPr>
                <w:cap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229FFE85" w14:textId="77777777" w:rsidTr="00A1759D">
        <w:trPr>
          <w:trHeight w:val="70"/>
        </w:trPr>
        <w:tc>
          <w:tcPr>
            <w:tcW w:w="9016" w:type="dxa"/>
          </w:tcPr>
          <w:p w14:paraId="69738B6C" w14:textId="77777777" w:rsidR="001638E5" w:rsidRPr="008774BA" w:rsidRDefault="001638E5" w:rsidP="00A1759D">
            <w:pPr>
              <w:pStyle w:val="BoxHeading"/>
              <w:keepNext w:val="0"/>
              <w:widowControl w:val="0"/>
              <w:rPr>
                <w:caps/>
              </w:rPr>
            </w:pPr>
            <w:r w:rsidRPr="008774BA">
              <w:t xml:space="preserve">Recommendation </w:t>
            </w:r>
            <w:r>
              <w:t>8</w:t>
            </w:r>
          </w:p>
          <w:p w14:paraId="10B8AC7E" w14:textId="31D031A2" w:rsidR="001638E5" w:rsidRPr="008774BA" w:rsidRDefault="001638E5" w:rsidP="001638E5">
            <w:pPr>
              <w:pStyle w:val="BoxText"/>
              <w:widowControl w:val="0"/>
            </w:pPr>
            <w:r>
              <w:t>The committee recommends the Australian Government review the ability for businesses to access relevant information from government registers (including ASIC registers and AEC electoral roll data) for the purposes of facilitating identity checks and offering Digital Identity services, particularly in comparison with how this access is facilitated in similar jurisdictions overseas.</w:t>
            </w:r>
          </w:p>
          <w:p w14:paraId="17BE13B9" w14:textId="77777777" w:rsidR="001638E5" w:rsidRPr="009753EB" w:rsidRDefault="001638E5" w:rsidP="00A1759D">
            <w:pPr>
              <w:pStyle w:val="BoxSubHeading"/>
              <w:keepNext w:val="0"/>
              <w:widowControl w:val="0"/>
              <w:rPr>
                <w:caps/>
              </w:rPr>
            </w:pPr>
            <w:r w:rsidRPr="009753EB">
              <w:t xml:space="preserve">Australian Government response </w:t>
            </w:r>
          </w:p>
          <w:p w14:paraId="720771A7" w14:textId="6453B459"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r>
              <w:t xml:space="preserve"> </w:t>
            </w:r>
          </w:p>
        </w:tc>
      </w:tr>
      <w:tr w:rsidR="001638E5" w:rsidRPr="008774BA" w14:paraId="35C06339" w14:textId="77777777" w:rsidTr="00A1759D">
        <w:trPr>
          <w:trHeight w:val="70"/>
        </w:trPr>
        <w:tc>
          <w:tcPr>
            <w:tcW w:w="9016" w:type="dxa"/>
          </w:tcPr>
          <w:p w14:paraId="1E32A6DE" w14:textId="77777777" w:rsidR="001638E5" w:rsidRPr="008774BA" w:rsidRDefault="001638E5" w:rsidP="00A1759D">
            <w:pPr>
              <w:pStyle w:val="BoxHeading"/>
              <w:keepNext w:val="0"/>
              <w:widowControl w:val="0"/>
              <w:rPr>
                <w:caps/>
              </w:rPr>
            </w:pPr>
            <w:r w:rsidRPr="008774BA">
              <w:t xml:space="preserve">Recommendation </w:t>
            </w:r>
            <w:r>
              <w:t>9</w:t>
            </w:r>
          </w:p>
          <w:p w14:paraId="1838611A" w14:textId="0409646A" w:rsidR="001638E5" w:rsidRPr="008774BA" w:rsidRDefault="001638E5" w:rsidP="001638E5">
            <w:pPr>
              <w:pStyle w:val="BoxText"/>
              <w:widowControl w:val="0"/>
            </w:pPr>
            <w:r>
              <w:t>The committee recommends that the Australian Government establish a Commonwealth 'Rules as Code' innovation hub, accompanied by a regulatory sandbox, to advance legal coding approaches to Commonwealth legislation and regulation.</w:t>
            </w:r>
          </w:p>
          <w:p w14:paraId="45F1DCBD" w14:textId="77777777" w:rsidR="001638E5" w:rsidRPr="009753EB" w:rsidRDefault="001638E5" w:rsidP="00A1759D">
            <w:pPr>
              <w:pStyle w:val="BoxSubHeading"/>
              <w:keepNext w:val="0"/>
              <w:widowControl w:val="0"/>
              <w:rPr>
                <w:caps/>
              </w:rPr>
            </w:pPr>
            <w:r w:rsidRPr="009753EB">
              <w:t xml:space="preserve">Australian Government response </w:t>
            </w:r>
          </w:p>
          <w:p w14:paraId="6AAE24A3" w14:textId="37752993"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285D05C5" w14:textId="77777777" w:rsidTr="00A1759D">
        <w:trPr>
          <w:trHeight w:val="70"/>
        </w:trPr>
        <w:tc>
          <w:tcPr>
            <w:tcW w:w="9016" w:type="dxa"/>
          </w:tcPr>
          <w:p w14:paraId="30AB4BAA" w14:textId="77777777" w:rsidR="001638E5" w:rsidRPr="008774BA" w:rsidRDefault="001638E5" w:rsidP="00A1759D">
            <w:pPr>
              <w:pStyle w:val="BoxHeading"/>
              <w:keepNext w:val="0"/>
              <w:widowControl w:val="0"/>
              <w:rPr>
                <w:caps/>
              </w:rPr>
            </w:pPr>
            <w:r w:rsidRPr="008774BA">
              <w:t>Recommendation 1</w:t>
            </w:r>
            <w:r>
              <w:t>0</w:t>
            </w:r>
          </w:p>
          <w:p w14:paraId="368276F3" w14:textId="32FF8320" w:rsidR="001638E5" w:rsidRPr="008774BA" w:rsidRDefault="001638E5" w:rsidP="001638E5">
            <w:pPr>
              <w:pStyle w:val="BoxText"/>
              <w:widowControl w:val="0"/>
            </w:pPr>
            <w:r>
              <w:t>The committee recommends the Australian Government provide for an Australian scheme based on US Rule 10b5-1 as an option for start-up companies. The government should enact integrity measures to avoid any gaming which may arise from trading plan modification.</w:t>
            </w:r>
          </w:p>
          <w:p w14:paraId="461A18FA" w14:textId="77777777" w:rsidR="001638E5" w:rsidRPr="009753EB" w:rsidRDefault="001638E5" w:rsidP="00A1759D">
            <w:pPr>
              <w:pStyle w:val="BoxSubHeading"/>
              <w:keepNext w:val="0"/>
              <w:widowControl w:val="0"/>
              <w:rPr>
                <w:caps/>
              </w:rPr>
            </w:pPr>
            <w:r w:rsidRPr="009753EB">
              <w:t xml:space="preserve">Australian Government response </w:t>
            </w:r>
          </w:p>
          <w:p w14:paraId="723CFA58" w14:textId="4586C8E7" w:rsidR="001638E5" w:rsidRPr="008774BA" w:rsidRDefault="001638E5" w:rsidP="00A1759D">
            <w:pPr>
              <w:pStyle w:val="BoxText"/>
              <w:widowControl w:val="0"/>
              <w:rPr>
                <w:cap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48C4AA9E" w14:textId="77777777" w:rsidTr="00A1759D">
        <w:trPr>
          <w:trHeight w:val="70"/>
        </w:trPr>
        <w:tc>
          <w:tcPr>
            <w:tcW w:w="9016" w:type="dxa"/>
          </w:tcPr>
          <w:p w14:paraId="13B31D87" w14:textId="77777777" w:rsidR="001638E5" w:rsidRPr="008774BA" w:rsidRDefault="001638E5" w:rsidP="00A1759D">
            <w:pPr>
              <w:pStyle w:val="BoxHeading"/>
              <w:keepNext w:val="0"/>
              <w:widowControl w:val="0"/>
              <w:rPr>
                <w:caps/>
              </w:rPr>
            </w:pPr>
            <w:r w:rsidRPr="008774BA">
              <w:t xml:space="preserve">Recommendation </w:t>
            </w:r>
            <w:r>
              <w:t>11</w:t>
            </w:r>
          </w:p>
          <w:p w14:paraId="5980780B" w14:textId="7A265FBC" w:rsidR="001638E5" w:rsidRPr="008774BA" w:rsidRDefault="00D65D99" w:rsidP="00D65D99">
            <w:pPr>
              <w:pStyle w:val="BoxText"/>
              <w:widowControl w:val="0"/>
            </w:pPr>
            <w:r>
              <w:t>The committee recommends that the Australian Government amend existing legislation to require post-capital raising disclosure from listed companies.</w:t>
            </w:r>
          </w:p>
          <w:p w14:paraId="308A1A16" w14:textId="77777777" w:rsidR="001638E5" w:rsidRPr="009753EB" w:rsidRDefault="001638E5" w:rsidP="00A1759D">
            <w:pPr>
              <w:pStyle w:val="BoxSubHeading"/>
              <w:keepNext w:val="0"/>
              <w:widowControl w:val="0"/>
              <w:rPr>
                <w:caps/>
              </w:rPr>
            </w:pPr>
            <w:r w:rsidRPr="009753EB">
              <w:t xml:space="preserve">Australian Government response </w:t>
            </w:r>
          </w:p>
          <w:p w14:paraId="3D177A89" w14:textId="570EACD6"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r>
              <w:t xml:space="preserve"> </w:t>
            </w:r>
          </w:p>
        </w:tc>
      </w:tr>
    </w:tbl>
    <w:p w14:paraId="4AEE905A" w14:textId="77777777" w:rsidR="00D65D99" w:rsidRDefault="00D65D9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638E5" w:rsidRPr="008774BA" w14:paraId="6F756FA7" w14:textId="77777777" w:rsidTr="00A1759D">
        <w:trPr>
          <w:trHeight w:val="70"/>
        </w:trPr>
        <w:tc>
          <w:tcPr>
            <w:tcW w:w="9016" w:type="dxa"/>
          </w:tcPr>
          <w:p w14:paraId="3BD248DD" w14:textId="6282B1DF" w:rsidR="001638E5" w:rsidRPr="008774BA" w:rsidRDefault="001638E5" w:rsidP="00A1759D">
            <w:pPr>
              <w:pStyle w:val="BoxHeading"/>
              <w:keepNext w:val="0"/>
              <w:widowControl w:val="0"/>
              <w:rPr>
                <w:caps/>
              </w:rPr>
            </w:pPr>
            <w:r w:rsidRPr="008774BA">
              <w:t xml:space="preserve">Recommendation </w:t>
            </w:r>
            <w:r>
              <w:t>12</w:t>
            </w:r>
          </w:p>
          <w:p w14:paraId="0D421B7B" w14:textId="42C584FA" w:rsidR="001638E5" w:rsidRPr="008774BA" w:rsidRDefault="00D65D99" w:rsidP="00D65D99">
            <w:pPr>
              <w:pStyle w:val="BoxText"/>
              <w:widowControl w:val="0"/>
            </w:pPr>
            <w:r>
              <w:t>The committee recommends that the Australian Government should ensure that technology drives an equitable deal for retail shareholders by modernising the rights issuance system.</w:t>
            </w:r>
          </w:p>
          <w:p w14:paraId="3C250551" w14:textId="77777777" w:rsidR="001638E5" w:rsidRPr="009753EB" w:rsidRDefault="001638E5" w:rsidP="00A1759D">
            <w:pPr>
              <w:pStyle w:val="BoxSubHeading"/>
              <w:keepNext w:val="0"/>
              <w:widowControl w:val="0"/>
              <w:rPr>
                <w:caps/>
              </w:rPr>
            </w:pPr>
            <w:r w:rsidRPr="009753EB">
              <w:t xml:space="preserve">Australian Government response </w:t>
            </w:r>
          </w:p>
          <w:p w14:paraId="7349C0C6" w14:textId="2CF3A178"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6E2D62C3" w14:textId="77777777" w:rsidTr="00A1759D">
        <w:trPr>
          <w:trHeight w:val="70"/>
        </w:trPr>
        <w:tc>
          <w:tcPr>
            <w:tcW w:w="9016" w:type="dxa"/>
          </w:tcPr>
          <w:p w14:paraId="54A6E509" w14:textId="53A9C401" w:rsidR="001638E5" w:rsidRPr="008774BA" w:rsidRDefault="001638E5" w:rsidP="00A1759D">
            <w:pPr>
              <w:pStyle w:val="BoxHeading"/>
              <w:keepNext w:val="0"/>
              <w:widowControl w:val="0"/>
              <w:rPr>
                <w:caps/>
              </w:rPr>
            </w:pPr>
            <w:r w:rsidRPr="008774BA">
              <w:t xml:space="preserve">Recommendation </w:t>
            </w:r>
            <w:r w:rsidR="00D65D99">
              <w:t>13</w:t>
            </w:r>
          </w:p>
          <w:p w14:paraId="21AD5F2A" w14:textId="21CB13CE" w:rsidR="001638E5" w:rsidRPr="008774BA" w:rsidRDefault="00D65D99" w:rsidP="00D65D99">
            <w:pPr>
              <w:pStyle w:val="BoxText"/>
              <w:widowControl w:val="0"/>
            </w:pPr>
            <w:r>
              <w:t>The committee recommends that if the rights issues reforms contained in the recommendations above do not resolve the equity issues for retail shareholders, the Australian Government should conduct a review into retail shareholder participation in capital raisings.</w:t>
            </w:r>
          </w:p>
          <w:p w14:paraId="1328A062" w14:textId="77777777" w:rsidR="001638E5" w:rsidRPr="009753EB" w:rsidRDefault="001638E5" w:rsidP="00A1759D">
            <w:pPr>
              <w:pStyle w:val="BoxSubHeading"/>
              <w:keepNext w:val="0"/>
              <w:widowControl w:val="0"/>
              <w:rPr>
                <w:caps/>
              </w:rPr>
            </w:pPr>
            <w:r w:rsidRPr="009753EB">
              <w:t xml:space="preserve">Australian Government response </w:t>
            </w:r>
          </w:p>
          <w:p w14:paraId="189D8614" w14:textId="4F3253B9"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55A36BA7" w14:textId="77777777" w:rsidTr="00A1759D">
        <w:trPr>
          <w:trHeight w:val="70"/>
        </w:trPr>
        <w:tc>
          <w:tcPr>
            <w:tcW w:w="9016" w:type="dxa"/>
          </w:tcPr>
          <w:p w14:paraId="5E32C734" w14:textId="22F88F39" w:rsidR="001638E5" w:rsidRPr="008774BA" w:rsidRDefault="001638E5" w:rsidP="00A1759D">
            <w:pPr>
              <w:pStyle w:val="BoxHeading"/>
              <w:keepNext w:val="0"/>
              <w:widowControl w:val="0"/>
              <w:rPr>
                <w:caps/>
              </w:rPr>
            </w:pPr>
            <w:r w:rsidRPr="008774BA">
              <w:t>Recommendation 1</w:t>
            </w:r>
            <w:r w:rsidR="00D65D99">
              <w:t>4</w:t>
            </w:r>
          </w:p>
          <w:p w14:paraId="5D10F32D" w14:textId="2588BDB5" w:rsidR="001638E5" w:rsidRPr="008774BA" w:rsidRDefault="00D65D99" w:rsidP="00D65D99">
            <w:pPr>
              <w:pStyle w:val="BoxText"/>
              <w:widowControl w:val="0"/>
            </w:pPr>
            <w:r>
              <w:t xml:space="preserve">The committee recommends that the Council of Financial Regulators Cyber Working Group ensure its work </w:t>
            </w:r>
            <w:proofErr w:type="gramStart"/>
            <w:r>
              <w:t>takes into account</w:t>
            </w:r>
            <w:proofErr w:type="gramEnd"/>
            <w:r>
              <w:t xml:space="preserve"> existing and emerging international data standards with respect to blockchain and smart contracts. To this end, the Working Group should maintain open channels of communication with Standards Australia</w:t>
            </w:r>
            <w:r w:rsidR="001638E5">
              <w:t>.</w:t>
            </w:r>
          </w:p>
          <w:p w14:paraId="6E4DE4A7" w14:textId="77777777" w:rsidR="001638E5" w:rsidRPr="009753EB" w:rsidRDefault="001638E5" w:rsidP="00A1759D">
            <w:pPr>
              <w:pStyle w:val="BoxSubHeading"/>
              <w:keepNext w:val="0"/>
              <w:widowControl w:val="0"/>
              <w:rPr>
                <w:caps/>
              </w:rPr>
            </w:pPr>
            <w:r w:rsidRPr="009753EB">
              <w:t xml:space="preserve">Australian Government response </w:t>
            </w:r>
          </w:p>
          <w:p w14:paraId="3D49DCAB" w14:textId="419BEDB4" w:rsidR="001638E5" w:rsidRPr="008774BA" w:rsidRDefault="001638E5" w:rsidP="00A1759D">
            <w:pPr>
              <w:pStyle w:val="BoxText"/>
              <w:widowControl w:val="0"/>
              <w:rPr>
                <w:cap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54584887" w14:textId="77777777" w:rsidTr="00A1759D">
        <w:trPr>
          <w:trHeight w:val="70"/>
        </w:trPr>
        <w:tc>
          <w:tcPr>
            <w:tcW w:w="9016" w:type="dxa"/>
          </w:tcPr>
          <w:p w14:paraId="7965D635" w14:textId="75BBD09D" w:rsidR="001638E5" w:rsidRPr="008774BA" w:rsidRDefault="001638E5" w:rsidP="00A1759D">
            <w:pPr>
              <w:pStyle w:val="BoxHeading"/>
              <w:keepNext w:val="0"/>
              <w:widowControl w:val="0"/>
              <w:rPr>
                <w:caps/>
              </w:rPr>
            </w:pPr>
            <w:r w:rsidRPr="008774BA">
              <w:t xml:space="preserve">Recommendation </w:t>
            </w:r>
            <w:r>
              <w:t>1</w:t>
            </w:r>
            <w:r w:rsidR="00D65D99">
              <w:t>5</w:t>
            </w:r>
          </w:p>
          <w:p w14:paraId="52D7A8B6" w14:textId="14D65CC2" w:rsidR="001638E5" w:rsidRPr="008774BA" w:rsidRDefault="00D65D99" w:rsidP="00D65D99">
            <w:pPr>
              <w:pStyle w:val="BoxText"/>
              <w:widowControl w:val="0"/>
            </w:pPr>
            <w:r>
              <w:t>The committee recommends that the Department of Industry, Science, Energy and Resources (DISER) regularly publish information about the National Blockchain Roadmap's implementation and the evaluation of that implementation.</w:t>
            </w:r>
          </w:p>
          <w:p w14:paraId="367038E4" w14:textId="77777777" w:rsidR="001638E5" w:rsidRPr="009753EB" w:rsidRDefault="001638E5" w:rsidP="00A1759D">
            <w:pPr>
              <w:pStyle w:val="BoxSubHeading"/>
              <w:keepNext w:val="0"/>
              <w:widowControl w:val="0"/>
              <w:rPr>
                <w:caps/>
              </w:rPr>
            </w:pPr>
            <w:r w:rsidRPr="009753EB">
              <w:t xml:space="preserve">Australian Government response </w:t>
            </w:r>
          </w:p>
          <w:p w14:paraId="0A435674" w14:textId="5695E17C"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r>
              <w:t xml:space="preserve"> </w:t>
            </w:r>
          </w:p>
        </w:tc>
      </w:tr>
    </w:tbl>
    <w:p w14:paraId="5B964C65" w14:textId="77777777" w:rsidR="00D65D99" w:rsidRDefault="00D65D9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638E5" w:rsidRPr="008774BA" w14:paraId="68CEB81F" w14:textId="77777777" w:rsidTr="00A1759D">
        <w:trPr>
          <w:trHeight w:val="70"/>
        </w:trPr>
        <w:tc>
          <w:tcPr>
            <w:tcW w:w="9016" w:type="dxa"/>
          </w:tcPr>
          <w:p w14:paraId="59E33936" w14:textId="1FB771D2" w:rsidR="001638E5" w:rsidRPr="008774BA" w:rsidRDefault="001638E5" w:rsidP="00A1759D">
            <w:pPr>
              <w:pStyle w:val="BoxHeading"/>
              <w:keepNext w:val="0"/>
              <w:widowControl w:val="0"/>
              <w:rPr>
                <w:caps/>
              </w:rPr>
            </w:pPr>
            <w:r w:rsidRPr="008774BA">
              <w:t xml:space="preserve">Recommendation </w:t>
            </w:r>
            <w:r>
              <w:t>1</w:t>
            </w:r>
            <w:r w:rsidR="00D65D99">
              <w:t>6</w:t>
            </w:r>
          </w:p>
          <w:p w14:paraId="7D16A21B" w14:textId="6FFAC4A7" w:rsidR="001638E5" w:rsidRPr="008774BA" w:rsidRDefault="00D65D99" w:rsidP="00D65D99">
            <w:pPr>
              <w:pStyle w:val="BoxText"/>
              <w:widowControl w:val="0"/>
            </w:pPr>
            <w:r>
              <w:t xml:space="preserve">The committee recommends that, as this is a quickly evolving technological and policy space, DISER act flexibly and responsibly with regards to reviewing, </w:t>
            </w:r>
            <w:proofErr w:type="gramStart"/>
            <w:r>
              <w:t>amending</w:t>
            </w:r>
            <w:proofErr w:type="gramEnd"/>
            <w:r>
              <w:t xml:space="preserve"> and updating the National Blockchain Roadmap as appropriate.</w:t>
            </w:r>
          </w:p>
          <w:p w14:paraId="6855EFAD" w14:textId="77777777" w:rsidR="001638E5" w:rsidRPr="009753EB" w:rsidRDefault="001638E5" w:rsidP="00A1759D">
            <w:pPr>
              <w:pStyle w:val="BoxSubHeading"/>
              <w:keepNext w:val="0"/>
              <w:widowControl w:val="0"/>
              <w:rPr>
                <w:caps/>
              </w:rPr>
            </w:pPr>
            <w:r w:rsidRPr="009753EB">
              <w:t xml:space="preserve">Australian Government response </w:t>
            </w:r>
          </w:p>
          <w:p w14:paraId="43D8A214" w14:textId="219BB66F"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5F3BCEBD" w14:textId="77777777" w:rsidTr="00A1759D">
        <w:trPr>
          <w:trHeight w:val="70"/>
        </w:trPr>
        <w:tc>
          <w:tcPr>
            <w:tcW w:w="9016" w:type="dxa"/>
          </w:tcPr>
          <w:p w14:paraId="156856F6" w14:textId="7E15C78A" w:rsidR="001638E5" w:rsidRPr="008774BA" w:rsidRDefault="001638E5" w:rsidP="00A1759D">
            <w:pPr>
              <w:pStyle w:val="BoxHeading"/>
              <w:keepNext w:val="0"/>
              <w:widowControl w:val="0"/>
              <w:rPr>
                <w:caps/>
              </w:rPr>
            </w:pPr>
            <w:r w:rsidRPr="008774BA">
              <w:t xml:space="preserve">Recommendation </w:t>
            </w:r>
            <w:r w:rsidR="00D65D99">
              <w:t>17</w:t>
            </w:r>
          </w:p>
          <w:p w14:paraId="5EDCD223" w14:textId="1985F7BD" w:rsidR="001638E5" w:rsidRPr="008774BA" w:rsidRDefault="00D65D99" w:rsidP="00D65D99">
            <w:pPr>
              <w:pStyle w:val="BoxText"/>
              <w:widowControl w:val="0"/>
            </w:pPr>
            <w:r>
              <w:t xml:space="preserve">The committee recommends that National Cabinet consider supporting a blockchain land registry initiative as a pilot project for Commonwealth-State cooperation on </w:t>
            </w:r>
            <w:proofErr w:type="spellStart"/>
            <w:r>
              <w:t>RegTech</w:t>
            </w:r>
            <w:proofErr w:type="spellEnd"/>
            <w:r w:rsidR="001638E5">
              <w:t>.</w:t>
            </w:r>
          </w:p>
          <w:p w14:paraId="58768073" w14:textId="77777777" w:rsidR="001638E5" w:rsidRPr="009753EB" w:rsidRDefault="001638E5" w:rsidP="00A1759D">
            <w:pPr>
              <w:pStyle w:val="BoxSubHeading"/>
              <w:keepNext w:val="0"/>
              <w:widowControl w:val="0"/>
              <w:rPr>
                <w:caps/>
              </w:rPr>
            </w:pPr>
            <w:r w:rsidRPr="009753EB">
              <w:t xml:space="preserve">Australian Government response </w:t>
            </w:r>
          </w:p>
          <w:p w14:paraId="552A9FA8" w14:textId="726D4D01"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267E9960" w14:textId="77777777" w:rsidTr="00A1759D">
        <w:trPr>
          <w:trHeight w:val="70"/>
        </w:trPr>
        <w:tc>
          <w:tcPr>
            <w:tcW w:w="9016" w:type="dxa"/>
          </w:tcPr>
          <w:p w14:paraId="14771948" w14:textId="4FAD88A4" w:rsidR="001638E5" w:rsidRPr="008774BA" w:rsidRDefault="001638E5" w:rsidP="00A1759D">
            <w:pPr>
              <w:pStyle w:val="BoxHeading"/>
              <w:keepNext w:val="0"/>
              <w:widowControl w:val="0"/>
              <w:rPr>
                <w:caps/>
              </w:rPr>
            </w:pPr>
            <w:r w:rsidRPr="008774BA">
              <w:t>Recommendation 1</w:t>
            </w:r>
            <w:r w:rsidR="00D65D99">
              <w:t>8</w:t>
            </w:r>
          </w:p>
          <w:p w14:paraId="381192DC" w14:textId="34BB5478" w:rsidR="001638E5" w:rsidRPr="008774BA" w:rsidRDefault="00D65D99" w:rsidP="00D65D99">
            <w:pPr>
              <w:pStyle w:val="BoxText"/>
              <w:widowControl w:val="0"/>
            </w:pPr>
            <w:r>
              <w:t>The committee recommends that the Australian Government consider how best to improve clarity with respect to the standing of smart contracts under Australian law as a matter of priority</w:t>
            </w:r>
            <w:r w:rsidR="001638E5">
              <w:t>.</w:t>
            </w:r>
          </w:p>
          <w:p w14:paraId="153BC223" w14:textId="77777777" w:rsidR="001638E5" w:rsidRPr="009753EB" w:rsidRDefault="001638E5" w:rsidP="00A1759D">
            <w:pPr>
              <w:pStyle w:val="BoxSubHeading"/>
              <w:keepNext w:val="0"/>
              <w:widowControl w:val="0"/>
              <w:rPr>
                <w:caps/>
              </w:rPr>
            </w:pPr>
            <w:r w:rsidRPr="009753EB">
              <w:t xml:space="preserve">Australian Government response </w:t>
            </w:r>
          </w:p>
          <w:p w14:paraId="309385BE" w14:textId="5CA86CE8" w:rsidR="001638E5" w:rsidRPr="008774BA" w:rsidRDefault="001638E5" w:rsidP="00A1759D">
            <w:pPr>
              <w:pStyle w:val="BoxText"/>
              <w:widowControl w:val="0"/>
              <w:rPr>
                <w:cap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66395DB3" w14:textId="77777777" w:rsidTr="00A1759D">
        <w:trPr>
          <w:trHeight w:val="70"/>
        </w:trPr>
        <w:tc>
          <w:tcPr>
            <w:tcW w:w="9016" w:type="dxa"/>
          </w:tcPr>
          <w:p w14:paraId="61CEB910" w14:textId="79A50C3E" w:rsidR="001638E5" w:rsidRPr="008774BA" w:rsidRDefault="001638E5" w:rsidP="00A1759D">
            <w:pPr>
              <w:pStyle w:val="BoxHeading"/>
              <w:keepNext w:val="0"/>
              <w:widowControl w:val="0"/>
              <w:rPr>
                <w:caps/>
              </w:rPr>
            </w:pPr>
            <w:r w:rsidRPr="008774BA">
              <w:t xml:space="preserve">Recommendation </w:t>
            </w:r>
            <w:r>
              <w:t>1</w:t>
            </w:r>
            <w:r w:rsidR="00D65D99">
              <w:t>9</w:t>
            </w:r>
          </w:p>
          <w:p w14:paraId="529E75B3" w14:textId="610DA897" w:rsidR="001638E5" w:rsidRPr="008774BA" w:rsidRDefault="00D65D99" w:rsidP="00D65D99">
            <w:pPr>
              <w:pStyle w:val="BoxText"/>
              <w:widowControl w:val="0"/>
            </w:pPr>
            <w:r>
              <w:t xml:space="preserve">The committee recommends that the Australian Government review the global talent visa program and Hong Kong visa arrangements to ensure international competitiveness, including consideration of salary caps, age thresholds, turnover </w:t>
            </w:r>
            <w:proofErr w:type="gramStart"/>
            <w:r>
              <w:t>requirements</w:t>
            </w:r>
            <w:proofErr w:type="gramEnd"/>
            <w:r>
              <w:t xml:space="preserve"> and key criteria.</w:t>
            </w:r>
          </w:p>
          <w:p w14:paraId="24163A88" w14:textId="77777777" w:rsidR="001638E5" w:rsidRPr="009753EB" w:rsidRDefault="001638E5" w:rsidP="00A1759D">
            <w:pPr>
              <w:pStyle w:val="BoxSubHeading"/>
              <w:keepNext w:val="0"/>
              <w:widowControl w:val="0"/>
              <w:rPr>
                <w:caps/>
              </w:rPr>
            </w:pPr>
            <w:r w:rsidRPr="009753EB">
              <w:t xml:space="preserve">Australian Government response </w:t>
            </w:r>
          </w:p>
          <w:p w14:paraId="03D03978" w14:textId="3C991D18"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r>
              <w:t xml:space="preserve"> </w:t>
            </w:r>
          </w:p>
        </w:tc>
      </w:tr>
    </w:tbl>
    <w:p w14:paraId="7C7398D8" w14:textId="77777777" w:rsidR="00D65D99" w:rsidRDefault="00D65D9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638E5" w:rsidRPr="008774BA" w14:paraId="32429A9F" w14:textId="77777777" w:rsidTr="00A1759D">
        <w:trPr>
          <w:trHeight w:val="70"/>
        </w:trPr>
        <w:tc>
          <w:tcPr>
            <w:tcW w:w="9016" w:type="dxa"/>
          </w:tcPr>
          <w:p w14:paraId="41CC8334" w14:textId="3A341E1A" w:rsidR="001638E5" w:rsidRPr="008774BA" w:rsidRDefault="001638E5" w:rsidP="00A1759D">
            <w:pPr>
              <w:pStyle w:val="BoxHeading"/>
              <w:keepNext w:val="0"/>
              <w:widowControl w:val="0"/>
              <w:rPr>
                <w:caps/>
              </w:rPr>
            </w:pPr>
            <w:r w:rsidRPr="008774BA">
              <w:t xml:space="preserve">Recommendation </w:t>
            </w:r>
            <w:r>
              <w:t>2</w:t>
            </w:r>
            <w:r w:rsidR="00D65D99">
              <w:t>0</w:t>
            </w:r>
          </w:p>
          <w:p w14:paraId="5DD2404C" w14:textId="78A62D13" w:rsidR="001638E5" w:rsidRPr="008774BA" w:rsidRDefault="00D65D99" w:rsidP="00D65D99">
            <w:pPr>
              <w:pStyle w:val="BoxText"/>
              <w:widowControl w:val="0"/>
            </w:pPr>
            <w:r>
              <w:t>The committee recommends that the Australian Government, when undertaking the review of the global talent visa program, consider providing clearer policies and guidelines on the identified target sectors.</w:t>
            </w:r>
          </w:p>
          <w:p w14:paraId="65F99EB7" w14:textId="77777777" w:rsidR="001638E5" w:rsidRPr="009753EB" w:rsidRDefault="001638E5" w:rsidP="00A1759D">
            <w:pPr>
              <w:pStyle w:val="BoxSubHeading"/>
              <w:keepNext w:val="0"/>
              <w:widowControl w:val="0"/>
              <w:rPr>
                <w:caps/>
              </w:rPr>
            </w:pPr>
            <w:r w:rsidRPr="009753EB">
              <w:t xml:space="preserve">Australian Government response </w:t>
            </w:r>
          </w:p>
          <w:p w14:paraId="344ABD08" w14:textId="2032EAF2"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09F814A5" w14:textId="77777777" w:rsidTr="00A1759D">
        <w:trPr>
          <w:trHeight w:val="70"/>
        </w:trPr>
        <w:tc>
          <w:tcPr>
            <w:tcW w:w="9016" w:type="dxa"/>
          </w:tcPr>
          <w:p w14:paraId="2D61E822" w14:textId="40F1EDF4" w:rsidR="001638E5" w:rsidRPr="008774BA" w:rsidRDefault="001638E5" w:rsidP="00A1759D">
            <w:pPr>
              <w:pStyle w:val="BoxHeading"/>
              <w:keepNext w:val="0"/>
              <w:widowControl w:val="0"/>
              <w:rPr>
                <w:caps/>
              </w:rPr>
            </w:pPr>
            <w:r w:rsidRPr="008774BA">
              <w:t xml:space="preserve">Recommendation </w:t>
            </w:r>
            <w:r w:rsidR="00D65D99">
              <w:t>21</w:t>
            </w:r>
          </w:p>
          <w:p w14:paraId="20131BEC" w14:textId="057CF546" w:rsidR="001638E5" w:rsidRPr="008774BA" w:rsidRDefault="00D65D99" w:rsidP="00D65D99">
            <w:pPr>
              <w:pStyle w:val="BoxText"/>
              <w:widowControl w:val="0"/>
            </w:pPr>
            <w:r>
              <w:t>The committee recommends that the Australia Government consider the introduction of more permanent residence visa options for employees of high-value businesses relocating to Australia.</w:t>
            </w:r>
          </w:p>
          <w:p w14:paraId="1822EFB9" w14:textId="77777777" w:rsidR="001638E5" w:rsidRPr="009753EB" w:rsidRDefault="001638E5" w:rsidP="00A1759D">
            <w:pPr>
              <w:pStyle w:val="BoxSubHeading"/>
              <w:keepNext w:val="0"/>
              <w:widowControl w:val="0"/>
              <w:rPr>
                <w:caps/>
              </w:rPr>
            </w:pPr>
            <w:r w:rsidRPr="009753EB">
              <w:t xml:space="preserve">Australian Government response </w:t>
            </w:r>
          </w:p>
          <w:p w14:paraId="0F534E86" w14:textId="383F40FD"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0AACEEDE" w14:textId="77777777" w:rsidTr="00A1759D">
        <w:trPr>
          <w:trHeight w:val="70"/>
        </w:trPr>
        <w:tc>
          <w:tcPr>
            <w:tcW w:w="9016" w:type="dxa"/>
          </w:tcPr>
          <w:p w14:paraId="0D3CA6A2" w14:textId="5869B13F" w:rsidR="001638E5" w:rsidRPr="008774BA" w:rsidRDefault="001638E5" w:rsidP="00A1759D">
            <w:pPr>
              <w:pStyle w:val="BoxHeading"/>
              <w:keepNext w:val="0"/>
              <w:widowControl w:val="0"/>
              <w:rPr>
                <w:caps/>
              </w:rPr>
            </w:pPr>
            <w:r w:rsidRPr="008774BA">
              <w:t xml:space="preserve">Recommendation </w:t>
            </w:r>
            <w:r w:rsidR="00D65D99">
              <w:t>22</w:t>
            </w:r>
          </w:p>
          <w:p w14:paraId="6AD13A2A" w14:textId="20928BE2" w:rsidR="001638E5" w:rsidRPr="008774BA" w:rsidRDefault="00D65D99" w:rsidP="00D65D99">
            <w:pPr>
              <w:pStyle w:val="BoxText"/>
              <w:widowControl w:val="0"/>
            </w:pPr>
            <w:r>
              <w:t xml:space="preserve">The committee recommends that the Australian Government review its approach to the promotion of Australia as a destination for international talent in the FinTech and </w:t>
            </w:r>
            <w:proofErr w:type="spellStart"/>
            <w:r>
              <w:t>RegTech</w:t>
            </w:r>
            <w:proofErr w:type="spellEnd"/>
            <w:r>
              <w:t xml:space="preserve"> sectors, including through focussed marketing of the Global Talent Scheme and the Global Business and Talent Attraction Taskforce in target jurisdictions.</w:t>
            </w:r>
          </w:p>
          <w:p w14:paraId="77B148A1" w14:textId="77777777" w:rsidR="001638E5" w:rsidRPr="009753EB" w:rsidRDefault="001638E5" w:rsidP="00A1759D">
            <w:pPr>
              <w:pStyle w:val="BoxSubHeading"/>
              <w:keepNext w:val="0"/>
              <w:widowControl w:val="0"/>
              <w:rPr>
                <w:caps/>
              </w:rPr>
            </w:pPr>
            <w:r w:rsidRPr="009753EB">
              <w:t xml:space="preserve">Australian Government response </w:t>
            </w:r>
          </w:p>
          <w:p w14:paraId="673C2D91" w14:textId="1FF19FE2" w:rsidR="001638E5" w:rsidRPr="008774BA" w:rsidRDefault="001638E5" w:rsidP="00A1759D">
            <w:pPr>
              <w:pStyle w:val="BoxText"/>
              <w:widowControl w:val="0"/>
              <w:rPr>
                <w:cap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p>
        </w:tc>
      </w:tr>
      <w:tr w:rsidR="001638E5" w:rsidRPr="008774BA" w14:paraId="48CF3C44" w14:textId="77777777" w:rsidTr="00A1759D">
        <w:trPr>
          <w:trHeight w:val="70"/>
        </w:trPr>
        <w:tc>
          <w:tcPr>
            <w:tcW w:w="9016" w:type="dxa"/>
          </w:tcPr>
          <w:p w14:paraId="2754704D" w14:textId="2CD3F62D" w:rsidR="001638E5" w:rsidRPr="008774BA" w:rsidRDefault="001638E5" w:rsidP="00A1759D">
            <w:pPr>
              <w:pStyle w:val="BoxHeading"/>
              <w:keepNext w:val="0"/>
              <w:widowControl w:val="0"/>
              <w:rPr>
                <w:caps/>
              </w:rPr>
            </w:pPr>
            <w:r w:rsidRPr="008774BA">
              <w:t xml:space="preserve">Recommendation </w:t>
            </w:r>
            <w:r w:rsidR="00D65D99">
              <w:t>23</w:t>
            </w:r>
          </w:p>
          <w:p w14:paraId="6D64EF8B" w14:textId="36E7966E" w:rsidR="001638E5" w:rsidRPr="008774BA" w:rsidRDefault="00D65D99" w:rsidP="00D65D99">
            <w:pPr>
              <w:pStyle w:val="BoxText"/>
              <w:widowControl w:val="0"/>
            </w:pPr>
            <w:r>
              <w:t xml:space="preserve">The committee recommends that the Australian Government consider mechanisms to improve visa administration, including faster processing times, and ongoing review of visa eligibility to ensure visa categories are adaptable and responsive to market changes in the FinTech and </w:t>
            </w:r>
            <w:proofErr w:type="spellStart"/>
            <w:r>
              <w:t>RegTech</w:t>
            </w:r>
            <w:proofErr w:type="spellEnd"/>
            <w:r>
              <w:t xml:space="preserve"> sectors.</w:t>
            </w:r>
          </w:p>
          <w:p w14:paraId="5446A2D4" w14:textId="77777777" w:rsidR="001638E5" w:rsidRPr="009753EB" w:rsidRDefault="001638E5" w:rsidP="00A1759D">
            <w:pPr>
              <w:pStyle w:val="BoxSubHeading"/>
              <w:keepNext w:val="0"/>
              <w:widowControl w:val="0"/>
              <w:rPr>
                <w:caps/>
              </w:rPr>
            </w:pPr>
            <w:r w:rsidRPr="009753EB">
              <w:t xml:space="preserve">Australian Government response </w:t>
            </w:r>
          </w:p>
          <w:p w14:paraId="34E17842" w14:textId="7F80E2D8" w:rsidR="001638E5" w:rsidRPr="008774BA" w:rsidRDefault="001638E5" w:rsidP="00A1759D">
            <w:pPr>
              <w:pStyle w:val="BoxText"/>
              <w:widowControl w:val="0"/>
              <w:rPr>
                <w:b/>
                <w:bCs/>
              </w:rPr>
            </w:pPr>
            <w:r w:rsidRPr="00FC14FF">
              <w:t xml:space="preserve">The Government </w:t>
            </w:r>
            <w:r w:rsidRPr="00FC14FF">
              <w:rPr>
                <w:b/>
                <w:bCs/>
              </w:rPr>
              <w:t>notes</w:t>
            </w:r>
            <w:r w:rsidRPr="00FC14FF">
              <w:t xml:space="preserve"> </w:t>
            </w:r>
            <w:r w:rsidR="008E5487">
              <w:t>this recommendation</w:t>
            </w:r>
            <w:r w:rsidRPr="00FC14FF">
              <w:t>. However, given the passage of time since this report was tabled, a substantive Government response is no longer appropriate.</w:t>
            </w:r>
            <w:r>
              <w:t xml:space="preserve"> </w:t>
            </w:r>
          </w:p>
        </w:tc>
      </w:tr>
    </w:tbl>
    <w:p w14:paraId="31D47FE6" w14:textId="77777777" w:rsidR="0077630F" w:rsidRPr="00C47A9C" w:rsidRDefault="0077630F" w:rsidP="00D65D99">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ADA4" w14:textId="77777777" w:rsidR="0056009D" w:rsidRDefault="0056009D">
      <w:pPr>
        <w:spacing w:before="0" w:after="0"/>
      </w:pPr>
      <w:r>
        <w:separator/>
      </w:r>
    </w:p>
  </w:endnote>
  <w:endnote w:type="continuationSeparator" w:id="0">
    <w:p w14:paraId="30A03DAF" w14:textId="77777777" w:rsidR="0056009D" w:rsidRDefault="005600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62F07BDE" w:rsidR="0077630F" w:rsidRPr="00F347BE" w:rsidRDefault="0056009D"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end"/>
    </w:r>
    <w:r>
      <w:tab/>
    </w:r>
    <w:r w:rsidRPr="00103F3C">
      <w:rPr>
        <w:position w:val="-8"/>
      </w:rPr>
      <w:drawing>
        <wp:inline distT="0" distB="0" distL="0" distR="0" wp14:anchorId="1BE92E34" wp14:editId="5B9E3D6E">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4AD20572" w:rsidR="0077630F" w:rsidRPr="00F347BE" w:rsidRDefault="0056009D" w:rsidP="00F347BE">
    <w:pPr>
      <w:pStyle w:val="FooterOdd"/>
      <w:jc w:val="left"/>
    </w:pPr>
    <w:r w:rsidRPr="00103F3C">
      <w:rPr>
        <w:noProof/>
        <w:position w:val="-8"/>
      </w:rPr>
      <w:drawing>
        <wp:inline distT="0" distB="0" distL="0" distR="0" wp14:anchorId="60A79C2C" wp14:editId="191F1D74">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2E2155">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27B47922" w:rsidR="0077630F" w:rsidRPr="00F347BE" w:rsidRDefault="0056009D" w:rsidP="00F347BE">
    <w:pPr>
      <w:pStyle w:val="FooterOdd"/>
      <w:jc w:val="left"/>
    </w:pPr>
    <w:r w:rsidRPr="00103F3C">
      <w:rPr>
        <w:noProof/>
        <w:position w:val="-8"/>
      </w:rPr>
      <w:drawing>
        <wp:inline distT="0" distB="0" distL="0" distR="0" wp14:anchorId="0B8117B6" wp14:editId="7277581D">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2E2155">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56009D" w:rsidP="00B47ECF">
      <w:r>
        <w:separator/>
      </w:r>
    </w:p>
  </w:footnote>
  <w:footnote w:type="continuationSeparator" w:id="0">
    <w:p w14:paraId="4CA0E2A6" w14:textId="77777777" w:rsidR="0042266F" w:rsidRDefault="0056009D"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73662AF4" w:rsidR="008774BA" w:rsidRDefault="00F347BE">
    <w:pPr>
      <w:pStyle w:val="Header"/>
    </w:pPr>
    <w:r>
      <w:rPr>
        <w:noProof/>
      </w:rPr>
      <w:drawing>
        <wp:anchor distT="0" distB="0" distL="114300" distR="114300" simplePos="0" relativeHeight="251659264" behindDoc="1" locked="1" layoutInCell="1" allowOverlap="1" wp14:anchorId="6F275216" wp14:editId="528519CA">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318ACCB3" w:rsidR="008774BA" w:rsidRDefault="00F347BE">
    <w:pPr>
      <w:pStyle w:val="Header"/>
    </w:pPr>
    <w:r>
      <w:rPr>
        <w:noProof/>
      </w:rPr>
      <w:drawing>
        <wp:anchor distT="0" distB="0" distL="114300" distR="114300" simplePos="0" relativeHeight="251660288" behindDoc="1" locked="1" layoutInCell="1" allowOverlap="1" wp14:anchorId="573B47B4" wp14:editId="183A9EC2">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6E1A854D"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0A78D316"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34DBC4D2" w:rsidR="0077630F" w:rsidRDefault="00F347BE">
    <w:pPr>
      <w:pStyle w:val="Header"/>
    </w:pPr>
    <w:r>
      <w:rPr>
        <w:noProof/>
      </w:rPr>
      <w:drawing>
        <wp:anchor distT="0" distB="0" distL="114300" distR="114300" simplePos="0" relativeHeight="251658240" behindDoc="1" locked="1" layoutInCell="1" allowOverlap="1" wp14:anchorId="59B999F8" wp14:editId="4054AD17">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80002276">
      <w:start w:val="1"/>
      <w:numFmt w:val="decimal"/>
      <w:pStyle w:val="OneLevelNumberedParagraph"/>
      <w:lvlText w:val="%1."/>
      <w:lvlJc w:val="left"/>
      <w:pPr>
        <w:tabs>
          <w:tab w:val="num" w:pos="567"/>
        </w:tabs>
        <w:ind w:left="567" w:hanging="567"/>
      </w:pPr>
      <w:rPr>
        <w:rFonts w:hint="default"/>
      </w:rPr>
    </w:lvl>
    <w:lvl w:ilvl="1" w:tplc="647C5F80" w:tentative="1">
      <w:start w:val="1"/>
      <w:numFmt w:val="lowerLetter"/>
      <w:lvlText w:val="%2."/>
      <w:lvlJc w:val="left"/>
      <w:pPr>
        <w:ind w:left="1440" w:hanging="360"/>
      </w:pPr>
    </w:lvl>
    <w:lvl w:ilvl="2" w:tplc="1C3468EA" w:tentative="1">
      <w:start w:val="1"/>
      <w:numFmt w:val="lowerRoman"/>
      <w:lvlText w:val="%3."/>
      <w:lvlJc w:val="right"/>
      <w:pPr>
        <w:ind w:left="2160" w:hanging="180"/>
      </w:pPr>
    </w:lvl>
    <w:lvl w:ilvl="3" w:tplc="4016D56C" w:tentative="1">
      <w:start w:val="1"/>
      <w:numFmt w:val="decimal"/>
      <w:lvlText w:val="%4."/>
      <w:lvlJc w:val="left"/>
      <w:pPr>
        <w:ind w:left="2880" w:hanging="360"/>
      </w:pPr>
    </w:lvl>
    <w:lvl w:ilvl="4" w:tplc="1F960FCE" w:tentative="1">
      <w:start w:val="1"/>
      <w:numFmt w:val="lowerLetter"/>
      <w:lvlText w:val="%5."/>
      <w:lvlJc w:val="left"/>
      <w:pPr>
        <w:ind w:left="3600" w:hanging="360"/>
      </w:pPr>
    </w:lvl>
    <w:lvl w:ilvl="5" w:tplc="97DEBA46" w:tentative="1">
      <w:start w:val="1"/>
      <w:numFmt w:val="lowerRoman"/>
      <w:lvlText w:val="%6."/>
      <w:lvlJc w:val="right"/>
      <w:pPr>
        <w:ind w:left="4320" w:hanging="180"/>
      </w:pPr>
    </w:lvl>
    <w:lvl w:ilvl="6" w:tplc="82AC94FE" w:tentative="1">
      <w:start w:val="1"/>
      <w:numFmt w:val="decimal"/>
      <w:lvlText w:val="%7."/>
      <w:lvlJc w:val="left"/>
      <w:pPr>
        <w:ind w:left="5040" w:hanging="360"/>
      </w:pPr>
    </w:lvl>
    <w:lvl w:ilvl="7" w:tplc="71ECC5BC" w:tentative="1">
      <w:start w:val="1"/>
      <w:numFmt w:val="lowerLetter"/>
      <w:lvlText w:val="%8."/>
      <w:lvlJc w:val="left"/>
      <w:pPr>
        <w:ind w:left="5760" w:hanging="360"/>
      </w:pPr>
    </w:lvl>
    <w:lvl w:ilvl="8" w:tplc="751C1E84"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5DB8C3E2">
      <w:start w:val="1"/>
      <w:numFmt w:val="bullet"/>
      <w:pStyle w:val="Bullet"/>
      <w:lvlText w:val=""/>
      <w:lvlJc w:val="left"/>
      <w:pPr>
        <w:ind w:left="720" w:hanging="360"/>
      </w:pPr>
      <w:rPr>
        <w:rFonts w:ascii="Symbol" w:hAnsi="Symbol" w:hint="default"/>
      </w:rPr>
    </w:lvl>
    <w:lvl w:ilvl="1" w:tplc="3FD2CCA0" w:tentative="1">
      <w:start w:val="1"/>
      <w:numFmt w:val="bullet"/>
      <w:lvlText w:val="o"/>
      <w:lvlJc w:val="left"/>
      <w:pPr>
        <w:ind w:left="1440" w:hanging="360"/>
      </w:pPr>
      <w:rPr>
        <w:rFonts w:ascii="Courier New" w:hAnsi="Courier New" w:cs="Courier New" w:hint="default"/>
      </w:rPr>
    </w:lvl>
    <w:lvl w:ilvl="2" w:tplc="D464A3FE" w:tentative="1">
      <w:start w:val="1"/>
      <w:numFmt w:val="bullet"/>
      <w:lvlText w:val=""/>
      <w:lvlJc w:val="left"/>
      <w:pPr>
        <w:ind w:left="2160" w:hanging="360"/>
      </w:pPr>
      <w:rPr>
        <w:rFonts w:ascii="Wingdings" w:hAnsi="Wingdings" w:hint="default"/>
      </w:rPr>
    </w:lvl>
    <w:lvl w:ilvl="3" w:tplc="DF3EDDFC" w:tentative="1">
      <w:start w:val="1"/>
      <w:numFmt w:val="bullet"/>
      <w:lvlText w:val=""/>
      <w:lvlJc w:val="left"/>
      <w:pPr>
        <w:ind w:left="2880" w:hanging="360"/>
      </w:pPr>
      <w:rPr>
        <w:rFonts w:ascii="Symbol" w:hAnsi="Symbol" w:hint="default"/>
      </w:rPr>
    </w:lvl>
    <w:lvl w:ilvl="4" w:tplc="A55C5C56" w:tentative="1">
      <w:start w:val="1"/>
      <w:numFmt w:val="bullet"/>
      <w:lvlText w:val="o"/>
      <w:lvlJc w:val="left"/>
      <w:pPr>
        <w:ind w:left="3600" w:hanging="360"/>
      </w:pPr>
      <w:rPr>
        <w:rFonts w:ascii="Courier New" w:hAnsi="Courier New" w:cs="Courier New" w:hint="default"/>
      </w:rPr>
    </w:lvl>
    <w:lvl w:ilvl="5" w:tplc="E43C673E" w:tentative="1">
      <w:start w:val="1"/>
      <w:numFmt w:val="bullet"/>
      <w:lvlText w:val=""/>
      <w:lvlJc w:val="left"/>
      <w:pPr>
        <w:ind w:left="4320" w:hanging="360"/>
      </w:pPr>
      <w:rPr>
        <w:rFonts w:ascii="Wingdings" w:hAnsi="Wingdings" w:hint="default"/>
      </w:rPr>
    </w:lvl>
    <w:lvl w:ilvl="6" w:tplc="1DCA3940" w:tentative="1">
      <w:start w:val="1"/>
      <w:numFmt w:val="bullet"/>
      <w:lvlText w:val=""/>
      <w:lvlJc w:val="left"/>
      <w:pPr>
        <w:ind w:left="5040" w:hanging="360"/>
      </w:pPr>
      <w:rPr>
        <w:rFonts w:ascii="Symbol" w:hAnsi="Symbol" w:hint="default"/>
      </w:rPr>
    </w:lvl>
    <w:lvl w:ilvl="7" w:tplc="AD4CF13C" w:tentative="1">
      <w:start w:val="1"/>
      <w:numFmt w:val="bullet"/>
      <w:lvlText w:val="o"/>
      <w:lvlJc w:val="left"/>
      <w:pPr>
        <w:ind w:left="5760" w:hanging="360"/>
      </w:pPr>
      <w:rPr>
        <w:rFonts w:ascii="Courier New" w:hAnsi="Courier New" w:cs="Courier New" w:hint="default"/>
      </w:rPr>
    </w:lvl>
    <w:lvl w:ilvl="8" w:tplc="31B2E5F0"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4330027">
    <w:abstractNumId w:val="2"/>
  </w:num>
  <w:num w:numId="2" w16cid:durableId="1197238123">
    <w:abstractNumId w:val="4"/>
  </w:num>
  <w:num w:numId="3" w16cid:durableId="43679776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1081752">
    <w:abstractNumId w:val="0"/>
  </w:num>
  <w:num w:numId="5" w16cid:durableId="1046835390">
    <w:abstractNumId w:val="5"/>
  </w:num>
  <w:num w:numId="6" w16cid:durableId="541288709">
    <w:abstractNumId w:val="6"/>
  </w:num>
  <w:num w:numId="7" w16cid:durableId="974455394">
    <w:abstractNumId w:val="3"/>
  </w:num>
  <w:num w:numId="8" w16cid:durableId="2064984452">
    <w:abstractNumId w:val="7"/>
  </w:num>
  <w:num w:numId="9" w16cid:durableId="42488101">
    <w:abstractNumId w:val="1"/>
  </w:num>
  <w:num w:numId="10" w16cid:durableId="1635983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64825"/>
    <w:rsid w:val="00076769"/>
    <w:rsid w:val="000846EF"/>
    <w:rsid w:val="000D051A"/>
    <w:rsid w:val="000D1C7F"/>
    <w:rsid w:val="001638E5"/>
    <w:rsid w:val="00205BAC"/>
    <w:rsid w:val="00236901"/>
    <w:rsid w:val="002A30D0"/>
    <w:rsid w:val="002A31E6"/>
    <w:rsid w:val="002B4442"/>
    <w:rsid w:val="002E2155"/>
    <w:rsid w:val="002F52A6"/>
    <w:rsid w:val="00326FB8"/>
    <w:rsid w:val="00340F54"/>
    <w:rsid w:val="003463B6"/>
    <w:rsid w:val="00353FD7"/>
    <w:rsid w:val="004063DC"/>
    <w:rsid w:val="0042266F"/>
    <w:rsid w:val="00495C13"/>
    <w:rsid w:val="00510BCE"/>
    <w:rsid w:val="005243F9"/>
    <w:rsid w:val="005537C9"/>
    <w:rsid w:val="0056009D"/>
    <w:rsid w:val="005A000F"/>
    <w:rsid w:val="005E449B"/>
    <w:rsid w:val="0066657F"/>
    <w:rsid w:val="006848CE"/>
    <w:rsid w:val="006D1D3B"/>
    <w:rsid w:val="00725F12"/>
    <w:rsid w:val="007355F1"/>
    <w:rsid w:val="0077630F"/>
    <w:rsid w:val="007820EC"/>
    <w:rsid w:val="007C5FCA"/>
    <w:rsid w:val="00835798"/>
    <w:rsid w:val="00854626"/>
    <w:rsid w:val="008671CE"/>
    <w:rsid w:val="008706FC"/>
    <w:rsid w:val="008774BA"/>
    <w:rsid w:val="008D32D4"/>
    <w:rsid w:val="008D6E34"/>
    <w:rsid w:val="008E5487"/>
    <w:rsid w:val="00935E3D"/>
    <w:rsid w:val="009753EB"/>
    <w:rsid w:val="00A2437E"/>
    <w:rsid w:val="00A47334"/>
    <w:rsid w:val="00A7212C"/>
    <w:rsid w:val="00B11725"/>
    <w:rsid w:val="00B47ECF"/>
    <w:rsid w:val="00BB1B65"/>
    <w:rsid w:val="00BE31D9"/>
    <w:rsid w:val="00C45BA7"/>
    <w:rsid w:val="00C47A9C"/>
    <w:rsid w:val="00CF75DF"/>
    <w:rsid w:val="00D04818"/>
    <w:rsid w:val="00D65D99"/>
    <w:rsid w:val="00DF38E2"/>
    <w:rsid w:val="00E12215"/>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9E7E6E" w:rsidRDefault="009E7E6E"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9E7E6E" w:rsidRDefault="009E7E6E"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9E7E6E" w:rsidRDefault="009E7E6E"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7E6E" w:rsidRDefault="009E7E6E">
      <w:pPr>
        <w:spacing w:after="0" w:line="240" w:lineRule="auto"/>
      </w:pPr>
      <w:r>
        <w:separator/>
      </w:r>
    </w:p>
  </w:endnote>
  <w:endnote w:type="continuationSeparator" w:id="0">
    <w:p w:rsidR="009E7E6E" w:rsidRDefault="009E7E6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7E6E" w:rsidRDefault="009E7E6E">
      <w:pPr>
        <w:spacing w:after="0" w:line="240" w:lineRule="auto"/>
      </w:pPr>
      <w:r>
        <w:separator/>
      </w:r>
    </w:p>
  </w:footnote>
  <w:footnote w:type="continuationSeparator" w:id="0">
    <w:p w:rsidR="009E7E6E" w:rsidRDefault="009E7E6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9E7E6E"/>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1543</Words>
  <Characters>9367</Characters>
  <Application>Microsoft Office Word</Application>
  <DocSecurity>0</DocSecurity>
  <Lines>183</Lines>
  <Paragraphs>112</Paragraphs>
  <ScaleCrop>false</ScaleCrop>
  <HeadingPairs>
    <vt:vector size="2" baseType="variant">
      <vt:variant>
        <vt:lpstr>Title</vt:lpstr>
      </vt:variant>
      <vt:variant>
        <vt:i4>1</vt:i4>
      </vt:variant>
    </vt:vector>
  </HeadingPairs>
  <TitlesOfParts>
    <vt:vector size="1" baseType="lpstr">
      <vt:lpstr>Government response: Second Interim report - Australia as a Technology and Financial Centre</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Second Interim report - Australia as a Technology and Financial Centre</dc:title>
  <dc:subject/>
  <dc:creator/>
  <cp:keywords/>
  <cp:lastModifiedBy/>
  <cp:revision>1</cp:revision>
  <dcterms:created xsi:type="dcterms:W3CDTF">2024-09-03T05:10:00Z</dcterms:created>
  <dcterms:modified xsi:type="dcterms:W3CDTF">2024-09-03T05:11:00Z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2024-09-03T05:11:27Z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274f171f-2c10-460e-8f05-33bbd04ec581</vt:lpwstr>
  </property>
  <property fmtid="{D5CDD505-2E9C-101B-9397-08002B2CF9AE}" pid="8" name="MSIP_Label_4f932d64-9ab1-4d9b-81d2-a3a8b82dd47d_ContentBits">
    <vt:lpwstr>0</vt:lpwstr>
  </property>
</Properties>
</file>