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3F8F"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r w:rsidR="007B4AEC">
        <w:t>–2024</w:t>
      </w:r>
    </w:p>
    <w:p w14:paraId="5EB4052C" w14:textId="77777777" w:rsidR="00E24AA1" w:rsidRDefault="00E24AA1" w:rsidP="00E24AA1">
      <w:pPr>
        <w:pStyle w:val="Baseparagraphcentred"/>
      </w:pPr>
    </w:p>
    <w:p w14:paraId="3B3759FA" w14:textId="77777777" w:rsidR="00E24AA1" w:rsidRDefault="00E24AA1" w:rsidP="00E24AA1">
      <w:pPr>
        <w:pStyle w:val="Baseparagraphcentred"/>
      </w:pPr>
      <w:r>
        <w:t>THE PARLIAMENT OF THE COMMONWEALTH OF AUSTRALIA</w:t>
      </w:r>
    </w:p>
    <w:p w14:paraId="5583A25D" w14:textId="77777777" w:rsidR="00E24AA1" w:rsidRDefault="00E24AA1" w:rsidP="00E24AA1">
      <w:pPr>
        <w:pStyle w:val="Baseparagraphcentred"/>
      </w:pPr>
    </w:p>
    <w:p w14:paraId="35F89BC2" w14:textId="77777777" w:rsidR="00E24AA1" w:rsidRDefault="00E24AA1" w:rsidP="00E24AA1">
      <w:pPr>
        <w:pStyle w:val="Baseparagraphcentred"/>
      </w:pPr>
    </w:p>
    <w:p w14:paraId="1D7C3061" w14:textId="77777777" w:rsidR="00E24AA1" w:rsidRDefault="00E24AA1" w:rsidP="00E24AA1">
      <w:pPr>
        <w:pStyle w:val="Baseparagraphcentred"/>
      </w:pPr>
    </w:p>
    <w:p w14:paraId="4058B6FB" w14:textId="254A4235" w:rsidR="000A4EB2" w:rsidRDefault="001F6B93" w:rsidP="000A4EB2">
      <w:pPr>
        <w:pStyle w:val="Baseparagraphcentred"/>
      </w:pPr>
      <w:r>
        <w:t>EXPOSURE DRAFT EXPLANATORY MATERIALS</w:t>
      </w:r>
    </w:p>
    <w:p w14:paraId="26708870" w14:textId="77777777" w:rsidR="00E24AA1" w:rsidRDefault="00E24AA1" w:rsidP="00E24AA1">
      <w:pPr>
        <w:pStyle w:val="Baseparagraphcentred"/>
      </w:pPr>
    </w:p>
    <w:p w14:paraId="462EEE94" w14:textId="77777777" w:rsidR="00E24AA1" w:rsidRDefault="00E24AA1" w:rsidP="00E24AA1">
      <w:pPr>
        <w:pStyle w:val="Baseparagraphcentred"/>
      </w:pPr>
    </w:p>
    <w:p w14:paraId="11837EF5" w14:textId="77777777" w:rsidR="00E24AA1" w:rsidRDefault="00E24AA1" w:rsidP="00E24AA1">
      <w:pPr>
        <w:pStyle w:val="Baseparagraphcentred"/>
        <w:pBdr>
          <w:bottom w:val="single" w:sz="4" w:space="1" w:color="auto"/>
        </w:pBdr>
      </w:pPr>
    </w:p>
    <w:p w14:paraId="7CAA32A6" w14:textId="1055A9C2" w:rsidR="00E24AA1" w:rsidRPr="00E24AA1" w:rsidRDefault="00F677B7" w:rsidP="00E24AA1">
      <w:pPr>
        <w:pStyle w:val="BillName"/>
      </w:pPr>
      <w:bookmarkStart w:id="6" w:name="BillName"/>
      <w:bookmarkEnd w:id="6"/>
      <w:r>
        <w:t>TBA</w:t>
      </w:r>
    </w:p>
    <w:p w14:paraId="28660C9B" w14:textId="77777777" w:rsidR="00E24AA1" w:rsidRDefault="00E24AA1" w:rsidP="00E24AA1">
      <w:pPr>
        <w:pStyle w:val="Baseparagraphcentred"/>
        <w:pBdr>
          <w:top w:val="single" w:sz="4" w:space="1" w:color="auto"/>
        </w:pBdr>
      </w:pPr>
    </w:p>
    <w:p w14:paraId="6DFE6B5A" w14:textId="77777777" w:rsidR="00E24AA1" w:rsidRDefault="00E24AA1" w:rsidP="00E24AA1">
      <w:pPr>
        <w:pStyle w:val="Baseparagraphcentred"/>
      </w:pPr>
    </w:p>
    <w:p w14:paraId="54693BC1" w14:textId="77777777" w:rsidR="00E24AA1" w:rsidRDefault="00E24AA1" w:rsidP="00E24AA1">
      <w:pPr>
        <w:pStyle w:val="Baseparagraphcentred"/>
      </w:pPr>
    </w:p>
    <w:p w14:paraId="64262FDB" w14:textId="77777777" w:rsidR="00E24AA1" w:rsidRDefault="00E24AA1" w:rsidP="00E24AA1">
      <w:pPr>
        <w:pStyle w:val="Baseparagraphcentred"/>
      </w:pPr>
    </w:p>
    <w:p w14:paraId="2806CF1C" w14:textId="77777777" w:rsidR="00E24AA1" w:rsidRDefault="00E24AA1" w:rsidP="00E24AA1">
      <w:pPr>
        <w:pStyle w:val="Baseparagraphcentred"/>
      </w:pPr>
      <w:r>
        <w:t>EXPLANATORY MEMORANDUM</w:t>
      </w:r>
    </w:p>
    <w:p w14:paraId="284423E3" w14:textId="77777777" w:rsidR="00E24AA1" w:rsidRDefault="00E24AA1" w:rsidP="00E24AA1">
      <w:pPr>
        <w:pStyle w:val="Baseparagraphcentred"/>
      </w:pPr>
    </w:p>
    <w:p w14:paraId="59219694" w14:textId="77777777" w:rsidR="00E24AA1" w:rsidRDefault="00E24AA1" w:rsidP="00E24AA1">
      <w:pPr>
        <w:pStyle w:val="Baseparagraphcentred"/>
      </w:pPr>
    </w:p>
    <w:p w14:paraId="789A80CE" w14:textId="77777777" w:rsidR="00E24AA1" w:rsidRDefault="00E24AA1" w:rsidP="00E24AA1">
      <w:pPr>
        <w:pStyle w:val="ParaCentredNoSpacing"/>
      </w:pPr>
    </w:p>
    <w:p w14:paraId="5A4C6542" w14:textId="77777777" w:rsidR="00E24AA1" w:rsidRPr="00967273" w:rsidRDefault="00E24AA1" w:rsidP="00E24AA1">
      <w:pPr>
        <w:pStyle w:val="Normalparatextnonumbers"/>
        <w:jc w:val="center"/>
        <w:rPr>
          <w:rFonts w:cs="Calibri"/>
          <w:color w:val="000000" w:themeColor="text1"/>
        </w:rPr>
      </w:pPr>
    </w:p>
    <w:p w14:paraId="7945A263" w14:textId="77777777" w:rsidR="008A3B5F" w:rsidRPr="00020288" w:rsidRDefault="008A3B5F" w:rsidP="008A3B5F">
      <w:pPr>
        <w:pStyle w:val="Normalparatextnonumbers"/>
      </w:pPr>
    </w:p>
    <w:p w14:paraId="7F73BB67" w14:textId="77777777" w:rsidR="0090171F" w:rsidRDefault="0090171F" w:rsidP="00873094">
      <w:pPr>
        <w:pStyle w:val="Normalparatextnonumbers"/>
      </w:pPr>
      <w:bookmarkStart w:id="7" w:name="ConsultPreamble"/>
      <w:bookmarkEnd w:id="7"/>
    </w:p>
    <w:p w14:paraId="15E95FF9" w14:textId="77777777" w:rsidR="00924E28" w:rsidRPr="00020288" w:rsidRDefault="00924E28" w:rsidP="00873094">
      <w:pPr>
        <w:pStyle w:val="Normalparatextnonumbers"/>
      </w:pPr>
    </w:p>
    <w:p w14:paraId="3513892E" w14:textId="77777777" w:rsidR="00873094" w:rsidRPr="00020288" w:rsidRDefault="00873094" w:rsidP="00873094">
      <w:pPr>
        <w:pStyle w:val="TOC1"/>
        <w:sectPr w:rsidR="00873094" w:rsidRPr="00020288" w:rsidSect="00000BFC">
          <w:headerReference w:type="even" r:id="rId7"/>
          <w:headerReference w:type="default" r:id="rId8"/>
          <w:headerReference w:type="first" r:id="rId9"/>
          <w:footerReference w:type="first" r:id="rId10"/>
          <w:type w:val="oddPage"/>
          <w:pgSz w:w="9979" w:h="14175" w:code="138"/>
          <w:pgMar w:top="567" w:right="1134" w:bottom="567" w:left="1134" w:header="709" w:footer="709" w:gutter="0"/>
          <w:cols w:space="708"/>
          <w:titlePg/>
          <w:docGrid w:linePitch="360"/>
        </w:sectPr>
      </w:pPr>
    </w:p>
    <w:p w14:paraId="49828C9E" w14:textId="77777777" w:rsidR="001762E1" w:rsidRPr="00020288" w:rsidRDefault="001762E1" w:rsidP="001762E1">
      <w:pPr>
        <w:pStyle w:val="TOCHeading"/>
      </w:pPr>
      <w:bookmarkStart w:id="8" w:name="_Toc80172450"/>
      <w:bookmarkStart w:id="9" w:name="_Toc80197114"/>
      <w:bookmarkStart w:id="10" w:name="_Toc81852681"/>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0"/>
      <w:bookmarkEnd w:id="1"/>
      <w:bookmarkEnd w:id="2"/>
      <w:bookmarkEnd w:id="3"/>
      <w:bookmarkEnd w:id="4"/>
      <w:r w:rsidRPr="00020288">
        <w:lastRenderedPageBreak/>
        <w:t>Table of Contents</w:t>
      </w:r>
      <w:bookmarkEnd w:id="8"/>
      <w:bookmarkEnd w:id="9"/>
      <w:bookmarkEnd w:id="10"/>
    </w:p>
    <w:p w14:paraId="346A84C5" w14:textId="6E25A253" w:rsidR="00654F5D" w:rsidRDefault="001762E1">
      <w:pPr>
        <w:pStyle w:val="TOC1"/>
        <w:rPr>
          <w:rFonts w:asciiTheme="minorHAnsi" w:eastAsiaTheme="minorEastAsia" w:hAnsiTheme="minorHAnsi" w:cstheme="minorBidi"/>
          <w:bCs w:val="0"/>
          <w:noProof/>
          <w:kern w:val="2"/>
          <w:sz w:val="22"/>
          <w:szCs w:val="22"/>
          <w:lang w:eastAsia="en-AU"/>
          <w14:ligatures w14:val="standardContextual"/>
        </w:rPr>
      </w:pPr>
      <w:r w:rsidRPr="00BC2E4A">
        <w:fldChar w:fldCharType="begin"/>
      </w:r>
      <w:r w:rsidRPr="00BC2E4A">
        <w:instrText xml:space="preserve"> TOC \o "1-1" \u </w:instrText>
      </w:r>
      <w:r w:rsidRPr="00BC2E4A">
        <w:fldChar w:fldCharType="separate"/>
      </w:r>
      <w:r w:rsidR="00654F5D">
        <w:rPr>
          <w:noProof/>
        </w:rPr>
        <w:t>Glossary</w:t>
      </w:r>
      <w:r w:rsidR="00654F5D">
        <w:rPr>
          <w:noProof/>
        </w:rPr>
        <w:tab/>
      </w:r>
      <w:r w:rsidR="003F5990">
        <w:rPr>
          <w:noProof/>
        </w:rPr>
        <w:tab/>
      </w:r>
      <w:r w:rsidR="00654F5D">
        <w:rPr>
          <w:noProof/>
        </w:rPr>
        <w:fldChar w:fldCharType="begin"/>
      </w:r>
      <w:r w:rsidR="00654F5D">
        <w:rPr>
          <w:noProof/>
        </w:rPr>
        <w:instrText xml:space="preserve"> PAGEREF _Toc177586165 \h </w:instrText>
      </w:r>
      <w:r w:rsidR="00654F5D">
        <w:rPr>
          <w:noProof/>
        </w:rPr>
      </w:r>
      <w:r w:rsidR="00654F5D">
        <w:rPr>
          <w:noProof/>
        </w:rPr>
        <w:fldChar w:fldCharType="separate"/>
      </w:r>
      <w:r w:rsidR="007E7133">
        <w:rPr>
          <w:noProof/>
        </w:rPr>
        <w:t>iii</w:t>
      </w:r>
      <w:r w:rsidR="00654F5D">
        <w:rPr>
          <w:noProof/>
        </w:rPr>
        <w:fldChar w:fldCharType="end"/>
      </w:r>
    </w:p>
    <w:p w14:paraId="7574568D" w14:textId="59AE92F1" w:rsidR="00654F5D" w:rsidRDefault="00654F5D">
      <w:pPr>
        <w:pStyle w:val="TOC1"/>
        <w:rPr>
          <w:rFonts w:asciiTheme="minorHAnsi" w:eastAsiaTheme="minorEastAsia" w:hAnsiTheme="minorHAnsi" w:cstheme="minorBidi"/>
          <w:bCs w:val="0"/>
          <w:noProof/>
          <w:kern w:val="2"/>
          <w:sz w:val="22"/>
          <w:szCs w:val="22"/>
          <w:lang w:eastAsia="en-AU"/>
          <w14:ligatures w14:val="standardContextual"/>
        </w:rPr>
      </w:pPr>
      <w:r>
        <w:rPr>
          <w:noProof/>
        </w:rPr>
        <w:t>Chapter 1: Miscellaneous and Technical amendments</w:t>
      </w:r>
      <w:r>
        <w:rPr>
          <w:noProof/>
        </w:rPr>
        <w:tab/>
      </w:r>
      <w:r>
        <w:rPr>
          <w:noProof/>
        </w:rPr>
        <w:fldChar w:fldCharType="begin"/>
      </w:r>
      <w:r>
        <w:rPr>
          <w:noProof/>
        </w:rPr>
        <w:instrText xml:space="preserve"> PAGEREF _Toc177586166 \h </w:instrText>
      </w:r>
      <w:r>
        <w:rPr>
          <w:noProof/>
        </w:rPr>
      </w:r>
      <w:r>
        <w:rPr>
          <w:noProof/>
        </w:rPr>
        <w:fldChar w:fldCharType="separate"/>
      </w:r>
      <w:r w:rsidR="007E7133">
        <w:rPr>
          <w:noProof/>
        </w:rPr>
        <w:t>5</w:t>
      </w:r>
      <w:r>
        <w:rPr>
          <w:noProof/>
        </w:rPr>
        <w:fldChar w:fldCharType="end"/>
      </w:r>
    </w:p>
    <w:p w14:paraId="6EE7FC59" w14:textId="0B294906" w:rsidR="00A12BAA" w:rsidRDefault="001762E1" w:rsidP="001762E1">
      <w:pPr>
        <w:rPr>
          <w:rFonts w:asciiTheme="minorHAnsi" w:eastAsiaTheme="minorEastAsia" w:hAnsiTheme="minorHAnsi"/>
          <w:noProof/>
          <w:lang w:eastAsia="en-AU"/>
        </w:rPr>
      </w:pPr>
      <w:r w:rsidRPr="00BC2E4A">
        <w:fldChar w:fldCharType="end"/>
      </w:r>
    </w:p>
    <w:p w14:paraId="06B33F14" w14:textId="609A6B31" w:rsidR="00873094" w:rsidRPr="00020288" w:rsidRDefault="00873094" w:rsidP="00B20237">
      <w:pPr>
        <w:pStyle w:val="TOC1"/>
      </w:pPr>
    </w:p>
    <w:p w14:paraId="25879DB0" w14:textId="77777777" w:rsidR="00873094" w:rsidRPr="00020288" w:rsidRDefault="00873094" w:rsidP="00873094">
      <w:pPr>
        <w:sectPr w:rsidR="00873094" w:rsidRPr="00020288" w:rsidSect="00000BFC">
          <w:headerReference w:type="even" r:id="rId11"/>
          <w:headerReference w:type="default" r:id="rId12"/>
          <w:footerReference w:type="even" r:id="rId13"/>
          <w:footerReference w:type="default" r:id="rId14"/>
          <w:headerReference w:type="first" r:id="rId15"/>
          <w:footerReference w:type="first" r:id="rId16"/>
          <w:type w:val="oddPage"/>
          <w:pgSz w:w="9979" w:h="14175" w:code="9"/>
          <w:pgMar w:top="567" w:right="1134" w:bottom="567" w:left="1134" w:header="709" w:footer="709" w:gutter="0"/>
          <w:pgNumType w:start="1"/>
          <w:cols w:space="708"/>
          <w:titlePg/>
          <w:docGrid w:linePitch="360"/>
        </w:sectPr>
      </w:pPr>
    </w:p>
    <w:p w14:paraId="5EB91DFC" w14:textId="77777777" w:rsidR="00873094" w:rsidRPr="00020288" w:rsidRDefault="00873094" w:rsidP="00873094">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177586165"/>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12BAA">
        <w:tab/>
      </w:r>
      <w:r w:rsidR="001F670B">
        <w:t xml:space="preserve"> </w:t>
      </w:r>
    </w:p>
    <w:p w14:paraId="7EC03D76"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2D5A91BB" w14:textId="77777777" w:rsidTr="002425D9">
        <w:tc>
          <w:tcPr>
            <w:tcW w:w="3776" w:type="dxa"/>
            <w:shd w:val="clear" w:color="auto" w:fill="auto"/>
          </w:tcPr>
          <w:p w14:paraId="3002CDCE"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769E2E13" w14:textId="77777777" w:rsidR="00873094" w:rsidRPr="002E7A73" w:rsidRDefault="00873094" w:rsidP="00B7393A">
            <w:pPr>
              <w:pStyle w:val="Tableheaderrowtext"/>
            </w:pPr>
            <w:r w:rsidRPr="002E7A73">
              <w:t>Definition</w:t>
            </w:r>
          </w:p>
        </w:tc>
      </w:tr>
      <w:tr w:rsidR="00873094" w:rsidRPr="00020288" w14:paraId="7FFBEA01" w14:textId="77777777" w:rsidTr="002425D9">
        <w:tc>
          <w:tcPr>
            <w:tcW w:w="3776" w:type="dxa"/>
          </w:tcPr>
          <w:p w14:paraId="06956C1C" w14:textId="6BB78BB2" w:rsidR="00873094" w:rsidRPr="00020288" w:rsidRDefault="002C3401" w:rsidP="002425D9">
            <w:pPr>
              <w:pStyle w:val="Normalparatextnonumbers"/>
            </w:pPr>
            <w:r>
              <w:t>ASIC Act</w:t>
            </w:r>
          </w:p>
        </w:tc>
        <w:tc>
          <w:tcPr>
            <w:tcW w:w="3874" w:type="dxa"/>
          </w:tcPr>
          <w:p w14:paraId="2D6111FD" w14:textId="5426093A" w:rsidR="00873094" w:rsidRPr="002C3401" w:rsidRDefault="002C3401" w:rsidP="002425D9">
            <w:pPr>
              <w:pStyle w:val="Normalparatextnonumbers"/>
              <w:rPr>
                <w:i/>
              </w:rPr>
            </w:pPr>
            <w:r w:rsidRPr="002C3401">
              <w:rPr>
                <w:i/>
                <w:iCs/>
              </w:rPr>
              <w:t>Australian Securities and Investments Commission 2001</w:t>
            </w:r>
          </w:p>
        </w:tc>
      </w:tr>
      <w:tr w:rsidR="00B42546" w:rsidRPr="00020288" w14:paraId="35F8EA35" w14:textId="77777777" w:rsidTr="002425D9">
        <w:tc>
          <w:tcPr>
            <w:tcW w:w="3776" w:type="dxa"/>
          </w:tcPr>
          <w:p w14:paraId="75077934" w14:textId="7C3C49CE" w:rsidR="00B42546" w:rsidRDefault="00B42546" w:rsidP="002425D9">
            <w:pPr>
              <w:pStyle w:val="Normalparatextnonumbers"/>
            </w:pPr>
            <w:r>
              <w:t>CCA</w:t>
            </w:r>
          </w:p>
        </w:tc>
        <w:tc>
          <w:tcPr>
            <w:tcW w:w="3874" w:type="dxa"/>
          </w:tcPr>
          <w:p w14:paraId="3AC1C03E" w14:textId="01E37346" w:rsidR="00B42546" w:rsidRPr="002C3401" w:rsidRDefault="00B42546" w:rsidP="002425D9">
            <w:pPr>
              <w:pStyle w:val="Normalparatextnonumbers"/>
              <w:rPr>
                <w:i/>
                <w:iCs/>
              </w:rPr>
            </w:pPr>
            <w:r>
              <w:rPr>
                <w:i/>
                <w:iCs/>
              </w:rPr>
              <w:t xml:space="preserve">Competition and Consumer Act </w:t>
            </w:r>
            <w:r w:rsidR="005D6536">
              <w:rPr>
                <w:i/>
                <w:iCs/>
              </w:rPr>
              <w:t>2010</w:t>
            </w:r>
          </w:p>
        </w:tc>
      </w:tr>
      <w:tr w:rsidR="00C8428C" w:rsidRPr="00020288" w14:paraId="1CE33D68" w14:textId="77777777" w:rsidTr="002425D9">
        <w:tc>
          <w:tcPr>
            <w:tcW w:w="3776" w:type="dxa"/>
          </w:tcPr>
          <w:p w14:paraId="7B7F8234" w14:textId="643A76CC" w:rsidR="00C8428C" w:rsidRDefault="00C8428C" w:rsidP="002425D9">
            <w:pPr>
              <w:pStyle w:val="Normalparatextnonumbers"/>
            </w:pPr>
            <w:r>
              <w:t>CCIV</w:t>
            </w:r>
          </w:p>
        </w:tc>
        <w:tc>
          <w:tcPr>
            <w:tcW w:w="3874" w:type="dxa"/>
          </w:tcPr>
          <w:p w14:paraId="65B2F163" w14:textId="7D7F2CD6" w:rsidR="00C8428C" w:rsidRDefault="00C8428C" w:rsidP="002425D9">
            <w:pPr>
              <w:pStyle w:val="Normalparatextnonumbers"/>
              <w:rPr>
                <w:i/>
                <w:iCs/>
              </w:rPr>
            </w:pPr>
            <w:r>
              <w:t>Corporate Collective Investment Vehicle</w:t>
            </w:r>
          </w:p>
        </w:tc>
      </w:tr>
      <w:tr w:rsidR="00873094" w:rsidRPr="00020288" w14:paraId="6F9ABD2C" w14:textId="77777777" w:rsidTr="002425D9">
        <w:tc>
          <w:tcPr>
            <w:tcW w:w="3776" w:type="dxa"/>
          </w:tcPr>
          <w:p w14:paraId="7E4D130F" w14:textId="4A65C770" w:rsidR="00873094" w:rsidRPr="00020288" w:rsidRDefault="003F5439" w:rsidP="002425D9">
            <w:pPr>
              <w:pStyle w:val="Normalparatextnonumbers"/>
            </w:pPr>
            <w:r>
              <w:t>Corporations Act</w:t>
            </w:r>
          </w:p>
        </w:tc>
        <w:tc>
          <w:tcPr>
            <w:tcW w:w="3874" w:type="dxa"/>
          </w:tcPr>
          <w:p w14:paraId="6DE11976" w14:textId="519F99D9" w:rsidR="00873094" w:rsidRPr="003F5439" w:rsidRDefault="003F5439" w:rsidP="002425D9">
            <w:pPr>
              <w:pStyle w:val="Normalparatextnonumbers"/>
              <w:rPr>
                <w:i/>
                <w:iCs/>
              </w:rPr>
            </w:pPr>
            <w:r w:rsidRPr="003F5439">
              <w:rPr>
                <w:i/>
                <w:iCs/>
              </w:rPr>
              <w:t>Corporations Act 2001</w:t>
            </w:r>
          </w:p>
        </w:tc>
      </w:tr>
      <w:tr w:rsidR="00270FFB" w:rsidRPr="00020288" w14:paraId="098E3411" w14:textId="77777777" w:rsidTr="002425D9">
        <w:tc>
          <w:tcPr>
            <w:tcW w:w="3776" w:type="dxa"/>
          </w:tcPr>
          <w:p w14:paraId="09952220" w14:textId="23D51205" w:rsidR="00270FFB" w:rsidRDefault="00270FFB" w:rsidP="002425D9">
            <w:pPr>
              <w:pStyle w:val="Normalparatextnonumbers"/>
            </w:pPr>
            <w:r>
              <w:t>DGR</w:t>
            </w:r>
          </w:p>
        </w:tc>
        <w:tc>
          <w:tcPr>
            <w:tcW w:w="3874" w:type="dxa"/>
          </w:tcPr>
          <w:p w14:paraId="394AE70A" w14:textId="3ADB1655" w:rsidR="00270FFB" w:rsidRPr="00270FFB" w:rsidRDefault="00270FFB" w:rsidP="002425D9">
            <w:pPr>
              <w:pStyle w:val="Normalparatextnonumbers"/>
            </w:pPr>
            <w:r>
              <w:t xml:space="preserve">Deductible </w:t>
            </w:r>
            <w:r w:rsidR="00350BE1">
              <w:t>Gift Recipient</w:t>
            </w:r>
          </w:p>
        </w:tc>
      </w:tr>
      <w:tr w:rsidR="00C7081E" w:rsidRPr="00020288" w14:paraId="410326AA" w14:textId="77777777" w:rsidTr="002425D9">
        <w:tc>
          <w:tcPr>
            <w:tcW w:w="3776" w:type="dxa"/>
          </w:tcPr>
          <w:p w14:paraId="516CA23F" w14:textId="59EA22CB" w:rsidR="00C7081E" w:rsidRDefault="00C7081E" w:rsidP="002425D9">
            <w:pPr>
              <w:pStyle w:val="Normalparatextnonumbers"/>
            </w:pPr>
            <w:r>
              <w:t>FATA</w:t>
            </w:r>
          </w:p>
        </w:tc>
        <w:tc>
          <w:tcPr>
            <w:tcW w:w="3874" w:type="dxa"/>
          </w:tcPr>
          <w:p w14:paraId="4F9923E7" w14:textId="2DBC4168" w:rsidR="00C7081E" w:rsidRPr="00AF04D8" w:rsidRDefault="00307CB9" w:rsidP="002425D9">
            <w:pPr>
              <w:pStyle w:val="Normalparatextnonumbers"/>
              <w:rPr>
                <w:i/>
                <w:iCs/>
              </w:rPr>
            </w:pPr>
            <w:r w:rsidRPr="00AF04D8">
              <w:rPr>
                <w:i/>
                <w:iCs/>
              </w:rPr>
              <w:t>Foreign Acquisitions and Takeovers Act 1975</w:t>
            </w:r>
          </w:p>
        </w:tc>
      </w:tr>
      <w:tr w:rsidR="00873094" w:rsidRPr="00020288" w14:paraId="1F139710" w14:textId="77777777" w:rsidTr="002425D9">
        <w:tc>
          <w:tcPr>
            <w:tcW w:w="3776" w:type="dxa"/>
          </w:tcPr>
          <w:p w14:paraId="1E584430" w14:textId="57E26330" w:rsidR="00873094" w:rsidRPr="00020288" w:rsidRDefault="003F5439" w:rsidP="002425D9">
            <w:pPr>
              <w:pStyle w:val="Normalparatextnonumbers"/>
            </w:pPr>
            <w:r>
              <w:t>ITAA 1936</w:t>
            </w:r>
          </w:p>
        </w:tc>
        <w:tc>
          <w:tcPr>
            <w:tcW w:w="3874" w:type="dxa"/>
          </w:tcPr>
          <w:p w14:paraId="3B3C9B03" w14:textId="21D4D874" w:rsidR="00873094" w:rsidRPr="003F5439" w:rsidRDefault="003F5439" w:rsidP="002425D9">
            <w:pPr>
              <w:pStyle w:val="Normalparatextnonumbers"/>
              <w:rPr>
                <w:i/>
                <w:iCs/>
              </w:rPr>
            </w:pPr>
            <w:r w:rsidRPr="003F5439">
              <w:rPr>
                <w:i/>
                <w:iCs/>
              </w:rPr>
              <w:t>Income Tax Assessment Act 1936</w:t>
            </w:r>
          </w:p>
        </w:tc>
      </w:tr>
      <w:tr w:rsidR="00873094" w:rsidRPr="00020288" w14:paraId="1A2ADA12" w14:textId="77777777" w:rsidTr="002425D9">
        <w:tc>
          <w:tcPr>
            <w:tcW w:w="3776" w:type="dxa"/>
          </w:tcPr>
          <w:p w14:paraId="4D96F38A" w14:textId="0E3F9BE6" w:rsidR="00873094" w:rsidRPr="00020288" w:rsidRDefault="003F5439" w:rsidP="002425D9">
            <w:pPr>
              <w:pStyle w:val="Normalparatextnonumbers"/>
            </w:pPr>
            <w:r>
              <w:t>ITAA 1997</w:t>
            </w:r>
          </w:p>
        </w:tc>
        <w:tc>
          <w:tcPr>
            <w:tcW w:w="3874" w:type="dxa"/>
          </w:tcPr>
          <w:p w14:paraId="3309CDD9" w14:textId="739B38BC" w:rsidR="00873094" w:rsidRPr="003F5439" w:rsidRDefault="003F5439" w:rsidP="002425D9">
            <w:pPr>
              <w:pStyle w:val="Normalparatextnonumbers"/>
              <w:rPr>
                <w:i/>
                <w:iCs/>
              </w:rPr>
            </w:pPr>
            <w:r w:rsidRPr="003F5439">
              <w:rPr>
                <w:i/>
                <w:iCs/>
              </w:rPr>
              <w:t>Income Tax Assessment Act 1997</w:t>
            </w:r>
          </w:p>
        </w:tc>
      </w:tr>
      <w:tr w:rsidR="00873094" w:rsidRPr="00020288" w14:paraId="0DCFD887" w14:textId="77777777" w:rsidTr="002425D9">
        <w:tc>
          <w:tcPr>
            <w:tcW w:w="3776" w:type="dxa"/>
          </w:tcPr>
          <w:p w14:paraId="78FCAF04" w14:textId="1F6F4756" w:rsidR="00873094" w:rsidRPr="00020288" w:rsidRDefault="00096840" w:rsidP="002425D9">
            <w:pPr>
              <w:pStyle w:val="Normalparatextnonumbers"/>
            </w:pPr>
            <w:r>
              <w:t>PRRTA Act</w:t>
            </w:r>
          </w:p>
        </w:tc>
        <w:tc>
          <w:tcPr>
            <w:tcW w:w="3874" w:type="dxa"/>
          </w:tcPr>
          <w:p w14:paraId="10D31B6D" w14:textId="08774708" w:rsidR="00873094" w:rsidRPr="00096840" w:rsidRDefault="00096840" w:rsidP="002425D9">
            <w:pPr>
              <w:pStyle w:val="Normalparatextnonumbers"/>
              <w:rPr>
                <w:i/>
                <w:iCs/>
              </w:rPr>
            </w:pPr>
            <w:r w:rsidRPr="00096840">
              <w:rPr>
                <w:i/>
                <w:iCs/>
              </w:rPr>
              <w:t>Petroleum Resource Rent Tax Assessment Act 1987</w:t>
            </w:r>
          </w:p>
        </w:tc>
      </w:tr>
      <w:tr w:rsidR="00873094" w:rsidRPr="00020288" w14:paraId="0B7E2D44" w14:textId="77777777" w:rsidTr="002425D9">
        <w:tc>
          <w:tcPr>
            <w:tcW w:w="3776" w:type="dxa"/>
          </w:tcPr>
          <w:p w14:paraId="79B261CC" w14:textId="6CA66BC9" w:rsidR="00873094" w:rsidRPr="00020288" w:rsidRDefault="002C7CAC" w:rsidP="002425D9">
            <w:pPr>
              <w:pStyle w:val="Normalparatextnonumbers"/>
            </w:pPr>
            <w:r>
              <w:t>PRRTA Regulations</w:t>
            </w:r>
          </w:p>
        </w:tc>
        <w:tc>
          <w:tcPr>
            <w:tcW w:w="3874" w:type="dxa"/>
          </w:tcPr>
          <w:p w14:paraId="4B5EB623" w14:textId="24ECD2CB" w:rsidR="00873094" w:rsidRPr="002C7CAC" w:rsidRDefault="002C7CAC" w:rsidP="002425D9">
            <w:pPr>
              <w:pStyle w:val="Normalparatextnonumbers"/>
              <w:rPr>
                <w:i/>
                <w:iCs/>
              </w:rPr>
            </w:pPr>
            <w:r w:rsidRPr="002C7CAC">
              <w:rPr>
                <w:i/>
                <w:iCs/>
              </w:rPr>
              <w:t>Petroleum Resource Rent Tax Assessment Regulations 2024</w:t>
            </w:r>
          </w:p>
        </w:tc>
      </w:tr>
    </w:tbl>
    <w:p w14:paraId="6B249F1A" w14:textId="77777777" w:rsidR="00873094" w:rsidRPr="00020288" w:rsidRDefault="00873094" w:rsidP="00873094"/>
    <w:p w14:paraId="76F89ED4" w14:textId="77777777" w:rsidR="00873094" w:rsidRPr="00020288" w:rsidRDefault="00873094" w:rsidP="00873094">
      <w:pPr>
        <w:pStyle w:val="Heading1"/>
        <w:rPr>
          <w:rFonts w:hint="eastAsia"/>
        </w:rPr>
        <w:sectPr w:rsidR="00873094" w:rsidRPr="00020288" w:rsidSect="00000BFC">
          <w:headerReference w:type="even" r:id="rId17"/>
          <w:headerReference w:type="default" r:id="rId18"/>
          <w:footerReference w:type="even" r:id="rId19"/>
          <w:footerReference w:type="default" r:id="rId20"/>
          <w:headerReference w:type="first" r:id="rId21"/>
          <w:footerReference w:type="first" r:id="rId22"/>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6A6C74F4" w14:textId="624CDCD6" w:rsidR="001B0EA5" w:rsidRPr="001B0EA5" w:rsidRDefault="001B0EA5" w:rsidP="00A87E02">
      <w:pPr>
        <w:pStyle w:val="Heading1"/>
        <w:rPr>
          <w:rFonts w:hint="eastAsia"/>
        </w:rPr>
      </w:pPr>
      <w:bookmarkStart w:id="41" w:name="_Toc177586166"/>
      <w:bookmarkEnd w:id="27"/>
      <w:bookmarkEnd w:id="28"/>
      <w:bookmarkEnd w:id="29"/>
      <w:bookmarkEnd w:id="31"/>
      <w:bookmarkEnd w:id="32"/>
      <w:bookmarkEnd w:id="33"/>
      <w:bookmarkEnd w:id="34"/>
      <w:bookmarkEnd w:id="35"/>
      <w:bookmarkEnd w:id="36"/>
      <w:bookmarkEnd w:id="37"/>
      <w:bookmarkEnd w:id="38"/>
      <w:bookmarkEnd w:id="39"/>
      <w:bookmarkEnd w:id="40"/>
      <w:r>
        <w:lastRenderedPageBreak/>
        <w:t xml:space="preserve">Chapter 1: Miscellaneous and Technical </w:t>
      </w:r>
      <w:r w:rsidR="00A87E02">
        <w:t>amendments</w:t>
      </w:r>
      <w:bookmarkEnd w:id="41"/>
    </w:p>
    <w:p w14:paraId="4D53A586" w14:textId="77777777" w:rsidR="00873094" w:rsidRPr="00020288" w:rsidRDefault="00873094" w:rsidP="005D0844">
      <w:pPr>
        <w:pStyle w:val="Heading2"/>
        <w:rPr>
          <w:rFonts w:hint="eastAsia"/>
        </w:rPr>
      </w:pPr>
      <w:r w:rsidRPr="00020288">
        <w:t xml:space="preserve">Outline </w:t>
      </w:r>
      <w:r w:rsidRPr="005D0844">
        <w:t>of</w:t>
      </w:r>
      <w:r w:rsidRPr="00020288">
        <w:t xml:space="preserve"> chapter</w:t>
      </w:r>
    </w:p>
    <w:p w14:paraId="06063AE2" w14:textId="7DB0F2A5" w:rsidR="0040750F" w:rsidRDefault="0040750F" w:rsidP="008E72DB">
      <w:pPr>
        <w:pStyle w:val="Normalparatextwithnumbers"/>
        <w:numPr>
          <w:ilvl w:val="1"/>
          <w:numId w:val="3"/>
        </w:numPr>
      </w:pPr>
      <w:r>
        <w:t xml:space="preserve">Schedule # </w:t>
      </w:r>
      <w:r w:rsidR="00BC2305">
        <w:t>to</w:t>
      </w:r>
      <w:r>
        <w:t xml:space="preserve"> the Bill makes a number of miscellaneous and technical amendments to Treasury portfolio legislation. The amendments demonstrate the Government’s ongoing commitment to the care and maintenance of Treasury portfolio legislation.</w:t>
      </w:r>
    </w:p>
    <w:p w14:paraId="380DB15D" w14:textId="441B64F0" w:rsidR="0040750F" w:rsidRPr="000E521B" w:rsidRDefault="0040750F" w:rsidP="0040750F">
      <w:pPr>
        <w:pStyle w:val="Normalparatextwithnumbers"/>
        <w:numPr>
          <w:ilvl w:val="1"/>
          <w:numId w:val="3"/>
        </w:numPr>
      </w:pPr>
      <w:r>
        <w:t>The amendments update legislative references, repeal inoperative provisions, simplify provisions and reduce red tape.</w:t>
      </w:r>
    </w:p>
    <w:p w14:paraId="76AB22FC" w14:textId="77777777" w:rsidR="00873094" w:rsidRPr="00020288" w:rsidRDefault="00873094" w:rsidP="005D0844">
      <w:pPr>
        <w:pStyle w:val="Heading2"/>
        <w:rPr>
          <w:rFonts w:hint="eastAsia"/>
        </w:rPr>
      </w:pPr>
      <w:r w:rsidRPr="00020288">
        <w:t xml:space="preserve">Context of </w:t>
      </w:r>
      <w:r w:rsidRPr="005D0844">
        <w:t>amendments</w:t>
      </w:r>
    </w:p>
    <w:p w14:paraId="150C7FF9" w14:textId="77777777" w:rsidR="00641BF5" w:rsidRDefault="00641BF5" w:rsidP="00641BF5">
      <w:pPr>
        <w:pStyle w:val="Normalparatextwithnumbers"/>
        <w:numPr>
          <w:ilvl w:val="1"/>
          <w:numId w:val="3"/>
        </w:numPr>
      </w:pPr>
      <w:r w:rsidRPr="007C768B">
        <w:t>Miscellaneous and technical amendments are periodically made to Treasury portfolio legislation to correct drafting errors, repeal inoperative provisions, address unintended outcomes and make other technical changes. The amendments are part of the Government’s ongoing commitment to the care and maintenance of Treasury portfolio legislation.</w:t>
      </w:r>
    </w:p>
    <w:p w14:paraId="1B962CEE" w14:textId="688216BC" w:rsidR="00641BF5" w:rsidRPr="00020288" w:rsidRDefault="00641BF5" w:rsidP="00641BF5">
      <w:pPr>
        <w:pStyle w:val="Normalparatextwithnumbers"/>
        <w:numPr>
          <w:ilvl w:val="1"/>
          <w:numId w:val="3"/>
        </w:numPr>
      </w:pPr>
      <w:r w:rsidRPr="00BD3656">
        <w:t>The miscellaneous and technical amendments process was first supported by a recommendation of the 2008 Tax Design Review Panel, which was appointed to examine how to reduce delays in the enactment of tax legislation and improve the quality of tax legislation. The miscellaneous and technical</w:t>
      </w:r>
      <w:r>
        <w:t xml:space="preserve"> </w:t>
      </w:r>
      <w:r w:rsidRPr="00BD3656">
        <w:t>amendments process has since been expanded to all Treasury portfolio legislation.</w:t>
      </w:r>
    </w:p>
    <w:p w14:paraId="1ABCEF32" w14:textId="77777777" w:rsidR="00873094" w:rsidRPr="00020288" w:rsidRDefault="00873094" w:rsidP="005D0844">
      <w:pPr>
        <w:pStyle w:val="Heading2"/>
        <w:rPr>
          <w:rFonts w:hint="eastAsia"/>
        </w:rPr>
      </w:pPr>
      <w:r w:rsidRPr="00020288">
        <w:t xml:space="preserve">Summary of </w:t>
      </w:r>
      <w:r w:rsidRPr="005D0844">
        <w:t>new</w:t>
      </w:r>
      <w:r w:rsidRPr="00020288">
        <w:t xml:space="preserve"> law</w:t>
      </w:r>
    </w:p>
    <w:p w14:paraId="3F578A39" w14:textId="77777777" w:rsidR="007B3A6E" w:rsidRDefault="007B3A6E" w:rsidP="007B3A6E">
      <w:pPr>
        <w:pStyle w:val="Normalparatextwithnumbers"/>
        <w:numPr>
          <w:ilvl w:val="1"/>
          <w:numId w:val="3"/>
        </w:numPr>
      </w:pPr>
      <w:r w:rsidRPr="001D1A9A">
        <w:t>The miscellaneous and technical amendments maintain and improve the quality of Treasury legislation by:</w:t>
      </w:r>
    </w:p>
    <w:p w14:paraId="1C5E85CD" w14:textId="77777777" w:rsidR="007B3A6E" w:rsidRPr="009027FD" w:rsidRDefault="007B3A6E" w:rsidP="007B3A6E">
      <w:pPr>
        <w:pStyle w:val="Dotpoint1"/>
        <w:numPr>
          <w:ilvl w:val="0"/>
          <w:numId w:val="8"/>
        </w:numPr>
        <w:ind w:left="1418" w:hanging="709"/>
      </w:pPr>
      <w:r w:rsidRPr="009027FD">
        <w:t xml:space="preserve">repealing redundant and inoperative </w:t>
      </w:r>
      <w:proofErr w:type="gramStart"/>
      <w:r w:rsidRPr="009027FD">
        <w:t>provisions;</w:t>
      </w:r>
      <w:proofErr w:type="gramEnd"/>
    </w:p>
    <w:p w14:paraId="713FBBD2" w14:textId="77777777" w:rsidR="007B3A6E" w:rsidRPr="009027FD" w:rsidRDefault="007B3A6E" w:rsidP="007B3A6E">
      <w:pPr>
        <w:pStyle w:val="Dotpoint1"/>
        <w:numPr>
          <w:ilvl w:val="0"/>
          <w:numId w:val="8"/>
        </w:numPr>
        <w:ind w:left="1418" w:hanging="709"/>
      </w:pPr>
      <w:r w:rsidRPr="009027FD">
        <w:t xml:space="preserve">enhancing readability and administrative </w:t>
      </w:r>
      <w:proofErr w:type="gramStart"/>
      <w:r w:rsidRPr="009027FD">
        <w:t>efficiency;</w:t>
      </w:r>
      <w:proofErr w:type="gramEnd"/>
      <w:r w:rsidRPr="009027FD">
        <w:t xml:space="preserve"> </w:t>
      </w:r>
    </w:p>
    <w:p w14:paraId="351569E4" w14:textId="77777777" w:rsidR="007B3A6E" w:rsidRPr="009027FD" w:rsidRDefault="007B3A6E" w:rsidP="007B3A6E">
      <w:pPr>
        <w:pStyle w:val="Dotpoint1"/>
        <w:numPr>
          <w:ilvl w:val="0"/>
          <w:numId w:val="8"/>
        </w:numPr>
        <w:ind w:left="1418" w:hanging="709"/>
      </w:pPr>
      <w:r w:rsidRPr="009027FD">
        <w:t>reducing unnecessary red tape; and</w:t>
      </w:r>
    </w:p>
    <w:p w14:paraId="118C1A63" w14:textId="77777777" w:rsidR="007B3A6E" w:rsidRPr="009027FD" w:rsidRDefault="007B3A6E" w:rsidP="007B3A6E">
      <w:pPr>
        <w:pStyle w:val="Dotpoint1"/>
        <w:numPr>
          <w:ilvl w:val="0"/>
          <w:numId w:val="8"/>
        </w:numPr>
        <w:ind w:left="1418" w:hanging="709"/>
      </w:pPr>
      <w:r w:rsidRPr="009027FD">
        <w:t>making other technical changes</w:t>
      </w:r>
      <w:r>
        <w:t>.</w:t>
      </w:r>
    </w:p>
    <w:p w14:paraId="720159A7" w14:textId="77777777" w:rsidR="00873094" w:rsidRPr="00020288" w:rsidRDefault="00873094" w:rsidP="00873094">
      <w:pPr>
        <w:pStyle w:val="Heading2"/>
        <w:numPr>
          <w:ilvl w:val="1"/>
          <w:numId w:val="2"/>
        </w:numPr>
        <w:tabs>
          <w:tab w:val="num" w:pos="567"/>
        </w:tabs>
        <w:ind w:left="567" w:hanging="567"/>
        <w:rPr>
          <w:rFonts w:hint="eastAsia"/>
        </w:rPr>
      </w:pPr>
      <w:r w:rsidRPr="00020288">
        <w:lastRenderedPageBreak/>
        <w:t>Detailed explanation of new law</w:t>
      </w:r>
    </w:p>
    <w:p w14:paraId="415E771E" w14:textId="35F272EB" w:rsidR="00670934" w:rsidRDefault="00670934" w:rsidP="00234F69">
      <w:pPr>
        <w:pStyle w:val="Heading3"/>
        <w:rPr>
          <w:rFonts w:hint="eastAsia"/>
        </w:rPr>
      </w:pPr>
      <w:r>
        <w:t>Part 1 – Amendments commencing day after Royal Assent</w:t>
      </w:r>
    </w:p>
    <w:p w14:paraId="390F266A" w14:textId="22F65DCB" w:rsidR="00234F69" w:rsidRPr="00234F69" w:rsidRDefault="00234F69" w:rsidP="00F316CA">
      <w:pPr>
        <w:pStyle w:val="Heading4"/>
      </w:pPr>
      <w:r>
        <w:t xml:space="preserve">Division </w:t>
      </w:r>
      <w:r w:rsidR="00AC0794">
        <w:t>1</w:t>
      </w:r>
      <w:r w:rsidR="00F316CA">
        <w:t xml:space="preserve"> – </w:t>
      </w:r>
      <w:r w:rsidR="00AC0794">
        <w:t>Australian Securities and Investments Commission Act 2001</w:t>
      </w:r>
    </w:p>
    <w:p w14:paraId="5542543F" w14:textId="26F3A1AC" w:rsidR="00D4409E" w:rsidRDefault="0086689D" w:rsidP="003F5439">
      <w:pPr>
        <w:pStyle w:val="Normalparatextwithnumbers"/>
      </w:pPr>
      <w:r>
        <w:t xml:space="preserve">Division 1 of Part 1 of Schedule </w:t>
      </w:r>
      <w:r w:rsidR="00E44A20">
        <w:t xml:space="preserve"># to the Bill </w:t>
      </w:r>
      <w:r w:rsidR="00A9234F">
        <w:t xml:space="preserve">repeals provisions </w:t>
      </w:r>
      <w:r w:rsidR="0055263B">
        <w:t xml:space="preserve">in the ASIC Act which </w:t>
      </w:r>
      <w:r w:rsidR="00ED3655">
        <w:t xml:space="preserve">require the Minister to </w:t>
      </w:r>
      <w:r w:rsidR="000A72DB">
        <w:t>consent to certain proceedings.</w:t>
      </w:r>
      <w:r w:rsidR="00264ED8">
        <w:t xml:space="preserve"> </w:t>
      </w:r>
    </w:p>
    <w:p w14:paraId="753AEB1D" w14:textId="2FD85601" w:rsidR="005333E2" w:rsidRDefault="00951CE2" w:rsidP="003F5439">
      <w:pPr>
        <w:pStyle w:val="Normalparatextwithnumbers"/>
      </w:pPr>
      <w:r>
        <w:t>Subse</w:t>
      </w:r>
      <w:r w:rsidR="00E04499">
        <w:t>ctions 12</w:t>
      </w:r>
      <w:proofErr w:type="gramStart"/>
      <w:r w:rsidR="00E04499">
        <w:t>AC(</w:t>
      </w:r>
      <w:proofErr w:type="gramEnd"/>
      <w:r w:rsidR="00E04499">
        <w:t xml:space="preserve">2) to 12AC(4) of the ASIC Act </w:t>
      </w:r>
      <w:r w:rsidR="005333E2">
        <w:t xml:space="preserve">provide that </w:t>
      </w:r>
      <w:r w:rsidR="00BF1A4C">
        <w:t xml:space="preserve">a proceeding involving </w:t>
      </w:r>
      <w:r w:rsidR="003D0D05">
        <w:t xml:space="preserve">conduct outside of Australia </w:t>
      </w:r>
      <w:r w:rsidR="005333E2">
        <w:t xml:space="preserve">may only proceed with the consent of the Minister. This </w:t>
      </w:r>
      <w:r w:rsidR="000D0BD8">
        <w:t>mirror</w:t>
      </w:r>
      <w:r w:rsidR="005333E2">
        <w:t>s</w:t>
      </w:r>
      <w:r w:rsidR="000D0BD8">
        <w:t xml:space="preserve"> </w:t>
      </w:r>
      <w:r w:rsidR="00A04AAA">
        <w:t xml:space="preserve">former </w:t>
      </w:r>
      <w:r w:rsidR="004A51D3">
        <w:t>subsections 5(3), (4) and (5)</w:t>
      </w:r>
      <w:r w:rsidR="000E7B33">
        <w:t xml:space="preserve"> in the CCA. </w:t>
      </w:r>
    </w:p>
    <w:p w14:paraId="6CD73EFC" w14:textId="78E132CD" w:rsidR="0086689D" w:rsidRDefault="000E7B33" w:rsidP="003F5439">
      <w:pPr>
        <w:pStyle w:val="Normalparatextwithnumbers"/>
      </w:pPr>
      <w:r>
        <w:t>Th</w:t>
      </w:r>
      <w:r w:rsidR="005E276A">
        <w:t>e analogous provisions in the CCA were re</w:t>
      </w:r>
      <w:r w:rsidR="004A51D3">
        <w:t>pealed in 2017</w:t>
      </w:r>
      <w:r w:rsidR="00C64442">
        <w:t xml:space="preserve"> following recommendations made by the Harper Review, </w:t>
      </w:r>
      <w:r w:rsidR="00CC2CAA">
        <w:t xml:space="preserve">which found the </w:t>
      </w:r>
      <w:r w:rsidR="009D6A9E">
        <w:t xml:space="preserve">requirement for Ministerial </w:t>
      </w:r>
      <w:r w:rsidR="00852061">
        <w:t xml:space="preserve">consent represented unnecessary </w:t>
      </w:r>
      <w:r w:rsidR="003C71E7">
        <w:t>red tape</w:t>
      </w:r>
      <w:r w:rsidR="005D6536">
        <w:t xml:space="preserve"> </w:t>
      </w:r>
      <w:r w:rsidR="00852061">
        <w:t>to private litigants.</w:t>
      </w:r>
    </w:p>
    <w:p w14:paraId="0441C85A" w14:textId="534E834D" w:rsidR="00E3045C" w:rsidRDefault="0001021F" w:rsidP="00A1530E">
      <w:pPr>
        <w:pStyle w:val="Normalparatextwithnumbers"/>
        <w:rPr>
          <w:rStyle w:val="References"/>
        </w:rPr>
      </w:pPr>
      <w:r>
        <w:t>The amendments repeal subsections 12</w:t>
      </w:r>
      <w:proofErr w:type="gramStart"/>
      <w:r>
        <w:t>AC(</w:t>
      </w:r>
      <w:proofErr w:type="gramEnd"/>
      <w:r>
        <w:t>2) to 12AC(4), aligning the ASIC</w:t>
      </w:r>
      <w:r w:rsidR="005D6536">
        <w:t> </w:t>
      </w:r>
      <w:r>
        <w:t>Act with the CC</w:t>
      </w:r>
      <w:r w:rsidR="005D6536">
        <w:t>A</w:t>
      </w:r>
      <w:r w:rsidR="00F545E1">
        <w:t xml:space="preserve"> </w:t>
      </w:r>
      <w:r w:rsidR="005D6536">
        <w:t xml:space="preserve">to </w:t>
      </w:r>
      <w:r w:rsidR="00957508">
        <w:t>reduc</w:t>
      </w:r>
      <w:r w:rsidR="005D6536">
        <w:t>e</w:t>
      </w:r>
      <w:r w:rsidR="00957508">
        <w:t xml:space="preserve"> the burden</w:t>
      </w:r>
      <w:r w:rsidR="005F03F9">
        <w:t xml:space="preserve"> on litigants</w:t>
      </w:r>
      <w:r w:rsidR="00291AFB">
        <w:t xml:space="preserve"> seeking redress</w:t>
      </w:r>
      <w:r w:rsidR="00632B81">
        <w:t xml:space="preserve"> under the ASIC Act.</w:t>
      </w:r>
      <w:r w:rsidR="00A1530E">
        <w:t xml:space="preserve"> </w:t>
      </w:r>
      <w:r w:rsidR="00702677">
        <w:br/>
      </w:r>
      <w:r w:rsidR="004E11BC" w:rsidRPr="00C67084">
        <w:rPr>
          <w:rStyle w:val="References"/>
        </w:rPr>
        <w:t>[</w:t>
      </w:r>
      <w:r w:rsidR="004E11BC" w:rsidRPr="0061237F">
        <w:rPr>
          <w:rStyle w:val="References"/>
        </w:rPr>
        <w:t xml:space="preserve">Schedule </w:t>
      </w:r>
      <w:r w:rsidR="004E11BC">
        <w:rPr>
          <w:rStyle w:val="References"/>
        </w:rPr>
        <w:t>#</w:t>
      </w:r>
      <w:r w:rsidR="004E11BC" w:rsidRPr="0061237F">
        <w:rPr>
          <w:rStyle w:val="References"/>
        </w:rPr>
        <w:t>, item</w:t>
      </w:r>
      <w:r w:rsidR="004E11BC">
        <w:rPr>
          <w:rStyle w:val="References"/>
        </w:rPr>
        <w:t>s 1 and 2</w:t>
      </w:r>
      <w:r w:rsidR="004E11BC" w:rsidRPr="0061237F">
        <w:rPr>
          <w:rStyle w:val="References"/>
        </w:rPr>
        <w:t>,</w:t>
      </w:r>
      <w:r w:rsidR="004E11BC">
        <w:rPr>
          <w:rStyle w:val="References"/>
        </w:rPr>
        <w:t xml:space="preserve"> subsection 12</w:t>
      </w:r>
      <w:proofErr w:type="gramStart"/>
      <w:r w:rsidR="004E11BC">
        <w:rPr>
          <w:rStyle w:val="References"/>
        </w:rPr>
        <w:t>AC(</w:t>
      </w:r>
      <w:proofErr w:type="gramEnd"/>
      <w:r w:rsidR="004E11BC">
        <w:rPr>
          <w:rStyle w:val="References"/>
        </w:rPr>
        <w:t>1) and subsections 12AC(2) to (4</w:t>
      </w:r>
      <w:r w:rsidR="004E11BC" w:rsidRPr="2BA2A5EC">
        <w:rPr>
          <w:rStyle w:val="References"/>
        </w:rPr>
        <w:t>)</w:t>
      </w:r>
      <w:r w:rsidR="6DD410B2" w:rsidRPr="2BA2A5EC">
        <w:rPr>
          <w:rStyle w:val="References"/>
        </w:rPr>
        <w:t xml:space="preserve"> of the ASIC Act</w:t>
      </w:r>
      <w:r w:rsidR="004E11BC" w:rsidRPr="2BA2A5EC">
        <w:rPr>
          <w:rStyle w:val="References"/>
        </w:rPr>
        <w:t xml:space="preserve">] </w:t>
      </w:r>
      <w:r w:rsidR="0061237F" w:rsidRPr="2BA2A5EC">
        <w:rPr>
          <w:rStyle w:val="References"/>
        </w:rPr>
        <w:t xml:space="preserve"> </w:t>
      </w:r>
    </w:p>
    <w:p w14:paraId="0EAB57A1" w14:textId="77777777" w:rsidR="00AC0794" w:rsidRPr="00234F69" w:rsidRDefault="00AC0794" w:rsidP="00AC0794">
      <w:pPr>
        <w:pStyle w:val="Heading4"/>
      </w:pPr>
      <w:r>
        <w:t>Division 2 – Contents of annual financial reports</w:t>
      </w:r>
    </w:p>
    <w:p w14:paraId="78815031" w14:textId="688F1F60" w:rsidR="00F27856" w:rsidRDefault="00F27856" w:rsidP="003F5439">
      <w:pPr>
        <w:pStyle w:val="Normalparatextwithnumbers"/>
      </w:pPr>
      <w:r>
        <w:t xml:space="preserve">Division 2 of Part 1 of Schedule # to the Bill </w:t>
      </w:r>
      <w:r w:rsidR="00677DBE">
        <w:t xml:space="preserve">amends </w:t>
      </w:r>
      <w:r w:rsidR="00120544">
        <w:t>reporting requirements</w:t>
      </w:r>
      <w:r w:rsidR="008D048F">
        <w:t xml:space="preserve"> for public companies</w:t>
      </w:r>
      <w:r w:rsidR="00120544">
        <w:t xml:space="preserve"> in the Corporations Act</w:t>
      </w:r>
      <w:r w:rsidR="005F3BB1">
        <w:t>.</w:t>
      </w:r>
    </w:p>
    <w:p w14:paraId="64C7633A" w14:textId="33AA53B0" w:rsidR="00AC0794" w:rsidRDefault="00AC0794" w:rsidP="003F5439">
      <w:pPr>
        <w:pStyle w:val="Normalparatextwithnumbers"/>
      </w:pPr>
      <w:r>
        <w:t>Subsection 295(3A) of the Corporations Act improves tax transparency by ensuring public companies disclose the tax residency of their subsidiaries in their consolidated entity disclosure statement as part of their annual financial reports. The provisions align these disclosures with income tax return disclosures, to improve multinational tax transparency</w:t>
      </w:r>
      <w:r w:rsidR="005D6536">
        <w:t xml:space="preserve">. The amendments </w:t>
      </w:r>
      <w:r>
        <w:t>apply for financial years commencing on or after 1 July 2024.</w:t>
      </w:r>
    </w:p>
    <w:p w14:paraId="38FF2112" w14:textId="2F5D6AA5" w:rsidR="006E21A7" w:rsidRDefault="003F5439" w:rsidP="003012C5">
      <w:pPr>
        <w:pStyle w:val="Normalparatextwithnumbers"/>
      </w:pPr>
      <w:r>
        <w:t>The amendments clarify the tax residency disclosures required for subsidiaries in the annual financial report. A reporting entity must disclose whether each of its subsidiaries were an Australian tax resident and each foreign jurisdiction for which each of its subsidiaries were a tax resident (if any).</w:t>
      </w:r>
      <w:r w:rsidR="003F5990">
        <w:t xml:space="preserve"> </w:t>
      </w:r>
      <w:r w:rsidR="003012C5">
        <w:br/>
      </w:r>
      <w:r w:rsidR="006E21A7" w:rsidRPr="003F5990">
        <w:rPr>
          <w:rStyle w:val="References"/>
        </w:rPr>
        <w:t>[</w:t>
      </w:r>
      <w:r w:rsidR="006E21A7" w:rsidRPr="003F5439">
        <w:rPr>
          <w:rStyle w:val="References"/>
        </w:rPr>
        <w:t xml:space="preserve">Schedule #, </w:t>
      </w:r>
      <w:proofErr w:type="gramStart"/>
      <w:r w:rsidR="006E21A7" w:rsidRPr="003F5439">
        <w:rPr>
          <w:rStyle w:val="References"/>
        </w:rPr>
        <w:t xml:space="preserve">item </w:t>
      </w:r>
      <w:r w:rsidR="006E21A7">
        <w:rPr>
          <w:rStyle w:val="References"/>
        </w:rPr>
        <w:t> 3</w:t>
      </w:r>
      <w:proofErr w:type="gramEnd"/>
      <w:r w:rsidR="006E21A7" w:rsidRPr="003F5439">
        <w:rPr>
          <w:rStyle w:val="References"/>
        </w:rPr>
        <w:t>, subparagraphs 295(3A)(a)(vi) and (vii) of the Corporations Act</w:t>
      </w:r>
      <w:r w:rsidR="006E21A7" w:rsidRPr="003F5990">
        <w:rPr>
          <w:rStyle w:val="References"/>
        </w:rPr>
        <w:t xml:space="preserve">] </w:t>
      </w:r>
    </w:p>
    <w:p w14:paraId="4698FBD6" w14:textId="77777777" w:rsidR="003F5439" w:rsidRDefault="003F5439" w:rsidP="003F5439">
      <w:pPr>
        <w:pStyle w:val="Normalparatextwithnumbers"/>
      </w:pPr>
      <w:r>
        <w:lastRenderedPageBreak/>
        <w:t xml:space="preserve">For subsidiaries that were a tax resident in Australia and in one or more foreign jurisdictions, reporting entities are required to disclose that they were both an Australian resident under Australian law and a foreign resident under the law of each relevant foreign jurisdiction. These entities will therefore need to disclose that they were an Australian resident and also list the foreign jurisdiction(s) of which they were a resident. </w:t>
      </w:r>
    </w:p>
    <w:p w14:paraId="33378927" w14:textId="15AE17F5" w:rsidR="005C5CD4" w:rsidRDefault="003F5439" w:rsidP="003F5439">
      <w:pPr>
        <w:pStyle w:val="Normalparatextwithnumbers"/>
      </w:pPr>
      <w:r>
        <w:t>Further, the amendments clarify the conditions for when an entity is an Australian resident for the purposes of subsection 295(3A) of the Corporations Act. The term ‘Australian resident’, as defined in subsection 995-1(1) of the ITAA 1997 means a person who is a resident of Australia for the purposes of the ITAA 1936. The definition of ‘resident’ or ‘resident of Australia’ in subsection 6(1) of the ITAA 1936 applies to individuals and companies but does not exten</w:t>
      </w:r>
      <w:r w:rsidR="6A91F13F">
        <w:t>d</w:t>
      </w:r>
      <w:r>
        <w:t xml:space="preserve"> to partnerships and trusts. </w:t>
      </w:r>
    </w:p>
    <w:p w14:paraId="76022CC9" w14:textId="5319B819" w:rsidR="003F5439" w:rsidRDefault="003F5439" w:rsidP="003F5439">
      <w:pPr>
        <w:pStyle w:val="Normalparatextwithnumbers"/>
      </w:pPr>
      <w:r>
        <w:t>Accordingly, paragraphs 295(3</w:t>
      </w:r>
      <w:proofErr w:type="gramStart"/>
      <w:r>
        <w:t>B)(</w:t>
      </w:r>
      <w:proofErr w:type="gramEnd"/>
      <w:r>
        <w:t>b) and (c) clarify that subsidiary partnerships and trusts are covered by the disclosure requirements. They do this by confirming that a partnership and a trust will be an ‘Australian resident’ for the purposes of subsection 295(3A) of the Corporations Act</w:t>
      </w:r>
      <w:r w:rsidR="00935461">
        <w:t>,</w:t>
      </w:r>
      <w:r>
        <w:t xml:space="preserve"> in the following circumstances:</w:t>
      </w:r>
    </w:p>
    <w:p w14:paraId="4C7D1860" w14:textId="77777777" w:rsidR="003F5439" w:rsidRDefault="003F5439" w:rsidP="006C3724">
      <w:pPr>
        <w:pStyle w:val="Dotpoint1"/>
      </w:pPr>
      <w:r>
        <w:t xml:space="preserve">For a partnership: where at least one member of the partnership is an Australian resident (within the meaning of the ITAA 1997) at that time; and </w:t>
      </w:r>
    </w:p>
    <w:p w14:paraId="761CF05D" w14:textId="77777777" w:rsidR="003F5439" w:rsidRDefault="003F5439" w:rsidP="006C3724">
      <w:pPr>
        <w:pStyle w:val="Dotpoint1"/>
      </w:pPr>
      <w:r>
        <w:t>For a trust: where the trust is a resident trust estate (within the meaning of Division 6 of Part III of the ITAA 1936) in relation to the year of income that corresponds to the financial year.</w:t>
      </w:r>
    </w:p>
    <w:p w14:paraId="50307D09" w14:textId="77777777" w:rsidR="00AF04D8" w:rsidRPr="00AF04D8" w:rsidRDefault="003F5439" w:rsidP="00AF04D8">
      <w:pPr>
        <w:pStyle w:val="Normalparatextwithnumbers"/>
        <w:numPr>
          <w:ilvl w:val="0"/>
          <w:numId w:val="0"/>
        </w:numPr>
        <w:ind w:left="709"/>
        <w:rPr>
          <w:rStyle w:val="References"/>
          <w:b w:val="0"/>
          <w:bCs w:val="0"/>
          <w:i w:val="0"/>
          <w:iCs w:val="0"/>
        </w:rPr>
      </w:pPr>
      <w:r w:rsidRPr="003F5439">
        <w:rPr>
          <w:rStyle w:val="References"/>
        </w:rPr>
        <w:t xml:space="preserve">[Schedule #, item </w:t>
      </w:r>
      <w:r w:rsidR="1DDC7F66" w:rsidRPr="03223209">
        <w:rPr>
          <w:rStyle w:val="References"/>
        </w:rPr>
        <w:t>4</w:t>
      </w:r>
      <w:r w:rsidRPr="003F5439">
        <w:rPr>
          <w:rStyle w:val="References"/>
        </w:rPr>
        <w:t>, subsection 295(3B) of the Corporations Act]</w:t>
      </w:r>
    </w:p>
    <w:p w14:paraId="51938D16" w14:textId="782F0DDB" w:rsidR="00F677B7" w:rsidRDefault="003F5439" w:rsidP="003F5439">
      <w:pPr>
        <w:pStyle w:val="Normalparatextwithnumbers"/>
      </w:pPr>
      <w:r>
        <w:t>The definitions in paragraphs 295(3</w:t>
      </w:r>
      <w:proofErr w:type="gramStart"/>
      <w:r>
        <w:t>B)(</w:t>
      </w:r>
      <w:proofErr w:type="gramEnd"/>
      <w:r>
        <w:t xml:space="preserve">b) and (c) of the Corporations Act refer to tax residency definitions in the ITAA 1997 and the ITAA 1936, allowing reporting entities to rely on their existing income tax reporting obligations to complete these disclosures. </w:t>
      </w:r>
    </w:p>
    <w:p w14:paraId="1ED0CDE7" w14:textId="102B109B" w:rsidR="003F5439" w:rsidRDefault="003F5439" w:rsidP="003F5439">
      <w:pPr>
        <w:pStyle w:val="Normalparatextwithnumbers"/>
      </w:pPr>
      <w:r>
        <w:t>Corporate Limited Partnerships, as defined in section 94D of the ITAA 1936, should be reported as Australian resident</w:t>
      </w:r>
      <w:r w:rsidR="00CB0E06">
        <w:t>s</w:t>
      </w:r>
      <w:r>
        <w:t xml:space="preserve"> under paragraph 295(3</w:t>
      </w:r>
      <w:proofErr w:type="gramStart"/>
      <w:r>
        <w:t>B)(</w:t>
      </w:r>
      <w:proofErr w:type="gramEnd"/>
      <w:r>
        <w:t>a) where they are a resident of Australia under section 94T of the ITAA 1936, consistent with income tax return disclosures. Corporate Limited Partnerships are generally referred to as ‘companies’ in the income tax law under section 94J of the ITAA 1936</w:t>
      </w:r>
      <w:r w:rsidR="00F467DB">
        <w:t>,</w:t>
      </w:r>
      <w:r>
        <w:t xml:space="preserve"> and are not included in the definition in paragraph 295(3</w:t>
      </w:r>
      <w:proofErr w:type="gramStart"/>
      <w:r>
        <w:t>B)(</w:t>
      </w:r>
      <w:proofErr w:type="gramEnd"/>
      <w:r>
        <w:t>b) of the Corporations Act. Corporate Limited Partnerships are generally referred to as ‘companies’ in the income tax law under section 94J of the ITAA 1936 and are not included in the definition in paragraph 295(3</w:t>
      </w:r>
      <w:proofErr w:type="gramStart"/>
      <w:r>
        <w:t>B)(</w:t>
      </w:r>
      <w:proofErr w:type="gramEnd"/>
      <w:r>
        <w:t>b) of the Corporations Act. The residency status of other partnerships is to be determined under paragraph 295(3</w:t>
      </w:r>
      <w:proofErr w:type="gramStart"/>
      <w:r>
        <w:t>B)(</w:t>
      </w:r>
      <w:proofErr w:type="gramEnd"/>
      <w:r>
        <w:t xml:space="preserve">b). </w:t>
      </w:r>
    </w:p>
    <w:p w14:paraId="4B77CF6A" w14:textId="710FDDCE" w:rsidR="003F5439" w:rsidRDefault="003F5439" w:rsidP="003F5439">
      <w:pPr>
        <w:pStyle w:val="Normalparatextwithnumbers"/>
      </w:pPr>
      <w:r>
        <w:lastRenderedPageBreak/>
        <w:t>In some circumstances, the concept of tax residency may not apply to a reporting entity’s subsidiary</w:t>
      </w:r>
      <w:r w:rsidR="00C06AB3">
        <w:t>.</w:t>
      </w:r>
      <w:r w:rsidR="0075378D">
        <w:t xml:space="preserve"> </w:t>
      </w:r>
      <w:r w:rsidR="00C06AB3">
        <w:t>F</w:t>
      </w:r>
      <w:r>
        <w:t xml:space="preserve">or example, </w:t>
      </w:r>
      <w:r w:rsidR="00C06AB3">
        <w:t xml:space="preserve">where </w:t>
      </w:r>
      <w:r>
        <w:t xml:space="preserve">the subsidiary is not an Australian resident, and </w:t>
      </w:r>
      <w:r w:rsidR="004263E5">
        <w:t>there is a</w:t>
      </w:r>
      <w:r>
        <w:t xml:space="preserve"> lack of a corporate tax system in the foreign jurisdiction in which the subsidiary is established and operates. In these circumstances, the reporting entity should state that the subsidiary is not an Australian resident </w:t>
      </w:r>
      <w:r w:rsidR="00BF22E4">
        <w:t xml:space="preserve">but </w:t>
      </w:r>
      <w:r>
        <w:t>should not list the relevant foreign jurisdiction for that subsidiary for the purposes of subparagraphs 295(3</w:t>
      </w:r>
      <w:proofErr w:type="gramStart"/>
      <w:r>
        <w:t>A)(</w:t>
      </w:r>
      <w:proofErr w:type="gramEnd"/>
      <w:r>
        <w:t xml:space="preserve">a)(vi) and (vii). This should only arise in limited circumstances where the subsidiary is not an Australian resident under subsection 295(3B) and where the tax residency of other foreign jurisdictions </w:t>
      </w:r>
      <w:proofErr w:type="gramStart"/>
      <w:r>
        <w:t>do</w:t>
      </w:r>
      <w:proofErr w:type="gramEnd"/>
      <w:r>
        <w:t xml:space="preserve"> not apply to the subsidiary as a tax resident of that country. For example, it is currently possible for an entity to be neither an Australian resident nor list any foreign jurisdiction under subparagraphs</w:t>
      </w:r>
      <w:r w:rsidR="007E216A">
        <w:t> </w:t>
      </w:r>
      <w:r>
        <w:t>295(3</w:t>
      </w:r>
      <w:proofErr w:type="gramStart"/>
      <w:r>
        <w:t>A)(</w:t>
      </w:r>
      <w:proofErr w:type="gramEnd"/>
      <w:r>
        <w:t>a)(vi) and (vii)</w:t>
      </w:r>
      <w:r w:rsidR="00D74D53">
        <w:t>,</w:t>
      </w:r>
      <w:r>
        <w:t xml:space="preserve"> where that entity is established and operated in the Cayman Islands. </w:t>
      </w:r>
    </w:p>
    <w:p w14:paraId="619D6B29" w14:textId="3F445CFC" w:rsidR="003F5439" w:rsidRPr="003012C5" w:rsidRDefault="003F5439" w:rsidP="008013EC">
      <w:pPr>
        <w:pStyle w:val="Normalparatextwithnumbers"/>
        <w:rPr>
          <w:rStyle w:val="References"/>
          <w:b w:val="0"/>
          <w:i w:val="0"/>
        </w:rPr>
      </w:pPr>
      <w:r>
        <w:t xml:space="preserve">This amendment applies in relation to annual financial reports for financial years commencing on or after 1 July 2024. This ensures </w:t>
      </w:r>
      <w:r w:rsidR="00D74D53">
        <w:t xml:space="preserve">that </w:t>
      </w:r>
      <w:r>
        <w:t>this amendment will have no retrospective impact, as the first annual report is expected after 30 June 2025. These amendments clarify the technical operation of the existing law</w:t>
      </w:r>
      <w:r w:rsidR="00D74D53">
        <w:t>,</w:t>
      </w:r>
      <w:r>
        <w:t xml:space="preserve"> which supports the policy intention of increased scrutiny on Australian public companies and how they structure their subsidiaries in different jurisdictions (including for tax purposes). This amendment aligns with the Government’s multinational tax integrity commitments. </w:t>
      </w:r>
      <w:r w:rsidR="003012C5">
        <w:br/>
      </w:r>
      <w:r w:rsidRPr="007E216A">
        <w:rPr>
          <w:rStyle w:val="References"/>
        </w:rPr>
        <w:t xml:space="preserve">[Schedule </w:t>
      </w:r>
      <w:r w:rsidR="007A2BB7">
        <w:rPr>
          <w:rStyle w:val="References"/>
        </w:rPr>
        <w:t>#</w:t>
      </w:r>
      <w:r w:rsidRPr="007E216A">
        <w:rPr>
          <w:rStyle w:val="References"/>
        </w:rPr>
        <w:t xml:space="preserve">, item </w:t>
      </w:r>
      <w:r w:rsidR="7782637B" w:rsidRPr="7A57C0BF">
        <w:rPr>
          <w:rStyle w:val="References"/>
        </w:rPr>
        <w:t>5</w:t>
      </w:r>
      <w:r w:rsidRPr="007E216A">
        <w:rPr>
          <w:rStyle w:val="References"/>
        </w:rPr>
        <w:t>, section 1709 of the Corporations Act]</w:t>
      </w:r>
    </w:p>
    <w:p w14:paraId="4168AE62" w14:textId="2656D1D6" w:rsidR="008B771D" w:rsidRDefault="008B771D" w:rsidP="008B771D">
      <w:pPr>
        <w:pStyle w:val="Heading4"/>
      </w:pPr>
      <w:r>
        <w:t>Division 3 – Foreign Acquisitions and Takeovers Act 1975</w:t>
      </w:r>
    </w:p>
    <w:p w14:paraId="6DA80036" w14:textId="6F3AE5A7" w:rsidR="003738E1" w:rsidRDefault="003738E1" w:rsidP="003738E1">
      <w:pPr>
        <w:pStyle w:val="Normalparatextwithnumbers"/>
      </w:pPr>
      <w:r>
        <w:t xml:space="preserve">Division </w:t>
      </w:r>
      <w:r w:rsidR="005A43CC">
        <w:t>3</w:t>
      </w:r>
      <w:r>
        <w:t xml:space="preserve"> of Part 1 of Schedule </w:t>
      </w:r>
      <w:r w:rsidR="005A43CC">
        <w:t>#</w:t>
      </w:r>
      <w:r>
        <w:t xml:space="preserve"> to the Bill amends the FATA to </w:t>
      </w:r>
      <w:r w:rsidR="00B31719">
        <w:t>clarify the</w:t>
      </w:r>
      <w:r>
        <w:t xml:space="preserve"> calculation of penalties for contraventions of subsection 95(4) of the FATA.</w:t>
      </w:r>
    </w:p>
    <w:p w14:paraId="611CFF64" w14:textId="3A172C14" w:rsidR="003738E1" w:rsidRDefault="003738E1" w:rsidP="003738E1">
      <w:pPr>
        <w:pStyle w:val="Normalparatextwithnumbers"/>
      </w:pPr>
      <w:r>
        <w:t xml:space="preserve">Subsection 95(8) </w:t>
      </w:r>
      <w:r w:rsidR="006D36D5">
        <w:t xml:space="preserve">of the FATA </w:t>
      </w:r>
      <w:r>
        <w:t>selects the interest to be used as reference when calculating the maximum civil penalty</w:t>
      </w:r>
      <w:r w:rsidR="009B238C">
        <w:t xml:space="preserve"> applicable</w:t>
      </w:r>
      <w:r>
        <w:t xml:space="preserve"> for </w:t>
      </w:r>
      <w:r w:rsidR="006D36D5">
        <w:t xml:space="preserve">a breach of </w:t>
      </w:r>
      <w:r>
        <w:t>subsections</w:t>
      </w:r>
      <w:r w:rsidR="006D36D5">
        <w:t> </w:t>
      </w:r>
      <w:r>
        <w:t xml:space="preserve">95(1) and 95(4) of the FATA. Subsection 95(1) prohibits temporary residents from holding interests in more than one established dwelling at a time. Subsection 95(4) prohibits foreign residents from acquiring interests in established dwellings. Subsection 95(7) provides that the maximum civil penalty is the greatest of: </w:t>
      </w:r>
    </w:p>
    <w:p w14:paraId="307E8F33" w14:textId="35B4BD9F" w:rsidR="003738E1" w:rsidRDefault="003738E1" w:rsidP="00831FA8">
      <w:pPr>
        <w:pStyle w:val="Dotpoint1"/>
      </w:pPr>
      <w:r>
        <w:t>double the amount of the capital gain that was made or would be made on the disposal of the interest selected by paragraph (8);</w:t>
      </w:r>
      <w:r w:rsidR="009D5FA2">
        <w:t xml:space="preserve"> or</w:t>
      </w:r>
    </w:p>
    <w:p w14:paraId="02485246" w14:textId="77777777" w:rsidR="003738E1" w:rsidRDefault="003738E1" w:rsidP="00831FA8">
      <w:pPr>
        <w:pStyle w:val="Dotpoint1"/>
      </w:pPr>
      <w:r>
        <w:t>50% of the consideration for the acquisition of that interest; or</w:t>
      </w:r>
    </w:p>
    <w:p w14:paraId="2B890A7E" w14:textId="77777777" w:rsidR="003738E1" w:rsidRDefault="003738E1" w:rsidP="00831FA8">
      <w:pPr>
        <w:pStyle w:val="Dotpoint1"/>
      </w:pPr>
      <w:r>
        <w:t>50% of the market value of that interest.</w:t>
      </w:r>
    </w:p>
    <w:p w14:paraId="1D7796B3" w14:textId="7866643F" w:rsidR="002545F4" w:rsidRPr="00831FA8" w:rsidRDefault="002545F4" w:rsidP="002545F4">
      <w:pPr>
        <w:pStyle w:val="Normalparatextwithnumbers"/>
        <w:rPr>
          <w:b/>
          <w:bCs/>
          <w:i/>
          <w:iCs/>
        </w:rPr>
      </w:pPr>
      <w:r>
        <w:t>Th</w:t>
      </w:r>
      <w:r w:rsidR="00DD0006">
        <w:t>e</w:t>
      </w:r>
      <w:r w:rsidR="00840B68">
        <w:t xml:space="preserve"> </w:t>
      </w:r>
      <w:r>
        <w:t>amendment</w:t>
      </w:r>
      <w:r w:rsidR="00840B68">
        <w:t>s</w:t>
      </w:r>
      <w:r>
        <w:t xml:space="preserve"> </w:t>
      </w:r>
      <w:r w:rsidR="00E73C09">
        <w:t>clarif</w:t>
      </w:r>
      <w:r w:rsidR="00840B68">
        <w:t>y</w:t>
      </w:r>
      <w:r w:rsidR="00E73C09">
        <w:t xml:space="preserve"> </w:t>
      </w:r>
      <w:r>
        <w:t xml:space="preserve">the selection of interests with respect to breaches of subsection 95(4), to promote consistency with the contravention provision. As </w:t>
      </w:r>
      <w:r>
        <w:lastRenderedPageBreak/>
        <w:t>the contravention is established by acquisition of an interest, the civil penalty is calculated by reference to the interest which was acquired in contravention of subsection 95(4).</w:t>
      </w:r>
      <w:r>
        <w:br/>
      </w:r>
      <w:r w:rsidRPr="00E3153C">
        <w:rPr>
          <w:rStyle w:val="References"/>
        </w:rPr>
        <w:t xml:space="preserve">[Schedule </w:t>
      </w:r>
      <w:r>
        <w:rPr>
          <w:rStyle w:val="References"/>
        </w:rPr>
        <w:t>#</w:t>
      </w:r>
      <w:r w:rsidRPr="00E3153C">
        <w:rPr>
          <w:rStyle w:val="References"/>
        </w:rPr>
        <w:t xml:space="preserve">, item </w:t>
      </w:r>
      <w:r w:rsidR="4BDA3765" w:rsidRPr="7A099AD6">
        <w:rPr>
          <w:rStyle w:val="References"/>
        </w:rPr>
        <w:t>8</w:t>
      </w:r>
      <w:r w:rsidRPr="00E3153C">
        <w:rPr>
          <w:rStyle w:val="References"/>
        </w:rPr>
        <w:t>, subsection 95(</w:t>
      </w:r>
      <w:r>
        <w:rPr>
          <w:rStyle w:val="References"/>
        </w:rPr>
        <w:t>9</w:t>
      </w:r>
      <w:r w:rsidRPr="00E3153C">
        <w:rPr>
          <w:rStyle w:val="References"/>
        </w:rPr>
        <w:t xml:space="preserve">) of the </w:t>
      </w:r>
      <w:r w:rsidR="00840B68">
        <w:rPr>
          <w:rStyle w:val="References"/>
        </w:rPr>
        <w:t>FATA</w:t>
      </w:r>
      <w:r w:rsidRPr="00E3153C">
        <w:rPr>
          <w:rStyle w:val="References"/>
        </w:rPr>
        <w:t xml:space="preserve">] </w:t>
      </w:r>
    </w:p>
    <w:p w14:paraId="6541E1FA" w14:textId="2901C529" w:rsidR="00DF42F1" w:rsidRDefault="003738E1" w:rsidP="003738E1">
      <w:pPr>
        <w:pStyle w:val="Normalparatextwithnumbers"/>
      </w:pPr>
      <w:r>
        <w:t>T</w:t>
      </w:r>
      <w:r w:rsidR="00840B68">
        <w:t>o avoid doubt, t</w:t>
      </w:r>
      <w:r>
        <w:t>here are no changes to the selection of the interest with respect to breaches of subsection</w:t>
      </w:r>
      <w:r w:rsidR="00840B68">
        <w:t xml:space="preserve"> 95(1) of the FATA</w:t>
      </w:r>
      <w:r>
        <w:t>.</w:t>
      </w:r>
      <w:r w:rsidR="00DF42F1">
        <w:t xml:space="preserve"> </w:t>
      </w:r>
    </w:p>
    <w:p w14:paraId="43644D0E" w14:textId="26335629" w:rsidR="003738E1" w:rsidRDefault="00DF42F1" w:rsidP="003738E1">
      <w:pPr>
        <w:pStyle w:val="Normalparatextwithnumbers"/>
      </w:pPr>
      <w:r>
        <w:t>Subsections 95(7) and 95(8) are amended to clarify that subsection</w:t>
      </w:r>
      <w:r w:rsidR="00840B68">
        <w:t> </w:t>
      </w:r>
      <w:r>
        <w:t>95(8) applies with respect to breaches of subsection 95(1).</w:t>
      </w:r>
      <w:r>
        <w:br/>
      </w:r>
      <w:r w:rsidRPr="00113F45">
        <w:rPr>
          <w:rStyle w:val="References"/>
        </w:rPr>
        <w:t xml:space="preserve">[Schedule </w:t>
      </w:r>
      <w:r>
        <w:rPr>
          <w:rStyle w:val="References"/>
        </w:rPr>
        <w:t>#</w:t>
      </w:r>
      <w:r w:rsidRPr="00113F45">
        <w:rPr>
          <w:rStyle w:val="References"/>
        </w:rPr>
        <w:t xml:space="preserve">, items </w:t>
      </w:r>
      <w:r w:rsidR="7741F7AF" w:rsidRPr="0DF345AE">
        <w:rPr>
          <w:rStyle w:val="References"/>
        </w:rPr>
        <w:t>6 and 7</w:t>
      </w:r>
      <w:r w:rsidRPr="00113F45">
        <w:rPr>
          <w:rStyle w:val="References"/>
        </w:rPr>
        <w:t xml:space="preserve">, </w:t>
      </w:r>
      <w:r w:rsidR="00032786">
        <w:rPr>
          <w:rStyle w:val="References"/>
        </w:rPr>
        <w:t xml:space="preserve">subsections 95(7) and 95(8) of the </w:t>
      </w:r>
      <w:r w:rsidR="00840B68">
        <w:rPr>
          <w:rStyle w:val="References"/>
        </w:rPr>
        <w:t>FATA</w:t>
      </w:r>
      <w:r w:rsidRPr="00113F45">
        <w:rPr>
          <w:rStyle w:val="References"/>
        </w:rPr>
        <w:t xml:space="preserve">] </w:t>
      </w:r>
    </w:p>
    <w:p w14:paraId="5D8534D3" w14:textId="1976803E" w:rsidR="00E3360A" w:rsidRPr="00E9505C" w:rsidRDefault="003738E1" w:rsidP="77558A28">
      <w:pPr>
        <w:pStyle w:val="Normalparatextwithnumbers"/>
        <w:rPr>
          <w:b/>
          <w:bCs/>
          <w:i/>
          <w:iCs/>
        </w:rPr>
      </w:pPr>
      <w:r>
        <w:t>This amendment applies with respect to contraventions of subsection</w:t>
      </w:r>
      <w:r w:rsidR="00C5014B">
        <w:t> </w:t>
      </w:r>
      <w:r>
        <w:t>95(4) on or after the day after Royal Assent.</w:t>
      </w:r>
      <w:r>
        <w:br/>
      </w:r>
      <w:r w:rsidRPr="77558A28">
        <w:rPr>
          <w:rStyle w:val="References"/>
        </w:rPr>
        <w:t xml:space="preserve">[Schedule </w:t>
      </w:r>
      <w:r w:rsidR="003D486D" w:rsidRPr="77558A28">
        <w:rPr>
          <w:rStyle w:val="References"/>
        </w:rPr>
        <w:t>#,</w:t>
      </w:r>
      <w:r w:rsidRPr="77558A28">
        <w:rPr>
          <w:rStyle w:val="References"/>
        </w:rPr>
        <w:t xml:space="preserve"> item </w:t>
      </w:r>
      <w:r w:rsidR="37BA174C" w:rsidRPr="77558A28">
        <w:rPr>
          <w:rStyle w:val="References"/>
        </w:rPr>
        <w:t>9</w:t>
      </w:r>
      <w:r w:rsidR="003D486D" w:rsidRPr="77558A28">
        <w:rPr>
          <w:rStyle w:val="References"/>
        </w:rPr>
        <w:t xml:space="preserve">] </w:t>
      </w:r>
    </w:p>
    <w:p w14:paraId="2BA91342" w14:textId="6394F37C" w:rsidR="00E3360A" w:rsidRDefault="00E3360A" w:rsidP="00E3360A">
      <w:pPr>
        <w:pStyle w:val="Heading4"/>
      </w:pPr>
      <w:r>
        <w:t>Division 4 – Assessable petroleum receipts worked out according to regulations</w:t>
      </w:r>
    </w:p>
    <w:p w14:paraId="6EA31A99" w14:textId="2A5B064F" w:rsidR="005941B0" w:rsidRDefault="005941B0" w:rsidP="005941B0">
      <w:pPr>
        <w:pStyle w:val="Normalparatextwithnumbers"/>
      </w:pPr>
      <w:r>
        <w:t>Division 4 of Part 1 of Schedule #</w:t>
      </w:r>
      <w:r w:rsidR="00C23376">
        <w:t xml:space="preserve"> to the Bill </w:t>
      </w:r>
      <w:r>
        <w:t>amend</w:t>
      </w:r>
      <w:r w:rsidR="00C23376">
        <w:t>s</w:t>
      </w:r>
      <w:r>
        <w:t xml:space="preserve"> section 26 of the PRRTA Act to remove the reference to paragraph 24(1)(e) of the PRRTA Act. </w:t>
      </w:r>
      <w:r w:rsidRPr="002466C1">
        <w:rPr>
          <w:rStyle w:val="References"/>
        </w:rPr>
        <w:t>[Schedule #, item</w:t>
      </w:r>
      <w:r>
        <w:rPr>
          <w:rStyle w:val="References"/>
        </w:rPr>
        <w:t xml:space="preserve"> </w:t>
      </w:r>
      <w:r w:rsidRPr="243FAC41">
        <w:rPr>
          <w:rStyle w:val="References"/>
        </w:rPr>
        <w:t>1</w:t>
      </w:r>
      <w:r w:rsidR="6FA10AB7" w:rsidRPr="243FAC41">
        <w:rPr>
          <w:rStyle w:val="References"/>
        </w:rPr>
        <w:t>0</w:t>
      </w:r>
      <w:r w:rsidRPr="002466C1">
        <w:rPr>
          <w:rStyle w:val="References"/>
        </w:rPr>
        <w:t xml:space="preserve">, section 26 of the </w:t>
      </w:r>
      <w:r>
        <w:rPr>
          <w:rStyle w:val="References"/>
        </w:rPr>
        <w:t>PRRTA Act</w:t>
      </w:r>
      <w:r w:rsidRPr="002466C1">
        <w:rPr>
          <w:rStyle w:val="References"/>
        </w:rPr>
        <w:t xml:space="preserve">] </w:t>
      </w:r>
    </w:p>
    <w:p w14:paraId="02404FE7" w14:textId="6E91E7D7" w:rsidR="005941B0" w:rsidRDefault="005941B0" w:rsidP="005941B0">
      <w:pPr>
        <w:pStyle w:val="Normalparatextwithnumbers"/>
      </w:pPr>
      <w:r>
        <w:t xml:space="preserve">Paragraph 24(1)(e) of the </w:t>
      </w:r>
      <w:r w:rsidR="00993B86">
        <w:t xml:space="preserve">PRRTA </w:t>
      </w:r>
      <w:r>
        <w:t>Act provides that the amount of assessable petroleum receipts derived by a person is worked out in accordance with the regulations in relation to a petroleum project where:</w:t>
      </w:r>
    </w:p>
    <w:p w14:paraId="78460F2E" w14:textId="77777777" w:rsidR="005941B0" w:rsidRDefault="005941B0" w:rsidP="005941B0">
      <w:pPr>
        <w:pStyle w:val="Dotpoint1"/>
      </w:pPr>
      <w:r>
        <w:t>the regulations apply to any sales gas produced from the project petroleum; and</w:t>
      </w:r>
    </w:p>
    <w:p w14:paraId="32C155BE" w14:textId="4EB69CEA" w:rsidR="005941B0" w:rsidRDefault="005941B0" w:rsidP="005941B0">
      <w:pPr>
        <w:pStyle w:val="Dotpoint1"/>
      </w:pPr>
      <w:r>
        <w:t>that sales gas becomes an excluded commodity otherwise than by virtue of being sold or certain other things</w:t>
      </w:r>
      <w:r w:rsidR="001D2611">
        <w:t>.</w:t>
      </w:r>
    </w:p>
    <w:p w14:paraId="3E033882" w14:textId="77777777" w:rsidR="005941B0" w:rsidRDefault="005941B0" w:rsidP="005941B0">
      <w:pPr>
        <w:pStyle w:val="Normalparatextwithnumbers"/>
      </w:pPr>
      <w:r>
        <w:t xml:space="preserve">Section 24 of the PRRTA Regulations then sets out how such persons work out the </w:t>
      </w:r>
      <w:proofErr w:type="gramStart"/>
      <w:r>
        <w:t>amount</w:t>
      </w:r>
      <w:proofErr w:type="gramEnd"/>
      <w:r>
        <w:t xml:space="preserve"> of assessable receipts they derived in relation to a petroleum project.  </w:t>
      </w:r>
    </w:p>
    <w:p w14:paraId="1C9BAEF1" w14:textId="2C9CD00F" w:rsidR="005941B0" w:rsidRDefault="005941B0" w:rsidP="005941B0">
      <w:pPr>
        <w:pStyle w:val="Normalparatextwithnumbers"/>
        <w:numPr>
          <w:ilvl w:val="1"/>
          <w:numId w:val="3"/>
        </w:numPr>
      </w:pPr>
      <w:r>
        <w:t xml:space="preserve">As paragraph 24(1)(e) of the PRRTA Act provides the amount of assessable petroleum receipts derived by a person in relation to a petroleum project in certain cases, the amendment is made to clarify that no apportionment of that amount is required under section 26 of the PRRTA Act. Accordingly, the reference to paragraph 24(1)(e) in section 26 </w:t>
      </w:r>
      <w:r w:rsidR="000A011C">
        <w:t xml:space="preserve">of the PRRTA Act </w:t>
      </w:r>
      <w:r>
        <w:t>is removed.</w:t>
      </w:r>
    </w:p>
    <w:p w14:paraId="05EC0D57" w14:textId="0137F0BF" w:rsidR="00234F69" w:rsidRDefault="005941B0" w:rsidP="00E9505C">
      <w:pPr>
        <w:pStyle w:val="Normalparatextwithnumbers"/>
        <w:numPr>
          <w:ilvl w:val="1"/>
          <w:numId w:val="3"/>
        </w:numPr>
      </w:pPr>
      <w:r>
        <w:t>The amendments apply in relation to a year of tax beginning on or after 1 July 2024.</w:t>
      </w:r>
      <w:r w:rsidR="00F75675">
        <w:br/>
      </w:r>
      <w:r w:rsidRPr="002466C1">
        <w:rPr>
          <w:rStyle w:val="References"/>
        </w:rPr>
        <w:t>[Schedule #, item</w:t>
      </w:r>
      <w:r>
        <w:rPr>
          <w:rStyle w:val="References"/>
        </w:rPr>
        <w:t xml:space="preserve"> </w:t>
      </w:r>
      <w:r w:rsidR="000A011C">
        <w:rPr>
          <w:rStyle w:val="References"/>
        </w:rPr>
        <w:t>11</w:t>
      </w:r>
      <w:r w:rsidRPr="002466C1">
        <w:rPr>
          <w:rStyle w:val="References"/>
        </w:rPr>
        <w:t>]</w:t>
      </w:r>
    </w:p>
    <w:p w14:paraId="6D5A1DFC" w14:textId="5BC2301D" w:rsidR="00A10360" w:rsidRDefault="00A10360" w:rsidP="00A10360">
      <w:pPr>
        <w:pStyle w:val="Heading3"/>
        <w:rPr>
          <w:rFonts w:hint="eastAsia"/>
        </w:rPr>
      </w:pPr>
      <w:r>
        <w:lastRenderedPageBreak/>
        <w:t>Part 2 – Amendments commencing first day of the next quarter</w:t>
      </w:r>
    </w:p>
    <w:p w14:paraId="04966540" w14:textId="6185B197" w:rsidR="00A10360" w:rsidRPr="00A10360" w:rsidRDefault="00A10360" w:rsidP="00A10360">
      <w:pPr>
        <w:pStyle w:val="Heading4"/>
      </w:pPr>
      <w:r>
        <w:t>Division 1 – General class investors</w:t>
      </w:r>
    </w:p>
    <w:p w14:paraId="6D564EA6" w14:textId="11A54FF2" w:rsidR="00E10068" w:rsidRDefault="00E9505C" w:rsidP="00E10068">
      <w:pPr>
        <w:pStyle w:val="Normalparatextwithnumbers"/>
      </w:pPr>
      <w:r>
        <w:t>Division 1 of Part 2 of Schedule # to the Bill amends</w:t>
      </w:r>
      <w:r w:rsidR="00E10068">
        <w:t xml:space="preserve"> the ITAA 1997 to ensure the thin capitalisation rules in Division 820 of that Act operate as intended. </w:t>
      </w:r>
    </w:p>
    <w:p w14:paraId="231430D1" w14:textId="77777777" w:rsidR="00E10068" w:rsidRPr="008152F5" w:rsidRDefault="00E10068" w:rsidP="00E10068">
      <w:pPr>
        <w:pStyle w:val="Normalparatextwithnumbers"/>
      </w:pPr>
      <w:r>
        <w:t xml:space="preserve">Schedule 2 to the </w:t>
      </w:r>
      <w:r w:rsidRPr="00396C07">
        <w:rPr>
          <w:i/>
          <w:iCs/>
        </w:rPr>
        <w:t>Treasury Laws Amendment (Making Multinationals Pay Their Fair Share—Integrity and Transparency) Act 2024</w:t>
      </w:r>
      <w:r>
        <w:t xml:space="preserve"> made several reforms to the thin capitalisation rules in Division 820 of the ITAA 1997. The amendments in Schedule 2 to that Act generally apply</w:t>
      </w:r>
      <w:r>
        <w:rPr>
          <w:color w:val="000000"/>
        </w:rPr>
        <w:t xml:space="preserve"> in relation to assessments for income years starting on or after 1 July 2023. </w:t>
      </w:r>
    </w:p>
    <w:p w14:paraId="58A174CD" w14:textId="5904DAF3" w:rsidR="00E10068" w:rsidRPr="00F33F34" w:rsidRDefault="00E10068" w:rsidP="00E10068">
      <w:pPr>
        <w:pStyle w:val="Normalparatextwithnumbers"/>
      </w:pPr>
      <w:r>
        <w:rPr>
          <w:color w:val="000000"/>
        </w:rPr>
        <w:t xml:space="preserve">As part of the reforms, changes were made to how some entities are categorised under the </w:t>
      </w:r>
      <w:r>
        <w:t>thin capitalisation rules</w:t>
      </w:r>
      <w:r>
        <w:rPr>
          <w:color w:val="000000"/>
        </w:rPr>
        <w:t xml:space="preserve">. However, certain consequential amendments to ensure these entities are correctly categorised were not made. These amendments make these consequential amendments. </w:t>
      </w:r>
    </w:p>
    <w:p w14:paraId="450AC320" w14:textId="77777777" w:rsidR="00E10068" w:rsidRDefault="00E10068" w:rsidP="00E10068">
      <w:pPr>
        <w:pStyle w:val="Normalparatextwithnumbers"/>
      </w:pPr>
      <w:r>
        <w:t>The amendments ensure that associate entities of general class investors are correctly categorised for thin capitalisation purposes. Depending on the case, the amendments ensure that such entities are correctly categorised as either:</w:t>
      </w:r>
    </w:p>
    <w:p w14:paraId="48EC769F" w14:textId="77777777" w:rsidR="00E10068" w:rsidRDefault="00E10068" w:rsidP="00E10068">
      <w:pPr>
        <w:pStyle w:val="Dotpoint1"/>
      </w:pPr>
      <w:r>
        <w:t xml:space="preserve">a general class </w:t>
      </w:r>
      <w:proofErr w:type="gramStart"/>
      <w:r>
        <w:t>investor;</w:t>
      </w:r>
      <w:proofErr w:type="gramEnd"/>
    </w:p>
    <w:p w14:paraId="328F7CFE" w14:textId="77777777" w:rsidR="00E10068" w:rsidRDefault="00E10068" w:rsidP="00E10068">
      <w:pPr>
        <w:pStyle w:val="Dotpoint1"/>
      </w:pPr>
      <w:r>
        <w:t xml:space="preserve">an </w:t>
      </w:r>
      <w:r w:rsidRPr="00575C0C">
        <w:t>outward investing financial entity (non-ADI)</w:t>
      </w:r>
      <w:r>
        <w:t xml:space="preserve">; or </w:t>
      </w:r>
    </w:p>
    <w:p w14:paraId="45BADDD6" w14:textId="77777777" w:rsidR="00E10068" w:rsidRDefault="00E10068" w:rsidP="0076E1A8">
      <w:pPr>
        <w:pStyle w:val="Dotpoint1"/>
        <w:rPr>
          <w:lang w:eastAsia="en-AU"/>
        </w:rPr>
      </w:pPr>
      <w:r w:rsidRPr="0076E1A8">
        <w:rPr>
          <w:lang w:eastAsia="en-AU"/>
        </w:rPr>
        <w:t>an outward investing entity (ADI).</w:t>
      </w:r>
    </w:p>
    <w:p w14:paraId="69C141B7" w14:textId="734FAC4D" w:rsidR="30BD6BA8" w:rsidRPr="00AF04D8" w:rsidRDefault="30BD6BA8" w:rsidP="00AF04D8">
      <w:pPr>
        <w:pStyle w:val="Normalparatextwithnumbers"/>
        <w:numPr>
          <w:ilvl w:val="0"/>
          <w:numId w:val="0"/>
        </w:numPr>
        <w:ind w:left="709"/>
        <w:rPr>
          <w:rStyle w:val="References"/>
        </w:rPr>
      </w:pPr>
      <w:r w:rsidRPr="00AF04D8">
        <w:rPr>
          <w:rStyle w:val="References"/>
        </w:rPr>
        <w:t>[Schedule #, item</w:t>
      </w:r>
      <w:r w:rsidR="5067A32B" w:rsidRPr="00AF04D8">
        <w:rPr>
          <w:rStyle w:val="References"/>
        </w:rPr>
        <w:t xml:space="preserve">s 12, 13 and </w:t>
      </w:r>
      <w:r w:rsidRPr="00AF04D8">
        <w:rPr>
          <w:rStyle w:val="References"/>
        </w:rPr>
        <w:t>14</w:t>
      </w:r>
      <w:r w:rsidR="42E7C3DF" w:rsidRPr="00AF04D8">
        <w:rPr>
          <w:rStyle w:val="References"/>
        </w:rPr>
        <w:t>,</w:t>
      </w:r>
      <w:r w:rsidRPr="00AF04D8">
        <w:rPr>
          <w:rStyle w:val="References"/>
        </w:rPr>
        <w:t xml:space="preserve"> subsection </w:t>
      </w:r>
      <w:r w:rsidR="585D1177" w:rsidRPr="00AF04D8">
        <w:rPr>
          <w:rStyle w:val="References"/>
        </w:rPr>
        <w:t>820-85(2BA), subparagraph 820-300(</w:t>
      </w:r>
      <w:r w:rsidRPr="00AF04D8">
        <w:rPr>
          <w:rStyle w:val="References"/>
        </w:rPr>
        <w:t>2</w:t>
      </w:r>
      <w:r w:rsidR="3DC1D4DD" w:rsidRPr="00AF04D8">
        <w:rPr>
          <w:rStyle w:val="References"/>
        </w:rPr>
        <w:t>AA</w:t>
      </w:r>
      <w:r w:rsidRPr="00AF04D8">
        <w:rPr>
          <w:rStyle w:val="References"/>
        </w:rPr>
        <w:t>) of the ITAA 1997)</w:t>
      </w:r>
    </w:p>
    <w:p w14:paraId="2CDD321C" w14:textId="3ED4C407" w:rsidR="00E10068" w:rsidRDefault="00E10068" w:rsidP="00E10068">
      <w:pPr>
        <w:pStyle w:val="Normalparatextwithnumbers"/>
      </w:pPr>
      <w:r>
        <w:t>Correctly categorising entities ensures they are subject to the appropriate and intended thin capitalisation rules for their category.</w:t>
      </w:r>
    </w:p>
    <w:p w14:paraId="3CD82E12" w14:textId="13FFC549" w:rsidR="00E10068" w:rsidRDefault="00E10068" w:rsidP="00E10068">
      <w:pPr>
        <w:pStyle w:val="Normalparatextwithnumbers"/>
      </w:pPr>
      <w:r>
        <w:t xml:space="preserve">The amendments apply in relation to </w:t>
      </w:r>
      <w:r w:rsidRPr="00B72B83">
        <w:t>income year</w:t>
      </w:r>
      <w:r>
        <w:t>s</w:t>
      </w:r>
      <w:r w:rsidRPr="00B72B83">
        <w:t xml:space="preserve"> starting on or after 1 July 2023</w:t>
      </w:r>
      <w:r>
        <w:t xml:space="preserve">. </w:t>
      </w:r>
      <w:r w:rsidR="00903E9A">
        <w:t>R</w:t>
      </w:r>
      <w:r>
        <w:t>etrospective application</w:t>
      </w:r>
      <w:r w:rsidR="00903E9A">
        <w:t xml:space="preserve"> of the amendments</w:t>
      </w:r>
      <w:r>
        <w:t xml:space="preserve"> is consistent with the application of the</w:t>
      </w:r>
      <w:r w:rsidR="00F5177C">
        <w:t xml:space="preserve"> relevant</w:t>
      </w:r>
      <w:r>
        <w:t xml:space="preserve"> reforms and ensures </w:t>
      </w:r>
      <w:r w:rsidR="00F5177C">
        <w:t xml:space="preserve">that </w:t>
      </w:r>
      <w:r>
        <w:t>the thin capitalisation rules operate as intended.</w:t>
      </w:r>
      <w:r w:rsidR="00B95558">
        <w:t xml:space="preserve"> </w:t>
      </w:r>
      <w:r w:rsidR="002525D7">
        <w:br/>
      </w:r>
      <w:r w:rsidR="00B95558" w:rsidRPr="00AF04D8">
        <w:rPr>
          <w:rStyle w:val="References"/>
        </w:rPr>
        <w:t>[Schedule #, item 15]</w:t>
      </w:r>
    </w:p>
    <w:p w14:paraId="4C6C3078" w14:textId="650D4C6E" w:rsidR="00E10068" w:rsidRDefault="00E10068" w:rsidP="00E10068">
      <w:pPr>
        <w:pStyle w:val="Normalparatextwithnumbers"/>
      </w:pPr>
      <w:r>
        <w:t xml:space="preserve">For completeness, the intended re-categorisation of entities under the recent reforms is set out in </w:t>
      </w:r>
      <w:r w:rsidR="00582ED3">
        <w:t>the</w:t>
      </w:r>
      <w:r>
        <w:t xml:space="preserve"> below</w:t>
      </w:r>
      <w:r w:rsidR="00582ED3">
        <w:t xml:space="preserve"> table</w:t>
      </w:r>
      <w:r>
        <w:t xml:space="preserve">. </w:t>
      </w:r>
    </w:p>
    <w:p w14:paraId="6D8C53D1" w14:textId="7C8D7603" w:rsidR="00E10068" w:rsidRDefault="00BC064E" w:rsidP="00E10068">
      <w:pPr>
        <w:pStyle w:val="TableHeading"/>
      </w:pPr>
      <w:r>
        <w:lastRenderedPageBreak/>
        <w:t>Comparison of categorisations</w:t>
      </w:r>
    </w:p>
    <w:tbl>
      <w:tblPr>
        <w:tblStyle w:val="TableGrid"/>
        <w:tblW w:w="4507" w:type="pct"/>
        <w:tblInd w:w="709" w:type="dxa"/>
        <w:tblLook w:val="04A0" w:firstRow="1" w:lastRow="0" w:firstColumn="1" w:lastColumn="0" w:noHBand="0" w:noVBand="1"/>
      </w:tblPr>
      <w:tblGrid>
        <w:gridCol w:w="3471"/>
        <w:gridCol w:w="3471"/>
      </w:tblGrid>
      <w:tr w:rsidR="00E10068" w14:paraId="77E83570" w14:textId="77777777" w:rsidTr="008E72DB">
        <w:trPr>
          <w:trHeight w:val="493"/>
        </w:trPr>
        <w:tc>
          <w:tcPr>
            <w:tcW w:w="2500" w:type="pct"/>
          </w:tcPr>
          <w:p w14:paraId="3B786C2B" w14:textId="77777777" w:rsidR="00E10068" w:rsidRDefault="00E10068" w:rsidP="008E72DB">
            <w:pPr>
              <w:pStyle w:val="Tableheaderrowtext"/>
            </w:pPr>
            <w:r>
              <w:t>Old categorisation</w:t>
            </w:r>
          </w:p>
        </w:tc>
        <w:tc>
          <w:tcPr>
            <w:tcW w:w="2500" w:type="pct"/>
          </w:tcPr>
          <w:p w14:paraId="15DA6F30" w14:textId="77777777" w:rsidR="00E10068" w:rsidRDefault="00E10068" w:rsidP="008E72DB">
            <w:pPr>
              <w:pStyle w:val="Tableheaderrowtext"/>
            </w:pPr>
            <w:r>
              <w:t>New categorisation</w:t>
            </w:r>
          </w:p>
        </w:tc>
      </w:tr>
      <w:tr w:rsidR="00E10068" w14:paraId="3A6FAC5A" w14:textId="77777777" w:rsidTr="008E72DB">
        <w:trPr>
          <w:trHeight w:val="493"/>
        </w:trPr>
        <w:tc>
          <w:tcPr>
            <w:tcW w:w="2500" w:type="pct"/>
          </w:tcPr>
          <w:p w14:paraId="225701F3" w14:textId="77777777" w:rsidR="00E10068" w:rsidRDefault="00E10068" w:rsidP="008E72DB">
            <w:pPr>
              <w:pStyle w:val="Tabletext"/>
            </w:pPr>
            <w:r w:rsidRPr="001561D8">
              <w:t>outward investor (general)</w:t>
            </w:r>
          </w:p>
        </w:tc>
        <w:tc>
          <w:tcPr>
            <w:tcW w:w="2500" w:type="pct"/>
          </w:tcPr>
          <w:p w14:paraId="7EF28F48" w14:textId="77777777" w:rsidR="00E10068" w:rsidRDefault="00E10068" w:rsidP="008E72DB">
            <w:pPr>
              <w:pStyle w:val="Tabletext"/>
            </w:pPr>
            <w:r>
              <w:t xml:space="preserve">general class investor </w:t>
            </w:r>
          </w:p>
        </w:tc>
      </w:tr>
      <w:tr w:rsidR="00E10068" w14:paraId="3C74B05F" w14:textId="77777777" w:rsidTr="008E72DB">
        <w:trPr>
          <w:trHeight w:val="493"/>
        </w:trPr>
        <w:tc>
          <w:tcPr>
            <w:tcW w:w="2500" w:type="pct"/>
          </w:tcPr>
          <w:p w14:paraId="6933C173" w14:textId="77777777" w:rsidR="00E10068" w:rsidRDefault="00E10068" w:rsidP="008E72DB">
            <w:pPr>
              <w:pStyle w:val="Tabletext"/>
            </w:pPr>
            <w:r w:rsidRPr="00880F24">
              <w:t>outward investor (financial)</w:t>
            </w:r>
          </w:p>
        </w:tc>
        <w:tc>
          <w:tcPr>
            <w:tcW w:w="2500" w:type="pct"/>
          </w:tcPr>
          <w:p w14:paraId="019140EF" w14:textId="77777777" w:rsidR="00E10068" w:rsidRDefault="00E10068" w:rsidP="008E72DB">
            <w:pPr>
              <w:pStyle w:val="Tabletext"/>
            </w:pPr>
            <w:r w:rsidRPr="00575C0C">
              <w:t>outward investing financial entity (non-ADI)</w:t>
            </w:r>
          </w:p>
        </w:tc>
      </w:tr>
      <w:tr w:rsidR="00E10068" w14:paraId="39B4AF62" w14:textId="77777777" w:rsidTr="008E72DB">
        <w:trPr>
          <w:trHeight w:val="493"/>
        </w:trPr>
        <w:tc>
          <w:tcPr>
            <w:tcW w:w="2500" w:type="pct"/>
          </w:tcPr>
          <w:p w14:paraId="639EF20B" w14:textId="77777777" w:rsidR="00E10068" w:rsidRDefault="00E10068" w:rsidP="008E72DB">
            <w:pPr>
              <w:pStyle w:val="Tabletext"/>
            </w:pPr>
            <w:r w:rsidRPr="00035F7D">
              <w:t>inward investment vehicle (general)</w:t>
            </w:r>
          </w:p>
        </w:tc>
        <w:tc>
          <w:tcPr>
            <w:tcW w:w="2500" w:type="pct"/>
          </w:tcPr>
          <w:p w14:paraId="63B88AE0" w14:textId="77777777" w:rsidR="00E10068" w:rsidRDefault="00E10068" w:rsidP="008E72DB">
            <w:pPr>
              <w:pStyle w:val="Tabletext"/>
            </w:pPr>
            <w:r>
              <w:t>general class investor</w:t>
            </w:r>
          </w:p>
        </w:tc>
      </w:tr>
      <w:tr w:rsidR="00E10068" w14:paraId="5D4AD222" w14:textId="77777777" w:rsidTr="008E72DB">
        <w:trPr>
          <w:trHeight w:val="493"/>
        </w:trPr>
        <w:tc>
          <w:tcPr>
            <w:tcW w:w="2500" w:type="pct"/>
          </w:tcPr>
          <w:p w14:paraId="63B90DAE" w14:textId="77777777" w:rsidR="00E10068" w:rsidRDefault="00E10068" w:rsidP="008E72DB">
            <w:pPr>
              <w:pStyle w:val="Tabletext"/>
            </w:pPr>
            <w:r w:rsidRPr="004B5BD8">
              <w:t>inward investment vehicle (financial)</w:t>
            </w:r>
          </w:p>
        </w:tc>
        <w:tc>
          <w:tcPr>
            <w:tcW w:w="2500" w:type="pct"/>
          </w:tcPr>
          <w:p w14:paraId="4D4EA633" w14:textId="77777777" w:rsidR="00E10068" w:rsidRDefault="00E10068" w:rsidP="008E72DB">
            <w:pPr>
              <w:pStyle w:val="Tabletext"/>
            </w:pPr>
            <w:r w:rsidRPr="00A01F43">
              <w:t>inward investment vehicle (financial)</w:t>
            </w:r>
          </w:p>
        </w:tc>
      </w:tr>
      <w:tr w:rsidR="00E10068" w14:paraId="6FBAC90C" w14:textId="77777777" w:rsidTr="008E72DB">
        <w:trPr>
          <w:trHeight w:val="493"/>
        </w:trPr>
        <w:tc>
          <w:tcPr>
            <w:tcW w:w="2500" w:type="pct"/>
          </w:tcPr>
          <w:p w14:paraId="1A6C59DD" w14:textId="77777777" w:rsidR="00E10068" w:rsidRDefault="00E10068" w:rsidP="008E72DB">
            <w:pPr>
              <w:pStyle w:val="Tabletext"/>
            </w:pPr>
            <w:r w:rsidRPr="00645876">
              <w:t>inward investor (general)</w:t>
            </w:r>
          </w:p>
        </w:tc>
        <w:tc>
          <w:tcPr>
            <w:tcW w:w="2500" w:type="pct"/>
          </w:tcPr>
          <w:p w14:paraId="49C04242" w14:textId="77777777" w:rsidR="00E10068" w:rsidRDefault="00E10068" w:rsidP="008E72DB">
            <w:pPr>
              <w:pStyle w:val="Tabletext"/>
            </w:pPr>
            <w:r>
              <w:t>general class investor</w:t>
            </w:r>
          </w:p>
        </w:tc>
      </w:tr>
      <w:tr w:rsidR="00E10068" w14:paraId="28412965" w14:textId="77777777" w:rsidTr="008E72DB">
        <w:trPr>
          <w:trHeight w:val="493"/>
        </w:trPr>
        <w:tc>
          <w:tcPr>
            <w:tcW w:w="2500" w:type="pct"/>
          </w:tcPr>
          <w:p w14:paraId="6BBFC0DA" w14:textId="77777777" w:rsidR="00E10068" w:rsidRPr="00645876" w:rsidRDefault="00E10068" w:rsidP="008E72DB">
            <w:pPr>
              <w:pStyle w:val="Tabletext"/>
            </w:pPr>
            <w:r w:rsidRPr="00176D6A">
              <w:t>inward investor (financial)</w:t>
            </w:r>
          </w:p>
        </w:tc>
        <w:tc>
          <w:tcPr>
            <w:tcW w:w="2500" w:type="pct"/>
          </w:tcPr>
          <w:p w14:paraId="36564FD3" w14:textId="77777777" w:rsidR="00E10068" w:rsidRDefault="00E10068" w:rsidP="008E72DB">
            <w:pPr>
              <w:pStyle w:val="Tabletext"/>
            </w:pPr>
            <w:r w:rsidRPr="004E391F">
              <w:t>inward investor (financial)</w:t>
            </w:r>
          </w:p>
        </w:tc>
      </w:tr>
      <w:tr w:rsidR="00E10068" w14:paraId="6DEEBF62" w14:textId="77777777" w:rsidTr="008E72DB">
        <w:trPr>
          <w:trHeight w:val="493"/>
        </w:trPr>
        <w:tc>
          <w:tcPr>
            <w:tcW w:w="2500" w:type="pct"/>
          </w:tcPr>
          <w:p w14:paraId="66DDD610" w14:textId="77777777" w:rsidR="00E10068" w:rsidRPr="00176D6A" w:rsidRDefault="00E10068" w:rsidP="008E72DB">
            <w:pPr>
              <w:pStyle w:val="Tabletext"/>
            </w:pPr>
            <w:r w:rsidRPr="001A5890">
              <w:t>outward investing entity (ADI)</w:t>
            </w:r>
          </w:p>
        </w:tc>
        <w:tc>
          <w:tcPr>
            <w:tcW w:w="2500" w:type="pct"/>
          </w:tcPr>
          <w:p w14:paraId="676A23DD" w14:textId="77777777" w:rsidR="00E10068" w:rsidRPr="004E391F" w:rsidRDefault="00E10068" w:rsidP="008E72DB">
            <w:pPr>
              <w:pStyle w:val="Tabletext"/>
            </w:pPr>
            <w:r w:rsidRPr="00EE6895">
              <w:t>outward investing entit</w:t>
            </w:r>
            <w:r>
              <w:t>y</w:t>
            </w:r>
            <w:r w:rsidRPr="00EE6895">
              <w:t xml:space="preserve"> (ADI)</w:t>
            </w:r>
          </w:p>
        </w:tc>
      </w:tr>
      <w:tr w:rsidR="00E10068" w14:paraId="17BA832D" w14:textId="77777777" w:rsidTr="008E72DB">
        <w:trPr>
          <w:trHeight w:val="493"/>
        </w:trPr>
        <w:tc>
          <w:tcPr>
            <w:tcW w:w="2500" w:type="pct"/>
          </w:tcPr>
          <w:p w14:paraId="7B30F43B" w14:textId="77777777" w:rsidR="00E10068" w:rsidRPr="00176D6A" w:rsidRDefault="00E10068" w:rsidP="008E72DB">
            <w:pPr>
              <w:pStyle w:val="Tabletext"/>
            </w:pPr>
            <w:r w:rsidRPr="001A5890">
              <w:t>inward investing entity (ADI)</w:t>
            </w:r>
          </w:p>
        </w:tc>
        <w:tc>
          <w:tcPr>
            <w:tcW w:w="2500" w:type="pct"/>
          </w:tcPr>
          <w:p w14:paraId="20166F5A" w14:textId="77777777" w:rsidR="00E10068" w:rsidRPr="004E391F" w:rsidRDefault="00E10068" w:rsidP="008E72DB">
            <w:pPr>
              <w:pStyle w:val="Tabletext"/>
            </w:pPr>
            <w:r w:rsidRPr="00332C69">
              <w:t>inward investing entities (ADI)</w:t>
            </w:r>
          </w:p>
        </w:tc>
      </w:tr>
    </w:tbl>
    <w:p w14:paraId="7E5491BD" w14:textId="1F4B09A8" w:rsidR="00413CE1" w:rsidRPr="00413CE1" w:rsidRDefault="00413CE1" w:rsidP="00413CE1">
      <w:pPr>
        <w:pStyle w:val="Heading3"/>
        <w:rPr>
          <w:rFonts w:hint="eastAsia"/>
        </w:rPr>
      </w:pPr>
      <w:r>
        <w:t>Division 2 – Deductible gift recipients</w:t>
      </w:r>
    </w:p>
    <w:p w14:paraId="5DB9A316" w14:textId="0260DC54" w:rsidR="00D53AED" w:rsidRPr="00D53AED" w:rsidRDefault="00D53AED" w:rsidP="00873094">
      <w:pPr>
        <w:pStyle w:val="Normalparatextwithnumbers"/>
        <w:numPr>
          <w:ilvl w:val="1"/>
          <w:numId w:val="3"/>
        </w:numPr>
      </w:pPr>
      <w:r>
        <w:t xml:space="preserve">Division 2 of Part 2 of Schedule # to the Bill </w:t>
      </w:r>
      <w:r w:rsidR="00EA2F0C">
        <w:t>updates outdated names of organisations listed on the DGR register.</w:t>
      </w:r>
    </w:p>
    <w:p w14:paraId="67D49FD4" w14:textId="6EDE358F" w:rsidR="00926D0E" w:rsidRPr="00926D0E" w:rsidRDefault="00926D0E" w:rsidP="00873094">
      <w:pPr>
        <w:pStyle w:val="Normalparatextwithnumbers"/>
        <w:numPr>
          <w:ilvl w:val="1"/>
          <w:numId w:val="3"/>
        </w:numPr>
      </w:pPr>
      <w:r w:rsidRPr="00E33EA6">
        <w:rPr>
          <w:rFonts w:cstheme="minorHAnsi"/>
        </w:rPr>
        <w:t xml:space="preserve">The income tax law allows taxpayers who make gifts of $2 or more to DGRs to claim </w:t>
      </w:r>
      <w:r>
        <w:rPr>
          <w:rFonts w:cstheme="minorHAnsi"/>
        </w:rPr>
        <w:t>a</w:t>
      </w:r>
      <w:r w:rsidRPr="00E33EA6">
        <w:rPr>
          <w:rFonts w:cstheme="minorHAnsi"/>
        </w:rPr>
        <w:t xml:space="preserve"> deduction. To be a DGR, an organisation must fall within one of the general categories set out in Division 30 of the ITAA 1997 or be listed by name in that Division</w:t>
      </w:r>
      <w:r>
        <w:rPr>
          <w:rFonts w:cstheme="minorHAnsi"/>
        </w:rPr>
        <w:t>.</w:t>
      </w:r>
    </w:p>
    <w:p w14:paraId="371B3F25" w14:textId="012DD975" w:rsidR="0099238F" w:rsidRDefault="000D7DD0" w:rsidP="00873094">
      <w:pPr>
        <w:pStyle w:val="Normalparatextwithnumbers"/>
        <w:numPr>
          <w:ilvl w:val="1"/>
          <w:numId w:val="3"/>
        </w:numPr>
      </w:pPr>
      <w:r>
        <w:t xml:space="preserve">Three organisations are currently listed as DGRs under outdated </w:t>
      </w:r>
      <w:r w:rsidR="0062737E">
        <w:t>names.</w:t>
      </w:r>
      <w:r>
        <w:t xml:space="preserve"> </w:t>
      </w:r>
      <w:r w:rsidR="007469AF">
        <w:t xml:space="preserve">The amendments </w:t>
      </w:r>
      <w:r w:rsidR="0062737E">
        <w:t xml:space="preserve">make the following changes to </w:t>
      </w:r>
      <w:r w:rsidR="002C3F8E">
        <w:t>address this issue</w:t>
      </w:r>
      <w:r w:rsidR="00BD55B1">
        <w:t>:</w:t>
      </w:r>
    </w:p>
    <w:p w14:paraId="384D011E" w14:textId="7A715217" w:rsidR="00FD1C80" w:rsidRDefault="00FD1C80" w:rsidP="00FD1C80">
      <w:pPr>
        <w:pStyle w:val="Dotpoint1"/>
      </w:pPr>
      <w:r>
        <w:t xml:space="preserve">‘The Royal Society for the Prevention of Cruelty to Animals (South Australia) Incorporated’ </w:t>
      </w:r>
      <w:r w:rsidR="001A6D9E">
        <w:t xml:space="preserve">updated </w:t>
      </w:r>
      <w:r>
        <w:t>to ‘Royal Society for the Prevention of Cruelty to Animals (South Australia) Limited</w:t>
      </w:r>
      <w:proofErr w:type="gramStart"/>
      <w:r>
        <w:t>’;</w:t>
      </w:r>
      <w:proofErr w:type="gramEnd"/>
      <w:r>
        <w:t xml:space="preserve"> </w:t>
      </w:r>
    </w:p>
    <w:p w14:paraId="7D309BCF" w14:textId="05FCA8CD" w:rsidR="00FD1C80" w:rsidRDefault="00FD1C80" w:rsidP="00FD1C80">
      <w:pPr>
        <w:pStyle w:val="Dotpoint1"/>
      </w:pPr>
      <w:r>
        <w:t>‘Alcohol Education and Rehabilitation Foundation Limited</w:t>
      </w:r>
      <w:r w:rsidR="001A6D9E">
        <w:t>’</w:t>
      </w:r>
      <w:r>
        <w:t xml:space="preserve"> </w:t>
      </w:r>
      <w:r w:rsidR="001A6D9E">
        <w:t xml:space="preserve">updated </w:t>
      </w:r>
      <w:r>
        <w:t>to ‘Foundation for Alcohol Research and Education Limited’; and</w:t>
      </w:r>
    </w:p>
    <w:p w14:paraId="4CD65214" w14:textId="6F811C0E" w:rsidR="00FD1C80" w:rsidRDefault="00FD1C80" w:rsidP="00FD1C80">
      <w:pPr>
        <w:pStyle w:val="Dotpoint1"/>
      </w:pPr>
      <w:r>
        <w:t xml:space="preserve">‘The Prince’s Trust Australia Limited’ </w:t>
      </w:r>
      <w:r w:rsidR="001A6D9E">
        <w:t xml:space="preserve">updated </w:t>
      </w:r>
      <w:r>
        <w:t>to ‘The King’s Trust Australia Limited’.</w:t>
      </w:r>
    </w:p>
    <w:p w14:paraId="0F110644" w14:textId="2589E19A" w:rsidR="006475A5" w:rsidRPr="005E66AA" w:rsidRDefault="006475A5" w:rsidP="006475A5">
      <w:pPr>
        <w:pStyle w:val="Dotpoint1"/>
        <w:numPr>
          <w:ilvl w:val="0"/>
          <w:numId w:val="0"/>
        </w:numPr>
        <w:ind w:left="709"/>
        <w:rPr>
          <w:rStyle w:val="References"/>
        </w:rPr>
      </w:pPr>
      <w:r w:rsidRPr="6E20BCEA">
        <w:rPr>
          <w:rStyle w:val="References"/>
        </w:rPr>
        <w:t xml:space="preserve">[Schedule #, items </w:t>
      </w:r>
      <w:proofErr w:type="gramStart"/>
      <w:r w:rsidR="0EA4A11B" w:rsidRPr="6E20BCEA">
        <w:rPr>
          <w:rStyle w:val="References"/>
        </w:rPr>
        <w:t>16</w:t>
      </w:r>
      <w:r w:rsidRPr="6E20BCEA">
        <w:rPr>
          <w:rStyle w:val="References"/>
        </w:rPr>
        <w:t xml:space="preserve"> </w:t>
      </w:r>
      <w:r w:rsidR="005E66AA" w:rsidRPr="6E20BCEA">
        <w:rPr>
          <w:rStyle w:val="References"/>
        </w:rPr>
        <w:t>,</w:t>
      </w:r>
      <w:proofErr w:type="gramEnd"/>
      <w:r w:rsidR="005E66AA" w:rsidRPr="6E20BCEA">
        <w:rPr>
          <w:rStyle w:val="References"/>
        </w:rPr>
        <w:t xml:space="preserve"> </w:t>
      </w:r>
      <w:r w:rsidR="722B999A" w:rsidRPr="6E20BCEA">
        <w:rPr>
          <w:rStyle w:val="References"/>
        </w:rPr>
        <w:t>17</w:t>
      </w:r>
      <w:r w:rsidR="005E66AA" w:rsidRPr="6E20BCEA">
        <w:rPr>
          <w:rStyle w:val="References"/>
        </w:rPr>
        <w:t xml:space="preserve"> and</w:t>
      </w:r>
      <w:r w:rsidRPr="6E20BCEA">
        <w:rPr>
          <w:rStyle w:val="References"/>
        </w:rPr>
        <w:t xml:space="preserve"> </w:t>
      </w:r>
      <w:r w:rsidR="58DEA7B4" w:rsidRPr="6E20BCEA">
        <w:rPr>
          <w:rStyle w:val="References"/>
        </w:rPr>
        <w:t>18</w:t>
      </w:r>
      <w:r w:rsidRPr="6E20BCEA">
        <w:rPr>
          <w:rStyle w:val="References"/>
        </w:rPr>
        <w:t xml:space="preserve">, </w:t>
      </w:r>
      <w:r w:rsidR="007424A4" w:rsidRPr="6E20BCEA">
        <w:rPr>
          <w:rStyle w:val="References"/>
        </w:rPr>
        <w:t>table item</w:t>
      </w:r>
      <w:r w:rsidR="00E24086" w:rsidRPr="6E20BCEA">
        <w:rPr>
          <w:rStyle w:val="References"/>
        </w:rPr>
        <w:t>s</w:t>
      </w:r>
      <w:r w:rsidR="007424A4" w:rsidRPr="6E20BCEA">
        <w:rPr>
          <w:rStyle w:val="References"/>
        </w:rPr>
        <w:t xml:space="preserve"> 4.2.9</w:t>
      </w:r>
      <w:r w:rsidR="00E24086" w:rsidRPr="6E20BCEA">
        <w:rPr>
          <w:rStyle w:val="References"/>
        </w:rPr>
        <w:t xml:space="preserve"> and 4.2.26</w:t>
      </w:r>
      <w:r w:rsidR="007424A4" w:rsidRPr="6E20BCEA">
        <w:rPr>
          <w:rStyle w:val="References"/>
        </w:rPr>
        <w:t xml:space="preserve"> of the table under </w:t>
      </w:r>
      <w:r w:rsidR="00E24086" w:rsidRPr="6E20BCEA">
        <w:rPr>
          <w:rStyle w:val="References"/>
        </w:rPr>
        <w:t xml:space="preserve">subsection 3045(2), </w:t>
      </w:r>
      <w:r w:rsidR="000B37A1" w:rsidRPr="6E20BCEA">
        <w:rPr>
          <w:rStyle w:val="References"/>
        </w:rPr>
        <w:t xml:space="preserve">and table item </w:t>
      </w:r>
      <w:r w:rsidR="009D0B22" w:rsidRPr="6E20BCEA">
        <w:rPr>
          <w:rStyle w:val="References"/>
        </w:rPr>
        <w:t>13.2.20</w:t>
      </w:r>
      <w:r w:rsidR="000B37A1" w:rsidRPr="6E20BCEA">
        <w:rPr>
          <w:rStyle w:val="References"/>
        </w:rPr>
        <w:t xml:space="preserve"> of the table under </w:t>
      </w:r>
      <w:r w:rsidR="009D0B22" w:rsidRPr="6E20BCEA">
        <w:rPr>
          <w:rStyle w:val="References"/>
        </w:rPr>
        <w:t>subsection 30105(2)</w:t>
      </w:r>
      <w:r w:rsidR="00AF04D8">
        <w:rPr>
          <w:rStyle w:val="References"/>
        </w:rPr>
        <w:t xml:space="preserve"> of the ITAA 1997</w:t>
      </w:r>
      <w:r w:rsidRPr="6E20BCEA">
        <w:rPr>
          <w:rStyle w:val="References"/>
        </w:rPr>
        <w:t>]</w:t>
      </w:r>
    </w:p>
    <w:p w14:paraId="6E3BFFC7" w14:textId="3AD7AEAD" w:rsidR="00042E96" w:rsidRPr="00042E96" w:rsidRDefault="70B48944" w:rsidP="2B938EA0">
      <w:pPr>
        <w:pStyle w:val="Normalparatextwithnumbers"/>
        <w:rPr>
          <w:rStyle w:val="References"/>
          <w:b w:val="0"/>
          <w:bCs w:val="0"/>
          <w:i w:val="0"/>
          <w:iCs w:val="0"/>
        </w:rPr>
      </w:pPr>
      <w:r>
        <w:lastRenderedPageBreak/>
        <w:t>Consequential editorial amend</w:t>
      </w:r>
      <w:r w:rsidR="66A715E1">
        <w:t>ments are also made to the index in Division 30 of ITAA 1997</w:t>
      </w:r>
      <w:r w:rsidR="23A0BCC1">
        <w:t xml:space="preserve"> for these DGRs</w:t>
      </w:r>
      <w:r w:rsidR="55112ECC">
        <w:t>.</w:t>
      </w:r>
      <w:r w:rsidR="23A0BCC1">
        <w:t xml:space="preserve"> </w:t>
      </w:r>
      <w:r w:rsidR="00BE1856">
        <w:br/>
      </w:r>
      <w:r w:rsidR="23A0BCC1" w:rsidRPr="2B938EA0">
        <w:rPr>
          <w:rStyle w:val="References"/>
        </w:rPr>
        <w:t xml:space="preserve">[Schedule #, items </w:t>
      </w:r>
      <w:r w:rsidR="6DCA7778" w:rsidRPr="2B938EA0">
        <w:rPr>
          <w:rStyle w:val="References"/>
        </w:rPr>
        <w:t>19</w:t>
      </w:r>
      <w:r w:rsidR="23A0BCC1" w:rsidRPr="2B938EA0">
        <w:rPr>
          <w:rStyle w:val="References"/>
        </w:rPr>
        <w:t xml:space="preserve">, </w:t>
      </w:r>
      <w:r w:rsidR="69025077" w:rsidRPr="2B938EA0">
        <w:rPr>
          <w:rStyle w:val="References"/>
        </w:rPr>
        <w:t>20</w:t>
      </w:r>
      <w:r w:rsidR="23A0BCC1" w:rsidRPr="2B938EA0">
        <w:rPr>
          <w:rStyle w:val="References"/>
        </w:rPr>
        <w:t xml:space="preserve"> and </w:t>
      </w:r>
      <w:r w:rsidR="4105E77C" w:rsidRPr="2B938EA0">
        <w:rPr>
          <w:rStyle w:val="References"/>
        </w:rPr>
        <w:t>21</w:t>
      </w:r>
      <w:r w:rsidR="23A0BCC1" w:rsidRPr="2B938EA0">
        <w:rPr>
          <w:rStyle w:val="References"/>
        </w:rPr>
        <w:t xml:space="preserve">, </w:t>
      </w:r>
      <w:r w:rsidR="079ADC2A" w:rsidRPr="2B938EA0">
        <w:rPr>
          <w:rStyle w:val="References"/>
        </w:rPr>
        <w:t>items 49E</w:t>
      </w:r>
      <w:r w:rsidR="5994529D" w:rsidRPr="2B938EA0">
        <w:rPr>
          <w:rStyle w:val="References"/>
        </w:rPr>
        <w:t xml:space="preserve"> and 64B of the table under section 30-315</w:t>
      </w:r>
      <w:r w:rsidR="00AF04D8">
        <w:rPr>
          <w:rStyle w:val="References"/>
        </w:rPr>
        <w:t xml:space="preserve"> of the ITAA 1997</w:t>
      </w:r>
      <w:r w:rsidR="44F6C1FE" w:rsidRPr="2B938EA0">
        <w:rPr>
          <w:rStyle w:val="References"/>
        </w:rPr>
        <w:t>]</w:t>
      </w:r>
    </w:p>
    <w:p w14:paraId="121481AF" w14:textId="263368F9" w:rsidR="00042E96" w:rsidRDefault="00042E96" w:rsidP="00042E96">
      <w:pPr>
        <w:pStyle w:val="Heading3"/>
        <w:rPr>
          <w:rFonts w:hint="eastAsia"/>
        </w:rPr>
      </w:pPr>
      <w:r>
        <w:t>Part 3 – Amendments with other commencements</w:t>
      </w:r>
    </w:p>
    <w:p w14:paraId="738B846D" w14:textId="7D32407A" w:rsidR="00042E96" w:rsidRPr="00042E96" w:rsidRDefault="00042E96" w:rsidP="00042E96">
      <w:pPr>
        <w:pStyle w:val="Heading3"/>
        <w:rPr>
          <w:rFonts w:hint="eastAsia"/>
        </w:rPr>
      </w:pPr>
      <w:r>
        <w:t xml:space="preserve">Division 1 – </w:t>
      </w:r>
      <w:r w:rsidR="00E9505C">
        <w:t>Declaration of relevant relationships</w:t>
      </w:r>
    </w:p>
    <w:p w14:paraId="473D950F" w14:textId="3004425F" w:rsidR="002C3F8E" w:rsidRDefault="002C3F8E" w:rsidP="00042E96">
      <w:pPr>
        <w:pStyle w:val="Normalparatextwithnumbers"/>
      </w:pPr>
      <w:r>
        <w:t xml:space="preserve">Division 1 of Part 1 of Schedule # to the Bill </w:t>
      </w:r>
      <w:r w:rsidR="003D60C4">
        <w:t xml:space="preserve">amends the Corporations Act to align the requirements </w:t>
      </w:r>
      <w:r w:rsidR="00440C5B">
        <w:t xml:space="preserve">placed on the liquidator of a CCIV </w:t>
      </w:r>
      <w:r w:rsidR="00445F75">
        <w:t xml:space="preserve">under the Corporations Act </w:t>
      </w:r>
      <w:r w:rsidR="00440C5B">
        <w:t xml:space="preserve">with those of </w:t>
      </w:r>
      <w:r w:rsidR="002030F5">
        <w:t xml:space="preserve">liquidators </w:t>
      </w:r>
      <w:r w:rsidR="00445F75">
        <w:t>of companies.</w:t>
      </w:r>
    </w:p>
    <w:p w14:paraId="27DD596B" w14:textId="17BCAF6D" w:rsidR="00042E96" w:rsidRDefault="00042E96" w:rsidP="00042E96">
      <w:pPr>
        <w:pStyle w:val="Normalparatextwithnumbers"/>
      </w:pPr>
      <w:r>
        <w:t xml:space="preserve">Under subsection 60(2) of the </w:t>
      </w:r>
      <w:r w:rsidR="00C159AF">
        <w:t xml:space="preserve">Corporations </w:t>
      </w:r>
      <w:r>
        <w:t xml:space="preserve">Act, liquidators must make a declaration of relevant relationships. However, the effect of the translation rules (in Chapter 8B of the </w:t>
      </w:r>
      <w:r w:rsidR="00434D2A">
        <w:t xml:space="preserve">Corporations </w:t>
      </w:r>
      <w:r>
        <w:t xml:space="preserve">Act) relating to CCIVs mean that a liquidator appointed to a sub-fund of a CCIV is not required to </w:t>
      </w:r>
      <w:r w:rsidR="005D674C">
        <w:t xml:space="preserve">make such a </w:t>
      </w:r>
      <w:r>
        <w:t>declar</w:t>
      </w:r>
      <w:r w:rsidR="005D674C">
        <w:t>ation</w:t>
      </w:r>
      <w:r>
        <w:t xml:space="preserve"> if they have previously been appointed to another sub-fund of the same CCIV</w:t>
      </w:r>
      <w:r w:rsidR="00434D2A">
        <w:t xml:space="preserve">, despite </w:t>
      </w:r>
      <w:r w:rsidR="00C112CE">
        <w:t xml:space="preserve">these relationships </w:t>
      </w:r>
      <w:r w:rsidR="00E416A4">
        <w:t>carrying the same risk of a conflict of interest</w:t>
      </w:r>
      <w:r>
        <w:t>.</w:t>
      </w:r>
    </w:p>
    <w:p w14:paraId="71BC3409" w14:textId="3A711DEE" w:rsidR="00042E96" w:rsidRPr="00427B0A" w:rsidRDefault="003928F1" w:rsidP="00042E96">
      <w:pPr>
        <w:pStyle w:val="Normalparatextwithnumbers"/>
        <w:rPr>
          <w:rStyle w:val="References"/>
        </w:rPr>
      </w:pPr>
      <w:r>
        <w:t xml:space="preserve">To correct this, </w:t>
      </w:r>
      <w:r w:rsidR="005D674C">
        <w:t>the amendments insert</w:t>
      </w:r>
      <w:r w:rsidR="00042E96">
        <w:t xml:space="preserve"> section 1237KA which provides that, for liquidators appointed to sub-funds of CCIVs, the declaration of relevant relationships extends to relationships with other sub</w:t>
      </w:r>
      <w:r w:rsidR="005D674C">
        <w:noBreakHyphen/>
      </w:r>
      <w:r w:rsidR="00042E96">
        <w:t>funds of the same CCIV, and relevant entities with relationships with other sub-funds of the same CCIV.</w:t>
      </w:r>
      <w:r w:rsidR="00042E96">
        <w:br/>
      </w:r>
      <w:r w:rsidR="00042E96" w:rsidRPr="00427B0A">
        <w:rPr>
          <w:rStyle w:val="References"/>
        </w:rPr>
        <w:t xml:space="preserve">[Schedule </w:t>
      </w:r>
      <w:r w:rsidR="005D674C" w:rsidRPr="57F2BA98">
        <w:rPr>
          <w:rStyle w:val="References"/>
        </w:rPr>
        <w:t>#</w:t>
      </w:r>
      <w:r w:rsidR="00042E96" w:rsidRPr="00427B0A">
        <w:rPr>
          <w:rStyle w:val="References"/>
        </w:rPr>
        <w:t xml:space="preserve">, item </w:t>
      </w:r>
      <w:r w:rsidR="0A51C78A" w:rsidRPr="00427B0A">
        <w:rPr>
          <w:rStyle w:val="References"/>
        </w:rPr>
        <w:t>22</w:t>
      </w:r>
      <w:r w:rsidR="00042E96" w:rsidRPr="00427B0A">
        <w:rPr>
          <w:rStyle w:val="References"/>
        </w:rPr>
        <w:t xml:space="preserve">, section 1237KA of the Corporations Act] </w:t>
      </w:r>
    </w:p>
    <w:p w14:paraId="5C253920" w14:textId="556C3A59" w:rsidR="00042E96" w:rsidRDefault="00042E96" w:rsidP="00042E96">
      <w:pPr>
        <w:pStyle w:val="Normalparatextwithnumbers"/>
      </w:pPr>
      <w:r>
        <w:t xml:space="preserve">This </w:t>
      </w:r>
      <w:r w:rsidR="001E7175">
        <w:t>requirement</w:t>
      </w:r>
      <w:r>
        <w:t xml:space="preserve"> applies to declarations of relevant relationships made on or after the commencement of section 1710</w:t>
      </w:r>
      <w:r w:rsidR="00A56FFF">
        <w:t xml:space="preserve"> of the Corporations Act</w:t>
      </w:r>
      <w:r>
        <w:t xml:space="preserve"> </w:t>
      </w:r>
      <w:r w:rsidR="005B4E68">
        <w:t>(</w:t>
      </w:r>
      <w:r>
        <w:t>which is 14 days after Royal Assent</w:t>
      </w:r>
      <w:r w:rsidR="005B4E68">
        <w:t>)</w:t>
      </w:r>
      <w:r>
        <w:t xml:space="preserve">. </w:t>
      </w:r>
      <w:r w:rsidR="005D4D54">
        <w:t>Further,</w:t>
      </w:r>
      <w:r w:rsidR="006C56F1">
        <w:t xml:space="preserve"> a</w:t>
      </w:r>
      <w:r>
        <w:t xml:space="preserve"> liquidator of a sub-fund of a CCIV will be required to amend their declaration of relevant relationships upon commencement</w:t>
      </w:r>
      <w:r w:rsidR="00D83B41">
        <w:t xml:space="preserve"> of section 1710</w:t>
      </w:r>
      <w:r>
        <w:t xml:space="preserve">. The delay in commencement </w:t>
      </w:r>
      <w:r w:rsidR="00A56FFF">
        <w:t xml:space="preserve">provides for a transitional period for </w:t>
      </w:r>
      <w:r>
        <w:t xml:space="preserve">liquidators of sub-funds </w:t>
      </w:r>
      <w:r w:rsidR="0049088A">
        <w:t xml:space="preserve">and gives </w:t>
      </w:r>
      <w:r>
        <w:t>sufficient notice</w:t>
      </w:r>
      <w:r w:rsidR="00730BFF">
        <w:t xml:space="preserve"> of the date</w:t>
      </w:r>
      <w:r>
        <w:t xml:space="preserve"> that their declarations need to be updated.</w:t>
      </w:r>
      <w:r>
        <w:br/>
      </w:r>
      <w:r w:rsidRPr="441F091C">
        <w:rPr>
          <w:rStyle w:val="References"/>
        </w:rPr>
        <w:t xml:space="preserve">[Schedule </w:t>
      </w:r>
      <w:r w:rsidR="00A56FFF" w:rsidRPr="441F091C">
        <w:rPr>
          <w:rStyle w:val="References"/>
        </w:rPr>
        <w:t>#</w:t>
      </w:r>
      <w:r w:rsidRPr="441F091C">
        <w:rPr>
          <w:rStyle w:val="References"/>
        </w:rPr>
        <w:t>, item 2</w:t>
      </w:r>
      <w:r w:rsidR="7FA6000A" w:rsidRPr="441F091C">
        <w:rPr>
          <w:rStyle w:val="References"/>
        </w:rPr>
        <w:t>3</w:t>
      </w:r>
      <w:r w:rsidRPr="441F091C">
        <w:rPr>
          <w:rStyle w:val="References"/>
        </w:rPr>
        <w:t>, section 1710 of the Corporations Act]</w:t>
      </w:r>
      <w:r>
        <w:t xml:space="preserve"> </w:t>
      </w:r>
    </w:p>
    <w:p w14:paraId="70C8AE15" w14:textId="77777777" w:rsidR="00873094" w:rsidRPr="00020288" w:rsidRDefault="00873094" w:rsidP="00AF50CE">
      <w:pPr>
        <w:pStyle w:val="Heading2"/>
        <w:rPr>
          <w:rFonts w:hint="eastAsia"/>
        </w:rPr>
      </w:pPr>
      <w:bookmarkStart w:id="42" w:name="_Toc78193246"/>
      <w:bookmarkStart w:id="43" w:name="_Toc78193403"/>
      <w:bookmarkStart w:id="44" w:name="_Toc78548476"/>
      <w:bookmarkStart w:id="45" w:name="_Toc78549747"/>
      <w:bookmarkStart w:id="46" w:name="_Toc78549791"/>
      <w:r w:rsidRPr="00020288">
        <w:t xml:space="preserve">Commencement, </w:t>
      </w:r>
      <w:r w:rsidRPr="00AF50CE">
        <w:t>application</w:t>
      </w:r>
      <w:r w:rsidRPr="00020288">
        <w:t>, and transitional provisions</w:t>
      </w:r>
    </w:p>
    <w:p w14:paraId="6A16ADAC" w14:textId="77777777" w:rsidR="00C82CD7" w:rsidRDefault="00C82CD7" w:rsidP="008E72DB">
      <w:pPr>
        <w:pStyle w:val="Normalparatextwithnumbers"/>
      </w:pPr>
      <w:r>
        <w:t>Part 1 of Schedule # to the Bill commences on the day after Royal Assent.</w:t>
      </w:r>
    </w:p>
    <w:p w14:paraId="17C2D9F6" w14:textId="2658B013" w:rsidR="00B77D03" w:rsidRDefault="00C82CD7" w:rsidP="00F526C3">
      <w:pPr>
        <w:pStyle w:val="Normalparatextwithnumbers"/>
      </w:pPr>
      <w:r>
        <w:t xml:space="preserve">Part 2 of Schedule # to the Bill commences on the first day of the next quarter after Royal Assent. </w:t>
      </w:r>
      <w:bookmarkEnd w:id="5"/>
      <w:bookmarkEnd w:id="42"/>
      <w:bookmarkEnd w:id="43"/>
      <w:bookmarkEnd w:id="44"/>
      <w:bookmarkEnd w:id="45"/>
      <w:bookmarkEnd w:id="46"/>
    </w:p>
    <w:p w14:paraId="5D776613" w14:textId="11A20843" w:rsidR="001762E1" w:rsidRDefault="00445F75" w:rsidP="001762E1">
      <w:pPr>
        <w:pStyle w:val="Normalparatextwithnumbers"/>
      </w:pPr>
      <w:r>
        <w:lastRenderedPageBreak/>
        <w:t>Part 3 of Schedule # to the Bill commences on the</w:t>
      </w:r>
      <w:r w:rsidR="00427B0A">
        <w:t xml:space="preserve"> day after the end of the period of 14 days beginning on the day after Royal Assent.</w:t>
      </w:r>
    </w:p>
    <w:sectPr w:rsidR="001762E1" w:rsidSect="00000BFC">
      <w:headerReference w:type="even" r:id="rId23"/>
      <w:headerReference w:type="default" r:id="rId24"/>
      <w:footerReference w:type="even" r:id="rId25"/>
      <w:footerReference w:type="default" r:id="rId26"/>
      <w:headerReference w:type="first" r:id="rId27"/>
      <w:footerReference w:type="first" r:id="rId28"/>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195B0" w14:textId="77777777" w:rsidR="00C33305" w:rsidRDefault="00C33305">
      <w:pPr>
        <w:spacing w:before="0" w:after="0"/>
      </w:pPr>
      <w:r>
        <w:separator/>
      </w:r>
    </w:p>
  </w:endnote>
  <w:endnote w:type="continuationSeparator" w:id="0">
    <w:p w14:paraId="4740F25C" w14:textId="77777777" w:rsidR="00C33305" w:rsidRDefault="00C33305">
      <w:pPr>
        <w:spacing w:before="0" w:after="0"/>
      </w:pPr>
      <w:r>
        <w:continuationSeparator/>
      </w:r>
    </w:p>
  </w:endnote>
  <w:endnote w:type="continuationNotice" w:id="1">
    <w:p w14:paraId="5B812ACB" w14:textId="77777777" w:rsidR="00C33305" w:rsidRDefault="00C3330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D400" w14:textId="1DA3C9AA" w:rsidR="007A2DBD" w:rsidRDefault="007A2DBD" w:rsidP="002425D9">
    <w:pPr>
      <w:pStyle w:val="Footer"/>
      <w:ind w:right="360" w:firstLine="360"/>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F576" w14:textId="3FCA4BA6" w:rsidR="002E248F" w:rsidRDefault="002E2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3313" w14:textId="39E5C470" w:rsidR="002E248F" w:rsidRDefault="002E2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1C06" w14:textId="0A9B36A3" w:rsidR="002E248F" w:rsidRDefault="002E24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2E5B" w14:textId="4BFC00BB"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8CD6" w14:textId="75344D51" w:rsidR="002E248F" w:rsidRDefault="002E24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4E5F" w14:textId="1A9652E9" w:rsidR="002E248F" w:rsidRDefault="002E24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EA6C" w14:textId="32372E3D"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4671" w14:textId="54105008" w:rsidR="002E248F" w:rsidRDefault="002E248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BF7F" w14:textId="58103881" w:rsidR="002E248F" w:rsidRDefault="002E2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AAEB2" w14:textId="77777777" w:rsidR="00C33305" w:rsidRDefault="00C33305">
      <w:pPr>
        <w:spacing w:before="0" w:after="0"/>
      </w:pPr>
      <w:r>
        <w:separator/>
      </w:r>
    </w:p>
  </w:footnote>
  <w:footnote w:type="continuationSeparator" w:id="0">
    <w:p w14:paraId="3968CFB5" w14:textId="77777777" w:rsidR="00C33305" w:rsidRDefault="00C33305">
      <w:pPr>
        <w:spacing w:before="0" w:after="0"/>
      </w:pPr>
      <w:r>
        <w:continuationSeparator/>
      </w:r>
    </w:p>
  </w:footnote>
  <w:footnote w:type="continuationNotice" w:id="1">
    <w:p w14:paraId="4B948236" w14:textId="77777777" w:rsidR="00C33305" w:rsidRDefault="00C3330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B84B" w14:textId="2E5C4B6B" w:rsidR="00F64030" w:rsidRDefault="00CA23A3">
    <w:pPr>
      <w:pStyle w:val="Header"/>
    </w:pPr>
    <w:r>
      <w:rPr>
        <w:noProof/>
      </w:rPr>
      <w:pict w14:anchorId="4CFD5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75782" o:spid="_x0000_s1051" type="#_x0000_t136" style="position:absolute;margin-left:0;margin-top:0;width:475.65pt;height:67.95pt;rotation:315;z-index:-25165516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8345" w14:textId="61732A36" w:rsidR="007A2DBD" w:rsidRPr="00A74B1A" w:rsidRDefault="00CA23A3" w:rsidP="00A74B1A">
    <w:pPr>
      <w:pStyle w:val="leftheader"/>
    </w:pPr>
    <w:r>
      <w:rPr>
        <w:noProof/>
      </w:rPr>
      <w:pict w14:anchorId="5A4D4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75791" o:spid="_x0000_s1060" type="#_x0000_t136" style="position:absolute;margin-left:0;margin-top:0;width:475.65pt;height:67.95pt;rotation:315;z-index:-25163673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p w14:paraId="62BEC278" w14:textId="77777777" w:rsidR="00AF04D8" w:rsidRDefault="00AF04D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7751" w14:textId="28FFE6FB" w:rsidR="007A2DBD" w:rsidRPr="00A74B1A" w:rsidRDefault="00CA23A3" w:rsidP="00A74B1A">
    <w:pPr>
      <w:pStyle w:val="rightheader"/>
    </w:pPr>
    <w:r>
      <w:rPr>
        <w:noProof/>
      </w:rPr>
      <w:pict w14:anchorId="06CCF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75792" o:spid="_x0000_s1061" type="#_x0000_t136" style="position:absolute;left:0;text-align:left;margin-left:0;margin-top:0;width:475.65pt;height:67.95pt;rotation:315;z-index:-25163468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fldSimple w:instr="STYLEREF &quot;Bill Name&quot; \* MERGEFORMAT">
      <w:r>
        <w:rPr>
          <w:noProof/>
        </w:rPr>
        <w:t>TBA</w:t>
      </w:r>
    </w:fldSimple>
  </w:p>
  <w:p w14:paraId="4A03EC76" w14:textId="77777777" w:rsidR="00AF04D8" w:rsidRDefault="00AF04D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2062" w14:textId="43DF2E12" w:rsidR="007A2DBD" w:rsidRDefault="00CA23A3" w:rsidP="00622763">
    <w:pPr>
      <w:pStyle w:val="rightheader"/>
    </w:pPr>
    <w:r>
      <w:rPr>
        <w:noProof/>
      </w:rPr>
      <w:pict w14:anchorId="57CBE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75790" o:spid="_x0000_s1059" type="#_x0000_t136" style="position:absolute;left:0;text-align:left;margin-left:0;margin-top:0;width:475.65pt;height:67.95pt;rotation:315;z-index:-25163878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7B87" w14:textId="54C172B7" w:rsidR="00F64030" w:rsidRDefault="00CA23A3">
    <w:pPr>
      <w:pStyle w:val="Header"/>
    </w:pPr>
    <w:r>
      <w:rPr>
        <w:noProof/>
      </w:rPr>
      <w:pict w14:anchorId="3ACC9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75783" o:spid="_x0000_s1052" type="#_x0000_t136" style="position:absolute;margin-left:0;margin-top:0;width:475.65pt;height:67.95pt;rotation:315;z-index:-25165312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F4F5" w14:textId="15046DD4" w:rsidR="007A2DBD" w:rsidRDefault="00CA23A3">
    <w:pPr>
      <w:pStyle w:val="Header"/>
    </w:pPr>
    <w:r>
      <w:rPr>
        <w:noProof/>
      </w:rPr>
      <w:pict w14:anchorId="69257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75781" o:spid="_x0000_s1050" type="#_x0000_t136" style="position:absolute;margin-left:0;margin-top:0;width:475.65pt;height:67.95pt;rotation:315;z-index:-25165721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6865" w14:textId="18CE5B44" w:rsidR="007A2DBD" w:rsidRPr="009106AC" w:rsidRDefault="00CA23A3" w:rsidP="002425D9">
    <w:pPr>
      <w:pStyle w:val="Header"/>
    </w:pPr>
    <w:r>
      <w:rPr>
        <w:noProof/>
      </w:rPr>
      <w:pict w14:anchorId="70CD8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75785" o:spid="_x0000_s1054" type="#_x0000_t136" style="position:absolute;margin-left:0;margin-top:0;width:475.65pt;height:67.95pt;rotation:315;z-index:-25164902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2292" w14:textId="0BFE7D66" w:rsidR="007A2DBD" w:rsidRPr="0070093E" w:rsidRDefault="00CA23A3" w:rsidP="002425D9">
    <w:pPr>
      <w:pStyle w:val="rightheader"/>
      <w:ind w:firstLine="720"/>
      <w:rPr>
        <w:lang w:val="en-US"/>
      </w:rPr>
    </w:pPr>
    <w:r>
      <w:rPr>
        <w:noProof/>
      </w:rPr>
      <w:pict w14:anchorId="349ED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75786" o:spid="_x0000_s1055" type="#_x0000_t136" style="position:absolute;left:0;text-align:left;margin-left:0;margin-top:0;width:475.65pt;height:67.95pt;rotation:315;z-index:-25164697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7A2DBD">
      <w:rPr>
        <w:lang w:val="en-US"/>
      </w:rPr>
      <w:t>(</w:t>
    </w:r>
    <w:r w:rsidR="007A2DBD">
      <w:rPr>
        <w:lang w:val="en-US"/>
      </w:rPr>
      <w:fldChar w:fldCharType="begin"/>
    </w:r>
    <w:r w:rsidR="007A2DBD">
      <w:rPr>
        <w:lang w:val="en-US"/>
      </w:rPr>
      <w:instrText xml:space="preserve"> STYLEREF  ChapterNameOnly  \* MERGEFORMAT </w:instrText>
    </w:r>
    <w:r w:rsidR="007A2DBD">
      <w:rPr>
        <w:lang w:val="en-US"/>
      </w:rPr>
      <w:fldChar w:fldCharType="separate"/>
    </w:r>
    <w:r w:rsidR="007E7133">
      <w:rPr>
        <w:b/>
        <w:bCs/>
        <w:noProof/>
        <w:lang w:val="en-US"/>
      </w:rPr>
      <w:t>Error! Use the Home tab to apply ChapterNameOnly to the text that you want to appear here.</w:t>
    </w:r>
    <w:r w:rsidR="007A2DBD">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F4BA" w14:textId="17DFC789" w:rsidR="007A2DBD" w:rsidRDefault="00CA23A3">
    <w:pPr>
      <w:pStyle w:val="Header"/>
    </w:pPr>
    <w:r>
      <w:rPr>
        <w:noProof/>
      </w:rPr>
      <w:pict w14:anchorId="29CC2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75784" o:spid="_x0000_s1053" type="#_x0000_t136" style="position:absolute;margin-left:0;margin-top:0;width:475.65pt;height:67.95pt;rotation:315;z-index:-25165107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11C0" w14:textId="433C7E32" w:rsidR="007A2DBD" w:rsidRPr="00816825" w:rsidRDefault="00CA23A3" w:rsidP="002425D9">
    <w:pPr>
      <w:pStyle w:val="leftheader"/>
    </w:pPr>
    <w:r>
      <w:rPr>
        <w:noProof/>
      </w:rPr>
      <w:pict w14:anchorId="0BCCF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75788" o:spid="_x0000_s1057" type="#_x0000_t136" style="position:absolute;margin-left:0;margin-top:0;width:475.65pt;height:67.95pt;rotation:315;z-index:-25164288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fldSimple w:instr="STYLEREF  &quot;Heading 1&quot;  \* MERGEFORMAT">
      <w:r w:rsidRPr="00CA23A3">
        <w:rPr>
          <w:noProof/>
          <w:lang w:val="en-US"/>
        </w:rPr>
        <w:t>Glossary</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5FA3E" w14:textId="6B816793" w:rsidR="007A2DBD" w:rsidRPr="00091474" w:rsidRDefault="00CA23A3" w:rsidP="002425D9">
    <w:pPr>
      <w:pStyle w:val="rightheader"/>
    </w:pPr>
    <w:r>
      <w:rPr>
        <w:noProof/>
      </w:rPr>
      <w:pict w14:anchorId="34ACF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75789" o:spid="_x0000_s1058" type="#_x0000_t136" style="position:absolute;left:0;text-align:left;margin-left:0;margin-top:0;width:475.65pt;height:67.95pt;rotation:315;z-index:-25164083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4E03" w14:textId="385F8228" w:rsidR="007A2DBD" w:rsidRDefault="00CA23A3">
    <w:pPr>
      <w:pStyle w:val="Header"/>
    </w:pPr>
    <w:r>
      <w:rPr>
        <w:noProof/>
      </w:rPr>
      <w:pict w14:anchorId="2A41C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75787" o:spid="_x0000_s1056" type="#_x0000_t136" style="position:absolute;margin-left:0;margin-top:0;width:475.65pt;height:67.95pt;rotation:315;z-index:-25164492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39469820"/>
    <w:styleLink w:val="Chapternumbering"/>
    <w:lvl w:ilvl="0">
      <w:start w:val="1"/>
      <w:numFmt w:val="decimal"/>
      <w:pStyle w:val="Chapterheading"/>
      <w:lvlText w:val="Chapter %1:"/>
      <w:lvlJc w:val="left"/>
      <w:pPr>
        <w:tabs>
          <w:tab w:val="num" w:pos="9357"/>
        </w:tabs>
        <w:ind w:left="638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5D2CC9"/>
    <w:multiLevelType w:val="multilevel"/>
    <w:tmpl w:val="EB40A84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0"/>
  </w:num>
  <w:num w:numId="2" w16cid:durableId="1948731128">
    <w:abstractNumId w:val="11"/>
  </w:num>
  <w:num w:numId="3" w16cid:durableId="182970768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3"/>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7" w16cid:durableId="102290195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4"/>
  </w:num>
  <w:num w:numId="9" w16cid:durableId="911041120">
    <w:abstractNumId w:val="13"/>
  </w:num>
  <w:num w:numId="10" w16cid:durableId="2017876939">
    <w:abstractNumId w:val="7"/>
  </w:num>
  <w:num w:numId="11" w16cid:durableId="679544403">
    <w:abstractNumId w:val="6"/>
  </w:num>
  <w:num w:numId="12" w16cid:durableId="974681568">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11"/>
  </w:num>
  <w:num w:numId="14" w16cid:durableId="1648515472">
    <w:abstractNumId w:val="9"/>
  </w:num>
  <w:num w:numId="15" w16cid:durableId="407070147">
    <w:abstractNumId w:val="10"/>
  </w:num>
  <w:num w:numId="16" w16cid:durableId="1102265301">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4"/>
  </w:num>
  <w:num w:numId="18" w16cid:durableId="680205999">
    <w:abstractNumId w:val="2"/>
  </w:num>
  <w:num w:numId="19" w16cid:durableId="1491290959">
    <w:abstractNumId w:val="8"/>
  </w:num>
  <w:num w:numId="20" w16cid:durableId="1101536722">
    <w:abstractNumId w:val="12"/>
  </w:num>
  <w:num w:numId="21" w16cid:durableId="1399742980">
    <w:abstractNumId w:val="11"/>
  </w:num>
  <w:num w:numId="22" w16cid:durableId="397169042">
    <w:abstractNumId w:val="1"/>
  </w:num>
  <w:num w:numId="23" w16cid:durableId="785856834">
    <w:abstractNumId w:val="5"/>
  </w:num>
  <w:num w:numId="24" w16cid:durableId="992492087">
    <w:abstractNumId w:val="3"/>
  </w:num>
  <w:num w:numId="25" w16cid:durableId="79193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8F"/>
    <w:rsid w:val="00000BFC"/>
    <w:rsid w:val="00002283"/>
    <w:rsid w:val="000051FD"/>
    <w:rsid w:val="00005D32"/>
    <w:rsid w:val="0000645A"/>
    <w:rsid w:val="00006AB0"/>
    <w:rsid w:val="0001021F"/>
    <w:rsid w:val="0001301E"/>
    <w:rsid w:val="000131A3"/>
    <w:rsid w:val="0001477B"/>
    <w:rsid w:val="00017B8A"/>
    <w:rsid w:val="00021DAA"/>
    <w:rsid w:val="000244F8"/>
    <w:rsid w:val="00024B11"/>
    <w:rsid w:val="00027AA9"/>
    <w:rsid w:val="00032786"/>
    <w:rsid w:val="00032DE5"/>
    <w:rsid w:val="00032F33"/>
    <w:rsid w:val="00034BC4"/>
    <w:rsid w:val="0003650B"/>
    <w:rsid w:val="000369CB"/>
    <w:rsid w:val="00040058"/>
    <w:rsid w:val="00041348"/>
    <w:rsid w:val="00041ED9"/>
    <w:rsid w:val="0004201C"/>
    <w:rsid w:val="00042D39"/>
    <w:rsid w:val="00042E96"/>
    <w:rsid w:val="00043718"/>
    <w:rsid w:val="00043977"/>
    <w:rsid w:val="00043E8E"/>
    <w:rsid w:val="00043F32"/>
    <w:rsid w:val="00043FF8"/>
    <w:rsid w:val="0004606A"/>
    <w:rsid w:val="00047FF2"/>
    <w:rsid w:val="00050FA0"/>
    <w:rsid w:val="00052F3B"/>
    <w:rsid w:val="000530B2"/>
    <w:rsid w:val="0005550A"/>
    <w:rsid w:val="000566B3"/>
    <w:rsid w:val="000577D8"/>
    <w:rsid w:val="00060FDC"/>
    <w:rsid w:val="00061598"/>
    <w:rsid w:val="00061D10"/>
    <w:rsid w:val="00061FAF"/>
    <w:rsid w:val="000640F2"/>
    <w:rsid w:val="00065469"/>
    <w:rsid w:val="0006591C"/>
    <w:rsid w:val="0006592C"/>
    <w:rsid w:val="00065A4F"/>
    <w:rsid w:val="000664B5"/>
    <w:rsid w:val="00067713"/>
    <w:rsid w:val="000717F9"/>
    <w:rsid w:val="00076B80"/>
    <w:rsid w:val="00081502"/>
    <w:rsid w:val="00082B3F"/>
    <w:rsid w:val="00083170"/>
    <w:rsid w:val="000835DD"/>
    <w:rsid w:val="0008424D"/>
    <w:rsid w:val="00087F47"/>
    <w:rsid w:val="00087FE9"/>
    <w:rsid w:val="00090546"/>
    <w:rsid w:val="00090A2C"/>
    <w:rsid w:val="00090F93"/>
    <w:rsid w:val="0009184C"/>
    <w:rsid w:val="000931CD"/>
    <w:rsid w:val="00095F1C"/>
    <w:rsid w:val="00096840"/>
    <w:rsid w:val="00096A47"/>
    <w:rsid w:val="000A011C"/>
    <w:rsid w:val="000A14DA"/>
    <w:rsid w:val="000A1D13"/>
    <w:rsid w:val="000A2A4E"/>
    <w:rsid w:val="000A2E9E"/>
    <w:rsid w:val="000A3230"/>
    <w:rsid w:val="000A4E21"/>
    <w:rsid w:val="000A4EB2"/>
    <w:rsid w:val="000A6373"/>
    <w:rsid w:val="000A72DB"/>
    <w:rsid w:val="000B0957"/>
    <w:rsid w:val="000B0AAE"/>
    <w:rsid w:val="000B37A1"/>
    <w:rsid w:val="000B3BC4"/>
    <w:rsid w:val="000B6B3E"/>
    <w:rsid w:val="000B6BB3"/>
    <w:rsid w:val="000B772D"/>
    <w:rsid w:val="000B7D6E"/>
    <w:rsid w:val="000C126E"/>
    <w:rsid w:val="000C295C"/>
    <w:rsid w:val="000C2F90"/>
    <w:rsid w:val="000C3B9B"/>
    <w:rsid w:val="000C608E"/>
    <w:rsid w:val="000C75BA"/>
    <w:rsid w:val="000D0481"/>
    <w:rsid w:val="000D0BD8"/>
    <w:rsid w:val="000D26B1"/>
    <w:rsid w:val="000D3D1D"/>
    <w:rsid w:val="000D40B3"/>
    <w:rsid w:val="000D4CC3"/>
    <w:rsid w:val="000D55E6"/>
    <w:rsid w:val="000D7DD0"/>
    <w:rsid w:val="000E0B5A"/>
    <w:rsid w:val="000E2CAA"/>
    <w:rsid w:val="000E38FC"/>
    <w:rsid w:val="000E4D39"/>
    <w:rsid w:val="000E521B"/>
    <w:rsid w:val="000E591D"/>
    <w:rsid w:val="000E6E69"/>
    <w:rsid w:val="000E7B33"/>
    <w:rsid w:val="000F01C8"/>
    <w:rsid w:val="000F1880"/>
    <w:rsid w:val="000F5474"/>
    <w:rsid w:val="000F6611"/>
    <w:rsid w:val="000F7F02"/>
    <w:rsid w:val="00100C3C"/>
    <w:rsid w:val="00102DE0"/>
    <w:rsid w:val="00103076"/>
    <w:rsid w:val="00105C73"/>
    <w:rsid w:val="00105E85"/>
    <w:rsid w:val="001064C7"/>
    <w:rsid w:val="00106FDC"/>
    <w:rsid w:val="0011211E"/>
    <w:rsid w:val="00113A79"/>
    <w:rsid w:val="00113F45"/>
    <w:rsid w:val="00115509"/>
    <w:rsid w:val="0011758E"/>
    <w:rsid w:val="001203AC"/>
    <w:rsid w:val="00120544"/>
    <w:rsid w:val="00120E9A"/>
    <w:rsid w:val="00121AAF"/>
    <w:rsid w:val="001227A2"/>
    <w:rsid w:val="00125A9C"/>
    <w:rsid w:val="00127503"/>
    <w:rsid w:val="00130D91"/>
    <w:rsid w:val="00132EB0"/>
    <w:rsid w:val="0013352D"/>
    <w:rsid w:val="00133CA0"/>
    <w:rsid w:val="001374B8"/>
    <w:rsid w:val="00137738"/>
    <w:rsid w:val="00141701"/>
    <w:rsid w:val="0014358E"/>
    <w:rsid w:val="0014405C"/>
    <w:rsid w:val="00146FFC"/>
    <w:rsid w:val="00151662"/>
    <w:rsid w:val="00156422"/>
    <w:rsid w:val="00157FCF"/>
    <w:rsid w:val="00160022"/>
    <w:rsid w:val="00161D92"/>
    <w:rsid w:val="00163457"/>
    <w:rsid w:val="00163692"/>
    <w:rsid w:val="00163BDD"/>
    <w:rsid w:val="00165EAC"/>
    <w:rsid w:val="001661F8"/>
    <w:rsid w:val="00167F36"/>
    <w:rsid w:val="00170865"/>
    <w:rsid w:val="00170C78"/>
    <w:rsid w:val="001741A2"/>
    <w:rsid w:val="001762E1"/>
    <w:rsid w:val="00176652"/>
    <w:rsid w:val="0018183C"/>
    <w:rsid w:val="00181AD1"/>
    <w:rsid w:val="001822A0"/>
    <w:rsid w:val="00185837"/>
    <w:rsid w:val="00186494"/>
    <w:rsid w:val="00186F61"/>
    <w:rsid w:val="00187B69"/>
    <w:rsid w:val="00190616"/>
    <w:rsid w:val="00190D70"/>
    <w:rsid w:val="0019326E"/>
    <w:rsid w:val="00193943"/>
    <w:rsid w:val="0019401B"/>
    <w:rsid w:val="001957C9"/>
    <w:rsid w:val="00195D1C"/>
    <w:rsid w:val="001966F3"/>
    <w:rsid w:val="001A163F"/>
    <w:rsid w:val="001A28DA"/>
    <w:rsid w:val="001A415D"/>
    <w:rsid w:val="001A4E8C"/>
    <w:rsid w:val="001A6D9E"/>
    <w:rsid w:val="001B04AE"/>
    <w:rsid w:val="001B07FA"/>
    <w:rsid w:val="001B0AC6"/>
    <w:rsid w:val="001B0EA5"/>
    <w:rsid w:val="001B1306"/>
    <w:rsid w:val="001B1965"/>
    <w:rsid w:val="001B2AEC"/>
    <w:rsid w:val="001B4724"/>
    <w:rsid w:val="001B64B1"/>
    <w:rsid w:val="001B6CE8"/>
    <w:rsid w:val="001B7E30"/>
    <w:rsid w:val="001C32BF"/>
    <w:rsid w:val="001C3BE1"/>
    <w:rsid w:val="001C3E6B"/>
    <w:rsid w:val="001C5CBF"/>
    <w:rsid w:val="001C63AB"/>
    <w:rsid w:val="001C6487"/>
    <w:rsid w:val="001C7F55"/>
    <w:rsid w:val="001D0024"/>
    <w:rsid w:val="001D02CA"/>
    <w:rsid w:val="001D2584"/>
    <w:rsid w:val="001D2611"/>
    <w:rsid w:val="001D2D23"/>
    <w:rsid w:val="001D65F0"/>
    <w:rsid w:val="001E01BF"/>
    <w:rsid w:val="001E0FF4"/>
    <w:rsid w:val="001E21FE"/>
    <w:rsid w:val="001E28B6"/>
    <w:rsid w:val="001E4783"/>
    <w:rsid w:val="001E6CF7"/>
    <w:rsid w:val="001E6D79"/>
    <w:rsid w:val="001E7175"/>
    <w:rsid w:val="001E7A29"/>
    <w:rsid w:val="001F0309"/>
    <w:rsid w:val="001F03F5"/>
    <w:rsid w:val="001F181E"/>
    <w:rsid w:val="001F1F35"/>
    <w:rsid w:val="001F20D6"/>
    <w:rsid w:val="001F210E"/>
    <w:rsid w:val="001F2E0C"/>
    <w:rsid w:val="001F398E"/>
    <w:rsid w:val="001F5868"/>
    <w:rsid w:val="001F66F2"/>
    <w:rsid w:val="001F670B"/>
    <w:rsid w:val="001F6B93"/>
    <w:rsid w:val="001F76EE"/>
    <w:rsid w:val="002030C7"/>
    <w:rsid w:val="002030F5"/>
    <w:rsid w:val="002035F0"/>
    <w:rsid w:val="0020480D"/>
    <w:rsid w:val="00206AF1"/>
    <w:rsid w:val="002106B8"/>
    <w:rsid w:val="00211377"/>
    <w:rsid w:val="00215F11"/>
    <w:rsid w:val="002166D2"/>
    <w:rsid w:val="002200EA"/>
    <w:rsid w:val="00221010"/>
    <w:rsid w:val="0022113B"/>
    <w:rsid w:val="00221F9B"/>
    <w:rsid w:val="002226B5"/>
    <w:rsid w:val="00224D6D"/>
    <w:rsid w:val="002260AE"/>
    <w:rsid w:val="002261A9"/>
    <w:rsid w:val="00226C62"/>
    <w:rsid w:val="00230C17"/>
    <w:rsid w:val="002331A0"/>
    <w:rsid w:val="0023409D"/>
    <w:rsid w:val="0023459F"/>
    <w:rsid w:val="00234F69"/>
    <w:rsid w:val="00236BD7"/>
    <w:rsid w:val="00240D91"/>
    <w:rsid w:val="002425D9"/>
    <w:rsid w:val="00242B2A"/>
    <w:rsid w:val="00245E88"/>
    <w:rsid w:val="002466C1"/>
    <w:rsid w:val="002476A0"/>
    <w:rsid w:val="0024784F"/>
    <w:rsid w:val="002503E4"/>
    <w:rsid w:val="00250844"/>
    <w:rsid w:val="002525D7"/>
    <w:rsid w:val="002545F4"/>
    <w:rsid w:val="002559F7"/>
    <w:rsid w:val="002562D0"/>
    <w:rsid w:val="00260329"/>
    <w:rsid w:val="00260378"/>
    <w:rsid w:val="00260B8B"/>
    <w:rsid w:val="0026199F"/>
    <w:rsid w:val="002626EF"/>
    <w:rsid w:val="00264B81"/>
    <w:rsid w:val="00264ED8"/>
    <w:rsid w:val="00265722"/>
    <w:rsid w:val="00266FED"/>
    <w:rsid w:val="0027000D"/>
    <w:rsid w:val="002704BC"/>
    <w:rsid w:val="00270FFB"/>
    <w:rsid w:val="0027322A"/>
    <w:rsid w:val="0027411E"/>
    <w:rsid w:val="00274D5C"/>
    <w:rsid w:val="002759FA"/>
    <w:rsid w:val="00276753"/>
    <w:rsid w:val="00277E7E"/>
    <w:rsid w:val="00280FA9"/>
    <w:rsid w:val="00281C00"/>
    <w:rsid w:val="00282FD3"/>
    <w:rsid w:val="002872AB"/>
    <w:rsid w:val="00291A06"/>
    <w:rsid w:val="00291AFB"/>
    <w:rsid w:val="00292963"/>
    <w:rsid w:val="002935AC"/>
    <w:rsid w:val="00296BB8"/>
    <w:rsid w:val="00297081"/>
    <w:rsid w:val="00297DE9"/>
    <w:rsid w:val="002A2137"/>
    <w:rsid w:val="002A39C9"/>
    <w:rsid w:val="002A3F96"/>
    <w:rsid w:val="002A52D8"/>
    <w:rsid w:val="002A52E5"/>
    <w:rsid w:val="002A7978"/>
    <w:rsid w:val="002A7C5B"/>
    <w:rsid w:val="002B0B67"/>
    <w:rsid w:val="002B13DC"/>
    <w:rsid w:val="002B1BDE"/>
    <w:rsid w:val="002B1D9E"/>
    <w:rsid w:val="002B3A4E"/>
    <w:rsid w:val="002B3E1D"/>
    <w:rsid w:val="002B5642"/>
    <w:rsid w:val="002B623C"/>
    <w:rsid w:val="002B6F60"/>
    <w:rsid w:val="002C0BED"/>
    <w:rsid w:val="002C219C"/>
    <w:rsid w:val="002C25A8"/>
    <w:rsid w:val="002C3401"/>
    <w:rsid w:val="002C3F8E"/>
    <w:rsid w:val="002C43AC"/>
    <w:rsid w:val="002C61CE"/>
    <w:rsid w:val="002C7566"/>
    <w:rsid w:val="002C78D6"/>
    <w:rsid w:val="002C7CAC"/>
    <w:rsid w:val="002D080A"/>
    <w:rsid w:val="002D1893"/>
    <w:rsid w:val="002D2EB8"/>
    <w:rsid w:val="002D4E18"/>
    <w:rsid w:val="002D60E1"/>
    <w:rsid w:val="002D6D9A"/>
    <w:rsid w:val="002E248F"/>
    <w:rsid w:val="002E4C14"/>
    <w:rsid w:val="002E5D55"/>
    <w:rsid w:val="002F0316"/>
    <w:rsid w:val="002F16A4"/>
    <w:rsid w:val="002F1CB0"/>
    <w:rsid w:val="002F4155"/>
    <w:rsid w:val="002F4B60"/>
    <w:rsid w:val="002F5302"/>
    <w:rsid w:val="002F53E9"/>
    <w:rsid w:val="002F77BD"/>
    <w:rsid w:val="003012C5"/>
    <w:rsid w:val="00301CFC"/>
    <w:rsid w:val="0030312F"/>
    <w:rsid w:val="00305887"/>
    <w:rsid w:val="003063AA"/>
    <w:rsid w:val="003068AB"/>
    <w:rsid w:val="00307425"/>
    <w:rsid w:val="00307CB9"/>
    <w:rsid w:val="003108DE"/>
    <w:rsid w:val="003112FE"/>
    <w:rsid w:val="003121A1"/>
    <w:rsid w:val="003154C0"/>
    <w:rsid w:val="00315D81"/>
    <w:rsid w:val="00323DFC"/>
    <w:rsid w:val="003277E3"/>
    <w:rsid w:val="00331A74"/>
    <w:rsid w:val="00331FCF"/>
    <w:rsid w:val="003321B6"/>
    <w:rsid w:val="00332710"/>
    <w:rsid w:val="00332748"/>
    <w:rsid w:val="003328E1"/>
    <w:rsid w:val="00333630"/>
    <w:rsid w:val="00341628"/>
    <w:rsid w:val="00343215"/>
    <w:rsid w:val="003468A7"/>
    <w:rsid w:val="00346DEB"/>
    <w:rsid w:val="00350BE1"/>
    <w:rsid w:val="003510A8"/>
    <w:rsid w:val="00351274"/>
    <w:rsid w:val="00351BEF"/>
    <w:rsid w:val="00351D4D"/>
    <w:rsid w:val="00351D67"/>
    <w:rsid w:val="003539E1"/>
    <w:rsid w:val="003556BF"/>
    <w:rsid w:val="00356348"/>
    <w:rsid w:val="00356F8F"/>
    <w:rsid w:val="003622D4"/>
    <w:rsid w:val="00363754"/>
    <w:rsid w:val="00366B6D"/>
    <w:rsid w:val="003670BA"/>
    <w:rsid w:val="0036790F"/>
    <w:rsid w:val="003707E9"/>
    <w:rsid w:val="003713D0"/>
    <w:rsid w:val="00372BE9"/>
    <w:rsid w:val="003738E1"/>
    <w:rsid w:val="00374066"/>
    <w:rsid w:val="0037621E"/>
    <w:rsid w:val="0037688E"/>
    <w:rsid w:val="00385103"/>
    <w:rsid w:val="003857A3"/>
    <w:rsid w:val="00385CCF"/>
    <w:rsid w:val="00386882"/>
    <w:rsid w:val="00386AE5"/>
    <w:rsid w:val="003870B7"/>
    <w:rsid w:val="00387402"/>
    <w:rsid w:val="00391474"/>
    <w:rsid w:val="003916D1"/>
    <w:rsid w:val="00391E93"/>
    <w:rsid w:val="003928F1"/>
    <w:rsid w:val="003938D9"/>
    <w:rsid w:val="0039391C"/>
    <w:rsid w:val="003952D9"/>
    <w:rsid w:val="003971ED"/>
    <w:rsid w:val="003A0372"/>
    <w:rsid w:val="003A39EE"/>
    <w:rsid w:val="003A541C"/>
    <w:rsid w:val="003B1559"/>
    <w:rsid w:val="003B275A"/>
    <w:rsid w:val="003B4213"/>
    <w:rsid w:val="003B43A1"/>
    <w:rsid w:val="003B4946"/>
    <w:rsid w:val="003B694E"/>
    <w:rsid w:val="003B74EF"/>
    <w:rsid w:val="003C488F"/>
    <w:rsid w:val="003C5CAF"/>
    <w:rsid w:val="003C5EA1"/>
    <w:rsid w:val="003C637C"/>
    <w:rsid w:val="003C6D30"/>
    <w:rsid w:val="003C71E7"/>
    <w:rsid w:val="003C7FFC"/>
    <w:rsid w:val="003D0D05"/>
    <w:rsid w:val="003D20E9"/>
    <w:rsid w:val="003D2197"/>
    <w:rsid w:val="003D2EC7"/>
    <w:rsid w:val="003D4681"/>
    <w:rsid w:val="003D486D"/>
    <w:rsid w:val="003D60C4"/>
    <w:rsid w:val="003D7CA4"/>
    <w:rsid w:val="003E0DE2"/>
    <w:rsid w:val="003E17F9"/>
    <w:rsid w:val="003E1F2C"/>
    <w:rsid w:val="003E21ED"/>
    <w:rsid w:val="003E3295"/>
    <w:rsid w:val="003F0782"/>
    <w:rsid w:val="003F1AD7"/>
    <w:rsid w:val="003F44EA"/>
    <w:rsid w:val="003F538E"/>
    <w:rsid w:val="003F5439"/>
    <w:rsid w:val="003F5990"/>
    <w:rsid w:val="003F6A16"/>
    <w:rsid w:val="00400055"/>
    <w:rsid w:val="00402735"/>
    <w:rsid w:val="00402E4A"/>
    <w:rsid w:val="0040566E"/>
    <w:rsid w:val="0040750F"/>
    <w:rsid w:val="00412E58"/>
    <w:rsid w:val="00413CE1"/>
    <w:rsid w:val="00414017"/>
    <w:rsid w:val="00414B68"/>
    <w:rsid w:val="00415173"/>
    <w:rsid w:val="004155FC"/>
    <w:rsid w:val="00416E44"/>
    <w:rsid w:val="004263E5"/>
    <w:rsid w:val="00426B1C"/>
    <w:rsid w:val="00427B0A"/>
    <w:rsid w:val="00427CBB"/>
    <w:rsid w:val="00427EDF"/>
    <w:rsid w:val="00430A32"/>
    <w:rsid w:val="00431EBC"/>
    <w:rsid w:val="00432511"/>
    <w:rsid w:val="00432F00"/>
    <w:rsid w:val="004340EF"/>
    <w:rsid w:val="004340F0"/>
    <w:rsid w:val="00434730"/>
    <w:rsid w:val="00434D2A"/>
    <w:rsid w:val="00434D69"/>
    <w:rsid w:val="004370BA"/>
    <w:rsid w:val="00437A81"/>
    <w:rsid w:val="00440C5B"/>
    <w:rsid w:val="00441050"/>
    <w:rsid w:val="004411F1"/>
    <w:rsid w:val="004436C3"/>
    <w:rsid w:val="00444352"/>
    <w:rsid w:val="00445F75"/>
    <w:rsid w:val="00447C8B"/>
    <w:rsid w:val="00456555"/>
    <w:rsid w:val="004567C5"/>
    <w:rsid w:val="00456C4F"/>
    <w:rsid w:val="004577D9"/>
    <w:rsid w:val="004603EF"/>
    <w:rsid w:val="00461826"/>
    <w:rsid w:val="00463E0B"/>
    <w:rsid w:val="00465381"/>
    <w:rsid w:val="00466737"/>
    <w:rsid w:val="00467747"/>
    <w:rsid w:val="00470E47"/>
    <w:rsid w:val="00470F94"/>
    <w:rsid w:val="0047419C"/>
    <w:rsid w:val="00474B4A"/>
    <w:rsid w:val="0047593B"/>
    <w:rsid w:val="00475DBD"/>
    <w:rsid w:val="0047606E"/>
    <w:rsid w:val="00477C04"/>
    <w:rsid w:val="004823E5"/>
    <w:rsid w:val="0048287E"/>
    <w:rsid w:val="004842E7"/>
    <w:rsid w:val="00485FD0"/>
    <w:rsid w:val="0049088A"/>
    <w:rsid w:val="004919B5"/>
    <w:rsid w:val="00492729"/>
    <w:rsid w:val="004928C4"/>
    <w:rsid w:val="00493CB0"/>
    <w:rsid w:val="004949B7"/>
    <w:rsid w:val="00494C9F"/>
    <w:rsid w:val="004957EB"/>
    <w:rsid w:val="0049607F"/>
    <w:rsid w:val="00496179"/>
    <w:rsid w:val="00496642"/>
    <w:rsid w:val="00496C21"/>
    <w:rsid w:val="004971E2"/>
    <w:rsid w:val="004A088B"/>
    <w:rsid w:val="004A32E6"/>
    <w:rsid w:val="004A4582"/>
    <w:rsid w:val="004A4A79"/>
    <w:rsid w:val="004A51D3"/>
    <w:rsid w:val="004A5D37"/>
    <w:rsid w:val="004A606D"/>
    <w:rsid w:val="004A7E2A"/>
    <w:rsid w:val="004B1704"/>
    <w:rsid w:val="004B1C70"/>
    <w:rsid w:val="004B1F33"/>
    <w:rsid w:val="004B442F"/>
    <w:rsid w:val="004B58A4"/>
    <w:rsid w:val="004B7868"/>
    <w:rsid w:val="004C1FC5"/>
    <w:rsid w:val="004C6FC1"/>
    <w:rsid w:val="004C7EA7"/>
    <w:rsid w:val="004D53B7"/>
    <w:rsid w:val="004D717B"/>
    <w:rsid w:val="004E11BC"/>
    <w:rsid w:val="004E1208"/>
    <w:rsid w:val="004E130C"/>
    <w:rsid w:val="004E2400"/>
    <w:rsid w:val="004E5F81"/>
    <w:rsid w:val="004E61C3"/>
    <w:rsid w:val="004F06E0"/>
    <w:rsid w:val="004F1391"/>
    <w:rsid w:val="004F1CBA"/>
    <w:rsid w:val="004F22CB"/>
    <w:rsid w:val="004F23C3"/>
    <w:rsid w:val="004F2B9A"/>
    <w:rsid w:val="004F4DAE"/>
    <w:rsid w:val="004F7C15"/>
    <w:rsid w:val="00503BA7"/>
    <w:rsid w:val="00504333"/>
    <w:rsid w:val="00505347"/>
    <w:rsid w:val="005066F5"/>
    <w:rsid w:val="00510763"/>
    <w:rsid w:val="005120C8"/>
    <w:rsid w:val="005123C1"/>
    <w:rsid w:val="00514747"/>
    <w:rsid w:val="0051639E"/>
    <w:rsid w:val="00517D6E"/>
    <w:rsid w:val="005206B5"/>
    <w:rsid w:val="005228C6"/>
    <w:rsid w:val="00522CBF"/>
    <w:rsid w:val="00523678"/>
    <w:rsid w:val="00525D3C"/>
    <w:rsid w:val="005262D1"/>
    <w:rsid w:val="00526438"/>
    <w:rsid w:val="00526E1F"/>
    <w:rsid w:val="00531C67"/>
    <w:rsid w:val="005333A4"/>
    <w:rsid w:val="005333E2"/>
    <w:rsid w:val="0053440A"/>
    <w:rsid w:val="00534AB4"/>
    <w:rsid w:val="00535313"/>
    <w:rsid w:val="005356CB"/>
    <w:rsid w:val="00542299"/>
    <w:rsid w:val="005437D1"/>
    <w:rsid w:val="00545263"/>
    <w:rsid w:val="005515C0"/>
    <w:rsid w:val="00551E17"/>
    <w:rsid w:val="0055263B"/>
    <w:rsid w:val="00555384"/>
    <w:rsid w:val="0055620F"/>
    <w:rsid w:val="00556903"/>
    <w:rsid w:val="00560345"/>
    <w:rsid w:val="00562289"/>
    <w:rsid w:val="0056675C"/>
    <w:rsid w:val="00566DC4"/>
    <w:rsid w:val="00567378"/>
    <w:rsid w:val="005700F4"/>
    <w:rsid w:val="0057163B"/>
    <w:rsid w:val="005743CE"/>
    <w:rsid w:val="00575673"/>
    <w:rsid w:val="00581E2D"/>
    <w:rsid w:val="00582905"/>
    <w:rsid w:val="00582ED3"/>
    <w:rsid w:val="005837A7"/>
    <w:rsid w:val="00584039"/>
    <w:rsid w:val="0059168B"/>
    <w:rsid w:val="00591991"/>
    <w:rsid w:val="00591AE1"/>
    <w:rsid w:val="0059200B"/>
    <w:rsid w:val="0059309D"/>
    <w:rsid w:val="00593F9D"/>
    <w:rsid w:val="005941B0"/>
    <w:rsid w:val="00594B0F"/>
    <w:rsid w:val="00595E9C"/>
    <w:rsid w:val="00597EC4"/>
    <w:rsid w:val="005A1534"/>
    <w:rsid w:val="005A370F"/>
    <w:rsid w:val="005A3AA3"/>
    <w:rsid w:val="005A3D85"/>
    <w:rsid w:val="005A43CC"/>
    <w:rsid w:val="005A4E56"/>
    <w:rsid w:val="005A4E9F"/>
    <w:rsid w:val="005B1725"/>
    <w:rsid w:val="005B1D41"/>
    <w:rsid w:val="005B476F"/>
    <w:rsid w:val="005B4E68"/>
    <w:rsid w:val="005B5B17"/>
    <w:rsid w:val="005B672D"/>
    <w:rsid w:val="005C10D8"/>
    <w:rsid w:val="005C2BD1"/>
    <w:rsid w:val="005C2CA8"/>
    <w:rsid w:val="005C31A9"/>
    <w:rsid w:val="005C5CD4"/>
    <w:rsid w:val="005D0844"/>
    <w:rsid w:val="005D169F"/>
    <w:rsid w:val="005D281A"/>
    <w:rsid w:val="005D3ED8"/>
    <w:rsid w:val="005D4D54"/>
    <w:rsid w:val="005D5F12"/>
    <w:rsid w:val="005D6536"/>
    <w:rsid w:val="005D674C"/>
    <w:rsid w:val="005D7D20"/>
    <w:rsid w:val="005E1542"/>
    <w:rsid w:val="005E276A"/>
    <w:rsid w:val="005E4E00"/>
    <w:rsid w:val="005E66AA"/>
    <w:rsid w:val="005F03F9"/>
    <w:rsid w:val="005F3BB1"/>
    <w:rsid w:val="005F61E3"/>
    <w:rsid w:val="006035B8"/>
    <w:rsid w:val="006042C2"/>
    <w:rsid w:val="006043AA"/>
    <w:rsid w:val="00604D1F"/>
    <w:rsid w:val="006067BA"/>
    <w:rsid w:val="00607080"/>
    <w:rsid w:val="006108AD"/>
    <w:rsid w:val="0061094F"/>
    <w:rsid w:val="0061237F"/>
    <w:rsid w:val="006124B8"/>
    <w:rsid w:val="00614AC9"/>
    <w:rsid w:val="006171AF"/>
    <w:rsid w:val="00622763"/>
    <w:rsid w:val="006235C8"/>
    <w:rsid w:val="00624905"/>
    <w:rsid w:val="0062737E"/>
    <w:rsid w:val="00627CFA"/>
    <w:rsid w:val="00630047"/>
    <w:rsid w:val="00630725"/>
    <w:rsid w:val="006308CB"/>
    <w:rsid w:val="0063104C"/>
    <w:rsid w:val="006310C1"/>
    <w:rsid w:val="00632B81"/>
    <w:rsid w:val="00632DC6"/>
    <w:rsid w:val="006347A6"/>
    <w:rsid w:val="0064027E"/>
    <w:rsid w:val="00641167"/>
    <w:rsid w:val="00641191"/>
    <w:rsid w:val="00641BF5"/>
    <w:rsid w:val="006422F1"/>
    <w:rsid w:val="00642420"/>
    <w:rsid w:val="00643525"/>
    <w:rsid w:val="00645922"/>
    <w:rsid w:val="00646599"/>
    <w:rsid w:val="00646B37"/>
    <w:rsid w:val="006475A5"/>
    <w:rsid w:val="006479AC"/>
    <w:rsid w:val="006508AD"/>
    <w:rsid w:val="006508CB"/>
    <w:rsid w:val="00654D0F"/>
    <w:rsid w:val="00654F5D"/>
    <w:rsid w:val="00657F80"/>
    <w:rsid w:val="00661DB7"/>
    <w:rsid w:val="00661F3F"/>
    <w:rsid w:val="006628E8"/>
    <w:rsid w:val="00664E0C"/>
    <w:rsid w:val="00670934"/>
    <w:rsid w:val="006730FD"/>
    <w:rsid w:val="006733B7"/>
    <w:rsid w:val="006739A1"/>
    <w:rsid w:val="00675FEC"/>
    <w:rsid w:val="00677DBE"/>
    <w:rsid w:val="006800E0"/>
    <w:rsid w:val="00683847"/>
    <w:rsid w:val="006841BB"/>
    <w:rsid w:val="00685C90"/>
    <w:rsid w:val="006912F8"/>
    <w:rsid w:val="00692111"/>
    <w:rsid w:val="00696CE1"/>
    <w:rsid w:val="00697B40"/>
    <w:rsid w:val="006A030C"/>
    <w:rsid w:val="006A16C7"/>
    <w:rsid w:val="006A2BC6"/>
    <w:rsid w:val="006A4033"/>
    <w:rsid w:val="006A5780"/>
    <w:rsid w:val="006A5C6A"/>
    <w:rsid w:val="006B3A6E"/>
    <w:rsid w:val="006B45F3"/>
    <w:rsid w:val="006B70C9"/>
    <w:rsid w:val="006C192F"/>
    <w:rsid w:val="006C3658"/>
    <w:rsid w:val="006C3724"/>
    <w:rsid w:val="006C4005"/>
    <w:rsid w:val="006C40A4"/>
    <w:rsid w:val="006C56F1"/>
    <w:rsid w:val="006C67F6"/>
    <w:rsid w:val="006C70E5"/>
    <w:rsid w:val="006D1467"/>
    <w:rsid w:val="006D1677"/>
    <w:rsid w:val="006D2697"/>
    <w:rsid w:val="006D36D5"/>
    <w:rsid w:val="006D480A"/>
    <w:rsid w:val="006D4D61"/>
    <w:rsid w:val="006D4E6D"/>
    <w:rsid w:val="006D65CA"/>
    <w:rsid w:val="006E0237"/>
    <w:rsid w:val="006E21A7"/>
    <w:rsid w:val="006E5716"/>
    <w:rsid w:val="006E5B4B"/>
    <w:rsid w:val="006E699E"/>
    <w:rsid w:val="006E6F72"/>
    <w:rsid w:val="006F16D1"/>
    <w:rsid w:val="006F741B"/>
    <w:rsid w:val="00701A61"/>
    <w:rsid w:val="00702677"/>
    <w:rsid w:val="0070420A"/>
    <w:rsid w:val="007044D5"/>
    <w:rsid w:val="00705F66"/>
    <w:rsid w:val="007061B7"/>
    <w:rsid w:val="00706F0E"/>
    <w:rsid w:val="007114CC"/>
    <w:rsid w:val="00712978"/>
    <w:rsid w:val="007145E8"/>
    <w:rsid w:val="00716F15"/>
    <w:rsid w:val="007177EF"/>
    <w:rsid w:val="0072217E"/>
    <w:rsid w:val="00724842"/>
    <w:rsid w:val="00725840"/>
    <w:rsid w:val="00727D21"/>
    <w:rsid w:val="00730BFF"/>
    <w:rsid w:val="00730FCC"/>
    <w:rsid w:val="00731463"/>
    <w:rsid w:val="007316F6"/>
    <w:rsid w:val="00731BE4"/>
    <w:rsid w:val="0073326A"/>
    <w:rsid w:val="00734238"/>
    <w:rsid w:val="0073532E"/>
    <w:rsid w:val="00735B47"/>
    <w:rsid w:val="00735DD1"/>
    <w:rsid w:val="007424A4"/>
    <w:rsid w:val="007424E6"/>
    <w:rsid w:val="007426A8"/>
    <w:rsid w:val="007469AF"/>
    <w:rsid w:val="007479A1"/>
    <w:rsid w:val="00747DC6"/>
    <w:rsid w:val="00752137"/>
    <w:rsid w:val="00752190"/>
    <w:rsid w:val="00752979"/>
    <w:rsid w:val="0075378D"/>
    <w:rsid w:val="007563F6"/>
    <w:rsid w:val="00763484"/>
    <w:rsid w:val="00763679"/>
    <w:rsid w:val="00764016"/>
    <w:rsid w:val="0076565C"/>
    <w:rsid w:val="0076606C"/>
    <w:rsid w:val="00766AE2"/>
    <w:rsid w:val="00766B37"/>
    <w:rsid w:val="0076E1A8"/>
    <w:rsid w:val="0077131F"/>
    <w:rsid w:val="0077157D"/>
    <w:rsid w:val="007730CA"/>
    <w:rsid w:val="00773C05"/>
    <w:rsid w:val="00774098"/>
    <w:rsid w:val="007740FA"/>
    <w:rsid w:val="00774BED"/>
    <w:rsid w:val="0077752C"/>
    <w:rsid w:val="00777A92"/>
    <w:rsid w:val="00777BCC"/>
    <w:rsid w:val="00780417"/>
    <w:rsid w:val="0078180B"/>
    <w:rsid w:val="00781EB1"/>
    <w:rsid w:val="007850A3"/>
    <w:rsid w:val="00785D79"/>
    <w:rsid w:val="007875DC"/>
    <w:rsid w:val="00795ECC"/>
    <w:rsid w:val="007960D8"/>
    <w:rsid w:val="007A2071"/>
    <w:rsid w:val="007A280A"/>
    <w:rsid w:val="007A2BB7"/>
    <w:rsid w:val="007A2DBD"/>
    <w:rsid w:val="007A31A7"/>
    <w:rsid w:val="007A326F"/>
    <w:rsid w:val="007A44FD"/>
    <w:rsid w:val="007A5387"/>
    <w:rsid w:val="007A63B2"/>
    <w:rsid w:val="007A694D"/>
    <w:rsid w:val="007A715A"/>
    <w:rsid w:val="007B1509"/>
    <w:rsid w:val="007B3A6E"/>
    <w:rsid w:val="007B4AEC"/>
    <w:rsid w:val="007B4C16"/>
    <w:rsid w:val="007B6304"/>
    <w:rsid w:val="007C1F94"/>
    <w:rsid w:val="007C4046"/>
    <w:rsid w:val="007C6371"/>
    <w:rsid w:val="007C7441"/>
    <w:rsid w:val="007D0737"/>
    <w:rsid w:val="007D0B51"/>
    <w:rsid w:val="007D45D6"/>
    <w:rsid w:val="007D4880"/>
    <w:rsid w:val="007D6988"/>
    <w:rsid w:val="007D7A8C"/>
    <w:rsid w:val="007E1ED8"/>
    <w:rsid w:val="007E216A"/>
    <w:rsid w:val="007E3DBE"/>
    <w:rsid w:val="007E62B0"/>
    <w:rsid w:val="007E7133"/>
    <w:rsid w:val="007F3B53"/>
    <w:rsid w:val="007F4E26"/>
    <w:rsid w:val="007F5427"/>
    <w:rsid w:val="007F5B31"/>
    <w:rsid w:val="007F5F57"/>
    <w:rsid w:val="007F640F"/>
    <w:rsid w:val="007F7DE7"/>
    <w:rsid w:val="00800CAA"/>
    <w:rsid w:val="008013EC"/>
    <w:rsid w:val="00803336"/>
    <w:rsid w:val="00803614"/>
    <w:rsid w:val="00803709"/>
    <w:rsid w:val="0080624D"/>
    <w:rsid w:val="00806DC6"/>
    <w:rsid w:val="008111C7"/>
    <w:rsid w:val="00811B1D"/>
    <w:rsid w:val="008132B7"/>
    <w:rsid w:val="00813D0A"/>
    <w:rsid w:val="008162AA"/>
    <w:rsid w:val="00817029"/>
    <w:rsid w:val="0081761D"/>
    <w:rsid w:val="008206DD"/>
    <w:rsid w:val="008219C7"/>
    <w:rsid w:val="00821A39"/>
    <w:rsid w:val="0082284C"/>
    <w:rsid w:val="0082347E"/>
    <w:rsid w:val="0082496B"/>
    <w:rsid w:val="00830E0D"/>
    <w:rsid w:val="008318B9"/>
    <w:rsid w:val="00831FA8"/>
    <w:rsid w:val="00832E40"/>
    <w:rsid w:val="008332CD"/>
    <w:rsid w:val="00834676"/>
    <w:rsid w:val="00836F12"/>
    <w:rsid w:val="008407C1"/>
    <w:rsid w:val="00840882"/>
    <w:rsid w:val="00840B68"/>
    <w:rsid w:val="00844770"/>
    <w:rsid w:val="0084632E"/>
    <w:rsid w:val="00846588"/>
    <w:rsid w:val="00850E36"/>
    <w:rsid w:val="008511B7"/>
    <w:rsid w:val="00851D46"/>
    <w:rsid w:val="00852061"/>
    <w:rsid w:val="00852D74"/>
    <w:rsid w:val="00856C5A"/>
    <w:rsid w:val="00863627"/>
    <w:rsid w:val="0086382D"/>
    <w:rsid w:val="0086395A"/>
    <w:rsid w:val="0086689D"/>
    <w:rsid w:val="00870071"/>
    <w:rsid w:val="00870E0D"/>
    <w:rsid w:val="0087223E"/>
    <w:rsid w:val="008729DC"/>
    <w:rsid w:val="00872E9C"/>
    <w:rsid w:val="00873094"/>
    <w:rsid w:val="00873C1C"/>
    <w:rsid w:val="00876519"/>
    <w:rsid w:val="008767FD"/>
    <w:rsid w:val="00877FA8"/>
    <w:rsid w:val="0088014A"/>
    <w:rsid w:val="008810DA"/>
    <w:rsid w:val="008817CF"/>
    <w:rsid w:val="00881F19"/>
    <w:rsid w:val="0088375C"/>
    <w:rsid w:val="00883A1C"/>
    <w:rsid w:val="00886152"/>
    <w:rsid w:val="008870EE"/>
    <w:rsid w:val="0089106E"/>
    <w:rsid w:val="008957B2"/>
    <w:rsid w:val="00895864"/>
    <w:rsid w:val="00895F04"/>
    <w:rsid w:val="008964BE"/>
    <w:rsid w:val="00896639"/>
    <w:rsid w:val="00897201"/>
    <w:rsid w:val="008A01EA"/>
    <w:rsid w:val="008A16C1"/>
    <w:rsid w:val="008A3B5F"/>
    <w:rsid w:val="008A4561"/>
    <w:rsid w:val="008A4656"/>
    <w:rsid w:val="008A5A27"/>
    <w:rsid w:val="008A63E3"/>
    <w:rsid w:val="008A6424"/>
    <w:rsid w:val="008A6CF3"/>
    <w:rsid w:val="008B1341"/>
    <w:rsid w:val="008B1488"/>
    <w:rsid w:val="008B3901"/>
    <w:rsid w:val="008B485C"/>
    <w:rsid w:val="008B728C"/>
    <w:rsid w:val="008B771D"/>
    <w:rsid w:val="008B7E27"/>
    <w:rsid w:val="008C077F"/>
    <w:rsid w:val="008C1CE3"/>
    <w:rsid w:val="008C22F0"/>
    <w:rsid w:val="008C3D0D"/>
    <w:rsid w:val="008C5717"/>
    <w:rsid w:val="008C7880"/>
    <w:rsid w:val="008D00DA"/>
    <w:rsid w:val="008D01AB"/>
    <w:rsid w:val="008D048F"/>
    <w:rsid w:val="008D0FA7"/>
    <w:rsid w:val="008D3BBD"/>
    <w:rsid w:val="008D4712"/>
    <w:rsid w:val="008D4C41"/>
    <w:rsid w:val="008E11FF"/>
    <w:rsid w:val="008E1DBB"/>
    <w:rsid w:val="008E3DC9"/>
    <w:rsid w:val="008E72DB"/>
    <w:rsid w:val="008F3CB0"/>
    <w:rsid w:val="008F446C"/>
    <w:rsid w:val="008F45AD"/>
    <w:rsid w:val="008F7EFC"/>
    <w:rsid w:val="009008BE"/>
    <w:rsid w:val="0090171F"/>
    <w:rsid w:val="00902B59"/>
    <w:rsid w:val="00903E9A"/>
    <w:rsid w:val="0090618F"/>
    <w:rsid w:val="00906CDC"/>
    <w:rsid w:val="00907B52"/>
    <w:rsid w:val="00907EB9"/>
    <w:rsid w:val="00911851"/>
    <w:rsid w:val="0091215B"/>
    <w:rsid w:val="009122A9"/>
    <w:rsid w:val="0091422A"/>
    <w:rsid w:val="00916B69"/>
    <w:rsid w:val="009172DC"/>
    <w:rsid w:val="00920AF7"/>
    <w:rsid w:val="00920B70"/>
    <w:rsid w:val="00922D1C"/>
    <w:rsid w:val="009239B2"/>
    <w:rsid w:val="00924E28"/>
    <w:rsid w:val="00926D0E"/>
    <w:rsid w:val="009275EE"/>
    <w:rsid w:val="009302F7"/>
    <w:rsid w:val="00930EA1"/>
    <w:rsid w:val="00931BE5"/>
    <w:rsid w:val="00932311"/>
    <w:rsid w:val="00932564"/>
    <w:rsid w:val="00933334"/>
    <w:rsid w:val="00934371"/>
    <w:rsid w:val="00935461"/>
    <w:rsid w:val="00941468"/>
    <w:rsid w:val="0094359D"/>
    <w:rsid w:val="00943861"/>
    <w:rsid w:val="00943B8F"/>
    <w:rsid w:val="00945A17"/>
    <w:rsid w:val="00945DEC"/>
    <w:rsid w:val="009473A0"/>
    <w:rsid w:val="00951CE2"/>
    <w:rsid w:val="009530E7"/>
    <w:rsid w:val="00953590"/>
    <w:rsid w:val="00956346"/>
    <w:rsid w:val="00956808"/>
    <w:rsid w:val="00957508"/>
    <w:rsid w:val="009601C6"/>
    <w:rsid w:val="0096290E"/>
    <w:rsid w:val="00962AAD"/>
    <w:rsid w:val="00964A14"/>
    <w:rsid w:val="00964AF0"/>
    <w:rsid w:val="009660F1"/>
    <w:rsid w:val="00966650"/>
    <w:rsid w:val="009673E0"/>
    <w:rsid w:val="00972D6C"/>
    <w:rsid w:val="009732E4"/>
    <w:rsid w:val="009747C3"/>
    <w:rsid w:val="009767B3"/>
    <w:rsid w:val="00976A69"/>
    <w:rsid w:val="009773A0"/>
    <w:rsid w:val="0098226C"/>
    <w:rsid w:val="00982865"/>
    <w:rsid w:val="0098442E"/>
    <w:rsid w:val="00985560"/>
    <w:rsid w:val="009915DE"/>
    <w:rsid w:val="00991AE5"/>
    <w:rsid w:val="0099238F"/>
    <w:rsid w:val="0099381D"/>
    <w:rsid w:val="00993B86"/>
    <w:rsid w:val="0099401C"/>
    <w:rsid w:val="00995392"/>
    <w:rsid w:val="00995E84"/>
    <w:rsid w:val="009A0D65"/>
    <w:rsid w:val="009A1994"/>
    <w:rsid w:val="009A1AF7"/>
    <w:rsid w:val="009A5A85"/>
    <w:rsid w:val="009B1C13"/>
    <w:rsid w:val="009B1DD1"/>
    <w:rsid w:val="009B20EF"/>
    <w:rsid w:val="009B238C"/>
    <w:rsid w:val="009B28C8"/>
    <w:rsid w:val="009B3AB0"/>
    <w:rsid w:val="009B6B44"/>
    <w:rsid w:val="009B78F4"/>
    <w:rsid w:val="009B7A7F"/>
    <w:rsid w:val="009C0CF0"/>
    <w:rsid w:val="009C1A4E"/>
    <w:rsid w:val="009C240D"/>
    <w:rsid w:val="009C2C80"/>
    <w:rsid w:val="009C2DB3"/>
    <w:rsid w:val="009C440F"/>
    <w:rsid w:val="009C699B"/>
    <w:rsid w:val="009D00E6"/>
    <w:rsid w:val="009D08DB"/>
    <w:rsid w:val="009D095E"/>
    <w:rsid w:val="009D0B22"/>
    <w:rsid w:val="009D0CB2"/>
    <w:rsid w:val="009D1A25"/>
    <w:rsid w:val="009D25E1"/>
    <w:rsid w:val="009D25FE"/>
    <w:rsid w:val="009D519E"/>
    <w:rsid w:val="009D5FA2"/>
    <w:rsid w:val="009D6A9E"/>
    <w:rsid w:val="009E216C"/>
    <w:rsid w:val="009E44BC"/>
    <w:rsid w:val="009E4516"/>
    <w:rsid w:val="009E5121"/>
    <w:rsid w:val="009E7084"/>
    <w:rsid w:val="009F0209"/>
    <w:rsid w:val="009F14C5"/>
    <w:rsid w:val="009F2206"/>
    <w:rsid w:val="009F284E"/>
    <w:rsid w:val="009F3FA5"/>
    <w:rsid w:val="009F5D38"/>
    <w:rsid w:val="00A02CB3"/>
    <w:rsid w:val="00A03086"/>
    <w:rsid w:val="00A04AAA"/>
    <w:rsid w:val="00A04BF2"/>
    <w:rsid w:val="00A04C1A"/>
    <w:rsid w:val="00A04F8D"/>
    <w:rsid w:val="00A0617C"/>
    <w:rsid w:val="00A0650A"/>
    <w:rsid w:val="00A07385"/>
    <w:rsid w:val="00A07C8D"/>
    <w:rsid w:val="00A07CBB"/>
    <w:rsid w:val="00A10360"/>
    <w:rsid w:val="00A104EB"/>
    <w:rsid w:val="00A12BAA"/>
    <w:rsid w:val="00A138B8"/>
    <w:rsid w:val="00A13BEA"/>
    <w:rsid w:val="00A142D7"/>
    <w:rsid w:val="00A1440C"/>
    <w:rsid w:val="00A14B48"/>
    <w:rsid w:val="00A1510B"/>
    <w:rsid w:val="00A1530E"/>
    <w:rsid w:val="00A161FF"/>
    <w:rsid w:val="00A166ED"/>
    <w:rsid w:val="00A16F94"/>
    <w:rsid w:val="00A20B16"/>
    <w:rsid w:val="00A2156F"/>
    <w:rsid w:val="00A250ED"/>
    <w:rsid w:val="00A25640"/>
    <w:rsid w:val="00A268E9"/>
    <w:rsid w:val="00A26C75"/>
    <w:rsid w:val="00A3048E"/>
    <w:rsid w:val="00A325AE"/>
    <w:rsid w:val="00A32A80"/>
    <w:rsid w:val="00A32B16"/>
    <w:rsid w:val="00A35243"/>
    <w:rsid w:val="00A40107"/>
    <w:rsid w:val="00A42DE6"/>
    <w:rsid w:val="00A43DFE"/>
    <w:rsid w:val="00A444AF"/>
    <w:rsid w:val="00A458B6"/>
    <w:rsid w:val="00A50270"/>
    <w:rsid w:val="00A5186D"/>
    <w:rsid w:val="00A520CB"/>
    <w:rsid w:val="00A52DE0"/>
    <w:rsid w:val="00A5330A"/>
    <w:rsid w:val="00A5614F"/>
    <w:rsid w:val="00A56FFF"/>
    <w:rsid w:val="00A611FC"/>
    <w:rsid w:val="00A633DC"/>
    <w:rsid w:val="00A63A51"/>
    <w:rsid w:val="00A65AF6"/>
    <w:rsid w:val="00A66495"/>
    <w:rsid w:val="00A670FC"/>
    <w:rsid w:val="00A708C3"/>
    <w:rsid w:val="00A70F09"/>
    <w:rsid w:val="00A7111A"/>
    <w:rsid w:val="00A7133E"/>
    <w:rsid w:val="00A72594"/>
    <w:rsid w:val="00A74B1A"/>
    <w:rsid w:val="00A76518"/>
    <w:rsid w:val="00A80D55"/>
    <w:rsid w:val="00A81B15"/>
    <w:rsid w:val="00A81E87"/>
    <w:rsid w:val="00A83221"/>
    <w:rsid w:val="00A83FA1"/>
    <w:rsid w:val="00A855B9"/>
    <w:rsid w:val="00A85CDE"/>
    <w:rsid w:val="00A85FA0"/>
    <w:rsid w:val="00A86B8F"/>
    <w:rsid w:val="00A87E02"/>
    <w:rsid w:val="00A9234F"/>
    <w:rsid w:val="00A93DC5"/>
    <w:rsid w:val="00A94A39"/>
    <w:rsid w:val="00A9588A"/>
    <w:rsid w:val="00A97662"/>
    <w:rsid w:val="00AA2654"/>
    <w:rsid w:val="00AA3F03"/>
    <w:rsid w:val="00AA57E1"/>
    <w:rsid w:val="00AB0017"/>
    <w:rsid w:val="00AB2773"/>
    <w:rsid w:val="00AB2A29"/>
    <w:rsid w:val="00AB6210"/>
    <w:rsid w:val="00AB74D2"/>
    <w:rsid w:val="00AC0545"/>
    <w:rsid w:val="00AC0794"/>
    <w:rsid w:val="00AC0A63"/>
    <w:rsid w:val="00AC0E87"/>
    <w:rsid w:val="00AC3488"/>
    <w:rsid w:val="00AC3AD8"/>
    <w:rsid w:val="00AC5535"/>
    <w:rsid w:val="00AC64E0"/>
    <w:rsid w:val="00AC65DC"/>
    <w:rsid w:val="00AD026C"/>
    <w:rsid w:val="00AD6C88"/>
    <w:rsid w:val="00AD6D42"/>
    <w:rsid w:val="00AD7D2A"/>
    <w:rsid w:val="00AE033A"/>
    <w:rsid w:val="00AE4A03"/>
    <w:rsid w:val="00AE66AC"/>
    <w:rsid w:val="00AF04D8"/>
    <w:rsid w:val="00AF50CE"/>
    <w:rsid w:val="00AF5EF5"/>
    <w:rsid w:val="00AF7B50"/>
    <w:rsid w:val="00AF7CC4"/>
    <w:rsid w:val="00B02BAC"/>
    <w:rsid w:val="00B03CD5"/>
    <w:rsid w:val="00B06793"/>
    <w:rsid w:val="00B06C7A"/>
    <w:rsid w:val="00B07271"/>
    <w:rsid w:val="00B116C5"/>
    <w:rsid w:val="00B13573"/>
    <w:rsid w:val="00B140E5"/>
    <w:rsid w:val="00B148E3"/>
    <w:rsid w:val="00B167C2"/>
    <w:rsid w:val="00B16F3D"/>
    <w:rsid w:val="00B17953"/>
    <w:rsid w:val="00B20237"/>
    <w:rsid w:val="00B210D4"/>
    <w:rsid w:val="00B21AD6"/>
    <w:rsid w:val="00B233C1"/>
    <w:rsid w:val="00B2429E"/>
    <w:rsid w:val="00B255C5"/>
    <w:rsid w:val="00B25C38"/>
    <w:rsid w:val="00B26779"/>
    <w:rsid w:val="00B308A3"/>
    <w:rsid w:val="00B311F1"/>
    <w:rsid w:val="00B31719"/>
    <w:rsid w:val="00B35EAF"/>
    <w:rsid w:val="00B36649"/>
    <w:rsid w:val="00B40663"/>
    <w:rsid w:val="00B41D7F"/>
    <w:rsid w:val="00B42546"/>
    <w:rsid w:val="00B43563"/>
    <w:rsid w:val="00B442CA"/>
    <w:rsid w:val="00B46D17"/>
    <w:rsid w:val="00B46D1A"/>
    <w:rsid w:val="00B50A58"/>
    <w:rsid w:val="00B5324C"/>
    <w:rsid w:val="00B53D4E"/>
    <w:rsid w:val="00B56ECD"/>
    <w:rsid w:val="00B604B0"/>
    <w:rsid w:val="00B6137A"/>
    <w:rsid w:val="00B61EF2"/>
    <w:rsid w:val="00B62EB0"/>
    <w:rsid w:val="00B6573B"/>
    <w:rsid w:val="00B65CF9"/>
    <w:rsid w:val="00B67943"/>
    <w:rsid w:val="00B70127"/>
    <w:rsid w:val="00B710B4"/>
    <w:rsid w:val="00B721F1"/>
    <w:rsid w:val="00B737EE"/>
    <w:rsid w:val="00B7393A"/>
    <w:rsid w:val="00B7433C"/>
    <w:rsid w:val="00B75030"/>
    <w:rsid w:val="00B76415"/>
    <w:rsid w:val="00B77D03"/>
    <w:rsid w:val="00B81460"/>
    <w:rsid w:val="00B8187E"/>
    <w:rsid w:val="00B839C2"/>
    <w:rsid w:val="00B84FFB"/>
    <w:rsid w:val="00B86183"/>
    <w:rsid w:val="00B93385"/>
    <w:rsid w:val="00B95558"/>
    <w:rsid w:val="00B96479"/>
    <w:rsid w:val="00BA0671"/>
    <w:rsid w:val="00BA1F2E"/>
    <w:rsid w:val="00BA21DE"/>
    <w:rsid w:val="00BA3920"/>
    <w:rsid w:val="00BA3E92"/>
    <w:rsid w:val="00BA4D49"/>
    <w:rsid w:val="00BA5240"/>
    <w:rsid w:val="00BA54C2"/>
    <w:rsid w:val="00BA7348"/>
    <w:rsid w:val="00BB04D2"/>
    <w:rsid w:val="00BB1410"/>
    <w:rsid w:val="00BB2363"/>
    <w:rsid w:val="00BB3082"/>
    <w:rsid w:val="00BB3371"/>
    <w:rsid w:val="00BB40EC"/>
    <w:rsid w:val="00BB517B"/>
    <w:rsid w:val="00BB5AC6"/>
    <w:rsid w:val="00BB7E4D"/>
    <w:rsid w:val="00BC064E"/>
    <w:rsid w:val="00BC2305"/>
    <w:rsid w:val="00BC2E4A"/>
    <w:rsid w:val="00BC38D4"/>
    <w:rsid w:val="00BC3F1E"/>
    <w:rsid w:val="00BC732A"/>
    <w:rsid w:val="00BD0751"/>
    <w:rsid w:val="00BD1539"/>
    <w:rsid w:val="00BD38FF"/>
    <w:rsid w:val="00BD556F"/>
    <w:rsid w:val="00BD55B1"/>
    <w:rsid w:val="00BD5C85"/>
    <w:rsid w:val="00BE12C8"/>
    <w:rsid w:val="00BE1856"/>
    <w:rsid w:val="00BE5985"/>
    <w:rsid w:val="00BE5BC9"/>
    <w:rsid w:val="00BE6382"/>
    <w:rsid w:val="00BE657B"/>
    <w:rsid w:val="00BE6F93"/>
    <w:rsid w:val="00BE7072"/>
    <w:rsid w:val="00BF0ABB"/>
    <w:rsid w:val="00BF1A4C"/>
    <w:rsid w:val="00BF2229"/>
    <w:rsid w:val="00BF22E4"/>
    <w:rsid w:val="00BF3290"/>
    <w:rsid w:val="00BF3506"/>
    <w:rsid w:val="00C00B48"/>
    <w:rsid w:val="00C010B0"/>
    <w:rsid w:val="00C0230F"/>
    <w:rsid w:val="00C036B1"/>
    <w:rsid w:val="00C03BA2"/>
    <w:rsid w:val="00C045E4"/>
    <w:rsid w:val="00C06AB3"/>
    <w:rsid w:val="00C112CE"/>
    <w:rsid w:val="00C11FCD"/>
    <w:rsid w:val="00C134CB"/>
    <w:rsid w:val="00C136D9"/>
    <w:rsid w:val="00C14265"/>
    <w:rsid w:val="00C159AF"/>
    <w:rsid w:val="00C2087B"/>
    <w:rsid w:val="00C23376"/>
    <w:rsid w:val="00C23942"/>
    <w:rsid w:val="00C24524"/>
    <w:rsid w:val="00C261CD"/>
    <w:rsid w:val="00C2649F"/>
    <w:rsid w:val="00C279DC"/>
    <w:rsid w:val="00C31331"/>
    <w:rsid w:val="00C316DD"/>
    <w:rsid w:val="00C325E9"/>
    <w:rsid w:val="00C33305"/>
    <w:rsid w:val="00C33948"/>
    <w:rsid w:val="00C33D87"/>
    <w:rsid w:val="00C350CB"/>
    <w:rsid w:val="00C3570A"/>
    <w:rsid w:val="00C35F19"/>
    <w:rsid w:val="00C365BB"/>
    <w:rsid w:val="00C36870"/>
    <w:rsid w:val="00C42E17"/>
    <w:rsid w:val="00C47E4C"/>
    <w:rsid w:val="00C5014B"/>
    <w:rsid w:val="00C50B1F"/>
    <w:rsid w:val="00C531CD"/>
    <w:rsid w:val="00C5595E"/>
    <w:rsid w:val="00C56333"/>
    <w:rsid w:val="00C57052"/>
    <w:rsid w:val="00C61467"/>
    <w:rsid w:val="00C64162"/>
    <w:rsid w:val="00C64442"/>
    <w:rsid w:val="00C6528B"/>
    <w:rsid w:val="00C67084"/>
    <w:rsid w:val="00C67431"/>
    <w:rsid w:val="00C703F8"/>
    <w:rsid w:val="00C7081E"/>
    <w:rsid w:val="00C72C4A"/>
    <w:rsid w:val="00C7463F"/>
    <w:rsid w:val="00C802D7"/>
    <w:rsid w:val="00C80A52"/>
    <w:rsid w:val="00C80D99"/>
    <w:rsid w:val="00C81EB6"/>
    <w:rsid w:val="00C82CD7"/>
    <w:rsid w:val="00C8307C"/>
    <w:rsid w:val="00C8428C"/>
    <w:rsid w:val="00C8671C"/>
    <w:rsid w:val="00C8678C"/>
    <w:rsid w:val="00C87716"/>
    <w:rsid w:val="00C87AA7"/>
    <w:rsid w:val="00C91EC0"/>
    <w:rsid w:val="00C93E28"/>
    <w:rsid w:val="00C94FC5"/>
    <w:rsid w:val="00C95165"/>
    <w:rsid w:val="00C9531D"/>
    <w:rsid w:val="00C954E2"/>
    <w:rsid w:val="00CA1E35"/>
    <w:rsid w:val="00CA23A3"/>
    <w:rsid w:val="00CA2E06"/>
    <w:rsid w:val="00CA4E57"/>
    <w:rsid w:val="00CA6F06"/>
    <w:rsid w:val="00CA7BD0"/>
    <w:rsid w:val="00CB0763"/>
    <w:rsid w:val="00CB0E06"/>
    <w:rsid w:val="00CB1064"/>
    <w:rsid w:val="00CB1BBB"/>
    <w:rsid w:val="00CB3CB6"/>
    <w:rsid w:val="00CB4613"/>
    <w:rsid w:val="00CB46F1"/>
    <w:rsid w:val="00CB4F57"/>
    <w:rsid w:val="00CB6702"/>
    <w:rsid w:val="00CB6ADF"/>
    <w:rsid w:val="00CB6B80"/>
    <w:rsid w:val="00CB6D2C"/>
    <w:rsid w:val="00CC0025"/>
    <w:rsid w:val="00CC2CAA"/>
    <w:rsid w:val="00CC3532"/>
    <w:rsid w:val="00CD100C"/>
    <w:rsid w:val="00CD14A3"/>
    <w:rsid w:val="00CD26C3"/>
    <w:rsid w:val="00CD32F5"/>
    <w:rsid w:val="00CD3358"/>
    <w:rsid w:val="00CD54F2"/>
    <w:rsid w:val="00CD67E7"/>
    <w:rsid w:val="00CD697B"/>
    <w:rsid w:val="00CE19C3"/>
    <w:rsid w:val="00CE2639"/>
    <w:rsid w:val="00CE2731"/>
    <w:rsid w:val="00CE2921"/>
    <w:rsid w:val="00CE3719"/>
    <w:rsid w:val="00CE47C6"/>
    <w:rsid w:val="00CE5B6B"/>
    <w:rsid w:val="00CE7707"/>
    <w:rsid w:val="00CE7A6D"/>
    <w:rsid w:val="00CF04CD"/>
    <w:rsid w:val="00CF13C8"/>
    <w:rsid w:val="00CF13D9"/>
    <w:rsid w:val="00CF14D8"/>
    <w:rsid w:val="00CF16E1"/>
    <w:rsid w:val="00CF1F5E"/>
    <w:rsid w:val="00CF2E34"/>
    <w:rsid w:val="00CF3443"/>
    <w:rsid w:val="00CF6524"/>
    <w:rsid w:val="00D02601"/>
    <w:rsid w:val="00D03E67"/>
    <w:rsid w:val="00D04320"/>
    <w:rsid w:val="00D04933"/>
    <w:rsid w:val="00D05EB5"/>
    <w:rsid w:val="00D0651F"/>
    <w:rsid w:val="00D07F50"/>
    <w:rsid w:val="00D1033A"/>
    <w:rsid w:val="00D10AAF"/>
    <w:rsid w:val="00D10B35"/>
    <w:rsid w:val="00D11236"/>
    <w:rsid w:val="00D13581"/>
    <w:rsid w:val="00D142B2"/>
    <w:rsid w:val="00D15035"/>
    <w:rsid w:val="00D16358"/>
    <w:rsid w:val="00D179CE"/>
    <w:rsid w:val="00D21B7A"/>
    <w:rsid w:val="00D21F76"/>
    <w:rsid w:val="00D23B93"/>
    <w:rsid w:val="00D26ECA"/>
    <w:rsid w:val="00D307ED"/>
    <w:rsid w:val="00D33AF3"/>
    <w:rsid w:val="00D33BE4"/>
    <w:rsid w:val="00D34B7A"/>
    <w:rsid w:val="00D34E72"/>
    <w:rsid w:val="00D3535D"/>
    <w:rsid w:val="00D356DA"/>
    <w:rsid w:val="00D35DA7"/>
    <w:rsid w:val="00D366DF"/>
    <w:rsid w:val="00D37FEE"/>
    <w:rsid w:val="00D4051C"/>
    <w:rsid w:val="00D40669"/>
    <w:rsid w:val="00D4083B"/>
    <w:rsid w:val="00D40AA1"/>
    <w:rsid w:val="00D415D3"/>
    <w:rsid w:val="00D42675"/>
    <w:rsid w:val="00D437A1"/>
    <w:rsid w:val="00D4409E"/>
    <w:rsid w:val="00D4463F"/>
    <w:rsid w:val="00D44EC2"/>
    <w:rsid w:val="00D45C3F"/>
    <w:rsid w:val="00D46948"/>
    <w:rsid w:val="00D476D1"/>
    <w:rsid w:val="00D50AA8"/>
    <w:rsid w:val="00D50BCA"/>
    <w:rsid w:val="00D52E25"/>
    <w:rsid w:val="00D53AED"/>
    <w:rsid w:val="00D55F59"/>
    <w:rsid w:val="00D56EA8"/>
    <w:rsid w:val="00D57D17"/>
    <w:rsid w:val="00D607F2"/>
    <w:rsid w:val="00D60BD7"/>
    <w:rsid w:val="00D61E39"/>
    <w:rsid w:val="00D62D5A"/>
    <w:rsid w:val="00D66239"/>
    <w:rsid w:val="00D671C7"/>
    <w:rsid w:val="00D6726E"/>
    <w:rsid w:val="00D7166A"/>
    <w:rsid w:val="00D71A86"/>
    <w:rsid w:val="00D72490"/>
    <w:rsid w:val="00D73D5E"/>
    <w:rsid w:val="00D74D53"/>
    <w:rsid w:val="00D750C3"/>
    <w:rsid w:val="00D761F1"/>
    <w:rsid w:val="00D768ED"/>
    <w:rsid w:val="00D81BFC"/>
    <w:rsid w:val="00D83A52"/>
    <w:rsid w:val="00D83B41"/>
    <w:rsid w:val="00D85918"/>
    <w:rsid w:val="00D85956"/>
    <w:rsid w:val="00D85D04"/>
    <w:rsid w:val="00D92D54"/>
    <w:rsid w:val="00D94995"/>
    <w:rsid w:val="00D96917"/>
    <w:rsid w:val="00DA2236"/>
    <w:rsid w:val="00DA3496"/>
    <w:rsid w:val="00DA4DDC"/>
    <w:rsid w:val="00DA60D5"/>
    <w:rsid w:val="00DB00D9"/>
    <w:rsid w:val="00DB09F3"/>
    <w:rsid w:val="00DB0A95"/>
    <w:rsid w:val="00DB1102"/>
    <w:rsid w:val="00DB2356"/>
    <w:rsid w:val="00DB354A"/>
    <w:rsid w:val="00DB4539"/>
    <w:rsid w:val="00DB4FD5"/>
    <w:rsid w:val="00DB6C35"/>
    <w:rsid w:val="00DB6F11"/>
    <w:rsid w:val="00DB79FC"/>
    <w:rsid w:val="00DC1200"/>
    <w:rsid w:val="00DC18AB"/>
    <w:rsid w:val="00DC1FE1"/>
    <w:rsid w:val="00DC269A"/>
    <w:rsid w:val="00DC3AF1"/>
    <w:rsid w:val="00DC590C"/>
    <w:rsid w:val="00DC698A"/>
    <w:rsid w:val="00DC76DF"/>
    <w:rsid w:val="00DD0006"/>
    <w:rsid w:val="00DD0D88"/>
    <w:rsid w:val="00DD10D6"/>
    <w:rsid w:val="00DD1431"/>
    <w:rsid w:val="00DD6655"/>
    <w:rsid w:val="00DD6CB7"/>
    <w:rsid w:val="00DE0B6B"/>
    <w:rsid w:val="00DE16C0"/>
    <w:rsid w:val="00DE2F0A"/>
    <w:rsid w:val="00DE34FC"/>
    <w:rsid w:val="00DE5DA3"/>
    <w:rsid w:val="00DE6D6F"/>
    <w:rsid w:val="00DE6EBD"/>
    <w:rsid w:val="00DF04D6"/>
    <w:rsid w:val="00DF0733"/>
    <w:rsid w:val="00DF15D8"/>
    <w:rsid w:val="00DF42F1"/>
    <w:rsid w:val="00DF5D0C"/>
    <w:rsid w:val="00DF647C"/>
    <w:rsid w:val="00E00D56"/>
    <w:rsid w:val="00E020D6"/>
    <w:rsid w:val="00E02B62"/>
    <w:rsid w:val="00E03461"/>
    <w:rsid w:val="00E0419A"/>
    <w:rsid w:val="00E04499"/>
    <w:rsid w:val="00E048FD"/>
    <w:rsid w:val="00E10068"/>
    <w:rsid w:val="00E10F6F"/>
    <w:rsid w:val="00E1142A"/>
    <w:rsid w:val="00E17D90"/>
    <w:rsid w:val="00E2336E"/>
    <w:rsid w:val="00E24086"/>
    <w:rsid w:val="00E24AA1"/>
    <w:rsid w:val="00E26B56"/>
    <w:rsid w:val="00E26C0F"/>
    <w:rsid w:val="00E27D54"/>
    <w:rsid w:val="00E27F9A"/>
    <w:rsid w:val="00E3045C"/>
    <w:rsid w:val="00E326A8"/>
    <w:rsid w:val="00E3360A"/>
    <w:rsid w:val="00E346E6"/>
    <w:rsid w:val="00E35BFB"/>
    <w:rsid w:val="00E3642A"/>
    <w:rsid w:val="00E36913"/>
    <w:rsid w:val="00E37B10"/>
    <w:rsid w:val="00E4061F"/>
    <w:rsid w:val="00E41656"/>
    <w:rsid w:val="00E416A4"/>
    <w:rsid w:val="00E433F6"/>
    <w:rsid w:val="00E4393E"/>
    <w:rsid w:val="00E448B7"/>
    <w:rsid w:val="00E44A20"/>
    <w:rsid w:val="00E45115"/>
    <w:rsid w:val="00E45C8A"/>
    <w:rsid w:val="00E50554"/>
    <w:rsid w:val="00E51182"/>
    <w:rsid w:val="00E552BE"/>
    <w:rsid w:val="00E563EF"/>
    <w:rsid w:val="00E56B15"/>
    <w:rsid w:val="00E5780B"/>
    <w:rsid w:val="00E57971"/>
    <w:rsid w:val="00E57C24"/>
    <w:rsid w:val="00E62DDA"/>
    <w:rsid w:val="00E6318C"/>
    <w:rsid w:val="00E648C2"/>
    <w:rsid w:val="00E65230"/>
    <w:rsid w:val="00E65412"/>
    <w:rsid w:val="00E65BAA"/>
    <w:rsid w:val="00E715E9"/>
    <w:rsid w:val="00E72862"/>
    <w:rsid w:val="00E728A1"/>
    <w:rsid w:val="00E72C76"/>
    <w:rsid w:val="00E73C09"/>
    <w:rsid w:val="00E74693"/>
    <w:rsid w:val="00E75818"/>
    <w:rsid w:val="00E7751B"/>
    <w:rsid w:val="00E813D2"/>
    <w:rsid w:val="00E819D4"/>
    <w:rsid w:val="00E82891"/>
    <w:rsid w:val="00E82D7F"/>
    <w:rsid w:val="00E8311C"/>
    <w:rsid w:val="00E83AAC"/>
    <w:rsid w:val="00E83B1D"/>
    <w:rsid w:val="00E84D98"/>
    <w:rsid w:val="00E872A8"/>
    <w:rsid w:val="00E87689"/>
    <w:rsid w:val="00E87C14"/>
    <w:rsid w:val="00E92E7C"/>
    <w:rsid w:val="00E93DEB"/>
    <w:rsid w:val="00E9505C"/>
    <w:rsid w:val="00E95EB2"/>
    <w:rsid w:val="00E9798F"/>
    <w:rsid w:val="00EA1705"/>
    <w:rsid w:val="00EA23AC"/>
    <w:rsid w:val="00EA2F0C"/>
    <w:rsid w:val="00EA5271"/>
    <w:rsid w:val="00EA651D"/>
    <w:rsid w:val="00EA69B3"/>
    <w:rsid w:val="00EA6F06"/>
    <w:rsid w:val="00EA7D02"/>
    <w:rsid w:val="00EB0D14"/>
    <w:rsid w:val="00EB2B72"/>
    <w:rsid w:val="00EC576D"/>
    <w:rsid w:val="00EC5B8C"/>
    <w:rsid w:val="00EC6094"/>
    <w:rsid w:val="00EC75D0"/>
    <w:rsid w:val="00ED14F7"/>
    <w:rsid w:val="00ED24A2"/>
    <w:rsid w:val="00ED2CBD"/>
    <w:rsid w:val="00ED2FE6"/>
    <w:rsid w:val="00ED3655"/>
    <w:rsid w:val="00ED5E39"/>
    <w:rsid w:val="00ED60C0"/>
    <w:rsid w:val="00ED70B0"/>
    <w:rsid w:val="00ED7FC6"/>
    <w:rsid w:val="00EE1675"/>
    <w:rsid w:val="00EE278E"/>
    <w:rsid w:val="00EE3F4B"/>
    <w:rsid w:val="00EE7BAB"/>
    <w:rsid w:val="00EF0E5B"/>
    <w:rsid w:val="00EF1558"/>
    <w:rsid w:val="00EF3BF1"/>
    <w:rsid w:val="00EF43A1"/>
    <w:rsid w:val="00EF54B8"/>
    <w:rsid w:val="00EF5874"/>
    <w:rsid w:val="00EF5CE7"/>
    <w:rsid w:val="00EF6A8A"/>
    <w:rsid w:val="00EF6D58"/>
    <w:rsid w:val="00EF6DB8"/>
    <w:rsid w:val="00EF7833"/>
    <w:rsid w:val="00EF7D49"/>
    <w:rsid w:val="00F01A62"/>
    <w:rsid w:val="00F02B2B"/>
    <w:rsid w:val="00F03939"/>
    <w:rsid w:val="00F04995"/>
    <w:rsid w:val="00F04C67"/>
    <w:rsid w:val="00F06768"/>
    <w:rsid w:val="00F073B7"/>
    <w:rsid w:val="00F104B8"/>
    <w:rsid w:val="00F10E56"/>
    <w:rsid w:val="00F10F11"/>
    <w:rsid w:val="00F12660"/>
    <w:rsid w:val="00F16A8D"/>
    <w:rsid w:val="00F16C15"/>
    <w:rsid w:val="00F16C9A"/>
    <w:rsid w:val="00F16E53"/>
    <w:rsid w:val="00F178FF"/>
    <w:rsid w:val="00F20811"/>
    <w:rsid w:val="00F209F8"/>
    <w:rsid w:val="00F20F16"/>
    <w:rsid w:val="00F22F58"/>
    <w:rsid w:val="00F254C2"/>
    <w:rsid w:val="00F260EE"/>
    <w:rsid w:val="00F27856"/>
    <w:rsid w:val="00F27C01"/>
    <w:rsid w:val="00F30227"/>
    <w:rsid w:val="00F303C7"/>
    <w:rsid w:val="00F30865"/>
    <w:rsid w:val="00F316CA"/>
    <w:rsid w:val="00F34871"/>
    <w:rsid w:val="00F36414"/>
    <w:rsid w:val="00F36535"/>
    <w:rsid w:val="00F367DE"/>
    <w:rsid w:val="00F377B8"/>
    <w:rsid w:val="00F40B73"/>
    <w:rsid w:val="00F40E3B"/>
    <w:rsid w:val="00F41671"/>
    <w:rsid w:val="00F416F5"/>
    <w:rsid w:val="00F426D8"/>
    <w:rsid w:val="00F42D68"/>
    <w:rsid w:val="00F44FDE"/>
    <w:rsid w:val="00F45331"/>
    <w:rsid w:val="00F4552B"/>
    <w:rsid w:val="00F465DF"/>
    <w:rsid w:val="00F467DB"/>
    <w:rsid w:val="00F473EB"/>
    <w:rsid w:val="00F47E2F"/>
    <w:rsid w:val="00F47EB3"/>
    <w:rsid w:val="00F50455"/>
    <w:rsid w:val="00F508E0"/>
    <w:rsid w:val="00F5177C"/>
    <w:rsid w:val="00F51F5E"/>
    <w:rsid w:val="00F526C3"/>
    <w:rsid w:val="00F53F21"/>
    <w:rsid w:val="00F545E1"/>
    <w:rsid w:val="00F554CF"/>
    <w:rsid w:val="00F5606D"/>
    <w:rsid w:val="00F57348"/>
    <w:rsid w:val="00F5773C"/>
    <w:rsid w:val="00F5776C"/>
    <w:rsid w:val="00F62027"/>
    <w:rsid w:val="00F623E9"/>
    <w:rsid w:val="00F62519"/>
    <w:rsid w:val="00F625C8"/>
    <w:rsid w:val="00F64030"/>
    <w:rsid w:val="00F65D30"/>
    <w:rsid w:val="00F661F6"/>
    <w:rsid w:val="00F677B7"/>
    <w:rsid w:val="00F70D3D"/>
    <w:rsid w:val="00F71246"/>
    <w:rsid w:val="00F71310"/>
    <w:rsid w:val="00F71515"/>
    <w:rsid w:val="00F72AEE"/>
    <w:rsid w:val="00F72ECC"/>
    <w:rsid w:val="00F7466A"/>
    <w:rsid w:val="00F75675"/>
    <w:rsid w:val="00F756FB"/>
    <w:rsid w:val="00F76029"/>
    <w:rsid w:val="00F769EE"/>
    <w:rsid w:val="00F776A6"/>
    <w:rsid w:val="00F82B85"/>
    <w:rsid w:val="00F82F26"/>
    <w:rsid w:val="00F8411F"/>
    <w:rsid w:val="00F8719F"/>
    <w:rsid w:val="00F87829"/>
    <w:rsid w:val="00F90332"/>
    <w:rsid w:val="00F9390A"/>
    <w:rsid w:val="00F93FF9"/>
    <w:rsid w:val="00F950DE"/>
    <w:rsid w:val="00F95C40"/>
    <w:rsid w:val="00FA0A36"/>
    <w:rsid w:val="00FA0BCC"/>
    <w:rsid w:val="00FA0F93"/>
    <w:rsid w:val="00FA294C"/>
    <w:rsid w:val="00FA2C04"/>
    <w:rsid w:val="00FA410D"/>
    <w:rsid w:val="00FA73A2"/>
    <w:rsid w:val="00FB0599"/>
    <w:rsid w:val="00FB44E8"/>
    <w:rsid w:val="00FB5FB1"/>
    <w:rsid w:val="00FB7618"/>
    <w:rsid w:val="00FC22F7"/>
    <w:rsid w:val="00FC2956"/>
    <w:rsid w:val="00FC3F1D"/>
    <w:rsid w:val="00FC57E3"/>
    <w:rsid w:val="00FC6E8A"/>
    <w:rsid w:val="00FC6EF7"/>
    <w:rsid w:val="00FC7CF8"/>
    <w:rsid w:val="00FD07C7"/>
    <w:rsid w:val="00FD1C80"/>
    <w:rsid w:val="00FD2061"/>
    <w:rsid w:val="00FD28F3"/>
    <w:rsid w:val="00FE18B5"/>
    <w:rsid w:val="00FE20DC"/>
    <w:rsid w:val="00FE2322"/>
    <w:rsid w:val="00FE38DB"/>
    <w:rsid w:val="00FE4538"/>
    <w:rsid w:val="00FE4F60"/>
    <w:rsid w:val="00FE5E65"/>
    <w:rsid w:val="00FF104B"/>
    <w:rsid w:val="00FF1289"/>
    <w:rsid w:val="00FF28C2"/>
    <w:rsid w:val="00FF4692"/>
    <w:rsid w:val="00FF64FF"/>
    <w:rsid w:val="00FF7720"/>
    <w:rsid w:val="03223209"/>
    <w:rsid w:val="06A3DF05"/>
    <w:rsid w:val="079ADC2A"/>
    <w:rsid w:val="0A51C78A"/>
    <w:rsid w:val="0DF345AE"/>
    <w:rsid w:val="0EA4A11B"/>
    <w:rsid w:val="0EBD7F23"/>
    <w:rsid w:val="101C68A9"/>
    <w:rsid w:val="10A3FDD0"/>
    <w:rsid w:val="1DDC7F66"/>
    <w:rsid w:val="20B48CB0"/>
    <w:rsid w:val="23A0BCC1"/>
    <w:rsid w:val="243FAC41"/>
    <w:rsid w:val="24B44569"/>
    <w:rsid w:val="28C654D7"/>
    <w:rsid w:val="2A01E840"/>
    <w:rsid w:val="2B938EA0"/>
    <w:rsid w:val="2BA2A5EC"/>
    <w:rsid w:val="2C461EFF"/>
    <w:rsid w:val="2FE321E7"/>
    <w:rsid w:val="30BD6BA8"/>
    <w:rsid w:val="31660A94"/>
    <w:rsid w:val="32175887"/>
    <w:rsid w:val="37BA174C"/>
    <w:rsid w:val="3C4A5D61"/>
    <w:rsid w:val="3DC1D4DD"/>
    <w:rsid w:val="3EA97626"/>
    <w:rsid w:val="4105E77C"/>
    <w:rsid w:val="416C50FC"/>
    <w:rsid w:val="42E7C3DF"/>
    <w:rsid w:val="441F091C"/>
    <w:rsid w:val="44F6C1FE"/>
    <w:rsid w:val="49CB850C"/>
    <w:rsid w:val="4BDA3765"/>
    <w:rsid w:val="4C75F1C1"/>
    <w:rsid w:val="4D98F2BC"/>
    <w:rsid w:val="5067A32B"/>
    <w:rsid w:val="50BA89CE"/>
    <w:rsid w:val="5376B1CB"/>
    <w:rsid w:val="55112ECC"/>
    <w:rsid w:val="57F2BA98"/>
    <w:rsid w:val="585D1177"/>
    <w:rsid w:val="58DEA7B4"/>
    <w:rsid w:val="5994529D"/>
    <w:rsid w:val="66A715E1"/>
    <w:rsid w:val="69025077"/>
    <w:rsid w:val="6A91F13F"/>
    <w:rsid w:val="6B087CAA"/>
    <w:rsid w:val="6DCA7778"/>
    <w:rsid w:val="6DD410B2"/>
    <w:rsid w:val="6E20BCEA"/>
    <w:rsid w:val="6FA10AB7"/>
    <w:rsid w:val="70B48944"/>
    <w:rsid w:val="722B999A"/>
    <w:rsid w:val="770781C3"/>
    <w:rsid w:val="77211B6D"/>
    <w:rsid w:val="7741F7AF"/>
    <w:rsid w:val="77558A28"/>
    <w:rsid w:val="7782637B"/>
    <w:rsid w:val="7A099AD6"/>
    <w:rsid w:val="7A57C0BF"/>
    <w:rsid w:val="7E880388"/>
    <w:rsid w:val="7FA600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AA5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24"/>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link w:val="TabletextChar"/>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tabs>
        <w:tab w:val="num" w:pos="520"/>
        <w:tab w:val="left" w:pos="720"/>
      </w:tabs>
      <w:ind w:left="520" w:hanging="520"/>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tabs>
        <w:tab w:val="left" w:pos="720"/>
        <w:tab w:val="num" w:pos="1560"/>
      </w:tabs>
      <w:ind w:left="1560" w:hanging="520"/>
    </w:pPr>
    <w:rPr>
      <w:rFonts w:eastAsia="Calibri"/>
      <w:color w:val="2F5496" w:themeColor="accent1" w:themeShade="BF"/>
      <w:lang w:eastAsia="en-GB"/>
    </w:rPr>
  </w:style>
  <w:style w:type="character" w:customStyle="1" w:styleId="normaltextrun">
    <w:name w:val="normaltextrun"/>
    <w:basedOn w:val="DefaultParagraphFont"/>
    <w:rsid w:val="001E0FF4"/>
  </w:style>
  <w:style w:type="character" w:customStyle="1" w:styleId="TabletextChar">
    <w:name w:val="Table text Char"/>
    <w:basedOn w:val="DefaultParagraphFont"/>
    <w:link w:val="Tabletext"/>
    <w:uiPriority w:val="1"/>
    <w:rsid w:val="00E10068"/>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D10AAF"/>
    <w:rPr>
      <w:sz w:val="16"/>
      <w:szCs w:val="16"/>
    </w:rPr>
  </w:style>
  <w:style w:type="paragraph" w:styleId="CommentText">
    <w:name w:val="annotation text"/>
    <w:basedOn w:val="Normal"/>
    <w:link w:val="CommentTextChar"/>
    <w:uiPriority w:val="99"/>
    <w:unhideWhenUsed/>
    <w:rsid w:val="00D10AAF"/>
    <w:rPr>
      <w:sz w:val="20"/>
      <w:szCs w:val="20"/>
    </w:rPr>
  </w:style>
  <w:style w:type="character" w:customStyle="1" w:styleId="CommentTextChar">
    <w:name w:val="Comment Text Char"/>
    <w:basedOn w:val="DefaultParagraphFont"/>
    <w:link w:val="CommentText"/>
    <w:uiPriority w:val="99"/>
    <w:rsid w:val="00D10AA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10AAF"/>
    <w:rPr>
      <w:b/>
      <w:bCs/>
    </w:rPr>
  </w:style>
  <w:style w:type="character" w:customStyle="1" w:styleId="CommentSubjectChar">
    <w:name w:val="Comment Subject Char"/>
    <w:basedOn w:val="CommentTextChar"/>
    <w:link w:val="CommentSubject"/>
    <w:uiPriority w:val="99"/>
    <w:semiHidden/>
    <w:rsid w:val="00D10AAF"/>
    <w:rPr>
      <w:rFonts w:ascii="Times New Roman" w:hAnsi="Times New Roman"/>
      <w:b/>
      <w:bCs/>
      <w:sz w:val="20"/>
      <w:szCs w:val="20"/>
    </w:rPr>
  </w:style>
  <w:style w:type="paragraph" w:styleId="ListParagraph">
    <w:name w:val="List Paragraph"/>
    <w:basedOn w:val="Normal"/>
    <w:uiPriority w:val="34"/>
    <w:qFormat/>
    <w:rsid w:val="00B53D4E"/>
    <w:pPr>
      <w:ind w:left="720"/>
      <w:contextualSpacing/>
    </w:pPr>
  </w:style>
  <w:style w:type="character" w:styleId="Mention">
    <w:name w:val="Mention"/>
    <w:basedOn w:val="DefaultParagraphFont"/>
    <w:uiPriority w:val="99"/>
    <w:unhideWhenUsed/>
    <w:rsid w:val="001377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195920172">
      <w:bodyDiv w:val="1"/>
      <w:marLeft w:val="0"/>
      <w:marRight w:val="0"/>
      <w:marTop w:val="0"/>
      <w:marBottom w:val="0"/>
      <w:divBdr>
        <w:top w:val="none" w:sz="0" w:space="0" w:color="auto"/>
        <w:left w:val="none" w:sz="0" w:space="0" w:color="auto"/>
        <w:bottom w:val="none" w:sz="0" w:space="0" w:color="auto"/>
        <w:right w:val="none" w:sz="0" w:space="0" w:color="auto"/>
      </w:divBdr>
    </w:div>
    <w:div w:id="1392460734">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199270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2740</Words>
  <Characters>14966</Characters>
  <Application>Microsoft Office Word</Application>
  <DocSecurity>0</DocSecurity>
  <Lines>258</Lines>
  <Paragraphs>112</Paragraphs>
  <ScaleCrop>false</ScaleCrop>
  <HeadingPairs>
    <vt:vector size="2" baseType="variant">
      <vt:variant>
        <vt:lpstr>Title</vt:lpstr>
      </vt:variant>
      <vt:variant>
        <vt:i4>1</vt:i4>
      </vt:variant>
    </vt:vector>
  </HeadingPairs>
  <TitlesOfParts>
    <vt:vector size="1" baseType="lpstr">
      <vt:lpstr>Explanatory memorandum: TBA</vt:lpstr>
    </vt:vector>
  </TitlesOfParts>
  <Company/>
  <LinksUpToDate>false</LinksUpToDate>
  <CharactersWithSpaces>17594</CharactersWithSpaces>
  <SharedDoc>false</SharedDoc>
  <HLinks>
    <vt:vector size="42" baseType="variant">
      <vt:variant>
        <vt:i4>720987</vt:i4>
      </vt:variant>
      <vt:variant>
        <vt:i4>42</vt:i4>
      </vt:variant>
      <vt:variant>
        <vt:i4>0</vt:i4>
      </vt:variant>
      <vt:variant>
        <vt:i4>5</vt:i4>
      </vt:variant>
      <vt:variant>
        <vt:lpwstr>https://www.ag.gov.au/rights-and-protections/human-rights-and-anti-discrimination/human-rights-scrutiny/public-sector-guidance-sheets</vt:lpwstr>
      </vt:variant>
      <vt:variant>
        <vt:lpwstr/>
      </vt:variant>
      <vt:variant>
        <vt:i4>2359344</vt:i4>
      </vt:variant>
      <vt:variant>
        <vt:i4>39</vt:i4>
      </vt:variant>
      <vt:variant>
        <vt:i4>0</vt:i4>
      </vt:variant>
      <vt:variant>
        <vt:i4>5</vt:i4>
      </vt:variant>
      <vt:variant>
        <vt:lpwstr>https://www.ag.gov.au/rights-and-protections/human-rights-and-anti-discrimination/human-rights-scrutiny/tools-assessing-compatibility-human-rights</vt:lpwstr>
      </vt:variant>
      <vt:variant>
        <vt:lpwstr/>
      </vt:variant>
      <vt:variant>
        <vt:i4>2621502</vt:i4>
      </vt:variant>
      <vt:variant>
        <vt:i4>36</vt:i4>
      </vt:variant>
      <vt:variant>
        <vt:i4>0</vt:i4>
      </vt:variant>
      <vt:variant>
        <vt:i4>5</vt:i4>
      </vt:variant>
      <vt:variant>
        <vt:lpwstr>https://www.aph.gov.au/-/media/Committees/Senate/committee/humanrights_ctte/guidance_notes/guidance_note_2/guidance_note_2.pdf?la=en&amp;hash=7D924E6F330668005C288BCDCDAC6ADE1719502D</vt:lpwstr>
      </vt:variant>
      <vt:variant>
        <vt:lpwstr/>
      </vt:variant>
      <vt:variant>
        <vt:i4>2818108</vt:i4>
      </vt:variant>
      <vt:variant>
        <vt:i4>33</vt:i4>
      </vt:variant>
      <vt:variant>
        <vt:i4>0</vt:i4>
      </vt:variant>
      <vt:variant>
        <vt:i4>5</vt:i4>
      </vt:variant>
      <vt:variant>
        <vt:lpwstr>https://www.aph.gov.au/-/media/Committees/Senate/committee/humanrights_ctte/guidance_notes/guidance_note_1/01_Guidance_Note.pdf?la=en&amp;hash=4CE0BFF2F3CA3C32EAD58AD932DB73E89494455D</vt:lpwstr>
      </vt:variant>
      <vt:variant>
        <vt:lpwstr/>
      </vt:variant>
      <vt:variant>
        <vt:i4>5308456</vt:i4>
      </vt:variant>
      <vt:variant>
        <vt:i4>30</vt:i4>
      </vt:variant>
      <vt:variant>
        <vt:i4>0</vt:i4>
      </vt:variant>
      <vt:variant>
        <vt:i4>5</vt:i4>
      </vt:variant>
      <vt:variant>
        <vt:lpwstr>https://www.aph.gov.au/Parliamentary_Business/Committees/Joint/Human_Rights/Guidance_Notes_and_Resources</vt:lpwstr>
      </vt:variant>
      <vt:variant>
        <vt:lpwstr/>
      </vt:variant>
      <vt:variant>
        <vt:i4>5308456</vt:i4>
      </vt:variant>
      <vt:variant>
        <vt:i4>27</vt:i4>
      </vt:variant>
      <vt:variant>
        <vt:i4>0</vt:i4>
      </vt:variant>
      <vt:variant>
        <vt:i4>5</vt:i4>
      </vt:variant>
      <vt:variant>
        <vt:lpwstr>https://www.aph.gov.au/Parliamentary_Business/Committees/Joint/Human_Rights/Guidance_Notes_and_Resources</vt:lpwstr>
      </vt:variant>
      <vt:variant>
        <vt:lpwstr/>
      </vt:variant>
      <vt:variant>
        <vt:i4>1572973</vt:i4>
      </vt:variant>
      <vt:variant>
        <vt:i4>24</vt:i4>
      </vt:variant>
      <vt:variant>
        <vt:i4>0</vt:i4>
      </vt:variant>
      <vt:variant>
        <vt:i4>5</vt:i4>
      </vt:variant>
      <vt:variant>
        <vt:lpwstr>mailto:committeescrutiny@treasury.gov.au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TBA</dc:title>
  <dc:subject/>
  <dc:creator/>
  <cp:keywords/>
  <dc:description/>
  <cp:lastModifiedBy/>
  <cp:revision>1</cp:revision>
  <dcterms:created xsi:type="dcterms:W3CDTF">2024-09-27T04:35:00Z</dcterms:created>
  <dcterms:modified xsi:type="dcterms:W3CDTF">2024-09-27T04:36:00Z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MSIP_Label_4f932d64-9ab1-4d9b-81d2-a3a8b82dd47d_Enabled">
    <vt:lpwstr>true</vt:lpwstr>
  </property>
  <property fmtid="{D5CDD505-2E9C-101B-9397-08002B2CF9AE}" pid="4" name="MSIP_Label_4f932d64-9ab1-4d9b-81d2-a3a8b82dd47d_SetDate">
    <vt:lpwstr>2024-09-27T04:36:44Z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dca2a3b3-2624-483a-aebf-2af43c809dd9</vt:lpwstr>
  </property>
  <property fmtid="{D5CDD505-2E9C-101B-9397-08002B2CF9AE}" pid="9" name="MSIP_Label_4f932d64-9ab1-4d9b-81d2-a3a8b82dd47d_ContentBits">
    <vt:lpwstr>0</vt:lpwstr>
  </property>
</Properties>
</file>