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9D240D" w14:paraId="08F3AB27" w14:textId="77777777" w:rsidTr="009D240D">
        <w:tc>
          <w:tcPr>
            <w:tcW w:w="5000" w:type="pct"/>
            <w:shd w:val="clear" w:color="auto" w:fill="auto"/>
          </w:tcPr>
          <w:p w14:paraId="08F3AB25" w14:textId="77777777" w:rsidR="009D240D" w:rsidRDefault="009D240D" w:rsidP="009D240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8F3AB26" w14:textId="77777777" w:rsidR="009D240D" w:rsidRPr="009D240D" w:rsidRDefault="009D240D" w:rsidP="009D240D">
            <w:pPr>
              <w:rPr>
                <w:b/>
                <w:sz w:val="20"/>
              </w:rPr>
            </w:pPr>
          </w:p>
        </w:tc>
      </w:tr>
    </w:tbl>
    <w:p w14:paraId="08F3AB28" w14:textId="77777777" w:rsidR="009D240D" w:rsidRDefault="009D240D" w:rsidP="00CA6665">
      <w:pPr>
        <w:rPr>
          <w:sz w:val="32"/>
          <w:szCs w:val="32"/>
        </w:rPr>
      </w:pPr>
    </w:p>
    <w:p w14:paraId="08F3AB29" w14:textId="77777777" w:rsidR="00664C63" w:rsidRPr="00744364" w:rsidRDefault="00664C63" w:rsidP="00CA6665">
      <w:pPr>
        <w:rPr>
          <w:sz w:val="32"/>
          <w:szCs w:val="32"/>
        </w:rPr>
      </w:pPr>
      <w:r w:rsidRPr="00744364">
        <w:rPr>
          <w:sz w:val="32"/>
          <w:szCs w:val="32"/>
        </w:rPr>
        <w:t>Inserts for</w:t>
      </w:r>
    </w:p>
    <w:p w14:paraId="08F3AB2A" w14:textId="77777777" w:rsidR="00664C63" w:rsidRPr="00744364" w:rsidRDefault="00035844" w:rsidP="00CA6665">
      <w:pPr>
        <w:pStyle w:val="ShortT"/>
      </w:pPr>
      <w:r w:rsidRPr="00744364">
        <w:t>Treasury Laws Amendment Bill 2024</w:t>
      </w:r>
      <w:r w:rsidR="00664C63" w:rsidRPr="00744364">
        <w:t xml:space="preserve">: </w:t>
      </w:r>
      <w:r w:rsidRPr="00744364">
        <w:t xml:space="preserve">Minor and </w:t>
      </w:r>
      <w:r w:rsidR="00517E42" w:rsidRPr="00744364">
        <w:t>t</w:t>
      </w:r>
      <w:r w:rsidRPr="00744364">
        <w:t>echnical Amendments (Spring 2024)</w:t>
      </w:r>
    </w:p>
    <w:p w14:paraId="08F3AB2B" w14:textId="77777777" w:rsidR="00664C63" w:rsidRPr="00744364" w:rsidRDefault="00664C63" w:rsidP="00CA6665">
      <w:pPr>
        <w:jc w:val="center"/>
      </w:pPr>
    </w:p>
    <w:p w14:paraId="08F3AB2C" w14:textId="77777777" w:rsidR="00664C63" w:rsidRPr="00744364" w:rsidRDefault="00664C63" w:rsidP="00CA66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744364" w14:paraId="08F3AB2E" w14:textId="77777777" w:rsidTr="0093293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8F3AB2D" w14:textId="77777777" w:rsidR="00664C63" w:rsidRPr="00744364" w:rsidRDefault="00664C63" w:rsidP="00CA6665">
            <w:pPr>
              <w:pStyle w:val="TableHeading"/>
            </w:pPr>
            <w:r w:rsidRPr="00744364">
              <w:t>Commencement information</w:t>
            </w:r>
          </w:p>
        </w:tc>
      </w:tr>
      <w:tr w:rsidR="00664C63" w:rsidRPr="00744364" w14:paraId="08F3AB32" w14:textId="77777777" w:rsidTr="0093293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3AB2F" w14:textId="77777777" w:rsidR="00664C63" w:rsidRPr="00744364" w:rsidRDefault="00664C63" w:rsidP="00CA6665">
            <w:pPr>
              <w:pStyle w:val="TableHeading"/>
            </w:pPr>
            <w:r w:rsidRPr="0074436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3AB30" w14:textId="77777777" w:rsidR="00664C63" w:rsidRPr="00744364" w:rsidRDefault="00664C63" w:rsidP="00CA6665">
            <w:pPr>
              <w:pStyle w:val="TableHeading"/>
            </w:pPr>
            <w:r w:rsidRPr="0074436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3AB31" w14:textId="77777777" w:rsidR="00664C63" w:rsidRPr="00744364" w:rsidRDefault="00664C63" w:rsidP="00CA6665">
            <w:pPr>
              <w:pStyle w:val="TableHeading"/>
            </w:pPr>
            <w:r w:rsidRPr="00744364">
              <w:t>Column 3</w:t>
            </w:r>
          </w:p>
        </w:tc>
      </w:tr>
      <w:tr w:rsidR="00664C63" w:rsidRPr="00744364" w14:paraId="08F3AB36" w14:textId="77777777" w:rsidTr="0093293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F3AB33" w14:textId="77777777" w:rsidR="00664C63" w:rsidRPr="00744364" w:rsidRDefault="00664C63" w:rsidP="00CA6665">
            <w:pPr>
              <w:pStyle w:val="TableHeading"/>
            </w:pPr>
            <w:r w:rsidRPr="0074436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F3AB34" w14:textId="77777777" w:rsidR="00664C63" w:rsidRPr="00744364" w:rsidRDefault="00664C63" w:rsidP="00CA6665">
            <w:pPr>
              <w:pStyle w:val="TableHeading"/>
            </w:pPr>
            <w:r w:rsidRPr="0074436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F3AB35" w14:textId="77777777" w:rsidR="00664C63" w:rsidRPr="00744364" w:rsidRDefault="00664C63" w:rsidP="00CA6665">
            <w:pPr>
              <w:pStyle w:val="TableHeading"/>
            </w:pPr>
            <w:r w:rsidRPr="00744364">
              <w:t>Date/Details</w:t>
            </w:r>
          </w:p>
        </w:tc>
      </w:tr>
      <w:tr w:rsidR="00664C63" w:rsidRPr="00744364" w14:paraId="08F3AB3A" w14:textId="77777777" w:rsidTr="00932931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8F3AB37" w14:textId="77777777" w:rsidR="00664C63" w:rsidRPr="00744364" w:rsidRDefault="00664C63" w:rsidP="00CA6665">
            <w:pPr>
              <w:pStyle w:val="Tabletext"/>
            </w:pPr>
            <w:r w:rsidRPr="00744364">
              <w:t xml:space="preserve">1.  </w:t>
            </w:r>
            <w:r w:rsidR="008E10E8" w:rsidRPr="00744364">
              <w:t>Schedule 1</w:t>
            </w:r>
            <w:r w:rsidR="00035844" w:rsidRPr="00744364">
              <w:t xml:space="preserve">, </w:t>
            </w:r>
            <w:r w:rsidR="00CA6665">
              <w:t>Part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8F3AB38" w14:textId="77777777" w:rsidR="00664C63" w:rsidRPr="00744364" w:rsidRDefault="00035844" w:rsidP="00CA6665">
            <w:pPr>
              <w:pStyle w:val="Tabletext"/>
            </w:pPr>
            <w:r w:rsidRPr="00744364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08F3AB39" w14:textId="77777777" w:rsidR="00664C63" w:rsidRPr="00744364" w:rsidRDefault="00664C63" w:rsidP="00CA6665">
            <w:pPr>
              <w:pStyle w:val="Tabletext"/>
            </w:pPr>
          </w:p>
        </w:tc>
      </w:tr>
      <w:tr w:rsidR="00664C63" w:rsidRPr="00744364" w14:paraId="08F3AB3E" w14:textId="77777777" w:rsidTr="00932931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8F3AB3B" w14:textId="77777777" w:rsidR="00664C63" w:rsidRPr="00744364" w:rsidRDefault="00664C63" w:rsidP="00CA6665">
            <w:pPr>
              <w:pStyle w:val="Tabletext"/>
            </w:pPr>
            <w:r w:rsidRPr="00744364">
              <w:t xml:space="preserve">2.  </w:t>
            </w:r>
            <w:r w:rsidR="008E10E8" w:rsidRPr="00744364">
              <w:t>Schedule 1</w:t>
            </w:r>
            <w:r w:rsidR="00035844" w:rsidRPr="00744364">
              <w:t xml:space="preserve">, </w:t>
            </w:r>
            <w:r w:rsidR="008E10E8" w:rsidRPr="00744364">
              <w:t>Part 2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08F3AB3C" w14:textId="77777777" w:rsidR="00664C63" w:rsidRPr="00744364" w:rsidRDefault="00035844" w:rsidP="00CA6665">
            <w:pPr>
              <w:pStyle w:val="Tabletext"/>
            </w:pPr>
            <w:r w:rsidRPr="00744364">
              <w:t xml:space="preserve">The first </w:t>
            </w:r>
            <w:r w:rsidR="008E10E8" w:rsidRPr="00744364">
              <w:t>1 January</w:t>
            </w:r>
            <w:r w:rsidRPr="00744364">
              <w:t xml:space="preserve">, </w:t>
            </w:r>
            <w:r w:rsidR="008E10E8" w:rsidRPr="00744364">
              <w:t>1 April</w:t>
            </w:r>
            <w:r w:rsidRPr="00744364">
              <w:t xml:space="preserve">, </w:t>
            </w:r>
            <w:r w:rsidR="008E10E8" w:rsidRPr="00744364">
              <w:t>1 July</w:t>
            </w:r>
            <w:r w:rsidRPr="00744364">
              <w:t xml:space="preserve"> or </w:t>
            </w:r>
            <w:r w:rsidR="008E10E8" w:rsidRPr="00744364">
              <w:t>1 October</w:t>
            </w:r>
            <w:r w:rsidRPr="00744364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08F3AB3D" w14:textId="77777777" w:rsidR="00664C63" w:rsidRPr="00744364" w:rsidRDefault="00664C63" w:rsidP="00CA6665">
            <w:pPr>
              <w:pStyle w:val="Tabletext"/>
            </w:pPr>
          </w:p>
        </w:tc>
      </w:tr>
      <w:tr w:rsidR="003751EF" w14:paraId="08F3AB42" w14:textId="77777777" w:rsidTr="00932931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F3AB3F" w14:textId="77777777" w:rsidR="003751EF" w:rsidRDefault="00932931" w:rsidP="00CA6665">
            <w:pPr>
              <w:pStyle w:val="Tabletext"/>
            </w:pPr>
            <w:r>
              <w:t>3</w:t>
            </w:r>
            <w:r w:rsidR="003751EF">
              <w:t xml:space="preserve">.  Schedule 1, Part 3, </w:t>
            </w:r>
            <w:r w:rsidR="00CA6665">
              <w:t>Division 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F3AB40" w14:textId="77777777" w:rsidR="003751EF" w:rsidRDefault="003751EF" w:rsidP="00CA6665">
            <w:pPr>
              <w:pStyle w:val="Tabletext"/>
            </w:pPr>
            <w:r w:rsidRPr="00B10FF6">
              <w:t xml:space="preserve">The day after the end of the period of </w:t>
            </w:r>
            <w:r>
              <w:t>14 days</w:t>
            </w:r>
            <w:r w:rsidRPr="00B10FF6">
              <w:t xml:space="preserve"> beginning on the day this Act receives the Royal Assent</w:t>
            </w:r>
            <w:r>
              <w:t>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F3AB41" w14:textId="77777777" w:rsidR="003751EF" w:rsidRDefault="003751EF" w:rsidP="00CA6665">
            <w:pPr>
              <w:pStyle w:val="Tabletext"/>
            </w:pPr>
          </w:p>
        </w:tc>
      </w:tr>
    </w:tbl>
    <w:p w14:paraId="08F3AB43" w14:textId="77777777" w:rsidR="005940FC" w:rsidRPr="00744364" w:rsidRDefault="008E10E8" w:rsidP="00CA6665">
      <w:pPr>
        <w:pStyle w:val="ActHead6"/>
        <w:pageBreakBefore/>
      </w:pPr>
      <w:r w:rsidRPr="009D240D">
        <w:rPr>
          <w:rStyle w:val="CharAmSchNo"/>
        </w:rPr>
        <w:lastRenderedPageBreak/>
        <w:t>Schedule 1</w:t>
      </w:r>
      <w:r w:rsidR="005940FC" w:rsidRPr="00744364">
        <w:t>—</w:t>
      </w:r>
      <w:r w:rsidR="005940FC" w:rsidRPr="009D240D">
        <w:rPr>
          <w:rStyle w:val="CharAmSchText"/>
        </w:rPr>
        <w:t>Miscellaneous and technical amendments</w:t>
      </w:r>
    </w:p>
    <w:p w14:paraId="08F3AB44" w14:textId="77777777" w:rsidR="005940FC" w:rsidRPr="00744364" w:rsidRDefault="00CA6665" w:rsidP="00CA6665">
      <w:pPr>
        <w:pStyle w:val="ActHead7"/>
      </w:pPr>
      <w:r w:rsidRPr="009D240D">
        <w:rPr>
          <w:rStyle w:val="CharAmPartNo"/>
        </w:rPr>
        <w:t>Part 1</w:t>
      </w:r>
      <w:r w:rsidR="005940FC" w:rsidRPr="00744364">
        <w:t>—</w:t>
      </w:r>
      <w:r w:rsidR="005940FC" w:rsidRPr="009D240D">
        <w:rPr>
          <w:rStyle w:val="CharAmPartText"/>
        </w:rPr>
        <w:t>Amendments commencing day after Royal Assent</w:t>
      </w:r>
    </w:p>
    <w:p w14:paraId="08F3AB45" w14:textId="77777777" w:rsidR="003751EF" w:rsidRDefault="00CA6665" w:rsidP="00CA6665">
      <w:pPr>
        <w:pStyle w:val="ActHead8"/>
        <w:rPr>
          <w:rFonts w:eastAsia="Calibri"/>
        </w:rPr>
      </w:pPr>
      <w:r>
        <w:t>Division 1</w:t>
      </w:r>
      <w:r w:rsidR="003751EF">
        <w:t>—</w:t>
      </w:r>
      <w:r w:rsidR="003751EF">
        <w:rPr>
          <w:rFonts w:eastAsia="Calibri"/>
        </w:rPr>
        <w:t>Australian Securities and Investments Commission Act 2001</w:t>
      </w:r>
    </w:p>
    <w:p w14:paraId="08F3AB46" w14:textId="77777777" w:rsidR="003751EF" w:rsidRDefault="003751EF" w:rsidP="00CA6665">
      <w:pPr>
        <w:pStyle w:val="ActHead9"/>
      </w:pPr>
      <w:r>
        <w:rPr>
          <w:rFonts w:eastAsia="Calibri"/>
        </w:rPr>
        <w:t>Australian Securities and Investments Commission Act 2001</w:t>
      </w:r>
    </w:p>
    <w:p w14:paraId="08F3AB47" w14:textId="77777777" w:rsidR="003751EF" w:rsidRDefault="009C08BA" w:rsidP="00CA6665">
      <w:pPr>
        <w:pStyle w:val="ItemHead"/>
      </w:pPr>
      <w:r>
        <w:t>1</w:t>
      </w:r>
      <w:r w:rsidR="003751EF">
        <w:t xml:space="preserve">  Subsection 12AC(1)</w:t>
      </w:r>
    </w:p>
    <w:p w14:paraId="08F3AB48" w14:textId="77777777" w:rsidR="003751EF" w:rsidRPr="001C3741" w:rsidRDefault="003751EF" w:rsidP="00CA6665">
      <w:pPr>
        <w:pStyle w:val="Item"/>
      </w:pPr>
      <w:r>
        <w:t>Omit “(1)”.</w:t>
      </w:r>
    </w:p>
    <w:p w14:paraId="08F3AB49" w14:textId="77777777" w:rsidR="003751EF" w:rsidRDefault="009C08BA" w:rsidP="00CA6665">
      <w:pPr>
        <w:pStyle w:val="ItemHead"/>
      </w:pPr>
      <w:r>
        <w:t>2</w:t>
      </w:r>
      <w:r w:rsidR="003751EF">
        <w:t xml:space="preserve">  Subsections 12AC(2) to (4)</w:t>
      </w:r>
    </w:p>
    <w:p w14:paraId="08F3AB4A" w14:textId="77777777" w:rsidR="003751EF" w:rsidRDefault="003751EF" w:rsidP="00CA6665">
      <w:pPr>
        <w:pStyle w:val="Item"/>
      </w:pPr>
      <w:r>
        <w:t>Repeal the subsections.</w:t>
      </w:r>
    </w:p>
    <w:p w14:paraId="08F3AB4B" w14:textId="77777777" w:rsidR="00E76097" w:rsidRPr="00744364" w:rsidRDefault="00E76097" w:rsidP="00CA6665">
      <w:pPr>
        <w:pStyle w:val="ActHead8"/>
        <w:rPr>
          <w:rFonts w:eastAsia="Calibri"/>
        </w:rPr>
      </w:pPr>
      <w:r w:rsidRPr="00744364">
        <w:t>Division </w:t>
      </w:r>
      <w:r w:rsidR="003751EF">
        <w:t>2</w:t>
      </w:r>
      <w:r w:rsidRPr="00744364">
        <w:t>—</w:t>
      </w:r>
      <w:r w:rsidRPr="00744364">
        <w:rPr>
          <w:rFonts w:eastAsia="Calibri"/>
        </w:rPr>
        <w:t>Contents of annual financial reports</w:t>
      </w:r>
    </w:p>
    <w:p w14:paraId="08F3AB4C" w14:textId="77777777" w:rsidR="00E76097" w:rsidRPr="00744364" w:rsidRDefault="00E76097" w:rsidP="00CA6665">
      <w:pPr>
        <w:pStyle w:val="ActHead9"/>
      </w:pPr>
      <w:r w:rsidRPr="00744364">
        <w:t>Corporations Act 2001</w:t>
      </w:r>
    </w:p>
    <w:p w14:paraId="08F3AB4D" w14:textId="77777777" w:rsidR="00E76097" w:rsidRPr="00744364" w:rsidRDefault="009C08BA" w:rsidP="00CA6665">
      <w:pPr>
        <w:pStyle w:val="ItemHead"/>
      </w:pPr>
      <w:r>
        <w:t>3</w:t>
      </w:r>
      <w:r w:rsidR="00E76097" w:rsidRPr="00744364">
        <w:t xml:space="preserve">  Subparagraphs 295(3A)(a)(vi) and (vii)</w:t>
      </w:r>
    </w:p>
    <w:p w14:paraId="08F3AB4E" w14:textId="77777777" w:rsidR="00E76097" w:rsidRPr="00744364" w:rsidRDefault="00E76097" w:rsidP="00CA6665">
      <w:pPr>
        <w:pStyle w:val="Item"/>
      </w:pPr>
      <w:r w:rsidRPr="00744364">
        <w:t>Repeal the subparagraphs, substitute:</w:t>
      </w:r>
    </w:p>
    <w:p w14:paraId="08F3AB4F" w14:textId="77777777" w:rsidR="00E76097" w:rsidRPr="00744364" w:rsidRDefault="00E76097" w:rsidP="00CA6665">
      <w:pPr>
        <w:pStyle w:val="paragraph"/>
      </w:pPr>
      <w:r w:rsidRPr="00744364">
        <w:tab/>
        <w:t>(vi)</w:t>
      </w:r>
      <w:r w:rsidRPr="00744364">
        <w:tab/>
        <w:t>whether the entity was an Australian resident at that time;</w:t>
      </w:r>
    </w:p>
    <w:p w14:paraId="08F3AB50" w14:textId="77777777" w:rsidR="00E76097" w:rsidRPr="00744364" w:rsidRDefault="00E76097" w:rsidP="00CA6665">
      <w:pPr>
        <w:pStyle w:val="paragraph"/>
      </w:pPr>
      <w:r w:rsidRPr="00744364">
        <w:tab/>
        <w:t>(vii)</w:t>
      </w:r>
      <w:r w:rsidRPr="00744364">
        <w:tab/>
        <w:t xml:space="preserve">a list of each foreign jurisdiction (if any) in which the entity was, at that time, a resident for the purposes of the law of the foreign jurisdiction relating to foreign income tax (within the meaning of the </w:t>
      </w:r>
      <w:r w:rsidRPr="00744364">
        <w:rPr>
          <w:i/>
        </w:rPr>
        <w:t>Income Tax Assessment Act 1997</w:t>
      </w:r>
      <w:r w:rsidRPr="00744364">
        <w:t>); or</w:t>
      </w:r>
    </w:p>
    <w:p w14:paraId="08F3AB51" w14:textId="77777777" w:rsidR="00E76097" w:rsidRPr="00744364" w:rsidRDefault="009C08BA" w:rsidP="00CA6665">
      <w:pPr>
        <w:pStyle w:val="ItemHead"/>
      </w:pPr>
      <w:r>
        <w:t>4</w:t>
      </w:r>
      <w:r w:rsidR="00E76097" w:rsidRPr="00744364">
        <w:t xml:space="preserve">  After </w:t>
      </w:r>
      <w:r w:rsidR="008E10E8" w:rsidRPr="00744364">
        <w:t>subsection 2</w:t>
      </w:r>
      <w:r w:rsidR="00E76097" w:rsidRPr="00744364">
        <w:t>95(3A)</w:t>
      </w:r>
    </w:p>
    <w:p w14:paraId="08F3AB52" w14:textId="77777777" w:rsidR="00E76097" w:rsidRPr="00744364" w:rsidRDefault="00E76097" w:rsidP="00CA6665">
      <w:pPr>
        <w:pStyle w:val="Item"/>
      </w:pPr>
      <w:r w:rsidRPr="00744364">
        <w:t>Insert:</w:t>
      </w:r>
    </w:p>
    <w:p w14:paraId="08F3AB53" w14:textId="77777777" w:rsidR="00E76097" w:rsidRPr="00744364" w:rsidRDefault="00E76097" w:rsidP="00CA6665">
      <w:pPr>
        <w:pStyle w:val="subsection"/>
      </w:pPr>
      <w:r w:rsidRPr="00744364">
        <w:tab/>
        <w:t>(3B)</w:t>
      </w:r>
      <w:r w:rsidRPr="00744364">
        <w:tab/>
        <w:t xml:space="preserve">For the purposes of this section, an entity is an </w:t>
      </w:r>
      <w:r w:rsidRPr="00744364">
        <w:rPr>
          <w:b/>
          <w:i/>
        </w:rPr>
        <w:t>Australian resident</w:t>
      </w:r>
      <w:r w:rsidRPr="00744364">
        <w:t xml:space="preserve"> at the end of a financial year if the entity is:</w:t>
      </w:r>
    </w:p>
    <w:p w14:paraId="08F3AB54" w14:textId="77777777" w:rsidR="00E76097" w:rsidRPr="00744364" w:rsidRDefault="00E76097" w:rsidP="00CA6665">
      <w:pPr>
        <w:pStyle w:val="paragraph"/>
      </w:pPr>
      <w:r w:rsidRPr="00744364">
        <w:tab/>
        <w:t>(a)</w:t>
      </w:r>
      <w:r w:rsidRPr="00744364">
        <w:tab/>
        <w:t xml:space="preserve">an Australian resident (within the meaning of the </w:t>
      </w:r>
      <w:r w:rsidRPr="00744364">
        <w:rPr>
          <w:i/>
        </w:rPr>
        <w:t>Income Tax Assessment Act 1997</w:t>
      </w:r>
      <w:r w:rsidRPr="00744364">
        <w:t>) at that time; or</w:t>
      </w:r>
    </w:p>
    <w:p w14:paraId="08F3AB55" w14:textId="77777777" w:rsidR="00E76097" w:rsidRPr="00744364" w:rsidRDefault="00E76097" w:rsidP="00CA6665">
      <w:pPr>
        <w:pStyle w:val="paragraph"/>
      </w:pPr>
      <w:r w:rsidRPr="00744364">
        <w:tab/>
        <w:t>(b)</w:t>
      </w:r>
      <w:r w:rsidRPr="00744364">
        <w:tab/>
        <w:t xml:space="preserve">a partnership at least one member of which is an Australian resident (within the meaning of the </w:t>
      </w:r>
      <w:r w:rsidRPr="00744364">
        <w:rPr>
          <w:i/>
        </w:rPr>
        <w:t>Income Tax Assessment Act 1997</w:t>
      </w:r>
      <w:r w:rsidRPr="00744364">
        <w:t>) at that time; or</w:t>
      </w:r>
    </w:p>
    <w:p w14:paraId="08F3AB56" w14:textId="77777777" w:rsidR="00E76097" w:rsidRDefault="00E76097" w:rsidP="00CA6665">
      <w:pPr>
        <w:pStyle w:val="paragraph"/>
      </w:pPr>
      <w:r w:rsidRPr="00744364">
        <w:lastRenderedPageBreak/>
        <w:tab/>
        <w:t>(c)</w:t>
      </w:r>
      <w:r w:rsidRPr="00744364">
        <w:tab/>
        <w:t xml:space="preserve">a resident trust estate (within the meaning of </w:t>
      </w:r>
      <w:r w:rsidR="008E10E8" w:rsidRPr="00744364">
        <w:t>Division 6</w:t>
      </w:r>
      <w:r w:rsidRPr="00744364">
        <w:t xml:space="preserve"> of </w:t>
      </w:r>
      <w:r w:rsidR="008E10E8" w:rsidRPr="00744364">
        <w:t>Part I</w:t>
      </w:r>
      <w:r w:rsidRPr="00744364">
        <w:t xml:space="preserve">II of the </w:t>
      </w:r>
      <w:r w:rsidRPr="00744364">
        <w:rPr>
          <w:i/>
        </w:rPr>
        <w:t>Income Tax Assessment Act 1936</w:t>
      </w:r>
      <w:r w:rsidRPr="00744364">
        <w:t>) in relation to the year of income (within the meaning of that Act) that corresponds to the financial year.</w:t>
      </w:r>
    </w:p>
    <w:p w14:paraId="08F3AB57" w14:textId="77777777" w:rsidR="00E76097" w:rsidRPr="00744364" w:rsidRDefault="009C08BA" w:rsidP="00CA6665">
      <w:pPr>
        <w:pStyle w:val="ItemHead"/>
      </w:pPr>
      <w:r>
        <w:t>5</w:t>
      </w:r>
      <w:r w:rsidR="00E76097" w:rsidRPr="00744364">
        <w:t xml:space="preserve">  In the appropriate position in Chapter 10</w:t>
      </w:r>
    </w:p>
    <w:p w14:paraId="08F3AB58" w14:textId="77777777" w:rsidR="00E76097" w:rsidRPr="00744364" w:rsidRDefault="00E76097" w:rsidP="00CA6665">
      <w:pPr>
        <w:pStyle w:val="Item"/>
      </w:pPr>
      <w:r w:rsidRPr="00744364">
        <w:t>Insert:</w:t>
      </w:r>
    </w:p>
    <w:p w14:paraId="08F3AB59" w14:textId="77777777" w:rsidR="00E76097" w:rsidRPr="00744364" w:rsidRDefault="00CA6665" w:rsidP="00CA6665">
      <w:pPr>
        <w:pStyle w:val="ActHead2"/>
      </w:pPr>
      <w:r w:rsidRPr="009D240D">
        <w:rPr>
          <w:rStyle w:val="CharPartNo"/>
        </w:rPr>
        <w:t>Part 1</w:t>
      </w:r>
      <w:r w:rsidR="00E76097" w:rsidRPr="009D240D">
        <w:rPr>
          <w:rStyle w:val="CharPartNo"/>
        </w:rPr>
        <w:t>0.79</w:t>
      </w:r>
      <w:r w:rsidR="00E76097" w:rsidRPr="00744364">
        <w:t>—</w:t>
      </w:r>
      <w:r w:rsidR="00E76097" w:rsidRPr="009D240D">
        <w:rPr>
          <w:rStyle w:val="CharPartText"/>
        </w:rPr>
        <w:t>Application provisions relating to the Treasury Laws Amendment Bill 2024</w:t>
      </w:r>
    </w:p>
    <w:p w14:paraId="08F3AB5A" w14:textId="77777777" w:rsidR="00E76097" w:rsidRPr="009D240D" w:rsidRDefault="00E76097" w:rsidP="00CA6665">
      <w:pPr>
        <w:pStyle w:val="Header"/>
      </w:pPr>
      <w:r w:rsidRPr="009D240D">
        <w:rPr>
          <w:rStyle w:val="CharDivNo"/>
        </w:rPr>
        <w:t xml:space="preserve"> </w:t>
      </w:r>
      <w:r w:rsidRPr="009D240D">
        <w:rPr>
          <w:rStyle w:val="CharDivText"/>
        </w:rPr>
        <w:t xml:space="preserve"> </w:t>
      </w:r>
    </w:p>
    <w:p w14:paraId="08F3AB5B" w14:textId="77777777" w:rsidR="00E76097" w:rsidRPr="00744364" w:rsidRDefault="00E76097" w:rsidP="00CA6665">
      <w:pPr>
        <w:pStyle w:val="ActHead5"/>
      </w:pPr>
      <w:r w:rsidRPr="009D240D">
        <w:rPr>
          <w:rStyle w:val="CharSectno"/>
        </w:rPr>
        <w:t>1709</w:t>
      </w:r>
      <w:r w:rsidRPr="00744364">
        <w:t xml:space="preserve">  Application provision</w:t>
      </w:r>
    </w:p>
    <w:p w14:paraId="08F3AB5C" w14:textId="77777777" w:rsidR="00E76097" w:rsidRPr="00744364" w:rsidRDefault="00E76097" w:rsidP="00CA6665">
      <w:pPr>
        <w:pStyle w:val="subsection"/>
      </w:pPr>
      <w:r w:rsidRPr="00744364">
        <w:tab/>
      </w:r>
      <w:r w:rsidRPr="00744364">
        <w:tab/>
        <w:t xml:space="preserve">The amendment of paragraph 295(3A)(a) made by </w:t>
      </w:r>
      <w:r w:rsidR="00CA6665">
        <w:t>Division 1</w:t>
      </w:r>
      <w:r w:rsidRPr="00744364">
        <w:t xml:space="preserve"> of </w:t>
      </w:r>
      <w:r w:rsidR="008E10E8" w:rsidRPr="00744364">
        <w:t>Schedule 1</w:t>
      </w:r>
      <w:r w:rsidRPr="00744364">
        <w:t xml:space="preserve"> to the Treasury Laws Amendment Bill 2024 applies in relation to any financial reports for a financial year commencing on or after </w:t>
      </w:r>
      <w:r w:rsidR="008E10E8" w:rsidRPr="00744364">
        <w:t>1 July</w:t>
      </w:r>
      <w:r w:rsidRPr="00744364">
        <w:t xml:space="preserve"> 202</w:t>
      </w:r>
      <w:r w:rsidR="00E534E1" w:rsidRPr="00744364">
        <w:t>4</w:t>
      </w:r>
      <w:r w:rsidRPr="00744364">
        <w:t>.</w:t>
      </w:r>
    </w:p>
    <w:p w14:paraId="08F3AB5D" w14:textId="77777777" w:rsidR="00932931" w:rsidRDefault="00932931" w:rsidP="00CA6665">
      <w:pPr>
        <w:pStyle w:val="ActHead8"/>
        <w:rPr>
          <w:rFonts w:eastAsia="Calibri"/>
        </w:rPr>
      </w:pPr>
      <w:r>
        <w:t>Division 3—</w:t>
      </w:r>
      <w:r>
        <w:rPr>
          <w:rFonts w:eastAsia="Calibri"/>
        </w:rPr>
        <w:t>Foreign Acquisitions and Takeovers Act 1975</w:t>
      </w:r>
    </w:p>
    <w:p w14:paraId="08F3AB5E" w14:textId="77777777" w:rsidR="00932931" w:rsidRDefault="00932931" w:rsidP="00CA6665">
      <w:pPr>
        <w:pStyle w:val="ActHead9"/>
      </w:pPr>
      <w:r>
        <w:rPr>
          <w:rFonts w:eastAsia="Calibri"/>
        </w:rPr>
        <w:t>Foreign Acquisitions and Takeovers Act 1975</w:t>
      </w:r>
    </w:p>
    <w:p w14:paraId="08F3AB5F" w14:textId="77777777" w:rsidR="00932931" w:rsidRDefault="009C08BA" w:rsidP="00CA6665">
      <w:pPr>
        <w:pStyle w:val="ItemHead"/>
      </w:pPr>
      <w:r>
        <w:t>6</w:t>
      </w:r>
      <w:r w:rsidR="00932931">
        <w:t xml:space="preserve">  Paragraph 95(7)(a)</w:t>
      </w:r>
    </w:p>
    <w:p w14:paraId="08F3AB60" w14:textId="77777777" w:rsidR="00932931" w:rsidRDefault="00932931" w:rsidP="00CA6665">
      <w:pPr>
        <w:pStyle w:val="Item"/>
      </w:pPr>
      <w:r>
        <w:t>After “subsection (8)”, insert “or (9) (whichever is applicable)”.</w:t>
      </w:r>
    </w:p>
    <w:p w14:paraId="08F3AB61" w14:textId="77777777" w:rsidR="00932931" w:rsidRDefault="009C08BA" w:rsidP="00CA6665">
      <w:pPr>
        <w:pStyle w:val="ItemHead"/>
      </w:pPr>
      <w:r>
        <w:t>7</w:t>
      </w:r>
      <w:r w:rsidR="00932931">
        <w:t xml:space="preserve">  Subsection 95(8)</w:t>
      </w:r>
    </w:p>
    <w:p w14:paraId="08F3AB62" w14:textId="77777777" w:rsidR="00932931" w:rsidRDefault="00932931" w:rsidP="00CA6665">
      <w:pPr>
        <w:pStyle w:val="Item"/>
      </w:pPr>
      <w:r>
        <w:t>Omit “The interest”, substitute “If the contravention is a contravention of subsection (1), the interest”.</w:t>
      </w:r>
    </w:p>
    <w:p w14:paraId="08F3AB63" w14:textId="77777777" w:rsidR="00932931" w:rsidRDefault="009C08BA" w:rsidP="00CA6665">
      <w:pPr>
        <w:pStyle w:val="ItemHead"/>
      </w:pPr>
      <w:r>
        <w:t>8</w:t>
      </w:r>
      <w:r w:rsidR="00932931">
        <w:t xml:space="preserve">  At the end of section 95</w:t>
      </w:r>
    </w:p>
    <w:p w14:paraId="08F3AB64" w14:textId="77777777" w:rsidR="00932931" w:rsidRDefault="00932931" w:rsidP="00CA6665">
      <w:pPr>
        <w:pStyle w:val="Item"/>
      </w:pPr>
      <w:r>
        <w:t>Add:</w:t>
      </w:r>
    </w:p>
    <w:p w14:paraId="08F3AB65" w14:textId="77777777" w:rsidR="00932931" w:rsidRPr="00727E6F" w:rsidRDefault="00932931" w:rsidP="00CA6665">
      <w:pPr>
        <w:pStyle w:val="subsection"/>
      </w:pPr>
      <w:r>
        <w:tab/>
        <w:t>(9)</w:t>
      </w:r>
      <w:r>
        <w:tab/>
        <w:t xml:space="preserve">If the contravention is a contravention of subsection (4), the interest is the </w:t>
      </w:r>
      <w:r w:rsidRPr="00727E6F">
        <w:t xml:space="preserve">interest mentioned in </w:t>
      </w:r>
      <w:r>
        <w:t>that subsection</w:t>
      </w:r>
      <w:r w:rsidRPr="00727E6F">
        <w:t>.</w:t>
      </w:r>
    </w:p>
    <w:p w14:paraId="08F3AB66" w14:textId="77777777" w:rsidR="00932931" w:rsidRDefault="009C08BA" w:rsidP="00CA6665">
      <w:pPr>
        <w:pStyle w:val="Transitional"/>
      </w:pPr>
      <w:r>
        <w:lastRenderedPageBreak/>
        <w:t>9</w:t>
      </w:r>
      <w:r w:rsidR="00932931">
        <w:t xml:space="preserve">  Application of amendments</w:t>
      </w:r>
    </w:p>
    <w:p w14:paraId="08F3AB67" w14:textId="77777777" w:rsidR="00932931" w:rsidRDefault="00932931" w:rsidP="00CA6665">
      <w:pPr>
        <w:pStyle w:val="Item"/>
      </w:pPr>
      <w:r>
        <w:t xml:space="preserve">The amendments made by this Division apply in relation to a contravention of subsection 95(4) of the </w:t>
      </w:r>
      <w:r>
        <w:rPr>
          <w:i/>
        </w:rPr>
        <w:t>Foreign Acquisitions and Takeovers Act 1975</w:t>
      </w:r>
      <w:r>
        <w:t xml:space="preserve"> that occurs on or after the commencement of this item.</w:t>
      </w:r>
    </w:p>
    <w:p w14:paraId="08F3AB68" w14:textId="77777777" w:rsidR="005940FC" w:rsidRPr="00744364" w:rsidRDefault="005940FC" w:rsidP="00CA6665">
      <w:pPr>
        <w:pStyle w:val="ActHead8"/>
        <w:rPr>
          <w:rFonts w:eastAsia="Calibri"/>
        </w:rPr>
      </w:pPr>
      <w:r w:rsidRPr="00744364">
        <w:t>Division </w:t>
      </w:r>
      <w:r w:rsidR="00932931">
        <w:t>4</w:t>
      </w:r>
      <w:r w:rsidRPr="00744364">
        <w:t>—Assessable petroleum receipts worked out according to regulations</w:t>
      </w:r>
    </w:p>
    <w:p w14:paraId="08F3AB69" w14:textId="77777777" w:rsidR="005940FC" w:rsidRPr="00744364" w:rsidRDefault="005940FC" w:rsidP="00CA6665">
      <w:pPr>
        <w:pStyle w:val="ActHead9"/>
        <w:rPr>
          <w:rFonts w:eastAsia="Calibri"/>
        </w:rPr>
      </w:pPr>
      <w:r w:rsidRPr="00744364">
        <w:rPr>
          <w:rFonts w:eastAsia="Calibri"/>
        </w:rPr>
        <w:t>Petroleum Resource Rent Tax Assessment Act 1987</w:t>
      </w:r>
    </w:p>
    <w:p w14:paraId="08F3AB6A" w14:textId="77777777" w:rsidR="005940FC" w:rsidRPr="00744364" w:rsidRDefault="009C08BA" w:rsidP="00CA6665">
      <w:pPr>
        <w:pStyle w:val="ItemHead"/>
      </w:pPr>
      <w:r>
        <w:t>10</w:t>
      </w:r>
      <w:r w:rsidR="005940FC" w:rsidRPr="00744364">
        <w:t xml:space="preserve">  </w:t>
      </w:r>
      <w:r w:rsidR="008E10E8" w:rsidRPr="00744364">
        <w:t>Section 2</w:t>
      </w:r>
      <w:r w:rsidR="005940FC" w:rsidRPr="00744364">
        <w:t>6</w:t>
      </w:r>
    </w:p>
    <w:p w14:paraId="08F3AB6B" w14:textId="77777777" w:rsidR="005940FC" w:rsidRPr="00744364" w:rsidRDefault="005940FC" w:rsidP="00CA6665">
      <w:pPr>
        <w:pStyle w:val="Item"/>
      </w:pPr>
      <w:r w:rsidRPr="00744364">
        <w:t>Omit “, 24(1)(e)”.</w:t>
      </w:r>
    </w:p>
    <w:p w14:paraId="08F3AB6C" w14:textId="77777777" w:rsidR="005940FC" w:rsidRPr="00744364" w:rsidRDefault="009C08BA" w:rsidP="00CA6665">
      <w:pPr>
        <w:pStyle w:val="Transitional"/>
      </w:pPr>
      <w:r>
        <w:t>11</w:t>
      </w:r>
      <w:r w:rsidR="005940FC" w:rsidRPr="00744364">
        <w:t xml:space="preserve">  Application of amendments</w:t>
      </w:r>
    </w:p>
    <w:p w14:paraId="08F3AB6D" w14:textId="77777777" w:rsidR="005940FC" w:rsidRPr="00744364" w:rsidRDefault="005940FC" w:rsidP="00CA6665">
      <w:pPr>
        <w:pStyle w:val="Item"/>
      </w:pPr>
      <w:r w:rsidRPr="00744364">
        <w:t xml:space="preserve">The amendment made by this Division applies in relation to a year of tax beginning on or after </w:t>
      </w:r>
      <w:r w:rsidR="008E10E8" w:rsidRPr="00744364">
        <w:t>1 July</w:t>
      </w:r>
      <w:r w:rsidRPr="00744364">
        <w:t xml:space="preserve"> 2024.</w:t>
      </w:r>
    </w:p>
    <w:p w14:paraId="08F3AB6E" w14:textId="77777777" w:rsidR="0061709B" w:rsidRPr="00744364" w:rsidRDefault="008E10E8" w:rsidP="00CA6665">
      <w:pPr>
        <w:pStyle w:val="ActHead7"/>
        <w:pageBreakBefore/>
      </w:pPr>
      <w:r w:rsidRPr="009D240D">
        <w:rPr>
          <w:rStyle w:val="CharAmPartNo"/>
        </w:rPr>
        <w:lastRenderedPageBreak/>
        <w:t>Part 2</w:t>
      </w:r>
      <w:r w:rsidR="0061709B" w:rsidRPr="00744364">
        <w:t>—</w:t>
      </w:r>
      <w:r w:rsidR="0061709B" w:rsidRPr="009D240D">
        <w:rPr>
          <w:rStyle w:val="CharAmPartText"/>
        </w:rPr>
        <w:t>Amendments commencing first day of next quarter</w:t>
      </w:r>
    </w:p>
    <w:p w14:paraId="08F3AB6F" w14:textId="77777777" w:rsidR="00741C65" w:rsidRPr="00744364" w:rsidRDefault="00CA6665" w:rsidP="00CA6665">
      <w:pPr>
        <w:pStyle w:val="ActHead8"/>
        <w:rPr>
          <w:rFonts w:eastAsia="Calibri"/>
        </w:rPr>
      </w:pPr>
      <w:r>
        <w:t>Division 1</w:t>
      </w:r>
      <w:r w:rsidR="00741C65" w:rsidRPr="00744364">
        <w:t>—</w:t>
      </w:r>
      <w:r w:rsidR="00741C65" w:rsidRPr="00744364">
        <w:rPr>
          <w:rFonts w:eastAsia="Calibri"/>
        </w:rPr>
        <w:t>General class investors</w:t>
      </w:r>
    </w:p>
    <w:p w14:paraId="08F3AB70" w14:textId="77777777" w:rsidR="00741C65" w:rsidRPr="00744364" w:rsidRDefault="00741C65" w:rsidP="00CA6665">
      <w:pPr>
        <w:pStyle w:val="ActHead9"/>
      </w:pPr>
      <w:r w:rsidRPr="00744364">
        <w:t>Income Tax Assessment Act 1997</w:t>
      </w:r>
    </w:p>
    <w:p w14:paraId="08F3AB71" w14:textId="77777777" w:rsidR="00741C65" w:rsidRPr="00744364" w:rsidRDefault="009C08BA" w:rsidP="00CA6665">
      <w:pPr>
        <w:pStyle w:val="ItemHead"/>
      </w:pPr>
      <w:r>
        <w:t>12</w:t>
      </w:r>
      <w:r w:rsidR="00741C65" w:rsidRPr="00744364">
        <w:t xml:space="preserve">  After </w:t>
      </w:r>
      <w:r w:rsidR="0090793B" w:rsidRPr="00744364">
        <w:t>subsection 8</w:t>
      </w:r>
      <w:r w:rsidR="00741C65" w:rsidRPr="00744364">
        <w:t>20</w:t>
      </w:r>
      <w:r w:rsidR="00CA6665">
        <w:noBreakHyphen/>
      </w:r>
      <w:r w:rsidR="00741C65" w:rsidRPr="00744364">
        <w:t>85(2B)</w:t>
      </w:r>
    </w:p>
    <w:p w14:paraId="08F3AB72" w14:textId="77777777" w:rsidR="00741C65" w:rsidRPr="00744364" w:rsidRDefault="00741C65" w:rsidP="00CA6665">
      <w:pPr>
        <w:pStyle w:val="Item"/>
      </w:pPr>
      <w:r w:rsidRPr="00744364">
        <w:t>Insert:</w:t>
      </w:r>
    </w:p>
    <w:p w14:paraId="08F3AB73" w14:textId="77777777" w:rsidR="00741C65" w:rsidRPr="00744364" w:rsidRDefault="00741C65" w:rsidP="00CA6665">
      <w:pPr>
        <w:pStyle w:val="subsection"/>
      </w:pPr>
      <w:r w:rsidRPr="00744364">
        <w:tab/>
        <w:t>(2BA)</w:t>
      </w:r>
      <w:r w:rsidRPr="00744364">
        <w:tab/>
        <w:t xml:space="preserve">For the purposes of item 2 of the table in </w:t>
      </w:r>
      <w:r w:rsidR="0090793B" w:rsidRPr="00744364">
        <w:t>subsection (</w:t>
      </w:r>
      <w:r w:rsidRPr="00744364">
        <w:t xml:space="preserve">2) of this section, assume that the other </w:t>
      </w:r>
      <w:r w:rsidR="00CA6665" w:rsidRPr="00CA6665">
        <w:rPr>
          <w:position w:val="6"/>
          <w:sz w:val="16"/>
        </w:rPr>
        <w:t>*</w:t>
      </w:r>
      <w:r w:rsidRPr="00744364">
        <w:t xml:space="preserve">Australian entity is a </w:t>
      </w:r>
      <w:r w:rsidR="00CA6665" w:rsidRPr="00CA6665">
        <w:rPr>
          <w:position w:val="6"/>
          <w:sz w:val="16"/>
        </w:rPr>
        <w:t>*</w:t>
      </w:r>
      <w:r w:rsidRPr="00744364">
        <w:t>financial entity for all of the income year.</w:t>
      </w:r>
    </w:p>
    <w:p w14:paraId="08F3AB74" w14:textId="77777777" w:rsidR="00741C65" w:rsidRPr="00744364" w:rsidRDefault="009C08BA" w:rsidP="00CA6665">
      <w:pPr>
        <w:pStyle w:val="ItemHead"/>
      </w:pPr>
      <w:r>
        <w:t>13</w:t>
      </w:r>
      <w:r w:rsidR="00741C65" w:rsidRPr="00744364">
        <w:t xml:space="preserve">  </w:t>
      </w:r>
      <w:r w:rsidR="0090793B" w:rsidRPr="00744364">
        <w:t>Subparagraph 8</w:t>
      </w:r>
      <w:r w:rsidR="00741C65" w:rsidRPr="00744364">
        <w:t>20</w:t>
      </w:r>
      <w:r w:rsidR="00CA6665">
        <w:noBreakHyphen/>
      </w:r>
      <w:r w:rsidR="00741C65" w:rsidRPr="00744364">
        <w:t>300(2)(c)(ii)</w:t>
      </w:r>
    </w:p>
    <w:p w14:paraId="08F3AB75" w14:textId="77777777" w:rsidR="00741C65" w:rsidRPr="00744364" w:rsidRDefault="00741C65" w:rsidP="00CA6665">
      <w:pPr>
        <w:pStyle w:val="Item"/>
      </w:pPr>
      <w:r w:rsidRPr="00744364">
        <w:t xml:space="preserve">Omit “that is an </w:t>
      </w:r>
      <w:r w:rsidR="00CA6665" w:rsidRPr="00CA6665">
        <w:rPr>
          <w:position w:val="6"/>
          <w:sz w:val="16"/>
        </w:rPr>
        <w:t>*</w:t>
      </w:r>
      <w:r w:rsidRPr="00744364">
        <w:t>outward investing financial entity (non</w:t>
      </w:r>
      <w:r w:rsidR="00CA6665">
        <w:noBreakHyphen/>
      </w:r>
      <w:r w:rsidRPr="00744364">
        <w:t xml:space="preserve">ADI) or an </w:t>
      </w:r>
      <w:r w:rsidR="00CA6665" w:rsidRPr="00CA6665">
        <w:rPr>
          <w:position w:val="6"/>
          <w:sz w:val="16"/>
        </w:rPr>
        <w:t>*</w:t>
      </w:r>
      <w:r w:rsidRPr="00744364">
        <w:t xml:space="preserve">outward investing entity (ADI)”, substitute “(a </w:t>
      </w:r>
      <w:r w:rsidRPr="00744364">
        <w:rPr>
          <w:b/>
          <w:i/>
        </w:rPr>
        <w:t>related investor</w:t>
      </w:r>
      <w:r w:rsidRPr="00744364">
        <w:t xml:space="preserve">) to which </w:t>
      </w:r>
      <w:r w:rsidR="0090793B" w:rsidRPr="00744364">
        <w:t>subsection (</w:t>
      </w:r>
      <w:r w:rsidRPr="00744364">
        <w:t>2AA) applies”.</w:t>
      </w:r>
    </w:p>
    <w:p w14:paraId="08F3AB76" w14:textId="77777777" w:rsidR="00741C65" w:rsidRPr="00744364" w:rsidRDefault="009C08BA" w:rsidP="00CA6665">
      <w:pPr>
        <w:pStyle w:val="ItemHead"/>
      </w:pPr>
      <w:r>
        <w:t>14</w:t>
      </w:r>
      <w:r w:rsidR="00741C65" w:rsidRPr="00744364">
        <w:t xml:space="preserve">  After </w:t>
      </w:r>
      <w:r w:rsidR="0090793B" w:rsidRPr="00744364">
        <w:t>subsection 8</w:t>
      </w:r>
      <w:r w:rsidR="00741C65" w:rsidRPr="00744364">
        <w:t>20</w:t>
      </w:r>
      <w:r w:rsidR="00CA6665">
        <w:noBreakHyphen/>
      </w:r>
      <w:r w:rsidR="00741C65" w:rsidRPr="00744364">
        <w:t>300(2)</w:t>
      </w:r>
    </w:p>
    <w:p w14:paraId="08F3AB77" w14:textId="77777777" w:rsidR="00741C65" w:rsidRPr="00744364" w:rsidRDefault="00741C65" w:rsidP="00CA6665">
      <w:pPr>
        <w:pStyle w:val="Item"/>
      </w:pPr>
      <w:r w:rsidRPr="00744364">
        <w:t>Insert:</w:t>
      </w:r>
    </w:p>
    <w:p w14:paraId="08F3AB78" w14:textId="77777777" w:rsidR="00741C65" w:rsidRPr="00744364" w:rsidRDefault="00741C65" w:rsidP="00CA6665">
      <w:pPr>
        <w:pStyle w:val="subsection"/>
      </w:pPr>
      <w:r w:rsidRPr="00744364">
        <w:tab/>
        <w:t>(2AA)</w:t>
      </w:r>
      <w:r w:rsidRPr="00744364">
        <w:tab/>
        <w:t>This subsection applies to a related investor for a period if at all times during the period:</w:t>
      </w:r>
    </w:p>
    <w:p w14:paraId="08F3AB79" w14:textId="77777777" w:rsidR="00741C65" w:rsidRPr="00744364" w:rsidRDefault="00741C65" w:rsidP="00CA6665">
      <w:pPr>
        <w:pStyle w:val="paragraph"/>
      </w:pPr>
      <w:r w:rsidRPr="00744364">
        <w:tab/>
        <w:t>(a)</w:t>
      </w:r>
      <w:r w:rsidRPr="00744364">
        <w:tab/>
        <w:t xml:space="preserve">it is an </w:t>
      </w:r>
      <w:r w:rsidR="00CA6665" w:rsidRPr="00CA6665">
        <w:rPr>
          <w:position w:val="6"/>
          <w:sz w:val="16"/>
        </w:rPr>
        <w:t>*</w:t>
      </w:r>
      <w:r w:rsidRPr="00744364">
        <w:t>outward investing financial entity (non</w:t>
      </w:r>
      <w:r w:rsidR="00CA6665">
        <w:noBreakHyphen/>
      </w:r>
      <w:r w:rsidRPr="00744364">
        <w:t>ADI); or</w:t>
      </w:r>
    </w:p>
    <w:p w14:paraId="08F3AB7A" w14:textId="77777777" w:rsidR="00741C65" w:rsidRPr="00744364" w:rsidRDefault="00741C65" w:rsidP="00CA6665">
      <w:pPr>
        <w:pStyle w:val="paragraph"/>
      </w:pPr>
      <w:r w:rsidRPr="00744364">
        <w:tab/>
        <w:t>(b)</w:t>
      </w:r>
      <w:r w:rsidRPr="00744364">
        <w:tab/>
        <w:t xml:space="preserve">it is an </w:t>
      </w:r>
      <w:r w:rsidR="00CA6665" w:rsidRPr="00CA6665">
        <w:rPr>
          <w:position w:val="6"/>
          <w:sz w:val="16"/>
        </w:rPr>
        <w:t>*</w:t>
      </w:r>
      <w:r w:rsidRPr="00744364">
        <w:t>outward investing entity (ADI); or</w:t>
      </w:r>
    </w:p>
    <w:p w14:paraId="08F3AB7B" w14:textId="77777777" w:rsidR="00741C65" w:rsidRPr="00744364" w:rsidRDefault="00741C65" w:rsidP="00CA6665">
      <w:pPr>
        <w:pStyle w:val="paragraph"/>
      </w:pPr>
      <w:r w:rsidRPr="00744364">
        <w:tab/>
        <w:t>(c)</w:t>
      </w:r>
      <w:r w:rsidRPr="00744364">
        <w:tab/>
        <w:t>both:</w:t>
      </w:r>
    </w:p>
    <w:p w14:paraId="08F3AB7C" w14:textId="77777777" w:rsidR="00741C65" w:rsidRPr="00744364" w:rsidRDefault="00741C65" w:rsidP="00CA6665">
      <w:pPr>
        <w:pStyle w:val="paragraphsub"/>
      </w:pPr>
      <w:r w:rsidRPr="00744364">
        <w:tab/>
        <w:t>(i)</w:t>
      </w:r>
      <w:r w:rsidRPr="00744364">
        <w:tab/>
        <w:t xml:space="preserve">it is a </w:t>
      </w:r>
      <w:r w:rsidR="00CA6665" w:rsidRPr="00CA6665">
        <w:rPr>
          <w:position w:val="6"/>
          <w:sz w:val="16"/>
        </w:rPr>
        <w:t>*</w:t>
      </w:r>
      <w:r w:rsidRPr="00744364">
        <w:t>general class investor; and</w:t>
      </w:r>
    </w:p>
    <w:p w14:paraId="08F3AB7D" w14:textId="77777777" w:rsidR="00741C65" w:rsidRPr="00744364" w:rsidRDefault="00741C65" w:rsidP="00CA6665">
      <w:pPr>
        <w:pStyle w:val="paragraphsub"/>
      </w:pPr>
      <w:r w:rsidRPr="00744364">
        <w:tab/>
        <w:t>(ii)</w:t>
      </w:r>
      <w:r w:rsidRPr="00744364">
        <w:tab/>
        <w:t xml:space="preserve">assuming that it were a </w:t>
      </w:r>
      <w:r w:rsidR="00CA6665" w:rsidRPr="00CA6665">
        <w:rPr>
          <w:position w:val="6"/>
          <w:sz w:val="16"/>
        </w:rPr>
        <w:t>*</w:t>
      </w:r>
      <w:r w:rsidRPr="00744364">
        <w:t>financial entity, it would be an outward investing financial entity (non</w:t>
      </w:r>
      <w:r w:rsidR="00CA6665">
        <w:noBreakHyphen/>
      </w:r>
      <w:r w:rsidRPr="00744364">
        <w:t>ADI).</w:t>
      </w:r>
    </w:p>
    <w:p w14:paraId="08F3AB7E" w14:textId="77777777" w:rsidR="00741C65" w:rsidRPr="00744364" w:rsidRDefault="009C08BA" w:rsidP="00CA6665">
      <w:pPr>
        <w:pStyle w:val="Transitional"/>
      </w:pPr>
      <w:r>
        <w:t>15</w:t>
      </w:r>
      <w:r w:rsidR="00741C65" w:rsidRPr="00744364">
        <w:t xml:space="preserve">  Application of amendments</w:t>
      </w:r>
    </w:p>
    <w:p w14:paraId="08F3AB7F" w14:textId="77777777" w:rsidR="00741C65" w:rsidRPr="00744364" w:rsidRDefault="00741C65" w:rsidP="00CA6665">
      <w:pPr>
        <w:pStyle w:val="Item"/>
      </w:pPr>
      <w:r w:rsidRPr="00744364">
        <w:t>The amendments made by this Division apply in relation to an income year starting on or after 1 July 2023.</w:t>
      </w:r>
    </w:p>
    <w:p w14:paraId="08F3AB80" w14:textId="77777777" w:rsidR="0063423A" w:rsidRPr="00744364" w:rsidRDefault="0063423A" w:rsidP="00CA6665">
      <w:pPr>
        <w:pStyle w:val="ActHead8"/>
        <w:rPr>
          <w:rFonts w:eastAsia="Calibri"/>
        </w:rPr>
      </w:pPr>
      <w:r w:rsidRPr="00744364">
        <w:lastRenderedPageBreak/>
        <w:t>Division </w:t>
      </w:r>
      <w:r w:rsidR="00741C65" w:rsidRPr="00744364">
        <w:t>2</w:t>
      </w:r>
      <w:r w:rsidRPr="00744364">
        <w:t>—</w:t>
      </w:r>
      <w:r w:rsidRPr="00744364">
        <w:rPr>
          <w:rFonts w:eastAsia="Calibri"/>
        </w:rPr>
        <w:t>Deductible gift recipients</w:t>
      </w:r>
    </w:p>
    <w:p w14:paraId="08F3AB81" w14:textId="77777777" w:rsidR="0063423A" w:rsidRPr="00744364" w:rsidRDefault="0063423A" w:rsidP="00CA6665">
      <w:pPr>
        <w:pStyle w:val="ActHead9"/>
      </w:pPr>
      <w:r w:rsidRPr="00744364">
        <w:t>Income Tax Assessment Act 1997</w:t>
      </w:r>
    </w:p>
    <w:p w14:paraId="08F3AB82" w14:textId="77777777" w:rsidR="0063423A" w:rsidRPr="00744364" w:rsidRDefault="009C08BA" w:rsidP="00CA6665">
      <w:pPr>
        <w:pStyle w:val="ItemHead"/>
      </w:pPr>
      <w:r>
        <w:t>16</w:t>
      </w:r>
      <w:r w:rsidR="0063423A" w:rsidRPr="00744364">
        <w:t xml:space="preserve">  Subsection 30</w:t>
      </w:r>
      <w:r w:rsidR="00CA6665">
        <w:noBreakHyphen/>
      </w:r>
      <w:r w:rsidR="0063423A" w:rsidRPr="00744364">
        <w:t>45(2) (table item 4.2.9)</w:t>
      </w:r>
    </w:p>
    <w:p w14:paraId="08F3AB83" w14:textId="77777777" w:rsidR="0063423A" w:rsidRPr="00744364" w:rsidRDefault="0063423A" w:rsidP="00CA6665">
      <w:pPr>
        <w:pStyle w:val="Item"/>
      </w:pPr>
      <w:r w:rsidRPr="00744364">
        <w:t>Omit “the Royal Society for the Prevention of Cruelty to Animals (South Australia) Incorporated”, substitute “Royal Society for the Prevention of Cruelty to Animals (South Australia) Limited”.</w:t>
      </w:r>
    </w:p>
    <w:p w14:paraId="08F3AB84" w14:textId="77777777" w:rsidR="0063423A" w:rsidRPr="00744364" w:rsidRDefault="009C08BA" w:rsidP="00CA6665">
      <w:pPr>
        <w:pStyle w:val="ItemHead"/>
      </w:pPr>
      <w:r>
        <w:t>17</w:t>
      </w:r>
      <w:r w:rsidR="0063423A" w:rsidRPr="00744364">
        <w:t xml:space="preserve">  Subsection 30</w:t>
      </w:r>
      <w:r w:rsidR="00CA6665">
        <w:noBreakHyphen/>
      </w:r>
      <w:r w:rsidR="0063423A" w:rsidRPr="00744364">
        <w:t>45(2) (table item 4.2.26)</w:t>
      </w:r>
    </w:p>
    <w:p w14:paraId="08F3AB85" w14:textId="77777777" w:rsidR="0063423A" w:rsidRPr="00744364" w:rsidRDefault="0063423A" w:rsidP="00CA6665">
      <w:pPr>
        <w:pStyle w:val="Item"/>
      </w:pPr>
      <w:r w:rsidRPr="00744364">
        <w:t>Omit “Alcohol Education and Rehabilitation Foundation Limited”, substitute “Foundation for Alcohol Research and Education Limited”.</w:t>
      </w:r>
    </w:p>
    <w:p w14:paraId="08F3AB86" w14:textId="77777777" w:rsidR="0063423A" w:rsidRPr="00744364" w:rsidRDefault="009C08BA" w:rsidP="00CA6665">
      <w:pPr>
        <w:pStyle w:val="ItemHead"/>
      </w:pPr>
      <w:r>
        <w:t>18</w:t>
      </w:r>
      <w:r w:rsidR="0063423A" w:rsidRPr="00744364">
        <w:t xml:space="preserve">  Subsection 30</w:t>
      </w:r>
      <w:r w:rsidR="00CA6665">
        <w:noBreakHyphen/>
      </w:r>
      <w:r w:rsidR="0063423A" w:rsidRPr="00744364">
        <w:t>105(2) (table item 13.2.20)</w:t>
      </w:r>
    </w:p>
    <w:p w14:paraId="08F3AB87" w14:textId="77777777" w:rsidR="0063423A" w:rsidRPr="00744364" w:rsidRDefault="0063423A" w:rsidP="00CA6665">
      <w:pPr>
        <w:pStyle w:val="Item"/>
      </w:pPr>
      <w:r w:rsidRPr="00744364">
        <w:t>Omit “The Prince’s Trust Australia Limited’, substitute “The King’s Trust Australia Limited”.</w:t>
      </w:r>
    </w:p>
    <w:p w14:paraId="08F3AB88" w14:textId="77777777" w:rsidR="0063423A" w:rsidRPr="00744364" w:rsidRDefault="009C08BA" w:rsidP="00CA6665">
      <w:pPr>
        <w:pStyle w:val="ItemHead"/>
      </w:pPr>
      <w:r>
        <w:t>19</w:t>
      </w:r>
      <w:r w:rsidR="0063423A" w:rsidRPr="00744364">
        <w:t xml:space="preserve">  Section 30</w:t>
      </w:r>
      <w:r w:rsidR="00CA6665">
        <w:noBreakHyphen/>
      </w:r>
      <w:r w:rsidR="0063423A" w:rsidRPr="00744364">
        <w:t>315 (after table item 49D)</w:t>
      </w:r>
    </w:p>
    <w:p w14:paraId="08F3AB89" w14:textId="77777777" w:rsidR="0063423A" w:rsidRPr="00744364" w:rsidRDefault="0063423A" w:rsidP="00CA6665">
      <w:pPr>
        <w:pStyle w:val="Item"/>
      </w:pPr>
      <w:r w:rsidRPr="00744364">
        <w:t>Insert:</w:t>
      </w:r>
    </w:p>
    <w:p w14:paraId="08F3AB8A" w14:textId="77777777" w:rsidR="0063423A" w:rsidRPr="00744364" w:rsidRDefault="0063423A" w:rsidP="00CA6665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63423A" w:rsidRPr="00744364" w14:paraId="08F3AB8E" w14:textId="77777777" w:rsidTr="00D27B17">
        <w:tc>
          <w:tcPr>
            <w:tcW w:w="1063" w:type="dxa"/>
            <w:shd w:val="clear" w:color="auto" w:fill="auto"/>
          </w:tcPr>
          <w:p w14:paraId="08F3AB8B" w14:textId="77777777" w:rsidR="0063423A" w:rsidRPr="00744364" w:rsidRDefault="0063423A" w:rsidP="00CA6665">
            <w:pPr>
              <w:pStyle w:val="Tabletext"/>
            </w:pPr>
            <w:r w:rsidRPr="00744364">
              <w:t>49E</w:t>
            </w:r>
          </w:p>
        </w:tc>
        <w:tc>
          <w:tcPr>
            <w:tcW w:w="3917" w:type="dxa"/>
            <w:shd w:val="clear" w:color="auto" w:fill="auto"/>
          </w:tcPr>
          <w:p w14:paraId="08F3AB8C" w14:textId="77777777" w:rsidR="0063423A" w:rsidRPr="00744364" w:rsidRDefault="0063423A" w:rsidP="00CA6665">
            <w:pPr>
              <w:pStyle w:val="Tabletext"/>
            </w:pPr>
            <w:r w:rsidRPr="00744364">
              <w:t>Foundation for Alcohol Research and Education Limited</w:t>
            </w:r>
          </w:p>
        </w:tc>
        <w:tc>
          <w:tcPr>
            <w:tcW w:w="2327" w:type="dxa"/>
            <w:shd w:val="clear" w:color="auto" w:fill="auto"/>
          </w:tcPr>
          <w:p w14:paraId="08F3AB8D" w14:textId="77777777" w:rsidR="0063423A" w:rsidRPr="00744364" w:rsidRDefault="0063423A" w:rsidP="00CA6665">
            <w:pPr>
              <w:pStyle w:val="Tabletext"/>
            </w:pPr>
            <w:r w:rsidRPr="00744364">
              <w:t>item 4.2.26</w:t>
            </w:r>
          </w:p>
        </w:tc>
      </w:tr>
    </w:tbl>
    <w:p w14:paraId="08F3AB8F" w14:textId="77777777" w:rsidR="0063423A" w:rsidRPr="00744364" w:rsidRDefault="009C08BA" w:rsidP="00CA6665">
      <w:pPr>
        <w:pStyle w:val="ItemHead"/>
      </w:pPr>
      <w:r>
        <w:t>20</w:t>
      </w:r>
      <w:r w:rsidR="0063423A" w:rsidRPr="00744364">
        <w:t xml:space="preserve">  Section 30</w:t>
      </w:r>
      <w:r w:rsidR="00CA6665">
        <w:noBreakHyphen/>
      </w:r>
      <w:r w:rsidR="0063423A" w:rsidRPr="00744364">
        <w:t>315 (after table item 64A)</w:t>
      </w:r>
    </w:p>
    <w:p w14:paraId="08F3AB90" w14:textId="77777777" w:rsidR="0063423A" w:rsidRPr="00744364" w:rsidRDefault="0063423A" w:rsidP="00CA6665">
      <w:pPr>
        <w:pStyle w:val="Item"/>
      </w:pPr>
      <w:r w:rsidRPr="00744364">
        <w:t>Insert:</w:t>
      </w:r>
    </w:p>
    <w:p w14:paraId="08F3AB91" w14:textId="77777777" w:rsidR="0063423A" w:rsidRPr="00744364" w:rsidRDefault="0063423A" w:rsidP="00CA6665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63423A" w:rsidRPr="00744364" w14:paraId="08F3AB95" w14:textId="77777777" w:rsidTr="00D27B17">
        <w:tc>
          <w:tcPr>
            <w:tcW w:w="1063" w:type="dxa"/>
            <w:shd w:val="clear" w:color="auto" w:fill="auto"/>
          </w:tcPr>
          <w:p w14:paraId="08F3AB92" w14:textId="77777777" w:rsidR="0063423A" w:rsidRPr="00744364" w:rsidRDefault="0063423A" w:rsidP="00CA6665">
            <w:pPr>
              <w:pStyle w:val="Tabletext"/>
            </w:pPr>
            <w:r w:rsidRPr="00744364">
              <w:t>64B</w:t>
            </w:r>
          </w:p>
        </w:tc>
        <w:tc>
          <w:tcPr>
            <w:tcW w:w="3917" w:type="dxa"/>
            <w:shd w:val="clear" w:color="auto" w:fill="auto"/>
          </w:tcPr>
          <w:p w14:paraId="08F3AB93" w14:textId="77777777" w:rsidR="0063423A" w:rsidRPr="00744364" w:rsidRDefault="0063423A" w:rsidP="00CA6665">
            <w:pPr>
              <w:pStyle w:val="Tabletext"/>
            </w:pPr>
            <w:r w:rsidRPr="00744364">
              <w:t>King’s Trust Australia Limited</w:t>
            </w:r>
          </w:p>
        </w:tc>
        <w:tc>
          <w:tcPr>
            <w:tcW w:w="2327" w:type="dxa"/>
            <w:shd w:val="clear" w:color="auto" w:fill="auto"/>
          </w:tcPr>
          <w:p w14:paraId="08F3AB94" w14:textId="77777777" w:rsidR="0063423A" w:rsidRPr="00744364" w:rsidRDefault="0063423A" w:rsidP="00CA6665">
            <w:pPr>
              <w:pStyle w:val="Tabletext"/>
            </w:pPr>
            <w:r w:rsidRPr="00744364">
              <w:t>item 13.2.20</w:t>
            </w:r>
          </w:p>
        </w:tc>
      </w:tr>
    </w:tbl>
    <w:p w14:paraId="08F3AB96" w14:textId="77777777" w:rsidR="0063423A" w:rsidRPr="00744364" w:rsidRDefault="009C08BA" w:rsidP="00CA6665">
      <w:pPr>
        <w:pStyle w:val="ItemHead"/>
      </w:pPr>
      <w:r>
        <w:t>21</w:t>
      </w:r>
      <w:r w:rsidR="0063423A" w:rsidRPr="00744364">
        <w:t xml:space="preserve">  Section 30</w:t>
      </w:r>
      <w:r w:rsidR="00CA6665">
        <w:noBreakHyphen/>
      </w:r>
      <w:r w:rsidR="0063423A" w:rsidRPr="00744364">
        <w:t>315 (table item 89A)</w:t>
      </w:r>
    </w:p>
    <w:p w14:paraId="08F3AB97" w14:textId="77777777" w:rsidR="0063423A" w:rsidRPr="00744364" w:rsidRDefault="0063423A" w:rsidP="00CA6665">
      <w:pPr>
        <w:pStyle w:val="Item"/>
      </w:pPr>
      <w:r w:rsidRPr="00744364">
        <w:t>Repeal the item.</w:t>
      </w:r>
    </w:p>
    <w:p w14:paraId="08F3AB98" w14:textId="77777777" w:rsidR="003751EF" w:rsidRPr="00744364" w:rsidRDefault="003751EF" w:rsidP="00CA6665">
      <w:pPr>
        <w:pStyle w:val="ActHead7"/>
        <w:pageBreakBefore/>
      </w:pPr>
      <w:bookmarkStart w:id="0" w:name="_Hlk176256525"/>
      <w:r w:rsidRPr="009D240D">
        <w:rPr>
          <w:rStyle w:val="CharAmPartNo"/>
        </w:rPr>
        <w:lastRenderedPageBreak/>
        <w:t>Part 3</w:t>
      </w:r>
      <w:r w:rsidRPr="00744364">
        <w:t>—</w:t>
      </w:r>
      <w:r w:rsidRPr="009D240D">
        <w:rPr>
          <w:rStyle w:val="CharAmPartText"/>
        </w:rPr>
        <w:t>Amendments with other commencements</w:t>
      </w:r>
    </w:p>
    <w:p w14:paraId="08F3AB99" w14:textId="77777777" w:rsidR="00BC5B02" w:rsidRDefault="00CA6665" w:rsidP="00CA6665">
      <w:pPr>
        <w:pStyle w:val="ActHead8"/>
      </w:pPr>
      <w:r>
        <w:t>Division 1</w:t>
      </w:r>
      <w:r w:rsidR="00BC5B02">
        <w:t>—Declaration of relevant relationships</w:t>
      </w:r>
    </w:p>
    <w:p w14:paraId="08F3AB9A" w14:textId="77777777" w:rsidR="00BC5B02" w:rsidRDefault="00BC5B02" w:rsidP="00CA6665">
      <w:pPr>
        <w:pStyle w:val="ActHead9"/>
      </w:pPr>
      <w:r>
        <w:rPr>
          <w:rFonts w:eastAsia="Calibri"/>
        </w:rPr>
        <w:t>Corporations Act 2001</w:t>
      </w:r>
    </w:p>
    <w:p w14:paraId="08F3AB9B" w14:textId="77777777" w:rsidR="00BC5B02" w:rsidRDefault="009C08BA" w:rsidP="00CA6665">
      <w:pPr>
        <w:pStyle w:val="ItemHead"/>
      </w:pPr>
      <w:r>
        <w:t>22</w:t>
      </w:r>
      <w:r w:rsidR="00BC5B02">
        <w:t xml:space="preserve">  After Subdivision C of Division 5 of Part 8B.6</w:t>
      </w:r>
    </w:p>
    <w:p w14:paraId="08F3AB9C" w14:textId="77777777" w:rsidR="00BC5B02" w:rsidRDefault="00BC5B02" w:rsidP="00CA6665">
      <w:pPr>
        <w:pStyle w:val="Item"/>
      </w:pPr>
      <w:r>
        <w:t>Insert:</w:t>
      </w:r>
    </w:p>
    <w:p w14:paraId="08F3AB9D" w14:textId="77777777" w:rsidR="00BC5B02" w:rsidRDefault="00BC5B02" w:rsidP="00CA6665">
      <w:pPr>
        <w:pStyle w:val="ActHead4"/>
      </w:pPr>
      <w:r w:rsidRPr="009D240D">
        <w:rPr>
          <w:rStyle w:val="CharSubdNo"/>
        </w:rPr>
        <w:t>Subdivision CA</w:t>
      </w:r>
      <w:r>
        <w:t>—</w:t>
      </w:r>
      <w:r w:rsidRPr="009D240D">
        <w:rPr>
          <w:rStyle w:val="CharSubdText"/>
        </w:rPr>
        <w:t>Voluntary winding up</w:t>
      </w:r>
    </w:p>
    <w:p w14:paraId="08F3AB9E" w14:textId="77777777" w:rsidR="00BC5B02" w:rsidRPr="0010229E" w:rsidRDefault="00BC5B02" w:rsidP="00CA6665">
      <w:pPr>
        <w:pStyle w:val="ActHead5"/>
      </w:pPr>
      <w:r w:rsidRPr="009D240D">
        <w:rPr>
          <w:rStyle w:val="CharSectno"/>
        </w:rPr>
        <w:t>1237KA</w:t>
      </w:r>
      <w:r>
        <w:t xml:space="preserve">  Declaration of relevant relationships</w:t>
      </w:r>
    </w:p>
    <w:p w14:paraId="08F3AB9F" w14:textId="77777777" w:rsidR="00BC5B02" w:rsidRDefault="00BC5B02" w:rsidP="00CA6665">
      <w:pPr>
        <w:pStyle w:val="subsection"/>
      </w:pPr>
      <w:r>
        <w:tab/>
      </w:r>
      <w:r>
        <w:tab/>
        <w:t>Paragraph 60(2)(a) has effect in relation to a liquidator of a sub</w:t>
      </w:r>
      <w:r w:rsidR="00CA6665">
        <w:noBreakHyphen/>
      </w:r>
      <w:r>
        <w:t>fund of a CCIV as if the persons referred to in subparagraphs 60(2)(a)(iv) to (vii) included each other sub</w:t>
      </w:r>
      <w:r w:rsidR="00CA6665">
        <w:noBreakHyphen/>
      </w:r>
      <w:r>
        <w:t>fund (if any) of the CCIV.</w:t>
      </w:r>
    </w:p>
    <w:p w14:paraId="08F3ABA0" w14:textId="77777777" w:rsidR="00BC5B02" w:rsidRDefault="009C08BA" w:rsidP="00CA6665">
      <w:pPr>
        <w:pStyle w:val="ItemHead"/>
      </w:pPr>
      <w:r>
        <w:t>23</w:t>
      </w:r>
      <w:r w:rsidR="00BC5B02">
        <w:t xml:space="preserve">  </w:t>
      </w:r>
      <w:r w:rsidR="002B0563">
        <w:t>At the end of Part 10.79</w:t>
      </w:r>
    </w:p>
    <w:p w14:paraId="08F3ABA1" w14:textId="77777777" w:rsidR="00BC5B02" w:rsidRPr="00D255F2" w:rsidRDefault="002B0563" w:rsidP="00CA6665">
      <w:pPr>
        <w:pStyle w:val="Item"/>
      </w:pPr>
      <w:r>
        <w:t>Add</w:t>
      </w:r>
      <w:r w:rsidR="00BC5B02">
        <w:t>:</w:t>
      </w:r>
    </w:p>
    <w:p w14:paraId="08F3ABA2" w14:textId="77777777" w:rsidR="00BC5B02" w:rsidRDefault="00BC5B02" w:rsidP="00CA6665">
      <w:pPr>
        <w:pStyle w:val="ActHead5"/>
      </w:pPr>
      <w:r w:rsidRPr="009D240D">
        <w:rPr>
          <w:rStyle w:val="CharSectno"/>
        </w:rPr>
        <w:t>1710</w:t>
      </w:r>
      <w:r>
        <w:t xml:space="preserve">  Declaration of relevant relationships</w:t>
      </w:r>
    </w:p>
    <w:p w14:paraId="08F3ABA3" w14:textId="77777777" w:rsidR="00BC5B02" w:rsidRDefault="00BC5B02" w:rsidP="00CA6665">
      <w:pPr>
        <w:pStyle w:val="subsection"/>
      </w:pPr>
      <w:r>
        <w:tab/>
        <w:t>(1)</w:t>
      </w:r>
      <w:r>
        <w:tab/>
        <w:t>Section 1237KA applies in relation to a declaration of relevant relationships (including a replacement declaration of relevant relationships) made on or after the commencement of this section.</w:t>
      </w:r>
    </w:p>
    <w:p w14:paraId="08F3ABA4" w14:textId="77777777" w:rsidR="00BC5B02" w:rsidRDefault="00BC5B02" w:rsidP="00CA6665">
      <w:pPr>
        <w:pStyle w:val="subsection"/>
      </w:pPr>
      <w:r>
        <w:tab/>
        <w:t>(2)</w:t>
      </w:r>
      <w:r>
        <w:tab/>
        <w:t>For the purposes of subparagraph 506A(4)(b)(i), a declaration of relevant relationships made under subsection 506A(2) is taken to become out</w:t>
      </w:r>
      <w:r w:rsidR="00CA6665">
        <w:noBreakHyphen/>
      </w:r>
      <w:r>
        <w:t>of</w:t>
      </w:r>
      <w:r w:rsidR="00CA6665">
        <w:noBreakHyphen/>
      </w:r>
      <w:r>
        <w:t>date on the commencement of this section if:</w:t>
      </w:r>
    </w:p>
    <w:p w14:paraId="08F3ABA5" w14:textId="77777777" w:rsidR="00BC5B02" w:rsidRDefault="00BC5B02" w:rsidP="00CA6665">
      <w:pPr>
        <w:pStyle w:val="paragraph"/>
      </w:pPr>
      <w:r>
        <w:tab/>
        <w:t>(a)</w:t>
      </w:r>
      <w:r>
        <w:tab/>
        <w:t>the declaration was made, before the commencement of this section, by a liquidator of a sub</w:t>
      </w:r>
      <w:r w:rsidR="00CA6665">
        <w:noBreakHyphen/>
      </w:r>
      <w:r>
        <w:t>fund of a CCIV; and</w:t>
      </w:r>
    </w:p>
    <w:p w14:paraId="08F3ABA6" w14:textId="77777777" w:rsidR="00BC5B02" w:rsidRDefault="00BC5B02" w:rsidP="00CA6665">
      <w:pPr>
        <w:pStyle w:val="paragraph"/>
      </w:pPr>
      <w:r>
        <w:tab/>
        <w:t>(b)</w:t>
      </w:r>
      <w:r>
        <w:tab/>
        <w:t>on that commencement, any of the persons referred to in subparagraphs 60(2)(a)(i) to (iii) at that time has, or has had within the preceding 24 months, a relationship with another sub</w:t>
      </w:r>
      <w:r w:rsidR="00CA6665">
        <w:noBreakHyphen/>
      </w:r>
      <w:r>
        <w:t>fund (if any) of the CCIV.</w:t>
      </w:r>
    </w:p>
    <w:p w14:paraId="08F3ABA7" w14:textId="77777777" w:rsidR="00BC5B02" w:rsidRDefault="00BC5B02" w:rsidP="00CA6665">
      <w:pPr>
        <w:pStyle w:val="notedraft"/>
      </w:pPr>
    </w:p>
    <w:bookmarkEnd w:id="0"/>
    <w:sectPr w:rsidR="00BC5B02" w:rsidSect="00CA6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ABAA" w14:textId="77777777" w:rsidR="00035844" w:rsidRDefault="00035844" w:rsidP="00664C63">
      <w:pPr>
        <w:spacing w:line="240" w:lineRule="auto"/>
      </w:pPr>
      <w:r>
        <w:separator/>
      </w:r>
    </w:p>
  </w:endnote>
  <w:endnote w:type="continuationSeparator" w:id="0">
    <w:p w14:paraId="08F3ABAB" w14:textId="77777777" w:rsidR="00035844" w:rsidRDefault="00035844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ABB0" w14:textId="77777777" w:rsidR="00664C63" w:rsidRPr="00BB4623" w:rsidRDefault="00664C63" w:rsidP="00CA6665">
    <w:pPr>
      <w:pBdr>
        <w:top w:val="single" w:sz="6" w:space="1" w:color="auto"/>
      </w:pBdr>
      <w:spacing w:before="120"/>
      <w:jc w:val="right"/>
      <w:rPr>
        <w:sz w:val="18"/>
      </w:rPr>
    </w:pPr>
  </w:p>
  <w:p w14:paraId="08F3ABB1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8F3ABB2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ABB3" w14:textId="77777777" w:rsidR="0095602D" w:rsidRDefault="0095602D" w:rsidP="00CA6665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08F3ABB5" w14:textId="77777777" w:rsidTr="00A91C76">
      <w:trPr>
        <w:trHeight w:val="280"/>
      </w:trPr>
      <w:tc>
        <w:tcPr>
          <w:tcW w:w="7087" w:type="dxa"/>
        </w:tcPr>
        <w:p w14:paraId="08F3ABB4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08F3ABB7" w14:textId="77777777" w:rsidTr="00A91C76">
      <w:tc>
        <w:tcPr>
          <w:tcW w:w="7087" w:type="dxa"/>
        </w:tcPr>
        <w:p w14:paraId="08F3ABB6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8F3ABB8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F3ABBD" wp14:editId="08F3ABB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ABC0" w14:textId="77777777" w:rsidR="00931D06" w:rsidRPr="00324EB0" w:rsidRDefault="005B6FD8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3AB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08F3ABC0" w14:textId="77777777" w:rsidR="00931D06" w:rsidRPr="00324EB0" w:rsidRDefault="005B6FD8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ABBA" w14:textId="77777777" w:rsidR="00664C63" w:rsidRPr="00BB4623" w:rsidRDefault="00664C63" w:rsidP="00CA66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ABA8" w14:textId="77777777" w:rsidR="00035844" w:rsidRDefault="00035844" w:rsidP="00664C63">
      <w:pPr>
        <w:spacing w:line="240" w:lineRule="auto"/>
      </w:pPr>
      <w:r>
        <w:separator/>
      </w:r>
    </w:p>
  </w:footnote>
  <w:footnote w:type="continuationSeparator" w:id="0">
    <w:p w14:paraId="08F3ABA9" w14:textId="77777777" w:rsidR="00035844" w:rsidRDefault="00035844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ABAC" w14:textId="77777777" w:rsidR="00664C63" w:rsidRPr="00BB4623" w:rsidRDefault="00664C63" w:rsidP="00664C63">
    <w:pPr>
      <w:rPr>
        <w:sz w:val="24"/>
      </w:rPr>
    </w:pPr>
  </w:p>
  <w:p w14:paraId="08F3ABAD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ABAE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8F3ABBB" wp14:editId="08F3ABB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ABBF" w14:textId="77777777" w:rsidR="00931D06" w:rsidRPr="00324EB0" w:rsidRDefault="005B6FD8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3ABBB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8F3ABBF" w14:textId="77777777" w:rsidR="00931D06" w:rsidRPr="00324EB0" w:rsidRDefault="005B6FD8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8F3ABAF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ABB9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8500811">
    <w:abstractNumId w:val="9"/>
  </w:num>
  <w:num w:numId="2" w16cid:durableId="322851850">
    <w:abstractNumId w:val="7"/>
  </w:num>
  <w:num w:numId="3" w16cid:durableId="453060417">
    <w:abstractNumId w:val="6"/>
  </w:num>
  <w:num w:numId="4" w16cid:durableId="378747835">
    <w:abstractNumId w:val="5"/>
  </w:num>
  <w:num w:numId="5" w16cid:durableId="205725123">
    <w:abstractNumId w:val="4"/>
  </w:num>
  <w:num w:numId="6" w16cid:durableId="138890508">
    <w:abstractNumId w:val="8"/>
  </w:num>
  <w:num w:numId="7" w16cid:durableId="1923640115">
    <w:abstractNumId w:val="3"/>
  </w:num>
  <w:num w:numId="8" w16cid:durableId="1461415507">
    <w:abstractNumId w:val="2"/>
  </w:num>
  <w:num w:numId="9" w16cid:durableId="830371270">
    <w:abstractNumId w:val="1"/>
  </w:num>
  <w:num w:numId="10" w16cid:durableId="1528521708">
    <w:abstractNumId w:val="0"/>
  </w:num>
  <w:num w:numId="11" w16cid:durableId="804009288">
    <w:abstractNumId w:val="11"/>
  </w:num>
  <w:num w:numId="12" w16cid:durableId="297227809">
    <w:abstractNumId w:val="10"/>
  </w:num>
  <w:num w:numId="13" w16cid:durableId="969475498">
    <w:abstractNumId w:val="13"/>
  </w:num>
  <w:num w:numId="14" w16cid:durableId="1373532953">
    <w:abstractNumId w:val="14"/>
  </w:num>
  <w:num w:numId="15" w16cid:durableId="464466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44"/>
    <w:rsid w:val="000136AF"/>
    <w:rsid w:val="00014B9A"/>
    <w:rsid w:val="00035844"/>
    <w:rsid w:val="00042521"/>
    <w:rsid w:val="00055D20"/>
    <w:rsid w:val="00060DB4"/>
    <w:rsid w:val="000614BF"/>
    <w:rsid w:val="00073C5A"/>
    <w:rsid w:val="00087033"/>
    <w:rsid w:val="000A1F67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66C2F"/>
    <w:rsid w:val="00182C9A"/>
    <w:rsid w:val="0018435F"/>
    <w:rsid w:val="001939E1"/>
    <w:rsid w:val="00195382"/>
    <w:rsid w:val="001B0F61"/>
    <w:rsid w:val="001C69C4"/>
    <w:rsid w:val="001E339C"/>
    <w:rsid w:val="001E3590"/>
    <w:rsid w:val="001E7407"/>
    <w:rsid w:val="0021250A"/>
    <w:rsid w:val="002170D8"/>
    <w:rsid w:val="002277A0"/>
    <w:rsid w:val="00240749"/>
    <w:rsid w:val="0025350C"/>
    <w:rsid w:val="00282F3B"/>
    <w:rsid w:val="00296415"/>
    <w:rsid w:val="00297ECB"/>
    <w:rsid w:val="002B0563"/>
    <w:rsid w:val="002B1D6F"/>
    <w:rsid w:val="002C085A"/>
    <w:rsid w:val="002C29A5"/>
    <w:rsid w:val="002D043A"/>
    <w:rsid w:val="002E45A5"/>
    <w:rsid w:val="002F08B3"/>
    <w:rsid w:val="002F4B29"/>
    <w:rsid w:val="00313C6F"/>
    <w:rsid w:val="0033411C"/>
    <w:rsid w:val="00334771"/>
    <w:rsid w:val="003415D3"/>
    <w:rsid w:val="00352B0F"/>
    <w:rsid w:val="00365E82"/>
    <w:rsid w:val="003751EF"/>
    <w:rsid w:val="00381C65"/>
    <w:rsid w:val="00392340"/>
    <w:rsid w:val="003A381D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63B84"/>
    <w:rsid w:val="00476923"/>
    <w:rsid w:val="00496F97"/>
    <w:rsid w:val="004A641B"/>
    <w:rsid w:val="004E3680"/>
    <w:rsid w:val="005104CE"/>
    <w:rsid w:val="00516B8D"/>
    <w:rsid w:val="00517E42"/>
    <w:rsid w:val="00537FBC"/>
    <w:rsid w:val="00543850"/>
    <w:rsid w:val="00544A69"/>
    <w:rsid w:val="005702C1"/>
    <w:rsid w:val="00584052"/>
    <w:rsid w:val="00584811"/>
    <w:rsid w:val="00590178"/>
    <w:rsid w:val="00593AA6"/>
    <w:rsid w:val="005940FC"/>
    <w:rsid w:val="00594161"/>
    <w:rsid w:val="00594749"/>
    <w:rsid w:val="00595E68"/>
    <w:rsid w:val="0059758F"/>
    <w:rsid w:val="005A6F34"/>
    <w:rsid w:val="005B4067"/>
    <w:rsid w:val="005B6FD8"/>
    <w:rsid w:val="005C3F41"/>
    <w:rsid w:val="005C5800"/>
    <w:rsid w:val="005C6BFA"/>
    <w:rsid w:val="005D4DEA"/>
    <w:rsid w:val="005D67DD"/>
    <w:rsid w:val="005E5A56"/>
    <w:rsid w:val="00600219"/>
    <w:rsid w:val="00611C2E"/>
    <w:rsid w:val="0061709B"/>
    <w:rsid w:val="00626108"/>
    <w:rsid w:val="0063423A"/>
    <w:rsid w:val="00634EF2"/>
    <w:rsid w:val="006444FB"/>
    <w:rsid w:val="0065106B"/>
    <w:rsid w:val="006527A6"/>
    <w:rsid w:val="006530D4"/>
    <w:rsid w:val="00662DE5"/>
    <w:rsid w:val="00664C63"/>
    <w:rsid w:val="00671C25"/>
    <w:rsid w:val="00677CC2"/>
    <w:rsid w:val="00681A4A"/>
    <w:rsid w:val="0069207B"/>
    <w:rsid w:val="006B51F1"/>
    <w:rsid w:val="006B66CF"/>
    <w:rsid w:val="006C7F8C"/>
    <w:rsid w:val="006D3764"/>
    <w:rsid w:val="006E4AB2"/>
    <w:rsid w:val="00700B2C"/>
    <w:rsid w:val="00713084"/>
    <w:rsid w:val="007173B8"/>
    <w:rsid w:val="00726ED0"/>
    <w:rsid w:val="00731E00"/>
    <w:rsid w:val="00732A85"/>
    <w:rsid w:val="00741C65"/>
    <w:rsid w:val="007440B7"/>
    <w:rsid w:val="00744364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E4CC8"/>
    <w:rsid w:val="007F070C"/>
    <w:rsid w:val="00830815"/>
    <w:rsid w:val="00856A31"/>
    <w:rsid w:val="00867984"/>
    <w:rsid w:val="008754D0"/>
    <w:rsid w:val="00883892"/>
    <w:rsid w:val="008A6470"/>
    <w:rsid w:val="008D0EE0"/>
    <w:rsid w:val="008D260E"/>
    <w:rsid w:val="008E05CA"/>
    <w:rsid w:val="008E10E8"/>
    <w:rsid w:val="0090793B"/>
    <w:rsid w:val="0091702C"/>
    <w:rsid w:val="00931D06"/>
    <w:rsid w:val="00932377"/>
    <w:rsid w:val="00932931"/>
    <w:rsid w:val="00932FA3"/>
    <w:rsid w:val="0095602D"/>
    <w:rsid w:val="009620C2"/>
    <w:rsid w:val="009A6EBE"/>
    <w:rsid w:val="009B65B8"/>
    <w:rsid w:val="009C08BA"/>
    <w:rsid w:val="009D240D"/>
    <w:rsid w:val="009F5202"/>
    <w:rsid w:val="00A120DD"/>
    <w:rsid w:val="00A20789"/>
    <w:rsid w:val="00A231E2"/>
    <w:rsid w:val="00A25627"/>
    <w:rsid w:val="00A415B9"/>
    <w:rsid w:val="00A4261B"/>
    <w:rsid w:val="00A5285B"/>
    <w:rsid w:val="00A64912"/>
    <w:rsid w:val="00A70A74"/>
    <w:rsid w:val="00AA5445"/>
    <w:rsid w:val="00AB5A90"/>
    <w:rsid w:val="00AD27B3"/>
    <w:rsid w:val="00AD5641"/>
    <w:rsid w:val="00AE59F7"/>
    <w:rsid w:val="00AE7BD7"/>
    <w:rsid w:val="00B05DED"/>
    <w:rsid w:val="00B15BB3"/>
    <w:rsid w:val="00B26413"/>
    <w:rsid w:val="00B30BBF"/>
    <w:rsid w:val="00B311D8"/>
    <w:rsid w:val="00B33B3C"/>
    <w:rsid w:val="00B340B6"/>
    <w:rsid w:val="00B3608C"/>
    <w:rsid w:val="00B372A6"/>
    <w:rsid w:val="00B429C2"/>
    <w:rsid w:val="00B61C25"/>
    <w:rsid w:val="00B70E56"/>
    <w:rsid w:val="00B73022"/>
    <w:rsid w:val="00BC30F2"/>
    <w:rsid w:val="00BC5B02"/>
    <w:rsid w:val="00BC62E4"/>
    <w:rsid w:val="00BD1655"/>
    <w:rsid w:val="00BE5F0E"/>
    <w:rsid w:val="00BE6E2C"/>
    <w:rsid w:val="00BE719A"/>
    <w:rsid w:val="00BE720A"/>
    <w:rsid w:val="00C324BC"/>
    <w:rsid w:val="00C42BF8"/>
    <w:rsid w:val="00C50043"/>
    <w:rsid w:val="00C53114"/>
    <w:rsid w:val="00C723B9"/>
    <w:rsid w:val="00C7573B"/>
    <w:rsid w:val="00C77D10"/>
    <w:rsid w:val="00CA6665"/>
    <w:rsid w:val="00CB0EA8"/>
    <w:rsid w:val="00CC7A09"/>
    <w:rsid w:val="00CD28D2"/>
    <w:rsid w:val="00CD2FFE"/>
    <w:rsid w:val="00CF0BB2"/>
    <w:rsid w:val="00CF4975"/>
    <w:rsid w:val="00D13441"/>
    <w:rsid w:val="00D3213F"/>
    <w:rsid w:val="00D374CE"/>
    <w:rsid w:val="00D40252"/>
    <w:rsid w:val="00D467B9"/>
    <w:rsid w:val="00D67311"/>
    <w:rsid w:val="00D70DFB"/>
    <w:rsid w:val="00D7186F"/>
    <w:rsid w:val="00D766DF"/>
    <w:rsid w:val="00D9284D"/>
    <w:rsid w:val="00DD314D"/>
    <w:rsid w:val="00E007D0"/>
    <w:rsid w:val="00E05704"/>
    <w:rsid w:val="00E1363F"/>
    <w:rsid w:val="00E34C15"/>
    <w:rsid w:val="00E534E1"/>
    <w:rsid w:val="00E54CAB"/>
    <w:rsid w:val="00E5523D"/>
    <w:rsid w:val="00E74DC7"/>
    <w:rsid w:val="00E76097"/>
    <w:rsid w:val="00E85CB9"/>
    <w:rsid w:val="00E94998"/>
    <w:rsid w:val="00EA20AB"/>
    <w:rsid w:val="00EA53FA"/>
    <w:rsid w:val="00ED1A6C"/>
    <w:rsid w:val="00ED28EF"/>
    <w:rsid w:val="00ED6A9B"/>
    <w:rsid w:val="00EE17B3"/>
    <w:rsid w:val="00EE25A8"/>
    <w:rsid w:val="00EE6DCC"/>
    <w:rsid w:val="00EF2E3A"/>
    <w:rsid w:val="00EF4B1C"/>
    <w:rsid w:val="00F0132A"/>
    <w:rsid w:val="00F061B9"/>
    <w:rsid w:val="00F078DC"/>
    <w:rsid w:val="00F5076A"/>
    <w:rsid w:val="00F6570A"/>
    <w:rsid w:val="00F71234"/>
    <w:rsid w:val="00F8103A"/>
    <w:rsid w:val="00FA0022"/>
    <w:rsid w:val="00FA3991"/>
    <w:rsid w:val="00FC104F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8F3A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666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665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665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65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665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665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665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665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665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665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6665"/>
  </w:style>
  <w:style w:type="paragraph" w:customStyle="1" w:styleId="OPCParaBase">
    <w:name w:val="OPCParaBase"/>
    <w:qFormat/>
    <w:rsid w:val="00CA666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A666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666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666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666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666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A666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666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666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666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666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A6665"/>
  </w:style>
  <w:style w:type="paragraph" w:customStyle="1" w:styleId="Blocks">
    <w:name w:val="Blocks"/>
    <w:aliases w:val="bb"/>
    <w:basedOn w:val="OPCParaBase"/>
    <w:qFormat/>
    <w:rsid w:val="00CA666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66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666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6665"/>
    <w:rPr>
      <w:i/>
    </w:rPr>
  </w:style>
  <w:style w:type="paragraph" w:customStyle="1" w:styleId="BoxList">
    <w:name w:val="BoxList"/>
    <w:aliases w:val="bl"/>
    <w:basedOn w:val="BoxText"/>
    <w:qFormat/>
    <w:rsid w:val="00CA666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666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666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6665"/>
    <w:pPr>
      <w:ind w:left="1985" w:hanging="851"/>
    </w:pPr>
  </w:style>
  <w:style w:type="character" w:customStyle="1" w:styleId="CharAmPartNo">
    <w:name w:val="CharAmPartNo"/>
    <w:basedOn w:val="OPCCharBase"/>
    <w:qFormat/>
    <w:rsid w:val="00CA6665"/>
  </w:style>
  <w:style w:type="character" w:customStyle="1" w:styleId="CharAmPartText">
    <w:name w:val="CharAmPartText"/>
    <w:basedOn w:val="OPCCharBase"/>
    <w:qFormat/>
    <w:rsid w:val="00CA6665"/>
  </w:style>
  <w:style w:type="character" w:customStyle="1" w:styleId="CharAmSchNo">
    <w:name w:val="CharAmSchNo"/>
    <w:basedOn w:val="OPCCharBase"/>
    <w:qFormat/>
    <w:rsid w:val="00CA6665"/>
  </w:style>
  <w:style w:type="character" w:customStyle="1" w:styleId="CharAmSchText">
    <w:name w:val="CharAmSchText"/>
    <w:basedOn w:val="OPCCharBase"/>
    <w:qFormat/>
    <w:rsid w:val="00CA6665"/>
  </w:style>
  <w:style w:type="character" w:customStyle="1" w:styleId="CharBoldItalic">
    <w:name w:val="CharBoldItalic"/>
    <w:basedOn w:val="OPCCharBase"/>
    <w:uiPriority w:val="1"/>
    <w:qFormat/>
    <w:rsid w:val="00CA666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6665"/>
  </w:style>
  <w:style w:type="character" w:customStyle="1" w:styleId="CharChapText">
    <w:name w:val="CharChapText"/>
    <w:basedOn w:val="OPCCharBase"/>
    <w:uiPriority w:val="1"/>
    <w:qFormat/>
    <w:rsid w:val="00CA6665"/>
  </w:style>
  <w:style w:type="character" w:customStyle="1" w:styleId="CharDivNo">
    <w:name w:val="CharDivNo"/>
    <w:basedOn w:val="OPCCharBase"/>
    <w:uiPriority w:val="1"/>
    <w:qFormat/>
    <w:rsid w:val="00CA6665"/>
  </w:style>
  <w:style w:type="character" w:customStyle="1" w:styleId="CharDivText">
    <w:name w:val="CharDivText"/>
    <w:basedOn w:val="OPCCharBase"/>
    <w:uiPriority w:val="1"/>
    <w:qFormat/>
    <w:rsid w:val="00CA6665"/>
  </w:style>
  <w:style w:type="character" w:customStyle="1" w:styleId="CharItalic">
    <w:name w:val="CharItalic"/>
    <w:basedOn w:val="OPCCharBase"/>
    <w:uiPriority w:val="1"/>
    <w:qFormat/>
    <w:rsid w:val="00CA6665"/>
    <w:rPr>
      <w:i/>
    </w:rPr>
  </w:style>
  <w:style w:type="character" w:customStyle="1" w:styleId="CharPartNo">
    <w:name w:val="CharPartNo"/>
    <w:basedOn w:val="OPCCharBase"/>
    <w:uiPriority w:val="1"/>
    <w:qFormat/>
    <w:rsid w:val="00CA6665"/>
  </w:style>
  <w:style w:type="character" w:customStyle="1" w:styleId="CharPartText">
    <w:name w:val="CharPartText"/>
    <w:basedOn w:val="OPCCharBase"/>
    <w:uiPriority w:val="1"/>
    <w:qFormat/>
    <w:rsid w:val="00CA6665"/>
  </w:style>
  <w:style w:type="character" w:customStyle="1" w:styleId="CharSectno">
    <w:name w:val="CharSectno"/>
    <w:basedOn w:val="OPCCharBase"/>
    <w:qFormat/>
    <w:rsid w:val="00CA6665"/>
  </w:style>
  <w:style w:type="character" w:customStyle="1" w:styleId="CharSubdNo">
    <w:name w:val="CharSubdNo"/>
    <w:basedOn w:val="OPCCharBase"/>
    <w:uiPriority w:val="1"/>
    <w:qFormat/>
    <w:rsid w:val="00CA6665"/>
  </w:style>
  <w:style w:type="character" w:customStyle="1" w:styleId="CharSubdText">
    <w:name w:val="CharSubdText"/>
    <w:basedOn w:val="OPCCharBase"/>
    <w:uiPriority w:val="1"/>
    <w:qFormat/>
    <w:rsid w:val="00CA6665"/>
  </w:style>
  <w:style w:type="paragraph" w:customStyle="1" w:styleId="CTA--">
    <w:name w:val="CTA --"/>
    <w:basedOn w:val="OPCParaBase"/>
    <w:next w:val="Normal"/>
    <w:rsid w:val="00CA666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666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666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666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666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666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666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666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666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666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666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666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666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666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A666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666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66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666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66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66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666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666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666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666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666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666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666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666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666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666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666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666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666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666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666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A666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666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666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666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666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666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666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666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666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666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666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666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666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666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666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CA666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66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666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666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666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A666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A666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666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666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666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666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666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666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666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666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6665"/>
    <w:rPr>
      <w:sz w:val="16"/>
    </w:rPr>
  </w:style>
  <w:style w:type="table" w:customStyle="1" w:styleId="CFlag">
    <w:name w:val="CFlag"/>
    <w:basedOn w:val="TableNormal"/>
    <w:uiPriority w:val="99"/>
    <w:rsid w:val="00CA666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A666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A666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A666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A666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A666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666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666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666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666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666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666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A666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666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A6665"/>
  </w:style>
  <w:style w:type="character" w:customStyle="1" w:styleId="CharSubPartNoCASA">
    <w:name w:val="CharSubPartNo(CASA)"/>
    <w:basedOn w:val="OPCCharBase"/>
    <w:uiPriority w:val="1"/>
    <w:rsid w:val="00CA6665"/>
  </w:style>
  <w:style w:type="paragraph" w:customStyle="1" w:styleId="ENoteTTIndentHeadingSub">
    <w:name w:val="ENoteTTIndentHeadingSub"/>
    <w:aliases w:val="enTTHis"/>
    <w:basedOn w:val="OPCParaBase"/>
    <w:rsid w:val="00CA666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666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666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666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A666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A666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66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6665"/>
    <w:rPr>
      <w:sz w:val="22"/>
    </w:rPr>
  </w:style>
  <w:style w:type="paragraph" w:customStyle="1" w:styleId="SOTextNote">
    <w:name w:val="SO TextNote"/>
    <w:aliases w:val="sont"/>
    <w:basedOn w:val="SOText"/>
    <w:qFormat/>
    <w:rsid w:val="00CA666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666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6665"/>
    <w:rPr>
      <w:sz w:val="22"/>
    </w:rPr>
  </w:style>
  <w:style w:type="paragraph" w:customStyle="1" w:styleId="FileName">
    <w:name w:val="FileName"/>
    <w:basedOn w:val="Normal"/>
    <w:rsid w:val="00CA6665"/>
  </w:style>
  <w:style w:type="paragraph" w:customStyle="1" w:styleId="TableHeading">
    <w:name w:val="TableHeading"/>
    <w:aliases w:val="th"/>
    <w:basedOn w:val="OPCParaBase"/>
    <w:next w:val="Tabletext"/>
    <w:rsid w:val="00CA666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666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666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666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666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666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666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666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666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66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666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A666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A666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666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A666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666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A666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66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66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66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A666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A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CA6665"/>
  </w:style>
  <w:style w:type="numbering" w:styleId="111111">
    <w:name w:val="Outline List 2"/>
    <w:basedOn w:val="NoList"/>
    <w:uiPriority w:val="99"/>
    <w:semiHidden/>
    <w:unhideWhenUsed/>
    <w:rsid w:val="00CA6665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CA6665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A66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66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66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66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66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6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6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A6665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6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6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6665"/>
  </w:style>
  <w:style w:type="paragraph" w:styleId="BlockText">
    <w:name w:val="Block Text"/>
    <w:basedOn w:val="Normal"/>
    <w:uiPriority w:val="99"/>
    <w:semiHidden/>
    <w:unhideWhenUsed/>
    <w:rsid w:val="00CA666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A6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6665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66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6665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66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666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66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6665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66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6665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666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6665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66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6665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66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6665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CA666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666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A666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6665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A66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A66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A66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A66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A66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A66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A66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A6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6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65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CA66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A66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A66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A66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A66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A66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A66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6665"/>
  </w:style>
  <w:style w:type="character" w:customStyle="1" w:styleId="DateChar">
    <w:name w:val="Date Char"/>
    <w:basedOn w:val="DefaultParagraphFont"/>
    <w:link w:val="Date"/>
    <w:uiPriority w:val="99"/>
    <w:semiHidden/>
    <w:rsid w:val="00CA6665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666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666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666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6665"/>
    <w:rPr>
      <w:sz w:val="22"/>
    </w:rPr>
  </w:style>
  <w:style w:type="character" w:styleId="Emphasis">
    <w:name w:val="Emphasis"/>
    <w:basedOn w:val="DefaultParagraphFont"/>
    <w:uiPriority w:val="20"/>
    <w:qFormat/>
    <w:rsid w:val="00CA666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A66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6665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6665"/>
  </w:style>
  <w:style w:type="paragraph" w:styleId="EnvelopeAddress">
    <w:name w:val="envelope address"/>
    <w:basedOn w:val="Normal"/>
    <w:uiPriority w:val="99"/>
    <w:semiHidden/>
    <w:unhideWhenUsed/>
    <w:rsid w:val="00CA666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A666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666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A666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666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665"/>
  </w:style>
  <w:style w:type="table" w:styleId="GridTable1Light">
    <w:name w:val="Grid Table 1 Light"/>
    <w:basedOn w:val="TableNormal"/>
    <w:uiPriority w:val="46"/>
    <w:rsid w:val="00CA66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A666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A666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A666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A666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A666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A666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A66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A666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A666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A666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A666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A666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A666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A66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A66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A66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A66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A66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A66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A66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A66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A66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A66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A66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A66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A66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A66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A66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A66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A66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A66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A66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A66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A66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A666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A6665"/>
  </w:style>
  <w:style w:type="paragraph" w:styleId="HTMLAddress">
    <w:name w:val="HTML Address"/>
    <w:basedOn w:val="Normal"/>
    <w:link w:val="HTMLAddressChar"/>
    <w:uiPriority w:val="99"/>
    <w:semiHidden/>
    <w:unhideWhenUsed/>
    <w:rsid w:val="00CA666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6665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CA666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A666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A666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A666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6665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6665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CA666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A666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A666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666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666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666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666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666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666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666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666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666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666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666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A666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6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66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A666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A66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A66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A66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A66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A66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A66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A66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A66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A66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A66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A66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A66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A66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A66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A66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A66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A66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A66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A66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A66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A66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A666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A666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A666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A666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A666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A666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A666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A666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A666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A666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A666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A666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A666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A666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A666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A666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A666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A666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A666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A666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A666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A66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A66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A66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A66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A66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A66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A66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A666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A666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A666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A666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A666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A666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A666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A66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A66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A666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A666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A666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A666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A666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A666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A666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A666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A66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A66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A66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A66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A66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A66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A666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A666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A666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A666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A666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A666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A666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A66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6665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CA66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A66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A66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A66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A66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A66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A66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A66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A66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A66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A66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A66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A66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A66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A66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A66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A66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A66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A66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A66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A66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A66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A66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A66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A66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A66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A66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A66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A66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A66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A666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A66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66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A6665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CA6665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A66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666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6665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A6665"/>
  </w:style>
  <w:style w:type="character" w:styleId="PlaceholderText">
    <w:name w:val="Placeholder Text"/>
    <w:basedOn w:val="DefaultParagraphFont"/>
    <w:uiPriority w:val="99"/>
    <w:semiHidden/>
    <w:rsid w:val="00CA6665"/>
    <w:rPr>
      <w:color w:val="808080"/>
    </w:rPr>
  </w:style>
  <w:style w:type="table" w:styleId="PlainTable1">
    <w:name w:val="Plain Table 1"/>
    <w:basedOn w:val="TableNormal"/>
    <w:uiPriority w:val="41"/>
    <w:rsid w:val="00CA6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A66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A66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A66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A66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A66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666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A66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665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A66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6665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A666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6665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A6665"/>
    <w:rPr>
      <w:u w:val="dotted"/>
    </w:rPr>
  </w:style>
  <w:style w:type="character" w:styleId="Strong">
    <w:name w:val="Strong"/>
    <w:basedOn w:val="DefaultParagraphFont"/>
    <w:uiPriority w:val="22"/>
    <w:qFormat/>
    <w:rsid w:val="00CA666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66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A6665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A666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A666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A6665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A6665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A6665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A6665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A6665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A6665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A6665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A6665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A6665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A6665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A6665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A6665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A66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A6665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A666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A6665"/>
  </w:style>
  <w:style w:type="table" w:styleId="TableProfessional">
    <w:name w:val="Table Professional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A6665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A6665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A6665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A666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A6665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A6665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A6665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A666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A66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665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A6665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63423A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986</Words>
  <Characters>5626</Characters>
  <Application>Microsoft Office Word</Application>
  <DocSecurity>2</DocSecurity>
  <PresentationFormat/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Minor and technical Amendments (Spring 2024)</vt:lpstr>
    </vt:vector>
  </TitlesOfParts>
  <Manager/>
  <Company/>
  <LinksUpToDate>false</LinksUpToDate>
  <CharactersWithSpaces>6599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Minor and technical Amendments (Spring 2024)</dc:title>
  <dc:subject/>
  <dc:creator/>
  <cp:keywords/>
  <dc:description/>
  <cp:lastModifiedBy/>
  <cp:revision>1</cp:revision>
  <dcterms:created xsi:type="dcterms:W3CDTF">2024-09-27T04:07:00Z</dcterms:created>
  <dcterms:modified xsi:type="dcterms:W3CDTF">2024-09-27T04:08:00Z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2024-09-27T04:09:03Z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e2f252c2-d9a2-4a58-a0ef-eda0c957a003</vt:lpwstr>
  </property>
  <property fmtid="{D5CDD505-2E9C-101B-9397-08002B2CF9AE}" pid="9" name="MSIP_Label_4f932d64-9ab1-4d9b-81d2-a3a8b82dd47d_ContentBits">
    <vt:lpwstr>0</vt:lpwstr>
  </property>
</Properties>
</file>