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376798" w:rsidP="00236901">
      <w:pPr>
        <w:spacing w:before="360"/>
        <w:ind w:right="95"/>
        <w:jc w:val="center"/>
      </w:pPr>
      <w:r>
        <w:rPr>
          <w:caps/>
          <w:noProof/>
        </w:rPr>
        <w:drawing>
          <wp:inline distT="0" distB="0" distL="0" distR="0" wp14:anchorId="7ED6D776" wp14:editId="1314C3C7">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64B0348D" w:rsidR="002A31E6" w:rsidRPr="00EC7701" w:rsidRDefault="00376798"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0C3EFF">
            <w:rPr>
              <w:rStyle w:val="commiChar"/>
            </w:rPr>
            <w:t xml:space="preserve">on </w:t>
          </w:r>
          <w:r>
            <w:rPr>
              <w:rFonts w:ascii="Montserrat Light" w:hAnsi="Montserrat Light"/>
              <w:sz w:val="32"/>
              <w:szCs w:val="32"/>
            </w:rPr>
            <w:t>Economics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769C29FC" w:rsidR="002A31E6" w:rsidRPr="00EC7701" w:rsidRDefault="003A7A12"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376798">
            <w:rPr>
              <w:rFonts w:ascii="Montserrat Light" w:hAnsi="Montserrat Light"/>
              <w:sz w:val="32"/>
              <w:szCs w:val="32"/>
            </w:rPr>
            <w:t xml:space="preserve">Corporate tax avoidance: Part </w:t>
          </w:r>
          <w:r w:rsidR="000C3EFF">
            <w:rPr>
              <w:rFonts w:ascii="Montserrat Light" w:hAnsi="Montserrat Light"/>
              <w:sz w:val="32"/>
              <w:szCs w:val="32"/>
            </w:rPr>
            <w:t>I</w:t>
          </w:r>
          <w:r w:rsidR="00376798">
            <w:rPr>
              <w:rFonts w:ascii="Montserrat Light" w:hAnsi="Montserrat Light"/>
              <w:sz w:val="32"/>
              <w:szCs w:val="32"/>
            </w:rPr>
            <w:t xml:space="preserve"> – You cannot tax what you cannot see</w:t>
          </w:r>
        </w:sdtContent>
      </w:sdt>
    </w:p>
    <w:p w14:paraId="26B52DAF" w14:textId="445984E9" w:rsidR="002A31E6" w:rsidRPr="00EC7701" w:rsidRDefault="000C3EFF"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357035E8" w14:textId="77777777" w:rsidR="00AE1FDF" w:rsidRPr="00C47A9C" w:rsidRDefault="00AE1FDF" w:rsidP="00AE1FDF">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E1FDF" w14:paraId="252196C5" w14:textId="77777777" w:rsidTr="00A1759D">
        <w:trPr>
          <w:trHeight w:val="70"/>
        </w:trPr>
        <w:tc>
          <w:tcPr>
            <w:tcW w:w="9016" w:type="dxa"/>
          </w:tcPr>
          <w:p w14:paraId="2CD0E21E" w14:textId="77777777" w:rsidR="00AE1FDF" w:rsidRPr="008774BA" w:rsidRDefault="00AE1FDF" w:rsidP="00A1759D">
            <w:pPr>
              <w:pStyle w:val="BoxHeading"/>
              <w:keepNext w:val="0"/>
              <w:widowControl w:val="0"/>
              <w:rPr>
                <w:caps/>
              </w:rPr>
            </w:pPr>
            <w:r w:rsidRPr="008774BA">
              <w:t>Recommendation 1</w:t>
            </w:r>
          </w:p>
          <w:p w14:paraId="647F74C2" w14:textId="28FC6A40" w:rsidR="00AE1FDF" w:rsidRPr="008774BA" w:rsidRDefault="008D63EB" w:rsidP="00A1759D">
            <w:pPr>
              <w:pStyle w:val="BoxText"/>
              <w:widowControl w:val="0"/>
            </w:pPr>
            <w:r>
              <w:t xml:space="preserve">The committee recommends that the Australian Government work with governments of countries with significant marketing hub activity to improve the transparency of information regarding taxation, monetary </w:t>
            </w:r>
            <w:proofErr w:type="gramStart"/>
            <w:r>
              <w:t>flows</w:t>
            </w:r>
            <w:proofErr w:type="gramEnd"/>
            <w:r>
              <w:t xml:space="preserve"> and inter-related party dealings</w:t>
            </w:r>
            <w:r w:rsidR="00AE1FDF">
              <w:t>.</w:t>
            </w:r>
          </w:p>
          <w:p w14:paraId="08AF2AD8" w14:textId="77777777" w:rsidR="00AE1FDF" w:rsidRPr="009753EB" w:rsidRDefault="00AE1FDF" w:rsidP="00A1759D">
            <w:pPr>
              <w:pStyle w:val="BoxSubHeading"/>
              <w:keepNext w:val="0"/>
              <w:widowControl w:val="0"/>
              <w:rPr>
                <w:caps/>
              </w:rPr>
            </w:pPr>
            <w:r w:rsidRPr="009753EB">
              <w:t xml:space="preserve">Australian Government response </w:t>
            </w:r>
          </w:p>
          <w:p w14:paraId="430B5751" w14:textId="77777777" w:rsidR="00AE1FDF" w:rsidRPr="008774BA" w:rsidRDefault="00AE1FDF" w:rsidP="00A1759D">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AE1FDF" w14:paraId="0382A1D5" w14:textId="77777777" w:rsidTr="00A1759D">
        <w:trPr>
          <w:trHeight w:val="70"/>
        </w:trPr>
        <w:tc>
          <w:tcPr>
            <w:tcW w:w="9016" w:type="dxa"/>
          </w:tcPr>
          <w:p w14:paraId="14A1BCF7" w14:textId="77777777" w:rsidR="00AE1FDF" w:rsidRPr="008774BA" w:rsidRDefault="00AE1FDF" w:rsidP="00A1759D">
            <w:pPr>
              <w:pStyle w:val="BoxHeading"/>
              <w:keepNext w:val="0"/>
              <w:widowControl w:val="0"/>
              <w:rPr>
                <w:caps/>
              </w:rPr>
            </w:pPr>
            <w:r w:rsidRPr="008774BA">
              <w:t xml:space="preserve">Recommendation </w:t>
            </w:r>
            <w:r>
              <w:t>2</w:t>
            </w:r>
          </w:p>
          <w:p w14:paraId="1BDB0874" w14:textId="306F4E82" w:rsidR="00AE1FDF" w:rsidRPr="008774BA" w:rsidRDefault="008D63EB" w:rsidP="00A1759D">
            <w:pPr>
              <w:pStyle w:val="BoxText"/>
              <w:widowControl w:val="0"/>
            </w:pPr>
            <w:r>
              <w:t>The committee recommends that the Australian Government continue to take a leadership role in finalising and implementing the efforts of the OECD in addressing problems associated with base erosion and profit shifting. However, the committee also considers that international collaboration should not prevent the Australian Government from taking unilateral action.</w:t>
            </w:r>
          </w:p>
          <w:p w14:paraId="3CE010E0" w14:textId="77777777" w:rsidR="00AE1FDF" w:rsidRPr="009753EB" w:rsidRDefault="00AE1FDF" w:rsidP="00A1759D">
            <w:pPr>
              <w:pStyle w:val="BoxSubHeading"/>
              <w:keepNext w:val="0"/>
              <w:widowControl w:val="0"/>
              <w:rPr>
                <w:caps/>
              </w:rPr>
            </w:pPr>
            <w:r w:rsidRPr="009753EB">
              <w:t xml:space="preserve">Australian Government response </w:t>
            </w:r>
          </w:p>
          <w:p w14:paraId="7AF426D5" w14:textId="77777777" w:rsidR="00AE1FDF" w:rsidRPr="008774BA" w:rsidRDefault="00AE1FDF"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r w:rsidR="00AE1FDF" w14:paraId="7C94E536" w14:textId="77777777" w:rsidTr="00A1759D">
        <w:trPr>
          <w:trHeight w:val="70"/>
        </w:trPr>
        <w:tc>
          <w:tcPr>
            <w:tcW w:w="9016" w:type="dxa"/>
          </w:tcPr>
          <w:p w14:paraId="458723F2" w14:textId="77777777" w:rsidR="00AE1FDF" w:rsidRPr="008774BA" w:rsidRDefault="00AE1FDF" w:rsidP="00A1759D">
            <w:pPr>
              <w:pStyle w:val="BoxHeading"/>
              <w:keepNext w:val="0"/>
              <w:widowControl w:val="0"/>
              <w:rPr>
                <w:caps/>
              </w:rPr>
            </w:pPr>
            <w:r w:rsidRPr="008774BA">
              <w:t xml:space="preserve">Recommendation </w:t>
            </w:r>
            <w:r>
              <w:t>3</w:t>
            </w:r>
          </w:p>
          <w:p w14:paraId="6C7AE443" w14:textId="2E28556B" w:rsidR="00AE1FDF" w:rsidRPr="008774BA" w:rsidRDefault="008D63EB" w:rsidP="00A1759D">
            <w:pPr>
              <w:pStyle w:val="BoxText"/>
              <w:widowControl w:val="0"/>
            </w:pPr>
            <w:r>
              <w:t>The committee recommends that a mandatory tax reporting code be implemented as soon as practicable but no later than the current timeframe for the proposed voluntary public transparency code. Any Australian corporation or subsidiary of a multinational corporation with an annual turnover above an agreed figure would be required to publicly report financial information on revenue, expenses, tax paid and tax benefits/deductions from specific government incentives, such as fuel rebates and research and development offsets</w:t>
            </w:r>
            <w:r w:rsidR="00AE1FDF">
              <w:t>.</w:t>
            </w:r>
          </w:p>
          <w:p w14:paraId="4193C704" w14:textId="77777777" w:rsidR="00AE1FDF" w:rsidRPr="009753EB" w:rsidRDefault="00AE1FDF" w:rsidP="00A1759D">
            <w:pPr>
              <w:pStyle w:val="BoxSubHeading"/>
              <w:keepNext w:val="0"/>
              <w:widowControl w:val="0"/>
              <w:rPr>
                <w:caps/>
              </w:rPr>
            </w:pPr>
            <w:r w:rsidRPr="009753EB">
              <w:t xml:space="preserve">Australian Government response </w:t>
            </w:r>
          </w:p>
          <w:p w14:paraId="5D46B4DA" w14:textId="77777777" w:rsidR="00AE1FDF" w:rsidRPr="008774BA" w:rsidRDefault="00AE1FDF"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AE1FDF" w:rsidRPr="008774BA" w14:paraId="40ABB45A" w14:textId="77777777" w:rsidTr="00A1759D">
        <w:trPr>
          <w:trHeight w:val="70"/>
        </w:trPr>
        <w:tc>
          <w:tcPr>
            <w:tcW w:w="9016" w:type="dxa"/>
          </w:tcPr>
          <w:p w14:paraId="772A3689" w14:textId="77777777" w:rsidR="00AE1FDF" w:rsidRPr="008774BA" w:rsidRDefault="00AE1FDF" w:rsidP="00A1759D">
            <w:pPr>
              <w:pStyle w:val="BoxHeading"/>
              <w:keepNext w:val="0"/>
              <w:widowControl w:val="0"/>
              <w:rPr>
                <w:caps/>
              </w:rPr>
            </w:pPr>
            <w:r w:rsidRPr="008774BA">
              <w:t xml:space="preserve">Recommendation </w:t>
            </w:r>
            <w:r>
              <w:t>4</w:t>
            </w:r>
          </w:p>
          <w:p w14:paraId="297B1198" w14:textId="78C1C4E1" w:rsidR="00AE1FDF" w:rsidRPr="008774BA" w:rsidRDefault="008D63EB" w:rsidP="00A1759D">
            <w:pPr>
              <w:pStyle w:val="BoxText"/>
              <w:widowControl w:val="0"/>
            </w:pPr>
            <w:r>
              <w:t>The committee recommends maintaining existing tax transparency laws which apply to both private and public companies</w:t>
            </w:r>
            <w:r w:rsidR="00AE1FDF">
              <w:t>.</w:t>
            </w:r>
          </w:p>
          <w:p w14:paraId="715EB661" w14:textId="77777777" w:rsidR="00AE1FDF" w:rsidRPr="009753EB" w:rsidRDefault="00AE1FDF" w:rsidP="00A1759D">
            <w:pPr>
              <w:pStyle w:val="BoxSubHeading"/>
              <w:keepNext w:val="0"/>
              <w:widowControl w:val="0"/>
              <w:rPr>
                <w:caps/>
              </w:rPr>
            </w:pPr>
            <w:r w:rsidRPr="009753EB">
              <w:t xml:space="preserve">Australian Government response </w:t>
            </w:r>
          </w:p>
          <w:p w14:paraId="59878FFD" w14:textId="77777777" w:rsidR="00AE1FDF" w:rsidRPr="008774BA" w:rsidRDefault="00AE1FDF" w:rsidP="00A1759D">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AE1FDF" w:rsidRPr="008774BA" w14:paraId="4040C7D3" w14:textId="77777777" w:rsidTr="00A1759D">
        <w:trPr>
          <w:trHeight w:val="70"/>
        </w:trPr>
        <w:tc>
          <w:tcPr>
            <w:tcW w:w="9016" w:type="dxa"/>
          </w:tcPr>
          <w:p w14:paraId="1632B990" w14:textId="77777777" w:rsidR="00AE1FDF" w:rsidRPr="008774BA" w:rsidRDefault="00AE1FDF" w:rsidP="00A1759D">
            <w:pPr>
              <w:pStyle w:val="BoxHeading"/>
              <w:keepNext w:val="0"/>
              <w:widowControl w:val="0"/>
              <w:rPr>
                <w:caps/>
              </w:rPr>
            </w:pPr>
            <w:r w:rsidRPr="008774BA">
              <w:lastRenderedPageBreak/>
              <w:t xml:space="preserve">Recommendation </w:t>
            </w:r>
            <w:r>
              <w:t>5</w:t>
            </w:r>
          </w:p>
          <w:p w14:paraId="33058D20" w14:textId="0ABB1259" w:rsidR="00AE1FDF" w:rsidRPr="008774BA" w:rsidRDefault="008D63EB" w:rsidP="00A1759D">
            <w:pPr>
              <w:pStyle w:val="BoxText"/>
              <w:widowControl w:val="0"/>
            </w:pPr>
            <w:r>
              <w:t>The committee recommends establishing a public register of tax avoidance settlements reached with the ATO where the value of that settlement is over an agreed threshold</w:t>
            </w:r>
            <w:r w:rsidR="00AE1FDF">
              <w:t>.</w:t>
            </w:r>
          </w:p>
          <w:p w14:paraId="7703C6DC" w14:textId="77777777" w:rsidR="00AE1FDF" w:rsidRPr="009753EB" w:rsidRDefault="00AE1FDF" w:rsidP="00A1759D">
            <w:pPr>
              <w:pStyle w:val="BoxSubHeading"/>
              <w:keepNext w:val="0"/>
              <w:widowControl w:val="0"/>
              <w:rPr>
                <w:caps/>
              </w:rPr>
            </w:pPr>
            <w:r w:rsidRPr="009753EB">
              <w:t xml:space="preserve">Australian Government response </w:t>
            </w:r>
          </w:p>
          <w:p w14:paraId="66F0D5A3" w14:textId="77777777" w:rsidR="00AE1FDF" w:rsidRPr="008774BA" w:rsidRDefault="00AE1FDF"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r w:rsidR="00AE1FDF" w:rsidRPr="008774BA" w14:paraId="0584A24D" w14:textId="77777777" w:rsidTr="00A1759D">
        <w:trPr>
          <w:trHeight w:val="70"/>
        </w:trPr>
        <w:tc>
          <w:tcPr>
            <w:tcW w:w="9016" w:type="dxa"/>
          </w:tcPr>
          <w:p w14:paraId="103EBBED" w14:textId="77777777" w:rsidR="00AE1FDF" w:rsidRPr="008774BA" w:rsidRDefault="00AE1FDF" w:rsidP="00A1759D">
            <w:pPr>
              <w:pStyle w:val="BoxHeading"/>
              <w:keepNext w:val="0"/>
              <w:widowControl w:val="0"/>
              <w:rPr>
                <w:caps/>
              </w:rPr>
            </w:pPr>
            <w:r w:rsidRPr="008774BA">
              <w:t xml:space="preserve">Recommendation </w:t>
            </w:r>
            <w:r>
              <w:t>6</w:t>
            </w:r>
          </w:p>
          <w:p w14:paraId="51BC3782" w14:textId="49E5F26F" w:rsidR="00AE1FDF" w:rsidRPr="008774BA" w:rsidRDefault="008D63EB" w:rsidP="00A1759D">
            <w:pPr>
              <w:pStyle w:val="BoxText"/>
              <w:widowControl w:val="0"/>
            </w:pPr>
            <w:r>
              <w:t xml:space="preserve">The committee recommends that the government consider publishing excerpts from the Country-by-Country </w:t>
            </w:r>
            <w:proofErr w:type="gramStart"/>
            <w:r>
              <w:t>reports, and</w:t>
            </w:r>
            <w:proofErr w:type="gramEnd"/>
            <w:r>
              <w:t xml:space="preserve"> suggests that the government consider implementing Country-by-Country reporting based closely on the European Union's standards</w:t>
            </w:r>
            <w:r w:rsidR="00AE1FDF">
              <w:t>.</w:t>
            </w:r>
          </w:p>
          <w:p w14:paraId="3CAA49D9" w14:textId="77777777" w:rsidR="00AE1FDF" w:rsidRPr="009753EB" w:rsidRDefault="00AE1FDF" w:rsidP="00A1759D">
            <w:pPr>
              <w:pStyle w:val="BoxSubHeading"/>
              <w:keepNext w:val="0"/>
              <w:widowControl w:val="0"/>
              <w:rPr>
                <w:caps/>
              </w:rPr>
            </w:pPr>
            <w:r w:rsidRPr="009753EB">
              <w:t xml:space="preserve">Australian Government response </w:t>
            </w:r>
          </w:p>
          <w:p w14:paraId="6BDFD894" w14:textId="77777777" w:rsidR="00AE1FDF" w:rsidRPr="008774BA" w:rsidRDefault="00AE1FDF"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AE1FDF" w:rsidRPr="008774BA" w14:paraId="5B4A9BEB" w14:textId="77777777" w:rsidTr="00A1759D">
        <w:trPr>
          <w:trHeight w:val="70"/>
        </w:trPr>
        <w:tc>
          <w:tcPr>
            <w:tcW w:w="9016" w:type="dxa"/>
          </w:tcPr>
          <w:p w14:paraId="4C531341" w14:textId="77777777" w:rsidR="00AE1FDF" w:rsidRPr="008774BA" w:rsidRDefault="00AE1FDF" w:rsidP="00A1759D">
            <w:pPr>
              <w:pStyle w:val="BoxHeading"/>
              <w:keepNext w:val="0"/>
              <w:widowControl w:val="0"/>
              <w:rPr>
                <w:caps/>
              </w:rPr>
            </w:pPr>
            <w:r w:rsidRPr="008774BA">
              <w:t xml:space="preserve">Recommendation </w:t>
            </w:r>
            <w:r>
              <w:t>7</w:t>
            </w:r>
          </w:p>
          <w:p w14:paraId="2A166FB1" w14:textId="1A455D79" w:rsidR="00AE1FDF" w:rsidRPr="008774BA" w:rsidRDefault="008D63EB" w:rsidP="00A1759D">
            <w:pPr>
              <w:pStyle w:val="BoxText"/>
              <w:widowControl w:val="0"/>
            </w:pPr>
            <w:r>
              <w:t xml:space="preserve">The committee recommends that the ATO, in conjunction with Treasury and other relevant agencies, provide an annual public report on aggressive tax minimisation and avoidance activities to be tabled in Parliament. This report could include estimations of forgone revenue, evaluate the effectiveness of </w:t>
            </w:r>
            <w:proofErr w:type="gramStart"/>
            <w:r>
              <w:t>policy</w:t>
            </w:r>
            <w:proofErr w:type="gramEnd"/>
            <w:r>
              <w:t xml:space="preserve"> and propose potential changes</w:t>
            </w:r>
            <w:r w:rsidR="00AE1FDF">
              <w:t>.</w:t>
            </w:r>
          </w:p>
          <w:p w14:paraId="39C7B34A" w14:textId="77777777" w:rsidR="00AE1FDF" w:rsidRPr="009753EB" w:rsidRDefault="00AE1FDF" w:rsidP="00A1759D">
            <w:pPr>
              <w:pStyle w:val="BoxSubHeading"/>
              <w:keepNext w:val="0"/>
              <w:widowControl w:val="0"/>
              <w:rPr>
                <w:caps/>
              </w:rPr>
            </w:pPr>
            <w:r w:rsidRPr="009753EB">
              <w:t xml:space="preserve">Australian Government response </w:t>
            </w:r>
          </w:p>
          <w:p w14:paraId="3D35FD7E" w14:textId="77777777" w:rsidR="00AE1FDF" w:rsidRPr="008774BA" w:rsidRDefault="00AE1FDF" w:rsidP="00A1759D">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AE1FDF" w:rsidRPr="008774BA" w14:paraId="23B95548" w14:textId="77777777" w:rsidTr="00A1759D">
        <w:trPr>
          <w:trHeight w:val="70"/>
        </w:trPr>
        <w:tc>
          <w:tcPr>
            <w:tcW w:w="9016" w:type="dxa"/>
          </w:tcPr>
          <w:p w14:paraId="584C7BB5" w14:textId="77777777" w:rsidR="00AE1FDF" w:rsidRPr="008774BA" w:rsidRDefault="00AE1FDF" w:rsidP="00A1759D">
            <w:pPr>
              <w:pStyle w:val="BoxHeading"/>
              <w:keepNext w:val="0"/>
              <w:widowControl w:val="0"/>
              <w:rPr>
                <w:caps/>
              </w:rPr>
            </w:pPr>
            <w:r w:rsidRPr="008774BA">
              <w:t xml:space="preserve">Recommendation </w:t>
            </w:r>
            <w:r>
              <w:t>8</w:t>
            </w:r>
          </w:p>
          <w:p w14:paraId="0932B9D5" w14:textId="6603BD5E" w:rsidR="00AE1FDF" w:rsidRPr="008774BA" w:rsidRDefault="008D63EB" w:rsidP="00A1759D">
            <w:pPr>
              <w:pStyle w:val="BoxText"/>
              <w:widowControl w:val="0"/>
            </w:pPr>
            <w:r>
              <w:t>The committee recommends that the Australian Government tender process require all companies to state their country of domicile for tax purposes</w:t>
            </w:r>
            <w:r w:rsidR="00AE1FDF">
              <w:t>.</w:t>
            </w:r>
          </w:p>
          <w:p w14:paraId="7A0FC324" w14:textId="77777777" w:rsidR="00AE1FDF" w:rsidRPr="009753EB" w:rsidRDefault="00AE1FDF" w:rsidP="00A1759D">
            <w:pPr>
              <w:pStyle w:val="BoxSubHeading"/>
              <w:keepNext w:val="0"/>
              <w:widowControl w:val="0"/>
              <w:rPr>
                <w:caps/>
              </w:rPr>
            </w:pPr>
            <w:r w:rsidRPr="009753EB">
              <w:t xml:space="preserve">Australian Government response </w:t>
            </w:r>
          </w:p>
          <w:p w14:paraId="49BE4712" w14:textId="77777777" w:rsidR="00AE1FDF" w:rsidRPr="008774BA" w:rsidRDefault="00AE1FDF"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bl>
    <w:p w14:paraId="5A30D350" w14:textId="77777777" w:rsidR="008D63EB" w:rsidRDefault="008D63EB">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E1FDF" w:rsidRPr="008774BA" w14:paraId="25DBC46D" w14:textId="77777777" w:rsidTr="00A1759D">
        <w:trPr>
          <w:trHeight w:val="70"/>
        </w:trPr>
        <w:tc>
          <w:tcPr>
            <w:tcW w:w="9016" w:type="dxa"/>
          </w:tcPr>
          <w:p w14:paraId="18097989" w14:textId="37E152C3" w:rsidR="00AE1FDF" w:rsidRPr="008774BA" w:rsidRDefault="00AE1FDF" w:rsidP="00A1759D">
            <w:pPr>
              <w:pStyle w:val="BoxHeading"/>
              <w:keepNext w:val="0"/>
              <w:widowControl w:val="0"/>
              <w:rPr>
                <w:caps/>
              </w:rPr>
            </w:pPr>
            <w:r>
              <w:rPr>
                <w:b w:val="0"/>
                <w:color w:val="auto"/>
                <w:sz w:val="22"/>
                <w:szCs w:val="20"/>
              </w:rPr>
              <w:lastRenderedPageBreak/>
              <w:br w:type="page"/>
            </w:r>
            <w:r w:rsidRPr="008774BA">
              <w:t xml:space="preserve">Recommendation </w:t>
            </w:r>
            <w:r>
              <w:t>9</w:t>
            </w:r>
          </w:p>
          <w:p w14:paraId="3E883019" w14:textId="0D327336" w:rsidR="00AE1FDF" w:rsidRPr="008774BA" w:rsidRDefault="008D63EB" w:rsidP="00A1759D">
            <w:pPr>
              <w:pStyle w:val="BoxText"/>
              <w:widowControl w:val="0"/>
            </w:pPr>
            <w:r>
              <w:t>The committee recommends mandatory notification by agencies to the relevant portfolio Minister when contracts with a dollar value above an agreed threshold are awarded to companies domiciled offshore for tax purposes</w:t>
            </w:r>
            <w:r w:rsidR="00AE1FDF">
              <w:t>.</w:t>
            </w:r>
          </w:p>
          <w:p w14:paraId="09A9F2D2" w14:textId="77777777" w:rsidR="00AE1FDF" w:rsidRPr="009753EB" w:rsidRDefault="00AE1FDF" w:rsidP="00A1759D">
            <w:pPr>
              <w:pStyle w:val="BoxSubHeading"/>
              <w:keepNext w:val="0"/>
              <w:widowControl w:val="0"/>
              <w:rPr>
                <w:caps/>
              </w:rPr>
            </w:pPr>
            <w:r w:rsidRPr="009753EB">
              <w:t xml:space="preserve">Australian Government response </w:t>
            </w:r>
          </w:p>
          <w:p w14:paraId="57D51D8E" w14:textId="77777777" w:rsidR="00AE1FDF" w:rsidRPr="008774BA" w:rsidRDefault="00AE1FDF"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AE1FDF" w:rsidRPr="008774BA" w14:paraId="60965852" w14:textId="77777777" w:rsidTr="00A1759D">
        <w:trPr>
          <w:trHeight w:val="70"/>
        </w:trPr>
        <w:tc>
          <w:tcPr>
            <w:tcW w:w="9016" w:type="dxa"/>
          </w:tcPr>
          <w:p w14:paraId="7B0B5C64" w14:textId="77777777" w:rsidR="00AE1FDF" w:rsidRPr="008774BA" w:rsidRDefault="00AE1FDF" w:rsidP="00A1759D">
            <w:pPr>
              <w:pStyle w:val="BoxHeading"/>
              <w:keepNext w:val="0"/>
              <w:widowControl w:val="0"/>
              <w:rPr>
                <w:caps/>
              </w:rPr>
            </w:pPr>
            <w:r w:rsidRPr="008774BA">
              <w:t>Recommendation 1</w:t>
            </w:r>
            <w:r>
              <w:t>0</w:t>
            </w:r>
          </w:p>
          <w:p w14:paraId="7DE45D83" w14:textId="6970C4C7" w:rsidR="00AE1FDF" w:rsidRPr="008774BA" w:rsidRDefault="008D63EB" w:rsidP="00A1759D">
            <w:pPr>
              <w:pStyle w:val="BoxText"/>
              <w:widowControl w:val="0"/>
            </w:pPr>
            <w:r>
              <w:t xml:space="preserve">The committee recommends an independent audit of ATO resourcing, </w:t>
            </w:r>
            <w:proofErr w:type="gramStart"/>
            <w:r>
              <w:t>funding</w:t>
            </w:r>
            <w:proofErr w:type="gramEnd"/>
            <w:r>
              <w:t xml:space="preserve"> and staffing.</w:t>
            </w:r>
          </w:p>
          <w:p w14:paraId="3CE46E17" w14:textId="77777777" w:rsidR="00AE1FDF" w:rsidRPr="009753EB" w:rsidRDefault="00AE1FDF" w:rsidP="00A1759D">
            <w:pPr>
              <w:pStyle w:val="BoxSubHeading"/>
              <w:keepNext w:val="0"/>
              <w:widowControl w:val="0"/>
              <w:rPr>
                <w:caps/>
              </w:rPr>
            </w:pPr>
            <w:r w:rsidRPr="009753EB">
              <w:t xml:space="preserve">Australian Government response </w:t>
            </w:r>
          </w:p>
          <w:p w14:paraId="226039CE" w14:textId="77777777" w:rsidR="00AE1FDF" w:rsidRPr="008774BA" w:rsidRDefault="00AE1FDF" w:rsidP="00A1759D">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AE1FDF" w:rsidRPr="008774BA" w14:paraId="235A8621" w14:textId="77777777" w:rsidTr="00A1759D">
        <w:trPr>
          <w:trHeight w:val="70"/>
        </w:trPr>
        <w:tc>
          <w:tcPr>
            <w:tcW w:w="9016" w:type="dxa"/>
          </w:tcPr>
          <w:p w14:paraId="02C71C62" w14:textId="77777777" w:rsidR="00AE1FDF" w:rsidRPr="008774BA" w:rsidRDefault="00AE1FDF" w:rsidP="00A1759D">
            <w:pPr>
              <w:pStyle w:val="BoxHeading"/>
              <w:keepNext w:val="0"/>
              <w:widowControl w:val="0"/>
              <w:rPr>
                <w:caps/>
              </w:rPr>
            </w:pPr>
            <w:r w:rsidRPr="008774BA">
              <w:t xml:space="preserve">Recommendation </w:t>
            </w:r>
            <w:r>
              <w:t>11</w:t>
            </w:r>
          </w:p>
          <w:p w14:paraId="2B987FDE" w14:textId="3AB429EC" w:rsidR="00AE1FDF" w:rsidRPr="008774BA" w:rsidRDefault="008D63EB" w:rsidP="00A1759D">
            <w:pPr>
              <w:pStyle w:val="BoxText"/>
              <w:widowControl w:val="0"/>
            </w:pPr>
            <w:r>
              <w:t xml:space="preserve">The committee recommends the ATO report to parliament, at least annually </w:t>
            </w:r>
            <w:proofErr w:type="gramStart"/>
            <w:r>
              <w:t>on:</w:t>
            </w:r>
            <w:proofErr w:type="gramEnd"/>
            <w:r>
              <w:t xml:space="preserve"> the number of audits or disputes launched concerning multinational corporations; the number of cases settled with multinational corporations; the number of successful legal proceedings concluded against multinational corporations; and the staff resources allocated to tax compliance of multinational corporations.</w:t>
            </w:r>
          </w:p>
          <w:p w14:paraId="146E3E32" w14:textId="77777777" w:rsidR="00AE1FDF" w:rsidRPr="009753EB" w:rsidRDefault="00AE1FDF" w:rsidP="00A1759D">
            <w:pPr>
              <w:pStyle w:val="BoxSubHeading"/>
              <w:keepNext w:val="0"/>
              <w:widowControl w:val="0"/>
              <w:rPr>
                <w:caps/>
              </w:rPr>
            </w:pPr>
            <w:r w:rsidRPr="009753EB">
              <w:t xml:space="preserve">Australian Government response </w:t>
            </w:r>
          </w:p>
          <w:p w14:paraId="6454C6C6" w14:textId="77777777" w:rsidR="00AE1FDF" w:rsidRPr="008774BA" w:rsidRDefault="00AE1FDF"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r w:rsidR="00AE1FDF" w:rsidRPr="008774BA" w14:paraId="03E1D677" w14:textId="77777777" w:rsidTr="00A1759D">
        <w:trPr>
          <w:trHeight w:val="70"/>
        </w:trPr>
        <w:tc>
          <w:tcPr>
            <w:tcW w:w="9016" w:type="dxa"/>
          </w:tcPr>
          <w:p w14:paraId="62D85E8D" w14:textId="77777777" w:rsidR="00AE1FDF" w:rsidRPr="008774BA" w:rsidRDefault="00AE1FDF" w:rsidP="00A1759D">
            <w:pPr>
              <w:pStyle w:val="BoxHeading"/>
              <w:keepNext w:val="0"/>
              <w:widowControl w:val="0"/>
              <w:rPr>
                <w:caps/>
              </w:rPr>
            </w:pPr>
            <w:r w:rsidRPr="008774BA">
              <w:t xml:space="preserve">Recommendation </w:t>
            </w:r>
            <w:r>
              <w:t>12</w:t>
            </w:r>
          </w:p>
          <w:p w14:paraId="21B03AC4" w14:textId="0C109058" w:rsidR="00AE1FDF" w:rsidRPr="008774BA" w:rsidRDefault="008D63EB" w:rsidP="00A1759D">
            <w:pPr>
              <w:pStyle w:val="BoxText"/>
              <w:widowControl w:val="0"/>
            </w:pPr>
            <w:r>
              <w:t>The committee recommends that taxation legislation be amended so that nonreporting entities are required to disclose related party information in financial reports under the Corporations Act if notified to do so by the ATO</w:t>
            </w:r>
            <w:r w:rsidR="00AE1FDF">
              <w:t>.</w:t>
            </w:r>
          </w:p>
          <w:p w14:paraId="00CB2821" w14:textId="77777777" w:rsidR="00AE1FDF" w:rsidRPr="009753EB" w:rsidRDefault="00AE1FDF" w:rsidP="00A1759D">
            <w:pPr>
              <w:pStyle w:val="BoxSubHeading"/>
              <w:keepNext w:val="0"/>
              <w:widowControl w:val="0"/>
              <w:rPr>
                <w:caps/>
              </w:rPr>
            </w:pPr>
            <w:r w:rsidRPr="009753EB">
              <w:t xml:space="preserve">Australian Government response </w:t>
            </w:r>
          </w:p>
          <w:p w14:paraId="0CCF32F0" w14:textId="77777777" w:rsidR="00AE1FDF" w:rsidRPr="008774BA" w:rsidRDefault="00AE1FDF"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bl>
    <w:p w14:paraId="55D081D9" w14:textId="77777777" w:rsidR="008D63EB" w:rsidRDefault="008D63EB">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E1FDF" w14:paraId="462F8738" w14:textId="77777777" w:rsidTr="00A1759D">
        <w:trPr>
          <w:trHeight w:val="70"/>
        </w:trPr>
        <w:tc>
          <w:tcPr>
            <w:tcW w:w="9016" w:type="dxa"/>
          </w:tcPr>
          <w:p w14:paraId="09ED57D5" w14:textId="45227432" w:rsidR="00AE1FDF" w:rsidRPr="008774BA" w:rsidRDefault="00AE1FDF" w:rsidP="00A1759D">
            <w:pPr>
              <w:pStyle w:val="BoxHeading"/>
              <w:keepNext w:val="0"/>
              <w:widowControl w:val="0"/>
              <w:rPr>
                <w:caps/>
              </w:rPr>
            </w:pPr>
            <w:r w:rsidRPr="008774BA">
              <w:lastRenderedPageBreak/>
              <w:t>Recommendation 1</w:t>
            </w:r>
            <w:r>
              <w:t>3</w:t>
            </w:r>
          </w:p>
          <w:p w14:paraId="714F31DF" w14:textId="7189D8D5" w:rsidR="00AE1FDF" w:rsidRPr="008774BA" w:rsidRDefault="008D63EB" w:rsidP="00A1759D">
            <w:pPr>
              <w:pStyle w:val="BoxText"/>
              <w:widowControl w:val="0"/>
            </w:pPr>
            <w:r>
              <w:t>The committee recommends that the concept of 'grandfathered large proprietary companies' be removed from the Corporations Act, and these companies be required to lodge financial reports with the Australian Securities and Investments Commission (ASIC)</w:t>
            </w:r>
            <w:r w:rsidR="00AE1FDF">
              <w:t>.</w:t>
            </w:r>
          </w:p>
          <w:p w14:paraId="06393602" w14:textId="77777777" w:rsidR="00AE1FDF" w:rsidRPr="009753EB" w:rsidRDefault="00AE1FDF" w:rsidP="00A1759D">
            <w:pPr>
              <w:pStyle w:val="BoxSubHeading"/>
              <w:keepNext w:val="0"/>
              <w:widowControl w:val="0"/>
              <w:rPr>
                <w:caps/>
              </w:rPr>
            </w:pPr>
            <w:r w:rsidRPr="009753EB">
              <w:t xml:space="preserve">Australian Government response </w:t>
            </w:r>
          </w:p>
          <w:p w14:paraId="5BD99B81" w14:textId="77777777" w:rsidR="00AE1FDF" w:rsidRPr="008774BA" w:rsidRDefault="00AE1FDF" w:rsidP="00A1759D">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AE1FDF" w14:paraId="46B6CCD7" w14:textId="77777777" w:rsidTr="00A1759D">
        <w:trPr>
          <w:trHeight w:val="70"/>
        </w:trPr>
        <w:tc>
          <w:tcPr>
            <w:tcW w:w="9016" w:type="dxa"/>
          </w:tcPr>
          <w:p w14:paraId="286343A4" w14:textId="77777777" w:rsidR="00AE1FDF" w:rsidRPr="008774BA" w:rsidRDefault="00AE1FDF" w:rsidP="00A1759D">
            <w:pPr>
              <w:pStyle w:val="BoxHeading"/>
              <w:keepNext w:val="0"/>
              <w:widowControl w:val="0"/>
              <w:rPr>
                <w:caps/>
              </w:rPr>
            </w:pPr>
            <w:r w:rsidRPr="008774BA">
              <w:t xml:space="preserve">Recommendation </w:t>
            </w:r>
            <w:r>
              <w:t>14</w:t>
            </w:r>
          </w:p>
          <w:p w14:paraId="0326AB52" w14:textId="4A3102BF" w:rsidR="00AE1FDF" w:rsidRPr="008774BA" w:rsidRDefault="008D63EB" w:rsidP="00A1759D">
            <w:pPr>
              <w:pStyle w:val="BoxText"/>
              <w:widowControl w:val="0"/>
            </w:pPr>
            <w:r>
              <w:t>The committee recommends that all proprietary companies are required to review and confirm their size with ASIC annually.</w:t>
            </w:r>
          </w:p>
          <w:p w14:paraId="7D8719DD" w14:textId="77777777" w:rsidR="00AE1FDF" w:rsidRPr="009753EB" w:rsidRDefault="00AE1FDF" w:rsidP="00A1759D">
            <w:pPr>
              <w:pStyle w:val="BoxSubHeading"/>
              <w:keepNext w:val="0"/>
              <w:widowControl w:val="0"/>
              <w:rPr>
                <w:caps/>
              </w:rPr>
            </w:pPr>
            <w:r w:rsidRPr="009753EB">
              <w:t xml:space="preserve">Australian Government response </w:t>
            </w:r>
          </w:p>
          <w:p w14:paraId="42F83284" w14:textId="77777777" w:rsidR="00AE1FDF" w:rsidRPr="008774BA" w:rsidRDefault="00AE1FDF"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r w:rsidR="00AE1FDF" w14:paraId="0517C686" w14:textId="77777777" w:rsidTr="00A1759D">
        <w:trPr>
          <w:trHeight w:val="70"/>
        </w:trPr>
        <w:tc>
          <w:tcPr>
            <w:tcW w:w="9016" w:type="dxa"/>
          </w:tcPr>
          <w:p w14:paraId="6DDD3A9B" w14:textId="77777777" w:rsidR="00AE1FDF" w:rsidRPr="008774BA" w:rsidRDefault="00AE1FDF" w:rsidP="00A1759D">
            <w:pPr>
              <w:pStyle w:val="BoxHeading"/>
              <w:keepNext w:val="0"/>
              <w:widowControl w:val="0"/>
              <w:rPr>
                <w:caps/>
              </w:rPr>
            </w:pPr>
            <w:r w:rsidRPr="008774BA">
              <w:t xml:space="preserve">Recommendation </w:t>
            </w:r>
            <w:r>
              <w:t>15</w:t>
            </w:r>
          </w:p>
          <w:p w14:paraId="5B1E38BA" w14:textId="07C2A42C" w:rsidR="00AE1FDF" w:rsidRPr="008774BA" w:rsidRDefault="008D63EB" w:rsidP="00A1759D">
            <w:pPr>
              <w:pStyle w:val="BoxText"/>
              <w:widowControl w:val="0"/>
            </w:pPr>
            <w:r>
              <w:t>The committee recommends that the confidentiality provisions in section 127 of the ASIC Act be amended to allow ASIC to share information with the ATO without having to notify the affected person</w:t>
            </w:r>
            <w:r w:rsidR="00AE1FDF">
              <w:t>.</w:t>
            </w:r>
          </w:p>
          <w:p w14:paraId="3173317B" w14:textId="77777777" w:rsidR="00AE1FDF" w:rsidRPr="009753EB" w:rsidRDefault="00AE1FDF" w:rsidP="00A1759D">
            <w:pPr>
              <w:pStyle w:val="BoxSubHeading"/>
              <w:keepNext w:val="0"/>
              <w:widowControl w:val="0"/>
              <w:rPr>
                <w:caps/>
              </w:rPr>
            </w:pPr>
            <w:r w:rsidRPr="009753EB">
              <w:t xml:space="preserve">Australian Government response </w:t>
            </w:r>
          </w:p>
          <w:p w14:paraId="2B3E0377" w14:textId="77777777" w:rsidR="00AE1FDF" w:rsidRPr="008774BA" w:rsidRDefault="00AE1FDF"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AE1FDF" w:rsidRPr="008774BA" w14:paraId="5CBB86FF" w14:textId="77777777" w:rsidTr="00A1759D">
        <w:trPr>
          <w:trHeight w:val="70"/>
        </w:trPr>
        <w:tc>
          <w:tcPr>
            <w:tcW w:w="9016" w:type="dxa"/>
          </w:tcPr>
          <w:p w14:paraId="7C27B16E" w14:textId="77777777" w:rsidR="00AE1FDF" w:rsidRPr="008774BA" w:rsidRDefault="00AE1FDF" w:rsidP="00A1759D">
            <w:pPr>
              <w:pStyle w:val="BoxHeading"/>
              <w:keepNext w:val="0"/>
              <w:widowControl w:val="0"/>
              <w:rPr>
                <w:caps/>
              </w:rPr>
            </w:pPr>
            <w:r w:rsidRPr="008774BA">
              <w:t xml:space="preserve">Recommendation </w:t>
            </w:r>
            <w:r>
              <w:t>16</w:t>
            </w:r>
          </w:p>
          <w:p w14:paraId="19CED65A" w14:textId="185AA96E" w:rsidR="00AE1FDF" w:rsidRPr="008774BA" w:rsidRDefault="008D63EB" w:rsidP="00A1759D">
            <w:pPr>
              <w:pStyle w:val="BoxText"/>
              <w:widowControl w:val="0"/>
            </w:pPr>
            <w:r>
              <w:t>The committee recommends that people who propose to become directors of companies be required to provide evidence of their identity to the ASIC</w:t>
            </w:r>
            <w:r w:rsidR="00AE1FDF">
              <w:t>.</w:t>
            </w:r>
          </w:p>
          <w:p w14:paraId="2F020B3F" w14:textId="77777777" w:rsidR="00AE1FDF" w:rsidRPr="009753EB" w:rsidRDefault="00AE1FDF" w:rsidP="00A1759D">
            <w:pPr>
              <w:pStyle w:val="BoxSubHeading"/>
              <w:keepNext w:val="0"/>
              <w:widowControl w:val="0"/>
              <w:rPr>
                <w:caps/>
              </w:rPr>
            </w:pPr>
            <w:r w:rsidRPr="009753EB">
              <w:t xml:space="preserve">Australian Government response </w:t>
            </w:r>
          </w:p>
          <w:p w14:paraId="7C762D79" w14:textId="77777777" w:rsidR="00AE1FDF" w:rsidRPr="008774BA" w:rsidRDefault="00AE1FDF" w:rsidP="00A1759D">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bl>
    <w:p w14:paraId="184ECBA2" w14:textId="77777777" w:rsidR="008D63EB" w:rsidRDefault="008D63EB">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E1FDF" w:rsidRPr="008774BA" w14:paraId="39FB388D" w14:textId="77777777" w:rsidTr="00A1759D">
        <w:trPr>
          <w:trHeight w:val="70"/>
        </w:trPr>
        <w:tc>
          <w:tcPr>
            <w:tcW w:w="9016" w:type="dxa"/>
          </w:tcPr>
          <w:p w14:paraId="2136D136" w14:textId="4458A8C1" w:rsidR="00AE1FDF" w:rsidRPr="008774BA" w:rsidRDefault="00AE1FDF" w:rsidP="00A1759D">
            <w:pPr>
              <w:pStyle w:val="BoxHeading"/>
              <w:keepNext w:val="0"/>
              <w:widowControl w:val="0"/>
              <w:rPr>
                <w:caps/>
              </w:rPr>
            </w:pPr>
            <w:r w:rsidRPr="008774BA">
              <w:lastRenderedPageBreak/>
              <w:t xml:space="preserve">Recommendation </w:t>
            </w:r>
            <w:r>
              <w:t>17</w:t>
            </w:r>
          </w:p>
          <w:p w14:paraId="4F04BFA9" w14:textId="5730FAF4" w:rsidR="00AE1FDF" w:rsidRPr="008774BA" w:rsidRDefault="008D63EB" w:rsidP="00A1759D">
            <w:pPr>
              <w:pStyle w:val="BoxText"/>
              <w:widowControl w:val="0"/>
            </w:pPr>
            <w:r>
              <w:t>The committee recommends that ASIC amend Class Order 98/98 so that a company is not eligible for financial reporting relief, where the ATO notifies the company and ASIC that the relief does not apply to that company</w:t>
            </w:r>
            <w:r w:rsidR="00AE1FDF">
              <w:t>.</w:t>
            </w:r>
          </w:p>
          <w:p w14:paraId="04399555" w14:textId="77777777" w:rsidR="00AE1FDF" w:rsidRPr="009753EB" w:rsidRDefault="00AE1FDF" w:rsidP="00A1759D">
            <w:pPr>
              <w:pStyle w:val="BoxSubHeading"/>
              <w:keepNext w:val="0"/>
              <w:widowControl w:val="0"/>
              <w:rPr>
                <w:caps/>
              </w:rPr>
            </w:pPr>
            <w:r w:rsidRPr="009753EB">
              <w:t xml:space="preserve">Australian Government response </w:t>
            </w:r>
          </w:p>
          <w:p w14:paraId="302296AD" w14:textId="77777777" w:rsidR="00AE1FDF" w:rsidRPr="008774BA" w:rsidRDefault="00AE1FDF"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r w:rsidR="00AE1FDF" w:rsidRPr="008774BA" w14:paraId="0E9BDEFE" w14:textId="77777777" w:rsidTr="00A1759D">
        <w:trPr>
          <w:trHeight w:val="70"/>
        </w:trPr>
        <w:tc>
          <w:tcPr>
            <w:tcW w:w="9016" w:type="dxa"/>
          </w:tcPr>
          <w:p w14:paraId="75B53A8F" w14:textId="088A81C5" w:rsidR="00AE1FDF" w:rsidRPr="008774BA" w:rsidRDefault="008D63EB" w:rsidP="00A1759D">
            <w:pPr>
              <w:pStyle w:val="BoxHeading"/>
              <w:keepNext w:val="0"/>
              <w:widowControl w:val="0"/>
              <w:rPr>
                <w:caps/>
              </w:rPr>
            </w:pPr>
            <w:r>
              <w:t xml:space="preserve">Additional Comments from the Australian Greens - </w:t>
            </w:r>
            <w:r w:rsidR="00AE1FDF" w:rsidRPr="008774BA">
              <w:t xml:space="preserve">Recommendation </w:t>
            </w:r>
            <w:r w:rsidR="00AE1FDF">
              <w:t>1</w:t>
            </w:r>
          </w:p>
          <w:p w14:paraId="449468C6" w14:textId="4C362335" w:rsidR="00AE1FDF" w:rsidRPr="008774BA" w:rsidRDefault="008D63EB" w:rsidP="00A1759D">
            <w:pPr>
              <w:pStyle w:val="BoxText"/>
              <w:widowControl w:val="0"/>
            </w:pPr>
            <w:r>
              <w:t xml:space="preserve">The Australian Taxation Office should be required to publish the details of the top 10 Australian companies that transfer wealth </w:t>
            </w:r>
            <w:proofErr w:type="gramStart"/>
            <w:r>
              <w:t>off shore</w:t>
            </w:r>
            <w:proofErr w:type="gramEnd"/>
            <w:r>
              <w:t xml:space="preserve"> in each financial year. A right of reply will be afforded to each named company to justify its transactions</w:t>
            </w:r>
            <w:r w:rsidR="00AE1FDF">
              <w:t>.</w:t>
            </w:r>
          </w:p>
          <w:p w14:paraId="0C845245" w14:textId="77777777" w:rsidR="00AE1FDF" w:rsidRPr="009753EB" w:rsidRDefault="00AE1FDF" w:rsidP="00A1759D">
            <w:pPr>
              <w:pStyle w:val="BoxSubHeading"/>
              <w:keepNext w:val="0"/>
              <w:widowControl w:val="0"/>
              <w:rPr>
                <w:caps/>
              </w:rPr>
            </w:pPr>
            <w:r w:rsidRPr="009753EB">
              <w:t xml:space="preserve">Australian Government response </w:t>
            </w:r>
          </w:p>
          <w:p w14:paraId="4B54C87A" w14:textId="77777777" w:rsidR="00AE1FDF" w:rsidRPr="008774BA" w:rsidRDefault="00AE1FDF"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AE1FDF" w:rsidRPr="008774BA" w14:paraId="3BF6E107" w14:textId="77777777" w:rsidTr="00A1759D">
        <w:trPr>
          <w:trHeight w:val="70"/>
        </w:trPr>
        <w:tc>
          <w:tcPr>
            <w:tcW w:w="9016" w:type="dxa"/>
          </w:tcPr>
          <w:p w14:paraId="496F2A72" w14:textId="19F8E92A" w:rsidR="008D63EB" w:rsidRPr="008774BA" w:rsidRDefault="008D63EB" w:rsidP="008D63EB">
            <w:pPr>
              <w:pStyle w:val="BoxHeading"/>
              <w:keepNext w:val="0"/>
              <w:widowControl w:val="0"/>
              <w:rPr>
                <w:caps/>
              </w:rPr>
            </w:pPr>
            <w:r>
              <w:t xml:space="preserve">Additional Comments from the Australian Greens - </w:t>
            </w:r>
            <w:r w:rsidRPr="008774BA">
              <w:t xml:space="preserve">Recommendation </w:t>
            </w:r>
            <w:r>
              <w:t>2</w:t>
            </w:r>
          </w:p>
          <w:p w14:paraId="347489AC" w14:textId="45B4410C" w:rsidR="00AE1FDF" w:rsidRPr="008774BA" w:rsidRDefault="008D63EB" w:rsidP="00A1759D">
            <w:pPr>
              <w:pStyle w:val="BoxText"/>
              <w:widowControl w:val="0"/>
            </w:pPr>
            <w:r>
              <w:t>Australian companies that are part of a larger group of international companies should not be eligible for special purpose accounting treatment and must provide ASIC with detailed financial reports to prevailing accounting standards</w:t>
            </w:r>
            <w:r w:rsidR="00AE1FDF">
              <w:t>.</w:t>
            </w:r>
          </w:p>
          <w:p w14:paraId="75D24EC4" w14:textId="77777777" w:rsidR="00AE1FDF" w:rsidRPr="009753EB" w:rsidRDefault="00AE1FDF" w:rsidP="00A1759D">
            <w:pPr>
              <w:pStyle w:val="BoxSubHeading"/>
              <w:keepNext w:val="0"/>
              <w:widowControl w:val="0"/>
              <w:rPr>
                <w:caps/>
              </w:rPr>
            </w:pPr>
            <w:r w:rsidRPr="009753EB">
              <w:t xml:space="preserve">Australian Government response </w:t>
            </w:r>
          </w:p>
          <w:p w14:paraId="2024B9C1" w14:textId="77777777" w:rsidR="00AE1FDF" w:rsidRPr="008774BA" w:rsidRDefault="00AE1FDF" w:rsidP="00A1759D">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AE1FDF" w:rsidRPr="008774BA" w14:paraId="6CEF0B44" w14:textId="77777777" w:rsidTr="00A1759D">
        <w:trPr>
          <w:trHeight w:val="70"/>
        </w:trPr>
        <w:tc>
          <w:tcPr>
            <w:tcW w:w="9016" w:type="dxa"/>
          </w:tcPr>
          <w:p w14:paraId="0C537ECB" w14:textId="404E0EBF" w:rsidR="008D63EB" w:rsidRPr="008774BA" w:rsidRDefault="008D63EB" w:rsidP="008D63EB">
            <w:pPr>
              <w:pStyle w:val="BoxHeading"/>
              <w:keepNext w:val="0"/>
              <w:widowControl w:val="0"/>
              <w:rPr>
                <w:caps/>
              </w:rPr>
            </w:pPr>
            <w:r>
              <w:t xml:space="preserve">Additional Comments from the Australian Greens - </w:t>
            </w:r>
            <w:r w:rsidRPr="008774BA">
              <w:t xml:space="preserve">Recommendation </w:t>
            </w:r>
            <w:r>
              <w:t>3</w:t>
            </w:r>
          </w:p>
          <w:p w14:paraId="36E69C49" w14:textId="4DEB2CF6" w:rsidR="00AE1FDF" w:rsidRPr="008774BA" w:rsidRDefault="008D63EB" w:rsidP="00A1759D">
            <w:pPr>
              <w:pStyle w:val="BoxText"/>
              <w:widowControl w:val="0"/>
            </w:pPr>
            <w:r>
              <w:t>Australian companies that are part of a larger group of international companies should include in their financial statements the value and purposes of all transactions between related companies</w:t>
            </w:r>
            <w:r w:rsidR="00AE1FDF">
              <w:t>.</w:t>
            </w:r>
          </w:p>
          <w:p w14:paraId="48065C35" w14:textId="77777777" w:rsidR="00AE1FDF" w:rsidRPr="009753EB" w:rsidRDefault="00AE1FDF" w:rsidP="00A1759D">
            <w:pPr>
              <w:pStyle w:val="BoxSubHeading"/>
              <w:keepNext w:val="0"/>
              <w:widowControl w:val="0"/>
              <w:rPr>
                <w:caps/>
              </w:rPr>
            </w:pPr>
            <w:r w:rsidRPr="009753EB">
              <w:t xml:space="preserve">Australian Government response </w:t>
            </w:r>
          </w:p>
          <w:p w14:paraId="370C463B" w14:textId="77777777" w:rsidR="00AE1FDF" w:rsidRPr="008774BA" w:rsidRDefault="00AE1FDF"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bl>
    <w:p w14:paraId="299014A2" w14:textId="77777777" w:rsidR="00AE1FDF" w:rsidRDefault="00AE1FDF" w:rsidP="00AE1FDF">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E1FDF" w:rsidRPr="008774BA" w14:paraId="47F06436" w14:textId="77777777" w:rsidTr="00A1759D">
        <w:trPr>
          <w:trHeight w:val="70"/>
        </w:trPr>
        <w:tc>
          <w:tcPr>
            <w:tcW w:w="9016" w:type="dxa"/>
          </w:tcPr>
          <w:p w14:paraId="6C6CEC19" w14:textId="33FA2937" w:rsidR="008D63EB" w:rsidRPr="008774BA" w:rsidRDefault="008D63EB" w:rsidP="008D63EB">
            <w:pPr>
              <w:pStyle w:val="BoxHeading"/>
              <w:keepNext w:val="0"/>
              <w:widowControl w:val="0"/>
              <w:rPr>
                <w:caps/>
              </w:rPr>
            </w:pPr>
            <w:r>
              <w:lastRenderedPageBreak/>
              <w:t xml:space="preserve">Additional Comments from the Australian Greens - </w:t>
            </w:r>
            <w:r w:rsidRPr="008774BA">
              <w:t xml:space="preserve">Recommendation </w:t>
            </w:r>
            <w:r>
              <w:t>4</w:t>
            </w:r>
          </w:p>
          <w:p w14:paraId="6564C1B3" w14:textId="255893EE" w:rsidR="00AE1FDF" w:rsidRPr="008774BA" w:rsidRDefault="008D63EB" w:rsidP="00A1759D">
            <w:pPr>
              <w:pStyle w:val="BoxText"/>
              <w:widowControl w:val="0"/>
            </w:pPr>
            <w:r>
              <w:t>ASIC should publish all details of exemptions from general purpose accounting by firm and association to global related parties, with a justification from ASIC as to why the exemption is necessary. ASIC should also publish any exemption from reporting timelines and clearly outline any changes to class orders that are implemented</w:t>
            </w:r>
            <w:r w:rsidR="00AE1FDF">
              <w:t>.</w:t>
            </w:r>
          </w:p>
          <w:p w14:paraId="6567CB37" w14:textId="77777777" w:rsidR="00AE1FDF" w:rsidRPr="009753EB" w:rsidRDefault="00AE1FDF" w:rsidP="00A1759D">
            <w:pPr>
              <w:pStyle w:val="BoxSubHeading"/>
              <w:keepNext w:val="0"/>
              <w:widowControl w:val="0"/>
              <w:rPr>
                <w:caps/>
              </w:rPr>
            </w:pPr>
            <w:r w:rsidRPr="009753EB">
              <w:t xml:space="preserve">Australian Government response </w:t>
            </w:r>
          </w:p>
          <w:p w14:paraId="59EBD8FE" w14:textId="77777777" w:rsidR="00AE1FDF" w:rsidRPr="008774BA" w:rsidRDefault="00AE1FDF"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AE1FDF" w:rsidRPr="008774BA" w14:paraId="651FD11F" w14:textId="77777777" w:rsidTr="00A1759D">
        <w:trPr>
          <w:trHeight w:val="70"/>
        </w:trPr>
        <w:tc>
          <w:tcPr>
            <w:tcW w:w="9016" w:type="dxa"/>
          </w:tcPr>
          <w:p w14:paraId="1D6D93B9" w14:textId="36EDD249" w:rsidR="008D63EB" w:rsidRPr="008774BA" w:rsidRDefault="008D63EB" w:rsidP="008D63EB">
            <w:pPr>
              <w:pStyle w:val="BoxHeading"/>
              <w:keepNext w:val="0"/>
              <w:widowControl w:val="0"/>
              <w:rPr>
                <w:caps/>
              </w:rPr>
            </w:pPr>
            <w:r>
              <w:t xml:space="preserve">Additional Comments from the Australian Greens - </w:t>
            </w:r>
            <w:r w:rsidRPr="008774BA">
              <w:t xml:space="preserve">Recommendation </w:t>
            </w:r>
            <w:r>
              <w:t>5</w:t>
            </w:r>
          </w:p>
          <w:p w14:paraId="1E579396" w14:textId="21EC3B05" w:rsidR="00AE1FDF" w:rsidRPr="008774BA" w:rsidRDefault="008D63EB" w:rsidP="00A1759D">
            <w:pPr>
              <w:pStyle w:val="BoxText"/>
              <w:widowControl w:val="0"/>
            </w:pPr>
            <w:r>
              <w:t>In the absence of a compelling public policy purpose, the government should abandon legislative changes exempting private companies from providing minimal details about their profitability and taxes</w:t>
            </w:r>
            <w:r w:rsidR="00AE1FDF">
              <w:t>.</w:t>
            </w:r>
          </w:p>
          <w:p w14:paraId="20C593EC" w14:textId="77777777" w:rsidR="00AE1FDF" w:rsidRPr="009753EB" w:rsidRDefault="00AE1FDF" w:rsidP="00A1759D">
            <w:pPr>
              <w:pStyle w:val="BoxSubHeading"/>
              <w:keepNext w:val="0"/>
              <w:widowControl w:val="0"/>
              <w:rPr>
                <w:caps/>
              </w:rPr>
            </w:pPr>
            <w:r w:rsidRPr="009753EB">
              <w:t xml:space="preserve">Australian Government response </w:t>
            </w:r>
          </w:p>
          <w:p w14:paraId="56C88193" w14:textId="77777777" w:rsidR="00AE1FDF" w:rsidRPr="008774BA" w:rsidRDefault="00AE1FDF" w:rsidP="00A1759D">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r w:rsidR="00AE1FDF" w:rsidRPr="008774BA" w14:paraId="1C4278D4" w14:textId="77777777" w:rsidTr="00A1759D">
        <w:trPr>
          <w:trHeight w:val="70"/>
        </w:trPr>
        <w:tc>
          <w:tcPr>
            <w:tcW w:w="9016" w:type="dxa"/>
          </w:tcPr>
          <w:p w14:paraId="0648419A" w14:textId="4BAEFED4" w:rsidR="008D63EB" w:rsidRPr="008774BA" w:rsidRDefault="008D63EB" w:rsidP="008D63EB">
            <w:pPr>
              <w:pStyle w:val="BoxHeading"/>
              <w:keepNext w:val="0"/>
              <w:widowControl w:val="0"/>
              <w:rPr>
                <w:caps/>
              </w:rPr>
            </w:pPr>
            <w:r>
              <w:t xml:space="preserve">Additional Comments from the Australian Greens - </w:t>
            </w:r>
            <w:r w:rsidRPr="008774BA">
              <w:t xml:space="preserve">Recommendation </w:t>
            </w:r>
            <w:r>
              <w:t>6</w:t>
            </w:r>
          </w:p>
          <w:p w14:paraId="5EC6EE00" w14:textId="104B51B2" w:rsidR="00AE1FDF" w:rsidRPr="008774BA" w:rsidRDefault="008D63EB" w:rsidP="00A1759D">
            <w:pPr>
              <w:pStyle w:val="BoxText"/>
              <w:widowControl w:val="0"/>
            </w:pPr>
            <w:r>
              <w:t>That the Parliament establish a public register of beneficial ownership of companies and trusts so that identification of financial beneficiaries can be traced and publicly identified. The Australian government should also work closely with other countries to establish a global standard for such registers</w:t>
            </w:r>
            <w:r w:rsidR="00AE1FDF">
              <w:t>.</w:t>
            </w:r>
          </w:p>
          <w:p w14:paraId="10A555E9" w14:textId="77777777" w:rsidR="00AE1FDF" w:rsidRPr="009753EB" w:rsidRDefault="00AE1FDF" w:rsidP="00A1759D">
            <w:pPr>
              <w:pStyle w:val="BoxSubHeading"/>
              <w:keepNext w:val="0"/>
              <w:widowControl w:val="0"/>
              <w:rPr>
                <w:caps/>
              </w:rPr>
            </w:pPr>
            <w:r w:rsidRPr="009753EB">
              <w:t xml:space="preserve">Australian Government response </w:t>
            </w:r>
          </w:p>
          <w:p w14:paraId="31DD924E" w14:textId="77777777" w:rsidR="00AE1FDF" w:rsidRPr="008774BA" w:rsidRDefault="00AE1FDF"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r>
              <w:t xml:space="preserve"> </w:t>
            </w:r>
          </w:p>
        </w:tc>
      </w:tr>
      <w:tr w:rsidR="00AE1FDF" w:rsidRPr="008774BA" w14:paraId="5598C9F6" w14:textId="77777777" w:rsidTr="00A1759D">
        <w:trPr>
          <w:trHeight w:val="70"/>
        </w:trPr>
        <w:tc>
          <w:tcPr>
            <w:tcW w:w="9016" w:type="dxa"/>
          </w:tcPr>
          <w:p w14:paraId="6071E093" w14:textId="0FABE3E2" w:rsidR="008D63EB" w:rsidRPr="008774BA" w:rsidRDefault="008D63EB" w:rsidP="008D63EB">
            <w:pPr>
              <w:pStyle w:val="BoxHeading"/>
              <w:keepNext w:val="0"/>
              <w:widowControl w:val="0"/>
              <w:rPr>
                <w:caps/>
              </w:rPr>
            </w:pPr>
            <w:r>
              <w:t xml:space="preserve">Additional Comments from the Australian Greens - </w:t>
            </w:r>
            <w:r w:rsidRPr="008774BA">
              <w:t xml:space="preserve">Recommendation </w:t>
            </w:r>
            <w:r>
              <w:t>7</w:t>
            </w:r>
          </w:p>
          <w:p w14:paraId="61AE231D" w14:textId="0A042337" w:rsidR="00AE1FDF" w:rsidRPr="008774BA" w:rsidRDefault="00DB0AD2" w:rsidP="00A1759D">
            <w:pPr>
              <w:pStyle w:val="BoxText"/>
              <w:widowControl w:val="0"/>
            </w:pPr>
            <w:r>
              <w:t>That the Senate pass the Corporations Amendment (Publish What You Pay) Bill 2014</w:t>
            </w:r>
            <w:r w:rsidR="00AE1FDF">
              <w:t>.</w:t>
            </w:r>
          </w:p>
          <w:p w14:paraId="7085EE77" w14:textId="77777777" w:rsidR="00AE1FDF" w:rsidRPr="009753EB" w:rsidRDefault="00AE1FDF" w:rsidP="00A1759D">
            <w:pPr>
              <w:pStyle w:val="BoxSubHeading"/>
              <w:keepNext w:val="0"/>
              <w:widowControl w:val="0"/>
              <w:rPr>
                <w:caps/>
              </w:rPr>
            </w:pPr>
            <w:r w:rsidRPr="009753EB">
              <w:t xml:space="preserve">Australian Government response </w:t>
            </w:r>
          </w:p>
          <w:p w14:paraId="5D1A50C0" w14:textId="77777777" w:rsidR="00AE1FDF" w:rsidRPr="008774BA" w:rsidRDefault="00AE1FDF" w:rsidP="00A1759D">
            <w:pPr>
              <w:pStyle w:val="BoxText"/>
              <w:widowControl w:val="0"/>
              <w:rPr>
                <w:b/>
                <w:bC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bl>
    <w:p w14:paraId="31D47FE6" w14:textId="77777777" w:rsidR="0077630F" w:rsidRPr="00C47A9C" w:rsidRDefault="0077630F" w:rsidP="00AE1FDF">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8A5F4" w14:textId="77777777" w:rsidR="00F616F3" w:rsidRDefault="00F616F3">
      <w:pPr>
        <w:spacing w:before="0" w:after="0"/>
      </w:pPr>
      <w:r>
        <w:separator/>
      </w:r>
    </w:p>
  </w:endnote>
  <w:endnote w:type="continuationSeparator" w:id="0">
    <w:p w14:paraId="3F36336C" w14:textId="77777777" w:rsidR="00F616F3" w:rsidRDefault="00F616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1A2085BE" w:rsidR="0077630F" w:rsidRPr="00F347BE" w:rsidRDefault="00376798"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end"/>
    </w:r>
    <w:r>
      <w:tab/>
    </w:r>
    <w:r w:rsidRPr="00103F3C">
      <w:rPr>
        <w:position w:val="-8"/>
      </w:rPr>
      <w:drawing>
        <wp:inline distT="0" distB="0" distL="0" distR="0" wp14:anchorId="7B4F22E5" wp14:editId="25FA99F0">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211768E9" w:rsidR="0077630F" w:rsidRPr="00F347BE" w:rsidRDefault="00376798" w:rsidP="00F347BE">
    <w:pPr>
      <w:pStyle w:val="FooterOdd"/>
      <w:jc w:val="left"/>
    </w:pPr>
    <w:r w:rsidRPr="00103F3C">
      <w:rPr>
        <w:noProof/>
        <w:position w:val="-8"/>
      </w:rPr>
      <w:drawing>
        <wp:inline distT="0" distB="0" distL="0" distR="0" wp14:anchorId="19F051A6" wp14:editId="33790F64">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3A7A12">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35583E31" w:rsidR="0077630F" w:rsidRPr="00F347BE" w:rsidRDefault="00376798" w:rsidP="00F347BE">
    <w:pPr>
      <w:pStyle w:val="FooterOdd"/>
      <w:jc w:val="left"/>
    </w:pPr>
    <w:r w:rsidRPr="00103F3C">
      <w:rPr>
        <w:noProof/>
        <w:position w:val="-8"/>
      </w:rPr>
      <w:drawing>
        <wp:inline distT="0" distB="0" distL="0" distR="0" wp14:anchorId="681F970B" wp14:editId="1EF276F0">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3A7A12">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D012" w14:textId="77777777" w:rsidR="00F616F3" w:rsidRDefault="00F616F3" w:rsidP="00B47ECF">
      <w:r>
        <w:separator/>
      </w:r>
    </w:p>
  </w:footnote>
  <w:footnote w:type="continuationSeparator" w:id="0">
    <w:p w14:paraId="136C4CCE" w14:textId="77777777" w:rsidR="00F616F3" w:rsidRDefault="00F616F3"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0BBE56F2" w:rsidR="008774BA" w:rsidRDefault="00F347BE">
    <w:pPr>
      <w:pStyle w:val="Header"/>
    </w:pPr>
    <w:r>
      <w:rPr>
        <w:noProof/>
      </w:rPr>
      <w:drawing>
        <wp:anchor distT="0" distB="0" distL="114300" distR="114300" simplePos="0" relativeHeight="251659264" behindDoc="1" locked="1" layoutInCell="1" allowOverlap="1" wp14:anchorId="1EA77127" wp14:editId="18ACA010">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201A3F95" w:rsidR="008774BA" w:rsidRDefault="00F347BE">
    <w:pPr>
      <w:pStyle w:val="Header"/>
    </w:pPr>
    <w:r>
      <w:rPr>
        <w:noProof/>
      </w:rPr>
      <w:drawing>
        <wp:anchor distT="0" distB="0" distL="114300" distR="114300" simplePos="0" relativeHeight="251660288" behindDoc="1" locked="1" layoutInCell="1" allowOverlap="1" wp14:anchorId="318556D0" wp14:editId="63602A99">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42D78D85"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625D0221"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2A05FD6A" w:rsidR="0077630F" w:rsidRDefault="00F347BE">
    <w:pPr>
      <w:pStyle w:val="Header"/>
    </w:pPr>
    <w:r>
      <w:rPr>
        <w:noProof/>
      </w:rPr>
      <w:drawing>
        <wp:anchor distT="0" distB="0" distL="114300" distR="114300" simplePos="0" relativeHeight="251658240" behindDoc="1" locked="1" layoutInCell="1" allowOverlap="1" wp14:anchorId="4650511C" wp14:editId="12447A96">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962CB90C">
      <w:start w:val="1"/>
      <w:numFmt w:val="decimal"/>
      <w:pStyle w:val="OneLevelNumberedParagraph"/>
      <w:lvlText w:val="%1."/>
      <w:lvlJc w:val="left"/>
      <w:pPr>
        <w:tabs>
          <w:tab w:val="num" w:pos="567"/>
        </w:tabs>
        <w:ind w:left="567" w:hanging="567"/>
      </w:pPr>
      <w:rPr>
        <w:rFonts w:hint="default"/>
      </w:rPr>
    </w:lvl>
    <w:lvl w:ilvl="1" w:tplc="9D26637C" w:tentative="1">
      <w:start w:val="1"/>
      <w:numFmt w:val="lowerLetter"/>
      <w:lvlText w:val="%2."/>
      <w:lvlJc w:val="left"/>
      <w:pPr>
        <w:ind w:left="1440" w:hanging="360"/>
      </w:pPr>
    </w:lvl>
    <w:lvl w:ilvl="2" w:tplc="20885786" w:tentative="1">
      <w:start w:val="1"/>
      <w:numFmt w:val="lowerRoman"/>
      <w:lvlText w:val="%3."/>
      <w:lvlJc w:val="right"/>
      <w:pPr>
        <w:ind w:left="2160" w:hanging="180"/>
      </w:pPr>
    </w:lvl>
    <w:lvl w:ilvl="3" w:tplc="17208302" w:tentative="1">
      <w:start w:val="1"/>
      <w:numFmt w:val="decimal"/>
      <w:lvlText w:val="%4."/>
      <w:lvlJc w:val="left"/>
      <w:pPr>
        <w:ind w:left="2880" w:hanging="360"/>
      </w:pPr>
    </w:lvl>
    <w:lvl w:ilvl="4" w:tplc="4906F1C2" w:tentative="1">
      <w:start w:val="1"/>
      <w:numFmt w:val="lowerLetter"/>
      <w:lvlText w:val="%5."/>
      <w:lvlJc w:val="left"/>
      <w:pPr>
        <w:ind w:left="3600" w:hanging="360"/>
      </w:pPr>
    </w:lvl>
    <w:lvl w:ilvl="5" w:tplc="27428BDA" w:tentative="1">
      <w:start w:val="1"/>
      <w:numFmt w:val="lowerRoman"/>
      <w:lvlText w:val="%6."/>
      <w:lvlJc w:val="right"/>
      <w:pPr>
        <w:ind w:left="4320" w:hanging="180"/>
      </w:pPr>
    </w:lvl>
    <w:lvl w:ilvl="6" w:tplc="D298BA64" w:tentative="1">
      <w:start w:val="1"/>
      <w:numFmt w:val="decimal"/>
      <w:lvlText w:val="%7."/>
      <w:lvlJc w:val="left"/>
      <w:pPr>
        <w:ind w:left="5040" w:hanging="360"/>
      </w:pPr>
    </w:lvl>
    <w:lvl w:ilvl="7" w:tplc="3E3CEEA8" w:tentative="1">
      <w:start w:val="1"/>
      <w:numFmt w:val="lowerLetter"/>
      <w:lvlText w:val="%8."/>
      <w:lvlJc w:val="left"/>
      <w:pPr>
        <w:ind w:left="5760" w:hanging="360"/>
      </w:pPr>
    </w:lvl>
    <w:lvl w:ilvl="8" w:tplc="2A4C2008"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D7DCA4B2">
      <w:start w:val="1"/>
      <w:numFmt w:val="bullet"/>
      <w:pStyle w:val="Bullet"/>
      <w:lvlText w:val=""/>
      <w:lvlJc w:val="left"/>
      <w:pPr>
        <w:ind w:left="720" w:hanging="360"/>
      </w:pPr>
      <w:rPr>
        <w:rFonts w:ascii="Symbol" w:hAnsi="Symbol" w:hint="default"/>
      </w:rPr>
    </w:lvl>
    <w:lvl w:ilvl="1" w:tplc="EFF64138" w:tentative="1">
      <w:start w:val="1"/>
      <w:numFmt w:val="bullet"/>
      <w:lvlText w:val="o"/>
      <w:lvlJc w:val="left"/>
      <w:pPr>
        <w:ind w:left="1440" w:hanging="360"/>
      </w:pPr>
      <w:rPr>
        <w:rFonts w:ascii="Courier New" w:hAnsi="Courier New" w:cs="Courier New" w:hint="default"/>
      </w:rPr>
    </w:lvl>
    <w:lvl w:ilvl="2" w:tplc="93F6C6D8" w:tentative="1">
      <w:start w:val="1"/>
      <w:numFmt w:val="bullet"/>
      <w:lvlText w:val=""/>
      <w:lvlJc w:val="left"/>
      <w:pPr>
        <w:ind w:left="2160" w:hanging="360"/>
      </w:pPr>
      <w:rPr>
        <w:rFonts w:ascii="Wingdings" w:hAnsi="Wingdings" w:hint="default"/>
      </w:rPr>
    </w:lvl>
    <w:lvl w:ilvl="3" w:tplc="DB6A13B4" w:tentative="1">
      <w:start w:val="1"/>
      <w:numFmt w:val="bullet"/>
      <w:lvlText w:val=""/>
      <w:lvlJc w:val="left"/>
      <w:pPr>
        <w:ind w:left="2880" w:hanging="360"/>
      </w:pPr>
      <w:rPr>
        <w:rFonts w:ascii="Symbol" w:hAnsi="Symbol" w:hint="default"/>
      </w:rPr>
    </w:lvl>
    <w:lvl w:ilvl="4" w:tplc="362231DE" w:tentative="1">
      <w:start w:val="1"/>
      <w:numFmt w:val="bullet"/>
      <w:lvlText w:val="o"/>
      <w:lvlJc w:val="left"/>
      <w:pPr>
        <w:ind w:left="3600" w:hanging="360"/>
      </w:pPr>
      <w:rPr>
        <w:rFonts w:ascii="Courier New" w:hAnsi="Courier New" w:cs="Courier New" w:hint="default"/>
      </w:rPr>
    </w:lvl>
    <w:lvl w:ilvl="5" w:tplc="82D6F054" w:tentative="1">
      <w:start w:val="1"/>
      <w:numFmt w:val="bullet"/>
      <w:lvlText w:val=""/>
      <w:lvlJc w:val="left"/>
      <w:pPr>
        <w:ind w:left="4320" w:hanging="360"/>
      </w:pPr>
      <w:rPr>
        <w:rFonts w:ascii="Wingdings" w:hAnsi="Wingdings" w:hint="default"/>
      </w:rPr>
    </w:lvl>
    <w:lvl w:ilvl="6" w:tplc="56BE34D4" w:tentative="1">
      <w:start w:val="1"/>
      <w:numFmt w:val="bullet"/>
      <w:lvlText w:val=""/>
      <w:lvlJc w:val="left"/>
      <w:pPr>
        <w:ind w:left="5040" w:hanging="360"/>
      </w:pPr>
      <w:rPr>
        <w:rFonts w:ascii="Symbol" w:hAnsi="Symbol" w:hint="default"/>
      </w:rPr>
    </w:lvl>
    <w:lvl w:ilvl="7" w:tplc="FF308D70" w:tentative="1">
      <w:start w:val="1"/>
      <w:numFmt w:val="bullet"/>
      <w:lvlText w:val="o"/>
      <w:lvlJc w:val="left"/>
      <w:pPr>
        <w:ind w:left="5760" w:hanging="360"/>
      </w:pPr>
      <w:rPr>
        <w:rFonts w:ascii="Courier New" w:hAnsi="Courier New" w:cs="Courier New" w:hint="default"/>
      </w:rPr>
    </w:lvl>
    <w:lvl w:ilvl="8" w:tplc="8AD23F26"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8425657">
    <w:abstractNumId w:val="2"/>
  </w:num>
  <w:num w:numId="2" w16cid:durableId="1419210748">
    <w:abstractNumId w:val="4"/>
  </w:num>
  <w:num w:numId="3" w16cid:durableId="14859274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9378719">
    <w:abstractNumId w:val="0"/>
  </w:num>
  <w:num w:numId="5" w16cid:durableId="1339388325">
    <w:abstractNumId w:val="5"/>
  </w:num>
  <w:num w:numId="6" w16cid:durableId="2082633182">
    <w:abstractNumId w:val="6"/>
  </w:num>
  <w:num w:numId="7" w16cid:durableId="155267863">
    <w:abstractNumId w:val="3"/>
  </w:num>
  <w:num w:numId="8" w16cid:durableId="1810515283">
    <w:abstractNumId w:val="7"/>
  </w:num>
  <w:num w:numId="9" w16cid:durableId="1292133981">
    <w:abstractNumId w:val="1"/>
  </w:num>
  <w:num w:numId="10" w16cid:durableId="8823329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C3EFF"/>
    <w:rsid w:val="000D051A"/>
    <w:rsid w:val="000D1C7F"/>
    <w:rsid w:val="00205BAC"/>
    <w:rsid w:val="00236901"/>
    <w:rsid w:val="002A30D0"/>
    <w:rsid w:val="002A31E6"/>
    <w:rsid w:val="002B4442"/>
    <w:rsid w:val="002F52A6"/>
    <w:rsid w:val="00326FB8"/>
    <w:rsid w:val="00340F54"/>
    <w:rsid w:val="003463B6"/>
    <w:rsid w:val="00353FD7"/>
    <w:rsid w:val="00376798"/>
    <w:rsid w:val="003A7A12"/>
    <w:rsid w:val="003B4D6A"/>
    <w:rsid w:val="004063DC"/>
    <w:rsid w:val="0042266F"/>
    <w:rsid w:val="00495C13"/>
    <w:rsid w:val="00510BCE"/>
    <w:rsid w:val="005243F9"/>
    <w:rsid w:val="005537C9"/>
    <w:rsid w:val="005A000F"/>
    <w:rsid w:val="005E449B"/>
    <w:rsid w:val="0066657F"/>
    <w:rsid w:val="006848CE"/>
    <w:rsid w:val="006D1D3B"/>
    <w:rsid w:val="00722EA2"/>
    <w:rsid w:val="00725F12"/>
    <w:rsid w:val="007741C2"/>
    <w:rsid w:val="0077630F"/>
    <w:rsid w:val="007820EC"/>
    <w:rsid w:val="007C5FCA"/>
    <w:rsid w:val="00835798"/>
    <w:rsid w:val="00854626"/>
    <w:rsid w:val="008671CE"/>
    <w:rsid w:val="008706FC"/>
    <w:rsid w:val="008774BA"/>
    <w:rsid w:val="008D32D4"/>
    <w:rsid w:val="008D63EB"/>
    <w:rsid w:val="008D6E34"/>
    <w:rsid w:val="00935E3D"/>
    <w:rsid w:val="009753EB"/>
    <w:rsid w:val="00A2437E"/>
    <w:rsid w:val="00A47334"/>
    <w:rsid w:val="00A7212C"/>
    <w:rsid w:val="00AE1FDF"/>
    <w:rsid w:val="00B11725"/>
    <w:rsid w:val="00B47ECF"/>
    <w:rsid w:val="00BA3F0A"/>
    <w:rsid w:val="00BB1B65"/>
    <w:rsid w:val="00BE31D9"/>
    <w:rsid w:val="00C45BA7"/>
    <w:rsid w:val="00C47A9C"/>
    <w:rsid w:val="00CF75DF"/>
    <w:rsid w:val="00D04818"/>
    <w:rsid w:val="00DB0AD2"/>
    <w:rsid w:val="00E12215"/>
    <w:rsid w:val="00EC7701"/>
    <w:rsid w:val="00EF2F09"/>
    <w:rsid w:val="00F347BE"/>
    <w:rsid w:val="00F53754"/>
    <w:rsid w:val="00F616F3"/>
    <w:rsid w:val="00F769CE"/>
    <w:rsid w:val="00F77DA6"/>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9731EE" w:rsidRDefault="009731EE"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9731EE" w:rsidRDefault="009731EE"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9731EE" w:rsidRDefault="009731EE"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74E9" w:rsidRDefault="005F74E9">
      <w:pPr>
        <w:spacing w:after="0" w:line="240" w:lineRule="auto"/>
      </w:pPr>
      <w:r>
        <w:separator/>
      </w:r>
    </w:p>
  </w:endnote>
  <w:endnote w:type="continuationSeparator" w:id="0">
    <w:p w:rsidR="005F74E9" w:rsidRDefault="005F74E9">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74E9" w:rsidRDefault="005F74E9">
      <w:pPr>
        <w:spacing w:after="0" w:line="240" w:lineRule="auto"/>
      </w:pPr>
      <w:r>
        <w:separator/>
      </w:r>
    </w:p>
  </w:footnote>
  <w:footnote w:type="continuationSeparator" w:id="0">
    <w:p w:rsidR="005F74E9" w:rsidRDefault="005F74E9">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5F74E9"/>
    <w:rsid w:val="008B1EF4"/>
    <w:rsid w:val="009731EE"/>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1578</Words>
  <Characters>9721</Characters>
  <Application>Microsoft Office Word</Application>
  <DocSecurity>0</DocSecurity>
  <Lines>180</Lines>
  <Paragraphs>100</Paragraphs>
  <ScaleCrop>false</ScaleCrop>
  <HeadingPairs>
    <vt:vector size="2" baseType="variant">
      <vt:variant>
        <vt:lpstr>Title</vt:lpstr>
      </vt:variant>
      <vt:variant>
        <vt:i4>1</vt:i4>
      </vt:variant>
    </vt:vector>
  </HeadingPairs>
  <TitlesOfParts>
    <vt:vector size="1" baseType="lpstr">
      <vt:lpstr>Government response: Corporate tax avoidance: Part I – You cannot tax what you cannot see</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Corporate tax avoidance: Part I – You cannot tax what you cannot see</dc:title>
  <dc:subject/>
  <dc:creator/>
  <cp:keywords/>
  <cp:lastModifiedBy/>
  <cp:revision>1</cp:revision>
  <dcterms:created xsi:type="dcterms:W3CDTF">2024-08-26T06:08:00Z</dcterms:created>
  <dcterms:modified xsi:type="dcterms:W3CDTF">2024-08-26T06:08:00Z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2024-08-26T06:08:37Z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aa3347a3-0f7a-4ffd-936e-25855ab5c7bf</vt:lpwstr>
  </property>
  <property fmtid="{D5CDD505-2E9C-101B-9397-08002B2CF9AE}" pid="8" name="MSIP_Label_4f932d64-9ab1-4d9b-81d2-a3a8b82dd47d_ContentBits">
    <vt:lpwstr>0</vt:lpwstr>
  </property>
</Properties>
</file>