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336699" w:themeColor="text2"/>
          <w:sz w:val="32"/>
          <w:szCs w:val="32"/>
        </w:rPr>
        <w:id w:val="1152258327"/>
        <w:docPartObj>
          <w:docPartGallery w:val="Cover Pages"/>
          <w:docPartUnique/>
        </w:docPartObj>
      </w:sdtPr>
      <w:sdtEndPr/>
      <w:sdtContent>
        <w:p w14:paraId="2B158A66" w14:textId="544F1C00" w:rsidR="00D77624" w:rsidRPr="006D0240" w:rsidRDefault="00D77624" w:rsidP="006469CC">
          <w:pPr>
            <w:pStyle w:val="ListParagraph"/>
          </w:pPr>
          <w:r>
            <w:rPr>
              <w:noProof/>
            </w:rPr>
            <w:drawing>
              <wp:anchor distT="0" distB="0" distL="114300" distR="114300" simplePos="0" relativeHeight="251658240" behindDoc="1" locked="0" layoutInCell="1" allowOverlap="1" wp14:anchorId="6DFE6B86" wp14:editId="0E16899A">
                <wp:simplePos x="0" y="0"/>
                <wp:positionH relativeFrom="margin">
                  <wp:posOffset>-900430</wp:posOffset>
                </wp:positionH>
                <wp:positionV relativeFrom="page">
                  <wp:posOffset>-18415</wp:posOffset>
                </wp:positionV>
                <wp:extent cx="7570470" cy="107080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470" cy="1070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5B08F4" w14:textId="77777777" w:rsidR="004E1C08" w:rsidRDefault="004E1C08" w:rsidP="004E1C08"/>
        <w:p w14:paraId="6ACC89DF" w14:textId="77777777" w:rsidR="004E1C08" w:rsidRDefault="004E1C08" w:rsidP="004E1C08"/>
        <w:p w14:paraId="4F21EEAA" w14:textId="77777777" w:rsidR="004E1C08" w:rsidRPr="004E1C08" w:rsidRDefault="004E1C08" w:rsidP="00322481"/>
        <w:p w14:paraId="50506D1B" w14:textId="4C711DF6" w:rsidR="00D77624" w:rsidRDefault="00D77624" w:rsidP="00832F11">
          <w:pPr>
            <w:pStyle w:val="Title"/>
            <w:spacing w:after="120" w:line="720" w:lineRule="exact"/>
            <w:ind w:right="1557"/>
            <w:rPr>
              <w:b w:val="0"/>
              <w:sz w:val="48"/>
              <w:szCs w:val="48"/>
            </w:rPr>
          </w:pPr>
          <w:r w:rsidRPr="067E4A06">
            <w:rPr>
              <w:color w:val="336699" w:themeColor="text2"/>
            </w:rPr>
            <w:t xml:space="preserve">National </w:t>
          </w:r>
          <w:r w:rsidR="005D2780" w:rsidRPr="067E4A06">
            <w:rPr>
              <w:color w:val="336699" w:themeColor="text2"/>
            </w:rPr>
            <w:t>Planning</w:t>
          </w:r>
          <w:r w:rsidR="001A1DD8">
            <w:rPr>
              <w:color w:val="336699" w:themeColor="text2"/>
            </w:rPr>
            <w:t xml:space="preserve"> </w:t>
          </w:r>
          <w:r w:rsidR="005D2780" w:rsidRPr="067E4A06">
            <w:rPr>
              <w:color w:val="336699" w:themeColor="text2"/>
            </w:rPr>
            <w:t>Reform Blueprint</w:t>
          </w:r>
          <w:r w:rsidR="008A2F8B">
            <w:rPr>
              <w:color w:val="336699" w:themeColor="text2"/>
            </w:rPr>
            <w:t xml:space="preserve"> </w:t>
          </w:r>
          <w:r w:rsidR="00641505">
            <w:rPr>
              <w:color w:val="336699" w:themeColor="text2"/>
            </w:rPr>
            <w:br/>
          </w:r>
          <w:r w:rsidR="001A1DD8">
            <w:rPr>
              <w:b w:val="0"/>
              <w:bCs/>
              <w:sz w:val="48"/>
              <w:szCs w:val="48"/>
            </w:rPr>
            <w:t>P</w:t>
          </w:r>
          <w:r w:rsidR="00016978">
            <w:rPr>
              <w:b w:val="0"/>
              <w:bCs/>
              <w:sz w:val="48"/>
              <w:szCs w:val="48"/>
            </w:rPr>
            <w:t xml:space="preserve">lanning, zoning </w:t>
          </w:r>
          <w:r w:rsidR="00FD09C6">
            <w:rPr>
              <w:b w:val="0"/>
              <w:bCs/>
              <w:sz w:val="48"/>
              <w:szCs w:val="48"/>
            </w:rPr>
            <w:t xml:space="preserve">and land release </w:t>
          </w:r>
          <w:r w:rsidR="001A1DD8">
            <w:rPr>
              <w:b w:val="0"/>
              <w:bCs/>
              <w:sz w:val="48"/>
              <w:szCs w:val="48"/>
            </w:rPr>
            <w:t xml:space="preserve">measures </w:t>
          </w:r>
          <w:r w:rsidR="00641505">
            <w:rPr>
              <w:b w:val="0"/>
              <w:bCs/>
              <w:sz w:val="48"/>
              <w:szCs w:val="48"/>
            </w:rPr>
            <w:t xml:space="preserve">to improve housing </w:t>
          </w:r>
          <w:proofErr w:type="gramStart"/>
          <w:r w:rsidR="00641505">
            <w:rPr>
              <w:b w:val="0"/>
              <w:bCs/>
              <w:sz w:val="48"/>
              <w:szCs w:val="48"/>
            </w:rPr>
            <w:t>supply</w:t>
          </w:r>
          <w:proofErr w:type="gramEnd"/>
        </w:p>
        <w:p w14:paraId="4563F60F" w14:textId="536DB394" w:rsidR="00D77624" w:rsidRPr="00D77624" w:rsidRDefault="00D77624" w:rsidP="00D77624">
          <w:pPr>
            <w:pStyle w:val="ReportDate"/>
          </w:pPr>
          <w:r>
            <w:br w:type="page"/>
          </w:r>
        </w:p>
      </w:sdtContent>
    </w:sdt>
    <w:p w14:paraId="3E6C36A7" w14:textId="77777777" w:rsidR="002F26A5" w:rsidRPr="002F26A5" w:rsidRDefault="002F26A5" w:rsidP="002F26A5">
      <w:pPr>
        <w:sectPr w:rsidR="002F26A5" w:rsidRPr="002F26A5" w:rsidSect="008D43B4">
          <w:pgSz w:w="11906" w:h="16838" w:code="9"/>
          <w:pgMar w:top="1843" w:right="1418" w:bottom="1418" w:left="1418" w:header="709" w:footer="709" w:gutter="0"/>
          <w:pgNumType w:fmt="lowerRoman" w:start="0"/>
          <w:cols w:space="708"/>
          <w:vAlign w:val="center"/>
          <w:titlePg/>
          <w:docGrid w:linePitch="360"/>
        </w:sectPr>
      </w:pPr>
    </w:p>
    <w:p w14:paraId="1DE5FA57" w14:textId="647FA86B" w:rsidR="00EF5671" w:rsidRDefault="00EF5671" w:rsidP="00EF5671">
      <w:pPr>
        <w:spacing w:before="0" w:after="160" w:line="259" w:lineRule="auto"/>
      </w:pPr>
      <w:bookmarkStart w:id="0" w:name="_Toc164783278"/>
      <w:bookmarkStart w:id="1" w:name="_Toc160799699"/>
      <w:bookmarkStart w:id="2" w:name="_Hlk161749102"/>
      <w:r w:rsidRPr="00661BF0">
        <w:lastRenderedPageBreak/>
        <w:t xml:space="preserve">© Commonwealth of Australia </w:t>
      </w:r>
      <w:r w:rsidRPr="00995FAC">
        <w:t>202</w:t>
      </w:r>
      <w:r w:rsidR="00995FAC" w:rsidRPr="00995FAC">
        <w:t>4</w:t>
      </w:r>
    </w:p>
    <w:p w14:paraId="10ABD282" w14:textId="391AA770" w:rsidR="00EF5671" w:rsidRPr="00086F82" w:rsidRDefault="00EF5671" w:rsidP="00EF5671">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2F7B4D">
        <w:t xml:space="preserve">. </w:t>
      </w:r>
      <w:r w:rsidRPr="002F1BC2">
        <w:t>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2AB7813F" w14:textId="77777777" w:rsidR="00EF5671" w:rsidRDefault="00EF5671" w:rsidP="00EF5671">
      <w:pPr>
        <w:pStyle w:val="ChartGraphic"/>
        <w:jc w:val="left"/>
      </w:pPr>
      <w:r w:rsidRPr="00E56DFB">
        <w:rPr>
          <w:noProof/>
        </w:rPr>
        <w:drawing>
          <wp:inline distT="0" distB="0" distL="0" distR="0" wp14:anchorId="59B0D600" wp14:editId="700EA6E6">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CE61451" w14:textId="77777777" w:rsidR="00EF5671" w:rsidRPr="006627B4" w:rsidRDefault="00EF5671" w:rsidP="00EF5671">
      <w:pPr>
        <w:tabs>
          <w:tab w:val="left" w:pos="1650"/>
        </w:tabs>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t xml:space="preserve"> l</w:t>
      </w:r>
      <w:r w:rsidRPr="006627B4">
        <w:t>icence requires you to attribute the work (but not in any way that suggests that the Treasury endorse</w:t>
      </w:r>
      <w:r>
        <w:t>s you or your use of the work).</w:t>
      </w:r>
    </w:p>
    <w:p w14:paraId="01A65DBE" w14:textId="77777777" w:rsidR="00EF5671" w:rsidRPr="006469CC" w:rsidRDefault="00EF5671" w:rsidP="00EF5671">
      <w:pPr>
        <w:rPr>
          <w:b/>
        </w:rPr>
      </w:pPr>
      <w:r w:rsidRPr="006469CC">
        <w:rPr>
          <w:b/>
        </w:rPr>
        <w:t xml:space="preserve">Treasury material used ‘as </w:t>
      </w:r>
      <w:proofErr w:type="gramStart"/>
      <w:r w:rsidRPr="006469CC">
        <w:rPr>
          <w:b/>
        </w:rPr>
        <w:t>supplied’</w:t>
      </w:r>
      <w:proofErr w:type="gramEnd"/>
    </w:p>
    <w:p w14:paraId="6666EE3B" w14:textId="77777777" w:rsidR="00EF5671" w:rsidRPr="00476F09" w:rsidRDefault="00EF5671" w:rsidP="00EF5671">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5CE2DB8" w14:textId="153CD73C" w:rsidR="00EF5671" w:rsidRPr="00A13A11" w:rsidRDefault="00EF5671" w:rsidP="00EF5671">
      <w:pPr>
        <w:ind w:firstLine="720"/>
      </w:pPr>
      <w:r w:rsidRPr="002F1BC2">
        <w:rPr>
          <w:i/>
        </w:rPr>
        <w:t xml:space="preserve">Source: The </w:t>
      </w:r>
      <w:r w:rsidRPr="002F1BC2">
        <w:rPr>
          <w:i/>
          <w:iCs/>
        </w:rPr>
        <w:t xml:space="preserve">Australian Government the Treasury </w:t>
      </w:r>
    </w:p>
    <w:p w14:paraId="21BCBA72" w14:textId="77777777" w:rsidR="00EF5671" w:rsidRPr="006627B4" w:rsidRDefault="00EF5671" w:rsidP="00EF5671">
      <w:r w:rsidRPr="00CC63CC">
        <w:rPr>
          <w:b/>
        </w:rPr>
        <w:t>Derivative</w:t>
      </w:r>
      <w:r w:rsidRPr="006627B4">
        <w:t xml:space="preserve"> </w:t>
      </w:r>
      <w:r w:rsidRPr="00CC63CC">
        <w:rPr>
          <w:b/>
        </w:rPr>
        <w:t>material</w:t>
      </w:r>
    </w:p>
    <w:p w14:paraId="60496FA5" w14:textId="77777777" w:rsidR="00EF5671" w:rsidRPr="006627B4" w:rsidRDefault="00EF5671" w:rsidP="00EF5671">
      <w:r w:rsidRPr="006627B4">
        <w:t xml:space="preserve">If you have modified or transformed Treasury material, or derived new material from those of the Treasury in any way, then Treasury prefers the following attribution: </w:t>
      </w:r>
    </w:p>
    <w:p w14:paraId="7C4CEAAC" w14:textId="09A23419" w:rsidR="00EF5671" w:rsidRPr="006627B4" w:rsidRDefault="00EF5671" w:rsidP="00EF5671">
      <w:pPr>
        <w:ind w:firstLine="720"/>
      </w:pPr>
      <w:r w:rsidRPr="002F1BC2">
        <w:rPr>
          <w:i/>
        </w:rPr>
        <w:t>Based on The Australian Government the Treasury data</w:t>
      </w:r>
    </w:p>
    <w:p w14:paraId="2DD3D19B" w14:textId="77777777" w:rsidR="00EF5671" w:rsidRPr="006627B4" w:rsidRDefault="00EF5671" w:rsidP="00EF5671">
      <w:pPr>
        <w:rPr>
          <w:b/>
        </w:rPr>
      </w:pPr>
      <w:r w:rsidRPr="006627B4">
        <w:rPr>
          <w:b/>
        </w:rPr>
        <w:t>Use of the Coat of Arms</w:t>
      </w:r>
    </w:p>
    <w:p w14:paraId="321CEA5F" w14:textId="77777777" w:rsidR="00EF5671" w:rsidRPr="005C503A" w:rsidRDefault="00EF5671" w:rsidP="00EF5671">
      <w:r w:rsidRPr="005C503A">
        <w:t xml:space="preserve">The terms under which the Coat of Arms can be used are set out on the Department of the Prime Minister and Cabinet website (see </w:t>
      </w:r>
      <w:hyperlink r:id="rId13" w:history="1">
        <w:r>
          <w:rPr>
            <w:rStyle w:val="Hyperlink"/>
          </w:rPr>
          <w:t>https://www.pmc.gov.au/honours-and-symbols/commonwealth-coat-arms</w:t>
        </w:r>
      </w:hyperlink>
      <w:r w:rsidRPr="005C503A">
        <w:t>).</w:t>
      </w:r>
    </w:p>
    <w:p w14:paraId="1A5807CB" w14:textId="77777777" w:rsidR="00EF5671" w:rsidRPr="006627B4" w:rsidRDefault="00EF5671" w:rsidP="00EF5671">
      <w:pPr>
        <w:rPr>
          <w:b/>
        </w:rPr>
      </w:pPr>
      <w:r>
        <w:rPr>
          <w:b/>
        </w:rPr>
        <w:t>Other u</w:t>
      </w:r>
      <w:r w:rsidRPr="006627B4">
        <w:rPr>
          <w:b/>
        </w:rPr>
        <w:t>ses</w:t>
      </w:r>
    </w:p>
    <w:p w14:paraId="3E2FC2F3" w14:textId="77777777" w:rsidR="00EF5671" w:rsidRPr="006627B4" w:rsidRDefault="00EF5671" w:rsidP="00EF5671">
      <w:r>
        <w:t>E</w:t>
      </w:r>
      <w:r w:rsidRPr="006627B4">
        <w:t>nquiries regarding this licence and any other use of this document are welcome at:</w:t>
      </w:r>
    </w:p>
    <w:p w14:paraId="4956B3B3" w14:textId="7E7CCF94" w:rsidR="00EF5671" w:rsidRDefault="00EF5671" w:rsidP="00EF5671">
      <w:pPr>
        <w:ind w:left="720"/>
        <w:rPr>
          <w:rStyle w:val="Hyperlink"/>
        </w:rPr>
      </w:pPr>
      <w:r w:rsidRPr="006627B4">
        <w:t>Manager</w:t>
      </w:r>
      <w:r>
        <w:br/>
        <w:t>Media Unit</w:t>
      </w:r>
      <w:r>
        <w:br/>
      </w:r>
      <w:r w:rsidRPr="006627B4">
        <w:t>The Treasury</w:t>
      </w:r>
      <w:r>
        <w:br/>
      </w:r>
      <w:r w:rsidRPr="006627B4">
        <w:t xml:space="preserve">Langton Crescent </w:t>
      </w:r>
      <w:r>
        <w:br/>
      </w:r>
      <w:r w:rsidR="008504BE" w:rsidRPr="006627B4">
        <w:t xml:space="preserve">Parkes </w:t>
      </w:r>
      <w:r w:rsidR="008504BE">
        <w:t>ACT</w:t>
      </w:r>
      <w:r w:rsidRPr="006627B4">
        <w:t xml:space="preserve"> </w:t>
      </w:r>
      <w:r>
        <w:t xml:space="preserve"> </w:t>
      </w:r>
      <w:r w:rsidRPr="006627B4">
        <w:t>2600</w:t>
      </w:r>
      <w:r>
        <w:br/>
      </w:r>
      <w:r w:rsidRPr="006627B4">
        <w:t xml:space="preserve">Email: </w:t>
      </w:r>
      <w:hyperlink r:id="rId14" w:history="1">
        <w:r>
          <w:rPr>
            <w:rStyle w:val="Hyperlink"/>
          </w:rPr>
          <w:t>media@treasury.gov.au</w:t>
        </w:r>
      </w:hyperlink>
    </w:p>
    <w:p w14:paraId="1E38C88D" w14:textId="77777777" w:rsidR="00EF5671" w:rsidRPr="00DF7CBD" w:rsidRDefault="00EF5671" w:rsidP="00EF5671">
      <w:pPr>
        <w:rPr>
          <w:color w:val="3A6FAF"/>
        </w:rPr>
      </w:pPr>
      <w:r w:rsidRPr="00D32709">
        <w:rPr>
          <w:i/>
          <w:iCs/>
        </w:rPr>
        <w:t xml:space="preserve">In the spirit of reconciliation, the Treasury acknowledges the Traditional Custodians of country throughout Australia and their connections to land, </w:t>
      </w:r>
      <w:proofErr w:type="gramStart"/>
      <w:r w:rsidRPr="00D32709">
        <w:rPr>
          <w:i/>
          <w:iCs/>
        </w:rPr>
        <w:t>sea</w:t>
      </w:r>
      <w:proofErr w:type="gramEnd"/>
      <w:r w:rsidRPr="00D32709">
        <w:rPr>
          <w:i/>
          <w:iCs/>
        </w:rPr>
        <w:t xml:space="preserve"> and community. We pay our respect to their Elders past and present and extend that respect to all Aboriginal and Torres Strait Islander peoples</w:t>
      </w:r>
      <w:r>
        <w:rPr>
          <w:i/>
          <w:iCs/>
        </w:rPr>
        <w:t>.</w:t>
      </w:r>
    </w:p>
    <w:p w14:paraId="5082E143" w14:textId="4D996360" w:rsidR="00A2203A" w:rsidRDefault="00A2203A" w:rsidP="00A2203A">
      <w:pPr>
        <w:pStyle w:val="Heading1"/>
      </w:pPr>
      <w:bookmarkStart w:id="3" w:name="_Toc167099164"/>
      <w:r w:rsidRPr="009E04E4">
        <w:lastRenderedPageBreak/>
        <w:t>Contents</w:t>
      </w:r>
      <w:bookmarkEnd w:id="3"/>
    </w:p>
    <w:p w14:paraId="6ABDA336" w14:textId="0CED2CD5" w:rsidR="00423FCC" w:rsidRDefault="00A2203A">
      <w:pPr>
        <w:pStyle w:val="TOC1"/>
        <w:rPr>
          <w:rFonts w:eastAsiaTheme="minorEastAsia" w:cstheme="minorBidi"/>
          <w:b w:val="0"/>
          <w:color w:val="auto"/>
          <w:kern w:val="2"/>
          <w:sz w:val="22"/>
          <w14:ligatures w14:val="standardContextual"/>
        </w:rPr>
      </w:pPr>
      <w:r>
        <w:rPr>
          <w:color w:val="004A7F"/>
        </w:rPr>
        <w:fldChar w:fldCharType="begin"/>
      </w:r>
      <w:r w:rsidRPr="0025652F">
        <w:instrText xml:space="preserve"> TOC \o "1-3" \h \z \u </w:instrText>
      </w:r>
      <w:r>
        <w:rPr>
          <w:color w:val="004A7F"/>
        </w:rPr>
        <w:fldChar w:fldCharType="separate"/>
      </w:r>
      <w:hyperlink w:anchor="_Toc167099164" w:history="1">
        <w:r w:rsidR="00423FCC" w:rsidRPr="003A013D">
          <w:rPr>
            <w:rStyle w:val="Hyperlink"/>
          </w:rPr>
          <w:t>Contents</w:t>
        </w:r>
        <w:r w:rsidR="00423FCC">
          <w:rPr>
            <w:webHidden/>
          </w:rPr>
          <w:tab/>
        </w:r>
        <w:r w:rsidR="00423FCC">
          <w:rPr>
            <w:webHidden/>
          </w:rPr>
          <w:fldChar w:fldCharType="begin"/>
        </w:r>
        <w:r w:rsidR="00423FCC">
          <w:rPr>
            <w:webHidden/>
          </w:rPr>
          <w:instrText xml:space="preserve"> PAGEREF _Toc167099164 \h </w:instrText>
        </w:r>
        <w:r w:rsidR="00423FCC">
          <w:rPr>
            <w:webHidden/>
          </w:rPr>
        </w:r>
        <w:r w:rsidR="00423FCC">
          <w:rPr>
            <w:webHidden/>
          </w:rPr>
          <w:fldChar w:fldCharType="separate"/>
        </w:r>
        <w:r w:rsidR="00423FCC">
          <w:rPr>
            <w:webHidden/>
          </w:rPr>
          <w:t>iii</w:t>
        </w:r>
        <w:r w:rsidR="00423FCC">
          <w:rPr>
            <w:webHidden/>
          </w:rPr>
          <w:fldChar w:fldCharType="end"/>
        </w:r>
      </w:hyperlink>
    </w:p>
    <w:p w14:paraId="082B3772" w14:textId="3B974FFC" w:rsidR="00423FCC" w:rsidRDefault="00DC016F">
      <w:pPr>
        <w:pStyle w:val="TOC1"/>
        <w:rPr>
          <w:rFonts w:eastAsiaTheme="minorEastAsia" w:cstheme="minorBidi"/>
          <w:b w:val="0"/>
          <w:color w:val="auto"/>
          <w:kern w:val="2"/>
          <w:sz w:val="22"/>
          <w14:ligatures w14:val="standardContextual"/>
        </w:rPr>
      </w:pPr>
      <w:hyperlink w:anchor="_Toc167099165" w:history="1">
        <w:r w:rsidR="00423FCC" w:rsidRPr="003A013D">
          <w:rPr>
            <w:rStyle w:val="Hyperlink"/>
            <w:lang w:eastAsia="en-US"/>
          </w:rPr>
          <w:t>Background</w:t>
        </w:r>
        <w:r w:rsidR="00423FCC">
          <w:rPr>
            <w:rStyle w:val="Hyperlink"/>
            <w:lang w:eastAsia="en-US"/>
          </w:rPr>
          <w:t>, Measure</w:t>
        </w:r>
        <w:r w:rsidR="00AE7780">
          <w:rPr>
            <w:rStyle w:val="Hyperlink"/>
            <w:lang w:eastAsia="en-US"/>
          </w:rPr>
          <w:t>s</w:t>
        </w:r>
        <w:r w:rsidR="00423FCC">
          <w:rPr>
            <w:rStyle w:val="Hyperlink"/>
            <w:lang w:eastAsia="en-US"/>
          </w:rPr>
          <w:t xml:space="preserve"> 1 </w:t>
        </w:r>
        <w:r w:rsidR="00AE7780">
          <w:rPr>
            <w:rStyle w:val="Hyperlink"/>
            <w:lang w:eastAsia="en-US"/>
          </w:rPr>
          <w:t xml:space="preserve">&amp; 2 </w:t>
        </w:r>
        <w:r w:rsidR="00423FCC">
          <w:rPr>
            <w:webHidden/>
          </w:rPr>
          <w:tab/>
        </w:r>
        <w:r w:rsidR="00423FCC">
          <w:rPr>
            <w:webHidden/>
          </w:rPr>
          <w:fldChar w:fldCharType="begin"/>
        </w:r>
        <w:r w:rsidR="00423FCC">
          <w:rPr>
            <w:webHidden/>
          </w:rPr>
          <w:instrText xml:space="preserve"> PAGEREF _Toc167099165 \h </w:instrText>
        </w:r>
        <w:r w:rsidR="00423FCC">
          <w:rPr>
            <w:webHidden/>
          </w:rPr>
        </w:r>
        <w:r w:rsidR="00423FCC">
          <w:rPr>
            <w:webHidden/>
          </w:rPr>
          <w:fldChar w:fldCharType="separate"/>
        </w:r>
        <w:r w:rsidR="00423FCC">
          <w:rPr>
            <w:webHidden/>
          </w:rPr>
          <w:t>1</w:t>
        </w:r>
        <w:r w:rsidR="00423FCC">
          <w:rPr>
            <w:webHidden/>
          </w:rPr>
          <w:fldChar w:fldCharType="end"/>
        </w:r>
      </w:hyperlink>
    </w:p>
    <w:p w14:paraId="1EAE1684" w14:textId="763B75B9" w:rsidR="00423FCC" w:rsidRDefault="00DC016F">
      <w:pPr>
        <w:pStyle w:val="TOC1"/>
        <w:rPr>
          <w:rFonts w:eastAsiaTheme="minorEastAsia" w:cstheme="minorBidi"/>
          <w:b w:val="0"/>
          <w:color w:val="auto"/>
          <w:kern w:val="2"/>
          <w:sz w:val="22"/>
          <w14:ligatures w14:val="standardContextual"/>
        </w:rPr>
      </w:pPr>
      <w:hyperlink w:anchor="_Toc167099168" w:history="1">
        <w:r w:rsidR="00423FCC" w:rsidRPr="003A013D">
          <w:rPr>
            <w:rStyle w:val="Hyperlink"/>
            <w:lang w:eastAsia="en-US"/>
          </w:rPr>
          <w:t>Measure</w:t>
        </w:r>
        <w:r w:rsidR="00AE7780">
          <w:rPr>
            <w:rStyle w:val="Hyperlink"/>
            <w:lang w:eastAsia="en-US"/>
          </w:rPr>
          <w:t>s</w:t>
        </w:r>
        <w:r w:rsidR="00423FCC" w:rsidRPr="003A013D">
          <w:rPr>
            <w:rStyle w:val="Hyperlink"/>
            <w:lang w:eastAsia="en-US"/>
          </w:rPr>
          <w:t xml:space="preserve"> 3</w:t>
        </w:r>
        <w:r w:rsidR="00AE7780">
          <w:rPr>
            <w:rStyle w:val="Hyperlink"/>
            <w:lang w:eastAsia="en-US"/>
          </w:rPr>
          <w:t xml:space="preserve">, 4 &amp; 5 </w:t>
        </w:r>
        <w:r w:rsidR="00423FCC">
          <w:rPr>
            <w:webHidden/>
          </w:rPr>
          <w:tab/>
        </w:r>
        <w:r w:rsidR="00423FCC">
          <w:rPr>
            <w:webHidden/>
          </w:rPr>
          <w:fldChar w:fldCharType="begin"/>
        </w:r>
        <w:r w:rsidR="00423FCC">
          <w:rPr>
            <w:webHidden/>
          </w:rPr>
          <w:instrText xml:space="preserve"> PAGEREF _Toc167099168 \h </w:instrText>
        </w:r>
        <w:r w:rsidR="00423FCC">
          <w:rPr>
            <w:webHidden/>
          </w:rPr>
        </w:r>
        <w:r w:rsidR="00423FCC">
          <w:rPr>
            <w:webHidden/>
          </w:rPr>
          <w:fldChar w:fldCharType="separate"/>
        </w:r>
        <w:r w:rsidR="00423FCC">
          <w:rPr>
            <w:webHidden/>
          </w:rPr>
          <w:t>2</w:t>
        </w:r>
        <w:r w:rsidR="00423FCC">
          <w:rPr>
            <w:webHidden/>
          </w:rPr>
          <w:fldChar w:fldCharType="end"/>
        </w:r>
      </w:hyperlink>
    </w:p>
    <w:p w14:paraId="75347AC3" w14:textId="6FB23977" w:rsidR="00423FCC" w:rsidRDefault="00DC016F">
      <w:pPr>
        <w:pStyle w:val="TOC1"/>
        <w:rPr>
          <w:rFonts w:eastAsiaTheme="minorEastAsia" w:cstheme="minorBidi"/>
          <w:b w:val="0"/>
          <w:color w:val="auto"/>
          <w:kern w:val="2"/>
          <w:sz w:val="22"/>
          <w14:ligatures w14:val="standardContextual"/>
        </w:rPr>
      </w:pPr>
      <w:hyperlink w:anchor="_Toc167099171" w:history="1">
        <w:r w:rsidR="00423FCC" w:rsidRPr="003A013D">
          <w:rPr>
            <w:rStyle w:val="Hyperlink"/>
            <w:lang w:eastAsia="en-US"/>
          </w:rPr>
          <w:t>Measure</w:t>
        </w:r>
        <w:r w:rsidR="00AE7780">
          <w:rPr>
            <w:rStyle w:val="Hyperlink"/>
            <w:lang w:eastAsia="en-US"/>
          </w:rPr>
          <w:t>s</w:t>
        </w:r>
        <w:r w:rsidR="00423FCC" w:rsidRPr="003A013D">
          <w:rPr>
            <w:rStyle w:val="Hyperlink"/>
            <w:lang w:eastAsia="en-US"/>
          </w:rPr>
          <w:t xml:space="preserve"> 6</w:t>
        </w:r>
        <w:r w:rsidR="00AE7780">
          <w:rPr>
            <w:rStyle w:val="Hyperlink"/>
            <w:lang w:eastAsia="en-US"/>
          </w:rPr>
          <w:t xml:space="preserve"> &amp; 7 </w:t>
        </w:r>
        <w:r w:rsidR="00423FCC">
          <w:rPr>
            <w:webHidden/>
          </w:rPr>
          <w:tab/>
        </w:r>
        <w:r w:rsidR="00423FCC">
          <w:rPr>
            <w:webHidden/>
          </w:rPr>
          <w:fldChar w:fldCharType="begin"/>
        </w:r>
        <w:r w:rsidR="00423FCC">
          <w:rPr>
            <w:webHidden/>
          </w:rPr>
          <w:instrText xml:space="preserve"> PAGEREF _Toc167099171 \h </w:instrText>
        </w:r>
        <w:r w:rsidR="00423FCC">
          <w:rPr>
            <w:webHidden/>
          </w:rPr>
        </w:r>
        <w:r w:rsidR="00423FCC">
          <w:rPr>
            <w:webHidden/>
          </w:rPr>
          <w:fldChar w:fldCharType="separate"/>
        </w:r>
        <w:r w:rsidR="00423FCC">
          <w:rPr>
            <w:webHidden/>
          </w:rPr>
          <w:t>3</w:t>
        </w:r>
        <w:r w:rsidR="00423FCC">
          <w:rPr>
            <w:webHidden/>
          </w:rPr>
          <w:fldChar w:fldCharType="end"/>
        </w:r>
      </w:hyperlink>
    </w:p>
    <w:p w14:paraId="07F8B88F" w14:textId="0D19AF08" w:rsidR="00423FCC" w:rsidRDefault="00DC016F">
      <w:pPr>
        <w:pStyle w:val="TOC1"/>
        <w:rPr>
          <w:rFonts w:eastAsiaTheme="minorEastAsia" w:cstheme="minorBidi"/>
          <w:b w:val="0"/>
          <w:color w:val="auto"/>
          <w:kern w:val="2"/>
          <w:sz w:val="22"/>
          <w14:ligatures w14:val="standardContextual"/>
        </w:rPr>
      </w:pPr>
      <w:hyperlink w:anchor="_Toc167099173" w:history="1">
        <w:r w:rsidR="00423FCC" w:rsidRPr="003A013D">
          <w:rPr>
            <w:rStyle w:val="Hyperlink"/>
            <w:lang w:eastAsia="en-US"/>
          </w:rPr>
          <w:t>Measure</w:t>
        </w:r>
        <w:r w:rsidR="00AE7780">
          <w:rPr>
            <w:rStyle w:val="Hyperlink"/>
            <w:lang w:eastAsia="en-US"/>
          </w:rPr>
          <w:t>s</w:t>
        </w:r>
        <w:r w:rsidR="00423FCC" w:rsidRPr="003A013D">
          <w:rPr>
            <w:rStyle w:val="Hyperlink"/>
            <w:lang w:eastAsia="en-US"/>
          </w:rPr>
          <w:t xml:space="preserve"> 8</w:t>
        </w:r>
        <w:r w:rsidR="00AE7780">
          <w:rPr>
            <w:rStyle w:val="Hyperlink"/>
            <w:lang w:eastAsia="en-US"/>
          </w:rPr>
          <w:t xml:space="preserve">, 9 &amp; 10 </w:t>
        </w:r>
        <w:r w:rsidR="00423FCC">
          <w:rPr>
            <w:webHidden/>
          </w:rPr>
          <w:tab/>
        </w:r>
        <w:r w:rsidR="00423FCC">
          <w:rPr>
            <w:webHidden/>
          </w:rPr>
          <w:fldChar w:fldCharType="begin"/>
        </w:r>
        <w:r w:rsidR="00423FCC">
          <w:rPr>
            <w:webHidden/>
          </w:rPr>
          <w:instrText xml:space="preserve"> PAGEREF _Toc167099173 \h </w:instrText>
        </w:r>
        <w:r w:rsidR="00423FCC">
          <w:rPr>
            <w:webHidden/>
          </w:rPr>
        </w:r>
        <w:r w:rsidR="00423FCC">
          <w:rPr>
            <w:webHidden/>
          </w:rPr>
          <w:fldChar w:fldCharType="separate"/>
        </w:r>
        <w:r w:rsidR="00423FCC">
          <w:rPr>
            <w:webHidden/>
          </w:rPr>
          <w:t>4</w:t>
        </w:r>
        <w:r w:rsidR="00423FCC">
          <w:rPr>
            <w:webHidden/>
          </w:rPr>
          <w:fldChar w:fldCharType="end"/>
        </w:r>
      </w:hyperlink>
    </w:p>
    <w:p w14:paraId="48D11665" w14:textId="0594329C" w:rsidR="00A2203A" w:rsidRDefault="00A2203A" w:rsidP="00A2203A">
      <w:pPr>
        <w:spacing w:before="0" w:after="160" w:line="259" w:lineRule="auto"/>
        <w:rPr>
          <w:rFonts w:asciiTheme="majorHAnsi" w:hAnsiTheme="majorHAnsi" w:cs="Arial"/>
          <w:b/>
          <w:kern w:val="32"/>
          <w:sz w:val="44"/>
          <w:szCs w:val="24"/>
          <w:lang w:eastAsia="en-US"/>
        </w:rPr>
      </w:pPr>
      <w:r>
        <w:fldChar w:fldCharType="end"/>
      </w:r>
      <w:r>
        <w:rPr>
          <w:sz w:val="44"/>
          <w:szCs w:val="24"/>
          <w:lang w:eastAsia="en-US"/>
        </w:rPr>
        <w:br w:type="page"/>
      </w:r>
    </w:p>
    <w:p w14:paraId="36468158" w14:textId="77777777" w:rsidR="00351578" w:rsidRDefault="00351578" w:rsidP="008073F0">
      <w:pPr>
        <w:pStyle w:val="Heading1"/>
        <w:spacing w:before="120"/>
        <w:rPr>
          <w:sz w:val="44"/>
          <w:szCs w:val="24"/>
          <w:lang w:eastAsia="en-US"/>
        </w:rPr>
        <w:sectPr w:rsidR="00351578" w:rsidSect="00717BC7">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pgNumType w:fmt="lowerRoman" w:start="2"/>
          <w:cols w:space="708"/>
          <w:docGrid w:linePitch="360"/>
        </w:sectPr>
      </w:pPr>
    </w:p>
    <w:p w14:paraId="6116CB04" w14:textId="25FBD2C2" w:rsidR="000A6131" w:rsidRPr="008073F0" w:rsidRDefault="000A6131" w:rsidP="008073F0">
      <w:pPr>
        <w:pStyle w:val="Heading1"/>
        <w:spacing w:before="120"/>
        <w:rPr>
          <w:sz w:val="44"/>
          <w:szCs w:val="24"/>
          <w:lang w:eastAsia="en-US"/>
        </w:rPr>
      </w:pPr>
      <w:bookmarkStart w:id="4" w:name="_Toc167099165"/>
      <w:r w:rsidRPr="008073F0">
        <w:rPr>
          <w:sz w:val="44"/>
          <w:szCs w:val="24"/>
          <w:lang w:eastAsia="en-US"/>
        </w:rPr>
        <w:t>Background</w:t>
      </w:r>
      <w:bookmarkEnd w:id="0"/>
      <w:bookmarkEnd w:id="4"/>
    </w:p>
    <w:p w14:paraId="0781CE6C" w14:textId="77777777" w:rsidR="0029428E" w:rsidRDefault="00FC73F1" w:rsidP="00666E60">
      <w:pPr>
        <w:rPr>
          <w:bCs/>
        </w:rPr>
      </w:pPr>
      <w:r>
        <w:rPr>
          <w:bCs/>
        </w:rPr>
        <w:t>On the 16 August 2023 National Cabinet recognised</w:t>
      </w:r>
      <w:r w:rsidR="004F122E">
        <w:rPr>
          <w:bCs/>
        </w:rPr>
        <w:t xml:space="preserve"> that a</w:t>
      </w:r>
      <w:r w:rsidR="004F122E" w:rsidRPr="004F122E">
        <w:rPr>
          <w:bCs/>
        </w:rPr>
        <w:t xml:space="preserve"> more efficient and effective planning and approvals process is one component of the reforms needed to address Australia’s housing challenges.</w:t>
      </w:r>
      <w:r w:rsidR="00207D20">
        <w:rPr>
          <w:bCs/>
        </w:rPr>
        <w:t xml:space="preserve"> National </w:t>
      </w:r>
      <w:r w:rsidR="00EF2D95">
        <w:rPr>
          <w:bCs/>
        </w:rPr>
        <w:t>cabinet recognised that i</w:t>
      </w:r>
      <w:r w:rsidR="004F122E" w:rsidRPr="004F122E">
        <w:rPr>
          <w:bCs/>
        </w:rPr>
        <w:t>f the nation is to provide the number of homes required in the places people want to live, regulatory systems need to be responsive to changes in demography and community preferences.</w:t>
      </w:r>
    </w:p>
    <w:p w14:paraId="0F46C331" w14:textId="26DD0126" w:rsidR="00A76BC8" w:rsidRPr="008A0865" w:rsidRDefault="007346BF" w:rsidP="00666E60">
      <w:pPr>
        <w:rPr>
          <w:bCs/>
        </w:rPr>
      </w:pPr>
      <w:r>
        <w:rPr>
          <w:bCs/>
        </w:rPr>
        <w:t xml:space="preserve">National Cabinet </w:t>
      </w:r>
      <w:r w:rsidR="00940FF1" w:rsidRPr="00940FF1">
        <w:rPr>
          <w:bCs/>
        </w:rPr>
        <w:t xml:space="preserve">developed </w:t>
      </w:r>
      <w:r w:rsidR="00BF72D9">
        <w:rPr>
          <w:bCs/>
        </w:rPr>
        <w:t xml:space="preserve">and agreed to </w:t>
      </w:r>
      <w:r w:rsidR="007645CB">
        <w:rPr>
          <w:bCs/>
        </w:rPr>
        <w:t xml:space="preserve">the following </w:t>
      </w:r>
      <w:r w:rsidR="00940FF1">
        <w:rPr>
          <w:bCs/>
        </w:rPr>
        <w:t xml:space="preserve">10 </w:t>
      </w:r>
      <w:r w:rsidR="00940FF1" w:rsidRPr="00940FF1">
        <w:rPr>
          <w:bCs/>
        </w:rPr>
        <w:t>measures</w:t>
      </w:r>
      <w:r w:rsidR="00A96E92">
        <w:rPr>
          <w:bCs/>
        </w:rPr>
        <w:t xml:space="preserve"> and associated actions</w:t>
      </w:r>
      <w:r w:rsidR="00940FF1" w:rsidRPr="00940FF1">
        <w:rPr>
          <w:bCs/>
        </w:rPr>
        <w:t xml:space="preserve"> that form the National Planning Reform Blueprint</w:t>
      </w:r>
      <w:r w:rsidR="007645CB">
        <w:rPr>
          <w:bCs/>
        </w:rPr>
        <w:t xml:space="preserve">. </w:t>
      </w:r>
      <w:r w:rsidR="006A5A22">
        <w:rPr>
          <w:bCs/>
        </w:rPr>
        <w:t xml:space="preserve">These </w:t>
      </w:r>
      <w:r w:rsidR="00525BC5">
        <w:rPr>
          <w:bCs/>
        </w:rPr>
        <w:t>m</w:t>
      </w:r>
      <w:r w:rsidR="006A5A22">
        <w:rPr>
          <w:bCs/>
        </w:rPr>
        <w:t xml:space="preserve">easures are intended </w:t>
      </w:r>
      <w:r w:rsidR="00940FF1" w:rsidRPr="00940FF1">
        <w:rPr>
          <w:bCs/>
        </w:rPr>
        <w:t xml:space="preserve">to drive improvements to planning systems </w:t>
      </w:r>
      <w:r w:rsidR="009622DB">
        <w:rPr>
          <w:bCs/>
        </w:rPr>
        <w:t>to assist</w:t>
      </w:r>
      <w:r w:rsidR="00940FF1" w:rsidRPr="00940FF1">
        <w:rPr>
          <w:bCs/>
        </w:rPr>
        <w:t xml:space="preserve"> </w:t>
      </w:r>
      <w:r w:rsidR="00575796">
        <w:rPr>
          <w:bCs/>
        </w:rPr>
        <w:t>jurisdictions</w:t>
      </w:r>
      <w:r w:rsidR="00600383">
        <w:rPr>
          <w:bCs/>
        </w:rPr>
        <w:t xml:space="preserve"> in </w:t>
      </w:r>
      <w:r w:rsidR="00940FF1" w:rsidRPr="00940FF1">
        <w:rPr>
          <w:bCs/>
        </w:rPr>
        <w:t>meet</w:t>
      </w:r>
      <w:r w:rsidR="00600383">
        <w:rPr>
          <w:bCs/>
        </w:rPr>
        <w:t>ing</w:t>
      </w:r>
      <w:r w:rsidR="00940FF1" w:rsidRPr="00940FF1">
        <w:rPr>
          <w:bCs/>
        </w:rPr>
        <w:t xml:space="preserve"> national housing supply targets of new well</w:t>
      </w:r>
      <w:r w:rsidR="00940FF1">
        <w:rPr>
          <w:bCs/>
        </w:rPr>
        <w:t>-</w:t>
      </w:r>
      <w:r w:rsidR="00940FF1" w:rsidRPr="00940FF1">
        <w:rPr>
          <w:bCs/>
        </w:rPr>
        <w:t>located homes</w:t>
      </w:r>
      <w:r w:rsidR="00666E60">
        <w:rPr>
          <w:bCs/>
        </w:rPr>
        <w:t xml:space="preserve">, covering </w:t>
      </w:r>
      <w:r w:rsidR="00666E60" w:rsidRPr="00666E60">
        <w:rPr>
          <w:bCs/>
        </w:rPr>
        <w:t xml:space="preserve">a range of issues identified by government, </w:t>
      </w:r>
      <w:proofErr w:type="gramStart"/>
      <w:r w:rsidR="00666E60" w:rsidRPr="00666E60">
        <w:rPr>
          <w:bCs/>
        </w:rPr>
        <w:t>industry</w:t>
      </w:r>
      <w:proofErr w:type="gramEnd"/>
      <w:r w:rsidR="00666E60" w:rsidRPr="00666E60">
        <w:rPr>
          <w:bCs/>
        </w:rPr>
        <w:t xml:space="preserve"> and community</w:t>
      </w:r>
      <w:r w:rsidR="009E31C1">
        <w:rPr>
          <w:bCs/>
        </w:rPr>
        <w:t>.</w:t>
      </w:r>
    </w:p>
    <w:p w14:paraId="063B05F3" w14:textId="46080236" w:rsidR="00E424F0" w:rsidRDefault="00EA2910">
      <w:pPr>
        <w:rPr>
          <w:bCs/>
        </w:rPr>
      </w:pPr>
      <w:r w:rsidRPr="00EA2910">
        <w:rPr>
          <w:bCs/>
        </w:rPr>
        <w:t xml:space="preserve">National Cabinet </w:t>
      </w:r>
      <w:r>
        <w:rPr>
          <w:bCs/>
        </w:rPr>
        <w:t xml:space="preserve">agreed that </w:t>
      </w:r>
      <w:r w:rsidR="00BC5337">
        <w:rPr>
          <w:bCs/>
        </w:rPr>
        <w:t xml:space="preserve">Planning Ministers </w:t>
      </w:r>
      <w:r w:rsidR="00593A8D">
        <w:rPr>
          <w:bCs/>
        </w:rPr>
        <w:t xml:space="preserve">will report on progress against the measures twice-yearly, with the first report occurring </w:t>
      </w:r>
      <w:r w:rsidR="00DC6A97">
        <w:rPr>
          <w:bCs/>
        </w:rPr>
        <w:t>b</w:t>
      </w:r>
      <w:r w:rsidR="009E31C1">
        <w:rPr>
          <w:bCs/>
        </w:rPr>
        <w:t>efore</w:t>
      </w:r>
      <w:r w:rsidR="00DC6A97">
        <w:rPr>
          <w:bCs/>
        </w:rPr>
        <w:t xml:space="preserve"> March 2024. </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457074BB" w:rsidR="004B063A" w:rsidRPr="0083107E" w:rsidRDefault="004B063A" w:rsidP="001F123C">
            <w:pPr>
              <w:pStyle w:val="Heading1"/>
              <w:spacing w:before="120"/>
              <w:rPr>
                <w:sz w:val="44"/>
                <w:szCs w:val="24"/>
                <w:lang w:eastAsia="en-US"/>
              </w:rPr>
            </w:pPr>
            <w:bookmarkStart w:id="5" w:name="_Toc164783279"/>
            <w:bookmarkStart w:id="6" w:name="_Toc167099166"/>
            <w:r w:rsidRPr="0083107E">
              <w:rPr>
                <w:sz w:val="44"/>
                <w:szCs w:val="24"/>
                <w:lang w:eastAsia="en-US"/>
              </w:rPr>
              <w:t xml:space="preserve">Measure </w:t>
            </w:r>
            <w:bookmarkEnd w:id="1"/>
            <w:r w:rsidR="00E86F68" w:rsidRPr="0083107E">
              <w:rPr>
                <w:sz w:val="44"/>
                <w:szCs w:val="24"/>
                <w:lang w:eastAsia="en-US"/>
              </w:rPr>
              <w:t>1</w:t>
            </w:r>
            <w:bookmarkEnd w:id="5"/>
            <w:bookmarkEnd w:id="6"/>
          </w:p>
          <w:p w14:paraId="744AE214" w14:textId="70DB0013" w:rsidR="004B063A" w:rsidRPr="00306516" w:rsidRDefault="00F357B0" w:rsidP="00F357B0">
            <w:pPr>
              <w:pStyle w:val="Boxdoubledot"/>
              <w:numPr>
                <w:ilvl w:val="0"/>
                <w:numId w:val="0"/>
              </w:numPr>
              <w:rPr>
                <w:sz w:val="24"/>
                <w:szCs w:val="24"/>
              </w:rPr>
            </w:pPr>
            <w:r w:rsidRPr="00F357B0">
              <w:rPr>
                <w:sz w:val="24"/>
                <w:szCs w:val="24"/>
              </w:rPr>
              <w:t xml:space="preserve">Planning Ministers will collaborate on a national vision for urban and regional planning policy, including identifying common policy approaches, </w:t>
            </w:r>
            <w:proofErr w:type="gramStart"/>
            <w:r w:rsidRPr="00F357B0">
              <w:rPr>
                <w:sz w:val="24"/>
                <w:szCs w:val="24"/>
              </w:rPr>
              <w:t>definitions</w:t>
            </w:r>
            <w:proofErr w:type="gramEnd"/>
            <w:r w:rsidRPr="00F357B0">
              <w:rPr>
                <w:sz w:val="24"/>
                <w:szCs w:val="24"/>
              </w:rPr>
              <w:t xml:space="preserve"> and data sources.</w:t>
            </w:r>
          </w:p>
        </w:tc>
      </w:tr>
    </w:tbl>
    <w:bookmarkEnd w:id="2"/>
    <w:p w14:paraId="2A00382A" w14:textId="65F2268D" w:rsidR="00313820" w:rsidRDefault="00313820" w:rsidP="00EA2154">
      <w:proofErr w:type="gramStart"/>
      <w:r>
        <w:t>In order to</w:t>
      </w:r>
      <w:proofErr w:type="gramEnd"/>
      <w:r>
        <w:t xml:space="preserve"> achieve this, Planning Ministers will:</w:t>
      </w:r>
    </w:p>
    <w:p w14:paraId="3ABBE22D" w14:textId="7A8D98AF" w:rsidR="00313820" w:rsidRDefault="00313820" w:rsidP="00EA2154">
      <w:pPr>
        <w:pStyle w:val="Bullet"/>
      </w:pPr>
      <w:r>
        <w:t>Work with the Housing and Homelessness Ministerial Council towards an agreed set of national definitions for key housing terms which can be incorporated into relevant planning legislation and instruments, with legislation introduced by 1 July 2024.</w:t>
      </w:r>
    </w:p>
    <w:p w14:paraId="47E7B23A" w14:textId="2854FB2F" w:rsidR="00313820" w:rsidRDefault="00313820" w:rsidP="00EA2154">
      <w:pPr>
        <w:pStyle w:val="Bullet"/>
      </w:pPr>
      <w:r>
        <w:t xml:space="preserve">Work with relevant Ministerial Councils and agencies to deliver a national data sharing agreement for population, </w:t>
      </w:r>
      <w:proofErr w:type="gramStart"/>
      <w:r>
        <w:t>housing</w:t>
      </w:r>
      <w:proofErr w:type="gramEnd"/>
      <w:r>
        <w:t xml:space="preserve"> and planning data by 1 July 2024.</w:t>
      </w:r>
    </w:p>
    <w:p w14:paraId="202E0AA0" w14:textId="66DA419F" w:rsidR="00313820" w:rsidRDefault="00313820" w:rsidP="00EA2154">
      <w:pPr>
        <w:pStyle w:val="Bullet"/>
      </w:pPr>
      <w:r>
        <w:t>Agree to participate in the development of the National Urban Policy Framework</w:t>
      </w:r>
      <w:r w:rsidR="00156AF9">
        <w:t>.</w:t>
      </w:r>
    </w:p>
    <w:p w14:paraId="3E32B916" w14:textId="77777777" w:rsidR="00313820" w:rsidRDefault="00313820" w:rsidP="003074FE">
      <w:pPr>
        <w:pStyle w:val="SingleParagraph"/>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E86F68" w14:paraId="59A4E650" w14:textId="77777777" w:rsidTr="29C49999">
        <w:tc>
          <w:tcPr>
            <w:tcW w:w="5000" w:type="pct"/>
            <w:shd w:val="clear" w:color="auto" w:fill="CEDBE6" w:themeFill="background2"/>
            <w:hideMark/>
          </w:tcPr>
          <w:p w14:paraId="39BDEC3E" w14:textId="77777777" w:rsidR="00E86F68" w:rsidRPr="0083107E" w:rsidRDefault="00E86F68" w:rsidP="000B371D">
            <w:pPr>
              <w:pStyle w:val="Heading1"/>
              <w:spacing w:before="120"/>
              <w:rPr>
                <w:sz w:val="44"/>
                <w:szCs w:val="24"/>
                <w:lang w:eastAsia="en-US"/>
              </w:rPr>
            </w:pPr>
            <w:bookmarkStart w:id="7" w:name="_Toc164783280"/>
            <w:bookmarkStart w:id="8" w:name="_Toc164783929"/>
            <w:bookmarkStart w:id="9" w:name="_Toc167099167"/>
            <w:r w:rsidRPr="0083107E">
              <w:rPr>
                <w:sz w:val="44"/>
                <w:szCs w:val="24"/>
                <w:lang w:eastAsia="en-US"/>
              </w:rPr>
              <w:t>Measure 2</w:t>
            </w:r>
            <w:bookmarkEnd w:id="7"/>
            <w:bookmarkEnd w:id="8"/>
            <w:bookmarkEnd w:id="9"/>
          </w:p>
          <w:p w14:paraId="461CCB02" w14:textId="3D1B0861" w:rsidR="00E86F68" w:rsidRPr="00306516" w:rsidRDefault="08994D31" w:rsidP="00AD02FE">
            <w:pPr>
              <w:pStyle w:val="Boxdoubledot"/>
              <w:numPr>
                <w:ilvl w:val="2"/>
                <w:numId w:val="0"/>
              </w:numPr>
              <w:rPr>
                <w:sz w:val="24"/>
                <w:szCs w:val="24"/>
              </w:rPr>
            </w:pPr>
            <w:r w:rsidRPr="29C49999">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598CBB94" w14:textId="7361378F" w:rsidR="00EA2154" w:rsidRDefault="00EA2154" w:rsidP="00EA2154">
      <w:r>
        <w:t>Planning Ministers will continue to report to National Cabinet on a twice-</w:t>
      </w:r>
      <w:r w:rsidR="008B5956">
        <w:t>yearly</w:t>
      </w:r>
      <w:r>
        <w:t xml:space="preserve"> basis on these plans to demonstrate how each of their housing supply targets at state, regional and local levels will deliver on their jurisdiction’s total share, with the report also outlining progress across Measures 3 to 10. </w:t>
      </w:r>
    </w:p>
    <w:p w14:paraId="690D823F" w14:textId="2378B871" w:rsidR="00313820" w:rsidRDefault="00EA2154" w:rsidP="00A8546C">
      <w:proofErr w:type="gramStart"/>
      <w:r>
        <w:t>In order to</w:t>
      </w:r>
      <w:proofErr w:type="gramEnd"/>
      <w:r>
        <w:t xml:space="preserve"> achieve this, Planning Ministers will report to National Cabinet before 1 March 2024 and liaise with local government to ensure up to date local, regional and state strategic plans.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29C49999">
        <w:tc>
          <w:tcPr>
            <w:tcW w:w="5000" w:type="pct"/>
            <w:shd w:val="clear" w:color="auto" w:fill="CEDBE6" w:themeFill="background2"/>
            <w:hideMark/>
          </w:tcPr>
          <w:p w14:paraId="5DC4AA42" w14:textId="77777777" w:rsidR="00322481" w:rsidRPr="00322481" w:rsidRDefault="3DC673B4" w:rsidP="00322481">
            <w:pPr>
              <w:pStyle w:val="Heading1"/>
              <w:spacing w:before="120"/>
              <w:rPr>
                <w:sz w:val="44"/>
                <w:szCs w:val="24"/>
                <w:lang w:eastAsia="en-US"/>
              </w:rPr>
            </w:pPr>
            <w:bookmarkStart w:id="10" w:name="_Toc160799700"/>
            <w:bookmarkStart w:id="11" w:name="_Toc164783281"/>
            <w:bookmarkStart w:id="12" w:name="_Toc164783930"/>
            <w:bookmarkStart w:id="13" w:name="_Toc167099168"/>
            <w:r w:rsidRPr="00322481">
              <w:rPr>
                <w:sz w:val="44"/>
                <w:szCs w:val="24"/>
                <w:lang w:eastAsia="en-US"/>
              </w:rPr>
              <w:t>Measure 3</w:t>
            </w:r>
            <w:bookmarkEnd w:id="10"/>
            <w:bookmarkEnd w:id="11"/>
            <w:bookmarkEnd w:id="12"/>
            <w:bookmarkEnd w:id="13"/>
          </w:p>
          <w:p w14:paraId="7A840E19" w14:textId="7B50972E" w:rsidR="00B534B5" w:rsidRPr="00306516" w:rsidRDefault="3DC673B4" w:rsidP="00B534B5">
            <w:pPr>
              <w:pStyle w:val="Boxdoubledot"/>
              <w:numPr>
                <w:ilvl w:val="2"/>
                <w:numId w:val="0"/>
              </w:numPr>
              <w:rPr>
                <w:sz w:val="24"/>
                <w:szCs w:val="24"/>
              </w:rPr>
            </w:pPr>
            <w:r w:rsidRPr="29C49999">
              <w:rPr>
                <w:rFonts w:eastAsia="Times New Roman"/>
                <w:color w:val="000000" w:themeColor="text1"/>
                <w:sz w:val="24"/>
                <w:szCs w:val="24"/>
                <w:lang w:eastAsia="en-AU"/>
              </w:rPr>
              <w:t>Planning Ministers will undertake planning, zoning, land release and other reforms, such as increasing density, to meet their jurisdiction share of housing supply targets agreed by National Cabinet.</w:t>
            </w:r>
          </w:p>
        </w:tc>
      </w:tr>
    </w:tbl>
    <w:p w14:paraId="52AA15FF" w14:textId="72B788A3" w:rsidR="00EA2154" w:rsidRDefault="00EA2154" w:rsidP="00EA2154">
      <w:proofErr w:type="gramStart"/>
      <w:r>
        <w:t>In order to</w:t>
      </w:r>
      <w:proofErr w:type="gramEnd"/>
      <w:r>
        <w:t xml:space="preserve"> achieve this, Planning Ministers will report to National Cabinet before 1 March 2024.</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62F687BC" w:rsidR="005455D8" w:rsidRPr="0083107E" w:rsidRDefault="005455D8" w:rsidP="000B371D">
            <w:pPr>
              <w:pStyle w:val="Heading1"/>
              <w:spacing w:before="120"/>
              <w:rPr>
                <w:sz w:val="44"/>
                <w:szCs w:val="24"/>
                <w:lang w:eastAsia="en-US"/>
              </w:rPr>
            </w:pPr>
            <w:bookmarkStart w:id="14" w:name="_Toc160799703"/>
            <w:bookmarkStart w:id="15" w:name="_Toc164783282"/>
            <w:bookmarkStart w:id="16" w:name="_Toc167099169"/>
            <w:r w:rsidRPr="0083107E">
              <w:rPr>
                <w:sz w:val="44"/>
                <w:szCs w:val="24"/>
                <w:lang w:eastAsia="en-US"/>
              </w:rPr>
              <w:t>Measure 4</w:t>
            </w:r>
            <w:bookmarkEnd w:id="14"/>
            <w:bookmarkEnd w:id="15"/>
            <w:bookmarkEnd w:id="16"/>
          </w:p>
          <w:p w14:paraId="6678853F" w14:textId="02272564" w:rsidR="005455D8" w:rsidRPr="00306516" w:rsidRDefault="005455D8" w:rsidP="005455D8">
            <w:pPr>
              <w:pStyle w:val="Boxbullet"/>
              <w:numPr>
                <w:ilvl w:val="0"/>
                <w:numId w:val="0"/>
              </w:numPr>
              <w:rPr>
                <w:sz w:val="24"/>
                <w:szCs w:val="24"/>
              </w:rPr>
            </w:pPr>
            <w:r w:rsidRPr="00306516">
              <w:rPr>
                <w:sz w:val="24"/>
                <w:szCs w:val="24"/>
              </w:rPr>
              <w:t>Planning Ministers will identify well-located ‘development ready’ land before 1 March 2024, having appropriate regard to the protection of land with key attributes e.g. environmental or economic.</w:t>
            </w:r>
          </w:p>
        </w:tc>
      </w:tr>
    </w:tbl>
    <w:p w14:paraId="2FEA0AEA" w14:textId="666E044F" w:rsidR="00666C7A" w:rsidRDefault="00666C7A" w:rsidP="00666C7A">
      <w:proofErr w:type="gramStart"/>
      <w:r>
        <w:t>In order to</w:t>
      </w:r>
      <w:proofErr w:type="gramEnd"/>
      <w:r>
        <w:t xml:space="preserve"> achieve this, jurisdictions will undertake a stock take of ‘development ready’ land in their jurisdictions to be provided to the Planning Ministers’ Meeting in confidence, with the outline to be reported to National Cabinet before 1 March 2024.</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444FA838" w:rsidR="005455D8" w:rsidRPr="0083107E" w:rsidRDefault="005455D8" w:rsidP="000B371D">
            <w:pPr>
              <w:pStyle w:val="Heading1"/>
              <w:spacing w:before="120"/>
              <w:rPr>
                <w:sz w:val="44"/>
                <w:szCs w:val="24"/>
                <w:lang w:eastAsia="en-US"/>
              </w:rPr>
            </w:pPr>
            <w:bookmarkStart w:id="17" w:name="_Toc160799705"/>
            <w:bookmarkStart w:id="18" w:name="_Toc164783283"/>
            <w:bookmarkStart w:id="19" w:name="_Toc164783932"/>
            <w:bookmarkStart w:id="20" w:name="_Toc167099170"/>
            <w:r w:rsidRPr="0083107E">
              <w:rPr>
                <w:sz w:val="44"/>
                <w:szCs w:val="24"/>
                <w:lang w:eastAsia="en-US"/>
              </w:rPr>
              <w:t>Measure 5</w:t>
            </w:r>
            <w:bookmarkEnd w:id="17"/>
            <w:bookmarkEnd w:id="18"/>
            <w:bookmarkEnd w:id="19"/>
            <w:bookmarkEnd w:id="20"/>
          </w:p>
          <w:p w14:paraId="0E08CEA4" w14:textId="683A95D8" w:rsidR="005455D8" w:rsidRPr="00306516" w:rsidRDefault="005455D8" w:rsidP="005455D8">
            <w:pPr>
              <w:pStyle w:val="Boxdoubledot"/>
              <w:numPr>
                <w:ilvl w:val="0"/>
                <w:numId w:val="0"/>
              </w:numPr>
              <w:rPr>
                <w:sz w:val="24"/>
                <w:szCs w:val="24"/>
              </w:rPr>
            </w:pPr>
            <w:r w:rsidRPr="00306516">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w:t>
            </w:r>
            <w:r w:rsidR="00C81546">
              <w:rPr>
                <w:rFonts w:eastAsia="Times New Roman"/>
                <w:color w:val="000000" w:themeColor="text1"/>
                <w:sz w:val="24"/>
                <w:szCs w:val="24"/>
                <w:lang w:eastAsia="en-AU"/>
              </w:rPr>
              <w:t>-</w:t>
            </w:r>
            <w:r w:rsidRPr="00306516">
              <w:rPr>
                <w:rFonts w:eastAsia="Times New Roman"/>
                <w:color w:val="000000" w:themeColor="text1"/>
                <w:sz w:val="24"/>
                <w:szCs w:val="24"/>
                <w:lang w:eastAsia="en-AU"/>
              </w:rPr>
              <w:t xml:space="preserve"> and high-density housing in well-located areas close to existing public transport infrastructure connections, </w:t>
            </w:r>
            <w:proofErr w:type="gramStart"/>
            <w:r w:rsidRPr="00306516">
              <w:rPr>
                <w:rFonts w:eastAsia="Times New Roman"/>
                <w:color w:val="000000" w:themeColor="text1"/>
                <w:sz w:val="24"/>
                <w:szCs w:val="24"/>
                <w:lang w:eastAsia="en-AU"/>
              </w:rPr>
              <w:t>amenities</w:t>
            </w:r>
            <w:proofErr w:type="gramEnd"/>
            <w:r w:rsidRPr="00306516">
              <w:rPr>
                <w:rFonts w:eastAsia="Times New Roman"/>
                <w:color w:val="000000" w:themeColor="text1"/>
                <w:sz w:val="24"/>
                <w:szCs w:val="24"/>
                <w:lang w:eastAsia="en-AU"/>
              </w:rPr>
              <w:t xml:space="preserve"> and employment.</w:t>
            </w:r>
          </w:p>
        </w:tc>
      </w:tr>
    </w:tbl>
    <w:p w14:paraId="2F6AB873" w14:textId="597D6BDB" w:rsidR="00666C7A" w:rsidRDefault="00666C7A" w:rsidP="00645106">
      <w:proofErr w:type="gramStart"/>
      <w:r>
        <w:t>In order to</w:t>
      </w:r>
      <w:proofErr w:type="gramEnd"/>
      <w:r>
        <w:t xml:space="preserve"> achieve this, Planning Ministers will provide an update to National Cabinet before 1 March 2024 on zoning, planning and other amendments to promote medium</w:t>
      </w:r>
      <w:r w:rsidR="00EA1F1E">
        <w:t>- and high-</w:t>
      </w:r>
      <w:r>
        <w:t>density housing particularly in well</w:t>
      </w:r>
      <w:r w:rsidR="00583308">
        <w:t>-</w:t>
      </w:r>
      <w:r>
        <w:t>located areas close to existing public transport infrastructure connections, amenities and employment. Planning Ministers will also report</w:t>
      </w:r>
      <w:r w:rsidR="00645106">
        <w:t xml:space="preserve"> to National Cabinet before 1 March 2024 on new housing diversity planning control amendments and report on reforms to planning and non-planning barriers which prevent a diversity of housing stock before 1 March 2024</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6712E1D5" w:rsidR="00440B1E" w:rsidRPr="0083107E" w:rsidRDefault="00C40C8B" w:rsidP="000B371D">
            <w:pPr>
              <w:pStyle w:val="Heading1"/>
              <w:spacing w:before="120"/>
              <w:rPr>
                <w:sz w:val="44"/>
                <w:szCs w:val="24"/>
                <w:lang w:eastAsia="en-US"/>
              </w:rPr>
            </w:pPr>
            <w:bookmarkStart w:id="21" w:name="_Toc160799708"/>
            <w:bookmarkStart w:id="22" w:name="_Toc164783284"/>
            <w:bookmarkStart w:id="23" w:name="_Toc167099171"/>
            <w:bookmarkStart w:id="24" w:name="_Hlk161749169"/>
            <w:r w:rsidRPr="0083107E">
              <w:rPr>
                <w:sz w:val="44"/>
                <w:szCs w:val="24"/>
                <w:lang w:eastAsia="en-US"/>
              </w:rPr>
              <w:t>Measure 6</w:t>
            </w:r>
            <w:bookmarkEnd w:id="21"/>
            <w:bookmarkEnd w:id="22"/>
            <w:bookmarkEnd w:id="23"/>
          </w:p>
          <w:p w14:paraId="2378888C" w14:textId="51A1C17B" w:rsidR="00440B1E" w:rsidRPr="00306516" w:rsidRDefault="000D779E" w:rsidP="000D779E">
            <w:pPr>
              <w:pStyle w:val="Boxdoubledot"/>
              <w:numPr>
                <w:ilvl w:val="0"/>
                <w:numId w:val="0"/>
              </w:numPr>
              <w:rPr>
                <w:sz w:val="24"/>
                <w:szCs w:val="24"/>
              </w:rPr>
            </w:pPr>
            <w:r w:rsidRPr="00306516">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bookmarkEnd w:id="24"/>
    <w:p w14:paraId="1E3129C8" w14:textId="40A9FF62" w:rsidR="00645106" w:rsidRDefault="00645106" w:rsidP="00645106">
      <w:proofErr w:type="gramStart"/>
      <w:r>
        <w:t>In order to</w:t>
      </w:r>
      <w:proofErr w:type="gramEnd"/>
      <w:r>
        <w:t xml:space="preserve"> achieve this, Planning Ministers will report to National Cabinet before 1 March 2024 on:</w:t>
      </w:r>
    </w:p>
    <w:p w14:paraId="5F1C9866" w14:textId="60DEB5BF" w:rsidR="00645106" w:rsidRDefault="00645106" w:rsidP="00645106">
      <w:pPr>
        <w:pStyle w:val="Bullet"/>
      </w:pPr>
      <w:r>
        <w:t>Reforms to development approval pathways.</w:t>
      </w:r>
    </w:p>
    <w:p w14:paraId="670F6A7A" w14:textId="3B9F9AE2" w:rsidR="00645106" w:rsidRDefault="00645106" w:rsidP="00645106">
      <w:pPr>
        <w:pStyle w:val="Bullet"/>
      </w:pPr>
      <w:r>
        <w:t>Key barriers to the timely issuing of development approvals and identify jurisdiction</w:t>
      </w:r>
      <w:r w:rsidR="00BC1210">
        <w:t>-</w:t>
      </w:r>
      <w:r>
        <w:t>led reforms that address barriers.</w:t>
      </w:r>
    </w:p>
    <w:p w14:paraId="7A0F04EE" w14:textId="1F7C7863" w:rsidR="00645106" w:rsidRDefault="00645106" w:rsidP="00645106">
      <w:pPr>
        <w:pStyle w:val="Bullet"/>
      </w:pPr>
      <w:r>
        <w:t>Sharing planning data and analysis across jurisdictions to identify data gaps and improve national visibility of factors that may be delaying delivery of housing.</w:t>
      </w:r>
    </w:p>
    <w:p w14:paraId="1B3EA369" w14:textId="4E56DB4C" w:rsidR="00645106" w:rsidRDefault="00645106" w:rsidP="00645106">
      <w:pPr>
        <w:pStyle w:val="Bullet"/>
      </w:pPr>
      <w:r>
        <w:t>Existing development approvals which have not been acted upon and identify key barriers to the delivery of approved housing.</w:t>
      </w:r>
    </w:p>
    <w:p w14:paraId="4D0FA38C" w14:textId="26911191" w:rsidR="00645106" w:rsidRDefault="00645106" w:rsidP="00645106">
      <w:pPr>
        <w:pStyle w:val="Bullet"/>
      </w:pPr>
      <w:r>
        <w:t>Reforms to social and affordable housing approval pathways.</w:t>
      </w:r>
    </w:p>
    <w:p w14:paraId="51C2D160" w14:textId="0C99B7DC" w:rsidR="00645106" w:rsidRDefault="00645106" w:rsidP="00645106">
      <w:pPr>
        <w:pStyle w:val="Bullet"/>
      </w:pPr>
      <w:r>
        <w:t xml:space="preserve">Jurisdiction positions on the phased introduction of inclusionary zoning and planning to support permanent affordable, social and other specialist housing in developments, where appropriate and where such zoning and planning does not add to construction costs </w:t>
      </w:r>
      <w:proofErr w:type="gramStart"/>
      <w:r>
        <w:t>e.g.</w:t>
      </w:r>
      <w:proofErr w:type="gramEnd"/>
      <w:r>
        <w:t xml:space="preserve"> through the use of incentives such as density bonuses.</w:t>
      </w:r>
    </w:p>
    <w:p w14:paraId="4F652EE1" w14:textId="7505A046" w:rsidR="00246664" w:rsidRDefault="00645106" w:rsidP="00645106">
      <w:r>
        <w:t>Planning Ministers will continue to report to National Cabinet on a twice-</w:t>
      </w:r>
      <w:r w:rsidR="007D5179">
        <w:t>yearly</w:t>
      </w:r>
      <w:r>
        <w:t xml:space="preserve"> basis on housing approval timeframes from Q4 2023.</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6E7738" w14:paraId="337E35B2" w14:textId="77777777" w:rsidTr="00AD02FE">
        <w:tc>
          <w:tcPr>
            <w:tcW w:w="5000" w:type="pct"/>
            <w:shd w:val="clear" w:color="auto" w:fill="CEDBE6" w:themeFill="background2"/>
            <w:hideMark/>
          </w:tcPr>
          <w:p w14:paraId="5DDFD80A" w14:textId="3D2C9EA8" w:rsidR="006E7738" w:rsidRPr="0083107E" w:rsidRDefault="006E7738" w:rsidP="000B371D">
            <w:pPr>
              <w:pStyle w:val="Heading1"/>
              <w:spacing w:before="120"/>
              <w:rPr>
                <w:sz w:val="44"/>
                <w:szCs w:val="24"/>
                <w:lang w:eastAsia="en-US"/>
              </w:rPr>
            </w:pPr>
            <w:bookmarkStart w:id="25" w:name="_Toc164783285"/>
            <w:bookmarkStart w:id="26" w:name="_Toc164783934"/>
            <w:bookmarkStart w:id="27" w:name="_Toc167099172"/>
            <w:bookmarkStart w:id="28" w:name="_Hlk161749325"/>
            <w:r w:rsidRPr="0083107E">
              <w:rPr>
                <w:sz w:val="44"/>
                <w:szCs w:val="24"/>
                <w:lang w:eastAsia="en-US"/>
              </w:rPr>
              <w:t xml:space="preserve">Measure </w:t>
            </w:r>
            <w:r w:rsidR="005B6FC8" w:rsidRPr="0083107E">
              <w:rPr>
                <w:sz w:val="44"/>
                <w:szCs w:val="24"/>
                <w:lang w:eastAsia="en-US"/>
              </w:rPr>
              <w:t>7</w:t>
            </w:r>
            <w:bookmarkEnd w:id="25"/>
            <w:bookmarkEnd w:id="26"/>
            <w:bookmarkEnd w:id="27"/>
          </w:p>
          <w:p w14:paraId="6F6FEA58" w14:textId="0D609F70" w:rsidR="006E7738" w:rsidRPr="00306516" w:rsidRDefault="00E747FF" w:rsidP="00E747FF">
            <w:pPr>
              <w:pStyle w:val="Boxdoubledot"/>
              <w:numPr>
                <w:ilvl w:val="0"/>
                <w:numId w:val="0"/>
              </w:numPr>
              <w:rPr>
                <w:sz w:val="24"/>
                <w:szCs w:val="24"/>
              </w:rPr>
            </w:pPr>
            <w:r w:rsidRPr="00E747FF">
              <w:rPr>
                <w:rFonts w:eastAsia="Times New Roman"/>
                <w:color w:val="000000" w:themeColor="text1"/>
                <w:sz w:val="24"/>
                <w:szCs w:val="24"/>
                <w:lang w:eastAsia="en-AU"/>
              </w:rPr>
              <w:t xml:space="preserve">All levels of government will identify and rectify gaps in housing design </w:t>
            </w:r>
            <w:r>
              <w:rPr>
                <w:rFonts w:eastAsia="Times New Roman"/>
                <w:color w:val="000000" w:themeColor="text1"/>
                <w:sz w:val="24"/>
                <w:szCs w:val="24"/>
                <w:lang w:eastAsia="en-AU"/>
              </w:rPr>
              <w:t>g</w:t>
            </w:r>
            <w:r w:rsidRPr="00E747FF">
              <w:rPr>
                <w:rFonts w:eastAsia="Times New Roman"/>
                <w:color w:val="000000" w:themeColor="text1"/>
                <w:sz w:val="24"/>
                <w:szCs w:val="24"/>
                <w:lang w:eastAsia="en-AU"/>
              </w:rPr>
              <w:t>uidance and building certification processes, to ensure the quality of new builds, particularly apartments</w:t>
            </w:r>
            <w:r>
              <w:rPr>
                <w:rFonts w:eastAsia="Times New Roman"/>
                <w:color w:val="000000" w:themeColor="text1"/>
                <w:sz w:val="24"/>
                <w:szCs w:val="24"/>
                <w:lang w:eastAsia="en-AU"/>
              </w:rPr>
              <w:t>.</w:t>
            </w:r>
          </w:p>
        </w:tc>
      </w:tr>
    </w:tbl>
    <w:bookmarkEnd w:id="28"/>
    <w:p w14:paraId="7DDC8668" w14:textId="1C4096C3" w:rsidR="00645106" w:rsidRDefault="00A8546C" w:rsidP="00A8546C">
      <w:r>
        <w:t>National Cabinet agreed to refer the issue of housing design guidance and building certification processes to the Building Ministers meeting.</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F7A23" w14:paraId="5AF53642" w14:textId="77777777" w:rsidTr="29C49999">
        <w:tc>
          <w:tcPr>
            <w:tcW w:w="5000" w:type="pct"/>
            <w:shd w:val="clear" w:color="auto" w:fill="CEDBE6" w:themeFill="background2"/>
            <w:hideMark/>
          </w:tcPr>
          <w:p w14:paraId="026E24B0" w14:textId="056226E0" w:rsidR="00BF7A23" w:rsidRPr="0083107E" w:rsidRDefault="00BF7A23" w:rsidP="000B371D">
            <w:pPr>
              <w:pStyle w:val="Heading1"/>
              <w:spacing w:before="120"/>
              <w:rPr>
                <w:sz w:val="44"/>
                <w:szCs w:val="24"/>
                <w:lang w:eastAsia="en-US"/>
              </w:rPr>
            </w:pPr>
            <w:bookmarkStart w:id="29" w:name="_Toc164783286"/>
            <w:bookmarkStart w:id="30" w:name="_Toc167099173"/>
            <w:r w:rsidRPr="0083107E">
              <w:rPr>
                <w:sz w:val="44"/>
                <w:szCs w:val="24"/>
                <w:lang w:eastAsia="en-US"/>
              </w:rPr>
              <w:t>Measure 8</w:t>
            </w:r>
            <w:bookmarkEnd w:id="29"/>
            <w:bookmarkEnd w:id="30"/>
          </w:p>
          <w:p w14:paraId="56822C95" w14:textId="73E284E7" w:rsidR="00BF7A23" w:rsidRPr="00306516" w:rsidRDefault="02B6E8EF" w:rsidP="008012BF">
            <w:pPr>
              <w:pStyle w:val="Boxdoubledot"/>
              <w:numPr>
                <w:ilvl w:val="2"/>
                <w:numId w:val="0"/>
              </w:numPr>
              <w:rPr>
                <w:sz w:val="24"/>
                <w:szCs w:val="24"/>
              </w:rPr>
            </w:pPr>
            <w:r w:rsidRPr="29C49999">
              <w:rPr>
                <w:rFonts w:eastAsia="Times New Roman"/>
                <w:color w:val="000000" w:themeColor="text1"/>
                <w:sz w:val="24"/>
                <w:szCs w:val="24"/>
                <w:lang w:eastAsia="en-AU"/>
              </w:rPr>
              <w:t>All levels of government will ensure the adequate resourcing of built environment professionals, including planners, in local government required for housing delivery, particularly in rural and regional Australia.</w:t>
            </w:r>
          </w:p>
        </w:tc>
      </w:tr>
    </w:tbl>
    <w:p w14:paraId="0C3974EF" w14:textId="58B13E9B" w:rsidR="00A8546C" w:rsidRDefault="00A8546C" w:rsidP="00A8546C">
      <w:r>
        <w:t>National Cabinet agreed to refer the issue of built environment skills shortages to the Skills and Workforce Ministerial Council.</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8012BF" w14:paraId="0CC9B8CD" w14:textId="77777777" w:rsidTr="00AD02FE">
        <w:tc>
          <w:tcPr>
            <w:tcW w:w="5000" w:type="pct"/>
            <w:shd w:val="clear" w:color="auto" w:fill="CEDBE6" w:themeFill="background2"/>
            <w:hideMark/>
          </w:tcPr>
          <w:p w14:paraId="639DEB72" w14:textId="72820F3D" w:rsidR="008012BF" w:rsidRPr="0083107E" w:rsidRDefault="008012BF" w:rsidP="0013604D">
            <w:pPr>
              <w:pStyle w:val="Heading1"/>
              <w:spacing w:before="120"/>
              <w:rPr>
                <w:sz w:val="44"/>
                <w:szCs w:val="24"/>
                <w:lang w:eastAsia="en-US"/>
              </w:rPr>
            </w:pPr>
            <w:bookmarkStart w:id="31" w:name="_Toc164783287"/>
            <w:bookmarkStart w:id="32" w:name="_Toc164783936"/>
            <w:bookmarkStart w:id="33" w:name="_Toc167099174"/>
            <w:r w:rsidRPr="0083107E">
              <w:rPr>
                <w:sz w:val="44"/>
                <w:szCs w:val="24"/>
                <w:lang w:eastAsia="en-US"/>
              </w:rPr>
              <w:t>Measure 9</w:t>
            </w:r>
            <w:bookmarkEnd w:id="31"/>
            <w:bookmarkEnd w:id="32"/>
            <w:bookmarkEnd w:id="33"/>
          </w:p>
          <w:p w14:paraId="3C5E6807" w14:textId="201C2D94" w:rsidR="008012BF" w:rsidRPr="00306516" w:rsidRDefault="0013604D" w:rsidP="0013604D">
            <w:pPr>
              <w:pStyle w:val="Boxdoubledot"/>
              <w:numPr>
                <w:ilvl w:val="0"/>
                <w:numId w:val="0"/>
              </w:numPr>
              <w:rPr>
                <w:sz w:val="24"/>
                <w:szCs w:val="24"/>
              </w:rPr>
            </w:pPr>
            <w:r w:rsidRPr="0013604D">
              <w:rPr>
                <w:rFonts w:eastAsia="Times New Roman"/>
                <w:color w:val="000000" w:themeColor="text1"/>
                <w:sz w:val="24"/>
                <w:szCs w:val="24"/>
                <w:lang w:eastAsia="en-AU"/>
              </w:rPr>
              <w:t xml:space="preserve">Where public consultation is required on a development approval pathway, all levels of government will work towards community consultation processes which are clear, </w:t>
            </w:r>
            <w:proofErr w:type="gramStart"/>
            <w:r w:rsidRPr="0013604D">
              <w:rPr>
                <w:rFonts w:eastAsia="Times New Roman"/>
                <w:color w:val="000000" w:themeColor="text1"/>
                <w:sz w:val="24"/>
                <w:szCs w:val="24"/>
                <w:lang w:eastAsia="en-AU"/>
              </w:rPr>
              <w:t>transparent</w:t>
            </w:r>
            <w:proofErr w:type="gramEnd"/>
            <w:r w:rsidRPr="0013604D">
              <w:rPr>
                <w:rFonts w:eastAsia="Times New Roman"/>
                <w:color w:val="000000" w:themeColor="text1"/>
                <w:sz w:val="24"/>
                <w:szCs w:val="24"/>
                <w:lang w:eastAsia="en-AU"/>
              </w:rPr>
              <w:t xml:space="preserve"> and predictable for all parties.</w:t>
            </w:r>
          </w:p>
        </w:tc>
      </w:tr>
    </w:tbl>
    <w:p w14:paraId="09B5A9DC" w14:textId="37AC9B90" w:rsidR="008012BF" w:rsidRDefault="00A8546C" w:rsidP="00A8546C">
      <w:proofErr w:type="gramStart"/>
      <w:r>
        <w:t>In order to</w:t>
      </w:r>
      <w:proofErr w:type="gramEnd"/>
      <w:r>
        <w:t xml:space="preserve"> achieve this Western Australia will produce an issues paper for consideration by Planning Ministers to improve community consultation processes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246664" w14:paraId="00965AB2" w14:textId="77777777" w:rsidTr="003074FE">
        <w:tc>
          <w:tcPr>
            <w:tcW w:w="5000" w:type="pct"/>
            <w:shd w:val="clear" w:color="auto" w:fill="CEDBE6" w:themeFill="background2"/>
            <w:hideMark/>
          </w:tcPr>
          <w:p w14:paraId="77C44CF8" w14:textId="3F2D8520" w:rsidR="00246664" w:rsidRPr="0083107E" w:rsidRDefault="00246664" w:rsidP="000B371D">
            <w:pPr>
              <w:pStyle w:val="Heading1"/>
              <w:spacing w:before="120"/>
              <w:rPr>
                <w:sz w:val="44"/>
                <w:szCs w:val="24"/>
                <w:lang w:eastAsia="en-US"/>
              </w:rPr>
            </w:pPr>
            <w:bookmarkStart w:id="34" w:name="_Toc160799717"/>
            <w:bookmarkStart w:id="35" w:name="_Toc164783288"/>
            <w:bookmarkStart w:id="36" w:name="_Toc164783937"/>
            <w:bookmarkStart w:id="37" w:name="_Toc167099175"/>
            <w:r w:rsidRPr="0083107E">
              <w:rPr>
                <w:sz w:val="44"/>
                <w:szCs w:val="24"/>
                <w:lang w:eastAsia="en-US"/>
              </w:rPr>
              <w:t>Measure 10</w:t>
            </w:r>
            <w:bookmarkEnd w:id="34"/>
            <w:bookmarkEnd w:id="35"/>
            <w:bookmarkEnd w:id="36"/>
            <w:bookmarkEnd w:id="37"/>
          </w:p>
          <w:p w14:paraId="36A8B0E0" w14:textId="1AFD3E20" w:rsidR="00246664" w:rsidRPr="00306516" w:rsidRDefault="00AB44A7" w:rsidP="00246664">
            <w:pPr>
              <w:pStyle w:val="BoxText"/>
              <w:rPr>
                <w:sz w:val="24"/>
                <w:szCs w:val="24"/>
              </w:rPr>
            </w:pPr>
            <w:r w:rsidRPr="00306516">
              <w:rPr>
                <w:sz w:val="24"/>
                <w:szCs w:val="24"/>
              </w:rPr>
              <w:t xml:space="preserve">All levels of government will ensure the efficient use of government land, including the identification of surplus land suitable for housing and the delivery of best practice projects to support housing supply, </w:t>
            </w:r>
            <w:proofErr w:type="gramStart"/>
            <w:r w:rsidRPr="00306516">
              <w:rPr>
                <w:sz w:val="24"/>
                <w:szCs w:val="24"/>
              </w:rPr>
              <w:t>diversity</w:t>
            </w:r>
            <w:proofErr w:type="gramEnd"/>
            <w:r w:rsidRPr="00306516">
              <w:rPr>
                <w:sz w:val="24"/>
                <w:szCs w:val="24"/>
              </w:rPr>
              <w:t xml:space="preserve"> and affordability.</w:t>
            </w:r>
          </w:p>
        </w:tc>
      </w:tr>
    </w:tbl>
    <w:p w14:paraId="2C374358" w14:textId="0E78F0AF" w:rsidR="00402518" w:rsidRPr="00246664" w:rsidRDefault="00A8546C" w:rsidP="00A8546C">
      <w:proofErr w:type="gramStart"/>
      <w:r>
        <w:t>In order to</w:t>
      </w:r>
      <w:proofErr w:type="gramEnd"/>
      <w:r>
        <w:t xml:space="preserve"> achieve this</w:t>
      </w:r>
      <w:r w:rsidR="00782BB9">
        <w:t>,</w:t>
      </w:r>
      <w:r>
        <w:t xml:space="preserve"> jurisdictions will share best practice examples for the redevelopment of government land in order to achieve broader whole of government priorities</w:t>
      </w:r>
      <w:r w:rsidR="001F123C">
        <w:t>.</w:t>
      </w:r>
    </w:p>
    <w:sectPr w:rsidR="00402518" w:rsidRPr="00246664" w:rsidSect="00717BC7">
      <w:footerReference w:type="default" r:id="rId21"/>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03FA" w14:textId="77777777" w:rsidR="00F1031F" w:rsidRDefault="00F1031F">
      <w:pPr>
        <w:spacing w:before="0" w:after="0"/>
      </w:pPr>
      <w:r>
        <w:separator/>
      </w:r>
    </w:p>
  </w:endnote>
  <w:endnote w:type="continuationSeparator" w:id="0">
    <w:p w14:paraId="0166773D" w14:textId="77777777" w:rsidR="00F1031F" w:rsidRDefault="00F1031F">
      <w:pPr>
        <w:spacing w:before="0" w:after="0"/>
      </w:pPr>
      <w:r>
        <w:continuationSeparator/>
      </w:r>
    </w:p>
  </w:endnote>
  <w:endnote w:type="continuationNotice" w:id="1">
    <w:p w14:paraId="3A6370D5" w14:textId="77777777" w:rsidR="00F1031F" w:rsidRDefault="00F103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AEB3" w14:textId="2F0950BB" w:rsidR="00C60B0F" w:rsidRPr="00C60B0F" w:rsidRDefault="00C60B0F" w:rsidP="005E7FBA">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1586C" w14:textId="312BB5AB" w:rsidR="00717BC7" w:rsidRPr="005E7FBA" w:rsidRDefault="00DC016F">
    <w:pPr>
      <w:pStyle w:val="Footer"/>
      <w:jc w:val="right"/>
      <w:rPr>
        <w:color w:val="auto"/>
      </w:rPr>
    </w:pPr>
    <w:sdt>
      <w:sdtPr>
        <w:id w:val="-1743094160"/>
        <w:docPartObj>
          <w:docPartGallery w:val="Page Numbers (Bottom of Page)"/>
          <w:docPartUnique/>
        </w:docPartObj>
      </w:sdtPr>
      <w:sdtEndPr>
        <w:rPr>
          <w:noProof/>
        </w:rPr>
      </w:sdtEndPr>
      <w:sdtContent/>
    </w:sdt>
    <w:r w:rsidR="00717BC7" w:rsidRPr="005E7FBA">
      <w:rPr>
        <w:noProof/>
        <w:color w:val="auto"/>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A73C" w14:textId="77777777" w:rsidR="00C60B0F" w:rsidRDefault="00C60B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3251"/>
      <w:docPartObj>
        <w:docPartGallery w:val="Page Numbers (Bottom of Page)"/>
        <w:docPartUnique/>
      </w:docPartObj>
    </w:sdtPr>
    <w:sdtEndPr>
      <w:rPr>
        <w:noProof/>
      </w:rPr>
    </w:sdtEndPr>
    <w:sdtContent>
      <w:p w14:paraId="54EDF4C0" w14:textId="686C0624" w:rsidR="00717BC7" w:rsidRDefault="005E7FBA" w:rsidP="005E7F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4DF6" w14:textId="77777777" w:rsidR="00F1031F" w:rsidRPr="00ED5A20" w:rsidRDefault="00F1031F" w:rsidP="000F6233">
      <w:pPr>
        <w:rPr>
          <w:color w:val="58B6C0" w:themeColor="accent2"/>
        </w:rPr>
      </w:pPr>
      <w:r w:rsidRPr="00ED5A20">
        <w:rPr>
          <w:color w:val="58B6C0" w:themeColor="accent2"/>
        </w:rPr>
        <w:separator/>
      </w:r>
    </w:p>
  </w:footnote>
  <w:footnote w:type="continuationSeparator" w:id="0">
    <w:p w14:paraId="14C51AE0" w14:textId="77777777" w:rsidR="00F1031F" w:rsidRPr="00B737EB" w:rsidRDefault="00F1031F">
      <w:pPr>
        <w:spacing w:before="0" w:after="0"/>
        <w:rPr>
          <w:color w:val="3494BA" w:themeColor="accent1"/>
        </w:rPr>
      </w:pPr>
      <w:r w:rsidRPr="00B737EB">
        <w:rPr>
          <w:color w:val="3494BA" w:themeColor="accent1"/>
        </w:rPr>
        <w:continuationSeparator/>
      </w:r>
    </w:p>
  </w:footnote>
  <w:footnote w:type="continuationNotice" w:id="1">
    <w:p w14:paraId="1424028F" w14:textId="77777777" w:rsidR="00F1031F" w:rsidRDefault="00F103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FA9" w14:textId="69FE93C0" w:rsidR="001A1DD8" w:rsidRDefault="00BC1EB7" w:rsidP="001A1DD8">
    <w:pPr>
      <w:pStyle w:val="HeaderEven"/>
    </w:pPr>
    <w:fldSimple w:instr="STYLEREF  Title  \* MERGEFORMAT">
      <w:r w:rsidR="00DC016F">
        <w:rPr>
          <w:noProof/>
        </w:rPr>
        <w:t xml:space="preserve">National Planning Reform Blueprint </w:t>
      </w:r>
      <w:r w:rsidR="00DC016F">
        <w:rPr>
          <w:noProof/>
        </w:rPr>
        <w:br/>
        <w:t>Planning, zoning and land release measures to improve housing supply</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25F8" w14:textId="750147DB" w:rsidR="00C60B0F" w:rsidRPr="00F60198" w:rsidRDefault="00BC1EB7" w:rsidP="00A12F62">
    <w:pPr>
      <w:pStyle w:val="HeaderOdd"/>
    </w:pPr>
    <w:fldSimple w:instr="STYLEREF  Title  \* MERGEFORMAT">
      <w:r w:rsidR="00DC016F">
        <w:rPr>
          <w:noProof/>
        </w:rPr>
        <w:t xml:space="preserve">National Planning Reform Blueprint </w:t>
      </w:r>
      <w:r w:rsidR="00DC016F">
        <w:rPr>
          <w:noProof/>
        </w:rPr>
        <w:br/>
        <w:t>Planning, zoning and land release measures to improve housing supply</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3AF2"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6B5224"/>
    <w:multiLevelType w:val="multilevel"/>
    <w:tmpl w:val="0B6C7E92"/>
    <w:name w:val="StandardBulletedList"/>
    <w:lvl w:ilvl="0">
      <w:start w:val="1"/>
      <w:numFmt w:val="bullet"/>
      <w:pStyle w:val="Bullet"/>
      <w:lvlText w:val="•"/>
      <w:lvlJc w:val="left"/>
      <w:pPr>
        <w:tabs>
          <w:tab w:val="num" w:pos="520"/>
        </w:tabs>
        <w:ind w:left="520" w:hanging="520"/>
      </w:pPr>
      <w:rPr>
        <w:rFonts w:ascii="Times New Roman" w:hAnsi="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8"/>
  </w:num>
  <w:num w:numId="12" w16cid:durableId="1542596121">
    <w:abstractNumId w:val="12"/>
  </w:num>
  <w:num w:numId="13" w16cid:durableId="920913257">
    <w:abstractNumId w:val="19"/>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7"/>
  </w:num>
  <w:num w:numId="20" w16cid:durableId="1948073332">
    <w:abstractNumId w:val="8"/>
  </w:num>
  <w:num w:numId="21" w16cid:durableId="207180920">
    <w:abstractNumId w:val="13"/>
  </w:num>
  <w:num w:numId="22" w16cid:durableId="1065297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615"/>
    <w:rsid w:val="000029B6"/>
    <w:rsid w:val="00011725"/>
    <w:rsid w:val="00012C62"/>
    <w:rsid w:val="0001396A"/>
    <w:rsid w:val="00016978"/>
    <w:rsid w:val="00016DA2"/>
    <w:rsid w:val="000224F3"/>
    <w:rsid w:val="00022D8A"/>
    <w:rsid w:val="0002360E"/>
    <w:rsid w:val="0002544D"/>
    <w:rsid w:val="000304EA"/>
    <w:rsid w:val="00032682"/>
    <w:rsid w:val="0003374B"/>
    <w:rsid w:val="0003540B"/>
    <w:rsid w:val="0004274D"/>
    <w:rsid w:val="00043348"/>
    <w:rsid w:val="0004483F"/>
    <w:rsid w:val="00046CB4"/>
    <w:rsid w:val="0005138B"/>
    <w:rsid w:val="000522B7"/>
    <w:rsid w:val="00053717"/>
    <w:rsid w:val="00056880"/>
    <w:rsid w:val="0005711B"/>
    <w:rsid w:val="0006334D"/>
    <w:rsid w:val="000675D1"/>
    <w:rsid w:val="00067B00"/>
    <w:rsid w:val="00070FD9"/>
    <w:rsid w:val="00073521"/>
    <w:rsid w:val="000775DE"/>
    <w:rsid w:val="000854ED"/>
    <w:rsid w:val="00087FAF"/>
    <w:rsid w:val="000923E8"/>
    <w:rsid w:val="000A092C"/>
    <w:rsid w:val="000A3675"/>
    <w:rsid w:val="000A511E"/>
    <w:rsid w:val="000A6131"/>
    <w:rsid w:val="000B093F"/>
    <w:rsid w:val="000B14A3"/>
    <w:rsid w:val="000B302A"/>
    <w:rsid w:val="000B371D"/>
    <w:rsid w:val="000B7519"/>
    <w:rsid w:val="000C0053"/>
    <w:rsid w:val="000C0FBD"/>
    <w:rsid w:val="000C2052"/>
    <w:rsid w:val="000C3BE4"/>
    <w:rsid w:val="000C571D"/>
    <w:rsid w:val="000C5F40"/>
    <w:rsid w:val="000C69B7"/>
    <w:rsid w:val="000D779E"/>
    <w:rsid w:val="000E0B74"/>
    <w:rsid w:val="000E15AA"/>
    <w:rsid w:val="000E20A0"/>
    <w:rsid w:val="000E727D"/>
    <w:rsid w:val="000E7901"/>
    <w:rsid w:val="000F19AB"/>
    <w:rsid w:val="000F386F"/>
    <w:rsid w:val="000F3D96"/>
    <w:rsid w:val="000F4AD2"/>
    <w:rsid w:val="000F6233"/>
    <w:rsid w:val="00100A5D"/>
    <w:rsid w:val="00100C26"/>
    <w:rsid w:val="0010429F"/>
    <w:rsid w:val="00105666"/>
    <w:rsid w:val="001076F0"/>
    <w:rsid w:val="00113777"/>
    <w:rsid w:val="0011578D"/>
    <w:rsid w:val="001175B8"/>
    <w:rsid w:val="00122B5A"/>
    <w:rsid w:val="00125C95"/>
    <w:rsid w:val="0013033C"/>
    <w:rsid w:val="00131DC3"/>
    <w:rsid w:val="0013293D"/>
    <w:rsid w:val="00135E4C"/>
    <w:rsid w:val="0013604D"/>
    <w:rsid w:val="001373F5"/>
    <w:rsid w:val="00141CA8"/>
    <w:rsid w:val="00142A35"/>
    <w:rsid w:val="001454C7"/>
    <w:rsid w:val="001515FD"/>
    <w:rsid w:val="00152F7B"/>
    <w:rsid w:val="00156AF9"/>
    <w:rsid w:val="001574C0"/>
    <w:rsid w:val="001601B7"/>
    <w:rsid w:val="001606CF"/>
    <w:rsid w:val="0016128D"/>
    <w:rsid w:val="001622C5"/>
    <w:rsid w:val="00163774"/>
    <w:rsid w:val="00164599"/>
    <w:rsid w:val="00165C2A"/>
    <w:rsid w:val="00166CB7"/>
    <w:rsid w:val="0017089D"/>
    <w:rsid w:val="00172E76"/>
    <w:rsid w:val="001764DD"/>
    <w:rsid w:val="00176CE2"/>
    <w:rsid w:val="001805A8"/>
    <w:rsid w:val="00180A8A"/>
    <w:rsid w:val="0019033B"/>
    <w:rsid w:val="0019101A"/>
    <w:rsid w:val="00191CFE"/>
    <w:rsid w:val="00195C8E"/>
    <w:rsid w:val="00195CBF"/>
    <w:rsid w:val="001972D2"/>
    <w:rsid w:val="00197B34"/>
    <w:rsid w:val="001A1DD8"/>
    <w:rsid w:val="001A2968"/>
    <w:rsid w:val="001A34A4"/>
    <w:rsid w:val="001A3E33"/>
    <w:rsid w:val="001B1807"/>
    <w:rsid w:val="001C358D"/>
    <w:rsid w:val="001C40A0"/>
    <w:rsid w:val="001D7083"/>
    <w:rsid w:val="001E29C2"/>
    <w:rsid w:val="001E2ABA"/>
    <w:rsid w:val="001E3579"/>
    <w:rsid w:val="001E5C30"/>
    <w:rsid w:val="001F123C"/>
    <w:rsid w:val="001F1B27"/>
    <w:rsid w:val="001F1B7B"/>
    <w:rsid w:val="001F2B54"/>
    <w:rsid w:val="001F3BC2"/>
    <w:rsid w:val="00202CD0"/>
    <w:rsid w:val="00204789"/>
    <w:rsid w:val="00206FF8"/>
    <w:rsid w:val="00207D20"/>
    <w:rsid w:val="00212A5F"/>
    <w:rsid w:val="00212D00"/>
    <w:rsid w:val="00213337"/>
    <w:rsid w:val="00214D1B"/>
    <w:rsid w:val="00214DE0"/>
    <w:rsid w:val="00215944"/>
    <w:rsid w:val="002201AB"/>
    <w:rsid w:val="00220AEE"/>
    <w:rsid w:val="00221EC0"/>
    <w:rsid w:val="00222088"/>
    <w:rsid w:val="00231049"/>
    <w:rsid w:val="002314D2"/>
    <w:rsid w:val="0023305C"/>
    <w:rsid w:val="002332B1"/>
    <w:rsid w:val="00234634"/>
    <w:rsid w:val="00234E09"/>
    <w:rsid w:val="002352FA"/>
    <w:rsid w:val="00241881"/>
    <w:rsid w:val="0024294C"/>
    <w:rsid w:val="002437D1"/>
    <w:rsid w:val="00245649"/>
    <w:rsid w:val="002461BA"/>
    <w:rsid w:val="00246664"/>
    <w:rsid w:val="002543D8"/>
    <w:rsid w:val="0025652F"/>
    <w:rsid w:val="002608F1"/>
    <w:rsid w:val="00263B6C"/>
    <w:rsid w:val="002640E5"/>
    <w:rsid w:val="00266A49"/>
    <w:rsid w:val="00272939"/>
    <w:rsid w:val="00275460"/>
    <w:rsid w:val="0027590B"/>
    <w:rsid w:val="00275ECE"/>
    <w:rsid w:val="002772E0"/>
    <w:rsid w:val="002804B4"/>
    <w:rsid w:val="00285969"/>
    <w:rsid w:val="0029428E"/>
    <w:rsid w:val="00295B30"/>
    <w:rsid w:val="00296BB1"/>
    <w:rsid w:val="002974B5"/>
    <w:rsid w:val="002A11FB"/>
    <w:rsid w:val="002A25B8"/>
    <w:rsid w:val="002A5F9F"/>
    <w:rsid w:val="002A74EF"/>
    <w:rsid w:val="002A7A31"/>
    <w:rsid w:val="002B3829"/>
    <w:rsid w:val="002B3FF4"/>
    <w:rsid w:val="002B5184"/>
    <w:rsid w:val="002C013D"/>
    <w:rsid w:val="002C22EF"/>
    <w:rsid w:val="002C3172"/>
    <w:rsid w:val="002C44AA"/>
    <w:rsid w:val="002C68BB"/>
    <w:rsid w:val="002C6AEA"/>
    <w:rsid w:val="002C7937"/>
    <w:rsid w:val="002E1FB6"/>
    <w:rsid w:val="002E2026"/>
    <w:rsid w:val="002E454C"/>
    <w:rsid w:val="002E6460"/>
    <w:rsid w:val="002F26A5"/>
    <w:rsid w:val="002F617F"/>
    <w:rsid w:val="002F7B4D"/>
    <w:rsid w:val="00300109"/>
    <w:rsid w:val="00300DB4"/>
    <w:rsid w:val="00301755"/>
    <w:rsid w:val="00306516"/>
    <w:rsid w:val="0030665E"/>
    <w:rsid w:val="00306894"/>
    <w:rsid w:val="003074FE"/>
    <w:rsid w:val="003122F4"/>
    <w:rsid w:val="00313820"/>
    <w:rsid w:val="003160E8"/>
    <w:rsid w:val="00321AD4"/>
    <w:rsid w:val="00322481"/>
    <w:rsid w:val="0032289F"/>
    <w:rsid w:val="00325593"/>
    <w:rsid w:val="003268D5"/>
    <w:rsid w:val="00334176"/>
    <w:rsid w:val="00334F1B"/>
    <w:rsid w:val="0033755F"/>
    <w:rsid w:val="003407AC"/>
    <w:rsid w:val="003413AA"/>
    <w:rsid w:val="0034174C"/>
    <w:rsid w:val="003448F6"/>
    <w:rsid w:val="003453AC"/>
    <w:rsid w:val="00346535"/>
    <w:rsid w:val="00346BB3"/>
    <w:rsid w:val="00350388"/>
    <w:rsid w:val="00350759"/>
    <w:rsid w:val="00351578"/>
    <w:rsid w:val="00353602"/>
    <w:rsid w:val="00354717"/>
    <w:rsid w:val="00354D27"/>
    <w:rsid w:val="0035738A"/>
    <w:rsid w:val="003616CC"/>
    <w:rsid w:val="00362357"/>
    <w:rsid w:val="00364EB3"/>
    <w:rsid w:val="00365BB1"/>
    <w:rsid w:val="003744B0"/>
    <w:rsid w:val="00375655"/>
    <w:rsid w:val="00375FC2"/>
    <w:rsid w:val="003777BA"/>
    <w:rsid w:val="003858A6"/>
    <w:rsid w:val="0039150C"/>
    <w:rsid w:val="003925C6"/>
    <w:rsid w:val="00392DCC"/>
    <w:rsid w:val="003960FA"/>
    <w:rsid w:val="003962F8"/>
    <w:rsid w:val="00397BB5"/>
    <w:rsid w:val="003A53CB"/>
    <w:rsid w:val="003A5B36"/>
    <w:rsid w:val="003A7DDA"/>
    <w:rsid w:val="003B19B6"/>
    <w:rsid w:val="003B5264"/>
    <w:rsid w:val="003B7A01"/>
    <w:rsid w:val="003C24B4"/>
    <w:rsid w:val="003C27A1"/>
    <w:rsid w:val="003C6534"/>
    <w:rsid w:val="003C6B28"/>
    <w:rsid w:val="003E20D6"/>
    <w:rsid w:val="003E4D87"/>
    <w:rsid w:val="003F165E"/>
    <w:rsid w:val="00401082"/>
    <w:rsid w:val="00402518"/>
    <w:rsid w:val="00403D6D"/>
    <w:rsid w:val="004043AE"/>
    <w:rsid w:val="00410819"/>
    <w:rsid w:val="00412369"/>
    <w:rsid w:val="00415780"/>
    <w:rsid w:val="00416762"/>
    <w:rsid w:val="00416E55"/>
    <w:rsid w:val="00420E2F"/>
    <w:rsid w:val="00421955"/>
    <w:rsid w:val="004233EB"/>
    <w:rsid w:val="00423FCC"/>
    <w:rsid w:val="0042518A"/>
    <w:rsid w:val="004270CF"/>
    <w:rsid w:val="004276A0"/>
    <w:rsid w:val="00432F59"/>
    <w:rsid w:val="00437EE9"/>
    <w:rsid w:val="00440B1E"/>
    <w:rsid w:val="004417D6"/>
    <w:rsid w:val="00444A63"/>
    <w:rsid w:val="00444E8F"/>
    <w:rsid w:val="00445265"/>
    <w:rsid w:val="004464CF"/>
    <w:rsid w:val="0045411D"/>
    <w:rsid w:val="004559CE"/>
    <w:rsid w:val="00460E1A"/>
    <w:rsid w:val="00463DF8"/>
    <w:rsid w:val="004701DE"/>
    <w:rsid w:val="0047109E"/>
    <w:rsid w:val="004728D7"/>
    <w:rsid w:val="0047355F"/>
    <w:rsid w:val="004741D1"/>
    <w:rsid w:val="00475085"/>
    <w:rsid w:val="00475E21"/>
    <w:rsid w:val="00476CF6"/>
    <w:rsid w:val="00477AA8"/>
    <w:rsid w:val="0048037B"/>
    <w:rsid w:val="00480D5E"/>
    <w:rsid w:val="00490E7D"/>
    <w:rsid w:val="00492FCB"/>
    <w:rsid w:val="00493617"/>
    <w:rsid w:val="00495367"/>
    <w:rsid w:val="00495CDD"/>
    <w:rsid w:val="00497F86"/>
    <w:rsid w:val="004A0F11"/>
    <w:rsid w:val="004A3EAA"/>
    <w:rsid w:val="004A7D97"/>
    <w:rsid w:val="004B063A"/>
    <w:rsid w:val="004B5133"/>
    <w:rsid w:val="004C0E81"/>
    <w:rsid w:val="004C188B"/>
    <w:rsid w:val="004C2902"/>
    <w:rsid w:val="004C41B6"/>
    <w:rsid w:val="004C4353"/>
    <w:rsid w:val="004D1D6B"/>
    <w:rsid w:val="004D4913"/>
    <w:rsid w:val="004D6E37"/>
    <w:rsid w:val="004D7DC3"/>
    <w:rsid w:val="004E00EA"/>
    <w:rsid w:val="004E1700"/>
    <w:rsid w:val="004E1C08"/>
    <w:rsid w:val="004E247F"/>
    <w:rsid w:val="004E66EF"/>
    <w:rsid w:val="004E6B14"/>
    <w:rsid w:val="004F122E"/>
    <w:rsid w:val="004F12D9"/>
    <w:rsid w:val="004F4B92"/>
    <w:rsid w:val="00501B6C"/>
    <w:rsid w:val="00502A9D"/>
    <w:rsid w:val="00502D6F"/>
    <w:rsid w:val="00506D14"/>
    <w:rsid w:val="00512CA8"/>
    <w:rsid w:val="0051502B"/>
    <w:rsid w:val="00516785"/>
    <w:rsid w:val="00517C93"/>
    <w:rsid w:val="00521F49"/>
    <w:rsid w:val="005235F6"/>
    <w:rsid w:val="0052419D"/>
    <w:rsid w:val="00525BC5"/>
    <w:rsid w:val="005263B9"/>
    <w:rsid w:val="005301F8"/>
    <w:rsid w:val="005312FC"/>
    <w:rsid w:val="0053208F"/>
    <w:rsid w:val="00532C6D"/>
    <w:rsid w:val="0053546A"/>
    <w:rsid w:val="0053569E"/>
    <w:rsid w:val="00535E0E"/>
    <w:rsid w:val="0053603D"/>
    <w:rsid w:val="0053742A"/>
    <w:rsid w:val="00537C85"/>
    <w:rsid w:val="00541D29"/>
    <w:rsid w:val="00543F23"/>
    <w:rsid w:val="005455D8"/>
    <w:rsid w:val="00550CDF"/>
    <w:rsid w:val="0055156B"/>
    <w:rsid w:val="005618BA"/>
    <w:rsid w:val="0056288B"/>
    <w:rsid w:val="00562F17"/>
    <w:rsid w:val="0056471F"/>
    <w:rsid w:val="00565232"/>
    <w:rsid w:val="0056582C"/>
    <w:rsid w:val="0056783D"/>
    <w:rsid w:val="00574FB2"/>
    <w:rsid w:val="00575796"/>
    <w:rsid w:val="00577281"/>
    <w:rsid w:val="005776B2"/>
    <w:rsid w:val="00582567"/>
    <w:rsid w:val="00583308"/>
    <w:rsid w:val="00586605"/>
    <w:rsid w:val="005868DE"/>
    <w:rsid w:val="00586998"/>
    <w:rsid w:val="005877AC"/>
    <w:rsid w:val="00593A8D"/>
    <w:rsid w:val="005966B7"/>
    <w:rsid w:val="005A16E8"/>
    <w:rsid w:val="005A3CCF"/>
    <w:rsid w:val="005A4C84"/>
    <w:rsid w:val="005B4132"/>
    <w:rsid w:val="005B41FD"/>
    <w:rsid w:val="005B5E2A"/>
    <w:rsid w:val="005B6FC8"/>
    <w:rsid w:val="005B7CF6"/>
    <w:rsid w:val="005C02A4"/>
    <w:rsid w:val="005C20D2"/>
    <w:rsid w:val="005C32FE"/>
    <w:rsid w:val="005C3FC5"/>
    <w:rsid w:val="005C403F"/>
    <w:rsid w:val="005C4746"/>
    <w:rsid w:val="005C503A"/>
    <w:rsid w:val="005C5420"/>
    <w:rsid w:val="005C5571"/>
    <w:rsid w:val="005D0001"/>
    <w:rsid w:val="005D024A"/>
    <w:rsid w:val="005D2124"/>
    <w:rsid w:val="005D2780"/>
    <w:rsid w:val="005D34A8"/>
    <w:rsid w:val="005D4FD4"/>
    <w:rsid w:val="005D6D64"/>
    <w:rsid w:val="005E0422"/>
    <w:rsid w:val="005E1E06"/>
    <w:rsid w:val="005E46BB"/>
    <w:rsid w:val="005E4992"/>
    <w:rsid w:val="005E7FBA"/>
    <w:rsid w:val="005F3812"/>
    <w:rsid w:val="005F673A"/>
    <w:rsid w:val="005F6A0F"/>
    <w:rsid w:val="00600383"/>
    <w:rsid w:val="00601650"/>
    <w:rsid w:val="00604EEF"/>
    <w:rsid w:val="006054FF"/>
    <w:rsid w:val="00605AFD"/>
    <w:rsid w:val="00606D60"/>
    <w:rsid w:val="00611F76"/>
    <w:rsid w:val="006123D4"/>
    <w:rsid w:val="0061445B"/>
    <w:rsid w:val="00622857"/>
    <w:rsid w:val="00624C4B"/>
    <w:rsid w:val="006316E6"/>
    <w:rsid w:val="00632416"/>
    <w:rsid w:val="00635D86"/>
    <w:rsid w:val="00641505"/>
    <w:rsid w:val="00644269"/>
    <w:rsid w:val="00645106"/>
    <w:rsid w:val="006469CC"/>
    <w:rsid w:val="00647692"/>
    <w:rsid w:val="00656BD8"/>
    <w:rsid w:val="0065741A"/>
    <w:rsid w:val="00657CCA"/>
    <w:rsid w:val="00657DF9"/>
    <w:rsid w:val="00660064"/>
    <w:rsid w:val="006605BE"/>
    <w:rsid w:val="00661E2A"/>
    <w:rsid w:val="00666C7A"/>
    <w:rsid w:val="00666E60"/>
    <w:rsid w:val="0067047B"/>
    <w:rsid w:val="00670FAC"/>
    <w:rsid w:val="00671469"/>
    <w:rsid w:val="00672039"/>
    <w:rsid w:val="00672B5D"/>
    <w:rsid w:val="0067622C"/>
    <w:rsid w:val="00681A49"/>
    <w:rsid w:val="00682249"/>
    <w:rsid w:val="00684B85"/>
    <w:rsid w:val="00685780"/>
    <w:rsid w:val="00685CF7"/>
    <w:rsid w:val="00686165"/>
    <w:rsid w:val="00687792"/>
    <w:rsid w:val="00690F30"/>
    <w:rsid w:val="00691CB5"/>
    <w:rsid w:val="006923DF"/>
    <w:rsid w:val="006951EE"/>
    <w:rsid w:val="006A0E0F"/>
    <w:rsid w:val="006A37F5"/>
    <w:rsid w:val="006A5A22"/>
    <w:rsid w:val="006B14BF"/>
    <w:rsid w:val="006B16F6"/>
    <w:rsid w:val="006B2D9B"/>
    <w:rsid w:val="006B38FF"/>
    <w:rsid w:val="006B5780"/>
    <w:rsid w:val="006B6E92"/>
    <w:rsid w:val="006C0C2B"/>
    <w:rsid w:val="006C1892"/>
    <w:rsid w:val="006C3B2F"/>
    <w:rsid w:val="006C5B73"/>
    <w:rsid w:val="006C645D"/>
    <w:rsid w:val="006C69A7"/>
    <w:rsid w:val="006D23C0"/>
    <w:rsid w:val="006E2D2A"/>
    <w:rsid w:val="006E38BA"/>
    <w:rsid w:val="006E3CC3"/>
    <w:rsid w:val="006E7738"/>
    <w:rsid w:val="006F11E8"/>
    <w:rsid w:val="006F274D"/>
    <w:rsid w:val="006F7A86"/>
    <w:rsid w:val="00706E8E"/>
    <w:rsid w:val="00706ECC"/>
    <w:rsid w:val="00714782"/>
    <w:rsid w:val="00717BC7"/>
    <w:rsid w:val="00722B53"/>
    <w:rsid w:val="007346BF"/>
    <w:rsid w:val="00742366"/>
    <w:rsid w:val="00744484"/>
    <w:rsid w:val="007509DD"/>
    <w:rsid w:val="00754C9F"/>
    <w:rsid w:val="00755641"/>
    <w:rsid w:val="00763474"/>
    <w:rsid w:val="0076445D"/>
    <w:rsid w:val="007645CB"/>
    <w:rsid w:val="00766184"/>
    <w:rsid w:val="00767B21"/>
    <w:rsid w:val="00770B44"/>
    <w:rsid w:val="0077188B"/>
    <w:rsid w:val="00772C3E"/>
    <w:rsid w:val="00774C8F"/>
    <w:rsid w:val="00777817"/>
    <w:rsid w:val="0078257B"/>
    <w:rsid w:val="00782BB9"/>
    <w:rsid w:val="00783D75"/>
    <w:rsid w:val="00784C0A"/>
    <w:rsid w:val="00790447"/>
    <w:rsid w:val="00790E26"/>
    <w:rsid w:val="00793472"/>
    <w:rsid w:val="00794B40"/>
    <w:rsid w:val="00795B9A"/>
    <w:rsid w:val="0079698F"/>
    <w:rsid w:val="00796E26"/>
    <w:rsid w:val="007A04A4"/>
    <w:rsid w:val="007A04D5"/>
    <w:rsid w:val="007A05D7"/>
    <w:rsid w:val="007A1079"/>
    <w:rsid w:val="007A1ABC"/>
    <w:rsid w:val="007B2677"/>
    <w:rsid w:val="007B5238"/>
    <w:rsid w:val="007B5406"/>
    <w:rsid w:val="007B5542"/>
    <w:rsid w:val="007B5C7F"/>
    <w:rsid w:val="007B76AB"/>
    <w:rsid w:val="007D0DA3"/>
    <w:rsid w:val="007D478F"/>
    <w:rsid w:val="007D5179"/>
    <w:rsid w:val="007D592B"/>
    <w:rsid w:val="007D5AA6"/>
    <w:rsid w:val="007D7A91"/>
    <w:rsid w:val="007D7ACE"/>
    <w:rsid w:val="007E196F"/>
    <w:rsid w:val="007E5106"/>
    <w:rsid w:val="007E6456"/>
    <w:rsid w:val="007F143B"/>
    <w:rsid w:val="007F176B"/>
    <w:rsid w:val="007F2DB4"/>
    <w:rsid w:val="007F3504"/>
    <w:rsid w:val="007F62A3"/>
    <w:rsid w:val="007F6F02"/>
    <w:rsid w:val="007F7ECE"/>
    <w:rsid w:val="008012BF"/>
    <w:rsid w:val="0080294C"/>
    <w:rsid w:val="0080420C"/>
    <w:rsid w:val="008073F0"/>
    <w:rsid w:val="00811283"/>
    <w:rsid w:val="00811943"/>
    <w:rsid w:val="00813990"/>
    <w:rsid w:val="00815C81"/>
    <w:rsid w:val="00823F4F"/>
    <w:rsid w:val="008274E8"/>
    <w:rsid w:val="00830038"/>
    <w:rsid w:val="0083107E"/>
    <w:rsid w:val="008311B8"/>
    <w:rsid w:val="00832F11"/>
    <w:rsid w:val="00833B40"/>
    <w:rsid w:val="00834243"/>
    <w:rsid w:val="0083433A"/>
    <w:rsid w:val="008374C4"/>
    <w:rsid w:val="00837ADC"/>
    <w:rsid w:val="00840A01"/>
    <w:rsid w:val="00844D9D"/>
    <w:rsid w:val="008479F7"/>
    <w:rsid w:val="008504BE"/>
    <w:rsid w:val="00857969"/>
    <w:rsid w:val="00863441"/>
    <w:rsid w:val="00863778"/>
    <w:rsid w:val="008674A4"/>
    <w:rsid w:val="00870473"/>
    <w:rsid w:val="00870C54"/>
    <w:rsid w:val="008720E8"/>
    <w:rsid w:val="00882245"/>
    <w:rsid w:val="00882CC4"/>
    <w:rsid w:val="008838B6"/>
    <w:rsid w:val="008844AC"/>
    <w:rsid w:val="00884926"/>
    <w:rsid w:val="00885726"/>
    <w:rsid w:val="0088666B"/>
    <w:rsid w:val="00886F94"/>
    <w:rsid w:val="00897F46"/>
    <w:rsid w:val="008A0061"/>
    <w:rsid w:val="008A0865"/>
    <w:rsid w:val="008A1B2D"/>
    <w:rsid w:val="008A2C11"/>
    <w:rsid w:val="008A2F8B"/>
    <w:rsid w:val="008B5956"/>
    <w:rsid w:val="008B6425"/>
    <w:rsid w:val="008B7C6B"/>
    <w:rsid w:val="008C4B22"/>
    <w:rsid w:val="008C7F71"/>
    <w:rsid w:val="008D2B28"/>
    <w:rsid w:val="008D339F"/>
    <w:rsid w:val="008D43B4"/>
    <w:rsid w:val="008E09CB"/>
    <w:rsid w:val="008E3788"/>
    <w:rsid w:val="008E6292"/>
    <w:rsid w:val="008F0AE5"/>
    <w:rsid w:val="008F23EB"/>
    <w:rsid w:val="008F48FF"/>
    <w:rsid w:val="00906E61"/>
    <w:rsid w:val="00906FA1"/>
    <w:rsid w:val="00911CE3"/>
    <w:rsid w:val="00916DA4"/>
    <w:rsid w:val="009177CF"/>
    <w:rsid w:val="00917E28"/>
    <w:rsid w:val="009250E6"/>
    <w:rsid w:val="00925AA5"/>
    <w:rsid w:val="00927D4F"/>
    <w:rsid w:val="00931111"/>
    <w:rsid w:val="00934DE7"/>
    <w:rsid w:val="0093540D"/>
    <w:rsid w:val="0094019D"/>
    <w:rsid w:val="00940FF1"/>
    <w:rsid w:val="00942C11"/>
    <w:rsid w:val="0094351F"/>
    <w:rsid w:val="0095074A"/>
    <w:rsid w:val="009525DF"/>
    <w:rsid w:val="009547F8"/>
    <w:rsid w:val="0095754B"/>
    <w:rsid w:val="009607DB"/>
    <w:rsid w:val="009622DB"/>
    <w:rsid w:val="00962ACF"/>
    <w:rsid w:val="00971AAC"/>
    <w:rsid w:val="009729D4"/>
    <w:rsid w:val="009766AE"/>
    <w:rsid w:val="009777A4"/>
    <w:rsid w:val="0098003D"/>
    <w:rsid w:val="00980759"/>
    <w:rsid w:val="009817B0"/>
    <w:rsid w:val="009821CE"/>
    <w:rsid w:val="00984E88"/>
    <w:rsid w:val="00991981"/>
    <w:rsid w:val="00995FAC"/>
    <w:rsid w:val="009A1627"/>
    <w:rsid w:val="009A277C"/>
    <w:rsid w:val="009A658F"/>
    <w:rsid w:val="009A65CD"/>
    <w:rsid w:val="009A6D7F"/>
    <w:rsid w:val="009B088F"/>
    <w:rsid w:val="009B2249"/>
    <w:rsid w:val="009B4656"/>
    <w:rsid w:val="009B72D0"/>
    <w:rsid w:val="009C4692"/>
    <w:rsid w:val="009C6F99"/>
    <w:rsid w:val="009C7A22"/>
    <w:rsid w:val="009D102C"/>
    <w:rsid w:val="009D2CFF"/>
    <w:rsid w:val="009E04E4"/>
    <w:rsid w:val="009E0CA5"/>
    <w:rsid w:val="009E171B"/>
    <w:rsid w:val="009E1AEA"/>
    <w:rsid w:val="009E31C1"/>
    <w:rsid w:val="009E379C"/>
    <w:rsid w:val="009F7FA5"/>
    <w:rsid w:val="00A00436"/>
    <w:rsid w:val="00A015E8"/>
    <w:rsid w:val="00A044EA"/>
    <w:rsid w:val="00A05633"/>
    <w:rsid w:val="00A06872"/>
    <w:rsid w:val="00A07D47"/>
    <w:rsid w:val="00A10593"/>
    <w:rsid w:val="00A12F62"/>
    <w:rsid w:val="00A14FE9"/>
    <w:rsid w:val="00A161A7"/>
    <w:rsid w:val="00A2079C"/>
    <w:rsid w:val="00A2203A"/>
    <w:rsid w:val="00A2236A"/>
    <w:rsid w:val="00A24911"/>
    <w:rsid w:val="00A26E37"/>
    <w:rsid w:val="00A303A7"/>
    <w:rsid w:val="00A34B6D"/>
    <w:rsid w:val="00A3749B"/>
    <w:rsid w:val="00A37D87"/>
    <w:rsid w:val="00A4370B"/>
    <w:rsid w:val="00A504C6"/>
    <w:rsid w:val="00A50D88"/>
    <w:rsid w:val="00A52D3C"/>
    <w:rsid w:val="00A54654"/>
    <w:rsid w:val="00A56923"/>
    <w:rsid w:val="00A625D6"/>
    <w:rsid w:val="00A62E42"/>
    <w:rsid w:val="00A64A71"/>
    <w:rsid w:val="00A65143"/>
    <w:rsid w:val="00A65CD3"/>
    <w:rsid w:val="00A6627F"/>
    <w:rsid w:val="00A71E13"/>
    <w:rsid w:val="00A722C6"/>
    <w:rsid w:val="00A7236C"/>
    <w:rsid w:val="00A72960"/>
    <w:rsid w:val="00A72D8F"/>
    <w:rsid w:val="00A74815"/>
    <w:rsid w:val="00A75FBE"/>
    <w:rsid w:val="00A76BC8"/>
    <w:rsid w:val="00A82AD1"/>
    <w:rsid w:val="00A837BC"/>
    <w:rsid w:val="00A850E7"/>
    <w:rsid w:val="00A8546C"/>
    <w:rsid w:val="00A93401"/>
    <w:rsid w:val="00A941E7"/>
    <w:rsid w:val="00A963AD"/>
    <w:rsid w:val="00A96E92"/>
    <w:rsid w:val="00A97160"/>
    <w:rsid w:val="00AA13D0"/>
    <w:rsid w:val="00AB00D8"/>
    <w:rsid w:val="00AB2766"/>
    <w:rsid w:val="00AB2D4F"/>
    <w:rsid w:val="00AB3DEE"/>
    <w:rsid w:val="00AB44A7"/>
    <w:rsid w:val="00AB738A"/>
    <w:rsid w:val="00AB7F2E"/>
    <w:rsid w:val="00AC03D0"/>
    <w:rsid w:val="00AC3196"/>
    <w:rsid w:val="00AC4065"/>
    <w:rsid w:val="00AC4625"/>
    <w:rsid w:val="00AD02FE"/>
    <w:rsid w:val="00AD1F22"/>
    <w:rsid w:val="00AE2471"/>
    <w:rsid w:val="00AE2F90"/>
    <w:rsid w:val="00AE47C7"/>
    <w:rsid w:val="00AE5323"/>
    <w:rsid w:val="00AE7780"/>
    <w:rsid w:val="00AE7A32"/>
    <w:rsid w:val="00AF03AD"/>
    <w:rsid w:val="00B017FE"/>
    <w:rsid w:val="00B03DD6"/>
    <w:rsid w:val="00B044DD"/>
    <w:rsid w:val="00B07BA7"/>
    <w:rsid w:val="00B214C6"/>
    <w:rsid w:val="00B3572F"/>
    <w:rsid w:val="00B3583B"/>
    <w:rsid w:val="00B37A8F"/>
    <w:rsid w:val="00B4423E"/>
    <w:rsid w:val="00B47D42"/>
    <w:rsid w:val="00B526D3"/>
    <w:rsid w:val="00B534B5"/>
    <w:rsid w:val="00B53C6B"/>
    <w:rsid w:val="00B55B04"/>
    <w:rsid w:val="00B56816"/>
    <w:rsid w:val="00B56C80"/>
    <w:rsid w:val="00B60D1F"/>
    <w:rsid w:val="00B6386E"/>
    <w:rsid w:val="00B65347"/>
    <w:rsid w:val="00B65DE1"/>
    <w:rsid w:val="00B66783"/>
    <w:rsid w:val="00B72AF0"/>
    <w:rsid w:val="00B7339C"/>
    <w:rsid w:val="00B737EB"/>
    <w:rsid w:val="00B775EE"/>
    <w:rsid w:val="00B80A81"/>
    <w:rsid w:val="00B82F9F"/>
    <w:rsid w:val="00B83B48"/>
    <w:rsid w:val="00B8550D"/>
    <w:rsid w:val="00B87927"/>
    <w:rsid w:val="00B931D6"/>
    <w:rsid w:val="00B93350"/>
    <w:rsid w:val="00B97308"/>
    <w:rsid w:val="00BA68D1"/>
    <w:rsid w:val="00BB00F3"/>
    <w:rsid w:val="00BB093D"/>
    <w:rsid w:val="00BB5688"/>
    <w:rsid w:val="00BB6C88"/>
    <w:rsid w:val="00BB71DA"/>
    <w:rsid w:val="00BC1210"/>
    <w:rsid w:val="00BC1EB7"/>
    <w:rsid w:val="00BC4922"/>
    <w:rsid w:val="00BC5337"/>
    <w:rsid w:val="00BC6E69"/>
    <w:rsid w:val="00BD26AA"/>
    <w:rsid w:val="00BD2B12"/>
    <w:rsid w:val="00BD454F"/>
    <w:rsid w:val="00BD5FBB"/>
    <w:rsid w:val="00BD63FE"/>
    <w:rsid w:val="00BD659D"/>
    <w:rsid w:val="00BD73C8"/>
    <w:rsid w:val="00BE404F"/>
    <w:rsid w:val="00BE62F5"/>
    <w:rsid w:val="00BE7EA5"/>
    <w:rsid w:val="00BF1178"/>
    <w:rsid w:val="00BF3E4F"/>
    <w:rsid w:val="00BF72D9"/>
    <w:rsid w:val="00BF7A23"/>
    <w:rsid w:val="00C01CD8"/>
    <w:rsid w:val="00C01DCC"/>
    <w:rsid w:val="00C02B6A"/>
    <w:rsid w:val="00C10898"/>
    <w:rsid w:val="00C12B3F"/>
    <w:rsid w:val="00C15020"/>
    <w:rsid w:val="00C15818"/>
    <w:rsid w:val="00C160EE"/>
    <w:rsid w:val="00C202B3"/>
    <w:rsid w:val="00C20965"/>
    <w:rsid w:val="00C21EE0"/>
    <w:rsid w:val="00C26EE8"/>
    <w:rsid w:val="00C30297"/>
    <w:rsid w:val="00C3085E"/>
    <w:rsid w:val="00C40C8B"/>
    <w:rsid w:val="00C44802"/>
    <w:rsid w:val="00C4691A"/>
    <w:rsid w:val="00C50B48"/>
    <w:rsid w:val="00C555AC"/>
    <w:rsid w:val="00C564D6"/>
    <w:rsid w:val="00C60B0F"/>
    <w:rsid w:val="00C65E71"/>
    <w:rsid w:val="00C67263"/>
    <w:rsid w:val="00C70013"/>
    <w:rsid w:val="00C713ED"/>
    <w:rsid w:val="00C72318"/>
    <w:rsid w:val="00C724E6"/>
    <w:rsid w:val="00C7266A"/>
    <w:rsid w:val="00C747A5"/>
    <w:rsid w:val="00C75806"/>
    <w:rsid w:val="00C776F2"/>
    <w:rsid w:val="00C80CAA"/>
    <w:rsid w:val="00C81546"/>
    <w:rsid w:val="00C815F5"/>
    <w:rsid w:val="00C85314"/>
    <w:rsid w:val="00C91B69"/>
    <w:rsid w:val="00C9644C"/>
    <w:rsid w:val="00C964E0"/>
    <w:rsid w:val="00C96757"/>
    <w:rsid w:val="00C97FD5"/>
    <w:rsid w:val="00CA0116"/>
    <w:rsid w:val="00CA0904"/>
    <w:rsid w:val="00CA0FBA"/>
    <w:rsid w:val="00CA31C0"/>
    <w:rsid w:val="00CA461D"/>
    <w:rsid w:val="00CA4BC0"/>
    <w:rsid w:val="00CA5CA8"/>
    <w:rsid w:val="00CA7069"/>
    <w:rsid w:val="00CA78C4"/>
    <w:rsid w:val="00CB0157"/>
    <w:rsid w:val="00CB25AE"/>
    <w:rsid w:val="00CB28E9"/>
    <w:rsid w:val="00CB3F0A"/>
    <w:rsid w:val="00CB5205"/>
    <w:rsid w:val="00CC1AAE"/>
    <w:rsid w:val="00CC2F27"/>
    <w:rsid w:val="00CC38AC"/>
    <w:rsid w:val="00CC559D"/>
    <w:rsid w:val="00CC6C47"/>
    <w:rsid w:val="00CC7ED1"/>
    <w:rsid w:val="00CD07E5"/>
    <w:rsid w:val="00CD0C13"/>
    <w:rsid w:val="00CD2A7C"/>
    <w:rsid w:val="00CD5750"/>
    <w:rsid w:val="00CD5EE1"/>
    <w:rsid w:val="00CD654B"/>
    <w:rsid w:val="00CE20F6"/>
    <w:rsid w:val="00CE223E"/>
    <w:rsid w:val="00CE2990"/>
    <w:rsid w:val="00CE707C"/>
    <w:rsid w:val="00CF3F0D"/>
    <w:rsid w:val="00CF45B6"/>
    <w:rsid w:val="00CF72C3"/>
    <w:rsid w:val="00D00CE8"/>
    <w:rsid w:val="00D0497B"/>
    <w:rsid w:val="00D101F7"/>
    <w:rsid w:val="00D145F5"/>
    <w:rsid w:val="00D20FB0"/>
    <w:rsid w:val="00D30682"/>
    <w:rsid w:val="00D316A1"/>
    <w:rsid w:val="00D31998"/>
    <w:rsid w:val="00D3285B"/>
    <w:rsid w:val="00D329F1"/>
    <w:rsid w:val="00D355F0"/>
    <w:rsid w:val="00D40015"/>
    <w:rsid w:val="00D43AC8"/>
    <w:rsid w:val="00D50879"/>
    <w:rsid w:val="00D51610"/>
    <w:rsid w:val="00D54098"/>
    <w:rsid w:val="00D54F46"/>
    <w:rsid w:val="00D54F7F"/>
    <w:rsid w:val="00D56113"/>
    <w:rsid w:val="00D643F4"/>
    <w:rsid w:val="00D72188"/>
    <w:rsid w:val="00D72D3E"/>
    <w:rsid w:val="00D75288"/>
    <w:rsid w:val="00D76D49"/>
    <w:rsid w:val="00D77624"/>
    <w:rsid w:val="00D833D9"/>
    <w:rsid w:val="00D83BD9"/>
    <w:rsid w:val="00D932CA"/>
    <w:rsid w:val="00D94DCF"/>
    <w:rsid w:val="00D94EAE"/>
    <w:rsid w:val="00D96561"/>
    <w:rsid w:val="00D96877"/>
    <w:rsid w:val="00DA0BD4"/>
    <w:rsid w:val="00DA28A0"/>
    <w:rsid w:val="00DA586F"/>
    <w:rsid w:val="00DB03BD"/>
    <w:rsid w:val="00DB08DA"/>
    <w:rsid w:val="00DB5E34"/>
    <w:rsid w:val="00DB720D"/>
    <w:rsid w:val="00DB7F09"/>
    <w:rsid w:val="00DC00E8"/>
    <w:rsid w:val="00DC016F"/>
    <w:rsid w:val="00DC1C56"/>
    <w:rsid w:val="00DC4756"/>
    <w:rsid w:val="00DC6379"/>
    <w:rsid w:val="00DC68AD"/>
    <w:rsid w:val="00DC6A97"/>
    <w:rsid w:val="00DC6AAD"/>
    <w:rsid w:val="00DC6F1B"/>
    <w:rsid w:val="00DC79F2"/>
    <w:rsid w:val="00DD08B3"/>
    <w:rsid w:val="00DD14CA"/>
    <w:rsid w:val="00DD75A4"/>
    <w:rsid w:val="00DE2763"/>
    <w:rsid w:val="00DE3A53"/>
    <w:rsid w:val="00DE3C77"/>
    <w:rsid w:val="00DE70F1"/>
    <w:rsid w:val="00DE73A2"/>
    <w:rsid w:val="00DF4F2F"/>
    <w:rsid w:val="00DF5DA5"/>
    <w:rsid w:val="00DF6F61"/>
    <w:rsid w:val="00E0370F"/>
    <w:rsid w:val="00E03934"/>
    <w:rsid w:val="00E101C6"/>
    <w:rsid w:val="00E105CA"/>
    <w:rsid w:val="00E10A57"/>
    <w:rsid w:val="00E1487D"/>
    <w:rsid w:val="00E1714E"/>
    <w:rsid w:val="00E1765F"/>
    <w:rsid w:val="00E22D51"/>
    <w:rsid w:val="00E24F7E"/>
    <w:rsid w:val="00E33ACF"/>
    <w:rsid w:val="00E349A7"/>
    <w:rsid w:val="00E424F0"/>
    <w:rsid w:val="00E45D79"/>
    <w:rsid w:val="00E45F5B"/>
    <w:rsid w:val="00E46EC8"/>
    <w:rsid w:val="00E50E7C"/>
    <w:rsid w:val="00E51545"/>
    <w:rsid w:val="00E51D9E"/>
    <w:rsid w:val="00E537D1"/>
    <w:rsid w:val="00E55B1D"/>
    <w:rsid w:val="00E567E6"/>
    <w:rsid w:val="00E56971"/>
    <w:rsid w:val="00E61484"/>
    <w:rsid w:val="00E65D82"/>
    <w:rsid w:val="00E66F48"/>
    <w:rsid w:val="00E67ED3"/>
    <w:rsid w:val="00E7017C"/>
    <w:rsid w:val="00E711D7"/>
    <w:rsid w:val="00E72DDF"/>
    <w:rsid w:val="00E747FF"/>
    <w:rsid w:val="00E778D5"/>
    <w:rsid w:val="00E815E1"/>
    <w:rsid w:val="00E82E92"/>
    <w:rsid w:val="00E82FC8"/>
    <w:rsid w:val="00E85078"/>
    <w:rsid w:val="00E86F68"/>
    <w:rsid w:val="00E902B0"/>
    <w:rsid w:val="00E902E8"/>
    <w:rsid w:val="00E9296B"/>
    <w:rsid w:val="00E959BD"/>
    <w:rsid w:val="00E97C19"/>
    <w:rsid w:val="00EA0D8A"/>
    <w:rsid w:val="00EA1F1E"/>
    <w:rsid w:val="00EA2154"/>
    <w:rsid w:val="00EA23AC"/>
    <w:rsid w:val="00EA2910"/>
    <w:rsid w:val="00EA398F"/>
    <w:rsid w:val="00EA4A75"/>
    <w:rsid w:val="00EA67B6"/>
    <w:rsid w:val="00EA7514"/>
    <w:rsid w:val="00EA7C3D"/>
    <w:rsid w:val="00EB4A98"/>
    <w:rsid w:val="00EB4B0B"/>
    <w:rsid w:val="00EB6878"/>
    <w:rsid w:val="00EC03C5"/>
    <w:rsid w:val="00EC1E0E"/>
    <w:rsid w:val="00EC236D"/>
    <w:rsid w:val="00EC6B16"/>
    <w:rsid w:val="00EC774E"/>
    <w:rsid w:val="00EC7FE9"/>
    <w:rsid w:val="00ED2C32"/>
    <w:rsid w:val="00ED486E"/>
    <w:rsid w:val="00ED56F4"/>
    <w:rsid w:val="00ED5A20"/>
    <w:rsid w:val="00ED7571"/>
    <w:rsid w:val="00EE1447"/>
    <w:rsid w:val="00EE1BF1"/>
    <w:rsid w:val="00EE2A6A"/>
    <w:rsid w:val="00EE2CEE"/>
    <w:rsid w:val="00EE33DB"/>
    <w:rsid w:val="00EE4864"/>
    <w:rsid w:val="00EE7744"/>
    <w:rsid w:val="00EF03E1"/>
    <w:rsid w:val="00EF145E"/>
    <w:rsid w:val="00EF2BBB"/>
    <w:rsid w:val="00EF2D95"/>
    <w:rsid w:val="00EF5671"/>
    <w:rsid w:val="00F0082D"/>
    <w:rsid w:val="00F015AB"/>
    <w:rsid w:val="00F03CD2"/>
    <w:rsid w:val="00F045E0"/>
    <w:rsid w:val="00F04DE8"/>
    <w:rsid w:val="00F07C90"/>
    <w:rsid w:val="00F1031F"/>
    <w:rsid w:val="00F1043D"/>
    <w:rsid w:val="00F11922"/>
    <w:rsid w:val="00F11D73"/>
    <w:rsid w:val="00F1315E"/>
    <w:rsid w:val="00F13835"/>
    <w:rsid w:val="00F14EA5"/>
    <w:rsid w:val="00F20F8A"/>
    <w:rsid w:val="00F24A6C"/>
    <w:rsid w:val="00F25B5D"/>
    <w:rsid w:val="00F262CE"/>
    <w:rsid w:val="00F304A4"/>
    <w:rsid w:val="00F33DB8"/>
    <w:rsid w:val="00F348AA"/>
    <w:rsid w:val="00F34B9F"/>
    <w:rsid w:val="00F357B0"/>
    <w:rsid w:val="00F36606"/>
    <w:rsid w:val="00F40ABD"/>
    <w:rsid w:val="00F503AE"/>
    <w:rsid w:val="00F51D7F"/>
    <w:rsid w:val="00F52C52"/>
    <w:rsid w:val="00F57BED"/>
    <w:rsid w:val="00F60198"/>
    <w:rsid w:val="00F66946"/>
    <w:rsid w:val="00F669CD"/>
    <w:rsid w:val="00F737DB"/>
    <w:rsid w:val="00F73BCE"/>
    <w:rsid w:val="00F74A39"/>
    <w:rsid w:val="00F7613A"/>
    <w:rsid w:val="00F82746"/>
    <w:rsid w:val="00F836F9"/>
    <w:rsid w:val="00F83DEB"/>
    <w:rsid w:val="00F845D7"/>
    <w:rsid w:val="00F84BA1"/>
    <w:rsid w:val="00F92279"/>
    <w:rsid w:val="00F92B9B"/>
    <w:rsid w:val="00F930F2"/>
    <w:rsid w:val="00F93D3C"/>
    <w:rsid w:val="00FA30A5"/>
    <w:rsid w:val="00FA5AD4"/>
    <w:rsid w:val="00FB2912"/>
    <w:rsid w:val="00FB2A38"/>
    <w:rsid w:val="00FB4D21"/>
    <w:rsid w:val="00FB762B"/>
    <w:rsid w:val="00FB7EFB"/>
    <w:rsid w:val="00FC6ADA"/>
    <w:rsid w:val="00FC73F1"/>
    <w:rsid w:val="00FC7407"/>
    <w:rsid w:val="00FD09C6"/>
    <w:rsid w:val="00FD0DF0"/>
    <w:rsid w:val="00FD1B2F"/>
    <w:rsid w:val="00FD463C"/>
    <w:rsid w:val="00FD69DC"/>
    <w:rsid w:val="00FE1FC1"/>
    <w:rsid w:val="00FE51DD"/>
    <w:rsid w:val="00FF5307"/>
    <w:rsid w:val="01C87DBF"/>
    <w:rsid w:val="02B6E8EF"/>
    <w:rsid w:val="0393DBEC"/>
    <w:rsid w:val="067E4A06"/>
    <w:rsid w:val="08994D31"/>
    <w:rsid w:val="09F899A3"/>
    <w:rsid w:val="0C3E60FB"/>
    <w:rsid w:val="10495C86"/>
    <w:rsid w:val="10B3C54B"/>
    <w:rsid w:val="24015538"/>
    <w:rsid w:val="29C49999"/>
    <w:rsid w:val="333E571F"/>
    <w:rsid w:val="3DC673B4"/>
    <w:rsid w:val="48570EBE"/>
    <w:rsid w:val="51670C5F"/>
    <w:rsid w:val="58176569"/>
    <w:rsid w:val="63D1CDFD"/>
    <w:rsid w:val="6491A21D"/>
    <w:rsid w:val="6F11EC35"/>
    <w:rsid w:val="6FC4F945"/>
    <w:rsid w:val="75415B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autoRedefine/>
    <w:qFormat/>
    <w:rsid w:val="007F176B"/>
    <w:pPr>
      <w:spacing w:before="360" w:line="460" w:lineRule="exact"/>
      <w:outlineLvl w:val="1"/>
    </w:pPr>
    <w:rPr>
      <w:bCs w:val="0"/>
      <w:iCs/>
      <w:color w:val="336699" w:themeColor="text2"/>
      <w:sz w:val="36"/>
    </w:rPr>
  </w:style>
  <w:style w:type="paragraph" w:styleId="Heading3">
    <w:name w:val="heading 3"/>
    <w:basedOn w:val="HeadingBase"/>
    <w:next w:val="Normal"/>
    <w:link w:val="Heading3Char"/>
    <w:qFormat/>
    <w:rsid w:val="007F176B"/>
    <w:pPr>
      <w:spacing w:before="320" w:line="276" w:lineRule="auto"/>
      <w:outlineLvl w:val="2"/>
    </w:pPr>
    <w:rPr>
      <w:bCs w:val="0"/>
      <w:color w:val="578793" w:themeColor="accent5" w:themeShade="BF"/>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7F176B"/>
    <w:rPr>
      <w:rFonts w:asciiTheme="majorHAnsi" w:eastAsia="Times New Roman" w:hAnsiTheme="majorHAnsi" w:cs="Arial"/>
      <w:iCs/>
      <w:color w:val="336699" w:themeColor="text2"/>
      <w:kern w:val="32"/>
      <w:sz w:val="36"/>
      <w:szCs w:val="36"/>
      <w:lang w:eastAsia="en-AU"/>
    </w:rPr>
  </w:style>
  <w:style w:type="character" w:customStyle="1" w:styleId="Heading3Char">
    <w:name w:val="Heading 3 Char"/>
    <w:basedOn w:val="DefaultParagraphFont"/>
    <w:link w:val="Heading3"/>
    <w:rsid w:val="007F176B"/>
    <w:rPr>
      <w:rFonts w:asciiTheme="majorHAnsi" w:eastAsia="Times New Roman" w:hAnsiTheme="majorHAnsi" w:cs="Arial"/>
      <w:color w:val="578793" w:themeColor="accent5" w:themeShade="BF"/>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paragraph" w:styleId="Revision">
    <w:name w:val="Revision"/>
    <w:hidden/>
    <w:uiPriority w:val="99"/>
    <w:semiHidden/>
    <w:rsid w:val="00AA13D0"/>
    <w:pPr>
      <w:spacing w:after="0" w:line="240" w:lineRule="auto"/>
    </w:pPr>
    <w:rPr>
      <w:rFonts w:eastAsia="Times New Roman" w:cs="Times New Roman"/>
      <w:color w:val="000000" w:themeColor="text1"/>
      <w:szCs w:val="20"/>
      <w:lang w:eastAsia="en-AU"/>
    </w:rPr>
  </w:style>
  <w:style w:type="character" w:styleId="Strong">
    <w:name w:val="Strong"/>
    <w:basedOn w:val="DefaultParagraphFont"/>
    <w:qFormat/>
    <w:rsid w:val="00402518"/>
    <w:rPr>
      <w:b/>
      <w:bCs/>
    </w:rPr>
  </w:style>
  <w:style w:type="paragraph" w:styleId="TOCHeading">
    <w:name w:val="TOC Heading"/>
    <w:basedOn w:val="Heading1"/>
    <w:next w:val="Normal"/>
    <w:uiPriority w:val="39"/>
    <w:unhideWhenUsed/>
    <w:qFormat/>
    <w:rsid w:val="007E5106"/>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mc.gov.au/honours-and-symbols/commonwealth-coat-arm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creativecommons.org/licenses/by/3.0/au/legalcod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ntTable" Target="fontTable.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93C2-CA91-474D-8A94-470FF7E7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1425</Words>
  <Characters>8325</Characters>
  <Application>Microsoft Office Word</Application>
  <DocSecurity>0</DocSecurity>
  <Lines>163</Lines>
  <Paragraphs>84</Paragraphs>
  <ScaleCrop>false</ScaleCrop>
  <HeadingPairs>
    <vt:vector size="2" baseType="variant">
      <vt:variant>
        <vt:lpstr>Title</vt:lpstr>
      </vt:variant>
      <vt:variant>
        <vt:i4>1</vt:i4>
      </vt:variant>
    </vt:vector>
  </HeadingPairs>
  <TitlesOfParts>
    <vt:vector size="1" baseType="lpstr">
      <vt:lpstr>National Planning Reform Blueprint</vt:lpstr>
    </vt:vector>
  </TitlesOfParts>
  <Manager/>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dc:title>
  <dc:subject/>
  <dc:creator/>
  <cp:keywords/>
  <cp:lastModifiedBy/>
  <cp:revision>1</cp:revision>
  <dcterms:created xsi:type="dcterms:W3CDTF">2024-08-01T23:37:00Z</dcterms:created>
  <dcterms:modified xsi:type="dcterms:W3CDTF">2024-08-01T23:37:00Z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2024-08-01T23:37:20Z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5e152339-8827-43c6-8133-29c2ed91cb15</vt:lpwstr>
  </property>
  <property fmtid="{D5CDD505-2E9C-101B-9397-08002B2CF9AE}" pid="8" name="MSIP_Label_4f932d64-9ab1-4d9b-81d2-a3a8b82dd47d_ContentBits">
    <vt:lpwstr>0</vt:lpwstr>
  </property>
</Properties>
</file>