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FC0E38" w:rsidP="00236901">
      <w:pPr>
        <w:spacing w:before="360"/>
        <w:ind w:right="95"/>
        <w:jc w:val="center"/>
      </w:pPr>
      <w:r>
        <w:rPr>
          <w:caps/>
          <w:noProof/>
        </w:rPr>
        <w:drawing>
          <wp:inline distT="0" distB="0" distL="0" distR="0" wp14:anchorId="3EAE89A4" wp14:editId="48E327DA">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1CBE601D" w:rsidR="002A31E6" w:rsidRPr="00EC7701" w:rsidRDefault="00FC0E38"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Senate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7866C8">
            <w:rPr>
              <w:rStyle w:val="commiChar"/>
            </w:rPr>
            <w:t xml:space="preserve">on </w:t>
          </w:r>
          <w:r>
            <w:rPr>
              <w:rFonts w:ascii="Montserrat Light" w:hAnsi="Montserrat Light"/>
              <w:sz w:val="32"/>
              <w:szCs w:val="32"/>
            </w:rPr>
            <w:t>Economics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p w14:paraId="06B4A7B1" w14:textId="3B429964" w:rsidR="002A31E6" w:rsidRPr="00EC7701" w:rsidRDefault="00694EA9" w:rsidP="002A31E6">
      <w:pPr>
        <w:spacing w:before="240" w:after="7800"/>
        <w:jc w:val="center"/>
        <w:rPr>
          <w:rFonts w:ascii="Montserrat Light" w:hAnsi="Montserrat Light"/>
          <w:sz w:val="32"/>
          <w:szCs w:val="32"/>
        </w:rPr>
      </w:pPr>
      <w:sdt>
        <w:sdtPr>
          <w:rPr>
            <w:rStyle w:val="commiChar"/>
          </w:rPr>
          <w:alias w:val="Report Title"/>
          <w:tag w:val="ReportTitle"/>
          <w:id w:val="160520125"/>
          <w:placeholder>
            <w:docPart w:val="749CD8EB45014960823471CA5E14FDC1"/>
          </w:placeholder>
        </w:sdtPr>
        <w:sdtEndPr>
          <w:rPr>
            <w:rStyle w:val="commiChar"/>
          </w:rPr>
        </w:sdtEndPr>
        <w:sdtContent>
          <w:r w:rsidR="00FC0E38">
            <w:rPr>
              <w:rFonts w:ascii="Montserrat Light" w:hAnsi="Montserrat Light"/>
              <w:sz w:val="32"/>
              <w:szCs w:val="32"/>
            </w:rPr>
            <w:t xml:space="preserve">Treasury Laws Amendment (Self Managed Superannuation Funds) Bill 2020 </w:t>
          </w:r>
        </w:sdtContent>
      </w:sdt>
    </w:p>
    <w:p w14:paraId="26B52DAF" w14:textId="0C7E017A" w:rsidR="002A31E6" w:rsidRPr="00EC7701" w:rsidRDefault="007866C8" w:rsidP="002A31E6">
      <w:pPr>
        <w:jc w:val="right"/>
        <w:rPr>
          <w:rFonts w:ascii="Montserrat Light" w:hAnsi="Montserrat Light"/>
          <w:caps/>
          <w:sz w:val="28"/>
          <w:szCs w:val="28"/>
        </w:rPr>
      </w:pPr>
      <w:r>
        <w:rPr>
          <w:rFonts w:ascii="Montserrat Light" w:hAnsi="Montserrat Light"/>
          <w:sz w:val="28"/>
          <w:szCs w:val="28"/>
        </w:rPr>
        <w:t>May 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47ECF">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p w14:paraId="6D12E4E6" w14:textId="77777777" w:rsidR="007866C8" w:rsidRPr="00C47A9C" w:rsidRDefault="007866C8" w:rsidP="007866C8">
      <w:pPr>
        <w:pStyle w:val="Heading1"/>
      </w:pPr>
      <w:r w:rsidRPr="00C47A9C">
        <w:lastRenderedPageBreak/>
        <w:t>Response to the recommendations</w:t>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7866C8" w14:paraId="2618820D" w14:textId="77777777" w:rsidTr="00A1759D">
        <w:trPr>
          <w:trHeight w:val="70"/>
        </w:trPr>
        <w:tc>
          <w:tcPr>
            <w:tcW w:w="9016" w:type="dxa"/>
          </w:tcPr>
          <w:p w14:paraId="08E44877" w14:textId="6F12D171" w:rsidR="007866C8" w:rsidRPr="008774BA" w:rsidRDefault="007866C8" w:rsidP="007866C8">
            <w:pPr>
              <w:pStyle w:val="BoxHeading"/>
              <w:keepNext w:val="0"/>
              <w:widowControl w:val="0"/>
              <w:rPr>
                <w:caps/>
              </w:rPr>
            </w:pPr>
            <w:r>
              <w:t xml:space="preserve">Labor Senators Dissenting Report - </w:t>
            </w:r>
            <w:r w:rsidRPr="008774BA">
              <w:t xml:space="preserve">Recommendation </w:t>
            </w:r>
            <w:r>
              <w:t>2</w:t>
            </w:r>
          </w:p>
          <w:p w14:paraId="38BCA8EA" w14:textId="55762D71" w:rsidR="007866C8" w:rsidRPr="008774BA" w:rsidRDefault="007866C8" w:rsidP="007866C8">
            <w:pPr>
              <w:pStyle w:val="BoxText"/>
              <w:widowControl w:val="0"/>
            </w:pPr>
            <w:r>
              <w:t xml:space="preserve">The government should proceed with Commissioner Hayne’s recommendation that there be a review of measures that have been implemented by the government, </w:t>
            </w:r>
            <w:proofErr w:type="gramStart"/>
            <w:r>
              <w:t>regulators</w:t>
            </w:r>
            <w:proofErr w:type="gramEnd"/>
            <w:r>
              <w:t xml:space="preserve"> and financial services entities to improve the quality of financial advice.</w:t>
            </w:r>
          </w:p>
          <w:p w14:paraId="38A8EEE0" w14:textId="77777777" w:rsidR="007866C8" w:rsidRPr="009753EB" w:rsidRDefault="007866C8" w:rsidP="007866C8">
            <w:pPr>
              <w:pStyle w:val="BoxSubHeading"/>
              <w:keepNext w:val="0"/>
              <w:widowControl w:val="0"/>
              <w:rPr>
                <w:caps/>
              </w:rPr>
            </w:pPr>
            <w:r w:rsidRPr="009753EB">
              <w:t xml:space="preserve">Australian Government response </w:t>
            </w:r>
          </w:p>
          <w:p w14:paraId="43E0E75C" w14:textId="09B96E49" w:rsidR="007866C8" w:rsidRPr="008774BA" w:rsidRDefault="007866C8" w:rsidP="007866C8">
            <w:pPr>
              <w:pStyle w:val="BoxText"/>
              <w:widowControl w:val="0"/>
              <w:rPr>
                <w:caps/>
              </w:rPr>
            </w:pPr>
            <w:r w:rsidRPr="00FC14FF">
              <w:t xml:space="preserve">The Government </w:t>
            </w:r>
            <w:r w:rsidRPr="00FC14FF">
              <w:rPr>
                <w:b/>
                <w:bCs/>
              </w:rPr>
              <w:t>notes</w:t>
            </w:r>
            <w:r w:rsidRPr="00FC14FF">
              <w:t xml:space="preserve"> </w:t>
            </w:r>
            <w:r w:rsidR="00027748">
              <w:t>this recommendation</w:t>
            </w:r>
            <w:r w:rsidRPr="00FC14FF">
              <w:t>. However, given the passage of time since this report was tabled, a substantive Government response is no longer appropriate.</w:t>
            </w:r>
          </w:p>
        </w:tc>
      </w:tr>
      <w:tr w:rsidR="007866C8" w14:paraId="45FE4348" w14:textId="77777777" w:rsidTr="00A1759D">
        <w:trPr>
          <w:trHeight w:val="70"/>
        </w:trPr>
        <w:tc>
          <w:tcPr>
            <w:tcW w:w="9016" w:type="dxa"/>
          </w:tcPr>
          <w:p w14:paraId="2E2C19AB" w14:textId="32058C00" w:rsidR="007866C8" w:rsidRPr="008774BA" w:rsidRDefault="007866C8" w:rsidP="007866C8">
            <w:pPr>
              <w:pStyle w:val="BoxHeading"/>
              <w:keepNext w:val="0"/>
              <w:widowControl w:val="0"/>
              <w:rPr>
                <w:caps/>
              </w:rPr>
            </w:pPr>
            <w:r>
              <w:t xml:space="preserve">Labor Senators Dissenting Report - </w:t>
            </w:r>
            <w:r w:rsidRPr="008774BA">
              <w:t xml:space="preserve">Recommendation </w:t>
            </w:r>
            <w:r>
              <w:t>3</w:t>
            </w:r>
          </w:p>
          <w:p w14:paraId="1C4B4A4E" w14:textId="4A1B89F6" w:rsidR="007866C8" w:rsidRPr="008774BA" w:rsidRDefault="007866C8" w:rsidP="007866C8">
            <w:pPr>
              <w:pStyle w:val="BoxText"/>
              <w:widowControl w:val="0"/>
            </w:pPr>
            <w:r>
              <w:t>The government should consider adopting the reforms recommended by the Productivity Commission to create stronger safeguards on SMSF advice should be fully implemented. More broadly, systemic reform is needed to ensure people have access to independent advice.</w:t>
            </w:r>
          </w:p>
          <w:p w14:paraId="0F6E49DC" w14:textId="77777777" w:rsidR="007866C8" w:rsidRPr="009753EB" w:rsidRDefault="007866C8" w:rsidP="007866C8">
            <w:pPr>
              <w:pStyle w:val="BoxSubHeading"/>
              <w:keepNext w:val="0"/>
              <w:widowControl w:val="0"/>
              <w:rPr>
                <w:caps/>
              </w:rPr>
            </w:pPr>
            <w:r w:rsidRPr="009753EB">
              <w:t xml:space="preserve">Australian Government response </w:t>
            </w:r>
          </w:p>
          <w:p w14:paraId="15144741" w14:textId="12EA993B" w:rsidR="007866C8" w:rsidRPr="008774BA" w:rsidRDefault="007866C8" w:rsidP="007866C8">
            <w:pPr>
              <w:pStyle w:val="BoxText"/>
              <w:widowControl w:val="0"/>
              <w:rPr>
                <w:b/>
                <w:bCs/>
              </w:rPr>
            </w:pPr>
            <w:r w:rsidRPr="00FC14FF">
              <w:t xml:space="preserve">The Government </w:t>
            </w:r>
            <w:r w:rsidRPr="00FC14FF">
              <w:rPr>
                <w:b/>
                <w:bCs/>
              </w:rPr>
              <w:t>notes</w:t>
            </w:r>
            <w:r w:rsidRPr="00FC14FF">
              <w:t xml:space="preserve"> </w:t>
            </w:r>
            <w:r w:rsidR="00027748">
              <w:t>this recommendation</w:t>
            </w:r>
            <w:r w:rsidRPr="00FC14FF">
              <w:t>. However, given the passage of time since this report was tabled, a substantive Government response is no longer appropriate.</w:t>
            </w:r>
            <w:r>
              <w:t xml:space="preserve"> </w:t>
            </w:r>
          </w:p>
        </w:tc>
      </w:tr>
      <w:tr w:rsidR="007866C8" w14:paraId="32D59151" w14:textId="77777777" w:rsidTr="00A1759D">
        <w:trPr>
          <w:trHeight w:val="70"/>
        </w:trPr>
        <w:tc>
          <w:tcPr>
            <w:tcW w:w="9016" w:type="dxa"/>
          </w:tcPr>
          <w:p w14:paraId="673F126A" w14:textId="5DA8FC83" w:rsidR="007866C8" w:rsidRPr="008774BA" w:rsidRDefault="007866C8" w:rsidP="007866C8">
            <w:pPr>
              <w:pStyle w:val="BoxHeading"/>
              <w:keepNext w:val="0"/>
              <w:widowControl w:val="0"/>
              <w:rPr>
                <w:caps/>
              </w:rPr>
            </w:pPr>
            <w:r>
              <w:t xml:space="preserve">Labor Senators Dissenting Report - </w:t>
            </w:r>
            <w:r w:rsidRPr="008774BA">
              <w:t xml:space="preserve">Recommendation </w:t>
            </w:r>
            <w:r>
              <w:t>4</w:t>
            </w:r>
          </w:p>
          <w:p w14:paraId="1F5F6B70" w14:textId="53ABC775" w:rsidR="007866C8" w:rsidRPr="008774BA" w:rsidRDefault="007866C8" w:rsidP="007866C8">
            <w:pPr>
              <w:pStyle w:val="BoxText"/>
              <w:widowControl w:val="0"/>
            </w:pPr>
            <w:r>
              <w:t>The government provide further advice on the financial and compliance costs of implementing this reform, including for individual members, SMSF advisers, and regulators.</w:t>
            </w:r>
          </w:p>
          <w:p w14:paraId="2AA97384" w14:textId="77777777" w:rsidR="007866C8" w:rsidRPr="009753EB" w:rsidRDefault="007866C8" w:rsidP="007866C8">
            <w:pPr>
              <w:pStyle w:val="BoxSubHeading"/>
              <w:keepNext w:val="0"/>
              <w:widowControl w:val="0"/>
              <w:rPr>
                <w:caps/>
              </w:rPr>
            </w:pPr>
            <w:r w:rsidRPr="009753EB">
              <w:t xml:space="preserve">Australian Government response </w:t>
            </w:r>
          </w:p>
          <w:p w14:paraId="41C161E6" w14:textId="58BFDE27" w:rsidR="007866C8" w:rsidRPr="008774BA" w:rsidRDefault="007866C8" w:rsidP="007866C8">
            <w:pPr>
              <w:pStyle w:val="BoxText"/>
              <w:widowControl w:val="0"/>
              <w:rPr>
                <w:b/>
                <w:bCs/>
              </w:rPr>
            </w:pPr>
            <w:r w:rsidRPr="00FC14FF">
              <w:t xml:space="preserve">The Government </w:t>
            </w:r>
            <w:r w:rsidRPr="00FC14FF">
              <w:rPr>
                <w:b/>
                <w:bCs/>
              </w:rPr>
              <w:t>notes</w:t>
            </w:r>
            <w:r w:rsidRPr="00FC14FF">
              <w:t xml:space="preserve"> </w:t>
            </w:r>
            <w:r w:rsidR="00027748">
              <w:t>this recommendation</w:t>
            </w:r>
            <w:r w:rsidRPr="00FC14FF">
              <w:t>. However, given the passage of time since this report was tabled, a substantive Government response is no longer appropriate.</w:t>
            </w:r>
          </w:p>
        </w:tc>
      </w:tr>
      <w:tr w:rsidR="007866C8" w:rsidRPr="008774BA" w14:paraId="36E005BB" w14:textId="77777777" w:rsidTr="00A1759D">
        <w:trPr>
          <w:trHeight w:val="70"/>
        </w:trPr>
        <w:tc>
          <w:tcPr>
            <w:tcW w:w="9016" w:type="dxa"/>
          </w:tcPr>
          <w:p w14:paraId="2531C06B" w14:textId="1B77D12F" w:rsidR="007866C8" w:rsidRPr="008774BA" w:rsidRDefault="007866C8" w:rsidP="007866C8">
            <w:pPr>
              <w:pStyle w:val="BoxHeading"/>
              <w:keepNext w:val="0"/>
              <w:widowControl w:val="0"/>
              <w:rPr>
                <w:caps/>
              </w:rPr>
            </w:pPr>
            <w:r>
              <w:t xml:space="preserve">Labor Senators Dissenting Report - </w:t>
            </w:r>
            <w:r w:rsidRPr="008774BA">
              <w:t xml:space="preserve">Recommendation </w:t>
            </w:r>
            <w:r>
              <w:t>5</w:t>
            </w:r>
          </w:p>
          <w:p w14:paraId="6CB70CE8" w14:textId="212DE9F3" w:rsidR="007866C8" w:rsidRPr="008774BA" w:rsidRDefault="007866C8" w:rsidP="007866C8">
            <w:pPr>
              <w:pStyle w:val="BoxText"/>
              <w:widowControl w:val="0"/>
            </w:pPr>
            <w:r>
              <w:t xml:space="preserve">Given the potential for increased conflict in the effective governance of SMSFs by trustees, especially if they are family members, the government should ensure a minimum standard of protections are in place for each member of the SMSF, especially </w:t>
            </w:r>
            <w:proofErr w:type="gramStart"/>
            <w:r>
              <w:t>with regard to</w:t>
            </w:r>
            <w:proofErr w:type="gramEnd"/>
            <w:r>
              <w:t xml:space="preserve"> mandatory education and dispute resolution to balance the interests of the increase in the numbers of trustees and members.</w:t>
            </w:r>
          </w:p>
          <w:p w14:paraId="4577237B" w14:textId="77777777" w:rsidR="007866C8" w:rsidRPr="009753EB" w:rsidRDefault="007866C8" w:rsidP="007866C8">
            <w:pPr>
              <w:pStyle w:val="BoxSubHeading"/>
              <w:keepNext w:val="0"/>
              <w:widowControl w:val="0"/>
              <w:rPr>
                <w:caps/>
              </w:rPr>
            </w:pPr>
            <w:r w:rsidRPr="009753EB">
              <w:t xml:space="preserve">Australian Government response </w:t>
            </w:r>
          </w:p>
          <w:p w14:paraId="069901A0" w14:textId="2EEEB4FA" w:rsidR="007866C8" w:rsidRPr="008774BA" w:rsidRDefault="007866C8" w:rsidP="007866C8">
            <w:pPr>
              <w:pStyle w:val="BoxText"/>
              <w:widowControl w:val="0"/>
              <w:rPr>
                <w:caps/>
              </w:rPr>
            </w:pPr>
            <w:r w:rsidRPr="00FC14FF">
              <w:t xml:space="preserve">The Government </w:t>
            </w:r>
            <w:r w:rsidRPr="00FC14FF">
              <w:rPr>
                <w:b/>
                <w:bCs/>
              </w:rPr>
              <w:t>notes</w:t>
            </w:r>
            <w:r w:rsidRPr="00FC14FF">
              <w:t xml:space="preserve"> </w:t>
            </w:r>
            <w:r w:rsidR="00027748">
              <w:t>this recommendation</w:t>
            </w:r>
            <w:r w:rsidRPr="00FC14FF">
              <w:t>. However, given the passage of time since this report was tabled, a substantive Government response is no longer appropriate.</w:t>
            </w:r>
          </w:p>
        </w:tc>
      </w:tr>
      <w:tr w:rsidR="007866C8" w:rsidRPr="008774BA" w14:paraId="1F43E0A9" w14:textId="77777777" w:rsidTr="00A1759D">
        <w:trPr>
          <w:trHeight w:val="70"/>
        </w:trPr>
        <w:tc>
          <w:tcPr>
            <w:tcW w:w="9016" w:type="dxa"/>
          </w:tcPr>
          <w:p w14:paraId="5E3A243B" w14:textId="5B92D19F" w:rsidR="007866C8" w:rsidRPr="008774BA" w:rsidRDefault="007866C8" w:rsidP="007866C8">
            <w:pPr>
              <w:pStyle w:val="BoxHeading"/>
              <w:keepNext w:val="0"/>
              <w:widowControl w:val="0"/>
              <w:rPr>
                <w:caps/>
              </w:rPr>
            </w:pPr>
            <w:r>
              <w:t xml:space="preserve">Labor Senators Dissenting Report - </w:t>
            </w:r>
            <w:r w:rsidRPr="008774BA">
              <w:t xml:space="preserve">Recommendation </w:t>
            </w:r>
            <w:r>
              <w:t>6</w:t>
            </w:r>
          </w:p>
          <w:p w14:paraId="3E95AEE5" w14:textId="09F94195" w:rsidR="007866C8" w:rsidRPr="008774BA" w:rsidRDefault="007866C8" w:rsidP="007866C8">
            <w:pPr>
              <w:pStyle w:val="BoxText"/>
              <w:widowControl w:val="0"/>
            </w:pPr>
            <w:r>
              <w:t xml:space="preserve">That if passed, the bill should be subject to a statutory review at 12 months, with </w:t>
            </w:r>
            <w:proofErr w:type="gramStart"/>
            <w:r>
              <w:t>particular consideration</w:t>
            </w:r>
            <w:proofErr w:type="gramEnd"/>
            <w:r>
              <w:t xml:space="preserve"> of the conduct of financial advisers and trustees, and SMSF investment performance and governance.</w:t>
            </w:r>
          </w:p>
          <w:p w14:paraId="0F63636E" w14:textId="77777777" w:rsidR="007866C8" w:rsidRPr="009753EB" w:rsidRDefault="007866C8" w:rsidP="007866C8">
            <w:pPr>
              <w:pStyle w:val="BoxSubHeading"/>
              <w:keepNext w:val="0"/>
              <w:widowControl w:val="0"/>
              <w:rPr>
                <w:caps/>
              </w:rPr>
            </w:pPr>
            <w:r w:rsidRPr="009753EB">
              <w:t xml:space="preserve">Australian Government response </w:t>
            </w:r>
          </w:p>
          <w:p w14:paraId="72EA3D70" w14:textId="537FF5DE" w:rsidR="007866C8" w:rsidRPr="008774BA" w:rsidRDefault="007866C8" w:rsidP="007866C8">
            <w:pPr>
              <w:pStyle w:val="BoxText"/>
              <w:widowControl w:val="0"/>
              <w:rPr>
                <w:b/>
                <w:bCs/>
              </w:rPr>
            </w:pPr>
            <w:r w:rsidRPr="00FC14FF">
              <w:t xml:space="preserve">The Government </w:t>
            </w:r>
            <w:r w:rsidRPr="00FC14FF">
              <w:rPr>
                <w:b/>
                <w:bCs/>
              </w:rPr>
              <w:t>notes</w:t>
            </w:r>
            <w:r w:rsidRPr="00FC14FF">
              <w:t xml:space="preserve"> </w:t>
            </w:r>
            <w:r w:rsidR="00027748">
              <w:t>this recommendation</w:t>
            </w:r>
            <w:r w:rsidRPr="00FC14FF">
              <w:t>. However, given the passage of time since this report was tabled, a substantive Government response is no longer appropriate.</w:t>
            </w:r>
            <w:r>
              <w:t xml:space="preserve"> </w:t>
            </w:r>
          </w:p>
        </w:tc>
      </w:tr>
    </w:tbl>
    <w:p w14:paraId="31D47FE6" w14:textId="77777777" w:rsidR="0077630F" w:rsidRPr="00C47A9C" w:rsidRDefault="0077630F" w:rsidP="007866C8">
      <w:pPr>
        <w:pStyle w:val="Heading1"/>
        <w:rPr>
          <w:caps/>
        </w:rPr>
      </w:pPr>
    </w:p>
    <w:sectPr w:rsidR="0077630F" w:rsidRPr="00C47A9C" w:rsidSect="0077630F">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749A" w14:textId="77777777" w:rsidR="00FC0E38" w:rsidRDefault="00FC0E38">
      <w:pPr>
        <w:spacing w:before="0" w:after="0"/>
      </w:pPr>
      <w:r>
        <w:separator/>
      </w:r>
    </w:p>
  </w:endnote>
  <w:endnote w:type="continuationSeparator" w:id="0">
    <w:p w14:paraId="7A128340" w14:textId="77777777" w:rsidR="00FC0E38" w:rsidRDefault="00FC0E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53ECB37F" w:rsidR="0077630F" w:rsidRPr="00F347BE" w:rsidRDefault="00FC0E38" w:rsidP="00F347BE">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E12215">
      <w:fldChar w:fldCharType="begin"/>
    </w:r>
    <w:r>
      <w:instrText xml:space="preserve"> STYLEREF  "Heading 1"  \* MERGEFORMAT </w:instrText>
    </w:r>
    <w:r w:rsidR="00E12215">
      <w:fldChar w:fldCharType="end"/>
    </w:r>
    <w:r>
      <w:tab/>
    </w:r>
    <w:r w:rsidRPr="00103F3C">
      <w:rPr>
        <w:position w:val="-8"/>
      </w:rPr>
      <w:drawing>
        <wp:inline distT="0" distB="0" distL="0" distR="0" wp14:anchorId="401F5C42" wp14:editId="0E2325EC">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757B661C" w:rsidR="0077630F" w:rsidRPr="00F347BE" w:rsidRDefault="00FC0E38" w:rsidP="00F347BE">
    <w:pPr>
      <w:pStyle w:val="FooterOdd"/>
      <w:jc w:val="left"/>
    </w:pPr>
    <w:r w:rsidRPr="00103F3C">
      <w:rPr>
        <w:noProof/>
        <w:position w:val="-8"/>
      </w:rPr>
      <w:drawing>
        <wp:inline distT="0" distB="0" distL="0" distR="0" wp14:anchorId="75728F52" wp14:editId="46F12CA8">
          <wp:extent cx="1324800" cy="201600"/>
          <wp:effectExtent l="0" t="0" r="0" b="825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F816B4">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571E4D76" w:rsidR="0077630F" w:rsidRPr="00F347BE" w:rsidRDefault="00FC0E38" w:rsidP="00F347BE">
    <w:pPr>
      <w:pStyle w:val="FooterOdd"/>
      <w:jc w:val="left"/>
    </w:pPr>
    <w:r w:rsidRPr="00103F3C">
      <w:rPr>
        <w:noProof/>
        <w:position w:val="-8"/>
      </w:rPr>
      <w:drawing>
        <wp:inline distT="0" distB="0" distL="0" distR="0" wp14:anchorId="7D2DFA3F" wp14:editId="67E635D3">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E12215">
      <w:fldChar w:fldCharType="begin"/>
    </w:r>
    <w:r>
      <w:instrText xml:space="preserve"> STYLEREF  "Heading 1"  \* MERGEFORMAT </w:instrText>
    </w:r>
    <w:r w:rsidR="00E12215">
      <w:fldChar w:fldCharType="separate"/>
    </w:r>
    <w:r w:rsidR="00694EA9">
      <w:rPr>
        <w:noProof/>
      </w:rPr>
      <w:t>Response to the recommendations</w:t>
    </w:r>
    <w:r w:rsidR="00E12215">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F7099" w14:textId="77777777" w:rsidR="0042266F" w:rsidRDefault="00FC0E38" w:rsidP="00B47ECF">
      <w:r>
        <w:separator/>
      </w:r>
    </w:p>
  </w:footnote>
  <w:footnote w:type="continuationSeparator" w:id="0">
    <w:p w14:paraId="4CA0E2A6" w14:textId="77777777" w:rsidR="0042266F" w:rsidRDefault="00FC0E38" w:rsidP="00B4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4496B1BC" w:rsidR="008774BA" w:rsidRDefault="00F347BE">
    <w:pPr>
      <w:pStyle w:val="Header"/>
    </w:pPr>
    <w:r>
      <w:rPr>
        <w:noProof/>
      </w:rPr>
      <w:drawing>
        <wp:anchor distT="0" distB="0" distL="114300" distR="114300" simplePos="0" relativeHeight="251659264" behindDoc="1" locked="1" layoutInCell="1" allowOverlap="1" wp14:anchorId="4D7CB6C7" wp14:editId="447CCF4D">
          <wp:simplePos x="0" y="0"/>
          <wp:positionH relativeFrom="page">
            <wp:align>center</wp:align>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642D62A5" w:rsidR="008774BA" w:rsidRDefault="00F347BE">
    <w:pPr>
      <w:pStyle w:val="Header"/>
    </w:pPr>
    <w:r>
      <w:rPr>
        <w:noProof/>
      </w:rPr>
      <w:drawing>
        <wp:anchor distT="0" distB="0" distL="114300" distR="114300" simplePos="0" relativeHeight="251660288" behindDoc="1" locked="1" layoutInCell="1" allowOverlap="1" wp14:anchorId="0329A31B" wp14:editId="6F62E606">
          <wp:simplePos x="0" y="0"/>
          <wp:positionH relativeFrom="page">
            <wp:align>center</wp:align>
          </wp:positionH>
          <wp:positionV relativeFrom="page">
            <wp:align>top</wp:align>
          </wp:positionV>
          <wp:extent cx="7570800" cy="1044000"/>
          <wp:effectExtent l="0" t="0" r="0"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54D849B8" w:rsidR="005537C9" w:rsidRDefault="005537C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08910D43" w:rsidR="005537C9" w:rsidRDefault="005537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3C2E3C9E" w:rsidR="0077630F" w:rsidRDefault="00F347BE">
    <w:pPr>
      <w:pStyle w:val="Header"/>
    </w:pPr>
    <w:r>
      <w:rPr>
        <w:noProof/>
      </w:rPr>
      <w:drawing>
        <wp:anchor distT="0" distB="0" distL="114300" distR="114300" simplePos="0" relativeHeight="251658240" behindDoc="1" locked="1" layoutInCell="1" allowOverlap="1" wp14:anchorId="2D4B0A37" wp14:editId="32D3AA03">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F0DCD126">
      <w:start w:val="1"/>
      <w:numFmt w:val="decimal"/>
      <w:pStyle w:val="OneLevelNumberedParagraph"/>
      <w:lvlText w:val="%1."/>
      <w:lvlJc w:val="left"/>
      <w:pPr>
        <w:tabs>
          <w:tab w:val="num" w:pos="567"/>
        </w:tabs>
        <w:ind w:left="567" w:hanging="567"/>
      </w:pPr>
      <w:rPr>
        <w:rFonts w:hint="default"/>
      </w:rPr>
    </w:lvl>
    <w:lvl w:ilvl="1" w:tplc="2340CDE0" w:tentative="1">
      <w:start w:val="1"/>
      <w:numFmt w:val="lowerLetter"/>
      <w:lvlText w:val="%2."/>
      <w:lvlJc w:val="left"/>
      <w:pPr>
        <w:ind w:left="1440" w:hanging="360"/>
      </w:pPr>
    </w:lvl>
    <w:lvl w:ilvl="2" w:tplc="9AD455B6" w:tentative="1">
      <w:start w:val="1"/>
      <w:numFmt w:val="lowerRoman"/>
      <w:lvlText w:val="%3."/>
      <w:lvlJc w:val="right"/>
      <w:pPr>
        <w:ind w:left="2160" w:hanging="180"/>
      </w:pPr>
    </w:lvl>
    <w:lvl w:ilvl="3" w:tplc="79EA9978" w:tentative="1">
      <w:start w:val="1"/>
      <w:numFmt w:val="decimal"/>
      <w:lvlText w:val="%4."/>
      <w:lvlJc w:val="left"/>
      <w:pPr>
        <w:ind w:left="2880" w:hanging="360"/>
      </w:pPr>
    </w:lvl>
    <w:lvl w:ilvl="4" w:tplc="0E2E7C6E" w:tentative="1">
      <w:start w:val="1"/>
      <w:numFmt w:val="lowerLetter"/>
      <w:lvlText w:val="%5."/>
      <w:lvlJc w:val="left"/>
      <w:pPr>
        <w:ind w:left="3600" w:hanging="360"/>
      </w:pPr>
    </w:lvl>
    <w:lvl w:ilvl="5" w:tplc="FBC8DF74" w:tentative="1">
      <w:start w:val="1"/>
      <w:numFmt w:val="lowerRoman"/>
      <w:lvlText w:val="%6."/>
      <w:lvlJc w:val="right"/>
      <w:pPr>
        <w:ind w:left="4320" w:hanging="180"/>
      </w:pPr>
    </w:lvl>
    <w:lvl w:ilvl="6" w:tplc="27CE591C" w:tentative="1">
      <w:start w:val="1"/>
      <w:numFmt w:val="decimal"/>
      <w:lvlText w:val="%7."/>
      <w:lvlJc w:val="left"/>
      <w:pPr>
        <w:ind w:left="5040" w:hanging="360"/>
      </w:pPr>
    </w:lvl>
    <w:lvl w:ilvl="7" w:tplc="05526A9A" w:tentative="1">
      <w:start w:val="1"/>
      <w:numFmt w:val="lowerLetter"/>
      <w:lvlText w:val="%8."/>
      <w:lvlJc w:val="left"/>
      <w:pPr>
        <w:ind w:left="5760" w:hanging="360"/>
      </w:pPr>
    </w:lvl>
    <w:lvl w:ilvl="8" w:tplc="1B1C773A"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3FC612CC"/>
    <w:lvl w:ilvl="0" w:tplc="9E06DB6E">
      <w:start w:val="1"/>
      <w:numFmt w:val="bullet"/>
      <w:pStyle w:val="Bullet"/>
      <w:lvlText w:val=""/>
      <w:lvlJc w:val="left"/>
      <w:pPr>
        <w:ind w:left="720" w:hanging="360"/>
      </w:pPr>
      <w:rPr>
        <w:rFonts w:ascii="Symbol" w:hAnsi="Symbol" w:hint="default"/>
      </w:rPr>
    </w:lvl>
    <w:lvl w:ilvl="1" w:tplc="CC6CEC5E" w:tentative="1">
      <w:start w:val="1"/>
      <w:numFmt w:val="bullet"/>
      <w:lvlText w:val="o"/>
      <w:lvlJc w:val="left"/>
      <w:pPr>
        <w:ind w:left="1440" w:hanging="360"/>
      </w:pPr>
      <w:rPr>
        <w:rFonts w:ascii="Courier New" w:hAnsi="Courier New" w:cs="Courier New" w:hint="default"/>
      </w:rPr>
    </w:lvl>
    <w:lvl w:ilvl="2" w:tplc="9076A15A" w:tentative="1">
      <w:start w:val="1"/>
      <w:numFmt w:val="bullet"/>
      <w:lvlText w:val=""/>
      <w:lvlJc w:val="left"/>
      <w:pPr>
        <w:ind w:left="2160" w:hanging="360"/>
      </w:pPr>
      <w:rPr>
        <w:rFonts w:ascii="Wingdings" w:hAnsi="Wingdings" w:hint="default"/>
      </w:rPr>
    </w:lvl>
    <w:lvl w:ilvl="3" w:tplc="8208CBA8" w:tentative="1">
      <w:start w:val="1"/>
      <w:numFmt w:val="bullet"/>
      <w:lvlText w:val=""/>
      <w:lvlJc w:val="left"/>
      <w:pPr>
        <w:ind w:left="2880" w:hanging="360"/>
      </w:pPr>
      <w:rPr>
        <w:rFonts w:ascii="Symbol" w:hAnsi="Symbol" w:hint="default"/>
      </w:rPr>
    </w:lvl>
    <w:lvl w:ilvl="4" w:tplc="6E982FDC" w:tentative="1">
      <w:start w:val="1"/>
      <w:numFmt w:val="bullet"/>
      <w:lvlText w:val="o"/>
      <w:lvlJc w:val="left"/>
      <w:pPr>
        <w:ind w:left="3600" w:hanging="360"/>
      </w:pPr>
      <w:rPr>
        <w:rFonts w:ascii="Courier New" w:hAnsi="Courier New" w:cs="Courier New" w:hint="default"/>
      </w:rPr>
    </w:lvl>
    <w:lvl w:ilvl="5" w:tplc="7F242F8C" w:tentative="1">
      <w:start w:val="1"/>
      <w:numFmt w:val="bullet"/>
      <w:lvlText w:val=""/>
      <w:lvlJc w:val="left"/>
      <w:pPr>
        <w:ind w:left="4320" w:hanging="360"/>
      </w:pPr>
      <w:rPr>
        <w:rFonts w:ascii="Wingdings" w:hAnsi="Wingdings" w:hint="default"/>
      </w:rPr>
    </w:lvl>
    <w:lvl w:ilvl="6" w:tplc="5AE20D7C" w:tentative="1">
      <w:start w:val="1"/>
      <w:numFmt w:val="bullet"/>
      <w:lvlText w:val=""/>
      <w:lvlJc w:val="left"/>
      <w:pPr>
        <w:ind w:left="5040" w:hanging="360"/>
      </w:pPr>
      <w:rPr>
        <w:rFonts w:ascii="Symbol" w:hAnsi="Symbol" w:hint="default"/>
      </w:rPr>
    </w:lvl>
    <w:lvl w:ilvl="7" w:tplc="9C3C59DA" w:tentative="1">
      <w:start w:val="1"/>
      <w:numFmt w:val="bullet"/>
      <w:lvlText w:val="o"/>
      <w:lvlJc w:val="left"/>
      <w:pPr>
        <w:ind w:left="5760" w:hanging="360"/>
      </w:pPr>
      <w:rPr>
        <w:rFonts w:ascii="Courier New" w:hAnsi="Courier New" w:cs="Courier New" w:hint="default"/>
      </w:rPr>
    </w:lvl>
    <w:lvl w:ilvl="8" w:tplc="6FE63C82"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54359507">
    <w:abstractNumId w:val="2"/>
  </w:num>
  <w:num w:numId="2" w16cid:durableId="223302479">
    <w:abstractNumId w:val="4"/>
  </w:num>
  <w:num w:numId="3" w16cid:durableId="1065301186">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9434932">
    <w:abstractNumId w:val="0"/>
  </w:num>
  <w:num w:numId="5" w16cid:durableId="482813483">
    <w:abstractNumId w:val="5"/>
  </w:num>
  <w:num w:numId="6" w16cid:durableId="211692088">
    <w:abstractNumId w:val="6"/>
  </w:num>
  <w:num w:numId="7" w16cid:durableId="33848916">
    <w:abstractNumId w:val="3"/>
  </w:num>
  <w:num w:numId="8" w16cid:durableId="451946016">
    <w:abstractNumId w:val="7"/>
  </w:num>
  <w:num w:numId="9" w16cid:durableId="117185818">
    <w:abstractNumId w:val="1"/>
  </w:num>
  <w:num w:numId="10" w16cid:durableId="5354369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27748"/>
    <w:rsid w:val="00056FF5"/>
    <w:rsid w:val="00076769"/>
    <w:rsid w:val="000846EF"/>
    <w:rsid w:val="000D051A"/>
    <w:rsid w:val="000D1C7F"/>
    <w:rsid w:val="00205BAC"/>
    <w:rsid w:val="002322CD"/>
    <w:rsid w:val="00236901"/>
    <w:rsid w:val="002A30D0"/>
    <w:rsid w:val="002A31E6"/>
    <w:rsid w:val="002B4442"/>
    <w:rsid w:val="002F52A6"/>
    <w:rsid w:val="00326FB8"/>
    <w:rsid w:val="00340F54"/>
    <w:rsid w:val="003463B6"/>
    <w:rsid w:val="00353FD7"/>
    <w:rsid w:val="004063DC"/>
    <w:rsid w:val="0042266F"/>
    <w:rsid w:val="00495C13"/>
    <w:rsid w:val="00510BCE"/>
    <w:rsid w:val="005243F9"/>
    <w:rsid w:val="005537C9"/>
    <w:rsid w:val="005A000F"/>
    <w:rsid w:val="005E449B"/>
    <w:rsid w:val="0066657F"/>
    <w:rsid w:val="006848CE"/>
    <w:rsid w:val="00694EA9"/>
    <w:rsid w:val="006D1D3B"/>
    <w:rsid w:val="00725F12"/>
    <w:rsid w:val="0077630F"/>
    <w:rsid w:val="007820EC"/>
    <w:rsid w:val="007866C8"/>
    <w:rsid w:val="007C5FCA"/>
    <w:rsid w:val="00835798"/>
    <w:rsid w:val="00854626"/>
    <w:rsid w:val="008671CE"/>
    <w:rsid w:val="008706FC"/>
    <w:rsid w:val="008774BA"/>
    <w:rsid w:val="008D32D4"/>
    <w:rsid w:val="008D6E34"/>
    <w:rsid w:val="00935E3D"/>
    <w:rsid w:val="009753EB"/>
    <w:rsid w:val="00A2437E"/>
    <w:rsid w:val="00A47334"/>
    <w:rsid w:val="00A7212C"/>
    <w:rsid w:val="00AA67CB"/>
    <w:rsid w:val="00B11725"/>
    <w:rsid w:val="00B47ECF"/>
    <w:rsid w:val="00BB1B65"/>
    <w:rsid w:val="00BE31D9"/>
    <w:rsid w:val="00C45BA7"/>
    <w:rsid w:val="00C47A9C"/>
    <w:rsid w:val="00CB0DF5"/>
    <w:rsid w:val="00CF75DF"/>
    <w:rsid w:val="00D04818"/>
    <w:rsid w:val="00E12215"/>
    <w:rsid w:val="00EC7701"/>
    <w:rsid w:val="00EF2F09"/>
    <w:rsid w:val="00F347BE"/>
    <w:rsid w:val="00F53754"/>
    <w:rsid w:val="00F769CE"/>
    <w:rsid w:val="00F816B4"/>
    <w:rsid w:val="00F92A63"/>
    <w:rsid w:val="00FB6B0E"/>
    <w:rsid w:val="00FC0E38"/>
    <w:rsid w:val="00FE0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77620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1D6259" w:rsidRDefault="001D6259"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1D6259" w:rsidRDefault="001D6259"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1D6259" w:rsidRDefault="001D6259"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6259" w:rsidRDefault="001D6259">
      <w:pPr>
        <w:spacing w:after="0" w:line="240" w:lineRule="auto"/>
      </w:pPr>
      <w:r>
        <w:separator/>
      </w:r>
    </w:p>
  </w:endnote>
  <w:endnote w:type="continuationSeparator" w:id="0">
    <w:p w:rsidR="001D6259" w:rsidRDefault="001D6259">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6259" w:rsidRDefault="001D6259">
      <w:pPr>
        <w:spacing w:after="0" w:line="240" w:lineRule="auto"/>
      </w:pPr>
      <w:r>
        <w:separator/>
      </w:r>
    </w:p>
  </w:footnote>
  <w:footnote w:type="continuationSeparator" w:id="0">
    <w:p w:rsidR="001D6259" w:rsidRDefault="001D6259">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1D6259"/>
    <w:rsid w:val="002F52A6"/>
    <w:rsid w:val="008B1EF4"/>
    <w:rsid w:val="00B84B01"/>
    <w:rsid w:val="00CF75DF"/>
    <w:rsid w:val="00DE431E"/>
    <w:rsid w:val="00E7416D"/>
    <w:rsid w:val="00F302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382</Words>
  <Characters>2320</Characters>
  <Application>Microsoft Office Word</Application>
  <DocSecurity>0</DocSecurity>
  <Lines>45</Lines>
  <Paragraphs>24</Paragraphs>
  <ScaleCrop>false</ScaleCrop>
  <HeadingPairs>
    <vt:vector size="2" baseType="variant">
      <vt:variant>
        <vt:lpstr>Title</vt:lpstr>
      </vt:variant>
      <vt:variant>
        <vt:i4>1</vt:i4>
      </vt:variant>
    </vt:vector>
  </HeadingPairs>
  <TitlesOfParts>
    <vt:vector size="1" baseType="lpstr">
      <vt:lpstr>Government response: Treasury Laws Amendment (Self Managed Superannuation Funds) Bill 2020</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Treasury Laws Amendment (Self Managed Superannuation Funds) Bill 2020</dc:title>
  <dc:subject/>
  <dc:creator/>
  <cp:keywords/>
  <cp:lastModifiedBy/>
  <cp:revision>1</cp:revision>
  <dcterms:created xsi:type="dcterms:W3CDTF">2024-08-29T01:59:00Z</dcterms:created>
  <dcterms:modified xsi:type="dcterms:W3CDTF">2024-08-29T02:00:00Z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2024-08-29T02:00:18Z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2a0b8f07-3c0b-4496-9092-fd990d3d509b</vt:lpwstr>
  </property>
  <property fmtid="{D5CDD505-2E9C-101B-9397-08002B2CF9AE}" pid="8" name="MSIP_Label_4f932d64-9ab1-4d9b-81d2-a3a8b82dd47d_ContentBits">
    <vt:lpwstr>0</vt:lpwstr>
  </property>
</Properties>
</file>