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36F5" w14:textId="74268CB8" w:rsidR="00F109D4" w:rsidRPr="003C5719" w:rsidRDefault="00AE7D7E"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0C6F41E1" w14:textId="2067B6B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3EDA212ABF5A49798E34D4945754551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465496">
            <w:rPr>
              <w:rStyle w:val="DefaultChar"/>
            </w:rPr>
            <w:t>the Assistant Treasurer and Minister for Financial Services</w:t>
          </w:r>
        </w:sdtContent>
      </w:sdt>
      <w:r w:rsidR="00076178" w:rsidRPr="003C5719">
        <w:rPr>
          <w:sz w:val="24"/>
          <w:szCs w:val="24"/>
        </w:rPr>
        <w:t xml:space="preserve"> </w:t>
      </w:r>
    </w:p>
    <w:p w14:paraId="233F055E" w14:textId="1492D42D" w:rsidR="00F109D4" w:rsidRPr="003C5719" w:rsidRDefault="002F5AB5" w:rsidP="004A27A8">
      <w:pPr>
        <w:spacing w:before="240" w:after="240"/>
        <w:jc w:val="center"/>
        <w:rPr>
          <w:i/>
        </w:rPr>
      </w:pPr>
      <w:bookmarkStart w:id="0" w:name="_Hlk170982807"/>
      <w:r>
        <w:rPr>
          <w:i/>
        </w:rPr>
        <w:t>National Consumer Credit Protection Act 2009</w:t>
      </w:r>
    </w:p>
    <w:p w14:paraId="43BDBC91" w14:textId="3351E40F" w:rsidR="00F109D4" w:rsidRPr="008141D9" w:rsidRDefault="00181559" w:rsidP="008141D9">
      <w:pPr>
        <w:pStyle w:val="LetterTableText"/>
        <w:jc w:val="center"/>
        <w:rPr>
          <w:i/>
          <w:iCs/>
        </w:rPr>
      </w:pPr>
      <w:bookmarkStart w:id="1" w:name="_Hlk170982016"/>
      <w:bookmarkEnd w:id="0"/>
      <w:r w:rsidRPr="00181559">
        <w:rPr>
          <w:i/>
          <w:iCs/>
        </w:rPr>
        <w:t>Treasury Laws Amendment Instrument 2024: Small Business Exemption</w:t>
      </w:r>
    </w:p>
    <w:bookmarkEnd w:id="1"/>
    <w:p w14:paraId="60F7E336" w14:textId="3BF4F601" w:rsidR="00892D3B" w:rsidRDefault="00C55D29" w:rsidP="00F10D43">
      <w:pPr>
        <w:spacing w:before="240"/>
      </w:pPr>
      <w:r w:rsidRPr="003C5719">
        <w:t xml:space="preserve">Section </w:t>
      </w:r>
      <w:r w:rsidR="00A9772A">
        <w:t>329</w:t>
      </w:r>
      <w:r w:rsidR="005E4BAC" w:rsidRPr="003C5719">
        <w:t xml:space="preserve"> </w:t>
      </w:r>
      <w:r w:rsidR="00F109D4" w:rsidRPr="003C5719">
        <w:t xml:space="preserve">of the </w:t>
      </w:r>
      <w:r w:rsidR="002F5AB5" w:rsidRPr="002F5AB5">
        <w:rPr>
          <w:i/>
          <w:iCs/>
        </w:rPr>
        <w:t>National Consumer Credit Protection Act 2009</w:t>
      </w:r>
      <w:r w:rsidR="00F109D4" w:rsidRPr="003C5719">
        <w:t xml:space="preserve"> (the </w:t>
      </w:r>
      <w:r w:rsidR="00694429">
        <w:t>Act</w:t>
      </w:r>
      <w:r w:rsidR="00F109D4" w:rsidRPr="003C5719">
        <w: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51BD0D87" w14:textId="41C0DF92" w:rsidR="00297981" w:rsidRDefault="00927CA8" w:rsidP="00F10D43">
      <w:pPr>
        <w:spacing w:before="240"/>
      </w:pPr>
      <w:r>
        <w:t xml:space="preserve">Paragraph 164(a) of the </w:t>
      </w:r>
      <w:r w:rsidR="00694429">
        <w:t>Act</w:t>
      </w:r>
      <w:r>
        <w:t xml:space="preserve"> provides that regulations may exempt a person or class of persons from all or specified provisions in Chapter 3</w:t>
      </w:r>
      <w:r w:rsidR="00CB3B7C">
        <w:t xml:space="preserve"> of the Act</w:t>
      </w:r>
      <w:r w:rsidR="0042689B">
        <w:t>, which</w:t>
      </w:r>
      <w:r w:rsidR="00CB3B7C">
        <w:t xml:space="preserve"> outlines the responsible lending obligations.</w:t>
      </w:r>
    </w:p>
    <w:p w14:paraId="09BE8B9E" w14:textId="05BE9575" w:rsidR="00E87FDD" w:rsidRDefault="004F03F4" w:rsidP="00F10D43">
      <w:pPr>
        <w:spacing w:before="240"/>
      </w:pPr>
      <w:r w:rsidRPr="003C5719">
        <w:t xml:space="preserve">The </w:t>
      </w:r>
      <w:r w:rsidR="00181559" w:rsidRPr="00181559">
        <w:rPr>
          <w:i/>
          <w:iCs/>
        </w:rPr>
        <w:t>Treasury Laws Amendment Instrument 2024: Small Business Exemption</w:t>
      </w:r>
      <w:r w:rsidR="00FF61C5">
        <w:rPr>
          <w:i/>
        </w:rPr>
        <w:t xml:space="preserve"> </w:t>
      </w:r>
      <w:r w:rsidR="00094B49" w:rsidRPr="00094B49">
        <w:rPr>
          <w:iCs/>
        </w:rPr>
        <w:t>(the</w:t>
      </w:r>
      <w:r w:rsidR="009661B9">
        <w:rPr>
          <w:iCs/>
        </w:rPr>
        <w:t> </w:t>
      </w:r>
      <w:r w:rsidR="00136A49">
        <w:rPr>
          <w:iCs/>
        </w:rPr>
        <w:t>Regulations</w:t>
      </w:r>
      <w:r w:rsidR="00094B49" w:rsidRPr="00094B49">
        <w:rPr>
          <w:iCs/>
        </w:rPr>
        <w:t>)</w:t>
      </w:r>
      <w:r w:rsidR="00094B49">
        <w:rPr>
          <w:i/>
        </w:rPr>
        <w:t xml:space="preserve"> </w:t>
      </w:r>
      <w:r w:rsidR="00F376D1">
        <w:t>amend</w:t>
      </w:r>
      <w:r w:rsidR="00E874CF">
        <w:t>s</w:t>
      </w:r>
      <w:r w:rsidR="00F376D1">
        <w:t xml:space="preserve"> the </w:t>
      </w:r>
      <w:r w:rsidR="005B566E" w:rsidRPr="4774521F">
        <w:rPr>
          <w:i/>
          <w:iCs/>
        </w:rPr>
        <w:t xml:space="preserve">National Consumer Credit Protection Regulations 2010 </w:t>
      </w:r>
      <w:r w:rsidR="005B566E">
        <w:t>(</w:t>
      </w:r>
      <w:r w:rsidR="00714138">
        <w:t>the</w:t>
      </w:r>
      <w:r w:rsidR="009661B9">
        <w:t> </w:t>
      </w:r>
      <w:r w:rsidR="00714138">
        <w:t xml:space="preserve">Principal </w:t>
      </w:r>
      <w:r w:rsidR="005B566E">
        <w:t>Regulations) to</w:t>
      </w:r>
      <w:r w:rsidR="008B4378">
        <w:t xml:space="preserve"> </w:t>
      </w:r>
      <w:r w:rsidR="00E87FDD">
        <w:t xml:space="preserve">extend the existing time-limited exemption from responsible </w:t>
      </w:r>
      <w:r w:rsidR="00B416BE">
        <w:t>lending obligations</w:t>
      </w:r>
      <w:r w:rsidR="00FD4C5A">
        <w:t xml:space="preserve"> </w:t>
      </w:r>
      <w:r w:rsidR="00E87FDD">
        <w:t>for small businesses for a further two years</w:t>
      </w:r>
      <w:r w:rsidR="008B4378">
        <w:t>.</w:t>
      </w:r>
    </w:p>
    <w:p w14:paraId="787C0A5A" w14:textId="175BFF77" w:rsidR="009B2C8E" w:rsidRDefault="009B2C8E" w:rsidP="00F10D43">
      <w:pPr>
        <w:pStyle w:val="base-text-paragraph"/>
        <w:spacing w:before="240"/>
        <w:ind w:left="0"/>
      </w:pPr>
      <w:r>
        <w:t xml:space="preserve">Consumer credit laws, including the responsible lending obligations in Chapter 3 of the Act, do not generally apply to business and commercial lending. However, these laws </w:t>
      </w:r>
      <w:r w:rsidR="003B2468">
        <w:t>will</w:t>
      </w:r>
      <w:r>
        <w:t xml:space="preserve"> apply to mixed-purpose loans </w:t>
      </w:r>
      <w:r w:rsidR="003E4D8C" w:rsidRPr="005C59AC">
        <w:t xml:space="preserve">(for example, where a small business or sole trader applies for a single loan to be used for both personal and commercial purposes) </w:t>
      </w:r>
      <w:r>
        <w:t>unless the ‘predominant’ purpose of the loan is business</w:t>
      </w:r>
      <w:r w:rsidR="008020F0">
        <w:noBreakHyphen/>
      </w:r>
      <w:r>
        <w:t>related.</w:t>
      </w:r>
    </w:p>
    <w:p w14:paraId="49A621D2" w14:textId="1B25D606" w:rsidR="009B2C8E" w:rsidRDefault="009B2C8E" w:rsidP="00F10D43">
      <w:pPr>
        <w:pStyle w:val="base-text-paragraph"/>
        <w:spacing w:before="240"/>
        <w:ind w:left="0"/>
      </w:pPr>
      <w:r>
        <w:t>In April 2020, a time-limited exemption was added to the Principal Regulations as a temporary measure to support timely access to finance for small businesses during the COVID-19 pandemic. The exemption provides that certain mixed-purpose small business loans are exempt from the responsible lending obligations so long as there is a ‘genuine’ business purpose that is not minor or incidental. This effectively replace</w:t>
      </w:r>
      <w:r w:rsidR="001740F2">
        <w:t>d</w:t>
      </w:r>
      <w:r>
        <w:t xml:space="preserve"> the </w:t>
      </w:r>
      <w:r w:rsidRPr="00AB3220">
        <w:rPr>
          <w:i/>
          <w:iCs/>
        </w:rPr>
        <w:t>predominant purpose test</w:t>
      </w:r>
      <w:r>
        <w:t xml:space="preserve"> with a </w:t>
      </w:r>
      <w:r w:rsidRPr="00AB3220">
        <w:rPr>
          <w:i/>
          <w:iCs/>
        </w:rPr>
        <w:t>genuine purpose test</w:t>
      </w:r>
      <w:r>
        <w:t xml:space="preserve"> for small businesses. The exemption means a mixed</w:t>
      </w:r>
      <w:r>
        <w:noBreakHyphen/>
        <w:t xml:space="preserve">purpose small business loan is not subject to the responsible lending obligations where the loan has a real business purpose that is not insignificant or peripheral to the loan. </w:t>
      </w:r>
    </w:p>
    <w:p w14:paraId="056C4A56" w14:textId="77777777" w:rsidR="009B2C8E" w:rsidRDefault="009B2C8E" w:rsidP="00F10D43">
      <w:pPr>
        <w:pStyle w:val="base-text-paragraph"/>
        <w:spacing w:before="240"/>
        <w:ind w:left="0"/>
      </w:pPr>
      <w:r>
        <w:t xml:space="preserve">For the purposes of the exemption, a small business is one that has fewer than 100 employees or revenue of $5 million or less in the previous financial year. </w:t>
      </w:r>
    </w:p>
    <w:p w14:paraId="266C7EF0" w14:textId="77777777" w:rsidR="009B2C8E" w:rsidRDefault="009B2C8E" w:rsidP="00F10D43">
      <w:pPr>
        <w:pStyle w:val="base-text-paragraph"/>
        <w:spacing w:before="240"/>
        <w:ind w:left="0"/>
      </w:pPr>
      <w:r>
        <w:t xml:space="preserve">The exemption was initially put in place for a period of six months but has since been extended three times. This exemption is due to expire on 3 October 2024. </w:t>
      </w:r>
    </w:p>
    <w:p w14:paraId="15CEC179" w14:textId="7D04A821" w:rsidR="002A78E2" w:rsidRDefault="002A78E2" w:rsidP="00F10D43">
      <w:pPr>
        <w:pStyle w:val="base-text-paragraph"/>
        <w:spacing w:before="240"/>
        <w:ind w:left="0"/>
      </w:pPr>
      <w:r>
        <w:t xml:space="preserve">Although the exemption has been in place for </w:t>
      </w:r>
      <w:r w:rsidR="00436904">
        <w:t>nearly</w:t>
      </w:r>
      <w:r>
        <w:t xml:space="preserve"> four years, that does not necessarily cover the full life of a business loan: short-term business loans may have terms of between six to 18 months, but longer</w:t>
      </w:r>
      <w:r w:rsidR="00E248F9">
        <w:noBreakHyphen/>
      </w:r>
      <w:r>
        <w:t>term loans are often for periods of five to seven years. Extending the exemption will provide an additional two years of data to inform a future decision on whether the exemption should be made permanent, allowed to expire, or modified to improve its effectiveness.</w:t>
      </w:r>
    </w:p>
    <w:p w14:paraId="4D40B43B" w14:textId="77777777" w:rsidR="005C3EA2" w:rsidRDefault="005C3EA2" w:rsidP="00823773">
      <w:pPr>
        <w:pStyle w:val="base-text-paragraph"/>
        <w:keepNext/>
        <w:spacing w:before="240"/>
        <w:ind w:left="0"/>
      </w:pPr>
      <w:r>
        <w:lastRenderedPageBreak/>
        <w:t xml:space="preserve">Paragraph 28RB(7)(b) of the Principal Regulations defines the relevant </w:t>
      </w:r>
      <w:r w:rsidRPr="4774521F">
        <w:rPr>
          <w:b/>
          <w:bCs/>
          <w:i/>
          <w:iCs/>
        </w:rPr>
        <w:t>exemption period</w:t>
      </w:r>
      <w:r>
        <w:t xml:space="preserve"> as the period that</w:t>
      </w:r>
      <w:r w:rsidRPr="00CD3916">
        <w:t xml:space="preserve"> </w:t>
      </w:r>
      <w:r w:rsidRPr="00823773">
        <w:t>ends</w:t>
      </w:r>
      <w:r w:rsidRPr="00CD3916">
        <w:t xml:space="preserve"> </w:t>
      </w:r>
      <w:r>
        <w:t xml:space="preserve">at the earlier of: </w:t>
      </w:r>
    </w:p>
    <w:p w14:paraId="464F1353" w14:textId="77777777" w:rsidR="005C3EA2" w:rsidRPr="00DA5D9D" w:rsidRDefault="005C3EA2" w:rsidP="00F10D43">
      <w:pPr>
        <w:pStyle w:val="paragraphsub"/>
        <w:keepNext/>
        <w:numPr>
          <w:ilvl w:val="0"/>
          <w:numId w:val="20"/>
        </w:numPr>
        <w:spacing w:before="240" w:beforeAutospacing="0" w:after="120" w:afterAutospacing="0"/>
        <w:jc w:val="both"/>
        <w:rPr>
          <w:color w:val="000000"/>
          <w:sz w:val="22"/>
          <w:szCs w:val="22"/>
        </w:rPr>
      </w:pPr>
      <w:r w:rsidRPr="4774521F">
        <w:rPr>
          <w:color w:val="000000" w:themeColor="text1"/>
          <w:sz w:val="22"/>
          <w:szCs w:val="22"/>
        </w:rPr>
        <w:t>the start of 3 October 2024; and</w:t>
      </w:r>
    </w:p>
    <w:p w14:paraId="62A53376" w14:textId="77777777" w:rsidR="005C3EA2" w:rsidRPr="00DA5D9D" w:rsidRDefault="005C3EA2" w:rsidP="00F10D43">
      <w:pPr>
        <w:pStyle w:val="paragraphsub"/>
        <w:numPr>
          <w:ilvl w:val="0"/>
          <w:numId w:val="20"/>
        </w:numPr>
        <w:spacing w:before="240" w:beforeAutospacing="0" w:after="120" w:afterAutospacing="0"/>
        <w:jc w:val="both"/>
        <w:rPr>
          <w:color w:val="000000"/>
          <w:sz w:val="22"/>
          <w:szCs w:val="22"/>
        </w:rPr>
      </w:pPr>
      <w:r w:rsidRPr="4774521F">
        <w:rPr>
          <w:color w:val="000000" w:themeColor="text1"/>
          <w:sz w:val="22"/>
          <w:szCs w:val="22"/>
        </w:rPr>
        <w:t>immediately before Parts 1 and 2 of Schedule 1 to the </w:t>
      </w:r>
      <w:r w:rsidRPr="4774521F">
        <w:rPr>
          <w:i/>
          <w:iCs/>
          <w:color w:val="000000" w:themeColor="text1"/>
          <w:sz w:val="22"/>
          <w:szCs w:val="22"/>
        </w:rPr>
        <w:t>National Consumer Credit Protection Amendment (Supporting Economic Recovery) Act 2021</w:t>
      </w:r>
      <w:r w:rsidRPr="4774521F">
        <w:rPr>
          <w:color w:val="000000" w:themeColor="text1"/>
          <w:sz w:val="22"/>
          <w:szCs w:val="22"/>
        </w:rPr>
        <w:t> commence.</w:t>
      </w:r>
    </w:p>
    <w:p w14:paraId="76B42DAD" w14:textId="77777777" w:rsidR="005C3EA2" w:rsidRDefault="005C3EA2" w:rsidP="00F10D43">
      <w:pPr>
        <w:pStyle w:val="base-text-paragraph"/>
        <w:spacing w:before="240"/>
        <w:ind w:left="0"/>
      </w:pPr>
      <w:r w:rsidRPr="00A337A5">
        <w:rPr>
          <w:b/>
          <w:bCs/>
        </w:rPr>
        <w:t>Item 1</w:t>
      </w:r>
      <w:r w:rsidRPr="00695F58">
        <w:t xml:space="preserve"> </w:t>
      </w:r>
      <w:r>
        <w:t xml:space="preserve">in Schedule 1 </w:t>
      </w:r>
      <w:r w:rsidRPr="00695F58">
        <w:t>amends th</w:t>
      </w:r>
      <w:r>
        <w:t>is</w:t>
      </w:r>
      <w:r w:rsidRPr="00695F58">
        <w:t xml:space="preserve"> definition</w:t>
      </w:r>
      <w:r>
        <w:t xml:space="preserve"> of</w:t>
      </w:r>
      <w:r w:rsidRPr="00695F58">
        <w:t xml:space="preserve"> </w:t>
      </w:r>
      <w:r w:rsidRPr="2696CD9E">
        <w:rPr>
          <w:b/>
          <w:bCs/>
          <w:i/>
          <w:iCs/>
        </w:rPr>
        <w:t>exemption period</w:t>
      </w:r>
      <w:r>
        <w:t xml:space="preserve"> so that the exemption period ends at the start of 3 October 2026.</w:t>
      </w:r>
    </w:p>
    <w:p w14:paraId="794930B1" w14:textId="026FA559" w:rsidR="005C3EA2" w:rsidRPr="007D391B" w:rsidRDefault="005C3EA2" w:rsidP="00F10D43">
      <w:pPr>
        <w:pStyle w:val="base-text-paragraph"/>
        <w:tabs>
          <w:tab w:val="clear" w:pos="1987"/>
        </w:tabs>
        <w:spacing w:before="240"/>
        <w:ind w:left="0"/>
        <w:rPr>
          <w:color w:val="000000" w:themeColor="text1"/>
        </w:rPr>
      </w:pPr>
      <w:r w:rsidRPr="00A337A5">
        <w:rPr>
          <w:b/>
          <w:bCs/>
        </w:rPr>
        <w:t xml:space="preserve">Item </w:t>
      </w:r>
      <w:r>
        <w:rPr>
          <w:b/>
          <w:bCs/>
        </w:rPr>
        <w:t>1</w:t>
      </w:r>
      <w:r w:rsidRPr="00895F48">
        <w:t xml:space="preserve"> </w:t>
      </w:r>
      <w:r>
        <w:t xml:space="preserve">in Schedule 1 also removes </w:t>
      </w:r>
      <w:r w:rsidR="003D124B">
        <w:t>the</w:t>
      </w:r>
      <w:r>
        <w:t xml:space="preserve"> redundant </w:t>
      </w:r>
      <w:r w:rsidRPr="4774521F">
        <w:rPr>
          <w:color w:val="000000" w:themeColor="text1"/>
        </w:rPr>
        <w:t xml:space="preserve">reference to the </w:t>
      </w:r>
      <w:r w:rsidRPr="4774521F">
        <w:rPr>
          <w:i/>
          <w:iCs/>
          <w:color w:val="000000" w:themeColor="text1"/>
        </w:rPr>
        <w:t xml:space="preserve">National Consumer Credit Protection Amendment (Supporting Economic Recovery) Act 2021 </w:t>
      </w:r>
      <w:r w:rsidRPr="4774521F">
        <w:rPr>
          <w:color w:val="000000" w:themeColor="text1"/>
        </w:rPr>
        <w:t>in subparagraph</w:t>
      </w:r>
      <w:r w:rsidR="003D124B">
        <w:rPr>
          <w:color w:val="000000" w:themeColor="text1"/>
        </w:rPr>
        <w:t> </w:t>
      </w:r>
      <w:r w:rsidRPr="4774521F">
        <w:rPr>
          <w:color w:val="000000" w:themeColor="text1"/>
        </w:rPr>
        <w:t xml:space="preserve">28RB(7)(b)(ii). The National Consumer Credit Protection Amendment (Supporting Economic Recovery) Bill 2020 was </w:t>
      </w:r>
      <w:r>
        <w:rPr>
          <w:color w:val="000000" w:themeColor="text1"/>
        </w:rPr>
        <w:t xml:space="preserve">not enacted before </w:t>
      </w:r>
      <w:r w:rsidRPr="4774521F">
        <w:rPr>
          <w:color w:val="000000" w:themeColor="text1"/>
        </w:rPr>
        <w:t xml:space="preserve">Parliament was prorogued ahead of the 2022 election. </w:t>
      </w:r>
    </w:p>
    <w:p w14:paraId="39BD1D93" w14:textId="32619EE2" w:rsidR="003A46E1" w:rsidRDefault="004F3B1C" w:rsidP="00F10D43">
      <w:pPr>
        <w:spacing w:before="240"/>
      </w:pPr>
      <w:r>
        <w:t>The Act does not specify any conditions that need to be satisfied before the power</w:t>
      </w:r>
      <w:r w:rsidR="003A46E1">
        <w:t xml:space="preserve"> </w:t>
      </w:r>
      <w:r>
        <w:t>to make the Regulations may be exercised</w:t>
      </w:r>
      <w:r w:rsidR="003A46E1">
        <w:t>.</w:t>
      </w:r>
    </w:p>
    <w:p w14:paraId="63C0EB55" w14:textId="2A5793A2" w:rsidR="003A46E1" w:rsidRDefault="00446FCA" w:rsidP="00F10D43">
      <w:pPr>
        <w:spacing w:before="240"/>
      </w:pPr>
      <w:r w:rsidRPr="003C5719">
        <w:t xml:space="preserve">The </w:t>
      </w:r>
      <w:r w:rsidR="00E43D0E">
        <w:t>Regulations</w:t>
      </w:r>
      <w:r w:rsidR="003668F2">
        <w:t xml:space="preserve"> are</w:t>
      </w:r>
      <w:r w:rsidRPr="003C5719">
        <w:t xml:space="preserve"> </w:t>
      </w:r>
      <w:r>
        <w:t xml:space="preserve">a </w:t>
      </w:r>
      <w:r w:rsidRPr="003C5719">
        <w:t xml:space="preserve">legislative instrument for the purposes of the </w:t>
      </w:r>
      <w:r w:rsidRPr="003C5719">
        <w:rPr>
          <w:i/>
          <w:iCs/>
        </w:rPr>
        <w:t>Legislation Act 2003</w:t>
      </w:r>
      <w:r w:rsidRPr="003C5719">
        <w:t>.</w:t>
      </w:r>
      <w:r>
        <w:t xml:space="preserve"> </w:t>
      </w:r>
    </w:p>
    <w:p w14:paraId="17DC8C5C" w14:textId="0AB3A53F" w:rsidR="00E14DAB" w:rsidRDefault="00446FCA" w:rsidP="00F10D43">
      <w:pPr>
        <w:spacing w:before="240"/>
      </w:pPr>
      <w:r>
        <w:t xml:space="preserve">The </w:t>
      </w:r>
      <w:r w:rsidR="00E43D0E">
        <w:t>Regulations</w:t>
      </w:r>
      <w:r w:rsidR="00C0775A">
        <w:t xml:space="preserve"> </w:t>
      </w:r>
      <w:r w:rsidR="003668F2">
        <w:t>are</w:t>
      </w:r>
      <w:r>
        <w:t xml:space="preserve"> subject to disallowance under section 42 of the </w:t>
      </w:r>
      <w:r w:rsidRPr="000B4B79">
        <w:rPr>
          <w:i/>
          <w:iCs/>
        </w:rPr>
        <w:t xml:space="preserve">Legislation Act </w:t>
      </w:r>
      <w:r w:rsidR="007D0030">
        <w:rPr>
          <w:i/>
          <w:iCs/>
        </w:rPr>
        <w:t xml:space="preserve">2003 </w:t>
      </w:r>
      <w:r>
        <w:t>and will be repealed automatically by section 48A of that Act.</w:t>
      </w:r>
    </w:p>
    <w:p w14:paraId="4FBC8429" w14:textId="6062F2CD" w:rsidR="000D29A0" w:rsidRDefault="000D29A0" w:rsidP="00F10D43">
      <w:pPr>
        <w:spacing w:before="240"/>
      </w:pPr>
      <w:r>
        <w:t xml:space="preserve">The </w:t>
      </w:r>
      <w:r w:rsidR="00E43D0E">
        <w:t>Regulations</w:t>
      </w:r>
      <w:r>
        <w:t xml:space="preserve"> </w:t>
      </w:r>
      <w:r w:rsidR="00BE4B2B">
        <w:t>commence</w:t>
      </w:r>
      <w:r>
        <w:t xml:space="preserve"> the day after the </w:t>
      </w:r>
      <w:r w:rsidR="00BE3A1A" w:rsidRPr="006F683C">
        <w:t xml:space="preserve">instrument is registered </w:t>
      </w:r>
      <w:r w:rsidR="00BE3A1A" w:rsidRPr="003C5719">
        <w:t>on the Federal Register of Legislation</w:t>
      </w:r>
      <w:r w:rsidR="00937AD6">
        <w:t>.</w:t>
      </w:r>
      <w:r w:rsidR="00A977AA">
        <w:t xml:space="preserve"> </w:t>
      </w:r>
    </w:p>
    <w:p w14:paraId="2EB9E6CD" w14:textId="2D23D433" w:rsidR="00862ACF" w:rsidRPr="00C84FA0" w:rsidRDefault="0011527C" w:rsidP="00F10D43">
      <w:pPr>
        <w:spacing w:before="240"/>
      </w:pPr>
      <w:r w:rsidRPr="003C5719">
        <w:t xml:space="preserve">The Office of Impact Analysis </w:t>
      </w:r>
      <w:r w:rsidR="000D335E" w:rsidRPr="003C5719">
        <w:t xml:space="preserve">(OIA) </w:t>
      </w:r>
      <w:r w:rsidRPr="003C5719">
        <w:t>has been consulted (</w:t>
      </w:r>
      <w:r w:rsidR="00AE460D">
        <w:t xml:space="preserve">ref: </w:t>
      </w:r>
      <w:r w:rsidR="004D429D">
        <w:t>OIA</w:t>
      </w:r>
      <w:sdt>
        <w:sdtPr>
          <w:id w:val="-2093919849"/>
          <w:placeholder>
            <w:docPart w:val="4E426EC1A5B8463F8F8BDE024D7B60D8"/>
          </w:placeholder>
        </w:sdtPr>
        <w:sdtEndPr/>
        <w:sdtContent>
          <w:r w:rsidR="008046E0">
            <w:t>24</w:t>
          </w:r>
          <w:r w:rsidR="005A0350">
            <w:noBreakHyphen/>
            <w:t>07263</w:t>
          </w:r>
        </w:sdtContent>
      </w:sdt>
      <w:r w:rsidRPr="003C5719">
        <w:t xml:space="preserve">) and agreed that </w:t>
      </w:r>
      <w:r w:rsidR="00587AAC">
        <w:t>an Impact Analysis is not required</w:t>
      </w:r>
      <w:r w:rsidRPr="003C5719">
        <w:t xml:space="preserve">. </w:t>
      </w:r>
      <w:r w:rsidR="00587AAC">
        <w:t>The measure has no impact on compliance costs</w:t>
      </w:r>
      <w:r w:rsidRPr="003C5719">
        <w:t xml:space="preserve">. </w:t>
      </w:r>
    </w:p>
    <w:sectPr w:rsidR="00862ACF" w:rsidRPr="00C84FA0" w:rsidSect="004A27A8">
      <w:headerReference w:type="even" r:id="rId8"/>
      <w:headerReference w:type="default" r:id="rId9"/>
      <w:footerReference w:type="default" r:id="rId10"/>
      <w:headerReference w:type="firs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C7A8" w14:textId="77777777" w:rsidR="00E54708" w:rsidRDefault="00E54708" w:rsidP="00954679">
      <w:pPr>
        <w:spacing w:before="0" w:after="0"/>
      </w:pPr>
      <w:r>
        <w:separator/>
      </w:r>
    </w:p>
  </w:endnote>
  <w:endnote w:type="continuationSeparator" w:id="0">
    <w:p w14:paraId="148F8471" w14:textId="77777777" w:rsidR="00E54708" w:rsidRDefault="00E54708" w:rsidP="00954679">
      <w:pPr>
        <w:spacing w:before="0" w:after="0"/>
      </w:pPr>
      <w:r>
        <w:continuationSeparator/>
      </w:r>
    </w:p>
  </w:endnote>
  <w:endnote w:type="continuationNotice" w:id="1">
    <w:p w14:paraId="705E475A" w14:textId="77777777" w:rsidR="00E54708" w:rsidRDefault="00E547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ECFF71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1417" w14:textId="77777777" w:rsidR="00E54708" w:rsidRDefault="00E54708" w:rsidP="00954679">
      <w:pPr>
        <w:spacing w:before="0" w:after="0"/>
      </w:pPr>
      <w:r>
        <w:separator/>
      </w:r>
    </w:p>
  </w:footnote>
  <w:footnote w:type="continuationSeparator" w:id="0">
    <w:p w14:paraId="58113C66" w14:textId="77777777" w:rsidR="00E54708" w:rsidRDefault="00E54708" w:rsidP="00954679">
      <w:pPr>
        <w:spacing w:before="0" w:after="0"/>
      </w:pPr>
      <w:r>
        <w:continuationSeparator/>
      </w:r>
    </w:p>
  </w:footnote>
  <w:footnote w:type="continuationNotice" w:id="1">
    <w:p w14:paraId="4777F422" w14:textId="77777777" w:rsidR="00E54708" w:rsidRDefault="00E547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7CB3" w14:textId="1CB5D9B7" w:rsidR="006623C4" w:rsidRDefault="00890926">
    <w:pPr>
      <w:pStyle w:val="Header"/>
    </w:pPr>
    <w:r>
      <w:rPr>
        <w:noProof/>
      </w:rPr>
      <w:pict w14:anchorId="32666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80954" o:spid="_x0000_s1026" type="#_x0000_t136" style="position:absolute;margin-left:0;margin-top:0;width:542pt;height:77.4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BBB3" w14:textId="6AFD7F59" w:rsidR="006623C4" w:rsidRDefault="00890926">
    <w:pPr>
      <w:pStyle w:val="Header"/>
    </w:pPr>
    <w:r>
      <w:rPr>
        <w:noProof/>
      </w:rPr>
      <w:pict w14:anchorId="6DB59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80955" o:spid="_x0000_s1027" type="#_x0000_t136" style="position:absolute;margin-left:0;margin-top:0;width:542pt;height:77.4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6D38" w14:textId="725CE0F3" w:rsidR="006623C4" w:rsidRDefault="00890926">
    <w:pPr>
      <w:pStyle w:val="Header"/>
    </w:pPr>
    <w:r>
      <w:rPr>
        <w:noProof/>
      </w:rPr>
      <w:pict w14:anchorId="21772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80953" o:spid="_x0000_s1025" type="#_x0000_t136" style="position:absolute;margin-left:0;margin-top:0;width:542pt;height:77.4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465A23"/>
    <w:multiLevelType w:val="hybridMultilevel"/>
    <w:tmpl w:val="608E8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32B29EC"/>
    <w:multiLevelType w:val="hybridMultilevel"/>
    <w:tmpl w:val="F4540592"/>
    <w:lvl w:ilvl="0" w:tplc="0C09001B">
      <w:start w:val="1"/>
      <w:numFmt w:val="lowerRoman"/>
      <w:lvlText w:val="%1."/>
      <w:lvlJc w:val="right"/>
      <w:pPr>
        <w:ind w:left="1154" w:hanging="360"/>
      </w:p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5" w15:restartNumberingAfterBreak="0">
    <w:nsid w:val="5BF1783A"/>
    <w:multiLevelType w:val="multilevel"/>
    <w:tmpl w:val="400C6CA0"/>
    <w:lvl w:ilvl="0">
      <w:start w:val="1"/>
      <w:numFmt w:val="bullet"/>
      <w:lvlText w:val="•"/>
      <w:lvlJc w:val="left"/>
      <w:pPr>
        <w:tabs>
          <w:tab w:val="num" w:pos="1314"/>
        </w:tabs>
        <w:ind w:left="1314" w:hanging="520"/>
      </w:pPr>
      <w:rPr>
        <w:rFonts w:ascii="Times New Roman" w:hAnsi="Times New Roman" w:cs="Times New Roman"/>
      </w:rPr>
    </w:lvl>
    <w:lvl w:ilvl="1">
      <w:start w:val="1"/>
      <w:numFmt w:val="bullet"/>
      <w:lvlText w:val="–"/>
      <w:lvlJc w:val="left"/>
      <w:pPr>
        <w:tabs>
          <w:tab w:val="num" w:pos="1834"/>
        </w:tabs>
        <w:ind w:left="1834" w:hanging="520"/>
      </w:pPr>
      <w:rPr>
        <w:rFonts w:ascii="Times New Roman" w:hAnsi="Times New Roman" w:cs="Times New Roman"/>
      </w:rPr>
    </w:lvl>
    <w:lvl w:ilvl="2">
      <w:start w:val="1"/>
      <w:numFmt w:val="bullet"/>
      <w:lvlText w:val=":"/>
      <w:lvlJc w:val="left"/>
      <w:pPr>
        <w:tabs>
          <w:tab w:val="num" w:pos="2354"/>
        </w:tabs>
        <w:ind w:left="2354" w:hanging="520"/>
      </w:pPr>
      <w:rPr>
        <w:rFonts w:ascii="Times New Roman" w:hAnsi="Times New Roman" w:cs="Times New Roman"/>
      </w:rPr>
    </w:lvl>
    <w:lvl w:ilvl="3">
      <w:start w:val="1"/>
      <w:numFmt w:val="decimal"/>
      <w:lvlText w:val="(%4)"/>
      <w:lvlJc w:val="left"/>
      <w:pPr>
        <w:ind w:left="2234" w:hanging="360"/>
      </w:pPr>
    </w:lvl>
    <w:lvl w:ilvl="4">
      <w:start w:val="1"/>
      <w:numFmt w:val="lowerLetter"/>
      <w:lvlText w:val="(%5)"/>
      <w:lvlJc w:val="left"/>
      <w:pPr>
        <w:ind w:left="2594" w:hanging="360"/>
      </w:pPr>
    </w:lvl>
    <w:lvl w:ilvl="5">
      <w:start w:val="1"/>
      <w:numFmt w:val="lowerRoman"/>
      <w:lvlText w:val="(%6)"/>
      <w:lvlJc w:val="left"/>
      <w:pPr>
        <w:ind w:left="2954" w:hanging="360"/>
      </w:pPr>
    </w:lvl>
    <w:lvl w:ilvl="6">
      <w:start w:val="1"/>
      <w:numFmt w:val="decimal"/>
      <w:lvlText w:val="%7."/>
      <w:lvlJc w:val="left"/>
      <w:pPr>
        <w:ind w:left="3314" w:hanging="360"/>
      </w:pPr>
    </w:lvl>
    <w:lvl w:ilvl="7">
      <w:start w:val="1"/>
      <w:numFmt w:val="lowerLetter"/>
      <w:lvlText w:val="%8."/>
      <w:lvlJc w:val="left"/>
      <w:pPr>
        <w:ind w:left="3674" w:hanging="360"/>
      </w:pPr>
    </w:lvl>
    <w:lvl w:ilvl="8">
      <w:start w:val="1"/>
      <w:numFmt w:val="lowerRoman"/>
      <w:lvlText w:val="%9."/>
      <w:lvlJc w:val="left"/>
      <w:pPr>
        <w:ind w:left="4034" w:hanging="360"/>
      </w:pPr>
    </w:lvl>
  </w:abstractNum>
  <w:abstractNum w:abstractNumId="6" w15:restartNumberingAfterBreak="0">
    <w:nsid w:val="5FBC7E8D"/>
    <w:multiLevelType w:val="singleLevel"/>
    <w:tmpl w:val="675A40BE"/>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7"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4F014E"/>
    <w:multiLevelType w:val="hybridMultilevel"/>
    <w:tmpl w:val="964C6C26"/>
    <w:lvl w:ilvl="0" w:tplc="0C7A1D46">
      <w:start w:val="20"/>
      <w:numFmt w:val="bullet"/>
      <w:lvlText w:val="-"/>
      <w:lvlJc w:val="left"/>
      <w:pPr>
        <w:ind w:left="2345" w:hanging="360"/>
      </w:pPr>
      <w:rPr>
        <w:rFonts w:ascii="Times New Roman" w:eastAsia="Times New Roman" w:hAnsi="Times New Roman" w:cs="Times New Roman"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num w:numId="1" w16cid:durableId="2142919768">
    <w:abstractNumId w:val="3"/>
  </w:num>
  <w:num w:numId="2" w16cid:durableId="92435628">
    <w:abstractNumId w:val="7"/>
  </w:num>
  <w:num w:numId="3" w16cid:durableId="102648425">
    <w:abstractNumId w:val="1"/>
  </w:num>
  <w:num w:numId="4" w16cid:durableId="1451314351">
    <w:abstractNumId w:val="0"/>
  </w:num>
  <w:num w:numId="5" w16cid:durableId="1455824937">
    <w:abstractNumId w:val="7"/>
  </w:num>
  <w:num w:numId="6" w16cid:durableId="2012178582">
    <w:abstractNumId w:val="7"/>
  </w:num>
  <w:num w:numId="7" w16cid:durableId="1173374635">
    <w:abstractNumId w:val="7"/>
  </w:num>
  <w:num w:numId="8" w16cid:durableId="1074162301">
    <w:abstractNumId w:val="7"/>
  </w:num>
  <w:num w:numId="9" w16cid:durableId="1206795025">
    <w:abstractNumId w:val="7"/>
  </w:num>
  <w:num w:numId="10" w16cid:durableId="474571849">
    <w:abstractNumId w:val="7"/>
  </w:num>
  <w:num w:numId="11" w16cid:durableId="890385033">
    <w:abstractNumId w:val="7"/>
  </w:num>
  <w:num w:numId="12" w16cid:durableId="392780191">
    <w:abstractNumId w:val="7"/>
  </w:num>
  <w:num w:numId="13" w16cid:durableId="1793669345">
    <w:abstractNumId w:val="7"/>
  </w:num>
  <w:num w:numId="14" w16cid:durableId="2085832638">
    <w:abstractNumId w:val="7"/>
  </w:num>
  <w:num w:numId="15" w16cid:durableId="724838217">
    <w:abstractNumId w:val="7"/>
  </w:num>
  <w:num w:numId="16" w16cid:durableId="951398036">
    <w:abstractNumId w:val="7"/>
  </w:num>
  <w:num w:numId="17" w16cid:durableId="415790736">
    <w:abstractNumId w:val="5"/>
  </w:num>
  <w:num w:numId="18" w16cid:durableId="1799375098">
    <w:abstractNumId w:val="6"/>
  </w:num>
  <w:num w:numId="19" w16cid:durableId="695303150">
    <w:abstractNumId w:val="8"/>
  </w:num>
  <w:num w:numId="20" w16cid:durableId="1682850976">
    <w:abstractNumId w:val="4"/>
  </w:num>
  <w:num w:numId="21" w16cid:durableId="22534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37"/>
    <w:rsid w:val="000026BE"/>
    <w:rsid w:val="00003189"/>
    <w:rsid w:val="00005025"/>
    <w:rsid w:val="00005B51"/>
    <w:rsid w:val="0000628C"/>
    <w:rsid w:val="00012F6B"/>
    <w:rsid w:val="00013390"/>
    <w:rsid w:val="00016EA2"/>
    <w:rsid w:val="0002333F"/>
    <w:rsid w:val="0002546A"/>
    <w:rsid w:val="00026989"/>
    <w:rsid w:val="00031AE1"/>
    <w:rsid w:val="00041C87"/>
    <w:rsid w:val="00044F3E"/>
    <w:rsid w:val="000455BA"/>
    <w:rsid w:val="00051648"/>
    <w:rsid w:val="000524A9"/>
    <w:rsid w:val="0005316A"/>
    <w:rsid w:val="000547DB"/>
    <w:rsid w:val="00075A77"/>
    <w:rsid w:val="00076178"/>
    <w:rsid w:val="00076E15"/>
    <w:rsid w:val="00076FF9"/>
    <w:rsid w:val="00077142"/>
    <w:rsid w:val="00077BBF"/>
    <w:rsid w:val="00080673"/>
    <w:rsid w:val="00083924"/>
    <w:rsid w:val="0008473F"/>
    <w:rsid w:val="00084A20"/>
    <w:rsid w:val="000854E0"/>
    <w:rsid w:val="00085802"/>
    <w:rsid w:val="000866C7"/>
    <w:rsid w:val="0008741E"/>
    <w:rsid w:val="000943B6"/>
    <w:rsid w:val="00094B49"/>
    <w:rsid w:val="00095211"/>
    <w:rsid w:val="00095DB5"/>
    <w:rsid w:val="000A05DD"/>
    <w:rsid w:val="000A42EF"/>
    <w:rsid w:val="000A69C5"/>
    <w:rsid w:val="000A6F26"/>
    <w:rsid w:val="000B39A1"/>
    <w:rsid w:val="000B4B79"/>
    <w:rsid w:val="000B62EA"/>
    <w:rsid w:val="000C10DF"/>
    <w:rsid w:val="000C1C9F"/>
    <w:rsid w:val="000C2E12"/>
    <w:rsid w:val="000C3ECC"/>
    <w:rsid w:val="000C4B61"/>
    <w:rsid w:val="000C5C40"/>
    <w:rsid w:val="000C6935"/>
    <w:rsid w:val="000D11E5"/>
    <w:rsid w:val="000D2234"/>
    <w:rsid w:val="000D286F"/>
    <w:rsid w:val="000D29A0"/>
    <w:rsid w:val="000D335E"/>
    <w:rsid w:val="000D5827"/>
    <w:rsid w:val="000D59B4"/>
    <w:rsid w:val="000D7977"/>
    <w:rsid w:val="000E32E3"/>
    <w:rsid w:val="000F1F12"/>
    <w:rsid w:val="000F3A05"/>
    <w:rsid w:val="000F53D9"/>
    <w:rsid w:val="001012C2"/>
    <w:rsid w:val="00106E36"/>
    <w:rsid w:val="00113B45"/>
    <w:rsid w:val="00114003"/>
    <w:rsid w:val="0011527C"/>
    <w:rsid w:val="00117C02"/>
    <w:rsid w:val="0012687B"/>
    <w:rsid w:val="001276B4"/>
    <w:rsid w:val="001319C8"/>
    <w:rsid w:val="001331B7"/>
    <w:rsid w:val="00133D7A"/>
    <w:rsid w:val="00136A49"/>
    <w:rsid w:val="00142BCF"/>
    <w:rsid w:val="0014608E"/>
    <w:rsid w:val="001521B0"/>
    <w:rsid w:val="00162D95"/>
    <w:rsid w:val="00172B5A"/>
    <w:rsid w:val="001740F2"/>
    <w:rsid w:val="00181559"/>
    <w:rsid w:val="00187857"/>
    <w:rsid w:val="001934D2"/>
    <w:rsid w:val="00195A29"/>
    <w:rsid w:val="001A1501"/>
    <w:rsid w:val="001B4919"/>
    <w:rsid w:val="001B7535"/>
    <w:rsid w:val="001B7EC2"/>
    <w:rsid w:val="001C0477"/>
    <w:rsid w:val="001D3AEC"/>
    <w:rsid w:val="001D75E5"/>
    <w:rsid w:val="001E5B24"/>
    <w:rsid w:val="001E6355"/>
    <w:rsid w:val="001E6A74"/>
    <w:rsid w:val="001F41D0"/>
    <w:rsid w:val="001F462C"/>
    <w:rsid w:val="002063B5"/>
    <w:rsid w:val="00207745"/>
    <w:rsid w:val="0021723F"/>
    <w:rsid w:val="00220F16"/>
    <w:rsid w:val="00221082"/>
    <w:rsid w:val="00226FA1"/>
    <w:rsid w:val="00231837"/>
    <w:rsid w:val="002349A0"/>
    <w:rsid w:val="00240D31"/>
    <w:rsid w:val="0024245F"/>
    <w:rsid w:val="00254C5B"/>
    <w:rsid w:val="002602A7"/>
    <w:rsid w:val="00262C47"/>
    <w:rsid w:val="00263D44"/>
    <w:rsid w:val="0027118E"/>
    <w:rsid w:val="0027238E"/>
    <w:rsid w:val="002725F4"/>
    <w:rsid w:val="0027423F"/>
    <w:rsid w:val="0027524B"/>
    <w:rsid w:val="002771E5"/>
    <w:rsid w:val="00277840"/>
    <w:rsid w:val="002859DD"/>
    <w:rsid w:val="00287C5A"/>
    <w:rsid w:val="002905F4"/>
    <w:rsid w:val="00293839"/>
    <w:rsid w:val="00297981"/>
    <w:rsid w:val="002A1236"/>
    <w:rsid w:val="002A3C80"/>
    <w:rsid w:val="002A4E17"/>
    <w:rsid w:val="002A6DA4"/>
    <w:rsid w:val="002A78E2"/>
    <w:rsid w:val="002A7B74"/>
    <w:rsid w:val="002A7DFC"/>
    <w:rsid w:val="002A7E1F"/>
    <w:rsid w:val="002B3FFB"/>
    <w:rsid w:val="002B552D"/>
    <w:rsid w:val="002C0792"/>
    <w:rsid w:val="002C0A5A"/>
    <w:rsid w:val="002C226C"/>
    <w:rsid w:val="002C22DD"/>
    <w:rsid w:val="002C3EE2"/>
    <w:rsid w:val="002C3F6D"/>
    <w:rsid w:val="002C7017"/>
    <w:rsid w:val="002C7A8B"/>
    <w:rsid w:val="002D2A5B"/>
    <w:rsid w:val="002D4B55"/>
    <w:rsid w:val="002D5C46"/>
    <w:rsid w:val="002D6582"/>
    <w:rsid w:val="002E391F"/>
    <w:rsid w:val="002E73BB"/>
    <w:rsid w:val="002E78C2"/>
    <w:rsid w:val="002F022D"/>
    <w:rsid w:val="002F5AB5"/>
    <w:rsid w:val="002F6BB1"/>
    <w:rsid w:val="003037F8"/>
    <w:rsid w:val="003041FA"/>
    <w:rsid w:val="003076D9"/>
    <w:rsid w:val="00311F7D"/>
    <w:rsid w:val="00312A68"/>
    <w:rsid w:val="00314AB3"/>
    <w:rsid w:val="003342CD"/>
    <w:rsid w:val="0033477F"/>
    <w:rsid w:val="00335042"/>
    <w:rsid w:val="00335F6E"/>
    <w:rsid w:val="00341642"/>
    <w:rsid w:val="00355872"/>
    <w:rsid w:val="00357733"/>
    <w:rsid w:val="00360C0A"/>
    <w:rsid w:val="00362B70"/>
    <w:rsid w:val="00364598"/>
    <w:rsid w:val="00364DEE"/>
    <w:rsid w:val="003668F2"/>
    <w:rsid w:val="00370395"/>
    <w:rsid w:val="0037180D"/>
    <w:rsid w:val="00372568"/>
    <w:rsid w:val="003726F4"/>
    <w:rsid w:val="00373853"/>
    <w:rsid w:val="00382064"/>
    <w:rsid w:val="0038519E"/>
    <w:rsid w:val="00392BBA"/>
    <w:rsid w:val="00392C0C"/>
    <w:rsid w:val="003954FD"/>
    <w:rsid w:val="003A3EBE"/>
    <w:rsid w:val="003A46E1"/>
    <w:rsid w:val="003B0270"/>
    <w:rsid w:val="003B19DD"/>
    <w:rsid w:val="003B2468"/>
    <w:rsid w:val="003B2F64"/>
    <w:rsid w:val="003B31F4"/>
    <w:rsid w:val="003B4356"/>
    <w:rsid w:val="003B66F2"/>
    <w:rsid w:val="003C445C"/>
    <w:rsid w:val="003C5719"/>
    <w:rsid w:val="003C7907"/>
    <w:rsid w:val="003C7B82"/>
    <w:rsid w:val="003D0B99"/>
    <w:rsid w:val="003D124B"/>
    <w:rsid w:val="003D25E1"/>
    <w:rsid w:val="003D392B"/>
    <w:rsid w:val="003D60D7"/>
    <w:rsid w:val="003E0411"/>
    <w:rsid w:val="003E1C8F"/>
    <w:rsid w:val="003E1CE3"/>
    <w:rsid w:val="003E29AA"/>
    <w:rsid w:val="003E4D8C"/>
    <w:rsid w:val="003E77BC"/>
    <w:rsid w:val="003F17A4"/>
    <w:rsid w:val="003F3B86"/>
    <w:rsid w:val="003F7B94"/>
    <w:rsid w:val="004000AE"/>
    <w:rsid w:val="004049A9"/>
    <w:rsid w:val="0040673B"/>
    <w:rsid w:val="00412BB6"/>
    <w:rsid w:val="004201F1"/>
    <w:rsid w:val="004202F4"/>
    <w:rsid w:val="004211E2"/>
    <w:rsid w:val="00425D7F"/>
    <w:rsid w:val="0042689B"/>
    <w:rsid w:val="00433985"/>
    <w:rsid w:val="00436904"/>
    <w:rsid w:val="00436952"/>
    <w:rsid w:val="00437A0F"/>
    <w:rsid w:val="00446FCA"/>
    <w:rsid w:val="00447921"/>
    <w:rsid w:val="00451AC1"/>
    <w:rsid w:val="004541D6"/>
    <w:rsid w:val="00454E2D"/>
    <w:rsid w:val="00456574"/>
    <w:rsid w:val="004570D9"/>
    <w:rsid w:val="004577E7"/>
    <w:rsid w:val="00462095"/>
    <w:rsid w:val="00464356"/>
    <w:rsid w:val="00465496"/>
    <w:rsid w:val="00466731"/>
    <w:rsid w:val="00466DD5"/>
    <w:rsid w:val="00467E83"/>
    <w:rsid w:val="00470FE9"/>
    <w:rsid w:val="0047265F"/>
    <w:rsid w:val="00473B71"/>
    <w:rsid w:val="0047414E"/>
    <w:rsid w:val="004755FE"/>
    <w:rsid w:val="00482B6B"/>
    <w:rsid w:val="00482B81"/>
    <w:rsid w:val="00482D4C"/>
    <w:rsid w:val="00483475"/>
    <w:rsid w:val="004838E4"/>
    <w:rsid w:val="0048463A"/>
    <w:rsid w:val="00492BF6"/>
    <w:rsid w:val="004A10CE"/>
    <w:rsid w:val="004A1638"/>
    <w:rsid w:val="004A27A8"/>
    <w:rsid w:val="004A3018"/>
    <w:rsid w:val="004A4499"/>
    <w:rsid w:val="004B1757"/>
    <w:rsid w:val="004B261B"/>
    <w:rsid w:val="004B3C0F"/>
    <w:rsid w:val="004B49A1"/>
    <w:rsid w:val="004B4A3C"/>
    <w:rsid w:val="004B50B4"/>
    <w:rsid w:val="004B5859"/>
    <w:rsid w:val="004C05E4"/>
    <w:rsid w:val="004C28DF"/>
    <w:rsid w:val="004C42C0"/>
    <w:rsid w:val="004D429D"/>
    <w:rsid w:val="004D4AE5"/>
    <w:rsid w:val="004E2EE7"/>
    <w:rsid w:val="004E3590"/>
    <w:rsid w:val="004E39E1"/>
    <w:rsid w:val="004E4D0A"/>
    <w:rsid w:val="004F00BA"/>
    <w:rsid w:val="004F011F"/>
    <w:rsid w:val="004F03F4"/>
    <w:rsid w:val="004F3B1C"/>
    <w:rsid w:val="004F4674"/>
    <w:rsid w:val="004F4C00"/>
    <w:rsid w:val="004F56D0"/>
    <w:rsid w:val="0050061E"/>
    <w:rsid w:val="0050235E"/>
    <w:rsid w:val="00503A99"/>
    <w:rsid w:val="00503E44"/>
    <w:rsid w:val="0050777E"/>
    <w:rsid w:val="00507B19"/>
    <w:rsid w:val="005137AF"/>
    <w:rsid w:val="00513FE8"/>
    <w:rsid w:val="0051429B"/>
    <w:rsid w:val="00515117"/>
    <w:rsid w:val="00515283"/>
    <w:rsid w:val="0051729C"/>
    <w:rsid w:val="00520E32"/>
    <w:rsid w:val="005227CE"/>
    <w:rsid w:val="005231C5"/>
    <w:rsid w:val="00523A9B"/>
    <w:rsid w:val="00526D90"/>
    <w:rsid w:val="00533926"/>
    <w:rsid w:val="00537FB7"/>
    <w:rsid w:val="005411D1"/>
    <w:rsid w:val="00542873"/>
    <w:rsid w:val="0055675D"/>
    <w:rsid w:val="005573C4"/>
    <w:rsid w:val="0056517E"/>
    <w:rsid w:val="00566E8F"/>
    <w:rsid w:val="005709DE"/>
    <w:rsid w:val="005726BA"/>
    <w:rsid w:val="00573FFC"/>
    <w:rsid w:val="0057422E"/>
    <w:rsid w:val="005833BE"/>
    <w:rsid w:val="005858FB"/>
    <w:rsid w:val="00587AAC"/>
    <w:rsid w:val="005906DD"/>
    <w:rsid w:val="0059302A"/>
    <w:rsid w:val="005A0350"/>
    <w:rsid w:val="005A2572"/>
    <w:rsid w:val="005B11CF"/>
    <w:rsid w:val="005B3AF1"/>
    <w:rsid w:val="005B3BCA"/>
    <w:rsid w:val="005B566E"/>
    <w:rsid w:val="005C032C"/>
    <w:rsid w:val="005C0670"/>
    <w:rsid w:val="005C14F8"/>
    <w:rsid w:val="005C3EA2"/>
    <w:rsid w:val="005C59AC"/>
    <w:rsid w:val="005C73D6"/>
    <w:rsid w:val="005D2168"/>
    <w:rsid w:val="005D7D5A"/>
    <w:rsid w:val="005D7E35"/>
    <w:rsid w:val="005E4792"/>
    <w:rsid w:val="005E4BAC"/>
    <w:rsid w:val="005E4DF6"/>
    <w:rsid w:val="005E580A"/>
    <w:rsid w:val="005F030D"/>
    <w:rsid w:val="005F0ABE"/>
    <w:rsid w:val="005F133A"/>
    <w:rsid w:val="005F1BC2"/>
    <w:rsid w:val="005F5A07"/>
    <w:rsid w:val="0060130D"/>
    <w:rsid w:val="00606671"/>
    <w:rsid w:val="006073B7"/>
    <w:rsid w:val="006100E5"/>
    <w:rsid w:val="00611328"/>
    <w:rsid w:val="00612329"/>
    <w:rsid w:val="006131E6"/>
    <w:rsid w:val="006132E7"/>
    <w:rsid w:val="006137A6"/>
    <w:rsid w:val="00613B16"/>
    <w:rsid w:val="00614C80"/>
    <w:rsid w:val="00615574"/>
    <w:rsid w:val="00623F9C"/>
    <w:rsid w:val="006243C6"/>
    <w:rsid w:val="00630893"/>
    <w:rsid w:val="00636831"/>
    <w:rsid w:val="0064129F"/>
    <w:rsid w:val="0064309D"/>
    <w:rsid w:val="00647A4F"/>
    <w:rsid w:val="00647BB7"/>
    <w:rsid w:val="00660F56"/>
    <w:rsid w:val="006623C4"/>
    <w:rsid w:val="006711DF"/>
    <w:rsid w:val="00680297"/>
    <w:rsid w:val="0068046D"/>
    <w:rsid w:val="00680871"/>
    <w:rsid w:val="00681D00"/>
    <w:rsid w:val="00683956"/>
    <w:rsid w:val="006873CE"/>
    <w:rsid w:val="0069205F"/>
    <w:rsid w:val="00694429"/>
    <w:rsid w:val="00695F58"/>
    <w:rsid w:val="006978E8"/>
    <w:rsid w:val="006A0786"/>
    <w:rsid w:val="006A11D6"/>
    <w:rsid w:val="006B520A"/>
    <w:rsid w:val="006B523A"/>
    <w:rsid w:val="006B6407"/>
    <w:rsid w:val="006C170A"/>
    <w:rsid w:val="006C4749"/>
    <w:rsid w:val="006D10EC"/>
    <w:rsid w:val="006D1AC5"/>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26DA"/>
    <w:rsid w:val="00703CFB"/>
    <w:rsid w:val="00704CCA"/>
    <w:rsid w:val="00705171"/>
    <w:rsid w:val="007053B0"/>
    <w:rsid w:val="00710E94"/>
    <w:rsid w:val="00714138"/>
    <w:rsid w:val="00720DA2"/>
    <w:rsid w:val="0072470C"/>
    <w:rsid w:val="00727D8A"/>
    <w:rsid w:val="00730DA8"/>
    <w:rsid w:val="00731FEA"/>
    <w:rsid w:val="007323F4"/>
    <w:rsid w:val="00733078"/>
    <w:rsid w:val="00733FEA"/>
    <w:rsid w:val="00735921"/>
    <w:rsid w:val="0073599B"/>
    <w:rsid w:val="00736F61"/>
    <w:rsid w:val="00737D56"/>
    <w:rsid w:val="0074185E"/>
    <w:rsid w:val="00741D37"/>
    <w:rsid w:val="00742253"/>
    <w:rsid w:val="007436F0"/>
    <w:rsid w:val="0074422A"/>
    <w:rsid w:val="0074728E"/>
    <w:rsid w:val="00752C20"/>
    <w:rsid w:val="00757B95"/>
    <w:rsid w:val="00762A5B"/>
    <w:rsid w:val="007662C7"/>
    <w:rsid w:val="00772FAF"/>
    <w:rsid w:val="00776306"/>
    <w:rsid w:val="0077786C"/>
    <w:rsid w:val="007779D2"/>
    <w:rsid w:val="007816E2"/>
    <w:rsid w:val="00781A5F"/>
    <w:rsid w:val="007900F0"/>
    <w:rsid w:val="00793887"/>
    <w:rsid w:val="007A1887"/>
    <w:rsid w:val="007A19CC"/>
    <w:rsid w:val="007A33F8"/>
    <w:rsid w:val="007A38C3"/>
    <w:rsid w:val="007A4428"/>
    <w:rsid w:val="007A55A7"/>
    <w:rsid w:val="007A57BC"/>
    <w:rsid w:val="007B0A1B"/>
    <w:rsid w:val="007B1ED8"/>
    <w:rsid w:val="007B1F10"/>
    <w:rsid w:val="007B2143"/>
    <w:rsid w:val="007B2FEE"/>
    <w:rsid w:val="007B335E"/>
    <w:rsid w:val="007B4A9D"/>
    <w:rsid w:val="007C137D"/>
    <w:rsid w:val="007C2DE2"/>
    <w:rsid w:val="007C7D64"/>
    <w:rsid w:val="007C7F9C"/>
    <w:rsid w:val="007D0030"/>
    <w:rsid w:val="007D46A8"/>
    <w:rsid w:val="007D62AE"/>
    <w:rsid w:val="007D6771"/>
    <w:rsid w:val="007E018D"/>
    <w:rsid w:val="007E4786"/>
    <w:rsid w:val="007E4CEE"/>
    <w:rsid w:val="007E6A45"/>
    <w:rsid w:val="007F07D8"/>
    <w:rsid w:val="007F0F96"/>
    <w:rsid w:val="007F1B71"/>
    <w:rsid w:val="008020F0"/>
    <w:rsid w:val="0080320B"/>
    <w:rsid w:val="008046E0"/>
    <w:rsid w:val="008061D2"/>
    <w:rsid w:val="00807E7D"/>
    <w:rsid w:val="0081410E"/>
    <w:rsid w:val="008141D9"/>
    <w:rsid w:val="008145BA"/>
    <w:rsid w:val="00814A23"/>
    <w:rsid w:val="00816867"/>
    <w:rsid w:val="00823773"/>
    <w:rsid w:val="008249BE"/>
    <w:rsid w:val="00831675"/>
    <w:rsid w:val="00832A8B"/>
    <w:rsid w:val="00833654"/>
    <w:rsid w:val="008404AD"/>
    <w:rsid w:val="00844849"/>
    <w:rsid w:val="00845A80"/>
    <w:rsid w:val="008552D6"/>
    <w:rsid w:val="00855DA3"/>
    <w:rsid w:val="00860BB5"/>
    <w:rsid w:val="00860DFE"/>
    <w:rsid w:val="00862443"/>
    <w:rsid w:val="00862ACF"/>
    <w:rsid w:val="0086419A"/>
    <w:rsid w:val="00866607"/>
    <w:rsid w:val="00877071"/>
    <w:rsid w:val="008779B4"/>
    <w:rsid w:val="00877A2F"/>
    <w:rsid w:val="0088138D"/>
    <w:rsid w:val="00883863"/>
    <w:rsid w:val="0088467C"/>
    <w:rsid w:val="008853B9"/>
    <w:rsid w:val="00885AA3"/>
    <w:rsid w:val="00890926"/>
    <w:rsid w:val="00891F21"/>
    <w:rsid w:val="00892D3B"/>
    <w:rsid w:val="00894579"/>
    <w:rsid w:val="00895258"/>
    <w:rsid w:val="00895F48"/>
    <w:rsid w:val="008A1534"/>
    <w:rsid w:val="008A2BDB"/>
    <w:rsid w:val="008A5B67"/>
    <w:rsid w:val="008A5CCD"/>
    <w:rsid w:val="008A5E16"/>
    <w:rsid w:val="008A6A6D"/>
    <w:rsid w:val="008B29E7"/>
    <w:rsid w:val="008B2C4E"/>
    <w:rsid w:val="008B33DF"/>
    <w:rsid w:val="008B4378"/>
    <w:rsid w:val="008B5C0B"/>
    <w:rsid w:val="008B5E7E"/>
    <w:rsid w:val="008C2216"/>
    <w:rsid w:val="008C7554"/>
    <w:rsid w:val="008D07E2"/>
    <w:rsid w:val="008D16F7"/>
    <w:rsid w:val="008D40FA"/>
    <w:rsid w:val="008D4835"/>
    <w:rsid w:val="008E1427"/>
    <w:rsid w:val="008E52C7"/>
    <w:rsid w:val="008E5A1D"/>
    <w:rsid w:val="008F0C50"/>
    <w:rsid w:val="008F2529"/>
    <w:rsid w:val="008F3000"/>
    <w:rsid w:val="008F52A5"/>
    <w:rsid w:val="008F5B15"/>
    <w:rsid w:val="008F778A"/>
    <w:rsid w:val="00902ED6"/>
    <w:rsid w:val="0090320B"/>
    <w:rsid w:val="00903800"/>
    <w:rsid w:val="00906037"/>
    <w:rsid w:val="00911A2E"/>
    <w:rsid w:val="0091280A"/>
    <w:rsid w:val="009143A0"/>
    <w:rsid w:val="00921B5A"/>
    <w:rsid w:val="00925124"/>
    <w:rsid w:val="00925635"/>
    <w:rsid w:val="00927C59"/>
    <w:rsid w:val="00927CA8"/>
    <w:rsid w:val="00931881"/>
    <w:rsid w:val="0093421F"/>
    <w:rsid w:val="00936902"/>
    <w:rsid w:val="00937611"/>
    <w:rsid w:val="00937AD6"/>
    <w:rsid w:val="00941D67"/>
    <w:rsid w:val="00942170"/>
    <w:rsid w:val="00942DA4"/>
    <w:rsid w:val="0094486D"/>
    <w:rsid w:val="00950E58"/>
    <w:rsid w:val="009514BE"/>
    <w:rsid w:val="00952DF0"/>
    <w:rsid w:val="00954679"/>
    <w:rsid w:val="009552FE"/>
    <w:rsid w:val="00955673"/>
    <w:rsid w:val="00955882"/>
    <w:rsid w:val="009562E9"/>
    <w:rsid w:val="009655DA"/>
    <w:rsid w:val="00965BBC"/>
    <w:rsid w:val="009661B9"/>
    <w:rsid w:val="009673D0"/>
    <w:rsid w:val="00972823"/>
    <w:rsid w:val="00974996"/>
    <w:rsid w:val="0098737D"/>
    <w:rsid w:val="00990BE6"/>
    <w:rsid w:val="009917D6"/>
    <w:rsid w:val="009A2167"/>
    <w:rsid w:val="009A49F0"/>
    <w:rsid w:val="009A5307"/>
    <w:rsid w:val="009B2C8E"/>
    <w:rsid w:val="009B7A38"/>
    <w:rsid w:val="009C0051"/>
    <w:rsid w:val="009C6409"/>
    <w:rsid w:val="009C6A1E"/>
    <w:rsid w:val="009C758D"/>
    <w:rsid w:val="009D2F0C"/>
    <w:rsid w:val="009D38AA"/>
    <w:rsid w:val="009D477C"/>
    <w:rsid w:val="009E1AFC"/>
    <w:rsid w:val="009E27A5"/>
    <w:rsid w:val="009E2F86"/>
    <w:rsid w:val="009F59D2"/>
    <w:rsid w:val="00A06599"/>
    <w:rsid w:val="00A07F1A"/>
    <w:rsid w:val="00A12209"/>
    <w:rsid w:val="00A20520"/>
    <w:rsid w:val="00A25A0A"/>
    <w:rsid w:val="00A275AF"/>
    <w:rsid w:val="00A30FBE"/>
    <w:rsid w:val="00A31484"/>
    <w:rsid w:val="00A31681"/>
    <w:rsid w:val="00A34CA4"/>
    <w:rsid w:val="00A36DF3"/>
    <w:rsid w:val="00A375BF"/>
    <w:rsid w:val="00A42831"/>
    <w:rsid w:val="00A4441D"/>
    <w:rsid w:val="00A532DD"/>
    <w:rsid w:val="00A5522E"/>
    <w:rsid w:val="00A60CE2"/>
    <w:rsid w:val="00A618B1"/>
    <w:rsid w:val="00A649B6"/>
    <w:rsid w:val="00A70DA8"/>
    <w:rsid w:val="00A7245F"/>
    <w:rsid w:val="00A74AD3"/>
    <w:rsid w:val="00A74B90"/>
    <w:rsid w:val="00A760F0"/>
    <w:rsid w:val="00A80BCF"/>
    <w:rsid w:val="00A825D1"/>
    <w:rsid w:val="00A8369C"/>
    <w:rsid w:val="00A849CE"/>
    <w:rsid w:val="00A85436"/>
    <w:rsid w:val="00A86579"/>
    <w:rsid w:val="00A90212"/>
    <w:rsid w:val="00A90CC4"/>
    <w:rsid w:val="00A9401D"/>
    <w:rsid w:val="00A94F6C"/>
    <w:rsid w:val="00A9772A"/>
    <w:rsid w:val="00A977AA"/>
    <w:rsid w:val="00AA1689"/>
    <w:rsid w:val="00AA2236"/>
    <w:rsid w:val="00AA2A91"/>
    <w:rsid w:val="00AA3C0A"/>
    <w:rsid w:val="00AA496F"/>
    <w:rsid w:val="00AA5770"/>
    <w:rsid w:val="00AA6F4C"/>
    <w:rsid w:val="00AA70DB"/>
    <w:rsid w:val="00AB0D5D"/>
    <w:rsid w:val="00AB2E70"/>
    <w:rsid w:val="00AB3220"/>
    <w:rsid w:val="00AB33C1"/>
    <w:rsid w:val="00AB3E03"/>
    <w:rsid w:val="00AB41DB"/>
    <w:rsid w:val="00AC1D15"/>
    <w:rsid w:val="00AD44C6"/>
    <w:rsid w:val="00AE460D"/>
    <w:rsid w:val="00AE50A6"/>
    <w:rsid w:val="00AE7D7E"/>
    <w:rsid w:val="00AE7F82"/>
    <w:rsid w:val="00AF7AEF"/>
    <w:rsid w:val="00B0487A"/>
    <w:rsid w:val="00B06492"/>
    <w:rsid w:val="00B07B0C"/>
    <w:rsid w:val="00B07C40"/>
    <w:rsid w:val="00B116EE"/>
    <w:rsid w:val="00B120F9"/>
    <w:rsid w:val="00B23CDB"/>
    <w:rsid w:val="00B25563"/>
    <w:rsid w:val="00B26D48"/>
    <w:rsid w:val="00B2789F"/>
    <w:rsid w:val="00B30A59"/>
    <w:rsid w:val="00B40949"/>
    <w:rsid w:val="00B40D80"/>
    <w:rsid w:val="00B416BE"/>
    <w:rsid w:val="00B41F7B"/>
    <w:rsid w:val="00B42EE1"/>
    <w:rsid w:val="00B47A59"/>
    <w:rsid w:val="00B5349B"/>
    <w:rsid w:val="00B5649C"/>
    <w:rsid w:val="00B7138A"/>
    <w:rsid w:val="00B73506"/>
    <w:rsid w:val="00B8293D"/>
    <w:rsid w:val="00B87A49"/>
    <w:rsid w:val="00B91ECE"/>
    <w:rsid w:val="00B92478"/>
    <w:rsid w:val="00B943FB"/>
    <w:rsid w:val="00B97463"/>
    <w:rsid w:val="00BA13A1"/>
    <w:rsid w:val="00BA25B4"/>
    <w:rsid w:val="00BA6188"/>
    <w:rsid w:val="00BB608E"/>
    <w:rsid w:val="00BB7567"/>
    <w:rsid w:val="00BC361A"/>
    <w:rsid w:val="00BC68C2"/>
    <w:rsid w:val="00BD0249"/>
    <w:rsid w:val="00BD2045"/>
    <w:rsid w:val="00BD3450"/>
    <w:rsid w:val="00BD3D7D"/>
    <w:rsid w:val="00BD49F7"/>
    <w:rsid w:val="00BD5B27"/>
    <w:rsid w:val="00BD61A2"/>
    <w:rsid w:val="00BD7170"/>
    <w:rsid w:val="00BE0325"/>
    <w:rsid w:val="00BE3A1A"/>
    <w:rsid w:val="00BE484D"/>
    <w:rsid w:val="00BE4B2B"/>
    <w:rsid w:val="00BF2596"/>
    <w:rsid w:val="00BF2AF6"/>
    <w:rsid w:val="00C00B11"/>
    <w:rsid w:val="00C0239D"/>
    <w:rsid w:val="00C0733B"/>
    <w:rsid w:val="00C0775A"/>
    <w:rsid w:val="00C2319C"/>
    <w:rsid w:val="00C2447B"/>
    <w:rsid w:val="00C24EDE"/>
    <w:rsid w:val="00C37E05"/>
    <w:rsid w:val="00C4270A"/>
    <w:rsid w:val="00C47789"/>
    <w:rsid w:val="00C52172"/>
    <w:rsid w:val="00C53E8D"/>
    <w:rsid w:val="00C55D29"/>
    <w:rsid w:val="00C56F2E"/>
    <w:rsid w:val="00C629CD"/>
    <w:rsid w:val="00C62B3A"/>
    <w:rsid w:val="00C630F2"/>
    <w:rsid w:val="00C63BA2"/>
    <w:rsid w:val="00C6495C"/>
    <w:rsid w:val="00C83DB6"/>
    <w:rsid w:val="00C84640"/>
    <w:rsid w:val="00C84FA0"/>
    <w:rsid w:val="00C85C72"/>
    <w:rsid w:val="00C86F6D"/>
    <w:rsid w:val="00C923B9"/>
    <w:rsid w:val="00C948D8"/>
    <w:rsid w:val="00C95115"/>
    <w:rsid w:val="00C95935"/>
    <w:rsid w:val="00CA0BE9"/>
    <w:rsid w:val="00CA138D"/>
    <w:rsid w:val="00CA3C89"/>
    <w:rsid w:val="00CA47EF"/>
    <w:rsid w:val="00CA57D9"/>
    <w:rsid w:val="00CA5D67"/>
    <w:rsid w:val="00CB3B7C"/>
    <w:rsid w:val="00CB684F"/>
    <w:rsid w:val="00CB7B6E"/>
    <w:rsid w:val="00CC220F"/>
    <w:rsid w:val="00CC2AFE"/>
    <w:rsid w:val="00CC3D39"/>
    <w:rsid w:val="00CC6D6F"/>
    <w:rsid w:val="00CC7641"/>
    <w:rsid w:val="00CD3916"/>
    <w:rsid w:val="00CD58B8"/>
    <w:rsid w:val="00CE0B46"/>
    <w:rsid w:val="00CE4EFB"/>
    <w:rsid w:val="00CE610E"/>
    <w:rsid w:val="00CE7D19"/>
    <w:rsid w:val="00CF0681"/>
    <w:rsid w:val="00CF1DD4"/>
    <w:rsid w:val="00CF2515"/>
    <w:rsid w:val="00CF3E79"/>
    <w:rsid w:val="00CF6603"/>
    <w:rsid w:val="00CF69F1"/>
    <w:rsid w:val="00D074A2"/>
    <w:rsid w:val="00D13794"/>
    <w:rsid w:val="00D218E7"/>
    <w:rsid w:val="00D2334C"/>
    <w:rsid w:val="00D24052"/>
    <w:rsid w:val="00D24386"/>
    <w:rsid w:val="00D265DD"/>
    <w:rsid w:val="00D31575"/>
    <w:rsid w:val="00D31A89"/>
    <w:rsid w:val="00D322F6"/>
    <w:rsid w:val="00D33440"/>
    <w:rsid w:val="00D34626"/>
    <w:rsid w:val="00D34FB4"/>
    <w:rsid w:val="00D359BA"/>
    <w:rsid w:val="00D37EFC"/>
    <w:rsid w:val="00D40AF5"/>
    <w:rsid w:val="00D4257A"/>
    <w:rsid w:val="00D456A9"/>
    <w:rsid w:val="00D46611"/>
    <w:rsid w:val="00D52798"/>
    <w:rsid w:val="00D5468A"/>
    <w:rsid w:val="00D6100E"/>
    <w:rsid w:val="00D61745"/>
    <w:rsid w:val="00D62665"/>
    <w:rsid w:val="00D645AC"/>
    <w:rsid w:val="00D664CE"/>
    <w:rsid w:val="00D66C71"/>
    <w:rsid w:val="00D66D7C"/>
    <w:rsid w:val="00D70205"/>
    <w:rsid w:val="00D7101F"/>
    <w:rsid w:val="00D735EF"/>
    <w:rsid w:val="00D7609F"/>
    <w:rsid w:val="00D81AA7"/>
    <w:rsid w:val="00D82E47"/>
    <w:rsid w:val="00D84A01"/>
    <w:rsid w:val="00D86F42"/>
    <w:rsid w:val="00D93FEF"/>
    <w:rsid w:val="00D977EA"/>
    <w:rsid w:val="00DA0DC1"/>
    <w:rsid w:val="00DA5E03"/>
    <w:rsid w:val="00DB148C"/>
    <w:rsid w:val="00DB1A31"/>
    <w:rsid w:val="00DB202E"/>
    <w:rsid w:val="00DB4F78"/>
    <w:rsid w:val="00DC027B"/>
    <w:rsid w:val="00DC0CDE"/>
    <w:rsid w:val="00DC1A85"/>
    <w:rsid w:val="00DC498E"/>
    <w:rsid w:val="00DC4D72"/>
    <w:rsid w:val="00DC57D5"/>
    <w:rsid w:val="00DC6525"/>
    <w:rsid w:val="00DC7018"/>
    <w:rsid w:val="00DD12B0"/>
    <w:rsid w:val="00DD5610"/>
    <w:rsid w:val="00DD5F35"/>
    <w:rsid w:val="00DF0CB3"/>
    <w:rsid w:val="00DF494C"/>
    <w:rsid w:val="00DF6D0B"/>
    <w:rsid w:val="00DF7E0D"/>
    <w:rsid w:val="00E0624D"/>
    <w:rsid w:val="00E0776D"/>
    <w:rsid w:val="00E14DAB"/>
    <w:rsid w:val="00E179D4"/>
    <w:rsid w:val="00E20023"/>
    <w:rsid w:val="00E248F9"/>
    <w:rsid w:val="00E26274"/>
    <w:rsid w:val="00E3022E"/>
    <w:rsid w:val="00E353A3"/>
    <w:rsid w:val="00E35C9D"/>
    <w:rsid w:val="00E363A9"/>
    <w:rsid w:val="00E37FF7"/>
    <w:rsid w:val="00E43D0E"/>
    <w:rsid w:val="00E4438C"/>
    <w:rsid w:val="00E457F3"/>
    <w:rsid w:val="00E50663"/>
    <w:rsid w:val="00E509BC"/>
    <w:rsid w:val="00E533BE"/>
    <w:rsid w:val="00E53D08"/>
    <w:rsid w:val="00E54708"/>
    <w:rsid w:val="00E55F9B"/>
    <w:rsid w:val="00E576F5"/>
    <w:rsid w:val="00E57A6A"/>
    <w:rsid w:val="00E73CC1"/>
    <w:rsid w:val="00E820E7"/>
    <w:rsid w:val="00E85AF3"/>
    <w:rsid w:val="00E86357"/>
    <w:rsid w:val="00E87284"/>
    <w:rsid w:val="00E874CF"/>
    <w:rsid w:val="00E87FDD"/>
    <w:rsid w:val="00E97664"/>
    <w:rsid w:val="00EA0681"/>
    <w:rsid w:val="00EA4DD8"/>
    <w:rsid w:val="00EA7959"/>
    <w:rsid w:val="00EB15DF"/>
    <w:rsid w:val="00EB2AEF"/>
    <w:rsid w:val="00EB2BED"/>
    <w:rsid w:val="00EB3D10"/>
    <w:rsid w:val="00EB7E71"/>
    <w:rsid w:val="00EC2B0C"/>
    <w:rsid w:val="00EC3443"/>
    <w:rsid w:val="00ED123E"/>
    <w:rsid w:val="00ED1576"/>
    <w:rsid w:val="00ED1F15"/>
    <w:rsid w:val="00ED216B"/>
    <w:rsid w:val="00EF1EAF"/>
    <w:rsid w:val="00EF2788"/>
    <w:rsid w:val="00EF3103"/>
    <w:rsid w:val="00EF453D"/>
    <w:rsid w:val="00EF6D27"/>
    <w:rsid w:val="00EF6E9B"/>
    <w:rsid w:val="00EF7714"/>
    <w:rsid w:val="00F02273"/>
    <w:rsid w:val="00F023DB"/>
    <w:rsid w:val="00F02B90"/>
    <w:rsid w:val="00F02FE0"/>
    <w:rsid w:val="00F109D4"/>
    <w:rsid w:val="00F10A6F"/>
    <w:rsid w:val="00F10D43"/>
    <w:rsid w:val="00F15EE9"/>
    <w:rsid w:val="00F24736"/>
    <w:rsid w:val="00F27344"/>
    <w:rsid w:val="00F343AA"/>
    <w:rsid w:val="00F376D1"/>
    <w:rsid w:val="00F4241B"/>
    <w:rsid w:val="00F45908"/>
    <w:rsid w:val="00F46704"/>
    <w:rsid w:val="00F46C17"/>
    <w:rsid w:val="00F47585"/>
    <w:rsid w:val="00F54028"/>
    <w:rsid w:val="00F56907"/>
    <w:rsid w:val="00F6249C"/>
    <w:rsid w:val="00F678B8"/>
    <w:rsid w:val="00F7078E"/>
    <w:rsid w:val="00F73EE8"/>
    <w:rsid w:val="00F74BDC"/>
    <w:rsid w:val="00F7545B"/>
    <w:rsid w:val="00F75BDB"/>
    <w:rsid w:val="00F81232"/>
    <w:rsid w:val="00F8291C"/>
    <w:rsid w:val="00F85E6F"/>
    <w:rsid w:val="00F938C8"/>
    <w:rsid w:val="00F95449"/>
    <w:rsid w:val="00F95DA0"/>
    <w:rsid w:val="00FA0677"/>
    <w:rsid w:val="00FA1942"/>
    <w:rsid w:val="00FA2E0F"/>
    <w:rsid w:val="00FA380A"/>
    <w:rsid w:val="00FC2CB5"/>
    <w:rsid w:val="00FC38D9"/>
    <w:rsid w:val="00FC3A8F"/>
    <w:rsid w:val="00FC595E"/>
    <w:rsid w:val="00FD19F7"/>
    <w:rsid w:val="00FD4C5A"/>
    <w:rsid w:val="00FD7402"/>
    <w:rsid w:val="00FE04E4"/>
    <w:rsid w:val="00FE08C7"/>
    <w:rsid w:val="00FE2DD7"/>
    <w:rsid w:val="00FE73F9"/>
    <w:rsid w:val="00FE7DDB"/>
    <w:rsid w:val="00FF1057"/>
    <w:rsid w:val="00FF1B78"/>
    <w:rsid w:val="00FF3E25"/>
    <w:rsid w:val="00FF5FD8"/>
    <w:rsid w:val="00FF6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LetterTableText">
    <w:name w:val="Letter Table Text"/>
    <w:rsid w:val="008141D9"/>
    <w:pPr>
      <w:spacing w:before="60" w:after="60"/>
    </w:pPr>
    <w:rPr>
      <w:sz w:val="22"/>
    </w:rPr>
  </w:style>
  <w:style w:type="character" w:customStyle="1" w:styleId="base-text-paragraphChar">
    <w:name w:val="base-text-paragraph Char"/>
    <w:basedOn w:val="DefaultParagraphFont"/>
    <w:link w:val="base-text-paragraph"/>
    <w:rsid w:val="00F02273"/>
    <w:rPr>
      <w:sz w:val="24"/>
    </w:rPr>
  </w:style>
  <w:style w:type="paragraph" w:customStyle="1" w:styleId="AttachmentAnormaltext">
    <w:name w:val="Attachment A normal text"/>
    <w:basedOn w:val="Normal"/>
    <w:qFormat/>
    <w:rsid w:val="00AA2A91"/>
    <w:pPr>
      <w:spacing w:before="240" w:after="0"/>
    </w:pPr>
  </w:style>
  <w:style w:type="paragraph" w:customStyle="1" w:styleId="paragraphsub">
    <w:name w:val="paragraphsub"/>
    <w:basedOn w:val="Normal"/>
    <w:rsid w:val="00D93FE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A212ABF5A49798E34D4945754551F"/>
        <w:category>
          <w:name w:val="General"/>
          <w:gallery w:val="placeholder"/>
        </w:category>
        <w:types>
          <w:type w:val="bbPlcHdr"/>
        </w:types>
        <w:behaviors>
          <w:behavior w:val="content"/>
        </w:behaviors>
        <w:guid w:val="{AC843B27-7586-486A-AAF6-CDAF647E424C}"/>
      </w:docPartPr>
      <w:docPartBody>
        <w:p w:rsidR="00541806" w:rsidRDefault="00D33130">
          <w:pPr>
            <w:pStyle w:val="3EDA212ABF5A49798E34D4945754551F"/>
          </w:pPr>
          <w:r w:rsidRPr="003C5719">
            <w:rPr>
              <w:rStyle w:val="PlaceholderText"/>
              <w:sz w:val="24"/>
              <w:szCs w:val="24"/>
            </w:rPr>
            <w:t>select a Minister</w:t>
          </w:r>
        </w:p>
      </w:docPartBody>
    </w:docPart>
    <w:docPart>
      <w:docPartPr>
        <w:name w:val="4E426EC1A5B8463F8F8BDE024D7B60D8"/>
        <w:category>
          <w:name w:val="General"/>
          <w:gallery w:val="placeholder"/>
        </w:category>
        <w:types>
          <w:type w:val="bbPlcHdr"/>
        </w:types>
        <w:behaviors>
          <w:behavior w:val="content"/>
        </w:behaviors>
        <w:guid w:val="{43D1EF45-2E9A-4BD2-81F5-C5F39178388E}"/>
      </w:docPartPr>
      <w:docPartBody>
        <w:p w:rsidR="00541806" w:rsidRDefault="00D33130">
          <w:pPr>
            <w:pStyle w:val="4E426EC1A5B8463F8F8BDE024D7B60D8"/>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8A"/>
    <w:rsid w:val="00541806"/>
    <w:rsid w:val="00633C10"/>
    <w:rsid w:val="00647265"/>
    <w:rsid w:val="006A30B0"/>
    <w:rsid w:val="008C558A"/>
    <w:rsid w:val="009E35DB"/>
    <w:rsid w:val="00D33130"/>
    <w:rsid w:val="00E32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DA212ABF5A49798E34D4945754551F">
    <w:name w:val="3EDA212ABF5A49798E34D4945754551F"/>
  </w:style>
  <w:style w:type="paragraph" w:customStyle="1" w:styleId="4E426EC1A5B8463F8F8BDE024D7B60D8">
    <w:name w:val="4E426EC1A5B8463F8F8BDE024D7B6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9F07-62BE-426D-A26C-78F56DE9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Explanatory statement: Treasury Laws Amendment Instrument 2024: Small Business Exemption</vt:lpstr>
    </vt:vector>
  </TitlesOfParts>
  <Company/>
  <LinksUpToDate>false</LinksUpToDate>
  <CharactersWithSpaces>4387</CharactersWithSpaces>
  <SharedDoc>false</SharedDoc>
  <HLinks>
    <vt:vector size="18" baseType="variant">
      <vt:variant>
        <vt:i4>2490404</vt:i4>
      </vt:variant>
      <vt:variant>
        <vt:i4>0</vt:i4>
      </vt:variant>
      <vt:variant>
        <vt:i4>0</vt:i4>
      </vt:variant>
      <vt:variant>
        <vt:i4>5</vt:i4>
      </vt:variant>
      <vt:variant>
        <vt:lpwstr>https://www.ag.gov.au/rights-and-protections/human-rights-and-anti-discrimination/human-rights-scrutiny/statements-compatibility-templates</vt:lpwstr>
      </vt:variant>
      <vt:variant>
        <vt:lpwstr/>
      </vt:variant>
      <vt:variant>
        <vt:i4>7405619</vt:i4>
      </vt:variant>
      <vt:variant>
        <vt:i4>3</vt:i4>
      </vt:variant>
      <vt:variant>
        <vt:i4>0</vt:i4>
      </vt:variant>
      <vt:variant>
        <vt:i4>5</vt:i4>
      </vt:variant>
      <vt:variant>
        <vt:lpwstr>https://austreasury.sharepoint.com/:w:/r/sites/parl-scr-function/sgt/Checklist for Explanatory Statements.docx?d=w22e1a54ced4c43d7861aa02b025a68e5&amp;csf=1&amp;web=1&amp;e=nuQOoe</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Instrument 2024: Small Business Exemption</dc:title>
  <dc:subject/>
  <dc:creator/>
  <cp:keywords/>
  <dc:description/>
  <cp:lastModifiedBy/>
  <cp:revision>1</cp:revision>
  <dcterms:created xsi:type="dcterms:W3CDTF">2024-08-08T03:54:00Z</dcterms:created>
  <dcterms:modified xsi:type="dcterms:W3CDTF">2024-08-08T04:31:00Z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2024-08-08T04:31:18Z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38ad2a2b-5c1b-4f15-9fba-054acffa78f7</vt:lpwstr>
  </property>
  <property fmtid="{D5CDD505-2E9C-101B-9397-08002B2CF9AE}" pid="8" name="MSIP_Label_4f932d64-9ab1-4d9b-81d2-a3a8b82dd47d_ContentBits">
    <vt:lpwstr>0</vt:lpwstr>
  </property>
</Properties>
</file>