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46534D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27D7BE2F" wp14:editId="1AA7CE5E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54443C9C" w:rsidR="002A31E6" w:rsidRPr="00EC7701" w:rsidRDefault="0046534D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House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F56B67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3B1E09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46534D">
            <w:rPr>
              <w:rFonts w:ascii="Montserrat Light" w:hAnsi="Montserrat Light"/>
              <w:sz w:val="32"/>
              <w:szCs w:val="32"/>
            </w:rPr>
            <w:t>Review of the Four Major Banks (Third Report)</w:t>
          </w:r>
        </w:sdtContent>
      </w:sdt>
    </w:p>
    <w:p w14:paraId="26B52DAF" w14:textId="5515018B" w:rsidR="002A31E6" w:rsidRPr="00EC7701" w:rsidRDefault="00F56B67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52061166" w14:textId="77777777" w:rsidR="00F56B67" w:rsidRPr="00C47A9C" w:rsidRDefault="00F56B67" w:rsidP="00F56B67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F56B67" w14:paraId="162D1656" w14:textId="77777777" w:rsidTr="00A1759D">
        <w:trPr>
          <w:trHeight w:val="70"/>
        </w:trPr>
        <w:tc>
          <w:tcPr>
            <w:tcW w:w="9016" w:type="dxa"/>
          </w:tcPr>
          <w:p w14:paraId="4DD66386" w14:textId="77777777" w:rsidR="00F56B67" w:rsidRPr="008774BA" w:rsidRDefault="00F56B67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1210E931" w14:textId="329748E2" w:rsidR="00F56B67" w:rsidRDefault="00F56B67" w:rsidP="00F56B67">
            <w:pPr>
              <w:pStyle w:val="BoxText"/>
              <w:widowControl w:val="0"/>
            </w:pPr>
            <w:r>
              <w:t>The committee recommends that banks be required to give merchants the ability to send tap-and-go payments from dual-network debit cards through the channel of their choice.</w:t>
            </w:r>
          </w:p>
          <w:p w14:paraId="648984D0" w14:textId="05933D63" w:rsidR="00F56B67" w:rsidRDefault="00F56B67" w:rsidP="00F56B67">
            <w:pPr>
              <w:pStyle w:val="BoxText"/>
              <w:widowControl w:val="0"/>
            </w:pPr>
            <w:r>
              <w:t xml:space="preserve">Merchants should be able to choose whether to route these transactions through </w:t>
            </w:r>
            <w:proofErr w:type="spellStart"/>
            <w:r>
              <w:t>eftpos</w:t>
            </w:r>
            <w:proofErr w:type="spellEnd"/>
            <w:r>
              <w:t xml:space="preserve"> or another channel, noting that consumers may override this merchant preference if they choose to do so.</w:t>
            </w:r>
          </w:p>
          <w:p w14:paraId="34B4F3FB" w14:textId="3C5CD173" w:rsidR="00F56B67" w:rsidRPr="008774BA" w:rsidRDefault="00F56B67" w:rsidP="00F56B67">
            <w:pPr>
              <w:pStyle w:val="BoxText"/>
              <w:widowControl w:val="0"/>
            </w:pPr>
            <w:r>
              <w:t>If the banks have not facilitated this recommendation by 1 April 2018, the Payments System Board should take regulatory action to require this to occur.</w:t>
            </w:r>
          </w:p>
          <w:p w14:paraId="1D00B808" w14:textId="77777777" w:rsidR="00F56B67" w:rsidRPr="009753EB" w:rsidRDefault="00F56B6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FA0C833" w14:textId="7B075300" w:rsidR="00F56B67" w:rsidRPr="008774BA" w:rsidRDefault="00F56B67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AE52D0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F56B67" w14:paraId="79BD940C" w14:textId="77777777" w:rsidTr="00A1759D">
        <w:trPr>
          <w:trHeight w:val="70"/>
        </w:trPr>
        <w:tc>
          <w:tcPr>
            <w:tcW w:w="9016" w:type="dxa"/>
          </w:tcPr>
          <w:p w14:paraId="5ABE917F" w14:textId="77777777" w:rsidR="00F56B67" w:rsidRPr="008774BA" w:rsidRDefault="00F56B67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 xml:space="preserve">Recommendation </w:t>
            </w:r>
            <w:r>
              <w:t>2</w:t>
            </w:r>
          </w:p>
          <w:p w14:paraId="5BE08E13" w14:textId="0D460465" w:rsidR="00F56B67" w:rsidRPr="008774BA" w:rsidRDefault="00F56B67" w:rsidP="00F56B67">
            <w:pPr>
              <w:pStyle w:val="BoxText"/>
              <w:widowControl w:val="0"/>
            </w:pPr>
            <w:r>
              <w:t>The committee recommends that the Australian Competition and Consumer Commission, as a part of its inquiry into residential mortgage products, analyse the repricing of interest-only mortgages that occurred in June 2017.</w:t>
            </w:r>
          </w:p>
          <w:p w14:paraId="50B7600B" w14:textId="77777777" w:rsidR="00F56B67" w:rsidRPr="009753EB" w:rsidRDefault="00F56B6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25EC6A7A" w14:textId="498756A4" w:rsidR="00F56B67" w:rsidRPr="008774BA" w:rsidRDefault="00F56B67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AE52D0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  <w:tr w:rsidR="00F56B67" w14:paraId="7709942B" w14:textId="77777777" w:rsidTr="00A1759D">
        <w:trPr>
          <w:trHeight w:val="70"/>
        </w:trPr>
        <w:tc>
          <w:tcPr>
            <w:tcW w:w="9016" w:type="dxa"/>
          </w:tcPr>
          <w:p w14:paraId="78E5865E" w14:textId="77777777" w:rsidR="00F56B67" w:rsidRPr="008774BA" w:rsidRDefault="00F56B67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 xml:space="preserve">Recommendation </w:t>
            </w:r>
            <w:r>
              <w:t>3</w:t>
            </w:r>
          </w:p>
          <w:p w14:paraId="1860C7A6" w14:textId="77257601" w:rsidR="00F56B67" w:rsidRPr="008774BA" w:rsidRDefault="00F56B67" w:rsidP="00F56B67">
            <w:pPr>
              <w:pStyle w:val="BoxText"/>
              <w:widowControl w:val="0"/>
            </w:pPr>
            <w:r>
              <w:t>The committee recommends that the Government introduce legislation to mandate participation in Comprehensive Credit Reporting as soon as practicable.</w:t>
            </w:r>
          </w:p>
          <w:p w14:paraId="53D7FCC0" w14:textId="77777777" w:rsidR="00F56B67" w:rsidRPr="009753EB" w:rsidRDefault="00F56B6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20083C9A" w14:textId="5384B1FC" w:rsidR="00F56B67" w:rsidRPr="008774BA" w:rsidRDefault="00F56B67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AE52D0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478F8D4" w14:textId="77777777" w:rsidR="00F56B67" w:rsidRDefault="00F56B67">
      <w:r>
        <w:rPr>
          <w:b/>
        </w:rPr>
        <w:br w:type="page"/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F56B67" w:rsidRPr="008774BA" w14:paraId="0CE35D0F" w14:textId="77777777" w:rsidTr="00A1759D">
        <w:trPr>
          <w:trHeight w:val="70"/>
        </w:trPr>
        <w:tc>
          <w:tcPr>
            <w:tcW w:w="9016" w:type="dxa"/>
          </w:tcPr>
          <w:p w14:paraId="4586269D" w14:textId="4333C77E" w:rsidR="00F56B67" w:rsidRPr="008774BA" w:rsidRDefault="00F56B67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lastRenderedPageBreak/>
              <w:t xml:space="preserve">Recommendation </w:t>
            </w:r>
            <w:r>
              <w:t>4</w:t>
            </w:r>
          </w:p>
          <w:p w14:paraId="46842B94" w14:textId="5AA99D32" w:rsidR="00F56B67" w:rsidRPr="008774BA" w:rsidRDefault="00F56B67" w:rsidP="00F56B67">
            <w:pPr>
              <w:pStyle w:val="BoxText"/>
              <w:widowControl w:val="0"/>
            </w:pPr>
            <w:r>
              <w:t xml:space="preserve">The committee recommends that the Attorney-General review the major banks’ threshold transaction reporting obligations </w:t>
            </w:r>
            <w:proofErr w:type="gramStart"/>
            <w:r>
              <w:t>in light of</w:t>
            </w:r>
            <w:proofErr w:type="gramEnd"/>
            <w:r>
              <w:t xml:space="preserve"> the issues identified in the CEO of AUSTRAC v Commonwealth Bank of Australia case.</w:t>
            </w:r>
          </w:p>
          <w:p w14:paraId="57889EBC" w14:textId="77777777" w:rsidR="00F56B67" w:rsidRPr="009753EB" w:rsidRDefault="00F56B67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2F3E8790" w14:textId="1A54F65F" w:rsidR="00F56B67" w:rsidRPr="008774BA" w:rsidRDefault="00F56B67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AE52D0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77777777" w:rsidR="0077630F" w:rsidRPr="00C47A9C" w:rsidRDefault="0077630F" w:rsidP="00F56B67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6F23" w14:textId="77777777" w:rsidR="00BF0CF6" w:rsidRDefault="00BF0CF6">
      <w:pPr>
        <w:spacing w:before="0" w:after="0"/>
      </w:pPr>
      <w:r>
        <w:separator/>
      </w:r>
    </w:p>
  </w:endnote>
  <w:endnote w:type="continuationSeparator" w:id="0">
    <w:p w14:paraId="49DFEAC0" w14:textId="77777777" w:rsidR="00BF0CF6" w:rsidRDefault="00BF0C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0534DDBA" w:rsidR="0077630F" w:rsidRPr="00F347BE" w:rsidRDefault="0046534D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30319428" wp14:editId="790D8823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3C8B1769" w:rsidR="0077630F" w:rsidRPr="00F347BE" w:rsidRDefault="0046534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172C9D1B" wp14:editId="2593C7FD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57DF190E" w:rsidR="0077630F" w:rsidRPr="00F347BE" w:rsidRDefault="0046534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7982EC36" wp14:editId="2EACD3D2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3B1E09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093A" w14:textId="77777777" w:rsidR="00BF0CF6" w:rsidRDefault="00BF0CF6" w:rsidP="00B47ECF">
      <w:r>
        <w:separator/>
      </w:r>
    </w:p>
  </w:footnote>
  <w:footnote w:type="continuationSeparator" w:id="0">
    <w:p w14:paraId="47F85736" w14:textId="77777777" w:rsidR="00BF0CF6" w:rsidRDefault="00BF0CF6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78571934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2A4B5F4" wp14:editId="73E528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406ED6BA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94644EB" wp14:editId="57CEB6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19E04321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4B7C06A7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77307AB4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16BEAB6" wp14:editId="14180B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572A7F88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BA4D282" w:tentative="1">
      <w:start w:val="1"/>
      <w:numFmt w:val="lowerLetter"/>
      <w:lvlText w:val="%2."/>
      <w:lvlJc w:val="left"/>
      <w:pPr>
        <w:ind w:left="1440" w:hanging="360"/>
      </w:pPr>
    </w:lvl>
    <w:lvl w:ilvl="2" w:tplc="55E0009C" w:tentative="1">
      <w:start w:val="1"/>
      <w:numFmt w:val="lowerRoman"/>
      <w:lvlText w:val="%3."/>
      <w:lvlJc w:val="right"/>
      <w:pPr>
        <w:ind w:left="2160" w:hanging="180"/>
      </w:pPr>
    </w:lvl>
    <w:lvl w:ilvl="3" w:tplc="B13282EE" w:tentative="1">
      <w:start w:val="1"/>
      <w:numFmt w:val="decimal"/>
      <w:lvlText w:val="%4."/>
      <w:lvlJc w:val="left"/>
      <w:pPr>
        <w:ind w:left="2880" w:hanging="360"/>
      </w:pPr>
    </w:lvl>
    <w:lvl w:ilvl="4" w:tplc="713C7A70" w:tentative="1">
      <w:start w:val="1"/>
      <w:numFmt w:val="lowerLetter"/>
      <w:lvlText w:val="%5."/>
      <w:lvlJc w:val="left"/>
      <w:pPr>
        <w:ind w:left="3600" w:hanging="360"/>
      </w:pPr>
    </w:lvl>
    <w:lvl w:ilvl="5" w:tplc="80D84A5E" w:tentative="1">
      <w:start w:val="1"/>
      <w:numFmt w:val="lowerRoman"/>
      <w:lvlText w:val="%6."/>
      <w:lvlJc w:val="right"/>
      <w:pPr>
        <w:ind w:left="4320" w:hanging="180"/>
      </w:pPr>
    </w:lvl>
    <w:lvl w:ilvl="6" w:tplc="7F36E0EE" w:tentative="1">
      <w:start w:val="1"/>
      <w:numFmt w:val="decimal"/>
      <w:lvlText w:val="%7."/>
      <w:lvlJc w:val="left"/>
      <w:pPr>
        <w:ind w:left="5040" w:hanging="360"/>
      </w:pPr>
    </w:lvl>
    <w:lvl w:ilvl="7" w:tplc="BB3C7030" w:tentative="1">
      <w:start w:val="1"/>
      <w:numFmt w:val="lowerLetter"/>
      <w:lvlText w:val="%8."/>
      <w:lvlJc w:val="left"/>
      <w:pPr>
        <w:ind w:left="5760" w:hanging="360"/>
      </w:pPr>
    </w:lvl>
    <w:lvl w:ilvl="8" w:tplc="67C8D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9D4617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81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CA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CA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42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67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26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AC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65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1677824">
    <w:abstractNumId w:val="2"/>
  </w:num>
  <w:num w:numId="2" w16cid:durableId="1054620445">
    <w:abstractNumId w:val="4"/>
  </w:num>
  <w:num w:numId="3" w16cid:durableId="82119175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1914411">
    <w:abstractNumId w:val="0"/>
  </w:num>
  <w:num w:numId="5" w16cid:durableId="2002342976">
    <w:abstractNumId w:val="5"/>
  </w:num>
  <w:num w:numId="6" w16cid:durableId="459689161">
    <w:abstractNumId w:val="6"/>
  </w:num>
  <w:num w:numId="7" w16cid:durableId="986740517">
    <w:abstractNumId w:val="3"/>
  </w:num>
  <w:num w:numId="8" w16cid:durableId="290672082">
    <w:abstractNumId w:val="7"/>
  </w:num>
  <w:num w:numId="9" w16cid:durableId="326176515">
    <w:abstractNumId w:val="1"/>
  </w:num>
  <w:num w:numId="10" w16cid:durableId="2123301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D051A"/>
    <w:rsid w:val="000D1C7F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3B1E09"/>
    <w:rsid w:val="004063DC"/>
    <w:rsid w:val="0042266F"/>
    <w:rsid w:val="0046534D"/>
    <w:rsid w:val="00495C13"/>
    <w:rsid w:val="00506F06"/>
    <w:rsid w:val="00510BCE"/>
    <w:rsid w:val="005243F9"/>
    <w:rsid w:val="005537C9"/>
    <w:rsid w:val="005A000F"/>
    <w:rsid w:val="005E449B"/>
    <w:rsid w:val="0066657F"/>
    <w:rsid w:val="006848CE"/>
    <w:rsid w:val="006D1D3B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D32D4"/>
    <w:rsid w:val="008D6E34"/>
    <w:rsid w:val="00935E3D"/>
    <w:rsid w:val="009753EB"/>
    <w:rsid w:val="00A2437E"/>
    <w:rsid w:val="00A47334"/>
    <w:rsid w:val="00A7212C"/>
    <w:rsid w:val="00AE52D0"/>
    <w:rsid w:val="00B11725"/>
    <w:rsid w:val="00B47ECF"/>
    <w:rsid w:val="00BB1B65"/>
    <w:rsid w:val="00BE31D9"/>
    <w:rsid w:val="00BF0CF6"/>
    <w:rsid w:val="00C45BA7"/>
    <w:rsid w:val="00C47A9C"/>
    <w:rsid w:val="00CF75DF"/>
    <w:rsid w:val="00D04818"/>
    <w:rsid w:val="00DA16B1"/>
    <w:rsid w:val="00E12215"/>
    <w:rsid w:val="00E53AC5"/>
    <w:rsid w:val="00EC7701"/>
    <w:rsid w:val="00EF2F09"/>
    <w:rsid w:val="00F347BE"/>
    <w:rsid w:val="00F53754"/>
    <w:rsid w:val="00F56B67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764E7A" w:rsidRDefault="00764E7A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764E7A" w:rsidRDefault="00764E7A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764E7A" w:rsidRDefault="00764E7A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F72" w:rsidRDefault="003D0F72">
      <w:pPr>
        <w:spacing w:after="0" w:line="240" w:lineRule="auto"/>
      </w:pPr>
      <w:r>
        <w:separator/>
      </w:r>
    </w:p>
  </w:endnote>
  <w:endnote w:type="continuationSeparator" w:id="0">
    <w:p w:rsidR="003D0F72" w:rsidRDefault="003D0F7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F72" w:rsidRDefault="003D0F72">
      <w:pPr>
        <w:spacing w:after="0" w:line="240" w:lineRule="auto"/>
      </w:pPr>
      <w:r>
        <w:separator/>
      </w:r>
    </w:p>
  </w:footnote>
  <w:footnote w:type="continuationSeparator" w:id="0">
    <w:p w:rsidR="003D0F72" w:rsidRDefault="003D0F7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3D0F72"/>
    <w:rsid w:val="00764E7A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House Committee on Economics report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House Committee on Economics report</dc:title>
  <dc:subject>Review of the Four Major Banks (Third Report)</dc:subject>
  <dc:creator/>
  <cp:keywords/>
  <cp:lastModifiedBy/>
  <cp:revision>1</cp:revision>
  <dcterms:created xsi:type="dcterms:W3CDTF">2024-07-26T04:10:00Z</dcterms:created>
  <dcterms:modified xsi:type="dcterms:W3CDTF">2024-07-26T04:46:00Z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2024-07-26T04:46:06Z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239bf15e-44f0-422d-b52c-810e5d9f1c1c</vt:lpwstr>
  </property>
  <property fmtid="{D5CDD505-2E9C-101B-9397-08002B2CF9AE}" pid="8" name="MSIP_Label_4f932d64-9ab1-4d9b-81d2-a3a8b82dd47d_ContentBits">
    <vt:lpwstr>0</vt:lpwstr>
  </property>
</Properties>
</file>