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FB01B7" w:rsidP="00236901">
      <w:pPr>
        <w:spacing w:before="360"/>
        <w:ind w:right="95"/>
        <w:jc w:val="center"/>
      </w:pPr>
      <w:r>
        <w:rPr>
          <w:caps/>
          <w:noProof/>
        </w:rPr>
        <w:drawing>
          <wp:inline distT="0" distB="0" distL="0" distR="0" wp14:anchorId="582DDD89" wp14:editId="7298AE21">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56F954BE" w:rsidR="002A31E6" w:rsidRPr="00EC7701" w:rsidRDefault="00FB01B7"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941B1C">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bookmarkStart w:id="0" w:name="_Hlk164177659"/>
    <w:p w14:paraId="06B4A7B1" w14:textId="27F180F1" w:rsidR="002A31E6" w:rsidRPr="00EC7701" w:rsidRDefault="000267B9"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3E3F2E">
            <w:rPr>
              <w:rFonts w:ascii="Montserrat Light" w:hAnsi="Montserrat Light"/>
              <w:sz w:val="32"/>
              <w:szCs w:val="32"/>
            </w:rPr>
            <w:t>Inquiry into</w:t>
          </w:r>
          <w:r w:rsidR="00FB01B7">
            <w:rPr>
              <w:rFonts w:ascii="Montserrat Light" w:hAnsi="Montserrat Light"/>
              <w:sz w:val="32"/>
              <w:szCs w:val="32"/>
            </w:rPr>
            <w:t xml:space="preserve"> the implications of common ownership and capital concentration in Australia</w:t>
          </w:r>
        </w:sdtContent>
      </w:sdt>
    </w:p>
    <w:bookmarkEnd w:id="0"/>
    <w:p w14:paraId="26B52DAF" w14:textId="03A1375C" w:rsidR="002A31E6" w:rsidRPr="00EC7701" w:rsidRDefault="007F7240" w:rsidP="002A31E6">
      <w:pPr>
        <w:jc w:val="right"/>
        <w:rPr>
          <w:rFonts w:ascii="Montserrat Light" w:hAnsi="Montserrat Light"/>
          <w:caps/>
          <w:sz w:val="28"/>
          <w:szCs w:val="28"/>
        </w:rPr>
      </w:pPr>
      <w:r>
        <w:rPr>
          <w:rFonts w:ascii="Montserrat Light" w:hAnsi="Montserrat Light"/>
          <w:sz w:val="28"/>
          <w:szCs w:val="28"/>
        </w:rPr>
        <w:t xml:space="preserve"> </w:t>
      </w:r>
      <w:r w:rsidR="00D22955">
        <w:rPr>
          <w:rFonts w:ascii="Montserrat Light" w:hAnsi="Montserrat Light"/>
          <w:sz w:val="28"/>
          <w:szCs w:val="28"/>
        </w:rPr>
        <w:t>May</w:t>
      </w:r>
      <w:r w:rsidR="00A52881">
        <w:rPr>
          <w:rFonts w:ascii="Montserrat Light" w:hAnsi="Montserrat Light"/>
          <w:sz w:val="28"/>
          <w:szCs w:val="28"/>
        </w:rPr>
        <w:t xml:space="preserve">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4F0678EE" w14:textId="77777777" w:rsidR="0088093D" w:rsidRPr="00C47A9C" w:rsidRDefault="0088093D" w:rsidP="0088093D">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8093D" w14:paraId="742E6013" w14:textId="77777777" w:rsidTr="004315A5">
        <w:trPr>
          <w:trHeight w:val="70"/>
        </w:trPr>
        <w:tc>
          <w:tcPr>
            <w:tcW w:w="9016" w:type="dxa"/>
          </w:tcPr>
          <w:p w14:paraId="465A1448" w14:textId="77777777" w:rsidR="0088093D" w:rsidRPr="008774BA" w:rsidRDefault="0088093D" w:rsidP="004315A5">
            <w:pPr>
              <w:pStyle w:val="BoxHeading"/>
              <w:keepNext w:val="0"/>
              <w:widowControl w:val="0"/>
              <w:rPr>
                <w:caps/>
              </w:rPr>
            </w:pPr>
            <w:r w:rsidRPr="008774BA">
              <w:t>Recommendation 1</w:t>
            </w:r>
          </w:p>
          <w:p w14:paraId="08C8F57C" w14:textId="65071D72" w:rsidR="0088093D" w:rsidRPr="008774BA" w:rsidRDefault="000B1682" w:rsidP="004315A5">
            <w:pPr>
              <w:pStyle w:val="BoxText"/>
              <w:widowControl w:val="0"/>
            </w:pPr>
            <w:r>
              <w:t xml:space="preserve">This inquiry has highlighted the significant growth of the funds management sector in Australia over the past decade, and the projected rise of large investment funds. The committee recommends that the Australian government considers a requirement for portfolio managers whose assets surpass a particular threshold to report their shareholdings on a quarterly or annual basis, </w:t>
            </w:r>
            <w:proofErr w:type="gramStart"/>
            <w:r>
              <w:t>similar to</w:t>
            </w:r>
            <w:proofErr w:type="gramEnd"/>
            <w:r>
              <w:t xml:space="preserve"> the 13F disclosure rule introduced by the Securities and Exchange Commission in the United States</w:t>
            </w:r>
            <w:r w:rsidR="0088093D">
              <w:t>.</w:t>
            </w:r>
          </w:p>
          <w:p w14:paraId="207E5C08" w14:textId="77777777" w:rsidR="0088093D" w:rsidRPr="009753EB" w:rsidRDefault="0088093D" w:rsidP="004315A5">
            <w:pPr>
              <w:pStyle w:val="BoxSubHeading"/>
              <w:keepNext w:val="0"/>
              <w:widowControl w:val="0"/>
              <w:rPr>
                <w:caps/>
              </w:rPr>
            </w:pPr>
            <w:r w:rsidRPr="009753EB">
              <w:t xml:space="preserve">Australian Government response </w:t>
            </w:r>
          </w:p>
          <w:p w14:paraId="2A9D6B69" w14:textId="77777777" w:rsidR="0088093D" w:rsidRPr="008774BA" w:rsidRDefault="0088093D" w:rsidP="004315A5">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88093D" w14:paraId="2568B79C" w14:textId="77777777" w:rsidTr="004315A5">
        <w:trPr>
          <w:trHeight w:val="70"/>
        </w:trPr>
        <w:tc>
          <w:tcPr>
            <w:tcW w:w="9016" w:type="dxa"/>
          </w:tcPr>
          <w:p w14:paraId="3228BD4D" w14:textId="77777777" w:rsidR="0088093D" w:rsidRPr="008774BA" w:rsidRDefault="0088093D" w:rsidP="004315A5">
            <w:pPr>
              <w:pStyle w:val="BoxHeading"/>
              <w:keepNext w:val="0"/>
              <w:widowControl w:val="0"/>
              <w:rPr>
                <w:caps/>
              </w:rPr>
            </w:pPr>
            <w:r w:rsidRPr="008774BA">
              <w:t xml:space="preserve">Recommendation </w:t>
            </w:r>
            <w:r>
              <w:t>2</w:t>
            </w:r>
          </w:p>
          <w:p w14:paraId="466C7553" w14:textId="76518084" w:rsidR="000B1682" w:rsidRPr="008774BA" w:rsidRDefault="000B1682" w:rsidP="004315A5">
            <w:pPr>
              <w:pStyle w:val="BoxText"/>
              <w:widowControl w:val="0"/>
            </w:pPr>
            <w:r>
              <w:t xml:space="preserve">Evidence gathered throughout this inquiry suggests that proxy advisors play a significant role in shaping the voting decisions of investment funds. Proxy advisors provide institutional investment funds with advice on how to engage with companies that they invest with, which often involves taking positions on remuneration resolutions and matters involving environmental, social, and governance concerns. This in and of itself would not be an issue, however, the current practices of proxy advisory firms </w:t>
            </w:r>
            <w:proofErr w:type="gramStart"/>
            <w:r>
              <w:t>requires</w:t>
            </w:r>
            <w:proofErr w:type="gramEnd"/>
            <w:r>
              <w:t xml:space="preserve"> greater scrutiny. The committee recommends the Australian government considers measures, such as the publishing of shareholder voting decisions, to ensure asset managers do not use proxy advisors to collude in their voting decisions</w:t>
            </w:r>
            <w:r w:rsidR="0088093D">
              <w:t>.</w:t>
            </w:r>
            <w:r>
              <w:t xml:space="preserve"> Additionally, the committee recommends the Australian government considers mechanisms to ensure asset managers engage with their owners in making voting decisions. Further, proxy advisory firms are currently only required to hold financial services licences for general financial product advice for interests in managed investment schemes (excluding investor directed portfolio services) and securities to wholesale clients. Given the full nature of the advisory work that these firms are engaging in, the committee recommends proxy advisors be required to also hold a financial services licence for broader services, including proxy advice, that extends beyond general financial products.</w:t>
            </w:r>
          </w:p>
          <w:p w14:paraId="0A05DBD3" w14:textId="77777777" w:rsidR="0088093D" w:rsidRPr="009753EB" w:rsidRDefault="0088093D" w:rsidP="004315A5">
            <w:pPr>
              <w:pStyle w:val="BoxSubHeading"/>
              <w:keepNext w:val="0"/>
              <w:widowControl w:val="0"/>
              <w:rPr>
                <w:caps/>
              </w:rPr>
            </w:pPr>
            <w:r w:rsidRPr="009753EB">
              <w:t xml:space="preserve">Australian Government response </w:t>
            </w:r>
          </w:p>
          <w:p w14:paraId="1DCEE660" w14:textId="77777777" w:rsidR="0088093D" w:rsidRPr="008774BA" w:rsidRDefault="0088093D" w:rsidP="004315A5">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bl>
    <w:p w14:paraId="08F8F36D" w14:textId="77777777" w:rsidR="00D22955" w:rsidRDefault="00D22955">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8093D" w14:paraId="15C35F48" w14:textId="77777777" w:rsidTr="004315A5">
        <w:trPr>
          <w:trHeight w:val="70"/>
        </w:trPr>
        <w:tc>
          <w:tcPr>
            <w:tcW w:w="9016" w:type="dxa"/>
          </w:tcPr>
          <w:p w14:paraId="3D58A122" w14:textId="22CC0C1A" w:rsidR="0088093D" w:rsidRPr="008774BA" w:rsidRDefault="0088093D" w:rsidP="004315A5">
            <w:pPr>
              <w:pStyle w:val="BoxHeading"/>
              <w:keepNext w:val="0"/>
              <w:widowControl w:val="0"/>
              <w:rPr>
                <w:caps/>
              </w:rPr>
            </w:pPr>
            <w:r w:rsidRPr="008774BA">
              <w:lastRenderedPageBreak/>
              <w:t xml:space="preserve">Recommendation </w:t>
            </w:r>
            <w:r>
              <w:t>3</w:t>
            </w:r>
          </w:p>
          <w:p w14:paraId="0C2A5771" w14:textId="6E5A77BB" w:rsidR="0088093D" w:rsidRPr="008774BA" w:rsidRDefault="00D22955" w:rsidP="004315A5">
            <w:pPr>
              <w:pStyle w:val="BoxText"/>
              <w:widowControl w:val="0"/>
            </w:pPr>
            <w:r>
              <w:t>Common ownership has the potential to undermine competition within the Australian economy. To prevent any such outcome, it is critical that Australia’s market regulators are proactive in understanding the risks associated with this phenomenon. The committee recommends the introduction of an explicit legislative requirement for the Australian Competition and Consumer Commission (ACCC) to actively monitor the extent of common ownership in Australian markets, and that the ACCC also be empowered to take common ownership implications into account when assessing merger applications</w:t>
            </w:r>
            <w:r w:rsidR="0088093D">
              <w:t>.</w:t>
            </w:r>
          </w:p>
          <w:p w14:paraId="4F694578" w14:textId="77777777" w:rsidR="0088093D" w:rsidRPr="009753EB" w:rsidRDefault="0088093D" w:rsidP="004315A5">
            <w:pPr>
              <w:pStyle w:val="BoxSubHeading"/>
              <w:keepNext w:val="0"/>
              <w:widowControl w:val="0"/>
              <w:rPr>
                <w:caps/>
              </w:rPr>
            </w:pPr>
            <w:r w:rsidRPr="009753EB">
              <w:t xml:space="preserve">Australian Government response </w:t>
            </w:r>
          </w:p>
          <w:p w14:paraId="149AE802" w14:textId="77777777" w:rsidR="0088093D" w:rsidRPr="008774BA" w:rsidRDefault="0088093D" w:rsidP="004315A5">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06D37520" w:rsidR="0077630F" w:rsidRPr="00C47A9C" w:rsidRDefault="0077630F" w:rsidP="0088093D">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EF9D" w14:textId="77777777" w:rsidR="00C60B26" w:rsidRDefault="00C60B26">
      <w:pPr>
        <w:spacing w:before="0" w:after="0"/>
      </w:pPr>
      <w:r>
        <w:separator/>
      </w:r>
    </w:p>
  </w:endnote>
  <w:endnote w:type="continuationSeparator" w:id="0">
    <w:p w14:paraId="53B6EE5B" w14:textId="77777777" w:rsidR="00C60B26" w:rsidRDefault="00C60B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04F952FF" w:rsidR="0077630F" w:rsidRPr="00F347BE" w:rsidRDefault="00FB01B7"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7217103B" wp14:editId="79D6901C">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3076F24E" w:rsidR="0077630F" w:rsidRPr="00F347BE" w:rsidRDefault="00FB01B7" w:rsidP="00F347BE">
    <w:pPr>
      <w:pStyle w:val="FooterOdd"/>
      <w:jc w:val="left"/>
    </w:pPr>
    <w:r w:rsidRPr="00103F3C">
      <w:rPr>
        <w:noProof/>
        <w:position w:val="-8"/>
      </w:rPr>
      <w:drawing>
        <wp:inline distT="0" distB="0" distL="0" distR="0" wp14:anchorId="37636980" wp14:editId="7BD3198E">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941B1C">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7F3BD107" w:rsidR="0077630F" w:rsidRPr="00F347BE" w:rsidRDefault="00FB01B7" w:rsidP="00F347BE">
    <w:pPr>
      <w:pStyle w:val="FooterOdd"/>
      <w:jc w:val="left"/>
    </w:pPr>
    <w:r w:rsidRPr="00103F3C">
      <w:rPr>
        <w:noProof/>
        <w:position w:val="-8"/>
      </w:rPr>
      <w:drawing>
        <wp:inline distT="0" distB="0" distL="0" distR="0" wp14:anchorId="48C12096" wp14:editId="340BEDF7">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0267B9">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96E9" w14:textId="77777777" w:rsidR="00C60B26" w:rsidRDefault="00C60B26" w:rsidP="00B47ECF">
      <w:r>
        <w:separator/>
      </w:r>
    </w:p>
  </w:footnote>
  <w:footnote w:type="continuationSeparator" w:id="0">
    <w:p w14:paraId="022AB197" w14:textId="77777777" w:rsidR="00C60B26" w:rsidRDefault="00C60B26"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770C2A5A" w:rsidR="008774BA" w:rsidRDefault="00F347BE">
    <w:pPr>
      <w:pStyle w:val="Header"/>
    </w:pPr>
    <w:r>
      <w:rPr>
        <w:noProof/>
      </w:rPr>
      <w:drawing>
        <wp:anchor distT="0" distB="0" distL="114300" distR="114300" simplePos="0" relativeHeight="251659264" behindDoc="1" locked="1" layoutInCell="1" allowOverlap="1" wp14:anchorId="665D0E43" wp14:editId="1AF91E4C">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28C1BFF3" w:rsidR="008774BA" w:rsidRDefault="00F347BE">
    <w:pPr>
      <w:pStyle w:val="Header"/>
    </w:pPr>
    <w:r>
      <w:rPr>
        <w:noProof/>
      </w:rPr>
      <w:drawing>
        <wp:anchor distT="0" distB="0" distL="114300" distR="114300" simplePos="0" relativeHeight="251660288" behindDoc="1" locked="1" layoutInCell="1" allowOverlap="1" wp14:anchorId="620C0A0C" wp14:editId="02EA504B">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5359E7CD"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3B1E72D3"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2BED8D7E" w:rsidR="0077630F" w:rsidRDefault="00F347BE">
    <w:pPr>
      <w:pStyle w:val="Header"/>
    </w:pPr>
    <w:r>
      <w:rPr>
        <w:noProof/>
      </w:rPr>
      <w:drawing>
        <wp:anchor distT="0" distB="0" distL="114300" distR="114300" simplePos="0" relativeHeight="251658240" behindDoc="1" locked="1" layoutInCell="1" allowOverlap="1" wp14:anchorId="6C88566B" wp14:editId="45682E32">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A9908B80">
      <w:start w:val="1"/>
      <w:numFmt w:val="decimal"/>
      <w:pStyle w:val="OneLevelNumberedParagraph"/>
      <w:lvlText w:val="%1."/>
      <w:lvlJc w:val="left"/>
      <w:pPr>
        <w:tabs>
          <w:tab w:val="num" w:pos="567"/>
        </w:tabs>
        <w:ind w:left="567" w:hanging="567"/>
      </w:pPr>
      <w:rPr>
        <w:rFonts w:hint="default"/>
      </w:rPr>
    </w:lvl>
    <w:lvl w:ilvl="1" w:tplc="44142D50" w:tentative="1">
      <w:start w:val="1"/>
      <w:numFmt w:val="lowerLetter"/>
      <w:lvlText w:val="%2."/>
      <w:lvlJc w:val="left"/>
      <w:pPr>
        <w:ind w:left="1440" w:hanging="360"/>
      </w:pPr>
    </w:lvl>
    <w:lvl w:ilvl="2" w:tplc="E3DCFDEA" w:tentative="1">
      <w:start w:val="1"/>
      <w:numFmt w:val="lowerRoman"/>
      <w:lvlText w:val="%3."/>
      <w:lvlJc w:val="right"/>
      <w:pPr>
        <w:ind w:left="2160" w:hanging="180"/>
      </w:pPr>
    </w:lvl>
    <w:lvl w:ilvl="3" w:tplc="9EA22FD4" w:tentative="1">
      <w:start w:val="1"/>
      <w:numFmt w:val="decimal"/>
      <w:lvlText w:val="%4."/>
      <w:lvlJc w:val="left"/>
      <w:pPr>
        <w:ind w:left="2880" w:hanging="360"/>
      </w:pPr>
    </w:lvl>
    <w:lvl w:ilvl="4" w:tplc="59265A24" w:tentative="1">
      <w:start w:val="1"/>
      <w:numFmt w:val="lowerLetter"/>
      <w:lvlText w:val="%5."/>
      <w:lvlJc w:val="left"/>
      <w:pPr>
        <w:ind w:left="3600" w:hanging="360"/>
      </w:pPr>
    </w:lvl>
    <w:lvl w:ilvl="5" w:tplc="69A69EF8" w:tentative="1">
      <w:start w:val="1"/>
      <w:numFmt w:val="lowerRoman"/>
      <w:lvlText w:val="%6."/>
      <w:lvlJc w:val="right"/>
      <w:pPr>
        <w:ind w:left="4320" w:hanging="180"/>
      </w:pPr>
    </w:lvl>
    <w:lvl w:ilvl="6" w:tplc="370E82EE" w:tentative="1">
      <w:start w:val="1"/>
      <w:numFmt w:val="decimal"/>
      <w:lvlText w:val="%7."/>
      <w:lvlJc w:val="left"/>
      <w:pPr>
        <w:ind w:left="5040" w:hanging="360"/>
      </w:pPr>
    </w:lvl>
    <w:lvl w:ilvl="7" w:tplc="65FA853A" w:tentative="1">
      <w:start w:val="1"/>
      <w:numFmt w:val="lowerLetter"/>
      <w:lvlText w:val="%8."/>
      <w:lvlJc w:val="left"/>
      <w:pPr>
        <w:ind w:left="5760" w:hanging="360"/>
      </w:pPr>
    </w:lvl>
    <w:lvl w:ilvl="8" w:tplc="7724202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36C46256">
      <w:start w:val="1"/>
      <w:numFmt w:val="bullet"/>
      <w:pStyle w:val="Bullet"/>
      <w:lvlText w:val=""/>
      <w:lvlJc w:val="left"/>
      <w:pPr>
        <w:ind w:left="720" w:hanging="360"/>
      </w:pPr>
      <w:rPr>
        <w:rFonts w:ascii="Symbol" w:hAnsi="Symbol" w:hint="default"/>
      </w:rPr>
    </w:lvl>
    <w:lvl w:ilvl="1" w:tplc="EA02DC60" w:tentative="1">
      <w:start w:val="1"/>
      <w:numFmt w:val="bullet"/>
      <w:lvlText w:val="o"/>
      <w:lvlJc w:val="left"/>
      <w:pPr>
        <w:ind w:left="1440" w:hanging="360"/>
      </w:pPr>
      <w:rPr>
        <w:rFonts w:ascii="Courier New" w:hAnsi="Courier New" w:cs="Courier New" w:hint="default"/>
      </w:rPr>
    </w:lvl>
    <w:lvl w:ilvl="2" w:tplc="09A2CB92" w:tentative="1">
      <w:start w:val="1"/>
      <w:numFmt w:val="bullet"/>
      <w:lvlText w:val=""/>
      <w:lvlJc w:val="left"/>
      <w:pPr>
        <w:ind w:left="2160" w:hanging="360"/>
      </w:pPr>
      <w:rPr>
        <w:rFonts w:ascii="Wingdings" w:hAnsi="Wingdings" w:hint="default"/>
      </w:rPr>
    </w:lvl>
    <w:lvl w:ilvl="3" w:tplc="48EE21E8" w:tentative="1">
      <w:start w:val="1"/>
      <w:numFmt w:val="bullet"/>
      <w:lvlText w:val=""/>
      <w:lvlJc w:val="left"/>
      <w:pPr>
        <w:ind w:left="2880" w:hanging="360"/>
      </w:pPr>
      <w:rPr>
        <w:rFonts w:ascii="Symbol" w:hAnsi="Symbol" w:hint="default"/>
      </w:rPr>
    </w:lvl>
    <w:lvl w:ilvl="4" w:tplc="26D6229E" w:tentative="1">
      <w:start w:val="1"/>
      <w:numFmt w:val="bullet"/>
      <w:lvlText w:val="o"/>
      <w:lvlJc w:val="left"/>
      <w:pPr>
        <w:ind w:left="3600" w:hanging="360"/>
      </w:pPr>
      <w:rPr>
        <w:rFonts w:ascii="Courier New" w:hAnsi="Courier New" w:cs="Courier New" w:hint="default"/>
      </w:rPr>
    </w:lvl>
    <w:lvl w:ilvl="5" w:tplc="8A963C2E" w:tentative="1">
      <w:start w:val="1"/>
      <w:numFmt w:val="bullet"/>
      <w:lvlText w:val=""/>
      <w:lvlJc w:val="left"/>
      <w:pPr>
        <w:ind w:left="4320" w:hanging="360"/>
      </w:pPr>
      <w:rPr>
        <w:rFonts w:ascii="Wingdings" w:hAnsi="Wingdings" w:hint="default"/>
      </w:rPr>
    </w:lvl>
    <w:lvl w:ilvl="6" w:tplc="30FC85D8" w:tentative="1">
      <w:start w:val="1"/>
      <w:numFmt w:val="bullet"/>
      <w:lvlText w:val=""/>
      <w:lvlJc w:val="left"/>
      <w:pPr>
        <w:ind w:left="5040" w:hanging="360"/>
      </w:pPr>
      <w:rPr>
        <w:rFonts w:ascii="Symbol" w:hAnsi="Symbol" w:hint="default"/>
      </w:rPr>
    </w:lvl>
    <w:lvl w:ilvl="7" w:tplc="45C60C78" w:tentative="1">
      <w:start w:val="1"/>
      <w:numFmt w:val="bullet"/>
      <w:lvlText w:val="o"/>
      <w:lvlJc w:val="left"/>
      <w:pPr>
        <w:ind w:left="5760" w:hanging="360"/>
      </w:pPr>
      <w:rPr>
        <w:rFonts w:ascii="Courier New" w:hAnsi="Courier New" w:cs="Courier New" w:hint="default"/>
      </w:rPr>
    </w:lvl>
    <w:lvl w:ilvl="8" w:tplc="C7F0D540"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501122">
    <w:abstractNumId w:val="2"/>
  </w:num>
  <w:num w:numId="2" w16cid:durableId="1985239341">
    <w:abstractNumId w:val="4"/>
  </w:num>
  <w:num w:numId="3" w16cid:durableId="119769408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2229152">
    <w:abstractNumId w:val="0"/>
  </w:num>
  <w:num w:numId="5" w16cid:durableId="707070577">
    <w:abstractNumId w:val="5"/>
  </w:num>
  <w:num w:numId="6" w16cid:durableId="752629937">
    <w:abstractNumId w:val="6"/>
  </w:num>
  <w:num w:numId="7" w16cid:durableId="290745694">
    <w:abstractNumId w:val="3"/>
  </w:num>
  <w:num w:numId="8" w16cid:durableId="773793358">
    <w:abstractNumId w:val="7"/>
  </w:num>
  <w:num w:numId="9" w16cid:durableId="2048871629">
    <w:abstractNumId w:val="1"/>
  </w:num>
  <w:num w:numId="10" w16cid:durableId="92283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267B9"/>
    <w:rsid w:val="00056FF5"/>
    <w:rsid w:val="00076769"/>
    <w:rsid w:val="000846EF"/>
    <w:rsid w:val="00092BC4"/>
    <w:rsid w:val="000B1682"/>
    <w:rsid w:val="000D051A"/>
    <w:rsid w:val="000D1C7F"/>
    <w:rsid w:val="000F4148"/>
    <w:rsid w:val="00103CF8"/>
    <w:rsid w:val="00134FDD"/>
    <w:rsid w:val="001E5D73"/>
    <w:rsid w:val="00205BAC"/>
    <w:rsid w:val="00210B5B"/>
    <w:rsid w:val="00233D6E"/>
    <w:rsid w:val="00236901"/>
    <w:rsid w:val="0026759D"/>
    <w:rsid w:val="002A30D0"/>
    <w:rsid w:val="002A31E6"/>
    <w:rsid w:val="002B4442"/>
    <w:rsid w:val="002D2AEF"/>
    <w:rsid w:val="002F52A6"/>
    <w:rsid w:val="00326FB8"/>
    <w:rsid w:val="00340F54"/>
    <w:rsid w:val="003463B6"/>
    <w:rsid w:val="00353FD7"/>
    <w:rsid w:val="003D5654"/>
    <w:rsid w:val="003E3F2E"/>
    <w:rsid w:val="004063DC"/>
    <w:rsid w:val="0042266F"/>
    <w:rsid w:val="004245AF"/>
    <w:rsid w:val="00495C13"/>
    <w:rsid w:val="00510BCE"/>
    <w:rsid w:val="005243F9"/>
    <w:rsid w:val="005537C9"/>
    <w:rsid w:val="005A000F"/>
    <w:rsid w:val="005E449B"/>
    <w:rsid w:val="0066657F"/>
    <w:rsid w:val="00673F87"/>
    <w:rsid w:val="006848CE"/>
    <w:rsid w:val="00693E48"/>
    <w:rsid w:val="006D1D3B"/>
    <w:rsid w:val="00725F12"/>
    <w:rsid w:val="0077630F"/>
    <w:rsid w:val="007820EC"/>
    <w:rsid w:val="007C5FCA"/>
    <w:rsid w:val="007F7240"/>
    <w:rsid w:val="00835798"/>
    <w:rsid w:val="0084380B"/>
    <w:rsid w:val="00854626"/>
    <w:rsid w:val="008671CE"/>
    <w:rsid w:val="008706FC"/>
    <w:rsid w:val="008774BA"/>
    <w:rsid w:val="0088093D"/>
    <w:rsid w:val="008D32D4"/>
    <w:rsid w:val="008D6E34"/>
    <w:rsid w:val="00935E3D"/>
    <w:rsid w:val="00941B1C"/>
    <w:rsid w:val="009753EB"/>
    <w:rsid w:val="00A2437E"/>
    <w:rsid w:val="00A47334"/>
    <w:rsid w:val="00A52881"/>
    <w:rsid w:val="00A7212C"/>
    <w:rsid w:val="00AC45CD"/>
    <w:rsid w:val="00B11725"/>
    <w:rsid w:val="00B376B5"/>
    <w:rsid w:val="00B47ECF"/>
    <w:rsid w:val="00BB1B65"/>
    <w:rsid w:val="00BE31D9"/>
    <w:rsid w:val="00C06E73"/>
    <w:rsid w:val="00C45BA7"/>
    <w:rsid w:val="00C47A9C"/>
    <w:rsid w:val="00C60B26"/>
    <w:rsid w:val="00C6207F"/>
    <w:rsid w:val="00CF75DF"/>
    <w:rsid w:val="00D04818"/>
    <w:rsid w:val="00D22955"/>
    <w:rsid w:val="00D96E87"/>
    <w:rsid w:val="00DB5FAF"/>
    <w:rsid w:val="00DE43C1"/>
    <w:rsid w:val="00E12215"/>
    <w:rsid w:val="00EC7701"/>
    <w:rsid w:val="00EF2F09"/>
    <w:rsid w:val="00F01181"/>
    <w:rsid w:val="00F347BE"/>
    <w:rsid w:val="00F53754"/>
    <w:rsid w:val="00F718F8"/>
    <w:rsid w:val="00F769CE"/>
    <w:rsid w:val="00F92A63"/>
    <w:rsid w:val="00FB01B7"/>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customStyle="1" w:styleId="paragraph">
    <w:name w:val="paragraph"/>
    <w:basedOn w:val="Normal"/>
    <w:rsid w:val="002D2AE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D2AEF"/>
  </w:style>
  <w:style w:type="character" w:customStyle="1" w:styleId="eop">
    <w:name w:val="eop"/>
    <w:basedOn w:val="DefaultParagraphFont"/>
    <w:rsid w:val="002D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70558">
      <w:bodyDiv w:val="1"/>
      <w:marLeft w:val="0"/>
      <w:marRight w:val="0"/>
      <w:marTop w:val="0"/>
      <w:marBottom w:val="0"/>
      <w:divBdr>
        <w:top w:val="none" w:sz="0" w:space="0" w:color="auto"/>
        <w:left w:val="none" w:sz="0" w:space="0" w:color="auto"/>
        <w:bottom w:val="none" w:sz="0" w:space="0" w:color="auto"/>
        <w:right w:val="none" w:sz="0" w:space="0" w:color="auto"/>
      </w:divBdr>
      <w:divsChild>
        <w:div w:id="44448691">
          <w:marLeft w:val="0"/>
          <w:marRight w:val="0"/>
          <w:marTop w:val="0"/>
          <w:marBottom w:val="0"/>
          <w:divBdr>
            <w:top w:val="none" w:sz="0" w:space="0" w:color="auto"/>
            <w:left w:val="none" w:sz="0" w:space="0" w:color="auto"/>
            <w:bottom w:val="none" w:sz="0" w:space="0" w:color="auto"/>
            <w:right w:val="none" w:sz="0" w:space="0" w:color="auto"/>
          </w:divBdr>
        </w:div>
        <w:div w:id="1218977950">
          <w:marLeft w:val="0"/>
          <w:marRight w:val="0"/>
          <w:marTop w:val="0"/>
          <w:marBottom w:val="0"/>
          <w:divBdr>
            <w:top w:val="none" w:sz="0" w:space="0" w:color="auto"/>
            <w:left w:val="none" w:sz="0" w:space="0" w:color="auto"/>
            <w:bottom w:val="none" w:sz="0" w:space="0" w:color="auto"/>
            <w:right w:val="none" w:sz="0" w:space="0" w:color="auto"/>
          </w:divBdr>
        </w:div>
        <w:div w:id="1364673274">
          <w:marLeft w:val="0"/>
          <w:marRight w:val="0"/>
          <w:marTop w:val="0"/>
          <w:marBottom w:val="0"/>
          <w:divBdr>
            <w:top w:val="none" w:sz="0" w:space="0" w:color="auto"/>
            <w:left w:val="none" w:sz="0" w:space="0" w:color="auto"/>
            <w:bottom w:val="none" w:sz="0" w:space="0" w:color="auto"/>
            <w:right w:val="none" w:sz="0" w:space="0" w:color="auto"/>
          </w:divBdr>
        </w:div>
        <w:div w:id="2109888503">
          <w:marLeft w:val="0"/>
          <w:marRight w:val="0"/>
          <w:marTop w:val="0"/>
          <w:marBottom w:val="0"/>
          <w:divBdr>
            <w:top w:val="none" w:sz="0" w:space="0" w:color="auto"/>
            <w:left w:val="none" w:sz="0" w:space="0" w:color="auto"/>
            <w:bottom w:val="none" w:sz="0" w:space="0" w:color="auto"/>
            <w:right w:val="none" w:sz="0" w:space="0" w:color="auto"/>
          </w:divBdr>
        </w:div>
        <w:div w:id="769815727">
          <w:marLeft w:val="0"/>
          <w:marRight w:val="0"/>
          <w:marTop w:val="0"/>
          <w:marBottom w:val="0"/>
          <w:divBdr>
            <w:top w:val="none" w:sz="0" w:space="0" w:color="auto"/>
            <w:left w:val="none" w:sz="0" w:space="0" w:color="auto"/>
            <w:bottom w:val="none" w:sz="0" w:space="0" w:color="auto"/>
            <w:right w:val="none" w:sz="0" w:space="0" w:color="auto"/>
          </w:divBdr>
        </w:div>
        <w:div w:id="1985768041">
          <w:marLeft w:val="0"/>
          <w:marRight w:val="0"/>
          <w:marTop w:val="0"/>
          <w:marBottom w:val="0"/>
          <w:divBdr>
            <w:top w:val="none" w:sz="0" w:space="0" w:color="auto"/>
            <w:left w:val="none" w:sz="0" w:space="0" w:color="auto"/>
            <w:bottom w:val="none" w:sz="0" w:space="0" w:color="auto"/>
            <w:right w:val="none" w:sz="0" w:space="0" w:color="auto"/>
          </w:divBdr>
        </w:div>
        <w:div w:id="1588809504">
          <w:marLeft w:val="0"/>
          <w:marRight w:val="0"/>
          <w:marTop w:val="0"/>
          <w:marBottom w:val="0"/>
          <w:divBdr>
            <w:top w:val="none" w:sz="0" w:space="0" w:color="auto"/>
            <w:left w:val="none" w:sz="0" w:space="0" w:color="auto"/>
            <w:bottom w:val="none" w:sz="0" w:space="0" w:color="auto"/>
            <w:right w:val="none" w:sz="0" w:space="0" w:color="auto"/>
          </w:divBdr>
        </w:div>
        <w:div w:id="610208924">
          <w:marLeft w:val="0"/>
          <w:marRight w:val="0"/>
          <w:marTop w:val="0"/>
          <w:marBottom w:val="0"/>
          <w:divBdr>
            <w:top w:val="none" w:sz="0" w:space="0" w:color="auto"/>
            <w:left w:val="none" w:sz="0" w:space="0" w:color="auto"/>
            <w:bottom w:val="none" w:sz="0" w:space="0" w:color="auto"/>
            <w:right w:val="none" w:sz="0" w:space="0" w:color="auto"/>
          </w:divBdr>
        </w:div>
      </w:divsChild>
    </w:div>
    <w:div w:id="1199977283">
      <w:bodyDiv w:val="1"/>
      <w:marLeft w:val="0"/>
      <w:marRight w:val="0"/>
      <w:marTop w:val="0"/>
      <w:marBottom w:val="0"/>
      <w:divBdr>
        <w:top w:val="none" w:sz="0" w:space="0" w:color="auto"/>
        <w:left w:val="none" w:sz="0" w:space="0" w:color="auto"/>
        <w:bottom w:val="none" w:sz="0" w:space="0" w:color="auto"/>
        <w:right w:val="none" w:sz="0" w:space="0" w:color="auto"/>
      </w:divBdr>
    </w:div>
    <w:div w:id="1688753926">
      <w:bodyDiv w:val="1"/>
      <w:marLeft w:val="0"/>
      <w:marRight w:val="0"/>
      <w:marTop w:val="0"/>
      <w:marBottom w:val="0"/>
      <w:divBdr>
        <w:top w:val="none" w:sz="0" w:space="0" w:color="auto"/>
        <w:left w:val="none" w:sz="0" w:space="0" w:color="auto"/>
        <w:bottom w:val="none" w:sz="0" w:space="0" w:color="auto"/>
        <w:right w:val="none" w:sz="0" w:space="0" w:color="auto"/>
      </w:divBdr>
      <w:divsChild>
        <w:div w:id="1723821187">
          <w:marLeft w:val="0"/>
          <w:marRight w:val="0"/>
          <w:marTop w:val="0"/>
          <w:marBottom w:val="0"/>
          <w:divBdr>
            <w:top w:val="none" w:sz="0" w:space="0" w:color="auto"/>
            <w:left w:val="none" w:sz="0" w:space="0" w:color="auto"/>
            <w:bottom w:val="none" w:sz="0" w:space="0" w:color="auto"/>
            <w:right w:val="none" w:sz="0" w:space="0" w:color="auto"/>
          </w:divBdr>
        </w:div>
        <w:div w:id="78912449">
          <w:marLeft w:val="0"/>
          <w:marRight w:val="0"/>
          <w:marTop w:val="0"/>
          <w:marBottom w:val="0"/>
          <w:divBdr>
            <w:top w:val="none" w:sz="0" w:space="0" w:color="auto"/>
            <w:left w:val="none" w:sz="0" w:space="0" w:color="auto"/>
            <w:bottom w:val="none" w:sz="0" w:space="0" w:color="auto"/>
            <w:right w:val="none" w:sz="0" w:space="0" w:color="auto"/>
          </w:divBdr>
        </w:div>
        <w:div w:id="1121262033">
          <w:marLeft w:val="0"/>
          <w:marRight w:val="0"/>
          <w:marTop w:val="0"/>
          <w:marBottom w:val="0"/>
          <w:divBdr>
            <w:top w:val="none" w:sz="0" w:space="0" w:color="auto"/>
            <w:left w:val="none" w:sz="0" w:space="0" w:color="auto"/>
            <w:bottom w:val="none" w:sz="0" w:space="0" w:color="auto"/>
            <w:right w:val="none" w:sz="0" w:space="0" w:color="auto"/>
          </w:divBdr>
        </w:div>
        <w:div w:id="1888759449">
          <w:marLeft w:val="0"/>
          <w:marRight w:val="0"/>
          <w:marTop w:val="0"/>
          <w:marBottom w:val="0"/>
          <w:divBdr>
            <w:top w:val="none" w:sz="0" w:space="0" w:color="auto"/>
            <w:left w:val="none" w:sz="0" w:space="0" w:color="auto"/>
            <w:bottom w:val="none" w:sz="0" w:space="0" w:color="auto"/>
            <w:right w:val="none" w:sz="0" w:space="0" w:color="auto"/>
          </w:divBdr>
        </w:div>
        <w:div w:id="826435408">
          <w:marLeft w:val="0"/>
          <w:marRight w:val="0"/>
          <w:marTop w:val="0"/>
          <w:marBottom w:val="0"/>
          <w:divBdr>
            <w:top w:val="none" w:sz="0" w:space="0" w:color="auto"/>
            <w:left w:val="none" w:sz="0" w:space="0" w:color="auto"/>
            <w:bottom w:val="none" w:sz="0" w:space="0" w:color="auto"/>
            <w:right w:val="none" w:sz="0" w:space="0" w:color="auto"/>
          </w:divBdr>
        </w:div>
        <w:div w:id="498347840">
          <w:marLeft w:val="0"/>
          <w:marRight w:val="0"/>
          <w:marTop w:val="0"/>
          <w:marBottom w:val="0"/>
          <w:divBdr>
            <w:top w:val="none" w:sz="0" w:space="0" w:color="auto"/>
            <w:left w:val="none" w:sz="0" w:space="0" w:color="auto"/>
            <w:bottom w:val="none" w:sz="0" w:space="0" w:color="auto"/>
            <w:right w:val="none" w:sz="0" w:space="0" w:color="auto"/>
          </w:divBdr>
        </w:div>
        <w:div w:id="129872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F76B65" w:rsidRDefault="00F76B65"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F76B65" w:rsidRDefault="00F76B65"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F76B65" w:rsidRDefault="00F76B65"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B8C" w:rsidRDefault="00E23B8C">
      <w:pPr>
        <w:spacing w:after="0" w:line="240" w:lineRule="auto"/>
      </w:pPr>
      <w:r>
        <w:separator/>
      </w:r>
    </w:p>
  </w:endnote>
  <w:endnote w:type="continuationSeparator" w:id="0">
    <w:p w:rsidR="00E23B8C" w:rsidRDefault="00E23B8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B8C" w:rsidRDefault="00E23B8C">
      <w:pPr>
        <w:spacing w:after="0" w:line="240" w:lineRule="auto"/>
      </w:pPr>
      <w:r>
        <w:separator/>
      </w:r>
    </w:p>
  </w:footnote>
  <w:footnote w:type="continuationSeparator" w:id="0">
    <w:p w:rsidR="00E23B8C" w:rsidRDefault="00E23B8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84B01"/>
    <w:rsid w:val="00CF75DF"/>
    <w:rsid w:val="00DE431E"/>
    <w:rsid w:val="00E23B8C"/>
    <w:rsid w:val="00E7416D"/>
    <w:rsid w:val="00F302BB"/>
    <w:rsid w:val="00F7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Australian Government response to the House Committee on Economics report</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Economics report</dc:title>
  <dc:subject>Inquiry into the implications of common ownership and capital concentration in Australia</dc:subject>
  <dc:creator/>
  <cp:keywords/>
  <cp:lastModifiedBy/>
  <cp:revision>1</cp:revision>
  <dcterms:created xsi:type="dcterms:W3CDTF">2024-07-26T04:21:00Z</dcterms:created>
  <dcterms:modified xsi:type="dcterms:W3CDTF">2024-07-26T04:41:00Z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2024-07-26T04:41:45Z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b6c86b32-7cca-4b57-86d2-4f21a7ca7036</vt:lpwstr>
  </property>
  <property fmtid="{D5CDD505-2E9C-101B-9397-08002B2CF9AE}" pid="8" name="MSIP_Label_4f932d64-9ab1-4d9b-81d2-a3a8b82dd47d_ContentBits">
    <vt:lpwstr>0</vt:lpwstr>
  </property>
</Properties>
</file>