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25FD" w14:textId="77777777" w:rsidR="00C64AD6" w:rsidRPr="007D2FF4" w:rsidRDefault="00C64AD6" w:rsidP="00C64AD6">
      <w:r>
        <w:rPr>
          <w:noProof/>
        </w:rPr>
        <w:drawing>
          <wp:anchor distT="0" distB="0" distL="114300" distR="114300" simplePos="0" relativeHeight="251658242" behindDoc="0" locked="0" layoutInCell="1" allowOverlap="1" wp14:anchorId="1BB62CBA" wp14:editId="2730874B">
            <wp:simplePos x="0" y="0"/>
            <wp:positionH relativeFrom="column">
              <wp:posOffset>4428490</wp:posOffset>
            </wp:positionH>
            <wp:positionV relativeFrom="paragraph">
              <wp:posOffset>-599440</wp:posOffset>
            </wp:positionV>
            <wp:extent cx="1741805" cy="40132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1805" cy="401320"/>
                    </a:xfrm>
                    <a:prstGeom prst="rect">
                      <a:avLst/>
                    </a:prstGeom>
                  </pic:spPr>
                </pic:pic>
              </a:graphicData>
            </a:graphic>
            <wp14:sizeRelH relativeFrom="page">
              <wp14:pctWidth>0</wp14:pctWidth>
            </wp14:sizeRelH>
            <wp14:sizeRelV relativeFrom="page">
              <wp14:pctHeight>0</wp14:pctHeight>
            </wp14:sizeRelV>
          </wp:anchor>
        </w:drawing>
      </w:r>
      <w:r w:rsidR="00767179">
        <w:t xml:space="preserve"> </w:t>
      </w:r>
    </w:p>
    <w:p w14:paraId="06AB265E" w14:textId="77777777" w:rsidR="00C64AD6" w:rsidRPr="007D2FF4" w:rsidRDefault="00C64AD6" w:rsidP="00C64AD6"/>
    <w:p w14:paraId="6EEB9440" w14:textId="77777777" w:rsidR="00C64AD6" w:rsidRPr="007D2FF4" w:rsidRDefault="00180CD0" w:rsidP="00C64AD6">
      <w:r>
        <w:rPr>
          <w:noProof/>
        </w:rPr>
        <mc:AlternateContent>
          <mc:Choice Requires="wps">
            <w:drawing>
              <wp:anchor distT="0" distB="0" distL="114300" distR="114300" simplePos="0" relativeHeight="251658243" behindDoc="0" locked="0" layoutInCell="1" allowOverlap="1" wp14:anchorId="13EBC7FB" wp14:editId="5763ADA4">
                <wp:simplePos x="0" y="0"/>
                <wp:positionH relativeFrom="column">
                  <wp:posOffset>-457200</wp:posOffset>
                </wp:positionH>
                <wp:positionV relativeFrom="paragraph">
                  <wp:posOffset>238760</wp:posOffset>
                </wp:positionV>
                <wp:extent cx="6657975" cy="742950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6657975" cy="7429500"/>
                        </a:xfrm>
                        <a:prstGeom prst="rect">
                          <a:avLst/>
                        </a:prstGeom>
                        <a:noFill/>
                        <a:ln w="6350">
                          <a:noFill/>
                        </a:ln>
                      </wps:spPr>
                      <wps:txbx>
                        <w:txbxContent>
                          <w:p w14:paraId="5E71A0C4" w14:textId="77777777" w:rsidR="00180CD0" w:rsidRDefault="00180CD0"/>
                          <w:p w14:paraId="483168A1" w14:textId="77777777" w:rsidR="00180CD0" w:rsidRDefault="00180CD0"/>
                          <w:p w14:paraId="2A87B1C5" w14:textId="77777777" w:rsidR="00180CD0" w:rsidRDefault="00180CD0"/>
                          <w:tbl>
                            <w:tblPr>
                              <w:tblW w:w="0" w:type="auto"/>
                              <w:tblInd w:w="5266" w:type="dxa"/>
                              <w:tblLook w:val="01E0" w:firstRow="1" w:lastRow="1" w:firstColumn="1" w:lastColumn="1" w:noHBand="0" w:noVBand="0"/>
                            </w:tblPr>
                            <w:tblGrid>
                              <w:gridCol w:w="4921"/>
                            </w:tblGrid>
                            <w:tr w:rsidR="00180CD0" w14:paraId="5890CA98" w14:textId="77777777" w:rsidTr="00180CD0">
                              <w:tc>
                                <w:tcPr>
                                  <w:tcW w:w="4935" w:type="dxa"/>
                                  <w:shd w:val="clear" w:color="auto" w:fill="auto"/>
                                </w:tcPr>
                                <w:p w14:paraId="32BB9EC5" w14:textId="77777777" w:rsidR="00180CD0" w:rsidRPr="000A0259" w:rsidRDefault="000A0259" w:rsidP="00180CD0">
                                  <w:pPr>
                                    <w:spacing w:before="240"/>
                                    <w:jc w:val="right"/>
                                    <w:rPr>
                                      <w:b/>
                                      <w:color w:val="FFFFFF" w:themeColor="background1"/>
                                      <w:sz w:val="44"/>
                                      <w:szCs w:val="44"/>
                                    </w:rPr>
                                  </w:pPr>
                                  <w:r w:rsidRPr="000A0259">
                                    <w:rPr>
                                      <w:b/>
                                      <w:color w:val="FFFFFF" w:themeColor="background1"/>
                                      <w:sz w:val="44"/>
                                      <w:szCs w:val="44"/>
                                    </w:rPr>
                                    <w:t>Consumer Data Right</w:t>
                                  </w:r>
                                </w:p>
                                <w:p w14:paraId="62C6BAFD" w14:textId="4736007B" w:rsidR="00180CD0" w:rsidRDefault="00D63CA2" w:rsidP="00180CD0">
                                  <w:pPr>
                                    <w:spacing w:before="240"/>
                                    <w:jc w:val="right"/>
                                    <w:rPr>
                                      <w:b/>
                                      <w:color w:val="FFFFFF" w:themeColor="background1"/>
                                      <w:sz w:val="28"/>
                                      <w:szCs w:val="28"/>
                                    </w:rPr>
                                  </w:pPr>
                                  <w:r>
                                    <w:rPr>
                                      <w:b/>
                                      <w:color w:val="FFFFFF" w:themeColor="background1"/>
                                      <w:sz w:val="28"/>
                                      <w:szCs w:val="28"/>
                                    </w:rPr>
                                    <w:t>P</w:t>
                                  </w:r>
                                  <w:r w:rsidR="00084F5F">
                                    <w:rPr>
                                      <w:b/>
                                      <w:color w:val="FFFFFF" w:themeColor="background1"/>
                                      <w:sz w:val="28"/>
                                      <w:szCs w:val="28"/>
                                    </w:rPr>
                                    <w:t xml:space="preserve">roposed amendments </w:t>
                                  </w:r>
                                  <w:r w:rsidR="00C87B56">
                                    <w:rPr>
                                      <w:b/>
                                      <w:color w:val="FFFFFF" w:themeColor="background1"/>
                                      <w:sz w:val="28"/>
                                      <w:szCs w:val="28"/>
                                    </w:rPr>
                                    <w:br/>
                                  </w:r>
                                  <w:r w:rsidR="00084F5F">
                                    <w:rPr>
                                      <w:b/>
                                      <w:color w:val="FFFFFF" w:themeColor="background1"/>
                                      <w:sz w:val="28"/>
                                      <w:szCs w:val="28"/>
                                    </w:rPr>
                                    <w:t>to</w:t>
                                  </w:r>
                                  <w:r w:rsidR="000E1EBC">
                                    <w:rPr>
                                      <w:b/>
                                      <w:color w:val="FFFFFF" w:themeColor="background1"/>
                                      <w:sz w:val="28"/>
                                      <w:szCs w:val="28"/>
                                    </w:rPr>
                                    <w:t xml:space="preserve"> </w:t>
                                  </w:r>
                                  <w:r w:rsidR="000A0259" w:rsidRPr="000A0259">
                                    <w:rPr>
                                      <w:b/>
                                      <w:color w:val="FFFFFF" w:themeColor="background1"/>
                                      <w:sz w:val="28"/>
                                      <w:szCs w:val="28"/>
                                    </w:rPr>
                                    <w:t xml:space="preserve">the </w:t>
                                  </w:r>
                                  <w:r w:rsidR="00291950">
                                    <w:rPr>
                                      <w:b/>
                                      <w:color w:val="FFFFFF" w:themeColor="background1"/>
                                      <w:sz w:val="28"/>
                                      <w:szCs w:val="28"/>
                                    </w:rPr>
                                    <w:t xml:space="preserve">CDR rules: </w:t>
                                  </w:r>
                                  <w:r>
                                    <w:rPr>
                                      <w:b/>
                                      <w:color w:val="FFFFFF" w:themeColor="background1"/>
                                      <w:sz w:val="28"/>
                                      <w:szCs w:val="28"/>
                                    </w:rPr>
                                    <w:br/>
                                  </w:r>
                                  <w:r w:rsidR="003A702E">
                                    <w:rPr>
                                      <w:b/>
                                      <w:color w:val="FFFFFF" w:themeColor="background1"/>
                                      <w:sz w:val="28"/>
                                      <w:szCs w:val="28"/>
                                    </w:rPr>
                                    <w:t xml:space="preserve">Consent </w:t>
                                  </w:r>
                                  <w:r w:rsidR="00374A81">
                                    <w:rPr>
                                      <w:b/>
                                      <w:color w:val="FFFFFF" w:themeColor="background1"/>
                                      <w:sz w:val="28"/>
                                      <w:szCs w:val="28"/>
                                    </w:rPr>
                                    <w:t xml:space="preserve">Review rule changes </w:t>
                                  </w:r>
                                  <w:r w:rsidR="003A702E">
                                    <w:rPr>
                                      <w:b/>
                                      <w:color w:val="FFFFFF" w:themeColor="background1"/>
                                      <w:sz w:val="28"/>
                                      <w:szCs w:val="28"/>
                                    </w:rPr>
                                    <w:t>and operational enhancements</w:t>
                                  </w:r>
                                </w:p>
                                <w:p w14:paraId="7D006A6D" w14:textId="77777777" w:rsidR="00D63CA2" w:rsidRDefault="00D63CA2" w:rsidP="00180CD0">
                                  <w:pPr>
                                    <w:spacing w:before="240"/>
                                    <w:jc w:val="right"/>
                                    <w:rPr>
                                      <w:b/>
                                      <w:color w:val="FFFFFF" w:themeColor="background1"/>
                                      <w:sz w:val="28"/>
                                      <w:szCs w:val="28"/>
                                    </w:rPr>
                                  </w:pPr>
                                </w:p>
                                <w:p w14:paraId="13FFD4BB" w14:textId="77777777" w:rsidR="00D63CA2" w:rsidRPr="000A0259" w:rsidRDefault="00D63CA2" w:rsidP="00180CD0">
                                  <w:pPr>
                                    <w:spacing w:before="240"/>
                                    <w:jc w:val="right"/>
                                    <w:rPr>
                                      <w:b/>
                                      <w:color w:val="FFFFFF" w:themeColor="background1"/>
                                      <w:sz w:val="28"/>
                                      <w:szCs w:val="28"/>
                                    </w:rPr>
                                  </w:pPr>
                                  <w:r>
                                    <w:rPr>
                                      <w:b/>
                                      <w:color w:val="FFFFFF" w:themeColor="background1"/>
                                      <w:sz w:val="28"/>
                                      <w:szCs w:val="28"/>
                                    </w:rPr>
                                    <w:t>Privacy Impact Assessment</w:t>
                                  </w:r>
                                </w:p>
                              </w:tc>
                            </w:tr>
                            <w:tr w:rsidR="00180CD0" w14:paraId="6A0F9612" w14:textId="77777777" w:rsidTr="00180CD0">
                              <w:tc>
                                <w:tcPr>
                                  <w:tcW w:w="4935" w:type="dxa"/>
                                  <w:shd w:val="clear" w:color="auto" w:fill="auto"/>
                                </w:tcPr>
                                <w:p w14:paraId="45B9200E" w14:textId="77777777" w:rsidR="00180CD0" w:rsidRPr="00180CD0" w:rsidRDefault="00180CD0" w:rsidP="00180CD0">
                                  <w:pPr>
                                    <w:spacing w:before="240"/>
                                    <w:jc w:val="right"/>
                                    <w:rPr>
                                      <w:bCs/>
                                      <w:color w:val="FFFFFF" w:themeColor="background1"/>
                                    </w:rPr>
                                  </w:pPr>
                                </w:p>
                              </w:tc>
                            </w:tr>
                            <w:tr w:rsidR="000A0259" w:rsidRPr="000A0259" w14:paraId="72E8415C" w14:textId="77777777" w:rsidTr="00180CD0">
                              <w:tc>
                                <w:tcPr>
                                  <w:tcW w:w="4935" w:type="dxa"/>
                                  <w:shd w:val="clear" w:color="auto" w:fill="auto"/>
                                </w:tcPr>
                                <w:p w14:paraId="72FD1A56" w14:textId="77777777" w:rsidR="000A0259" w:rsidRPr="000A0259" w:rsidRDefault="000A0259" w:rsidP="000A0259">
                                  <w:pPr>
                                    <w:spacing w:before="240"/>
                                    <w:jc w:val="right"/>
                                    <w:rPr>
                                      <w:bCs/>
                                      <w:color w:val="FFFFFF" w:themeColor="background1"/>
                                    </w:rPr>
                                  </w:pPr>
                                  <w:r w:rsidRPr="00180CD0">
                                    <w:rPr>
                                      <w:bCs/>
                                      <w:color w:val="FFFFFF" w:themeColor="background1"/>
                                    </w:rPr>
                                    <w:t>Prepared for</w:t>
                                  </w:r>
                                </w:p>
                              </w:tc>
                            </w:tr>
                            <w:tr w:rsidR="000A0259" w14:paraId="1DAED2A2" w14:textId="77777777" w:rsidTr="00180CD0">
                              <w:tc>
                                <w:tcPr>
                                  <w:tcW w:w="4935" w:type="dxa"/>
                                  <w:shd w:val="clear" w:color="auto" w:fill="auto"/>
                                </w:tcPr>
                                <w:p w14:paraId="53206AD2" w14:textId="77777777" w:rsidR="000A0259" w:rsidRPr="00140AB0" w:rsidRDefault="000A0259" w:rsidP="000A0259">
                                  <w:pPr>
                                    <w:spacing w:before="240"/>
                                    <w:jc w:val="right"/>
                                    <w:rPr>
                                      <w:bCs/>
                                    </w:rPr>
                                  </w:pPr>
                                  <w:r w:rsidRPr="000A0259">
                                    <w:rPr>
                                      <w:bCs/>
                                      <w:color w:val="FFFFFF" w:themeColor="background1"/>
                                    </w:rPr>
                                    <w:t>The Department of the Treasury</w:t>
                                  </w:r>
                                </w:p>
                              </w:tc>
                            </w:tr>
                            <w:tr w:rsidR="00180CD0" w14:paraId="02D431FA" w14:textId="77777777" w:rsidTr="00180CD0">
                              <w:tc>
                                <w:tcPr>
                                  <w:tcW w:w="4935" w:type="dxa"/>
                                  <w:shd w:val="clear" w:color="auto" w:fill="auto"/>
                                </w:tcPr>
                                <w:p w14:paraId="56D34A3F" w14:textId="77777777" w:rsidR="00180CD0" w:rsidRDefault="00180CD0" w:rsidP="00180CD0">
                                  <w:pPr>
                                    <w:spacing w:before="240"/>
                                  </w:pPr>
                                </w:p>
                              </w:tc>
                            </w:tr>
                            <w:tr w:rsidR="00180CD0" w14:paraId="5B77F143" w14:textId="77777777" w:rsidTr="00180CD0">
                              <w:tc>
                                <w:tcPr>
                                  <w:tcW w:w="4935" w:type="dxa"/>
                                  <w:shd w:val="clear" w:color="auto" w:fill="auto"/>
                                </w:tcPr>
                                <w:p w14:paraId="218DE431" w14:textId="2D540103" w:rsidR="00180CD0" w:rsidRPr="000A0259" w:rsidRDefault="00180CD0" w:rsidP="000A0259">
                                  <w:pPr>
                                    <w:spacing w:before="240"/>
                                    <w:jc w:val="right"/>
                                    <w:rPr>
                                      <w:b/>
                                      <w:bCs/>
                                      <w:color w:val="FF0000"/>
                                    </w:rPr>
                                  </w:pPr>
                                </w:p>
                              </w:tc>
                            </w:tr>
                            <w:tr w:rsidR="00180CD0" w14:paraId="053904AE" w14:textId="77777777" w:rsidTr="00180CD0">
                              <w:tc>
                                <w:tcPr>
                                  <w:tcW w:w="4935" w:type="dxa"/>
                                  <w:shd w:val="clear" w:color="auto" w:fill="auto"/>
                                </w:tcPr>
                                <w:p w14:paraId="236F706F" w14:textId="56A2449E" w:rsidR="00180CD0" w:rsidRPr="000A0259" w:rsidRDefault="006429CB" w:rsidP="000A0259">
                                  <w:pPr>
                                    <w:spacing w:before="240"/>
                                    <w:jc w:val="right"/>
                                    <w:rPr>
                                      <w:b/>
                                      <w:bCs/>
                                      <w:color w:val="FF0000"/>
                                    </w:rPr>
                                  </w:pPr>
                                  <w:r>
                                    <w:rPr>
                                      <w:b/>
                                      <w:bCs/>
                                      <w:color w:val="FFFFFF" w:themeColor="background1"/>
                                    </w:rPr>
                                    <w:t>7</w:t>
                                  </w:r>
                                  <w:r w:rsidR="00E87694">
                                    <w:rPr>
                                      <w:b/>
                                      <w:bCs/>
                                      <w:color w:val="FFFFFF" w:themeColor="background1"/>
                                    </w:rPr>
                                    <w:t xml:space="preserve"> June </w:t>
                                  </w:r>
                                  <w:r w:rsidR="000A0259" w:rsidRPr="006F28A6">
                                    <w:rPr>
                                      <w:b/>
                                      <w:bCs/>
                                      <w:color w:val="FFFFFF" w:themeColor="background1"/>
                                    </w:rPr>
                                    <w:t>2024</w:t>
                                  </w:r>
                                </w:p>
                              </w:tc>
                            </w:tr>
                          </w:tbl>
                          <w:p w14:paraId="77753D15" w14:textId="77777777" w:rsidR="00C64AD6" w:rsidRDefault="00C64AD6" w:rsidP="00C64AD6">
                            <w:pPr>
                              <w:jc w:val="right"/>
                              <w:rPr>
                                <w:rFonts w:ascii="Roboto" w:hAnsi="Roboto"/>
                                <w:b/>
                                <w:bCs/>
                                <w:color w:val="F2F2F2"/>
                                <w:sz w:val="72"/>
                                <w:szCs w:val="72"/>
                              </w:rPr>
                            </w:pPr>
                          </w:p>
                          <w:p w14:paraId="67B53F78" w14:textId="77777777" w:rsidR="00C64AD6" w:rsidRDefault="00C64AD6" w:rsidP="00C64AD6">
                            <w:pPr>
                              <w:jc w:val="right"/>
                              <w:rPr>
                                <w:rFonts w:ascii="Roboto" w:hAnsi="Roboto"/>
                                <w:b/>
                                <w:bCs/>
                                <w:color w:val="F2F2F2"/>
                                <w:sz w:val="72"/>
                                <w:szCs w:val="72"/>
                              </w:rPr>
                            </w:pPr>
                          </w:p>
                          <w:p w14:paraId="2F50CDB7" w14:textId="77777777" w:rsidR="00C64AD6" w:rsidRDefault="00C64AD6" w:rsidP="00C64AD6">
                            <w:pPr>
                              <w:jc w:val="right"/>
                              <w:rPr>
                                <w:rFonts w:ascii="Roboto" w:hAnsi="Roboto"/>
                                <w:b/>
                                <w:bCs/>
                                <w:color w:val="F2F2F2"/>
                                <w:sz w:val="72"/>
                                <w:szCs w:val="72"/>
                              </w:rPr>
                            </w:pPr>
                          </w:p>
                          <w:p w14:paraId="49F0A744" w14:textId="77777777" w:rsidR="00C64AD6" w:rsidRDefault="00C64AD6" w:rsidP="00C64AD6">
                            <w:pPr>
                              <w:jc w:val="right"/>
                              <w:rPr>
                                <w:rFonts w:ascii="Roboto" w:hAnsi="Roboto"/>
                                <w:b/>
                                <w:bCs/>
                                <w:color w:val="F2F2F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BC7FB" id="_x0000_t202" coordsize="21600,21600" o:spt="202" path="m,l,21600r21600,l21600,xe">
                <v:stroke joinstyle="miter"/>
                <v:path gradientshapeok="t" o:connecttype="rect"/>
              </v:shapetype>
              <v:shape id="Text Box 291" o:spid="_x0000_s1026" type="#_x0000_t202" style="position:absolute;margin-left:-36pt;margin-top:18.8pt;width:524.25pt;height:5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" filled="f" stroked="f" strokeweight=".5pt">
                <v:textbox>
                  <w:txbxContent>
                    <w:p w14:paraId="5E71A0C4" w14:textId="77777777" w:rsidR="00180CD0" w:rsidRDefault="00180CD0"/>
                    <w:p w14:paraId="483168A1" w14:textId="77777777" w:rsidR="00180CD0" w:rsidRDefault="00180CD0"/>
                    <w:p w14:paraId="2A87B1C5" w14:textId="77777777" w:rsidR="00180CD0" w:rsidRDefault="00180CD0"/>
                    <w:tbl>
                      <w:tblPr>
                        <w:tblW w:w="0" w:type="auto"/>
                        <w:tblInd w:w="5266" w:type="dxa"/>
                        <w:tblLook w:val="01E0" w:firstRow="1" w:lastRow="1" w:firstColumn="1" w:lastColumn="1" w:noHBand="0" w:noVBand="0"/>
                      </w:tblPr>
                      <w:tblGrid>
                        <w:gridCol w:w="4921"/>
                      </w:tblGrid>
                      <w:tr w:rsidR="00180CD0" w14:paraId="5890CA98" w14:textId="77777777" w:rsidTr="00180CD0">
                        <w:tc>
                          <w:tcPr>
                            <w:tcW w:w="4935" w:type="dxa"/>
                            <w:shd w:val="clear" w:color="auto" w:fill="auto"/>
                          </w:tcPr>
                          <w:p w14:paraId="32BB9EC5" w14:textId="77777777" w:rsidR="00180CD0" w:rsidRPr="000A0259" w:rsidRDefault="000A0259" w:rsidP="00180CD0">
                            <w:pPr>
                              <w:spacing w:before="240"/>
                              <w:jc w:val="right"/>
                              <w:rPr>
                                <w:b/>
                                <w:color w:val="FFFFFF" w:themeColor="background1"/>
                                <w:sz w:val="44"/>
                                <w:szCs w:val="44"/>
                              </w:rPr>
                            </w:pPr>
                            <w:r w:rsidRPr="000A0259">
                              <w:rPr>
                                <w:b/>
                                <w:color w:val="FFFFFF" w:themeColor="background1"/>
                                <w:sz w:val="44"/>
                                <w:szCs w:val="44"/>
                              </w:rPr>
                              <w:t>Consumer Data Right</w:t>
                            </w:r>
                          </w:p>
                          <w:p w14:paraId="62C6BAFD" w14:textId="4736007B" w:rsidR="00180CD0" w:rsidRDefault="00D63CA2" w:rsidP="00180CD0">
                            <w:pPr>
                              <w:spacing w:before="240"/>
                              <w:jc w:val="right"/>
                              <w:rPr>
                                <w:b/>
                                <w:color w:val="FFFFFF" w:themeColor="background1"/>
                                <w:sz w:val="28"/>
                                <w:szCs w:val="28"/>
                              </w:rPr>
                            </w:pPr>
                            <w:r>
                              <w:rPr>
                                <w:b/>
                                <w:color w:val="FFFFFF" w:themeColor="background1"/>
                                <w:sz w:val="28"/>
                                <w:szCs w:val="28"/>
                              </w:rPr>
                              <w:t>P</w:t>
                            </w:r>
                            <w:r w:rsidR="00084F5F">
                              <w:rPr>
                                <w:b/>
                                <w:color w:val="FFFFFF" w:themeColor="background1"/>
                                <w:sz w:val="28"/>
                                <w:szCs w:val="28"/>
                              </w:rPr>
                              <w:t xml:space="preserve">roposed amendments </w:t>
                            </w:r>
                            <w:r w:rsidR="00C87B56">
                              <w:rPr>
                                <w:b/>
                                <w:color w:val="FFFFFF" w:themeColor="background1"/>
                                <w:sz w:val="28"/>
                                <w:szCs w:val="28"/>
                              </w:rPr>
                              <w:br/>
                            </w:r>
                            <w:r w:rsidR="00084F5F">
                              <w:rPr>
                                <w:b/>
                                <w:color w:val="FFFFFF" w:themeColor="background1"/>
                                <w:sz w:val="28"/>
                                <w:szCs w:val="28"/>
                              </w:rPr>
                              <w:t>to</w:t>
                            </w:r>
                            <w:r w:rsidR="000E1EBC">
                              <w:rPr>
                                <w:b/>
                                <w:color w:val="FFFFFF" w:themeColor="background1"/>
                                <w:sz w:val="28"/>
                                <w:szCs w:val="28"/>
                              </w:rPr>
                              <w:t xml:space="preserve"> </w:t>
                            </w:r>
                            <w:r w:rsidR="000A0259" w:rsidRPr="000A0259">
                              <w:rPr>
                                <w:b/>
                                <w:color w:val="FFFFFF" w:themeColor="background1"/>
                                <w:sz w:val="28"/>
                                <w:szCs w:val="28"/>
                              </w:rPr>
                              <w:t xml:space="preserve">the </w:t>
                            </w:r>
                            <w:r w:rsidR="00291950">
                              <w:rPr>
                                <w:b/>
                                <w:color w:val="FFFFFF" w:themeColor="background1"/>
                                <w:sz w:val="28"/>
                                <w:szCs w:val="28"/>
                              </w:rPr>
                              <w:t xml:space="preserve">CDR rules: </w:t>
                            </w:r>
                            <w:r>
                              <w:rPr>
                                <w:b/>
                                <w:color w:val="FFFFFF" w:themeColor="background1"/>
                                <w:sz w:val="28"/>
                                <w:szCs w:val="28"/>
                              </w:rPr>
                              <w:br/>
                            </w:r>
                            <w:r w:rsidR="003A702E">
                              <w:rPr>
                                <w:b/>
                                <w:color w:val="FFFFFF" w:themeColor="background1"/>
                                <w:sz w:val="28"/>
                                <w:szCs w:val="28"/>
                              </w:rPr>
                              <w:t xml:space="preserve">Consent </w:t>
                            </w:r>
                            <w:r w:rsidR="00374A81">
                              <w:rPr>
                                <w:b/>
                                <w:color w:val="FFFFFF" w:themeColor="background1"/>
                                <w:sz w:val="28"/>
                                <w:szCs w:val="28"/>
                              </w:rPr>
                              <w:t xml:space="preserve">Review rule changes </w:t>
                            </w:r>
                            <w:r w:rsidR="003A702E">
                              <w:rPr>
                                <w:b/>
                                <w:color w:val="FFFFFF" w:themeColor="background1"/>
                                <w:sz w:val="28"/>
                                <w:szCs w:val="28"/>
                              </w:rPr>
                              <w:t>and operational enhancements</w:t>
                            </w:r>
                          </w:p>
                          <w:p w14:paraId="7D006A6D" w14:textId="77777777" w:rsidR="00D63CA2" w:rsidRDefault="00D63CA2" w:rsidP="00180CD0">
                            <w:pPr>
                              <w:spacing w:before="240"/>
                              <w:jc w:val="right"/>
                              <w:rPr>
                                <w:b/>
                                <w:color w:val="FFFFFF" w:themeColor="background1"/>
                                <w:sz w:val="28"/>
                                <w:szCs w:val="28"/>
                              </w:rPr>
                            </w:pPr>
                          </w:p>
                          <w:p w14:paraId="13FFD4BB" w14:textId="77777777" w:rsidR="00D63CA2" w:rsidRPr="000A0259" w:rsidRDefault="00D63CA2" w:rsidP="00180CD0">
                            <w:pPr>
                              <w:spacing w:before="240"/>
                              <w:jc w:val="right"/>
                              <w:rPr>
                                <w:b/>
                                <w:color w:val="FFFFFF" w:themeColor="background1"/>
                                <w:sz w:val="28"/>
                                <w:szCs w:val="28"/>
                              </w:rPr>
                            </w:pPr>
                            <w:r>
                              <w:rPr>
                                <w:b/>
                                <w:color w:val="FFFFFF" w:themeColor="background1"/>
                                <w:sz w:val="28"/>
                                <w:szCs w:val="28"/>
                              </w:rPr>
                              <w:t>Privacy Impact Assessment</w:t>
                            </w:r>
                          </w:p>
                        </w:tc>
                      </w:tr>
                      <w:tr w:rsidR="00180CD0" w14:paraId="6A0F9612" w14:textId="77777777" w:rsidTr="00180CD0">
                        <w:tc>
                          <w:tcPr>
                            <w:tcW w:w="4935" w:type="dxa"/>
                            <w:shd w:val="clear" w:color="auto" w:fill="auto"/>
                          </w:tcPr>
                          <w:p w14:paraId="45B9200E" w14:textId="77777777" w:rsidR="00180CD0" w:rsidRPr="00180CD0" w:rsidRDefault="00180CD0" w:rsidP="00180CD0">
                            <w:pPr>
                              <w:spacing w:before="240"/>
                              <w:jc w:val="right"/>
                              <w:rPr>
                                <w:bCs/>
                                <w:color w:val="FFFFFF" w:themeColor="background1"/>
                              </w:rPr>
                            </w:pPr>
                          </w:p>
                        </w:tc>
                      </w:tr>
                      <w:tr w:rsidR="000A0259" w:rsidRPr="000A0259" w14:paraId="72E8415C" w14:textId="77777777" w:rsidTr="00180CD0">
                        <w:tc>
                          <w:tcPr>
                            <w:tcW w:w="4935" w:type="dxa"/>
                            <w:shd w:val="clear" w:color="auto" w:fill="auto"/>
                          </w:tcPr>
                          <w:p w14:paraId="72FD1A56" w14:textId="77777777" w:rsidR="000A0259" w:rsidRPr="000A0259" w:rsidRDefault="000A0259" w:rsidP="000A0259">
                            <w:pPr>
                              <w:spacing w:before="240"/>
                              <w:jc w:val="right"/>
                              <w:rPr>
                                <w:bCs/>
                                <w:color w:val="FFFFFF" w:themeColor="background1"/>
                              </w:rPr>
                            </w:pPr>
                            <w:r w:rsidRPr="00180CD0">
                              <w:rPr>
                                <w:bCs/>
                                <w:color w:val="FFFFFF" w:themeColor="background1"/>
                              </w:rPr>
                              <w:t>Prepared for</w:t>
                            </w:r>
                          </w:p>
                        </w:tc>
                      </w:tr>
                      <w:tr w:rsidR="000A0259" w14:paraId="1DAED2A2" w14:textId="77777777" w:rsidTr="00180CD0">
                        <w:tc>
                          <w:tcPr>
                            <w:tcW w:w="4935" w:type="dxa"/>
                            <w:shd w:val="clear" w:color="auto" w:fill="auto"/>
                          </w:tcPr>
                          <w:p w14:paraId="53206AD2" w14:textId="77777777" w:rsidR="000A0259" w:rsidRPr="00140AB0" w:rsidRDefault="000A0259" w:rsidP="000A0259">
                            <w:pPr>
                              <w:spacing w:before="240"/>
                              <w:jc w:val="right"/>
                              <w:rPr>
                                <w:bCs/>
                              </w:rPr>
                            </w:pPr>
                            <w:r w:rsidRPr="000A0259">
                              <w:rPr>
                                <w:bCs/>
                                <w:color w:val="FFFFFF" w:themeColor="background1"/>
                              </w:rPr>
                              <w:t>The Department of the Treasury</w:t>
                            </w:r>
                          </w:p>
                        </w:tc>
                      </w:tr>
                      <w:tr w:rsidR="00180CD0" w14:paraId="02D431FA" w14:textId="77777777" w:rsidTr="00180CD0">
                        <w:tc>
                          <w:tcPr>
                            <w:tcW w:w="4935" w:type="dxa"/>
                            <w:shd w:val="clear" w:color="auto" w:fill="auto"/>
                          </w:tcPr>
                          <w:p w14:paraId="56D34A3F" w14:textId="77777777" w:rsidR="00180CD0" w:rsidRDefault="00180CD0" w:rsidP="00180CD0">
                            <w:pPr>
                              <w:spacing w:before="240"/>
                            </w:pPr>
                          </w:p>
                        </w:tc>
                      </w:tr>
                      <w:tr w:rsidR="00180CD0" w14:paraId="5B77F143" w14:textId="77777777" w:rsidTr="00180CD0">
                        <w:tc>
                          <w:tcPr>
                            <w:tcW w:w="4935" w:type="dxa"/>
                            <w:shd w:val="clear" w:color="auto" w:fill="auto"/>
                          </w:tcPr>
                          <w:p w14:paraId="218DE431" w14:textId="2D540103" w:rsidR="00180CD0" w:rsidRPr="000A0259" w:rsidRDefault="00180CD0" w:rsidP="000A0259">
                            <w:pPr>
                              <w:spacing w:before="240"/>
                              <w:jc w:val="right"/>
                              <w:rPr>
                                <w:b/>
                                <w:bCs/>
                                <w:color w:val="FF0000"/>
                              </w:rPr>
                            </w:pPr>
                          </w:p>
                        </w:tc>
                      </w:tr>
                      <w:tr w:rsidR="00180CD0" w14:paraId="053904AE" w14:textId="77777777" w:rsidTr="00180CD0">
                        <w:tc>
                          <w:tcPr>
                            <w:tcW w:w="4935" w:type="dxa"/>
                            <w:shd w:val="clear" w:color="auto" w:fill="auto"/>
                          </w:tcPr>
                          <w:p w14:paraId="236F706F" w14:textId="56A2449E" w:rsidR="00180CD0" w:rsidRPr="000A0259" w:rsidRDefault="006429CB" w:rsidP="000A0259">
                            <w:pPr>
                              <w:spacing w:before="240"/>
                              <w:jc w:val="right"/>
                              <w:rPr>
                                <w:b/>
                                <w:bCs/>
                                <w:color w:val="FF0000"/>
                              </w:rPr>
                            </w:pPr>
                            <w:r>
                              <w:rPr>
                                <w:b/>
                                <w:bCs/>
                                <w:color w:val="FFFFFF" w:themeColor="background1"/>
                              </w:rPr>
                              <w:t>7</w:t>
                            </w:r>
                            <w:r w:rsidR="00E87694">
                              <w:rPr>
                                <w:b/>
                                <w:bCs/>
                                <w:color w:val="FFFFFF" w:themeColor="background1"/>
                              </w:rPr>
                              <w:t xml:space="preserve"> June </w:t>
                            </w:r>
                            <w:r w:rsidR="000A0259" w:rsidRPr="006F28A6">
                              <w:rPr>
                                <w:b/>
                                <w:bCs/>
                                <w:color w:val="FFFFFF" w:themeColor="background1"/>
                              </w:rPr>
                              <w:t>2024</w:t>
                            </w:r>
                          </w:p>
                        </w:tc>
                      </w:tr>
                    </w:tbl>
                    <w:p w14:paraId="77753D15" w14:textId="77777777" w:rsidR="00C64AD6" w:rsidRDefault="00C64AD6" w:rsidP="00C64AD6">
                      <w:pPr>
                        <w:jc w:val="right"/>
                        <w:rPr>
                          <w:rFonts w:ascii="Roboto" w:hAnsi="Roboto"/>
                          <w:b/>
                          <w:bCs/>
                          <w:color w:val="F2F2F2"/>
                          <w:sz w:val="72"/>
                          <w:szCs w:val="72"/>
                        </w:rPr>
                      </w:pPr>
                    </w:p>
                    <w:p w14:paraId="67B53F78" w14:textId="77777777" w:rsidR="00C64AD6" w:rsidRDefault="00C64AD6" w:rsidP="00C64AD6">
                      <w:pPr>
                        <w:jc w:val="right"/>
                        <w:rPr>
                          <w:rFonts w:ascii="Roboto" w:hAnsi="Roboto"/>
                          <w:b/>
                          <w:bCs/>
                          <w:color w:val="F2F2F2"/>
                          <w:sz w:val="72"/>
                          <w:szCs w:val="72"/>
                        </w:rPr>
                      </w:pPr>
                    </w:p>
                    <w:p w14:paraId="2F50CDB7" w14:textId="77777777" w:rsidR="00C64AD6" w:rsidRDefault="00C64AD6" w:rsidP="00C64AD6">
                      <w:pPr>
                        <w:jc w:val="right"/>
                        <w:rPr>
                          <w:rFonts w:ascii="Roboto" w:hAnsi="Roboto"/>
                          <w:b/>
                          <w:bCs/>
                          <w:color w:val="F2F2F2"/>
                          <w:sz w:val="72"/>
                          <w:szCs w:val="72"/>
                        </w:rPr>
                      </w:pPr>
                    </w:p>
                    <w:p w14:paraId="49F0A744" w14:textId="77777777" w:rsidR="00C64AD6" w:rsidRDefault="00C64AD6" w:rsidP="00C64AD6">
                      <w:pPr>
                        <w:jc w:val="right"/>
                        <w:rPr>
                          <w:rFonts w:ascii="Roboto" w:hAnsi="Roboto"/>
                          <w:b/>
                          <w:bCs/>
                          <w:color w:val="F2F2F2"/>
                          <w:sz w:val="72"/>
                          <w:szCs w:val="72"/>
                        </w:rPr>
                      </w:pPr>
                    </w:p>
                  </w:txbxContent>
                </v:textbox>
              </v:shape>
            </w:pict>
          </mc:Fallback>
        </mc:AlternateContent>
      </w:r>
    </w:p>
    <w:p w14:paraId="5EA34C9D" w14:textId="77777777" w:rsidR="00C64AD6" w:rsidRPr="007D2FF4" w:rsidRDefault="00C64AD6" w:rsidP="00C64AD6"/>
    <w:p w14:paraId="39BF1C7F" w14:textId="77777777" w:rsidR="00C64AD6" w:rsidRDefault="00C64AD6" w:rsidP="00C64AD6">
      <w:r>
        <w:rPr>
          <w:noProof/>
        </w:rPr>
        <w:drawing>
          <wp:anchor distT="0" distB="0" distL="114300" distR="114300" simplePos="0" relativeHeight="251658240" behindDoc="0" locked="0" layoutInCell="1" allowOverlap="1" wp14:anchorId="26095508" wp14:editId="4F0FCF53">
            <wp:simplePos x="0" y="0"/>
            <wp:positionH relativeFrom="column">
              <wp:posOffset>-3292475</wp:posOffset>
            </wp:positionH>
            <wp:positionV relativeFrom="paragraph">
              <wp:posOffset>292100</wp:posOffset>
            </wp:positionV>
            <wp:extent cx="12029372" cy="8119745"/>
            <wp:effectExtent l="0" t="7620" r="3175" b="317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2029372" cy="8119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C917E91" wp14:editId="64B14B3A">
            <wp:simplePos x="0" y="0"/>
            <wp:positionH relativeFrom="column">
              <wp:posOffset>-3141663</wp:posOffset>
            </wp:positionH>
            <wp:positionV relativeFrom="paragraph">
              <wp:posOffset>359093</wp:posOffset>
            </wp:positionV>
            <wp:extent cx="2075180" cy="478155"/>
            <wp:effectExtent l="0" t="0" r="0" b="0"/>
            <wp:wrapNone/>
            <wp:docPr id="292" name="Picture 2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5180" cy="478155"/>
                    </a:xfrm>
                    <a:prstGeom prst="rect">
                      <a:avLst/>
                    </a:prstGeom>
                  </pic:spPr>
                </pic:pic>
              </a:graphicData>
            </a:graphic>
            <wp14:sizeRelH relativeFrom="page">
              <wp14:pctWidth>0</wp14:pctWidth>
            </wp14:sizeRelH>
            <wp14:sizeRelV relativeFrom="page">
              <wp14:pctHeight>0</wp14:pctHeight>
            </wp14:sizeRelV>
          </wp:anchor>
        </w:drawing>
      </w:r>
    </w:p>
    <w:p w14:paraId="73B4F878" w14:textId="77777777" w:rsidR="00C64AD6" w:rsidRDefault="00C64AD6" w:rsidP="00C64AD6"/>
    <w:p w14:paraId="00AD069D" w14:textId="77777777" w:rsidR="00C64AD6" w:rsidRDefault="00C64AD6" w:rsidP="00C64AD6"/>
    <w:p w14:paraId="08E3619F" w14:textId="77777777" w:rsidR="00C64AD6" w:rsidRDefault="00C64AD6" w:rsidP="00C64AD6"/>
    <w:p w14:paraId="1624C72A" w14:textId="77777777" w:rsidR="00C64AD6" w:rsidRDefault="00C64AD6" w:rsidP="00C64AD6"/>
    <w:p w14:paraId="1BF9504B" w14:textId="77777777" w:rsidR="00C64AD6" w:rsidRDefault="00C64AD6" w:rsidP="00C64AD6"/>
    <w:p w14:paraId="468A07A7" w14:textId="77777777" w:rsidR="00C64AD6" w:rsidRDefault="00C64AD6" w:rsidP="00C64AD6"/>
    <w:p w14:paraId="38546EEB" w14:textId="77777777" w:rsidR="00C64AD6" w:rsidRDefault="00C64AD6" w:rsidP="00C64AD6"/>
    <w:p w14:paraId="1A2FF60E" w14:textId="77777777" w:rsidR="00C64AD6" w:rsidRDefault="00C64AD6" w:rsidP="00C64AD6"/>
    <w:p w14:paraId="3CFF31E8" w14:textId="77777777" w:rsidR="00C64AD6" w:rsidRDefault="00C64AD6" w:rsidP="00C64AD6"/>
    <w:p w14:paraId="252A5B50" w14:textId="77777777" w:rsidR="00C64AD6" w:rsidRDefault="00C64AD6" w:rsidP="00C64AD6"/>
    <w:p w14:paraId="64FDD138" w14:textId="77777777" w:rsidR="00C64AD6" w:rsidRDefault="00C64AD6" w:rsidP="00C64AD6"/>
    <w:p w14:paraId="78504448" w14:textId="77777777" w:rsidR="00C64AD6" w:rsidRDefault="00C64AD6" w:rsidP="00C64AD6"/>
    <w:p w14:paraId="3A58706C" w14:textId="77777777" w:rsidR="00C64AD6" w:rsidRDefault="00C64AD6" w:rsidP="00C64AD6"/>
    <w:p w14:paraId="6DDDB939" w14:textId="77777777" w:rsidR="00C64AD6" w:rsidRDefault="00C64AD6" w:rsidP="00C64AD6"/>
    <w:p w14:paraId="6E179F50" w14:textId="77777777" w:rsidR="00C64AD6" w:rsidRDefault="00C64AD6" w:rsidP="00C64AD6"/>
    <w:p w14:paraId="1B47B793" w14:textId="77777777" w:rsidR="00C64AD6" w:rsidRDefault="00C64AD6" w:rsidP="00C64AD6"/>
    <w:p w14:paraId="295A5174" w14:textId="77777777" w:rsidR="00C64AD6" w:rsidRDefault="00C64AD6" w:rsidP="00C64AD6"/>
    <w:p w14:paraId="08F39AD2" w14:textId="77777777" w:rsidR="00C64AD6" w:rsidRDefault="00C64AD6" w:rsidP="00C64AD6"/>
    <w:p w14:paraId="04872F4D" w14:textId="77777777" w:rsidR="00C64AD6" w:rsidRDefault="00C64AD6" w:rsidP="00C64AD6"/>
    <w:p w14:paraId="512E5B9D" w14:textId="77777777" w:rsidR="00C64AD6" w:rsidRDefault="00C64AD6" w:rsidP="00C64AD6"/>
    <w:p w14:paraId="7A7D6A2D" w14:textId="77777777" w:rsidR="00C64AD6" w:rsidRDefault="00C64AD6" w:rsidP="00C64AD6"/>
    <w:p w14:paraId="385F3FE0" w14:textId="77777777" w:rsidR="00C64AD6" w:rsidRDefault="00C64AD6" w:rsidP="00C64AD6"/>
    <w:p w14:paraId="39225436" w14:textId="77777777" w:rsidR="00C64AD6" w:rsidRDefault="00C64AD6" w:rsidP="00C64AD6"/>
    <w:p w14:paraId="75055B4E" w14:textId="77777777" w:rsidR="00C64AD6" w:rsidRDefault="00C64AD6" w:rsidP="00C64AD6"/>
    <w:p w14:paraId="698CA84F" w14:textId="77777777" w:rsidR="00C64AD6" w:rsidRDefault="00C64AD6" w:rsidP="00C64AD6"/>
    <w:p w14:paraId="5421CAF8" w14:textId="77777777" w:rsidR="00C64AD6" w:rsidRDefault="00C64AD6" w:rsidP="00C64AD6"/>
    <w:p w14:paraId="2F7477FE" w14:textId="77777777" w:rsidR="00C64AD6" w:rsidRDefault="00C64AD6" w:rsidP="00C64AD6"/>
    <w:p w14:paraId="222C1455" w14:textId="77777777" w:rsidR="00C64AD6" w:rsidRDefault="00C64AD6" w:rsidP="00C64AD6"/>
    <w:p w14:paraId="1014B82E" w14:textId="77777777" w:rsidR="00C64AD6" w:rsidRDefault="00C64AD6" w:rsidP="00C64AD6"/>
    <w:p w14:paraId="05EA7224" w14:textId="77777777" w:rsidR="00C64AD6" w:rsidRDefault="00C64AD6" w:rsidP="00C64AD6"/>
    <w:p w14:paraId="0E296FC0" w14:textId="77777777" w:rsidR="00C64AD6" w:rsidRDefault="00C64AD6" w:rsidP="00C64AD6"/>
    <w:p w14:paraId="66B0D3B7" w14:textId="77777777" w:rsidR="00C64AD6" w:rsidRDefault="00C64AD6" w:rsidP="00C64AD6"/>
    <w:p w14:paraId="28B711D0" w14:textId="77777777" w:rsidR="00C64AD6" w:rsidRDefault="00C64AD6" w:rsidP="00C64AD6"/>
    <w:p w14:paraId="1233157B" w14:textId="77777777" w:rsidR="00C64AD6" w:rsidRDefault="00C64AD6" w:rsidP="00C64AD6"/>
    <w:p w14:paraId="4CCBDD02" w14:textId="77777777" w:rsidR="00C64AD6" w:rsidRDefault="00C64AD6" w:rsidP="00C64AD6"/>
    <w:p w14:paraId="43EA80F3" w14:textId="77777777" w:rsidR="00C64AD6" w:rsidRDefault="00C64AD6" w:rsidP="00C64AD6"/>
    <w:p w14:paraId="1661C159" w14:textId="77777777" w:rsidR="00C64AD6" w:rsidRDefault="00C64AD6" w:rsidP="00C64AD6"/>
    <w:p w14:paraId="3F43295B" w14:textId="77777777" w:rsidR="00C64AD6" w:rsidRDefault="00C64AD6" w:rsidP="00C64AD6"/>
    <w:p w14:paraId="0E96607A" w14:textId="77777777" w:rsidR="00C64AD6" w:rsidRDefault="00C64AD6" w:rsidP="00C64AD6"/>
    <w:p w14:paraId="39FFE8AF" w14:textId="77777777" w:rsidR="00C64AD6" w:rsidRDefault="00C64AD6" w:rsidP="00C64AD6"/>
    <w:p w14:paraId="298E5C8A" w14:textId="77777777" w:rsidR="00C64AD6" w:rsidRDefault="00C64AD6" w:rsidP="00C64AD6"/>
    <w:p w14:paraId="5580E13D" w14:textId="77777777" w:rsidR="00C64AD6" w:rsidRDefault="00C64AD6" w:rsidP="00C64AD6"/>
    <w:p w14:paraId="4C4DC976" w14:textId="77777777" w:rsidR="00C64AD6" w:rsidRDefault="00C64AD6" w:rsidP="00C64AD6"/>
    <w:p w14:paraId="5F3687B6" w14:textId="77777777" w:rsidR="00C64AD6" w:rsidRDefault="00C64AD6" w:rsidP="00C64AD6"/>
    <w:p w14:paraId="4A0134C6" w14:textId="77777777" w:rsidR="00C64AD6" w:rsidRDefault="00C64AD6" w:rsidP="00C64AD6"/>
    <w:p w14:paraId="2B5259BC" w14:textId="77777777" w:rsidR="00C64AD6" w:rsidRDefault="00C64AD6" w:rsidP="00C64AD6"/>
    <w:p w14:paraId="114957EB" w14:textId="77777777" w:rsidR="00C64AD6" w:rsidRDefault="00C64AD6" w:rsidP="00C64AD6">
      <w:r>
        <w:rPr>
          <w:noProof/>
        </w:rPr>
        <mc:AlternateContent>
          <mc:Choice Requires="wps">
            <w:drawing>
              <wp:anchor distT="0" distB="0" distL="114300" distR="114300" simplePos="0" relativeHeight="251658244" behindDoc="0" locked="0" layoutInCell="1" allowOverlap="1" wp14:anchorId="009FE603" wp14:editId="1147B0D3">
                <wp:simplePos x="0" y="0"/>
                <wp:positionH relativeFrom="column">
                  <wp:posOffset>200025</wp:posOffset>
                </wp:positionH>
                <wp:positionV relativeFrom="paragraph">
                  <wp:posOffset>84455</wp:posOffset>
                </wp:positionV>
                <wp:extent cx="1628775" cy="647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628775" cy="647700"/>
                        </a:xfrm>
                        <a:prstGeom prst="rect">
                          <a:avLst/>
                        </a:prstGeom>
                        <a:noFill/>
                        <a:ln w="6350">
                          <a:noFill/>
                        </a:ln>
                      </wps:spPr>
                      <wps:txbx>
                        <w:txbxContent>
                          <w:p w14:paraId="32FD875B" w14:textId="77777777" w:rsidR="00C64AD6" w:rsidRPr="00C64AD6" w:rsidRDefault="00C64AD6" w:rsidP="00C64AD6">
                            <w:pPr>
                              <w:rPr>
                                <w:b/>
                                <w:bCs/>
                                <w:color w:val="FFFFFF" w:themeColor="background1"/>
                              </w:rPr>
                            </w:pPr>
                            <w:r w:rsidRPr="00C64AD6">
                              <w:rPr>
                                <w:b/>
                                <w:bCs/>
                                <w:color w:val="FFFFFF" w:themeColor="background1"/>
                              </w:rPr>
                              <w:t>© Mills Oakley 2024</w:t>
                            </w:r>
                          </w:p>
                          <w:p w14:paraId="433E771D" w14:textId="77777777" w:rsidR="00C64AD6" w:rsidRPr="00ED2645" w:rsidRDefault="00C64AD6" w:rsidP="00C64A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9FE603" id="Text Box 16" o:spid="_x0000_s1027" type="#_x0000_t202" style="position:absolute;margin-left:15.75pt;margin-top:6.65pt;width:128.25pt;height:51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" filled="f" stroked="f" strokeweight=".5pt">
                <v:textbox>
                  <w:txbxContent>
                    <w:p w14:paraId="32FD875B" w14:textId="77777777" w:rsidR="00C64AD6" w:rsidRPr="00C64AD6" w:rsidRDefault="00C64AD6" w:rsidP="00C64AD6">
                      <w:pPr>
                        <w:rPr>
                          <w:b/>
                          <w:bCs/>
                          <w:color w:val="FFFFFF" w:themeColor="background1"/>
                        </w:rPr>
                      </w:pPr>
                      <w:r w:rsidRPr="00C64AD6">
                        <w:rPr>
                          <w:b/>
                          <w:bCs/>
                          <w:color w:val="FFFFFF" w:themeColor="background1"/>
                        </w:rPr>
                        <w:t>© Mills Oakley 2024</w:t>
                      </w:r>
                    </w:p>
                    <w:p w14:paraId="433E771D" w14:textId="77777777" w:rsidR="00C64AD6" w:rsidRPr="00ED2645" w:rsidRDefault="00C64AD6" w:rsidP="00C64AD6">
                      <w:pPr>
                        <w:rPr>
                          <w:b/>
                          <w:bCs/>
                        </w:rPr>
                      </w:pPr>
                    </w:p>
                  </w:txbxContent>
                </v:textbox>
              </v:shape>
            </w:pict>
          </mc:Fallback>
        </mc:AlternateContent>
      </w:r>
    </w:p>
    <w:p w14:paraId="45BE84F3" w14:textId="77777777" w:rsidR="00C64AD6" w:rsidRDefault="00C64AD6" w:rsidP="00C64AD6"/>
    <w:p w14:paraId="38FF290E" w14:textId="77777777" w:rsidR="00C64AD6" w:rsidRDefault="00C64AD6" w:rsidP="00C64AD6"/>
    <w:p w14:paraId="2FD6E291" w14:textId="77777777" w:rsidR="00C64AD6" w:rsidRDefault="00C64AD6" w:rsidP="00C64AD6"/>
    <w:p w14:paraId="61BE9E67" w14:textId="77777777" w:rsidR="00C64AD6" w:rsidRPr="007D2FF4" w:rsidRDefault="00C64AD6" w:rsidP="00C64AD6">
      <w:pPr>
        <w:sectPr w:rsidR="00C64AD6" w:rsidRPr="007D2FF4">
          <w:headerReference w:type="default" r:id="rId10"/>
          <w:footerReference w:type="default" r:id="rId11"/>
          <w:pgSz w:w="11906" w:h="16838"/>
          <w:pgMar w:top="1440" w:right="1440" w:bottom="1440" w:left="1440" w:header="708" w:footer="708" w:gutter="0"/>
          <w:cols w:space="708"/>
          <w:docGrid w:linePitch="360"/>
        </w:sectPr>
      </w:pPr>
    </w:p>
    <w:p w14:paraId="68CFCB6E" w14:textId="77777777" w:rsidR="00C64AD6" w:rsidRDefault="00C64AD6" w:rsidP="00C64AD6">
      <w:pPr>
        <w:pStyle w:val="MOIndexHeading"/>
      </w:pPr>
      <w:r>
        <w:lastRenderedPageBreak/>
        <w:t>Table of Contents</w:t>
      </w:r>
    </w:p>
    <w:p w14:paraId="06BC1807" w14:textId="77777777" w:rsidR="00C64AD6" w:rsidRDefault="00C64AD6" w:rsidP="00C64AD6"/>
    <w:p w14:paraId="1822A5E2" w14:textId="3C61357E" w:rsidR="00CB366E" w:rsidRDefault="00C64AD6">
      <w:pPr>
        <w:pStyle w:val="TOC1"/>
        <w:rPr>
          <w:rFonts w:asciiTheme="minorHAnsi" w:eastAsiaTheme="minorEastAsia" w:hAnsiTheme="minorHAnsi" w:cstheme="minorBidi"/>
          <w:b w:val="0"/>
          <w:noProof/>
          <w:kern w:val="2"/>
          <w14:ligatures w14:val="standardContextual"/>
        </w:rPr>
      </w:pPr>
      <w:r>
        <w:fldChar w:fldCharType="begin"/>
      </w:r>
      <w:r>
        <w:instrText xml:space="preserve"> TOC \h \z \t "MO Annex Heading,1,MO Sch Heading,1,MO Terms (L1),1,MO Para (L1),4,MO Number (L1),1,MO Terms (L2),2,MO Section Heading,3,</w:instrText>
      </w:r>
      <w:r w:rsidRPr="00115B4C">
        <w:instrText xml:space="preserve"> </w:instrText>
      </w:r>
      <w:r>
        <w:instrText>MO Para (L2),2,</w:instrText>
      </w:r>
      <w:r w:rsidRPr="00D15070">
        <w:instrText xml:space="preserve"> </w:instrText>
      </w:r>
      <w:r>
        <w:instrText xml:space="preserve">MO Number (L2),2" </w:instrText>
      </w:r>
      <w:r>
        <w:fldChar w:fldCharType="separate"/>
      </w:r>
      <w:hyperlink w:anchor="_Toc165324933" w:history="1">
        <w:r w:rsidR="00CB366E" w:rsidRPr="000D4C1E">
          <w:rPr>
            <w:rStyle w:val="Hyperlink"/>
            <w:noProof/>
          </w:rPr>
          <w:t>1</w:t>
        </w:r>
        <w:r w:rsidR="00CB366E">
          <w:rPr>
            <w:rFonts w:asciiTheme="minorHAnsi" w:eastAsiaTheme="minorEastAsia" w:hAnsiTheme="minorHAnsi" w:cstheme="minorBidi"/>
            <w:b w:val="0"/>
            <w:noProof/>
            <w:kern w:val="2"/>
            <w14:ligatures w14:val="standardContextual"/>
          </w:rPr>
          <w:tab/>
        </w:r>
        <w:r w:rsidR="00CB366E" w:rsidRPr="000D4C1E">
          <w:rPr>
            <w:rStyle w:val="Hyperlink"/>
            <w:noProof/>
          </w:rPr>
          <w:t>Executive Summary</w:t>
        </w:r>
        <w:r w:rsidR="00CB366E">
          <w:rPr>
            <w:noProof/>
            <w:webHidden/>
          </w:rPr>
          <w:tab/>
        </w:r>
        <w:r w:rsidR="00CB366E">
          <w:rPr>
            <w:noProof/>
            <w:webHidden/>
          </w:rPr>
          <w:fldChar w:fldCharType="begin"/>
        </w:r>
        <w:r w:rsidR="00CB366E">
          <w:rPr>
            <w:noProof/>
            <w:webHidden/>
          </w:rPr>
          <w:instrText xml:space="preserve"> PAGEREF _Toc165324933 \h </w:instrText>
        </w:r>
        <w:r w:rsidR="00CB366E">
          <w:rPr>
            <w:noProof/>
            <w:webHidden/>
          </w:rPr>
        </w:r>
        <w:r w:rsidR="00CB366E">
          <w:rPr>
            <w:noProof/>
            <w:webHidden/>
          </w:rPr>
          <w:fldChar w:fldCharType="separate"/>
        </w:r>
        <w:r w:rsidR="00605022">
          <w:rPr>
            <w:noProof/>
            <w:webHidden/>
          </w:rPr>
          <w:t>3</w:t>
        </w:r>
        <w:r w:rsidR="00CB366E">
          <w:rPr>
            <w:noProof/>
            <w:webHidden/>
          </w:rPr>
          <w:fldChar w:fldCharType="end"/>
        </w:r>
      </w:hyperlink>
    </w:p>
    <w:p w14:paraId="04429936" w14:textId="29EAF285" w:rsidR="00CB366E" w:rsidRDefault="004F7D34">
      <w:pPr>
        <w:pStyle w:val="TOC2"/>
        <w:rPr>
          <w:rFonts w:asciiTheme="minorHAnsi" w:eastAsiaTheme="minorEastAsia" w:hAnsiTheme="minorHAnsi" w:cstheme="minorBidi"/>
          <w:noProof/>
          <w:kern w:val="2"/>
          <w14:ligatures w14:val="standardContextual"/>
        </w:rPr>
      </w:pPr>
      <w:hyperlink w:anchor="_Toc165324934" w:history="1">
        <w:r w:rsidR="00CB366E" w:rsidRPr="000D4C1E">
          <w:rPr>
            <w:rStyle w:val="Hyperlink"/>
            <w:noProof/>
          </w:rPr>
          <w:t>About the Operational Enhancements and Consent Amendments</w:t>
        </w:r>
        <w:r w:rsidR="00CB366E">
          <w:rPr>
            <w:noProof/>
            <w:webHidden/>
          </w:rPr>
          <w:tab/>
        </w:r>
        <w:r w:rsidR="00CB366E">
          <w:rPr>
            <w:noProof/>
            <w:webHidden/>
          </w:rPr>
          <w:fldChar w:fldCharType="begin"/>
        </w:r>
        <w:r w:rsidR="00CB366E">
          <w:rPr>
            <w:noProof/>
            <w:webHidden/>
          </w:rPr>
          <w:instrText xml:space="preserve"> PAGEREF _Toc165324934 \h </w:instrText>
        </w:r>
        <w:r w:rsidR="00CB366E">
          <w:rPr>
            <w:noProof/>
            <w:webHidden/>
          </w:rPr>
        </w:r>
        <w:r w:rsidR="00CB366E">
          <w:rPr>
            <w:noProof/>
            <w:webHidden/>
          </w:rPr>
          <w:fldChar w:fldCharType="separate"/>
        </w:r>
        <w:r w:rsidR="00605022">
          <w:rPr>
            <w:noProof/>
            <w:webHidden/>
          </w:rPr>
          <w:t>3</w:t>
        </w:r>
        <w:r w:rsidR="00CB366E">
          <w:rPr>
            <w:noProof/>
            <w:webHidden/>
          </w:rPr>
          <w:fldChar w:fldCharType="end"/>
        </w:r>
      </w:hyperlink>
    </w:p>
    <w:p w14:paraId="09FC5262" w14:textId="3E85C8F2" w:rsidR="00CB366E" w:rsidRDefault="004F7D34">
      <w:pPr>
        <w:pStyle w:val="TOC2"/>
        <w:rPr>
          <w:rFonts w:asciiTheme="minorHAnsi" w:eastAsiaTheme="minorEastAsia" w:hAnsiTheme="minorHAnsi" w:cstheme="minorBidi"/>
          <w:noProof/>
          <w:kern w:val="2"/>
          <w14:ligatures w14:val="standardContextual"/>
        </w:rPr>
      </w:pPr>
      <w:hyperlink w:anchor="_Toc165324935" w:history="1">
        <w:r w:rsidR="00CB366E" w:rsidRPr="000D4C1E">
          <w:rPr>
            <w:rStyle w:val="Hyperlink"/>
            <w:noProof/>
          </w:rPr>
          <w:t>Summary or Privacy Impacts, Risks and Recommendations</w:t>
        </w:r>
        <w:r w:rsidR="00CB366E">
          <w:rPr>
            <w:noProof/>
            <w:webHidden/>
          </w:rPr>
          <w:tab/>
        </w:r>
        <w:r w:rsidR="00CB366E">
          <w:rPr>
            <w:noProof/>
            <w:webHidden/>
          </w:rPr>
          <w:fldChar w:fldCharType="begin"/>
        </w:r>
        <w:r w:rsidR="00CB366E">
          <w:rPr>
            <w:noProof/>
            <w:webHidden/>
          </w:rPr>
          <w:instrText xml:space="preserve"> PAGEREF _Toc165324935 \h </w:instrText>
        </w:r>
        <w:r w:rsidR="00CB366E">
          <w:rPr>
            <w:noProof/>
            <w:webHidden/>
          </w:rPr>
        </w:r>
        <w:r w:rsidR="00CB366E">
          <w:rPr>
            <w:noProof/>
            <w:webHidden/>
          </w:rPr>
          <w:fldChar w:fldCharType="separate"/>
        </w:r>
        <w:r w:rsidR="00605022">
          <w:rPr>
            <w:noProof/>
            <w:webHidden/>
          </w:rPr>
          <w:t>3</w:t>
        </w:r>
        <w:r w:rsidR="00CB366E">
          <w:rPr>
            <w:noProof/>
            <w:webHidden/>
          </w:rPr>
          <w:fldChar w:fldCharType="end"/>
        </w:r>
      </w:hyperlink>
    </w:p>
    <w:p w14:paraId="2FF1420F" w14:textId="5B5A3F44" w:rsidR="00CB366E" w:rsidRDefault="004F7D34">
      <w:pPr>
        <w:pStyle w:val="TOC1"/>
        <w:rPr>
          <w:rFonts w:asciiTheme="minorHAnsi" w:eastAsiaTheme="minorEastAsia" w:hAnsiTheme="minorHAnsi" w:cstheme="minorBidi"/>
          <w:b w:val="0"/>
          <w:noProof/>
          <w:kern w:val="2"/>
          <w14:ligatures w14:val="standardContextual"/>
        </w:rPr>
      </w:pPr>
      <w:hyperlink w:anchor="_Toc165324936" w:history="1">
        <w:r w:rsidR="00CB366E" w:rsidRPr="000D4C1E">
          <w:rPr>
            <w:rStyle w:val="Hyperlink"/>
            <w:noProof/>
          </w:rPr>
          <w:t>2</w:t>
        </w:r>
        <w:r w:rsidR="00CB366E">
          <w:rPr>
            <w:rFonts w:asciiTheme="minorHAnsi" w:eastAsiaTheme="minorEastAsia" w:hAnsiTheme="minorHAnsi" w:cstheme="minorBidi"/>
            <w:b w:val="0"/>
            <w:noProof/>
            <w:kern w:val="2"/>
            <w14:ligatures w14:val="standardContextual"/>
          </w:rPr>
          <w:tab/>
        </w:r>
        <w:r w:rsidR="00CB366E" w:rsidRPr="000D4C1E">
          <w:rPr>
            <w:rStyle w:val="Hyperlink"/>
            <w:noProof/>
          </w:rPr>
          <w:t>About this Privacy Impact Assessment</w:t>
        </w:r>
        <w:r w:rsidR="00CB366E">
          <w:rPr>
            <w:noProof/>
            <w:webHidden/>
          </w:rPr>
          <w:tab/>
        </w:r>
        <w:r w:rsidR="00CB366E">
          <w:rPr>
            <w:noProof/>
            <w:webHidden/>
          </w:rPr>
          <w:fldChar w:fldCharType="begin"/>
        </w:r>
        <w:r w:rsidR="00CB366E">
          <w:rPr>
            <w:noProof/>
            <w:webHidden/>
          </w:rPr>
          <w:instrText xml:space="preserve"> PAGEREF _Toc165324936 \h </w:instrText>
        </w:r>
        <w:r w:rsidR="00CB366E">
          <w:rPr>
            <w:noProof/>
            <w:webHidden/>
          </w:rPr>
        </w:r>
        <w:r w:rsidR="00CB366E">
          <w:rPr>
            <w:noProof/>
            <w:webHidden/>
          </w:rPr>
          <w:fldChar w:fldCharType="separate"/>
        </w:r>
        <w:r w:rsidR="00605022">
          <w:rPr>
            <w:noProof/>
            <w:webHidden/>
          </w:rPr>
          <w:t>4</w:t>
        </w:r>
        <w:r w:rsidR="00CB366E">
          <w:rPr>
            <w:noProof/>
            <w:webHidden/>
          </w:rPr>
          <w:fldChar w:fldCharType="end"/>
        </w:r>
      </w:hyperlink>
    </w:p>
    <w:p w14:paraId="558005BA" w14:textId="39EA78B4" w:rsidR="00CB366E" w:rsidRDefault="004F7D34">
      <w:pPr>
        <w:pStyle w:val="TOC2"/>
        <w:rPr>
          <w:rFonts w:asciiTheme="minorHAnsi" w:eastAsiaTheme="minorEastAsia" w:hAnsiTheme="minorHAnsi" w:cstheme="minorBidi"/>
          <w:noProof/>
          <w:kern w:val="2"/>
          <w14:ligatures w14:val="standardContextual"/>
        </w:rPr>
      </w:pPr>
      <w:hyperlink w:anchor="_Toc165324937" w:history="1">
        <w:r w:rsidR="00CB366E" w:rsidRPr="000D4C1E">
          <w:rPr>
            <w:rStyle w:val="Hyperlink"/>
            <w:noProof/>
          </w:rPr>
          <w:t>Focus of this PIA</w:t>
        </w:r>
        <w:r w:rsidR="00CB366E">
          <w:rPr>
            <w:noProof/>
            <w:webHidden/>
          </w:rPr>
          <w:tab/>
        </w:r>
        <w:r w:rsidR="00CB366E">
          <w:rPr>
            <w:noProof/>
            <w:webHidden/>
          </w:rPr>
          <w:fldChar w:fldCharType="begin"/>
        </w:r>
        <w:r w:rsidR="00CB366E">
          <w:rPr>
            <w:noProof/>
            <w:webHidden/>
          </w:rPr>
          <w:instrText xml:space="preserve"> PAGEREF _Toc165324937 \h </w:instrText>
        </w:r>
        <w:r w:rsidR="00CB366E">
          <w:rPr>
            <w:noProof/>
            <w:webHidden/>
          </w:rPr>
        </w:r>
        <w:r w:rsidR="00CB366E">
          <w:rPr>
            <w:noProof/>
            <w:webHidden/>
          </w:rPr>
          <w:fldChar w:fldCharType="separate"/>
        </w:r>
        <w:r w:rsidR="00605022">
          <w:rPr>
            <w:noProof/>
            <w:webHidden/>
          </w:rPr>
          <w:t>4</w:t>
        </w:r>
        <w:r w:rsidR="00CB366E">
          <w:rPr>
            <w:noProof/>
            <w:webHidden/>
          </w:rPr>
          <w:fldChar w:fldCharType="end"/>
        </w:r>
      </w:hyperlink>
    </w:p>
    <w:p w14:paraId="2B6886F7" w14:textId="7B5C2173" w:rsidR="00CB366E" w:rsidRDefault="004F7D34">
      <w:pPr>
        <w:pStyle w:val="TOC2"/>
        <w:rPr>
          <w:rFonts w:asciiTheme="minorHAnsi" w:eastAsiaTheme="minorEastAsia" w:hAnsiTheme="minorHAnsi" w:cstheme="minorBidi"/>
          <w:noProof/>
          <w:kern w:val="2"/>
          <w14:ligatures w14:val="standardContextual"/>
        </w:rPr>
      </w:pPr>
      <w:hyperlink w:anchor="_Toc165324938" w:history="1">
        <w:r w:rsidR="00CB366E" w:rsidRPr="000D4C1E">
          <w:rPr>
            <w:rStyle w:val="Hyperlink"/>
            <w:noProof/>
          </w:rPr>
          <w:t>How did we get here?</w:t>
        </w:r>
        <w:r w:rsidR="00CB366E">
          <w:rPr>
            <w:noProof/>
            <w:webHidden/>
          </w:rPr>
          <w:tab/>
        </w:r>
        <w:r w:rsidR="00CB366E">
          <w:rPr>
            <w:noProof/>
            <w:webHidden/>
          </w:rPr>
          <w:fldChar w:fldCharType="begin"/>
        </w:r>
        <w:r w:rsidR="00CB366E">
          <w:rPr>
            <w:noProof/>
            <w:webHidden/>
          </w:rPr>
          <w:instrText xml:space="preserve"> PAGEREF _Toc165324938 \h </w:instrText>
        </w:r>
        <w:r w:rsidR="00CB366E">
          <w:rPr>
            <w:noProof/>
            <w:webHidden/>
          </w:rPr>
        </w:r>
        <w:r w:rsidR="00CB366E">
          <w:rPr>
            <w:noProof/>
            <w:webHidden/>
          </w:rPr>
          <w:fldChar w:fldCharType="separate"/>
        </w:r>
        <w:r w:rsidR="00605022">
          <w:rPr>
            <w:noProof/>
            <w:webHidden/>
          </w:rPr>
          <w:t>5</w:t>
        </w:r>
        <w:r w:rsidR="00CB366E">
          <w:rPr>
            <w:noProof/>
            <w:webHidden/>
          </w:rPr>
          <w:fldChar w:fldCharType="end"/>
        </w:r>
      </w:hyperlink>
    </w:p>
    <w:p w14:paraId="640E75C3" w14:textId="70E7C3D3" w:rsidR="00CB366E" w:rsidRDefault="004F7D34">
      <w:pPr>
        <w:pStyle w:val="TOC2"/>
        <w:rPr>
          <w:rFonts w:asciiTheme="minorHAnsi" w:eastAsiaTheme="minorEastAsia" w:hAnsiTheme="minorHAnsi" w:cstheme="minorBidi"/>
          <w:noProof/>
          <w:kern w:val="2"/>
          <w14:ligatures w14:val="standardContextual"/>
        </w:rPr>
      </w:pPr>
      <w:hyperlink w:anchor="_Toc165324939" w:history="1">
        <w:r w:rsidR="00CB366E" w:rsidRPr="000D4C1E">
          <w:rPr>
            <w:rStyle w:val="Hyperlink"/>
            <w:noProof/>
          </w:rPr>
          <w:t>Our Methodology</w:t>
        </w:r>
        <w:r w:rsidR="00CB366E">
          <w:rPr>
            <w:noProof/>
            <w:webHidden/>
          </w:rPr>
          <w:tab/>
        </w:r>
        <w:r w:rsidR="00CB366E">
          <w:rPr>
            <w:noProof/>
            <w:webHidden/>
          </w:rPr>
          <w:fldChar w:fldCharType="begin"/>
        </w:r>
        <w:r w:rsidR="00CB366E">
          <w:rPr>
            <w:noProof/>
            <w:webHidden/>
          </w:rPr>
          <w:instrText xml:space="preserve"> PAGEREF _Toc165324939 \h </w:instrText>
        </w:r>
        <w:r w:rsidR="00CB366E">
          <w:rPr>
            <w:noProof/>
            <w:webHidden/>
          </w:rPr>
        </w:r>
        <w:r w:rsidR="00CB366E">
          <w:rPr>
            <w:noProof/>
            <w:webHidden/>
          </w:rPr>
          <w:fldChar w:fldCharType="separate"/>
        </w:r>
        <w:r w:rsidR="00605022">
          <w:rPr>
            <w:noProof/>
            <w:webHidden/>
          </w:rPr>
          <w:t>6</w:t>
        </w:r>
        <w:r w:rsidR="00CB366E">
          <w:rPr>
            <w:noProof/>
            <w:webHidden/>
          </w:rPr>
          <w:fldChar w:fldCharType="end"/>
        </w:r>
      </w:hyperlink>
    </w:p>
    <w:p w14:paraId="19C8B759" w14:textId="556D5F69" w:rsidR="00CB366E" w:rsidRDefault="004F7D34">
      <w:pPr>
        <w:pStyle w:val="TOC1"/>
        <w:rPr>
          <w:rFonts w:asciiTheme="minorHAnsi" w:eastAsiaTheme="minorEastAsia" w:hAnsiTheme="minorHAnsi" w:cstheme="minorBidi"/>
          <w:b w:val="0"/>
          <w:noProof/>
          <w:kern w:val="2"/>
          <w14:ligatures w14:val="standardContextual"/>
        </w:rPr>
      </w:pPr>
      <w:hyperlink w:anchor="_Toc165324941" w:history="1">
        <w:r w:rsidR="00CB366E" w:rsidRPr="000D4C1E">
          <w:rPr>
            <w:rStyle w:val="Hyperlink"/>
            <w:noProof/>
          </w:rPr>
          <w:t>3</w:t>
        </w:r>
        <w:r w:rsidR="00CB366E">
          <w:rPr>
            <w:rFonts w:asciiTheme="minorHAnsi" w:eastAsiaTheme="minorEastAsia" w:hAnsiTheme="minorHAnsi" w:cstheme="minorBidi"/>
            <w:b w:val="0"/>
            <w:noProof/>
            <w:kern w:val="2"/>
            <w14:ligatures w14:val="standardContextual"/>
          </w:rPr>
          <w:tab/>
        </w:r>
        <w:r w:rsidR="00CB366E" w:rsidRPr="000D4C1E">
          <w:rPr>
            <w:rStyle w:val="Hyperlink"/>
            <w:noProof/>
          </w:rPr>
          <w:t>Privacy Impacts, Risks and Recommendations: Consent related amendments</w:t>
        </w:r>
        <w:r w:rsidR="00CB366E">
          <w:rPr>
            <w:noProof/>
            <w:webHidden/>
          </w:rPr>
          <w:tab/>
        </w:r>
        <w:r w:rsidR="00CB366E">
          <w:rPr>
            <w:noProof/>
            <w:webHidden/>
          </w:rPr>
          <w:fldChar w:fldCharType="begin"/>
        </w:r>
        <w:r w:rsidR="00CB366E">
          <w:rPr>
            <w:noProof/>
            <w:webHidden/>
          </w:rPr>
          <w:instrText xml:space="preserve"> PAGEREF _Toc165324941 \h </w:instrText>
        </w:r>
        <w:r w:rsidR="00CB366E">
          <w:rPr>
            <w:noProof/>
            <w:webHidden/>
          </w:rPr>
        </w:r>
        <w:r w:rsidR="00CB366E">
          <w:rPr>
            <w:noProof/>
            <w:webHidden/>
          </w:rPr>
          <w:fldChar w:fldCharType="separate"/>
        </w:r>
        <w:r w:rsidR="00605022">
          <w:rPr>
            <w:noProof/>
            <w:webHidden/>
          </w:rPr>
          <w:t>7</w:t>
        </w:r>
        <w:r w:rsidR="00CB366E">
          <w:rPr>
            <w:noProof/>
            <w:webHidden/>
          </w:rPr>
          <w:fldChar w:fldCharType="end"/>
        </w:r>
      </w:hyperlink>
    </w:p>
    <w:p w14:paraId="442E8E53" w14:textId="6492FA47" w:rsidR="00CB366E" w:rsidRDefault="004F7D34">
      <w:pPr>
        <w:pStyle w:val="TOC2"/>
        <w:rPr>
          <w:rFonts w:asciiTheme="minorHAnsi" w:eastAsiaTheme="minorEastAsia" w:hAnsiTheme="minorHAnsi" w:cstheme="minorBidi"/>
          <w:noProof/>
          <w:kern w:val="2"/>
          <w14:ligatures w14:val="standardContextual"/>
        </w:rPr>
      </w:pPr>
      <w:hyperlink w:anchor="_Toc165324942" w:history="1">
        <w:r w:rsidR="00CB366E" w:rsidRPr="000D4C1E">
          <w:rPr>
            <w:rStyle w:val="Hyperlink"/>
            <w:noProof/>
          </w:rPr>
          <w:t>Bundling of Consents</w:t>
        </w:r>
        <w:r w:rsidR="00CB366E">
          <w:rPr>
            <w:noProof/>
            <w:webHidden/>
          </w:rPr>
          <w:tab/>
        </w:r>
        <w:r w:rsidR="00CB366E">
          <w:rPr>
            <w:noProof/>
            <w:webHidden/>
          </w:rPr>
          <w:fldChar w:fldCharType="begin"/>
        </w:r>
        <w:r w:rsidR="00CB366E">
          <w:rPr>
            <w:noProof/>
            <w:webHidden/>
          </w:rPr>
          <w:instrText xml:space="preserve"> PAGEREF _Toc165324942 \h </w:instrText>
        </w:r>
        <w:r w:rsidR="00CB366E">
          <w:rPr>
            <w:noProof/>
            <w:webHidden/>
          </w:rPr>
        </w:r>
        <w:r w:rsidR="00CB366E">
          <w:rPr>
            <w:noProof/>
            <w:webHidden/>
          </w:rPr>
          <w:fldChar w:fldCharType="separate"/>
        </w:r>
        <w:r w:rsidR="00605022">
          <w:rPr>
            <w:noProof/>
            <w:webHidden/>
          </w:rPr>
          <w:t>7</w:t>
        </w:r>
        <w:r w:rsidR="00CB366E">
          <w:rPr>
            <w:noProof/>
            <w:webHidden/>
          </w:rPr>
          <w:fldChar w:fldCharType="end"/>
        </w:r>
      </w:hyperlink>
    </w:p>
    <w:p w14:paraId="4916DA72" w14:textId="7404F40A" w:rsidR="00CB366E" w:rsidRDefault="004F7D34">
      <w:pPr>
        <w:pStyle w:val="TOC2"/>
        <w:rPr>
          <w:rFonts w:asciiTheme="minorHAnsi" w:eastAsiaTheme="minorEastAsia" w:hAnsiTheme="minorHAnsi" w:cstheme="minorBidi"/>
          <w:noProof/>
          <w:kern w:val="2"/>
          <w14:ligatures w14:val="standardContextual"/>
        </w:rPr>
      </w:pPr>
      <w:hyperlink w:anchor="_Toc165324943" w:history="1">
        <w:r w:rsidR="00CB366E" w:rsidRPr="000D4C1E">
          <w:rPr>
            <w:rStyle w:val="Hyperlink"/>
            <w:noProof/>
          </w:rPr>
          <w:t>Pre-selection of consent options</w:t>
        </w:r>
        <w:r w:rsidR="00CB366E">
          <w:rPr>
            <w:noProof/>
            <w:webHidden/>
          </w:rPr>
          <w:tab/>
        </w:r>
        <w:r w:rsidR="00CB366E">
          <w:rPr>
            <w:noProof/>
            <w:webHidden/>
          </w:rPr>
          <w:fldChar w:fldCharType="begin"/>
        </w:r>
        <w:r w:rsidR="00CB366E">
          <w:rPr>
            <w:noProof/>
            <w:webHidden/>
          </w:rPr>
          <w:instrText xml:space="preserve"> PAGEREF _Toc165324943 \h </w:instrText>
        </w:r>
        <w:r w:rsidR="00CB366E">
          <w:rPr>
            <w:noProof/>
            <w:webHidden/>
          </w:rPr>
        </w:r>
        <w:r w:rsidR="00CB366E">
          <w:rPr>
            <w:noProof/>
            <w:webHidden/>
          </w:rPr>
          <w:fldChar w:fldCharType="separate"/>
        </w:r>
        <w:r w:rsidR="00605022">
          <w:rPr>
            <w:noProof/>
            <w:webHidden/>
          </w:rPr>
          <w:t>12</w:t>
        </w:r>
        <w:r w:rsidR="00CB366E">
          <w:rPr>
            <w:noProof/>
            <w:webHidden/>
          </w:rPr>
          <w:fldChar w:fldCharType="end"/>
        </w:r>
      </w:hyperlink>
    </w:p>
    <w:p w14:paraId="0CC72E85" w14:textId="61C8A0B2" w:rsidR="00CB366E" w:rsidRDefault="004F7D34">
      <w:pPr>
        <w:pStyle w:val="TOC2"/>
        <w:rPr>
          <w:rFonts w:asciiTheme="minorHAnsi" w:eastAsiaTheme="minorEastAsia" w:hAnsiTheme="minorHAnsi" w:cstheme="minorBidi"/>
          <w:noProof/>
          <w:kern w:val="2"/>
          <w14:ligatures w14:val="standardContextual"/>
        </w:rPr>
      </w:pPr>
      <w:hyperlink w:anchor="_Toc165324944" w:history="1">
        <w:r w:rsidR="00CB366E" w:rsidRPr="000D4C1E">
          <w:rPr>
            <w:rStyle w:val="Hyperlink"/>
            <w:noProof/>
          </w:rPr>
          <w:t>Providing information about the withdrawal of consent</w:t>
        </w:r>
        <w:r w:rsidR="00CB366E">
          <w:rPr>
            <w:noProof/>
            <w:webHidden/>
          </w:rPr>
          <w:tab/>
        </w:r>
        <w:r w:rsidR="00CB366E">
          <w:rPr>
            <w:noProof/>
            <w:webHidden/>
          </w:rPr>
          <w:fldChar w:fldCharType="begin"/>
        </w:r>
        <w:r w:rsidR="00CB366E">
          <w:rPr>
            <w:noProof/>
            <w:webHidden/>
          </w:rPr>
          <w:instrText xml:space="preserve"> PAGEREF _Toc165324944 \h </w:instrText>
        </w:r>
        <w:r w:rsidR="00CB366E">
          <w:rPr>
            <w:noProof/>
            <w:webHidden/>
          </w:rPr>
        </w:r>
        <w:r w:rsidR="00CB366E">
          <w:rPr>
            <w:noProof/>
            <w:webHidden/>
          </w:rPr>
          <w:fldChar w:fldCharType="separate"/>
        </w:r>
        <w:r w:rsidR="00605022">
          <w:rPr>
            <w:noProof/>
            <w:webHidden/>
          </w:rPr>
          <w:t>14</w:t>
        </w:r>
        <w:r w:rsidR="00CB366E">
          <w:rPr>
            <w:noProof/>
            <w:webHidden/>
          </w:rPr>
          <w:fldChar w:fldCharType="end"/>
        </w:r>
      </w:hyperlink>
    </w:p>
    <w:p w14:paraId="50505565" w14:textId="1CE85ED0" w:rsidR="00CB366E" w:rsidRDefault="004F7D34">
      <w:pPr>
        <w:pStyle w:val="TOC2"/>
        <w:rPr>
          <w:rFonts w:asciiTheme="minorHAnsi" w:eastAsiaTheme="minorEastAsia" w:hAnsiTheme="minorHAnsi" w:cstheme="minorBidi"/>
          <w:noProof/>
          <w:kern w:val="2"/>
          <w14:ligatures w14:val="standardContextual"/>
        </w:rPr>
      </w:pPr>
      <w:hyperlink w:anchor="_Toc165324945" w:history="1">
        <w:r w:rsidR="00CB366E" w:rsidRPr="000D4C1E">
          <w:rPr>
            <w:rStyle w:val="Hyperlink"/>
            <w:noProof/>
          </w:rPr>
          <w:t>Information about supporting parties</w:t>
        </w:r>
        <w:r w:rsidR="00CB366E">
          <w:rPr>
            <w:noProof/>
            <w:webHidden/>
          </w:rPr>
          <w:tab/>
        </w:r>
        <w:r w:rsidR="00CB366E">
          <w:rPr>
            <w:noProof/>
            <w:webHidden/>
          </w:rPr>
          <w:fldChar w:fldCharType="begin"/>
        </w:r>
        <w:r w:rsidR="00CB366E">
          <w:rPr>
            <w:noProof/>
            <w:webHidden/>
          </w:rPr>
          <w:instrText xml:space="preserve"> PAGEREF _Toc165324945 \h </w:instrText>
        </w:r>
        <w:r w:rsidR="00CB366E">
          <w:rPr>
            <w:noProof/>
            <w:webHidden/>
          </w:rPr>
        </w:r>
        <w:r w:rsidR="00CB366E">
          <w:rPr>
            <w:noProof/>
            <w:webHidden/>
          </w:rPr>
          <w:fldChar w:fldCharType="separate"/>
        </w:r>
        <w:r w:rsidR="00605022">
          <w:rPr>
            <w:noProof/>
            <w:webHidden/>
          </w:rPr>
          <w:t>16</w:t>
        </w:r>
        <w:r w:rsidR="00CB366E">
          <w:rPr>
            <w:noProof/>
            <w:webHidden/>
          </w:rPr>
          <w:fldChar w:fldCharType="end"/>
        </w:r>
      </w:hyperlink>
    </w:p>
    <w:p w14:paraId="34E8DC8F" w14:textId="5E99E62F" w:rsidR="00CB366E" w:rsidRDefault="004F7D34">
      <w:pPr>
        <w:pStyle w:val="TOC2"/>
        <w:rPr>
          <w:rFonts w:asciiTheme="minorHAnsi" w:eastAsiaTheme="minorEastAsia" w:hAnsiTheme="minorHAnsi" w:cstheme="minorBidi"/>
          <w:noProof/>
          <w:kern w:val="2"/>
          <w14:ligatures w14:val="standardContextual"/>
        </w:rPr>
      </w:pPr>
      <w:hyperlink w:anchor="_Toc165324946" w:history="1">
        <w:r w:rsidR="00CB366E" w:rsidRPr="000D4C1E">
          <w:rPr>
            <w:rStyle w:val="Hyperlink"/>
            <w:noProof/>
          </w:rPr>
          <w:t>Information required in CDR receipts</w:t>
        </w:r>
        <w:r w:rsidR="00CB366E">
          <w:rPr>
            <w:noProof/>
            <w:webHidden/>
          </w:rPr>
          <w:tab/>
        </w:r>
        <w:r w:rsidR="00CB366E">
          <w:rPr>
            <w:noProof/>
            <w:webHidden/>
          </w:rPr>
          <w:fldChar w:fldCharType="begin"/>
        </w:r>
        <w:r w:rsidR="00CB366E">
          <w:rPr>
            <w:noProof/>
            <w:webHidden/>
          </w:rPr>
          <w:instrText xml:space="preserve"> PAGEREF _Toc165324946 \h </w:instrText>
        </w:r>
        <w:r w:rsidR="00CB366E">
          <w:rPr>
            <w:noProof/>
            <w:webHidden/>
          </w:rPr>
        </w:r>
        <w:r w:rsidR="00CB366E">
          <w:rPr>
            <w:noProof/>
            <w:webHidden/>
          </w:rPr>
          <w:fldChar w:fldCharType="separate"/>
        </w:r>
        <w:r w:rsidR="00605022">
          <w:rPr>
            <w:noProof/>
            <w:webHidden/>
          </w:rPr>
          <w:t>17</w:t>
        </w:r>
        <w:r w:rsidR="00CB366E">
          <w:rPr>
            <w:noProof/>
            <w:webHidden/>
          </w:rPr>
          <w:fldChar w:fldCharType="end"/>
        </w:r>
      </w:hyperlink>
    </w:p>
    <w:p w14:paraId="64621DC2" w14:textId="5CA9EE42" w:rsidR="00CB366E" w:rsidRDefault="004F7D34" w:rsidP="00634CB8">
      <w:pPr>
        <w:pStyle w:val="TOC2"/>
        <w:tabs>
          <w:tab w:val="clear" w:pos="1701"/>
        </w:tabs>
        <w:ind w:left="851" w:firstLine="0"/>
        <w:rPr>
          <w:rFonts w:asciiTheme="minorHAnsi" w:eastAsiaTheme="minorEastAsia" w:hAnsiTheme="minorHAnsi" w:cstheme="minorBidi"/>
          <w:noProof/>
          <w:kern w:val="2"/>
          <w14:ligatures w14:val="standardContextual"/>
        </w:rPr>
      </w:pPr>
      <w:hyperlink w:anchor="_Toc165324947" w:history="1">
        <w:r w:rsidR="00CB366E" w:rsidRPr="000D4C1E">
          <w:rPr>
            <w:rStyle w:val="Hyperlink"/>
            <w:noProof/>
          </w:rPr>
          <w:t>Consolidated requirements for dealing with redundant data and deletion by</w:t>
        </w:r>
        <w:r w:rsidR="00634CB8">
          <w:rPr>
            <w:rStyle w:val="Hyperlink"/>
            <w:noProof/>
          </w:rPr>
          <w:t xml:space="preserve"> </w:t>
        </w:r>
        <w:r w:rsidR="00CB366E" w:rsidRPr="000D4C1E">
          <w:rPr>
            <w:rStyle w:val="Hyperlink"/>
            <w:noProof/>
          </w:rPr>
          <w:t>default</w:t>
        </w:r>
        <w:r w:rsidR="00CB366E">
          <w:rPr>
            <w:noProof/>
            <w:webHidden/>
          </w:rPr>
          <w:tab/>
        </w:r>
        <w:r w:rsidR="00CB366E">
          <w:rPr>
            <w:noProof/>
            <w:webHidden/>
          </w:rPr>
          <w:fldChar w:fldCharType="begin"/>
        </w:r>
        <w:r w:rsidR="00CB366E">
          <w:rPr>
            <w:noProof/>
            <w:webHidden/>
          </w:rPr>
          <w:instrText xml:space="preserve"> PAGEREF _Toc165324947 \h </w:instrText>
        </w:r>
        <w:r w:rsidR="00CB366E">
          <w:rPr>
            <w:noProof/>
            <w:webHidden/>
          </w:rPr>
        </w:r>
        <w:r w:rsidR="00CB366E">
          <w:rPr>
            <w:noProof/>
            <w:webHidden/>
          </w:rPr>
          <w:fldChar w:fldCharType="separate"/>
        </w:r>
        <w:r w:rsidR="00605022">
          <w:rPr>
            <w:noProof/>
            <w:webHidden/>
          </w:rPr>
          <w:t>18</w:t>
        </w:r>
        <w:r w:rsidR="00CB366E">
          <w:rPr>
            <w:noProof/>
            <w:webHidden/>
          </w:rPr>
          <w:fldChar w:fldCharType="end"/>
        </w:r>
      </w:hyperlink>
    </w:p>
    <w:p w14:paraId="231C8414" w14:textId="58A62011" w:rsidR="00CB366E" w:rsidRDefault="004F7D34">
      <w:pPr>
        <w:pStyle w:val="TOC2"/>
        <w:rPr>
          <w:rFonts w:asciiTheme="minorHAnsi" w:eastAsiaTheme="minorEastAsia" w:hAnsiTheme="minorHAnsi" w:cstheme="minorBidi"/>
          <w:noProof/>
          <w:kern w:val="2"/>
          <w14:ligatures w14:val="standardContextual"/>
        </w:rPr>
      </w:pPr>
      <w:hyperlink w:anchor="_Toc165324948" w:history="1">
        <w:r w:rsidR="00CB366E" w:rsidRPr="000D4C1E">
          <w:rPr>
            <w:rStyle w:val="Hyperlink"/>
            <w:noProof/>
          </w:rPr>
          <w:t>Consolidation of Notifications (CDR Receipts and 90 day notifications)</w:t>
        </w:r>
        <w:r w:rsidR="00CB366E">
          <w:rPr>
            <w:noProof/>
            <w:webHidden/>
          </w:rPr>
          <w:tab/>
        </w:r>
        <w:r w:rsidR="00CB366E">
          <w:rPr>
            <w:noProof/>
            <w:webHidden/>
          </w:rPr>
          <w:fldChar w:fldCharType="begin"/>
        </w:r>
        <w:r w:rsidR="00CB366E">
          <w:rPr>
            <w:noProof/>
            <w:webHidden/>
          </w:rPr>
          <w:instrText xml:space="preserve"> PAGEREF _Toc165324948 \h </w:instrText>
        </w:r>
        <w:r w:rsidR="00CB366E">
          <w:rPr>
            <w:noProof/>
            <w:webHidden/>
          </w:rPr>
        </w:r>
        <w:r w:rsidR="00CB366E">
          <w:rPr>
            <w:noProof/>
            <w:webHidden/>
          </w:rPr>
          <w:fldChar w:fldCharType="separate"/>
        </w:r>
        <w:r w:rsidR="00605022">
          <w:rPr>
            <w:noProof/>
            <w:webHidden/>
          </w:rPr>
          <w:t>19</w:t>
        </w:r>
        <w:r w:rsidR="00CB366E">
          <w:rPr>
            <w:noProof/>
            <w:webHidden/>
          </w:rPr>
          <w:fldChar w:fldCharType="end"/>
        </w:r>
      </w:hyperlink>
    </w:p>
    <w:p w14:paraId="1803BCA0" w14:textId="5CFA6988" w:rsidR="00CB366E" w:rsidRDefault="004F7D34">
      <w:pPr>
        <w:pStyle w:val="TOC2"/>
        <w:rPr>
          <w:rFonts w:asciiTheme="minorHAnsi" w:eastAsiaTheme="minorEastAsia" w:hAnsiTheme="minorHAnsi" w:cstheme="minorBidi"/>
          <w:noProof/>
          <w:kern w:val="2"/>
          <w14:ligatures w14:val="standardContextual"/>
        </w:rPr>
      </w:pPr>
      <w:hyperlink w:anchor="_Toc165324949" w:history="1">
        <w:r w:rsidR="00CB366E" w:rsidRPr="000D4C1E">
          <w:rPr>
            <w:rStyle w:val="Hyperlink"/>
            <w:noProof/>
          </w:rPr>
          <w:t xml:space="preserve">Withdrawal of de-identification &amp; direct marketing consent </w:t>
        </w:r>
        <w:r w:rsidR="00CB366E">
          <w:rPr>
            <w:noProof/>
            <w:webHidden/>
          </w:rPr>
          <w:tab/>
        </w:r>
        <w:r w:rsidR="00CB366E">
          <w:rPr>
            <w:noProof/>
            <w:webHidden/>
          </w:rPr>
          <w:fldChar w:fldCharType="begin"/>
        </w:r>
        <w:r w:rsidR="00CB366E">
          <w:rPr>
            <w:noProof/>
            <w:webHidden/>
          </w:rPr>
          <w:instrText xml:space="preserve"> PAGEREF _Toc165324949 \h </w:instrText>
        </w:r>
        <w:r w:rsidR="00CB366E">
          <w:rPr>
            <w:noProof/>
            <w:webHidden/>
          </w:rPr>
        </w:r>
        <w:r w:rsidR="00CB366E">
          <w:rPr>
            <w:noProof/>
            <w:webHidden/>
          </w:rPr>
          <w:fldChar w:fldCharType="separate"/>
        </w:r>
        <w:r w:rsidR="00605022">
          <w:rPr>
            <w:noProof/>
            <w:webHidden/>
          </w:rPr>
          <w:t>20</w:t>
        </w:r>
        <w:r w:rsidR="00CB366E">
          <w:rPr>
            <w:noProof/>
            <w:webHidden/>
          </w:rPr>
          <w:fldChar w:fldCharType="end"/>
        </w:r>
      </w:hyperlink>
    </w:p>
    <w:p w14:paraId="6267F2EE" w14:textId="1EB2840A" w:rsidR="00CB366E" w:rsidRDefault="004F7D34">
      <w:pPr>
        <w:pStyle w:val="TOC2"/>
        <w:rPr>
          <w:rFonts w:asciiTheme="minorHAnsi" w:eastAsiaTheme="minorEastAsia" w:hAnsiTheme="minorHAnsi" w:cstheme="minorBidi"/>
          <w:noProof/>
          <w:kern w:val="2"/>
          <w14:ligatures w14:val="standardContextual"/>
        </w:rPr>
      </w:pPr>
      <w:hyperlink w:anchor="_Toc165324950" w:history="1">
        <w:r w:rsidR="00CB366E" w:rsidRPr="000D4C1E">
          <w:rPr>
            <w:rStyle w:val="Hyperlink"/>
            <w:noProof/>
          </w:rPr>
          <w:t>Direct marketing activities</w:t>
        </w:r>
        <w:r w:rsidR="00CB366E">
          <w:rPr>
            <w:noProof/>
            <w:webHidden/>
          </w:rPr>
          <w:tab/>
        </w:r>
        <w:r w:rsidR="00CB366E">
          <w:rPr>
            <w:noProof/>
            <w:webHidden/>
          </w:rPr>
          <w:fldChar w:fldCharType="begin"/>
        </w:r>
        <w:r w:rsidR="00CB366E">
          <w:rPr>
            <w:noProof/>
            <w:webHidden/>
          </w:rPr>
          <w:instrText xml:space="preserve"> PAGEREF _Toc165324950 \h </w:instrText>
        </w:r>
        <w:r w:rsidR="00CB366E">
          <w:rPr>
            <w:noProof/>
            <w:webHidden/>
          </w:rPr>
        </w:r>
        <w:r w:rsidR="00CB366E">
          <w:rPr>
            <w:noProof/>
            <w:webHidden/>
          </w:rPr>
          <w:fldChar w:fldCharType="separate"/>
        </w:r>
        <w:r w:rsidR="00605022">
          <w:rPr>
            <w:noProof/>
            <w:webHidden/>
          </w:rPr>
          <w:t>21</w:t>
        </w:r>
        <w:r w:rsidR="00CB366E">
          <w:rPr>
            <w:noProof/>
            <w:webHidden/>
          </w:rPr>
          <w:fldChar w:fldCharType="end"/>
        </w:r>
      </w:hyperlink>
    </w:p>
    <w:p w14:paraId="48DF8620" w14:textId="701244AE" w:rsidR="00CB366E" w:rsidRDefault="004F7D34">
      <w:pPr>
        <w:pStyle w:val="TOC2"/>
        <w:rPr>
          <w:rFonts w:asciiTheme="minorHAnsi" w:eastAsiaTheme="minorEastAsia" w:hAnsiTheme="minorHAnsi" w:cstheme="minorBidi"/>
          <w:noProof/>
          <w:kern w:val="2"/>
          <w14:ligatures w14:val="standardContextual"/>
        </w:rPr>
      </w:pPr>
      <w:hyperlink w:anchor="_Toc165324951" w:history="1">
        <w:r w:rsidR="00CB366E" w:rsidRPr="000D4C1E">
          <w:rPr>
            <w:rStyle w:val="Hyperlink"/>
            <w:noProof/>
          </w:rPr>
          <w:t>Dark patterns</w:t>
        </w:r>
        <w:r w:rsidR="00CB366E">
          <w:rPr>
            <w:noProof/>
            <w:webHidden/>
          </w:rPr>
          <w:tab/>
        </w:r>
        <w:r w:rsidR="00CB366E">
          <w:rPr>
            <w:noProof/>
            <w:webHidden/>
          </w:rPr>
          <w:fldChar w:fldCharType="begin"/>
        </w:r>
        <w:r w:rsidR="00CB366E">
          <w:rPr>
            <w:noProof/>
            <w:webHidden/>
          </w:rPr>
          <w:instrText xml:space="preserve"> PAGEREF _Toc165324951 \h </w:instrText>
        </w:r>
        <w:r w:rsidR="00CB366E">
          <w:rPr>
            <w:noProof/>
            <w:webHidden/>
          </w:rPr>
        </w:r>
        <w:r w:rsidR="00CB366E">
          <w:rPr>
            <w:noProof/>
            <w:webHidden/>
          </w:rPr>
          <w:fldChar w:fldCharType="separate"/>
        </w:r>
        <w:r w:rsidR="00605022">
          <w:rPr>
            <w:noProof/>
            <w:webHidden/>
          </w:rPr>
          <w:t>22</w:t>
        </w:r>
        <w:r w:rsidR="00CB366E">
          <w:rPr>
            <w:noProof/>
            <w:webHidden/>
          </w:rPr>
          <w:fldChar w:fldCharType="end"/>
        </w:r>
      </w:hyperlink>
    </w:p>
    <w:p w14:paraId="42296885" w14:textId="7B7E0152" w:rsidR="00CB366E" w:rsidRDefault="004F7D34">
      <w:pPr>
        <w:pStyle w:val="TOC1"/>
        <w:rPr>
          <w:rFonts w:asciiTheme="minorHAnsi" w:eastAsiaTheme="minorEastAsia" w:hAnsiTheme="minorHAnsi" w:cstheme="minorBidi"/>
          <w:b w:val="0"/>
          <w:noProof/>
          <w:kern w:val="2"/>
          <w14:ligatures w14:val="standardContextual"/>
        </w:rPr>
      </w:pPr>
      <w:hyperlink w:anchor="_Toc165324952" w:history="1">
        <w:r w:rsidR="00CB366E" w:rsidRPr="000D4C1E">
          <w:rPr>
            <w:rStyle w:val="Hyperlink"/>
            <w:noProof/>
          </w:rPr>
          <w:t>4</w:t>
        </w:r>
        <w:r w:rsidR="00CB366E">
          <w:rPr>
            <w:rFonts w:asciiTheme="minorHAnsi" w:eastAsiaTheme="minorEastAsia" w:hAnsiTheme="minorHAnsi" w:cstheme="minorBidi"/>
            <w:b w:val="0"/>
            <w:noProof/>
            <w:kern w:val="2"/>
            <w14:ligatures w14:val="standardContextual"/>
          </w:rPr>
          <w:tab/>
        </w:r>
        <w:r w:rsidR="00CB366E" w:rsidRPr="000D4C1E">
          <w:rPr>
            <w:rStyle w:val="Hyperlink"/>
            <w:noProof/>
          </w:rPr>
          <w:t>Privacy Impacts, Risks and Recommendations: Operational Enhancement Amendments</w:t>
        </w:r>
        <w:r w:rsidR="00CB366E">
          <w:rPr>
            <w:noProof/>
            <w:webHidden/>
          </w:rPr>
          <w:tab/>
        </w:r>
        <w:r w:rsidR="00CB366E">
          <w:rPr>
            <w:noProof/>
            <w:webHidden/>
          </w:rPr>
          <w:fldChar w:fldCharType="begin"/>
        </w:r>
        <w:r w:rsidR="00CB366E">
          <w:rPr>
            <w:noProof/>
            <w:webHidden/>
          </w:rPr>
          <w:instrText xml:space="preserve"> PAGEREF _Toc165324952 \h </w:instrText>
        </w:r>
        <w:r w:rsidR="00CB366E">
          <w:rPr>
            <w:noProof/>
            <w:webHidden/>
          </w:rPr>
        </w:r>
        <w:r w:rsidR="00CB366E">
          <w:rPr>
            <w:noProof/>
            <w:webHidden/>
          </w:rPr>
          <w:fldChar w:fldCharType="separate"/>
        </w:r>
        <w:r w:rsidR="00605022">
          <w:rPr>
            <w:noProof/>
            <w:webHidden/>
          </w:rPr>
          <w:t>24</w:t>
        </w:r>
        <w:r w:rsidR="00CB366E">
          <w:rPr>
            <w:noProof/>
            <w:webHidden/>
          </w:rPr>
          <w:fldChar w:fldCharType="end"/>
        </w:r>
      </w:hyperlink>
    </w:p>
    <w:p w14:paraId="499B8990" w14:textId="6F405777" w:rsidR="00CB366E" w:rsidRDefault="004F7D34">
      <w:pPr>
        <w:pStyle w:val="TOC2"/>
        <w:rPr>
          <w:rFonts w:asciiTheme="minorHAnsi" w:eastAsiaTheme="minorEastAsia" w:hAnsiTheme="minorHAnsi" w:cstheme="minorBidi"/>
          <w:noProof/>
          <w:kern w:val="2"/>
          <w14:ligatures w14:val="standardContextual"/>
        </w:rPr>
      </w:pPr>
      <w:hyperlink w:anchor="_Toc165324953" w:history="1">
        <w:r w:rsidR="00CB366E" w:rsidRPr="000D4C1E">
          <w:rPr>
            <w:rStyle w:val="Hyperlink"/>
            <w:noProof/>
          </w:rPr>
          <w:t>Secondary Users</w:t>
        </w:r>
        <w:r w:rsidR="00CB366E">
          <w:rPr>
            <w:noProof/>
            <w:webHidden/>
          </w:rPr>
          <w:tab/>
        </w:r>
        <w:r w:rsidR="00CB366E">
          <w:rPr>
            <w:noProof/>
            <w:webHidden/>
          </w:rPr>
          <w:fldChar w:fldCharType="begin"/>
        </w:r>
        <w:r w:rsidR="00CB366E">
          <w:rPr>
            <w:noProof/>
            <w:webHidden/>
          </w:rPr>
          <w:instrText xml:space="preserve"> PAGEREF _Toc165324953 \h </w:instrText>
        </w:r>
        <w:r w:rsidR="00CB366E">
          <w:rPr>
            <w:noProof/>
            <w:webHidden/>
          </w:rPr>
        </w:r>
        <w:r w:rsidR="00CB366E">
          <w:rPr>
            <w:noProof/>
            <w:webHidden/>
          </w:rPr>
          <w:fldChar w:fldCharType="separate"/>
        </w:r>
        <w:r w:rsidR="00605022">
          <w:rPr>
            <w:noProof/>
            <w:webHidden/>
          </w:rPr>
          <w:t>24</w:t>
        </w:r>
        <w:r w:rsidR="00CB366E">
          <w:rPr>
            <w:noProof/>
            <w:webHidden/>
          </w:rPr>
          <w:fldChar w:fldCharType="end"/>
        </w:r>
      </w:hyperlink>
    </w:p>
    <w:p w14:paraId="6EF92B95" w14:textId="48A8E6EF" w:rsidR="00CB366E" w:rsidRDefault="004F7D34">
      <w:pPr>
        <w:pStyle w:val="TOC2"/>
        <w:rPr>
          <w:rFonts w:asciiTheme="minorHAnsi" w:eastAsiaTheme="minorEastAsia" w:hAnsiTheme="minorHAnsi" w:cstheme="minorBidi"/>
          <w:noProof/>
          <w:kern w:val="2"/>
          <w14:ligatures w14:val="standardContextual"/>
        </w:rPr>
      </w:pPr>
      <w:hyperlink w:anchor="_Toc165324954" w:history="1">
        <w:r w:rsidR="00CB366E" w:rsidRPr="000D4C1E">
          <w:rPr>
            <w:rStyle w:val="Hyperlink"/>
            <w:noProof/>
          </w:rPr>
          <w:t>Nominated Representatives</w:t>
        </w:r>
        <w:r w:rsidR="00CB366E">
          <w:rPr>
            <w:noProof/>
            <w:webHidden/>
          </w:rPr>
          <w:tab/>
        </w:r>
        <w:r w:rsidR="00CB366E">
          <w:rPr>
            <w:noProof/>
            <w:webHidden/>
          </w:rPr>
          <w:fldChar w:fldCharType="begin"/>
        </w:r>
        <w:r w:rsidR="00CB366E">
          <w:rPr>
            <w:noProof/>
            <w:webHidden/>
          </w:rPr>
          <w:instrText xml:space="preserve"> PAGEREF _Toc165324954 \h </w:instrText>
        </w:r>
        <w:r w:rsidR="00CB366E">
          <w:rPr>
            <w:noProof/>
            <w:webHidden/>
          </w:rPr>
        </w:r>
        <w:r w:rsidR="00CB366E">
          <w:rPr>
            <w:noProof/>
            <w:webHidden/>
          </w:rPr>
          <w:fldChar w:fldCharType="separate"/>
        </w:r>
        <w:r w:rsidR="00605022">
          <w:rPr>
            <w:noProof/>
            <w:webHidden/>
          </w:rPr>
          <w:t>26</w:t>
        </w:r>
        <w:r w:rsidR="00CB366E">
          <w:rPr>
            <w:noProof/>
            <w:webHidden/>
          </w:rPr>
          <w:fldChar w:fldCharType="end"/>
        </w:r>
      </w:hyperlink>
    </w:p>
    <w:p w14:paraId="6809DDE6" w14:textId="0EE7B302" w:rsidR="00CB366E" w:rsidRDefault="004F7D34">
      <w:pPr>
        <w:pStyle w:val="TOC2"/>
        <w:rPr>
          <w:rFonts w:asciiTheme="minorHAnsi" w:eastAsiaTheme="minorEastAsia" w:hAnsiTheme="minorHAnsi" w:cstheme="minorBidi"/>
          <w:noProof/>
          <w:kern w:val="2"/>
          <w14:ligatures w14:val="standardContextual"/>
        </w:rPr>
      </w:pPr>
      <w:hyperlink w:anchor="_Toc165324955" w:history="1">
        <w:r w:rsidR="00CB366E" w:rsidRPr="000D4C1E">
          <w:rPr>
            <w:rStyle w:val="Hyperlink"/>
            <w:noProof/>
          </w:rPr>
          <w:t>Accredited ADI to hold CDR data as a ‘data holder’</w:t>
        </w:r>
        <w:r w:rsidR="00CB366E">
          <w:rPr>
            <w:noProof/>
            <w:webHidden/>
          </w:rPr>
          <w:tab/>
        </w:r>
        <w:r w:rsidR="00CB366E">
          <w:rPr>
            <w:noProof/>
            <w:webHidden/>
          </w:rPr>
          <w:fldChar w:fldCharType="begin"/>
        </w:r>
        <w:r w:rsidR="00CB366E">
          <w:rPr>
            <w:noProof/>
            <w:webHidden/>
          </w:rPr>
          <w:instrText xml:space="preserve"> PAGEREF _Toc165324955 \h </w:instrText>
        </w:r>
        <w:r w:rsidR="00CB366E">
          <w:rPr>
            <w:noProof/>
            <w:webHidden/>
          </w:rPr>
        </w:r>
        <w:r w:rsidR="00CB366E">
          <w:rPr>
            <w:noProof/>
            <w:webHidden/>
          </w:rPr>
          <w:fldChar w:fldCharType="separate"/>
        </w:r>
        <w:r w:rsidR="00605022">
          <w:rPr>
            <w:noProof/>
            <w:webHidden/>
          </w:rPr>
          <w:t>29</w:t>
        </w:r>
        <w:r w:rsidR="00CB366E">
          <w:rPr>
            <w:noProof/>
            <w:webHidden/>
          </w:rPr>
          <w:fldChar w:fldCharType="end"/>
        </w:r>
      </w:hyperlink>
    </w:p>
    <w:p w14:paraId="5D92BA9D" w14:textId="2EDCF0AC" w:rsidR="00CB366E" w:rsidRDefault="004F7D34">
      <w:pPr>
        <w:pStyle w:val="TOC2"/>
        <w:rPr>
          <w:rFonts w:asciiTheme="minorHAnsi" w:eastAsiaTheme="minorEastAsia" w:hAnsiTheme="minorHAnsi" w:cstheme="minorBidi"/>
          <w:noProof/>
          <w:kern w:val="2"/>
          <w14:ligatures w14:val="standardContextual"/>
        </w:rPr>
      </w:pPr>
      <w:hyperlink w:anchor="_Toc165324956" w:history="1">
        <w:r w:rsidR="00CB366E" w:rsidRPr="000D4C1E">
          <w:rPr>
            <w:rStyle w:val="Hyperlink"/>
            <w:noProof/>
          </w:rPr>
          <w:t>CDR Representative Principals</w:t>
        </w:r>
        <w:r w:rsidR="00CB366E">
          <w:rPr>
            <w:noProof/>
            <w:webHidden/>
          </w:rPr>
          <w:tab/>
        </w:r>
        <w:r w:rsidR="00CB366E">
          <w:rPr>
            <w:noProof/>
            <w:webHidden/>
          </w:rPr>
          <w:fldChar w:fldCharType="begin"/>
        </w:r>
        <w:r w:rsidR="00CB366E">
          <w:rPr>
            <w:noProof/>
            <w:webHidden/>
          </w:rPr>
          <w:instrText xml:space="preserve"> PAGEREF _Toc165324956 \h </w:instrText>
        </w:r>
        <w:r w:rsidR="00CB366E">
          <w:rPr>
            <w:noProof/>
            <w:webHidden/>
          </w:rPr>
        </w:r>
        <w:r w:rsidR="00CB366E">
          <w:rPr>
            <w:noProof/>
            <w:webHidden/>
          </w:rPr>
          <w:fldChar w:fldCharType="separate"/>
        </w:r>
        <w:r w:rsidR="00605022">
          <w:rPr>
            <w:noProof/>
            <w:webHidden/>
          </w:rPr>
          <w:t>33</w:t>
        </w:r>
        <w:r w:rsidR="00CB366E">
          <w:rPr>
            <w:noProof/>
            <w:webHidden/>
          </w:rPr>
          <w:fldChar w:fldCharType="end"/>
        </w:r>
      </w:hyperlink>
    </w:p>
    <w:p w14:paraId="610DEEC0" w14:textId="2C647382" w:rsidR="00CB366E" w:rsidRDefault="004F7D34" w:rsidP="00634CB8">
      <w:pPr>
        <w:pStyle w:val="TOC2"/>
        <w:tabs>
          <w:tab w:val="clear" w:pos="1701"/>
        </w:tabs>
        <w:ind w:left="851" w:firstLine="0"/>
        <w:rPr>
          <w:rFonts w:asciiTheme="minorHAnsi" w:eastAsiaTheme="minorEastAsia" w:hAnsiTheme="minorHAnsi" w:cstheme="minorBidi"/>
          <w:noProof/>
          <w:kern w:val="2"/>
          <w14:ligatures w14:val="standardContextual"/>
        </w:rPr>
      </w:pPr>
      <w:hyperlink w:anchor="_Toc165324957" w:history="1">
        <w:r w:rsidR="00CB366E" w:rsidRPr="000D4C1E">
          <w:rPr>
            <w:rStyle w:val="Hyperlink"/>
            <w:noProof/>
          </w:rPr>
          <w:t>Energy Rules - Deferral of data holder obligations for an ADR who becomes a small energy retailer</w:t>
        </w:r>
        <w:r w:rsidR="00CB366E">
          <w:rPr>
            <w:noProof/>
            <w:webHidden/>
          </w:rPr>
          <w:tab/>
        </w:r>
        <w:r w:rsidR="00CB366E">
          <w:rPr>
            <w:noProof/>
            <w:webHidden/>
          </w:rPr>
          <w:fldChar w:fldCharType="begin"/>
        </w:r>
        <w:r w:rsidR="00CB366E">
          <w:rPr>
            <w:noProof/>
            <w:webHidden/>
          </w:rPr>
          <w:instrText xml:space="preserve"> PAGEREF _Toc165324957 \h </w:instrText>
        </w:r>
        <w:r w:rsidR="00CB366E">
          <w:rPr>
            <w:noProof/>
            <w:webHidden/>
          </w:rPr>
        </w:r>
        <w:r w:rsidR="00CB366E">
          <w:rPr>
            <w:noProof/>
            <w:webHidden/>
          </w:rPr>
          <w:fldChar w:fldCharType="separate"/>
        </w:r>
        <w:r w:rsidR="00605022">
          <w:rPr>
            <w:noProof/>
            <w:webHidden/>
          </w:rPr>
          <w:t>33</w:t>
        </w:r>
        <w:r w:rsidR="00CB366E">
          <w:rPr>
            <w:noProof/>
            <w:webHidden/>
          </w:rPr>
          <w:fldChar w:fldCharType="end"/>
        </w:r>
      </w:hyperlink>
    </w:p>
    <w:p w14:paraId="6E8D3428" w14:textId="0FAAF276" w:rsidR="00CB366E" w:rsidRDefault="004F7D34">
      <w:pPr>
        <w:pStyle w:val="TOC2"/>
        <w:rPr>
          <w:rFonts w:asciiTheme="minorHAnsi" w:eastAsiaTheme="minorEastAsia" w:hAnsiTheme="minorHAnsi" w:cstheme="minorBidi"/>
          <w:noProof/>
          <w:kern w:val="2"/>
          <w14:ligatures w14:val="standardContextual"/>
        </w:rPr>
      </w:pPr>
      <w:hyperlink w:anchor="_Toc165324958" w:history="1">
        <w:r w:rsidR="00CB366E" w:rsidRPr="000D4C1E">
          <w:rPr>
            <w:rStyle w:val="Hyperlink"/>
            <w:noProof/>
          </w:rPr>
          <w:t>Products for the energy sector</w:t>
        </w:r>
        <w:r w:rsidR="00CB366E">
          <w:rPr>
            <w:noProof/>
            <w:webHidden/>
          </w:rPr>
          <w:tab/>
        </w:r>
        <w:r w:rsidR="00CB366E">
          <w:rPr>
            <w:noProof/>
            <w:webHidden/>
          </w:rPr>
          <w:fldChar w:fldCharType="begin"/>
        </w:r>
        <w:r w:rsidR="00CB366E">
          <w:rPr>
            <w:noProof/>
            <w:webHidden/>
          </w:rPr>
          <w:instrText xml:space="preserve"> PAGEREF _Toc165324958 \h </w:instrText>
        </w:r>
        <w:r w:rsidR="00CB366E">
          <w:rPr>
            <w:noProof/>
            <w:webHidden/>
          </w:rPr>
        </w:r>
        <w:r w:rsidR="00CB366E">
          <w:rPr>
            <w:noProof/>
            <w:webHidden/>
          </w:rPr>
          <w:fldChar w:fldCharType="separate"/>
        </w:r>
        <w:r w:rsidR="00605022">
          <w:rPr>
            <w:noProof/>
            <w:webHidden/>
          </w:rPr>
          <w:t>37</w:t>
        </w:r>
        <w:r w:rsidR="00CB366E">
          <w:rPr>
            <w:noProof/>
            <w:webHidden/>
          </w:rPr>
          <w:fldChar w:fldCharType="end"/>
        </w:r>
      </w:hyperlink>
    </w:p>
    <w:p w14:paraId="3A16DEC3" w14:textId="05F3B044" w:rsidR="00CB366E" w:rsidRDefault="004F7D34">
      <w:pPr>
        <w:pStyle w:val="TOC2"/>
        <w:rPr>
          <w:rFonts w:asciiTheme="minorHAnsi" w:eastAsiaTheme="minorEastAsia" w:hAnsiTheme="minorHAnsi" w:cstheme="minorBidi"/>
          <w:noProof/>
          <w:kern w:val="2"/>
          <w14:ligatures w14:val="standardContextual"/>
        </w:rPr>
      </w:pPr>
      <w:hyperlink w:anchor="_Toc165324959" w:history="1">
        <w:r w:rsidR="00CB366E" w:rsidRPr="000D4C1E">
          <w:rPr>
            <w:rStyle w:val="Hyperlink"/>
            <w:noProof/>
          </w:rPr>
          <w:t>Extending obligation dates for small retailers who become larger retailers</w:t>
        </w:r>
        <w:r w:rsidR="00CB366E">
          <w:rPr>
            <w:noProof/>
            <w:webHidden/>
          </w:rPr>
          <w:tab/>
        </w:r>
        <w:r w:rsidR="00CB366E">
          <w:rPr>
            <w:noProof/>
            <w:webHidden/>
          </w:rPr>
          <w:fldChar w:fldCharType="begin"/>
        </w:r>
        <w:r w:rsidR="00CB366E">
          <w:rPr>
            <w:noProof/>
            <w:webHidden/>
          </w:rPr>
          <w:instrText xml:space="preserve"> PAGEREF _Toc165324959 \h </w:instrText>
        </w:r>
        <w:r w:rsidR="00CB366E">
          <w:rPr>
            <w:noProof/>
            <w:webHidden/>
          </w:rPr>
        </w:r>
        <w:r w:rsidR="00CB366E">
          <w:rPr>
            <w:noProof/>
            <w:webHidden/>
          </w:rPr>
          <w:fldChar w:fldCharType="separate"/>
        </w:r>
        <w:r w:rsidR="00605022">
          <w:rPr>
            <w:noProof/>
            <w:webHidden/>
          </w:rPr>
          <w:t>39</w:t>
        </w:r>
        <w:r w:rsidR="00CB366E">
          <w:rPr>
            <w:noProof/>
            <w:webHidden/>
          </w:rPr>
          <w:fldChar w:fldCharType="end"/>
        </w:r>
      </w:hyperlink>
    </w:p>
    <w:p w14:paraId="1A6CBEFA" w14:textId="40225C1F" w:rsidR="00CB366E" w:rsidRDefault="004F7D34">
      <w:pPr>
        <w:pStyle w:val="TOC1"/>
        <w:tabs>
          <w:tab w:val="left" w:pos="1702"/>
        </w:tabs>
        <w:rPr>
          <w:rFonts w:asciiTheme="minorHAnsi" w:eastAsiaTheme="minorEastAsia" w:hAnsiTheme="minorHAnsi" w:cstheme="minorBidi"/>
          <w:b w:val="0"/>
          <w:noProof/>
          <w:kern w:val="2"/>
          <w14:ligatures w14:val="standardContextual"/>
        </w:rPr>
      </w:pPr>
      <w:hyperlink w:anchor="_Toc165324960" w:history="1">
        <w:r w:rsidR="00CB366E" w:rsidRPr="000D4C1E">
          <w:rPr>
            <w:rStyle w:val="Hyperlink"/>
            <w:noProof/>
          </w:rPr>
          <w:t>Annexure A</w:t>
        </w:r>
        <w:r w:rsidR="00CB366E">
          <w:rPr>
            <w:rFonts w:asciiTheme="minorHAnsi" w:eastAsiaTheme="minorEastAsia" w:hAnsiTheme="minorHAnsi" w:cstheme="minorBidi"/>
            <w:b w:val="0"/>
            <w:noProof/>
            <w:kern w:val="2"/>
            <w14:ligatures w14:val="standardContextual"/>
          </w:rPr>
          <w:tab/>
        </w:r>
        <w:r w:rsidR="00CB366E" w:rsidRPr="000D4C1E">
          <w:rPr>
            <w:rStyle w:val="Hyperlink"/>
            <w:noProof/>
          </w:rPr>
          <w:t>Glossary</w:t>
        </w:r>
        <w:r w:rsidR="00CB366E">
          <w:rPr>
            <w:noProof/>
            <w:webHidden/>
          </w:rPr>
          <w:tab/>
        </w:r>
        <w:r w:rsidR="00CB366E">
          <w:rPr>
            <w:noProof/>
            <w:webHidden/>
          </w:rPr>
          <w:fldChar w:fldCharType="begin"/>
        </w:r>
        <w:r w:rsidR="00CB366E">
          <w:rPr>
            <w:noProof/>
            <w:webHidden/>
          </w:rPr>
          <w:instrText xml:space="preserve"> PAGEREF _Toc165324960 \h </w:instrText>
        </w:r>
        <w:r w:rsidR="00CB366E">
          <w:rPr>
            <w:noProof/>
            <w:webHidden/>
          </w:rPr>
        </w:r>
        <w:r w:rsidR="00CB366E">
          <w:rPr>
            <w:noProof/>
            <w:webHidden/>
          </w:rPr>
          <w:fldChar w:fldCharType="separate"/>
        </w:r>
        <w:r w:rsidR="00605022">
          <w:rPr>
            <w:noProof/>
            <w:webHidden/>
          </w:rPr>
          <w:t>41</w:t>
        </w:r>
        <w:r w:rsidR="00CB366E">
          <w:rPr>
            <w:noProof/>
            <w:webHidden/>
          </w:rPr>
          <w:fldChar w:fldCharType="end"/>
        </w:r>
      </w:hyperlink>
    </w:p>
    <w:p w14:paraId="58E73205" w14:textId="0888B4C9" w:rsidR="00CB366E" w:rsidRDefault="00CB366E">
      <w:pPr>
        <w:pStyle w:val="TOC1"/>
        <w:tabs>
          <w:tab w:val="left" w:pos="1702"/>
        </w:tabs>
        <w:rPr>
          <w:rFonts w:asciiTheme="minorHAnsi" w:eastAsiaTheme="minorEastAsia" w:hAnsiTheme="minorHAnsi" w:cstheme="minorBidi"/>
          <w:b w:val="0"/>
          <w:noProof/>
          <w:kern w:val="2"/>
          <w14:ligatures w14:val="standardContextual"/>
        </w:rPr>
      </w:pPr>
    </w:p>
    <w:p w14:paraId="4464FBEF" w14:textId="480F6002" w:rsidR="00C64AD6" w:rsidRDefault="00C64AD6" w:rsidP="006429CB">
      <w:pPr>
        <w:tabs>
          <w:tab w:val="left" w:pos="2944"/>
        </w:tabs>
      </w:pPr>
      <w:r>
        <w:rPr>
          <w:bCs/>
          <w:noProof/>
        </w:rPr>
        <w:fldChar w:fldCharType="end"/>
      </w:r>
      <w:r w:rsidR="006429CB">
        <w:rPr>
          <w:bCs/>
          <w:noProof/>
        </w:rPr>
        <w:tab/>
      </w:r>
    </w:p>
    <w:p w14:paraId="7121E92C" w14:textId="77777777" w:rsidR="006A62CE" w:rsidRPr="006A62CE" w:rsidRDefault="006A62CE" w:rsidP="006A62CE"/>
    <w:p w14:paraId="3CFB25A9" w14:textId="77777777" w:rsidR="006A62CE" w:rsidRPr="006A62CE" w:rsidRDefault="006A62CE" w:rsidP="006A62CE"/>
    <w:p w14:paraId="09E094CC" w14:textId="77777777" w:rsidR="006A62CE" w:rsidRDefault="006A62CE" w:rsidP="006A62CE"/>
    <w:p w14:paraId="07B905C4" w14:textId="77777777" w:rsidR="006A62CE" w:rsidRDefault="006A62CE" w:rsidP="006A62CE">
      <w:pPr>
        <w:tabs>
          <w:tab w:val="left" w:pos="2715"/>
        </w:tabs>
      </w:pPr>
      <w:r>
        <w:tab/>
      </w:r>
    </w:p>
    <w:p w14:paraId="601EF7C2" w14:textId="77777777" w:rsidR="006A62CE" w:rsidRDefault="006A62CE" w:rsidP="006A62CE">
      <w:pPr>
        <w:tabs>
          <w:tab w:val="left" w:pos="2715"/>
        </w:tabs>
      </w:pPr>
    </w:p>
    <w:p w14:paraId="1F13B93A" w14:textId="77777777" w:rsidR="006A62CE" w:rsidRDefault="006A62CE">
      <w:pPr>
        <w:spacing w:after="200" w:line="276" w:lineRule="auto"/>
        <w:rPr>
          <w:b/>
          <w:sz w:val="28"/>
        </w:rPr>
      </w:pPr>
      <w:r>
        <w:br w:type="page"/>
      </w:r>
    </w:p>
    <w:p w14:paraId="52B5A130" w14:textId="77777777" w:rsidR="003F0905" w:rsidRDefault="006A62CE" w:rsidP="00665953">
      <w:pPr>
        <w:pStyle w:val="MOTermsL1"/>
      </w:pPr>
      <w:bookmarkStart w:id="0" w:name="_Toc165324933"/>
      <w:r>
        <w:t>Executive Summary</w:t>
      </w:r>
      <w:bookmarkEnd w:id="0"/>
      <w:r>
        <w:t xml:space="preserve"> </w:t>
      </w:r>
    </w:p>
    <w:p w14:paraId="1CF59458" w14:textId="500BB8BF" w:rsidR="00581C0E" w:rsidRPr="00550CA1" w:rsidRDefault="00A742C7" w:rsidP="00125A54">
      <w:pPr>
        <w:pStyle w:val="MOTermsL2"/>
        <w:numPr>
          <w:ilvl w:val="0"/>
          <w:numId w:val="0"/>
        </w:numPr>
        <w:ind w:left="851"/>
        <w:rPr>
          <w:sz w:val="24"/>
          <w:szCs w:val="24"/>
        </w:rPr>
      </w:pPr>
      <w:bookmarkStart w:id="1" w:name="_Toc165324934"/>
      <w:r w:rsidRPr="00550CA1">
        <w:rPr>
          <w:sz w:val="24"/>
          <w:szCs w:val="24"/>
        </w:rPr>
        <w:t xml:space="preserve">About the Operational Enhancements and Consent </w:t>
      </w:r>
      <w:r w:rsidR="0002218C">
        <w:rPr>
          <w:sz w:val="24"/>
          <w:szCs w:val="24"/>
        </w:rPr>
        <w:t>Amendments</w:t>
      </w:r>
      <w:bookmarkEnd w:id="1"/>
      <w:r w:rsidRPr="00550CA1">
        <w:rPr>
          <w:sz w:val="24"/>
          <w:szCs w:val="24"/>
        </w:rPr>
        <w:t xml:space="preserve"> </w:t>
      </w:r>
    </w:p>
    <w:p w14:paraId="1854F3FD" w14:textId="626615C1" w:rsidR="00BE0C2B" w:rsidRDefault="001B75A5" w:rsidP="00BE0C2B">
      <w:pPr>
        <w:pStyle w:val="MOTermsL4"/>
      </w:pPr>
      <w:bookmarkStart w:id="2" w:name="xxx"/>
      <w:r>
        <w:t>The</w:t>
      </w:r>
      <w:bookmarkEnd w:id="2"/>
      <w:r>
        <w:t xml:space="preserve"> Department of the Treasury (the </w:t>
      </w:r>
      <w:r w:rsidRPr="001B75A5">
        <w:rPr>
          <w:b/>
          <w:bCs/>
        </w:rPr>
        <w:t>Treasury</w:t>
      </w:r>
      <w:r>
        <w:t xml:space="preserve">) is reviewing the </w:t>
      </w:r>
      <w:r w:rsidRPr="001B75A5">
        <w:rPr>
          <w:i/>
          <w:iCs/>
        </w:rPr>
        <w:t>Competition and Consumer (Consumer Data Right) Rules 2020</w:t>
      </w:r>
      <w:r>
        <w:t xml:space="preserve"> (Cth) (the </w:t>
      </w:r>
      <w:r w:rsidRPr="001B75A5">
        <w:rPr>
          <w:b/>
          <w:bCs/>
        </w:rPr>
        <w:t>CDR Rules</w:t>
      </w:r>
      <w:r>
        <w:t xml:space="preserve">) to ensure </w:t>
      </w:r>
      <w:r w:rsidR="00DA0334">
        <w:t>the CDR R</w:t>
      </w:r>
      <w:r>
        <w:t>ules</w:t>
      </w:r>
      <w:r w:rsidR="008742F0">
        <w:t xml:space="preserve"> </w:t>
      </w:r>
      <w:r>
        <w:t>are ‘fit-for-purpose</w:t>
      </w:r>
      <w:r w:rsidR="00D63339">
        <w:t>’</w:t>
      </w:r>
      <w:r>
        <w:t xml:space="preserve"> and support the policy aims of the Consumer Data Right (</w:t>
      </w:r>
      <w:r w:rsidRPr="001B75A5">
        <w:rPr>
          <w:b/>
          <w:bCs/>
        </w:rPr>
        <w:t>CDR</w:t>
      </w:r>
      <w:r>
        <w:t>).</w:t>
      </w:r>
      <w:r>
        <w:rPr>
          <w:rStyle w:val="FootnoteReference"/>
        </w:rPr>
        <w:footnoteReference w:id="2"/>
      </w:r>
      <w:r w:rsidR="00BF2F20">
        <w:t xml:space="preserve">  </w:t>
      </w:r>
    </w:p>
    <w:p w14:paraId="08EAAFEB" w14:textId="77777777" w:rsidR="00BE0C2B" w:rsidRDefault="00BF2F20" w:rsidP="00BE0C2B">
      <w:pPr>
        <w:pStyle w:val="MOTermsL4"/>
      </w:pPr>
      <w:bookmarkStart w:id="3" w:name="_Ref165380041"/>
      <w:r>
        <w:t>This PIA has been progressed as an iterative project in parallel with</w:t>
      </w:r>
      <w:r w:rsidR="00BE0C2B">
        <w:t>:</w:t>
      </w:r>
      <w:bookmarkEnd w:id="3"/>
    </w:p>
    <w:p w14:paraId="614C3E60" w14:textId="45B46490" w:rsidR="00BF2F20" w:rsidRDefault="008742F0" w:rsidP="00A65739">
      <w:pPr>
        <w:pStyle w:val="MOTermsL5"/>
      </w:pPr>
      <w:r w:rsidRPr="0016112E">
        <w:t>Treasury’s development of design papers, for public consultation, which outlined a series of proposed amendments to the CDR Rules about consent and operational matters</w:t>
      </w:r>
      <w:r w:rsidR="00DB68E5">
        <w:t>;</w:t>
      </w:r>
    </w:p>
    <w:p w14:paraId="7E856791" w14:textId="70F87442" w:rsidR="000F1F34" w:rsidRDefault="00BB07A2" w:rsidP="00A65739">
      <w:pPr>
        <w:pStyle w:val="MOTermsL5"/>
      </w:pPr>
      <w:r>
        <w:t>A public consultation process where stakeholders were invited to give feedback about the proposals outlined in the design papers; and</w:t>
      </w:r>
    </w:p>
    <w:p w14:paraId="37C9617C" w14:textId="118607B4" w:rsidR="00BE0C2B" w:rsidRDefault="00BE0C2B" w:rsidP="00BE0C2B">
      <w:pPr>
        <w:pStyle w:val="MOTermsL5"/>
      </w:pPr>
      <w:r>
        <w:t xml:space="preserve">Treasury’s </w:t>
      </w:r>
      <w:r w:rsidR="00A3717E">
        <w:t xml:space="preserve">refinements to its proposals to amend the CDR Rules to achieve the objectives referred to above. </w:t>
      </w:r>
    </w:p>
    <w:p w14:paraId="427A9004" w14:textId="17DD9E27" w:rsidR="00A742C7" w:rsidRPr="00550CA1" w:rsidRDefault="00A742C7" w:rsidP="00125A54">
      <w:pPr>
        <w:pStyle w:val="MOTermsL2"/>
        <w:numPr>
          <w:ilvl w:val="0"/>
          <w:numId w:val="0"/>
        </w:numPr>
        <w:ind w:left="851"/>
        <w:rPr>
          <w:sz w:val="24"/>
          <w:szCs w:val="24"/>
        </w:rPr>
      </w:pPr>
      <w:bookmarkStart w:id="4" w:name="_Toc165324935"/>
      <w:r w:rsidRPr="00550CA1">
        <w:rPr>
          <w:sz w:val="24"/>
          <w:szCs w:val="24"/>
        </w:rPr>
        <w:t>Summary o</w:t>
      </w:r>
      <w:r w:rsidR="00DB68E5">
        <w:rPr>
          <w:sz w:val="24"/>
          <w:szCs w:val="24"/>
        </w:rPr>
        <w:t>f</w:t>
      </w:r>
      <w:r w:rsidRPr="00550CA1">
        <w:rPr>
          <w:sz w:val="24"/>
          <w:szCs w:val="24"/>
        </w:rPr>
        <w:t xml:space="preserve"> Privacy Impacts, Risks and Recommendations</w:t>
      </w:r>
      <w:bookmarkEnd w:id="4"/>
      <w:r w:rsidRPr="00550CA1">
        <w:rPr>
          <w:sz w:val="24"/>
          <w:szCs w:val="24"/>
        </w:rPr>
        <w:t xml:space="preserve"> </w:t>
      </w:r>
    </w:p>
    <w:p w14:paraId="72F3CDA1" w14:textId="1FB257BC" w:rsidR="0085616D" w:rsidRPr="00A3717E" w:rsidRDefault="00A3717E" w:rsidP="00BA1CCE">
      <w:pPr>
        <w:pStyle w:val="MOTermsL4"/>
      </w:pPr>
      <w:r>
        <w:t>This privacy impact assessment (</w:t>
      </w:r>
      <w:r w:rsidRPr="00A3717E">
        <w:rPr>
          <w:b/>
          <w:bCs/>
        </w:rPr>
        <w:t>PIA</w:t>
      </w:r>
      <w:r>
        <w:t xml:space="preserve">) report sets out Mills Oakley’s independent review of the proposed amendments to the CDR Rules. </w:t>
      </w:r>
      <w:r w:rsidR="007A240A">
        <w:t xml:space="preserve">The following recommendations have been made to eliminate, or to mitigate, potentially negative privacy impacts on CDR consumers. </w:t>
      </w:r>
      <w:r>
        <w:t xml:space="preserve"> </w:t>
      </w:r>
    </w:p>
    <w:tbl>
      <w:tblPr>
        <w:tblStyle w:val="MediumGrid3-Accent5"/>
        <w:tblW w:w="0" w:type="auto"/>
        <w:tblInd w:w="959" w:type="dxa"/>
        <w:tblLook w:val="04A0" w:firstRow="1" w:lastRow="0" w:firstColumn="1" w:lastColumn="0" w:noHBand="0" w:noVBand="1"/>
      </w:tblPr>
      <w:tblGrid>
        <w:gridCol w:w="6852"/>
        <w:gridCol w:w="1195"/>
      </w:tblGrid>
      <w:tr w:rsidR="00E67C27" w:rsidRPr="00917C6D" w14:paraId="4776E00C" w14:textId="77777777" w:rsidTr="00917C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87" w:type="dxa"/>
          </w:tcPr>
          <w:p w14:paraId="0E249413" w14:textId="68C0B99A" w:rsidR="00917C6D" w:rsidRPr="00917C6D" w:rsidRDefault="00E67C27" w:rsidP="00917C6D">
            <w:pPr>
              <w:pStyle w:val="MOTermsL4"/>
              <w:numPr>
                <w:ilvl w:val="0"/>
                <w:numId w:val="0"/>
              </w:numPr>
              <w:jc w:val="center"/>
              <w:rPr>
                <w:b w:val="0"/>
                <w:bCs w:val="0"/>
                <w:sz w:val="20"/>
                <w:szCs w:val="20"/>
              </w:rPr>
            </w:pPr>
            <w:r w:rsidRPr="00917C6D">
              <w:rPr>
                <w:sz w:val="20"/>
                <w:szCs w:val="20"/>
              </w:rPr>
              <w:t>Recommendations</w:t>
            </w:r>
            <w:r w:rsidR="00917C6D">
              <w:rPr>
                <w:sz w:val="20"/>
                <w:szCs w:val="20"/>
              </w:rPr>
              <w:br/>
            </w:r>
          </w:p>
        </w:tc>
        <w:tc>
          <w:tcPr>
            <w:tcW w:w="1196" w:type="dxa"/>
          </w:tcPr>
          <w:p w14:paraId="2C5156AC" w14:textId="0402D920" w:rsidR="00E67C27" w:rsidRPr="00917C6D" w:rsidRDefault="00A3717E" w:rsidP="00E67C27">
            <w:pPr>
              <w:pStyle w:val="MOTermsL4"/>
              <w:numPr>
                <w:ilvl w:val="0"/>
                <w:numId w:val="0"/>
              </w:numPr>
              <w:jc w:val="center"/>
              <w:cnfStyle w:val="100000000000" w:firstRow="1" w:lastRow="0" w:firstColumn="0" w:lastColumn="0" w:oddVBand="0" w:evenVBand="0" w:oddHBand="0" w:evenHBand="0" w:firstRowFirstColumn="0" w:firstRowLastColumn="0" w:lastRowFirstColumn="0" w:lastRowLastColumn="0"/>
              <w:rPr>
                <w:sz w:val="20"/>
                <w:szCs w:val="20"/>
              </w:rPr>
            </w:pPr>
            <w:r w:rsidRPr="00917C6D">
              <w:rPr>
                <w:sz w:val="20"/>
                <w:szCs w:val="20"/>
              </w:rPr>
              <w:t xml:space="preserve">Page Reference </w:t>
            </w:r>
          </w:p>
        </w:tc>
      </w:tr>
      <w:tr w:rsidR="00E67C27" w:rsidRPr="00917C6D" w14:paraId="07749FE3" w14:textId="77777777" w:rsidTr="00917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539C7844" w14:textId="77777777" w:rsidR="00E67C27" w:rsidRDefault="00200B2A" w:rsidP="00DD4D77">
            <w:pPr>
              <w:pStyle w:val="ListParagraph"/>
              <w:ind w:left="0"/>
              <w:rPr>
                <w:sz w:val="20"/>
                <w:szCs w:val="20"/>
              </w:rPr>
            </w:pPr>
            <w:r w:rsidRPr="00E423A7">
              <w:rPr>
                <w:sz w:val="20"/>
                <w:szCs w:val="20"/>
              </w:rPr>
              <w:t>Recommendation [1]</w:t>
            </w:r>
            <w:r w:rsidRPr="00917C6D">
              <w:rPr>
                <w:b w:val="0"/>
                <w:bCs w:val="0"/>
                <w:sz w:val="20"/>
                <w:szCs w:val="20"/>
              </w:rPr>
              <w:t xml:space="preserve">: The Treasury consider whether ‘reasonably needed’ is sufficiently </w:t>
            </w:r>
            <w:r w:rsidR="00154CDE" w:rsidRPr="00917C6D">
              <w:rPr>
                <w:b w:val="0"/>
                <w:bCs w:val="0"/>
                <w:sz w:val="20"/>
                <w:szCs w:val="20"/>
              </w:rPr>
              <w:t>narrow to</w:t>
            </w:r>
            <w:r w:rsidRPr="00917C6D">
              <w:rPr>
                <w:b w:val="0"/>
                <w:bCs w:val="0"/>
                <w:sz w:val="20"/>
                <w:szCs w:val="20"/>
              </w:rPr>
              <w:t xml:space="preserve"> avoid function creep and the inadvertent expansion of consent requests. If the term will be interpreted narrowly and supports an inference that the consent request must be essential to provide the product or service, this could be addressed in guidelines that Treasury has indicated it intends to explore with OAIC and the ACCC. </w:t>
            </w:r>
          </w:p>
          <w:p w14:paraId="367E04DA" w14:textId="1F1B5310" w:rsidR="00A91085" w:rsidRPr="00DD4D77" w:rsidRDefault="00A91085" w:rsidP="00DD4D77">
            <w:pPr>
              <w:pStyle w:val="ListParagraph"/>
              <w:ind w:left="0"/>
              <w:rPr>
                <w:b w:val="0"/>
                <w:bCs w:val="0"/>
                <w:sz w:val="20"/>
                <w:szCs w:val="20"/>
              </w:rPr>
            </w:pPr>
          </w:p>
        </w:tc>
        <w:tc>
          <w:tcPr>
            <w:tcW w:w="1196" w:type="dxa"/>
          </w:tcPr>
          <w:p w14:paraId="1B8CE688" w14:textId="2BA62A4F" w:rsidR="00E67C27" w:rsidRPr="00917C6D" w:rsidRDefault="006848E7" w:rsidP="00917C6D">
            <w:pPr>
              <w:pStyle w:val="MOTermsL4"/>
              <w:numPr>
                <w:ilvl w:val="0"/>
                <w:numId w:val="0"/>
              </w:numPr>
              <w:jc w:val="center"/>
              <w:cnfStyle w:val="000000100000" w:firstRow="0" w:lastRow="0" w:firstColumn="0" w:lastColumn="0" w:oddVBand="0" w:evenVBand="0" w:oddHBand="1" w:evenHBand="0" w:firstRowFirstColumn="0" w:firstRowLastColumn="0" w:lastRowFirstColumn="0" w:lastRowLastColumn="0"/>
              <w:rPr>
                <w:sz w:val="20"/>
                <w:szCs w:val="20"/>
                <w:highlight w:val="green"/>
              </w:rPr>
            </w:pPr>
            <w:r w:rsidRPr="00917C6D">
              <w:rPr>
                <w:sz w:val="20"/>
                <w:szCs w:val="20"/>
              </w:rPr>
              <w:fldChar w:fldCharType="begin"/>
            </w:r>
            <w:r w:rsidRPr="00917C6D">
              <w:rPr>
                <w:sz w:val="20"/>
                <w:szCs w:val="20"/>
              </w:rPr>
              <w:instrText xml:space="preserve"> PAGEREF Recommendation_1 \h </w:instrText>
            </w:r>
            <w:r w:rsidRPr="00917C6D">
              <w:rPr>
                <w:sz w:val="20"/>
                <w:szCs w:val="20"/>
              </w:rPr>
            </w:r>
            <w:r w:rsidRPr="00917C6D">
              <w:rPr>
                <w:sz w:val="20"/>
                <w:szCs w:val="20"/>
              </w:rPr>
              <w:fldChar w:fldCharType="separate"/>
            </w:r>
            <w:r w:rsidR="00605022">
              <w:rPr>
                <w:noProof/>
                <w:sz w:val="20"/>
                <w:szCs w:val="20"/>
              </w:rPr>
              <w:t>9</w:t>
            </w:r>
            <w:r w:rsidRPr="00917C6D">
              <w:rPr>
                <w:sz w:val="20"/>
                <w:szCs w:val="20"/>
              </w:rPr>
              <w:fldChar w:fldCharType="end"/>
            </w:r>
          </w:p>
        </w:tc>
      </w:tr>
      <w:tr w:rsidR="00E67C27" w:rsidRPr="00917C6D" w14:paraId="6F0E71E7" w14:textId="77777777" w:rsidTr="00917C6D">
        <w:tc>
          <w:tcPr>
            <w:cnfStyle w:val="001000000000" w:firstRow="0" w:lastRow="0" w:firstColumn="1" w:lastColumn="0" w:oddVBand="0" w:evenVBand="0" w:oddHBand="0" w:evenHBand="0" w:firstRowFirstColumn="0" w:firstRowLastColumn="0" w:lastRowFirstColumn="0" w:lastRowLastColumn="0"/>
            <w:tcW w:w="7087" w:type="dxa"/>
          </w:tcPr>
          <w:p w14:paraId="12FDE2AF" w14:textId="77777777" w:rsidR="00154CDE" w:rsidRDefault="00200B2A" w:rsidP="00917C6D">
            <w:pPr>
              <w:pStyle w:val="ListParagraph"/>
              <w:ind w:left="0"/>
              <w:rPr>
                <w:sz w:val="20"/>
                <w:szCs w:val="20"/>
              </w:rPr>
            </w:pPr>
            <w:r w:rsidRPr="00E423A7">
              <w:rPr>
                <w:sz w:val="20"/>
                <w:szCs w:val="20"/>
              </w:rPr>
              <w:t>Recommendation [2</w:t>
            </w:r>
            <w:r w:rsidRPr="00917C6D">
              <w:rPr>
                <w:b w:val="0"/>
                <w:bCs w:val="0"/>
                <w:sz w:val="20"/>
                <w:szCs w:val="20"/>
              </w:rPr>
              <w:t xml:space="preserve">]: Treasury consider whether excluding disclosure consents from consent bundling usefully reinforces transparency requirements about the parties with whom a CDR consumers’ data is shared. </w:t>
            </w:r>
          </w:p>
          <w:p w14:paraId="20268EF3" w14:textId="764E503F" w:rsidR="00A91085" w:rsidRPr="00917C6D" w:rsidRDefault="00A91085" w:rsidP="00917C6D">
            <w:pPr>
              <w:pStyle w:val="ListParagraph"/>
              <w:ind w:left="0"/>
              <w:rPr>
                <w:b w:val="0"/>
                <w:bCs w:val="0"/>
                <w:sz w:val="20"/>
                <w:szCs w:val="20"/>
              </w:rPr>
            </w:pPr>
          </w:p>
        </w:tc>
        <w:tc>
          <w:tcPr>
            <w:tcW w:w="1196" w:type="dxa"/>
          </w:tcPr>
          <w:p w14:paraId="0246BEB2" w14:textId="60A7C3DF" w:rsidR="00E67C27" w:rsidRPr="00917C6D" w:rsidRDefault="008F46A1" w:rsidP="00917C6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Recommendation_2 \h </w:instrText>
            </w:r>
            <w:r w:rsidRPr="00917C6D">
              <w:rPr>
                <w:sz w:val="20"/>
                <w:szCs w:val="20"/>
              </w:rPr>
            </w:r>
            <w:r w:rsidRPr="00917C6D">
              <w:rPr>
                <w:sz w:val="20"/>
                <w:szCs w:val="20"/>
              </w:rPr>
              <w:fldChar w:fldCharType="separate"/>
            </w:r>
            <w:r w:rsidR="00605022">
              <w:rPr>
                <w:noProof/>
                <w:sz w:val="20"/>
                <w:szCs w:val="20"/>
              </w:rPr>
              <w:t>10</w:t>
            </w:r>
            <w:r w:rsidRPr="00917C6D">
              <w:rPr>
                <w:sz w:val="20"/>
                <w:szCs w:val="20"/>
              </w:rPr>
              <w:fldChar w:fldCharType="end"/>
            </w:r>
          </w:p>
        </w:tc>
      </w:tr>
      <w:tr w:rsidR="00E67C27" w:rsidRPr="00917C6D" w14:paraId="2A2D0270" w14:textId="77777777" w:rsidTr="00917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396B6E8C" w14:textId="77777777" w:rsidR="00592B33" w:rsidRDefault="00200B2A" w:rsidP="00917C6D">
            <w:pPr>
              <w:pStyle w:val="ListParagraph"/>
              <w:ind w:left="0"/>
              <w:rPr>
                <w:sz w:val="20"/>
                <w:szCs w:val="20"/>
              </w:rPr>
            </w:pPr>
            <w:r w:rsidRPr="00E423A7">
              <w:rPr>
                <w:sz w:val="20"/>
                <w:szCs w:val="20"/>
              </w:rPr>
              <w:t>Recommendation [3]</w:t>
            </w:r>
            <w:r w:rsidRPr="00917C6D">
              <w:rPr>
                <w:b w:val="0"/>
                <w:bCs w:val="0"/>
                <w:sz w:val="20"/>
                <w:szCs w:val="20"/>
              </w:rPr>
              <w:t xml:space="preserve">: As an alternative to Recommendation 2, Treasury consider a measure that gives CDR consumers the right to object to bundled consents which would trigger an obligation for the accredited person or ADR to explain the basis for the conclusion that the consents are essential to provide the product or service. A right to object, in this context, could conceivably be aligned with Privacy Act reforms, in the event a right to object to certain privacy practices is progressed by the Australian Government. </w:t>
            </w:r>
          </w:p>
          <w:p w14:paraId="18349073" w14:textId="35696D02" w:rsidR="00A91085" w:rsidRPr="00DD4D77" w:rsidRDefault="00A91085" w:rsidP="00917C6D">
            <w:pPr>
              <w:pStyle w:val="ListParagraph"/>
              <w:ind w:left="0"/>
              <w:rPr>
                <w:sz w:val="20"/>
                <w:szCs w:val="20"/>
              </w:rPr>
            </w:pPr>
          </w:p>
        </w:tc>
        <w:tc>
          <w:tcPr>
            <w:tcW w:w="1196" w:type="dxa"/>
          </w:tcPr>
          <w:p w14:paraId="33965AFA" w14:textId="16081D42" w:rsidR="00E67C27" w:rsidRPr="00917C6D" w:rsidRDefault="008F46A1" w:rsidP="00917C6D">
            <w:pPr>
              <w:pStyle w:val="MOTermsL4"/>
              <w:numPr>
                <w:ilvl w:val="0"/>
                <w:numId w:val="0"/>
              </w:numPr>
              <w:jc w:val="center"/>
              <w:cnfStyle w:val="000000100000" w:firstRow="0" w:lastRow="0" w:firstColumn="0" w:lastColumn="0" w:oddVBand="0" w:evenVBand="0" w:oddHBand="1"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Recommendation_3 \h </w:instrText>
            </w:r>
            <w:r w:rsidRPr="00917C6D">
              <w:rPr>
                <w:sz w:val="20"/>
                <w:szCs w:val="20"/>
              </w:rPr>
            </w:r>
            <w:r w:rsidRPr="00917C6D">
              <w:rPr>
                <w:sz w:val="20"/>
                <w:szCs w:val="20"/>
              </w:rPr>
              <w:fldChar w:fldCharType="separate"/>
            </w:r>
            <w:r w:rsidR="00605022">
              <w:rPr>
                <w:noProof/>
                <w:sz w:val="20"/>
                <w:szCs w:val="20"/>
              </w:rPr>
              <w:t>10</w:t>
            </w:r>
            <w:r w:rsidRPr="00917C6D">
              <w:rPr>
                <w:sz w:val="20"/>
                <w:szCs w:val="20"/>
              </w:rPr>
              <w:fldChar w:fldCharType="end"/>
            </w:r>
          </w:p>
        </w:tc>
      </w:tr>
      <w:tr w:rsidR="00200B2A" w:rsidRPr="00917C6D" w14:paraId="397D8D7E" w14:textId="77777777" w:rsidTr="00917C6D">
        <w:tc>
          <w:tcPr>
            <w:cnfStyle w:val="001000000000" w:firstRow="0" w:lastRow="0" w:firstColumn="1" w:lastColumn="0" w:oddVBand="0" w:evenVBand="0" w:oddHBand="0" w:evenHBand="0" w:firstRowFirstColumn="0" w:firstRowLastColumn="0" w:lastRowFirstColumn="0" w:lastRowLastColumn="0"/>
            <w:tcW w:w="7087" w:type="dxa"/>
          </w:tcPr>
          <w:p w14:paraId="71C41A5B" w14:textId="77777777" w:rsidR="00154CDE" w:rsidRDefault="00200B2A" w:rsidP="00917C6D">
            <w:pPr>
              <w:rPr>
                <w:sz w:val="20"/>
                <w:szCs w:val="20"/>
              </w:rPr>
            </w:pPr>
            <w:r w:rsidRPr="00E423A7">
              <w:rPr>
                <w:sz w:val="20"/>
                <w:szCs w:val="20"/>
              </w:rPr>
              <w:t>Recommendation [4]</w:t>
            </w:r>
            <w:r w:rsidRPr="00917C6D">
              <w:rPr>
                <w:b w:val="0"/>
                <w:bCs w:val="0"/>
                <w:sz w:val="20"/>
                <w:szCs w:val="20"/>
              </w:rPr>
              <w:t xml:space="preserve">: Subject to </w:t>
            </w:r>
            <w:r w:rsidR="0031704E">
              <w:rPr>
                <w:b w:val="0"/>
                <w:bCs w:val="0"/>
                <w:sz w:val="20"/>
                <w:szCs w:val="20"/>
              </w:rPr>
              <w:t>R</w:t>
            </w:r>
            <w:r w:rsidRPr="00917C6D">
              <w:rPr>
                <w:b w:val="0"/>
                <w:bCs w:val="0"/>
                <w:sz w:val="20"/>
                <w:szCs w:val="20"/>
              </w:rPr>
              <w:t xml:space="preserve">ecommendation 3, Treasury consider whether guidelines and CX </w:t>
            </w:r>
            <w:r w:rsidR="00A00B61">
              <w:rPr>
                <w:b w:val="0"/>
                <w:bCs w:val="0"/>
                <w:sz w:val="20"/>
                <w:szCs w:val="20"/>
              </w:rPr>
              <w:t>S</w:t>
            </w:r>
            <w:r w:rsidRPr="00917C6D">
              <w:rPr>
                <w:b w:val="0"/>
                <w:bCs w:val="0"/>
                <w:sz w:val="20"/>
                <w:szCs w:val="20"/>
              </w:rPr>
              <w:t xml:space="preserve">tandards would be an appropriate vehicle to clarify </w:t>
            </w:r>
            <w:r w:rsidR="00592B33">
              <w:rPr>
                <w:b w:val="0"/>
                <w:bCs w:val="0"/>
                <w:sz w:val="20"/>
                <w:szCs w:val="20"/>
              </w:rPr>
              <w:t xml:space="preserve">(a) </w:t>
            </w:r>
            <w:r w:rsidRPr="00917C6D">
              <w:rPr>
                <w:b w:val="0"/>
                <w:bCs w:val="0"/>
                <w:sz w:val="20"/>
                <w:szCs w:val="20"/>
              </w:rPr>
              <w:t xml:space="preserve">whether a consumer can override pre-selected options and </w:t>
            </w:r>
            <w:r w:rsidR="00592B33">
              <w:rPr>
                <w:b w:val="0"/>
                <w:bCs w:val="0"/>
                <w:sz w:val="20"/>
                <w:szCs w:val="20"/>
              </w:rPr>
              <w:t xml:space="preserve">(b) </w:t>
            </w:r>
            <w:r w:rsidRPr="00917C6D">
              <w:rPr>
                <w:b w:val="0"/>
                <w:bCs w:val="0"/>
                <w:sz w:val="20"/>
                <w:szCs w:val="20"/>
              </w:rPr>
              <w:t xml:space="preserve">the level of detail necessary to explain why a pre-selected option is necessary to deliver the product or service. </w:t>
            </w:r>
          </w:p>
          <w:p w14:paraId="2FF12A53" w14:textId="2887C3C3" w:rsidR="00A91085" w:rsidRPr="00917C6D" w:rsidRDefault="00A91085" w:rsidP="00917C6D">
            <w:pPr>
              <w:rPr>
                <w:b w:val="0"/>
                <w:bCs w:val="0"/>
                <w:sz w:val="20"/>
                <w:szCs w:val="20"/>
              </w:rPr>
            </w:pPr>
          </w:p>
        </w:tc>
        <w:tc>
          <w:tcPr>
            <w:tcW w:w="1196" w:type="dxa"/>
          </w:tcPr>
          <w:p w14:paraId="51F184B9" w14:textId="38A77DC5" w:rsidR="00200B2A" w:rsidRPr="00917C6D" w:rsidRDefault="008F46A1" w:rsidP="00917C6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Recommendation_4 \h </w:instrText>
            </w:r>
            <w:r w:rsidRPr="00917C6D">
              <w:rPr>
                <w:sz w:val="20"/>
                <w:szCs w:val="20"/>
              </w:rPr>
            </w:r>
            <w:r w:rsidRPr="00917C6D">
              <w:rPr>
                <w:sz w:val="20"/>
                <w:szCs w:val="20"/>
              </w:rPr>
              <w:fldChar w:fldCharType="separate"/>
            </w:r>
            <w:r w:rsidR="00605022">
              <w:rPr>
                <w:noProof/>
                <w:sz w:val="20"/>
                <w:szCs w:val="20"/>
              </w:rPr>
              <w:t>13</w:t>
            </w:r>
            <w:r w:rsidRPr="00917C6D">
              <w:rPr>
                <w:sz w:val="20"/>
                <w:szCs w:val="20"/>
              </w:rPr>
              <w:fldChar w:fldCharType="end"/>
            </w:r>
          </w:p>
        </w:tc>
      </w:tr>
      <w:tr w:rsidR="00200B2A" w:rsidRPr="00917C6D" w14:paraId="1E64267B" w14:textId="77777777" w:rsidTr="00917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116E31D1" w14:textId="68FAE0F6" w:rsidR="00200B2A" w:rsidRPr="00917C6D" w:rsidRDefault="0050566B" w:rsidP="00200B2A">
            <w:pPr>
              <w:rPr>
                <w:b w:val="0"/>
                <w:bCs w:val="0"/>
                <w:sz w:val="20"/>
                <w:szCs w:val="20"/>
              </w:rPr>
            </w:pPr>
            <w:r w:rsidRPr="00E423A7">
              <w:rPr>
                <w:sz w:val="20"/>
                <w:szCs w:val="20"/>
              </w:rPr>
              <w:t>Recommendation [5]</w:t>
            </w:r>
            <w:r w:rsidRPr="00917C6D">
              <w:rPr>
                <w:b w:val="0"/>
                <w:bCs w:val="0"/>
                <w:sz w:val="20"/>
                <w:szCs w:val="20"/>
              </w:rPr>
              <w:t xml:space="preserve">: Treasury consider whether guidance, such as in CX </w:t>
            </w:r>
            <w:r w:rsidR="00A00B61">
              <w:rPr>
                <w:b w:val="0"/>
                <w:bCs w:val="0"/>
                <w:sz w:val="20"/>
                <w:szCs w:val="20"/>
              </w:rPr>
              <w:t>S</w:t>
            </w:r>
            <w:r w:rsidRPr="00917C6D">
              <w:rPr>
                <w:b w:val="0"/>
                <w:bCs w:val="0"/>
                <w:sz w:val="20"/>
                <w:szCs w:val="20"/>
              </w:rPr>
              <w:t>tandards, might encourage an Accredited Person to tell consumers, as part of a consent flow, where to find further information about withdrawing consent.</w:t>
            </w:r>
          </w:p>
          <w:p w14:paraId="752B7433" w14:textId="7859FA46" w:rsidR="00154CDE" w:rsidRPr="00917C6D" w:rsidRDefault="00154CDE" w:rsidP="00200B2A">
            <w:pPr>
              <w:rPr>
                <w:b w:val="0"/>
                <w:bCs w:val="0"/>
                <w:sz w:val="20"/>
                <w:szCs w:val="20"/>
              </w:rPr>
            </w:pPr>
          </w:p>
        </w:tc>
        <w:tc>
          <w:tcPr>
            <w:tcW w:w="1196" w:type="dxa"/>
          </w:tcPr>
          <w:p w14:paraId="1F15B241" w14:textId="2AE35E41" w:rsidR="00200B2A" w:rsidRPr="00917C6D" w:rsidRDefault="008F46A1" w:rsidP="00917C6D">
            <w:pPr>
              <w:pStyle w:val="MOTermsL4"/>
              <w:numPr>
                <w:ilvl w:val="0"/>
                <w:numId w:val="0"/>
              </w:numPr>
              <w:jc w:val="center"/>
              <w:cnfStyle w:val="000000100000" w:firstRow="0" w:lastRow="0" w:firstColumn="0" w:lastColumn="0" w:oddVBand="0" w:evenVBand="0" w:oddHBand="1"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Recommendation_5 \h </w:instrText>
            </w:r>
            <w:r w:rsidRPr="00917C6D">
              <w:rPr>
                <w:sz w:val="20"/>
                <w:szCs w:val="20"/>
              </w:rPr>
            </w:r>
            <w:r w:rsidRPr="00917C6D">
              <w:rPr>
                <w:sz w:val="20"/>
                <w:szCs w:val="20"/>
              </w:rPr>
              <w:fldChar w:fldCharType="separate"/>
            </w:r>
            <w:r w:rsidR="00605022">
              <w:rPr>
                <w:noProof/>
                <w:sz w:val="20"/>
                <w:szCs w:val="20"/>
              </w:rPr>
              <w:t>15</w:t>
            </w:r>
            <w:r w:rsidRPr="00917C6D">
              <w:rPr>
                <w:sz w:val="20"/>
                <w:szCs w:val="20"/>
              </w:rPr>
              <w:fldChar w:fldCharType="end"/>
            </w:r>
          </w:p>
        </w:tc>
      </w:tr>
      <w:tr w:rsidR="00200B2A" w:rsidRPr="00917C6D" w14:paraId="6E1A2FC0" w14:textId="77777777" w:rsidTr="00917C6D">
        <w:tc>
          <w:tcPr>
            <w:cnfStyle w:val="001000000000" w:firstRow="0" w:lastRow="0" w:firstColumn="1" w:lastColumn="0" w:oddVBand="0" w:evenVBand="0" w:oddHBand="0" w:evenHBand="0" w:firstRowFirstColumn="0" w:firstRowLastColumn="0" w:lastRowFirstColumn="0" w:lastRowLastColumn="0"/>
            <w:tcW w:w="7087" w:type="dxa"/>
          </w:tcPr>
          <w:p w14:paraId="61971628" w14:textId="77777777" w:rsidR="00154CDE" w:rsidRDefault="0050566B" w:rsidP="00917C6D">
            <w:pPr>
              <w:pStyle w:val="ListParagraph"/>
              <w:ind w:left="0"/>
              <w:rPr>
                <w:sz w:val="20"/>
                <w:szCs w:val="20"/>
              </w:rPr>
            </w:pPr>
            <w:r w:rsidRPr="00E423A7">
              <w:rPr>
                <w:sz w:val="20"/>
                <w:szCs w:val="20"/>
              </w:rPr>
              <w:t>Recommendation [6]</w:t>
            </w:r>
            <w:r w:rsidRPr="00917C6D">
              <w:rPr>
                <w:b w:val="0"/>
                <w:bCs w:val="0"/>
                <w:sz w:val="20"/>
                <w:szCs w:val="20"/>
              </w:rPr>
              <w:t xml:space="preserve">: Treasury’s regulatory response (if any) to mitigate the risk of dark patterns being used in CDR user experience design patterns and consent/authorisation architecture should be informed by the Privacy Act reforms on this issue. </w:t>
            </w:r>
          </w:p>
          <w:p w14:paraId="3B5D3280" w14:textId="7B6DE81A" w:rsidR="00A91085" w:rsidRPr="00917C6D" w:rsidRDefault="00A91085" w:rsidP="00917C6D">
            <w:pPr>
              <w:pStyle w:val="ListParagraph"/>
              <w:ind w:left="0"/>
              <w:rPr>
                <w:b w:val="0"/>
                <w:bCs w:val="0"/>
                <w:sz w:val="20"/>
                <w:szCs w:val="20"/>
              </w:rPr>
            </w:pPr>
          </w:p>
        </w:tc>
        <w:tc>
          <w:tcPr>
            <w:tcW w:w="1196" w:type="dxa"/>
          </w:tcPr>
          <w:p w14:paraId="01672C46" w14:textId="75F01099" w:rsidR="00200B2A" w:rsidRPr="00917C6D" w:rsidRDefault="008F46A1" w:rsidP="00917C6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Recommendation_6 \h </w:instrText>
            </w:r>
            <w:r w:rsidRPr="00917C6D">
              <w:rPr>
                <w:sz w:val="20"/>
                <w:szCs w:val="20"/>
              </w:rPr>
            </w:r>
            <w:r w:rsidRPr="00917C6D">
              <w:rPr>
                <w:sz w:val="20"/>
                <w:szCs w:val="20"/>
              </w:rPr>
              <w:fldChar w:fldCharType="separate"/>
            </w:r>
            <w:r w:rsidR="00605022">
              <w:rPr>
                <w:noProof/>
                <w:sz w:val="20"/>
                <w:szCs w:val="20"/>
              </w:rPr>
              <w:t>23</w:t>
            </w:r>
            <w:r w:rsidRPr="00917C6D">
              <w:rPr>
                <w:sz w:val="20"/>
                <w:szCs w:val="20"/>
              </w:rPr>
              <w:fldChar w:fldCharType="end"/>
            </w:r>
          </w:p>
        </w:tc>
      </w:tr>
      <w:tr w:rsidR="00200B2A" w:rsidRPr="00917C6D" w14:paraId="1B9E965A" w14:textId="77777777" w:rsidTr="00917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3EFB02BF" w14:textId="77777777" w:rsidR="00154CDE" w:rsidRDefault="0050566B" w:rsidP="00200B2A">
            <w:pPr>
              <w:rPr>
                <w:sz w:val="20"/>
                <w:szCs w:val="20"/>
              </w:rPr>
            </w:pPr>
            <w:r w:rsidRPr="00E423A7">
              <w:rPr>
                <w:sz w:val="20"/>
                <w:szCs w:val="20"/>
              </w:rPr>
              <w:t>Recommendation [7]</w:t>
            </w:r>
            <w:r w:rsidRPr="00917C6D">
              <w:rPr>
                <w:b w:val="0"/>
                <w:bCs w:val="0"/>
                <w:sz w:val="20"/>
                <w:szCs w:val="20"/>
              </w:rPr>
              <w:t xml:space="preserve">:  Treasury consider supporting any regulatory response or guidance material about avoiding dark patterns with visual examples of what is not permitted (i.e. an illustrative example of a dark pattern in a CDR context).  </w:t>
            </w:r>
          </w:p>
          <w:p w14:paraId="520BEFFF" w14:textId="426E2C99" w:rsidR="00A91085" w:rsidRPr="00917C6D" w:rsidRDefault="00A91085" w:rsidP="00200B2A">
            <w:pPr>
              <w:rPr>
                <w:b w:val="0"/>
                <w:bCs w:val="0"/>
                <w:sz w:val="20"/>
                <w:szCs w:val="20"/>
              </w:rPr>
            </w:pPr>
          </w:p>
        </w:tc>
        <w:tc>
          <w:tcPr>
            <w:tcW w:w="1196" w:type="dxa"/>
          </w:tcPr>
          <w:p w14:paraId="2F02DB2A" w14:textId="0E657FCB" w:rsidR="00200B2A" w:rsidRPr="00917C6D" w:rsidRDefault="008F46A1" w:rsidP="00917C6D">
            <w:pPr>
              <w:pStyle w:val="MOTermsL4"/>
              <w:numPr>
                <w:ilvl w:val="0"/>
                <w:numId w:val="0"/>
              </w:numPr>
              <w:jc w:val="center"/>
              <w:cnfStyle w:val="000000100000" w:firstRow="0" w:lastRow="0" w:firstColumn="0" w:lastColumn="0" w:oddVBand="0" w:evenVBand="0" w:oddHBand="1"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Recommendation_7 \h </w:instrText>
            </w:r>
            <w:r w:rsidRPr="00917C6D">
              <w:rPr>
                <w:sz w:val="20"/>
                <w:szCs w:val="20"/>
              </w:rPr>
            </w:r>
            <w:r w:rsidRPr="00917C6D">
              <w:rPr>
                <w:sz w:val="20"/>
                <w:szCs w:val="20"/>
              </w:rPr>
              <w:fldChar w:fldCharType="separate"/>
            </w:r>
            <w:r w:rsidR="00605022">
              <w:rPr>
                <w:noProof/>
                <w:sz w:val="20"/>
                <w:szCs w:val="20"/>
              </w:rPr>
              <w:t>23</w:t>
            </w:r>
            <w:r w:rsidRPr="00917C6D">
              <w:rPr>
                <w:sz w:val="20"/>
                <w:szCs w:val="20"/>
              </w:rPr>
              <w:fldChar w:fldCharType="end"/>
            </w:r>
          </w:p>
        </w:tc>
      </w:tr>
      <w:tr w:rsidR="00200B2A" w:rsidRPr="00917C6D" w14:paraId="2ED7BEE4" w14:textId="77777777" w:rsidTr="00917C6D">
        <w:tc>
          <w:tcPr>
            <w:cnfStyle w:val="001000000000" w:firstRow="0" w:lastRow="0" w:firstColumn="1" w:lastColumn="0" w:oddVBand="0" w:evenVBand="0" w:oddHBand="0" w:evenHBand="0" w:firstRowFirstColumn="0" w:firstRowLastColumn="0" w:lastRowFirstColumn="0" w:lastRowLastColumn="0"/>
            <w:tcW w:w="7087" w:type="dxa"/>
          </w:tcPr>
          <w:p w14:paraId="186EE4A7" w14:textId="77777777" w:rsidR="00154CDE" w:rsidRDefault="001C7DC4" w:rsidP="00200B2A">
            <w:pPr>
              <w:rPr>
                <w:sz w:val="20"/>
                <w:szCs w:val="20"/>
              </w:rPr>
            </w:pPr>
            <w:r w:rsidRPr="001C7DC4">
              <w:rPr>
                <w:sz w:val="20"/>
                <w:szCs w:val="20"/>
              </w:rPr>
              <w:t>Recommendation [8]</w:t>
            </w:r>
            <w:r>
              <w:rPr>
                <w:b w:val="0"/>
                <w:bCs w:val="0"/>
                <w:sz w:val="20"/>
                <w:szCs w:val="20"/>
              </w:rPr>
              <w:t>:</w:t>
            </w:r>
            <w:r w:rsidRPr="001C7DC4">
              <w:rPr>
                <w:b w:val="0"/>
                <w:bCs w:val="0"/>
                <w:sz w:val="20"/>
                <w:szCs w:val="20"/>
              </w:rPr>
              <w:t xml:space="preserve"> Noting that the Treasury has narrowed the scope of the proposal such that the data in question has been obtained in connection with an application to acquire a product or service, Treasury may wish to consider whether the CDR consumer’s decision (and autonomy over the CDR data) would be assisted by an explanation by the ADI about the </w:t>
            </w:r>
            <w:r w:rsidRPr="001C7DC4">
              <w:rPr>
                <w:b w:val="0"/>
                <w:bCs w:val="0"/>
                <w:i/>
                <w:iCs/>
                <w:sz w:val="20"/>
                <w:szCs w:val="20"/>
              </w:rPr>
              <w:t>practical consequences</w:t>
            </w:r>
            <w:r w:rsidRPr="001C7DC4">
              <w:rPr>
                <w:b w:val="0"/>
                <w:bCs w:val="0"/>
                <w:sz w:val="20"/>
                <w:szCs w:val="20"/>
              </w:rPr>
              <w:t xml:space="preserve"> of consenting to the ADI holding the data as a data holder.</w:t>
            </w:r>
          </w:p>
          <w:p w14:paraId="3B3F2B48" w14:textId="17B1CCDD" w:rsidR="00A91085" w:rsidRPr="00917C6D" w:rsidRDefault="00A91085" w:rsidP="00200B2A">
            <w:pPr>
              <w:rPr>
                <w:b w:val="0"/>
                <w:bCs w:val="0"/>
                <w:sz w:val="20"/>
                <w:szCs w:val="20"/>
              </w:rPr>
            </w:pPr>
          </w:p>
        </w:tc>
        <w:tc>
          <w:tcPr>
            <w:tcW w:w="1196" w:type="dxa"/>
          </w:tcPr>
          <w:p w14:paraId="016C3271" w14:textId="5C6046CD" w:rsidR="00200B2A" w:rsidRPr="00917C6D" w:rsidRDefault="00B61591" w:rsidP="00917C6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r>
            <w:r>
              <w:rPr>
                <w:sz w:val="20"/>
                <w:szCs w:val="20"/>
              </w:rPr>
              <w:instrText xml:space="preserve"> PAGEREF Recommendation_8 \h </w:instrText>
            </w:r>
            <w:r>
              <w:rPr>
                <w:sz w:val="20"/>
                <w:szCs w:val="20"/>
              </w:rPr>
            </w:r>
            <w:r>
              <w:rPr>
                <w:sz w:val="20"/>
                <w:szCs w:val="20"/>
              </w:rPr>
              <w:fldChar w:fldCharType="separate"/>
            </w:r>
            <w:r w:rsidR="00605022">
              <w:rPr>
                <w:noProof/>
                <w:sz w:val="20"/>
                <w:szCs w:val="20"/>
              </w:rPr>
              <w:t>32</w:t>
            </w:r>
            <w:r>
              <w:rPr>
                <w:sz w:val="20"/>
                <w:szCs w:val="20"/>
              </w:rPr>
              <w:fldChar w:fldCharType="end"/>
            </w:r>
          </w:p>
        </w:tc>
      </w:tr>
      <w:tr w:rsidR="00200B2A" w:rsidRPr="00917C6D" w14:paraId="41A68834" w14:textId="77777777" w:rsidTr="00917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Pr>
          <w:p w14:paraId="654DC872" w14:textId="77777777" w:rsidR="00154CDE" w:rsidRDefault="0050566B" w:rsidP="00200B2A">
            <w:pPr>
              <w:rPr>
                <w:sz w:val="20"/>
                <w:szCs w:val="20"/>
              </w:rPr>
            </w:pPr>
            <w:r w:rsidRPr="00E423A7">
              <w:rPr>
                <w:sz w:val="20"/>
                <w:szCs w:val="20"/>
              </w:rPr>
              <w:t>Recommendation [</w:t>
            </w:r>
            <w:r w:rsidR="00154CDE" w:rsidRPr="00E423A7">
              <w:rPr>
                <w:sz w:val="20"/>
                <w:szCs w:val="20"/>
              </w:rPr>
              <w:t>9</w:t>
            </w:r>
            <w:r w:rsidRPr="00E423A7">
              <w:rPr>
                <w:sz w:val="20"/>
                <w:szCs w:val="20"/>
              </w:rPr>
              <w:t>]</w:t>
            </w:r>
            <w:r w:rsidRPr="00917C6D">
              <w:rPr>
                <w:b w:val="0"/>
                <w:bCs w:val="0"/>
                <w:sz w:val="20"/>
                <w:szCs w:val="20"/>
              </w:rPr>
              <w:t xml:space="preserve">: Treasury consider the feasibility of a regulatory and enforcement strategy that is calibrated to support small retailers meet their CDR obligations rather than defer the application of those obligations. </w:t>
            </w:r>
          </w:p>
          <w:p w14:paraId="68EAE97B" w14:textId="1B0D079D" w:rsidR="00A91085" w:rsidRPr="00917C6D" w:rsidRDefault="00A91085" w:rsidP="00200B2A">
            <w:pPr>
              <w:rPr>
                <w:b w:val="0"/>
                <w:bCs w:val="0"/>
                <w:sz w:val="20"/>
                <w:szCs w:val="20"/>
              </w:rPr>
            </w:pPr>
          </w:p>
        </w:tc>
        <w:tc>
          <w:tcPr>
            <w:tcW w:w="1196" w:type="dxa"/>
          </w:tcPr>
          <w:p w14:paraId="170BFAF0" w14:textId="4A7E44F6" w:rsidR="00200B2A" w:rsidRPr="00917C6D" w:rsidRDefault="008F46A1" w:rsidP="00917C6D">
            <w:pPr>
              <w:pStyle w:val="MOTermsL4"/>
              <w:numPr>
                <w:ilvl w:val="0"/>
                <w:numId w:val="0"/>
              </w:numPr>
              <w:jc w:val="center"/>
              <w:cnfStyle w:val="000000100000" w:firstRow="0" w:lastRow="0" w:firstColumn="0" w:lastColumn="0" w:oddVBand="0" w:evenVBand="0" w:oddHBand="1"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Recommendation_9 \h </w:instrText>
            </w:r>
            <w:r w:rsidRPr="00917C6D">
              <w:rPr>
                <w:sz w:val="20"/>
                <w:szCs w:val="20"/>
              </w:rPr>
            </w:r>
            <w:r w:rsidRPr="00917C6D">
              <w:rPr>
                <w:sz w:val="20"/>
                <w:szCs w:val="20"/>
              </w:rPr>
              <w:fldChar w:fldCharType="separate"/>
            </w:r>
            <w:r w:rsidR="00605022">
              <w:rPr>
                <w:noProof/>
                <w:sz w:val="20"/>
                <w:szCs w:val="20"/>
              </w:rPr>
              <w:t>37</w:t>
            </w:r>
            <w:r w:rsidRPr="00917C6D">
              <w:rPr>
                <w:sz w:val="20"/>
                <w:szCs w:val="20"/>
              </w:rPr>
              <w:fldChar w:fldCharType="end"/>
            </w:r>
          </w:p>
        </w:tc>
      </w:tr>
      <w:tr w:rsidR="0050566B" w:rsidRPr="00917C6D" w14:paraId="54B36440" w14:textId="77777777" w:rsidTr="00917C6D">
        <w:tc>
          <w:tcPr>
            <w:cnfStyle w:val="001000000000" w:firstRow="0" w:lastRow="0" w:firstColumn="1" w:lastColumn="0" w:oddVBand="0" w:evenVBand="0" w:oddHBand="0" w:evenHBand="0" w:firstRowFirstColumn="0" w:firstRowLastColumn="0" w:lastRowFirstColumn="0" w:lastRowLastColumn="0"/>
            <w:tcW w:w="7087" w:type="dxa"/>
          </w:tcPr>
          <w:p w14:paraId="48CA68E0" w14:textId="46FB4542" w:rsidR="0050566B" w:rsidRPr="00592B33" w:rsidRDefault="0050566B" w:rsidP="0050566B">
            <w:pPr>
              <w:rPr>
                <w:b w:val="0"/>
                <w:bCs w:val="0"/>
                <w:sz w:val="20"/>
                <w:szCs w:val="20"/>
              </w:rPr>
            </w:pPr>
            <w:r w:rsidRPr="00E423A7">
              <w:rPr>
                <w:sz w:val="20"/>
                <w:szCs w:val="20"/>
              </w:rPr>
              <w:t>Recommendation [1</w:t>
            </w:r>
            <w:r w:rsidR="00154CDE" w:rsidRPr="00E423A7">
              <w:rPr>
                <w:sz w:val="20"/>
                <w:szCs w:val="20"/>
              </w:rPr>
              <w:t>0</w:t>
            </w:r>
            <w:r w:rsidRPr="00E423A7">
              <w:rPr>
                <w:sz w:val="20"/>
                <w:szCs w:val="20"/>
              </w:rPr>
              <w:t>]</w:t>
            </w:r>
            <w:r w:rsidRPr="00592B33">
              <w:rPr>
                <w:b w:val="0"/>
                <w:bCs w:val="0"/>
                <w:sz w:val="20"/>
                <w:szCs w:val="20"/>
              </w:rPr>
              <w:t xml:space="preserve">: Treasury consider the combined and sequential operation of: </w:t>
            </w:r>
          </w:p>
          <w:p w14:paraId="0EA9BE15" w14:textId="77777777" w:rsidR="0050566B" w:rsidRPr="00592B33" w:rsidRDefault="0050566B" w:rsidP="0050566B">
            <w:pPr>
              <w:pStyle w:val="ListParagraph"/>
              <w:numPr>
                <w:ilvl w:val="0"/>
                <w:numId w:val="33"/>
              </w:numPr>
              <w:rPr>
                <w:rFonts w:eastAsiaTheme="minorHAnsi"/>
                <w:b w:val="0"/>
                <w:bCs w:val="0"/>
                <w:sz w:val="20"/>
                <w:szCs w:val="20"/>
              </w:rPr>
            </w:pPr>
            <w:r w:rsidRPr="00592B33">
              <w:rPr>
                <w:rFonts w:eastAsiaTheme="minorHAnsi"/>
                <w:b w:val="0"/>
                <w:bCs w:val="0"/>
                <w:sz w:val="20"/>
                <w:szCs w:val="20"/>
              </w:rPr>
              <w:t xml:space="preserve">the deferred application of CDR Rules for certain cohorts; and </w:t>
            </w:r>
          </w:p>
          <w:p w14:paraId="63E7BA33" w14:textId="77777777" w:rsidR="0050566B" w:rsidRPr="00592B33" w:rsidRDefault="0050566B" w:rsidP="0050566B">
            <w:pPr>
              <w:pStyle w:val="ListParagraph"/>
              <w:numPr>
                <w:ilvl w:val="0"/>
                <w:numId w:val="33"/>
              </w:numPr>
              <w:rPr>
                <w:rFonts w:eastAsiaTheme="minorHAnsi"/>
                <w:b w:val="0"/>
                <w:bCs w:val="0"/>
                <w:sz w:val="20"/>
                <w:szCs w:val="20"/>
              </w:rPr>
            </w:pPr>
            <w:r w:rsidRPr="00592B33">
              <w:rPr>
                <w:rFonts w:eastAsiaTheme="minorHAnsi"/>
                <w:b w:val="0"/>
                <w:bCs w:val="0"/>
                <w:sz w:val="20"/>
                <w:szCs w:val="20"/>
              </w:rPr>
              <w:t xml:space="preserve">the exemption for trial products/plans; </w:t>
            </w:r>
          </w:p>
          <w:p w14:paraId="7852430F" w14:textId="77777777" w:rsidR="006429CB" w:rsidRDefault="0050566B" w:rsidP="00592B33">
            <w:pPr>
              <w:rPr>
                <w:rFonts w:eastAsiaTheme="minorHAnsi"/>
                <w:b w:val="0"/>
                <w:bCs w:val="0"/>
                <w:sz w:val="20"/>
                <w:szCs w:val="20"/>
              </w:rPr>
            </w:pPr>
            <w:r w:rsidRPr="00592B33">
              <w:rPr>
                <w:rFonts w:eastAsiaTheme="minorHAnsi"/>
                <w:b w:val="0"/>
                <w:bCs w:val="0"/>
                <w:sz w:val="20"/>
                <w:szCs w:val="20"/>
              </w:rPr>
              <w:t>on an individual customer whose CDR experience is that their CDR data is not protected by the full suite of CDR rights and protections. One way this risk might be avoided is to ensure that a small energy retailer cannot offer only trial plans.</w:t>
            </w:r>
            <w:r w:rsidRPr="00592B33">
              <w:rPr>
                <w:rFonts w:eastAsiaTheme="minorHAnsi"/>
                <w:sz w:val="20"/>
                <w:szCs w:val="20"/>
              </w:rPr>
              <w:t xml:space="preserve">  </w:t>
            </w:r>
          </w:p>
          <w:p w14:paraId="48D88D36" w14:textId="5DE9D6E5" w:rsidR="00A91085" w:rsidRPr="00DD4D77" w:rsidRDefault="00A91085" w:rsidP="00592B33">
            <w:pPr>
              <w:rPr>
                <w:rFonts w:eastAsiaTheme="minorHAnsi"/>
                <w:b w:val="0"/>
                <w:bCs w:val="0"/>
                <w:sz w:val="20"/>
                <w:szCs w:val="20"/>
              </w:rPr>
            </w:pPr>
          </w:p>
        </w:tc>
        <w:tc>
          <w:tcPr>
            <w:tcW w:w="1196" w:type="dxa"/>
          </w:tcPr>
          <w:p w14:paraId="447BBE51" w14:textId="5054CE87" w:rsidR="0050566B" w:rsidRPr="00917C6D" w:rsidRDefault="008F46A1">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r w:rsidRPr="00917C6D">
              <w:rPr>
                <w:sz w:val="20"/>
                <w:szCs w:val="20"/>
              </w:rPr>
              <w:fldChar w:fldCharType="begin"/>
            </w:r>
            <w:r w:rsidRPr="00917C6D">
              <w:rPr>
                <w:sz w:val="20"/>
                <w:szCs w:val="20"/>
              </w:rPr>
              <w:instrText xml:space="preserve"> PAGEREF Recommendation_10 \h </w:instrText>
            </w:r>
            <w:r w:rsidRPr="00917C6D">
              <w:rPr>
                <w:sz w:val="20"/>
                <w:szCs w:val="20"/>
              </w:rPr>
            </w:r>
            <w:r w:rsidRPr="00917C6D">
              <w:rPr>
                <w:sz w:val="20"/>
                <w:szCs w:val="20"/>
              </w:rPr>
              <w:fldChar w:fldCharType="separate"/>
            </w:r>
            <w:r w:rsidR="00605022">
              <w:rPr>
                <w:noProof/>
                <w:sz w:val="20"/>
                <w:szCs w:val="20"/>
              </w:rPr>
              <w:t>38</w:t>
            </w:r>
            <w:r w:rsidRPr="00917C6D">
              <w:rPr>
                <w:sz w:val="20"/>
                <w:szCs w:val="20"/>
              </w:rPr>
              <w:fldChar w:fldCharType="end"/>
            </w:r>
          </w:p>
          <w:p w14:paraId="40BD4462" w14:textId="77777777" w:rsidR="00C1329D" w:rsidRPr="00917C6D" w:rsidRDefault="00C1329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54E9F93E" w14:textId="77777777" w:rsidR="00C1329D" w:rsidRPr="00917C6D" w:rsidRDefault="00C1329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21F4E320" w14:textId="77777777" w:rsidR="00C1329D" w:rsidRPr="00917C6D" w:rsidRDefault="00C1329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p w14:paraId="36AE3852" w14:textId="34FE6704" w:rsidR="00C1329D" w:rsidRPr="00917C6D" w:rsidRDefault="00C1329D" w:rsidP="00917C6D">
            <w:pPr>
              <w:pStyle w:val="MOTermsL4"/>
              <w:numPr>
                <w:ilvl w:val="0"/>
                <w:numId w:val="0"/>
              </w:num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BC33F75" w14:textId="77777777" w:rsidR="0085616D" w:rsidRDefault="00A742C7" w:rsidP="0085616D">
      <w:pPr>
        <w:pStyle w:val="MOTermsL1"/>
      </w:pPr>
      <w:bookmarkStart w:id="5" w:name="_Toc165324936"/>
      <w:r>
        <w:t>About this Privacy Impact Assessment</w:t>
      </w:r>
      <w:bookmarkEnd w:id="5"/>
      <w:r>
        <w:t xml:space="preserve"> </w:t>
      </w:r>
    </w:p>
    <w:p w14:paraId="2C662AE5" w14:textId="77777777" w:rsidR="00284D69" w:rsidRPr="00550CA1" w:rsidRDefault="00A742C7" w:rsidP="00125A54">
      <w:pPr>
        <w:pStyle w:val="MOTermsL2"/>
        <w:numPr>
          <w:ilvl w:val="0"/>
          <w:numId w:val="0"/>
        </w:numPr>
        <w:ind w:left="851"/>
        <w:rPr>
          <w:sz w:val="24"/>
          <w:szCs w:val="24"/>
        </w:rPr>
      </w:pPr>
      <w:bookmarkStart w:id="6" w:name="_Toc165324937"/>
      <w:r w:rsidRPr="00550CA1">
        <w:rPr>
          <w:sz w:val="24"/>
          <w:szCs w:val="24"/>
        </w:rPr>
        <w:t>Focus of this PIA</w:t>
      </w:r>
      <w:bookmarkEnd w:id="6"/>
      <w:r w:rsidRPr="00550CA1">
        <w:rPr>
          <w:sz w:val="24"/>
          <w:szCs w:val="24"/>
        </w:rPr>
        <w:t xml:space="preserve"> </w:t>
      </w:r>
    </w:p>
    <w:p w14:paraId="6688604A" w14:textId="61B97E9C" w:rsidR="00F94680" w:rsidRDefault="00F94680" w:rsidP="00F94680">
      <w:pPr>
        <w:pStyle w:val="MOTermsL4"/>
      </w:pPr>
      <w:r>
        <w:t xml:space="preserve">Mills Oakley was engaged by </w:t>
      </w:r>
      <w:r w:rsidR="00E67C27">
        <w:t xml:space="preserve">the </w:t>
      </w:r>
      <w:r>
        <w:t xml:space="preserve">Treasury to prepare a </w:t>
      </w:r>
      <w:r w:rsidR="00A3717E">
        <w:t xml:space="preserve">PIA </w:t>
      </w:r>
      <w:r>
        <w:t xml:space="preserve">on proposed </w:t>
      </w:r>
      <w:r w:rsidR="0002218C">
        <w:t>amendment</w:t>
      </w:r>
      <w:r w:rsidR="00A3717E">
        <w:t>s</w:t>
      </w:r>
      <w:r w:rsidR="0002218C">
        <w:t xml:space="preserve"> </w:t>
      </w:r>
      <w:r>
        <w:t xml:space="preserve">to </w:t>
      </w:r>
      <w:r w:rsidRPr="00937532">
        <w:t>consent procedures</w:t>
      </w:r>
      <w:r>
        <w:t xml:space="preserve"> and further operational enhancements to the </w:t>
      </w:r>
      <w:r>
        <w:rPr>
          <w:i/>
          <w:iCs/>
        </w:rPr>
        <w:t xml:space="preserve">Competition and Consumer (Consumer Data Right) Rules 2020 </w:t>
      </w:r>
      <w:r>
        <w:t>(</w:t>
      </w:r>
      <w:proofErr w:type="spellStart"/>
      <w:r>
        <w:t>Cth</w:t>
      </w:r>
      <w:proofErr w:type="spellEnd"/>
      <w:r>
        <w:t>) (</w:t>
      </w:r>
      <w:r w:rsidRPr="00264B5C">
        <w:rPr>
          <w:b/>
          <w:bCs/>
        </w:rPr>
        <w:t>CDR Rules</w:t>
      </w:r>
      <w:r>
        <w:t>). The Treasury is exploring options to:</w:t>
      </w:r>
    </w:p>
    <w:p w14:paraId="18E2F391" w14:textId="77777777" w:rsidR="00F94680" w:rsidRDefault="00F94680" w:rsidP="00F94680">
      <w:pPr>
        <w:pStyle w:val="MOTermsL5"/>
      </w:pPr>
      <w:r>
        <w:t>simpl</w:t>
      </w:r>
      <w:r w:rsidR="00E67C27">
        <w:t>if</w:t>
      </w:r>
      <w:r>
        <w:t>y the CDR Rules to support better consumer experiences while maintain</w:t>
      </w:r>
      <w:r w:rsidR="00E67C27">
        <w:t>ing</w:t>
      </w:r>
      <w:r>
        <w:t xml:space="preserve"> key consumer protections; and</w:t>
      </w:r>
    </w:p>
    <w:p w14:paraId="55A6BEBE" w14:textId="5730695F" w:rsidR="00F94680" w:rsidRDefault="00F94680" w:rsidP="00F94680">
      <w:pPr>
        <w:pStyle w:val="MOTermsL5"/>
      </w:pPr>
      <w:r>
        <w:t>support the development of CDR Rules</w:t>
      </w:r>
      <w:r w:rsidR="00111638">
        <w:t xml:space="preserve"> </w:t>
      </w:r>
      <w:r w:rsidR="00BF0B34">
        <w:t xml:space="preserve">to ensure they </w:t>
      </w:r>
      <w:r>
        <w:t xml:space="preserve">are ‘fit for purpose’ and </w:t>
      </w:r>
      <w:r w:rsidR="00BF0B34">
        <w:t xml:space="preserve">appropriately calibrated to </w:t>
      </w:r>
      <w:r>
        <w:t xml:space="preserve">the policy intent of the </w:t>
      </w:r>
      <w:r w:rsidR="00A3717E">
        <w:t xml:space="preserve">CDR. </w:t>
      </w:r>
    </w:p>
    <w:p w14:paraId="78F05A48" w14:textId="77777777" w:rsidR="00BF0B34" w:rsidRDefault="007F340B" w:rsidP="007F340B">
      <w:pPr>
        <w:pStyle w:val="MOTermsL4"/>
      </w:pPr>
      <w:r>
        <w:t xml:space="preserve">This PIA identifies and assesses the </w:t>
      </w:r>
      <w:r w:rsidR="00BF0B34">
        <w:t xml:space="preserve">potential </w:t>
      </w:r>
      <w:r>
        <w:t>privacy impacts (perceived or otherwise) of the Treasury’s proposals</w:t>
      </w:r>
      <w:r w:rsidR="00BF0B34">
        <w:t>.  The assessment is informed by:</w:t>
      </w:r>
    </w:p>
    <w:p w14:paraId="37C48580" w14:textId="77777777" w:rsidR="00BF0B34" w:rsidRDefault="00BF0B34" w:rsidP="00BF0B34">
      <w:pPr>
        <w:pStyle w:val="MOTermsL5"/>
      </w:pPr>
      <w:r>
        <w:t>contextual references to relevant CDR Rules;</w:t>
      </w:r>
    </w:p>
    <w:p w14:paraId="09425765" w14:textId="77777777" w:rsidR="00BF0B34" w:rsidRDefault="007F340B" w:rsidP="00BF0B34">
      <w:pPr>
        <w:pStyle w:val="MOTermsL5"/>
      </w:pPr>
      <w:r>
        <w:t>the Australian Privacy Principles (</w:t>
      </w:r>
      <w:r w:rsidRPr="00D443B8">
        <w:rPr>
          <w:b/>
          <w:bCs/>
        </w:rPr>
        <w:t>APPs</w:t>
      </w:r>
      <w:r>
        <w:t xml:space="preserve">) </w:t>
      </w:r>
      <w:r w:rsidR="00BF0B34">
        <w:t xml:space="preserve">set out </w:t>
      </w:r>
      <w:r>
        <w:t xml:space="preserve">in Schedule 1 to the </w:t>
      </w:r>
      <w:r w:rsidRPr="00D443B8">
        <w:rPr>
          <w:i/>
          <w:iCs/>
        </w:rPr>
        <w:t>Privacy Act 1988</w:t>
      </w:r>
      <w:r>
        <w:t xml:space="preserve"> (Cth) (</w:t>
      </w:r>
      <w:r w:rsidRPr="00D443B8">
        <w:rPr>
          <w:b/>
          <w:bCs/>
        </w:rPr>
        <w:t>Privacy Act</w:t>
      </w:r>
      <w:r>
        <w:t>)</w:t>
      </w:r>
      <w:r w:rsidR="00BF0B34">
        <w:t xml:space="preserve">, where relevant and applicable to CDR stakeholders; and </w:t>
      </w:r>
    </w:p>
    <w:p w14:paraId="511F73A4" w14:textId="77777777" w:rsidR="007F340B" w:rsidRPr="007F340B" w:rsidRDefault="007F340B" w:rsidP="00BF0B34">
      <w:pPr>
        <w:pStyle w:val="MOTermsL5"/>
      </w:pPr>
      <w:r>
        <w:t xml:space="preserve">the CDR privacy safeguards in Part 7 of the CDR Rules. </w:t>
      </w:r>
    </w:p>
    <w:p w14:paraId="3EA42C07" w14:textId="77777777" w:rsidR="00916AC9" w:rsidRPr="00550CA1" w:rsidRDefault="006E04D6" w:rsidP="00125A54">
      <w:pPr>
        <w:pStyle w:val="MOTermsL2"/>
        <w:numPr>
          <w:ilvl w:val="0"/>
          <w:numId w:val="0"/>
        </w:numPr>
        <w:ind w:left="851"/>
        <w:rPr>
          <w:sz w:val="24"/>
          <w:szCs w:val="24"/>
        </w:rPr>
      </w:pPr>
      <w:bookmarkStart w:id="7" w:name="_Toc165324938"/>
      <w:r w:rsidRPr="00550CA1">
        <w:rPr>
          <w:sz w:val="24"/>
          <w:szCs w:val="24"/>
        </w:rPr>
        <w:t>How did we get here?</w:t>
      </w:r>
      <w:bookmarkEnd w:id="7"/>
      <w:r w:rsidRPr="00550CA1">
        <w:rPr>
          <w:sz w:val="24"/>
          <w:szCs w:val="24"/>
        </w:rPr>
        <w:t xml:space="preserve"> </w:t>
      </w:r>
    </w:p>
    <w:p w14:paraId="3B39CD07" w14:textId="6592900A" w:rsidR="007F340B" w:rsidRDefault="007F340B" w:rsidP="007F340B">
      <w:pPr>
        <w:pStyle w:val="MOTermsL4"/>
      </w:pPr>
      <w:r w:rsidRPr="004B0EC8">
        <w:t xml:space="preserve">Mills Oakley was engaged by the Treasury </w:t>
      </w:r>
      <w:r w:rsidR="00BF0B34">
        <w:t xml:space="preserve">in </w:t>
      </w:r>
      <w:r w:rsidRPr="004B0EC8">
        <w:t xml:space="preserve">March 2023 to undertake a </w:t>
      </w:r>
      <w:r w:rsidR="00BF0B34">
        <w:t xml:space="preserve">PIA in relation to </w:t>
      </w:r>
      <w:r w:rsidR="00A3717E">
        <w:t xml:space="preserve">the </w:t>
      </w:r>
      <w:r w:rsidR="00BF0B34">
        <w:t xml:space="preserve">suite of proposals outlined in </w:t>
      </w:r>
      <w:r>
        <w:t>the</w:t>
      </w:r>
      <w:r w:rsidR="00343281">
        <w:t xml:space="preserve"> following documents</w:t>
      </w:r>
      <w:r>
        <w:t>:</w:t>
      </w:r>
    </w:p>
    <w:p w14:paraId="337B6022" w14:textId="766127F1" w:rsidR="007F340B" w:rsidRDefault="007F340B" w:rsidP="007F340B">
      <w:pPr>
        <w:pStyle w:val="MOTermsL5"/>
      </w:pPr>
      <w:r w:rsidRPr="00343281">
        <w:rPr>
          <w:i/>
          <w:iCs/>
        </w:rPr>
        <w:t>CDR Consent Review – CDR Rules and data standards</w:t>
      </w:r>
      <w:r>
        <w:t xml:space="preserve"> design paper (</w:t>
      </w:r>
      <w:r w:rsidRPr="00631D70">
        <w:rPr>
          <w:b/>
          <w:bCs/>
        </w:rPr>
        <w:t>CDR Consent Design Paper</w:t>
      </w:r>
      <w:r>
        <w:t>); and</w:t>
      </w:r>
    </w:p>
    <w:p w14:paraId="1F23C2FC" w14:textId="08464DC7" w:rsidR="007F340B" w:rsidRDefault="007F340B" w:rsidP="007F340B">
      <w:pPr>
        <w:pStyle w:val="MOTermsL5"/>
      </w:pPr>
      <w:r w:rsidRPr="00343281">
        <w:rPr>
          <w:i/>
          <w:iCs/>
        </w:rPr>
        <w:t>Operational Enhancements – Consumer Data Right Rules</w:t>
      </w:r>
      <w:r>
        <w:t xml:space="preserve"> design paper (</w:t>
      </w:r>
      <w:r w:rsidRPr="00631D70">
        <w:rPr>
          <w:b/>
          <w:bCs/>
        </w:rPr>
        <w:t>Operational Enhancements Design Paper</w:t>
      </w:r>
      <w:r>
        <w:t>)</w:t>
      </w:r>
      <w:r w:rsidR="00343281">
        <w:t>;</w:t>
      </w:r>
    </w:p>
    <w:p w14:paraId="39FBEDBA" w14:textId="77777777" w:rsidR="007F340B" w:rsidRPr="004B0EC8" w:rsidRDefault="007F340B" w:rsidP="00343281">
      <w:pPr>
        <w:pStyle w:val="MOTermsL5"/>
        <w:numPr>
          <w:ilvl w:val="0"/>
          <w:numId w:val="0"/>
        </w:numPr>
        <w:ind w:left="851"/>
      </w:pPr>
      <w:r>
        <w:t xml:space="preserve">together, referred to as the </w:t>
      </w:r>
      <w:r w:rsidR="00343281">
        <w:t>(</w:t>
      </w:r>
      <w:r>
        <w:t>‘</w:t>
      </w:r>
      <w:r w:rsidRPr="00D443B8">
        <w:rPr>
          <w:b/>
          <w:bCs/>
        </w:rPr>
        <w:t>Design Papers</w:t>
      </w:r>
      <w:r>
        <w:t xml:space="preserve">’). </w:t>
      </w:r>
    </w:p>
    <w:p w14:paraId="10DBCA8C" w14:textId="2F23C2BC" w:rsidR="007F340B" w:rsidRDefault="007F340B" w:rsidP="007F340B">
      <w:pPr>
        <w:pStyle w:val="MOTermsL4"/>
      </w:pPr>
      <w:r>
        <w:t>On 21 April 2023, Mills Oakley provided two [2] PIA Issue Papers that identified and</w:t>
      </w:r>
      <w:r w:rsidR="00343281">
        <w:t xml:space="preserve"> discussed </w:t>
      </w:r>
      <w:r w:rsidR="00343281" w:rsidRPr="008F01F6">
        <w:rPr>
          <w:i/>
          <w:iCs/>
        </w:rPr>
        <w:t>potential</w:t>
      </w:r>
      <w:r w:rsidR="00343281">
        <w:t xml:space="preserve"> </w:t>
      </w:r>
      <w:r>
        <w:t xml:space="preserve">privacy impacts </w:t>
      </w:r>
      <w:r w:rsidR="00343281">
        <w:t>and risks in relation to the proposals outlined in the Design Papers.  The intention of the Issues Paper</w:t>
      </w:r>
      <w:r w:rsidR="006F28A6">
        <w:t>s</w:t>
      </w:r>
      <w:r w:rsidR="00343281">
        <w:t xml:space="preserve"> was to share Mills Oakley’s </w:t>
      </w:r>
      <w:r w:rsidR="00343281" w:rsidRPr="008F01F6">
        <w:rPr>
          <w:i/>
          <w:iCs/>
        </w:rPr>
        <w:t>preliminary</w:t>
      </w:r>
      <w:r w:rsidR="00343281">
        <w:t xml:space="preserve"> views about the privacy issues, risks and factors raised by each of the proposals canvassed in the Design Papers. </w:t>
      </w:r>
      <w:r w:rsidR="008742F0">
        <w:t>The PIA Issue Papers were considered by Treasury in developing the Design Papers but were not published alongside these documents.</w:t>
      </w:r>
    </w:p>
    <w:p w14:paraId="5AF60565" w14:textId="7C4C5964" w:rsidR="007F340B" w:rsidRDefault="007F340B" w:rsidP="007F340B">
      <w:pPr>
        <w:pStyle w:val="MOTermsL4"/>
      </w:pPr>
      <w:r>
        <w:t>On 25 August 2023, the Treasury published the CDR Consent Design Paper and the Operational Enhancements Design Paper</w:t>
      </w:r>
      <w:r w:rsidR="00343281">
        <w:t xml:space="preserve"> and</w:t>
      </w:r>
      <w:r w:rsidR="00740D47">
        <w:t xml:space="preserve"> undertook a public consultation exercise in relation to the proposals outlined in the Design Papers. </w:t>
      </w:r>
      <w:r>
        <w:t xml:space="preserve">The Treasury invited stakeholders to provide input </w:t>
      </w:r>
      <w:r w:rsidR="008F01F6">
        <w:t xml:space="preserve">about </w:t>
      </w:r>
      <w:r>
        <w:t xml:space="preserve">the change proposals with a view to </w:t>
      </w:r>
      <w:r w:rsidR="00740D47">
        <w:t xml:space="preserve">informing </w:t>
      </w:r>
      <w:r>
        <w:t xml:space="preserve">the development of amendments to the CDR Rules </w:t>
      </w:r>
      <w:r w:rsidR="008F01F6">
        <w:t xml:space="preserve">concerning </w:t>
      </w:r>
      <w:r>
        <w:t>consent and operational enhancement measures.</w:t>
      </w:r>
    </w:p>
    <w:p w14:paraId="2B39D7CC" w14:textId="180E3D27" w:rsidR="00740D47" w:rsidRDefault="007F340B" w:rsidP="007F340B">
      <w:pPr>
        <w:pStyle w:val="MOTermsL4"/>
      </w:pPr>
      <w:r>
        <w:t xml:space="preserve">The consultation period closed on 6 October 2023, with </w:t>
      </w:r>
      <w:r w:rsidR="00125A54">
        <w:t>49 s</w:t>
      </w:r>
      <w:r>
        <w:t xml:space="preserve">takeholders making </w:t>
      </w:r>
      <w:r w:rsidR="00740D47">
        <w:t xml:space="preserve">written </w:t>
      </w:r>
      <w:r>
        <w:t xml:space="preserve">submissions to the Treasury on </w:t>
      </w:r>
      <w:r w:rsidR="00740D47">
        <w:t xml:space="preserve">various issues canvassed in </w:t>
      </w:r>
      <w:r>
        <w:t xml:space="preserve">the Design Papers. </w:t>
      </w:r>
      <w:r w:rsidR="00740D47">
        <w:t xml:space="preserve"> The Treasury has, with the benefit of reviewing those submissions, revisited its proposals and, in some cases, further refined, clarified and changed its proposals to address feedback from stakeholders</w:t>
      </w:r>
      <w:r w:rsidR="008F01F6">
        <w:t xml:space="preserve">.  In doing so it has </w:t>
      </w:r>
      <w:r w:rsidR="00740D47">
        <w:t>balance</w:t>
      </w:r>
      <w:r w:rsidR="008F01F6">
        <w:t>d</w:t>
      </w:r>
      <w:r w:rsidR="00740D47">
        <w:t xml:space="preserve"> varied</w:t>
      </w:r>
      <w:r w:rsidR="008F01F6">
        <w:t>,</w:t>
      </w:r>
      <w:r w:rsidR="00740D47">
        <w:t xml:space="preserve"> and at times competing</w:t>
      </w:r>
      <w:r w:rsidR="008F01F6">
        <w:t>,</w:t>
      </w:r>
      <w:r w:rsidR="00740D47">
        <w:t xml:space="preserve"> considerations and firm</w:t>
      </w:r>
      <w:r w:rsidR="008F01F6">
        <w:t>ed</w:t>
      </w:r>
      <w:r w:rsidR="00740D47">
        <w:t xml:space="preserve"> up its proposals for reform. </w:t>
      </w:r>
    </w:p>
    <w:p w14:paraId="771AFFAC" w14:textId="774748D6" w:rsidR="007F340B" w:rsidRDefault="008F01F6" w:rsidP="007F340B">
      <w:pPr>
        <w:pStyle w:val="MOTermsL4"/>
      </w:pPr>
      <w:bookmarkStart w:id="8" w:name="_Ref165380049"/>
      <w:r>
        <w:t xml:space="preserve">In addition to </w:t>
      </w:r>
      <w:r w:rsidR="7717E92E">
        <w:t>th</w:t>
      </w:r>
      <w:r w:rsidR="008742F0">
        <w:t>e</w:t>
      </w:r>
      <w:r w:rsidR="7717E92E">
        <w:t xml:space="preserve"> </w:t>
      </w:r>
      <w:r w:rsidR="00A73266">
        <w:t>information</w:t>
      </w:r>
      <w:r w:rsidR="008742F0">
        <w:t xml:space="preserve"> referred to above</w:t>
      </w:r>
      <w:r w:rsidR="34F2DEE2">
        <w:t>,</w:t>
      </w:r>
      <w:r w:rsidR="00A73266">
        <w:t xml:space="preserve"> </w:t>
      </w:r>
      <w:r w:rsidR="007F340B">
        <w:t xml:space="preserve">Treasury </w:t>
      </w:r>
      <w:r w:rsidR="000B5F3B">
        <w:t xml:space="preserve">has provided </w:t>
      </w:r>
      <w:r w:rsidR="007F340B">
        <w:t>Mills Oakley</w:t>
      </w:r>
      <w:r w:rsidR="000B5F3B">
        <w:t xml:space="preserve"> with the following documents to inform this PIA</w:t>
      </w:r>
      <w:r w:rsidR="007F340B">
        <w:t>:</w:t>
      </w:r>
      <w:bookmarkEnd w:id="8"/>
    </w:p>
    <w:p w14:paraId="3AF40E44" w14:textId="77777777" w:rsidR="0063689C" w:rsidRDefault="000B5F3B" w:rsidP="007F340B">
      <w:pPr>
        <w:pStyle w:val="MOTermsL5"/>
      </w:pPr>
      <w:r>
        <w:t xml:space="preserve">a summary of each of the proposed changes to the CDR Rules, flagging the iterative development and evolution of some proposals; </w:t>
      </w:r>
    </w:p>
    <w:p w14:paraId="6D4A145B" w14:textId="19888550" w:rsidR="007F340B" w:rsidRDefault="000B5F3B" w:rsidP="007F340B">
      <w:pPr>
        <w:pStyle w:val="MOTermsL5"/>
      </w:pPr>
      <w:r>
        <w:t xml:space="preserve">preliminary and confidential versions of </w:t>
      </w:r>
      <w:r w:rsidR="001904A3">
        <w:t>drafting instructions for proposed changes to the CDR Rules</w:t>
      </w:r>
      <w:r w:rsidR="002653CB">
        <w:t>; and</w:t>
      </w:r>
    </w:p>
    <w:p w14:paraId="3D1E26AD" w14:textId="256F079C" w:rsidR="00A73266" w:rsidRDefault="00A73266" w:rsidP="00D07DD3">
      <w:pPr>
        <w:pStyle w:val="MOTermsL5"/>
      </w:pPr>
      <w:r>
        <w:t xml:space="preserve">a synopsis of stakeholder submissions which draws out the privacy-related comments and feedback about the proposals outlined in the Design </w:t>
      </w:r>
      <w:r w:rsidR="005644DA">
        <w:t>Papers.  With</w:t>
      </w:r>
      <w:r w:rsidR="002653CB">
        <w:t xml:space="preserve"> the agreement of the Treasury, Mills Oakley’s assessment has primarily leveraged the synopsis of stakeholder submissions and where relevant or necessary to obtain a deeper understanding of stakeholder views, we have</w:t>
      </w:r>
      <w:r w:rsidR="005644DA">
        <w:t xml:space="preserve"> then referred to the relevant submission, which has also been provided to us. </w:t>
      </w:r>
      <w:r w:rsidR="002653CB">
        <w:t xml:space="preserve"> </w:t>
      </w:r>
    </w:p>
    <w:p w14:paraId="0DE13560" w14:textId="7B3A4EF5" w:rsidR="00A73266" w:rsidRDefault="00B60CBB">
      <w:pPr>
        <w:pStyle w:val="MOTermsL4"/>
      </w:pPr>
      <w:r>
        <w:t xml:space="preserve">The scope of the PIA has been refined </w:t>
      </w:r>
      <w:r w:rsidR="002914C4">
        <w:t>to reflect the proposals that the Treasury intend</w:t>
      </w:r>
      <w:r w:rsidR="00A73266">
        <w:t>s</w:t>
      </w:r>
      <w:r w:rsidR="002914C4">
        <w:t xml:space="preserve"> to progress to public consultation. </w:t>
      </w:r>
      <w:r>
        <w:t>Not all of the proposals set out in the Design Papers are being progressed</w:t>
      </w:r>
      <w:r w:rsidR="00106D09">
        <w:t xml:space="preserve"> at this time</w:t>
      </w:r>
      <w:r w:rsidR="00A73266">
        <w:t xml:space="preserve"> and there are </w:t>
      </w:r>
      <w:r w:rsidR="00106D09">
        <w:t xml:space="preserve">some additional proposals. </w:t>
      </w:r>
    </w:p>
    <w:p w14:paraId="4DFBC9F7" w14:textId="34E817E8" w:rsidR="00916AC9" w:rsidRDefault="001904A3">
      <w:pPr>
        <w:pStyle w:val="MOTermsL4"/>
      </w:pPr>
      <w:bookmarkStart w:id="9" w:name="_Ref165380052"/>
      <w:r>
        <w:t>M</w:t>
      </w:r>
      <w:r w:rsidR="007F340B">
        <w:t xml:space="preserve">ills Oakley </w:t>
      </w:r>
      <w:r w:rsidR="00106D09">
        <w:t xml:space="preserve">is instructed that </w:t>
      </w:r>
      <w:r>
        <w:t xml:space="preserve">this PIA report will be published along with </w:t>
      </w:r>
      <w:r w:rsidR="007F340B">
        <w:t xml:space="preserve">a </w:t>
      </w:r>
      <w:r w:rsidR="007F340B" w:rsidRPr="00D443B8">
        <w:t xml:space="preserve">consultation draft of the </w:t>
      </w:r>
      <w:r w:rsidR="007F340B">
        <w:t xml:space="preserve">proposed </w:t>
      </w:r>
      <w:r w:rsidR="007F340B" w:rsidRPr="00D443B8">
        <w:t>amendments to the CDR Rules</w:t>
      </w:r>
      <w:r>
        <w:t xml:space="preserve"> as part of </w:t>
      </w:r>
      <w:r w:rsidR="00106D09">
        <w:t xml:space="preserve">the </w:t>
      </w:r>
      <w:r>
        <w:t>pub</w:t>
      </w:r>
      <w:r w:rsidR="00106D09">
        <w:t>l</w:t>
      </w:r>
      <w:r>
        <w:t>ic consultation process</w:t>
      </w:r>
      <w:r w:rsidR="007F340B" w:rsidRPr="00D443B8">
        <w:t>.</w:t>
      </w:r>
      <w:bookmarkEnd w:id="9"/>
      <w:r w:rsidR="00850C85">
        <w:t xml:space="preserve"> </w:t>
      </w:r>
      <w:r w:rsidR="008742F0">
        <w:t xml:space="preserve">The consultation process also includes the requirement for Treasury to consult with the </w:t>
      </w:r>
      <w:r w:rsidR="006F28A6">
        <w:t>I</w:t>
      </w:r>
      <w:r w:rsidR="008742F0">
        <w:t xml:space="preserve">nformation Commissioner about the likely effect of new or amended rules on </w:t>
      </w:r>
      <w:r w:rsidR="006F28A6">
        <w:t>the</w:t>
      </w:r>
      <w:r w:rsidR="008742F0">
        <w:t xml:space="preserve"> privacy and confidentiality of consumers’ information</w:t>
      </w:r>
      <w:r w:rsidR="00D12D90">
        <w:rPr>
          <w:rStyle w:val="FootnoteReference"/>
        </w:rPr>
        <w:footnoteReference w:id="3"/>
      </w:r>
      <w:r w:rsidR="00E055DB">
        <w:t>.</w:t>
      </w:r>
    </w:p>
    <w:p w14:paraId="4F7FD994" w14:textId="77777777" w:rsidR="00284D69" w:rsidRPr="00550CA1" w:rsidRDefault="00716BED" w:rsidP="001F2AD8">
      <w:pPr>
        <w:pStyle w:val="MOTermsL2"/>
        <w:numPr>
          <w:ilvl w:val="0"/>
          <w:numId w:val="0"/>
        </w:numPr>
        <w:ind w:left="851"/>
        <w:rPr>
          <w:sz w:val="24"/>
          <w:szCs w:val="24"/>
        </w:rPr>
      </w:pPr>
      <w:bookmarkStart w:id="10" w:name="_Toc165324939"/>
      <w:r w:rsidRPr="00550CA1">
        <w:rPr>
          <w:sz w:val="24"/>
          <w:szCs w:val="24"/>
        </w:rPr>
        <w:t xml:space="preserve">Our </w:t>
      </w:r>
      <w:r w:rsidR="00A742C7" w:rsidRPr="00550CA1">
        <w:rPr>
          <w:sz w:val="24"/>
          <w:szCs w:val="24"/>
        </w:rPr>
        <w:t>Methodology</w:t>
      </w:r>
      <w:bookmarkEnd w:id="10"/>
      <w:r w:rsidR="00A742C7" w:rsidRPr="00550CA1">
        <w:rPr>
          <w:sz w:val="24"/>
          <w:szCs w:val="24"/>
        </w:rPr>
        <w:t xml:space="preserve"> </w:t>
      </w:r>
    </w:p>
    <w:p w14:paraId="76CADC3A" w14:textId="514BF3EF" w:rsidR="007F340B" w:rsidRDefault="001904A3" w:rsidP="007F340B">
      <w:pPr>
        <w:pStyle w:val="MOTermsL4"/>
      </w:pPr>
      <w:r>
        <w:t xml:space="preserve">The PIA has been undertaken having regard to </w:t>
      </w:r>
      <w:r w:rsidR="007F340B">
        <w:t>the Office of the Australian Information Commissioner’s (</w:t>
      </w:r>
      <w:r w:rsidR="007F340B" w:rsidRPr="00D443B8">
        <w:rPr>
          <w:b/>
          <w:bCs/>
        </w:rPr>
        <w:t>OAIC</w:t>
      </w:r>
      <w:r w:rsidR="007F340B">
        <w:t xml:space="preserve">) </w:t>
      </w:r>
      <w:r w:rsidR="007F340B" w:rsidRPr="00D443B8">
        <w:rPr>
          <w:i/>
          <w:iCs/>
        </w:rPr>
        <w:t>10 steps to undertaking a privacy impact assessment</w:t>
      </w:r>
      <w:r w:rsidR="007F340B">
        <w:rPr>
          <w:rStyle w:val="FootnoteReference"/>
        </w:rPr>
        <w:footnoteReference w:id="4"/>
      </w:r>
      <w:r w:rsidR="007F340B">
        <w:rPr>
          <w:i/>
          <w:iCs/>
        </w:rPr>
        <w:t xml:space="preserve"> </w:t>
      </w:r>
      <w:r>
        <w:t xml:space="preserve">and industry PIA practices, modified and adapted to </w:t>
      </w:r>
      <w:r w:rsidR="00B551DE">
        <w:t xml:space="preserve">an </w:t>
      </w:r>
      <w:r>
        <w:t xml:space="preserve">iterative </w:t>
      </w:r>
      <w:r w:rsidR="00B551DE">
        <w:t>policy development and legislative reform project</w:t>
      </w:r>
      <w:r>
        <w:t xml:space="preserve">. </w:t>
      </w:r>
    </w:p>
    <w:p w14:paraId="5F6F98A0" w14:textId="77777777" w:rsidR="007F340B" w:rsidRDefault="001904A3" w:rsidP="007F340B">
      <w:pPr>
        <w:pStyle w:val="MOTermsL4"/>
      </w:pPr>
      <w:r>
        <w:t xml:space="preserve">The PIA process has included: </w:t>
      </w:r>
    </w:p>
    <w:p w14:paraId="573F2032" w14:textId="77777777" w:rsidR="001904A3" w:rsidRDefault="00B551DE" w:rsidP="007F340B">
      <w:pPr>
        <w:pStyle w:val="MOTermsL5"/>
      </w:pPr>
      <w:r>
        <w:t>e</w:t>
      </w:r>
      <w:r w:rsidR="001904A3">
        <w:t>xtensi</w:t>
      </w:r>
      <w:r>
        <w:t xml:space="preserve">ve </w:t>
      </w:r>
      <w:r w:rsidR="001904A3">
        <w:t>consultation with the Treasury’s policy advisers</w:t>
      </w:r>
      <w:r>
        <w:t xml:space="preserve"> and analysts</w:t>
      </w:r>
      <w:r w:rsidR="001904A3">
        <w:t>;</w:t>
      </w:r>
    </w:p>
    <w:p w14:paraId="2BC2F17C" w14:textId="6E54C184" w:rsidR="007F340B" w:rsidRDefault="001904A3" w:rsidP="007F340B">
      <w:pPr>
        <w:pStyle w:val="MOTermsL5"/>
      </w:pPr>
      <w:r>
        <w:t>p</w:t>
      </w:r>
      <w:r w:rsidR="007F340B">
        <w:t>repar</w:t>
      </w:r>
      <w:r>
        <w:t xml:space="preserve">ation of </w:t>
      </w:r>
      <w:r w:rsidR="00E055DB">
        <w:t>two</w:t>
      </w:r>
      <w:r>
        <w:t xml:space="preserve"> </w:t>
      </w:r>
      <w:r w:rsidR="007F340B">
        <w:t xml:space="preserve">PIA Issue Papers </w:t>
      </w:r>
      <w:r>
        <w:t xml:space="preserve">which </w:t>
      </w:r>
      <w:r w:rsidR="000C2C90">
        <w:t>sets out Mills Oakley’s</w:t>
      </w:r>
      <w:r w:rsidR="007F340B">
        <w:t xml:space="preserve"> </w:t>
      </w:r>
      <w:r w:rsidR="007F340B" w:rsidRPr="00DF209B">
        <w:t xml:space="preserve">preliminary observations, analysis and recommendations based on </w:t>
      </w:r>
      <w:r w:rsidR="007F340B">
        <w:t xml:space="preserve">our </w:t>
      </w:r>
      <w:r w:rsidR="007F340B" w:rsidRPr="00DF209B">
        <w:t xml:space="preserve">review of </w:t>
      </w:r>
      <w:r w:rsidR="007F340B">
        <w:t xml:space="preserve">the draft Design </w:t>
      </w:r>
      <w:proofErr w:type="gramStart"/>
      <w:r w:rsidR="007F340B">
        <w:t>Papers</w:t>
      </w:r>
      <w:r w:rsidR="000C2C90">
        <w:t>;</w:t>
      </w:r>
      <w:proofErr w:type="gramEnd"/>
    </w:p>
    <w:p w14:paraId="36D3062C" w14:textId="063CB7D3" w:rsidR="000C2C90" w:rsidRDefault="002914C4" w:rsidP="007F340B">
      <w:pPr>
        <w:pStyle w:val="MOTermsL5"/>
      </w:pPr>
      <w:r>
        <w:t xml:space="preserve">consideration of </w:t>
      </w:r>
      <w:r w:rsidR="00A73266">
        <w:t xml:space="preserve">a </w:t>
      </w:r>
      <w:r>
        <w:t>synopsis of stakeholder submissions about the propos</w:t>
      </w:r>
      <w:r w:rsidR="00A73266">
        <w:t xml:space="preserve">al </w:t>
      </w:r>
      <w:r>
        <w:t>outlined in the Design Papers</w:t>
      </w:r>
      <w:r w:rsidR="00A73266">
        <w:t xml:space="preserve"> and, where necessary for a deeper understanding of stakeholder views, reference to the submission; </w:t>
      </w:r>
    </w:p>
    <w:p w14:paraId="58A09A21" w14:textId="6264CE53" w:rsidR="005801E3" w:rsidRDefault="000C2C90" w:rsidP="007F340B">
      <w:pPr>
        <w:pStyle w:val="MOTermsL5"/>
      </w:pPr>
      <w:r>
        <w:t xml:space="preserve">an assessment of </w:t>
      </w:r>
      <w:r w:rsidR="005801E3">
        <w:t>each individual policy proposal, including whether the proposal has changed over the course of our engagement;</w:t>
      </w:r>
    </w:p>
    <w:p w14:paraId="2445BD28" w14:textId="77777777" w:rsidR="00127D2E" w:rsidRDefault="005801E3" w:rsidP="007F340B">
      <w:pPr>
        <w:pStyle w:val="MOTermsL5"/>
      </w:pPr>
      <w:r>
        <w:t xml:space="preserve">contextual and </w:t>
      </w:r>
      <w:proofErr w:type="gramStart"/>
      <w:r>
        <w:t>high level</w:t>
      </w:r>
      <w:proofErr w:type="gramEnd"/>
      <w:r>
        <w:t xml:space="preserve"> assessment of each proposal by reference to</w:t>
      </w:r>
      <w:r w:rsidR="00127D2E">
        <w:t>:</w:t>
      </w:r>
    </w:p>
    <w:p w14:paraId="227660DB" w14:textId="4490E05C" w:rsidR="00127D2E" w:rsidRDefault="00B551DE" w:rsidP="00127D2E">
      <w:pPr>
        <w:pStyle w:val="MOTermsL6"/>
      </w:pPr>
      <w:r>
        <w:t xml:space="preserve">relevant </w:t>
      </w:r>
      <w:r w:rsidR="00127D2E">
        <w:t>parts of the CDR legislative framework including the CDR Rules, CDR Privacy Safeguard</w:t>
      </w:r>
      <w:r w:rsidR="00CF7810">
        <w:t>s</w:t>
      </w:r>
      <w:r w:rsidR="00127D2E">
        <w:t xml:space="preserve"> and OAIC’s </w:t>
      </w:r>
      <w:r w:rsidR="00127D2E" w:rsidRPr="00127D2E">
        <w:rPr>
          <w:i/>
          <w:iCs/>
        </w:rPr>
        <w:t>CDR Privacy Safeguard Guidelines</w:t>
      </w:r>
      <w:r w:rsidR="00127D2E">
        <w:rPr>
          <w:rStyle w:val="FootnoteReference"/>
          <w:i/>
          <w:iCs/>
        </w:rPr>
        <w:footnoteReference w:id="5"/>
      </w:r>
      <w:r w:rsidR="00127D2E">
        <w:t>;</w:t>
      </w:r>
    </w:p>
    <w:p w14:paraId="326E6350" w14:textId="77777777" w:rsidR="00127D2E" w:rsidRDefault="00127D2E" w:rsidP="00127D2E">
      <w:pPr>
        <w:pStyle w:val="MOTermsL6"/>
      </w:pPr>
      <w:r>
        <w:t xml:space="preserve">the </w:t>
      </w:r>
      <w:r w:rsidR="005801E3">
        <w:t>APPs</w:t>
      </w:r>
      <w:r>
        <w:t xml:space="preserve"> (where relevant);</w:t>
      </w:r>
      <w:r w:rsidR="007F340B" w:rsidRPr="00FD30EF">
        <w:t xml:space="preserve"> and </w:t>
      </w:r>
    </w:p>
    <w:p w14:paraId="4FE4BEEA" w14:textId="2FEF9C1E" w:rsidR="007F340B" w:rsidRDefault="005801E3" w:rsidP="00127D2E">
      <w:pPr>
        <w:pStyle w:val="MOTermsL6"/>
      </w:pPr>
      <w:r>
        <w:t xml:space="preserve">the Department of the Attorney General’s </w:t>
      </w:r>
      <w:r w:rsidRPr="005801E3">
        <w:rPr>
          <w:i/>
          <w:iCs/>
        </w:rPr>
        <w:t>Review of the Privacy Act Report</w:t>
      </w:r>
      <w:r>
        <w:t>, 2022</w:t>
      </w:r>
      <w:r w:rsidR="00B551DE">
        <w:rPr>
          <w:rStyle w:val="FootnoteReference"/>
        </w:rPr>
        <w:footnoteReference w:id="6"/>
      </w:r>
      <w:r>
        <w:t xml:space="preserve"> (</w:t>
      </w:r>
      <w:r w:rsidRPr="005801E3">
        <w:rPr>
          <w:b/>
          <w:bCs/>
        </w:rPr>
        <w:t>Privacy Act Review Report</w:t>
      </w:r>
      <w:r>
        <w:t>)</w:t>
      </w:r>
      <w:r w:rsidR="00E055DB">
        <w:t xml:space="preserve"> and the Government response </w:t>
      </w:r>
      <w:r w:rsidR="00DF2259">
        <w:t>to the Privacy Act Review Report.</w:t>
      </w:r>
      <w:r w:rsidR="00D12D90">
        <w:rPr>
          <w:rStyle w:val="FootnoteReference"/>
        </w:rPr>
        <w:footnoteReference w:id="7"/>
      </w:r>
    </w:p>
    <w:p w14:paraId="157D0275" w14:textId="54076826" w:rsidR="00B551DE" w:rsidRDefault="007F340B" w:rsidP="007F340B">
      <w:pPr>
        <w:pStyle w:val="MOTermsL5"/>
      </w:pPr>
      <w:r>
        <w:t>prepar</w:t>
      </w:r>
      <w:r w:rsidR="00B551DE">
        <w:t xml:space="preserve">ation of a draft </w:t>
      </w:r>
      <w:r w:rsidR="00CF7810">
        <w:t xml:space="preserve">and final </w:t>
      </w:r>
      <w:r w:rsidR="00B551DE">
        <w:t>PIA</w:t>
      </w:r>
      <w:r w:rsidR="00127D2E">
        <w:t xml:space="preserve"> report </w:t>
      </w:r>
      <w:r w:rsidR="00295D70">
        <w:t>(</w:t>
      </w:r>
      <w:r w:rsidR="00127D2E">
        <w:t>including recommendations</w:t>
      </w:r>
      <w:r w:rsidR="00295D70">
        <w:t>)</w:t>
      </w:r>
      <w:r w:rsidR="00CF7810">
        <w:t xml:space="preserve">. </w:t>
      </w:r>
    </w:p>
    <w:p w14:paraId="36A19FEB" w14:textId="77777777" w:rsidR="00567989" w:rsidRDefault="00567989" w:rsidP="00AA5C77">
      <w:pPr>
        <w:pStyle w:val="MOTermsL4"/>
        <w:sectPr w:rsidR="00567989" w:rsidSect="00567989">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3C8D4763" w14:textId="368A254A" w:rsidR="009C54B4" w:rsidRDefault="00B443AD" w:rsidP="004518B6">
      <w:pPr>
        <w:pStyle w:val="MOTermsL1"/>
      </w:pPr>
      <w:bookmarkStart w:id="11" w:name="_Ref163764662"/>
      <w:bookmarkStart w:id="12" w:name="_Toc165324941"/>
      <w:r>
        <w:t xml:space="preserve">Privacy Impacts, Risks and Recommendations: Consent related </w:t>
      </w:r>
      <w:bookmarkEnd w:id="11"/>
      <w:r w:rsidR="0002218C">
        <w:t>amendments</w:t>
      </w:r>
      <w:bookmarkEnd w:id="12"/>
    </w:p>
    <w:p w14:paraId="12F87A5B" w14:textId="77777777" w:rsidR="002C09AE" w:rsidRPr="001F2AD8" w:rsidRDefault="002C09AE" w:rsidP="001F2AD8">
      <w:pPr>
        <w:pStyle w:val="MOTermsL2"/>
        <w:numPr>
          <w:ilvl w:val="0"/>
          <w:numId w:val="0"/>
        </w:numPr>
        <w:ind w:left="851"/>
        <w:rPr>
          <w:sz w:val="24"/>
          <w:szCs w:val="24"/>
        </w:rPr>
      </w:pPr>
      <w:bookmarkStart w:id="13" w:name="_Toc165324942"/>
      <w:r w:rsidRPr="001F2AD8">
        <w:rPr>
          <w:sz w:val="24"/>
          <w:szCs w:val="24"/>
        </w:rPr>
        <w:t>Bundling of Consents</w:t>
      </w:r>
      <w:bookmarkEnd w:id="13"/>
      <w:r w:rsidRPr="001F2AD8">
        <w:rPr>
          <w:sz w:val="24"/>
          <w:szCs w:val="24"/>
        </w:rPr>
        <w:t xml:space="preserve"> </w:t>
      </w:r>
    </w:p>
    <w:p w14:paraId="617AC348" w14:textId="12BB3EC4" w:rsidR="00475613" w:rsidRDefault="00475613">
      <w:pPr>
        <w:pStyle w:val="MOTermsL4"/>
      </w:pPr>
      <w:r w:rsidRPr="00550CA1">
        <w:t>The bundling of consents is currently prohibited by the CDR Rules.</w:t>
      </w:r>
      <w:r w:rsidRPr="00550CA1">
        <w:rPr>
          <w:rStyle w:val="FootnoteReference"/>
          <w:b/>
        </w:rPr>
        <w:footnoteReference w:id="8"/>
      </w:r>
      <w:r>
        <w:t xml:space="preserve"> </w:t>
      </w:r>
      <w:r w:rsidR="0034534C" w:rsidRPr="00550CA1">
        <w:t>T</w:t>
      </w:r>
      <w:r>
        <w:t>he T</w:t>
      </w:r>
      <w:r w:rsidR="0034534C" w:rsidRPr="00550CA1">
        <w:t>reasury</w:t>
      </w:r>
      <w:r w:rsidR="00AE029A">
        <w:t xml:space="preserve"> is proposing a change to </w:t>
      </w:r>
      <w:r w:rsidR="0034534C" w:rsidRPr="00550CA1">
        <w:t>the CDR Rules to permit Accredited Data Recipients (</w:t>
      </w:r>
      <w:r w:rsidR="0034534C" w:rsidRPr="00475613">
        <w:rPr>
          <w:b/>
          <w:bCs/>
        </w:rPr>
        <w:t>ADRs</w:t>
      </w:r>
      <w:r w:rsidR="0034534C" w:rsidRPr="00550CA1">
        <w:t xml:space="preserve">) and CDR representatives to ask a consumer to give consent, </w:t>
      </w:r>
      <w:r w:rsidR="0034534C" w:rsidRPr="00475613">
        <w:rPr>
          <w:i/>
          <w:iCs/>
        </w:rPr>
        <w:t>in a single action</w:t>
      </w:r>
      <w:r w:rsidR="0034534C" w:rsidRPr="00550CA1">
        <w:t>, to</w:t>
      </w:r>
      <w:r>
        <w:t>:</w:t>
      </w:r>
    </w:p>
    <w:p w14:paraId="3DA29346" w14:textId="77777777" w:rsidR="00475613" w:rsidRDefault="0034534C" w:rsidP="00475613">
      <w:pPr>
        <w:pStyle w:val="MOTermsL5"/>
      </w:pPr>
      <w:bookmarkStart w:id="14" w:name="_Ref165380056"/>
      <w:r w:rsidRPr="00550CA1">
        <w:t>multiple CDR consents that address a combination of collection, use and disclosure of CDR consumer data</w:t>
      </w:r>
      <w:r w:rsidR="00475613">
        <w:t>;</w:t>
      </w:r>
      <w:r w:rsidRPr="00550CA1">
        <w:t xml:space="preserve"> and</w:t>
      </w:r>
      <w:bookmarkEnd w:id="14"/>
      <w:r w:rsidRPr="00550CA1">
        <w:t xml:space="preserve"> </w:t>
      </w:r>
    </w:p>
    <w:p w14:paraId="20F8B069" w14:textId="77777777" w:rsidR="00475613" w:rsidRDefault="0034534C" w:rsidP="00475613">
      <w:pPr>
        <w:pStyle w:val="MOTermsL5"/>
      </w:pPr>
      <w:r w:rsidRPr="00550CA1">
        <w:t xml:space="preserve">the duration or longevity of the consent. </w:t>
      </w:r>
    </w:p>
    <w:p w14:paraId="7F9466A9" w14:textId="77777777" w:rsidR="0034534C" w:rsidRPr="00550CA1" w:rsidRDefault="0034534C" w:rsidP="00475613">
      <w:pPr>
        <w:pStyle w:val="MOTermsL4"/>
      </w:pPr>
      <w:bookmarkStart w:id="15" w:name="_Ref165380068"/>
      <w:r w:rsidRPr="00550CA1">
        <w:t xml:space="preserve">However, this </w:t>
      </w:r>
      <w:r w:rsidR="00475613">
        <w:t xml:space="preserve">measure </w:t>
      </w:r>
      <w:r w:rsidRPr="00550CA1">
        <w:t>is subject to the limitation that CDR and non-CDR consents must not be combined into a single consent flow.</w:t>
      </w:r>
      <w:bookmarkEnd w:id="15"/>
      <w:r w:rsidRPr="00550CA1">
        <w:t xml:space="preserve"> </w:t>
      </w:r>
    </w:p>
    <w:p w14:paraId="7B335C46" w14:textId="33EA9643" w:rsidR="0034534C" w:rsidRPr="00550CA1" w:rsidRDefault="0034534C" w:rsidP="0034534C">
      <w:pPr>
        <w:pStyle w:val="MOTermsL4"/>
      </w:pPr>
      <w:bookmarkStart w:id="16" w:name="_Ref165380070"/>
      <w:r w:rsidRPr="00550CA1">
        <w:t>Initially, Treasury proposed that bundled consents be permitted where ‘reasonably</w:t>
      </w:r>
      <w:r w:rsidR="00DB68E5">
        <w:t xml:space="preserve"> needed</w:t>
      </w:r>
      <w:r w:rsidRPr="00550CA1">
        <w:t xml:space="preserve"> for the provision of the requested service’.</w:t>
      </w:r>
      <w:r w:rsidRPr="00550CA1">
        <w:rPr>
          <w:rStyle w:val="FootnoteReference"/>
          <w:b/>
        </w:rPr>
        <w:footnoteReference w:id="9"/>
      </w:r>
      <w:r w:rsidRPr="00550CA1">
        <w:t xml:space="preserve"> With the benefit of feedback following public consultation on the </w:t>
      </w:r>
      <w:r w:rsidR="00475613">
        <w:t xml:space="preserve">Consent </w:t>
      </w:r>
      <w:r w:rsidRPr="00550CA1">
        <w:t>Design Paper, Treasury proposes that bundled consents be allowed where ‘reasonably needed’ to provide a CDR-related product or service.</w:t>
      </w:r>
      <w:bookmarkEnd w:id="16"/>
      <w:r w:rsidRPr="00550CA1">
        <w:t xml:space="preserve"> </w:t>
      </w:r>
    </w:p>
    <w:p w14:paraId="7C67E56F" w14:textId="77777777" w:rsidR="0034534C" w:rsidRDefault="0034534C" w:rsidP="0034534C">
      <w:pPr>
        <w:pStyle w:val="MOTermsL4"/>
        <w:numPr>
          <w:ilvl w:val="0"/>
          <w:numId w:val="0"/>
        </w:numPr>
      </w:pPr>
    </w:p>
    <w:tbl>
      <w:tblPr>
        <w:tblStyle w:val="GridTable4-Accent1"/>
        <w:tblW w:w="14425" w:type="dxa"/>
        <w:tblLook w:val="04A0" w:firstRow="1" w:lastRow="0" w:firstColumn="1" w:lastColumn="0" w:noHBand="0" w:noVBand="1"/>
      </w:tblPr>
      <w:tblGrid>
        <w:gridCol w:w="3794"/>
        <w:gridCol w:w="3827"/>
        <w:gridCol w:w="1985"/>
        <w:gridCol w:w="4819"/>
      </w:tblGrid>
      <w:tr w:rsidR="00A53E38" w14:paraId="7ACCBCCA" w14:textId="77777777" w:rsidTr="2E09F4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38D9C4D7" w14:textId="34639336" w:rsidR="00A53E38" w:rsidRDefault="00AE029A" w:rsidP="00A53E38">
            <w:pPr>
              <w:rPr>
                <w:sz w:val="20"/>
                <w:szCs w:val="20"/>
              </w:rPr>
            </w:pPr>
            <w:r w:rsidRPr="0079789C">
              <w:rPr>
                <w:sz w:val="20"/>
                <w:szCs w:val="20"/>
              </w:rPr>
              <w:t>Synopsis of stakeholders</w:t>
            </w:r>
            <w:r w:rsidR="005C79C8" w:rsidRPr="0079789C">
              <w:rPr>
                <w:sz w:val="20"/>
                <w:szCs w:val="20"/>
              </w:rPr>
              <w:t>’</w:t>
            </w:r>
            <w:r w:rsidRPr="0079789C">
              <w:rPr>
                <w:sz w:val="20"/>
                <w:szCs w:val="20"/>
              </w:rPr>
              <w:t xml:space="preserve"> privacy comments </w:t>
            </w:r>
            <w:r w:rsidR="00483AF3" w:rsidRPr="0079789C">
              <w:rPr>
                <w:sz w:val="20"/>
                <w:szCs w:val="20"/>
              </w:rPr>
              <w:t xml:space="preserve">and </w:t>
            </w:r>
            <w:r w:rsidRPr="0079789C">
              <w:rPr>
                <w:sz w:val="20"/>
                <w:szCs w:val="20"/>
              </w:rPr>
              <w:t>submissions</w:t>
            </w:r>
            <w:r>
              <w:rPr>
                <w:sz w:val="20"/>
                <w:szCs w:val="20"/>
              </w:rPr>
              <w:t xml:space="preserve"> </w:t>
            </w:r>
          </w:p>
        </w:tc>
        <w:tc>
          <w:tcPr>
            <w:tcW w:w="3827" w:type="dxa"/>
          </w:tcPr>
          <w:p w14:paraId="15614D24" w14:textId="5D11CF30" w:rsidR="00A53E38" w:rsidRDefault="00A53E38" w:rsidP="00A53E38">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50D91A2B" w14:textId="38CA161B" w:rsidR="00A53E38" w:rsidRDefault="00A53E38" w:rsidP="00A53E38">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Relevant CDR legislative framework</w:t>
            </w:r>
          </w:p>
        </w:tc>
        <w:tc>
          <w:tcPr>
            <w:tcW w:w="4819" w:type="dxa"/>
          </w:tcPr>
          <w:p w14:paraId="33CDD763" w14:textId="77777777" w:rsidR="00A53E38" w:rsidRDefault="00A53E38" w:rsidP="00A53E38">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426733" w14:paraId="4249781D" w14:textId="77777777" w:rsidTr="2E09F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16262389" w14:textId="346D8F84" w:rsidR="00BE1542" w:rsidRDefault="00086A80" w:rsidP="00086A80">
            <w:pPr>
              <w:rPr>
                <w:sz w:val="20"/>
                <w:szCs w:val="20"/>
              </w:rPr>
            </w:pPr>
            <w:r>
              <w:rPr>
                <w:b w:val="0"/>
                <w:bCs w:val="0"/>
                <w:sz w:val="20"/>
                <w:szCs w:val="20"/>
              </w:rPr>
              <w:t xml:space="preserve">Broadly, there </w:t>
            </w:r>
            <w:r w:rsidR="00AE029A" w:rsidRPr="00A414C5">
              <w:rPr>
                <w:b w:val="0"/>
                <w:bCs w:val="0"/>
                <w:sz w:val="20"/>
                <w:szCs w:val="20"/>
              </w:rPr>
              <w:t xml:space="preserve">was </w:t>
            </w:r>
            <w:r w:rsidR="005552CA">
              <w:rPr>
                <w:b w:val="0"/>
                <w:bCs w:val="0"/>
                <w:sz w:val="20"/>
                <w:szCs w:val="20"/>
              </w:rPr>
              <w:t xml:space="preserve">qualified </w:t>
            </w:r>
            <w:r w:rsidR="00AE029A" w:rsidRPr="00A414C5">
              <w:rPr>
                <w:b w:val="0"/>
                <w:bCs w:val="0"/>
                <w:sz w:val="20"/>
                <w:szCs w:val="20"/>
              </w:rPr>
              <w:t>support for bundling CDR consents</w:t>
            </w:r>
            <w:r w:rsidR="005552CA">
              <w:rPr>
                <w:b w:val="0"/>
                <w:bCs w:val="0"/>
                <w:sz w:val="20"/>
                <w:szCs w:val="20"/>
              </w:rPr>
              <w:t xml:space="preserve">.  </w:t>
            </w:r>
            <w:proofErr w:type="gramStart"/>
            <w:r>
              <w:rPr>
                <w:b w:val="0"/>
                <w:bCs w:val="0"/>
                <w:sz w:val="20"/>
                <w:szCs w:val="20"/>
              </w:rPr>
              <w:t>However</w:t>
            </w:r>
            <w:proofErr w:type="gramEnd"/>
            <w:r>
              <w:rPr>
                <w:b w:val="0"/>
                <w:bCs w:val="0"/>
                <w:sz w:val="20"/>
                <w:szCs w:val="20"/>
              </w:rPr>
              <w:t xml:space="preserve"> s</w:t>
            </w:r>
            <w:r w:rsidR="005552CA">
              <w:rPr>
                <w:b w:val="0"/>
                <w:bCs w:val="0"/>
                <w:sz w:val="20"/>
                <w:szCs w:val="20"/>
              </w:rPr>
              <w:t xml:space="preserve">takeholders have indicated further detail or guidance </w:t>
            </w:r>
            <w:r>
              <w:rPr>
                <w:b w:val="0"/>
                <w:bCs w:val="0"/>
                <w:sz w:val="20"/>
                <w:szCs w:val="20"/>
              </w:rPr>
              <w:t xml:space="preserve">is necessary about </w:t>
            </w:r>
            <w:r w:rsidR="005552CA">
              <w:rPr>
                <w:b w:val="0"/>
                <w:bCs w:val="0"/>
                <w:sz w:val="20"/>
                <w:szCs w:val="20"/>
              </w:rPr>
              <w:t>the meaning of ‘</w:t>
            </w:r>
            <w:r w:rsidR="00AE029A" w:rsidRPr="00A414C5">
              <w:rPr>
                <w:b w:val="0"/>
                <w:bCs w:val="0"/>
                <w:sz w:val="20"/>
                <w:szCs w:val="20"/>
              </w:rPr>
              <w:t>reasonably required</w:t>
            </w:r>
            <w:r w:rsidR="005552CA">
              <w:rPr>
                <w:b w:val="0"/>
                <w:bCs w:val="0"/>
                <w:sz w:val="20"/>
                <w:szCs w:val="20"/>
              </w:rPr>
              <w:t>’</w:t>
            </w:r>
            <w:r w:rsidR="00DB68E5">
              <w:rPr>
                <w:b w:val="0"/>
                <w:bCs w:val="0"/>
                <w:sz w:val="20"/>
                <w:szCs w:val="20"/>
              </w:rPr>
              <w:t>.</w:t>
            </w:r>
            <w:r w:rsidR="005552CA">
              <w:rPr>
                <w:b w:val="0"/>
                <w:bCs w:val="0"/>
                <w:sz w:val="20"/>
                <w:szCs w:val="20"/>
              </w:rPr>
              <w:t xml:space="preserve"> </w:t>
            </w:r>
          </w:p>
          <w:p w14:paraId="2BB1C91D" w14:textId="77777777" w:rsidR="00BE1542" w:rsidRDefault="00BE1542" w:rsidP="00086A80">
            <w:pPr>
              <w:rPr>
                <w:sz w:val="20"/>
                <w:szCs w:val="20"/>
              </w:rPr>
            </w:pPr>
          </w:p>
          <w:p w14:paraId="21AC6B94" w14:textId="78EBCB0B" w:rsidR="00086A80" w:rsidRDefault="00BE1542" w:rsidP="00086A80">
            <w:pPr>
              <w:rPr>
                <w:sz w:val="20"/>
                <w:szCs w:val="20"/>
              </w:rPr>
            </w:pPr>
            <w:r>
              <w:rPr>
                <w:b w:val="0"/>
                <w:bCs w:val="0"/>
                <w:sz w:val="20"/>
                <w:szCs w:val="20"/>
              </w:rPr>
              <w:t xml:space="preserve">Stakeholder comments and feedback included: </w:t>
            </w:r>
          </w:p>
          <w:p w14:paraId="6EA7DAC3" w14:textId="77777777" w:rsidR="00086A80" w:rsidRDefault="00086A80" w:rsidP="00086A80">
            <w:pPr>
              <w:rPr>
                <w:sz w:val="20"/>
                <w:szCs w:val="20"/>
              </w:rPr>
            </w:pPr>
          </w:p>
          <w:p w14:paraId="38806E6A" w14:textId="77777777" w:rsidR="00086A80" w:rsidRDefault="00086A80" w:rsidP="00086A80">
            <w:pPr>
              <w:pStyle w:val="ListParagraph"/>
              <w:numPr>
                <w:ilvl w:val="0"/>
                <w:numId w:val="34"/>
              </w:numPr>
              <w:rPr>
                <w:sz w:val="20"/>
                <w:szCs w:val="20"/>
              </w:rPr>
            </w:pPr>
            <w:r w:rsidRPr="00582F2D">
              <w:rPr>
                <w:b w:val="0"/>
                <w:bCs w:val="0"/>
                <w:sz w:val="20"/>
                <w:szCs w:val="20"/>
              </w:rPr>
              <w:t>combining CDR consents with non-CDR permissions in a single consent flow may confuse or mislead CDR consumers, particularly in relation to the applicability of CDR protections. Additionally, it reduces or obfuscates transparency</w:t>
            </w:r>
            <w:r>
              <w:rPr>
                <w:b w:val="0"/>
                <w:bCs w:val="0"/>
                <w:sz w:val="20"/>
                <w:szCs w:val="20"/>
              </w:rPr>
              <w:t xml:space="preserve">; </w:t>
            </w:r>
          </w:p>
          <w:p w14:paraId="3218B0D9" w14:textId="77777777" w:rsidR="00086A80" w:rsidRDefault="00086A80" w:rsidP="00A414C5">
            <w:pPr>
              <w:pStyle w:val="ListParagraph"/>
              <w:ind w:left="360"/>
              <w:rPr>
                <w:sz w:val="20"/>
                <w:szCs w:val="20"/>
              </w:rPr>
            </w:pPr>
          </w:p>
          <w:p w14:paraId="78455496" w14:textId="77777777" w:rsidR="00086A80" w:rsidRPr="00A414C5" w:rsidRDefault="00086A80" w:rsidP="00A414C5">
            <w:pPr>
              <w:pStyle w:val="ListParagraph"/>
              <w:numPr>
                <w:ilvl w:val="0"/>
                <w:numId w:val="34"/>
              </w:numPr>
              <w:rPr>
                <w:b w:val="0"/>
                <w:bCs w:val="0"/>
                <w:sz w:val="20"/>
                <w:szCs w:val="20"/>
              </w:rPr>
            </w:pPr>
            <w:r w:rsidRPr="00A414C5">
              <w:rPr>
                <w:b w:val="0"/>
                <w:bCs w:val="0"/>
                <w:sz w:val="20"/>
                <w:szCs w:val="20"/>
              </w:rPr>
              <w:t>combining CDR and non-CDR consents within a single consent flow increases the risk of dark patterns being part of the consent experience.</w:t>
            </w:r>
          </w:p>
          <w:p w14:paraId="4151C4D9" w14:textId="77777777" w:rsidR="00426733" w:rsidRPr="00A414C5" w:rsidRDefault="00426733" w:rsidP="00426733">
            <w:pPr>
              <w:rPr>
                <w:sz w:val="20"/>
                <w:szCs w:val="20"/>
              </w:rPr>
            </w:pPr>
          </w:p>
          <w:p w14:paraId="78F99D28" w14:textId="77777777" w:rsidR="00426733" w:rsidRPr="00A414C5" w:rsidRDefault="00426733" w:rsidP="00D345E8">
            <w:pPr>
              <w:pStyle w:val="ListParagraph"/>
              <w:numPr>
                <w:ilvl w:val="0"/>
                <w:numId w:val="34"/>
              </w:numPr>
              <w:rPr>
                <w:sz w:val="20"/>
                <w:szCs w:val="20"/>
              </w:rPr>
            </w:pPr>
            <w:r w:rsidRPr="00A414C5">
              <w:rPr>
                <w:b w:val="0"/>
                <w:bCs w:val="0"/>
                <w:sz w:val="20"/>
                <w:szCs w:val="20"/>
              </w:rPr>
              <w:t>bundling consent carries risks and, in some circumstances, has the potential to undermine the voluntary nature of consent</w:t>
            </w:r>
            <w:r w:rsidR="00550CA1" w:rsidRPr="00A414C5">
              <w:rPr>
                <w:b w:val="0"/>
                <w:bCs w:val="0"/>
                <w:sz w:val="20"/>
                <w:szCs w:val="20"/>
              </w:rPr>
              <w:t>.</w:t>
            </w:r>
          </w:p>
          <w:p w14:paraId="1B0F100E" w14:textId="77777777" w:rsidR="00426733" w:rsidRPr="00A414C5" w:rsidRDefault="00426733" w:rsidP="00426733">
            <w:pPr>
              <w:pStyle w:val="ListParagraph"/>
              <w:ind w:left="360"/>
              <w:rPr>
                <w:sz w:val="20"/>
                <w:szCs w:val="20"/>
              </w:rPr>
            </w:pPr>
          </w:p>
          <w:p w14:paraId="6357BF46" w14:textId="6CC8B66E" w:rsidR="00086A80" w:rsidRPr="001B45A4" w:rsidRDefault="00426733" w:rsidP="001B45A4">
            <w:pPr>
              <w:pStyle w:val="ListParagraph"/>
              <w:numPr>
                <w:ilvl w:val="0"/>
                <w:numId w:val="34"/>
              </w:numPr>
              <w:rPr>
                <w:sz w:val="20"/>
                <w:szCs w:val="20"/>
              </w:rPr>
            </w:pPr>
            <w:r w:rsidRPr="00A414C5">
              <w:rPr>
                <w:b w:val="0"/>
                <w:bCs w:val="0"/>
                <w:sz w:val="20"/>
                <w:szCs w:val="20"/>
              </w:rPr>
              <w:t>disclosure consents should not be bundled, especially since disclosures may be made to trusted advisers and other unaccredited entities that are not subject to CDR privacy and security obligations and may also not be subject to the</w:t>
            </w:r>
            <w:r w:rsidR="00637274" w:rsidRPr="00A414C5">
              <w:rPr>
                <w:b w:val="0"/>
                <w:bCs w:val="0"/>
                <w:sz w:val="20"/>
                <w:szCs w:val="20"/>
              </w:rPr>
              <w:t xml:space="preserve"> </w:t>
            </w:r>
            <w:r w:rsidRPr="00A414C5">
              <w:rPr>
                <w:b w:val="0"/>
                <w:bCs w:val="0"/>
                <w:sz w:val="20"/>
                <w:szCs w:val="20"/>
              </w:rPr>
              <w:t xml:space="preserve">Privacy Act 1988 (Cth). Bundling of disclosure consents therefore poses an increased risk to CDR consumers. </w:t>
            </w:r>
          </w:p>
          <w:p w14:paraId="34D09ECE" w14:textId="6AEE85B0" w:rsidR="00426733" w:rsidRPr="006F5795" w:rsidRDefault="00426733" w:rsidP="00D345E8">
            <w:pPr>
              <w:pStyle w:val="ListParagraph"/>
              <w:numPr>
                <w:ilvl w:val="0"/>
                <w:numId w:val="34"/>
              </w:numPr>
              <w:rPr>
                <w:sz w:val="20"/>
                <w:szCs w:val="20"/>
              </w:rPr>
            </w:pPr>
            <w:r w:rsidRPr="006F5795">
              <w:rPr>
                <w:b w:val="0"/>
                <w:bCs w:val="0"/>
                <w:sz w:val="20"/>
                <w:szCs w:val="20"/>
              </w:rPr>
              <w:t xml:space="preserve">the bundling of ‘reasonably required’ consents </w:t>
            </w:r>
            <w:r w:rsidR="00BE1542">
              <w:rPr>
                <w:b w:val="0"/>
                <w:bCs w:val="0"/>
                <w:sz w:val="20"/>
                <w:szCs w:val="20"/>
              </w:rPr>
              <w:t xml:space="preserve">may </w:t>
            </w:r>
            <w:r w:rsidRPr="006F5795">
              <w:rPr>
                <w:b w:val="0"/>
                <w:bCs w:val="0"/>
                <w:sz w:val="20"/>
                <w:szCs w:val="20"/>
              </w:rPr>
              <w:t>erode a consumer</w:t>
            </w:r>
            <w:r w:rsidR="00086A80">
              <w:rPr>
                <w:b w:val="0"/>
                <w:bCs w:val="0"/>
                <w:sz w:val="20"/>
                <w:szCs w:val="20"/>
              </w:rPr>
              <w:t>’</w:t>
            </w:r>
            <w:r w:rsidRPr="006F5795">
              <w:rPr>
                <w:b w:val="0"/>
                <w:bCs w:val="0"/>
                <w:sz w:val="20"/>
                <w:szCs w:val="20"/>
              </w:rPr>
              <w:t>s fundamental right to choose how their information is shared and limits a consumer</w:t>
            </w:r>
            <w:r w:rsidR="00086A80">
              <w:rPr>
                <w:b w:val="0"/>
                <w:bCs w:val="0"/>
                <w:sz w:val="20"/>
                <w:szCs w:val="20"/>
              </w:rPr>
              <w:t>’</w:t>
            </w:r>
            <w:r w:rsidRPr="006F5795">
              <w:rPr>
                <w:b w:val="0"/>
                <w:bCs w:val="0"/>
                <w:sz w:val="20"/>
                <w:szCs w:val="20"/>
              </w:rPr>
              <w:t>s ability to control the way in which they engage with ADRs. This may result in consumers inadvertently sharing data or otherwise being pressured to share more data than is preferred or strictly necessary</w:t>
            </w:r>
            <w:r w:rsidR="00550CA1" w:rsidRPr="006F5795">
              <w:rPr>
                <w:b w:val="0"/>
                <w:bCs w:val="0"/>
                <w:sz w:val="20"/>
                <w:szCs w:val="20"/>
              </w:rPr>
              <w:t>.</w:t>
            </w:r>
          </w:p>
          <w:p w14:paraId="548E72BF" w14:textId="77777777" w:rsidR="00426733" w:rsidRPr="006F5795" w:rsidRDefault="00426733" w:rsidP="00426733">
            <w:pPr>
              <w:pStyle w:val="ListParagraph"/>
              <w:rPr>
                <w:sz w:val="20"/>
                <w:szCs w:val="20"/>
              </w:rPr>
            </w:pPr>
          </w:p>
          <w:p w14:paraId="5686D9EE" w14:textId="08B2C772" w:rsidR="00086A80" w:rsidRDefault="00426733" w:rsidP="00723AF5">
            <w:pPr>
              <w:pStyle w:val="ListParagraph"/>
              <w:numPr>
                <w:ilvl w:val="0"/>
                <w:numId w:val="34"/>
              </w:numPr>
              <w:rPr>
                <w:sz w:val="20"/>
                <w:szCs w:val="20"/>
              </w:rPr>
            </w:pPr>
            <w:r w:rsidRPr="00CA7144">
              <w:rPr>
                <w:b w:val="0"/>
                <w:bCs w:val="0"/>
                <w:sz w:val="20"/>
                <w:szCs w:val="20"/>
              </w:rPr>
              <w:t xml:space="preserve">consent bundling is a significant deviation from the existing consent framework. Additionally, the Rich Authorisation Requests within FAPI 2.0 will facilitate </w:t>
            </w:r>
            <w:proofErr w:type="gramStart"/>
            <w:r w:rsidRPr="00CA7144">
              <w:rPr>
                <w:b w:val="0"/>
                <w:bCs w:val="0"/>
                <w:sz w:val="20"/>
                <w:szCs w:val="20"/>
              </w:rPr>
              <w:t>purpose built</w:t>
            </w:r>
            <w:proofErr w:type="gramEnd"/>
            <w:r w:rsidRPr="00CA7144">
              <w:rPr>
                <w:b w:val="0"/>
                <w:bCs w:val="0"/>
                <w:sz w:val="20"/>
                <w:szCs w:val="20"/>
              </w:rPr>
              <w:t xml:space="preserve"> consents and ultimately negate the need for consent bundling. </w:t>
            </w:r>
          </w:p>
          <w:p w14:paraId="2AC905B3" w14:textId="77777777" w:rsidR="00CA7144" w:rsidRPr="00CA7144" w:rsidRDefault="00CA7144" w:rsidP="00CA7144">
            <w:pPr>
              <w:rPr>
                <w:sz w:val="20"/>
                <w:szCs w:val="20"/>
              </w:rPr>
            </w:pPr>
          </w:p>
          <w:p w14:paraId="1684F834" w14:textId="77777777" w:rsidR="00426733" w:rsidRPr="006F5795" w:rsidRDefault="00426733" w:rsidP="00D345E8">
            <w:pPr>
              <w:pStyle w:val="ListParagraph"/>
              <w:numPr>
                <w:ilvl w:val="0"/>
                <w:numId w:val="34"/>
              </w:numPr>
              <w:rPr>
                <w:sz w:val="20"/>
                <w:szCs w:val="20"/>
              </w:rPr>
            </w:pPr>
            <w:r w:rsidRPr="006F5795">
              <w:rPr>
                <w:b w:val="0"/>
                <w:bCs w:val="0"/>
                <w:sz w:val="20"/>
                <w:szCs w:val="20"/>
              </w:rPr>
              <w:t>organisations ingesting CDR and non-CDR data to provide services may find it burdensome to maintain compliance with multiple privacy standards across various regimes</w:t>
            </w:r>
            <w:r w:rsidR="00637274" w:rsidRPr="006F5795">
              <w:rPr>
                <w:b w:val="0"/>
                <w:bCs w:val="0"/>
                <w:sz w:val="20"/>
                <w:szCs w:val="20"/>
              </w:rPr>
              <w:t xml:space="preserve">. </w:t>
            </w:r>
            <w:r w:rsidRPr="006F5795">
              <w:rPr>
                <w:b w:val="0"/>
                <w:bCs w:val="0"/>
                <w:sz w:val="20"/>
                <w:szCs w:val="20"/>
              </w:rPr>
              <w:t xml:space="preserve">This may present competition barriers. </w:t>
            </w:r>
          </w:p>
          <w:p w14:paraId="61B0586D" w14:textId="77777777" w:rsidR="00426733" w:rsidRPr="006F5795" w:rsidRDefault="00426733" w:rsidP="00426733">
            <w:pPr>
              <w:rPr>
                <w:sz w:val="20"/>
                <w:szCs w:val="20"/>
              </w:rPr>
            </w:pPr>
            <w:r w:rsidRPr="006F5795">
              <w:rPr>
                <w:b w:val="0"/>
                <w:bCs w:val="0"/>
                <w:sz w:val="20"/>
                <w:szCs w:val="20"/>
              </w:rPr>
              <w:t>Stakeholders suggested the following mitigation strategies:</w:t>
            </w:r>
          </w:p>
          <w:p w14:paraId="453D324D" w14:textId="77777777" w:rsidR="00426733" w:rsidRPr="006F5795" w:rsidRDefault="00426733" w:rsidP="00426733">
            <w:pPr>
              <w:rPr>
                <w:sz w:val="20"/>
                <w:szCs w:val="20"/>
              </w:rPr>
            </w:pPr>
          </w:p>
          <w:p w14:paraId="6B682DF5" w14:textId="145331D6" w:rsidR="00426733" w:rsidRPr="00CA7144" w:rsidRDefault="00426733" w:rsidP="00CA7144">
            <w:pPr>
              <w:pStyle w:val="ListParagraph"/>
              <w:numPr>
                <w:ilvl w:val="0"/>
                <w:numId w:val="34"/>
              </w:numPr>
              <w:rPr>
                <w:sz w:val="20"/>
                <w:szCs w:val="20"/>
              </w:rPr>
            </w:pPr>
            <w:r w:rsidRPr="006F5795">
              <w:rPr>
                <w:b w:val="0"/>
                <w:bCs w:val="0"/>
                <w:sz w:val="20"/>
                <w:szCs w:val="20"/>
              </w:rPr>
              <w:t xml:space="preserve">Treasury clearly explain the distinction between ‘reasonably required’ and ‘essential’ noting the need to navigate two [2] different standards </w:t>
            </w:r>
            <w:r w:rsidR="00A65939" w:rsidRPr="006F5795">
              <w:rPr>
                <w:b w:val="0"/>
                <w:bCs w:val="0"/>
                <w:sz w:val="20"/>
                <w:szCs w:val="20"/>
              </w:rPr>
              <w:t>increase</w:t>
            </w:r>
            <w:r w:rsidR="00DB68E5">
              <w:rPr>
                <w:b w:val="0"/>
                <w:bCs w:val="0"/>
                <w:sz w:val="20"/>
                <w:szCs w:val="20"/>
              </w:rPr>
              <w:t>s</w:t>
            </w:r>
            <w:r w:rsidRPr="006F5795">
              <w:rPr>
                <w:b w:val="0"/>
                <w:bCs w:val="0"/>
                <w:sz w:val="20"/>
                <w:szCs w:val="20"/>
              </w:rPr>
              <w:t xml:space="preserve"> risk. Similarly, the phrase 'reasonably required' should be replaced with 'strictly necessary' which is a narrower test and would permit less bundling. </w:t>
            </w:r>
          </w:p>
          <w:p w14:paraId="29398DB7" w14:textId="77777777" w:rsidR="00426733" w:rsidRPr="006F5795" w:rsidRDefault="00426733" w:rsidP="00426733">
            <w:pPr>
              <w:pStyle w:val="ListParagraph"/>
              <w:rPr>
                <w:sz w:val="20"/>
                <w:szCs w:val="20"/>
              </w:rPr>
            </w:pPr>
          </w:p>
          <w:p w14:paraId="1FFE7D00" w14:textId="77777777" w:rsidR="00426733" w:rsidRPr="00765508" w:rsidRDefault="00426733" w:rsidP="00D345E8">
            <w:pPr>
              <w:pStyle w:val="ListParagraph"/>
              <w:numPr>
                <w:ilvl w:val="0"/>
                <w:numId w:val="34"/>
              </w:numPr>
              <w:rPr>
                <w:sz w:val="20"/>
                <w:szCs w:val="20"/>
              </w:rPr>
            </w:pPr>
            <w:r w:rsidRPr="006F5795">
              <w:rPr>
                <w:b w:val="0"/>
                <w:bCs w:val="0"/>
                <w:sz w:val="20"/>
                <w:szCs w:val="20"/>
              </w:rPr>
              <w:t xml:space="preserve">consider Privacy Act reforms to avoid potential re-work for the industry. Stakeholders observed that proposal 11 of the Attorney General’s Privacy Act Review Report 2022 suggests amending the definition of ‘consent’ in a way that is likely to impact UX and design for many online services. </w:t>
            </w:r>
          </w:p>
          <w:p w14:paraId="010E2279" w14:textId="77777777" w:rsidR="00426733" w:rsidRPr="00765508" w:rsidRDefault="00426733" w:rsidP="00426733">
            <w:pPr>
              <w:pStyle w:val="ListParagraph"/>
              <w:rPr>
                <w:sz w:val="20"/>
                <w:szCs w:val="20"/>
              </w:rPr>
            </w:pPr>
          </w:p>
          <w:p w14:paraId="164D3BA6" w14:textId="77777777" w:rsidR="00426733" w:rsidRPr="00765508" w:rsidRDefault="00426733" w:rsidP="00D345E8">
            <w:pPr>
              <w:pStyle w:val="ListParagraph"/>
              <w:numPr>
                <w:ilvl w:val="0"/>
                <w:numId w:val="34"/>
              </w:numPr>
              <w:rPr>
                <w:sz w:val="20"/>
                <w:szCs w:val="20"/>
              </w:rPr>
            </w:pPr>
            <w:r w:rsidRPr="00765508">
              <w:rPr>
                <w:b w:val="0"/>
                <w:bCs w:val="0"/>
                <w:sz w:val="20"/>
                <w:szCs w:val="20"/>
              </w:rPr>
              <w:t>further consultation following implementation of FAPI 2.0 would be desirable.</w:t>
            </w:r>
          </w:p>
          <w:p w14:paraId="2BF611EB" w14:textId="77777777" w:rsidR="00426733" w:rsidRPr="00765508" w:rsidRDefault="00426733" w:rsidP="00426733">
            <w:pPr>
              <w:rPr>
                <w:sz w:val="20"/>
                <w:szCs w:val="20"/>
              </w:rPr>
            </w:pPr>
          </w:p>
        </w:tc>
        <w:tc>
          <w:tcPr>
            <w:tcW w:w="3827" w:type="dxa"/>
          </w:tcPr>
          <w:p w14:paraId="1A1A35B5" w14:textId="77777777" w:rsid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 xml:space="preserve">The Treasury intends to progress the proposal to amend the CDR Rules to permit, in certain circumstances, the bundling of consents. </w:t>
            </w:r>
          </w:p>
          <w:p w14:paraId="0B027504" w14:textId="77777777" w:rsidR="00EE7E4D" w:rsidRDefault="00EE7E4D"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49A2C355" w14:textId="78F7F8CB" w:rsidR="00EE7E4D" w:rsidRPr="0016112E" w:rsidRDefault="00EE7E4D" w:rsidP="00426733">
            <w:pPr>
              <w:cnfStyle w:val="000000100000" w:firstRow="0" w:lastRow="0" w:firstColumn="0" w:lastColumn="0" w:oddVBand="0" w:evenVBand="0" w:oddHBand="1" w:evenHBand="0" w:firstRowFirstColumn="0" w:firstRowLastColumn="0" w:lastRowFirstColumn="0" w:lastRowLastColumn="0"/>
              <w:rPr>
                <w:i/>
                <w:iCs/>
                <w:sz w:val="20"/>
                <w:szCs w:val="20"/>
              </w:rPr>
            </w:pPr>
            <w:r w:rsidRPr="0016112E">
              <w:rPr>
                <w:i/>
                <w:iCs/>
                <w:sz w:val="20"/>
                <w:szCs w:val="20"/>
              </w:rPr>
              <w:t>Note: There will be corresponding changes to the consent provisions for CDR representatives.</w:t>
            </w:r>
          </w:p>
          <w:p w14:paraId="7A8B2DF7"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486F50AF" w14:textId="5178680F"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 xml:space="preserve">Following stakeholder feedback, the Treasury has refined its proposal to </w:t>
            </w:r>
            <w:r w:rsidRPr="00426733">
              <w:rPr>
                <w:i/>
                <w:iCs/>
                <w:sz w:val="20"/>
                <w:szCs w:val="20"/>
              </w:rPr>
              <w:t>minimise</w:t>
            </w:r>
            <w:r w:rsidRPr="00426733">
              <w:rPr>
                <w:sz w:val="20"/>
                <w:szCs w:val="20"/>
              </w:rPr>
              <w:t xml:space="preserve"> the potential privacy impacts identified by stakeholders by combining CDR and </w:t>
            </w:r>
            <w:r w:rsidR="00BE1542">
              <w:rPr>
                <w:sz w:val="20"/>
                <w:szCs w:val="20"/>
              </w:rPr>
              <w:t>non-</w:t>
            </w:r>
            <w:r w:rsidRPr="00426733">
              <w:rPr>
                <w:sz w:val="20"/>
                <w:szCs w:val="20"/>
              </w:rPr>
              <w:t>CDR consents.</w:t>
            </w:r>
            <w:r w:rsidR="00BE1542">
              <w:rPr>
                <w:sz w:val="20"/>
                <w:szCs w:val="20"/>
              </w:rPr>
              <w:t xml:space="preserve"> The proposal to allow consent bundling will be limited</w:t>
            </w:r>
            <w:r w:rsidR="00DB68E5">
              <w:rPr>
                <w:sz w:val="20"/>
                <w:szCs w:val="20"/>
              </w:rPr>
              <w:t xml:space="preserve"> to</w:t>
            </w:r>
            <w:r w:rsidR="00BE1542">
              <w:rPr>
                <w:sz w:val="20"/>
                <w:szCs w:val="20"/>
              </w:rPr>
              <w:t xml:space="preserve"> CDR consents.  Bundling CDR and non-CDR consents will</w:t>
            </w:r>
            <w:r w:rsidR="00316CC6">
              <w:rPr>
                <w:sz w:val="20"/>
                <w:szCs w:val="20"/>
              </w:rPr>
              <w:t xml:space="preserve"> not</w:t>
            </w:r>
            <w:r w:rsidR="00BE1542">
              <w:rPr>
                <w:sz w:val="20"/>
                <w:szCs w:val="20"/>
              </w:rPr>
              <w:t xml:space="preserve"> be permitted.</w:t>
            </w:r>
            <w:r w:rsidR="00BE1542" w:rsidRPr="2B282699">
              <w:rPr>
                <w:sz w:val="20"/>
                <w:szCs w:val="20"/>
              </w:rPr>
              <w:t xml:space="preserve"> </w:t>
            </w:r>
            <w:r w:rsidRPr="2B282699">
              <w:rPr>
                <w:sz w:val="20"/>
                <w:szCs w:val="20"/>
              </w:rPr>
              <w:t xml:space="preserve"> </w:t>
            </w:r>
          </w:p>
          <w:p w14:paraId="717713AD"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003AC658" w14:textId="0F176CC6"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 xml:space="preserve">Treasury’s proposal contemplates </w:t>
            </w:r>
            <w:r w:rsidR="00BE1542">
              <w:rPr>
                <w:sz w:val="20"/>
                <w:szCs w:val="20"/>
              </w:rPr>
              <w:t xml:space="preserve">bundling a </w:t>
            </w:r>
            <w:r w:rsidRPr="00426733">
              <w:rPr>
                <w:sz w:val="20"/>
                <w:szCs w:val="20"/>
              </w:rPr>
              <w:t xml:space="preserve">combination </w:t>
            </w:r>
            <w:r w:rsidR="00BE1542">
              <w:rPr>
                <w:sz w:val="20"/>
                <w:szCs w:val="20"/>
              </w:rPr>
              <w:t xml:space="preserve">of </w:t>
            </w:r>
            <w:r w:rsidRPr="00426733">
              <w:rPr>
                <w:sz w:val="20"/>
                <w:szCs w:val="20"/>
              </w:rPr>
              <w:t>various consent types (i.e. collection, use and disclosure) ‘reasonably needed’ to provide a product or service. The threshold or precondition of ‘reasonably needed’ is aligned with the data minimisation principle</w:t>
            </w:r>
            <w:r w:rsidRPr="00426733">
              <w:rPr>
                <w:rStyle w:val="FootnoteReference"/>
                <w:sz w:val="20"/>
                <w:szCs w:val="20"/>
              </w:rPr>
              <w:footnoteReference w:id="10"/>
            </w:r>
            <w:r w:rsidRPr="00426733">
              <w:rPr>
                <w:sz w:val="20"/>
                <w:szCs w:val="20"/>
              </w:rPr>
              <w:t xml:space="preserve"> which also uses this language. </w:t>
            </w:r>
            <w:r w:rsidR="007909AF">
              <w:rPr>
                <w:sz w:val="20"/>
                <w:szCs w:val="20"/>
              </w:rPr>
              <w:t>However bundling CDR  and non-CDR consent will not be permitted.</w:t>
            </w:r>
          </w:p>
          <w:p w14:paraId="69D7C00F"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14EFF218"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The period for which the consent is valid can also be combined into the single data flow, subject to the limitation on maximum periods for which consent can be requested</w:t>
            </w:r>
            <w:r w:rsidRPr="00426733">
              <w:rPr>
                <w:rStyle w:val="FootnoteReference"/>
                <w:sz w:val="20"/>
                <w:szCs w:val="20"/>
              </w:rPr>
              <w:footnoteReference w:id="11"/>
            </w:r>
            <w:r w:rsidRPr="00426733">
              <w:rPr>
                <w:sz w:val="20"/>
                <w:szCs w:val="20"/>
              </w:rPr>
              <w:t xml:space="preserve">. </w:t>
            </w:r>
          </w:p>
          <w:p w14:paraId="54274122"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00FA9AF5"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 xml:space="preserve">The prohibition on combining consents in rule 4.10(1)(b)(ii) will be removed and the rules recalibrated to accommodate the limitations discussed above. </w:t>
            </w:r>
          </w:p>
          <w:p w14:paraId="2917682C"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02041830" w14:textId="3BCF4503"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sidRPr="00426733">
              <w:rPr>
                <w:sz w:val="20"/>
                <w:szCs w:val="20"/>
              </w:rPr>
              <w:t xml:space="preserve">Treasury has also indicated an intention to work with OIAC and the ACCC on additional guidance to support these </w:t>
            </w:r>
            <w:r w:rsidR="0002218C">
              <w:rPr>
                <w:sz w:val="20"/>
                <w:szCs w:val="20"/>
              </w:rPr>
              <w:t>amendments</w:t>
            </w:r>
            <w:r w:rsidRPr="00426733">
              <w:rPr>
                <w:sz w:val="20"/>
                <w:szCs w:val="20"/>
              </w:rPr>
              <w:t>.</w:t>
            </w:r>
          </w:p>
          <w:p w14:paraId="72208AE4" w14:textId="77777777" w:rsidR="00426733" w:rsidRPr="00426733" w:rsidRDefault="00426733" w:rsidP="00426733">
            <w:pPr>
              <w:pStyle w:val="ListParagraph"/>
              <w:ind w:left="360"/>
              <w:cnfStyle w:val="000000100000" w:firstRow="0" w:lastRow="0" w:firstColumn="0" w:lastColumn="0" w:oddVBand="0" w:evenVBand="0" w:oddHBand="1" w:evenHBand="0" w:firstRowFirstColumn="0" w:firstRowLastColumn="0" w:lastRowFirstColumn="0" w:lastRowLastColumn="0"/>
              <w:rPr>
                <w:sz w:val="20"/>
                <w:szCs w:val="20"/>
              </w:rPr>
            </w:pPr>
          </w:p>
          <w:p w14:paraId="657D3DC8" w14:textId="77777777" w:rsidR="00426733" w:rsidRP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10B81F04"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1.8</w:t>
            </w:r>
          </w:p>
          <w:p w14:paraId="028A8B83"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816D6C4"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4.10(1)(b)(ii)</w:t>
            </w:r>
          </w:p>
          <w:p w14:paraId="3F39DD32"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9E7964A"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4.11(1)</w:t>
            </w:r>
          </w:p>
          <w:p w14:paraId="347D6788"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6770614" w14:textId="49A04F8F" w:rsidR="00EE7E4D" w:rsidRDefault="00EE7E4D"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4.20E</w:t>
            </w:r>
          </w:p>
          <w:p w14:paraId="2E1B900D" w14:textId="77777777" w:rsidR="00EE7E4D" w:rsidRDefault="00EE7E4D"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9F98D4B" w14:textId="77777777" w:rsid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4.11(2)</w:t>
            </w:r>
          </w:p>
          <w:p w14:paraId="05AE5BA1" w14:textId="77777777" w:rsidR="00426733"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0CFDD9C0" w14:textId="77777777" w:rsidR="00426733" w:rsidRPr="00A82545" w:rsidRDefault="00426733" w:rsidP="00426733">
            <w:pPr>
              <w:cnfStyle w:val="000000100000" w:firstRow="0" w:lastRow="0" w:firstColumn="0" w:lastColumn="0" w:oddVBand="0" w:evenVBand="0" w:oddHBand="1" w:evenHBand="0" w:firstRowFirstColumn="0" w:firstRowLastColumn="0" w:lastRowFirstColumn="0" w:lastRowLastColumn="0"/>
            </w:pPr>
            <w:r>
              <w:rPr>
                <w:sz w:val="20"/>
                <w:szCs w:val="20"/>
              </w:rPr>
              <w:t>PS 3</w:t>
            </w:r>
          </w:p>
        </w:tc>
        <w:tc>
          <w:tcPr>
            <w:tcW w:w="4819" w:type="dxa"/>
          </w:tcPr>
          <w:p w14:paraId="01975F50" w14:textId="26964A43"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observes that shifting the CDR regime to a position that expressly permits (rather than expressly prohibits) the bundling of consents may be out of step with best practice and emerging trends in Australian and global privacy law. This may have the unintended consequence of undermining trust and confidence in the CDR regime, especially for those stakeholders actively managing their </w:t>
            </w:r>
            <w:r w:rsidR="00BE1542">
              <w:rPr>
                <w:sz w:val="20"/>
                <w:szCs w:val="20"/>
              </w:rPr>
              <w:t xml:space="preserve">engagement with </w:t>
            </w:r>
            <w:r>
              <w:rPr>
                <w:sz w:val="20"/>
                <w:szCs w:val="20"/>
              </w:rPr>
              <w:t>multiple privacy regimes, including the Privacy Act and the G</w:t>
            </w:r>
            <w:r w:rsidR="0091515B">
              <w:rPr>
                <w:sz w:val="20"/>
                <w:szCs w:val="20"/>
              </w:rPr>
              <w:t>en</w:t>
            </w:r>
            <w:r w:rsidR="00DB68E5">
              <w:rPr>
                <w:sz w:val="20"/>
                <w:szCs w:val="20"/>
              </w:rPr>
              <w:t>e</w:t>
            </w:r>
            <w:r w:rsidR="0091515B">
              <w:rPr>
                <w:sz w:val="20"/>
                <w:szCs w:val="20"/>
              </w:rPr>
              <w:t xml:space="preserve">ral </w:t>
            </w:r>
            <w:r>
              <w:rPr>
                <w:sz w:val="20"/>
                <w:szCs w:val="20"/>
              </w:rPr>
              <w:t>D</w:t>
            </w:r>
            <w:r w:rsidR="0091515B">
              <w:rPr>
                <w:sz w:val="20"/>
                <w:szCs w:val="20"/>
              </w:rPr>
              <w:t xml:space="preserve">ata </w:t>
            </w:r>
            <w:r>
              <w:rPr>
                <w:sz w:val="20"/>
                <w:szCs w:val="20"/>
              </w:rPr>
              <w:t>P</w:t>
            </w:r>
            <w:r w:rsidR="0091515B">
              <w:rPr>
                <w:sz w:val="20"/>
                <w:szCs w:val="20"/>
              </w:rPr>
              <w:t xml:space="preserve">rotection </w:t>
            </w:r>
            <w:r>
              <w:rPr>
                <w:sz w:val="20"/>
                <w:szCs w:val="20"/>
              </w:rPr>
              <w:t>R</w:t>
            </w:r>
            <w:r w:rsidR="0091515B">
              <w:rPr>
                <w:sz w:val="20"/>
                <w:szCs w:val="20"/>
              </w:rPr>
              <w:t>egulation (</w:t>
            </w:r>
            <w:r w:rsidR="0091515B">
              <w:rPr>
                <w:b/>
                <w:bCs/>
                <w:sz w:val="20"/>
                <w:szCs w:val="20"/>
              </w:rPr>
              <w:t>GDPR</w:t>
            </w:r>
            <w:r w:rsidR="0091515B">
              <w:rPr>
                <w:sz w:val="20"/>
                <w:szCs w:val="20"/>
              </w:rPr>
              <w:t>)</w:t>
            </w:r>
            <w:r>
              <w:rPr>
                <w:sz w:val="20"/>
                <w:szCs w:val="20"/>
              </w:rPr>
              <w:t xml:space="preserve">. </w:t>
            </w:r>
          </w:p>
          <w:p w14:paraId="27303B42"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05E197D" w14:textId="6A7EE6CD"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Mills Oakley agrees with stakeholder suggestions that there would be value in exploring how the breadth of phrases such as ‘reasonably required’ or ‘reasonably needed’ might be tightened. The inclusion of the word ‘reasonably’ may accommodate a greater range of consent bundling than</w:t>
            </w:r>
            <w:r w:rsidR="001D421E">
              <w:rPr>
                <w:sz w:val="20"/>
                <w:szCs w:val="20"/>
              </w:rPr>
              <w:t xml:space="preserve">, for example, </w:t>
            </w:r>
            <w:r>
              <w:rPr>
                <w:sz w:val="20"/>
                <w:szCs w:val="20"/>
              </w:rPr>
              <w:t>a precondition</w:t>
            </w:r>
            <w:r w:rsidR="001D421E">
              <w:rPr>
                <w:sz w:val="20"/>
                <w:szCs w:val="20"/>
              </w:rPr>
              <w:t>,</w:t>
            </w:r>
            <w:r>
              <w:rPr>
                <w:sz w:val="20"/>
                <w:szCs w:val="20"/>
              </w:rPr>
              <w:t xml:space="preserve"> or threshold test, </w:t>
            </w:r>
            <w:r w:rsidR="00A65939">
              <w:rPr>
                <w:sz w:val="20"/>
                <w:szCs w:val="20"/>
              </w:rPr>
              <w:t>which</w:t>
            </w:r>
            <w:r>
              <w:rPr>
                <w:sz w:val="20"/>
                <w:szCs w:val="20"/>
              </w:rPr>
              <w:t xml:space="preserve"> permits consent bundling only where the consents are </w:t>
            </w:r>
            <w:r w:rsidRPr="00C40990">
              <w:rPr>
                <w:i/>
                <w:iCs/>
                <w:sz w:val="20"/>
                <w:szCs w:val="20"/>
              </w:rPr>
              <w:t>‘</w:t>
            </w:r>
            <w:r>
              <w:rPr>
                <w:i/>
                <w:iCs/>
                <w:sz w:val="20"/>
                <w:szCs w:val="20"/>
              </w:rPr>
              <w:t xml:space="preserve">strictly </w:t>
            </w:r>
            <w:r w:rsidRPr="00C40990">
              <w:rPr>
                <w:i/>
                <w:iCs/>
                <w:sz w:val="20"/>
                <w:szCs w:val="20"/>
              </w:rPr>
              <w:t>essential’</w:t>
            </w:r>
            <w:r>
              <w:rPr>
                <w:sz w:val="20"/>
                <w:szCs w:val="20"/>
              </w:rPr>
              <w:t xml:space="preserve"> to provide a product or service.</w:t>
            </w:r>
          </w:p>
          <w:p w14:paraId="35048C77"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A8D8E55" w14:textId="2169488D" w:rsidR="001D421E"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is of the view </w:t>
            </w:r>
            <w:r w:rsidR="00BE1542">
              <w:rPr>
                <w:sz w:val="20"/>
                <w:szCs w:val="20"/>
              </w:rPr>
              <w:t xml:space="preserve">that </w:t>
            </w:r>
            <w:r>
              <w:rPr>
                <w:sz w:val="20"/>
                <w:szCs w:val="20"/>
              </w:rPr>
              <w:t xml:space="preserve">a precondition grounded in the practical necessity and essential nature of the </w:t>
            </w:r>
            <w:r w:rsidRPr="001D421E">
              <w:rPr>
                <w:i/>
                <w:iCs/>
                <w:sz w:val="20"/>
                <w:szCs w:val="20"/>
              </w:rPr>
              <w:t>combination</w:t>
            </w:r>
            <w:r>
              <w:rPr>
                <w:sz w:val="20"/>
                <w:szCs w:val="20"/>
              </w:rPr>
              <w:t xml:space="preserve"> of collection, use and disclosure consents to </w:t>
            </w:r>
            <w:r w:rsidRPr="00A27297">
              <w:rPr>
                <w:sz w:val="20"/>
                <w:szCs w:val="20"/>
              </w:rPr>
              <w:t>successfully</w:t>
            </w:r>
            <w:r>
              <w:rPr>
                <w:sz w:val="20"/>
                <w:szCs w:val="20"/>
              </w:rPr>
              <w:t xml:space="preserve"> provide </w:t>
            </w:r>
            <w:r w:rsidR="001D421E">
              <w:rPr>
                <w:sz w:val="20"/>
                <w:szCs w:val="20"/>
              </w:rPr>
              <w:t xml:space="preserve">the </w:t>
            </w:r>
            <w:r>
              <w:rPr>
                <w:sz w:val="20"/>
                <w:szCs w:val="20"/>
              </w:rPr>
              <w:t xml:space="preserve">product or service will mitigate many of the privacy impacts that have been identified by stakeholders. </w:t>
            </w:r>
          </w:p>
          <w:p w14:paraId="739A1BF8" w14:textId="77777777" w:rsidR="001D421E" w:rsidRDefault="001D421E"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A2FED6B" w14:textId="77777777" w:rsidR="00426733" w:rsidRDefault="001D421E"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w:t>
            </w:r>
            <w:r w:rsidR="00426733">
              <w:rPr>
                <w:sz w:val="20"/>
                <w:szCs w:val="20"/>
              </w:rPr>
              <w:t>e acknowledge that the language proposed by the Treasury is purposely aligned with the data minimisation principle</w:t>
            </w:r>
            <w:r w:rsidR="00426733">
              <w:rPr>
                <w:rStyle w:val="FootnoteReference"/>
                <w:sz w:val="20"/>
                <w:szCs w:val="20"/>
              </w:rPr>
              <w:footnoteReference w:id="12"/>
            </w:r>
            <w:r w:rsidR="00426733">
              <w:rPr>
                <w:sz w:val="20"/>
                <w:szCs w:val="20"/>
              </w:rPr>
              <w:t xml:space="preserve"> to address, in part, the risk that consent bundling inadvertently broadens the scope of consent that consumers are asked to provide. </w:t>
            </w:r>
          </w:p>
          <w:p w14:paraId="1BB40EE5"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5AC25C1" w14:textId="405E4B56"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While the ordinary meaning of ‘reasonably needed’ would tend to support the view that the consent </w:t>
            </w:r>
            <w:r w:rsidR="001D421E">
              <w:rPr>
                <w:sz w:val="20"/>
                <w:szCs w:val="20"/>
              </w:rPr>
              <w:t xml:space="preserve">sought must </w:t>
            </w:r>
            <w:r>
              <w:rPr>
                <w:sz w:val="20"/>
                <w:szCs w:val="20"/>
              </w:rPr>
              <w:t xml:space="preserve">not merely </w:t>
            </w:r>
            <w:r w:rsidR="001D421E">
              <w:rPr>
                <w:sz w:val="20"/>
                <w:szCs w:val="20"/>
              </w:rPr>
              <w:t xml:space="preserve">be </w:t>
            </w:r>
            <w:r>
              <w:rPr>
                <w:sz w:val="20"/>
                <w:szCs w:val="20"/>
              </w:rPr>
              <w:t xml:space="preserve">highly desirable, but must be required or essential, </w:t>
            </w:r>
            <w:r w:rsidR="001D421E">
              <w:rPr>
                <w:sz w:val="20"/>
                <w:szCs w:val="20"/>
              </w:rPr>
              <w:t xml:space="preserve">whether this phrase is sufficiently narrow to achieve the policy objective is </w:t>
            </w:r>
            <w:r>
              <w:rPr>
                <w:sz w:val="20"/>
                <w:szCs w:val="20"/>
              </w:rPr>
              <w:t>ultimately a matter for the Treasury to explore with the drafters.</w:t>
            </w:r>
          </w:p>
          <w:p w14:paraId="183150A8"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6EFF3F4" w14:textId="2CC252AC"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bookmarkStart w:id="18" w:name="Recommendation_1"/>
            <w:r w:rsidRPr="004701B1">
              <w:rPr>
                <w:b/>
                <w:bCs/>
                <w:i/>
                <w:iCs/>
                <w:sz w:val="20"/>
                <w:szCs w:val="20"/>
              </w:rPr>
              <w:t>Recommendation</w:t>
            </w:r>
            <w:r w:rsidR="001D421E">
              <w:rPr>
                <w:b/>
                <w:bCs/>
                <w:i/>
                <w:iCs/>
                <w:sz w:val="20"/>
                <w:szCs w:val="20"/>
              </w:rPr>
              <w:t xml:space="preserve"> [1]</w:t>
            </w:r>
            <w:r w:rsidRPr="004701B1">
              <w:rPr>
                <w:b/>
                <w:bCs/>
                <w:i/>
                <w:iCs/>
                <w:sz w:val="20"/>
                <w:szCs w:val="20"/>
              </w:rPr>
              <w:t>:</w:t>
            </w:r>
            <w:r>
              <w:rPr>
                <w:sz w:val="20"/>
                <w:szCs w:val="20"/>
              </w:rPr>
              <w:t xml:space="preserve"> </w:t>
            </w:r>
            <w:bookmarkEnd w:id="18"/>
            <w:r>
              <w:rPr>
                <w:sz w:val="20"/>
                <w:szCs w:val="20"/>
              </w:rPr>
              <w:t>The Treasury consider whether ‘reasonably needed’ i</w:t>
            </w:r>
            <w:r w:rsidR="007807C4">
              <w:rPr>
                <w:sz w:val="20"/>
                <w:szCs w:val="20"/>
              </w:rPr>
              <w:t>s</w:t>
            </w:r>
            <w:r>
              <w:rPr>
                <w:sz w:val="20"/>
                <w:szCs w:val="20"/>
              </w:rPr>
              <w:t xml:space="preserve"> sufficient</w:t>
            </w:r>
            <w:r w:rsidR="00BE1542">
              <w:rPr>
                <w:sz w:val="20"/>
                <w:szCs w:val="20"/>
              </w:rPr>
              <w:t xml:space="preserve">ly narrow </w:t>
            </w:r>
            <w:r>
              <w:rPr>
                <w:sz w:val="20"/>
                <w:szCs w:val="20"/>
              </w:rPr>
              <w:t xml:space="preserve"> to avoid function creep and the inadvertent expansion of consent requests. If the term will be interpreted narrowly and supports an inference that the consent</w:t>
            </w:r>
            <w:r w:rsidR="00281720">
              <w:rPr>
                <w:sz w:val="20"/>
                <w:szCs w:val="20"/>
              </w:rPr>
              <w:t xml:space="preserve"> request </w:t>
            </w:r>
            <w:r w:rsidR="00BE1542">
              <w:rPr>
                <w:sz w:val="20"/>
                <w:szCs w:val="20"/>
              </w:rPr>
              <w:t xml:space="preserve">must be </w:t>
            </w:r>
            <w:r w:rsidRPr="00BE1542">
              <w:rPr>
                <w:i/>
                <w:iCs/>
                <w:sz w:val="20"/>
                <w:szCs w:val="20"/>
              </w:rPr>
              <w:t>essential</w:t>
            </w:r>
            <w:r>
              <w:rPr>
                <w:sz w:val="20"/>
                <w:szCs w:val="20"/>
              </w:rPr>
              <w:t xml:space="preserve"> </w:t>
            </w:r>
            <w:r w:rsidR="00281720">
              <w:rPr>
                <w:sz w:val="20"/>
                <w:szCs w:val="20"/>
              </w:rPr>
              <w:t xml:space="preserve">to provide the product or service, </w:t>
            </w:r>
            <w:r>
              <w:rPr>
                <w:sz w:val="20"/>
                <w:szCs w:val="20"/>
              </w:rPr>
              <w:t xml:space="preserve">this could be addressed in </w:t>
            </w:r>
            <w:r w:rsidR="00281720">
              <w:rPr>
                <w:sz w:val="20"/>
                <w:szCs w:val="20"/>
              </w:rPr>
              <w:t>g</w:t>
            </w:r>
            <w:r>
              <w:rPr>
                <w:sz w:val="20"/>
                <w:szCs w:val="20"/>
              </w:rPr>
              <w:t xml:space="preserve">uidelines that Treasury has indicated </w:t>
            </w:r>
            <w:r w:rsidR="00A414C5">
              <w:rPr>
                <w:sz w:val="20"/>
                <w:szCs w:val="20"/>
              </w:rPr>
              <w:t xml:space="preserve">it </w:t>
            </w:r>
            <w:r w:rsidR="00281720">
              <w:rPr>
                <w:sz w:val="20"/>
                <w:szCs w:val="20"/>
              </w:rPr>
              <w:t xml:space="preserve">intends to </w:t>
            </w:r>
            <w:r>
              <w:rPr>
                <w:sz w:val="20"/>
                <w:szCs w:val="20"/>
              </w:rPr>
              <w:t>explore with OAIC and the ACCC.</w:t>
            </w:r>
            <w:r w:rsidR="00281720">
              <w:rPr>
                <w:rStyle w:val="FootnoteReference"/>
                <w:sz w:val="20"/>
                <w:szCs w:val="20"/>
              </w:rPr>
              <w:footnoteReference w:id="13"/>
            </w:r>
            <w:r>
              <w:rPr>
                <w:sz w:val="20"/>
                <w:szCs w:val="20"/>
              </w:rPr>
              <w:t xml:space="preserve"> </w:t>
            </w:r>
          </w:p>
          <w:p w14:paraId="2E6EB6F3"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86D63EA"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agrees that Treasury’s proposal to exclude de-identification and direct marketing consents from bundling practices preserves a degree of </w:t>
            </w:r>
            <w:r w:rsidR="00281720">
              <w:rPr>
                <w:sz w:val="20"/>
                <w:szCs w:val="20"/>
              </w:rPr>
              <w:t xml:space="preserve">consumer </w:t>
            </w:r>
            <w:r>
              <w:rPr>
                <w:sz w:val="20"/>
                <w:szCs w:val="20"/>
              </w:rPr>
              <w:t>autonomy in respect of activities that tend to be of particular interest and concern to consumers.</w:t>
            </w:r>
          </w:p>
          <w:p w14:paraId="479EE777"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622A9CE" w14:textId="3373424A" w:rsidR="00281720"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An additional way to manage the risk that consent bundling dilutes CDR consumers’ autonomy over the management of their </w:t>
            </w:r>
            <w:r w:rsidR="00281720">
              <w:rPr>
                <w:sz w:val="20"/>
                <w:szCs w:val="20"/>
              </w:rPr>
              <w:t xml:space="preserve">own </w:t>
            </w:r>
            <w:r>
              <w:rPr>
                <w:sz w:val="20"/>
                <w:szCs w:val="20"/>
              </w:rPr>
              <w:t xml:space="preserve">CDR data is to </w:t>
            </w:r>
            <w:r w:rsidR="00BE1542" w:rsidRPr="00BE1542">
              <w:rPr>
                <w:i/>
                <w:iCs/>
                <w:sz w:val="20"/>
                <w:szCs w:val="20"/>
              </w:rPr>
              <w:t xml:space="preserve">also </w:t>
            </w:r>
            <w:r w:rsidRPr="00BE1542">
              <w:rPr>
                <w:i/>
                <w:iCs/>
                <w:sz w:val="20"/>
                <w:szCs w:val="20"/>
              </w:rPr>
              <w:t>exclude disclosure consents</w:t>
            </w:r>
            <w:r>
              <w:rPr>
                <w:sz w:val="20"/>
                <w:szCs w:val="20"/>
              </w:rPr>
              <w:t xml:space="preserve"> from bundling. Disclosures tend to have a higher risk profile by virtue of the data being shared with additional participants in the data supply chain. The rationale for exploring this approach is that it is often the business practices and the architecture of data flows between parties to deliver a product or service (and over which CDR consumers have no control) that will render a disclosure consent ‘reasonably needed’ to provide a product or service</w:t>
            </w:r>
            <w:r w:rsidR="00281720">
              <w:rPr>
                <w:sz w:val="20"/>
                <w:szCs w:val="20"/>
              </w:rPr>
              <w:t xml:space="preserve"> in question</w:t>
            </w:r>
            <w:r>
              <w:rPr>
                <w:sz w:val="20"/>
                <w:szCs w:val="20"/>
              </w:rPr>
              <w:t>. By quarantining disclosure consents</w:t>
            </w:r>
            <w:r w:rsidR="00BE1542">
              <w:rPr>
                <w:sz w:val="20"/>
                <w:szCs w:val="20"/>
              </w:rPr>
              <w:t xml:space="preserve"> from bundled consents</w:t>
            </w:r>
            <w:r>
              <w:rPr>
                <w:sz w:val="20"/>
                <w:szCs w:val="20"/>
              </w:rPr>
              <w:t>, consumers will have better visibility about the number of stakeholders within a single data supply chain</w:t>
            </w:r>
            <w:r w:rsidR="00BE1542">
              <w:rPr>
                <w:sz w:val="20"/>
                <w:szCs w:val="20"/>
              </w:rPr>
              <w:t xml:space="preserve"> and the manner in which parties collaborate to deliver products and services</w:t>
            </w:r>
            <w:r>
              <w:rPr>
                <w:sz w:val="20"/>
                <w:szCs w:val="20"/>
              </w:rPr>
              <w:t xml:space="preserve">. </w:t>
            </w:r>
            <w:r w:rsidR="00281720">
              <w:rPr>
                <w:sz w:val="20"/>
                <w:szCs w:val="20"/>
              </w:rPr>
              <w:t xml:space="preserve">Consumers may </w:t>
            </w:r>
            <w:r w:rsidR="00BE1542">
              <w:rPr>
                <w:sz w:val="20"/>
                <w:szCs w:val="20"/>
              </w:rPr>
              <w:t xml:space="preserve">want to </w:t>
            </w:r>
            <w:r w:rsidR="00281720">
              <w:rPr>
                <w:sz w:val="20"/>
                <w:szCs w:val="20"/>
              </w:rPr>
              <w:t xml:space="preserve">select </w:t>
            </w:r>
            <w:r>
              <w:rPr>
                <w:sz w:val="20"/>
                <w:szCs w:val="20"/>
              </w:rPr>
              <w:t xml:space="preserve">products and services that minimise the number of parties interacting with their data. </w:t>
            </w:r>
          </w:p>
          <w:p w14:paraId="6AD91B0D" w14:textId="77777777" w:rsidR="00281720" w:rsidRDefault="00281720"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5EFAC0C" w14:textId="029EB0B6"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w:t>
            </w:r>
            <w:r w:rsidR="00BE1542">
              <w:rPr>
                <w:sz w:val="20"/>
                <w:szCs w:val="20"/>
              </w:rPr>
              <w:t xml:space="preserve">e following recommendation </w:t>
            </w:r>
            <w:r>
              <w:rPr>
                <w:sz w:val="20"/>
                <w:szCs w:val="20"/>
              </w:rPr>
              <w:t xml:space="preserve">complements existing requirements </w:t>
            </w:r>
            <w:r w:rsidR="00281720">
              <w:rPr>
                <w:sz w:val="20"/>
                <w:szCs w:val="20"/>
              </w:rPr>
              <w:t xml:space="preserve">and proposals concerning </w:t>
            </w:r>
            <w:r>
              <w:rPr>
                <w:sz w:val="20"/>
                <w:szCs w:val="20"/>
              </w:rPr>
              <w:t xml:space="preserve">transparency </w:t>
            </w:r>
            <w:r w:rsidR="00BE1542">
              <w:rPr>
                <w:sz w:val="20"/>
                <w:szCs w:val="20"/>
              </w:rPr>
              <w:t xml:space="preserve">about </w:t>
            </w:r>
            <w:r>
              <w:rPr>
                <w:sz w:val="20"/>
                <w:szCs w:val="20"/>
              </w:rPr>
              <w:t xml:space="preserve">data recipients. Mills Oakley appreciates that this approach will not necessarily streamline the consent process to the extent that has been proposed. However, preserving some degree of consent friction may be a compromise to ensure consent bundling practices do not move too far away from best practice </w:t>
            </w:r>
            <w:r w:rsidR="00281720">
              <w:rPr>
                <w:sz w:val="20"/>
                <w:szCs w:val="20"/>
              </w:rPr>
              <w:t xml:space="preserve">and global </w:t>
            </w:r>
            <w:r>
              <w:rPr>
                <w:sz w:val="20"/>
                <w:szCs w:val="20"/>
              </w:rPr>
              <w:t xml:space="preserve">trends. </w:t>
            </w:r>
          </w:p>
          <w:p w14:paraId="76A8189B"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9C4E0C1" w14:textId="002442AC"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bookmarkStart w:id="19" w:name="Recommendation_2"/>
            <w:r w:rsidRPr="001C76AA">
              <w:rPr>
                <w:b/>
                <w:bCs/>
                <w:i/>
                <w:iCs/>
                <w:sz w:val="20"/>
                <w:szCs w:val="20"/>
              </w:rPr>
              <w:t>Recommendation</w:t>
            </w:r>
            <w:r w:rsidR="00C619F0">
              <w:rPr>
                <w:b/>
                <w:bCs/>
                <w:i/>
                <w:iCs/>
                <w:sz w:val="20"/>
                <w:szCs w:val="20"/>
              </w:rPr>
              <w:t xml:space="preserve"> [2]</w:t>
            </w:r>
            <w:bookmarkEnd w:id="19"/>
            <w:r w:rsidRPr="001C76AA">
              <w:rPr>
                <w:b/>
                <w:bCs/>
                <w:i/>
                <w:iCs/>
                <w:sz w:val="20"/>
                <w:szCs w:val="20"/>
              </w:rPr>
              <w:t>:</w:t>
            </w:r>
            <w:r>
              <w:rPr>
                <w:sz w:val="20"/>
                <w:szCs w:val="20"/>
              </w:rPr>
              <w:t xml:space="preserve"> Treasury consider whether excluding disclosure consents from consent bundling usefully reinforces transparency requirements about the parties with whom a CDR consumers’ data is shared.</w:t>
            </w:r>
          </w:p>
          <w:p w14:paraId="00EF1C11"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0146462" w14:textId="5A01B0D3"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bookmarkStart w:id="20" w:name="Recommendation_3"/>
            <w:r w:rsidRPr="2E09F454">
              <w:rPr>
                <w:b/>
                <w:bCs/>
                <w:i/>
                <w:iCs/>
                <w:sz w:val="20"/>
                <w:szCs w:val="20"/>
              </w:rPr>
              <w:t>Recommendation</w:t>
            </w:r>
            <w:r w:rsidR="00C619F0" w:rsidRPr="2E09F454">
              <w:rPr>
                <w:b/>
                <w:bCs/>
                <w:i/>
                <w:iCs/>
                <w:sz w:val="20"/>
                <w:szCs w:val="20"/>
              </w:rPr>
              <w:t xml:space="preserve"> [3</w:t>
            </w:r>
            <w:r w:rsidR="00C619F0" w:rsidRPr="7EB291E5">
              <w:rPr>
                <w:b/>
                <w:bCs/>
                <w:i/>
                <w:iCs/>
                <w:sz w:val="20"/>
                <w:szCs w:val="20"/>
              </w:rPr>
              <w:t>]</w:t>
            </w:r>
            <w:r w:rsidRPr="7EB291E5">
              <w:rPr>
                <w:sz w:val="20"/>
                <w:szCs w:val="20"/>
              </w:rPr>
              <w:t>:</w:t>
            </w:r>
            <w:r>
              <w:rPr>
                <w:sz w:val="20"/>
                <w:szCs w:val="20"/>
              </w:rPr>
              <w:t xml:space="preserve"> </w:t>
            </w:r>
            <w:bookmarkEnd w:id="20"/>
            <w:r w:rsidR="00BE1542">
              <w:rPr>
                <w:sz w:val="20"/>
                <w:szCs w:val="20"/>
              </w:rPr>
              <w:t xml:space="preserve">As an alternative to Recommendation 2, </w:t>
            </w:r>
            <w:r>
              <w:rPr>
                <w:sz w:val="20"/>
                <w:szCs w:val="20"/>
              </w:rPr>
              <w:t xml:space="preserve">Treasury consider </w:t>
            </w:r>
            <w:r w:rsidR="00BE1542">
              <w:rPr>
                <w:sz w:val="20"/>
                <w:szCs w:val="20"/>
              </w:rPr>
              <w:t xml:space="preserve">a </w:t>
            </w:r>
            <w:r>
              <w:rPr>
                <w:sz w:val="20"/>
                <w:szCs w:val="20"/>
              </w:rPr>
              <w:t xml:space="preserve">measure that gives CDR consumers the </w:t>
            </w:r>
            <w:r w:rsidRPr="2E09F454">
              <w:rPr>
                <w:i/>
                <w:iCs/>
                <w:sz w:val="20"/>
                <w:szCs w:val="20"/>
              </w:rPr>
              <w:t>right to object to bundled consents</w:t>
            </w:r>
            <w:r w:rsidR="00C619F0" w:rsidRPr="2E09F454">
              <w:rPr>
                <w:i/>
                <w:iCs/>
                <w:sz w:val="20"/>
                <w:szCs w:val="20"/>
              </w:rPr>
              <w:t xml:space="preserve"> </w:t>
            </w:r>
            <w:r>
              <w:rPr>
                <w:sz w:val="20"/>
                <w:szCs w:val="20"/>
              </w:rPr>
              <w:t>which would trigger an obligation for the</w:t>
            </w:r>
            <w:r w:rsidR="00C619F0">
              <w:rPr>
                <w:sz w:val="20"/>
                <w:szCs w:val="20"/>
              </w:rPr>
              <w:t xml:space="preserve"> accredited person or ADR </w:t>
            </w:r>
            <w:r>
              <w:rPr>
                <w:sz w:val="20"/>
                <w:szCs w:val="20"/>
              </w:rPr>
              <w:t xml:space="preserve">to explain the basis for the conclusion that the consents are essential to provide the product or service. A right to object, in this context, could conceivably be aligned with Privacy Act reforms, in the event a right to object to certain </w:t>
            </w:r>
            <w:r w:rsidRPr="00DB68E5">
              <w:rPr>
                <w:sz w:val="20"/>
                <w:szCs w:val="20"/>
              </w:rPr>
              <w:t>privacy</w:t>
            </w:r>
            <w:r>
              <w:rPr>
                <w:sz w:val="20"/>
                <w:szCs w:val="20"/>
              </w:rPr>
              <w:t xml:space="preserve"> practices</w:t>
            </w:r>
            <w:r w:rsidR="00C619F0">
              <w:rPr>
                <w:sz w:val="20"/>
                <w:szCs w:val="20"/>
              </w:rPr>
              <w:t xml:space="preserve"> is progressed by the Australian Government</w:t>
            </w:r>
            <w:r>
              <w:rPr>
                <w:sz w:val="20"/>
                <w:szCs w:val="20"/>
              </w:rPr>
              <w:t xml:space="preserve">. </w:t>
            </w:r>
            <w:r w:rsidR="007909AF">
              <w:rPr>
                <w:sz w:val="20"/>
                <w:szCs w:val="20"/>
              </w:rPr>
              <w:t>Mills Oakley acknowledges this may be an extension of the kinds of information handling to wh</w:t>
            </w:r>
            <w:r w:rsidR="007D6806">
              <w:rPr>
                <w:sz w:val="20"/>
                <w:szCs w:val="20"/>
              </w:rPr>
              <w:t>ich</w:t>
            </w:r>
            <w:r w:rsidR="007909AF">
              <w:rPr>
                <w:sz w:val="20"/>
                <w:szCs w:val="20"/>
              </w:rPr>
              <w:t xml:space="preserve"> a right to object is presently associated.</w:t>
            </w:r>
          </w:p>
          <w:p w14:paraId="595BE3E2" w14:textId="77777777" w:rsidR="00426733" w:rsidRDefault="00426733" w:rsidP="00426733">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FFEF990" w14:textId="77777777" w:rsidR="00BE1542" w:rsidRDefault="00426733" w:rsidP="004267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Treasury may wish to consider limiting a right to object (and the consequential obligation for an accredited person or ADR to explain the basis for the conclusion that the consent is reasonably needed to deliver the product and service) to certain </w:t>
            </w:r>
            <w:r w:rsidR="00BE1542">
              <w:rPr>
                <w:sz w:val="20"/>
                <w:szCs w:val="20"/>
              </w:rPr>
              <w:t xml:space="preserve">types or </w:t>
            </w:r>
            <w:r>
              <w:rPr>
                <w:sz w:val="20"/>
                <w:szCs w:val="20"/>
              </w:rPr>
              <w:t xml:space="preserve">combinations of consents. </w:t>
            </w:r>
          </w:p>
          <w:p w14:paraId="2DB27227" w14:textId="77777777" w:rsidR="00BE1542" w:rsidRDefault="00BE1542" w:rsidP="00426733">
            <w:pPr>
              <w:cnfStyle w:val="000000100000" w:firstRow="0" w:lastRow="0" w:firstColumn="0" w:lastColumn="0" w:oddVBand="0" w:evenVBand="0" w:oddHBand="1" w:evenHBand="0" w:firstRowFirstColumn="0" w:firstRowLastColumn="0" w:lastRowFirstColumn="0" w:lastRowLastColumn="0"/>
              <w:rPr>
                <w:sz w:val="20"/>
                <w:szCs w:val="20"/>
              </w:rPr>
            </w:pPr>
          </w:p>
          <w:p w14:paraId="0A60E54D" w14:textId="5A7F5829" w:rsidR="00426733" w:rsidRPr="006C0AF4" w:rsidRDefault="00BE1542" w:rsidP="004267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has formed the view that relying on a consumer’s ability to exercise choice and select other products/services that do not present consumers with bundled consents is likely to </w:t>
            </w:r>
            <w:r w:rsidR="00A65939">
              <w:rPr>
                <w:sz w:val="20"/>
                <w:szCs w:val="20"/>
              </w:rPr>
              <w:t>underestimate</w:t>
            </w:r>
            <w:r>
              <w:rPr>
                <w:sz w:val="20"/>
                <w:szCs w:val="20"/>
              </w:rPr>
              <w:t xml:space="preserve"> the degree to which bundle consents will be taken up by the market, and become standard practice, if allowed. </w:t>
            </w:r>
          </w:p>
        </w:tc>
      </w:tr>
    </w:tbl>
    <w:p w14:paraId="4F40264F" w14:textId="4A521B00" w:rsidR="5E8C8AFE" w:rsidRDefault="5E8C8AFE"/>
    <w:p w14:paraId="1791D2C5" w14:textId="77777777" w:rsidR="00665953" w:rsidRPr="001F2AD8" w:rsidRDefault="00332686" w:rsidP="001F2AD8">
      <w:pPr>
        <w:pStyle w:val="MOTermsL2"/>
        <w:numPr>
          <w:ilvl w:val="0"/>
          <w:numId w:val="0"/>
        </w:numPr>
        <w:ind w:left="851"/>
        <w:rPr>
          <w:sz w:val="24"/>
          <w:szCs w:val="24"/>
        </w:rPr>
      </w:pPr>
      <w:bookmarkStart w:id="21" w:name="_Toc165324943"/>
      <w:r w:rsidRPr="001F2AD8">
        <w:rPr>
          <w:sz w:val="24"/>
          <w:szCs w:val="24"/>
        </w:rPr>
        <w:t>Pre-selection of consent options</w:t>
      </w:r>
      <w:bookmarkEnd w:id="21"/>
    </w:p>
    <w:p w14:paraId="504F8810" w14:textId="7511810C" w:rsidR="001C1029" w:rsidRDefault="00332686" w:rsidP="00332686">
      <w:pPr>
        <w:pStyle w:val="MOTermsL4"/>
      </w:pPr>
      <w:bookmarkStart w:id="22" w:name="_Ref165380072"/>
      <w:r w:rsidRPr="00550CA1">
        <w:t>Treasury</w:t>
      </w:r>
      <w:r w:rsidR="00765508">
        <w:t xml:space="preserve"> is proposing a change to </w:t>
      </w:r>
      <w:r w:rsidRPr="00550CA1">
        <w:t xml:space="preserve">the prohibition on presenting consumers with pre-selected consent options, </w:t>
      </w:r>
      <w:r w:rsidR="004F25FE">
        <w:t>whether as separate or bundled consents</w:t>
      </w:r>
      <w:r w:rsidRPr="00550CA1">
        <w:t>.</w:t>
      </w:r>
      <w:r w:rsidRPr="00D327D6">
        <w:rPr>
          <w:rStyle w:val="FootnoteReference"/>
        </w:rPr>
        <w:footnoteReference w:id="14"/>
      </w:r>
      <w:bookmarkEnd w:id="22"/>
      <w:r w:rsidRPr="00D327D6">
        <w:t xml:space="preserve"> </w:t>
      </w:r>
    </w:p>
    <w:p w14:paraId="1623A602" w14:textId="241077F5" w:rsidR="00332686" w:rsidRPr="00550CA1" w:rsidRDefault="00332686" w:rsidP="00332686">
      <w:pPr>
        <w:pStyle w:val="MOTermsL4"/>
      </w:pPr>
      <w:r w:rsidRPr="00550CA1">
        <w:t>The Treasury’s proposal would permit an accredited person or CDR representative, when seeking a consumer’s consent, to present the precise combination of data types, uses, disclosures and consent durations considered reasonably necessary to provide the good or service that has been requested by the consumer.</w:t>
      </w:r>
      <w:r w:rsidR="004F25FE">
        <w:t xml:space="preserve"> </w:t>
      </w:r>
    </w:p>
    <w:p w14:paraId="70A4462F" w14:textId="77777777" w:rsidR="00CB5134" w:rsidRDefault="00CB5134" w:rsidP="00665953">
      <w:pPr>
        <w:pStyle w:val="MONumberL3"/>
      </w:pPr>
    </w:p>
    <w:tbl>
      <w:tblPr>
        <w:tblStyle w:val="GridTable4-Accent1"/>
        <w:tblW w:w="14425" w:type="dxa"/>
        <w:tblLook w:val="04A0" w:firstRow="1" w:lastRow="0" w:firstColumn="1" w:lastColumn="0" w:noHBand="0" w:noVBand="1"/>
      </w:tblPr>
      <w:tblGrid>
        <w:gridCol w:w="3794"/>
        <w:gridCol w:w="3827"/>
        <w:gridCol w:w="1985"/>
        <w:gridCol w:w="4819"/>
      </w:tblGrid>
      <w:tr w:rsidR="00332686" w14:paraId="6ACCE45B"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69256066" w14:textId="57B54E5C" w:rsidR="00332686" w:rsidRDefault="00483AF3">
            <w:pPr>
              <w:rPr>
                <w:sz w:val="20"/>
                <w:szCs w:val="20"/>
              </w:rPr>
            </w:pPr>
            <w:bookmarkStart w:id="24" w:name="_Hlk163740461"/>
            <w:r w:rsidRPr="0079789C">
              <w:rPr>
                <w:sz w:val="20"/>
                <w:szCs w:val="20"/>
              </w:rPr>
              <w:t>Synopsis of stakeholders’ privacy comments and submissions</w:t>
            </w:r>
          </w:p>
        </w:tc>
        <w:tc>
          <w:tcPr>
            <w:tcW w:w="3827" w:type="dxa"/>
          </w:tcPr>
          <w:p w14:paraId="59F0157A" w14:textId="4A92E803" w:rsidR="00332686" w:rsidRDefault="00332686">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6A74BCCA" w14:textId="77777777" w:rsidR="00332686" w:rsidRDefault="00332686">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1B7B7890" w14:textId="77777777" w:rsidR="00332686" w:rsidRDefault="00332686">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332686" w14:paraId="478F9A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161722A" w14:textId="4FD30A81" w:rsidR="00332686" w:rsidRPr="00332686" w:rsidRDefault="008C031B" w:rsidP="00332686">
            <w:pPr>
              <w:pStyle w:val="ListParagraph"/>
              <w:ind w:left="0"/>
              <w:rPr>
                <w:b w:val="0"/>
                <w:bCs w:val="0"/>
                <w:sz w:val="20"/>
                <w:szCs w:val="20"/>
              </w:rPr>
            </w:pPr>
            <w:r>
              <w:rPr>
                <w:b w:val="0"/>
                <w:bCs w:val="0"/>
                <w:sz w:val="20"/>
                <w:szCs w:val="20"/>
              </w:rPr>
              <w:t xml:space="preserve">The </w:t>
            </w:r>
            <w:r w:rsidR="00332686" w:rsidRPr="00332686">
              <w:rPr>
                <w:b w:val="0"/>
                <w:bCs w:val="0"/>
                <w:sz w:val="20"/>
                <w:szCs w:val="20"/>
              </w:rPr>
              <w:t xml:space="preserve">synopsis of stakeholder submissions suggests the benefits of </w:t>
            </w:r>
            <w:r w:rsidR="00CA5E54">
              <w:rPr>
                <w:b w:val="0"/>
                <w:bCs w:val="0"/>
                <w:sz w:val="20"/>
                <w:szCs w:val="20"/>
              </w:rPr>
              <w:t xml:space="preserve">a </w:t>
            </w:r>
            <w:r w:rsidR="00332686" w:rsidRPr="00332686">
              <w:rPr>
                <w:b w:val="0"/>
                <w:bCs w:val="0"/>
                <w:sz w:val="20"/>
                <w:szCs w:val="20"/>
              </w:rPr>
              <w:t>streamlined consumer</w:t>
            </w:r>
            <w:r w:rsidR="007909AF">
              <w:rPr>
                <w:b w:val="0"/>
                <w:bCs w:val="0"/>
                <w:sz w:val="20"/>
                <w:szCs w:val="20"/>
              </w:rPr>
              <w:t xml:space="preserve"> experience</w:t>
            </w:r>
            <w:r w:rsidR="00332686" w:rsidRPr="00332686">
              <w:rPr>
                <w:b w:val="0"/>
                <w:bCs w:val="0"/>
                <w:sz w:val="20"/>
                <w:szCs w:val="20"/>
              </w:rPr>
              <w:t xml:space="preserve"> </w:t>
            </w:r>
            <w:r w:rsidR="007D6806">
              <w:rPr>
                <w:b w:val="0"/>
                <w:bCs w:val="0"/>
                <w:sz w:val="20"/>
                <w:szCs w:val="20"/>
              </w:rPr>
              <w:t>(</w:t>
            </w:r>
            <w:r w:rsidR="007909AF" w:rsidRPr="007D6806">
              <w:rPr>
                <w:sz w:val="20"/>
                <w:szCs w:val="20"/>
              </w:rPr>
              <w:t>C</w:t>
            </w:r>
            <w:r w:rsidR="00332686" w:rsidRPr="007D6806">
              <w:rPr>
                <w:sz w:val="20"/>
                <w:szCs w:val="20"/>
              </w:rPr>
              <w:t>X</w:t>
            </w:r>
            <w:r w:rsidR="007D6806" w:rsidRPr="007D6806">
              <w:rPr>
                <w:b w:val="0"/>
                <w:bCs w:val="0"/>
                <w:sz w:val="20"/>
                <w:szCs w:val="20"/>
              </w:rPr>
              <w:t>)</w:t>
            </w:r>
            <w:r w:rsidR="00332686" w:rsidRPr="00332686">
              <w:rPr>
                <w:b w:val="0"/>
                <w:bCs w:val="0"/>
                <w:sz w:val="20"/>
                <w:szCs w:val="20"/>
              </w:rPr>
              <w:t xml:space="preserve"> </w:t>
            </w:r>
            <w:r w:rsidR="00CA5E54">
              <w:rPr>
                <w:b w:val="0"/>
                <w:bCs w:val="0"/>
                <w:sz w:val="20"/>
                <w:szCs w:val="20"/>
              </w:rPr>
              <w:t xml:space="preserve">is </w:t>
            </w:r>
            <w:r w:rsidR="00332686" w:rsidRPr="00332686">
              <w:rPr>
                <w:b w:val="0"/>
                <w:bCs w:val="0"/>
                <w:sz w:val="20"/>
                <w:szCs w:val="20"/>
              </w:rPr>
              <w:t>generally accepted but need</w:t>
            </w:r>
            <w:r w:rsidR="00CA5E54">
              <w:rPr>
                <w:b w:val="0"/>
                <w:bCs w:val="0"/>
                <w:sz w:val="20"/>
                <w:szCs w:val="20"/>
              </w:rPr>
              <w:t>s</w:t>
            </w:r>
            <w:r w:rsidR="00332686" w:rsidRPr="00332686">
              <w:rPr>
                <w:b w:val="0"/>
                <w:bCs w:val="0"/>
                <w:sz w:val="20"/>
                <w:szCs w:val="20"/>
              </w:rPr>
              <w:t xml:space="preserve"> to be balanced against the dilution of consumer autonomy and active choice around how a consumers’ CDR data is used, and by whom. </w:t>
            </w:r>
          </w:p>
          <w:p w14:paraId="08B3DDB8" w14:textId="77777777" w:rsidR="00CA5E54" w:rsidRDefault="00CA5E54" w:rsidP="00332686">
            <w:pPr>
              <w:pStyle w:val="ListParagraph"/>
              <w:ind w:left="0"/>
              <w:rPr>
                <w:sz w:val="20"/>
                <w:szCs w:val="20"/>
              </w:rPr>
            </w:pPr>
          </w:p>
          <w:p w14:paraId="22659FE2" w14:textId="3702FD15" w:rsidR="00332686" w:rsidRPr="00332686" w:rsidRDefault="00332686" w:rsidP="00332686">
            <w:pPr>
              <w:pStyle w:val="ListParagraph"/>
              <w:ind w:left="0"/>
              <w:rPr>
                <w:b w:val="0"/>
                <w:bCs w:val="0"/>
                <w:sz w:val="20"/>
                <w:szCs w:val="20"/>
              </w:rPr>
            </w:pPr>
            <w:r w:rsidRPr="00332686">
              <w:rPr>
                <w:b w:val="0"/>
                <w:bCs w:val="0"/>
                <w:sz w:val="20"/>
                <w:szCs w:val="20"/>
              </w:rPr>
              <w:t xml:space="preserve">The synopsis includes the following stakeholder views: </w:t>
            </w:r>
          </w:p>
          <w:p w14:paraId="2FB366C9" w14:textId="77777777" w:rsidR="00332686" w:rsidRPr="00332686" w:rsidRDefault="00332686" w:rsidP="00332686">
            <w:pPr>
              <w:pStyle w:val="ListParagraph"/>
              <w:ind w:left="360"/>
              <w:rPr>
                <w:b w:val="0"/>
                <w:bCs w:val="0"/>
                <w:sz w:val="20"/>
                <w:szCs w:val="20"/>
              </w:rPr>
            </w:pPr>
          </w:p>
          <w:p w14:paraId="5A55BC82" w14:textId="0260E6B5" w:rsidR="00332686" w:rsidRPr="006C0AF4" w:rsidRDefault="00332686" w:rsidP="006C0AF4">
            <w:pPr>
              <w:pStyle w:val="ListParagraph"/>
              <w:numPr>
                <w:ilvl w:val="0"/>
                <w:numId w:val="35"/>
              </w:numPr>
              <w:rPr>
                <w:b w:val="0"/>
                <w:bCs w:val="0"/>
                <w:sz w:val="20"/>
                <w:szCs w:val="20"/>
              </w:rPr>
            </w:pPr>
            <w:r w:rsidRPr="00332686">
              <w:rPr>
                <w:b w:val="0"/>
                <w:bCs w:val="0"/>
                <w:sz w:val="20"/>
                <w:szCs w:val="20"/>
              </w:rPr>
              <w:t xml:space="preserve">the proposal strikes a good balance, enabling more effective communication with the consumer (i.e. through the use of preselected data clusters, consent durations, and disclosures). </w:t>
            </w:r>
          </w:p>
          <w:p w14:paraId="262DA3C4" w14:textId="77777777" w:rsidR="00332686" w:rsidRPr="00332686" w:rsidRDefault="00332686" w:rsidP="00D345E8">
            <w:pPr>
              <w:pStyle w:val="ListParagraph"/>
              <w:numPr>
                <w:ilvl w:val="0"/>
                <w:numId w:val="35"/>
              </w:numPr>
              <w:rPr>
                <w:b w:val="0"/>
                <w:bCs w:val="0"/>
                <w:sz w:val="20"/>
                <w:szCs w:val="20"/>
              </w:rPr>
            </w:pPr>
            <w:r w:rsidRPr="00332686">
              <w:rPr>
                <w:b w:val="0"/>
                <w:bCs w:val="0"/>
                <w:sz w:val="20"/>
                <w:szCs w:val="20"/>
              </w:rPr>
              <w:t xml:space="preserve">consumer privacy will be eroded, which could result in inadvertent sharing of non-necessary data. </w:t>
            </w:r>
          </w:p>
          <w:p w14:paraId="3FF05631" w14:textId="77777777" w:rsidR="00332686" w:rsidRPr="00332686" w:rsidRDefault="00332686" w:rsidP="00332686">
            <w:pPr>
              <w:pStyle w:val="ListParagraph"/>
              <w:rPr>
                <w:b w:val="0"/>
                <w:bCs w:val="0"/>
                <w:sz w:val="20"/>
                <w:szCs w:val="20"/>
              </w:rPr>
            </w:pPr>
          </w:p>
          <w:p w14:paraId="0227744A" w14:textId="14FBA152" w:rsidR="00332686" w:rsidRPr="00332686" w:rsidRDefault="00CA5E54" w:rsidP="00D345E8">
            <w:pPr>
              <w:pStyle w:val="ListParagraph"/>
              <w:numPr>
                <w:ilvl w:val="0"/>
                <w:numId w:val="35"/>
              </w:numPr>
              <w:rPr>
                <w:b w:val="0"/>
                <w:bCs w:val="0"/>
                <w:sz w:val="20"/>
                <w:szCs w:val="20"/>
              </w:rPr>
            </w:pPr>
            <w:r>
              <w:rPr>
                <w:b w:val="0"/>
                <w:bCs w:val="0"/>
                <w:sz w:val="20"/>
                <w:szCs w:val="20"/>
              </w:rPr>
              <w:t>p</w:t>
            </w:r>
            <w:r w:rsidR="00332686" w:rsidRPr="00332686">
              <w:rPr>
                <w:b w:val="0"/>
                <w:bCs w:val="0"/>
                <w:sz w:val="20"/>
                <w:szCs w:val="20"/>
              </w:rPr>
              <w:t xml:space="preserve">re-selection functionality and design options give the appearance of optionality but pushes consumers to endorse data sharing that may be contrary to their preferences. </w:t>
            </w:r>
          </w:p>
          <w:p w14:paraId="3EA4F03B" w14:textId="77777777" w:rsidR="00332686" w:rsidRPr="00332686" w:rsidRDefault="00332686" w:rsidP="00332686">
            <w:pPr>
              <w:pStyle w:val="ListParagraph"/>
              <w:rPr>
                <w:b w:val="0"/>
                <w:bCs w:val="0"/>
                <w:sz w:val="20"/>
                <w:szCs w:val="20"/>
              </w:rPr>
            </w:pPr>
          </w:p>
          <w:p w14:paraId="58A0EDDD" w14:textId="041E44DC" w:rsidR="00332686" w:rsidRPr="002E18F3" w:rsidRDefault="00CA5E54" w:rsidP="00D345E8">
            <w:pPr>
              <w:pStyle w:val="ListParagraph"/>
              <w:numPr>
                <w:ilvl w:val="0"/>
                <w:numId w:val="35"/>
              </w:numPr>
              <w:rPr>
                <w:b w:val="0"/>
                <w:bCs w:val="0"/>
                <w:sz w:val="20"/>
                <w:szCs w:val="20"/>
              </w:rPr>
            </w:pPr>
            <w:r>
              <w:rPr>
                <w:b w:val="0"/>
                <w:bCs w:val="0"/>
                <w:sz w:val="20"/>
                <w:szCs w:val="20"/>
              </w:rPr>
              <w:t xml:space="preserve">may encourage </w:t>
            </w:r>
            <w:r w:rsidR="00332686" w:rsidRPr="00332686">
              <w:rPr>
                <w:b w:val="0"/>
                <w:bCs w:val="0"/>
                <w:sz w:val="20"/>
                <w:szCs w:val="20"/>
              </w:rPr>
              <w:t xml:space="preserve">practices </w:t>
            </w:r>
            <w:r>
              <w:rPr>
                <w:b w:val="0"/>
                <w:bCs w:val="0"/>
                <w:sz w:val="20"/>
                <w:szCs w:val="20"/>
              </w:rPr>
              <w:t xml:space="preserve">being </w:t>
            </w:r>
            <w:r w:rsidR="00332686" w:rsidRPr="00332686">
              <w:rPr>
                <w:b w:val="0"/>
                <w:bCs w:val="0"/>
                <w:sz w:val="20"/>
                <w:szCs w:val="20"/>
              </w:rPr>
              <w:t xml:space="preserve">promoted as ‘reasonably needed’ for a product or service and therefore presented as a ‘pre-selected’ data flow. </w:t>
            </w:r>
            <w:r>
              <w:rPr>
                <w:b w:val="0"/>
                <w:bCs w:val="0"/>
                <w:sz w:val="20"/>
                <w:szCs w:val="20"/>
              </w:rPr>
              <w:t>There were c</w:t>
            </w:r>
            <w:r w:rsidR="00332686" w:rsidRPr="00332686">
              <w:rPr>
                <w:b w:val="0"/>
                <w:bCs w:val="0"/>
                <w:sz w:val="20"/>
                <w:szCs w:val="20"/>
              </w:rPr>
              <w:t>oncerns that this may drive the development of ‘premium’ or ‘add-on’ services that would require addition</w:t>
            </w:r>
            <w:r w:rsidR="00DB68E5">
              <w:rPr>
                <w:b w:val="0"/>
                <w:bCs w:val="0"/>
                <w:sz w:val="20"/>
                <w:szCs w:val="20"/>
              </w:rPr>
              <w:t>al</w:t>
            </w:r>
            <w:r w:rsidR="00332686" w:rsidRPr="00332686">
              <w:rPr>
                <w:b w:val="0"/>
                <w:bCs w:val="0"/>
                <w:sz w:val="20"/>
                <w:szCs w:val="20"/>
              </w:rPr>
              <w:t xml:space="preserve"> data.</w:t>
            </w:r>
          </w:p>
          <w:p w14:paraId="688FE759" w14:textId="77777777" w:rsidR="00CA5E54" w:rsidRPr="00CA5E54" w:rsidRDefault="00CA5E54" w:rsidP="00CA5E54">
            <w:pPr>
              <w:pStyle w:val="ListParagraph"/>
              <w:ind w:left="360"/>
              <w:rPr>
                <w:b w:val="0"/>
                <w:bCs w:val="0"/>
                <w:sz w:val="20"/>
                <w:szCs w:val="20"/>
              </w:rPr>
            </w:pPr>
          </w:p>
          <w:p w14:paraId="30D20D61" w14:textId="71DA51D2" w:rsidR="00332686" w:rsidRPr="00332686" w:rsidRDefault="00332686" w:rsidP="00D345E8">
            <w:pPr>
              <w:pStyle w:val="ListParagraph"/>
              <w:numPr>
                <w:ilvl w:val="0"/>
                <w:numId w:val="35"/>
              </w:numPr>
              <w:rPr>
                <w:b w:val="0"/>
                <w:bCs w:val="0"/>
                <w:sz w:val="20"/>
                <w:szCs w:val="20"/>
              </w:rPr>
            </w:pPr>
            <w:r w:rsidRPr="00332686">
              <w:rPr>
                <w:b w:val="0"/>
                <w:bCs w:val="0"/>
                <w:sz w:val="20"/>
                <w:szCs w:val="20"/>
              </w:rPr>
              <w:t xml:space="preserve">functionality and design for preselected options should allow consumers to ‘unclick’ essential data sets and only then be told </w:t>
            </w:r>
            <w:r w:rsidR="00CA5E54">
              <w:rPr>
                <w:b w:val="0"/>
                <w:bCs w:val="0"/>
                <w:sz w:val="20"/>
                <w:szCs w:val="20"/>
              </w:rPr>
              <w:t xml:space="preserve">the </w:t>
            </w:r>
            <w:r w:rsidRPr="00332686">
              <w:rPr>
                <w:b w:val="0"/>
                <w:bCs w:val="0"/>
                <w:sz w:val="20"/>
                <w:szCs w:val="20"/>
              </w:rPr>
              <w:t xml:space="preserve">data is essential / required for the product or service. It was suggested this would promote a greater understanding and explanation of necessary data sets. </w:t>
            </w:r>
          </w:p>
          <w:p w14:paraId="055810C4" w14:textId="77777777" w:rsidR="00332686" w:rsidRPr="00332686" w:rsidRDefault="00332686" w:rsidP="00332686">
            <w:pPr>
              <w:rPr>
                <w:b w:val="0"/>
                <w:bCs w:val="0"/>
                <w:sz w:val="20"/>
                <w:szCs w:val="20"/>
              </w:rPr>
            </w:pPr>
          </w:p>
          <w:p w14:paraId="1E87F078" w14:textId="77777777" w:rsidR="00332686" w:rsidRPr="00332686" w:rsidRDefault="00332686" w:rsidP="00D345E8">
            <w:pPr>
              <w:pStyle w:val="ListParagraph"/>
              <w:numPr>
                <w:ilvl w:val="0"/>
                <w:numId w:val="35"/>
              </w:numPr>
              <w:rPr>
                <w:b w:val="0"/>
                <w:bCs w:val="0"/>
                <w:sz w:val="20"/>
                <w:szCs w:val="20"/>
              </w:rPr>
            </w:pPr>
            <w:r w:rsidRPr="00332686">
              <w:rPr>
                <w:b w:val="0"/>
                <w:bCs w:val="0"/>
                <w:sz w:val="20"/>
                <w:szCs w:val="20"/>
              </w:rPr>
              <w:t>the data minimisation principle provides sufficient protection to ensure pre-selected options are not broader than they should be</w:t>
            </w:r>
            <w:r w:rsidR="002E18F3">
              <w:rPr>
                <w:b w:val="0"/>
                <w:bCs w:val="0"/>
                <w:sz w:val="20"/>
                <w:szCs w:val="20"/>
              </w:rPr>
              <w:t>.</w:t>
            </w:r>
          </w:p>
          <w:p w14:paraId="6020E716" w14:textId="77777777" w:rsidR="00332686" w:rsidRPr="00332686" w:rsidRDefault="00332686" w:rsidP="00332686">
            <w:pPr>
              <w:pStyle w:val="ListParagraph"/>
              <w:ind w:left="360"/>
              <w:rPr>
                <w:b w:val="0"/>
                <w:bCs w:val="0"/>
                <w:sz w:val="20"/>
                <w:szCs w:val="20"/>
              </w:rPr>
            </w:pPr>
          </w:p>
          <w:p w14:paraId="694E195F" w14:textId="77777777" w:rsidR="00332686" w:rsidRPr="00332686" w:rsidRDefault="00332686" w:rsidP="00F11869">
            <w:pPr>
              <w:pStyle w:val="ListParagraph"/>
              <w:numPr>
                <w:ilvl w:val="0"/>
                <w:numId w:val="35"/>
              </w:numPr>
              <w:rPr>
                <w:b w:val="0"/>
                <w:bCs w:val="0"/>
                <w:sz w:val="20"/>
                <w:szCs w:val="20"/>
              </w:rPr>
            </w:pPr>
            <w:r w:rsidRPr="00332686">
              <w:rPr>
                <w:b w:val="0"/>
                <w:bCs w:val="0"/>
                <w:sz w:val="20"/>
                <w:szCs w:val="20"/>
              </w:rPr>
              <w:t>heavy visual cues are already needed to ensure consumers select options essential for the service.</w:t>
            </w:r>
          </w:p>
        </w:tc>
        <w:tc>
          <w:tcPr>
            <w:tcW w:w="3827" w:type="dxa"/>
          </w:tcPr>
          <w:p w14:paraId="331AAD98" w14:textId="39BBE446" w:rsidR="00CA5E54" w:rsidRDefault="00CA5E54" w:rsidP="00332686">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As noted above, t</w:t>
            </w:r>
            <w:r w:rsidR="00332686">
              <w:rPr>
                <w:bCs/>
                <w:sz w:val="20"/>
                <w:szCs w:val="20"/>
              </w:rPr>
              <w:t xml:space="preserve">he Treasury proposes </w:t>
            </w:r>
            <w:r w:rsidR="008C744F">
              <w:rPr>
                <w:bCs/>
                <w:sz w:val="20"/>
                <w:szCs w:val="20"/>
              </w:rPr>
              <w:t xml:space="preserve">a change </w:t>
            </w:r>
            <w:r w:rsidR="00332686">
              <w:rPr>
                <w:bCs/>
                <w:sz w:val="20"/>
                <w:szCs w:val="20"/>
              </w:rPr>
              <w:t>to amend the CDR Rules</w:t>
            </w:r>
            <w:r w:rsidR="00332686">
              <w:rPr>
                <w:rStyle w:val="FootnoteReference"/>
                <w:bCs/>
                <w:sz w:val="20"/>
                <w:szCs w:val="20"/>
              </w:rPr>
              <w:footnoteReference w:id="15"/>
            </w:r>
            <w:r w:rsidR="00332686">
              <w:rPr>
                <w:bCs/>
                <w:sz w:val="20"/>
                <w:szCs w:val="20"/>
              </w:rPr>
              <w:t xml:space="preserve"> </w:t>
            </w:r>
            <w:r w:rsidR="00332686" w:rsidRPr="003C0AF9">
              <w:rPr>
                <w:bCs/>
                <w:sz w:val="20"/>
                <w:szCs w:val="20"/>
              </w:rPr>
              <w:t xml:space="preserve">to remove </w:t>
            </w:r>
            <w:r w:rsidR="00332686">
              <w:rPr>
                <w:bCs/>
                <w:sz w:val="20"/>
                <w:szCs w:val="20"/>
              </w:rPr>
              <w:t xml:space="preserve">the requirement for consents to involve an </w:t>
            </w:r>
            <w:r w:rsidR="00332686" w:rsidRPr="003C0AF9">
              <w:rPr>
                <w:bCs/>
                <w:sz w:val="20"/>
                <w:szCs w:val="20"/>
              </w:rPr>
              <w:t xml:space="preserve">active selection requirement while </w:t>
            </w:r>
            <w:r w:rsidR="00332686">
              <w:rPr>
                <w:bCs/>
                <w:sz w:val="20"/>
                <w:szCs w:val="20"/>
              </w:rPr>
              <w:t xml:space="preserve">preserving the requirement for there to be a </w:t>
            </w:r>
            <w:r w:rsidR="00332686" w:rsidRPr="003C0AF9">
              <w:rPr>
                <w:bCs/>
                <w:sz w:val="20"/>
                <w:szCs w:val="20"/>
              </w:rPr>
              <w:t>clear indication</w:t>
            </w:r>
            <w:r w:rsidR="00332686">
              <w:rPr>
                <w:bCs/>
                <w:sz w:val="20"/>
                <w:szCs w:val="20"/>
              </w:rPr>
              <w:t xml:space="preserve"> of the consumer’s agreement to the combination of consents that have been preselected for a particular product or service. </w:t>
            </w:r>
          </w:p>
          <w:p w14:paraId="5558C19A" w14:textId="77777777" w:rsidR="00CA5E54" w:rsidRDefault="00CA5E54"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74303E4E" w14:textId="12B477F7" w:rsidR="00332686" w:rsidRDefault="00332686"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79D32CA5"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3564AEF4"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7298879A"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60970B4A" w14:textId="77777777" w:rsidR="00332686" w:rsidRPr="003C0AF9" w:rsidRDefault="00332686" w:rsidP="00332686">
            <w:pPr>
              <w:cnfStyle w:val="000000100000" w:firstRow="0" w:lastRow="0" w:firstColumn="0" w:lastColumn="0" w:oddVBand="0" w:evenVBand="0" w:oddHBand="1" w:evenHBand="0" w:firstRowFirstColumn="0" w:firstRowLastColumn="0" w:lastRowFirstColumn="0" w:lastRowLastColumn="0"/>
              <w:rPr>
                <w:bCs/>
                <w:sz w:val="20"/>
                <w:szCs w:val="20"/>
              </w:rPr>
            </w:pPr>
          </w:p>
          <w:p w14:paraId="1D9908E6" w14:textId="77777777" w:rsidR="00332686" w:rsidRPr="00BB1DB3" w:rsidRDefault="00332686" w:rsidP="00332686">
            <w:pPr>
              <w:pStyle w:val="ListParagraph"/>
              <w:cnfStyle w:val="000000100000" w:firstRow="0" w:lastRow="0" w:firstColumn="0" w:lastColumn="0" w:oddVBand="0" w:evenVBand="0" w:oddHBand="1" w:evenHBand="0" w:firstRowFirstColumn="0" w:firstRowLastColumn="0" w:lastRowFirstColumn="0" w:lastRowLastColumn="0"/>
              <w:rPr>
                <w:bCs/>
                <w:sz w:val="20"/>
                <w:szCs w:val="20"/>
              </w:rPr>
            </w:pPr>
          </w:p>
          <w:p w14:paraId="12F7326E" w14:textId="77777777" w:rsidR="00332686" w:rsidRPr="00426733" w:rsidRDefault="00332686" w:rsidP="00332686">
            <w:pPr>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208F2F29" w14:textId="43606BBC" w:rsidR="006C1B61" w:rsidRDefault="00332686"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4.11(1)</w:t>
            </w:r>
          </w:p>
          <w:p w14:paraId="61B59D86" w14:textId="77777777" w:rsidR="006C1B61" w:rsidRDefault="006C1B61"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C050888" w14:textId="7A269B7F" w:rsidR="006C1B61" w:rsidRDefault="006C1B61"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4.11(2)</w:t>
            </w:r>
          </w:p>
          <w:p w14:paraId="7B16B657" w14:textId="77777777" w:rsidR="00125A54" w:rsidRDefault="00125A54"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15E1FB7" w14:textId="77777777" w:rsidR="00332686" w:rsidRDefault="00332686"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4.11(3)(g)</w:t>
            </w:r>
          </w:p>
          <w:p w14:paraId="02F38FEB" w14:textId="77777777" w:rsidR="00125A54" w:rsidRDefault="00125A54" w:rsidP="00332686">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4E4D514"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4.12C(3)</w:t>
            </w:r>
          </w:p>
          <w:p w14:paraId="69CF4EA3"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sz w:val="20"/>
                <w:szCs w:val="20"/>
              </w:rPr>
            </w:pPr>
          </w:p>
          <w:p w14:paraId="5108A30C" w14:textId="77777777" w:rsidR="00332686" w:rsidRPr="00A82545" w:rsidRDefault="00332686" w:rsidP="00332686">
            <w:pPr>
              <w:cnfStyle w:val="000000100000" w:firstRow="0" w:lastRow="0" w:firstColumn="0" w:lastColumn="0" w:oddVBand="0" w:evenVBand="0" w:oddHBand="1" w:evenHBand="0" w:firstRowFirstColumn="0" w:firstRowLastColumn="0" w:lastRowFirstColumn="0" w:lastRowLastColumn="0"/>
            </w:pPr>
            <w:r>
              <w:rPr>
                <w:sz w:val="20"/>
                <w:szCs w:val="20"/>
              </w:rPr>
              <w:t>PS 3</w:t>
            </w:r>
          </w:p>
        </w:tc>
        <w:tc>
          <w:tcPr>
            <w:tcW w:w="4819" w:type="dxa"/>
          </w:tcPr>
          <w:p w14:paraId="6CABF304" w14:textId="68EC6420" w:rsidR="00CA5E54" w:rsidRPr="00DB68E5" w:rsidRDefault="00332686" w:rsidP="00CA5E54">
            <w:pPr>
              <w:cnfStyle w:val="000000100000" w:firstRow="0" w:lastRow="0" w:firstColumn="0" w:lastColumn="0" w:oddVBand="0" w:evenVBand="0" w:oddHBand="1" w:evenHBand="0" w:firstRowFirstColumn="0" w:firstRowLastColumn="0" w:lastRowFirstColumn="0" w:lastRowLastColumn="0"/>
              <w:rPr>
                <w:sz w:val="20"/>
                <w:szCs w:val="20"/>
              </w:rPr>
            </w:pPr>
            <w:bookmarkStart w:id="25" w:name="_Hlk163724745"/>
            <w:r>
              <w:rPr>
                <w:sz w:val="20"/>
                <w:szCs w:val="20"/>
              </w:rPr>
              <w:t>In our view, a right to object (</w:t>
            </w:r>
            <w:r w:rsidR="00CA5E54">
              <w:rPr>
                <w:sz w:val="20"/>
                <w:szCs w:val="20"/>
              </w:rPr>
              <w:t xml:space="preserve">see </w:t>
            </w:r>
            <w:r w:rsidRPr="00DB68E5">
              <w:rPr>
                <w:b/>
                <w:bCs/>
                <w:i/>
                <w:iCs/>
                <w:sz w:val="20"/>
                <w:szCs w:val="20"/>
              </w:rPr>
              <w:t>Recommendation</w:t>
            </w:r>
            <w:r w:rsidR="001909B7" w:rsidRPr="00DB68E5">
              <w:rPr>
                <w:b/>
                <w:bCs/>
                <w:i/>
                <w:iCs/>
                <w:sz w:val="20"/>
                <w:szCs w:val="20"/>
              </w:rPr>
              <w:t xml:space="preserve"> </w:t>
            </w:r>
            <w:r w:rsidR="00CA5E54" w:rsidRPr="00DB68E5">
              <w:rPr>
                <w:b/>
                <w:bCs/>
                <w:i/>
                <w:iCs/>
                <w:sz w:val="20"/>
                <w:szCs w:val="20"/>
              </w:rPr>
              <w:t>3</w:t>
            </w:r>
            <w:r>
              <w:rPr>
                <w:sz w:val="20"/>
                <w:szCs w:val="20"/>
              </w:rPr>
              <w:t xml:space="preserve">) </w:t>
            </w:r>
            <w:r w:rsidRPr="00DB68E5">
              <w:rPr>
                <w:sz w:val="20"/>
                <w:szCs w:val="20"/>
              </w:rPr>
              <w:t>would mitigate the privacy risks and criticisms that have been levelled at pre-select</w:t>
            </w:r>
            <w:r w:rsidR="00F11869" w:rsidRPr="00DB68E5">
              <w:rPr>
                <w:sz w:val="20"/>
                <w:szCs w:val="20"/>
              </w:rPr>
              <w:t xml:space="preserve">ion </w:t>
            </w:r>
            <w:r w:rsidRPr="00DB68E5">
              <w:rPr>
                <w:sz w:val="20"/>
                <w:szCs w:val="20"/>
              </w:rPr>
              <w:t>options</w:t>
            </w:r>
            <w:r w:rsidR="00F11869" w:rsidRPr="00DB68E5">
              <w:rPr>
                <w:sz w:val="20"/>
                <w:szCs w:val="20"/>
              </w:rPr>
              <w:t xml:space="preserve">. Generally speaking, pre-selected options and consents </w:t>
            </w:r>
            <w:r w:rsidRPr="00DB68E5">
              <w:rPr>
                <w:sz w:val="20"/>
                <w:szCs w:val="20"/>
              </w:rPr>
              <w:t>undermine consumer autonomy and choice.</w:t>
            </w:r>
            <w:r w:rsidRPr="007F423C">
              <w:rPr>
                <w:vertAlign w:val="superscript"/>
              </w:rPr>
              <w:footnoteReference w:id="16"/>
            </w:r>
            <w:r w:rsidRPr="007F423C">
              <w:rPr>
                <w:sz w:val="20"/>
                <w:szCs w:val="20"/>
                <w:vertAlign w:val="superscript"/>
              </w:rPr>
              <w:t xml:space="preserve"> </w:t>
            </w:r>
          </w:p>
          <w:p w14:paraId="13F43346" w14:textId="77777777" w:rsidR="00CA5E54" w:rsidRDefault="00CA5E54" w:rsidP="00CA5E54">
            <w:pPr>
              <w:cnfStyle w:val="000000100000" w:firstRow="0" w:lastRow="0" w:firstColumn="0" w:lastColumn="0" w:oddVBand="0" w:evenVBand="0" w:oddHBand="1" w:evenHBand="0" w:firstRowFirstColumn="0" w:firstRowLastColumn="0" w:lastRowFirstColumn="0" w:lastRowLastColumn="0"/>
            </w:pPr>
          </w:p>
          <w:p w14:paraId="3AE4A243" w14:textId="3858D543" w:rsidR="00CA5E54" w:rsidRDefault="00CA5E54" w:rsidP="00CA5E5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If the pre-selected option cannot be overridden by the consumer, consistent with the approach that has been explored in the Privacy Act Review Report, an objection about pre-selected choices should trigger a more detailed explanation about why the pre-selected choice is necessary.</w:t>
            </w:r>
            <w:r>
              <w:rPr>
                <w:rStyle w:val="FootnoteReference"/>
                <w:sz w:val="20"/>
                <w:szCs w:val="20"/>
              </w:rPr>
              <w:footnoteReference w:id="17"/>
            </w:r>
            <w:r>
              <w:rPr>
                <w:sz w:val="20"/>
                <w:szCs w:val="20"/>
              </w:rPr>
              <w:t xml:space="preserve"> </w:t>
            </w:r>
          </w:p>
          <w:bookmarkEnd w:id="25"/>
          <w:p w14:paraId="62026B67" w14:textId="77777777" w:rsidR="00332686" w:rsidRDefault="00332686" w:rsidP="00332686">
            <w:pPr>
              <w:cnfStyle w:val="000000100000" w:firstRow="0" w:lastRow="0" w:firstColumn="0" w:lastColumn="0" w:oddVBand="0" w:evenVBand="0" w:oddHBand="1" w:evenHBand="0" w:firstRowFirstColumn="0" w:firstRowLastColumn="0" w:lastRowFirstColumn="0" w:lastRowLastColumn="0"/>
              <w:rPr>
                <w:sz w:val="20"/>
                <w:szCs w:val="20"/>
              </w:rPr>
            </w:pPr>
          </w:p>
          <w:p w14:paraId="14B19DA2" w14:textId="2EF0CE12" w:rsidR="00CA5E54" w:rsidRDefault="00332686" w:rsidP="0033268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Noting Treasury’s proposal to work with OAIC and the ACCC to progress guidelines about bundled consents, Mills Oakley suggests there </w:t>
            </w:r>
            <w:r w:rsidR="00CA5E54">
              <w:rPr>
                <w:sz w:val="20"/>
                <w:szCs w:val="20"/>
              </w:rPr>
              <w:t xml:space="preserve">is also guidance about whether consumers can override pre-selected consents. If a consumer ‘toggles-off’ a pre-selected consent (whether a bundled consent or an individual consent) it would be helpful for the consumer to be presented with an explanation about </w:t>
            </w:r>
            <w:r w:rsidR="00CA5E54" w:rsidRPr="00CA5E54">
              <w:rPr>
                <w:i/>
                <w:iCs/>
                <w:sz w:val="20"/>
                <w:szCs w:val="20"/>
              </w:rPr>
              <w:t>why</w:t>
            </w:r>
            <w:r w:rsidR="00CA5E54">
              <w:rPr>
                <w:sz w:val="20"/>
                <w:szCs w:val="20"/>
              </w:rPr>
              <w:t xml:space="preserve"> the pre-selected consent is necessary in the circumstances. </w:t>
            </w:r>
          </w:p>
          <w:p w14:paraId="1C8A19C2" w14:textId="77777777" w:rsidR="00F11869" w:rsidRDefault="00F11869" w:rsidP="00332686">
            <w:pPr>
              <w:cnfStyle w:val="000000100000" w:firstRow="0" w:lastRow="0" w:firstColumn="0" w:lastColumn="0" w:oddVBand="0" w:evenVBand="0" w:oddHBand="1" w:evenHBand="0" w:firstRowFirstColumn="0" w:firstRowLastColumn="0" w:lastRowFirstColumn="0" w:lastRowLastColumn="0"/>
              <w:rPr>
                <w:b/>
                <w:bCs/>
                <w:i/>
                <w:iCs/>
                <w:sz w:val="20"/>
                <w:szCs w:val="20"/>
              </w:rPr>
            </w:pPr>
          </w:p>
          <w:p w14:paraId="2F8EC256" w14:textId="2C29119C" w:rsidR="00CA5E54" w:rsidRDefault="00332686" w:rsidP="00F11869">
            <w:pPr>
              <w:cnfStyle w:val="000000100000" w:firstRow="0" w:lastRow="0" w:firstColumn="0" w:lastColumn="0" w:oddVBand="0" w:evenVBand="0" w:oddHBand="1" w:evenHBand="0" w:firstRowFirstColumn="0" w:firstRowLastColumn="0" w:lastRowFirstColumn="0" w:lastRowLastColumn="0"/>
              <w:rPr>
                <w:sz w:val="20"/>
                <w:szCs w:val="20"/>
              </w:rPr>
            </w:pPr>
            <w:bookmarkStart w:id="26" w:name="Recommendation_4"/>
            <w:r w:rsidRPr="002D78FA">
              <w:rPr>
                <w:b/>
                <w:bCs/>
                <w:i/>
                <w:iCs/>
                <w:sz w:val="20"/>
                <w:szCs w:val="20"/>
              </w:rPr>
              <w:t>Recommendation</w:t>
            </w:r>
            <w:r w:rsidR="00F11869">
              <w:rPr>
                <w:b/>
                <w:bCs/>
                <w:i/>
                <w:iCs/>
                <w:sz w:val="20"/>
                <w:szCs w:val="20"/>
              </w:rPr>
              <w:t xml:space="preserve"> [4</w:t>
            </w:r>
            <w:bookmarkEnd w:id="26"/>
            <w:r w:rsidR="00F11869">
              <w:rPr>
                <w:b/>
                <w:bCs/>
                <w:i/>
                <w:iCs/>
                <w:sz w:val="20"/>
                <w:szCs w:val="20"/>
              </w:rPr>
              <w:t>]</w:t>
            </w:r>
            <w:r>
              <w:rPr>
                <w:sz w:val="20"/>
                <w:szCs w:val="20"/>
              </w:rPr>
              <w:t xml:space="preserve">: </w:t>
            </w:r>
            <w:r w:rsidR="00FC3EAD">
              <w:rPr>
                <w:sz w:val="20"/>
                <w:szCs w:val="20"/>
              </w:rPr>
              <w:t>Assuming the pre-selection is limited to only what is necessary to deliver the goods or service</w:t>
            </w:r>
            <w:r w:rsidR="007D6806">
              <w:rPr>
                <w:sz w:val="20"/>
                <w:szCs w:val="20"/>
              </w:rPr>
              <w:t>s</w:t>
            </w:r>
            <w:r w:rsidR="00FC3EAD">
              <w:rPr>
                <w:sz w:val="20"/>
                <w:szCs w:val="20"/>
              </w:rPr>
              <w:t xml:space="preserve"> and s</w:t>
            </w:r>
            <w:r>
              <w:rPr>
                <w:sz w:val="20"/>
                <w:szCs w:val="20"/>
              </w:rPr>
              <w:t xml:space="preserve">ubject to </w:t>
            </w:r>
            <w:r w:rsidRPr="006C0AF4">
              <w:rPr>
                <w:b/>
                <w:bCs/>
                <w:i/>
                <w:iCs/>
                <w:sz w:val="20"/>
                <w:szCs w:val="20"/>
              </w:rPr>
              <w:t xml:space="preserve">recommendation </w:t>
            </w:r>
            <w:r w:rsidR="00CA5E54" w:rsidRPr="006C0AF4">
              <w:rPr>
                <w:b/>
                <w:bCs/>
                <w:i/>
                <w:iCs/>
                <w:sz w:val="20"/>
                <w:szCs w:val="20"/>
              </w:rPr>
              <w:t>3</w:t>
            </w:r>
            <w:r>
              <w:rPr>
                <w:sz w:val="20"/>
                <w:szCs w:val="20"/>
              </w:rPr>
              <w:t xml:space="preserve">, Treasury consider whether guidelines and CX standards would be an appropriate vehicle to </w:t>
            </w:r>
            <w:r w:rsidR="00CA5E54">
              <w:rPr>
                <w:sz w:val="20"/>
                <w:szCs w:val="20"/>
              </w:rPr>
              <w:t xml:space="preserve">clarify whether a consumer can override a pre-selected option and the level of detail necessary to explain </w:t>
            </w:r>
            <w:r w:rsidR="00CA5E54" w:rsidRPr="00CA5E54">
              <w:rPr>
                <w:i/>
                <w:iCs/>
                <w:sz w:val="20"/>
                <w:szCs w:val="20"/>
              </w:rPr>
              <w:t>why</w:t>
            </w:r>
            <w:r w:rsidR="00CA5E54">
              <w:rPr>
                <w:sz w:val="20"/>
                <w:szCs w:val="20"/>
              </w:rPr>
              <w:t xml:space="preserve"> a pre-selected option is necessary to deliver the product or service. </w:t>
            </w:r>
          </w:p>
          <w:p w14:paraId="32F6F7DD" w14:textId="77777777" w:rsidR="00332686" w:rsidRPr="00A82545" w:rsidRDefault="00332686" w:rsidP="00CA5E54">
            <w:pPr>
              <w:cnfStyle w:val="000000100000" w:firstRow="0" w:lastRow="0" w:firstColumn="0" w:lastColumn="0" w:oddVBand="0" w:evenVBand="0" w:oddHBand="1" w:evenHBand="0" w:firstRowFirstColumn="0" w:firstRowLastColumn="0" w:lastRowFirstColumn="0" w:lastRowLastColumn="0"/>
            </w:pPr>
          </w:p>
        </w:tc>
      </w:tr>
    </w:tbl>
    <w:p w14:paraId="6B28CEB7" w14:textId="77777777" w:rsidR="000737B4" w:rsidRPr="001F2AD8" w:rsidRDefault="000737B4" w:rsidP="00AC6D85">
      <w:pPr>
        <w:pStyle w:val="MOTermsL2"/>
        <w:numPr>
          <w:ilvl w:val="0"/>
          <w:numId w:val="0"/>
        </w:numPr>
        <w:ind w:left="851"/>
        <w:rPr>
          <w:sz w:val="24"/>
          <w:szCs w:val="24"/>
        </w:rPr>
      </w:pPr>
      <w:bookmarkStart w:id="27" w:name="_Toc165324944"/>
      <w:bookmarkEnd w:id="24"/>
      <w:r w:rsidRPr="001F2AD8">
        <w:rPr>
          <w:sz w:val="24"/>
          <w:szCs w:val="24"/>
        </w:rPr>
        <w:t>Providing information about the withdrawal of consent</w:t>
      </w:r>
      <w:bookmarkEnd w:id="27"/>
      <w:r w:rsidRPr="001F2AD8">
        <w:rPr>
          <w:sz w:val="24"/>
          <w:szCs w:val="24"/>
        </w:rPr>
        <w:t xml:space="preserve"> </w:t>
      </w:r>
    </w:p>
    <w:p w14:paraId="178F24DD" w14:textId="643727DA" w:rsidR="00F11869" w:rsidRPr="00F11869" w:rsidRDefault="00F11869" w:rsidP="000737B4">
      <w:pPr>
        <w:pStyle w:val="MOTermsL4"/>
      </w:pPr>
      <w:r w:rsidRPr="00045323">
        <w:t xml:space="preserve">The </w:t>
      </w:r>
      <w:r w:rsidR="000737B4" w:rsidRPr="00045323">
        <w:t>Treasury</w:t>
      </w:r>
      <w:r w:rsidR="008C744F">
        <w:t xml:space="preserve"> is proposing a change to the CDR Rules </w:t>
      </w:r>
      <w:r w:rsidR="000737B4" w:rsidRPr="00045323">
        <w:t xml:space="preserve">to amend the requirement that an Accredited Person must provide CDR consumers with instructions about how to withdraw consent, and the consequences of doing so, when asking a CDR consumer to give consent. </w:t>
      </w:r>
    </w:p>
    <w:p w14:paraId="6985F8CA" w14:textId="375BA90E" w:rsidR="00F11869" w:rsidRPr="00F11869" w:rsidRDefault="000737B4" w:rsidP="000737B4">
      <w:pPr>
        <w:pStyle w:val="MOTermsL4"/>
      </w:pPr>
      <w:bookmarkStart w:id="28" w:name="_Ref165380065"/>
      <w:r w:rsidRPr="00045323">
        <w:t xml:space="preserve">Rather than provide these details as part of the consent flow, </w:t>
      </w:r>
      <w:r w:rsidR="00E11E72">
        <w:t xml:space="preserve">the </w:t>
      </w:r>
      <w:r w:rsidRPr="00045323">
        <w:t>Treasury proposes that these details are made available to a consumer in a CDR receipt.</w:t>
      </w:r>
      <w:r w:rsidRPr="008C744F">
        <w:rPr>
          <w:vertAlign w:val="superscript"/>
        </w:rPr>
        <w:footnoteReference w:id="18"/>
      </w:r>
      <w:r w:rsidRPr="00045323">
        <w:t xml:space="preserve"> To simpl</w:t>
      </w:r>
      <w:r w:rsidR="00DB68E5">
        <w:t>ify</w:t>
      </w:r>
      <w:r w:rsidRPr="00045323">
        <w:t xml:space="preserve"> the consent flow (and the key messaging) </w:t>
      </w:r>
      <w:r w:rsidR="00E11E72">
        <w:t xml:space="preserve">it is proposed that </w:t>
      </w:r>
      <w:r w:rsidRPr="00045323">
        <w:t>all a CDR consumer needs to be told when asked to provide consent is that they may withdraw the consent at any time.</w:t>
      </w:r>
      <w:bookmarkEnd w:id="28"/>
      <w:r w:rsidRPr="00045323">
        <w:t xml:space="preserve"> </w:t>
      </w:r>
    </w:p>
    <w:p w14:paraId="2FF0FA36" w14:textId="77777777" w:rsidR="000737B4" w:rsidRPr="000737B4" w:rsidRDefault="000737B4" w:rsidP="000737B4">
      <w:pPr>
        <w:pStyle w:val="MOTermsL4"/>
        <w:numPr>
          <w:ilvl w:val="0"/>
          <w:numId w:val="0"/>
        </w:numPr>
        <w:ind w:left="851"/>
      </w:pPr>
    </w:p>
    <w:tbl>
      <w:tblPr>
        <w:tblStyle w:val="GridTable4-Accent1"/>
        <w:tblW w:w="14425" w:type="dxa"/>
        <w:tblLook w:val="04A0" w:firstRow="1" w:lastRow="0" w:firstColumn="1" w:lastColumn="0" w:noHBand="0" w:noVBand="1"/>
      </w:tblPr>
      <w:tblGrid>
        <w:gridCol w:w="3794"/>
        <w:gridCol w:w="3827"/>
        <w:gridCol w:w="1985"/>
        <w:gridCol w:w="4819"/>
      </w:tblGrid>
      <w:tr w:rsidR="000737B4" w14:paraId="69E0C5DE"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4ABBA3E9" w14:textId="58F74A8E" w:rsidR="000737B4" w:rsidRDefault="00483AF3">
            <w:pPr>
              <w:rPr>
                <w:sz w:val="20"/>
                <w:szCs w:val="20"/>
              </w:rPr>
            </w:pPr>
            <w:r w:rsidRPr="0079789C">
              <w:rPr>
                <w:sz w:val="20"/>
                <w:szCs w:val="20"/>
              </w:rPr>
              <w:t>Synopsis of stakeholders’ privacy comments and submissions</w:t>
            </w:r>
          </w:p>
        </w:tc>
        <w:tc>
          <w:tcPr>
            <w:tcW w:w="3827" w:type="dxa"/>
          </w:tcPr>
          <w:p w14:paraId="1B8C07A0" w14:textId="4893C1A1" w:rsidR="000737B4" w:rsidRDefault="000737B4">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660D40C4" w14:textId="77777777" w:rsidR="000737B4" w:rsidRDefault="000737B4">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257A8F86" w14:textId="77777777" w:rsidR="000737B4" w:rsidRDefault="000737B4">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0737B4" w14:paraId="2AB4EF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F13CCB5" w14:textId="2548E86F" w:rsidR="000737B4" w:rsidRPr="000737B4" w:rsidRDefault="000737B4" w:rsidP="000737B4">
            <w:pPr>
              <w:pStyle w:val="ListParagraph"/>
              <w:ind w:left="0"/>
              <w:rPr>
                <w:b w:val="0"/>
                <w:bCs w:val="0"/>
                <w:sz w:val="20"/>
                <w:szCs w:val="20"/>
              </w:rPr>
            </w:pPr>
            <w:r w:rsidRPr="000737B4">
              <w:rPr>
                <w:b w:val="0"/>
                <w:bCs w:val="0"/>
                <w:sz w:val="20"/>
                <w:szCs w:val="20"/>
              </w:rPr>
              <w:t xml:space="preserve">The synopsis of submissions indicates that stakeholders were broadly supportive of the proposal. </w:t>
            </w:r>
          </w:p>
          <w:p w14:paraId="65A12DA5" w14:textId="77777777" w:rsidR="000737B4" w:rsidRPr="000737B4" w:rsidRDefault="000737B4" w:rsidP="000737B4">
            <w:pPr>
              <w:pStyle w:val="ListParagraph"/>
              <w:ind w:left="0"/>
              <w:rPr>
                <w:b w:val="0"/>
                <w:bCs w:val="0"/>
                <w:sz w:val="20"/>
                <w:szCs w:val="20"/>
              </w:rPr>
            </w:pPr>
          </w:p>
          <w:p w14:paraId="7360F060" w14:textId="77777777" w:rsidR="000737B4" w:rsidRPr="000737B4" w:rsidRDefault="000737B4" w:rsidP="000737B4">
            <w:pPr>
              <w:pStyle w:val="ListParagraph"/>
              <w:ind w:left="0"/>
              <w:rPr>
                <w:b w:val="0"/>
                <w:bCs w:val="0"/>
                <w:sz w:val="20"/>
                <w:szCs w:val="20"/>
              </w:rPr>
            </w:pPr>
            <w:r w:rsidRPr="000737B4">
              <w:rPr>
                <w:b w:val="0"/>
                <w:bCs w:val="0"/>
                <w:sz w:val="20"/>
                <w:szCs w:val="20"/>
              </w:rPr>
              <w:t xml:space="preserve">The few stakeholders that either did not support the proposal, or expressed concerns, flagged the following issues: </w:t>
            </w:r>
          </w:p>
          <w:p w14:paraId="68F2801E" w14:textId="77777777" w:rsidR="000737B4" w:rsidRPr="000737B4" w:rsidRDefault="000737B4" w:rsidP="000737B4">
            <w:pPr>
              <w:pStyle w:val="ListParagraph"/>
              <w:ind w:left="0"/>
              <w:rPr>
                <w:b w:val="0"/>
                <w:bCs w:val="0"/>
                <w:sz w:val="20"/>
                <w:szCs w:val="20"/>
              </w:rPr>
            </w:pPr>
          </w:p>
          <w:p w14:paraId="3A29F8CF" w14:textId="77777777" w:rsidR="000737B4" w:rsidRPr="000737B4" w:rsidRDefault="000737B4" w:rsidP="00D345E8">
            <w:pPr>
              <w:pStyle w:val="ListParagraph"/>
              <w:numPr>
                <w:ilvl w:val="0"/>
                <w:numId w:val="36"/>
              </w:numPr>
              <w:rPr>
                <w:b w:val="0"/>
                <w:bCs w:val="0"/>
                <w:sz w:val="20"/>
                <w:szCs w:val="20"/>
              </w:rPr>
            </w:pPr>
            <w:r w:rsidRPr="000737B4">
              <w:rPr>
                <w:b w:val="0"/>
                <w:bCs w:val="0"/>
                <w:sz w:val="20"/>
                <w:szCs w:val="20"/>
              </w:rPr>
              <w:t>withdrawing consent should be as simple as providing consent</w:t>
            </w:r>
            <w:r w:rsidR="002E18F3">
              <w:rPr>
                <w:b w:val="0"/>
                <w:bCs w:val="0"/>
                <w:sz w:val="20"/>
                <w:szCs w:val="20"/>
              </w:rPr>
              <w:t>.</w:t>
            </w:r>
          </w:p>
          <w:p w14:paraId="773AE4FA" w14:textId="77777777" w:rsidR="000737B4" w:rsidRPr="000737B4" w:rsidRDefault="000737B4" w:rsidP="000737B4">
            <w:pPr>
              <w:pStyle w:val="ListParagraph"/>
              <w:ind w:left="360"/>
              <w:rPr>
                <w:b w:val="0"/>
                <w:bCs w:val="0"/>
                <w:sz w:val="20"/>
                <w:szCs w:val="20"/>
              </w:rPr>
            </w:pPr>
          </w:p>
          <w:p w14:paraId="296F4B79" w14:textId="77777777" w:rsidR="000737B4" w:rsidRPr="000737B4" w:rsidRDefault="000737B4" w:rsidP="00D345E8">
            <w:pPr>
              <w:pStyle w:val="ListParagraph"/>
              <w:numPr>
                <w:ilvl w:val="0"/>
                <w:numId w:val="36"/>
              </w:numPr>
              <w:rPr>
                <w:b w:val="0"/>
                <w:bCs w:val="0"/>
                <w:sz w:val="20"/>
                <w:szCs w:val="20"/>
              </w:rPr>
            </w:pPr>
            <w:r w:rsidRPr="000737B4">
              <w:rPr>
                <w:b w:val="0"/>
                <w:bCs w:val="0"/>
                <w:sz w:val="20"/>
                <w:szCs w:val="20"/>
              </w:rPr>
              <w:t>a clear disclosure about the impact of withdrawing consent should be a key element of the consent flow because it avoids misunderstandings about the consequences of withdrawing consent</w:t>
            </w:r>
            <w:r w:rsidR="002E18F3">
              <w:rPr>
                <w:b w:val="0"/>
                <w:bCs w:val="0"/>
                <w:sz w:val="20"/>
                <w:szCs w:val="20"/>
              </w:rPr>
              <w:t>.</w:t>
            </w:r>
          </w:p>
          <w:p w14:paraId="2DAF3627" w14:textId="77777777" w:rsidR="000737B4" w:rsidRPr="000737B4" w:rsidRDefault="000737B4" w:rsidP="000737B4">
            <w:pPr>
              <w:rPr>
                <w:b w:val="0"/>
                <w:bCs w:val="0"/>
                <w:sz w:val="20"/>
                <w:szCs w:val="20"/>
              </w:rPr>
            </w:pPr>
          </w:p>
          <w:p w14:paraId="35BD3DCD" w14:textId="7909A73D" w:rsidR="000737B4" w:rsidRPr="000737B4" w:rsidRDefault="000737B4" w:rsidP="00D345E8">
            <w:pPr>
              <w:pStyle w:val="ListParagraph"/>
              <w:numPr>
                <w:ilvl w:val="0"/>
                <w:numId w:val="36"/>
              </w:numPr>
              <w:rPr>
                <w:b w:val="0"/>
                <w:bCs w:val="0"/>
                <w:sz w:val="20"/>
                <w:szCs w:val="20"/>
              </w:rPr>
            </w:pPr>
            <w:r w:rsidRPr="000737B4">
              <w:rPr>
                <w:b w:val="0"/>
                <w:bCs w:val="0"/>
                <w:sz w:val="20"/>
                <w:szCs w:val="20"/>
              </w:rPr>
              <w:t>consumers are generally more engaged during the on-boarding process, making it a better time to manage expectations about the management of consent</w:t>
            </w:r>
            <w:r w:rsidR="002E18F3">
              <w:rPr>
                <w:b w:val="0"/>
                <w:bCs w:val="0"/>
                <w:sz w:val="20"/>
                <w:szCs w:val="20"/>
              </w:rPr>
              <w:t>.</w:t>
            </w:r>
          </w:p>
          <w:p w14:paraId="37F8ADD3" w14:textId="77777777" w:rsidR="000737B4" w:rsidRPr="000737B4" w:rsidRDefault="000737B4" w:rsidP="000737B4">
            <w:pPr>
              <w:pStyle w:val="ListParagraph"/>
              <w:rPr>
                <w:b w:val="0"/>
                <w:bCs w:val="0"/>
                <w:sz w:val="20"/>
                <w:szCs w:val="20"/>
              </w:rPr>
            </w:pPr>
          </w:p>
          <w:p w14:paraId="5A315503" w14:textId="0261C2DB" w:rsidR="000737B4" w:rsidRPr="000737B4" w:rsidRDefault="000737B4" w:rsidP="00D345E8">
            <w:pPr>
              <w:pStyle w:val="ListParagraph"/>
              <w:numPr>
                <w:ilvl w:val="0"/>
                <w:numId w:val="36"/>
              </w:numPr>
              <w:rPr>
                <w:b w:val="0"/>
                <w:bCs w:val="0"/>
                <w:sz w:val="20"/>
                <w:szCs w:val="20"/>
              </w:rPr>
            </w:pPr>
            <w:r w:rsidRPr="000737B4">
              <w:rPr>
                <w:b w:val="0"/>
                <w:bCs w:val="0"/>
                <w:sz w:val="20"/>
                <w:szCs w:val="20"/>
              </w:rPr>
              <w:t xml:space="preserve">engagement with instructions about how to withdraw consent and the </w:t>
            </w:r>
            <w:r w:rsidR="007A1FB9" w:rsidRPr="000737B4">
              <w:rPr>
                <w:b w:val="0"/>
                <w:bCs w:val="0"/>
                <w:sz w:val="20"/>
                <w:szCs w:val="20"/>
              </w:rPr>
              <w:t>consequence</w:t>
            </w:r>
            <w:r w:rsidRPr="000737B4">
              <w:rPr>
                <w:b w:val="0"/>
                <w:bCs w:val="0"/>
                <w:sz w:val="20"/>
                <w:szCs w:val="20"/>
              </w:rPr>
              <w:t xml:space="preserve"> of doing so is likely to be low. Concerns were expressed that sequencing the provision of this information later in the consent flow is essentially hiding the information, disempowers consumers and may undermine confidence and trust in the CDR regime</w:t>
            </w:r>
            <w:r w:rsidR="002E18F3">
              <w:rPr>
                <w:b w:val="0"/>
                <w:bCs w:val="0"/>
                <w:sz w:val="20"/>
                <w:szCs w:val="20"/>
              </w:rPr>
              <w:t>.</w:t>
            </w:r>
          </w:p>
          <w:p w14:paraId="31973A5E" w14:textId="77777777" w:rsidR="000737B4" w:rsidRPr="000737B4" w:rsidRDefault="000737B4" w:rsidP="000737B4">
            <w:pPr>
              <w:pStyle w:val="ListParagraph"/>
              <w:rPr>
                <w:b w:val="0"/>
                <w:bCs w:val="0"/>
                <w:sz w:val="20"/>
                <w:szCs w:val="20"/>
              </w:rPr>
            </w:pPr>
          </w:p>
          <w:p w14:paraId="4EAAFC97" w14:textId="28459393" w:rsidR="000737B4" w:rsidRPr="0094653F" w:rsidRDefault="000737B4" w:rsidP="000737B4">
            <w:pPr>
              <w:pStyle w:val="ListParagraph"/>
              <w:numPr>
                <w:ilvl w:val="0"/>
                <w:numId w:val="36"/>
              </w:numPr>
              <w:rPr>
                <w:b w:val="0"/>
                <w:bCs w:val="0"/>
                <w:sz w:val="20"/>
                <w:szCs w:val="20"/>
              </w:rPr>
            </w:pPr>
            <w:r w:rsidRPr="000737B4">
              <w:rPr>
                <w:b w:val="0"/>
                <w:bCs w:val="0"/>
                <w:sz w:val="20"/>
                <w:szCs w:val="20"/>
              </w:rPr>
              <w:t xml:space="preserve">re-sequencing the provision of this information may inadvertently create a ‘dark pattern’ where the consequences of withdrawing consent are presented in a negative light and operate (or nudge behaviour) in a way that is analogous to a subscription trap. </w:t>
            </w:r>
          </w:p>
        </w:tc>
        <w:tc>
          <w:tcPr>
            <w:tcW w:w="3827" w:type="dxa"/>
          </w:tcPr>
          <w:p w14:paraId="10A912E9" w14:textId="307FB12A" w:rsidR="000737B4" w:rsidRDefault="000737B4" w:rsidP="000737B4">
            <w:pPr>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920E36">
              <w:rPr>
                <w:rFonts w:cs="Arial"/>
                <w:bCs/>
                <w:sz w:val="20"/>
                <w:szCs w:val="20"/>
              </w:rPr>
              <w:t xml:space="preserve">The Treasury intends to </w:t>
            </w:r>
            <w:r>
              <w:rPr>
                <w:rFonts w:cs="Arial"/>
                <w:bCs/>
                <w:sz w:val="20"/>
                <w:szCs w:val="20"/>
              </w:rPr>
              <w:t xml:space="preserve">streamline the information that is provided to CDR consumers about withdrawing consent </w:t>
            </w:r>
            <w:r w:rsidR="00E11E72">
              <w:rPr>
                <w:rFonts w:cs="Arial"/>
                <w:bCs/>
                <w:sz w:val="20"/>
                <w:szCs w:val="20"/>
              </w:rPr>
              <w:t xml:space="preserve">and </w:t>
            </w:r>
            <w:r>
              <w:rPr>
                <w:rFonts w:cs="Arial"/>
                <w:bCs/>
                <w:sz w:val="20"/>
                <w:szCs w:val="20"/>
              </w:rPr>
              <w:t xml:space="preserve">the timing of that information in the UX. </w:t>
            </w:r>
          </w:p>
          <w:p w14:paraId="41473742" w14:textId="77777777" w:rsidR="000737B4" w:rsidRDefault="000737B4" w:rsidP="000737B4">
            <w:pPr>
              <w:cnfStyle w:val="000000100000" w:firstRow="0" w:lastRow="0" w:firstColumn="0" w:lastColumn="0" w:oddVBand="0" w:evenVBand="0" w:oddHBand="1" w:evenHBand="0" w:firstRowFirstColumn="0" w:firstRowLastColumn="0" w:lastRowFirstColumn="0" w:lastRowLastColumn="0"/>
              <w:rPr>
                <w:rFonts w:cs="Arial"/>
                <w:bCs/>
                <w:sz w:val="20"/>
                <w:szCs w:val="20"/>
              </w:rPr>
            </w:pPr>
          </w:p>
          <w:p w14:paraId="641FA4CF" w14:textId="77777777" w:rsidR="000737B4" w:rsidRDefault="000737B4" w:rsidP="000737B4">
            <w:pPr>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 xml:space="preserve">As indicated above, </w:t>
            </w:r>
            <w:r w:rsidRPr="00920E36">
              <w:rPr>
                <w:rFonts w:cs="Arial"/>
                <w:bCs/>
                <w:sz w:val="20"/>
                <w:szCs w:val="20"/>
              </w:rPr>
              <w:t xml:space="preserve">instructions </w:t>
            </w:r>
            <w:r>
              <w:rPr>
                <w:rFonts w:cs="Arial"/>
                <w:bCs/>
                <w:sz w:val="20"/>
                <w:szCs w:val="20"/>
              </w:rPr>
              <w:t xml:space="preserve">about </w:t>
            </w:r>
            <w:r w:rsidRPr="00920E36">
              <w:rPr>
                <w:rFonts w:cs="Arial"/>
                <w:bCs/>
                <w:sz w:val="20"/>
                <w:szCs w:val="20"/>
              </w:rPr>
              <w:t>how the consent can be withdrawn</w:t>
            </w:r>
            <w:r w:rsidRPr="00920E36">
              <w:rPr>
                <w:rStyle w:val="FootnoteReference"/>
                <w:rFonts w:cs="Arial"/>
                <w:bCs/>
                <w:sz w:val="20"/>
                <w:szCs w:val="20"/>
              </w:rPr>
              <w:footnoteReference w:id="19"/>
            </w:r>
            <w:r w:rsidRPr="00920E36">
              <w:rPr>
                <w:rFonts w:cs="Arial"/>
                <w:bCs/>
                <w:sz w:val="20"/>
                <w:szCs w:val="20"/>
              </w:rPr>
              <w:t xml:space="preserve"> and</w:t>
            </w:r>
            <w:r>
              <w:rPr>
                <w:rFonts w:cs="Arial"/>
                <w:bCs/>
                <w:sz w:val="20"/>
                <w:szCs w:val="20"/>
              </w:rPr>
              <w:t xml:space="preserve"> </w:t>
            </w:r>
            <w:r w:rsidRPr="00920E36">
              <w:rPr>
                <w:rFonts w:cs="Arial"/>
                <w:bCs/>
                <w:sz w:val="20"/>
                <w:szCs w:val="20"/>
              </w:rPr>
              <w:t xml:space="preserve">a statement </w:t>
            </w:r>
            <w:r>
              <w:rPr>
                <w:rFonts w:cs="Arial"/>
                <w:bCs/>
                <w:sz w:val="20"/>
                <w:szCs w:val="20"/>
              </w:rPr>
              <w:t xml:space="preserve">about </w:t>
            </w:r>
            <w:r w:rsidRPr="00920E36">
              <w:rPr>
                <w:rFonts w:cs="Arial"/>
                <w:bCs/>
                <w:sz w:val="20"/>
                <w:szCs w:val="20"/>
              </w:rPr>
              <w:t>the consequences (if any) to the CDR consumer if consent</w:t>
            </w:r>
            <w:r>
              <w:rPr>
                <w:rFonts w:cs="Arial"/>
                <w:bCs/>
                <w:sz w:val="20"/>
                <w:szCs w:val="20"/>
              </w:rPr>
              <w:t xml:space="preserve"> is withdrawn will be provided ‘after the fact’ rather than at the point consent is requested.</w:t>
            </w:r>
            <w:r w:rsidRPr="00920E36">
              <w:rPr>
                <w:rStyle w:val="FootnoteReference"/>
                <w:rFonts w:cs="Arial"/>
                <w:bCs/>
                <w:sz w:val="20"/>
                <w:szCs w:val="20"/>
              </w:rPr>
              <w:footnoteReference w:id="20"/>
            </w:r>
          </w:p>
          <w:p w14:paraId="2D027E21" w14:textId="77777777" w:rsidR="000737B4" w:rsidRDefault="000737B4" w:rsidP="000737B4">
            <w:pPr>
              <w:cnfStyle w:val="000000100000" w:firstRow="0" w:lastRow="0" w:firstColumn="0" w:lastColumn="0" w:oddVBand="0" w:evenVBand="0" w:oddHBand="1" w:evenHBand="0" w:firstRowFirstColumn="0" w:firstRowLastColumn="0" w:lastRowFirstColumn="0" w:lastRowLastColumn="0"/>
              <w:rPr>
                <w:rFonts w:cs="Arial"/>
                <w:bCs/>
                <w:sz w:val="20"/>
                <w:szCs w:val="20"/>
              </w:rPr>
            </w:pPr>
          </w:p>
          <w:p w14:paraId="53AD852A" w14:textId="7B7CEA0D" w:rsidR="000737B4" w:rsidRPr="000D6C1E" w:rsidRDefault="000737B4" w:rsidP="000737B4">
            <w:pPr>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 xml:space="preserve">In addition to moving this consent messaging to CDR receipts, Treasury is exploring whether </w:t>
            </w:r>
            <w:r w:rsidR="008C744F">
              <w:rPr>
                <w:rFonts w:cs="Arial"/>
                <w:bCs/>
                <w:sz w:val="20"/>
                <w:szCs w:val="20"/>
              </w:rPr>
              <w:t xml:space="preserve">information </w:t>
            </w:r>
            <w:r>
              <w:rPr>
                <w:rFonts w:cs="Arial"/>
                <w:bCs/>
                <w:sz w:val="20"/>
                <w:szCs w:val="20"/>
              </w:rPr>
              <w:t xml:space="preserve">could be captured as part of consumer dashboard functionality. </w:t>
            </w:r>
          </w:p>
          <w:p w14:paraId="42DA798B" w14:textId="77777777" w:rsidR="000737B4" w:rsidRPr="000D6C1E" w:rsidRDefault="000737B4" w:rsidP="000737B4">
            <w:pPr>
              <w:pStyle w:val="Bullet"/>
              <w:framePr w:hSpace="0" w:wrap="auto" w:vAnchor="margin" w:xAlign="left" w:yAlign="inline"/>
              <w:numPr>
                <w:ilvl w:val="0"/>
                <w:numId w:val="0"/>
              </w:numPr>
              <w:ind w:left="30"/>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p w14:paraId="5275A8CE" w14:textId="77777777" w:rsidR="000737B4" w:rsidRPr="000D6C1E" w:rsidRDefault="000737B4" w:rsidP="000737B4">
            <w:pPr>
              <w:pStyle w:val="Bullet"/>
              <w:framePr w:hSpace="0" w:wrap="auto" w:vAnchor="margin" w:xAlign="left" w:yAlign="inline"/>
              <w:numPr>
                <w:ilvl w:val="0"/>
                <w:numId w:val="0"/>
              </w:numPr>
              <w:ind w:left="390"/>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p w14:paraId="06D9C27A" w14:textId="77777777" w:rsidR="000737B4" w:rsidRPr="00426733" w:rsidRDefault="000737B4" w:rsidP="000737B4">
            <w:pPr>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B067B6A" w14:textId="1EA266A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375351">
              <w:rPr>
                <w:rFonts w:cs="Arial"/>
                <w:sz w:val="20"/>
                <w:szCs w:val="20"/>
              </w:rPr>
              <w:t>r 4.11</w:t>
            </w:r>
            <w:r w:rsidR="00E87164">
              <w:rPr>
                <w:rFonts w:cs="Arial"/>
                <w:sz w:val="20"/>
                <w:szCs w:val="20"/>
              </w:rPr>
              <w:t>(3)(g)(ii) and (iii)</w:t>
            </w:r>
          </w:p>
          <w:p w14:paraId="72B97B14" w14:textId="77777777" w:rsidR="002E18F3" w:rsidRPr="00375351" w:rsidRDefault="002E18F3"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p>
          <w:p w14:paraId="50B3ABEB"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375351">
              <w:rPr>
                <w:rFonts w:cs="Arial"/>
                <w:sz w:val="20"/>
                <w:szCs w:val="20"/>
              </w:rPr>
              <w:t>r 4.13</w:t>
            </w:r>
          </w:p>
          <w:p w14:paraId="17D747BE" w14:textId="77777777" w:rsidR="002E18F3" w:rsidRPr="00375351" w:rsidRDefault="002E18F3"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p>
          <w:p w14:paraId="38E7F0AE"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sidRPr="00375351">
              <w:rPr>
                <w:rFonts w:cs="Arial"/>
                <w:sz w:val="20"/>
                <w:szCs w:val="20"/>
              </w:rPr>
              <w:t>r 1.14(1)(c)</w:t>
            </w:r>
          </w:p>
          <w:p w14:paraId="24FBAE4A" w14:textId="77777777" w:rsidR="00E87164" w:rsidRDefault="00E87164"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p>
          <w:p w14:paraId="657B761E" w14:textId="59BDA959" w:rsidR="00E87164" w:rsidRDefault="00E87164" w:rsidP="000737B4">
            <w:pPr>
              <w:pStyle w:val="ListParagraph"/>
              <w:ind w:left="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r 7.5(3)</w:t>
            </w:r>
          </w:p>
          <w:p w14:paraId="350926F1" w14:textId="77777777" w:rsidR="000737B4" w:rsidRPr="00A82545" w:rsidRDefault="000737B4" w:rsidP="000737B4">
            <w:pPr>
              <w:cnfStyle w:val="000000100000" w:firstRow="0" w:lastRow="0" w:firstColumn="0" w:lastColumn="0" w:oddVBand="0" w:evenVBand="0" w:oddHBand="1" w:evenHBand="0" w:firstRowFirstColumn="0" w:firstRowLastColumn="0" w:lastRowFirstColumn="0" w:lastRowLastColumn="0"/>
            </w:pPr>
          </w:p>
        </w:tc>
        <w:tc>
          <w:tcPr>
            <w:tcW w:w="4819" w:type="dxa"/>
          </w:tcPr>
          <w:p w14:paraId="3B27BC53"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has formed the view that the proposal balances the need for consent to be informed and not providing consumers with unnecessary or poorly timed additional information. </w:t>
            </w:r>
          </w:p>
          <w:p w14:paraId="7E708EA5"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F1D4F9F"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Provided that CDR consumers’ expectations are managed up-front and that a consent flow include</w:t>
            </w:r>
            <w:r w:rsidR="00F11869">
              <w:rPr>
                <w:sz w:val="20"/>
                <w:szCs w:val="20"/>
              </w:rPr>
              <w:t>s</w:t>
            </w:r>
            <w:r>
              <w:rPr>
                <w:sz w:val="20"/>
                <w:szCs w:val="20"/>
              </w:rPr>
              <w:t xml:space="preserve"> express notification to the consumer that they can withdraw consent at any time, the combination of the measures identified by the Treasury mitigates the privacy risks associated with resequencing </w:t>
            </w:r>
            <w:r w:rsidRPr="00F11869">
              <w:rPr>
                <w:i/>
                <w:iCs/>
                <w:sz w:val="20"/>
                <w:szCs w:val="20"/>
              </w:rPr>
              <w:t>when</w:t>
            </w:r>
            <w:r>
              <w:rPr>
                <w:sz w:val="20"/>
                <w:szCs w:val="20"/>
              </w:rPr>
              <w:t xml:space="preserve"> and </w:t>
            </w:r>
            <w:r w:rsidRPr="00F11869">
              <w:rPr>
                <w:i/>
                <w:iCs/>
                <w:sz w:val="20"/>
                <w:szCs w:val="20"/>
              </w:rPr>
              <w:t>how</w:t>
            </w:r>
            <w:r>
              <w:rPr>
                <w:sz w:val="20"/>
                <w:szCs w:val="20"/>
              </w:rPr>
              <w:t xml:space="preserve"> the additiona</w:t>
            </w:r>
            <w:r w:rsidR="00637274">
              <w:rPr>
                <w:sz w:val="20"/>
                <w:szCs w:val="20"/>
              </w:rPr>
              <w:t>l</w:t>
            </w:r>
            <w:r>
              <w:rPr>
                <w:sz w:val="20"/>
                <w:szCs w:val="20"/>
              </w:rPr>
              <w:t xml:space="preserve"> details </w:t>
            </w:r>
            <w:r w:rsidR="00F11869">
              <w:rPr>
                <w:sz w:val="20"/>
                <w:szCs w:val="20"/>
              </w:rPr>
              <w:t xml:space="preserve">about </w:t>
            </w:r>
            <w:r>
              <w:rPr>
                <w:sz w:val="20"/>
                <w:szCs w:val="20"/>
              </w:rPr>
              <w:t>withdrawing consent are provided.</w:t>
            </w:r>
          </w:p>
          <w:p w14:paraId="62844E04" w14:textId="77777777" w:rsidR="000737B4"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8B1E5B2" w14:textId="0360009A" w:rsidR="00045323" w:rsidRDefault="000737B4" w:rsidP="000737B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We are of the view that providing instructions about how consent can be withdrawn, and the consequences of doing so, can be sensibly presented as part of a CDR receipt. However, since receipts are issued after consent has been provided by a consumer, Mills Oakley is of the view that a brief explanation about how consent can be withdrawn and the consequences of doing so should be readily available and discoverable by those consumers who want to refer to that information </w:t>
            </w:r>
            <w:r w:rsidRPr="00392001">
              <w:rPr>
                <w:i/>
                <w:iCs/>
                <w:sz w:val="20"/>
                <w:szCs w:val="20"/>
              </w:rPr>
              <w:t>before</w:t>
            </w:r>
            <w:r>
              <w:rPr>
                <w:sz w:val="20"/>
                <w:szCs w:val="20"/>
              </w:rPr>
              <w:t xml:space="preserve"> providing or confirming their consent. </w:t>
            </w:r>
            <w:r w:rsidR="00E11E72">
              <w:rPr>
                <w:sz w:val="20"/>
                <w:szCs w:val="20"/>
              </w:rPr>
              <w:t xml:space="preserve"> In other words, the consent flow should permit a consumer to click through to that level of detail if they want it before giving consent. </w:t>
            </w:r>
          </w:p>
          <w:p w14:paraId="6452DE7A" w14:textId="77777777" w:rsidR="000737B4" w:rsidRDefault="000737B4" w:rsidP="000737B4">
            <w:pPr>
              <w:cnfStyle w:val="000000100000" w:firstRow="0" w:lastRow="0" w:firstColumn="0" w:lastColumn="0" w:oddVBand="0" w:evenVBand="0" w:oddHBand="1" w:evenHBand="0" w:firstRowFirstColumn="0" w:firstRowLastColumn="0" w:lastRowFirstColumn="0" w:lastRowLastColumn="0"/>
              <w:rPr>
                <w:sz w:val="20"/>
                <w:szCs w:val="20"/>
              </w:rPr>
            </w:pPr>
          </w:p>
          <w:p w14:paraId="5A2DD0ED" w14:textId="4C0D00EA" w:rsidR="000737B4" w:rsidRPr="00A82545" w:rsidRDefault="000737B4" w:rsidP="00045323">
            <w:pPr>
              <w:cnfStyle w:val="000000100000" w:firstRow="0" w:lastRow="0" w:firstColumn="0" w:lastColumn="0" w:oddVBand="0" w:evenVBand="0" w:oddHBand="1" w:evenHBand="0" w:firstRowFirstColumn="0" w:firstRowLastColumn="0" w:lastRowFirstColumn="0" w:lastRowLastColumn="0"/>
            </w:pPr>
            <w:bookmarkStart w:id="30" w:name="Recommendation_5"/>
            <w:r w:rsidRPr="00C716C2">
              <w:rPr>
                <w:b/>
                <w:bCs/>
                <w:i/>
                <w:iCs/>
                <w:sz w:val="20"/>
                <w:szCs w:val="20"/>
              </w:rPr>
              <w:t>Recommendation</w:t>
            </w:r>
            <w:r w:rsidR="00392001">
              <w:rPr>
                <w:b/>
                <w:bCs/>
                <w:i/>
                <w:iCs/>
                <w:sz w:val="20"/>
                <w:szCs w:val="20"/>
              </w:rPr>
              <w:t xml:space="preserve"> [</w:t>
            </w:r>
            <w:r w:rsidR="00E11E72">
              <w:rPr>
                <w:b/>
                <w:bCs/>
                <w:i/>
                <w:iCs/>
                <w:sz w:val="20"/>
                <w:szCs w:val="20"/>
              </w:rPr>
              <w:t>5</w:t>
            </w:r>
            <w:bookmarkEnd w:id="30"/>
            <w:r w:rsidR="00392001">
              <w:rPr>
                <w:b/>
                <w:bCs/>
                <w:i/>
                <w:iCs/>
                <w:sz w:val="20"/>
                <w:szCs w:val="20"/>
              </w:rPr>
              <w:t>]</w:t>
            </w:r>
            <w:r w:rsidRPr="00C716C2">
              <w:rPr>
                <w:b/>
                <w:bCs/>
                <w:i/>
                <w:iCs/>
                <w:sz w:val="20"/>
                <w:szCs w:val="20"/>
              </w:rPr>
              <w:t>:</w:t>
            </w:r>
            <w:r>
              <w:rPr>
                <w:sz w:val="20"/>
                <w:szCs w:val="20"/>
              </w:rPr>
              <w:t xml:space="preserve"> Treasury consider whether guidance, such as in CX standards, might encourage </w:t>
            </w:r>
            <w:r w:rsidR="00392001">
              <w:rPr>
                <w:sz w:val="20"/>
                <w:szCs w:val="20"/>
              </w:rPr>
              <w:t xml:space="preserve">an </w:t>
            </w:r>
            <w:r>
              <w:rPr>
                <w:sz w:val="20"/>
                <w:szCs w:val="20"/>
              </w:rPr>
              <w:t xml:space="preserve">Accredited Person to tell consumers, as part of a consent flow, where to find further information about withdrawing consent. </w:t>
            </w:r>
          </w:p>
        </w:tc>
      </w:tr>
    </w:tbl>
    <w:p w14:paraId="7A525F45" w14:textId="641F5391" w:rsidR="00F8649C" w:rsidRDefault="00F8649C" w:rsidP="00AC6D85">
      <w:pPr>
        <w:pStyle w:val="MOTermsL2"/>
        <w:numPr>
          <w:ilvl w:val="0"/>
          <w:numId w:val="0"/>
        </w:numPr>
      </w:pPr>
      <w:bookmarkStart w:id="31" w:name="_Toc165324945"/>
      <w:r w:rsidRPr="001F2AD8">
        <w:rPr>
          <w:sz w:val="24"/>
          <w:szCs w:val="24"/>
        </w:rPr>
        <w:t>Information about supporting parties</w:t>
      </w:r>
      <w:bookmarkEnd w:id="31"/>
    </w:p>
    <w:p w14:paraId="451DD420" w14:textId="1C0CAA03" w:rsidR="00392001" w:rsidRPr="00045323" w:rsidRDefault="00E11E72" w:rsidP="00440B70">
      <w:pPr>
        <w:pStyle w:val="MOTermsL4"/>
      </w:pPr>
      <w:r>
        <w:t xml:space="preserve">The </w:t>
      </w:r>
      <w:r w:rsidR="00440B70" w:rsidRPr="00045323">
        <w:t>Treasury</w:t>
      </w:r>
      <w:r w:rsidR="008C744F">
        <w:t xml:space="preserve"> is proposing a change to the CDR Rules</w:t>
      </w:r>
      <w:r w:rsidR="00440B70" w:rsidRPr="00045323">
        <w:t xml:space="preserve"> to ensure that CDR consumers have visibility of supporting parties (of any description) who are permitted to access their CDR data. The transparency requirements for sponsor/affiliates, CDR representatives and outsourced service provider arrangements would be enhanced. </w:t>
      </w:r>
    </w:p>
    <w:p w14:paraId="245FA56B" w14:textId="77777777" w:rsidR="00F8649C" w:rsidRPr="00045323" w:rsidRDefault="00440B70" w:rsidP="00440B70">
      <w:pPr>
        <w:pStyle w:val="MOTermsL4"/>
      </w:pPr>
      <w:r w:rsidRPr="00045323">
        <w:t>If a supporting party will not have access to a consumer’s CDR data, they need not be listed.</w:t>
      </w:r>
      <w:r w:rsidRPr="00045323">
        <w:rPr>
          <w:vertAlign w:val="superscript"/>
        </w:rPr>
        <w:footnoteReference w:id="21"/>
      </w:r>
    </w:p>
    <w:p w14:paraId="0459D2E4" w14:textId="77777777" w:rsidR="00440B70" w:rsidRPr="00F8649C" w:rsidRDefault="00440B70" w:rsidP="00F8649C">
      <w:pPr>
        <w:pStyle w:val="MOTermsL4"/>
        <w:numPr>
          <w:ilvl w:val="0"/>
          <w:numId w:val="0"/>
        </w:numPr>
      </w:pPr>
    </w:p>
    <w:tbl>
      <w:tblPr>
        <w:tblStyle w:val="GridTable4-Accent1"/>
        <w:tblW w:w="14425" w:type="dxa"/>
        <w:tblLook w:val="04A0" w:firstRow="1" w:lastRow="0" w:firstColumn="1" w:lastColumn="0" w:noHBand="0" w:noVBand="1"/>
      </w:tblPr>
      <w:tblGrid>
        <w:gridCol w:w="3794"/>
        <w:gridCol w:w="3827"/>
        <w:gridCol w:w="1985"/>
        <w:gridCol w:w="4819"/>
      </w:tblGrid>
      <w:tr w:rsidR="00F8649C" w14:paraId="5B4DBC86"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04FC2037" w14:textId="27720C2B" w:rsidR="00F8649C" w:rsidRDefault="00483AF3">
            <w:pPr>
              <w:rPr>
                <w:sz w:val="20"/>
                <w:szCs w:val="20"/>
              </w:rPr>
            </w:pPr>
            <w:r w:rsidRPr="0079789C">
              <w:rPr>
                <w:sz w:val="20"/>
                <w:szCs w:val="20"/>
              </w:rPr>
              <w:t>Synopsis of stakeholders’ privacy comments and submissions</w:t>
            </w:r>
          </w:p>
        </w:tc>
        <w:tc>
          <w:tcPr>
            <w:tcW w:w="3827" w:type="dxa"/>
          </w:tcPr>
          <w:p w14:paraId="576C97F9" w14:textId="2CE2EABD" w:rsidR="00F8649C" w:rsidRDefault="00F8649C">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7C0F1BEC" w14:textId="77777777" w:rsidR="00F8649C" w:rsidRDefault="00F8649C">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6AAF1F39" w14:textId="77777777" w:rsidR="00F8649C" w:rsidRDefault="00F8649C">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440B70" w14:paraId="54A1CA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0465352" w14:textId="1854309A" w:rsidR="00440B70" w:rsidRPr="00440B70" w:rsidRDefault="00440B70" w:rsidP="00440B70">
            <w:pPr>
              <w:pStyle w:val="ListParagraph"/>
              <w:ind w:left="0"/>
              <w:rPr>
                <w:b w:val="0"/>
                <w:bCs w:val="0"/>
                <w:sz w:val="20"/>
                <w:szCs w:val="20"/>
              </w:rPr>
            </w:pPr>
            <w:r w:rsidRPr="00440B70">
              <w:rPr>
                <w:b w:val="0"/>
                <w:bCs w:val="0"/>
                <w:sz w:val="20"/>
                <w:szCs w:val="20"/>
              </w:rPr>
              <w:t>The synopsis of submissions indicates that stakeholders were generally supportive of this proposal.</w:t>
            </w:r>
          </w:p>
          <w:p w14:paraId="34F7472F" w14:textId="77777777" w:rsidR="00440B70" w:rsidRPr="00440B70" w:rsidRDefault="00440B70" w:rsidP="00440B70">
            <w:pPr>
              <w:pStyle w:val="ListParagraph"/>
              <w:ind w:left="0"/>
              <w:rPr>
                <w:b w:val="0"/>
                <w:bCs w:val="0"/>
                <w:sz w:val="20"/>
                <w:szCs w:val="20"/>
              </w:rPr>
            </w:pPr>
          </w:p>
          <w:p w14:paraId="0D729A1D" w14:textId="77777777" w:rsidR="00440B70" w:rsidRPr="00440B70" w:rsidRDefault="00440B70" w:rsidP="00440B70">
            <w:pPr>
              <w:pStyle w:val="ListParagraph"/>
              <w:ind w:left="0"/>
              <w:rPr>
                <w:b w:val="0"/>
                <w:bCs w:val="0"/>
                <w:sz w:val="20"/>
                <w:szCs w:val="20"/>
              </w:rPr>
            </w:pPr>
            <w:r w:rsidRPr="00440B70">
              <w:rPr>
                <w:b w:val="0"/>
                <w:bCs w:val="0"/>
                <w:sz w:val="20"/>
                <w:szCs w:val="20"/>
              </w:rPr>
              <w:t xml:space="preserve">Transparency about the identity of supporting parties and when they will engage with consumer CDR data, and the positive impact this has on the quality of informed consent was a consistent theme. </w:t>
            </w:r>
          </w:p>
          <w:p w14:paraId="008EFB51" w14:textId="77777777" w:rsidR="00440B70" w:rsidRPr="00440B70" w:rsidRDefault="00440B70" w:rsidP="00440B70">
            <w:pPr>
              <w:pStyle w:val="ListParagraph"/>
              <w:ind w:left="0"/>
              <w:rPr>
                <w:b w:val="0"/>
                <w:bCs w:val="0"/>
                <w:sz w:val="20"/>
                <w:szCs w:val="20"/>
              </w:rPr>
            </w:pPr>
          </w:p>
          <w:p w14:paraId="084C0F6C" w14:textId="77777777" w:rsidR="00440B70" w:rsidRPr="00440B70" w:rsidRDefault="00440B70" w:rsidP="00440B70">
            <w:pPr>
              <w:rPr>
                <w:b w:val="0"/>
                <w:bCs w:val="0"/>
                <w:sz w:val="20"/>
                <w:szCs w:val="20"/>
              </w:rPr>
            </w:pPr>
            <w:r w:rsidRPr="00440B70">
              <w:rPr>
                <w:b w:val="0"/>
                <w:bCs w:val="0"/>
                <w:sz w:val="20"/>
                <w:szCs w:val="20"/>
              </w:rPr>
              <w:t xml:space="preserve">One stakeholder proposed an ancillary measure, namely, that ADRs should notify consumers of new supporting parties accessing the consumers’ CDR data </w:t>
            </w:r>
            <w:r w:rsidRPr="00440B70">
              <w:rPr>
                <w:b w:val="0"/>
                <w:bCs w:val="0"/>
                <w:i/>
                <w:iCs/>
                <w:sz w:val="20"/>
                <w:szCs w:val="20"/>
              </w:rPr>
              <w:t>after</w:t>
            </w:r>
            <w:r w:rsidRPr="00440B70">
              <w:rPr>
                <w:b w:val="0"/>
                <w:bCs w:val="0"/>
                <w:sz w:val="20"/>
                <w:szCs w:val="20"/>
              </w:rPr>
              <w:t xml:space="preserve"> the consumer has been advised of relevant third parties as part of the consent flow. </w:t>
            </w:r>
          </w:p>
          <w:p w14:paraId="68F8502A" w14:textId="77777777" w:rsidR="00440B70" w:rsidRPr="00440B70" w:rsidRDefault="00440B70" w:rsidP="00440B70">
            <w:pPr>
              <w:rPr>
                <w:b w:val="0"/>
                <w:bCs w:val="0"/>
                <w:sz w:val="20"/>
                <w:szCs w:val="20"/>
              </w:rPr>
            </w:pPr>
          </w:p>
        </w:tc>
        <w:tc>
          <w:tcPr>
            <w:tcW w:w="3827" w:type="dxa"/>
          </w:tcPr>
          <w:p w14:paraId="19284DDD" w14:textId="33A0B95A" w:rsidR="00440B70" w:rsidRDefault="00440B70" w:rsidP="00440B70">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Treasury proposes </w:t>
            </w:r>
            <w:r w:rsidR="008C031B">
              <w:rPr>
                <w:bCs/>
                <w:sz w:val="20"/>
                <w:szCs w:val="20"/>
              </w:rPr>
              <w:t xml:space="preserve">a change to the </w:t>
            </w:r>
            <w:r>
              <w:rPr>
                <w:bCs/>
                <w:sz w:val="20"/>
                <w:szCs w:val="20"/>
              </w:rPr>
              <w:t>CDR Rules to require information about any supporting parties (</w:t>
            </w:r>
            <w:r w:rsidR="00E11E72">
              <w:rPr>
                <w:bCs/>
                <w:sz w:val="20"/>
                <w:szCs w:val="20"/>
              </w:rPr>
              <w:t xml:space="preserve">e.g. </w:t>
            </w:r>
            <w:r>
              <w:rPr>
                <w:bCs/>
                <w:sz w:val="20"/>
                <w:szCs w:val="20"/>
              </w:rPr>
              <w:t>outsourced service providers, sponsors, CDR representatives) be provided to a CDR consumer when seeking the consumer’s consent</w:t>
            </w:r>
            <w:r w:rsidR="00E11E72">
              <w:rPr>
                <w:bCs/>
                <w:sz w:val="20"/>
                <w:szCs w:val="20"/>
              </w:rPr>
              <w:t xml:space="preserve">. </w:t>
            </w:r>
            <w:r w:rsidR="00FC3EAD">
              <w:rPr>
                <w:bCs/>
                <w:sz w:val="20"/>
                <w:szCs w:val="20"/>
              </w:rPr>
              <w:t>Th</w:t>
            </w:r>
            <w:r w:rsidR="00E11E72">
              <w:rPr>
                <w:bCs/>
                <w:sz w:val="20"/>
                <w:szCs w:val="20"/>
              </w:rPr>
              <w:t>e details provided will include</w:t>
            </w:r>
            <w:r>
              <w:rPr>
                <w:bCs/>
                <w:sz w:val="20"/>
                <w:szCs w:val="20"/>
              </w:rPr>
              <w:t xml:space="preserve">: </w:t>
            </w:r>
          </w:p>
          <w:p w14:paraId="3A3FD6FA" w14:textId="77777777" w:rsidR="00440B70" w:rsidRDefault="00440B7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3E26F76F" w14:textId="13E4E747" w:rsidR="00440B70" w:rsidRPr="00125A54" w:rsidRDefault="00E11E72"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s</w:t>
            </w:r>
            <w:r w:rsidR="00440B70" w:rsidRPr="00125A54">
              <w:rPr>
                <w:bCs/>
                <w:sz w:val="20"/>
                <w:szCs w:val="20"/>
              </w:rPr>
              <w:t>upporting party name</w:t>
            </w:r>
            <w:r w:rsidR="002E18F3">
              <w:rPr>
                <w:bCs/>
                <w:sz w:val="20"/>
                <w:szCs w:val="20"/>
              </w:rPr>
              <w:t>.</w:t>
            </w:r>
          </w:p>
          <w:p w14:paraId="77EF2328" w14:textId="77777777" w:rsidR="00440B70" w:rsidRDefault="00440B70" w:rsidP="00125A54">
            <w:pPr>
              <w:pStyle w:val="ListParagraph"/>
              <w:ind w:left="284"/>
              <w:cnfStyle w:val="000000100000" w:firstRow="0" w:lastRow="0" w:firstColumn="0" w:lastColumn="0" w:oddVBand="0" w:evenVBand="0" w:oddHBand="1" w:evenHBand="0" w:firstRowFirstColumn="0" w:firstRowLastColumn="0" w:lastRowFirstColumn="0" w:lastRowLastColumn="0"/>
              <w:rPr>
                <w:bCs/>
                <w:sz w:val="20"/>
                <w:szCs w:val="20"/>
              </w:rPr>
            </w:pPr>
          </w:p>
          <w:p w14:paraId="2C249A76" w14:textId="77777777" w:rsidR="00440B70" w:rsidRPr="00125A54" w:rsidRDefault="00440B70"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bCs/>
                <w:sz w:val="20"/>
                <w:szCs w:val="20"/>
              </w:rPr>
            </w:pPr>
            <w:r w:rsidRPr="00125A54">
              <w:rPr>
                <w:bCs/>
                <w:sz w:val="20"/>
                <w:szCs w:val="20"/>
              </w:rPr>
              <w:t>the supporting party’s accreditation number and a link to their CDR policy</w:t>
            </w:r>
            <w:r w:rsidR="002E18F3">
              <w:rPr>
                <w:bCs/>
                <w:sz w:val="20"/>
                <w:szCs w:val="20"/>
              </w:rPr>
              <w:t>.</w:t>
            </w:r>
            <w:r w:rsidRPr="00125A54">
              <w:rPr>
                <w:bCs/>
                <w:sz w:val="20"/>
                <w:szCs w:val="20"/>
              </w:rPr>
              <w:t xml:space="preserve"> </w:t>
            </w:r>
          </w:p>
          <w:p w14:paraId="13466E1F" w14:textId="77777777" w:rsidR="00440B70" w:rsidRPr="00733EEE" w:rsidRDefault="00440B70" w:rsidP="00125A54">
            <w:pPr>
              <w:pStyle w:val="ListParagraph"/>
              <w:ind w:left="284"/>
              <w:cnfStyle w:val="000000100000" w:firstRow="0" w:lastRow="0" w:firstColumn="0" w:lastColumn="0" w:oddVBand="0" w:evenVBand="0" w:oddHBand="1" w:evenHBand="0" w:firstRowFirstColumn="0" w:firstRowLastColumn="0" w:lastRowFirstColumn="0" w:lastRowLastColumn="0"/>
              <w:rPr>
                <w:bCs/>
                <w:sz w:val="20"/>
                <w:szCs w:val="20"/>
              </w:rPr>
            </w:pPr>
          </w:p>
          <w:p w14:paraId="0FFB5928" w14:textId="77777777" w:rsidR="00440B70" w:rsidRPr="00125A54" w:rsidRDefault="00440B70"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bCs/>
                <w:sz w:val="20"/>
                <w:szCs w:val="20"/>
              </w:rPr>
            </w:pPr>
            <w:r w:rsidRPr="00125A54">
              <w:rPr>
                <w:bCs/>
                <w:sz w:val="20"/>
                <w:szCs w:val="20"/>
              </w:rPr>
              <w:t>the country where the supporting party is located</w:t>
            </w:r>
            <w:r w:rsidR="002E18F3">
              <w:rPr>
                <w:bCs/>
                <w:sz w:val="20"/>
                <w:szCs w:val="20"/>
              </w:rPr>
              <w:t>.</w:t>
            </w:r>
          </w:p>
          <w:p w14:paraId="3898085B" w14:textId="77777777" w:rsidR="00440B70" w:rsidRPr="00733EEE" w:rsidRDefault="00440B70" w:rsidP="00125A54">
            <w:pPr>
              <w:pStyle w:val="ListParagraph"/>
              <w:ind w:left="284"/>
              <w:cnfStyle w:val="000000100000" w:firstRow="0" w:lastRow="0" w:firstColumn="0" w:lastColumn="0" w:oddVBand="0" w:evenVBand="0" w:oddHBand="1" w:evenHBand="0" w:firstRowFirstColumn="0" w:firstRowLastColumn="0" w:lastRowFirstColumn="0" w:lastRowLastColumn="0"/>
              <w:rPr>
                <w:bCs/>
                <w:sz w:val="20"/>
                <w:szCs w:val="20"/>
              </w:rPr>
            </w:pPr>
          </w:p>
          <w:p w14:paraId="3B856712" w14:textId="77777777" w:rsidR="00440B70" w:rsidRPr="00125A54" w:rsidRDefault="00440B70"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sz w:val="20"/>
                <w:szCs w:val="20"/>
              </w:rPr>
            </w:pPr>
            <w:r w:rsidRPr="00125A54">
              <w:rPr>
                <w:bCs/>
                <w:sz w:val="20"/>
                <w:szCs w:val="20"/>
              </w:rPr>
              <w:t>a brief explanation about why the supporting party will access the consumer’s CDR data.</w:t>
            </w:r>
          </w:p>
        </w:tc>
        <w:tc>
          <w:tcPr>
            <w:tcW w:w="1985" w:type="dxa"/>
          </w:tcPr>
          <w:p w14:paraId="07CFF97B" w14:textId="47C63742" w:rsidR="00440B70" w:rsidRDefault="00440B70" w:rsidP="00440B70">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w:t>
            </w:r>
            <w:r w:rsidR="00E87164">
              <w:rPr>
                <w:sz w:val="20"/>
                <w:szCs w:val="20"/>
              </w:rPr>
              <w:t>(3)</w:t>
            </w:r>
          </w:p>
          <w:p w14:paraId="50A2924A" w14:textId="77777777" w:rsidR="002E18F3" w:rsidRDefault="002E18F3" w:rsidP="00440B70">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7D2F9FA" w14:textId="68260844" w:rsidR="00440B70" w:rsidRPr="00A82545" w:rsidRDefault="00440B70" w:rsidP="00440B70">
            <w:pPr>
              <w:cnfStyle w:val="000000100000" w:firstRow="0" w:lastRow="0" w:firstColumn="0" w:lastColumn="0" w:oddVBand="0" w:evenVBand="0" w:oddHBand="1" w:evenHBand="0" w:firstRowFirstColumn="0" w:firstRowLastColumn="0" w:lastRowFirstColumn="0" w:lastRowLastColumn="0"/>
            </w:pPr>
            <w:r>
              <w:rPr>
                <w:sz w:val="20"/>
                <w:szCs w:val="20"/>
              </w:rPr>
              <w:t>r 4.20E</w:t>
            </w:r>
            <w:r w:rsidR="00E87164">
              <w:rPr>
                <w:sz w:val="20"/>
                <w:szCs w:val="20"/>
              </w:rPr>
              <w:t>(3)</w:t>
            </w:r>
          </w:p>
        </w:tc>
        <w:tc>
          <w:tcPr>
            <w:tcW w:w="4819" w:type="dxa"/>
          </w:tcPr>
          <w:p w14:paraId="43CC9E2C" w14:textId="517426A4" w:rsidR="00440B70" w:rsidRPr="00921C98" w:rsidRDefault="00440B70" w:rsidP="0016112E">
            <w:pPr>
              <w:cnfStyle w:val="000000100000" w:firstRow="0" w:lastRow="0" w:firstColumn="0" w:lastColumn="0" w:oddVBand="0" w:evenVBand="0" w:oddHBand="1" w:evenHBand="0" w:firstRowFirstColumn="0" w:firstRowLastColumn="0" w:lastRowFirstColumn="0" w:lastRowLastColumn="0"/>
              <w:rPr>
                <w:sz w:val="20"/>
                <w:szCs w:val="20"/>
              </w:rPr>
            </w:pPr>
            <w:r w:rsidRPr="00921C98">
              <w:rPr>
                <w:sz w:val="20"/>
                <w:szCs w:val="20"/>
              </w:rPr>
              <w:t xml:space="preserve">Mills Oakley is of the view that to secure valid and informed consent, the consent flow that is presented to a CDR consumer should meet minimum information requirements about the supporting parties in the data supply chain. It is our understanding that the information provided </w:t>
            </w:r>
            <w:r w:rsidR="00E11E72" w:rsidRPr="00921C98">
              <w:rPr>
                <w:sz w:val="20"/>
                <w:szCs w:val="20"/>
              </w:rPr>
              <w:t xml:space="preserve">to the consumer </w:t>
            </w:r>
            <w:r w:rsidRPr="00921C98">
              <w:rPr>
                <w:sz w:val="20"/>
                <w:szCs w:val="20"/>
              </w:rPr>
              <w:t xml:space="preserve">in the context of </w:t>
            </w:r>
            <w:r w:rsidR="00E11E72" w:rsidRPr="00921C98">
              <w:rPr>
                <w:sz w:val="20"/>
                <w:szCs w:val="20"/>
              </w:rPr>
              <w:t xml:space="preserve">asking the consumer to provide </w:t>
            </w:r>
            <w:r w:rsidRPr="00921C98">
              <w:rPr>
                <w:sz w:val="20"/>
                <w:szCs w:val="20"/>
              </w:rPr>
              <w:t xml:space="preserve">consent </w:t>
            </w:r>
            <w:r w:rsidR="00E11E72" w:rsidRPr="00921C98">
              <w:rPr>
                <w:sz w:val="20"/>
                <w:szCs w:val="20"/>
              </w:rPr>
              <w:t xml:space="preserve">effectively </w:t>
            </w:r>
            <w:r w:rsidRPr="00921C98">
              <w:rPr>
                <w:sz w:val="20"/>
                <w:szCs w:val="20"/>
              </w:rPr>
              <w:t xml:space="preserve">defines the scope of </w:t>
            </w:r>
            <w:r w:rsidR="00E11E72" w:rsidRPr="00921C98">
              <w:rPr>
                <w:sz w:val="20"/>
                <w:szCs w:val="20"/>
              </w:rPr>
              <w:t xml:space="preserve">what they are </w:t>
            </w:r>
            <w:r w:rsidRPr="00921C98">
              <w:rPr>
                <w:sz w:val="20"/>
                <w:szCs w:val="20"/>
              </w:rPr>
              <w:t>consent</w:t>
            </w:r>
            <w:r w:rsidR="00E11E72" w:rsidRPr="00921C98">
              <w:rPr>
                <w:sz w:val="20"/>
                <w:szCs w:val="20"/>
              </w:rPr>
              <w:t>ing to</w:t>
            </w:r>
            <w:r w:rsidRPr="00921C98">
              <w:rPr>
                <w:sz w:val="20"/>
                <w:szCs w:val="20"/>
              </w:rPr>
              <w:t xml:space="preserve">. </w:t>
            </w:r>
          </w:p>
          <w:p w14:paraId="1BDCDA39" w14:textId="77777777" w:rsidR="00440B70" w:rsidRPr="00921C98" w:rsidRDefault="00440B70" w:rsidP="0016112E">
            <w:pPr>
              <w:cnfStyle w:val="000000100000" w:firstRow="0" w:lastRow="0" w:firstColumn="0" w:lastColumn="0" w:oddVBand="0" w:evenVBand="0" w:oddHBand="1" w:evenHBand="0" w:firstRowFirstColumn="0" w:firstRowLastColumn="0" w:lastRowFirstColumn="0" w:lastRowLastColumn="0"/>
              <w:rPr>
                <w:sz w:val="20"/>
                <w:szCs w:val="20"/>
              </w:rPr>
            </w:pPr>
          </w:p>
          <w:p w14:paraId="39678D3A" w14:textId="679D0E87" w:rsidR="00440B70" w:rsidRPr="0094653F" w:rsidRDefault="00440B70" w:rsidP="0016112E">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921C98">
              <w:rPr>
                <w:sz w:val="20"/>
                <w:szCs w:val="20"/>
              </w:rPr>
              <w:t xml:space="preserve">The stakeholder proposal to notify consumers about supporting parties engaged by </w:t>
            </w:r>
            <w:r w:rsidR="007E5F11" w:rsidRPr="00921C98">
              <w:rPr>
                <w:sz w:val="20"/>
                <w:szCs w:val="20"/>
              </w:rPr>
              <w:t xml:space="preserve">an </w:t>
            </w:r>
            <w:r w:rsidRPr="00921C98">
              <w:rPr>
                <w:sz w:val="20"/>
                <w:szCs w:val="20"/>
              </w:rPr>
              <w:t xml:space="preserve">ADR or CDR representative </w:t>
            </w:r>
            <w:r w:rsidRPr="0016112E">
              <w:rPr>
                <w:sz w:val="20"/>
                <w:szCs w:val="20"/>
              </w:rPr>
              <w:t>after</w:t>
            </w:r>
            <w:r w:rsidRPr="00921C98">
              <w:rPr>
                <w:sz w:val="20"/>
                <w:szCs w:val="20"/>
              </w:rPr>
              <w:t xml:space="preserve"> the consumer has provided consent is a privacy positive measure because it ensures ongoing transparency about the data supply chain.</w:t>
            </w:r>
            <w:r w:rsidR="007E5F11" w:rsidRPr="00F84976">
              <w:rPr>
                <w:sz w:val="20"/>
                <w:szCs w:val="20"/>
              </w:rPr>
              <w:t xml:space="preserve"> While the </w:t>
            </w:r>
            <w:r w:rsidR="00F84976">
              <w:rPr>
                <w:sz w:val="20"/>
                <w:szCs w:val="20"/>
              </w:rPr>
              <w:t>T</w:t>
            </w:r>
            <w:r w:rsidR="007E5F11" w:rsidRPr="00F84976">
              <w:rPr>
                <w:sz w:val="20"/>
                <w:szCs w:val="20"/>
              </w:rPr>
              <w:t>reasury does not propose to progress this proposal at this time</w:t>
            </w:r>
            <w:r w:rsidR="00F84976">
              <w:rPr>
                <w:sz w:val="20"/>
                <w:szCs w:val="20"/>
              </w:rPr>
              <w:t>,</w:t>
            </w:r>
            <w:r w:rsidR="007E5F11" w:rsidRPr="00F84976">
              <w:rPr>
                <w:sz w:val="20"/>
                <w:szCs w:val="20"/>
              </w:rPr>
              <w:t xml:space="preserve"> Mills Oakley is instructed that it would not necessarily involve a new consent, but rather</w:t>
            </w:r>
            <w:r w:rsidR="00F84976">
              <w:rPr>
                <w:sz w:val="20"/>
                <w:szCs w:val="20"/>
              </w:rPr>
              <w:t>,</w:t>
            </w:r>
            <w:r w:rsidR="007E5F11" w:rsidRPr="00F84976">
              <w:rPr>
                <w:sz w:val="20"/>
                <w:szCs w:val="20"/>
              </w:rPr>
              <w:t xml:space="preserve"> could involve the consumer being notified and given the opportunity to withdraw the existing consent. If this proposal is </w:t>
            </w:r>
            <w:r w:rsidR="00086522" w:rsidRPr="00F84976">
              <w:rPr>
                <w:sz w:val="20"/>
                <w:szCs w:val="20"/>
              </w:rPr>
              <w:t>progressed,</w:t>
            </w:r>
            <w:r w:rsidR="007E5F11" w:rsidRPr="00F84976">
              <w:rPr>
                <w:sz w:val="20"/>
                <w:szCs w:val="20"/>
              </w:rPr>
              <w:t xml:space="preserve"> we </w:t>
            </w:r>
            <w:r w:rsidR="004A5714" w:rsidRPr="00F84976">
              <w:rPr>
                <w:sz w:val="20"/>
                <w:szCs w:val="20"/>
              </w:rPr>
              <w:t>suggest whether consent can be implied</w:t>
            </w:r>
            <w:r w:rsidR="00F84976">
              <w:rPr>
                <w:sz w:val="20"/>
                <w:szCs w:val="20"/>
              </w:rPr>
              <w:t xml:space="preserve"> in circumstances where the</w:t>
            </w:r>
            <w:r w:rsidR="004A5714" w:rsidRPr="00F84976">
              <w:rPr>
                <w:sz w:val="20"/>
                <w:szCs w:val="20"/>
              </w:rPr>
              <w:t xml:space="preserve"> consumer does not withdraw </w:t>
            </w:r>
            <w:r w:rsidR="00F84976">
              <w:rPr>
                <w:sz w:val="20"/>
                <w:szCs w:val="20"/>
              </w:rPr>
              <w:t xml:space="preserve">their </w:t>
            </w:r>
            <w:r w:rsidR="004A5714" w:rsidRPr="00F84976">
              <w:rPr>
                <w:sz w:val="20"/>
                <w:szCs w:val="20"/>
              </w:rPr>
              <w:t>consent when notified of the additional supporting consent</w:t>
            </w:r>
            <w:r w:rsidR="004B28AE">
              <w:rPr>
                <w:sz w:val="20"/>
                <w:szCs w:val="20"/>
              </w:rPr>
              <w:t xml:space="preserve"> should be further assessed</w:t>
            </w:r>
            <w:r w:rsidR="004A5714" w:rsidRPr="00F84976">
              <w:rPr>
                <w:sz w:val="20"/>
                <w:szCs w:val="20"/>
              </w:rPr>
              <w:t>. This approach appears to conflate notice and consent.</w:t>
            </w:r>
          </w:p>
        </w:tc>
      </w:tr>
    </w:tbl>
    <w:p w14:paraId="5DE287EF" w14:textId="77777777" w:rsidR="00440B70" w:rsidRDefault="00440B70" w:rsidP="00AC6D85">
      <w:pPr>
        <w:pStyle w:val="MOTermsL2"/>
        <w:numPr>
          <w:ilvl w:val="1"/>
          <w:numId w:val="0"/>
        </w:numPr>
        <w:ind w:left="851"/>
        <w:rPr>
          <w:sz w:val="24"/>
          <w:szCs w:val="24"/>
        </w:rPr>
      </w:pPr>
      <w:bookmarkStart w:id="32" w:name="_Toc165324946"/>
      <w:r w:rsidRPr="001F2AD8">
        <w:rPr>
          <w:sz w:val="24"/>
          <w:szCs w:val="24"/>
        </w:rPr>
        <w:t>Information required in CDR receipts</w:t>
      </w:r>
      <w:bookmarkEnd w:id="32"/>
      <w:r w:rsidR="009D5A9F">
        <w:rPr>
          <w:sz w:val="24"/>
          <w:szCs w:val="24"/>
        </w:rPr>
        <w:t xml:space="preserve"> </w:t>
      </w:r>
    </w:p>
    <w:p w14:paraId="5685CA31" w14:textId="7A4285E8" w:rsidR="00440B70" w:rsidRDefault="0084542C" w:rsidP="009D5A9F">
      <w:pPr>
        <w:pStyle w:val="MOTermsL4"/>
        <w:rPr>
          <w:sz w:val="20"/>
          <w:szCs w:val="20"/>
        </w:rPr>
      </w:pPr>
      <w:r>
        <w:rPr>
          <w:sz w:val="20"/>
          <w:szCs w:val="20"/>
        </w:rPr>
        <w:t xml:space="preserve">The Treasury proposes a change </w:t>
      </w:r>
      <w:r w:rsidR="0085569B">
        <w:rPr>
          <w:sz w:val="20"/>
          <w:szCs w:val="20"/>
        </w:rPr>
        <w:t xml:space="preserve">to the CDR Rules </w:t>
      </w:r>
      <w:r w:rsidR="007547C0">
        <w:rPr>
          <w:sz w:val="20"/>
          <w:szCs w:val="20"/>
        </w:rPr>
        <w:t>that will streamline the requirements about the details to be included in CDR Receipts.  The proposal is that CDR Receipts must comply with the data standards</w:t>
      </w:r>
      <w:r w:rsidR="0085569B">
        <w:rPr>
          <w:sz w:val="20"/>
          <w:szCs w:val="20"/>
        </w:rPr>
        <w:t>. T</w:t>
      </w:r>
      <w:r w:rsidR="007547C0">
        <w:rPr>
          <w:sz w:val="20"/>
          <w:szCs w:val="20"/>
        </w:rPr>
        <w:t xml:space="preserve">hose standards will in turn set out the minimum information </w:t>
      </w:r>
      <w:r w:rsidR="0085569B">
        <w:rPr>
          <w:sz w:val="20"/>
          <w:szCs w:val="20"/>
        </w:rPr>
        <w:t xml:space="preserve">to be </w:t>
      </w:r>
      <w:r w:rsidR="007547C0">
        <w:rPr>
          <w:sz w:val="20"/>
          <w:szCs w:val="20"/>
        </w:rPr>
        <w:t xml:space="preserve">included in a receipt. </w:t>
      </w:r>
    </w:p>
    <w:p w14:paraId="65AAA8FE" w14:textId="77777777" w:rsidR="009D5A9F" w:rsidRDefault="009D5A9F" w:rsidP="009D5A9F">
      <w:pPr>
        <w:pStyle w:val="MOTermsL4"/>
        <w:numPr>
          <w:ilvl w:val="0"/>
          <w:numId w:val="0"/>
        </w:numPr>
        <w:ind w:left="851"/>
        <w:rPr>
          <w:sz w:val="20"/>
          <w:szCs w:val="20"/>
        </w:rPr>
      </w:pPr>
    </w:p>
    <w:tbl>
      <w:tblPr>
        <w:tblStyle w:val="GridTable4-Accent1"/>
        <w:tblW w:w="14425" w:type="dxa"/>
        <w:tblLook w:val="04A0" w:firstRow="1" w:lastRow="0" w:firstColumn="1" w:lastColumn="0" w:noHBand="0" w:noVBand="1"/>
      </w:tblPr>
      <w:tblGrid>
        <w:gridCol w:w="3794"/>
        <w:gridCol w:w="3827"/>
        <w:gridCol w:w="1985"/>
        <w:gridCol w:w="4819"/>
      </w:tblGrid>
      <w:tr w:rsidR="00440B70" w14:paraId="5803902B"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5F220764" w14:textId="0D4BBDEA" w:rsidR="00440B70" w:rsidRPr="00921C98" w:rsidRDefault="00483AF3">
            <w:pPr>
              <w:rPr>
                <w:sz w:val="20"/>
                <w:szCs w:val="20"/>
              </w:rPr>
            </w:pPr>
            <w:r w:rsidRPr="0016112E">
              <w:rPr>
                <w:sz w:val="20"/>
                <w:szCs w:val="20"/>
              </w:rPr>
              <w:t>Synopsis of stakeholders’ privacy comments and submissions</w:t>
            </w:r>
          </w:p>
        </w:tc>
        <w:tc>
          <w:tcPr>
            <w:tcW w:w="3827" w:type="dxa"/>
          </w:tcPr>
          <w:p w14:paraId="37826F7B" w14:textId="651816C1" w:rsidR="00440B70" w:rsidRDefault="00440B70">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21FB8798" w14:textId="77777777" w:rsidR="00440B70" w:rsidRDefault="00440B70">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498D97C0" w14:textId="77777777" w:rsidR="00440B70" w:rsidRDefault="00440B70">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440B70" w14:paraId="3CA92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1BBE9F49" w14:textId="467BAF5A" w:rsidR="00440B70" w:rsidRPr="0016112E" w:rsidRDefault="00921C98" w:rsidP="00440B70">
            <w:pPr>
              <w:rPr>
                <w:b w:val="0"/>
                <w:bCs w:val="0"/>
                <w:sz w:val="20"/>
                <w:szCs w:val="20"/>
              </w:rPr>
            </w:pPr>
            <w:r w:rsidRPr="0016112E">
              <w:rPr>
                <w:b w:val="0"/>
                <w:bCs w:val="0"/>
                <w:sz w:val="20"/>
                <w:szCs w:val="20"/>
              </w:rPr>
              <w:t>The Treasury proposes to simplify the regulatory approach to CDR-receipts by imposing a single obligation for CDR receipts to be issued in accordance with the data standards.</w:t>
            </w:r>
          </w:p>
          <w:p w14:paraId="7AF168F1" w14:textId="77777777" w:rsidR="00FC78F9" w:rsidRDefault="00FC78F9" w:rsidP="00440B70">
            <w:pPr>
              <w:rPr>
                <w:sz w:val="20"/>
                <w:szCs w:val="20"/>
              </w:rPr>
            </w:pPr>
          </w:p>
          <w:p w14:paraId="1A53D2F3" w14:textId="4EA2F805" w:rsidR="00FC78F9" w:rsidRPr="006530EA" w:rsidRDefault="00FC78F9" w:rsidP="00440B70">
            <w:pPr>
              <w:rPr>
                <w:b w:val="0"/>
                <w:bCs w:val="0"/>
                <w:sz w:val="20"/>
                <w:szCs w:val="20"/>
              </w:rPr>
            </w:pPr>
            <w:r>
              <w:rPr>
                <w:b w:val="0"/>
                <w:bCs w:val="0"/>
                <w:sz w:val="20"/>
                <w:szCs w:val="20"/>
              </w:rPr>
              <w:t xml:space="preserve">A stakeholder expressed the view that </w:t>
            </w:r>
            <w:r w:rsidRPr="00E6690E">
              <w:rPr>
                <w:b w:val="0"/>
                <w:bCs w:val="0"/>
                <w:sz w:val="20"/>
                <w:szCs w:val="20"/>
              </w:rPr>
              <w:t>third party details should be included in CDR receipts, while others were concerned the inclusion of additional details in receipts would mean SMS notifications would not be viable due to character limits.</w:t>
            </w:r>
            <w:r w:rsidR="00921C98">
              <w:rPr>
                <w:rStyle w:val="FootnoteReference"/>
                <w:b w:val="0"/>
                <w:bCs w:val="0"/>
                <w:sz w:val="20"/>
                <w:szCs w:val="20"/>
              </w:rPr>
              <w:footnoteReference w:id="22"/>
            </w:r>
          </w:p>
        </w:tc>
        <w:tc>
          <w:tcPr>
            <w:tcW w:w="3827" w:type="dxa"/>
          </w:tcPr>
          <w:p w14:paraId="1CD06F40" w14:textId="456176A8" w:rsidR="00440B70" w:rsidRPr="00426733" w:rsidRDefault="00921C98" w:rsidP="00921C98">
            <w:pP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 xml:space="preserve">The Treasury intends to progress the proposal to amend the CDR Rules </w:t>
            </w:r>
            <w:r w:rsidRPr="0016112E">
              <w:rPr>
                <w:bCs/>
                <w:sz w:val="20"/>
                <w:szCs w:val="20"/>
              </w:rPr>
              <w:t>by imposing a single obligation for CDR receipts to be issued in accordance with the data standards.</w:t>
            </w:r>
            <w:r w:rsidR="0035616C">
              <w:rPr>
                <w:bCs/>
                <w:sz w:val="20"/>
                <w:szCs w:val="20"/>
              </w:rPr>
              <w:t xml:space="preserve"> </w:t>
            </w:r>
            <w:r w:rsidR="00440B70">
              <w:rPr>
                <w:bCs/>
                <w:sz w:val="20"/>
                <w:szCs w:val="20"/>
              </w:rPr>
              <w:t>It is proposed that the standards will provide details about the information that must be included and how they are provided.</w:t>
            </w:r>
          </w:p>
        </w:tc>
        <w:tc>
          <w:tcPr>
            <w:tcW w:w="1985" w:type="dxa"/>
          </w:tcPr>
          <w:p w14:paraId="03489BDB" w14:textId="77777777" w:rsidR="00440B70" w:rsidRDefault="00440B70" w:rsidP="00440B70">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4.18</w:t>
            </w:r>
          </w:p>
          <w:p w14:paraId="138FDD7A" w14:textId="77777777" w:rsidR="00125A54" w:rsidRDefault="00125A54" w:rsidP="00440B70">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1305EA7" w14:textId="77777777" w:rsidR="00440B70" w:rsidRDefault="00440B70" w:rsidP="00440B70">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4.20O</w:t>
            </w:r>
          </w:p>
          <w:p w14:paraId="07ABE22C" w14:textId="77777777" w:rsidR="00440B70" w:rsidRPr="00A82545" w:rsidRDefault="00440B70" w:rsidP="00440B70">
            <w:pPr>
              <w:cnfStyle w:val="000000100000" w:firstRow="0" w:lastRow="0" w:firstColumn="0" w:lastColumn="0" w:oddVBand="0" w:evenVBand="0" w:oddHBand="1" w:evenHBand="0" w:firstRowFirstColumn="0" w:firstRowLastColumn="0" w:lastRowFirstColumn="0" w:lastRowLastColumn="0"/>
            </w:pPr>
          </w:p>
        </w:tc>
        <w:tc>
          <w:tcPr>
            <w:tcW w:w="4819" w:type="dxa"/>
          </w:tcPr>
          <w:p w14:paraId="6810599F" w14:textId="4CA7EF65" w:rsidR="007547C0" w:rsidRDefault="0084542C" w:rsidP="00440B70">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Mills Oakley has formed the view </w:t>
            </w:r>
            <w:r w:rsidR="00E11E72">
              <w:rPr>
                <w:bCs/>
                <w:sz w:val="20"/>
                <w:szCs w:val="20"/>
              </w:rPr>
              <w:t xml:space="preserve">that </w:t>
            </w:r>
            <w:r>
              <w:rPr>
                <w:bCs/>
                <w:sz w:val="20"/>
                <w:szCs w:val="20"/>
              </w:rPr>
              <w:t>th</w:t>
            </w:r>
            <w:r w:rsidR="0085569B">
              <w:rPr>
                <w:bCs/>
                <w:sz w:val="20"/>
                <w:szCs w:val="20"/>
              </w:rPr>
              <w:t>e</w:t>
            </w:r>
            <w:r>
              <w:rPr>
                <w:bCs/>
                <w:sz w:val="20"/>
                <w:szCs w:val="20"/>
              </w:rPr>
              <w:t xml:space="preserve"> proposed change is privacy neutral, on the bas</w:t>
            </w:r>
            <w:r w:rsidR="007547C0">
              <w:rPr>
                <w:bCs/>
                <w:sz w:val="20"/>
                <w:szCs w:val="20"/>
              </w:rPr>
              <w:t>i</w:t>
            </w:r>
            <w:r>
              <w:rPr>
                <w:bCs/>
                <w:sz w:val="20"/>
                <w:szCs w:val="20"/>
              </w:rPr>
              <w:t xml:space="preserve">s that CDR Receipts </w:t>
            </w:r>
            <w:r w:rsidRPr="0084542C">
              <w:rPr>
                <w:bCs/>
                <w:i/>
                <w:iCs/>
                <w:sz w:val="20"/>
                <w:szCs w:val="20"/>
              </w:rPr>
              <w:t>must comply</w:t>
            </w:r>
            <w:r>
              <w:rPr>
                <w:bCs/>
                <w:sz w:val="20"/>
                <w:szCs w:val="20"/>
              </w:rPr>
              <w:t xml:space="preserve"> with the data standards</w:t>
            </w:r>
            <w:r w:rsidR="007547C0">
              <w:rPr>
                <w:bCs/>
                <w:sz w:val="20"/>
                <w:szCs w:val="20"/>
              </w:rPr>
              <w:t xml:space="preserve"> and changes to the standards are ordinarily the subject of public consultation. </w:t>
            </w:r>
          </w:p>
          <w:p w14:paraId="564B05F9" w14:textId="77777777" w:rsidR="007547C0" w:rsidRDefault="007547C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1730F9CD" w14:textId="0F963E4F" w:rsidR="007547C0" w:rsidRDefault="007547C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4CEBE6DE" w14:textId="77777777" w:rsidR="007547C0" w:rsidRDefault="007547C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1104B1BC" w14:textId="77777777" w:rsidR="007547C0" w:rsidRDefault="007547C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7C234007" w14:textId="77777777" w:rsidR="007547C0" w:rsidRDefault="007547C0"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6F5C385D" w14:textId="77777777" w:rsidR="0084542C" w:rsidRDefault="0084542C" w:rsidP="00440B70">
            <w:pPr>
              <w:cnfStyle w:val="000000100000" w:firstRow="0" w:lastRow="0" w:firstColumn="0" w:lastColumn="0" w:oddVBand="0" w:evenVBand="0" w:oddHBand="1" w:evenHBand="0" w:firstRowFirstColumn="0" w:firstRowLastColumn="0" w:lastRowFirstColumn="0" w:lastRowLastColumn="0"/>
              <w:rPr>
                <w:bCs/>
                <w:sz w:val="20"/>
                <w:szCs w:val="20"/>
              </w:rPr>
            </w:pPr>
          </w:p>
          <w:p w14:paraId="3FEB304F" w14:textId="77777777" w:rsidR="00440B70" w:rsidRPr="00A82545" w:rsidRDefault="00440B70" w:rsidP="00440B70">
            <w:pPr>
              <w:cnfStyle w:val="000000100000" w:firstRow="0" w:lastRow="0" w:firstColumn="0" w:lastColumn="0" w:oddVBand="0" w:evenVBand="0" w:oddHBand="1" w:evenHBand="0" w:firstRowFirstColumn="0" w:firstRowLastColumn="0" w:lastRowFirstColumn="0" w:lastRowLastColumn="0"/>
            </w:pPr>
          </w:p>
        </w:tc>
      </w:tr>
    </w:tbl>
    <w:p w14:paraId="044356DA" w14:textId="1F8F0B97" w:rsidR="006530EA" w:rsidRPr="001F2AD8" w:rsidRDefault="006530EA" w:rsidP="0079789C">
      <w:pPr>
        <w:pStyle w:val="MOTermsL2"/>
        <w:numPr>
          <w:ilvl w:val="1"/>
          <w:numId w:val="0"/>
        </w:numPr>
        <w:ind w:left="851"/>
        <w:rPr>
          <w:sz w:val="24"/>
          <w:szCs w:val="24"/>
        </w:rPr>
      </w:pPr>
      <w:bookmarkStart w:id="33" w:name="_Toc165324947"/>
      <w:r w:rsidRPr="001F2AD8">
        <w:rPr>
          <w:sz w:val="24"/>
          <w:szCs w:val="24"/>
        </w:rPr>
        <w:t>Consolidated requirements for dealing with redundant data</w:t>
      </w:r>
      <w:r w:rsidR="00F211DA">
        <w:rPr>
          <w:sz w:val="24"/>
          <w:szCs w:val="24"/>
        </w:rPr>
        <w:t xml:space="preserve"> and deletion by d</w:t>
      </w:r>
      <w:r w:rsidR="00E11E72">
        <w:rPr>
          <w:sz w:val="24"/>
          <w:szCs w:val="24"/>
        </w:rPr>
        <w:t>e</w:t>
      </w:r>
      <w:r w:rsidR="00F211DA">
        <w:rPr>
          <w:sz w:val="24"/>
          <w:szCs w:val="24"/>
        </w:rPr>
        <w:t>fault</w:t>
      </w:r>
      <w:bookmarkEnd w:id="33"/>
    </w:p>
    <w:p w14:paraId="2667A72A" w14:textId="69D869DD" w:rsidR="006530EA" w:rsidRDefault="006530EA" w:rsidP="006530EA">
      <w:pPr>
        <w:pStyle w:val="MOTermsL4"/>
      </w:pPr>
      <w:r w:rsidRPr="006530EA">
        <w:t>The Treasury</w:t>
      </w:r>
      <w:r w:rsidR="00FE5DB7">
        <w:t xml:space="preserve"> is proposing a change to the CDR Rules</w:t>
      </w:r>
      <w:r w:rsidRPr="006530EA">
        <w:t xml:space="preserve"> to introduce a single consent mechanism by which </w:t>
      </w:r>
      <w:r w:rsidR="009D5A9F">
        <w:t xml:space="preserve">a CDR </w:t>
      </w:r>
      <w:r w:rsidRPr="006530EA">
        <w:t xml:space="preserve">consumer </w:t>
      </w:r>
      <w:r w:rsidR="009D5A9F">
        <w:t xml:space="preserve">can </w:t>
      </w:r>
      <w:r w:rsidRPr="006530EA">
        <w:t xml:space="preserve">agree to </w:t>
      </w:r>
      <w:r w:rsidR="00F94B9E">
        <w:t xml:space="preserve">the </w:t>
      </w:r>
      <w:r w:rsidRPr="006530EA">
        <w:t>de-identifi</w:t>
      </w:r>
      <w:r w:rsidR="00F94B9E">
        <w:t>cation</w:t>
      </w:r>
      <w:r w:rsidRPr="006530EA">
        <w:t xml:space="preserve"> of their CDR data</w:t>
      </w:r>
      <w:r w:rsidR="00F94B9E">
        <w:t xml:space="preserve">.  In the absence of a de-identification consent, the CDR data will be </w:t>
      </w:r>
      <w:r w:rsidR="00056CE8">
        <w:t>‘</w:t>
      </w:r>
      <w:r w:rsidR="00F94B9E">
        <w:t>deleted by default</w:t>
      </w:r>
      <w:r w:rsidR="00056CE8">
        <w:t>’</w:t>
      </w:r>
      <w:r w:rsidR="00F94B9E">
        <w:t xml:space="preserve"> when it becomes redundant. </w:t>
      </w:r>
    </w:p>
    <w:p w14:paraId="7184B20C" w14:textId="77777777" w:rsidR="009D5A9F" w:rsidRDefault="009D5A9F" w:rsidP="009D5A9F">
      <w:pPr>
        <w:pStyle w:val="MOTermsL4"/>
        <w:numPr>
          <w:ilvl w:val="0"/>
          <w:numId w:val="0"/>
        </w:numPr>
        <w:ind w:left="851"/>
      </w:pPr>
    </w:p>
    <w:tbl>
      <w:tblPr>
        <w:tblStyle w:val="GridTable4-Accent1"/>
        <w:tblW w:w="14425" w:type="dxa"/>
        <w:tblLook w:val="04A0" w:firstRow="1" w:lastRow="0" w:firstColumn="1" w:lastColumn="0" w:noHBand="0" w:noVBand="1"/>
      </w:tblPr>
      <w:tblGrid>
        <w:gridCol w:w="3794"/>
        <w:gridCol w:w="3827"/>
        <w:gridCol w:w="1985"/>
        <w:gridCol w:w="4819"/>
      </w:tblGrid>
      <w:tr w:rsidR="006530EA" w14:paraId="633E7ADE"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0AAF749E" w14:textId="5194DDD5" w:rsidR="006530EA" w:rsidRDefault="00483AF3">
            <w:pPr>
              <w:rPr>
                <w:sz w:val="20"/>
                <w:szCs w:val="20"/>
              </w:rPr>
            </w:pPr>
            <w:r w:rsidRPr="0079789C">
              <w:rPr>
                <w:sz w:val="20"/>
                <w:szCs w:val="20"/>
              </w:rPr>
              <w:t>Synopsis of stakeholders’ privacy comments and submissions</w:t>
            </w:r>
          </w:p>
        </w:tc>
        <w:tc>
          <w:tcPr>
            <w:tcW w:w="3827" w:type="dxa"/>
          </w:tcPr>
          <w:p w14:paraId="0819876D" w14:textId="1BC2A870" w:rsidR="006530EA" w:rsidRDefault="006530E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566D12A6" w14:textId="77777777" w:rsidR="006530EA" w:rsidRDefault="006530E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31715108" w14:textId="77777777" w:rsidR="006530EA" w:rsidRDefault="006530EA">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6530EA" w14:paraId="401E5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EFC841E" w14:textId="520F9E1D" w:rsidR="006530EA" w:rsidRPr="006530EA" w:rsidRDefault="006530EA" w:rsidP="006530EA">
            <w:pPr>
              <w:rPr>
                <w:b w:val="0"/>
                <w:bCs w:val="0"/>
                <w:sz w:val="20"/>
                <w:szCs w:val="20"/>
              </w:rPr>
            </w:pPr>
            <w:r w:rsidRPr="006530EA">
              <w:rPr>
                <w:b w:val="0"/>
                <w:bCs w:val="0"/>
                <w:sz w:val="20"/>
                <w:szCs w:val="20"/>
              </w:rPr>
              <w:t>N/A</w:t>
            </w:r>
            <w:r w:rsidR="00086522">
              <w:rPr>
                <w:b w:val="0"/>
                <w:bCs w:val="0"/>
                <w:sz w:val="20"/>
                <w:szCs w:val="20"/>
              </w:rPr>
              <w:t xml:space="preserve"> – Stakeholders did not comment on this proposal.</w:t>
            </w:r>
          </w:p>
        </w:tc>
        <w:tc>
          <w:tcPr>
            <w:tcW w:w="3827" w:type="dxa"/>
          </w:tcPr>
          <w:p w14:paraId="68655B32" w14:textId="77777777" w:rsidR="006530EA" w:rsidRDefault="006530EA" w:rsidP="006530EA">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Currently, the CDR rules permit the de-identification of data where:</w:t>
            </w:r>
          </w:p>
          <w:p w14:paraId="13688760" w14:textId="77777777" w:rsidR="00BB3F6A" w:rsidRDefault="00BB3F6A" w:rsidP="006530EA">
            <w:pPr>
              <w:cnfStyle w:val="000000100000" w:firstRow="0" w:lastRow="0" w:firstColumn="0" w:lastColumn="0" w:oddVBand="0" w:evenVBand="0" w:oddHBand="1" w:evenHBand="0" w:firstRowFirstColumn="0" w:firstRowLastColumn="0" w:lastRowFirstColumn="0" w:lastRowLastColumn="0"/>
              <w:rPr>
                <w:bCs/>
                <w:sz w:val="20"/>
                <w:szCs w:val="20"/>
              </w:rPr>
            </w:pPr>
          </w:p>
          <w:p w14:paraId="2C1E2B2B" w14:textId="77777777" w:rsidR="006530EA" w:rsidRDefault="006530EA"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bCs/>
                <w:sz w:val="20"/>
                <w:szCs w:val="20"/>
              </w:rPr>
            </w:pPr>
            <w:r w:rsidRPr="00125A54">
              <w:rPr>
                <w:bCs/>
                <w:sz w:val="20"/>
                <w:szCs w:val="20"/>
              </w:rPr>
              <w:t>a consumer has given a de-identification consent (whether or not the data is redundant)</w:t>
            </w:r>
            <w:r w:rsidR="002E18F3">
              <w:rPr>
                <w:bCs/>
                <w:sz w:val="20"/>
                <w:szCs w:val="20"/>
              </w:rPr>
              <w:t>.</w:t>
            </w:r>
          </w:p>
          <w:p w14:paraId="1C6ADA6E" w14:textId="77777777" w:rsidR="00BB3F6A" w:rsidRPr="00BB3F6A" w:rsidRDefault="00BB3F6A" w:rsidP="00BB3F6A">
            <w:pPr>
              <w:ind w:left="-76"/>
              <w:cnfStyle w:val="000000100000" w:firstRow="0" w:lastRow="0" w:firstColumn="0" w:lastColumn="0" w:oddVBand="0" w:evenVBand="0" w:oddHBand="1" w:evenHBand="0" w:firstRowFirstColumn="0" w:firstRowLastColumn="0" w:lastRowFirstColumn="0" w:lastRowLastColumn="0"/>
              <w:rPr>
                <w:bCs/>
                <w:sz w:val="20"/>
                <w:szCs w:val="20"/>
              </w:rPr>
            </w:pPr>
          </w:p>
          <w:p w14:paraId="4A4A5E37" w14:textId="77777777" w:rsidR="006530EA" w:rsidRPr="00125A54" w:rsidRDefault="006530EA" w:rsidP="00D345E8">
            <w:pPr>
              <w:pStyle w:val="ListParagraph"/>
              <w:numPr>
                <w:ilvl w:val="0"/>
                <w:numId w:val="38"/>
              </w:numPr>
              <w:ind w:left="284"/>
              <w:cnfStyle w:val="000000100000" w:firstRow="0" w:lastRow="0" w:firstColumn="0" w:lastColumn="0" w:oddVBand="0" w:evenVBand="0" w:oddHBand="1" w:evenHBand="0" w:firstRowFirstColumn="0" w:firstRowLastColumn="0" w:lastRowFirstColumn="0" w:lastRowLastColumn="0"/>
              <w:rPr>
                <w:bCs/>
                <w:sz w:val="20"/>
                <w:szCs w:val="20"/>
              </w:rPr>
            </w:pPr>
            <w:r w:rsidRPr="00125A54">
              <w:rPr>
                <w:bCs/>
                <w:sz w:val="20"/>
                <w:szCs w:val="20"/>
              </w:rPr>
              <w:t xml:space="preserve">where an accredited person who has a policy or business practice of de-identifying redundant data, and has informed the CDR consumer about those practices, and the consumer has not elected to instead have their data deleted when it becomes redundant. </w:t>
            </w:r>
          </w:p>
          <w:p w14:paraId="220D3CEC" w14:textId="77777777" w:rsidR="006530EA" w:rsidRDefault="006530EA" w:rsidP="006530EA">
            <w:pPr>
              <w:cnfStyle w:val="000000100000" w:firstRow="0" w:lastRow="0" w:firstColumn="0" w:lastColumn="0" w:oddVBand="0" w:evenVBand="0" w:oddHBand="1" w:evenHBand="0" w:firstRowFirstColumn="0" w:firstRowLastColumn="0" w:lastRowFirstColumn="0" w:lastRowLastColumn="0"/>
              <w:rPr>
                <w:bCs/>
                <w:sz w:val="20"/>
                <w:szCs w:val="20"/>
              </w:rPr>
            </w:pPr>
          </w:p>
          <w:p w14:paraId="70E6F483" w14:textId="446550D5" w:rsidR="006530EA" w:rsidRPr="00426733" w:rsidRDefault="006530EA" w:rsidP="006530EA">
            <w:pP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The Treasury’s proposal will simpl</w:t>
            </w:r>
            <w:r w:rsidR="007A1F59">
              <w:rPr>
                <w:bCs/>
                <w:sz w:val="20"/>
                <w:szCs w:val="20"/>
              </w:rPr>
              <w:t>ify</w:t>
            </w:r>
            <w:r>
              <w:rPr>
                <w:bCs/>
                <w:sz w:val="20"/>
                <w:szCs w:val="20"/>
              </w:rPr>
              <w:t xml:space="preserve"> the management and protection of CDR data, </w:t>
            </w:r>
            <w:r w:rsidR="00086522">
              <w:rPr>
                <w:bCs/>
                <w:sz w:val="20"/>
                <w:szCs w:val="20"/>
              </w:rPr>
              <w:t>all data would be deleted by default unless a consumer opts to have it de-</w:t>
            </w:r>
            <w:proofErr w:type="spellStart"/>
            <w:r w:rsidR="00086522">
              <w:rPr>
                <w:bCs/>
                <w:sz w:val="20"/>
                <w:szCs w:val="20"/>
              </w:rPr>
              <w:t>ID’d</w:t>
            </w:r>
            <w:proofErr w:type="spellEnd"/>
            <w:r w:rsidR="00086522">
              <w:rPr>
                <w:bCs/>
                <w:sz w:val="20"/>
                <w:szCs w:val="20"/>
              </w:rPr>
              <w:t>, whether redundant or not.</w:t>
            </w:r>
          </w:p>
        </w:tc>
        <w:tc>
          <w:tcPr>
            <w:tcW w:w="1985" w:type="dxa"/>
          </w:tcPr>
          <w:p w14:paraId="673F2A11" w14:textId="77777777" w:rsidR="006530EA" w:rsidRDefault="006530EA"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4.11(1)(e)</w:t>
            </w:r>
          </w:p>
          <w:p w14:paraId="7D3DBE57" w14:textId="77777777" w:rsidR="00125A54" w:rsidRDefault="00125A54"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4BC0C96" w14:textId="77777777" w:rsidR="006530EA" w:rsidRDefault="006530EA"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4.11(3)(h)</w:t>
            </w:r>
          </w:p>
          <w:p w14:paraId="7D3BAF6E" w14:textId="77777777" w:rsidR="00125A54" w:rsidRDefault="00125A54"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5C6001A" w14:textId="77777777" w:rsidR="006530EA" w:rsidRDefault="006530EA"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4.13</w:t>
            </w:r>
          </w:p>
          <w:p w14:paraId="47FECA13" w14:textId="77777777" w:rsidR="00125A54" w:rsidRDefault="00125A54"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49B12A5" w14:textId="77777777" w:rsidR="006530EA" w:rsidRDefault="006530EA"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4.15 – 4.17</w:t>
            </w:r>
          </w:p>
          <w:p w14:paraId="1C271252" w14:textId="77777777" w:rsidR="00125A54" w:rsidRDefault="00125A54"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1F6871E" w14:textId="77777777" w:rsidR="006530EA" w:rsidRDefault="006530EA"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4.18A(2)(b)</w:t>
            </w:r>
          </w:p>
          <w:p w14:paraId="01AF7F43" w14:textId="77777777"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532A8C6" w14:textId="7ED9E6B0"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4.20E (1)(f)</w:t>
            </w:r>
          </w:p>
          <w:p w14:paraId="0E76C277" w14:textId="77777777"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57FD947" w14:textId="428FD67F"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4.20M</w:t>
            </w:r>
          </w:p>
          <w:p w14:paraId="5E2F8903" w14:textId="77777777"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D264A84" w14:textId="20655991" w:rsidR="00AD6345" w:rsidRDefault="00AD6345" w:rsidP="006530E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4.20N</w:t>
            </w:r>
          </w:p>
          <w:p w14:paraId="09AA4DA3" w14:textId="77777777" w:rsidR="006530EA" w:rsidRPr="00A82545" w:rsidRDefault="006530EA" w:rsidP="006530EA">
            <w:pPr>
              <w:cnfStyle w:val="000000100000" w:firstRow="0" w:lastRow="0" w:firstColumn="0" w:lastColumn="0" w:oddVBand="0" w:evenVBand="0" w:oddHBand="1" w:evenHBand="0" w:firstRowFirstColumn="0" w:firstRowLastColumn="0" w:lastRowFirstColumn="0" w:lastRowLastColumn="0"/>
            </w:pPr>
          </w:p>
        </w:tc>
        <w:tc>
          <w:tcPr>
            <w:tcW w:w="4819" w:type="dxa"/>
          </w:tcPr>
          <w:p w14:paraId="6571217B" w14:textId="5F8684F1" w:rsidR="006530EA" w:rsidRPr="00A82545" w:rsidRDefault="006530EA" w:rsidP="00E6690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is of the view this proposal </w:t>
            </w:r>
            <w:r w:rsidR="009D5A9F">
              <w:rPr>
                <w:sz w:val="20"/>
                <w:szCs w:val="20"/>
              </w:rPr>
              <w:t xml:space="preserve">is </w:t>
            </w:r>
            <w:r>
              <w:rPr>
                <w:sz w:val="20"/>
                <w:szCs w:val="20"/>
              </w:rPr>
              <w:t>privacy pos</w:t>
            </w:r>
            <w:r w:rsidR="009D5A9F">
              <w:rPr>
                <w:sz w:val="20"/>
                <w:szCs w:val="20"/>
              </w:rPr>
              <w:t xml:space="preserve">itive. </w:t>
            </w:r>
            <w:r>
              <w:rPr>
                <w:sz w:val="20"/>
                <w:szCs w:val="20"/>
              </w:rPr>
              <w:t>It preserves consumer autonomy over data a</w:t>
            </w:r>
            <w:r w:rsidR="009D5A9F">
              <w:rPr>
                <w:sz w:val="20"/>
                <w:szCs w:val="20"/>
              </w:rPr>
              <w:t xml:space="preserve">nd </w:t>
            </w:r>
            <w:r>
              <w:rPr>
                <w:sz w:val="20"/>
                <w:szCs w:val="20"/>
              </w:rPr>
              <w:t xml:space="preserve">allows </w:t>
            </w:r>
            <w:r w:rsidR="00056CE8">
              <w:rPr>
                <w:sz w:val="20"/>
                <w:szCs w:val="20"/>
              </w:rPr>
              <w:t xml:space="preserve">a consumer </w:t>
            </w:r>
            <w:r>
              <w:rPr>
                <w:sz w:val="20"/>
                <w:szCs w:val="20"/>
              </w:rPr>
              <w:t xml:space="preserve">to tailor the </w:t>
            </w:r>
            <w:proofErr w:type="gramStart"/>
            <w:r>
              <w:rPr>
                <w:sz w:val="20"/>
                <w:szCs w:val="20"/>
              </w:rPr>
              <w:t>end of life</w:t>
            </w:r>
            <w:proofErr w:type="gramEnd"/>
            <w:r>
              <w:rPr>
                <w:sz w:val="20"/>
                <w:szCs w:val="20"/>
              </w:rPr>
              <w:t xml:space="preserve"> phase of the data lifecycle by choosing which treatment, i.e. deletion </w:t>
            </w:r>
            <w:r w:rsidR="00F94B9E">
              <w:rPr>
                <w:sz w:val="20"/>
                <w:szCs w:val="20"/>
              </w:rPr>
              <w:t xml:space="preserve">or </w:t>
            </w:r>
            <w:r>
              <w:rPr>
                <w:sz w:val="20"/>
                <w:szCs w:val="20"/>
              </w:rPr>
              <w:t xml:space="preserve">de-identification, is applied to the data. </w:t>
            </w:r>
          </w:p>
        </w:tc>
      </w:tr>
    </w:tbl>
    <w:p w14:paraId="4AF7FD94" w14:textId="3EDCC380" w:rsidR="006530EA" w:rsidRPr="001F2AD8" w:rsidRDefault="006530EA" w:rsidP="001F2AD8">
      <w:pPr>
        <w:pStyle w:val="MOTermsL2"/>
        <w:numPr>
          <w:ilvl w:val="0"/>
          <w:numId w:val="0"/>
        </w:numPr>
        <w:ind w:left="851"/>
        <w:rPr>
          <w:sz w:val="24"/>
          <w:szCs w:val="24"/>
        </w:rPr>
      </w:pPr>
      <w:bookmarkStart w:id="34" w:name="_Toc165324948"/>
      <w:r w:rsidRPr="00056CE8">
        <w:rPr>
          <w:sz w:val="24"/>
          <w:szCs w:val="24"/>
        </w:rPr>
        <w:t xml:space="preserve">Consolidation of Notifications (CDR Receipts and </w:t>
      </w:r>
      <w:proofErr w:type="gramStart"/>
      <w:r w:rsidRPr="00056CE8">
        <w:rPr>
          <w:sz w:val="24"/>
          <w:szCs w:val="24"/>
        </w:rPr>
        <w:t>90 day</w:t>
      </w:r>
      <w:proofErr w:type="gramEnd"/>
      <w:r w:rsidRPr="00056CE8">
        <w:rPr>
          <w:sz w:val="24"/>
          <w:szCs w:val="24"/>
        </w:rPr>
        <w:t xml:space="preserve"> notifications)</w:t>
      </w:r>
      <w:bookmarkEnd w:id="34"/>
    </w:p>
    <w:p w14:paraId="26C7E837" w14:textId="7EEE27A1" w:rsidR="006F4EB7" w:rsidRPr="00E6690E" w:rsidRDefault="008C031B" w:rsidP="006530EA">
      <w:pPr>
        <w:pStyle w:val="MOTermsL4"/>
      </w:pPr>
      <w:bookmarkStart w:id="35" w:name="_Ref165380062"/>
      <w:r>
        <w:t xml:space="preserve">The Treasury is exploring a proposed change to the CDR Rules that would permit </w:t>
      </w:r>
      <w:r w:rsidR="006530EA" w:rsidRPr="007A1F59">
        <w:t>ADRs to consolidate 90-day notifications (i.e. multiple notifications consolidated into a single notification).</w:t>
      </w:r>
      <w:r w:rsidR="006530EA" w:rsidRPr="007A1F59">
        <w:rPr>
          <w:vertAlign w:val="superscript"/>
        </w:rPr>
        <w:footnoteReference w:id="23"/>
      </w:r>
      <w:r w:rsidR="006530EA" w:rsidRPr="007A1F59">
        <w:t xml:space="preserve"> </w:t>
      </w:r>
      <w:bookmarkEnd w:id="35"/>
      <w:r w:rsidR="00086522">
        <w:t>The Treasury will not be progressing amendments that would enable consumers to completely disable notifications</w:t>
      </w:r>
      <w:r w:rsidR="00762FF0">
        <w:t xml:space="preserve">. The proposed Rule change would move minimum information requirements to the data standards. </w:t>
      </w:r>
    </w:p>
    <w:p w14:paraId="314991D2" w14:textId="77777777" w:rsidR="006F4EB7" w:rsidRPr="006F4EB7" w:rsidRDefault="006F4EB7">
      <w:pPr>
        <w:pStyle w:val="MOTermsL4"/>
        <w:numPr>
          <w:ilvl w:val="0"/>
          <w:numId w:val="0"/>
        </w:numPr>
      </w:pPr>
    </w:p>
    <w:tbl>
      <w:tblPr>
        <w:tblStyle w:val="GridTable4-Accent1"/>
        <w:tblW w:w="14425" w:type="dxa"/>
        <w:tblLook w:val="04A0" w:firstRow="1" w:lastRow="0" w:firstColumn="1" w:lastColumn="0" w:noHBand="0" w:noVBand="1"/>
      </w:tblPr>
      <w:tblGrid>
        <w:gridCol w:w="3794"/>
        <w:gridCol w:w="3827"/>
        <w:gridCol w:w="1985"/>
        <w:gridCol w:w="4819"/>
      </w:tblGrid>
      <w:tr w:rsidR="006F4EB7" w14:paraId="7381819F"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6E6BEFEA" w14:textId="628C79D2" w:rsidR="006F4EB7" w:rsidRDefault="00483AF3" w:rsidP="005C79C8">
            <w:pPr>
              <w:rPr>
                <w:sz w:val="20"/>
                <w:szCs w:val="20"/>
              </w:rPr>
            </w:pPr>
            <w:r w:rsidRPr="0079789C">
              <w:rPr>
                <w:sz w:val="20"/>
                <w:szCs w:val="20"/>
              </w:rPr>
              <w:t>Synopsis of stakeholders’ privacy comments and submissions</w:t>
            </w:r>
          </w:p>
        </w:tc>
        <w:tc>
          <w:tcPr>
            <w:tcW w:w="3827" w:type="dxa"/>
          </w:tcPr>
          <w:p w14:paraId="3DDFE0EA" w14:textId="7D15BFBD" w:rsidR="006F4EB7" w:rsidRDefault="006F4EB7">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50C4430E" w14:textId="77777777" w:rsidR="006F4EB7" w:rsidRDefault="006F4EB7">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144D45F5" w14:textId="77777777" w:rsidR="006F4EB7" w:rsidRDefault="006F4EB7">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E6690E" w14:paraId="773451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4A56A4C0" w14:textId="5E70281B" w:rsidR="00E6690E" w:rsidRDefault="00E6690E" w:rsidP="00E6690E">
            <w:pPr>
              <w:pStyle w:val="ListParagraph"/>
              <w:ind w:left="0"/>
              <w:rPr>
                <w:sz w:val="20"/>
                <w:szCs w:val="20"/>
              </w:rPr>
            </w:pPr>
            <w:r w:rsidRPr="00E6690E">
              <w:rPr>
                <w:b w:val="0"/>
                <w:bCs w:val="0"/>
                <w:sz w:val="20"/>
                <w:szCs w:val="20"/>
              </w:rPr>
              <w:t xml:space="preserve">The synopsis of submissions indicates there is broad support for this proposal. </w:t>
            </w:r>
          </w:p>
          <w:p w14:paraId="78FB3A7B" w14:textId="77777777" w:rsidR="00E6690E" w:rsidRDefault="00E6690E" w:rsidP="00E6690E">
            <w:pPr>
              <w:pStyle w:val="ListParagraph"/>
              <w:ind w:left="0"/>
              <w:rPr>
                <w:sz w:val="20"/>
                <w:szCs w:val="20"/>
              </w:rPr>
            </w:pPr>
          </w:p>
          <w:p w14:paraId="58FF6DA1" w14:textId="3F1D5C9F" w:rsidR="00E6690E" w:rsidRPr="00E6690E" w:rsidRDefault="00E6690E" w:rsidP="00E6690E">
            <w:pPr>
              <w:pStyle w:val="ListParagraph"/>
              <w:ind w:left="0"/>
              <w:rPr>
                <w:b w:val="0"/>
                <w:bCs w:val="0"/>
                <w:sz w:val="20"/>
                <w:szCs w:val="20"/>
              </w:rPr>
            </w:pPr>
            <w:r w:rsidRPr="00E6690E">
              <w:rPr>
                <w:b w:val="0"/>
                <w:bCs w:val="0"/>
                <w:sz w:val="20"/>
                <w:szCs w:val="20"/>
              </w:rPr>
              <w:t xml:space="preserve">Stakeholders expressed </w:t>
            </w:r>
            <w:r w:rsidR="00FC78F9">
              <w:rPr>
                <w:b w:val="0"/>
                <w:bCs w:val="0"/>
                <w:sz w:val="20"/>
                <w:szCs w:val="20"/>
              </w:rPr>
              <w:t xml:space="preserve">various </w:t>
            </w:r>
            <w:r w:rsidRPr="00E6690E">
              <w:rPr>
                <w:b w:val="0"/>
                <w:bCs w:val="0"/>
                <w:sz w:val="20"/>
                <w:szCs w:val="20"/>
              </w:rPr>
              <w:t>view</w:t>
            </w:r>
            <w:r w:rsidR="00FC78F9">
              <w:rPr>
                <w:b w:val="0"/>
                <w:bCs w:val="0"/>
                <w:sz w:val="20"/>
                <w:szCs w:val="20"/>
              </w:rPr>
              <w:t>s such as</w:t>
            </w:r>
            <w:r w:rsidRPr="00E6690E">
              <w:rPr>
                <w:b w:val="0"/>
                <w:bCs w:val="0"/>
                <w:sz w:val="20"/>
                <w:szCs w:val="20"/>
              </w:rPr>
              <w:t xml:space="preserve">: </w:t>
            </w:r>
          </w:p>
          <w:p w14:paraId="5A1D9786" w14:textId="77777777" w:rsidR="00E6690E" w:rsidRPr="00E6690E" w:rsidRDefault="00E6690E" w:rsidP="00E6690E">
            <w:pPr>
              <w:pStyle w:val="ListParagraph"/>
              <w:ind w:left="360"/>
              <w:rPr>
                <w:b w:val="0"/>
                <w:bCs w:val="0"/>
                <w:sz w:val="20"/>
                <w:szCs w:val="20"/>
              </w:rPr>
            </w:pPr>
          </w:p>
          <w:p w14:paraId="3C4AC7F2" w14:textId="77777777" w:rsidR="00E6690E" w:rsidRPr="00E6690E" w:rsidRDefault="00E6690E" w:rsidP="00E6690E">
            <w:pPr>
              <w:pStyle w:val="ListParagraph"/>
              <w:numPr>
                <w:ilvl w:val="0"/>
                <w:numId w:val="37"/>
              </w:numPr>
              <w:rPr>
                <w:b w:val="0"/>
                <w:bCs w:val="0"/>
                <w:sz w:val="20"/>
                <w:szCs w:val="20"/>
              </w:rPr>
            </w:pPr>
            <w:r w:rsidRPr="00E6690E">
              <w:rPr>
                <w:b w:val="0"/>
                <w:bCs w:val="0"/>
                <w:sz w:val="20"/>
                <w:szCs w:val="20"/>
              </w:rPr>
              <w:t>clarifying receipt rules and adjusting the timing of consent notifications is necessary.  However, there was a variety of views about whether sensitive data should continue to be subject to a 90-day notification, while other stakeholders expressed a preference for consumers being able to opt-out entirely of notifications;</w:t>
            </w:r>
          </w:p>
          <w:p w14:paraId="1BE567B5" w14:textId="77777777" w:rsidR="00E6690E" w:rsidRPr="00E6690E" w:rsidRDefault="00E6690E" w:rsidP="00E6690E">
            <w:pPr>
              <w:pStyle w:val="ListParagraph"/>
              <w:ind w:left="360"/>
              <w:rPr>
                <w:b w:val="0"/>
                <w:bCs w:val="0"/>
                <w:sz w:val="20"/>
                <w:szCs w:val="20"/>
              </w:rPr>
            </w:pPr>
            <w:r w:rsidRPr="00E6690E">
              <w:rPr>
                <w:b w:val="0"/>
                <w:bCs w:val="0"/>
                <w:sz w:val="20"/>
                <w:szCs w:val="20"/>
              </w:rPr>
              <w:t xml:space="preserve"> </w:t>
            </w:r>
          </w:p>
          <w:p w14:paraId="4AC84798" w14:textId="77777777" w:rsidR="00E6690E" w:rsidRPr="00E6690E" w:rsidRDefault="00E6690E" w:rsidP="00F94B9E">
            <w:pPr>
              <w:pStyle w:val="ListParagraph"/>
              <w:numPr>
                <w:ilvl w:val="0"/>
                <w:numId w:val="37"/>
              </w:numPr>
              <w:rPr>
                <w:b w:val="0"/>
                <w:bCs w:val="0"/>
                <w:sz w:val="20"/>
                <w:szCs w:val="20"/>
              </w:rPr>
            </w:pPr>
            <w:r>
              <w:rPr>
                <w:b w:val="0"/>
                <w:bCs w:val="0"/>
                <w:sz w:val="20"/>
                <w:szCs w:val="20"/>
              </w:rPr>
              <w:t>b</w:t>
            </w:r>
            <w:r w:rsidRPr="00E6690E">
              <w:rPr>
                <w:b w:val="0"/>
                <w:bCs w:val="0"/>
                <w:sz w:val="20"/>
                <w:szCs w:val="20"/>
              </w:rPr>
              <w:t xml:space="preserve">espoke notifications </w:t>
            </w:r>
            <w:r w:rsidR="00FC78F9">
              <w:rPr>
                <w:b w:val="0"/>
                <w:bCs w:val="0"/>
                <w:sz w:val="20"/>
                <w:szCs w:val="20"/>
              </w:rPr>
              <w:t xml:space="preserve">may be preferrable </w:t>
            </w:r>
            <w:r w:rsidRPr="00E6690E">
              <w:rPr>
                <w:b w:val="0"/>
                <w:bCs w:val="0"/>
                <w:sz w:val="20"/>
                <w:szCs w:val="20"/>
              </w:rPr>
              <w:t xml:space="preserve">in relation to harmful data, especially where a notification is not received due to an error (e.g. unsuccessful notification due to email delivery failures). </w:t>
            </w:r>
          </w:p>
          <w:p w14:paraId="006F7EF2" w14:textId="77777777" w:rsidR="00E6690E" w:rsidRPr="00E6690E" w:rsidRDefault="00E6690E" w:rsidP="008C031B">
            <w:pPr>
              <w:pStyle w:val="ListParagraph"/>
              <w:ind w:left="360"/>
              <w:rPr>
                <w:b w:val="0"/>
                <w:bCs w:val="0"/>
                <w:sz w:val="20"/>
                <w:szCs w:val="20"/>
              </w:rPr>
            </w:pPr>
          </w:p>
          <w:p w14:paraId="5065AC88" w14:textId="5BD8EEAD" w:rsidR="00E6690E" w:rsidRPr="00E6690E" w:rsidRDefault="00E6690E" w:rsidP="00F94B9E">
            <w:pPr>
              <w:pStyle w:val="ListParagraph"/>
              <w:numPr>
                <w:ilvl w:val="0"/>
                <w:numId w:val="37"/>
              </w:numPr>
              <w:rPr>
                <w:b w:val="0"/>
                <w:bCs w:val="0"/>
                <w:sz w:val="20"/>
                <w:szCs w:val="20"/>
              </w:rPr>
            </w:pPr>
            <w:r w:rsidRPr="00E6690E">
              <w:rPr>
                <w:b w:val="0"/>
                <w:bCs w:val="0"/>
                <w:sz w:val="20"/>
                <w:szCs w:val="20"/>
              </w:rPr>
              <w:t xml:space="preserve">third party details should be included in CDR receipts, </w:t>
            </w:r>
            <w:r w:rsidR="00E11E72">
              <w:rPr>
                <w:b w:val="0"/>
                <w:bCs w:val="0"/>
                <w:sz w:val="20"/>
                <w:szCs w:val="20"/>
              </w:rPr>
              <w:t xml:space="preserve">however, this may </w:t>
            </w:r>
            <w:r w:rsidRPr="00E6690E">
              <w:rPr>
                <w:b w:val="0"/>
                <w:bCs w:val="0"/>
                <w:sz w:val="20"/>
                <w:szCs w:val="20"/>
              </w:rPr>
              <w:t>mean SMS notifications would not be viable due to character limits.</w:t>
            </w:r>
          </w:p>
          <w:p w14:paraId="6798B419" w14:textId="77777777" w:rsidR="00E6690E" w:rsidRPr="00E6690E" w:rsidRDefault="00E6690E" w:rsidP="008C031B">
            <w:pPr>
              <w:pStyle w:val="ListParagraph"/>
              <w:ind w:left="360"/>
              <w:rPr>
                <w:b w:val="0"/>
                <w:bCs w:val="0"/>
                <w:sz w:val="20"/>
                <w:szCs w:val="20"/>
              </w:rPr>
            </w:pPr>
          </w:p>
          <w:p w14:paraId="68420E74" w14:textId="51B044F9" w:rsidR="00E6690E" w:rsidRPr="00E6690E" w:rsidRDefault="00E6690E" w:rsidP="00F94B9E">
            <w:pPr>
              <w:pStyle w:val="ListParagraph"/>
              <w:numPr>
                <w:ilvl w:val="0"/>
                <w:numId w:val="37"/>
              </w:numPr>
              <w:rPr>
                <w:b w:val="0"/>
                <w:bCs w:val="0"/>
                <w:sz w:val="20"/>
                <w:szCs w:val="20"/>
              </w:rPr>
            </w:pPr>
            <w:r w:rsidRPr="00E6690E">
              <w:rPr>
                <w:b w:val="0"/>
                <w:bCs w:val="0"/>
                <w:sz w:val="20"/>
                <w:szCs w:val="20"/>
              </w:rPr>
              <w:t>an ancillary measure</w:t>
            </w:r>
            <w:r w:rsidR="002E5FDD">
              <w:rPr>
                <w:b w:val="0"/>
                <w:bCs w:val="0"/>
                <w:sz w:val="20"/>
                <w:szCs w:val="20"/>
              </w:rPr>
              <w:t>,</w:t>
            </w:r>
            <w:r w:rsidRPr="00E6690E">
              <w:rPr>
                <w:b w:val="0"/>
                <w:bCs w:val="0"/>
                <w:sz w:val="20"/>
                <w:szCs w:val="20"/>
              </w:rPr>
              <w:t xml:space="preserve"> to notify consumers about OSP access, would provide greater transparency to consumers about who had accessed their data.</w:t>
            </w:r>
          </w:p>
        </w:tc>
        <w:tc>
          <w:tcPr>
            <w:tcW w:w="3827" w:type="dxa"/>
          </w:tcPr>
          <w:p w14:paraId="49315D25" w14:textId="77777777" w:rsidR="002E5FDD" w:rsidRDefault="00E6690E" w:rsidP="00E6690E">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The Treasury has noted the range of views provided through the stakeholder consultation process. </w:t>
            </w:r>
          </w:p>
          <w:p w14:paraId="05CF2897" w14:textId="77777777" w:rsidR="002E5FDD" w:rsidRDefault="002E5FDD" w:rsidP="00E6690E">
            <w:pPr>
              <w:cnfStyle w:val="000000100000" w:firstRow="0" w:lastRow="0" w:firstColumn="0" w:lastColumn="0" w:oddVBand="0" w:evenVBand="0" w:oddHBand="1" w:evenHBand="0" w:firstRowFirstColumn="0" w:firstRowLastColumn="0" w:lastRowFirstColumn="0" w:lastRowLastColumn="0"/>
              <w:rPr>
                <w:bCs/>
                <w:sz w:val="20"/>
                <w:szCs w:val="20"/>
              </w:rPr>
            </w:pPr>
          </w:p>
          <w:p w14:paraId="549F5705" w14:textId="77777777" w:rsidR="00E6690E" w:rsidRDefault="00E6690E" w:rsidP="00E6690E">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Treasury does not propose to progress th</w:t>
            </w:r>
            <w:r w:rsidR="002E5FDD">
              <w:rPr>
                <w:bCs/>
                <w:sz w:val="20"/>
                <w:szCs w:val="20"/>
              </w:rPr>
              <w:t xml:space="preserve">e </w:t>
            </w:r>
            <w:r>
              <w:rPr>
                <w:bCs/>
                <w:sz w:val="20"/>
                <w:szCs w:val="20"/>
              </w:rPr>
              <w:t xml:space="preserve">proposal </w:t>
            </w:r>
            <w:r w:rsidR="002E5FDD">
              <w:rPr>
                <w:bCs/>
                <w:sz w:val="20"/>
                <w:szCs w:val="20"/>
              </w:rPr>
              <w:t xml:space="preserve">for consumers to tailor their notifications, however, will explore whether an amendment is necessary to permit </w:t>
            </w:r>
            <w:proofErr w:type="gramStart"/>
            <w:r w:rsidR="002E5FDD">
              <w:rPr>
                <w:bCs/>
                <w:sz w:val="20"/>
                <w:szCs w:val="20"/>
              </w:rPr>
              <w:t>90 day</w:t>
            </w:r>
            <w:proofErr w:type="gramEnd"/>
            <w:r w:rsidR="002E5FDD">
              <w:rPr>
                <w:bCs/>
                <w:sz w:val="20"/>
                <w:szCs w:val="20"/>
              </w:rPr>
              <w:t xml:space="preserve"> notifications to be consolidated into a single consumer notification. </w:t>
            </w:r>
          </w:p>
          <w:p w14:paraId="3B71E39B" w14:textId="77777777" w:rsidR="00646659" w:rsidRDefault="00646659" w:rsidP="00E6690E">
            <w:pPr>
              <w:cnfStyle w:val="000000100000" w:firstRow="0" w:lastRow="0" w:firstColumn="0" w:lastColumn="0" w:oddVBand="0" w:evenVBand="0" w:oddHBand="1" w:evenHBand="0" w:firstRowFirstColumn="0" w:firstRowLastColumn="0" w:lastRowFirstColumn="0" w:lastRowLastColumn="0"/>
              <w:rPr>
                <w:bCs/>
                <w:sz w:val="20"/>
                <w:szCs w:val="20"/>
              </w:rPr>
            </w:pPr>
          </w:p>
          <w:p w14:paraId="7754DBA7" w14:textId="523FE60B" w:rsidR="00646659" w:rsidRPr="00426733" w:rsidRDefault="00646659" w:rsidP="00E6690E">
            <w:pP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 xml:space="preserve">The Treasury proposes minimum information requirements for notifications </w:t>
            </w:r>
            <w:r w:rsidR="007D6806">
              <w:rPr>
                <w:bCs/>
                <w:sz w:val="20"/>
                <w:szCs w:val="20"/>
              </w:rPr>
              <w:t>to be included</w:t>
            </w:r>
            <w:r>
              <w:rPr>
                <w:bCs/>
                <w:sz w:val="20"/>
                <w:szCs w:val="20"/>
              </w:rPr>
              <w:t xml:space="preserve"> in the data standard. </w:t>
            </w:r>
          </w:p>
        </w:tc>
        <w:tc>
          <w:tcPr>
            <w:tcW w:w="1985" w:type="dxa"/>
          </w:tcPr>
          <w:p w14:paraId="30363211" w14:textId="05DE6074" w:rsidR="00E6690E" w:rsidRDefault="00AD6345" w:rsidP="00E6690E">
            <w:pPr>
              <w:cnfStyle w:val="000000100000" w:firstRow="0" w:lastRow="0" w:firstColumn="0" w:lastColumn="0" w:oddVBand="0" w:evenVBand="0" w:oddHBand="1" w:evenHBand="0" w:firstRowFirstColumn="0" w:firstRowLastColumn="0" w:lastRowFirstColumn="0" w:lastRowLastColumn="0"/>
            </w:pPr>
            <w:r>
              <w:t>r 4.20(1)(b)(iii)</w:t>
            </w:r>
          </w:p>
          <w:p w14:paraId="080A58B8" w14:textId="77777777" w:rsidR="00AD6345" w:rsidRDefault="00AD6345" w:rsidP="00E6690E">
            <w:pPr>
              <w:cnfStyle w:val="000000100000" w:firstRow="0" w:lastRow="0" w:firstColumn="0" w:lastColumn="0" w:oddVBand="0" w:evenVBand="0" w:oddHBand="1" w:evenHBand="0" w:firstRowFirstColumn="0" w:firstRowLastColumn="0" w:lastRowFirstColumn="0" w:lastRowLastColumn="0"/>
            </w:pPr>
          </w:p>
          <w:p w14:paraId="0D7B9BB8" w14:textId="6E4846D6" w:rsidR="00AD6345" w:rsidRPr="00A82545" w:rsidRDefault="00AD6345" w:rsidP="00E6690E">
            <w:pPr>
              <w:cnfStyle w:val="000000100000" w:firstRow="0" w:lastRow="0" w:firstColumn="0" w:lastColumn="0" w:oddVBand="0" w:evenVBand="0" w:oddHBand="1" w:evenHBand="0" w:firstRowFirstColumn="0" w:firstRowLastColumn="0" w:lastRowFirstColumn="0" w:lastRowLastColumn="0"/>
            </w:pPr>
            <w:r>
              <w:t>r 4.20U(1)(b)(iv)</w:t>
            </w:r>
          </w:p>
        </w:tc>
        <w:tc>
          <w:tcPr>
            <w:tcW w:w="4819" w:type="dxa"/>
          </w:tcPr>
          <w:p w14:paraId="5A1193AB" w14:textId="1C5DCE0F" w:rsidR="00E6690E" w:rsidRDefault="002E5FDD" w:rsidP="00E6690E">
            <w:pPr>
              <w:cnfStyle w:val="000000100000" w:firstRow="0" w:lastRow="0" w:firstColumn="0" w:lastColumn="0" w:oddVBand="0" w:evenVBand="0" w:oddHBand="1" w:evenHBand="0" w:firstRowFirstColumn="0" w:firstRowLastColumn="0" w:lastRowFirstColumn="0" w:lastRowLastColumn="0"/>
              <w:rPr>
                <w:bCs/>
                <w:sz w:val="20"/>
                <w:szCs w:val="20"/>
              </w:rPr>
            </w:pPr>
            <w:r w:rsidRPr="002E5FDD">
              <w:rPr>
                <w:bCs/>
                <w:sz w:val="20"/>
                <w:szCs w:val="20"/>
              </w:rPr>
              <w:t xml:space="preserve">Mills Oakley has formed the view this proposal is privacy neutral, provided that the substance of the notifications </w:t>
            </w:r>
            <w:r w:rsidR="00077A5A" w:rsidRPr="002E5FDD">
              <w:rPr>
                <w:bCs/>
                <w:sz w:val="20"/>
                <w:szCs w:val="20"/>
              </w:rPr>
              <w:t>is</w:t>
            </w:r>
            <w:r w:rsidRPr="002E5FDD">
              <w:rPr>
                <w:bCs/>
                <w:sz w:val="20"/>
                <w:szCs w:val="20"/>
              </w:rPr>
              <w:t xml:space="preserve"> not diluted and consumers are nudged</w:t>
            </w:r>
            <w:r>
              <w:rPr>
                <w:bCs/>
                <w:sz w:val="20"/>
                <w:szCs w:val="20"/>
              </w:rPr>
              <w:t xml:space="preserve"> about the operative consents that they have in place. </w:t>
            </w:r>
            <w:r w:rsidR="00646659">
              <w:rPr>
                <w:bCs/>
                <w:sz w:val="20"/>
                <w:szCs w:val="20"/>
              </w:rPr>
              <w:t>The regularity of notifications can be adjusted without a significant impact on consumer privacy, provided the minimum information requirements to be addressed in the notification are not reduced.</w:t>
            </w:r>
          </w:p>
          <w:p w14:paraId="6F5AFF4E" w14:textId="77777777" w:rsidR="002E5FDD" w:rsidRDefault="002E5FDD" w:rsidP="00E6690E">
            <w:pPr>
              <w:cnfStyle w:val="000000100000" w:firstRow="0" w:lastRow="0" w:firstColumn="0" w:lastColumn="0" w:oddVBand="0" w:evenVBand="0" w:oddHBand="1" w:evenHBand="0" w:firstRowFirstColumn="0" w:firstRowLastColumn="0" w:lastRowFirstColumn="0" w:lastRowLastColumn="0"/>
              <w:rPr>
                <w:bCs/>
                <w:sz w:val="20"/>
                <w:szCs w:val="20"/>
              </w:rPr>
            </w:pPr>
          </w:p>
          <w:p w14:paraId="026C612C" w14:textId="77777777" w:rsidR="002E5FDD" w:rsidRDefault="002E5FDD" w:rsidP="00E6690E">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Mills Oakley is cognisant </w:t>
            </w:r>
            <w:r w:rsidR="00F211DA">
              <w:rPr>
                <w:bCs/>
                <w:sz w:val="20"/>
                <w:szCs w:val="20"/>
              </w:rPr>
              <w:t xml:space="preserve">that notification fatigue can undermine the effectiveness of notification steps intended to ensure consumers consider whether their consent settings remain fit for purpose. </w:t>
            </w:r>
          </w:p>
          <w:p w14:paraId="58091798" w14:textId="77777777" w:rsidR="00E11E72" w:rsidRDefault="00E11E72" w:rsidP="00E6690E">
            <w:pPr>
              <w:cnfStyle w:val="000000100000" w:firstRow="0" w:lastRow="0" w:firstColumn="0" w:lastColumn="0" w:oddVBand="0" w:evenVBand="0" w:oddHBand="1" w:evenHBand="0" w:firstRowFirstColumn="0" w:firstRowLastColumn="0" w:lastRowFirstColumn="0" w:lastRowLastColumn="0"/>
              <w:rPr>
                <w:bCs/>
              </w:rPr>
            </w:pPr>
          </w:p>
          <w:p w14:paraId="11013AAA" w14:textId="524E642F" w:rsidR="00E11E72" w:rsidRPr="006F4EB7" w:rsidRDefault="00E11E72" w:rsidP="00E6690E">
            <w:pPr>
              <w:cnfStyle w:val="000000100000" w:firstRow="0" w:lastRow="0" w:firstColumn="0" w:lastColumn="0" w:oddVBand="0" w:evenVBand="0" w:oddHBand="1" w:evenHBand="0" w:firstRowFirstColumn="0" w:firstRowLastColumn="0" w:lastRowFirstColumn="0" w:lastRowLastColumn="0"/>
            </w:pPr>
          </w:p>
        </w:tc>
      </w:tr>
    </w:tbl>
    <w:p w14:paraId="2D339266" w14:textId="7EF8E159" w:rsidR="006F4EB7" w:rsidRPr="001F2AD8" w:rsidRDefault="006F4EB7" w:rsidP="001F2AD8">
      <w:pPr>
        <w:pStyle w:val="MOTermsL2"/>
        <w:numPr>
          <w:ilvl w:val="1"/>
          <w:numId w:val="0"/>
        </w:numPr>
        <w:ind w:left="851"/>
        <w:rPr>
          <w:sz w:val="24"/>
          <w:szCs w:val="24"/>
        </w:rPr>
      </w:pPr>
      <w:bookmarkStart w:id="36" w:name="_Toc165324949"/>
      <w:r w:rsidRPr="001F2AD8">
        <w:rPr>
          <w:sz w:val="24"/>
          <w:szCs w:val="24"/>
        </w:rPr>
        <w:t xml:space="preserve">Withdrawal of de-identification </w:t>
      </w:r>
      <w:r w:rsidR="007A1F59">
        <w:rPr>
          <w:sz w:val="24"/>
          <w:szCs w:val="24"/>
        </w:rPr>
        <w:t xml:space="preserve">&amp; </w:t>
      </w:r>
      <w:r w:rsidRPr="001F2AD8">
        <w:rPr>
          <w:sz w:val="24"/>
          <w:szCs w:val="24"/>
        </w:rPr>
        <w:t xml:space="preserve">direct marketing consent </w:t>
      </w:r>
      <w:bookmarkEnd w:id="36"/>
    </w:p>
    <w:p w14:paraId="2E841405" w14:textId="2FC9599D" w:rsidR="006F4EB7" w:rsidRDefault="007A1F59" w:rsidP="006F4EB7">
      <w:pPr>
        <w:pStyle w:val="MOTermsL4"/>
      </w:pPr>
      <w:r w:rsidRPr="007A1F59">
        <w:t>The Treasury</w:t>
      </w:r>
      <w:r w:rsidR="00F211DA">
        <w:t xml:space="preserve"> </w:t>
      </w:r>
      <w:r w:rsidR="00115414">
        <w:t>was</w:t>
      </w:r>
      <w:r w:rsidR="004E594C">
        <w:t xml:space="preserve"> explor</w:t>
      </w:r>
      <w:r w:rsidR="00115414">
        <w:t>ing</w:t>
      </w:r>
      <w:r w:rsidR="004E594C">
        <w:t xml:space="preserve"> whether </w:t>
      </w:r>
      <w:r w:rsidR="00F211DA">
        <w:t xml:space="preserve">a change to </w:t>
      </w:r>
      <w:r w:rsidRPr="007A1F59">
        <w:t>the CDR Rules</w:t>
      </w:r>
      <w:r w:rsidR="00115414">
        <w:t xml:space="preserve"> was</w:t>
      </w:r>
      <w:r w:rsidR="004E594C">
        <w:t xml:space="preserve"> necessary </w:t>
      </w:r>
      <w:r w:rsidRPr="007A1F59">
        <w:t>to permit consumers to withdraw a de-identifi</w:t>
      </w:r>
      <w:r>
        <w:t xml:space="preserve">cation </w:t>
      </w:r>
      <w:r w:rsidRPr="007A1F59">
        <w:t>or direct marketing consent without withdrawing all consents.</w:t>
      </w:r>
      <w:r>
        <w:t xml:space="preserve"> </w:t>
      </w:r>
      <w:r w:rsidR="00115414">
        <w:t xml:space="preserve">The proposal is no longer being progressed on the basis that the Treasury is satisfied the Rules already permit withdrawal of these types of consent without withdrawing all </w:t>
      </w:r>
      <w:r w:rsidR="00761EE8">
        <w:t>operative consents</w:t>
      </w:r>
      <w:r w:rsidR="00115414">
        <w:t>.</w:t>
      </w:r>
    </w:p>
    <w:p w14:paraId="37260F01" w14:textId="77777777" w:rsidR="001B45A4" w:rsidRDefault="001B45A4" w:rsidP="001B45A4">
      <w:pPr>
        <w:pStyle w:val="MOTermsL4"/>
        <w:numPr>
          <w:ilvl w:val="0"/>
          <w:numId w:val="0"/>
        </w:numPr>
        <w:ind w:left="851"/>
      </w:pPr>
    </w:p>
    <w:p w14:paraId="1C00C9CD" w14:textId="77777777" w:rsidR="00A7173D" w:rsidRDefault="00A7173D" w:rsidP="00A7173D">
      <w:pPr>
        <w:pStyle w:val="MOTermsL4"/>
        <w:numPr>
          <w:ilvl w:val="0"/>
          <w:numId w:val="0"/>
        </w:numPr>
        <w:ind w:left="851"/>
      </w:pPr>
    </w:p>
    <w:tbl>
      <w:tblPr>
        <w:tblStyle w:val="GridTable4-Accent1"/>
        <w:tblW w:w="14425" w:type="dxa"/>
        <w:tblLook w:val="04A0" w:firstRow="1" w:lastRow="0" w:firstColumn="1" w:lastColumn="0" w:noHBand="0" w:noVBand="1"/>
      </w:tblPr>
      <w:tblGrid>
        <w:gridCol w:w="3794"/>
        <w:gridCol w:w="3827"/>
        <w:gridCol w:w="1985"/>
        <w:gridCol w:w="4819"/>
      </w:tblGrid>
      <w:tr w:rsidR="00A7173D" w14:paraId="4B48273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654A89F9" w14:textId="4E57ABB4" w:rsidR="00A7173D" w:rsidRDefault="00483AF3" w:rsidP="00FE5DB7">
            <w:pPr>
              <w:rPr>
                <w:sz w:val="20"/>
                <w:szCs w:val="20"/>
              </w:rPr>
            </w:pPr>
            <w:r w:rsidRPr="0079789C">
              <w:rPr>
                <w:sz w:val="20"/>
                <w:szCs w:val="20"/>
              </w:rPr>
              <w:t>Synopsis of stakeholders’ privacy comments and submissions</w:t>
            </w:r>
          </w:p>
        </w:tc>
        <w:tc>
          <w:tcPr>
            <w:tcW w:w="3827" w:type="dxa"/>
          </w:tcPr>
          <w:p w14:paraId="779C00C0" w14:textId="0ADC5F0B" w:rsidR="00A7173D" w:rsidRDefault="00A7173D">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36D5CA26" w14:textId="77777777" w:rsidR="00A7173D" w:rsidRDefault="00A7173D">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42B8EC25" w14:textId="77777777" w:rsidR="00A7173D" w:rsidRDefault="00A7173D">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A7173D" w14:paraId="52F6AD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A14AE9D" w14:textId="0BD69187" w:rsidR="00A7173D" w:rsidRPr="007A1F59" w:rsidRDefault="00E11E72">
            <w:pPr>
              <w:pStyle w:val="ListParagraph"/>
              <w:ind w:left="0"/>
              <w:rPr>
                <w:b w:val="0"/>
                <w:bCs w:val="0"/>
                <w:sz w:val="20"/>
                <w:szCs w:val="20"/>
              </w:rPr>
            </w:pPr>
            <w:r>
              <w:rPr>
                <w:b w:val="0"/>
                <w:bCs w:val="0"/>
                <w:sz w:val="20"/>
                <w:szCs w:val="20"/>
              </w:rPr>
              <w:t>Stakeholders</w:t>
            </w:r>
            <w:r w:rsidR="00A7173D" w:rsidRPr="007A1F59">
              <w:rPr>
                <w:b w:val="0"/>
                <w:bCs w:val="0"/>
                <w:sz w:val="20"/>
                <w:szCs w:val="20"/>
              </w:rPr>
              <w:t xml:space="preserve"> were broadly support</w:t>
            </w:r>
            <w:r w:rsidR="004E594C">
              <w:rPr>
                <w:b w:val="0"/>
                <w:bCs w:val="0"/>
                <w:sz w:val="20"/>
                <w:szCs w:val="20"/>
              </w:rPr>
              <w:t xml:space="preserve">ive </w:t>
            </w:r>
            <w:r w:rsidR="00A7173D" w:rsidRPr="007A1F59">
              <w:rPr>
                <w:b w:val="0"/>
                <w:bCs w:val="0"/>
                <w:sz w:val="20"/>
                <w:szCs w:val="20"/>
              </w:rPr>
              <w:t xml:space="preserve">of this proposal and saw it as being privacy positive and aligned with the data minimisation principle.  </w:t>
            </w:r>
          </w:p>
          <w:p w14:paraId="767B83C4" w14:textId="77777777" w:rsidR="00A7173D" w:rsidRPr="007A1F59" w:rsidRDefault="00A7173D">
            <w:pPr>
              <w:pStyle w:val="ListParagraph"/>
              <w:ind w:left="0"/>
              <w:rPr>
                <w:b w:val="0"/>
                <w:bCs w:val="0"/>
                <w:sz w:val="20"/>
                <w:szCs w:val="20"/>
              </w:rPr>
            </w:pPr>
          </w:p>
          <w:p w14:paraId="7B7AE206" w14:textId="77777777" w:rsidR="00A7173D" w:rsidRPr="00426733" w:rsidRDefault="00A7173D">
            <w:pPr>
              <w:rPr>
                <w:b w:val="0"/>
                <w:bCs w:val="0"/>
                <w:sz w:val="20"/>
                <w:szCs w:val="20"/>
              </w:rPr>
            </w:pPr>
            <w:r w:rsidRPr="007A1F59">
              <w:rPr>
                <w:b w:val="0"/>
                <w:bCs w:val="0"/>
                <w:sz w:val="20"/>
                <w:szCs w:val="20"/>
              </w:rPr>
              <w:t>Stakeholders that did not support the proposed change expressed the view that the quality of services may be negatively impacted</w:t>
            </w:r>
            <w:r w:rsidR="004E594C">
              <w:rPr>
                <w:b w:val="0"/>
                <w:bCs w:val="0"/>
                <w:sz w:val="20"/>
                <w:szCs w:val="20"/>
              </w:rPr>
              <w:t xml:space="preserve"> by selective withdrawal of de-identification and marketing consents</w:t>
            </w:r>
            <w:r w:rsidRPr="007A1F59">
              <w:rPr>
                <w:b w:val="0"/>
                <w:bCs w:val="0"/>
                <w:sz w:val="20"/>
                <w:szCs w:val="20"/>
              </w:rPr>
              <w:t>.</w:t>
            </w:r>
            <w:r>
              <w:rPr>
                <w:sz w:val="20"/>
                <w:szCs w:val="20"/>
              </w:rPr>
              <w:t xml:space="preserve"> </w:t>
            </w:r>
          </w:p>
        </w:tc>
        <w:tc>
          <w:tcPr>
            <w:tcW w:w="3827" w:type="dxa"/>
          </w:tcPr>
          <w:p w14:paraId="46152A37" w14:textId="77777777" w:rsidR="004E594C" w:rsidRPr="00426733" w:rsidRDefault="004E594C" w:rsidP="00AD6345">
            <w:pP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 xml:space="preserve">The Treasury is exploring whether the CDR Rules need to be amended to facilitate consumers withdrawing de-identification or marketing consents only. </w:t>
            </w:r>
          </w:p>
        </w:tc>
        <w:tc>
          <w:tcPr>
            <w:tcW w:w="1985" w:type="dxa"/>
          </w:tcPr>
          <w:p w14:paraId="24AFB2F5" w14:textId="5C1FCA5C" w:rsidR="00132D3D" w:rsidRDefault="00132D3D">
            <w:pPr>
              <w:cnfStyle w:val="000000100000" w:firstRow="0" w:lastRow="0" w:firstColumn="0" w:lastColumn="0" w:oddVBand="0" w:evenVBand="0" w:oddHBand="1" w:evenHBand="0" w:firstRowFirstColumn="0" w:firstRowLastColumn="0" w:lastRowFirstColumn="0" w:lastRowLastColumn="0"/>
            </w:pPr>
            <w:r>
              <w:t>r 4.11</w:t>
            </w:r>
          </w:p>
          <w:p w14:paraId="529F382F" w14:textId="77777777" w:rsidR="00132D3D" w:rsidRDefault="00132D3D">
            <w:pPr>
              <w:cnfStyle w:val="000000100000" w:firstRow="0" w:lastRow="0" w:firstColumn="0" w:lastColumn="0" w:oddVBand="0" w:evenVBand="0" w:oddHBand="1" w:evenHBand="0" w:firstRowFirstColumn="0" w:firstRowLastColumn="0" w:lastRowFirstColumn="0" w:lastRowLastColumn="0"/>
            </w:pPr>
          </w:p>
          <w:p w14:paraId="7B7D3BDD" w14:textId="430AC97E" w:rsidR="00132D3D" w:rsidRDefault="00132D3D">
            <w:pPr>
              <w:cnfStyle w:val="000000100000" w:firstRow="0" w:lastRow="0" w:firstColumn="0" w:lastColumn="0" w:oddVBand="0" w:evenVBand="0" w:oddHBand="1" w:evenHBand="0" w:firstRowFirstColumn="0" w:firstRowLastColumn="0" w:lastRowFirstColumn="0" w:lastRowLastColumn="0"/>
            </w:pPr>
            <w:r>
              <w:t>r 4.12</w:t>
            </w:r>
          </w:p>
          <w:p w14:paraId="1E6488D1" w14:textId="77777777" w:rsidR="00132D3D" w:rsidRDefault="00132D3D">
            <w:pPr>
              <w:cnfStyle w:val="000000100000" w:firstRow="0" w:lastRow="0" w:firstColumn="0" w:lastColumn="0" w:oddVBand="0" w:evenVBand="0" w:oddHBand="1" w:evenHBand="0" w:firstRowFirstColumn="0" w:firstRowLastColumn="0" w:lastRowFirstColumn="0" w:lastRowLastColumn="0"/>
            </w:pPr>
          </w:p>
          <w:p w14:paraId="35015E3E" w14:textId="3BC91BC8" w:rsidR="00132D3D" w:rsidRPr="00A82545" w:rsidRDefault="00132D3D">
            <w:pPr>
              <w:cnfStyle w:val="000000100000" w:firstRow="0" w:lastRow="0" w:firstColumn="0" w:lastColumn="0" w:oddVBand="0" w:evenVBand="0" w:oddHBand="1" w:evenHBand="0" w:firstRowFirstColumn="0" w:firstRowLastColumn="0" w:lastRowFirstColumn="0" w:lastRowLastColumn="0"/>
            </w:pPr>
            <w:r>
              <w:t>r 4.13</w:t>
            </w:r>
          </w:p>
        </w:tc>
        <w:tc>
          <w:tcPr>
            <w:tcW w:w="4819" w:type="dxa"/>
          </w:tcPr>
          <w:p w14:paraId="10893755" w14:textId="77777777" w:rsidR="00A7173D" w:rsidRDefault="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appreciates that this policy position is the corollary of the proposal to quarantine de-identification and direct marketing consents from bundled consents. Because these consents cannot be bundled, they must be separately and specifically withdrawn. </w:t>
            </w:r>
          </w:p>
          <w:p w14:paraId="7B1C844D" w14:textId="77777777" w:rsidR="00A7173D" w:rsidRDefault="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00C88AB" w14:textId="4356F7F4" w:rsidR="00A7173D" w:rsidRDefault="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Mills Oakley considers this to be a privacy positive p</w:t>
            </w:r>
            <w:r w:rsidR="00115414">
              <w:rPr>
                <w:sz w:val="20"/>
                <w:szCs w:val="20"/>
              </w:rPr>
              <w:t>osition</w:t>
            </w:r>
            <w:r>
              <w:rPr>
                <w:sz w:val="20"/>
                <w:szCs w:val="20"/>
              </w:rPr>
              <w:t>.  It gives CDR consumers autonomy over secondary uses of CDR data that</w:t>
            </w:r>
            <w:r w:rsidR="00457D37">
              <w:rPr>
                <w:sz w:val="20"/>
                <w:szCs w:val="20"/>
              </w:rPr>
              <w:t xml:space="preserve">, unlike </w:t>
            </w:r>
            <w:r>
              <w:rPr>
                <w:sz w:val="20"/>
                <w:szCs w:val="20"/>
              </w:rPr>
              <w:t>consents for the collection, use and disclosure of CDR data for product and service purposes</w:t>
            </w:r>
            <w:r w:rsidR="00457D37">
              <w:rPr>
                <w:sz w:val="20"/>
                <w:szCs w:val="20"/>
              </w:rPr>
              <w:t xml:space="preserve"> are transactional </w:t>
            </w:r>
            <w:r w:rsidR="00E11E72">
              <w:rPr>
                <w:sz w:val="20"/>
                <w:szCs w:val="20"/>
              </w:rPr>
              <w:t xml:space="preserve">specific. </w:t>
            </w:r>
          </w:p>
          <w:p w14:paraId="4BE3C3FD" w14:textId="77777777" w:rsidR="00A7173D" w:rsidRDefault="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BE29FC4" w14:textId="77777777" w:rsidR="00457D37" w:rsidRDefault="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Stakeholders that hold the view that de-identified CDR consumer data is an important resource to inform the development of improved products and services should advocate that position when seeking consumer consent for data to be de-identified rather than destroyed. </w:t>
            </w:r>
          </w:p>
          <w:p w14:paraId="401820C2" w14:textId="77777777" w:rsidR="00457D37" w:rsidRDefault="00457D37">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3BC1ECF" w14:textId="4A1A79CC" w:rsidR="00A7173D" w:rsidRPr="001B45A4" w:rsidRDefault="00A7173D" w:rsidP="001B45A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 the absence of an active choice by the CDR consumer, the deletion by default approach promotes a privacy positive and secure end of data lifecycle process. </w:t>
            </w:r>
          </w:p>
        </w:tc>
      </w:tr>
    </w:tbl>
    <w:p w14:paraId="5C5A0BB0" w14:textId="77777777" w:rsidR="006F4EB7" w:rsidRDefault="006F4EB7" w:rsidP="001F2AD8">
      <w:pPr>
        <w:pStyle w:val="MOTermsL2"/>
        <w:numPr>
          <w:ilvl w:val="0"/>
          <w:numId w:val="0"/>
        </w:numPr>
        <w:ind w:left="851"/>
      </w:pPr>
      <w:bookmarkStart w:id="37" w:name="_Toc165324950"/>
      <w:r>
        <w:t>D</w:t>
      </w:r>
      <w:r w:rsidRPr="001F2AD8">
        <w:rPr>
          <w:sz w:val="24"/>
          <w:szCs w:val="24"/>
        </w:rPr>
        <w:t>irect marketing activities</w:t>
      </w:r>
      <w:bookmarkEnd w:id="37"/>
      <w:r w:rsidRPr="001F2AD8">
        <w:rPr>
          <w:sz w:val="24"/>
          <w:szCs w:val="24"/>
        </w:rPr>
        <w:t xml:space="preserve"> </w:t>
      </w:r>
    </w:p>
    <w:p w14:paraId="057F46B8" w14:textId="22063A0D" w:rsidR="006F4EB7" w:rsidRDefault="00A7173D" w:rsidP="006F4EB7">
      <w:pPr>
        <w:pStyle w:val="MOTermsL4"/>
      </w:pPr>
      <w:r w:rsidRPr="00A7173D">
        <w:t xml:space="preserve">The Treasury </w:t>
      </w:r>
      <w:r w:rsidR="004E594C">
        <w:t>is proposing a change to the CDR Rules</w:t>
      </w:r>
      <w:r w:rsidR="004E594C" w:rsidRPr="00A7173D">
        <w:t xml:space="preserve"> </w:t>
      </w:r>
      <w:r w:rsidRPr="00A7173D">
        <w:t>to ensure CDR consumers have visibility of the direct marketing activities to be conducted in reliance of a consumer direct marketing consent.</w:t>
      </w:r>
    </w:p>
    <w:p w14:paraId="7EC8A3E8" w14:textId="77777777" w:rsidR="00A7173D" w:rsidRDefault="00A7173D" w:rsidP="00A7173D">
      <w:pPr>
        <w:pStyle w:val="MOTermsL4"/>
        <w:numPr>
          <w:ilvl w:val="0"/>
          <w:numId w:val="0"/>
        </w:numPr>
        <w:ind w:left="851"/>
      </w:pPr>
    </w:p>
    <w:tbl>
      <w:tblPr>
        <w:tblStyle w:val="GridTable4-Accent1"/>
        <w:tblW w:w="14425" w:type="dxa"/>
        <w:tblLook w:val="04A0" w:firstRow="1" w:lastRow="0" w:firstColumn="1" w:lastColumn="0" w:noHBand="0" w:noVBand="1"/>
      </w:tblPr>
      <w:tblGrid>
        <w:gridCol w:w="3688"/>
        <w:gridCol w:w="3706"/>
        <w:gridCol w:w="2212"/>
        <w:gridCol w:w="4819"/>
      </w:tblGrid>
      <w:tr w:rsidR="00457D37" w14:paraId="056A9A81" w14:textId="77777777" w:rsidTr="00457D37">
        <w:trPr>
          <w:cnfStyle w:val="100000000000" w:firstRow="1" w:lastRow="0" w:firstColumn="0" w:lastColumn="0" w:oddVBand="0" w:evenVBand="0" w:oddHBand="0" w:evenHBand="0" w:firstRowFirstColumn="0" w:firstRowLastColumn="0" w:lastRowFirstColumn="0" w:lastRowLastColumn="0"/>
          <w:trHeight w:val="637"/>
          <w:tblHeader/>
        </w:trPr>
        <w:tc>
          <w:tcPr>
            <w:cnfStyle w:val="001000000000" w:firstRow="0" w:lastRow="0" w:firstColumn="1" w:lastColumn="0" w:oddVBand="0" w:evenVBand="0" w:oddHBand="0" w:evenHBand="0" w:firstRowFirstColumn="0" w:firstRowLastColumn="0" w:lastRowFirstColumn="0" w:lastRowLastColumn="0"/>
            <w:tcW w:w="3688" w:type="dxa"/>
          </w:tcPr>
          <w:p w14:paraId="7244FBC8" w14:textId="2258D234" w:rsidR="00457D37" w:rsidRDefault="00483AF3">
            <w:pPr>
              <w:rPr>
                <w:sz w:val="20"/>
                <w:szCs w:val="20"/>
              </w:rPr>
            </w:pPr>
            <w:r w:rsidRPr="0079789C">
              <w:rPr>
                <w:sz w:val="20"/>
                <w:szCs w:val="20"/>
              </w:rPr>
              <w:t>Synopsis of stakeholders’ privacy comments and submissions</w:t>
            </w:r>
          </w:p>
        </w:tc>
        <w:tc>
          <w:tcPr>
            <w:tcW w:w="3706" w:type="dxa"/>
          </w:tcPr>
          <w:p w14:paraId="5B7C1546" w14:textId="63EDCDB3" w:rsidR="00457D37" w:rsidRDefault="00457D37">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2212" w:type="dxa"/>
          </w:tcPr>
          <w:p w14:paraId="424914BE" w14:textId="77777777" w:rsidR="00457D37" w:rsidRDefault="00457D37">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08AD8F99" w14:textId="77777777" w:rsidR="00457D37" w:rsidRDefault="00457D37">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457D37" w14:paraId="044B3AFF" w14:textId="77777777" w:rsidTr="00457D37">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3688" w:type="dxa"/>
          </w:tcPr>
          <w:p w14:paraId="65B609FF" w14:textId="77777777" w:rsidR="00457D37" w:rsidRPr="00A7173D" w:rsidRDefault="00457D37">
            <w:pPr>
              <w:rPr>
                <w:b w:val="0"/>
                <w:bCs w:val="0"/>
                <w:sz w:val="20"/>
                <w:szCs w:val="20"/>
              </w:rPr>
            </w:pPr>
            <w:r w:rsidRPr="00A7173D">
              <w:rPr>
                <w:b w:val="0"/>
                <w:bCs w:val="0"/>
                <w:sz w:val="20"/>
                <w:szCs w:val="20"/>
              </w:rPr>
              <w:t>Nil.  This proposal was not addressed in the Consent Design Paper.</w:t>
            </w:r>
          </w:p>
        </w:tc>
        <w:tc>
          <w:tcPr>
            <w:tcW w:w="3706" w:type="dxa"/>
          </w:tcPr>
          <w:p w14:paraId="13AA7240" w14:textId="7A73155E" w:rsidR="00457D37" w:rsidRPr="00426733" w:rsidRDefault="0011541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Proposal for CDR consumers to have visibility of direct marketing activities that flow from direct marketing consent.</w:t>
            </w:r>
          </w:p>
        </w:tc>
        <w:tc>
          <w:tcPr>
            <w:tcW w:w="2212" w:type="dxa"/>
          </w:tcPr>
          <w:p w14:paraId="60EB436D" w14:textId="77777777" w:rsidR="00457D37" w:rsidRDefault="007761E0">
            <w:pPr>
              <w:cnfStyle w:val="000000100000" w:firstRow="0" w:lastRow="0" w:firstColumn="0" w:lastColumn="0" w:oddVBand="0" w:evenVBand="0" w:oddHBand="1" w:evenHBand="0" w:firstRowFirstColumn="0" w:firstRowLastColumn="0" w:lastRowFirstColumn="0" w:lastRowLastColumn="0"/>
            </w:pPr>
            <w:r>
              <w:t>r 4.11.(3)</w:t>
            </w:r>
          </w:p>
          <w:p w14:paraId="545011EF" w14:textId="77777777" w:rsidR="007761E0" w:rsidRDefault="007761E0">
            <w:pPr>
              <w:cnfStyle w:val="000000100000" w:firstRow="0" w:lastRow="0" w:firstColumn="0" w:lastColumn="0" w:oddVBand="0" w:evenVBand="0" w:oddHBand="1" w:evenHBand="0" w:firstRowFirstColumn="0" w:firstRowLastColumn="0" w:lastRowFirstColumn="0" w:lastRowLastColumn="0"/>
            </w:pPr>
          </w:p>
          <w:p w14:paraId="158612AE" w14:textId="77777777" w:rsidR="007761E0" w:rsidRDefault="007761E0">
            <w:pPr>
              <w:cnfStyle w:val="000000100000" w:firstRow="0" w:lastRow="0" w:firstColumn="0" w:lastColumn="0" w:oddVBand="0" w:evenVBand="0" w:oddHBand="1" w:evenHBand="0" w:firstRowFirstColumn="0" w:firstRowLastColumn="0" w:lastRowFirstColumn="0" w:lastRowLastColumn="0"/>
            </w:pPr>
            <w:r>
              <w:t>r 4.20E</w:t>
            </w:r>
          </w:p>
          <w:p w14:paraId="0442720E" w14:textId="77777777" w:rsidR="00C047A0" w:rsidRDefault="00C047A0">
            <w:pPr>
              <w:cnfStyle w:val="000000100000" w:firstRow="0" w:lastRow="0" w:firstColumn="0" w:lastColumn="0" w:oddVBand="0" w:evenVBand="0" w:oddHBand="1" w:evenHBand="0" w:firstRowFirstColumn="0" w:firstRowLastColumn="0" w:lastRowFirstColumn="0" w:lastRowLastColumn="0"/>
            </w:pPr>
          </w:p>
          <w:p w14:paraId="0CEDC956" w14:textId="46DA75E4" w:rsidR="00C047A0" w:rsidRPr="00A82545" w:rsidRDefault="00C047A0">
            <w:pPr>
              <w:cnfStyle w:val="000000100000" w:firstRow="0" w:lastRow="0" w:firstColumn="0" w:lastColumn="0" w:oddVBand="0" w:evenVBand="0" w:oddHBand="1" w:evenHBand="0" w:firstRowFirstColumn="0" w:firstRowLastColumn="0" w:lastRowFirstColumn="0" w:lastRowLastColumn="0"/>
            </w:pPr>
            <w:r>
              <w:t>r 7.5(3)</w:t>
            </w:r>
          </w:p>
        </w:tc>
        <w:tc>
          <w:tcPr>
            <w:tcW w:w="4819" w:type="dxa"/>
          </w:tcPr>
          <w:p w14:paraId="694E84D8" w14:textId="74BF582E" w:rsidR="00457D37" w:rsidRPr="001B45A4" w:rsidRDefault="00457D3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has formed the view that this is a privacy positive proposal.  For the direct marketing consent to be valid and informed, CDR consumers must have an awareness about the </w:t>
            </w:r>
            <w:r w:rsidRPr="00E11E72">
              <w:rPr>
                <w:i/>
                <w:iCs/>
                <w:sz w:val="20"/>
                <w:szCs w:val="20"/>
              </w:rPr>
              <w:t>types</w:t>
            </w:r>
            <w:r>
              <w:rPr>
                <w:sz w:val="20"/>
                <w:szCs w:val="20"/>
              </w:rPr>
              <w:t xml:space="preserve"> of marketing activities to which the </w:t>
            </w:r>
            <w:r w:rsidR="000B43F6">
              <w:rPr>
                <w:sz w:val="20"/>
                <w:szCs w:val="20"/>
              </w:rPr>
              <w:t xml:space="preserve">CDR </w:t>
            </w:r>
            <w:r>
              <w:rPr>
                <w:sz w:val="20"/>
                <w:szCs w:val="20"/>
              </w:rPr>
              <w:t xml:space="preserve">data will be applied. </w:t>
            </w:r>
            <w:r w:rsidR="000B43F6">
              <w:rPr>
                <w:sz w:val="20"/>
                <w:szCs w:val="20"/>
              </w:rPr>
              <w:t>Without that degree of awareness and specificity, the consumer response may not meet the legal requirements of valid and informed consent.</w:t>
            </w:r>
          </w:p>
        </w:tc>
      </w:tr>
    </w:tbl>
    <w:p w14:paraId="55230B06" w14:textId="77777777" w:rsidR="006F4EB7" w:rsidRPr="001F2AD8" w:rsidRDefault="006F4EB7" w:rsidP="001F2AD8">
      <w:pPr>
        <w:pStyle w:val="MOTermsL2"/>
        <w:numPr>
          <w:ilvl w:val="0"/>
          <w:numId w:val="0"/>
        </w:numPr>
        <w:ind w:left="851"/>
        <w:rPr>
          <w:sz w:val="24"/>
          <w:szCs w:val="24"/>
        </w:rPr>
      </w:pPr>
      <w:bookmarkStart w:id="38" w:name="_Toc165324951"/>
      <w:r w:rsidRPr="001F2AD8">
        <w:rPr>
          <w:sz w:val="24"/>
          <w:szCs w:val="24"/>
        </w:rPr>
        <w:t>Dark patterns</w:t>
      </w:r>
      <w:bookmarkEnd w:id="38"/>
    </w:p>
    <w:p w14:paraId="3C6ABC79" w14:textId="77777777" w:rsidR="006F4EB7" w:rsidRDefault="00A7173D" w:rsidP="006F4EB7">
      <w:pPr>
        <w:pStyle w:val="MOTermsL4"/>
      </w:pPr>
      <w:r w:rsidRPr="00A7173D">
        <w:t>Treasury is considering how best to prohibit the use of dark patterns in consent and authorisation process flows.</w:t>
      </w:r>
    </w:p>
    <w:p w14:paraId="65CD38E2" w14:textId="77777777" w:rsidR="00A7173D" w:rsidRDefault="00A7173D" w:rsidP="00A7173D">
      <w:pPr>
        <w:pStyle w:val="MOTermsL4"/>
        <w:numPr>
          <w:ilvl w:val="0"/>
          <w:numId w:val="0"/>
        </w:numPr>
        <w:ind w:left="851"/>
      </w:pPr>
    </w:p>
    <w:tbl>
      <w:tblPr>
        <w:tblStyle w:val="GridTable4-Accent1"/>
        <w:tblW w:w="14425" w:type="dxa"/>
        <w:tblLook w:val="04A0" w:firstRow="1" w:lastRow="0" w:firstColumn="1" w:lastColumn="0" w:noHBand="0" w:noVBand="1"/>
      </w:tblPr>
      <w:tblGrid>
        <w:gridCol w:w="3794"/>
        <w:gridCol w:w="3827"/>
        <w:gridCol w:w="1985"/>
        <w:gridCol w:w="4819"/>
      </w:tblGrid>
      <w:tr w:rsidR="006F4EB7" w14:paraId="2E4B3A7C" w14:textId="77777777" w:rsidTr="006F4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14:paraId="0D0C2885" w14:textId="3336B51B" w:rsidR="006F4EB7" w:rsidRDefault="00483AF3">
            <w:pPr>
              <w:rPr>
                <w:sz w:val="20"/>
                <w:szCs w:val="20"/>
              </w:rPr>
            </w:pPr>
            <w:r w:rsidRPr="0079789C">
              <w:rPr>
                <w:sz w:val="20"/>
                <w:szCs w:val="20"/>
              </w:rPr>
              <w:t>Synopsis of stakeholders’ privacy comments and submissions</w:t>
            </w:r>
          </w:p>
        </w:tc>
        <w:tc>
          <w:tcPr>
            <w:tcW w:w="3827" w:type="dxa"/>
          </w:tcPr>
          <w:p w14:paraId="267B37CE" w14:textId="39FD702F" w:rsidR="006F4EB7" w:rsidRDefault="006F4EB7">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985" w:type="dxa"/>
          </w:tcPr>
          <w:p w14:paraId="6018AA3B" w14:textId="77777777" w:rsidR="006F4EB7" w:rsidRDefault="006F4EB7">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4819" w:type="dxa"/>
          </w:tcPr>
          <w:p w14:paraId="2D4795D1" w14:textId="77777777" w:rsidR="006F4EB7" w:rsidRDefault="006F4EB7">
            <w:pPr>
              <w:cnfStyle w:val="100000000000" w:firstRow="1" w:lastRow="0" w:firstColumn="0" w:lastColumn="0" w:oddVBand="0" w:evenVBand="0" w:oddHBand="0" w:evenHBand="0" w:firstRowFirstColumn="0" w:firstRowLastColumn="0" w:lastRowFirstColumn="0" w:lastRowLastColumn="0"/>
            </w:pPr>
            <w:r w:rsidRPr="009B1A74">
              <w:rPr>
                <w:sz w:val="20"/>
                <w:szCs w:val="20"/>
              </w:rPr>
              <w:t>Privacy impact</w:t>
            </w:r>
            <w:r>
              <w:rPr>
                <w:sz w:val="20"/>
                <w:szCs w:val="20"/>
              </w:rPr>
              <w:t xml:space="preserve">s, risks </w:t>
            </w:r>
            <w:r w:rsidRPr="009B1A74">
              <w:rPr>
                <w:sz w:val="20"/>
                <w:szCs w:val="20"/>
              </w:rPr>
              <w:t>and recommendations</w:t>
            </w:r>
          </w:p>
        </w:tc>
      </w:tr>
      <w:tr w:rsidR="00A7173D" w14:paraId="5CC6F3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170F6C6F" w14:textId="4403F25E" w:rsidR="00A7173D" w:rsidRPr="00A7173D" w:rsidRDefault="00E11E72" w:rsidP="00A7173D">
            <w:pPr>
              <w:rPr>
                <w:b w:val="0"/>
                <w:bCs w:val="0"/>
                <w:sz w:val="20"/>
                <w:szCs w:val="20"/>
              </w:rPr>
            </w:pPr>
            <w:r>
              <w:rPr>
                <w:b w:val="0"/>
                <w:bCs w:val="0"/>
                <w:sz w:val="20"/>
                <w:szCs w:val="20"/>
              </w:rPr>
              <w:t>S</w:t>
            </w:r>
            <w:r w:rsidR="00A7173D" w:rsidRPr="00A7173D">
              <w:rPr>
                <w:b w:val="0"/>
                <w:bCs w:val="0"/>
                <w:sz w:val="20"/>
                <w:szCs w:val="20"/>
              </w:rPr>
              <w:t xml:space="preserve">takeholders were generally </w:t>
            </w:r>
            <w:r>
              <w:rPr>
                <w:b w:val="0"/>
                <w:bCs w:val="0"/>
                <w:sz w:val="20"/>
                <w:szCs w:val="20"/>
              </w:rPr>
              <w:t xml:space="preserve">supportive </w:t>
            </w:r>
            <w:r w:rsidR="00A7173D" w:rsidRPr="00A7173D">
              <w:rPr>
                <w:b w:val="0"/>
                <w:bCs w:val="0"/>
                <w:sz w:val="20"/>
                <w:szCs w:val="20"/>
              </w:rPr>
              <w:t>of the view that any directions ab</w:t>
            </w:r>
            <w:r w:rsidR="00457D37">
              <w:rPr>
                <w:b w:val="0"/>
                <w:bCs w:val="0"/>
                <w:sz w:val="20"/>
                <w:szCs w:val="20"/>
              </w:rPr>
              <w:t>o</w:t>
            </w:r>
            <w:r w:rsidR="00A7173D" w:rsidRPr="00A7173D">
              <w:rPr>
                <w:b w:val="0"/>
                <w:bCs w:val="0"/>
                <w:sz w:val="20"/>
                <w:szCs w:val="20"/>
              </w:rPr>
              <w:t xml:space="preserve">ut avoiding the use of dark patterns should be aligned with the Privacy Act reforms. </w:t>
            </w:r>
          </w:p>
        </w:tc>
        <w:tc>
          <w:tcPr>
            <w:tcW w:w="3827" w:type="dxa"/>
          </w:tcPr>
          <w:p w14:paraId="45BF9971" w14:textId="6CF4D589" w:rsidR="00A7173D" w:rsidRPr="00426733" w:rsidRDefault="00E11E72" w:rsidP="00A7173D">
            <w:pPr>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 xml:space="preserve">The </w:t>
            </w:r>
            <w:r w:rsidR="00A7173D">
              <w:rPr>
                <w:bCs/>
                <w:sz w:val="20"/>
                <w:szCs w:val="20"/>
              </w:rPr>
              <w:t xml:space="preserve">Treasury will consider whether data standards or other guidelines are an appropriate vehicle to mitigate the privacy risks associated with the use of dark patterns in CDR consumer consent flows and authorisations. </w:t>
            </w:r>
          </w:p>
        </w:tc>
        <w:tc>
          <w:tcPr>
            <w:tcW w:w="1985" w:type="dxa"/>
          </w:tcPr>
          <w:p w14:paraId="626E69F4" w14:textId="1108B6D5" w:rsidR="00A7173D" w:rsidRPr="00A82545" w:rsidRDefault="007761E0" w:rsidP="00A7173D">
            <w:pPr>
              <w:cnfStyle w:val="000000100000" w:firstRow="0" w:lastRow="0" w:firstColumn="0" w:lastColumn="0" w:oddVBand="0" w:evenVBand="0" w:oddHBand="1" w:evenHBand="0" w:firstRowFirstColumn="0" w:firstRowLastColumn="0" w:lastRowFirstColumn="0" w:lastRowLastColumn="0"/>
            </w:pPr>
            <w:r>
              <w:t>r 8.11</w:t>
            </w:r>
          </w:p>
        </w:tc>
        <w:tc>
          <w:tcPr>
            <w:tcW w:w="4819" w:type="dxa"/>
          </w:tcPr>
          <w:p w14:paraId="40E390AE" w14:textId="4104970E"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is of the view that how the CDR regime deals with dark patterns should be in </w:t>
            </w:r>
            <w:r w:rsidR="00077A5A">
              <w:rPr>
                <w:sz w:val="20"/>
                <w:szCs w:val="20"/>
              </w:rPr>
              <w:t>lockstep</w:t>
            </w:r>
            <w:r>
              <w:rPr>
                <w:sz w:val="20"/>
                <w:szCs w:val="20"/>
              </w:rPr>
              <w:t xml:space="preserve"> with how the Privacy Act will respond to, and mitigate, the privacy risks associated with dark patterns</w:t>
            </w:r>
            <w:r w:rsidR="00E11E72">
              <w:rPr>
                <w:sz w:val="20"/>
                <w:szCs w:val="20"/>
              </w:rPr>
              <w:t xml:space="preserve"> designed to nudge or influence consumer behaviour and choice about the way their CDR data is handled</w:t>
            </w:r>
            <w:r w:rsidR="007F1FFF">
              <w:rPr>
                <w:sz w:val="20"/>
                <w:szCs w:val="20"/>
              </w:rPr>
              <w:t>.</w:t>
            </w:r>
          </w:p>
          <w:p w14:paraId="75323149" w14:textId="77777777"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199A1B3" w14:textId="15BDDC95"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Treasury should </w:t>
            </w:r>
            <w:r w:rsidR="00E11E72">
              <w:rPr>
                <w:sz w:val="20"/>
                <w:szCs w:val="20"/>
              </w:rPr>
              <w:t>minimise the risk of stakeholders</w:t>
            </w:r>
            <w:r w:rsidR="00884083">
              <w:rPr>
                <w:sz w:val="20"/>
                <w:szCs w:val="20"/>
              </w:rPr>
              <w:t xml:space="preserve"> and</w:t>
            </w:r>
            <w:r w:rsidR="00E11E72">
              <w:rPr>
                <w:sz w:val="20"/>
                <w:szCs w:val="20"/>
              </w:rPr>
              <w:t xml:space="preserve"> </w:t>
            </w:r>
            <w:r>
              <w:rPr>
                <w:sz w:val="20"/>
                <w:szCs w:val="20"/>
              </w:rPr>
              <w:t>avoid duplicating effort</w:t>
            </w:r>
            <w:r w:rsidR="00E11E72">
              <w:rPr>
                <w:sz w:val="20"/>
                <w:szCs w:val="20"/>
              </w:rPr>
              <w:t xml:space="preserve">, for instance, </w:t>
            </w:r>
            <w:r>
              <w:rPr>
                <w:sz w:val="20"/>
                <w:szCs w:val="20"/>
              </w:rPr>
              <w:t xml:space="preserve">in </w:t>
            </w:r>
            <w:r w:rsidR="00E11E72">
              <w:rPr>
                <w:sz w:val="20"/>
                <w:szCs w:val="20"/>
              </w:rPr>
              <w:t xml:space="preserve">relation to </w:t>
            </w:r>
            <w:r>
              <w:rPr>
                <w:sz w:val="20"/>
                <w:szCs w:val="20"/>
              </w:rPr>
              <w:t xml:space="preserve">revisiting </w:t>
            </w:r>
            <w:r w:rsidR="00457D37">
              <w:rPr>
                <w:sz w:val="20"/>
                <w:szCs w:val="20"/>
              </w:rPr>
              <w:t xml:space="preserve">user experience </w:t>
            </w:r>
            <w:r>
              <w:rPr>
                <w:sz w:val="20"/>
                <w:szCs w:val="20"/>
              </w:rPr>
              <w:t>design</w:t>
            </w:r>
            <w:r w:rsidR="00E11E72">
              <w:rPr>
                <w:sz w:val="20"/>
                <w:szCs w:val="20"/>
              </w:rPr>
              <w:t>s</w:t>
            </w:r>
            <w:r>
              <w:rPr>
                <w:sz w:val="20"/>
                <w:szCs w:val="20"/>
              </w:rPr>
              <w:t xml:space="preserve"> and architecture </w:t>
            </w:r>
            <w:r w:rsidR="00457D37">
              <w:rPr>
                <w:sz w:val="20"/>
                <w:szCs w:val="20"/>
              </w:rPr>
              <w:t xml:space="preserve">patterns </w:t>
            </w:r>
            <w:r w:rsidR="000B43F6">
              <w:rPr>
                <w:sz w:val="20"/>
                <w:szCs w:val="20"/>
              </w:rPr>
              <w:t>to meet CDR requirements and Privacy Act reforms</w:t>
            </w:r>
            <w:r w:rsidR="00E11E72">
              <w:rPr>
                <w:sz w:val="20"/>
                <w:szCs w:val="20"/>
              </w:rPr>
              <w:t xml:space="preserve"> about the use of dark patterns</w:t>
            </w:r>
            <w:r>
              <w:rPr>
                <w:sz w:val="20"/>
                <w:szCs w:val="20"/>
              </w:rPr>
              <w:t xml:space="preserve">. </w:t>
            </w:r>
            <w:r w:rsidR="000B43F6">
              <w:rPr>
                <w:sz w:val="20"/>
                <w:szCs w:val="20"/>
              </w:rPr>
              <w:t xml:space="preserve">The characterisation of what is and is not a dark pattern should be consistent across the regulatory regimes. </w:t>
            </w:r>
          </w:p>
          <w:p w14:paraId="47C744E4" w14:textId="5A13B18D"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bookmarkStart w:id="39" w:name="Recommendation_6"/>
            <w:r w:rsidRPr="00030AC2">
              <w:rPr>
                <w:b/>
                <w:bCs/>
                <w:i/>
                <w:iCs/>
                <w:sz w:val="20"/>
                <w:szCs w:val="20"/>
              </w:rPr>
              <w:t>Recommendation</w:t>
            </w:r>
            <w:r w:rsidR="00457D37">
              <w:rPr>
                <w:b/>
                <w:bCs/>
                <w:i/>
                <w:iCs/>
                <w:sz w:val="20"/>
                <w:szCs w:val="20"/>
              </w:rPr>
              <w:t xml:space="preserve"> [</w:t>
            </w:r>
            <w:r w:rsidR="00E11E72">
              <w:rPr>
                <w:b/>
                <w:bCs/>
                <w:i/>
                <w:iCs/>
                <w:sz w:val="20"/>
                <w:szCs w:val="20"/>
              </w:rPr>
              <w:t>6</w:t>
            </w:r>
            <w:r w:rsidR="00457D37">
              <w:rPr>
                <w:b/>
                <w:bCs/>
                <w:i/>
                <w:iCs/>
                <w:sz w:val="20"/>
                <w:szCs w:val="20"/>
              </w:rPr>
              <w:t>]</w:t>
            </w:r>
            <w:r>
              <w:rPr>
                <w:i/>
                <w:iCs/>
                <w:sz w:val="20"/>
                <w:szCs w:val="20"/>
              </w:rPr>
              <w:t xml:space="preserve">: </w:t>
            </w:r>
            <w:bookmarkEnd w:id="39"/>
            <w:r w:rsidRPr="00030AC2">
              <w:rPr>
                <w:sz w:val="20"/>
                <w:szCs w:val="20"/>
              </w:rPr>
              <w:t xml:space="preserve">Treasury’s regulatory response (if any) to mitigate the risk of dark patterns being used in </w:t>
            </w:r>
            <w:r w:rsidR="0066076E">
              <w:rPr>
                <w:sz w:val="20"/>
                <w:szCs w:val="20"/>
              </w:rPr>
              <w:t xml:space="preserve">CDR </w:t>
            </w:r>
            <w:r w:rsidR="00457D37">
              <w:rPr>
                <w:sz w:val="20"/>
                <w:szCs w:val="20"/>
              </w:rPr>
              <w:t xml:space="preserve">user experience </w:t>
            </w:r>
            <w:r w:rsidRPr="00030AC2">
              <w:rPr>
                <w:sz w:val="20"/>
                <w:szCs w:val="20"/>
              </w:rPr>
              <w:t xml:space="preserve">design </w:t>
            </w:r>
            <w:r w:rsidR="00457D37">
              <w:rPr>
                <w:sz w:val="20"/>
                <w:szCs w:val="20"/>
              </w:rPr>
              <w:t xml:space="preserve">patterns </w:t>
            </w:r>
            <w:r w:rsidRPr="00030AC2">
              <w:rPr>
                <w:sz w:val="20"/>
                <w:szCs w:val="20"/>
              </w:rPr>
              <w:t xml:space="preserve">and consent/authorisation architecture </w:t>
            </w:r>
            <w:r w:rsidR="0066076E">
              <w:rPr>
                <w:sz w:val="20"/>
                <w:szCs w:val="20"/>
              </w:rPr>
              <w:t xml:space="preserve">should be informed by </w:t>
            </w:r>
            <w:r w:rsidRPr="00030AC2">
              <w:rPr>
                <w:sz w:val="20"/>
                <w:szCs w:val="20"/>
              </w:rPr>
              <w:t xml:space="preserve">the Privacy Act reforms on this issue. </w:t>
            </w:r>
          </w:p>
          <w:p w14:paraId="42AAB645" w14:textId="77777777"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A1F4DEF" w14:textId="0B2A440C"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anticipates that public awareness about dark patterns, and how design choices and patterns can nudge consumers to make privacy choices that have the practical effect of </w:t>
            </w:r>
            <w:r w:rsidR="0066076E">
              <w:rPr>
                <w:sz w:val="20"/>
                <w:szCs w:val="20"/>
              </w:rPr>
              <w:t xml:space="preserve">consumers </w:t>
            </w:r>
            <w:r>
              <w:rPr>
                <w:sz w:val="20"/>
                <w:szCs w:val="20"/>
              </w:rPr>
              <w:t xml:space="preserve">inadvertently sharing more data than they mean to, is </w:t>
            </w:r>
            <w:r w:rsidR="0066076E">
              <w:rPr>
                <w:sz w:val="20"/>
                <w:szCs w:val="20"/>
              </w:rPr>
              <w:t xml:space="preserve">likely to be </w:t>
            </w:r>
            <w:r>
              <w:rPr>
                <w:sz w:val="20"/>
                <w:szCs w:val="20"/>
              </w:rPr>
              <w:t xml:space="preserve">low. As such, educative materials would be valuable to explain how dark patterns might manifest themselves in a consumer’s </w:t>
            </w:r>
            <w:r w:rsidR="00077A5A">
              <w:rPr>
                <w:sz w:val="20"/>
                <w:szCs w:val="20"/>
              </w:rPr>
              <w:t>CDR user</w:t>
            </w:r>
            <w:r w:rsidR="0066076E">
              <w:rPr>
                <w:sz w:val="20"/>
                <w:szCs w:val="20"/>
              </w:rPr>
              <w:t xml:space="preserve"> experience. </w:t>
            </w:r>
          </w:p>
          <w:p w14:paraId="0DFD8DA3" w14:textId="77777777" w:rsidR="00A7173D" w:rsidRDefault="00A7173D" w:rsidP="00A7173D">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32F6873" w14:textId="6F813B2D" w:rsidR="00A7173D" w:rsidRPr="00A82545" w:rsidRDefault="00A7173D" w:rsidP="00A7173D">
            <w:pPr>
              <w:cnfStyle w:val="000000100000" w:firstRow="0" w:lastRow="0" w:firstColumn="0" w:lastColumn="0" w:oddVBand="0" w:evenVBand="0" w:oddHBand="1" w:evenHBand="0" w:firstRowFirstColumn="0" w:firstRowLastColumn="0" w:lastRowFirstColumn="0" w:lastRowLastColumn="0"/>
            </w:pPr>
            <w:bookmarkStart w:id="40" w:name="Recommendation_7"/>
            <w:r w:rsidRPr="00030AC2">
              <w:rPr>
                <w:b/>
                <w:bCs/>
                <w:i/>
                <w:iCs/>
                <w:sz w:val="20"/>
                <w:szCs w:val="20"/>
              </w:rPr>
              <w:t>Recommendation</w:t>
            </w:r>
            <w:r w:rsidR="0066076E">
              <w:rPr>
                <w:b/>
                <w:bCs/>
                <w:i/>
                <w:iCs/>
                <w:sz w:val="20"/>
                <w:szCs w:val="20"/>
              </w:rPr>
              <w:t xml:space="preserve"> [</w:t>
            </w:r>
            <w:r w:rsidR="00E11E72">
              <w:rPr>
                <w:b/>
                <w:bCs/>
                <w:i/>
                <w:iCs/>
                <w:sz w:val="20"/>
                <w:szCs w:val="20"/>
              </w:rPr>
              <w:t>7</w:t>
            </w:r>
            <w:bookmarkEnd w:id="40"/>
            <w:r w:rsidR="0066076E">
              <w:rPr>
                <w:b/>
                <w:bCs/>
                <w:i/>
                <w:iCs/>
                <w:sz w:val="20"/>
                <w:szCs w:val="20"/>
              </w:rPr>
              <w:t>]</w:t>
            </w:r>
            <w:r>
              <w:rPr>
                <w:sz w:val="20"/>
                <w:szCs w:val="20"/>
              </w:rPr>
              <w:t xml:space="preserve">:  Treasury consider supporting any regulatory response or guidance material about avoiding dark patterns with visual examples of what is not permitted (i.e. an illustrative example of a dark pattern in a CDR context).  </w:t>
            </w:r>
          </w:p>
        </w:tc>
      </w:tr>
    </w:tbl>
    <w:p w14:paraId="5778224E" w14:textId="77777777" w:rsidR="000737B4" w:rsidRDefault="000737B4" w:rsidP="006F4EB7">
      <w:pPr>
        <w:pStyle w:val="MOTermsL4"/>
      </w:pPr>
      <w:r>
        <w:br w:type="page"/>
      </w:r>
    </w:p>
    <w:p w14:paraId="36C8FC01" w14:textId="527E902F" w:rsidR="00B443AD" w:rsidRDefault="00B443AD" w:rsidP="004518B6">
      <w:pPr>
        <w:pStyle w:val="MOTermsL1"/>
      </w:pPr>
      <w:bookmarkStart w:id="41" w:name="_Ref163764755"/>
      <w:bookmarkStart w:id="42" w:name="_Ref163764785"/>
      <w:bookmarkStart w:id="43" w:name="_Toc165324952"/>
      <w:bookmarkStart w:id="44" w:name="_Ref165380060"/>
      <w:r>
        <w:t>Privacy Impacts, Risks and Recommendations: Operational Enhancement</w:t>
      </w:r>
      <w:bookmarkEnd w:id="41"/>
      <w:bookmarkEnd w:id="42"/>
      <w:r w:rsidR="00280C07">
        <w:t xml:space="preserve"> </w:t>
      </w:r>
      <w:r w:rsidR="0002218C">
        <w:t>Amendments</w:t>
      </w:r>
      <w:bookmarkEnd w:id="43"/>
      <w:bookmarkEnd w:id="44"/>
      <w:r>
        <w:t xml:space="preserve"> </w:t>
      </w:r>
    </w:p>
    <w:p w14:paraId="57787AE5" w14:textId="77777777" w:rsidR="000F0F99" w:rsidRPr="001F2AD8" w:rsidRDefault="000F0F99" w:rsidP="001F2AD8">
      <w:pPr>
        <w:pStyle w:val="MOTermsL2"/>
        <w:numPr>
          <w:ilvl w:val="0"/>
          <w:numId w:val="0"/>
        </w:numPr>
        <w:ind w:left="851"/>
        <w:rPr>
          <w:sz w:val="24"/>
          <w:szCs w:val="24"/>
        </w:rPr>
      </w:pPr>
      <w:bookmarkStart w:id="45" w:name="_Toc165324953"/>
      <w:r w:rsidRPr="001F2AD8">
        <w:rPr>
          <w:sz w:val="24"/>
          <w:szCs w:val="24"/>
        </w:rPr>
        <w:t>Secondary Users</w:t>
      </w:r>
      <w:bookmarkEnd w:id="45"/>
      <w:r w:rsidRPr="001F2AD8">
        <w:rPr>
          <w:sz w:val="24"/>
          <w:szCs w:val="24"/>
        </w:rPr>
        <w:t xml:space="preserve"> </w:t>
      </w:r>
    </w:p>
    <w:p w14:paraId="7B3694A8" w14:textId="13019348" w:rsidR="00E11E72" w:rsidRDefault="00E11E72" w:rsidP="00286724">
      <w:pPr>
        <w:pStyle w:val="MOTermsL4"/>
      </w:pPr>
      <w:r>
        <w:t xml:space="preserve">The Treasury proposes to remove the requirement for data holders to offer a service that permits account holders to ‘block’ data sharing that has been authorised by a secondary user in relation to a particular accredited person. </w:t>
      </w:r>
      <w:r w:rsidR="00115414" w:rsidRPr="0016112E">
        <w:t>Treasury no longer intends to replace this obligation with a requirement that data holders instead offer a service that allows account holders to block data sharing on behalf of a secondary user in relation to a particular authorisation</w:t>
      </w:r>
      <w:r>
        <w:t xml:space="preserve">. The Treasury is satisfied that the existing requirement that requires data holders to provide an online functionality that permits an account holder to withdraw a secondary user’s permission to give instructions is sufficient. </w:t>
      </w:r>
    </w:p>
    <w:p w14:paraId="3E052007" w14:textId="3E7BEEAC" w:rsidR="00E11E72" w:rsidRDefault="00E11E72" w:rsidP="00286724">
      <w:pPr>
        <w:pStyle w:val="MOTermsL4"/>
      </w:pPr>
      <w:r>
        <w:t>To address</w:t>
      </w:r>
      <w:r w:rsidR="00115414">
        <w:t xml:space="preserve"> an</w:t>
      </w:r>
      <w:r>
        <w:t xml:space="preserve"> anomal</w:t>
      </w:r>
      <w:r w:rsidR="00330FC0">
        <w:t>y</w:t>
      </w:r>
      <w:r>
        <w:t xml:space="preserve"> in the operation of the Rules, the Treasury is proposing to clarify that where an account holder ceases to be eligible in respect of a particular account, that any secondary user instructions will cease to have effect. </w:t>
      </w:r>
    </w:p>
    <w:p w14:paraId="3E1039C7" w14:textId="7D3F476B" w:rsidR="006129F3" w:rsidRPr="006129F3" w:rsidRDefault="00DE069E" w:rsidP="00737743">
      <w:pPr>
        <w:pStyle w:val="MOTermsL4"/>
        <w:numPr>
          <w:ilvl w:val="0"/>
          <w:numId w:val="0"/>
        </w:numPr>
        <w:ind w:left="851"/>
        <w:rPr>
          <w:lang w:eastAsia="en-US"/>
        </w:rPr>
      </w:pPr>
      <w:r>
        <w:t xml:space="preserve"> </w:t>
      </w:r>
    </w:p>
    <w:tbl>
      <w:tblPr>
        <w:tblStyle w:val="GridTable4-Accent1"/>
        <w:tblW w:w="14567" w:type="dxa"/>
        <w:tblLook w:val="04A0" w:firstRow="1" w:lastRow="0" w:firstColumn="1" w:lastColumn="0" w:noHBand="0" w:noVBand="1"/>
      </w:tblPr>
      <w:tblGrid>
        <w:gridCol w:w="3369"/>
        <w:gridCol w:w="4536"/>
        <w:gridCol w:w="1559"/>
        <w:gridCol w:w="5103"/>
      </w:tblGrid>
      <w:tr w:rsidR="007B46BA" w14:paraId="356775D4" w14:textId="77777777" w:rsidTr="00AB62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Pr>
          <w:p w14:paraId="0F855AEB" w14:textId="61080F70" w:rsidR="007B46BA" w:rsidRDefault="00483AF3" w:rsidP="007B46BA">
            <w:r w:rsidRPr="0079789C">
              <w:rPr>
                <w:sz w:val="20"/>
                <w:szCs w:val="20"/>
              </w:rPr>
              <w:t>Synopsis of stakeholders’ privacy comments and submissions</w:t>
            </w:r>
          </w:p>
        </w:tc>
        <w:tc>
          <w:tcPr>
            <w:tcW w:w="4536" w:type="dxa"/>
          </w:tcPr>
          <w:p w14:paraId="09FD91C3" w14:textId="7FA3E00F"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5FCD95A4"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103" w:type="dxa"/>
          </w:tcPr>
          <w:p w14:paraId="6CF2B06F"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7B46BA" w14:paraId="0AE92C19" w14:textId="77777777" w:rsidTr="00AB6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75C59293" w14:textId="30984B3D" w:rsidR="007B46BA" w:rsidRPr="006804A3" w:rsidRDefault="00E11E72" w:rsidP="000B3232">
            <w:pPr>
              <w:rPr>
                <w:b w:val="0"/>
                <w:bCs w:val="0"/>
                <w:sz w:val="20"/>
                <w:szCs w:val="20"/>
              </w:rPr>
            </w:pPr>
            <w:r>
              <w:rPr>
                <w:b w:val="0"/>
                <w:bCs w:val="0"/>
                <w:sz w:val="20"/>
                <w:szCs w:val="20"/>
              </w:rPr>
              <w:t>S</w:t>
            </w:r>
            <w:r w:rsidR="007B46BA" w:rsidRPr="006804A3">
              <w:rPr>
                <w:b w:val="0"/>
                <w:bCs w:val="0"/>
                <w:sz w:val="20"/>
                <w:szCs w:val="20"/>
              </w:rPr>
              <w:t xml:space="preserve">takeholder views </w:t>
            </w:r>
            <w:r w:rsidR="001513E5">
              <w:rPr>
                <w:b w:val="0"/>
                <w:bCs w:val="0"/>
                <w:sz w:val="20"/>
                <w:szCs w:val="20"/>
              </w:rPr>
              <w:t>on the proposals set out in the design paper</w:t>
            </w:r>
            <w:r w:rsidR="00D16285">
              <w:rPr>
                <w:b w:val="0"/>
                <w:bCs w:val="0"/>
                <w:sz w:val="20"/>
                <w:szCs w:val="20"/>
              </w:rPr>
              <w:t xml:space="preserve"> (particularly to introduce </w:t>
            </w:r>
            <w:r w:rsidR="00D16285" w:rsidRPr="0099424A">
              <w:rPr>
                <w:b w:val="0"/>
                <w:bCs w:val="0"/>
                <w:sz w:val="20"/>
                <w:szCs w:val="20"/>
              </w:rPr>
              <w:t xml:space="preserve">a requirement that data holders offer a service </w:t>
            </w:r>
            <w:r w:rsidR="00265F4C">
              <w:rPr>
                <w:b w:val="0"/>
                <w:bCs w:val="0"/>
                <w:sz w:val="20"/>
                <w:szCs w:val="20"/>
              </w:rPr>
              <w:t>allowing</w:t>
            </w:r>
            <w:r w:rsidR="00D16285" w:rsidRPr="0099424A">
              <w:rPr>
                <w:b w:val="0"/>
                <w:bCs w:val="0"/>
                <w:sz w:val="20"/>
                <w:szCs w:val="20"/>
              </w:rPr>
              <w:t xml:space="preserve"> account holders to block data sharing on behalf of a secondary user in relation to a particular authorisation</w:t>
            </w:r>
            <w:r w:rsidR="00D16285">
              <w:rPr>
                <w:b w:val="0"/>
                <w:bCs w:val="0"/>
                <w:sz w:val="20"/>
                <w:szCs w:val="20"/>
              </w:rPr>
              <w:t>)</w:t>
            </w:r>
            <w:r w:rsidR="001513E5">
              <w:rPr>
                <w:b w:val="0"/>
                <w:bCs w:val="0"/>
                <w:sz w:val="20"/>
                <w:szCs w:val="20"/>
              </w:rPr>
              <w:t xml:space="preserve"> </w:t>
            </w:r>
            <w:r w:rsidR="007B46BA" w:rsidRPr="006804A3">
              <w:rPr>
                <w:b w:val="0"/>
                <w:bCs w:val="0"/>
                <w:sz w:val="20"/>
                <w:szCs w:val="20"/>
              </w:rPr>
              <w:t>were mixed</w:t>
            </w:r>
            <w:r w:rsidR="000B3232">
              <w:rPr>
                <w:b w:val="0"/>
                <w:bCs w:val="0"/>
                <w:sz w:val="20"/>
                <w:szCs w:val="20"/>
              </w:rPr>
              <w:t xml:space="preserve"> and canvassed the following issues:</w:t>
            </w:r>
            <w:r w:rsidR="007B46BA" w:rsidRPr="006804A3">
              <w:rPr>
                <w:b w:val="0"/>
                <w:bCs w:val="0"/>
                <w:sz w:val="20"/>
                <w:szCs w:val="20"/>
              </w:rPr>
              <w:t xml:space="preserve"> </w:t>
            </w:r>
          </w:p>
          <w:p w14:paraId="37950997" w14:textId="77777777" w:rsidR="007B46BA" w:rsidRPr="006804A3" w:rsidRDefault="007B46BA" w:rsidP="007B46BA">
            <w:pPr>
              <w:rPr>
                <w:b w:val="0"/>
                <w:bCs w:val="0"/>
                <w:sz w:val="20"/>
                <w:szCs w:val="20"/>
              </w:rPr>
            </w:pPr>
          </w:p>
          <w:p w14:paraId="6B9DA6D1" w14:textId="2AF84B3F" w:rsidR="007B46BA" w:rsidRPr="006804A3" w:rsidRDefault="007B46BA" w:rsidP="00D345E8">
            <w:pPr>
              <w:pStyle w:val="ListParagraph"/>
              <w:numPr>
                <w:ilvl w:val="0"/>
                <w:numId w:val="37"/>
              </w:numPr>
              <w:rPr>
                <w:b w:val="0"/>
                <w:bCs w:val="0"/>
                <w:sz w:val="20"/>
                <w:szCs w:val="20"/>
              </w:rPr>
            </w:pPr>
            <w:r w:rsidRPr="006804A3">
              <w:rPr>
                <w:b w:val="0"/>
                <w:bCs w:val="0"/>
                <w:sz w:val="20"/>
                <w:szCs w:val="20"/>
              </w:rPr>
              <w:t xml:space="preserve">a withdrawal of a secondary user authorisation by an account holder may remove the authorisation for accounts for which the account holder has no authority. </w:t>
            </w:r>
          </w:p>
          <w:p w14:paraId="1A158C46" w14:textId="77777777" w:rsidR="007B46BA" w:rsidRPr="00481E00" w:rsidRDefault="007B46BA" w:rsidP="00481E00">
            <w:pPr>
              <w:rPr>
                <w:b w:val="0"/>
                <w:bCs w:val="0"/>
                <w:sz w:val="20"/>
                <w:szCs w:val="20"/>
              </w:rPr>
            </w:pPr>
          </w:p>
          <w:p w14:paraId="3EC8C680" w14:textId="4E8385C9" w:rsidR="00481E00" w:rsidRPr="00884083" w:rsidRDefault="007B46BA" w:rsidP="00884083">
            <w:pPr>
              <w:pStyle w:val="ListParagraph"/>
              <w:numPr>
                <w:ilvl w:val="0"/>
                <w:numId w:val="37"/>
              </w:numPr>
              <w:rPr>
                <w:sz w:val="20"/>
                <w:szCs w:val="20"/>
              </w:rPr>
            </w:pPr>
            <w:r w:rsidRPr="00E11E72">
              <w:rPr>
                <w:b w:val="0"/>
                <w:bCs w:val="0"/>
                <w:sz w:val="20"/>
                <w:szCs w:val="20"/>
              </w:rPr>
              <w:t xml:space="preserve">permitting an account holder to ‘block’ certain data sharing authorisations (rather than ‘blocking’ sharing with a particular accredited person) is potentially circular and ineffective. If the ‘last in time’ authorisation is the effective instruction, a secondary user whose instructions have been blocked by an account holder could simply re-authorise the sharing of data through a further </w:t>
            </w:r>
            <w:r w:rsidR="000B3232" w:rsidRPr="00E11E72">
              <w:rPr>
                <w:b w:val="0"/>
                <w:bCs w:val="0"/>
                <w:sz w:val="20"/>
                <w:szCs w:val="20"/>
              </w:rPr>
              <w:t>(</w:t>
            </w:r>
            <w:r w:rsidR="000B3232" w:rsidRPr="00BB1E37">
              <w:rPr>
                <w:b w:val="0"/>
                <w:bCs w:val="0"/>
                <w:sz w:val="20"/>
                <w:szCs w:val="20"/>
              </w:rPr>
              <w:t>and r</w:t>
            </w:r>
            <w:r w:rsidR="000B3232" w:rsidRPr="003F6486">
              <w:rPr>
                <w:b w:val="0"/>
                <w:bCs w:val="0"/>
                <w:sz w:val="20"/>
                <w:szCs w:val="20"/>
              </w:rPr>
              <w:t>e</w:t>
            </w:r>
            <w:r w:rsidR="00E11E72" w:rsidRPr="003F6486">
              <w:rPr>
                <w:b w:val="0"/>
                <w:bCs w:val="0"/>
                <w:sz w:val="20"/>
                <w:szCs w:val="20"/>
              </w:rPr>
              <w:t>fre</w:t>
            </w:r>
            <w:r w:rsidR="000B3232" w:rsidRPr="003F6486">
              <w:rPr>
                <w:b w:val="0"/>
                <w:bCs w:val="0"/>
                <w:sz w:val="20"/>
                <w:szCs w:val="20"/>
              </w:rPr>
              <w:t>sh</w:t>
            </w:r>
            <w:r w:rsidR="00E11E72" w:rsidRPr="003F6486">
              <w:rPr>
                <w:b w:val="0"/>
                <w:bCs w:val="0"/>
                <w:sz w:val="20"/>
                <w:szCs w:val="20"/>
              </w:rPr>
              <w:t>ed</w:t>
            </w:r>
            <w:r w:rsidR="000B3232" w:rsidRPr="00E11E72">
              <w:rPr>
                <w:b w:val="0"/>
                <w:bCs w:val="0"/>
                <w:sz w:val="20"/>
                <w:szCs w:val="20"/>
              </w:rPr>
              <w:t xml:space="preserve">) </w:t>
            </w:r>
            <w:r w:rsidRPr="00E11E72">
              <w:rPr>
                <w:b w:val="0"/>
                <w:bCs w:val="0"/>
                <w:sz w:val="20"/>
                <w:szCs w:val="20"/>
              </w:rPr>
              <w:t>secondary user instruction</w:t>
            </w:r>
            <w:r w:rsidR="00E11E72" w:rsidRPr="00E11E72">
              <w:rPr>
                <w:sz w:val="20"/>
                <w:szCs w:val="20"/>
              </w:rPr>
              <w:t>.</w:t>
            </w:r>
          </w:p>
          <w:p w14:paraId="2C896FA0" w14:textId="77777777" w:rsidR="00884083" w:rsidRPr="00884083" w:rsidRDefault="00884083" w:rsidP="00884083">
            <w:pPr>
              <w:rPr>
                <w:sz w:val="20"/>
                <w:szCs w:val="20"/>
              </w:rPr>
            </w:pPr>
          </w:p>
          <w:p w14:paraId="3773F24B" w14:textId="26B04E6E" w:rsidR="007B46BA" w:rsidRPr="006804A3" w:rsidRDefault="007B46BA" w:rsidP="00D345E8">
            <w:pPr>
              <w:pStyle w:val="ListParagraph"/>
              <w:numPr>
                <w:ilvl w:val="0"/>
                <w:numId w:val="37"/>
              </w:numPr>
              <w:rPr>
                <w:b w:val="0"/>
                <w:bCs w:val="0"/>
                <w:sz w:val="20"/>
                <w:szCs w:val="20"/>
              </w:rPr>
            </w:pPr>
            <w:r w:rsidRPr="006804A3">
              <w:rPr>
                <w:b w:val="0"/>
                <w:bCs w:val="0"/>
                <w:sz w:val="20"/>
                <w:szCs w:val="20"/>
              </w:rPr>
              <w:t xml:space="preserve">an account holder may not fully understand the consequences of ‘blocking’ a particular instance of data sharing or may not successfully tailor the practical consequences of blocking the secondary users’ authorisation. </w:t>
            </w:r>
          </w:p>
          <w:p w14:paraId="76230042" w14:textId="77777777" w:rsidR="007B46BA" w:rsidRPr="006804A3" w:rsidRDefault="007B46BA" w:rsidP="007B46BA">
            <w:pPr>
              <w:rPr>
                <w:b w:val="0"/>
                <w:bCs w:val="0"/>
                <w:sz w:val="20"/>
                <w:szCs w:val="20"/>
              </w:rPr>
            </w:pPr>
          </w:p>
          <w:p w14:paraId="37CDDC16" w14:textId="54BDA6B4" w:rsidR="00481E00" w:rsidRPr="00481E00" w:rsidRDefault="007B46BA" w:rsidP="00D345E8">
            <w:pPr>
              <w:pStyle w:val="ListParagraph"/>
              <w:numPr>
                <w:ilvl w:val="0"/>
                <w:numId w:val="37"/>
              </w:numPr>
              <w:rPr>
                <w:b w:val="0"/>
                <w:bCs w:val="0"/>
                <w:sz w:val="20"/>
                <w:szCs w:val="20"/>
              </w:rPr>
            </w:pPr>
            <w:r w:rsidRPr="006804A3">
              <w:rPr>
                <w:b w:val="0"/>
                <w:bCs w:val="0"/>
                <w:sz w:val="20"/>
                <w:szCs w:val="20"/>
              </w:rPr>
              <w:t>account holders might usefully have the ability to control which of their accounts are the subject of a single authorisation given by a secondary user</w:t>
            </w:r>
            <w:r w:rsidR="00DC26A1">
              <w:rPr>
                <w:b w:val="0"/>
                <w:bCs w:val="0"/>
                <w:sz w:val="20"/>
                <w:szCs w:val="20"/>
              </w:rPr>
              <w:t>.</w:t>
            </w:r>
          </w:p>
          <w:p w14:paraId="6F81186C" w14:textId="77777777" w:rsidR="00481E00" w:rsidRPr="00481E00" w:rsidRDefault="00481E00" w:rsidP="00481E00">
            <w:pPr>
              <w:rPr>
                <w:sz w:val="20"/>
                <w:szCs w:val="20"/>
              </w:rPr>
            </w:pPr>
          </w:p>
          <w:p w14:paraId="57D76CD8" w14:textId="6D04F1ED" w:rsidR="007B46BA" w:rsidRPr="00481E00" w:rsidRDefault="00E23FBC" w:rsidP="00761EE8">
            <w:pPr>
              <w:pStyle w:val="ListParagraph"/>
              <w:numPr>
                <w:ilvl w:val="0"/>
                <w:numId w:val="37"/>
              </w:numPr>
              <w:rPr>
                <w:b w:val="0"/>
                <w:bCs w:val="0"/>
                <w:sz w:val="20"/>
                <w:szCs w:val="20"/>
              </w:rPr>
            </w:pPr>
            <w:r w:rsidRPr="006804A3">
              <w:rPr>
                <w:b w:val="0"/>
                <w:bCs w:val="0"/>
                <w:sz w:val="20"/>
                <w:szCs w:val="20"/>
              </w:rPr>
              <w:t xml:space="preserve">an ‘opt-out’ process for </w:t>
            </w:r>
            <w:r w:rsidR="00EE3426">
              <w:rPr>
                <w:b w:val="0"/>
                <w:bCs w:val="0"/>
                <w:sz w:val="20"/>
                <w:szCs w:val="20"/>
              </w:rPr>
              <w:t xml:space="preserve">data sharing on behalf of </w:t>
            </w:r>
            <w:r w:rsidRPr="006804A3">
              <w:rPr>
                <w:b w:val="0"/>
                <w:bCs w:val="0"/>
                <w:sz w:val="20"/>
                <w:szCs w:val="20"/>
              </w:rPr>
              <w:t>secondary user</w:t>
            </w:r>
            <w:r w:rsidR="00330FC0">
              <w:rPr>
                <w:b w:val="0"/>
                <w:bCs w:val="0"/>
                <w:sz w:val="20"/>
                <w:szCs w:val="20"/>
              </w:rPr>
              <w:t>s</w:t>
            </w:r>
            <w:r w:rsidRPr="006804A3">
              <w:rPr>
                <w:b w:val="0"/>
                <w:bCs w:val="0"/>
                <w:sz w:val="20"/>
                <w:szCs w:val="20"/>
              </w:rPr>
              <w:t xml:space="preserve"> might be useful, </w:t>
            </w:r>
            <w:r w:rsidR="00BC2CA6">
              <w:rPr>
                <w:b w:val="0"/>
                <w:bCs w:val="0"/>
                <w:sz w:val="20"/>
                <w:szCs w:val="20"/>
              </w:rPr>
              <w:t>(</w:t>
            </w:r>
            <w:r w:rsidRPr="006804A3">
              <w:rPr>
                <w:b w:val="0"/>
                <w:bCs w:val="0"/>
                <w:sz w:val="20"/>
                <w:szCs w:val="20"/>
              </w:rPr>
              <w:t>provided the primary account holder has not withdrawn the secondary user instructions</w:t>
            </w:r>
            <w:r w:rsidR="00BC2CA6">
              <w:rPr>
                <w:b w:val="0"/>
                <w:bCs w:val="0"/>
                <w:sz w:val="20"/>
                <w:szCs w:val="20"/>
              </w:rPr>
              <w:t>)</w:t>
            </w:r>
            <w:r w:rsidRPr="009F32D3">
              <w:rPr>
                <w:sz w:val="20"/>
                <w:szCs w:val="20"/>
              </w:rPr>
              <w:t>.</w:t>
            </w:r>
          </w:p>
        </w:tc>
        <w:tc>
          <w:tcPr>
            <w:tcW w:w="4536" w:type="dxa"/>
          </w:tcPr>
          <w:p w14:paraId="13398424" w14:textId="01320E0B" w:rsidR="00E11E72" w:rsidRDefault="00E11E72"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Treasury proposes to remove the requirement that data holders provide an online service that allows an account holder to block data sharing with a particular accredited person that has been authorised by a secondary user.  It is not necessary to maintain this requirement since the account holder can simply withdraw the secondary user</w:t>
            </w:r>
            <w:r w:rsidR="000375B9">
              <w:rPr>
                <w:sz w:val="20"/>
                <w:szCs w:val="20"/>
              </w:rPr>
              <w:t>’</w:t>
            </w:r>
            <w:r>
              <w:rPr>
                <w:sz w:val="20"/>
                <w:szCs w:val="20"/>
              </w:rPr>
              <w:t xml:space="preserve">s authorisation. </w:t>
            </w:r>
          </w:p>
          <w:p w14:paraId="5EB56EB8" w14:textId="77777777" w:rsidR="00E11E72" w:rsidRDefault="00E11E72"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2538F096" w14:textId="0FB93535" w:rsidR="00DE069E" w:rsidRDefault="00E11E72"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Treasury proposes a clarification to the Rules that would ensure secondary user instructions would lapse, in the event an account holder is no longer eligible to share CDR data. </w:t>
            </w:r>
          </w:p>
          <w:p w14:paraId="528BE278" w14:textId="77777777" w:rsidR="00E11E72" w:rsidRDefault="00E11E72"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49F79260" w14:textId="77777777" w:rsidR="007B46BA"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39B75600" w14:textId="77777777" w:rsidR="007B46BA" w:rsidRPr="00A82545" w:rsidRDefault="007B46BA" w:rsidP="007B46BA">
            <w:pPr>
              <w:cnfStyle w:val="000000100000" w:firstRow="0" w:lastRow="0" w:firstColumn="0" w:lastColumn="0" w:oddVBand="0" w:evenVBand="0" w:oddHBand="1" w:evenHBand="0" w:firstRowFirstColumn="0" w:firstRowLastColumn="0" w:lastRowFirstColumn="0" w:lastRowLastColumn="0"/>
            </w:pPr>
          </w:p>
        </w:tc>
        <w:tc>
          <w:tcPr>
            <w:tcW w:w="1559" w:type="dxa"/>
          </w:tcPr>
          <w:p w14:paraId="496B11C5" w14:textId="77777777" w:rsidR="007B46BA"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r w:rsidRPr="009B1A74">
              <w:rPr>
                <w:sz w:val="20"/>
                <w:szCs w:val="20"/>
              </w:rPr>
              <w:t>APP 6</w:t>
            </w:r>
            <w:r w:rsidRPr="009B1A74">
              <w:rPr>
                <w:rStyle w:val="FootnoteReference"/>
                <w:sz w:val="20"/>
                <w:szCs w:val="20"/>
              </w:rPr>
              <w:footnoteReference w:id="24"/>
            </w:r>
          </w:p>
          <w:p w14:paraId="2B958F41" w14:textId="77777777" w:rsidR="007B46BA"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23A57E8A"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9B1A74">
              <w:rPr>
                <w:sz w:val="20"/>
                <w:szCs w:val="20"/>
              </w:rPr>
              <w:t>r 1.7</w:t>
            </w:r>
          </w:p>
          <w:p w14:paraId="3828A34F" w14:textId="77777777" w:rsidR="007D4B74" w:rsidRDefault="007D4B74"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FD2B576" w14:textId="54DD0581" w:rsidR="007D4B74" w:rsidRDefault="007D4B74"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1.10(1)(b)</w:t>
            </w:r>
          </w:p>
          <w:p w14:paraId="7A8969F5" w14:textId="77777777" w:rsidR="007D4B74" w:rsidRDefault="007D4B74"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C4CDEBC" w14:textId="50CF82DA" w:rsidR="007D4B74" w:rsidRPr="009B1A74" w:rsidRDefault="007D4B74"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1.15(5)(b)(ii)</w:t>
            </w:r>
          </w:p>
          <w:p w14:paraId="1EF44A61" w14:textId="77777777" w:rsidR="007B46BA" w:rsidRPr="009B1A74"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CD62157" w14:textId="17D07B96" w:rsidR="007B46BA" w:rsidRPr="009B1A74"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9B1A74">
              <w:rPr>
                <w:sz w:val="20"/>
                <w:szCs w:val="20"/>
              </w:rPr>
              <w:t>r 4.6A(a)</w:t>
            </w:r>
            <w:r w:rsidR="007D4B74">
              <w:rPr>
                <w:sz w:val="20"/>
                <w:szCs w:val="20"/>
              </w:rPr>
              <w:t>(ii)</w:t>
            </w:r>
          </w:p>
          <w:p w14:paraId="5DC9BFA0" w14:textId="77777777" w:rsidR="007B46BA" w:rsidRPr="009B1A74"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FC93FBC" w14:textId="77777777" w:rsidR="007B46BA" w:rsidRPr="00A82545" w:rsidRDefault="007B46BA" w:rsidP="007B46BA">
            <w:pPr>
              <w:cnfStyle w:val="000000100000" w:firstRow="0" w:lastRow="0" w:firstColumn="0" w:lastColumn="0" w:oddVBand="0" w:evenVBand="0" w:oddHBand="1" w:evenHBand="0" w:firstRowFirstColumn="0" w:firstRowLastColumn="0" w:lastRowFirstColumn="0" w:lastRowLastColumn="0"/>
            </w:pPr>
            <w:r w:rsidRPr="009B1A74">
              <w:rPr>
                <w:sz w:val="20"/>
                <w:szCs w:val="20"/>
              </w:rPr>
              <w:t>r 4.28</w:t>
            </w:r>
          </w:p>
        </w:tc>
        <w:tc>
          <w:tcPr>
            <w:tcW w:w="5103" w:type="dxa"/>
          </w:tcPr>
          <w:p w14:paraId="181E0CE2" w14:textId="6120A48C" w:rsidR="00E11E72" w:rsidRDefault="00E11E72" w:rsidP="00E11E7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Mills Oakley observes that under the CDR Rules, an account holder has a discretion to permit a secondary user to authorise data sharing in relation to an account (</w:t>
            </w:r>
            <w:r w:rsidRPr="007D4B74">
              <w:rPr>
                <w:sz w:val="20"/>
                <w:szCs w:val="20"/>
              </w:rPr>
              <w:t xml:space="preserve">see rule </w:t>
            </w:r>
            <w:r w:rsidR="007D4B74" w:rsidRPr="009002AB">
              <w:rPr>
                <w:sz w:val="20"/>
                <w:szCs w:val="20"/>
              </w:rPr>
              <w:t>1.15(5)(b)(ii)</w:t>
            </w:r>
            <w:r w:rsidRPr="007D4B74">
              <w:rPr>
                <w:sz w:val="20"/>
                <w:szCs w:val="20"/>
              </w:rPr>
              <w:t>).</w:t>
            </w:r>
            <w:r>
              <w:rPr>
                <w:sz w:val="20"/>
                <w:szCs w:val="20"/>
              </w:rPr>
              <w:t xml:space="preserve"> Relevantly, the account holder can withdraw that secondary user authorisation at any time (see rule </w:t>
            </w:r>
            <w:r w:rsidR="007D4B74">
              <w:rPr>
                <w:sz w:val="20"/>
                <w:szCs w:val="20"/>
              </w:rPr>
              <w:t>4.6A(a)(ii)</w:t>
            </w:r>
            <w:r>
              <w:rPr>
                <w:sz w:val="20"/>
                <w:szCs w:val="20"/>
              </w:rPr>
              <w:t xml:space="preserve">). Given the practical effect of these rules, the proposals are privacy neutral.  </w:t>
            </w:r>
          </w:p>
          <w:p w14:paraId="5D0F90C9" w14:textId="4F1B1EEF" w:rsidR="00E11E72" w:rsidRDefault="00AE2E38" w:rsidP="00AE2E38">
            <w:pPr>
              <w:pStyle w:val="ListParagraph"/>
              <w:tabs>
                <w:tab w:val="left" w:pos="3739"/>
              </w:tabs>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
            </w:r>
          </w:p>
          <w:p w14:paraId="48FDCA8C" w14:textId="060624A8" w:rsidR="00E11E72" w:rsidRDefault="00E11E72" w:rsidP="00E11E7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Removing the requirement to have an online functionality to block data sharing that has been authorised by the secondary user means data sharing decisions will continue to rest with the primary account holder. The clarification that is proposed for secondary user instructions to lapse, in the event the account holder is no longer eligible to share data, is also consistent with this approach. </w:t>
            </w:r>
          </w:p>
          <w:p w14:paraId="484550AC" w14:textId="77777777" w:rsidR="00E11E72" w:rsidRDefault="00E11E72" w:rsidP="00E11E72">
            <w:pPr>
              <w:cnfStyle w:val="000000100000" w:firstRow="0" w:lastRow="0" w:firstColumn="0" w:lastColumn="0" w:oddVBand="0" w:evenVBand="0" w:oddHBand="1" w:evenHBand="0" w:firstRowFirstColumn="0" w:firstRowLastColumn="0" w:lastRowFirstColumn="0" w:lastRowLastColumn="0"/>
              <w:rPr>
                <w:sz w:val="20"/>
                <w:szCs w:val="20"/>
              </w:rPr>
            </w:pPr>
          </w:p>
          <w:p w14:paraId="38C03285" w14:textId="0FA72E1F" w:rsidR="00E11E72" w:rsidRDefault="00E11E72" w:rsidP="00E11E7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To permit a secondary user to make CDR data sharing decisions, contrary to the wishes of the primary account holder (or in the absence of an eligible account holder), would have an impact on the primary account holder’s privacy. </w:t>
            </w:r>
          </w:p>
          <w:p w14:paraId="13DC7505" w14:textId="77777777" w:rsidR="007B46BA" w:rsidRPr="008B79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p w14:paraId="1299FD87" w14:textId="77777777" w:rsidR="007B46BA" w:rsidRPr="008B79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p w14:paraId="65F0E870" w14:textId="77777777" w:rsidR="007B46BA" w:rsidRPr="008B79BA" w:rsidRDefault="007B46BA" w:rsidP="007B46BA">
            <w:pPr>
              <w:cnfStyle w:val="000000100000" w:firstRow="0" w:lastRow="0" w:firstColumn="0" w:lastColumn="0" w:oddVBand="0" w:evenVBand="0" w:oddHBand="1" w:evenHBand="0" w:firstRowFirstColumn="0" w:firstRowLastColumn="0" w:lastRowFirstColumn="0" w:lastRowLastColumn="0"/>
              <w:rPr>
                <w:b/>
                <w:bCs/>
                <w:sz w:val="20"/>
                <w:szCs w:val="20"/>
              </w:rPr>
            </w:pPr>
          </w:p>
          <w:p w14:paraId="0376F8DE" w14:textId="76E9015B" w:rsidR="007B46BA" w:rsidRPr="008B79BA" w:rsidRDefault="007B46BA" w:rsidP="007B46BA">
            <w:pPr>
              <w:cnfStyle w:val="000000100000" w:firstRow="0" w:lastRow="0" w:firstColumn="0" w:lastColumn="0" w:oddVBand="0" w:evenVBand="0" w:oddHBand="1" w:evenHBand="0" w:firstRowFirstColumn="0" w:firstRowLastColumn="0" w:lastRowFirstColumn="0" w:lastRowLastColumn="0"/>
              <w:rPr>
                <w:b/>
                <w:bCs/>
                <w:sz w:val="20"/>
                <w:szCs w:val="20"/>
              </w:rPr>
            </w:pPr>
          </w:p>
          <w:p w14:paraId="0636142D" w14:textId="77777777" w:rsidR="007B46BA" w:rsidRPr="008B79BA" w:rsidRDefault="007B46BA" w:rsidP="007B46BA">
            <w:pPr>
              <w:cnfStyle w:val="000000100000" w:firstRow="0" w:lastRow="0" w:firstColumn="0" w:lastColumn="0" w:oddVBand="0" w:evenVBand="0" w:oddHBand="1" w:evenHBand="0" w:firstRowFirstColumn="0" w:firstRowLastColumn="0" w:lastRowFirstColumn="0" w:lastRowLastColumn="0"/>
              <w:rPr>
                <w:b/>
                <w:bCs/>
                <w:sz w:val="20"/>
                <w:szCs w:val="20"/>
                <w:highlight w:val="yellow"/>
              </w:rPr>
            </w:pPr>
          </w:p>
          <w:p w14:paraId="63B0A650" w14:textId="77777777" w:rsidR="007B46BA" w:rsidRPr="009B1A74"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p>
        </w:tc>
      </w:tr>
    </w:tbl>
    <w:p w14:paraId="2E4D772D" w14:textId="77777777" w:rsidR="006129F3" w:rsidRPr="001F2AD8" w:rsidRDefault="006129F3" w:rsidP="001F2AD8">
      <w:pPr>
        <w:pStyle w:val="MOTermsL2"/>
        <w:numPr>
          <w:ilvl w:val="0"/>
          <w:numId w:val="0"/>
        </w:numPr>
        <w:ind w:left="851"/>
        <w:rPr>
          <w:sz w:val="24"/>
          <w:szCs w:val="24"/>
        </w:rPr>
      </w:pPr>
      <w:bookmarkStart w:id="46" w:name="_Toc165324954"/>
      <w:r w:rsidRPr="001F2AD8">
        <w:rPr>
          <w:sz w:val="24"/>
          <w:szCs w:val="24"/>
        </w:rPr>
        <w:t xml:space="preserve">Nominated </w:t>
      </w:r>
      <w:r w:rsidR="0071683B" w:rsidRPr="001F2AD8">
        <w:rPr>
          <w:sz w:val="24"/>
          <w:szCs w:val="24"/>
        </w:rPr>
        <w:t>Representatives</w:t>
      </w:r>
      <w:bookmarkEnd w:id="46"/>
    </w:p>
    <w:p w14:paraId="6CE1C6BF" w14:textId="3281D294" w:rsidR="0024349F" w:rsidRDefault="004B7ED0" w:rsidP="0024349F">
      <w:pPr>
        <w:pStyle w:val="MOTermsL4"/>
      </w:pPr>
      <w:r w:rsidRPr="00681681">
        <w:t xml:space="preserve">The Treasury </w:t>
      </w:r>
      <w:r w:rsidR="0024349F">
        <w:t xml:space="preserve">put forward a number of proposals </w:t>
      </w:r>
      <w:r w:rsidR="00956CFB">
        <w:t xml:space="preserve">for changes </w:t>
      </w:r>
      <w:r w:rsidR="00E11E72">
        <w:t xml:space="preserve">to </w:t>
      </w:r>
      <w:r w:rsidR="00956CFB">
        <w:t xml:space="preserve">the CDR Rules </w:t>
      </w:r>
      <w:r w:rsidR="0024349F">
        <w:t>in the Operational Enhancements Design Paper in relation to ‘nominated representatives’ including:</w:t>
      </w:r>
      <w:r w:rsidRPr="00681681">
        <w:rPr>
          <w:vertAlign w:val="superscript"/>
        </w:rPr>
        <w:footnoteReference w:id="25"/>
      </w:r>
      <w:r w:rsidR="0024349F" w:rsidRPr="0024349F">
        <w:t xml:space="preserve"> </w:t>
      </w:r>
    </w:p>
    <w:p w14:paraId="2C927F94" w14:textId="77777777" w:rsidR="0024349F" w:rsidRDefault="0024349F" w:rsidP="00956CFB">
      <w:pPr>
        <w:pStyle w:val="MOTermsL5"/>
      </w:pPr>
      <w:r>
        <w:t xml:space="preserve">to require data holders </w:t>
      </w:r>
      <w:r w:rsidR="00956CFB">
        <w:t xml:space="preserve">to implement a quick, easy to use and to find </w:t>
      </w:r>
      <w:r>
        <w:t>process for appointing a nominated representative</w:t>
      </w:r>
      <w:r w:rsidR="00956CFB">
        <w:t xml:space="preserve">; </w:t>
      </w:r>
    </w:p>
    <w:p w14:paraId="0B3523B7" w14:textId="42DC7064" w:rsidR="0024349F" w:rsidRDefault="00330FC0" w:rsidP="00956CFB">
      <w:pPr>
        <w:pStyle w:val="MOTermsL5"/>
      </w:pPr>
      <w:r>
        <w:t>to require data holders</w:t>
      </w:r>
      <w:r w:rsidR="0024349F">
        <w:t xml:space="preserve"> to provide an online mechanism for appointing nominated representatives</w:t>
      </w:r>
      <w:r w:rsidR="00956CFB">
        <w:t xml:space="preserve">; </w:t>
      </w:r>
    </w:p>
    <w:p w14:paraId="10A7D9E2" w14:textId="75FB004B" w:rsidR="0024349F" w:rsidRDefault="00330FC0" w:rsidP="00956CFB">
      <w:pPr>
        <w:pStyle w:val="MOTermsL5"/>
      </w:pPr>
      <w:r w:rsidRPr="0016112E">
        <w:t>to deem account administrators for non-individual and partnership accounts to be the nominated representatives for the account</w:t>
      </w:r>
      <w:r w:rsidR="00884083">
        <w:t xml:space="preserve"> </w:t>
      </w:r>
      <w:r w:rsidR="00956CFB">
        <w:t>(</w:t>
      </w:r>
      <w:r w:rsidR="0024349F">
        <w:t xml:space="preserve">unless the </w:t>
      </w:r>
      <w:r w:rsidR="004A6103">
        <w:t xml:space="preserve">non-individual or partnership </w:t>
      </w:r>
      <w:r w:rsidR="0024349F">
        <w:t xml:space="preserve">consumer </w:t>
      </w:r>
      <w:r w:rsidR="004A6103">
        <w:t xml:space="preserve">has expressly </w:t>
      </w:r>
      <w:r w:rsidR="00E11E72">
        <w:t xml:space="preserve">opted not to have the </w:t>
      </w:r>
      <w:r w:rsidR="004A6103">
        <w:t xml:space="preserve">account administrator </w:t>
      </w:r>
      <w:r w:rsidR="00E11E72">
        <w:t xml:space="preserve">as </w:t>
      </w:r>
      <w:r w:rsidR="004A6103">
        <w:t xml:space="preserve">the nominated </w:t>
      </w:r>
      <w:r w:rsidR="00077A5A">
        <w:t>representative,</w:t>
      </w:r>
      <w:r w:rsidR="004A6103">
        <w:t xml:space="preserve"> or </w:t>
      </w:r>
      <w:r w:rsidR="0024349F">
        <w:t>the nomination has been revoked</w:t>
      </w:r>
      <w:r w:rsidR="00E11E72">
        <w:t>)</w:t>
      </w:r>
      <w:r w:rsidR="0024349F">
        <w:t xml:space="preserve">. </w:t>
      </w:r>
    </w:p>
    <w:p w14:paraId="125E61A3" w14:textId="73B13F89" w:rsidR="0024349F" w:rsidRDefault="004A6103" w:rsidP="00B5205D">
      <w:pPr>
        <w:pStyle w:val="MOTermsL4"/>
      </w:pPr>
      <w:r>
        <w:t xml:space="preserve">Additionally, the Treasury sought to </w:t>
      </w:r>
      <w:r w:rsidR="0024349F">
        <w:t xml:space="preserve">address </w:t>
      </w:r>
      <w:r>
        <w:t xml:space="preserve">concerns </w:t>
      </w:r>
      <w:r w:rsidR="0024349F">
        <w:t xml:space="preserve">about the </w:t>
      </w:r>
      <w:r>
        <w:t xml:space="preserve">transparency </w:t>
      </w:r>
      <w:r w:rsidR="0024349F">
        <w:t>of authorisations given by nominated representatives</w:t>
      </w:r>
      <w:r w:rsidR="001D4465">
        <w:t xml:space="preserve"> and </w:t>
      </w:r>
      <w:r w:rsidR="0024349F">
        <w:t xml:space="preserve">consents </w:t>
      </w:r>
      <w:r w:rsidR="00E11E72">
        <w:t xml:space="preserve">they have </w:t>
      </w:r>
      <w:r w:rsidR="0024349F">
        <w:t>given to ADRs or CDR representatives</w:t>
      </w:r>
      <w:r w:rsidR="00EC7611">
        <w:t>.</w:t>
      </w:r>
      <w:r w:rsidR="0024349F">
        <w:t xml:space="preserve"> </w:t>
      </w:r>
      <w:r w:rsidR="001D4465">
        <w:t>Stakeholders were invited to comment on the desirability of:</w:t>
      </w:r>
      <w:r w:rsidR="0024349F">
        <w:t xml:space="preserve"> </w:t>
      </w:r>
    </w:p>
    <w:p w14:paraId="49D455F9" w14:textId="2BB01108" w:rsidR="0024349F" w:rsidRDefault="001D4465" w:rsidP="00956CFB">
      <w:pPr>
        <w:pStyle w:val="MOTermsL5"/>
      </w:pPr>
      <w:r>
        <w:t>r</w:t>
      </w:r>
      <w:r w:rsidR="0024349F">
        <w:t>equir</w:t>
      </w:r>
      <w:r>
        <w:t xml:space="preserve">ing a </w:t>
      </w:r>
      <w:r w:rsidR="0024349F">
        <w:t>data holder to identify</w:t>
      </w:r>
      <w:r>
        <w:t>, on the consumer’s dashboard,</w:t>
      </w:r>
      <w:r w:rsidR="0024349F">
        <w:t xml:space="preserve"> the nominated representative that gave, amended or withdrew an authorisation</w:t>
      </w:r>
      <w:r w:rsidR="00077A5A">
        <w:t>;</w:t>
      </w:r>
    </w:p>
    <w:p w14:paraId="71F30E4A" w14:textId="43988BEF" w:rsidR="0024349F" w:rsidRDefault="0024349F" w:rsidP="00956CFB">
      <w:pPr>
        <w:pStyle w:val="MOTermsL5"/>
      </w:pPr>
      <w:r>
        <w:t xml:space="preserve">data holders </w:t>
      </w:r>
      <w:r w:rsidR="001D4465">
        <w:t xml:space="preserve">using CDR consumer dashboards to inform or remind consumers that </w:t>
      </w:r>
      <w:r w:rsidR="00B5205D">
        <w:t>the d</w:t>
      </w:r>
      <w:r>
        <w:t xml:space="preserve">ashboard </w:t>
      </w:r>
      <w:r w:rsidR="00B5205D">
        <w:t xml:space="preserve">does not capture </w:t>
      </w:r>
      <w:r>
        <w:t>consents given to ADRs or CDR representatives</w:t>
      </w:r>
      <w:r w:rsidR="00E11E72">
        <w:t xml:space="preserve"> and that </w:t>
      </w:r>
      <w:r w:rsidR="00B5205D">
        <w:t xml:space="preserve">consents </w:t>
      </w:r>
      <w:r w:rsidR="00E11E72">
        <w:t xml:space="preserve">given </w:t>
      </w:r>
      <w:r w:rsidR="00B5205D">
        <w:t xml:space="preserve">may be active </w:t>
      </w:r>
      <w:r w:rsidR="00E11E72">
        <w:t xml:space="preserve">even </w:t>
      </w:r>
      <w:r w:rsidR="00B5205D">
        <w:t xml:space="preserve">after the relevant authorisation has expired and those </w:t>
      </w:r>
      <w:r>
        <w:t xml:space="preserve">consents must be managed through the relevant ADR dashboard(s). </w:t>
      </w:r>
    </w:p>
    <w:p w14:paraId="14782F1C" w14:textId="5244F532" w:rsidR="00B5205D" w:rsidRDefault="00B5205D" w:rsidP="00B5205D">
      <w:pPr>
        <w:pStyle w:val="MOTermsL4"/>
      </w:pPr>
      <w:r>
        <w:t xml:space="preserve">The Treasury’s proposal to change the CDR Rules </w:t>
      </w:r>
      <w:r w:rsidR="00512F68">
        <w:t>has been refined</w:t>
      </w:r>
      <w:r w:rsidR="00E11E72">
        <w:t xml:space="preserve"> and simplified, requiring </w:t>
      </w:r>
      <w:r w:rsidR="00512F68">
        <w:t xml:space="preserve">data holders </w:t>
      </w:r>
      <w:r w:rsidR="00E11E72">
        <w:t xml:space="preserve">to </w:t>
      </w:r>
      <w:r w:rsidR="00512F68">
        <w:t xml:space="preserve">provide CDR consumers with a </w:t>
      </w:r>
      <w:r w:rsidR="00E11E72">
        <w:t>simple</w:t>
      </w:r>
      <w:r w:rsidR="00330FC0">
        <w:t xml:space="preserve"> and straight forward</w:t>
      </w:r>
      <w:r w:rsidR="00E11E72">
        <w:t xml:space="preserve"> process to</w:t>
      </w:r>
      <w:r w:rsidR="00512F68">
        <w:t xml:space="preserve">: </w:t>
      </w:r>
    </w:p>
    <w:p w14:paraId="61B41352" w14:textId="3F942031" w:rsidR="00B5205D" w:rsidRDefault="00B5205D" w:rsidP="00F247D4">
      <w:pPr>
        <w:pStyle w:val="MOTermsL5"/>
      </w:pPr>
      <w:r>
        <w:t>appoint a nominated representative</w:t>
      </w:r>
      <w:r w:rsidR="00F247D4">
        <w:t>, which is prominently displayed to the CDR consumer</w:t>
      </w:r>
      <w:r w:rsidR="00512F68">
        <w:t>; and</w:t>
      </w:r>
    </w:p>
    <w:p w14:paraId="54561BF0" w14:textId="3CED4849" w:rsidR="00B5205D" w:rsidRDefault="00B5205D" w:rsidP="00F247D4">
      <w:pPr>
        <w:pStyle w:val="MOTermsL5"/>
      </w:pPr>
      <w:r>
        <w:t>allow</w:t>
      </w:r>
      <w:r w:rsidR="00F247D4">
        <w:t xml:space="preserve"> an </w:t>
      </w:r>
      <w:r>
        <w:t xml:space="preserve">account administrator to be authorised as </w:t>
      </w:r>
      <w:r w:rsidR="00E11E72">
        <w:t xml:space="preserve">a </w:t>
      </w:r>
      <w:r>
        <w:t>nominated representative</w:t>
      </w:r>
      <w:r w:rsidR="00330FC0">
        <w:t xml:space="preserve"> with a simple and straightforward online process</w:t>
      </w:r>
      <w:r>
        <w:t>.</w:t>
      </w:r>
    </w:p>
    <w:p w14:paraId="47F6E0B1" w14:textId="39472D0A" w:rsidR="006D61F7" w:rsidRDefault="006D61F7" w:rsidP="00F247D4">
      <w:pPr>
        <w:pStyle w:val="MOTermsL5"/>
      </w:pPr>
      <w:r w:rsidRPr="006D61F7">
        <w:t xml:space="preserve">Noting the variety and complexity of the arrangements likely to be necessary to implement these processes, the Treasury proposes data holders have a </w:t>
      </w:r>
      <w:proofErr w:type="gramStart"/>
      <w:r w:rsidRPr="006D61F7">
        <w:t>12 month</w:t>
      </w:r>
      <w:proofErr w:type="gramEnd"/>
      <w:r w:rsidRPr="006D61F7">
        <w:t xml:space="preserve"> deferred commencement period to implement the necessary digital functionality to achieve the above</w:t>
      </w:r>
      <w:r w:rsidR="00884083">
        <w:t>.</w:t>
      </w:r>
    </w:p>
    <w:p w14:paraId="27E44F07" w14:textId="77777777" w:rsidR="004B7ED0" w:rsidRDefault="004B7ED0" w:rsidP="00DE3DF9">
      <w:pPr>
        <w:pStyle w:val="MOTermsL4"/>
        <w:numPr>
          <w:ilvl w:val="0"/>
          <w:numId w:val="0"/>
        </w:numPr>
        <w:ind w:left="851"/>
        <w:rPr>
          <w:lang w:eastAsia="en-US"/>
        </w:rPr>
      </w:pPr>
    </w:p>
    <w:tbl>
      <w:tblPr>
        <w:tblStyle w:val="GridTable4-Accent1"/>
        <w:tblW w:w="14567" w:type="dxa"/>
        <w:tblLook w:val="04A0" w:firstRow="1" w:lastRow="0" w:firstColumn="1" w:lastColumn="0" w:noHBand="0" w:noVBand="1"/>
      </w:tblPr>
      <w:tblGrid>
        <w:gridCol w:w="3369"/>
        <w:gridCol w:w="4536"/>
        <w:gridCol w:w="1559"/>
        <w:gridCol w:w="5103"/>
      </w:tblGrid>
      <w:tr w:rsidR="007B46BA" w14:paraId="037898A3" w14:textId="77777777" w:rsidTr="00AB62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Pr>
          <w:p w14:paraId="7CB89795" w14:textId="39F7B078" w:rsidR="007B46BA" w:rsidRDefault="00483AF3" w:rsidP="007B46BA">
            <w:r w:rsidRPr="0079789C">
              <w:rPr>
                <w:sz w:val="20"/>
                <w:szCs w:val="20"/>
              </w:rPr>
              <w:t>Synopsis of stakeholders’ privacy comments and submissions</w:t>
            </w:r>
          </w:p>
        </w:tc>
        <w:tc>
          <w:tcPr>
            <w:tcW w:w="4536" w:type="dxa"/>
          </w:tcPr>
          <w:p w14:paraId="509C1960" w14:textId="26A605AE"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0F866799"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103" w:type="dxa"/>
          </w:tcPr>
          <w:p w14:paraId="32410564"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7B46BA" w14:paraId="77EEFB21" w14:textId="77777777" w:rsidTr="00AB6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4844762" w14:textId="3B96076A" w:rsidR="007B46BA" w:rsidRPr="006804A3" w:rsidRDefault="007B46BA" w:rsidP="007B46BA">
            <w:pPr>
              <w:pStyle w:val="ListParagraph"/>
              <w:ind w:left="0"/>
              <w:rPr>
                <w:rFonts w:eastAsiaTheme="minorHAnsi"/>
                <w:b w:val="0"/>
                <w:bCs w:val="0"/>
                <w:sz w:val="20"/>
                <w:szCs w:val="20"/>
              </w:rPr>
            </w:pPr>
            <w:r w:rsidRPr="006804A3">
              <w:rPr>
                <w:rFonts w:eastAsiaTheme="minorHAnsi"/>
                <w:b w:val="0"/>
                <w:bCs w:val="0"/>
                <w:sz w:val="20"/>
                <w:szCs w:val="20"/>
              </w:rPr>
              <w:t xml:space="preserve">Some stakeholders expressed concern about the proposal, as it was outlined in the design paper, </w:t>
            </w:r>
            <w:r w:rsidR="0045160B">
              <w:rPr>
                <w:rFonts w:eastAsiaTheme="minorHAnsi"/>
                <w:b w:val="0"/>
                <w:bCs w:val="0"/>
                <w:sz w:val="20"/>
                <w:szCs w:val="20"/>
              </w:rPr>
              <w:t>including</w:t>
            </w:r>
            <w:r w:rsidRPr="006804A3">
              <w:rPr>
                <w:rFonts w:eastAsiaTheme="minorHAnsi"/>
                <w:b w:val="0"/>
                <w:bCs w:val="0"/>
                <w:sz w:val="20"/>
                <w:szCs w:val="20"/>
              </w:rPr>
              <w:t>:</w:t>
            </w:r>
          </w:p>
          <w:p w14:paraId="21B34DD9" w14:textId="77777777" w:rsidR="007B46BA" w:rsidRPr="006804A3" w:rsidRDefault="007B46BA" w:rsidP="007B46BA">
            <w:pPr>
              <w:pStyle w:val="ListParagraph"/>
              <w:ind w:left="0"/>
              <w:rPr>
                <w:rFonts w:eastAsiaTheme="minorHAnsi"/>
                <w:b w:val="0"/>
                <w:bCs w:val="0"/>
                <w:sz w:val="20"/>
                <w:szCs w:val="20"/>
              </w:rPr>
            </w:pPr>
          </w:p>
          <w:p w14:paraId="76BE501A" w14:textId="4DF0C7F1" w:rsidR="007B46BA" w:rsidRPr="006804A3" w:rsidRDefault="007B46BA" w:rsidP="00D345E8">
            <w:pPr>
              <w:pStyle w:val="ListParagraph"/>
              <w:numPr>
                <w:ilvl w:val="0"/>
                <w:numId w:val="29"/>
              </w:numPr>
              <w:rPr>
                <w:rFonts w:eastAsiaTheme="minorHAnsi"/>
                <w:b w:val="0"/>
                <w:bCs w:val="0"/>
                <w:sz w:val="20"/>
                <w:szCs w:val="20"/>
              </w:rPr>
            </w:pPr>
            <w:r w:rsidRPr="006804A3">
              <w:rPr>
                <w:rFonts w:eastAsiaTheme="minorHAnsi"/>
                <w:b w:val="0"/>
                <w:bCs w:val="0"/>
                <w:sz w:val="20"/>
                <w:szCs w:val="20"/>
              </w:rPr>
              <w:t>automatically deeming account administrators of non-individual and partnership accounts as a nominated representative</w:t>
            </w:r>
            <w:r w:rsidR="00637274">
              <w:rPr>
                <w:rFonts w:eastAsiaTheme="minorHAnsi"/>
                <w:b w:val="0"/>
                <w:bCs w:val="0"/>
                <w:sz w:val="20"/>
                <w:szCs w:val="20"/>
              </w:rPr>
              <w:t xml:space="preserve"> </w:t>
            </w:r>
            <w:r w:rsidRPr="006804A3">
              <w:rPr>
                <w:rFonts w:eastAsiaTheme="minorHAnsi"/>
                <w:b w:val="0"/>
                <w:bCs w:val="0"/>
                <w:sz w:val="20"/>
                <w:szCs w:val="20"/>
              </w:rPr>
              <w:t>poses practical challenges for large organisations with multiple account administrator</w:t>
            </w:r>
            <w:r w:rsidR="00E11E72">
              <w:rPr>
                <w:rFonts w:eastAsiaTheme="minorHAnsi"/>
                <w:b w:val="0"/>
                <w:bCs w:val="0"/>
                <w:sz w:val="20"/>
                <w:szCs w:val="20"/>
              </w:rPr>
              <w:t>s</w:t>
            </w:r>
            <w:r w:rsidRPr="006804A3">
              <w:rPr>
                <w:rFonts w:eastAsiaTheme="minorHAnsi"/>
                <w:b w:val="0"/>
                <w:bCs w:val="0"/>
                <w:sz w:val="20"/>
                <w:szCs w:val="20"/>
              </w:rPr>
              <w:t xml:space="preserve"> with bespoke access and authorisation permissions that are often tied to specific accounts</w:t>
            </w:r>
            <w:r w:rsidR="00481E00">
              <w:rPr>
                <w:rFonts w:eastAsiaTheme="minorHAnsi"/>
                <w:b w:val="0"/>
                <w:bCs w:val="0"/>
                <w:sz w:val="20"/>
                <w:szCs w:val="20"/>
              </w:rPr>
              <w:t>.</w:t>
            </w:r>
          </w:p>
          <w:p w14:paraId="7E13E037" w14:textId="77777777" w:rsidR="007B46BA" w:rsidRPr="006804A3" w:rsidRDefault="007B46BA" w:rsidP="007B46BA">
            <w:pPr>
              <w:pStyle w:val="ListParagraph"/>
              <w:ind w:left="360"/>
              <w:rPr>
                <w:rFonts w:eastAsiaTheme="minorHAnsi"/>
                <w:b w:val="0"/>
                <w:bCs w:val="0"/>
                <w:sz w:val="20"/>
                <w:szCs w:val="20"/>
              </w:rPr>
            </w:pPr>
          </w:p>
          <w:p w14:paraId="5B8D980A" w14:textId="77777777" w:rsidR="007B46BA" w:rsidRPr="006804A3" w:rsidRDefault="007B46BA" w:rsidP="00D345E8">
            <w:pPr>
              <w:pStyle w:val="ListParagraph"/>
              <w:numPr>
                <w:ilvl w:val="0"/>
                <w:numId w:val="29"/>
              </w:numPr>
              <w:rPr>
                <w:rFonts w:eastAsiaTheme="minorHAnsi"/>
                <w:b w:val="0"/>
                <w:bCs w:val="0"/>
                <w:sz w:val="20"/>
                <w:szCs w:val="20"/>
              </w:rPr>
            </w:pPr>
            <w:r w:rsidRPr="006804A3">
              <w:rPr>
                <w:rFonts w:eastAsiaTheme="minorHAnsi"/>
                <w:b w:val="0"/>
                <w:bCs w:val="0"/>
                <w:sz w:val="20"/>
                <w:szCs w:val="20"/>
              </w:rPr>
              <w:t xml:space="preserve">potential misalignment with business consumers’ </w:t>
            </w:r>
            <w:r w:rsidRPr="006804A3">
              <w:rPr>
                <w:rFonts w:eastAsiaTheme="minorHAnsi"/>
                <w:b w:val="0"/>
                <w:bCs w:val="0"/>
                <w:i/>
                <w:iCs/>
                <w:sz w:val="20"/>
                <w:szCs w:val="20"/>
              </w:rPr>
              <w:t xml:space="preserve">Anti-Money Laundering and Counter-Terrorism Financing Act 2006 </w:t>
            </w:r>
            <w:r w:rsidRPr="006804A3">
              <w:rPr>
                <w:rFonts w:eastAsiaTheme="minorHAnsi"/>
                <w:b w:val="0"/>
                <w:bCs w:val="0"/>
                <w:sz w:val="20"/>
                <w:szCs w:val="20"/>
              </w:rPr>
              <w:t>compliance strategies</w:t>
            </w:r>
            <w:r w:rsidR="00481E00">
              <w:rPr>
                <w:rFonts w:eastAsiaTheme="minorHAnsi"/>
                <w:b w:val="0"/>
                <w:bCs w:val="0"/>
                <w:sz w:val="20"/>
                <w:szCs w:val="20"/>
              </w:rPr>
              <w:t>.</w:t>
            </w:r>
          </w:p>
          <w:p w14:paraId="620E8D6D" w14:textId="77777777" w:rsidR="007B46BA" w:rsidRPr="006804A3" w:rsidRDefault="007B46BA" w:rsidP="007B46BA">
            <w:pPr>
              <w:pStyle w:val="ListParagraph"/>
              <w:ind w:left="360"/>
              <w:rPr>
                <w:rFonts w:eastAsiaTheme="minorHAnsi"/>
                <w:b w:val="0"/>
                <w:bCs w:val="0"/>
                <w:sz w:val="20"/>
                <w:szCs w:val="20"/>
              </w:rPr>
            </w:pPr>
          </w:p>
          <w:p w14:paraId="3817C3C8" w14:textId="7EE3A52D" w:rsidR="007B46BA" w:rsidRPr="00761EE8" w:rsidRDefault="007B46BA" w:rsidP="00761EE8">
            <w:pPr>
              <w:pStyle w:val="ListParagraph"/>
              <w:numPr>
                <w:ilvl w:val="0"/>
                <w:numId w:val="29"/>
              </w:numPr>
              <w:rPr>
                <w:rFonts w:eastAsiaTheme="minorHAnsi"/>
                <w:b w:val="0"/>
                <w:bCs w:val="0"/>
                <w:sz w:val="20"/>
                <w:szCs w:val="20"/>
              </w:rPr>
            </w:pPr>
            <w:r w:rsidRPr="006804A3">
              <w:rPr>
                <w:rFonts w:eastAsiaTheme="minorHAnsi"/>
                <w:b w:val="0"/>
                <w:bCs w:val="0"/>
                <w:sz w:val="20"/>
                <w:szCs w:val="20"/>
              </w:rPr>
              <w:t xml:space="preserve">nominated representatives should </w:t>
            </w:r>
            <w:r w:rsidRPr="006804A3">
              <w:rPr>
                <w:rFonts w:eastAsiaTheme="minorHAnsi"/>
                <w:b w:val="0"/>
                <w:bCs w:val="0"/>
                <w:i/>
                <w:iCs/>
                <w:sz w:val="20"/>
                <w:szCs w:val="20"/>
              </w:rPr>
              <w:t>not</w:t>
            </w:r>
            <w:r w:rsidRPr="006804A3">
              <w:rPr>
                <w:rFonts w:eastAsiaTheme="minorHAnsi"/>
                <w:b w:val="0"/>
                <w:bCs w:val="0"/>
                <w:sz w:val="20"/>
                <w:szCs w:val="20"/>
              </w:rPr>
              <w:t xml:space="preserve"> be identified on the consumer dashboard as this would create a </w:t>
            </w:r>
            <w:r w:rsidR="00E11E72">
              <w:rPr>
                <w:rFonts w:eastAsiaTheme="minorHAnsi"/>
                <w:b w:val="0"/>
                <w:bCs w:val="0"/>
                <w:sz w:val="20"/>
                <w:szCs w:val="20"/>
              </w:rPr>
              <w:t xml:space="preserve">new </w:t>
            </w:r>
            <w:r w:rsidRPr="006804A3">
              <w:rPr>
                <w:rFonts w:eastAsiaTheme="minorHAnsi"/>
                <w:b w:val="0"/>
                <w:bCs w:val="0"/>
                <w:sz w:val="20"/>
                <w:szCs w:val="20"/>
              </w:rPr>
              <w:t>privacy risk</w:t>
            </w:r>
            <w:r w:rsidR="00761EE8">
              <w:rPr>
                <w:rFonts w:eastAsiaTheme="minorHAnsi"/>
                <w:b w:val="0"/>
                <w:bCs w:val="0"/>
                <w:sz w:val="20"/>
                <w:szCs w:val="20"/>
              </w:rPr>
              <w:t>.</w:t>
            </w:r>
          </w:p>
          <w:p w14:paraId="02BEB005" w14:textId="5F24D7D0" w:rsidR="007B46BA" w:rsidRPr="006804A3" w:rsidRDefault="007B46BA" w:rsidP="00D345E8">
            <w:pPr>
              <w:pStyle w:val="ListParagraph"/>
              <w:numPr>
                <w:ilvl w:val="0"/>
                <w:numId w:val="29"/>
              </w:numPr>
              <w:rPr>
                <w:rFonts w:eastAsiaTheme="minorHAnsi"/>
                <w:b w:val="0"/>
                <w:bCs w:val="0"/>
                <w:sz w:val="20"/>
                <w:szCs w:val="20"/>
              </w:rPr>
            </w:pPr>
            <w:r w:rsidRPr="006804A3">
              <w:rPr>
                <w:rFonts w:eastAsiaTheme="minorHAnsi"/>
                <w:b w:val="0"/>
                <w:bCs w:val="0"/>
                <w:sz w:val="20"/>
                <w:szCs w:val="20"/>
              </w:rPr>
              <w:t xml:space="preserve">the cadence at which data sharing can be suspended or ceased </w:t>
            </w:r>
            <w:r w:rsidR="00E11E72">
              <w:rPr>
                <w:rFonts w:eastAsiaTheme="minorHAnsi"/>
                <w:b w:val="0"/>
                <w:bCs w:val="0"/>
                <w:sz w:val="20"/>
                <w:szCs w:val="20"/>
              </w:rPr>
              <w:t>(</w:t>
            </w:r>
            <w:r w:rsidRPr="006804A3">
              <w:rPr>
                <w:rFonts w:eastAsiaTheme="minorHAnsi"/>
                <w:b w:val="0"/>
                <w:bCs w:val="0"/>
                <w:sz w:val="20"/>
                <w:szCs w:val="20"/>
              </w:rPr>
              <w:t>where nominated</w:t>
            </w:r>
            <w:r>
              <w:rPr>
                <w:rFonts w:eastAsiaTheme="minorHAnsi"/>
                <w:sz w:val="20"/>
                <w:szCs w:val="20"/>
              </w:rPr>
              <w:t xml:space="preserve"> </w:t>
            </w:r>
            <w:r w:rsidRPr="006804A3">
              <w:rPr>
                <w:rFonts w:eastAsiaTheme="minorHAnsi"/>
                <w:b w:val="0"/>
                <w:bCs w:val="0"/>
                <w:sz w:val="20"/>
                <w:szCs w:val="20"/>
              </w:rPr>
              <w:t>representative approvals are amended or revoked</w:t>
            </w:r>
            <w:r w:rsidR="00E11E72">
              <w:rPr>
                <w:rFonts w:eastAsiaTheme="minorHAnsi"/>
                <w:b w:val="0"/>
                <w:bCs w:val="0"/>
                <w:sz w:val="20"/>
                <w:szCs w:val="20"/>
              </w:rPr>
              <w:t>)</w:t>
            </w:r>
            <w:r w:rsidRPr="006804A3">
              <w:rPr>
                <w:rFonts w:eastAsiaTheme="minorHAnsi"/>
                <w:b w:val="0"/>
                <w:bCs w:val="0"/>
                <w:sz w:val="20"/>
                <w:szCs w:val="20"/>
              </w:rPr>
              <w:t xml:space="preserve"> </w:t>
            </w:r>
            <w:r w:rsidR="00E11E72">
              <w:rPr>
                <w:rFonts w:eastAsiaTheme="minorHAnsi"/>
                <w:b w:val="0"/>
                <w:bCs w:val="0"/>
                <w:sz w:val="20"/>
                <w:szCs w:val="20"/>
              </w:rPr>
              <w:t xml:space="preserve">since </w:t>
            </w:r>
            <w:r w:rsidRPr="006804A3">
              <w:rPr>
                <w:rFonts w:eastAsiaTheme="minorHAnsi"/>
                <w:b w:val="0"/>
                <w:bCs w:val="0"/>
                <w:sz w:val="20"/>
                <w:szCs w:val="20"/>
              </w:rPr>
              <w:t>access and sharing can be in next-to-real tim</w:t>
            </w:r>
            <w:r w:rsidR="00481E00">
              <w:rPr>
                <w:rFonts w:eastAsiaTheme="minorHAnsi"/>
                <w:b w:val="0"/>
                <w:bCs w:val="0"/>
                <w:sz w:val="20"/>
                <w:szCs w:val="20"/>
              </w:rPr>
              <w:t>e.</w:t>
            </w:r>
          </w:p>
          <w:p w14:paraId="6873538E" w14:textId="77777777" w:rsidR="007B46BA" w:rsidRPr="006804A3" w:rsidRDefault="007B46BA" w:rsidP="007B46BA">
            <w:pPr>
              <w:pStyle w:val="ListParagraph"/>
              <w:rPr>
                <w:rFonts w:eastAsiaTheme="minorHAnsi"/>
                <w:b w:val="0"/>
                <w:bCs w:val="0"/>
                <w:sz w:val="20"/>
                <w:szCs w:val="20"/>
              </w:rPr>
            </w:pPr>
          </w:p>
          <w:p w14:paraId="2B596115" w14:textId="77777777" w:rsidR="007B46BA" w:rsidRPr="006804A3" w:rsidRDefault="007B46BA" w:rsidP="00D345E8">
            <w:pPr>
              <w:pStyle w:val="ListParagraph"/>
              <w:numPr>
                <w:ilvl w:val="0"/>
                <w:numId w:val="29"/>
              </w:numPr>
              <w:rPr>
                <w:rFonts w:eastAsiaTheme="minorHAnsi"/>
                <w:b w:val="0"/>
                <w:bCs w:val="0"/>
                <w:sz w:val="20"/>
                <w:szCs w:val="20"/>
              </w:rPr>
            </w:pPr>
            <w:r w:rsidRPr="006804A3">
              <w:rPr>
                <w:rFonts w:eastAsiaTheme="minorHAnsi"/>
                <w:b w:val="0"/>
                <w:bCs w:val="0"/>
                <w:sz w:val="20"/>
                <w:szCs w:val="20"/>
              </w:rPr>
              <w:t>lack of clarity around who has the authority to withdraw nominated representative authorisations (i.e. to override the deeming mechanism).</w:t>
            </w:r>
          </w:p>
          <w:p w14:paraId="1EEE1BBA" w14:textId="77777777" w:rsidR="007B46BA" w:rsidRPr="006804A3" w:rsidRDefault="007B46BA" w:rsidP="007B46BA">
            <w:pPr>
              <w:pStyle w:val="ListParagraph"/>
              <w:ind w:left="360"/>
              <w:rPr>
                <w:rFonts w:eastAsiaTheme="minorHAnsi"/>
                <w:b w:val="0"/>
                <w:bCs w:val="0"/>
                <w:sz w:val="20"/>
                <w:szCs w:val="20"/>
              </w:rPr>
            </w:pPr>
          </w:p>
          <w:p w14:paraId="2FAA71C8" w14:textId="77777777" w:rsidR="007B46BA" w:rsidRPr="006804A3" w:rsidRDefault="007B46BA" w:rsidP="007B46BA">
            <w:pPr>
              <w:rPr>
                <w:b w:val="0"/>
                <w:bCs w:val="0"/>
                <w:sz w:val="20"/>
                <w:szCs w:val="20"/>
              </w:rPr>
            </w:pPr>
            <w:r w:rsidRPr="006804A3">
              <w:rPr>
                <w:b w:val="0"/>
                <w:bCs w:val="0"/>
                <w:sz w:val="20"/>
                <w:szCs w:val="20"/>
              </w:rPr>
              <w:t xml:space="preserve">Other stakeholders were </w:t>
            </w:r>
            <w:r w:rsidRPr="006804A3">
              <w:rPr>
                <w:b w:val="0"/>
                <w:bCs w:val="0"/>
                <w:i/>
                <w:iCs/>
                <w:sz w:val="20"/>
                <w:szCs w:val="20"/>
              </w:rPr>
              <w:t>supportive</w:t>
            </w:r>
            <w:r w:rsidRPr="006804A3">
              <w:rPr>
                <w:b w:val="0"/>
                <w:bCs w:val="0"/>
                <w:sz w:val="20"/>
                <w:szCs w:val="20"/>
              </w:rPr>
              <w:t xml:space="preserve"> of the proposal on the basis that:</w:t>
            </w:r>
          </w:p>
          <w:p w14:paraId="38DBDCE0" w14:textId="77777777" w:rsidR="007B46BA" w:rsidRPr="006804A3" w:rsidRDefault="007B46BA" w:rsidP="007B46BA">
            <w:pPr>
              <w:pStyle w:val="ListParagraph"/>
              <w:ind w:left="360"/>
              <w:rPr>
                <w:rFonts w:eastAsiaTheme="minorHAnsi"/>
                <w:b w:val="0"/>
                <w:bCs w:val="0"/>
                <w:sz w:val="20"/>
                <w:szCs w:val="20"/>
              </w:rPr>
            </w:pPr>
          </w:p>
          <w:p w14:paraId="65B54155" w14:textId="77777777" w:rsidR="007B46BA" w:rsidRPr="006804A3" w:rsidRDefault="007B46BA" w:rsidP="00D345E8">
            <w:pPr>
              <w:pStyle w:val="ListParagraph"/>
              <w:numPr>
                <w:ilvl w:val="0"/>
                <w:numId w:val="29"/>
              </w:numPr>
              <w:rPr>
                <w:rFonts w:eastAsiaTheme="minorHAnsi"/>
                <w:b w:val="0"/>
                <w:bCs w:val="0"/>
                <w:sz w:val="20"/>
                <w:szCs w:val="20"/>
              </w:rPr>
            </w:pPr>
            <w:r w:rsidRPr="006804A3">
              <w:rPr>
                <w:rFonts w:eastAsiaTheme="minorHAnsi"/>
                <w:b w:val="0"/>
                <w:bCs w:val="0"/>
                <w:sz w:val="20"/>
                <w:szCs w:val="20"/>
              </w:rPr>
              <w:t>identifying nominated representatives on a consumer dashboard is crucial for traceability and creating an auditable activity log</w:t>
            </w:r>
            <w:r w:rsidR="00481E00">
              <w:rPr>
                <w:rFonts w:eastAsiaTheme="minorHAnsi"/>
                <w:b w:val="0"/>
                <w:bCs w:val="0"/>
                <w:sz w:val="20"/>
                <w:szCs w:val="20"/>
              </w:rPr>
              <w:t>.</w:t>
            </w:r>
          </w:p>
          <w:p w14:paraId="7598506A" w14:textId="77777777" w:rsidR="007B46BA" w:rsidRPr="006804A3" w:rsidRDefault="007B46BA" w:rsidP="007B46BA">
            <w:pPr>
              <w:pStyle w:val="ListParagraph"/>
              <w:ind w:left="360"/>
              <w:rPr>
                <w:rFonts w:eastAsiaTheme="minorHAnsi"/>
                <w:b w:val="0"/>
                <w:bCs w:val="0"/>
                <w:sz w:val="20"/>
                <w:szCs w:val="20"/>
              </w:rPr>
            </w:pPr>
          </w:p>
          <w:p w14:paraId="3A64DBCD" w14:textId="2F579C67" w:rsidR="007B46BA" w:rsidRPr="001B45A4" w:rsidRDefault="007B46BA" w:rsidP="007B46BA">
            <w:pPr>
              <w:pStyle w:val="ListParagraph"/>
              <w:numPr>
                <w:ilvl w:val="0"/>
                <w:numId w:val="29"/>
              </w:numPr>
              <w:rPr>
                <w:rFonts w:eastAsiaTheme="minorHAnsi"/>
                <w:b w:val="0"/>
                <w:bCs w:val="0"/>
                <w:sz w:val="20"/>
                <w:szCs w:val="20"/>
              </w:rPr>
            </w:pPr>
            <w:r w:rsidRPr="006804A3">
              <w:rPr>
                <w:rFonts w:eastAsiaTheme="minorHAnsi"/>
                <w:b w:val="0"/>
                <w:bCs w:val="0"/>
                <w:sz w:val="20"/>
                <w:szCs w:val="20"/>
              </w:rPr>
              <w:t>there are synergies between permissions given to account administrators and the permissions that fall to a CDR nominated representative.</w:t>
            </w:r>
          </w:p>
        </w:tc>
        <w:tc>
          <w:tcPr>
            <w:tcW w:w="4536" w:type="dxa"/>
          </w:tcPr>
          <w:p w14:paraId="4A511001" w14:textId="77777777" w:rsidR="007F52BD" w:rsidRDefault="007F52BD" w:rsidP="00076C83">
            <w:pPr>
              <w:pStyle w:val="ListParagraph"/>
              <w:ind w:left="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The proposed has been refined, as explained above.</w:t>
            </w:r>
          </w:p>
          <w:p w14:paraId="22DFC99C" w14:textId="77777777" w:rsidR="007F52BD" w:rsidRDefault="007F52BD" w:rsidP="00076C83">
            <w:pPr>
              <w:pStyle w:val="ListParagraph"/>
              <w:ind w:left="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7E4637F1" w14:textId="675B982A" w:rsidR="00076C83" w:rsidRPr="00076C83" w:rsidRDefault="00076C83" w:rsidP="00076C83">
            <w:pPr>
              <w:pStyle w:val="ListParagraph"/>
              <w:ind w:left="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T</w:t>
            </w:r>
            <w:r w:rsidRPr="00076C83">
              <w:rPr>
                <w:rFonts w:eastAsiaTheme="minorHAnsi"/>
                <w:sz w:val="20"/>
                <w:szCs w:val="20"/>
              </w:rPr>
              <w:t>he Treasury proposes that data holders provide CDR consumers with a process that is simple</w:t>
            </w:r>
            <w:r w:rsidR="00E11E72">
              <w:rPr>
                <w:rFonts w:eastAsiaTheme="minorHAnsi"/>
                <w:sz w:val="20"/>
                <w:szCs w:val="20"/>
              </w:rPr>
              <w:t xml:space="preserve"> and </w:t>
            </w:r>
            <w:r w:rsidRPr="00076C83">
              <w:rPr>
                <w:rFonts w:eastAsiaTheme="minorHAnsi"/>
                <w:sz w:val="20"/>
                <w:szCs w:val="20"/>
              </w:rPr>
              <w:t xml:space="preserve">straightforward to: </w:t>
            </w:r>
          </w:p>
          <w:p w14:paraId="66DD0352" w14:textId="0BABB6E0" w:rsidR="00076C83" w:rsidRPr="00076C83" w:rsidRDefault="00076C83" w:rsidP="00076C8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076C83">
              <w:rPr>
                <w:rFonts w:eastAsiaTheme="minorHAnsi"/>
                <w:sz w:val="20"/>
                <w:szCs w:val="20"/>
              </w:rPr>
              <w:t>appoint a nominated representative</w:t>
            </w:r>
            <w:r w:rsidR="00E11E72">
              <w:rPr>
                <w:rFonts w:eastAsiaTheme="minorHAnsi"/>
                <w:sz w:val="20"/>
                <w:szCs w:val="20"/>
              </w:rPr>
              <w:t xml:space="preserve"> and that it </w:t>
            </w:r>
            <w:r w:rsidRPr="00076C83">
              <w:rPr>
                <w:rFonts w:eastAsiaTheme="minorHAnsi"/>
                <w:sz w:val="20"/>
                <w:szCs w:val="20"/>
              </w:rPr>
              <w:t>is prominently displayed to the CDR consumer; and</w:t>
            </w:r>
          </w:p>
          <w:p w14:paraId="47D55AD9" w14:textId="46F5F9AE" w:rsidR="00076C83" w:rsidRPr="00076C83" w:rsidRDefault="00076C83" w:rsidP="00076C8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076C83">
              <w:rPr>
                <w:rFonts w:eastAsiaTheme="minorHAnsi"/>
                <w:sz w:val="20"/>
                <w:szCs w:val="20"/>
              </w:rPr>
              <w:t>allow an account administrator to be authorised as nominated representatives</w:t>
            </w:r>
            <w:r w:rsidR="00330FC0">
              <w:rPr>
                <w:rFonts w:eastAsiaTheme="minorHAnsi"/>
                <w:sz w:val="20"/>
                <w:szCs w:val="20"/>
              </w:rPr>
              <w:t>, via a simple and straight forward online process</w:t>
            </w:r>
            <w:r w:rsidRPr="00076C83">
              <w:rPr>
                <w:rFonts w:eastAsiaTheme="minorHAnsi"/>
                <w:sz w:val="20"/>
                <w:szCs w:val="20"/>
              </w:rPr>
              <w:t>.</w:t>
            </w:r>
          </w:p>
          <w:p w14:paraId="5F0B0C8C" w14:textId="77777777" w:rsidR="00076C83" w:rsidRDefault="00076C83"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08617A8C" w14:textId="03E2FB37" w:rsidR="00E11E72" w:rsidRDefault="006D61F7"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Treasury proposes a </w:t>
            </w:r>
            <w:proofErr w:type="gramStart"/>
            <w:r>
              <w:rPr>
                <w:sz w:val="20"/>
                <w:szCs w:val="20"/>
              </w:rPr>
              <w:t>12 month</w:t>
            </w:r>
            <w:proofErr w:type="gramEnd"/>
            <w:r>
              <w:rPr>
                <w:sz w:val="20"/>
                <w:szCs w:val="20"/>
              </w:rPr>
              <w:t xml:space="preserve"> deferred commencement</w:t>
            </w:r>
            <w:r w:rsidR="008B3679">
              <w:rPr>
                <w:sz w:val="20"/>
                <w:szCs w:val="20"/>
              </w:rPr>
              <w:t xml:space="preserve"> or transitional</w:t>
            </w:r>
            <w:r>
              <w:rPr>
                <w:sz w:val="20"/>
                <w:szCs w:val="20"/>
              </w:rPr>
              <w:t xml:space="preserve"> period for the online functionality.</w:t>
            </w:r>
          </w:p>
          <w:p w14:paraId="45ED4F45" w14:textId="07113E48" w:rsidR="007B46BA" w:rsidRPr="00A82545" w:rsidRDefault="007B46BA" w:rsidP="007B46BA">
            <w:pPr>
              <w:cnfStyle w:val="000000100000" w:firstRow="0" w:lastRow="0" w:firstColumn="0" w:lastColumn="0" w:oddVBand="0" w:evenVBand="0" w:oddHBand="1" w:evenHBand="0" w:firstRowFirstColumn="0" w:firstRowLastColumn="0" w:lastRowFirstColumn="0" w:lastRowLastColumn="0"/>
            </w:pPr>
          </w:p>
        </w:tc>
        <w:tc>
          <w:tcPr>
            <w:tcW w:w="1559" w:type="dxa"/>
          </w:tcPr>
          <w:p w14:paraId="3C06DFEF"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9B1A74">
              <w:rPr>
                <w:sz w:val="20"/>
                <w:szCs w:val="20"/>
              </w:rPr>
              <w:t xml:space="preserve">APP </w:t>
            </w:r>
            <w:r>
              <w:rPr>
                <w:sz w:val="20"/>
                <w:szCs w:val="20"/>
              </w:rPr>
              <w:t xml:space="preserve">3 </w:t>
            </w:r>
          </w:p>
          <w:p w14:paraId="6EC9B3CE" w14:textId="77777777" w:rsidR="00735339" w:rsidRDefault="00735339"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B03D9D3" w14:textId="77777777" w:rsidR="00735339" w:rsidRDefault="00735339"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 5</w:t>
            </w:r>
            <w:r>
              <w:rPr>
                <w:rStyle w:val="FootnoteReference"/>
                <w:sz w:val="20"/>
                <w:szCs w:val="20"/>
              </w:rPr>
              <w:footnoteReference w:id="26"/>
            </w:r>
          </w:p>
          <w:p w14:paraId="6DC85462"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95A208C"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 6</w:t>
            </w:r>
          </w:p>
          <w:p w14:paraId="519F78E5" w14:textId="77777777" w:rsidR="007B46BA" w:rsidRDefault="007B46BA" w:rsidP="007B46BA">
            <w:pPr>
              <w:cnfStyle w:val="000000100000" w:firstRow="0" w:lastRow="0" w:firstColumn="0" w:lastColumn="0" w:oddVBand="0" w:evenVBand="0" w:oddHBand="1" w:evenHBand="0" w:firstRowFirstColumn="0" w:firstRowLastColumn="0" w:lastRowFirstColumn="0" w:lastRowLastColumn="0"/>
            </w:pPr>
          </w:p>
          <w:p w14:paraId="6DEDC174" w14:textId="77777777" w:rsidR="007B46BA" w:rsidRPr="009B1A74"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9B1A74">
              <w:rPr>
                <w:sz w:val="20"/>
                <w:szCs w:val="20"/>
              </w:rPr>
              <w:t>r 1.13(1)(c)</w:t>
            </w:r>
          </w:p>
          <w:p w14:paraId="55237E4B" w14:textId="77777777" w:rsidR="007B46BA" w:rsidRPr="009B1A74"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DB0E687" w14:textId="77777777" w:rsidR="007B46BA" w:rsidRPr="00A82545" w:rsidRDefault="007B46BA" w:rsidP="007B46BA">
            <w:pPr>
              <w:cnfStyle w:val="000000100000" w:firstRow="0" w:lastRow="0" w:firstColumn="0" w:lastColumn="0" w:oddVBand="0" w:evenVBand="0" w:oddHBand="1" w:evenHBand="0" w:firstRowFirstColumn="0" w:firstRowLastColumn="0" w:lastRowFirstColumn="0" w:lastRowLastColumn="0"/>
            </w:pPr>
            <w:r w:rsidRPr="009B1A74">
              <w:rPr>
                <w:sz w:val="20"/>
                <w:szCs w:val="20"/>
              </w:rPr>
              <w:t>r 1.13(1)(d)</w:t>
            </w:r>
          </w:p>
        </w:tc>
        <w:tc>
          <w:tcPr>
            <w:tcW w:w="5103" w:type="dxa"/>
          </w:tcPr>
          <w:p w14:paraId="1688965F" w14:textId="1B39DC84" w:rsidR="00076C83" w:rsidRDefault="00136E6E"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observes that a </w:t>
            </w:r>
            <w:r w:rsidR="007B46BA" w:rsidRPr="00DE3DF9">
              <w:rPr>
                <w:sz w:val="20"/>
                <w:szCs w:val="20"/>
              </w:rPr>
              <w:t xml:space="preserve">deeming provision </w:t>
            </w:r>
            <w:r>
              <w:rPr>
                <w:sz w:val="20"/>
                <w:szCs w:val="20"/>
              </w:rPr>
              <w:t xml:space="preserve">may </w:t>
            </w:r>
            <w:r w:rsidR="007B46BA" w:rsidRPr="00DE3DF9">
              <w:rPr>
                <w:sz w:val="20"/>
                <w:szCs w:val="20"/>
              </w:rPr>
              <w:t>undermine the value being placed</w:t>
            </w:r>
            <w:r>
              <w:rPr>
                <w:sz w:val="20"/>
                <w:szCs w:val="20"/>
              </w:rPr>
              <w:t>, elsewhere,</w:t>
            </w:r>
            <w:r w:rsidR="007B46BA" w:rsidRPr="00DE3DF9">
              <w:rPr>
                <w:sz w:val="20"/>
                <w:szCs w:val="20"/>
              </w:rPr>
              <w:t xml:space="preserve"> on requiring positive steps to authorise data sharing and selecting the appropriate person to give relevant instructions. </w:t>
            </w:r>
            <w:r>
              <w:rPr>
                <w:sz w:val="20"/>
                <w:szCs w:val="20"/>
              </w:rPr>
              <w:t xml:space="preserve"> As the deeming provision is no longer a proposal that the Treasury intends to put forward to change the CDR Rules, the privacy impacts of that approach do not need to be further considered.  </w:t>
            </w:r>
          </w:p>
          <w:p w14:paraId="10FD7F60" w14:textId="77777777" w:rsidR="00076C83" w:rsidRDefault="00076C8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89FD0D4" w14:textId="77777777" w:rsidR="00E11E72" w:rsidRDefault="00136E6E"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By contrast, </w:t>
            </w:r>
            <w:r w:rsidR="00E11E72">
              <w:rPr>
                <w:sz w:val="20"/>
                <w:szCs w:val="20"/>
              </w:rPr>
              <w:t xml:space="preserve">a </w:t>
            </w:r>
            <w:r>
              <w:rPr>
                <w:sz w:val="20"/>
                <w:szCs w:val="20"/>
              </w:rPr>
              <w:t>simple, straightforward process to permit CDR consumers to appoint nominated representatives (including by making an account administrator a nominated representative)</w:t>
            </w:r>
            <w:r w:rsidR="00076C83">
              <w:rPr>
                <w:sz w:val="20"/>
                <w:szCs w:val="20"/>
              </w:rPr>
              <w:t xml:space="preserve"> support CDR consumers’ effective engagement with their CDR rights. </w:t>
            </w:r>
          </w:p>
          <w:p w14:paraId="55F3F136" w14:textId="77777777" w:rsidR="00E11E72" w:rsidRDefault="00E11E72"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80C3694" w14:textId="71A36BE7" w:rsidR="007B46BA" w:rsidRPr="00DE3DF9" w:rsidRDefault="006D61F7" w:rsidP="007B46B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 xml:space="preserve">Noting that data holders would need to offer a simple and straight forward online process, </w:t>
            </w:r>
            <w:r w:rsidR="00E11E72">
              <w:rPr>
                <w:sz w:val="20"/>
                <w:szCs w:val="20"/>
              </w:rPr>
              <w:t xml:space="preserve">Mills Oakley understands that data holders would each implement processes for appointing nominated representatives that meet their respective legislative obligations, risk posture and business needs. This kind of flexibility is a privacy positive because it enables data holders to leverage existing business and governance processes rather than a one-size-fits-all process being imposed that may require the collection and handling of data that is not needed, or suitable, for the data holder’s operating environment. </w:t>
            </w:r>
          </w:p>
          <w:p w14:paraId="6E5F12DA" w14:textId="77777777" w:rsidR="00681681" w:rsidRDefault="00681681" w:rsidP="007B46BA">
            <w:pPr>
              <w:pStyle w:val="ListParagraph"/>
              <w:ind w:left="0"/>
              <w:cnfStyle w:val="000000100000" w:firstRow="0" w:lastRow="0" w:firstColumn="0" w:lastColumn="0" w:oddVBand="0" w:evenVBand="0" w:oddHBand="1" w:evenHBand="0" w:firstRowFirstColumn="0" w:firstRowLastColumn="0" w:lastRowFirstColumn="0" w:lastRowLastColumn="0"/>
              <w:rPr>
                <w:rStyle w:val="Strong"/>
                <w:b w:val="0"/>
                <w:bCs w:val="0"/>
                <w:sz w:val="20"/>
                <w:szCs w:val="20"/>
              </w:rPr>
            </w:pPr>
          </w:p>
          <w:p w14:paraId="50633685" w14:textId="48CE3546" w:rsidR="00681681" w:rsidRDefault="00681681" w:rsidP="007B46BA">
            <w:pPr>
              <w:pStyle w:val="ListParagraph"/>
              <w:ind w:left="0"/>
              <w:cnfStyle w:val="000000100000" w:firstRow="0" w:lastRow="0" w:firstColumn="0" w:lastColumn="0" w:oddVBand="0" w:evenVBand="0" w:oddHBand="1" w:evenHBand="0" w:firstRowFirstColumn="0" w:firstRowLastColumn="0" w:lastRowFirstColumn="0" w:lastRowLastColumn="0"/>
              <w:rPr>
                <w:rStyle w:val="Strong"/>
                <w:b w:val="0"/>
                <w:bCs w:val="0"/>
                <w:sz w:val="20"/>
                <w:szCs w:val="20"/>
              </w:rPr>
            </w:pPr>
            <w:r w:rsidRPr="00900057">
              <w:rPr>
                <w:rStyle w:val="Strong"/>
                <w:b w:val="0"/>
                <w:bCs w:val="0"/>
                <w:sz w:val="20"/>
                <w:szCs w:val="20"/>
              </w:rPr>
              <w:t>Mills Oakley observes the</w:t>
            </w:r>
            <w:r w:rsidRPr="00900057">
              <w:rPr>
                <w:rStyle w:val="Strong"/>
                <w:sz w:val="20"/>
                <w:szCs w:val="20"/>
              </w:rPr>
              <w:t xml:space="preserve"> </w:t>
            </w:r>
            <w:r w:rsidRPr="00900057">
              <w:rPr>
                <w:rStyle w:val="Strong"/>
                <w:b w:val="0"/>
                <w:bCs w:val="0"/>
                <w:sz w:val="20"/>
                <w:szCs w:val="20"/>
              </w:rPr>
              <w:t>intention to have a civil penalty provision for non</w:t>
            </w:r>
            <w:r>
              <w:rPr>
                <w:rStyle w:val="Strong"/>
                <w:b w:val="0"/>
                <w:bCs w:val="0"/>
                <w:sz w:val="20"/>
                <w:szCs w:val="20"/>
              </w:rPr>
              <w:t>-</w:t>
            </w:r>
            <w:r w:rsidRPr="00900057">
              <w:rPr>
                <w:rStyle w:val="Strong"/>
                <w:b w:val="0"/>
                <w:bCs w:val="0"/>
                <w:sz w:val="20"/>
                <w:szCs w:val="20"/>
              </w:rPr>
              <w:t xml:space="preserve">compliance with the proposed obligation to have a simple and straight forward online process that is prominently displayed, illustrates the level </w:t>
            </w:r>
            <w:r>
              <w:rPr>
                <w:rStyle w:val="Strong"/>
                <w:b w:val="0"/>
                <w:bCs w:val="0"/>
                <w:sz w:val="20"/>
                <w:szCs w:val="20"/>
              </w:rPr>
              <w:t>of</w:t>
            </w:r>
            <w:r w:rsidRPr="00900057">
              <w:rPr>
                <w:rStyle w:val="Strong"/>
                <w:b w:val="0"/>
                <w:bCs w:val="0"/>
                <w:sz w:val="20"/>
                <w:szCs w:val="20"/>
              </w:rPr>
              <w:t xml:space="preserve"> importance being placed on the </w:t>
            </w:r>
            <w:r w:rsidR="00E11E72" w:rsidRPr="00E11E72">
              <w:rPr>
                <w:rStyle w:val="Strong"/>
                <w:b w:val="0"/>
                <w:bCs w:val="0"/>
                <w:sz w:val="20"/>
                <w:szCs w:val="20"/>
              </w:rPr>
              <w:t xml:space="preserve">ability to easily </w:t>
            </w:r>
            <w:r>
              <w:rPr>
                <w:rStyle w:val="Strong"/>
                <w:b w:val="0"/>
                <w:bCs w:val="0"/>
                <w:sz w:val="20"/>
                <w:szCs w:val="20"/>
              </w:rPr>
              <w:t>appoint a</w:t>
            </w:r>
            <w:r w:rsidRPr="00900057">
              <w:rPr>
                <w:rStyle w:val="Strong"/>
                <w:b w:val="0"/>
                <w:bCs w:val="0"/>
                <w:sz w:val="20"/>
                <w:szCs w:val="20"/>
              </w:rPr>
              <w:t xml:space="preserve"> nominated representative.</w:t>
            </w:r>
          </w:p>
          <w:p w14:paraId="092F79F1" w14:textId="77777777" w:rsidR="005B58F8" w:rsidRDefault="005B58F8" w:rsidP="007B46BA">
            <w:pPr>
              <w:pStyle w:val="ListParagraph"/>
              <w:ind w:left="0"/>
              <w:cnfStyle w:val="000000100000" w:firstRow="0" w:lastRow="0" w:firstColumn="0" w:lastColumn="0" w:oddVBand="0" w:evenVBand="0" w:oddHBand="1" w:evenHBand="0" w:firstRowFirstColumn="0" w:firstRowLastColumn="0" w:lastRowFirstColumn="0" w:lastRowLastColumn="0"/>
              <w:rPr>
                <w:rStyle w:val="Strong"/>
              </w:rPr>
            </w:pPr>
          </w:p>
          <w:p w14:paraId="42EC7D6A" w14:textId="77777777" w:rsidR="007B46BA" w:rsidRPr="00DE3DF9"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p w14:paraId="2101C6A4"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p w14:paraId="5C2E513A" w14:textId="77777777" w:rsidR="007B46BA" w:rsidRPr="00900057" w:rsidRDefault="007B46BA" w:rsidP="006C5A23">
            <w:pPr>
              <w:pStyle w:val="ListParagraph"/>
              <w:ind w:left="0"/>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2E6573BE" w14:textId="77777777" w:rsidR="00F61E11" w:rsidRPr="001F2AD8" w:rsidRDefault="000C7DE2" w:rsidP="001B45A4">
      <w:pPr>
        <w:pStyle w:val="MOTermsL2"/>
        <w:numPr>
          <w:ilvl w:val="0"/>
          <w:numId w:val="0"/>
        </w:numPr>
        <w:rPr>
          <w:sz w:val="24"/>
          <w:szCs w:val="24"/>
        </w:rPr>
      </w:pPr>
      <w:bookmarkStart w:id="47" w:name="_Toc165324955"/>
      <w:r w:rsidRPr="001475F2">
        <w:rPr>
          <w:sz w:val="24"/>
          <w:szCs w:val="24"/>
        </w:rPr>
        <w:t xml:space="preserve">Accredited ADI to hold CDR data as </w:t>
      </w:r>
      <w:r w:rsidR="00735339" w:rsidRPr="001475F2">
        <w:rPr>
          <w:sz w:val="24"/>
          <w:szCs w:val="24"/>
        </w:rPr>
        <w:t xml:space="preserve">a </w:t>
      </w:r>
      <w:r w:rsidR="00681681" w:rsidRPr="001475F2">
        <w:rPr>
          <w:sz w:val="24"/>
          <w:szCs w:val="24"/>
        </w:rPr>
        <w:t>‘</w:t>
      </w:r>
      <w:r w:rsidRPr="001475F2">
        <w:rPr>
          <w:sz w:val="24"/>
          <w:szCs w:val="24"/>
        </w:rPr>
        <w:t>data holder</w:t>
      </w:r>
      <w:r w:rsidR="00681681" w:rsidRPr="001475F2">
        <w:rPr>
          <w:sz w:val="24"/>
          <w:szCs w:val="24"/>
        </w:rPr>
        <w:t>’</w:t>
      </w:r>
      <w:bookmarkEnd w:id="47"/>
    </w:p>
    <w:p w14:paraId="5C8AEA16" w14:textId="0D00E3BC" w:rsidR="00761EE8" w:rsidRDefault="00597B63" w:rsidP="000C7DE2">
      <w:pPr>
        <w:pStyle w:val="MOTermsL4"/>
      </w:pPr>
      <w:r w:rsidRPr="00597B63">
        <w:t xml:space="preserve">In the Operational Enhancements Design Paper, the Treasury sought preliminary comments from stakeholders in respect of whether </w:t>
      </w:r>
      <w:r w:rsidR="00477308">
        <w:t xml:space="preserve">the circumstances in which </w:t>
      </w:r>
      <w:r w:rsidRPr="00597B63">
        <w:t>an authorised deposit-taking institution (</w:t>
      </w:r>
      <w:r w:rsidRPr="007F423C">
        <w:rPr>
          <w:b/>
          <w:bCs/>
        </w:rPr>
        <w:t>ADI</w:t>
      </w:r>
      <w:r w:rsidRPr="00597B63">
        <w:t>)</w:t>
      </w:r>
      <w:r w:rsidRPr="00597B63">
        <w:rPr>
          <w:rStyle w:val="FootnoteReference"/>
          <w:rFonts w:eastAsiaTheme="minorHAnsi"/>
          <w:sz w:val="20"/>
          <w:szCs w:val="20"/>
        </w:rPr>
        <w:t xml:space="preserve"> </w:t>
      </w:r>
      <w:r w:rsidRPr="006804A3">
        <w:rPr>
          <w:rStyle w:val="FootnoteReference"/>
          <w:rFonts w:eastAsiaTheme="minorHAnsi"/>
          <w:sz w:val="20"/>
          <w:szCs w:val="20"/>
        </w:rPr>
        <w:footnoteReference w:id="27"/>
      </w:r>
      <w:r w:rsidRPr="00597B63">
        <w:t xml:space="preserve"> or energy retailer</w:t>
      </w:r>
      <w:r w:rsidRPr="006804A3">
        <w:rPr>
          <w:rStyle w:val="FootnoteReference"/>
          <w:rFonts w:eastAsiaTheme="minorHAnsi"/>
          <w:sz w:val="20"/>
          <w:szCs w:val="20"/>
        </w:rPr>
        <w:footnoteReference w:id="28"/>
      </w:r>
      <w:r w:rsidRPr="00597B63">
        <w:t xml:space="preserve"> who has collected CDR data as an accredited data recipient (</w:t>
      </w:r>
      <w:r w:rsidRPr="007F423C">
        <w:rPr>
          <w:b/>
          <w:bCs/>
        </w:rPr>
        <w:t>ADR</w:t>
      </w:r>
      <w:r w:rsidRPr="00597B63">
        <w:t xml:space="preserve">) </w:t>
      </w:r>
      <w:r w:rsidR="00477308">
        <w:t xml:space="preserve">is </w:t>
      </w:r>
      <w:r>
        <w:t>permitted to</w:t>
      </w:r>
      <w:r w:rsidRPr="00597B63">
        <w:t xml:space="preserve"> handle the data as a data holder (rather than as an ADR)</w:t>
      </w:r>
      <w:r w:rsidR="00477308">
        <w:t xml:space="preserve"> should be expanded</w:t>
      </w:r>
      <w:r w:rsidRPr="00597B63">
        <w:t>. The consequence of this includes disapplying the CDR Privacy Safeguards to the CDR data</w:t>
      </w:r>
      <w:r w:rsidR="00477308">
        <w:t>,</w:t>
      </w:r>
      <w:r w:rsidRPr="00597B63">
        <w:t xml:space="preserve"> which means the data would then be regulated by the ADI’s existing and business as usual privacy obligations (e.g. the APPs)</w:t>
      </w:r>
      <w:r>
        <w:t xml:space="preserve">. </w:t>
      </w:r>
      <w:r w:rsidR="00477308">
        <w:t>In particular, t</w:t>
      </w:r>
      <w:r w:rsidR="000C7DE2" w:rsidRPr="00681681">
        <w:t xml:space="preserve">he Treasury </w:t>
      </w:r>
      <w:r w:rsidR="004D7138">
        <w:t>invited</w:t>
      </w:r>
      <w:r w:rsidR="00477308">
        <w:t xml:space="preserve"> preliminary comments on whether ADI</w:t>
      </w:r>
      <w:r w:rsidR="004D7138">
        <w:t>s</w:t>
      </w:r>
      <w:r w:rsidR="00477308">
        <w:t xml:space="preserve"> should be permitted </w:t>
      </w:r>
      <w:r w:rsidR="000C7DE2" w:rsidRPr="00681681">
        <w:t xml:space="preserve">to </w:t>
      </w:r>
      <w:r w:rsidR="001475F2" w:rsidRPr="001475F2">
        <w:t xml:space="preserve">hold data received under the CDR Rules </w:t>
      </w:r>
      <w:r w:rsidR="001475F2" w:rsidRPr="0079789C">
        <w:rPr>
          <w:i/>
          <w:iCs/>
        </w:rPr>
        <w:t>as a data holder</w:t>
      </w:r>
      <w:r w:rsidR="001475F2">
        <w:t xml:space="preserve"> </w:t>
      </w:r>
      <w:r w:rsidR="00735339" w:rsidRPr="00681681">
        <w:t xml:space="preserve">where they have received </w:t>
      </w:r>
      <w:r w:rsidR="00A02733">
        <w:t xml:space="preserve">the data </w:t>
      </w:r>
      <w:r w:rsidR="000C7DE2" w:rsidRPr="00681681">
        <w:t xml:space="preserve">in relation to a </w:t>
      </w:r>
      <w:r w:rsidR="00CE1B12" w:rsidRPr="00681681">
        <w:t xml:space="preserve">CDR </w:t>
      </w:r>
      <w:r w:rsidR="000C7DE2" w:rsidRPr="00681681">
        <w:t xml:space="preserve">consumer who has </w:t>
      </w:r>
      <w:r w:rsidR="000C7DE2" w:rsidRPr="000F4042">
        <w:rPr>
          <w:i/>
          <w:iCs/>
        </w:rPr>
        <w:t>sought</w:t>
      </w:r>
      <w:r w:rsidR="000C7DE2" w:rsidRPr="00681681">
        <w:t xml:space="preserve"> (but has not necessarily acquired) a product from the ADI</w:t>
      </w:r>
      <w:r w:rsidR="00CE1B12" w:rsidRPr="00681681">
        <w:t>.</w:t>
      </w:r>
      <w:r w:rsidR="00056630">
        <w:t xml:space="preserve"> The proposal has been refined</w:t>
      </w:r>
      <w:r w:rsidR="004D7138">
        <w:t xml:space="preserve"> following stakeholder feedback</w:t>
      </w:r>
      <w:r w:rsidR="00056630">
        <w:t>. It is now proposed the ADR can hold the data received under the CDR Rules as a data holder where the consumer has made an application to acquire a product from the ADR, or is in the process of doing so.</w:t>
      </w:r>
      <w:r w:rsidR="000C7DE2" w:rsidRPr="00681681">
        <w:t xml:space="preserve"> </w:t>
      </w:r>
      <w:r w:rsidR="0005677F" w:rsidRPr="00701F57">
        <w:t xml:space="preserve">The proposal </w:t>
      </w:r>
      <w:r w:rsidR="00477308">
        <w:t>is</w:t>
      </w:r>
      <w:r w:rsidR="00477308" w:rsidRPr="00701F57">
        <w:t xml:space="preserve"> </w:t>
      </w:r>
      <w:r w:rsidR="0005677F" w:rsidRPr="00701F57">
        <w:t>subject to</w:t>
      </w:r>
      <w:r w:rsidR="00761EE8">
        <w:t xml:space="preserve"> </w:t>
      </w:r>
      <w:r w:rsidR="00477308">
        <w:t>a</w:t>
      </w:r>
      <w:r w:rsidR="00761EE8">
        <w:t xml:space="preserve"> requirement that</w:t>
      </w:r>
      <w:r w:rsidR="0005677F" w:rsidRPr="00701F57">
        <w:t xml:space="preserve"> the CDR consumer</w:t>
      </w:r>
      <w:r w:rsidR="00056630">
        <w:t xml:space="preserve"> </w:t>
      </w:r>
      <w:r w:rsidR="00761EE8">
        <w:t>is</w:t>
      </w:r>
      <w:r w:rsidR="00056630">
        <w:t xml:space="preserve"> notified that the ADI will hold the data as a data holder, rather than as a usual ADR, prior to the consumer consenting to the ADI collecting the </w:t>
      </w:r>
      <w:r w:rsidR="00D72B15">
        <w:t>data.</w:t>
      </w:r>
      <w:r w:rsidR="00761EE8">
        <w:t xml:space="preserve"> The</w:t>
      </w:r>
      <w:r w:rsidR="008A08DD">
        <w:t xml:space="preserve"> ADI must also have explained to the CDR consumer the practical implications of that arrangement.</w:t>
      </w:r>
      <w:r w:rsidR="0005677F">
        <w:t xml:space="preserve"> </w:t>
      </w:r>
    </w:p>
    <w:p w14:paraId="051609AF" w14:textId="7DA275B7" w:rsidR="000C7DE2" w:rsidRPr="00681681" w:rsidRDefault="00DD770F" w:rsidP="000C7DE2">
      <w:pPr>
        <w:pStyle w:val="MOTermsL4"/>
      </w:pPr>
      <w:r>
        <w:t>T</w:t>
      </w:r>
      <w:r w:rsidRPr="00DD770F">
        <w:t xml:space="preserve">his </w:t>
      </w:r>
      <w:r>
        <w:t xml:space="preserve">will </w:t>
      </w:r>
      <w:r w:rsidRPr="00DD770F">
        <w:t xml:space="preserve">expand the </w:t>
      </w:r>
      <w:r w:rsidR="006C5A23">
        <w:t xml:space="preserve">operation of the </w:t>
      </w:r>
      <w:r>
        <w:t xml:space="preserve">Rules since </w:t>
      </w:r>
      <w:r w:rsidRPr="00DD770F">
        <w:t xml:space="preserve">an ADI </w:t>
      </w:r>
      <w:r>
        <w:t xml:space="preserve">can </w:t>
      </w:r>
      <w:r w:rsidR="0005677F">
        <w:t xml:space="preserve">presently </w:t>
      </w:r>
      <w:r w:rsidR="006C5A23">
        <w:t xml:space="preserve">handle </w:t>
      </w:r>
      <w:r w:rsidRPr="00DD770F">
        <w:t xml:space="preserve">CDR data received under the CDR </w:t>
      </w:r>
      <w:r w:rsidR="00A02733">
        <w:t xml:space="preserve">Rules </w:t>
      </w:r>
      <w:r w:rsidRPr="00DD770F">
        <w:t xml:space="preserve">as a data holder </w:t>
      </w:r>
      <w:r w:rsidR="00701F57">
        <w:t xml:space="preserve">only </w:t>
      </w:r>
      <w:r w:rsidRPr="00DD770F">
        <w:t xml:space="preserve">where the CDR consumer has </w:t>
      </w:r>
      <w:r w:rsidR="005C79C8" w:rsidRPr="0096059D">
        <w:rPr>
          <w:i/>
          <w:iCs/>
        </w:rPr>
        <w:t>acquired</w:t>
      </w:r>
      <w:r w:rsidR="005C79C8">
        <w:t xml:space="preserve"> </w:t>
      </w:r>
      <w:r w:rsidRPr="00DD770F">
        <w:t xml:space="preserve">a product from the ADI and the CDR consumer has </w:t>
      </w:r>
      <w:r w:rsidRPr="005C79C8">
        <w:rPr>
          <w:i/>
          <w:iCs/>
        </w:rPr>
        <w:t>agreed</w:t>
      </w:r>
      <w:r w:rsidRPr="00DD770F">
        <w:t xml:space="preserve"> to </w:t>
      </w:r>
      <w:r w:rsidR="006C5A23">
        <w:t xml:space="preserve">the </w:t>
      </w:r>
      <w:r>
        <w:t xml:space="preserve">ADI </w:t>
      </w:r>
      <w:r w:rsidRPr="00DD770F">
        <w:t xml:space="preserve">being a data holder, rather than an </w:t>
      </w:r>
      <w:r w:rsidR="006C5A23">
        <w:t>ADR</w:t>
      </w:r>
      <w:r w:rsidR="00A02733">
        <w:t>,</w:t>
      </w:r>
      <w:r>
        <w:t xml:space="preserve"> for the </w:t>
      </w:r>
      <w:r w:rsidRPr="00DD770F">
        <w:t>relevant CDR data.</w:t>
      </w:r>
    </w:p>
    <w:p w14:paraId="36C0AC03" w14:textId="5D118580" w:rsidR="000C7DE2" w:rsidRDefault="000C7DE2" w:rsidP="00DE3DF9">
      <w:pPr>
        <w:pStyle w:val="MOTermsL4"/>
        <w:numPr>
          <w:ilvl w:val="0"/>
          <w:numId w:val="0"/>
        </w:numPr>
        <w:ind w:left="851"/>
      </w:pPr>
    </w:p>
    <w:tbl>
      <w:tblPr>
        <w:tblStyle w:val="GridTable4-Accent1"/>
        <w:tblW w:w="14709" w:type="dxa"/>
        <w:tblLook w:val="04A0" w:firstRow="1" w:lastRow="0" w:firstColumn="1" w:lastColumn="0" w:noHBand="0" w:noVBand="1"/>
      </w:tblPr>
      <w:tblGrid>
        <w:gridCol w:w="3369"/>
        <w:gridCol w:w="4536"/>
        <w:gridCol w:w="1559"/>
        <w:gridCol w:w="5245"/>
      </w:tblGrid>
      <w:tr w:rsidR="007B46BA" w14:paraId="150757E4" w14:textId="77777777" w:rsidTr="00AB62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Pr>
          <w:p w14:paraId="1893B91F" w14:textId="6FD43AA9" w:rsidR="007B46BA" w:rsidRDefault="00483AF3" w:rsidP="007B46BA">
            <w:r w:rsidRPr="0079789C">
              <w:rPr>
                <w:sz w:val="20"/>
                <w:szCs w:val="20"/>
              </w:rPr>
              <w:t>Synopsis of stakeholders’ privacy comments and submissions</w:t>
            </w:r>
          </w:p>
        </w:tc>
        <w:tc>
          <w:tcPr>
            <w:tcW w:w="4536" w:type="dxa"/>
          </w:tcPr>
          <w:p w14:paraId="76319F6B" w14:textId="323F2EC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68BDBECF"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245" w:type="dxa"/>
          </w:tcPr>
          <w:p w14:paraId="524DFD9D"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7B46BA" w14:paraId="4D7C70A6" w14:textId="77777777" w:rsidTr="00AB6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D6742E5" w14:textId="53D2375F" w:rsidR="007B46BA" w:rsidRPr="006804A3" w:rsidRDefault="007B46BA" w:rsidP="007B46BA">
            <w:pPr>
              <w:rPr>
                <w:b w:val="0"/>
                <w:bCs w:val="0"/>
                <w:sz w:val="20"/>
                <w:szCs w:val="20"/>
              </w:rPr>
            </w:pPr>
            <w:r w:rsidRPr="006804A3">
              <w:rPr>
                <w:b w:val="0"/>
                <w:bCs w:val="0"/>
                <w:sz w:val="20"/>
                <w:szCs w:val="20"/>
              </w:rPr>
              <w:t xml:space="preserve">The Treasury received submissions from ADIs indicating that the CDR rules are preventing them from using the CDR as a source of information about consumers seeking to apply for their products. ADIs have indicated that, ordinarily, they would retain information about consumers who have applied for, but not taken up, a product for the purposes of fraud control and other </w:t>
            </w:r>
            <w:r w:rsidR="00701F57">
              <w:rPr>
                <w:b w:val="0"/>
                <w:bCs w:val="0"/>
                <w:sz w:val="20"/>
                <w:szCs w:val="20"/>
              </w:rPr>
              <w:t xml:space="preserve">consumer </w:t>
            </w:r>
            <w:r w:rsidRPr="006804A3">
              <w:rPr>
                <w:b w:val="0"/>
                <w:bCs w:val="0"/>
                <w:sz w:val="20"/>
                <w:szCs w:val="20"/>
              </w:rPr>
              <w:t>analytics</w:t>
            </w:r>
            <w:r w:rsidR="00701F57">
              <w:rPr>
                <w:b w:val="0"/>
                <w:bCs w:val="0"/>
                <w:sz w:val="20"/>
                <w:szCs w:val="20"/>
              </w:rPr>
              <w:t xml:space="preserve"> purposes</w:t>
            </w:r>
            <w:r w:rsidRPr="006804A3">
              <w:rPr>
                <w:b w:val="0"/>
                <w:bCs w:val="0"/>
                <w:sz w:val="20"/>
                <w:szCs w:val="20"/>
              </w:rPr>
              <w:t xml:space="preserve">. </w:t>
            </w:r>
          </w:p>
          <w:p w14:paraId="3D7E1093" w14:textId="77777777" w:rsidR="007B46BA" w:rsidRPr="006804A3" w:rsidRDefault="007B46BA" w:rsidP="007B46BA">
            <w:pPr>
              <w:rPr>
                <w:b w:val="0"/>
                <w:bCs w:val="0"/>
                <w:sz w:val="20"/>
                <w:szCs w:val="20"/>
              </w:rPr>
            </w:pPr>
          </w:p>
          <w:p w14:paraId="284EB8E3" w14:textId="794CE429" w:rsidR="007B46BA" w:rsidRPr="006804A3" w:rsidRDefault="007B46BA" w:rsidP="007B46BA">
            <w:pPr>
              <w:rPr>
                <w:b w:val="0"/>
                <w:bCs w:val="0"/>
              </w:rPr>
            </w:pPr>
            <w:r w:rsidRPr="006804A3">
              <w:rPr>
                <w:b w:val="0"/>
                <w:bCs w:val="0"/>
                <w:sz w:val="20"/>
                <w:szCs w:val="20"/>
              </w:rPr>
              <w:t>ADIs have also indicated they share information (including derived information) with external service providers, lawyers, consultants and auditors and this is stymied by the application of the Privacy Safeguards.</w:t>
            </w:r>
          </w:p>
          <w:p w14:paraId="6F179C00" w14:textId="77777777" w:rsidR="007B46BA" w:rsidRPr="006804A3" w:rsidRDefault="007B46BA" w:rsidP="007B46BA">
            <w:pPr>
              <w:rPr>
                <w:b w:val="0"/>
                <w:bCs w:val="0"/>
              </w:rPr>
            </w:pPr>
          </w:p>
          <w:p w14:paraId="77C8AD66" w14:textId="3204D418" w:rsidR="006804A3" w:rsidRPr="006804A3" w:rsidRDefault="007B46BA" w:rsidP="006C5A23">
            <w:pPr>
              <w:pStyle w:val="ListParagraph"/>
              <w:ind w:left="0"/>
              <w:rPr>
                <w:rFonts w:eastAsiaTheme="minorHAnsi"/>
                <w:b w:val="0"/>
                <w:bCs w:val="0"/>
                <w:sz w:val="20"/>
                <w:szCs w:val="20"/>
              </w:rPr>
            </w:pPr>
            <w:r w:rsidRPr="006804A3">
              <w:rPr>
                <w:rFonts w:eastAsiaTheme="minorHAnsi"/>
                <w:b w:val="0"/>
                <w:bCs w:val="0"/>
                <w:sz w:val="20"/>
                <w:szCs w:val="20"/>
              </w:rPr>
              <w:t xml:space="preserve">Stakeholder feedback suggested that a consumer may provide their CDR data to multiple ADRs </w:t>
            </w:r>
            <w:r w:rsidR="006C5A23">
              <w:rPr>
                <w:rFonts w:eastAsiaTheme="minorHAnsi"/>
                <w:b w:val="0"/>
                <w:bCs w:val="0"/>
                <w:sz w:val="20"/>
                <w:szCs w:val="20"/>
              </w:rPr>
              <w:t xml:space="preserve">as a result of </w:t>
            </w:r>
            <w:r w:rsidRPr="006804A3">
              <w:rPr>
                <w:rFonts w:eastAsiaTheme="minorHAnsi"/>
                <w:b w:val="0"/>
                <w:bCs w:val="0"/>
                <w:sz w:val="20"/>
                <w:szCs w:val="20"/>
              </w:rPr>
              <w:t xml:space="preserve">comparing </w:t>
            </w:r>
            <w:r w:rsidR="006C5A23">
              <w:rPr>
                <w:rFonts w:eastAsiaTheme="minorHAnsi"/>
                <w:b w:val="0"/>
                <w:bCs w:val="0"/>
                <w:sz w:val="20"/>
                <w:szCs w:val="20"/>
              </w:rPr>
              <w:t>products</w:t>
            </w:r>
            <w:r w:rsidR="00701F57">
              <w:rPr>
                <w:rFonts w:eastAsiaTheme="minorHAnsi"/>
                <w:b w:val="0"/>
                <w:bCs w:val="0"/>
                <w:sz w:val="20"/>
                <w:szCs w:val="20"/>
              </w:rPr>
              <w:t xml:space="preserve"> and testing the market on comparable </w:t>
            </w:r>
            <w:r w:rsidR="00646CED">
              <w:rPr>
                <w:rFonts w:eastAsiaTheme="minorHAnsi"/>
                <w:b w:val="0"/>
                <w:bCs w:val="0"/>
                <w:sz w:val="20"/>
                <w:szCs w:val="20"/>
              </w:rPr>
              <w:t>products</w:t>
            </w:r>
            <w:r w:rsidR="006C5A23">
              <w:rPr>
                <w:rFonts w:eastAsiaTheme="minorHAnsi"/>
                <w:b w:val="0"/>
                <w:bCs w:val="0"/>
                <w:sz w:val="20"/>
                <w:szCs w:val="20"/>
              </w:rPr>
              <w:t xml:space="preserve">.  </w:t>
            </w:r>
          </w:p>
          <w:p w14:paraId="68B11691" w14:textId="77777777" w:rsidR="006804A3" w:rsidRPr="006804A3" w:rsidRDefault="006804A3" w:rsidP="006804A3">
            <w:pPr>
              <w:pStyle w:val="ListParagraph"/>
              <w:rPr>
                <w:rFonts w:eastAsiaTheme="minorHAnsi"/>
                <w:b w:val="0"/>
                <w:bCs w:val="0"/>
                <w:sz w:val="20"/>
                <w:szCs w:val="20"/>
              </w:rPr>
            </w:pPr>
          </w:p>
          <w:p w14:paraId="6CBBA3E5" w14:textId="4178BF55" w:rsidR="007B46BA" w:rsidRPr="00481E00" w:rsidRDefault="006804A3" w:rsidP="006C5A23">
            <w:pPr>
              <w:pStyle w:val="ListParagraph"/>
              <w:ind w:left="0"/>
              <w:rPr>
                <w:rFonts w:eastAsiaTheme="minorHAnsi"/>
                <w:b w:val="0"/>
                <w:bCs w:val="0"/>
                <w:sz w:val="20"/>
                <w:szCs w:val="20"/>
              </w:rPr>
            </w:pPr>
            <w:r w:rsidRPr="006804A3">
              <w:rPr>
                <w:rFonts w:eastAsiaTheme="minorHAnsi"/>
                <w:b w:val="0"/>
                <w:bCs w:val="0"/>
                <w:sz w:val="20"/>
                <w:szCs w:val="20"/>
              </w:rPr>
              <w:t xml:space="preserve">Stakeholders suggested the proposal would introduce further complexity and fragmentation of the privacy settings under the CDR regulatory framework for regulated entities, consumers and regulators. </w:t>
            </w:r>
            <w:r w:rsidR="007B46BA" w:rsidRPr="00481E00">
              <w:rPr>
                <w:rFonts w:eastAsiaTheme="minorHAnsi"/>
                <w:b w:val="0"/>
                <w:bCs w:val="0"/>
                <w:sz w:val="20"/>
                <w:szCs w:val="20"/>
              </w:rPr>
              <w:t>If the CDR Rules were amended in the manner proposed, multiple ADIs would obtain a single</w:t>
            </w:r>
            <w:r w:rsidR="006C5A23">
              <w:rPr>
                <w:rFonts w:eastAsiaTheme="minorHAnsi"/>
                <w:b w:val="0"/>
                <w:bCs w:val="0"/>
                <w:sz w:val="20"/>
                <w:szCs w:val="20"/>
              </w:rPr>
              <w:t xml:space="preserve"> consumer’s CDR data</w:t>
            </w:r>
            <w:r w:rsidR="00576FF7">
              <w:rPr>
                <w:rFonts w:eastAsiaTheme="minorHAnsi"/>
                <w:b w:val="0"/>
                <w:bCs w:val="0"/>
                <w:sz w:val="20"/>
                <w:szCs w:val="20"/>
              </w:rPr>
              <w:t xml:space="preserve"> in circumstances where the consumer is not necessar</w:t>
            </w:r>
            <w:r w:rsidR="00C033B5">
              <w:rPr>
                <w:rFonts w:eastAsiaTheme="minorHAnsi"/>
                <w:b w:val="0"/>
                <w:bCs w:val="0"/>
                <w:sz w:val="20"/>
                <w:szCs w:val="20"/>
              </w:rPr>
              <w:t>ily</w:t>
            </w:r>
            <w:r w:rsidR="00576FF7">
              <w:rPr>
                <w:rFonts w:eastAsiaTheme="minorHAnsi"/>
                <w:b w:val="0"/>
                <w:bCs w:val="0"/>
                <w:sz w:val="20"/>
                <w:szCs w:val="20"/>
              </w:rPr>
              <w:t xml:space="preserve"> a customer of the regulated entity</w:t>
            </w:r>
            <w:r w:rsidR="00481E00">
              <w:rPr>
                <w:rFonts w:eastAsiaTheme="minorHAnsi"/>
                <w:b w:val="0"/>
                <w:bCs w:val="0"/>
                <w:sz w:val="20"/>
                <w:szCs w:val="20"/>
              </w:rPr>
              <w:t>.</w:t>
            </w:r>
            <w:r w:rsidR="007B46BA" w:rsidRPr="00481E00">
              <w:rPr>
                <w:rFonts w:eastAsiaTheme="minorHAnsi"/>
                <w:b w:val="0"/>
                <w:bCs w:val="0"/>
                <w:sz w:val="20"/>
                <w:szCs w:val="20"/>
              </w:rPr>
              <w:t xml:space="preserve"> </w:t>
            </w:r>
          </w:p>
          <w:p w14:paraId="758B859E" w14:textId="77777777" w:rsidR="007B46BA" w:rsidRPr="006804A3" w:rsidRDefault="007B46BA" w:rsidP="007B46BA">
            <w:pPr>
              <w:pStyle w:val="ListParagraph"/>
              <w:ind w:left="360"/>
              <w:rPr>
                <w:rFonts w:eastAsiaTheme="minorHAnsi"/>
                <w:b w:val="0"/>
                <w:bCs w:val="0"/>
                <w:sz w:val="20"/>
                <w:szCs w:val="20"/>
              </w:rPr>
            </w:pPr>
          </w:p>
          <w:p w14:paraId="0492014D" w14:textId="3B114AD7" w:rsidR="007B46BA" w:rsidRPr="00483AF3" w:rsidRDefault="007B46BA" w:rsidP="006C5A23">
            <w:pPr>
              <w:rPr>
                <w:rFonts w:eastAsiaTheme="minorHAnsi"/>
                <w:b w:val="0"/>
                <w:bCs w:val="0"/>
                <w:sz w:val="20"/>
                <w:szCs w:val="20"/>
              </w:rPr>
            </w:pPr>
            <w:r w:rsidRPr="006C5A23">
              <w:rPr>
                <w:rFonts w:eastAsiaTheme="minorHAnsi"/>
                <w:b w:val="0"/>
                <w:bCs w:val="0"/>
                <w:sz w:val="20"/>
                <w:szCs w:val="20"/>
              </w:rPr>
              <w:t xml:space="preserve">A stakeholder suggested that </w:t>
            </w:r>
            <w:r w:rsidR="006C5A23">
              <w:rPr>
                <w:rFonts w:eastAsiaTheme="minorHAnsi"/>
                <w:b w:val="0"/>
                <w:bCs w:val="0"/>
                <w:sz w:val="20"/>
                <w:szCs w:val="20"/>
              </w:rPr>
              <w:t xml:space="preserve">when a </w:t>
            </w:r>
            <w:r w:rsidRPr="00483AF3">
              <w:rPr>
                <w:rFonts w:eastAsiaTheme="minorHAnsi"/>
                <w:b w:val="0"/>
                <w:bCs w:val="0"/>
                <w:sz w:val="20"/>
                <w:szCs w:val="20"/>
              </w:rPr>
              <w:t xml:space="preserve">consumer </w:t>
            </w:r>
            <w:r w:rsidR="006C5A23" w:rsidRPr="00483AF3">
              <w:rPr>
                <w:rFonts w:eastAsiaTheme="minorHAnsi"/>
                <w:b w:val="0"/>
                <w:bCs w:val="0"/>
                <w:sz w:val="20"/>
                <w:szCs w:val="20"/>
              </w:rPr>
              <w:t xml:space="preserve">is asked to </w:t>
            </w:r>
            <w:r w:rsidRPr="00483AF3">
              <w:rPr>
                <w:rFonts w:eastAsiaTheme="minorHAnsi"/>
                <w:b w:val="0"/>
                <w:bCs w:val="0"/>
                <w:sz w:val="20"/>
                <w:szCs w:val="20"/>
              </w:rPr>
              <w:t>consent</w:t>
            </w:r>
            <w:r w:rsidR="006C5A23" w:rsidRPr="00483AF3">
              <w:rPr>
                <w:rFonts w:eastAsiaTheme="minorHAnsi"/>
                <w:b w:val="0"/>
                <w:bCs w:val="0"/>
                <w:sz w:val="20"/>
                <w:szCs w:val="20"/>
              </w:rPr>
              <w:t xml:space="preserve"> </w:t>
            </w:r>
            <w:r w:rsidRPr="0079789C">
              <w:rPr>
                <w:rFonts w:eastAsiaTheme="minorHAnsi"/>
                <w:b w:val="0"/>
                <w:bCs w:val="0"/>
                <w:sz w:val="20"/>
                <w:szCs w:val="20"/>
              </w:rPr>
              <w:t>to the ADI receiving the data as a data holder (</w:t>
            </w:r>
            <w:r w:rsidR="00576FF7" w:rsidRPr="00483AF3">
              <w:rPr>
                <w:rFonts w:eastAsiaTheme="minorHAnsi"/>
                <w:b w:val="0"/>
                <w:bCs w:val="0"/>
                <w:sz w:val="20"/>
                <w:szCs w:val="20"/>
              </w:rPr>
              <w:t xml:space="preserve">rather than </w:t>
            </w:r>
            <w:r w:rsidR="006C5A23" w:rsidRPr="00483AF3">
              <w:rPr>
                <w:rFonts w:eastAsiaTheme="minorHAnsi"/>
                <w:b w:val="0"/>
                <w:bCs w:val="0"/>
                <w:sz w:val="20"/>
                <w:szCs w:val="20"/>
              </w:rPr>
              <w:t xml:space="preserve">as </w:t>
            </w:r>
            <w:r w:rsidRPr="00483AF3">
              <w:rPr>
                <w:rFonts w:eastAsiaTheme="minorHAnsi"/>
                <w:b w:val="0"/>
                <w:bCs w:val="0"/>
                <w:sz w:val="20"/>
                <w:szCs w:val="20"/>
              </w:rPr>
              <w:t>a</w:t>
            </w:r>
            <w:r w:rsidR="00CF4CC1" w:rsidRPr="00483AF3">
              <w:rPr>
                <w:rFonts w:eastAsiaTheme="minorHAnsi"/>
                <w:b w:val="0"/>
                <w:bCs w:val="0"/>
                <w:sz w:val="20"/>
                <w:szCs w:val="20"/>
              </w:rPr>
              <w:t>n</w:t>
            </w:r>
            <w:r w:rsidRPr="00483AF3">
              <w:rPr>
                <w:rFonts w:eastAsiaTheme="minorHAnsi"/>
                <w:b w:val="0"/>
                <w:bCs w:val="0"/>
                <w:sz w:val="20"/>
                <w:szCs w:val="20"/>
              </w:rPr>
              <w:t xml:space="preserve"> ADR)</w:t>
            </w:r>
            <w:r w:rsidR="006C5A23" w:rsidRPr="00483AF3">
              <w:rPr>
                <w:rFonts w:eastAsiaTheme="minorHAnsi"/>
                <w:b w:val="0"/>
                <w:bCs w:val="0"/>
                <w:sz w:val="20"/>
                <w:szCs w:val="20"/>
              </w:rPr>
              <w:t xml:space="preserve">, and told </w:t>
            </w:r>
            <w:r w:rsidRPr="0079789C">
              <w:rPr>
                <w:rFonts w:eastAsiaTheme="minorHAnsi"/>
                <w:b w:val="0"/>
                <w:bCs w:val="0"/>
                <w:sz w:val="20"/>
                <w:szCs w:val="20"/>
              </w:rPr>
              <w:t>that the APPs (if applicable to the ADIs) would</w:t>
            </w:r>
            <w:r w:rsidRPr="00C033B5">
              <w:rPr>
                <w:rFonts w:eastAsiaTheme="minorHAnsi"/>
                <w:b w:val="0"/>
                <w:bCs w:val="0"/>
                <w:sz w:val="20"/>
                <w:szCs w:val="20"/>
              </w:rPr>
              <w:t xml:space="preserve"> </w:t>
            </w:r>
            <w:r w:rsidRPr="00483AF3">
              <w:rPr>
                <w:rFonts w:eastAsiaTheme="minorHAnsi"/>
                <w:b w:val="0"/>
                <w:bCs w:val="0"/>
                <w:sz w:val="20"/>
                <w:szCs w:val="20"/>
              </w:rPr>
              <w:t xml:space="preserve">apply </w:t>
            </w:r>
            <w:r w:rsidR="00576FF7" w:rsidRPr="00483AF3">
              <w:rPr>
                <w:rFonts w:eastAsiaTheme="minorHAnsi"/>
                <w:b w:val="0"/>
                <w:bCs w:val="0"/>
                <w:sz w:val="20"/>
                <w:szCs w:val="20"/>
              </w:rPr>
              <w:t xml:space="preserve">rather than </w:t>
            </w:r>
            <w:r w:rsidRPr="00483AF3">
              <w:rPr>
                <w:rFonts w:eastAsiaTheme="minorHAnsi"/>
                <w:b w:val="0"/>
                <w:bCs w:val="0"/>
                <w:sz w:val="20"/>
                <w:szCs w:val="20"/>
              </w:rPr>
              <w:t>the privacy safeguards, the practical impacts of that regulatory shift</w:t>
            </w:r>
            <w:r w:rsidR="006C5A23" w:rsidRPr="00483AF3">
              <w:rPr>
                <w:rFonts w:eastAsiaTheme="minorHAnsi"/>
                <w:b w:val="0"/>
                <w:bCs w:val="0"/>
                <w:sz w:val="20"/>
                <w:szCs w:val="20"/>
              </w:rPr>
              <w:t xml:space="preserve"> </w:t>
            </w:r>
            <w:r w:rsidR="00576FF7" w:rsidRPr="00483AF3">
              <w:rPr>
                <w:rFonts w:eastAsiaTheme="minorHAnsi"/>
                <w:b w:val="0"/>
                <w:bCs w:val="0"/>
                <w:sz w:val="20"/>
                <w:szCs w:val="20"/>
              </w:rPr>
              <w:t xml:space="preserve">should be </w:t>
            </w:r>
            <w:r w:rsidR="006C5A23" w:rsidRPr="00483AF3">
              <w:rPr>
                <w:rFonts w:eastAsiaTheme="minorHAnsi"/>
                <w:b w:val="0"/>
                <w:bCs w:val="0"/>
                <w:sz w:val="20"/>
                <w:szCs w:val="20"/>
              </w:rPr>
              <w:t>explained</w:t>
            </w:r>
            <w:r w:rsidRPr="00483AF3">
              <w:rPr>
                <w:rFonts w:eastAsiaTheme="minorHAnsi"/>
                <w:b w:val="0"/>
                <w:bCs w:val="0"/>
                <w:sz w:val="20"/>
                <w:szCs w:val="20"/>
              </w:rPr>
              <w:t xml:space="preserve">. </w:t>
            </w:r>
          </w:p>
          <w:p w14:paraId="7048A709" w14:textId="77777777" w:rsidR="007B46BA" w:rsidRPr="008A055B" w:rsidRDefault="007B46BA" w:rsidP="007B46BA">
            <w:pPr>
              <w:pStyle w:val="ListParagraph"/>
              <w:rPr>
                <w:rFonts w:eastAsiaTheme="minorHAnsi"/>
                <w:sz w:val="20"/>
                <w:szCs w:val="20"/>
              </w:rPr>
            </w:pPr>
          </w:p>
          <w:p w14:paraId="2E3CE9B9" w14:textId="77777777" w:rsidR="007B46BA" w:rsidRPr="00794EAB" w:rsidRDefault="007B46BA" w:rsidP="007B46BA">
            <w:pPr>
              <w:rPr>
                <w:sz w:val="20"/>
                <w:szCs w:val="20"/>
              </w:rPr>
            </w:pPr>
          </w:p>
        </w:tc>
        <w:tc>
          <w:tcPr>
            <w:tcW w:w="4536" w:type="dxa"/>
          </w:tcPr>
          <w:p w14:paraId="71DF35F2" w14:textId="77777777" w:rsidR="002D4023" w:rsidRDefault="00C90384" w:rsidP="00C903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Treasury proposes a change to the CDR Rules that will permit an ADI to hold data received under the CDR regime as a data holder, where a consumer </w:t>
            </w:r>
            <w:r w:rsidR="00836A01">
              <w:rPr>
                <w:sz w:val="20"/>
                <w:szCs w:val="20"/>
              </w:rPr>
              <w:t xml:space="preserve">has explored the ADI’s products but not ultimately acquired a product from them. </w:t>
            </w:r>
          </w:p>
          <w:p w14:paraId="1B2579A8" w14:textId="77777777" w:rsidR="002D4023" w:rsidRDefault="002D4023" w:rsidP="00C90384">
            <w:pPr>
              <w:cnfStyle w:val="000000100000" w:firstRow="0" w:lastRow="0" w:firstColumn="0" w:lastColumn="0" w:oddVBand="0" w:evenVBand="0" w:oddHBand="1" w:evenHBand="0" w:firstRowFirstColumn="0" w:firstRowLastColumn="0" w:lastRowFirstColumn="0" w:lastRowLastColumn="0"/>
              <w:rPr>
                <w:sz w:val="20"/>
                <w:szCs w:val="20"/>
              </w:rPr>
            </w:pPr>
          </w:p>
          <w:p w14:paraId="2D378265" w14:textId="7A97B2C5" w:rsidR="008A08DD" w:rsidRPr="0079789C" w:rsidRDefault="008A08DD" w:rsidP="00C90384">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79789C">
              <w:rPr>
                <w:rFonts w:eastAsiaTheme="minorHAnsi"/>
                <w:sz w:val="20"/>
                <w:szCs w:val="20"/>
              </w:rPr>
              <w:t>Consistent with current clause 7.2, the ADI will need to explain to the CDR consumer 1) that the CDR privacy safeguards which apply to ADRs would no longer apply in relation to that data and 2) the manner in which the ADI proposes to treat the relevant CDR data.</w:t>
            </w:r>
          </w:p>
          <w:p w14:paraId="58E3ADE6" w14:textId="77777777" w:rsidR="000F4042" w:rsidRDefault="000F4042" w:rsidP="00C90384">
            <w:pPr>
              <w:cnfStyle w:val="000000100000" w:firstRow="0" w:lastRow="0" w:firstColumn="0" w:lastColumn="0" w:oddVBand="0" w:evenVBand="0" w:oddHBand="1" w:evenHBand="0" w:firstRowFirstColumn="0" w:firstRowLastColumn="0" w:lastRowFirstColumn="0" w:lastRowLastColumn="0"/>
              <w:rPr>
                <w:sz w:val="20"/>
                <w:szCs w:val="20"/>
              </w:rPr>
            </w:pPr>
          </w:p>
          <w:p w14:paraId="3EC4336A" w14:textId="11844085" w:rsidR="001757D6" w:rsidRDefault="001757D6" w:rsidP="001757D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ability of the ADI to hold the data as a data holder, rather than as an ADR, will</w:t>
            </w:r>
            <w:r w:rsidR="00884083">
              <w:rPr>
                <w:sz w:val="20"/>
                <w:szCs w:val="20"/>
              </w:rPr>
              <w:t xml:space="preserve"> be</w:t>
            </w:r>
            <w:r>
              <w:rPr>
                <w:sz w:val="20"/>
                <w:szCs w:val="20"/>
              </w:rPr>
              <w:t xml:space="preserve"> subject to the consumer </w:t>
            </w:r>
            <w:r w:rsidR="00D20A95">
              <w:rPr>
                <w:sz w:val="20"/>
                <w:szCs w:val="20"/>
              </w:rPr>
              <w:t xml:space="preserve">being informed of this intention prior to </w:t>
            </w:r>
            <w:r>
              <w:rPr>
                <w:sz w:val="20"/>
                <w:szCs w:val="20"/>
              </w:rPr>
              <w:t>giving consent</w:t>
            </w:r>
            <w:r w:rsidR="00D20A95">
              <w:rPr>
                <w:sz w:val="20"/>
                <w:szCs w:val="20"/>
              </w:rPr>
              <w:t xml:space="preserve"> for the ADI to collect the data</w:t>
            </w:r>
            <w:r>
              <w:rPr>
                <w:sz w:val="20"/>
                <w:szCs w:val="20"/>
              </w:rPr>
              <w:t xml:space="preserve">. </w:t>
            </w:r>
          </w:p>
          <w:p w14:paraId="07F53E55" w14:textId="77777777" w:rsidR="001757D6" w:rsidRDefault="001757D6" w:rsidP="001757D6">
            <w:pPr>
              <w:cnfStyle w:val="000000100000" w:firstRow="0" w:lastRow="0" w:firstColumn="0" w:lastColumn="0" w:oddVBand="0" w:evenVBand="0" w:oddHBand="1" w:evenHBand="0" w:firstRowFirstColumn="0" w:firstRowLastColumn="0" w:lastRowFirstColumn="0" w:lastRowLastColumn="0"/>
              <w:rPr>
                <w:sz w:val="20"/>
                <w:szCs w:val="20"/>
              </w:rPr>
            </w:pPr>
          </w:p>
          <w:p w14:paraId="6664E7AB" w14:textId="77777777" w:rsidR="001757D6" w:rsidRDefault="001757D6" w:rsidP="001757D6">
            <w:pPr>
              <w:cnfStyle w:val="000000100000" w:firstRow="0" w:lastRow="0" w:firstColumn="0" w:lastColumn="0" w:oddVBand="0" w:evenVBand="0" w:oddHBand="1" w:evenHBand="0" w:firstRowFirstColumn="0" w:firstRowLastColumn="0" w:lastRowFirstColumn="0" w:lastRowLastColumn="0"/>
              <w:rPr>
                <w:sz w:val="20"/>
                <w:szCs w:val="20"/>
              </w:rPr>
            </w:pPr>
          </w:p>
          <w:p w14:paraId="6D61EBD4" w14:textId="77777777" w:rsidR="007B46BA" w:rsidRPr="00982C6F" w:rsidRDefault="007B46BA" w:rsidP="00C90384">
            <w:pPr>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7CD452CF" w14:textId="440B3B13" w:rsidR="009E2803" w:rsidRDefault="009E280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3, r 7.2</w:t>
            </w:r>
            <w:r w:rsidR="00737743">
              <w:rPr>
                <w:sz w:val="20"/>
                <w:szCs w:val="20"/>
              </w:rPr>
              <w:t>(2)(b)</w:t>
            </w:r>
          </w:p>
          <w:p w14:paraId="0F8D9F84" w14:textId="77777777" w:rsidR="00737743" w:rsidRDefault="0073774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156043E" w14:textId="0C616DEA" w:rsidR="00737743" w:rsidRDefault="0073774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3, r 7.2(2)(c)(ii)</w:t>
            </w:r>
          </w:p>
          <w:p w14:paraId="0D731AFF" w14:textId="77777777" w:rsidR="00737743" w:rsidRDefault="0073774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CE3256D" w14:textId="451869C8" w:rsidR="00737743" w:rsidRDefault="0073774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3, r 7.2(2)(d)</w:t>
            </w:r>
          </w:p>
          <w:p w14:paraId="5CD34113" w14:textId="77777777" w:rsidR="009E2803" w:rsidRDefault="009E2803"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096753E" w14:textId="52D84D4D"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 56AJ (4)</w:t>
            </w:r>
          </w:p>
          <w:p w14:paraId="67F3CBC7" w14:textId="7D8CC937"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2E1F32D8" w14:textId="4558A915"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CCA </w:t>
            </w:r>
          </w:p>
          <w:p w14:paraId="2E9AFA09" w14:textId="77777777"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2B92311B" w14:textId="780526B1"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APPS, particularly;</w:t>
            </w:r>
          </w:p>
          <w:p w14:paraId="1C8FBF35" w14:textId="39777A47" w:rsidR="008A08DD" w:rsidRDefault="008A08DD"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APPs 1, 3, 6 and 7</w:t>
            </w:r>
          </w:p>
          <w:p w14:paraId="27337547" w14:textId="77777777" w:rsidR="007B46BA"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7C26ECB9" w14:textId="05CF96A4" w:rsidR="007B46BA" w:rsidRPr="00A82545" w:rsidRDefault="007B46BA" w:rsidP="007B46BA">
            <w:pPr>
              <w:cnfStyle w:val="000000100000" w:firstRow="0" w:lastRow="0" w:firstColumn="0" w:lastColumn="0" w:oddVBand="0" w:evenVBand="0" w:oddHBand="1" w:evenHBand="0" w:firstRowFirstColumn="0" w:firstRowLastColumn="0" w:lastRowFirstColumn="0" w:lastRowLastColumn="0"/>
            </w:pPr>
          </w:p>
        </w:tc>
        <w:tc>
          <w:tcPr>
            <w:tcW w:w="5245" w:type="dxa"/>
          </w:tcPr>
          <w:p w14:paraId="4B913846" w14:textId="762D5A37" w:rsidR="00836A01" w:rsidRDefault="007B46BA" w:rsidP="00836A01">
            <w:pPr>
              <w:cnfStyle w:val="000000100000" w:firstRow="0" w:lastRow="0" w:firstColumn="0" w:lastColumn="0" w:oddVBand="0" w:evenVBand="0" w:oddHBand="1" w:evenHBand="0" w:firstRowFirstColumn="0" w:firstRowLastColumn="0" w:lastRowFirstColumn="0" w:lastRowLastColumn="0"/>
              <w:rPr>
                <w:sz w:val="20"/>
                <w:szCs w:val="20"/>
              </w:rPr>
            </w:pPr>
            <w:r w:rsidRPr="00DE3DF9">
              <w:rPr>
                <w:sz w:val="20"/>
                <w:szCs w:val="20"/>
              </w:rPr>
              <w:t xml:space="preserve">We recognise that the Treasury is seeking to strike a balance between the protection of consumer data derived from the CDR </w:t>
            </w:r>
            <w:r w:rsidR="00980D26">
              <w:rPr>
                <w:sz w:val="20"/>
                <w:szCs w:val="20"/>
              </w:rPr>
              <w:t xml:space="preserve">regime </w:t>
            </w:r>
            <w:r w:rsidRPr="00DE3DF9">
              <w:rPr>
                <w:sz w:val="20"/>
                <w:szCs w:val="20"/>
              </w:rPr>
              <w:t xml:space="preserve">and enabling an ADI to manage that data (in instances where the consumer has </w:t>
            </w:r>
            <w:r w:rsidR="008A08DD">
              <w:rPr>
                <w:sz w:val="20"/>
                <w:szCs w:val="20"/>
              </w:rPr>
              <w:t>applied for</w:t>
            </w:r>
            <w:r w:rsidRPr="00DE3DF9">
              <w:rPr>
                <w:sz w:val="20"/>
                <w:szCs w:val="20"/>
              </w:rPr>
              <w:t xml:space="preserve"> a product or service from the ADI)</w:t>
            </w:r>
            <w:r w:rsidR="000B14D4">
              <w:rPr>
                <w:sz w:val="20"/>
                <w:szCs w:val="20"/>
              </w:rPr>
              <w:t>,</w:t>
            </w:r>
            <w:r w:rsidR="00A950EA">
              <w:rPr>
                <w:sz w:val="20"/>
                <w:szCs w:val="20"/>
              </w:rPr>
              <w:t xml:space="preserve"> </w:t>
            </w:r>
            <w:r w:rsidR="000B14D4">
              <w:rPr>
                <w:sz w:val="20"/>
                <w:szCs w:val="20"/>
              </w:rPr>
              <w:t>c</w:t>
            </w:r>
            <w:r w:rsidRPr="00DE3DF9">
              <w:rPr>
                <w:sz w:val="20"/>
                <w:szCs w:val="20"/>
              </w:rPr>
              <w:t xml:space="preserve">onsistently with its existing, APP compliant, information management practices. </w:t>
            </w:r>
          </w:p>
          <w:p w14:paraId="1D28C440" w14:textId="14DC4613" w:rsidR="00836A01" w:rsidRPr="00DE78CB" w:rsidRDefault="00836A01" w:rsidP="00836A0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Although, under the proposed change, the CDR data would be subject to the APPs, </w:t>
            </w:r>
            <w:r w:rsidR="00E228AF">
              <w:rPr>
                <w:sz w:val="20"/>
                <w:szCs w:val="20"/>
              </w:rPr>
              <w:t xml:space="preserve">the </w:t>
            </w:r>
            <w:r w:rsidR="0098307C">
              <w:rPr>
                <w:sz w:val="20"/>
                <w:szCs w:val="20"/>
              </w:rPr>
              <w:t xml:space="preserve">CDR Privacy Safeguards would continue to apply to the ADI when seeking the consumer’s consent to collect the data, and at the time of collection. </w:t>
            </w:r>
            <w:r w:rsidR="00D033F4">
              <w:rPr>
                <w:sz w:val="20"/>
                <w:szCs w:val="20"/>
              </w:rPr>
              <w:t>The</w:t>
            </w:r>
            <w:r w:rsidR="001757D6">
              <w:rPr>
                <w:sz w:val="20"/>
                <w:szCs w:val="20"/>
              </w:rPr>
              <w:t xml:space="preserve"> following </w:t>
            </w:r>
            <w:r w:rsidR="00D033F4">
              <w:rPr>
                <w:sz w:val="20"/>
                <w:szCs w:val="20"/>
              </w:rPr>
              <w:t>would also</w:t>
            </w:r>
            <w:r w:rsidR="00E228AF">
              <w:rPr>
                <w:sz w:val="20"/>
                <w:szCs w:val="20"/>
              </w:rPr>
              <w:t xml:space="preserve"> apply</w:t>
            </w:r>
            <w:r>
              <w:rPr>
                <w:sz w:val="20"/>
                <w:szCs w:val="20"/>
              </w:rPr>
              <w:t xml:space="preserve">: </w:t>
            </w:r>
          </w:p>
          <w:p w14:paraId="3FFD9787" w14:textId="77777777" w:rsidR="00982C6F" w:rsidRDefault="00982C6F" w:rsidP="00982C6F">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7EAAEC6F" w14:textId="77777777" w:rsidR="00836A01" w:rsidRDefault="00836A01" w:rsidP="00982C6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982C6F">
              <w:rPr>
                <w:rFonts w:eastAsiaTheme="minorHAnsi"/>
                <w:sz w:val="20"/>
                <w:szCs w:val="20"/>
              </w:rPr>
              <w:t xml:space="preserve">the ADI must reasonably believe the CDR data is relevant to </w:t>
            </w:r>
            <w:r w:rsidR="00982C6F">
              <w:rPr>
                <w:rFonts w:eastAsiaTheme="minorHAnsi"/>
                <w:sz w:val="20"/>
                <w:szCs w:val="20"/>
              </w:rPr>
              <w:t xml:space="preserve">providing </w:t>
            </w:r>
            <w:r w:rsidRPr="00982C6F">
              <w:rPr>
                <w:rFonts w:eastAsiaTheme="minorHAnsi"/>
                <w:sz w:val="20"/>
                <w:szCs w:val="20"/>
              </w:rPr>
              <w:t>the product to the CDR consumer</w:t>
            </w:r>
            <w:r w:rsidR="00982C6F">
              <w:rPr>
                <w:rFonts w:eastAsiaTheme="minorHAnsi"/>
                <w:sz w:val="20"/>
                <w:szCs w:val="20"/>
              </w:rPr>
              <w:t>;</w:t>
            </w:r>
          </w:p>
          <w:p w14:paraId="7E3D48B8" w14:textId="77777777" w:rsidR="00982C6F" w:rsidRPr="00982C6F" w:rsidRDefault="00982C6F" w:rsidP="00982C6F">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101BB85A" w14:textId="34F63465" w:rsidR="00836A01" w:rsidRPr="00982C6F" w:rsidRDefault="00982C6F" w:rsidP="00982C6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t</w:t>
            </w:r>
            <w:r w:rsidR="00836A01" w:rsidRPr="00982C6F">
              <w:rPr>
                <w:rFonts w:eastAsiaTheme="minorHAnsi"/>
                <w:sz w:val="20"/>
                <w:szCs w:val="20"/>
              </w:rPr>
              <w:t xml:space="preserve">he ADI must, </w:t>
            </w:r>
            <w:r>
              <w:rPr>
                <w:rFonts w:eastAsiaTheme="minorHAnsi"/>
                <w:sz w:val="20"/>
                <w:szCs w:val="20"/>
              </w:rPr>
              <w:t xml:space="preserve">when </w:t>
            </w:r>
            <w:r w:rsidR="00836A01" w:rsidRPr="00982C6F">
              <w:rPr>
                <w:rFonts w:eastAsiaTheme="minorHAnsi"/>
                <w:sz w:val="20"/>
                <w:szCs w:val="20"/>
              </w:rPr>
              <w:t xml:space="preserve">seeking consent from the consumer to collect their data under the CDR </w:t>
            </w:r>
            <w:r>
              <w:rPr>
                <w:rFonts w:eastAsiaTheme="minorHAnsi"/>
                <w:sz w:val="20"/>
                <w:szCs w:val="20"/>
              </w:rPr>
              <w:t>R</w:t>
            </w:r>
            <w:r w:rsidR="00836A01" w:rsidRPr="00982C6F">
              <w:rPr>
                <w:rFonts w:eastAsiaTheme="minorHAnsi"/>
                <w:sz w:val="20"/>
                <w:szCs w:val="20"/>
              </w:rPr>
              <w:t>ules</w:t>
            </w:r>
            <w:r w:rsidR="00E56CCE">
              <w:rPr>
                <w:rFonts w:eastAsiaTheme="minorHAnsi"/>
                <w:sz w:val="20"/>
                <w:szCs w:val="20"/>
              </w:rPr>
              <w:t xml:space="preserve"> (or before this consent is sought)</w:t>
            </w:r>
            <w:r w:rsidR="001757D6" w:rsidRPr="00982C6F">
              <w:rPr>
                <w:rFonts w:eastAsiaTheme="minorHAnsi"/>
                <w:sz w:val="20"/>
                <w:szCs w:val="20"/>
              </w:rPr>
              <w:t>,</w:t>
            </w:r>
            <w:r w:rsidR="00836A01" w:rsidRPr="00982C6F">
              <w:rPr>
                <w:rFonts w:eastAsiaTheme="minorHAnsi"/>
                <w:sz w:val="20"/>
                <w:szCs w:val="20"/>
              </w:rPr>
              <w:t xml:space="preserve"> explain to the CDR consumer:</w:t>
            </w:r>
          </w:p>
          <w:p w14:paraId="127C11C4" w14:textId="77777777" w:rsidR="00982C6F" w:rsidRDefault="00982C6F" w:rsidP="00982C6F">
            <w:pPr>
              <w:pStyle w:val="ListParagraph"/>
              <w:ind w:left="108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4F67ABC3" w14:textId="43665E79" w:rsidR="001757D6" w:rsidRDefault="001757D6" w:rsidP="001757D6">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982C6F">
              <w:rPr>
                <w:rFonts w:eastAsiaTheme="minorHAnsi"/>
                <w:sz w:val="20"/>
                <w:szCs w:val="20"/>
              </w:rPr>
              <w:t xml:space="preserve">the </w:t>
            </w:r>
            <w:r>
              <w:rPr>
                <w:rFonts w:eastAsiaTheme="minorHAnsi"/>
                <w:sz w:val="20"/>
                <w:szCs w:val="20"/>
              </w:rPr>
              <w:t>CDR P</w:t>
            </w:r>
            <w:r w:rsidRPr="00982C6F">
              <w:rPr>
                <w:rFonts w:eastAsiaTheme="minorHAnsi"/>
                <w:sz w:val="20"/>
                <w:szCs w:val="20"/>
              </w:rPr>
              <w:t xml:space="preserve">rivacy </w:t>
            </w:r>
            <w:r>
              <w:rPr>
                <w:rFonts w:eastAsiaTheme="minorHAnsi"/>
                <w:sz w:val="20"/>
                <w:szCs w:val="20"/>
              </w:rPr>
              <w:t>S</w:t>
            </w:r>
            <w:r w:rsidRPr="00982C6F">
              <w:rPr>
                <w:rFonts w:eastAsiaTheme="minorHAnsi"/>
                <w:sz w:val="20"/>
                <w:szCs w:val="20"/>
              </w:rPr>
              <w:t xml:space="preserve">afeguards, to the extent that they apply to an </w:t>
            </w:r>
            <w:r>
              <w:rPr>
                <w:rFonts w:eastAsiaTheme="minorHAnsi"/>
                <w:sz w:val="20"/>
                <w:szCs w:val="20"/>
              </w:rPr>
              <w:t>ADR</w:t>
            </w:r>
            <w:r w:rsidRPr="00982C6F">
              <w:rPr>
                <w:rFonts w:eastAsiaTheme="minorHAnsi"/>
                <w:sz w:val="20"/>
                <w:szCs w:val="20"/>
              </w:rPr>
              <w:t>, will no longer apply to the person in relation to the relevant CDR data</w:t>
            </w:r>
            <w:r>
              <w:rPr>
                <w:rFonts w:eastAsiaTheme="minorHAnsi"/>
                <w:sz w:val="20"/>
                <w:szCs w:val="20"/>
              </w:rPr>
              <w:t>; and</w:t>
            </w:r>
          </w:p>
          <w:p w14:paraId="5735313A" w14:textId="77777777" w:rsidR="001757D6" w:rsidRDefault="001757D6" w:rsidP="001757D6">
            <w:pPr>
              <w:pStyle w:val="ListParagraph"/>
              <w:ind w:left="108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5C4A9F63" w14:textId="77777777" w:rsidR="001B45A4" w:rsidRPr="00982C6F" w:rsidRDefault="001B45A4" w:rsidP="001757D6">
            <w:pPr>
              <w:pStyle w:val="ListParagraph"/>
              <w:ind w:left="108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2EAE72A9" w14:textId="49431342" w:rsidR="001757D6" w:rsidRPr="00982C6F" w:rsidRDefault="001757D6" w:rsidP="001757D6">
            <w:pPr>
              <w:pStyle w:val="ListParagraph"/>
              <w:numPr>
                <w:ilvl w:val="1"/>
                <w:numId w:val="29"/>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982C6F">
              <w:rPr>
                <w:rFonts w:eastAsiaTheme="minorHAnsi"/>
                <w:sz w:val="20"/>
                <w:szCs w:val="20"/>
              </w:rPr>
              <w:t xml:space="preserve">the </w:t>
            </w:r>
            <w:r w:rsidR="00E56CCE">
              <w:rPr>
                <w:rFonts w:eastAsiaTheme="minorHAnsi"/>
                <w:sz w:val="20"/>
                <w:szCs w:val="20"/>
              </w:rPr>
              <w:t>manner</w:t>
            </w:r>
            <w:r>
              <w:rPr>
                <w:rFonts w:eastAsiaTheme="minorHAnsi"/>
                <w:sz w:val="20"/>
                <w:szCs w:val="20"/>
              </w:rPr>
              <w:t xml:space="preserve"> </w:t>
            </w:r>
            <w:r w:rsidRPr="00982C6F">
              <w:rPr>
                <w:rFonts w:eastAsiaTheme="minorHAnsi"/>
                <w:sz w:val="20"/>
                <w:szCs w:val="20"/>
              </w:rPr>
              <w:t>in which the person proposes to treat the relevant CDR data.</w:t>
            </w:r>
          </w:p>
          <w:p w14:paraId="75718925" w14:textId="77777777" w:rsidR="001757D6" w:rsidRPr="00DE3DF9" w:rsidRDefault="001757D6" w:rsidP="001757D6">
            <w:pPr>
              <w:cnfStyle w:val="000000100000" w:firstRow="0" w:lastRow="0" w:firstColumn="0" w:lastColumn="0" w:oddVBand="0" w:evenVBand="0" w:oddHBand="1" w:evenHBand="0" w:firstRowFirstColumn="0" w:firstRowLastColumn="0" w:lastRowFirstColumn="0" w:lastRowLastColumn="0"/>
              <w:rPr>
                <w:b/>
                <w:bCs/>
                <w:sz w:val="20"/>
                <w:szCs w:val="20"/>
              </w:rPr>
            </w:pPr>
          </w:p>
          <w:p w14:paraId="41924B91" w14:textId="3E5850B2" w:rsidR="00531DF7" w:rsidRDefault="00A950EA" w:rsidP="00531DF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 circumstances where a consumer has made a</w:t>
            </w:r>
            <w:r w:rsidR="00D27685">
              <w:rPr>
                <w:sz w:val="20"/>
                <w:szCs w:val="20"/>
              </w:rPr>
              <w:t xml:space="preserve">n application to acquire a product, </w:t>
            </w:r>
            <w:r>
              <w:rPr>
                <w:sz w:val="20"/>
                <w:szCs w:val="20"/>
              </w:rPr>
              <w:t xml:space="preserve">or is in the process of doing so, </w:t>
            </w:r>
            <w:r w:rsidR="001757D6" w:rsidRPr="00DE3DF9">
              <w:rPr>
                <w:sz w:val="20"/>
                <w:szCs w:val="20"/>
              </w:rPr>
              <w:t xml:space="preserve">the data </w:t>
            </w:r>
            <w:r>
              <w:rPr>
                <w:sz w:val="20"/>
                <w:szCs w:val="20"/>
              </w:rPr>
              <w:t>can</w:t>
            </w:r>
            <w:r w:rsidR="001757D6" w:rsidRPr="00DE3DF9">
              <w:rPr>
                <w:sz w:val="20"/>
                <w:szCs w:val="20"/>
              </w:rPr>
              <w:t xml:space="preserve"> be used for a range of secondary purposes beyond the initial CDR-</w:t>
            </w:r>
            <w:r w:rsidR="001757D6">
              <w:rPr>
                <w:sz w:val="20"/>
                <w:szCs w:val="20"/>
              </w:rPr>
              <w:t xml:space="preserve">related </w:t>
            </w:r>
            <w:r w:rsidR="001757D6" w:rsidRPr="00DE3DF9">
              <w:rPr>
                <w:sz w:val="20"/>
                <w:szCs w:val="20"/>
              </w:rPr>
              <w:t>product enquiry.</w:t>
            </w:r>
            <w:r w:rsidR="001757D6">
              <w:rPr>
                <w:sz w:val="20"/>
                <w:szCs w:val="20"/>
              </w:rPr>
              <w:t xml:space="preserve">  </w:t>
            </w:r>
            <w:r w:rsidR="00531DF7">
              <w:rPr>
                <w:sz w:val="20"/>
                <w:szCs w:val="20"/>
              </w:rPr>
              <w:t>However, those secondary uses are not unlimited and must</w:t>
            </w:r>
            <w:r w:rsidR="00D27685">
              <w:rPr>
                <w:sz w:val="20"/>
                <w:szCs w:val="20"/>
              </w:rPr>
              <w:t xml:space="preserve"> meet the requirements of the A</w:t>
            </w:r>
            <w:r>
              <w:rPr>
                <w:sz w:val="20"/>
                <w:szCs w:val="20"/>
              </w:rPr>
              <w:t>PPs, where applicable.</w:t>
            </w:r>
          </w:p>
          <w:p w14:paraId="7462E2A6" w14:textId="77777777" w:rsidR="00D27685" w:rsidRDefault="00D27685" w:rsidP="00531DF7">
            <w:pPr>
              <w:cnfStyle w:val="000000100000" w:firstRow="0" w:lastRow="0" w:firstColumn="0" w:lastColumn="0" w:oddVBand="0" w:evenVBand="0" w:oddHBand="1" w:evenHBand="0" w:firstRowFirstColumn="0" w:firstRowLastColumn="0" w:lastRowFirstColumn="0" w:lastRowLastColumn="0"/>
              <w:rPr>
                <w:sz w:val="20"/>
                <w:szCs w:val="20"/>
              </w:rPr>
            </w:pPr>
          </w:p>
          <w:p w14:paraId="38A235D9" w14:textId="587BEA76" w:rsidR="00C033B5" w:rsidRDefault="00D27685"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ADI sh</w:t>
            </w:r>
            <w:r w:rsidR="00705339">
              <w:rPr>
                <w:sz w:val="20"/>
                <w:szCs w:val="20"/>
              </w:rPr>
              <w:t>ould explain the practical consequences of the data being g</w:t>
            </w:r>
            <w:r w:rsidR="00A950EA">
              <w:rPr>
                <w:sz w:val="20"/>
                <w:szCs w:val="20"/>
              </w:rPr>
              <w:t>overned</w:t>
            </w:r>
            <w:r w:rsidR="00705339">
              <w:rPr>
                <w:sz w:val="20"/>
                <w:szCs w:val="20"/>
              </w:rPr>
              <w:t xml:space="preserve"> by the APP</w:t>
            </w:r>
            <w:r w:rsidR="00A950EA">
              <w:rPr>
                <w:sz w:val="20"/>
                <w:szCs w:val="20"/>
              </w:rPr>
              <w:t>s</w:t>
            </w:r>
            <w:r w:rsidR="00705339">
              <w:rPr>
                <w:sz w:val="20"/>
                <w:szCs w:val="20"/>
              </w:rPr>
              <w:t xml:space="preserve"> rather than the CDR Privacy </w:t>
            </w:r>
            <w:r w:rsidR="00A950EA">
              <w:rPr>
                <w:sz w:val="20"/>
                <w:szCs w:val="20"/>
              </w:rPr>
              <w:t>S</w:t>
            </w:r>
            <w:r w:rsidR="00705339">
              <w:rPr>
                <w:sz w:val="20"/>
                <w:szCs w:val="20"/>
              </w:rPr>
              <w:t>afeguards. The explanation, though high level, would need to provide sufficient context for the CDR consumer to consent (or not). The likely areas of difference that may be suitable to highlight to a CDR consumer include security, retention</w:t>
            </w:r>
            <w:r w:rsidR="00A950EA">
              <w:rPr>
                <w:sz w:val="20"/>
                <w:szCs w:val="20"/>
              </w:rPr>
              <w:t>,</w:t>
            </w:r>
            <w:r w:rsidR="00705339">
              <w:rPr>
                <w:sz w:val="20"/>
                <w:szCs w:val="20"/>
              </w:rPr>
              <w:t xml:space="preserve"> deletion and correction. The explanation should be referrable to the ADI’s</w:t>
            </w:r>
            <w:r w:rsidR="0080131D">
              <w:rPr>
                <w:sz w:val="20"/>
                <w:szCs w:val="20"/>
              </w:rPr>
              <w:t xml:space="preserve"> information handling</w:t>
            </w:r>
            <w:r w:rsidR="00705339">
              <w:rPr>
                <w:sz w:val="20"/>
                <w:szCs w:val="20"/>
              </w:rPr>
              <w:t xml:space="preserve"> practices, as shaped by either the Privacy Safeguards or APPs.</w:t>
            </w:r>
          </w:p>
          <w:p w14:paraId="42BB84A0" w14:textId="77777777" w:rsidR="00C033B5" w:rsidRDefault="00C033B5"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7F216E76" w14:textId="3502AD34" w:rsidR="007B46BA" w:rsidRPr="00DE3DF9" w:rsidRDefault="007B46BA" w:rsidP="007B46BA">
            <w:pPr>
              <w:cnfStyle w:val="000000100000" w:firstRow="0" w:lastRow="0" w:firstColumn="0" w:lastColumn="0" w:oddVBand="0" w:evenVBand="0" w:oddHBand="1" w:evenHBand="0" w:firstRowFirstColumn="0" w:firstRowLastColumn="0" w:lastRowFirstColumn="0" w:lastRowLastColumn="0"/>
              <w:rPr>
                <w:b/>
                <w:bCs/>
                <w:sz w:val="20"/>
                <w:szCs w:val="20"/>
              </w:rPr>
            </w:pPr>
            <w:r w:rsidRPr="00DE3DF9">
              <w:rPr>
                <w:sz w:val="20"/>
                <w:szCs w:val="20"/>
              </w:rPr>
              <w:t xml:space="preserve">Stakeholders have referred to legitimate business purposes </w:t>
            </w:r>
            <w:r w:rsidR="00980D26">
              <w:rPr>
                <w:sz w:val="20"/>
                <w:szCs w:val="20"/>
              </w:rPr>
              <w:t xml:space="preserve">as the justification for </w:t>
            </w:r>
            <w:r w:rsidRPr="00DE3DF9">
              <w:rPr>
                <w:sz w:val="20"/>
                <w:szCs w:val="20"/>
              </w:rPr>
              <w:t xml:space="preserve">why the CDR derived data should be available to the ADI to use </w:t>
            </w:r>
            <w:r w:rsidR="00980D26">
              <w:rPr>
                <w:sz w:val="20"/>
                <w:szCs w:val="20"/>
              </w:rPr>
              <w:t>(</w:t>
            </w:r>
            <w:r w:rsidRPr="00DE3DF9">
              <w:rPr>
                <w:sz w:val="20"/>
                <w:szCs w:val="20"/>
              </w:rPr>
              <w:t>subject to the ordinary privacy protections applicable outside the CDR regime</w:t>
            </w:r>
            <w:r w:rsidR="00980D26">
              <w:rPr>
                <w:sz w:val="20"/>
                <w:szCs w:val="20"/>
              </w:rPr>
              <w:t>)</w:t>
            </w:r>
            <w:r w:rsidRPr="00DE3DF9">
              <w:rPr>
                <w:sz w:val="20"/>
                <w:szCs w:val="20"/>
              </w:rPr>
              <w:t xml:space="preserve">. </w:t>
            </w:r>
            <w:r w:rsidR="00980D26">
              <w:rPr>
                <w:sz w:val="20"/>
                <w:szCs w:val="20"/>
              </w:rPr>
              <w:t xml:space="preserve">Stakeholders have, for instance, </w:t>
            </w:r>
            <w:r w:rsidRPr="00DE3DF9">
              <w:rPr>
                <w:sz w:val="20"/>
                <w:szCs w:val="20"/>
              </w:rPr>
              <w:t xml:space="preserve">referred to </w:t>
            </w:r>
            <w:r w:rsidR="00980D26">
              <w:rPr>
                <w:sz w:val="20"/>
                <w:szCs w:val="20"/>
              </w:rPr>
              <w:t xml:space="preserve">bona fide business needs to </w:t>
            </w:r>
            <w:r w:rsidRPr="00DE3DF9">
              <w:rPr>
                <w:sz w:val="20"/>
                <w:szCs w:val="20"/>
              </w:rPr>
              <w:t xml:space="preserve">retain and use the CDR derived data as part of </w:t>
            </w:r>
            <w:r w:rsidR="002729B8">
              <w:rPr>
                <w:sz w:val="20"/>
                <w:szCs w:val="20"/>
              </w:rPr>
              <w:t xml:space="preserve">its </w:t>
            </w:r>
            <w:r w:rsidRPr="00DE3DF9">
              <w:rPr>
                <w:sz w:val="20"/>
                <w:szCs w:val="20"/>
              </w:rPr>
              <w:t>record</w:t>
            </w:r>
            <w:r w:rsidR="00FD0622">
              <w:rPr>
                <w:sz w:val="20"/>
                <w:szCs w:val="20"/>
              </w:rPr>
              <w:t>s</w:t>
            </w:r>
            <w:r w:rsidRPr="00DE3DF9">
              <w:rPr>
                <w:sz w:val="20"/>
                <w:szCs w:val="20"/>
              </w:rPr>
              <w:t xml:space="preserve"> about credit decisions and as part of fraud management and mitigation strategies.</w:t>
            </w:r>
          </w:p>
          <w:p w14:paraId="4097AF7C" w14:textId="77777777" w:rsidR="007B46BA" w:rsidRPr="00DE3DF9" w:rsidRDefault="007B46BA" w:rsidP="007B46BA">
            <w:pPr>
              <w:cnfStyle w:val="000000100000" w:firstRow="0" w:lastRow="0" w:firstColumn="0" w:lastColumn="0" w:oddVBand="0" w:evenVBand="0" w:oddHBand="1" w:evenHBand="0" w:firstRowFirstColumn="0" w:firstRowLastColumn="0" w:lastRowFirstColumn="0" w:lastRowLastColumn="0"/>
              <w:rPr>
                <w:b/>
                <w:bCs/>
                <w:sz w:val="20"/>
                <w:szCs w:val="20"/>
              </w:rPr>
            </w:pPr>
          </w:p>
          <w:p w14:paraId="16340363" w14:textId="288F916A" w:rsidR="00FD0622"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r w:rsidRPr="00DE3DF9">
              <w:rPr>
                <w:sz w:val="20"/>
                <w:szCs w:val="20"/>
              </w:rPr>
              <w:t xml:space="preserve">Other stakeholders have suggested that the APPs may permit a range of secondary uses by an ADI, after the consumer has exercised their CDR rights and ultimately decided not to take up the ADI’s product. </w:t>
            </w:r>
            <w:r w:rsidR="00C033B5">
              <w:rPr>
                <w:sz w:val="20"/>
                <w:szCs w:val="20"/>
              </w:rPr>
              <w:t>This might be after the consumer has made an application to acquire a product or service.</w:t>
            </w:r>
          </w:p>
          <w:p w14:paraId="6472B08C" w14:textId="77777777" w:rsidR="00FD0622" w:rsidRDefault="00FD0622" w:rsidP="007B46BA">
            <w:pPr>
              <w:cnfStyle w:val="000000100000" w:firstRow="0" w:lastRow="0" w:firstColumn="0" w:lastColumn="0" w:oddVBand="0" w:evenVBand="0" w:oddHBand="1" w:evenHBand="0" w:firstRowFirstColumn="0" w:firstRowLastColumn="0" w:lastRowFirstColumn="0" w:lastRowLastColumn="0"/>
              <w:rPr>
                <w:sz w:val="20"/>
                <w:szCs w:val="20"/>
              </w:rPr>
            </w:pPr>
          </w:p>
          <w:p w14:paraId="1EEBE4EB" w14:textId="2AEC67ED" w:rsidR="007B46BA" w:rsidRDefault="00FD0622"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Consumers </w:t>
            </w:r>
            <w:r w:rsidR="007B46BA" w:rsidRPr="00DE3DF9">
              <w:rPr>
                <w:sz w:val="20"/>
                <w:szCs w:val="20"/>
              </w:rPr>
              <w:t>may be less inclined to exercise</w:t>
            </w:r>
            <w:r>
              <w:rPr>
                <w:sz w:val="20"/>
                <w:szCs w:val="20"/>
              </w:rPr>
              <w:t xml:space="preserve"> their CDR data rights if, </w:t>
            </w:r>
            <w:r w:rsidRPr="00DE3DF9">
              <w:rPr>
                <w:sz w:val="20"/>
                <w:szCs w:val="20"/>
              </w:rPr>
              <w:t xml:space="preserve">as a result of exploring alternative and comparable products across the market </w:t>
            </w:r>
            <w:r>
              <w:rPr>
                <w:sz w:val="20"/>
                <w:szCs w:val="20"/>
              </w:rPr>
              <w:t xml:space="preserve">via the CDR regime, there are unintended or unwelcome uses of the consumer CDR data. </w:t>
            </w:r>
            <w:r w:rsidR="007B46BA" w:rsidRPr="00DE3DF9">
              <w:rPr>
                <w:sz w:val="20"/>
                <w:szCs w:val="20"/>
              </w:rPr>
              <w:t xml:space="preserve">This would be contrary to the competition objectives of the CDR and is likely to make it less attractive to consumers if effort is required on their part to </w:t>
            </w:r>
            <w:r w:rsidR="00C033B5">
              <w:rPr>
                <w:sz w:val="20"/>
                <w:szCs w:val="20"/>
              </w:rPr>
              <w:t xml:space="preserve">understand the practical </w:t>
            </w:r>
            <w:r w:rsidR="00581303">
              <w:rPr>
                <w:sz w:val="20"/>
                <w:szCs w:val="20"/>
              </w:rPr>
              <w:t>ramifications of</w:t>
            </w:r>
            <w:r w:rsidR="00C033B5">
              <w:rPr>
                <w:sz w:val="20"/>
                <w:szCs w:val="20"/>
              </w:rPr>
              <w:t xml:space="preserve"> the data being governed by the APPs not the </w:t>
            </w:r>
            <w:r w:rsidR="00A950EA">
              <w:rPr>
                <w:sz w:val="20"/>
                <w:szCs w:val="20"/>
              </w:rPr>
              <w:t>Privacy</w:t>
            </w:r>
            <w:r w:rsidR="00C033B5">
              <w:rPr>
                <w:sz w:val="20"/>
                <w:szCs w:val="20"/>
              </w:rPr>
              <w:t xml:space="preserve"> </w:t>
            </w:r>
            <w:r w:rsidR="00A950EA">
              <w:rPr>
                <w:sz w:val="20"/>
                <w:szCs w:val="20"/>
              </w:rPr>
              <w:t>S</w:t>
            </w:r>
            <w:r w:rsidR="00C033B5">
              <w:rPr>
                <w:sz w:val="20"/>
                <w:szCs w:val="20"/>
              </w:rPr>
              <w:t>afeguards.</w:t>
            </w:r>
          </w:p>
          <w:p w14:paraId="083213DB" w14:textId="77777777" w:rsidR="00BF1A94" w:rsidRDefault="00BF1A94" w:rsidP="007B46BA">
            <w:pPr>
              <w:cnfStyle w:val="000000100000" w:firstRow="0" w:lastRow="0" w:firstColumn="0" w:lastColumn="0" w:oddVBand="0" w:evenVBand="0" w:oddHBand="1" w:evenHBand="0" w:firstRowFirstColumn="0" w:firstRowLastColumn="0" w:lastRowFirstColumn="0" w:lastRowLastColumn="0"/>
              <w:rPr>
                <w:b/>
                <w:bCs/>
                <w:sz w:val="20"/>
                <w:szCs w:val="20"/>
              </w:rPr>
            </w:pPr>
          </w:p>
          <w:p w14:paraId="6E9461E5" w14:textId="412803BF" w:rsidR="007B46BA" w:rsidRDefault="001C7DC4" w:rsidP="001B45A4">
            <w:pPr>
              <w:cnfStyle w:val="000000100000" w:firstRow="0" w:lastRow="0" w:firstColumn="0" w:lastColumn="0" w:oddVBand="0" w:evenVBand="0" w:oddHBand="1" w:evenHBand="0" w:firstRowFirstColumn="0" w:firstRowLastColumn="0" w:lastRowFirstColumn="0" w:lastRowLastColumn="0"/>
              <w:rPr>
                <w:sz w:val="20"/>
                <w:szCs w:val="20"/>
              </w:rPr>
            </w:pPr>
            <w:bookmarkStart w:id="48" w:name="Recommendation_8"/>
            <w:r w:rsidRPr="001C7DC4">
              <w:rPr>
                <w:b/>
                <w:bCs/>
                <w:i/>
                <w:iCs/>
                <w:sz w:val="20"/>
                <w:szCs w:val="20"/>
              </w:rPr>
              <w:t>Recommendation [8]</w:t>
            </w:r>
            <w:bookmarkEnd w:id="48"/>
            <w:r w:rsidRPr="001C7DC4">
              <w:rPr>
                <w:b/>
                <w:bCs/>
                <w:i/>
                <w:iCs/>
                <w:sz w:val="20"/>
                <w:szCs w:val="20"/>
              </w:rPr>
              <w:t>:</w:t>
            </w:r>
            <w:r>
              <w:rPr>
                <w:sz w:val="20"/>
                <w:szCs w:val="20"/>
              </w:rPr>
              <w:t xml:space="preserve"> </w:t>
            </w:r>
            <w:r w:rsidR="00581303" w:rsidRPr="0079789C">
              <w:rPr>
                <w:sz w:val="20"/>
                <w:szCs w:val="20"/>
              </w:rPr>
              <w:t xml:space="preserve">Noting that the Treasury has narrowed the scope of the proposal such </w:t>
            </w:r>
            <w:r w:rsidR="00581303">
              <w:rPr>
                <w:sz w:val="20"/>
                <w:szCs w:val="20"/>
              </w:rPr>
              <w:t xml:space="preserve">that the data in question has been obtained in connection with an application to acquire a product or service, Treasury </w:t>
            </w:r>
            <w:r>
              <w:rPr>
                <w:sz w:val="20"/>
                <w:szCs w:val="20"/>
              </w:rPr>
              <w:t>may wish to</w:t>
            </w:r>
            <w:r w:rsidR="00581303">
              <w:rPr>
                <w:sz w:val="20"/>
                <w:szCs w:val="20"/>
              </w:rPr>
              <w:t xml:space="preserve"> consider whether the CDR consumer’s decision (and autonomy over the CDR data) would be assisted by an explanation by the ADI about the </w:t>
            </w:r>
            <w:r w:rsidR="00581303" w:rsidRPr="001C7DC4">
              <w:rPr>
                <w:i/>
                <w:iCs/>
                <w:sz w:val="20"/>
                <w:szCs w:val="20"/>
              </w:rPr>
              <w:t>practical consequences</w:t>
            </w:r>
            <w:r w:rsidR="00581303">
              <w:rPr>
                <w:sz w:val="20"/>
                <w:szCs w:val="20"/>
              </w:rPr>
              <w:t xml:space="preserve"> of consenting to the ADI holding the data </w:t>
            </w:r>
            <w:r>
              <w:rPr>
                <w:sz w:val="20"/>
                <w:szCs w:val="20"/>
              </w:rPr>
              <w:t>as</w:t>
            </w:r>
            <w:r w:rsidR="00B83D69">
              <w:rPr>
                <w:sz w:val="20"/>
                <w:szCs w:val="20"/>
              </w:rPr>
              <w:t xml:space="preserve"> a data holder.</w:t>
            </w:r>
          </w:p>
        </w:tc>
      </w:tr>
    </w:tbl>
    <w:p w14:paraId="18C69412" w14:textId="2D46B9DF" w:rsidR="00473D8E" w:rsidRPr="001F2AD8" w:rsidRDefault="000C7DE2" w:rsidP="001F2AD8">
      <w:pPr>
        <w:pStyle w:val="MOTermsL2"/>
        <w:numPr>
          <w:ilvl w:val="0"/>
          <w:numId w:val="0"/>
        </w:numPr>
        <w:ind w:left="851"/>
        <w:rPr>
          <w:sz w:val="24"/>
          <w:szCs w:val="24"/>
        </w:rPr>
      </w:pPr>
      <w:bookmarkStart w:id="49" w:name="_Toc165324956"/>
      <w:r w:rsidRPr="001F2AD8">
        <w:rPr>
          <w:sz w:val="24"/>
          <w:szCs w:val="24"/>
        </w:rPr>
        <w:t xml:space="preserve">CDR Representative </w:t>
      </w:r>
      <w:bookmarkEnd w:id="49"/>
      <w:r w:rsidRPr="001F2AD8">
        <w:rPr>
          <w:sz w:val="24"/>
          <w:szCs w:val="24"/>
        </w:rPr>
        <w:t>Princip</w:t>
      </w:r>
      <w:r w:rsidR="00BD41B5">
        <w:rPr>
          <w:sz w:val="24"/>
          <w:szCs w:val="24"/>
        </w:rPr>
        <w:t>als</w:t>
      </w:r>
    </w:p>
    <w:p w14:paraId="152B28BE" w14:textId="77777777" w:rsidR="000C7DE2" w:rsidRPr="005808C7" w:rsidRDefault="000C7DE2" w:rsidP="000C7DE2">
      <w:pPr>
        <w:pStyle w:val="MOTermsL4"/>
      </w:pPr>
      <w:r w:rsidRPr="005808C7">
        <w:t xml:space="preserve">The CDR Rules do not expressly require that a CDR representative principal ensure </w:t>
      </w:r>
      <w:r w:rsidR="0007520C" w:rsidRPr="005808C7">
        <w:t xml:space="preserve">that </w:t>
      </w:r>
      <w:r w:rsidRPr="005808C7">
        <w:t>their CDR representative complies with the consumer experience data standards (</w:t>
      </w:r>
      <w:r w:rsidRPr="005808C7">
        <w:rPr>
          <w:b/>
          <w:bCs/>
        </w:rPr>
        <w:t>CX Standards</w:t>
      </w:r>
      <w:r w:rsidRPr="005808C7">
        <w:t>).</w:t>
      </w:r>
    </w:p>
    <w:p w14:paraId="33C6CF53" w14:textId="70E9BA7B" w:rsidR="000C7DE2" w:rsidRPr="005808C7" w:rsidRDefault="000C7DE2" w:rsidP="000C7DE2">
      <w:pPr>
        <w:pStyle w:val="MOTermsL4"/>
      </w:pPr>
      <w:r w:rsidRPr="005808C7">
        <w:t xml:space="preserve">The Treasury </w:t>
      </w:r>
      <w:r w:rsidR="0061272C">
        <w:t xml:space="preserve">proposes a change to </w:t>
      </w:r>
      <w:r w:rsidRPr="005808C7">
        <w:t xml:space="preserve">the CDR Rules to address this </w:t>
      </w:r>
      <w:r w:rsidR="005808C7" w:rsidRPr="005808C7">
        <w:t xml:space="preserve">and </w:t>
      </w:r>
      <w:r w:rsidR="0061272C">
        <w:t xml:space="preserve">to </w:t>
      </w:r>
      <w:r w:rsidR="0055343D">
        <w:t xml:space="preserve">expressly </w:t>
      </w:r>
      <w:r w:rsidRPr="005808C7">
        <w:t>requir</w:t>
      </w:r>
      <w:r w:rsidR="005808C7" w:rsidRPr="005808C7">
        <w:t xml:space="preserve">e </w:t>
      </w:r>
      <w:r w:rsidRPr="005808C7">
        <w:t>a CDR representative principal to ensure their representatives compl</w:t>
      </w:r>
      <w:r w:rsidR="0007520C" w:rsidRPr="005808C7">
        <w:t xml:space="preserve">y </w:t>
      </w:r>
      <w:r w:rsidRPr="005808C7">
        <w:t xml:space="preserve">with any ‘consumer experience data standards’ </w:t>
      </w:r>
      <w:r w:rsidRPr="005808C7">
        <w:rPr>
          <w:i/>
          <w:iCs/>
        </w:rPr>
        <w:t>as if they were an ADR</w:t>
      </w:r>
      <w:r w:rsidRPr="005808C7">
        <w:t>. It is proposed that a failure to comply with this obligation would have civil penalty consequences.</w:t>
      </w:r>
    </w:p>
    <w:p w14:paraId="6D0C75DF" w14:textId="77777777" w:rsidR="000C7DE2" w:rsidRDefault="000C7DE2" w:rsidP="00DE3DF9">
      <w:pPr>
        <w:pStyle w:val="MOTermsL4"/>
        <w:numPr>
          <w:ilvl w:val="0"/>
          <w:numId w:val="0"/>
        </w:numPr>
        <w:ind w:left="851"/>
      </w:pPr>
    </w:p>
    <w:tbl>
      <w:tblPr>
        <w:tblStyle w:val="GridTable4-Accent1"/>
        <w:tblW w:w="14709" w:type="dxa"/>
        <w:tblLook w:val="04A0" w:firstRow="1" w:lastRow="0" w:firstColumn="1" w:lastColumn="0" w:noHBand="0" w:noVBand="1"/>
      </w:tblPr>
      <w:tblGrid>
        <w:gridCol w:w="3652"/>
        <w:gridCol w:w="4253"/>
        <w:gridCol w:w="1559"/>
        <w:gridCol w:w="5245"/>
      </w:tblGrid>
      <w:tr w:rsidR="007B46BA" w14:paraId="15B97010" w14:textId="77777777" w:rsidTr="00B06E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14:paraId="1212DA3C" w14:textId="54074406" w:rsidR="007B46BA" w:rsidRDefault="00483AF3" w:rsidP="00FE5DB7">
            <w:r w:rsidRPr="0079789C">
              <w:rPr>
                <w:sz w:val="20"/>
                <w:szCs w:val="20"/>
              </w:rPr>
              <w:t>Synopsis of stakeholders’ privacy comments and submissions</w:t>
            </w:r>
          </w:p>
        </w:tc>
        <w:tc>
          <w:tcPr>
            <w:tcW w:w="4253" w:type="dxa"/>
          </w:tcPr>
          <w:p w14:paraId="784AEAC3" w14:textId="17ECE96C"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6D1D392B"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245" w:type="dxa"/>
          </w:tcPr>
          <w:p w14:paraId="15270A0E"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7B46BA" w14:paraId="5444C0F1" w14:textId="77777777" w:rsidTr="00B0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5FCF1C0" w14:textId="03B2A50C" w:rsidR="007B46BA" w:rsidRPr="00794EAB" w:rsidRDefault="006001AB" w:rsidP="007B46BA">
            <w:pPr>
              <w:rPr>
                <w:sz w:val="20"/>
                <w:szCs w:val="20"/>
              </w:rPr>
            </w:pPr>
            <w:r w:rsidRPr="006804A3">
              <w:rPr>
                <w:rFonts w:eastAsiaTheme="minorHAnsi"/>
                <w:b w:val="0"/>
                <w:bCs w:val="0"/>
                <w:sz w:val="20"/>
                <w:szCs w:val="20"/>
              </w:rPr>
              <w:t xml:space="preserve">Not applicable. </w:t>
            </w:r>
            <w:r>
              <w:rPr>
                <w:rFonts w:eastAsiaTheme="minorHAnsi"/>
                <w:b w:val="0"/>
                <w:bCs w:val="0"/>
                <w:sz w:val="20"/>
                <w:szCs w:val="20"/>
              </w:rPr>
              <w:t>The p</w:t>
            </w:r>
            <w:r w:rsidRPr="006804A3">
              <w:rPr>
                <w:rFonts w:eastAsiaTheme="minorHAnsi"/>
                <w:b w:val="0"/>
                <w:bCs w:val="0"/>
                <w:sz w:val="20"/>
                <w:szCs w:val="20"/>
              </w:rPr>
              <w:t>roposal was not included in the Operational Enhancements Design Paper.</w:t>
            </w:r>
          </w:p>
        </w:tc>
        <w:tc>
          <w:tcPr>
            <w:tcW w:w="4253" w:type="dxa"/>
          </w:tcPr>
          <w:p w14:paraId="43D32878" w14:textId="1A22090B" w:rsidR="007B46BA" w:rsidRPr="00A82545" w:rsidRDefault="0019123D" w:rsidP="0055343D">
            <w:pPr>
              <w:pStyle w:val="ListParagraph"/>
              <w:ind w:left="0"/>
              <w:cnfStyle w:val="000000100000" w:firstRow="0" w:lastRow="0" w:firstColumn="0" w:lastColumn="0" w:oddVBand="0" w:evenVBand="0" w:oddHBand="1" w:evenHBand="0" w:firstRowFirstColumn="0" w:firstRowLastColumn="0" w:lastRowFirstColumn="0" w:lastRowLastColumn="0"/>
            </w:pPr>
            <w:r>
              <w:rPr>
                <w:rFonts w:eastAsiaTheme="minorHAnsi"/>
                <w:sz w:val="20"/>
                <w:szCs w:val="20"/>
              </w:rPr>
              <w:t>It is proposed that a</w:t>
            </w:r>
            <w:r w:rsidR="0055343D" w:rsidRPr="0055343D">
              <w:rPr>
                <w:rFonts w:eastAsiaTheme="minorHAnsi"/>
                <w:sz w:val="20"/>
                <w:szCs w:val="20"/>
              </w:rPr>
              <w:t xml:space="preserve"> CDR representative principal be required to ensure that their representatives comply with any consumer experience data standards as if they were an ADR. </w:t>
            </w:r>
            <w:r w:rsidR="0055343D">
              <w:rPr>
                <w:rFonts w:eastAsiaTheme="minorHAnsi"/>
                <w:sz w:val="20"/>
                <w:szCs w:val="20"/>
              </w:rPr>
              <w:t xml:space="preserve">The amendment would </w:t>
            </w:r>
            <w:r w:rsidR="00967552">
              <w:rPr>
                <w:rFonts w:eastAsiaTheme="minorHAnsi"/>
                <w:sz w:val="20"/>
                <w:szCs w:val="20"/>
              </w:rPr>
              <w:t>reinforce</w:t>
            </w:r>
            <w:r w:rsidR="0055343D">
              <w:rPr>
                <w:rFonts w:eastAsiaTheme="minorHAnsi"/>
                <w:sz w:val="20"/>
                <w:szCs w:val="20"/>
              </w:rPr>
              <w:t xml:space="preserve"> through a civil penalty provision. </w:t>
            </w:r>
          </w:p>
        </w:tc>
        <w:tc>
          <w:tcPr>
            <w:tcW w:w="1559" w:type="dxa"/>
          </w:tcPr>
          <w:p w14:paraId="16C455A5"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1.10AA</w:t>
            </w:r>
          </w:p>
          <w:p w14:paraId="05164A73" w14:textId="77777777" w:rsidR="00481E00" w:rsidRDefault="00481E00"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332D766" w14:textId="0DC0F442" w:rsidR="00737743" w:rsidRPr="009002AB" w:rsidRDefault="007B46BA" w:rsidP="007B46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 1.16A</w:t>
            </w:r>
            <w:r w:rsidR="00D227FA">
              <w:rPr>
                <w:sz w:val="20"/>
                <w:szCs w:val="20"/>
              </w:rPr>
              <w:t>(2)(a)</w:t>
            </w:r>
          </w:p>
        </w:tc>
        <w:tc>
          <w:tcPr>
            <w:tcW w:w="5245" w:type="dxa"/>
          </w:tcPr>
          <w:p w14:paraId="107E31AF" w14:textId="77777777" w:rsidR="007B46BA" w:rsidRDefault="007B46BA" w:rsidP="007B46BA">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DE3DF9">
              <w:rPr>
                <w:sz w:val="20"/>
                <w:szCs w:val="20"/>
              </w:rPr>
              <w:t>Consistent application and reinforcement of the CX Standards is a privacy positive step because it promotes trust, uniformity and predictability across the CDR regime.</w:t>
            </w:r>
          </w:p>
        </w:tc>
      </w:tr>
    </w:tbl>
    <w:p w14:paraId="6CAACA7E" w14:textId="77777777" w:rsidR="00BB022E" w:rsidRPr="001F2AD8" w:rsidRDefault="00BB022E" w:rsidP="001F2AD8">
      <w:pPr>
        <w:pStyle w:val="MOTermsL2"/>
        <w:numPr>
          <w:ilvl w:val="0"/>
          <w:numId w:val="0"/>
        </w:numPr>
        <w:ind w:left="851"/>
        <w:rPr>
          <w:sz w:val="24"/>
          <w:szCs w:val="24"/>
        </w:rPr>
      </w:pPr>
      <w:bookmarkStart w:id="50" w:name="_Toc165324957"/>
      <w:r w:rsidRPr="001F2AD8">
        <w:rPr>
          <w:sz w:val="24"/>
          <w:szCs w:val="24"/>
        </w:rPr>
        <w:t xml:space="preserve">Energy </w:t>
      </w:r>
      <w:r w:rsidR="00551D44" w:rsidRPr="001F2AD8">
        <w:rPr>
          <w:sz w:val="24"/>
          <w:szCs w:val="24"/>
        </w:rPr>
        <w:t>Rules -</w:t>
      </w:r>
      <w:r w:rsidRPr="001F2AD8">
        <w:rPr>
          <w:sz w:val="24"/>
          <w:szCs w:val="24"/>
        </w:rPr>
        <w:t xml:space="preserve"> Deferral of data holder obligations for an ADR who becomes a small energy retailer</w:t>
      </w:r>
      <w:bookmarkEnd w:id="50"/>
    </w:p>
    <w:p w14:paraId="6F274805" w14:textId="198A3DD5" w:rsidR="00BB022E" w:rsidRPr="005808C7" w:rsidRDefault="00BB022E" w:rsidP="00DE3DF9">
      <w:pPr>
        <w:pStyle w:val="MOTermsL4"/>
      </w:pPr>
      <w:r w:rsidRPr="005808C7">
        <w:t xml:space="preserve">The Treasury </w:t>
      </w:r>
      <w:r w:rsidR="00AC7C29">
        <w:t xml:space="preserve">proposes a change to </w:t>
      </w:r>
      <w:r w:rsidRPr="005808C7">
        <w:t>the CDR Rules to defer the obligations of data holders</w:t>
      </w:r>
      <w:r w:rsidR="00226996">
        <w:t xml:space="preserve"> </w:t>
      </w:r>
      <w:r w:rsidRPr="005808C7">
        <w:t>set out in Part 4 of the CDR Rules</w:t>
      </w:r>
      <w:r w:rsidR="00226996">
        <w:t xml:space="preserve">. </w:t>
      </w:r>
      <w:r w:rsidR="00AC7C29">
        <w:t>Accredited persons that become a s</w:t>
      </w:r>
      <w:r w:rsidRPr="005808C7">
        <w:t xml:space="preserve">mall </w:t>
      </w:r>
      <w:r w:rsidR="00551D44" w:rsidRPr="005808C7">
        <w:t>retailer</w:t>
      </w:r>
      <w:r w:rsidR="00AC7C29">
        <w:rPr>
          <w:rStyle w:val="FootnoteReference"/>
        </w:rPr>
        <w:footnoteReference w:id="29"/>
      </w:r>
      <w:r w:rsidR="00551D44" w:rsidRPr="005808C7">
        <w:t xml:space="preserve"> </w:t>
      </w:r>
      <w:r w:rsidR="00226996">
        <w:t xml:space="preserve">will </w:t>
      </w:r>
      <w:r w:rsidRPr="005808C7">
        <w:t xml:space="preserve">have the benefit of a </w:t>
      </w:r>
      <w:proofErr w:type="gramStart"/>
      <w:r w:rsidRPr="005808C7">
        <w:t>12</w:t>
      </w:r>
      <w:r w:rsidR="00CE7DBB" w:rsidRPr="005808C7">
        <w:t xml:space="preserve"> </w:t>
      </w:r>
      <w:r w:rsidRPr="005808C7">
        <w:t>month</w:t>
      </w:r>
      <w:proofErr w:type="gramEnd"/>
      <w:r w:rsidRPr="005808C7">
        <w:t xml:space="preserve"> deferral of their obligations, and an 18</w:t>
      </w:r>
      <w:r w:rsidR="00CE7DBB" w:rsidRPr="005808C7">
        <w:t xml:space="preserve"> </w:t>
      </w:r>
      <w:r w:rsidRPr="005808C7">
        <w:t xml:space="preserve">month deferral period for </w:t>
      </w:r>
      <w:r w:rsidR="00AC7C29">
        <w:t xml:space="preserve">obligations concerning </w:t>
      </w:r>
      <w:r w:rsidRPr="005808C7">
        <w:t xml:space="preserve">complex </w:t>
      </w:r>
      <w:r w:rsidR="00226996">
        <w:t xml:space="preserve">data </w:t>
      </w:r>
      <w:r w:rsidRPr="005808C7">
        <w:t xml:space="preserve">requests. The intention is to provide those participants with sufficient time to build and operationalise their </w:t>
      </w:r>
      <w:r w:rsidR="00226996">
        <w:t>solution and business practices</w:t>
      </w:r>
      <w:r w:rsidRPr="005808C7">
        <w:t xml:space="preserve"> </w:t>
      </w:r>
      <w:r w:rsidR="00226996">
        <w:t xml:space="preserve">to </w:t>
      </w:r>
      <w:r w:rsidRPr="005808C7">
        <w:t>comply with data holder obligations.</w:t>
      </w:r>
    </w:p>
    <w:p w14:paraId="5102D895" w14:textId="77777777" w:rsidR="004518B6" w:rsidRDefault="004518B6" w:rsidP="004518B6">
      <w:pPr>
        <w:pStyle w:val="MOTermsL4"/>
        <w:numPr>
          <w:ilvl w:val="0"/>
          <w:numId w:val="0"/>
        </w:numPr>
        <w:ind w:left="851"/>
      </w:pPr>
    </w:p>
    <w:tbl>
      <w:tblPr>
        <w:tblStyle w:val="GridTable4-Accent1"/>
        <w:tblW w:w="14709" w:type="dxa"/>
        <w:tblLook w:val="04A0" w:firstRow="1" w:lastRow="0" w:firstColumn="1" w:lastColumn="0" w:noHBand="0" w:noVBand="1"/>
      </w:tblPr>
      <w:tblGrid>
        <w:gridCol w:w="3652"/>
        <w:gridCol w:w="4253"/>
        <w:gridCol w:w="1559"/>
        <w:gridCol w:w="5245"/>
      </w:tblGrid>
      <w:tr w:rsidR="007B46BA" w14:paraId="3C2D6E6D" w14:textId="77777777" w:rsidTr="00B06E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14:paraId="753BB434" w14:textId="725759AA" w:rsidR="007B46BA" w:rsidRDefault="00483AF3" w:rsidP="007B46BA">
            <w:r w:rsidRPr="0079789C">
              <w:rPr>
                <w:sz w:val="20"/>
                <w:szCs w:val="20"/>
              </w:rPr>
              <w:t>Synopsis of stakeholders’ privacy comments and submissions</w:t>
            </w:r>
          </w:p>
        </w:tc>
        <w:tc>
          <w:tcPr>
            <w:tcW w:w="4253" w:type="dxa"/>
          </w:tcPr>
          <w:p w14:paraId="0E7D1432" w14:textId="77B5D266"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6F7C8BD1"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245" w:type="dxa"/>
          </w:tcPr>
          <w:p w14:paraId="180CBFF9"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B06EA8" w14:paraId="726A8BFA" w14:textId="77777777" w:rsidTr="00B0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5F22390" w14:textId="6772DB7C" w:rsidR="00B06EA8" w:rsidRPr="006804A3" w:rsidRDefault="00B06EA8" w:rsidP="00B06EA8">
            <w:pPr>
              <w:rPr>
                <w:b w:val="0"/>
                <w:bCs w:val="0"/>
                <w:sz w:val="20"/>
                <w:szCs w:val="20"/>
              </w:rPr>
            </w:pPr>
            <w:r w:rsidRPr="006804A3">
              <w:rPr>
                <w:rFonts w:eastAsiaTheme="minorHAnsi"/>
                <w:b w:val="0"/>
                <w:bCs w:val="0"/>
                <w:sz w:val="20"/>
                <w:szCs w:val="20"/>
              </w:rPr>
              <w:t xml:space="preserve">Not applicable. </w:t>
            </w:r>
            <w:r w:rsidR="0019123D">
              <w:rPr>
                <w:rFonts w:eastAsiaTheme="minorHAnsi"/>
                <w:b w:val="0"/>
                <w:bCs w:val="0"/>
                <w:sz w:val="20"/>
                <w:szCs w:val="20"/>
              </w:rPr>
              <w:t>The p</w:t>
            </w:r>
            <w:r w:rsidRPr="006804A3">
              <w:rPr>
                <w:rFonts w:eastAsiaTheme="minorHAnsi"/>
                <w:b w:val="0"/>
                <w:bCs w:val="0"/>
                <w:sz w:val="20"/>
                <w:szCs w:val="20"/>
              </w:rPr>
              <w:t>roposal was not included in the Operational Enhancements Design Paper.</w:t>
            </w:r>
          </w:p>
        </w:tc>
        <w:tc>
          <w:tcPr>
            <w:tcW w:w="4253" w:type="dxa"/>
          </w:tcPr>
          <w:p w14:paraId="61C45A47" w14:textId="512E109F" w:rsidR="00CD367D" w:rsidRDefault="00B06EA8" w:rsidP="00CD367D">
            <w:pPr>
              <w:cnfStyle w:val="000000100000" w:firstRow="0" w:lastRow="0" w:firstColumn="0" w:lastColumn="0" w:oddVBand="0" w:evenVBand="0" w:oddHBand="1" w:evenHBand="0" w:firstRowFirstColumn="0" w:firstRowLastColumn="0" w:lastRowFirstColumn="0" w:lastRowLastColumn="0"/>
              <w:rPr>
                <w:sz w:val="20"/>
                <w:szCs w:val="20"/>
              </w:rPr>
            </w:pPr>
            <w:r w:rsidRPr="000A4A1B">
              <w:rPr>
                <w:sz w:val="20"/>
                <w:szCs w:val="20"/>
              </w:rPr>
              <w:t xml:space="preserve">The Treasury </w:t>
            </w:r>
            <w:r w:rsidR="0055343D">
              <w:rPr>
                <w:sz w:val="20"/>
                <w:szCs w:val="20"/>
              </w:rPr>
              <w:t xml:space="preserve">is </w:t>
            </w:r>
            <w:r w:rsidRPr="000A4A1B">
              <w:rPr>
                <w:sz w:val="20"/>
                <w:szCs w:val="20"/>
              </w:rPr>
              <w:t>propos</w:t>
            </w:r>
            <w:r w:rsidR="0055343D">
              <w:rPr>
                <w:sz w:val="20"/>
                <w:szCs w:val="20"/>
              </w:rPr>
              <w:t xml:space="preserve">ing a change to the CDR Rules </w:t>
            </w:r>
            <w:r w:rsidRPr="000A4A1B">
              <w:rPr>
                <w:sz w:val="20"/>
                <w:szCs w:val="20"/>
              </w:rPr>
              <w:t>to defer data holder obligations for an accredited person who transitions to become a small energy retailer. We are instructed that the reverse scenario - small retailers that become accredited persons - have the benefit of:</w:t>
            </w:r>
          </w:p>
          <w:p w14:paraId="1BD3E3F1" w14:textId="77777777" w:rsidR="00CD367D" w:rsidRPr="00CD367D" w:rsidRDefault="00CD367D" w:rsidP="00CD367D">
            <w:pPr>
              <w:cnfStyle w:val="000000100000" w:firstRow="0" w:lastRow="0" w:firstColumn="0" w:lastColumn="0" w:oddVBand="0" w:evenVBand="0" w:oddHBand="1" w:evenHBand="0" w:firstRowFirstColumn="0" w:firstRowLastColumn="0" w:lastRowFirstColumn="0" w:lastRowLastColumn="0"/>
              <w:rPr>
                <w:sz w:val="20"/>
                <w:szCs w:val="20"/>
              </w:rPr>
            </w:pPr>
          </w:p>
          <w:p w14:paraId="5A03A1B8" w14:textId="2EAB3333" w:rsidR="00B06EA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85AC0">
              <w:rPr>
                <w:rFonts w:eastAsiaTheme="minorHAnsi"/>
                <w:sz w:val="20"/>
                <w:szCs w:val="20"/>
              </w:rPr>
              <w:t xml:space="preserve">a </w:t>
            </w:r>
            <w:proofErr w:type="gramStart"/>
            <w:r w:rsidRPr="00D85AC0">
              <w:rPr>
                <w:rFonts w:eastAsiaTheme="minorHAnsi"/>
                <w:sz w:val="20"/>
                <w:szCs w:val="20"/>
              </w:rPr>
              <w:t>12 month</w:t>
            </w:r>
            <w:proofErr w:type="gramEnd"/>
            <w:r w:rsidRPr="00D85AC0">
              <w:rPr>
                <w:rFonts w:eastAsiaTheme="minorHAnsi"/>
                <w:sz w:val="20"/>
                <w:szCs w:val="20"/>
              </w:rPr>
              <w:t xml:space="preserve"> deferral of the application of Part 4 of the Rules which deal with data holders responding to consumer data requests made by an accredited person</w:t>
            </w:r>
            <w:r w:rsidR="008F1E9A">
              <w:rPr>
                <w:rFonts w:eastAsiaTheme="minorHAnsi"/>
                <w:sz w:val="20"/>
                <w:szCs w:val="20"/>
              </w:rPr>
              <w:t>.</w:t>
            </w:r>
          </w:p>
          <w:p w14:paraId="585FE6E9" w14:textId="77777777" w:rsidR="008F1E9A" w:rsidRPr="00D85AC0" w:rsidRDefault="008F1E9A" w:rsidP="008F1E9A">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722A5507" w14:textId="3EFF667A" w:rsidR="00B06EA8" w:rsidRPr="00D85AC0"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85AC0">
              <w:rPr>
                <w:rFonts w:eastAsiaTheme="minorHAnsi"/>
                <w:sz w:val="20"/>
                <w:szCs w:val="20"/>
              </w:rPr>
              <w:t xml:space="preserve">an </w:t>
            </w:r>
            <w:proofErr w:type="gramStart"/>
            <w:r w:rsidRPr="00D85AC0">
              <w:rPr>
                <w:rFonts w:eastAsiaTheme="minorHAnsi"/>
                <w:sz w:val="20"/>
                <w:szCs w:val="20"/>
              </w:rPr>
              <w:t>18 month</w:t>
            </w:r>
            <w:proofErr w:type="gramEnd"/>
            <w:r w:rsidRPr="00D85AC0">
              <w:rPr>
                <w:rFonts w:eastAsiaTheme="minorHAnsi"/>
                <w:sz w:val="20"/>
                <w:szCs w:val="20"/>
              </w:rPr>
              <w:t xml:space="preserve"> deferral of obligations concerning the management of</w:t>
            </w:r>
            <w:r w:rsidR="0019123D">
              <w:rPr>
                <w:rFonts w:eastAsiaTheme="minorHAnsi"/>
                <w:sz w:val="20"/>
                <w:szCs w:val="20"/>
              </w:rPr>
              <w:t>,</w:t>
            </w:r>
            <w:r w:rsidRPr="00D85AC0">
              <w:rPr>
                <w:rFonts w:eastAsiaTheme="minorHAnsi"/>
                <w:sz w:val="20"/>
                <w:szCs w:val="20"/>
              </w:rPr>
              <w:t xml:space="preserve"> and response to</w:t>
            </w:r>
            <w:r w:rsidR="0019123D">
              <w:rPr>
                <w:rFonts w:eastAsiaTheme="minorHAnsi"/>
                <w:sz w:val="20"/>
                <w:szCs w:val="20"/>
              </w:rPr>
              <w:t>,</w:t>
            </w:r>
            <w:r w:rsidRPr="00D85AC0">
              <w:rPr>
                <w:rFonts w:eastAsiaTheme="minorHAnsi"/>
                <w:sz w:val="20"/>
                <w:szCs w:val="20"/>
              </w:rPr>
              <w:t xml:space="preserve"> complex data requests. </w:t>
            </w:r>
          </w:p>
          <w:p w14:paraId="5D0CEC52" w14:textId="77777777" w:rsidR="00B06EA8" w:rsidRPr="000A4A1B"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5DB918F4" w14:textId="0BF5862E" w:rsidR="0019123D"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sidRPr="000A4A1B">
              <w:rPr>
                <w:sz w:val="20"/>
                <w:szCs w:val="20"/>
              </w:rPr>
              <w:t xml:space="preserve">The Treasury </w:t>
            </w:r>
            <w:r w:rsidR="0019123D">
              <w:rPr>
                <w:sz w:val="20"/>
                <w:szCs w:val="20"/>
              </w:rPr>
              <w:t xml:space="preserve">proposes </w:t>
            </w:r>
            <w:r w:rsidRPr="000A4A1B">
              <w:rPr>
                <w:sz w:val="20"/>
                <w:szCs w:val="20"/>
              </w:rPr>
              <w:t xml:space="preserve">to address an inconsistency in the application of deferred obligations </w:t>
            </w:r>
            <w:r w:rsidR="0019123D">
              <w:rPr>
                <w:sz w:val="20"/>
                <w:szCs w:val="20"/>
              </w:rPr>
              <w:t xml:space="preserve">by making this change. </w:t>
            </w:r>
          </w:p>
          <w:p w14:paraId="2048B4ED" w14:textId="77777777" w:rsidR="0019123D" w:rsidRDefault="0019123D"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53D2EC84" w14:textId="7CEF002A" w:rsidR="00B06EA8" w:rsidRPr="000A4A1B"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5DC85EEA" w14:textId="77777777" w:rsidR="00B06EA8" w:rsidRPr="000A4A1B"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6AEE247A" w14:textId="77777777" w:rsidR="00B06EA8" w:rsidRPr="000A4A1B"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CFA449F" w14:textId="77777777" w:rsidR="00B06EA8" w:rsidRPr="000A4A1B"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2B4AB169" w14:textId="2E927A94" w:rsidR="00EC7332" w:rsidRDefault="00EC7332"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4, r 8.1</w:t>
            </w:r>
          </w:p>
          <w:p w14:paraId="7CCC7F52" w14:textId="77777777" w:rsidR="00EC7332" w:rsidRDefault="00EC7332"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4A31288" w14:textId="05970941" w:rsidR="00EC7332" w:rsidRDefault="00EC7332"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4, r 8.6</w:t>
            </w:r>
            <w:r w:rsidR="00D227FA">
              <w:rPr>
                <w:sz w:val="20"/>
                <w:szCs w:val="20"/>
              </w:rPr>
              <w:t>(7)</w:t>
            </w:r>
          </w:p>
          <w:p w14:paraId="3429B316" w14:textId="77777777" w:rsidR="00D227FA" w:rsidRDefault="00D227FA"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6EAE9DF2" w14:textId="61D76403" w:rsidR="00D227FA" w:rsidRDefault="00D227FA"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4, r 8.6(8)</w:t>
            </w:r>
          </w:p>
          <w:p w14:paraId="19A877A7" w14:textId="77777777" w:rsidR="00EC7332" w:rsidRDefault="00EC7332"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38275B9B" w14:textId="48DF96A5"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PS 11</w:t>
            </w:r>
          </w:p>
          <w:p w14:paraId="58F22CF6"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5DB3C989" w14:textId="77E6483C" w:rsidR="00B06EA8" w:rsidRPr="00A82545" w:rsidRDefault="00B06EA8" w:rsidP="00B06EA8">
            <w:pPr>
              <w:cnfStyle w:val="000000100000" w:firstRow="0" w:lastRow="0" w:firstColumn="0" w:lastColumn="0" w:oddVBand="0" w:evenVBand="0" w:oddHBand="1" w:evenHBand="0" w:firstRowFirstColumn="0" w:firstRowLastColumn="0" w:lastRowFirstColumn="0" w:lastRowLastColumn="0"/>
            </w:pPr>
          </w:p>
        </w:tc>
        <w:tc>
          <w:tcPr>
            <w:tcW w:w="5245" w:type="dxa"/>
          </w:tcPr>
          <w:p w14:paraId="55476363"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Mills Oakley recognises that the Treasury is seeking to strike a balance between:</w:t>
            </w:r>
          </w:p>
          <w:p w14:paraId="2EBCA5E8" w14:textId="77777777" w:rsidR="0055343D" w:rsidRDefault="0055343D"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16358010" w14:textId="77777777" w:rsidR="00D345E8" w:rsidRPr="00D345E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85AC0">
              <w:rPr>
                <w:rFonts w:eastAsiaTheme="minorHAnsi"/>
                <w:sz w:val="20"/>
                <w:szCs w:val="20"/>
              </w:rPr>
              <w:t>supporting new entrants to the cohort of small retailers operating in the energy market by providing a phased approach to the application of certain statutory obligations under the CDR regime</w:t>
            </w:r>
            <w:r w:rsidR="00226996">
              <w:rPr>
                <w:rFonts w:eastAsiaTheme="minorHAnsi"/>
                <w:sz w:val="20"/>
                <w:szCs w:val="20"/>
              </w:rPr>
              <w:t xml:space="preserve">; and </w:t>
            </w:r>
          </w:p>
          <w:p w14:paraId="1D7EA3EE" w14:textId="77777777" w:rsidR="00226996" w:rsidRDefault="00226996" w:rsidP="00226996">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1E63AB31" w14:textId="77777777" w:rsidR="00B06EA8" w:rsidRPr="00D85AC0"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85AC0">
              <w:rPr>
                <w:rFonts w:eastAsiaTheme="minorHAnsi"/>
                <w:sz w:val="20"/>
                <w:szCs w:val="20"/>
              </w:rPr>
              <w:t>privacy protections for consumers and their CDR data.</w:t>
            </w:r>
          </w:p>
          <w:p w14:paraId="70AB4672"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75BA86D6"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Treasury is specifically seeking to address the inequity created by the way in which the </w:t>
            </w:r>
            <w:proofErr w:type="gramStart"/>
            <w:r>
              <w:rPr>
                <w:sz w:val="20"/>
                <w:szCs w:val="20"/>
              </w:rPr>
              <w:t>12 and 18 month</w:t>
            </w:r>
            <w:proofErr w:type="gramEnd"/>
            <w:r>
              <w:rPr>
                <w:sz w:val="20"/>
                <w:szCs w:val="20"/>
              </w:rPr>
              <w:t xml:space="preserve"> deferrals of certain CDR related obligations affect small energy retailers.</w:t>
            </w:r>
          </w:p>
          <w:p w14:paraId="0FD3B0AA"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72D130B" w14:textId="45144C0E"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Deferring the application of certain CDR requirements inevitably means privacy protections and associated compliance measures lack consistency across the small retailer cohort. </w:t>
            </w:r>
            <w:r w:rsidR="00B771E1">
              <w:rPr>
                <w:sz w:val="20"/>
                <w:szCs w:val="20"/>
              </w:rPr>
              <w:t>Put another way, although all small retailers will have the benefit of the deferred application of certain CDR requirements</w:t>
            </w:r>
            <w:r w:rsidR="00F7063C">
              <w:rPr>
                <w:sz w:val="20"/>
                <w:szCs w:val="20"/>
              </w:rPr>
              <w:t xml:space="preserve"> when they transition to become a small retailer (</w:t>
            </w:r>
            <w:r w:rsidR="00B771E1">
              <w:rPr>
                <w:sz w:val="20"/>
                <w:szCs w:val="20"/>
              </w:rPr>
              <w:t>as part of the phase</w:t>
            </w:r>
            <w:r w:rsidR="00F7063C">
              <w:rPr>
                <w:sz w:val="20"/>
                <w:szCs w:val="20"/>
              </w:rPr>
              <w:t>d</w:t>
            </w:r>
            <w:r w:rsidR="00B771E1">
              <w:rPr>
                <w:sz w:val="20"/>
                <w:szCs w:val="20"/>
              </w:rPr>
              <w:t xml:space="preserve"> approach to implementing the CDR regime</w:t>
            </w:r>
            <w:r w:rsidR="00F7063C">
              <w:rPr>
                <w:sz w:val="20"/>
                <w:szCs w:val="20"/>
              </w:rPr>
              <w:t xml:space="preserve">), not all small retailers will be subject to the same suite of requirements at a single point in time. </w:t>
            </w:r>
            <w:r>
              <w:rPr>
                <w:sz w:val="20"/>
                <w:szCs w:val="20"/>
              </w:rPr>
              <w:t xml:space="preserve">In our view, deferring the application of statutory protections and guarantees about actioning consumer data requests does not build trust and confidence in a maturing CDR regime. </w:t>
            </w:r>
            <w:r w:rsidR="0055343D">
              <w:rPr>
                <w:sz w:val="20"/>
                <w:szCs w:val="20"/>
              </w:rPr>
              <w:t>From a data protection perspective, c</w:t>
            </w:r>
            <w:r>
              <w:rPr>
                <w:sz w:val="20"/>
                <w:szCs w:val="20"/>
              </w:rPr>
              <w:t xml:space="preserve">onsumer confidence and protection </w:t>
            </w:r>
            <w:r w:rsidR="0055343D">
              <w:rPr>
                <w:sz w:val="20"/>
                <w:szCs w:val="20"/>
              </w:rPr>
              <w:t xml:space="preserve">may be negatively </w:t>
            </w:r>
            <w:r>
              <w:rPr>
                <w:sz w:val="20"/>
                <w:szCs w:val="20"/>
              </w:rPr>
              <w:t xml:space="preserve">impacted because a small retailer is in its first year of operation. </w:t>
            </w:r>
          </w:p>
          <w:p w14:paraId="27406A0F"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6D318BDA" w14:textId="77777777" w:rsidR="00226996"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has formed the view that the consistent regulation of CDR stakeholders (i.e. all small energy retailers are treated the same way and </w:t>
            </w:r>
            <w:r w:rsidR="0055343D">
              <w:rPr>
                <w:sz w:val="20"/>
                <w:szCs w:val="20"/>
              </w:rPr>
              <w:t xml:space="preserve">are </w:t>
            </w:r>
            <w:r>
              <w:rPr>
                <w:sz w:val="20"/>
                <w:szCs w:val="20"/>
              </w:rPr>
              <w:t xml:space="preserve">accountable by reference to the same obligations) can reasonably be expected to have privacy positive impact. </w:t>
            </w:r>
          </w:p>
          <w:p w14:paraId="20CF1233" w14:textId="77777777" w:rsidR="00226996" w:rsidRDefault="00226996"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2F9E680" w14:textId="77777777" w:rsidR="00D345E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Also, consumers are likely to be better positioned to:</w:t>
            </w:r>
          </w:p>
          <w:p w14:paraId="080C8A48" w14:textId="77777777" w:rsidR="00226996" w:rsidRDefault="00226996" w:rsidP="00226996">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64218E19" w14:textId="77777777" w:rsidR="00B06EA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make informed choices</w:t>
            </w:r>
            <w:r w:rsidR="00226996">
              <w:rPr>
                <w:rFonts w:eastAsiaTheme="minorHAnsi"/>
                <w:sz w:val="20"/>
                <w:szCs w:val="20"/>
              </w:rPr>
              <w:t xml:space="preserve">; and </w:t>
            </w:r>
          </w:p>
          <w:p w14:paraId="765539C8" w14:textId="77777777" w:rsidR="00D345E8" w:rsidRPr="00D345E8" w:rsidRDefault="00D345E8" w:rsidP="00D345E8">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3E96B2A8" w14:textId="77777777" w:rsidR="00B06EA8" w:rsidRPr="00D345E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 xml:space="preserve">compare products and retailers </w:t>
            </w:r>
          </w:p>
          <w:p w14:paraId="36509A65" w14:textId="77777777" w:rsidR="00226996" w:rsidRDefault="00226996" w:rsidP="00D345E8">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4D3FD37B" w14:textId="77777777" w:rsidR="00B06EA8" w:rsidRPr="00226996" w:rsidRDefault="00B06EA8" w:rsidP="00226996">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3E4449">
              <w:rPr>
                <w:rFonts w:eastAsiaTheme="minorHAnsi"/>
                <w:i/>
                <w:iCs/>
                <w:sz w:val="20"/>
                <w:szCs w:val="20"/>
              </w:rPr>
              <w:t>if those retailers are expected to meet the same regulatory requirements</w:t>
            </w:r>
            <w:r w:rsidRPr="00226996">
              <w:rPr>
                <w:rFonts w:eastAsiaTheme="minorHAnsi"/>
                <w:sz w:val="20"/>
                <w:szCs w:val="20"/>
              </w:rPr>
              <w:t xml:space="preserve">, no matter how long they have been operating in that capacity under the CDR regime. </w:t>
            </w:r>
            <w:r w:rsidR="00226996">
              <w:rPr>
                <w:rFonts w:eastAsiaTheme="minorHAnsi"/>
                <w:sz w:val="20"/>
                <w:szCs w:val="20"/>
              </w:rPr>
              <w:t>A</w:t>
            </w:r>
            <w:r w:rsidRPr="00226996">
              <w:rPr>
                <w:rFonts w:eastAsiaTheme="minorHAnsi"/>
                <w:sz w:val="20"/>
                <w:szCs w:val="20"/>
              </w:rPr>
              <w:t xml:space="preserve">llowing a </w:t>
            </w:r>
            <w:r w:rsidR="00226996">
              <w:rPr>
                <w:rFonts w:eastAsiaTheme="minorHAnsi"/>
                <w:sz w:val="20"/>
                <w:szCs w:val="20"/>
              </w:rPr>
              <w:t>‘</w:t>
            </w:r>
            <w:r w:rsidRPr="00226996">
              <w:rPr>
                <w:rFonts w:eastAsiaTheme="minorHAnsi"/>
                <w:sz w:val="20"/>
                <w:szCs w:val="20"/>
              </w:rPr>
              <w:t xml:space="preserve">like </w:t>
            </w:r>
            <w:r w:rsidR="00226996">
              <w:rPr>
                <w:rFonts w:eastAsiaTheme="minorHAnsi"/>
                <w:sz w:val="20"/>
                <w:szCs w:val="20"/>
              </w:rPr>
              <w:t xml:space="preserve">for </w:t>
            </w:r>
            <w:r w:rsidRPr="00226996">
              <w:rPr>
                <w:rFonts w:eastAsiaTheme="minorHAnsi"/>
                <w:sz w:val="20"/>
                <w:szCs w:val="20"/>
              </w:rPr>
              <w:t>like</w:t>
            </w:r>
            <w:r w:rsidR="00226996">
              <w:rPr>
                <w:rFonts w:eastAsiaTheme="minorHAnsi"/>
                <w:sz w:val="20"/>
                <w:szCs w:val="20"/>
              </w:rPr>
              <w:t>’</w:t>
            </w:r>
            <w:r w:rsidRPr="00226996">
              <w:rPr>
                <w:rFonts w:eastAsiaTheme="minorHAnsi"/>
                <w:sz w:val="20"/>
                <w:szCs w:val="20"/>
              </w:rPr>
              <w:t xml:space="preserve"> comparison is, after all, one of the hallmarks of the CDR regime.</w:t>
            </w:r>
          </w:p>
          <w:p w14:paraId="24A0F7C4"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E4DEB20" w14:textId="36B6A10F"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is cognisant that the deferral of certain obligations is </w:t>
            </w:r>
            <w:r w:rsidRPr="000238C9">
              <w:rPr>
                <w:i/>
                <w:iCs/>
                <w:sz w:val="20"/>
                <w:szCs w:val="20"/>
              </w:rPr>
              <w:t>already</w:t>
            </w:r>
            <w:r>
              <w:rPr>
                <w:sz w:val="20"/>
                <w:szCs w:val="20"/>
              </w:rPr>
              <w:t xml:space="preserve"> a feature of the CDR regime. However, from a privacy impact perspective, it is important to appreciate that </w:t>
            </w:r>
            <w:r w:rsidR="00226996">
              <w:rPr>
                <w:sz w:val="20"/>
                <w:szCs w:val="20"/>
              </w:rPr>
              <w:t>t</w:t>
            </w:r>
            <w:r>
              <w:rPr>
                <w:sz w:val="20"/>
                <w:szCs w:val="20"/>
              </w:rPr>
              <w:t>he Treasury</w:t>
            </w:r>
            <w:r w:rsidR="00226996">
              <w:rPr>
                <w:sz w:val="20"/>
                <w:szCs w:val="20"/>
              </w:rPr>
              <w:t>’s</w:t>
            </w:r>
            <w:r>
              <w:rPr>
                <w:sz w:val="20"/>
                <w:szCs w:val="20"/>
              </w:rPr>
              <w:t xml:space="preserve"> proposal will effectively </w:t>
            </w:r>
            <w:r w:rsidRPr="000238C9">
              <w:rPr>
                <w:i/>
                <w:iCs/>
                <w:sz w:val="20"/>
                <w:szCs w:val="20"/>
              </w:rPr>
              <w:t>expand the volume of consumers</w:t>
            </w:r>
            <w:r>
              <w:rPr>
                <w:sz w:val="20"/>
                <w:szCs w:val="20"/>
              </w:rPr>
              <w:t xml:space="preserve"> whose interaction with the CDR regime will be complicated by:</w:t>
            </w:r>
          </w:p>
          <w:p w14:paraId="1E420B0F" w14:textId="77777777" w:rsidR="00D345E8" w:rsidRDefault="00D345E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66AF0F85" w14:textId="77777777" w:rsidR="00D345E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 xml:space="preserve">which small retailer they are dealing </w:t>
            </w:r>
            <w:r w:rsidR="00226996">
              <w:rPr>
                <w:rFonts w:eastAsiaTheme="minorHAnsi"/>
                <w:sz w:val="20"/>
                <w:szCs w:val="20"/>
              </w:rPr>
              <w:t xml:space="preserve">with </w:t>
            </w:r>
            <w:r w:rsidRPr="00D345E8">
              <w:rPr>
                <w:rFonts w:eastAsiaTheme="minorHAnsi"/>
                <w:sz w:val="20"/>
                <w:szCs w:val="20"/>
              </w:rPr>
              <w:t>at any given time (i.e. whether the retailer is one that can, at a particular date, take advantage of the deferral of the obligations)</w:t>
            </w:r>
            <w:r w:rsidR="00226996">
              <w:rPr>
                <w:rFonts w:eastAsiaTheme="minorHAnsi"/>
                <w:sz w:val="20"/>
                <w:szCs w:val="20"/>
              </w:rPr>
              <w:t>; and</w:t>
            </w:r>
          </w:p>
          <w:p w14:paraId="64F34FAF" w14:textId="77777777" w:rsidR="00B06EA8" w:rsidRPr="00D345E8" w:rsidRDefault="00B06EA8" w:rsidP="00D345E8">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 xml:space="preserve"> </w:t>
            </w:r>
          </w:p>
          <w:p w14:paraId="6544DBC4" w14:textId="77777777" w:rsidR="00B06EA8" w:rsidRPr="00D345E8" w:rsidRDefault="00B06EA8" w:rsidP="00D345E8">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 xml:space="preserve">the regulatory gap in terms of the time remaining before the small retailer must meet the statutory obligations referred to above. </w:t>
            </w:r>
          </w:p>
          <w:p w14:paraId="1DAFDD53"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7ECA7AF0" w14:textId="77777777" w:rsidR="00226996"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sidRPr="00955DBF">
              <w:rPr>
                <w:sz w:val="20"/>
                <w:szCs w:val="20"/>
              </w:rPr>
              <w:t xml:space="preserve">By addressing the </w:t>
            </w:r>
            <w:r>
              <w:rPr>
                <w:sz w:val="20"/>
                <w:szCs w:val="20"/>
              </w:rPr>
              <w:t xml:space="preserve">apparent </w:t>
            </w:r>
            <w:r w:rsidRPr="00955DBF">
              <w:rPr>
                <w:sz w:val="20"/>
                <w:szCs w:val="20"/>
              </w:rPr>
              <w:t xml:space="preserve">inequity of the application of </w:t>
            </w:r>
            <w:r>
              <w:rPr>
                <w:sz w:val="20"/>
                <w:szCs w:val="20"/>
              </w:rPr>
              <w:t xml:space="preserve">statutory deferrals of certain obligations for </w:t>
            </w:r>
            <w:r w:rsidRPr="00955DBF">
              <w:rPr>
                <w:sz w:val="20"/>
                <w:szCs w:val="20"/>
              </w:rPr>
              <w:t xml:space="preserve">small retailers, the Treasury will be increasing the number of consumers (up to 9,999 consumers </w:t>
            </w:r>
            <w:r w:rsidRPr="00955DBF">
              <w:rPr>
                <w:i/>
                <w:iCs/>
                <w:sz w:val="20"/>
                <w:szCs w:val="20"/>
              </w:rPr>
              <w:t>for each additional small retailer</w:t>
            </w:r>
            <w:r w:rsidRPr="00955DBF">
              <w:rPr>
                <w:sz w:val="20"/>
                <w:szCs w:val="20"/>
              </w:rPr>
              <w:t xml:space="preserve"> that has the benefit of the delayed application of certain CDR Rules) whose end-to-end CDR dealings with a small retailer is not </w:t>
            </w:r>
            <w:r w:rsidRPr="00563635">
              <w:rPr>
                <w:sz w:val="20"/>
                <w:szCs w:val="20"/>
              </w:rPr>
              <w:t>necessar</w:t>
            </w:r>
            <w:r>
              <w:rPr>
                <w:sz w:val="20"/>
                <w:szCs w:val="20"/>
              </w:rPr>
              <w:t>ily</w:t>
            </w:r>
            <w:r w:rsidRPr="00955DBF">
              <w:rPr>
                <w:sz w:val="20"/>
                <w:szCs w:val="20"/>
              </w:rPr>
              <w:t xml:space="preserve"> governed by the full suite of relevant CDR rules. </w:t>
            </w:r>
          </w:p>
          <w:p w14:paraId="38DB3576" w14:textId="77777777" w:rsidR="00226996" w:rsidRDefault="00226996"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4C9EB57A" w14:textId="77777777" w:rsidR="00B06EA8" w:rsidRPr="00955DBF"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Mills Oakley is not aware whether there is any modelling or forecasts about the number of small retailers (and by inference the number of consumers) who</w:t>
            </w:r>
            <w:r w:rsidR="00226996">
              <w:rPr>
                <w:sz w:val="20"/>
                <w:szCs w:val="20"/>
              </w:rPr>
              <w:t>se</w:t>
            </w:r>
            <w:r>
              <w:rPr>
                <w:sz w:val="20"/>
                <w:szCs w:val="20"/>
              </w:rPr>
              <w:t xml:space="preserve"> privacy and data requests are impacted by the current deferral arrangements and the proposed extension of those deferrals. This makes it difficult to assess how the privacy and data access considerations are being balanced and weighted against the competition and market entry factors that we understand underscore the deferred application of certain obligations. </w:t>
            </w:r>
          </w:p>
          <w:p w14:paraId="109AA4C2"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17AF627F" w14:textId="77777777" w:rsidR="00B06EA8" w:rsidRDefault="00B06EA8"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Expanding the scope of the small retailer cohort that can leverage the deferral arrangements risks retailers entering the market before they have </w:t>
            </w:r>
            <w:r w:rsidRPr="00CC1BEE">
              <w:rPr>
                <w:sz w:val="20"/>
                <w:szCs w:val="20"/>
              </w:rPr>
              <w:t xml:space="preserve">the </w:t>
            </w:r>
            <w:r>
              <w:rPr>
                <w:sz w:val="20"/>
                <w:szCs w:val="20"/>
              </w:rPr>
              <w:t xml:space="preserve">procedures and </w:t>
            </w:r>
            <w:r w:rsidRPr="00CC1BEE">
              <w:rPr>
                <w:sz w:val="20"/>
                <w:szCs w:val="20"/>
              </w:rPr>
              <w:t xml:space="preserve">technical capabilities to manage the </w:t>
            </w:r>
            <w:r>
              <w:rPr>
                <w:sz w:val="20"/>
                <w:szCs w:val="20"/>
              </w:rPr>
              <w:t>full suite of obligations under the CDR Rules. One stakeholder has s</w:t>
            </w:r>
            <w:r w:rsidR="00504E7E">
              <w:rPr>
                <w:sz w:val="20"/>
                <w:szCs w:val="20"/>
              </w:rPr>
              <w:t>ug</w:t>
            </w:r>
            <w:r>
              <w:rPr>
                <w:sz w:val="20"/>
                <w:szCs w:val="20"/>
              </w:rPr>
              <w:t>gested this might create a risk of systemic non-compliance with PS 11.</w:t>
            </w:r>
            <w:r>
              <w:rPr>
                <w:rStyle w:val="FootnoteReference"/>
                <w:sz w:val="20"/>
                <w:szCs w:val="20"/>
              </w:rPr>
              <w:t xml:space="preserve"> </w:t>
            </w:r>
            <w:r>
              <w:rPr>
                <w:rStyle w:val="FootnoteReference"/>
                <w:sz w:val="20"/>
                <w:szCs w:val="20"/>
              </w:rPr>
              <w:footnoteReference w:id="30"/>
            </w:r>
            <w:r>
              <w:rPr>
                <w:sz w:val="20"/>
                <w:szCs w:val="20"/>
              </w:rPr>
              <w:t xml:space="preserve"> </w:t>
            </w:r>
          </w:p>
          <w:p w14:paraId="215D3DD4" w14:textId="77777777" w:rsidR="00F7063C" w:rsidRDefault="00F7063C"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35DF0450" w14:textId="37249360" w:rsidR="00F611DF" w:rsidRDefault="00A8251F" w:rsidP="00B06EA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00F7063C">
              <w:rPr>
                <w:sz w:val="20"/>
                <w:szCs w:val="20"/>
              </w:rPr>
              <w:t xml:space="preserve">he Treasury has indicated the regulatory approvals and licences that need to be in place for a small retailer </w:t>
            </w:r>
            <w:r>
              <w:rPr>
                <w:sz w:val="20"/>
                <w:szCs w:val="20"/>
              </w:rPr>
              <w:t>to enter the market is likely to mean the impact on consumers is low</w:t>
            </w:r>
            <w:r w:rsidR="00185BAD">
              <w:rPr>
                <w:sz w:val="20"/>
                <w:szCs w:val="20"/>
              </w:rPr>
              <w:t xml:space="preserve"> (i.e. in terms of the number of affected consumers)</w:t>
            </w:r>
            <w:r>
              <w:rPr>
                <w:sz w:val="20"/>
                <w:szCs w:val="20"/>
              </w:rPr>
              <w:t xml:space="preserve">, </w:t>
            </w:r>
            <w:r w:rsidR="00185BAD">
              <w:rPr>
                <w:sz w:val="20"/>
                <w:szCs w:val="20"/>
              </w:rPr>
              <w:t xml:space="preserve">and temporary, </w:t>
            </w:r>
            <w:r>
              <w:rPr>
                <w:sz w:val="20"/>
                <w:szCs w:val="20"/>
              </w:rPr>
              <w:t xml:space="preserve">since it can often take </w:t>
            </w:r>
            <w:r w:rsidR="00185BAD">
              <w:rPr>
                <w:sz w:val="20"/>
                <w:szCs w:val="20"/>
              </w:rPr>
              <w:t xml:space="preserve">months/years </w:t>
            </w:r>
            <w:r>
              <w:rPr>
                <w:sz w:val="20"/>
                <w:szCs w:val="20"/>
              </w:rPr>
              <w:t>to acquire consumers</w:t>
            </w:r>
            <w:r w:rsidR="00185BAD">
              <w:rPr>
                <w:sz w:val="20"/>
                <w:szCs w:val="20"/>
              </w:rPr>
              <w:t xml:space="preserve"> and offer energy products and services.</w:t>
            </w:r>
            <w:r>
              <w:rPr>
                <w:sz w:val="20"/>
                <w:szCs w:val="20"/>
              </w:rPr>
              <w:t xml:space="preserve"> </w:t>
            </w:r>
          </w:p>
          <w:p w14:paraId="74D7FBD1" w14:textId="77777777" w:rsidR="001B45A4" w:rsidRDefault="001B45A4"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05D8B9B3" w14:textId="77777777" w:rsidR="001B45A4" w:rsidRDefault="001B45A4" w:rsidP="00B06EA8">
            <w:pPr>
              <w:cnfStyle w:val="000000100000" w:firstRow="0" w:lastRow="0" w:firstColumn="0" w:lastColumn="0" w:oddVBand="0" w:evenVBand="0" w:oddHBand="1" w:evenHBand="0" w:firstRowFirstColumn="0" w:firstRowLastColumn="0" w:lastRowFirstColumn="0" w:lastRowLastColumn="0"/>
              <w:rPr>
                <w:sz w:val="20"/>
                <w:szCs w:val="20"/>
              </w:rPr>
            </w:pPr>
          </w:p>
          <w:p w14:paraId="630FDBA7" w14:textId="686897CD" w:rsidR="00B06EA8" w:rsidRDefault="00B06EA8" w:rsidP="001C7DC4">
            <w:pPr>
              <w:cnfStyle w:val="000000100000" w:firstRow="0" w:lastRow="0" w:firstColumn="0" w:lastColumn="0" w:oddVBand="0" w:evenVBand="0" w:oddHBand="1" w:evenHBand="0" w:firstRowFirstColumn="0" w:firstRowLastColumn="0" w:lastRowFirstColumn="0" w:lastRowLastColumn="0"/>
              <w:rPr>
                <w:sz w:val="20"/>
                <w:szCs w:val="20"/>
              </w:rPr>
            </w:pPr>
            <w:bookmarkStart w:id="51" w:name="Recommendation_9"/>
            <w:r w:rsidRPr="004C4F6B">
              <w:rPr>
                <w:b/>
                <w:bCs/>
                <w:i/>
                <w:iCs/>
                <w:sz w:val="20"/>
                <w:szCs w:val="20"/>
              </w:rPr>
              <w:t>Recommendation</w:t>
            </w:r>
            <w:r w:rsidR="00D27D7F">
              <w:rPr>
                <w:b/>
                <w:bCs/>
                <w:i/>
                <w:iCs/>
                <w:sz w:val="20"/>
                <w:szCs w:val="20"/>
              </w:rPr>
              <w:t xml:space="preserve"> [</w:t>
            </w:r>
            <w:r w:rsidR="00154CDE">
              <w:rPr>
                <w:b/>
                <w:bCs/>
                <w:i/>
                <w:iCs/>
                <w:sz w:val="20"/>
                <w:szCs w:val="20"/>
              </w:rPr>
              <w:t>9</w:t>
            </w:r>
            <w:bookmarkEnd w:id="51"/>
            <w:r w:rsidR="00D27D7F">
              <w:rPr>
                <w:b/>
                <w:bCs/>
                <w:i/>
                <w:iCs/>
                <w:sz w:val="20"/>
                <w:szCs w:val="20"/>
              </w:rPr>
              <w:t>]</w:t>
            </w:r>
            <w:r>
              <w:rPr>
                <w:sz w:val="20"/>
                <w:szCs w:val="20"/>
              </w:rPr>
              <w:t xml:space="preserve">: Treasury consider the feasibility of a regulatory and enforcement strategy that is calibrated to support small retailers meet their CDR obligations rather </w:t>
            </w:r>
            <w:r w:rsidR="00504E7E">
              <w:rPr>
                <w:sz w:val="20"/>
                <w:szCs w:val="20"/>
              </w:rPr>
              <w:t>than</w:t>
            </w:r>
            <w:r>
              <w:rPr>
                <w:sz w:val="20"/>
                <w:szCs w:val="20"/>
              </w:rPr>
              <w:t xml:space="preserve"> defer the application of those obligations. </w:t>
            </w:r>
          </w:p>
        </w:tc>
      </w:tr>
    </w:tbl>
    <w:p w14:paraId="7C88EEC0" w14:textId="77777777" w:rsidR="00B3729D" w:rsidRDefault="00B3729D" w:rsidP="00AC6D85">
      <w:pPr>
        <w:pStyle w:val="Bullet"/>
        <w:framePr w:wrap="around"/>
        <w:numPr>
          <w:ilvl w:val="0"/>
          <w:numId w:val="0"/>
        </w:numPr>
        <w:ind w:left="520"/>
      </w:pPr>
      <w:r>
        <w:tab/>
      </w:r>
    </w:p>
    <w:p w14:paraId="2C3C428C" w14:textId="77777777" w:rsidR="00BB022E" w:rsidRPr="001F2AD8" w:rsidRDefault="00767179" w:rsidP="001F2AD8">
      <w:pPr>
        <w:pStyle w:val="MOTermsL2"/>
        <w:numPr>
          <w:ilvl w:val="0"/>
          <w:numId w:val="0"/>
        </w:numPr>
        <w:ind w:left="851"/>
        <w:rPr>
          <w:sz w:val="24"/>
          <w:szCs w:val="24"/>
        </w:rPr>
      </w:pPr>
      <w:bookmarkStart w:id="52" w:name="_Toc165324958"/>
      <w:r w:rsidRPr="001F2AD8">
        <w:rPr>
          <w:sz w:val="24"/>
          <w:szCs w:val="24"/>
        </w:rPr>
        <w:t>P</w:t>
      </w:r>
      <w:r w:rsidR="00BB022E" w:rsidRPr="001F2AD8">
        <w:rPr>
          <w:sz w:val="24"/>
          <w:szCs w:val="24"/>
        </w:rPr>
        <w:t xml:space="preserve">roducts </w:t>
      </w:r>
      <w:r w:rsidR="00DE3DF9" w:rsidRPr="001F2AD8">
        <w:rPr>
          <w:sz w:val="24"/>
          <w:szCs w:val="24"/>
        </w:rPr>
        <w:t>for the energy sector</w:t>
      </w:r>
      <w:bookmarkEnd w:id="52"/>
      <w:r w:rsidR="00DE3DF9" w:rsidRPr="001F2AD8">
        <w:rPr>
          <w:sz w:val="24"/>
          <w:szCs w:val="24"/>
        </w:rPr>
        <w:t xml:space="preserve"> </w:t>
      </w:r>
    </w:p>
    <w:p w14:paraId="1ED1C602" w14:textId="2BF1DF1B" w:rsidR="00DE3DF9" w:rsidRPr="00D27D7F" w:rsidRDefault="00DE3DF9" w:rsidP="00DE3DF9">
      <w:pPr>
        <w:pStyle w:val="MOTermsL4"/>
      </w:pPr>
      <w:r w:rsidRPr="00D27D7F">
        <w:t>Treasury</w:t>
      </w:r>
      <w:r w:rsidR="0055343D">
        <w:t xml:space="preserve"> proposes a change to </w:t>
      </w:r>
      <w:r w:rsidRPr="00D27D7F">
        <w:t>the CDR Rules to insert an energy sector</w:t>
      </w:r>
      <w:r w:rsidR="00D27D7F">
        <w:t>-</w:t>
      </w:r>
      <w:r w:rsidRPr="00D27D7F">
        <w:t>specific definition of ‘trial product</w:t>
      </w:r>
      <w:r w:rsidR="0055343D">
        <w:t>s</w:t>
      </w:r>
      <w:r w:rsidRPr="00D27D7F">
        <w:t xml:space="preserve">’. We understand that the intention is to mirror the amendments made by the </w:t>
      </w:r>
      <w:r w:rsidRPr="00D27D7F">
        <w:rPr>
          <w:i/>
          <w:iCs/>
        </w:rPr>
        <w:t>Competition and Consumer (Consumer Data Right) Amendment Rules (No. 1) 2023</w:t>
      </w:r>
      <w:r w:rsidRPr="00D27D7F">
        <w:t xml:space="preserve"> that inserted a bank sector</w:t>
      </w:r>
      <w:r w:rsidR="00D27D7F">
        <w:t>-</w:t>
      </w:r>
      <w:r w:rsidRPr="00D27D7F">
        <w:t>specific definition of trial product</w:t>
      </w:r>
      <w:r w:rsidR="0055343D">
        <w:t>s</w:t>
      </w:r>
      <w:r w:rsidRPr="00D27D7F">
        <w:t xml:space="preserve">. </w:t>
      </w:r>
      <w:r w:rsidR="00F4680C">
        <w:t>T</w:t>
      </w:r>
      <w:r w:rsidR="00F4680C" w:rsidRPr="00F4680C">
        <w:t xml:space="preserve">he </w:t>
      </w:r>
      <w:r w:rsidR="00F4680C">
        <w:t xml:space="preserve">proposed </w:t>
      </w:r>
      <w:r w:rsidR="00F4680C" w:rsidRPr="00F4680C">
        <w:t xml:space="preserve">change is about </w:t>
      </w:r>
      <w:r w:rsidR="00F4680C" w:rsidRPr="003E4449">
        <w:rPr>
          <w:i/>
          <w:iCs/>
        </w:rPr>
        <w:t>exempting</w:t>
      </w:r>
      <w:r w:rsidR="00F4680C" w:rsidRPr="00F4680C">
        <w:t xml:space="preserve"> trial products in the energy sector from the CDR Rules. The intention is that energy data holders would not need to meet CDR </w:t>
      </w:r>
      <w:r w:rsidR="00825D11">
        <w:t xml:space="preserve">data </w:t>
      </w:r>
      <w:r w:rsidR="00F4680C" w:rsidRPr="00F4680C">
        <w:t>obligations for these trial products</w:t>
      </w:r>
      <w:r w:rsidR="00F4680C">
        <w:t xml:space="preserve">.  </w:t>
      </w:r>
      <w:r w:rsidRPr="00D27D7F">
        <w:t xml:space="preserve">Stakeholder feedback obtained by the Treasury on the 2023 Rules indicated there was support for extending </w:t>
      </w:r>
      <w:r w:rsidR="00551D44" w:rsidRPr="00D27D7F">
        <w:t>these amendments</w:t>
      </w:r>
      <w:r w:rsidRPr="00D27D7F">
        <w:t xml:space="preserve"> to the energy sector.</w:t>
      </w:r>
    </w:p>
    <w:p w14:paraId="70A609B3" w14:textId="724CB70D" w:rsidR="00DE3DF9" w:rsidRPr="00D27D7F" w:rsidRDefault="00DE3DF9" w:rsidP="00DE3DF9">
      <w:pPr>
        <w:pStyle w:val="MOTermsL4"/>
      </w:pPr>
      <w:r w:rsidRPr="00D27D7F">
        <w:t xml:space="preserve">The Treasury proposes </w:t>
      </w:r>
      <w:r w:rsidR="00767179" w:rsidRPr="00D27D7F">
        <w:t>the</w:t>
      </w:r>
      <w:r w:rsidRPr="00D27D7F">
        <w:t xml:space="preserve"> definition of ‘trial product</w:t>
      </w:r>
      <w:r w:rsidR="0055343D">
        <w:t>s</w:t>
      </w:r>
      <w:r w:rsidRPr="00D27D7F">
        <w:t>’</w:t>
      </w:r>
      <w:r w:rsidR="006518E0" w:rsidRPr="00D27D7F">
        <w:t xml:space="preserve"> is</w:t>
      </w:r>
      <w:r w:rsidRPr="00D27D7F">
        <w:t xml:space="preserve"> tied to a trial</w:t>
      </w:r>
      <w:r w:rsidR="006518E0" w:rsidRPr="00D27D7F">
        <w:t xml:space="preserve"> or pilot</w:t>
      </w:r>
      <w:r w:rsidRPr="00D27D7F">
        <w:t xml:space="preserve"> period of no more than 12 months.</w:t>
      </w:r>
      <w:r w:rsidR="002D6544">
        <w:t xml:space="preserve"> Treasury will also explore with the drafters whether ‘trial plans’ is more appropriate language for the energy sector than</w:t>
      </w:r>
      <w:r w:rsidR="00884083">
        <w:t>,</w:t>
      </w:r>
      <w:r w:rsidR="002D6544">
        <w:t xml:space="preserve"> trial products’. </w:t>
      </w:r>
    </w:p>
    <w:p w14:paraId="2CCF031A" w14:textId="77777777" w:rsidR="0098360E" w:rsidRPr="0098360E" w:rsidRDefault="0098360E" w:rsidP="0098360E">
      <w:pPr>
        <w:pStyle w:val="MOTermsL4"/>
        <w:numPr>
          <w:ilvl w:val="0"/>
          <w:numId w:val="0"/>
        </w:numPr>
        <w:ind w:left="851"/>
        <w:rPr>
          <w:sz w:val="20"/>
          <w:szCs w:val="20"/>
        </w:rPr>
      </w:pPr>
    </w:p>
    <w:tbl>
      <w:tblPr>
        <w:tblStyle w:val="GridTable4-Accent1"/>
        <w:tblW w:w="14709" w:type="dxa"/>
        <w:tblLook w:val="04A0" w:firstRow="1" w:lastRow="0" w:firstColumn="1" w:lastColumn="0" w:noHBand="0" w:noVBand="1"/>
      </w:tblPr>
      <w:tblGrid>
        <w:gridCol w:w="3652"/>
        <w:gridCol w:w="4253"/>
        <w:gridCol w:w="1559"/>
        <w:gridCol w:w="5245"/>
      </w:tblGrid>
      <w:tr w:rsidR="007B46BA" w14:paraId="27F5DB61" w14:textId="77777777" w:rsidTr="001619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14:paraId="1CB6C5A7" w14:textId="35ECEF44" w:rsidR="007B46BA" w:rsidRDefault="00483AF3" w:rsidP="007B46BA">
            <w:r w:rsidRPr="0079789C">
              <w:rPr>
                <w:sz w:val="20"/>
                <w:szCs w:val="20"/>
              </w:rPr>
              <w:t>Synopsis of stakeholders’ privacy comments and submissions</w:t>
            </w:r>
          </w:p>
        </w:tc>
        <w:tc>
          <w:tcPr>
            <w:tcW w:w="4253" w:type="dxa"/>
          </w:tcPr>
          <w:p w14:paraId="2AC95CE7" w14:textId="1CA05283"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09FDDD77"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245" w:type="dxa"/>
          </w:tcPr>
          <w:p w14:paraId="6B25E602" w14:textId="77777777" w:rsidR="007B46BA" w:rsidRDefault="007B46BA" w:rsidP="007B46BA">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A07F28" w14:paraId="10E33AE6" w14:textId="77777777" w:rsidTr="00161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DEDED6F" w14:textId="57775534" w:rsidR="00A07F28" w:rsidRPr="00A07F28" w:rsidRDefault="00825D11" w:rsidP="00A07F28">
            <w:pPr>
              <w:pStyle w:val="ListParagraph"/>
              <w:ind w:left="0"/>
              <w:rPr>
                <w:rFonts w:eastAsiaTheme="minorHAnsi"/>
                <w:b w:val="0"/>
                <w:bCs w:val="0"/>
                <w:sz w:val="20"/>
                <w:szCs w:val="20"/>
              </w:rPr>
            </w:pPr>
            <w:r>
              <w:rPr>
                <w:rFonts w:eastAsiaTheme="minorHAnsi"/>
                <w:b w:val="0"/>
                <w:bCs w:val="0"/>
                <w:sz w:val="20"/>
                <w:szCs w:val="20"/>
              </w:rPr>
              <w:t xml:space="preserve">The </w:t>
            </w:r>
            <w:r w:rsidR="00A07F28" w:rsidRPr="00A07F28">
              <w:rPr>
                <w:rFonts w:eastAsiaTheme="minorHAnsi"/>
                <w:b w:val="0"/>
                <w:bCs w:val="0"/>
                <w:sz w:val="20"/>
                <w:szCs w:val="20"/>
              </w:rPr>
              <w:t>synopsis of</w:t>
            </w:r>
            <w:r w:rsidR="006518E0">
              <w:rPr>
                <w:rFonts w:eastAsiaTheme="minorHAnsi"/>
                <w:b w:val="0"/>
                <w:bCs w:val="0"/>
                <w:sz w:val="20"/>
                <w:szCs w:val="20"/>
              </w:rPr>
              <w:t xml:space="preserve"> </w:t>
            </w:r>
            <w:r w:rsidR="00A07F28" w:rsidRPr="00A07F28">
              <w:rPr>
                <w:rFonts w:eastAsiaTheme="minorHAnsi"/>
                <w:b w:val="0"/>
                <w:bCs w:val="0"/>
                <w:sz w:val="20"/>
                <w:szCs w:val="20"/>
              </w:rPr>
              <w:t>submissions</w:t>
            </w:r>
            <w:r>
              <w:rPr>
                <w:rFonts w:eastAsiaTheme="minorHAnsi"/>
                <w:b w:val="0"/>
                <w:bCs w:val="0"/>
                <w:sz w:val="20"/>
                <w:szCs w:val="20"/>
              </w:rPr>
              <w:t xml:space="preserve"> indicates that </w:t>
            </w:r>
            <w:r w:rsidR="00A07F28" w:rsidRPr="00A07F28">
              <w:rPr>
                <w:rFonts w:eastAsiaTheme="minorHAnsi"/>
                <w:b w:val="0"/>
                <w:bCs w:val="0"/>
                <w:sz w:val="20"/>
                <w:szCs w:val="20"/>
              </w:rPr>
              <w:t xml:space="preserve">stakeholders were broadly </w:t>
            </w:r>
            <w:r w:rsidR="00A07F28" w:rsidRPr="00A07F28">
              <w:rPr>
                <w:rFonts w:eastAsiaTheme="minorHAnsi"/>
                <w:b w:val="0"/>
                <w:bCs w:val="0"/>
                <w:i/>
                <w:iCs/>
                <w:sz w:val="20"/>
                <w:szCs w:val="20"/>
              </w:rPr>
              <w:t xml:space="preserve">supportive </w:t>
            </w:r>
            <w:r w:rsidR="00A07F28" w:rsidRPr="00A07F28">
              <w:rPr>
                <w:rFonts w:eastAsiaTheme="minorHAnsi"/>
                <w:b w:val="0"/>
                <w:bCs w:val="0"/>
                <w:sz w:val="20"/>
                <w:szCs w:val="20"/>
              </w:rPr>
              <w:t xml:space="preserve">of </w:t>
            </w:r>
            <w:r>
              <w:rPr>
                <w:rFonts w:eastAsiaTheme="minorHAnsi"/>
                <w:b w:val="0"/>
                <w:bCs w:val="0"/>
                <w:sz w:val="20"/>
                <w:szCs w:val="20"/>
              </w:rPr>
              <w:t xml:space="preserve">treating </w:t>
            </w:r>
            <w:r w:rsidR="00A07F28" w:rsidRPr="00A07F28">
              <w:rPr>
                <w:rFonts w:eastAsiaTheme="minorHAnsi"/>
                <w:b w:val="0"/>
                <w:bCs w:val="0"/>
                <w:sz w:val="20"/>
                <w:szCs w:val="20"/>
              </w:rPr>
              <w:t>‘tr</w:t>
            </w:r>
            <w:r w:rsidR="006518E0">
              <w:rPr>
                <w:rFonts w:eastAsiaTheme="minorHAnsi"/>
                <w:b w:val="0"/>
                <w:bCs w:val="0"/>
                <w:sz w:val="20"/>
                <w:szCs w:val="20"/>
              </w:rPr>
              <w:t>ial</w:t>
            </w:r>
            <w:r w:rsidR="00A07F28" w:rsidRPr="00A07F28">
              <w:rPr>
                <w:rFonts w:eastAsiaTheme="minorHAnsi"/>
                <w:b w:val="0"/>
                <w:bCs w:val="0"/>
                <w:sz w:val="20"/>
                <w:szCs w:val="20"/>
              </w:rPr>
              <w:t xml:space="preserve"> product</w:t>
            </w:r>
            <w:r>
              <w:rPr>
                <w:rFonts w:eastAsiaTheme="minorHAnsi"/>
                <w:b w:val="0"/>
                <w:bCs w:val="0"/>
                <w:sz w:val="20"/>
                <w:szCs w:val="20"/>
              </w:rPr>
              <w:t>s</w:t>
            </w:r>
            <w:r w:rsidR="00A07F28" w:rsidRPr="00A07F28">
              <w:rPr>
                <w:rFonts w:eastAsiaTheme="minorHAnsi"/>
                <w:b w:val="0"/>
                <w:bCs w:val="0"/>
                <w:sz w:val="20"/>
                <w:szCs w:val="20"/>
              </w:rPr>
              <w:t xml:space="preserve">’ </w:t>
            </w:r>
            <w:r>
              <w:rPr>
                <w:rFonts w:eastAsiaTheme="minorHAnsi"/>
                <w:b w:val="0"/>
                <w:bCs w:val="0"/>
                <w:sz w:val="20"/>
                <w:szCs w:val="20"/>
              </w:rPr>
              <w:t xml:space="preserve">in </w:t>
            </w:r>
            <w:r w:rsidR="00A07F28" w:rsidRPr="00A07F28">
              <w:rPr>
                <w:rFonts w:eastAsiaTheme="minorHAnsi"/>
                <w:b w:val="0"/>
                <w:bCs w:val="0"/>
                <w:sz w:val="20"/>
                <w:szCs w:val="20"/>
              </w:rPr>
              <w:t>the energy sector</w:t>
            </w:r>
            <w:r>
              <w:rPr>
                <w:rFonts w:eastAsiaTheme="minorHAnsi"/>
                <w:b w:val="0"/>
                <w:bCs w:val="0"/>
                <w:sz w:val="20"/>
                <w:szCs w:val="20"/>
              </w:rPr>
              <w:t xml:space="preserve"> </w:t>
            </w:r>
            <w:r w:rsidR="00477E89">
              <w:rPr>
                <w:rFonts w:eastAsiaTheme="minorHAnsi"/>
                <w:b w:val="0"/>
                <w:bCs w:val="0"/>
                <w:sz w:val="20"/>
                <w:szCs w:val="20"/>
              </w:rPr>
              <w:t xml:space="preserve">in </w:t>
            </w:r>
            <w:r>
              <w:rPr>
                <w:rFonts w:eastAsiaTheme="minorHAnsi"/>
                <w:b w:val="0"/>
                <w:bCs w:val="0"/>
                <w:sz w:val="20"/>
                <w:szCs w:val="20"/>
              </w:rPr>
              <w:t>the same way trial products are dealt with in the CDR Rules for the banking sector</w:t>
            </w:r>
            <w:r w:rsidR="00A07F28" w:rsidRPr="00A07F28">
              <w:rPr>
                <w:rFonts w:eastAsiaTheme="minorHAnsi"/>
                <w:b w:val="0"/>
                <w:bCs w:val="0"/>
                <w:sz w:val="20"/>
                <w:szCs w:val="20"/>
              </w:rPr>
              <w:t xml:space="preserve">. </w:t>
            </w:r>
          </w:p>
          <w:p w14:paraId="4BBA82F5" w14:textId="77777777" w:rsidR="00A07F28" w:rsidRPr="00A07F28" w:rsidRDefault="00A07F28" w:rsidP="00A07F28">
            <w:pPr>
              <w:pStyle w:val="ListParagraph"/>
              <w:ind w:left="0"/>
              <w:rPr>
                <w:rFonts w:eastAsiaTheme="minorHAnsi"/>
                <w:b w:val="0"/>
                <w:bCs w:val="0"/>
                <w:sz w:val="20"/>
                <w:szCs w:val="20"/>
              </w:rPr>
            </w:pPr>
          </w:p>
          <w:p w14:paraId="4D3EBD5B" w14:textId="6AEFD949" w:rsidR="00A07F28" w:rsidRPr="00A07F28" w:rsidRDefault="00A07F28" w:rsidP="00A07F28">
            <w:pPr>
              <w:pStyle w:val="ListParagraph"/>
              <w:ind w:left="0"/>
              <w:rPr>
                <w:rFonts w:eastAsiaTheme="minorHAnsi"/>
                <w:b w:val="0"/>
                <w:bCs w:val="0"/>
                <w:sz w:val="20"/>
                <w:szCs w:val="20"/>
              </w:rPr>
            </w:pPr>
            <w:r w:rsidRPr="00A07F28">
              <w:rPr>
                <w:b w:val="0"/>
                <w:bCs w:val="0"/>
                <w:sz w:val="20"/>
                <w:szCs w:val="20"/>
              </w:rPr>
              <w:t xml:space="preserve">Some stakeholders were supportive of the policy proposal but suggested alternative ways in which to characterise or define a trial. </w:t>
            </w:r>
            <w:r w:rsidR="00477E89">
              <w:rPr>
                <w:b w:val="0"/>
                <w:bCs w:val="0"/>
                <w:sz w:val="20"/>
                <w:szCs w:val="20"/>
              </w:rPr>
              <w:t>These are technical and industry specific measures but have a privacy impact since they will ultimately define the scope</w:t>
            </w:r>
            <w:r w:rsidR="00884083">
              <w:rPr>
                <w:b w:val="0"/>
                <w:bCs w:val="0"/>
                <w:sz w:val="20"/>
                <w:szCs w:val="20"/>
              </w:rPr>
              <w:t xml:space="preserve"> that</w:t>
            </w:r>
            <w:r w:rsidR="00477E89">
              <w:rPr>
                <w:b w:val="0"/>
                <w:bCs w:val="0"/>
                <w:sz w:val="20"/>
                <w:szCs w:val="20"/>
              </w:rPr>
              <w:t xml:space="preserve"> consumers have chosen trial products. </w:t>
            </w:r>
          </w:p>
          <w:p w14:paraId="7AF3296A" w14:textId="77777777" w:rsidR="00A07F28" w:rsidRPr="00A07F28" w:rsidRDefault="00A07F28" w:rsidP="00A07F28">
            <w:pPr>
              <w:pStyle w:val="ListParagraph"/>
              <w:ind w:left="0"/>
              <w:rPr>
                <w:rFonts w:eastAsiaTheme="minorHAnsi"/>
                <w:b w:val="0"/>
                <w:bCs w:val="0"/>
                <w:sz w:val="20"/>
                <w:szCs w:val="20"/>
              </w:rPr>
            </w:pPr>
          </w:p>
          <w:p w14:paraId="64089AB9" w14:textId="6BF22FF5" w:rsidR="00E95890" w:rsidRPr="00D345E8" w:rsidRDefault="00E95890" w:rsidP="00D345E8">
            <w:pPr>
              <w:rPr>
                <w:rFonts w:eastAsiaTheme="minorHAnsi"/>
                <w:sz w:val="20"/>
                <w:szCs w:val="20"/>
              </w:rPr>
            </w:pPr>
          </w:p>
          <w:p w14:paraId="4CB16542" w14:textId="77777777" w:rsidR="00A07F28" w:rsidRPr="00A07F28" w:rsidRDefault="00A07F28" w:rsidP="00A07F28">
            <w:pPr>
              <w:pStyle w:val="ListParagraph"/>
              <w:rPr>
                <w:rFonts w:eastAsiaTheme="minorHAnsi"/>
                <w:b w:val="0"/>
                <w:bCs w:val="0"/>
                <w:sz w:val="20"/>
                <w:szCs w:val="20"/>
              </w:rPr>
            </w:pPr>
          </w:p>
          <w:p w14:paraId="4C8679FB" w14:textId="468A2AB8" w:rsidR="00A07F28" w:rsidRPr="009002AB" w:rsidRDefault="00A07F28" w:rsidP="009002AB">
            <w:pPr>
              <w:rPr>
                <w:rFonts w:eastAsiaTheme="minorHAnsi"/>
                <w:sz w:val="20"/>
                <w:szCs w:val="20"/>
              </w:rPr>
            </w:pPr>
          </w:p>
          <w:p w14:paraId="5E026654" w14:textId="77777777" w:rsidR="00A07F28" w:rsidRPr="00A07F28" w:rsidRDefault="00A07F28" w:rsidP="00A07F28">
            <w:pPr>
              <w:rPr>
                <w:b w:val="0"/>
                <w:bCs w:val="0"/>
                <w:sz w:val="20"/>
                <w:szCs w:val="20"/>
              </w:rPr>
            </w:pPr>
          </w:p>
        </w:tc>
        <w:tc>
          <w:tcPr>
            <w:tcW w:w="4253" w:type="dxa"/>
          </w:tcPr>
          <w:p w14:paraId="1D1C7DAF" w14:textId="1AEBA295" w:rsidR="00A07F28"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Treasury </w:t>
            </w:r>
            <w:r w:rsidR="00825D11">
              <w:rPr>
                <w:sz w:val="20"/>
                <w:szCs w:val="20"/>
              </w:rPr>
              <w:t xml:space="preserve">proposes a change to the </w:t>
            </w:r>
            <w:r>
              <w:rPr>
                <w:sz w:val="20"/>
                <w:szCs w:val="20"/>
              </w:rPr>
              <w:t>CDR Rules to insert an energy sector-specific definition of ‘trial product</w:t>
            </w:r>
            <w:r w:rsidR="00825D11">
              <w:rPr>
                <w:sz w:val="20"/>
                <w:szCs w:val="20"/>
              </w:rPr>
              <w:t>s</w:t>
            </w:r>
            <w:r>
              <w:rPr>
                <w:sz w:val="20"/>
                <w:szCs w:val="20"/>
              </w:rPr>
              <w:t>’</w:t>
            </w:r>
            <w:r>
              <w:rPr>
                <w:rStyle w:val="FootnoteReference"/>
                <w:sz w:val="20"/>
                <w:szCs w:val="20"/>
              </w:rPr>
              <w:footnoteReference w:id="31"/>
            </w:r>
            <w:r>
              <w:rPr>
                <w:sz w:val="20"/>
                <w:szCs w:val="20"/>
              </w:rPr>
              <w:t xml:space="preserve"> to </w:t>
            </w:r>
            <w:r w:rsidR="00825D11">
              <w:rPr>
                <w:sz w:val="20"/>
                <w:szCs w:val="20"/>
              </w:rPr>
              <w:t xml:space="preserve">exclude data in relation to those products from the CDR Rules. </w:t>
            </w:r>
          </w:p>
          <w:p w14:paraId="690E5BE4" w14:textId="77777777" w:rsidR="00A07F28"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66E8384E" w14:textId="23A886DE" w:rsidR="00A07F28" w:rsidRPr="005127F7"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It is proposed that </w:t>
            </w:r>
            <w:r w:rsidR="006518E0">
              <w:rPr>
                <w:sz w:val="20"/>
                <w:szCs w:val="20"/>
              </w:rPr>
              <w:t xml:space="preserve">a </w:t>
            </w:r>
            <w:r>
              <w:rPr>
                <w:sz w:val="20"/>
                <w:szCs w:val="20"/>
              </w:rPr>
              <w:t xml:space="preserve">trial product is one that is supplied for no longer than </w:t>
            </w:r>
            <w:r w:rsidR="00477E89">
              <w:rPr>
                <w:sz w:val="20"/>
                <w:szCs w:val="20"/>
              </w:rPr>
              <w:t xml:space="preserve">a </w:t>
            </w:r>
            <w:proofErr w:type="gramStart"/>
            <w:r>
              <w:rPr>
                <w:sz w:val="20"/>
                <w:szCs w:val="20"/>
              </w:rPr>
              <w:t>12 month</w:t>
            </w:r>
            <w:proofErr w:type="gramEnd"/>
            <w:r>
              <w:rPr>
                <w:sz w:val="20"/>
                <w:szCs w:val="20"/>
              </w:rPr>
              <w:t xml:space="preserve"> period. </w:t>
            </w:r>
          </w:p>
          <w:p w14:paraId="75C4F98D" w14:textId="77777777" w:rsidR="00A07F28" w:rsidRPr="00A82545" w:rsidRDefault="00A07F28" w:rsidP="00A07F28">
            <w:pPr>
              <w:cnfStyle w:val="000000100000" w:firstRow="0" w:lastRow="0" w:firstColumn="0" w:lastColumn="0" w:oddVBand="0" w:evenVBand="0" w:oddHBand="1" w:evenHBand="0" w:firstRowFirstColumn="0" w:firstRowLastColumn="0" w:lastRowFirstColumn="0" w:lastRowLastColumn="0"/>
            </w:pPr>
          </w:p>
        </w:tc>
        <w:tc>
          <w:tcPr>
            <w:tcW w:w="1559" w:type="dxa"/>
          </w:tcPr>
          <w:p w14:paraId="17EAD82D" w14:textId="5CC8EFB1" w:rsidR="00D227FA" w:rsidRDefault="00D227FA" w:rsidP="00A07F28">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4, r 1.2</w:t>
            </w:r>
          </w:p>
          <w:p w14:paraId="1205C208" w14:textId="77777777" w:rsidR="00D227FA" w:rsidRDefault="00D227FA" w:rsidP="00A07F28">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FD74D7B" w14:textId="77777777" w:rsidR="00A07F28"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pPr>
            <w:r>
              <w:t>APPs (1– 9 and 12)</w:t>
            </w:r>
          </w:p>
          <w:p w14:paraId="01C45F59" w14:textId="77777777" w:rsidR="00A07F28"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pPr>
          </w:p>
          <w:p w14:paraId="658A8FF4" w14:textId="77777777" w:rsidR="00A07F28" w:rsidRDefault="00A07F28" w:rsidP="00A07F28">
            <w:pPr>
              <w:pStyle w:val="ListParagraph"/>
              <w:ind w:left="0"/>
              <w:cnfStyle w:val="000000100000" w:firstRow="0" w:lastRow="0" w:firstColumn="0" w:lastColumn="0" w:oddVBand="0" w:evenVBand="0" w:oddHBand="1" w:evenHBand="0" w:firstRowFirstColumn="0" w:firstRowLastColumn="0" w:lastRowFirstColumn="0" w:lastRowLastColumn="0"/>
            </w:pPr>
            <w:r>
              <w:t>PS 11 and 13</w:t>
            </w:r>
          </w:p>
          <w:p w14:paraId="0FC16D72" w14:textId="0F831D6C" w:rsidR="00A07F28" w:rsidRPr="00A82545" w:rsidRDefault="00A07F28" w:rsidP="00A07F28">
            <w:pPr>
              <w:cnfStyle w:val="000000100000" w:firstRow="0" w:lastRow="0" w:firstColumn="0" w:lastColumn="0" w:oddVBand="0" w:evenVBand="0" w:oddHBand="1" w:evenHBand="0" w:firstRowFirstColumn="0" w:firstRowLastColumn="0" w:lastRowFirstColumn="0" w:lastRowLastColumn="0"/>
            </w:pPr>
          </w:p>
        </w:tc>
        <w:tc>
          <w:tcPr>
            <w:tcW w:w="5245" w:type="dxa"/>
          </w:tcPr>
          <w:p w14:paraId="0A9064D1" w14:textId="007BAEBE" w:rsidR="00CC7F62" w:rsidRPr="00CC7F62" w:rsidRDefault="00CC7F62" w:rsidP="00CC7F62">
            <w:pPr>
              <w:cnfStyle w:val="000000100000" w:firstRow="0" w:lastRow="0" w:firstColumn="0" w:lastColumn="0" w:oddVBand="0" w:evenVBand="0" w:oddHBand="1" w:evenHBand="0" w:firstRowFirstColumn="0" w:firstRowLastColumn="0" w:lastRowFirstColumn="0" w:lastRowLastColumn="0"/>
              <w:rPr>
                <w:sz w:val="20"/>
                <w:szCs w:val="20"/>
              </w:rPr>
            </w:pPr>
            <w:r w:rsidRPr="00CC7F62">
              <w:rPr>
                <w:sz w:val="20"/>
                <w:szCs w:val="20"/>
              </w:rPr>
              <w:t xml:space="preserve">Mills Oakley has formed the view that the privacy impacts </w:t>
            </w:r>
            <w:r w:rsidR="002D6544">
              <w:rPr>
                <w:sz w:val="20"/>
                <w:szCs w:val="20"/>
              </w:rPr>
              <w:t xml:space="preserve">of excluding CDR data for trial plans </w:t>
            </w:r>
            <w:r w:rsidRPr="00CC7F62">
              <w:rPr>
                <w:sz w:val="20"/>
                <w:szCs w:val="20"/>
              </w:rPr>
              <w:t xml:space="preserve">can be effectively managed through pilot-specific privacy notices under APP 5 and obtaining express customer consent to participate in </w:t>
            </w:r>
            <w:r w:rsidR="00825D11">
              <w:rPr>
                <w:sz w:val="20"/>
                <w:szCs w:val="20"/>
              </w:rPr>
              <w:t>a</w:t>
            </w:r>
            <w:r w:rsidR="00825D11" w:rsidRPr="00CC7F62">
              <w:rPr>
                <w:sz w:val="20"/>
                <w:szCs w:val="20"/>
              </w:rPr>
              <w:t xml:space="preserve"> </w:t>
            </w:r>
            <w:r w:rsidRPr="00CC7F62">
              <w:rPr>
                <w:sz w:val="20"/>
                <w:szCs w:val="20"/>
              </w:rPr>
              <w:t xml:space="preserve">trial </w:t>
            </w:r>
            <w:r w:rsidR="002D6544">
              <w:rPr>
                <w:sz w:val="20"/>
                <w:szCs w:val="20"/>
              </w:rPr>
              <w:t xml:space="preserve">plan </w:t>
            </w:r>
            <w:r w:rsidRPr="00CC7F62">
              <w:rPr>
                <w:sz w:val="20"/>
                <w:szCs w:val="20"/>
              </w:rPr>
              <w:t>(</w:t>
            </w:r>
            <w:r w:rsidR="00BB46DB">
              <w:rPr>
                <w:sz w:val="20"/>
                <w:szCs w:val="20"/>
              </w:rPr>
              <w:t xml:space="preserve">i.e. </w:t>
            </w:r>
            <w:r w:rsidRPr="00CC7F62">
              <w:rPr>
                <w:sz w:val="20"/>
                <w:szCs w:val="20"/>
              </w:rPr>
              <w:t xml:space="preserve">setting up a consent </w:t>
            </w:r>
            <w:r w:rsidR="00BB46DB">
              <w:rPr>
                <w:sz w:val="20"/>
                <w:szCs w:val="20"/>
              </w:rPr>
              <w:t xml:space="preserve">or </w:t>
            </w:r>
            <w:r w:rsidRPr="00CC7F62">
              <w:rPr>
                <w:sz w:val="20"/>
                <w:szCs w:val="20"/>
              </w:rPr>
              <w:t>authorisation for the collection, use and disclosure of CDR data that is also personal information for the purpose of the trial</w:t>
            </w:r>
            <w:r w:rsidR="00825D11">
              <w:rPr>
                <w:sz w:val="20"/>
                <w:szCs w:val="20"/>
              </w:rPr>
              <w:t xml:space="preserve"> and that, if it were not for this proposal, would be CDR data</w:t>
            </w:r>
            <w:r w:rsidRPr="00CC7F62">
              <w:rPr>
                <w:sz w:val="20"/>
                <w:szCs w:val="20"/>
              </w:rPr>
              <w:t xml:space="preserve">). </w:t>
            </w:r>
          </w:p>
          <w:p w14:paraId="60785474" w14:textId="77777777" w:rsidR="00CC7F62" w:rsidRPr="00CC7F62" w:rsidRDefault="00CC7F62" w:rsidP="00CC7F62">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p w14:paraId="46925AC0" w14:textId="569AEFCE" w:rsidR="002D6544" w:rsidRDefault="002D6544" w:rsidP="00CC7F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Mills Oakley </w:t>
            </w:r>
            <w:r w:rsidR="00DB3BC0">
              <w:rPr>
                <w:sz w:val="20"/>
                <w:szCs w:val="20"/>
              </w:rPr>
              <w:t xml:space="preserve">has considered whether </w:t>
            </w:r>
            <w:r>
              <w:rPr>
                <w:sz w:val="20"/>
                <w:szCs w:val="20"/>
              </w:rPr>
              <w:t xml:space="preserve">the combined and sequential operation of the proposal regarding the deferred application of </w:t>
            </w:r>
            <w:r w:rsidR="00EC529D">
              <w:rPr>
                <w:sz w:val="20"/>
                <w:szCs w:val="20"/>
              </w:rPr>
              <w:t xml:space="preserve">certain </w:t>
            </w:r>
            <w:r>
              <w:rPr>
                <w:sz w:val="20"/>
                <w:szCs w:val="20"/>
              </w:rPr>
              <w:t xml:space="preserve">CDR </w:t>
            </w:r>
            <w:r w:rsidR="00EC529D">
              <w:rPr>
                <w:sz w:val="20"/>
                <w:szCs w:val="20"/>
              </w:rPr>
              <w:t xml:space="preserve">requirements </w:t>
            </w:r>
            <w:r w:rsidR="00A80922">
              <w:rPr>
                <w:sz w:val="20"/>
                <w:szCs w:val="20"/>
              </w:rPr>
              <w:t>(see above)</w:t>
            </w:r>
            <w:r>
              <w:rPr>
                <w:sz w:val="20"/>
                <w:szCs w:val="20"/>
              </w:rPr>
              <w:t>, together with this proposal to exclude data in connection with trial plans from the CDR regime</w:t>
            </w:r>
            <w:r w:rsidR="00DB3BC0">
              <w:rPr>
                <w:sz w:val="20"/>
                <w:szCs w:val="20"/>
              </w:rPr>
              <w:t>,</w:t>
            </w:r>
            <w:r>
              <w:rPr>
                <w:sz w:val="20"/>
                <w:szCs w:val="20"/>
              </w:rPr>
              <w:t xml:space="preserve"> may have </w:t>
            </w:r>
            <w:r w:rsidR="00DB3BC0">
              <w:rPr>
                <w:sz w:val="20"/>
                <w:szCs w:val="20"/>
              </w:rPr>
              <w:t xml:space="preserve">unintended </w:t>
            </w:r>
            <w:r w:rsidR="00A80922">
              <w:rPr>
                <w:sz w:val="20"/>
                <w:szCs w:val="20"/>
              </w:rPr>
              <w:t>privacy impacts on consumers. Small retailers might reasonably be expected to be market disruptors and explore a series of innovative plans to secure a customer base. This would effectively mean consumers do not get the benefit of the full suite of CDR-related rights and protections</w:t>
            </w:r>
            <w:r w:rsidR="00A8251F">
              <w:rPr>
                <w:sz w:val="20"/>
                <w:szCs w:val="20"/>
              </w:rPr>
              <w:t xml:space="preserve"> if they elect to stay with </w:t>
            </w:r>
            <w:r w:rsidR="00C845CA">
              <w:rPr>
                <w:sz w:val="20"/>
                <w:szCs w:val="20"/>
              </w:rPr>
              <w:t xml:space="preserve">the </w:t>
            </w:r>
            <w:r w:rsidR="00A8251F">
              <w:rPr>
                <w:sz w:val="20"/>
                <w:szCs w:val="20"/>
              </w:rPr>
              <w:t>small retailer</w:t>
            </w:r>
            <w:r w:rsidR="00A80922">
              <w:rPr>
                <w:sz w:val="20"/>
                <w:szCs w:val="20"/>
              </w:rPr>
              <w:t xml:space="preserve">. </w:t>
            </w:r>
          </w:p>
          <w:p w14:paraId="243C5DD7" w14:textId="77777777" w:rsidR="00DB3BC0" w:rsidRDefault="00DB3BC0" w:rsidP="00CC7F62">
            <w:pPr>
              <w:cnfStyle w:val="000000100000" w:firstRow="0" w:lastRow="0" w:firstColumn="0" w:lastColumn="0" w:oddVBand="0" w:evenVBand="0" w:oddHBand="1" w:evenHBand="0" w:firstRowFirstColumn="0" w:firstRowLastColumn="0" w:lastRowFirstColumn="0" w:lastRowLastColumn="0"/>
              <w:rPr>
                <w:sz w:val="20"/>
                <w:szCs w:val="20"/>
              </w:rPr>
            </w:pPr>
          </w:p>
          <w:p w14:paraId="528595D5" w14:textId="5DF65010" w:rsidR="00CC7F62" w:rsidRDefault="00BB46DB" w:rsidP="00CC7F62">
            <w:pPr>
              <w:cnfStyle w:val="000000100000" w:firstRow="0" w:lastRow="0" w:firstColumn="0" w:lastColumn="0" w:oddVBand="0" w:evenVBand="0" w:oddHBand="1" w:evenHBand="0" w:firstRowFirstColumn="0" w:firstRowLastColumn="0" w:lastRowFirstColumn="0" w:lastRowLastColumn="0"/>
              <w:rPr>
                <w:sz w:val="20"/>
                <w:szCs w:val="20"/>
              </w:rPr>
            </w:pPr>
            <w:bookmarkStart w:id="53" w:name="Recommendation_10"/>
            <w:r w:rsidRPr="00703B1B">
              <w:rPr>
                <w:b/>
                <w:bCs/>
                <w:i/>
                <w:iCs/>
                <w:sz w:val="20"/>
                <w:szCs w:val="20"/>
              </w:rPr>
              <w:t>Recommendation</w:t>
            </w:r>
            <w:r>
              <w:rPr>
                <w:b/>
                <w:bCs/>
                <w:i/>
                <w:iCs/>
                <w:sz w:val="20"/>
                <w:szCs w:val="20"/>
              </w:rPr>
              <w:t xml:space="preserve"> [1</w:t>
            </w:r>
            <w:r w:rsidR="00154CDE">
              <w:rPr>
                <w:b/>
                <w:bCs/>
                <w:i/>
                <w:iCs/>
                <w:sz w:val="20"/>
                <w:szCs w:val="20"/>
              </w:rPr>
              <w:t>0</w:t>
            </w:r>
            <w:bookmarkEnd w:id="53"/>
            <w:r>
              <w:rPr>
                <w:b/>
                <w:bCs/>
                <w:i/>
                <w:iCs/>
                <w:sz w:val="20"/>
                <w:szCs w:val="20"/>
              </w:rPr>
              <w:t xml:space="preserve">]: </w:t>
            </w:r>
            <w:r w:rsidR="00CC7F62" w:rsidRPr="00CC7F62">
              <w:rPr>
                <w:sz w:val="20"/>
                <w:szCs w:val="20"/>
              </w:rPr>
              <w:t xml:space="preserve">Treasury consider the combined and sequential operation of: </w:t>
            </w:r>
          </w:p>
          <w:p w14:paraId="69D1E58B" w14:textId="77777777" w:rsidR="00BB46DB" w:rsidRPr="00CC7F62" w:rsidRDefault="00BB46DB" w:rsidP="00CC7F62">
            <w:pPr>
              <w:cnfStyle w:val="000000100000" w:firstRow="0" w:lastRow="0" w:firstColumn="0" w:lastColumn="0" w:oddVBand="0" w:evenVBand="0" w:oddHBand="1" w:evenHBand="0" w:firstRowFirstColumn="0" w:firstRowLastColumn="0" w:lastRowFirstColumn="0" w:lastRowLastColumn="0"/>
              <w:rPr>
                <w:sz w:val="20"/>
                <w:szCs w:val="20"/>
              </w:rPr>
            </w:pPr>
          </w:p>
          <w:p w14:paraId="345FE52E" w14:textId="01E35254" w:rsidR="00825D11" w:rsidRDefault="00825D11" w:rsidP="00D345E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the deferred application of CDR Rules for certain cohorts</w:t>
            </w:r>
            <w:r w:rsidR="00BB46DB">
              <w:rPr>
                <w:rFonts w:eastAsiaTheme="minorHAnsi"/>
                <w:sz w:val="20"/>
                <w:szCs w:val="20"/>
              </w:rPr>
              <w:t xml:space="preserve">; </w:t>
            </w:r>
            <w:r>
              <w:rPr>
                <w:rFonts w:eastAsiaTheme="minorHAnsi"/>
                <w:sz w:val="20"/>
                <w:szCs w:val="20"/>
              </w:rPr>
              <w:t xml:space="preserve">and </w:t>
            </w:r>
          </w:p>
          <w:p w14:paraId="5DE7EDD3" w14:textId="77777777" w:rsidR="00825D11" w:rsidRDefault="00825D11" w:rsidP="00825D11">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259BA8DF" w14:textId="08DA0BE7" w:rsidR="00D345E8" w:rsidRDefault="00825D11" w:rsidP="00D345E8">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the exemption for trial products</w:t>
            </w:r>
            <w:r w:rsidR="00A80922">
              <w:rPr>
                <w:rFonts w:eastAsiaTheme="minorHAnsi"/>
                <w:sz w:val="20"/>
                <w:szCs w:val="20"/>
              </w:rPr>
              <w:t>/plans</w:t>
            </w:r>
            <w:r>
              <w:rPr>
                <w:rFonts w:eastAsiaTheme="minorHAnsi"/>
                <w:sz w:val="20"/>
                <w:szCs w:val="20"/>
              </w:rPr>
              <w:t xml:space="preserve">; </w:t>
            </w:r>
          </w:p>
          <w:p w14:paraId="5FAA3818" w14:textId="77777777" w:rsidR="00CC7F62" w:rsidRPr="00D345E8" w:rsidRDefault="00CC7F62" w:rsidP="00D345E8">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D345E8">
              <w:rPr>
                <w:rFonts w:eastAsiaTheme="minorHAnsi"/>
                <w:sz w:val="20"/>
                <w:szCs w:val="20"/>
              </w:rPr>
              <w:t xml:space="preserve"> </w:t>
            </w:r>
          </w:p>
          <w:p w14:paraId="62F5F5CA" w14:textId="4838FC2A" w:rsidR="00A07F28" w:rsidRPr="00914E9C" w:rsidRDefault="00825D11" w:rsidP="00914E9C">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Pr>
                <w:rFonts w:eastAsiaTheme="minorHAnsi"/>
                <w:sz w:val="20"/>
                <w:szCs w:val="20"/>
              </w:rPr>
              <w:t xml:space="preserve">on </w:t>
            </w:r>
            <w:r w:rsidR="00F54604" w:rsidRPr="00D345E8">
              <w:rPr>
                <w:rFonts w:eastAsiaTheme="minorHAnsi"/>
                <w:sz w:val="20"/>
                <w:szCs w:val="20"/>
              </w:rPr>
              <w:t>an</w:t>
            </w:r>
            <w:r w:rsidR="00CC7F62" w:rsidRPr="00D345E8">
              <w:rPr>
                <w:rFonts w:eastAsiaTheme="minorHAnsi"/>
                <w:sz w:val="20"/>
                <w:szCs w:val="20"/>
              </w:rPr>
              <w:t xml:space="preserve"> individual customer whose CDR experience is that </w:t>
            </w:r>
            <w:r w:rsidR="00A80922">
              <w:rPr>
                <w:rFonts w:eastAsiaTheme="minorHAnsi"/>
                <w:sz w:val="20"/>
                <w:szCs w:val="20"/>
              </w:rPr>
              <w:t xml:space="preserve">their </w:t>
            </w:r>
            <w:r w:rsidR="00CC7F62" w:rsidRPr="00D345E8">
              <w:rPr>
                <w:rFonts w:eastAsiaTheme="minorHAnsi"/>
                <w:sz w:val="20"/>
                <w:szCs w:val="20"/>
              </w:rPr>
              <w:t xml:space="preserve">CDR data is not protected by the </w:t>
            </w:r>
            <w:r w:rsidR="00185BAD">
              <w:rPr>
                <w:rFonts w:eastAsiaTheme="minorHAnsi"/>
                <w:sz w:val="20"/>
                <w:szCs w:val="20"/>
              </w:rPr>
              <w:t xml:space="preserve">full suite of </w:t>
            </w:r>
            <w:r w:rsidR="00CC7F62" w:rsidRPr="00D345E8">
              <w:rPr>
                <w:rFonts w:eastAsiaTheme="minorHAnsi"/>
                <w:sz w:val="20"/>
                <w:szCs w:val="20"/>
              </w:rPr>
              <w:t xml:space="preserve">CDR </w:t>
            </w:r>
            <w:r w:rsidR="00185BAD">
              <w:rPr>
                <w:rFonts w:eastAsiaTheme="minorHAnsi"/>
                <w:sz w:val="20"/>
                <w:szCs w:val="20"/>
              </w:rPr>
              <w:t>rights and protections.</w:t>
            </w:r>
            <w:r w:rsidR="00A80922">
              <w:rPr>
                <w:rFonts w:eastAsiaTheme="minorHAnsi"/>
                <w:sz w:val="20"/>
                <w:szCs w:val="20"/>
              </w:rPr>
              <w:t xml:space="preserve"> One way in which this risk might be avoided is to ensure that a small energy retailer cannot offer only tri</w:t>
            </w:r>
            <w:r w:rsidR="00B771E1">
              <w:rPr>
                <w:rFonts w:eastAsiaTheme="minorHAnsi"/>
                <w:sz w:val="20"/>
                <w:szCs w:val="20"/>
              </w:rPr>
              <w:t>a</w:t>
            </w:r>
            <w:r w:rsidR="00A80922">
              <w:rPr>
                <w:rFonts w:eastAsiaTheme="minorHAnsi"/>
                <w:sz w:val="20"/>
                <w:szCs w:val="20"/>
              </w:rPr>
              <w:t>l plans.</w:t>
            </w:r>
            <w:r w:rsidR="00B771E1">
              <w:rPr>
                <w:rFonts w:eastAsiaTheme="minorHAnsi"/>
                <w:sz w:val="20"/>
                <w:szCs w:val="20"/>
              </w:rPr>
              <w:t xml:space="preserve"> In other words, the business model cannot seek to avoid the rights and protections afforded to consumers under the CDR Rules by only offering trial plans. </w:t>
            </w:r>
          </w:p>
        </w:tc>
      </w:tr>
    </w:tbl>
    <w:p w14:paraId="78574E56" w14:textId="77777777" w:rsidR="00BB022E" w:rsidRPr="001F2AD8" w:rsidRDefault="00DE3DF9" w:rsidP="001F2AD8">
      <w:pPr>
        <w:pStyle w:val="MOTermsL2"/>
        <w:numPr>
          <w:ilvl w:val="0"/>
          <w:numId w:val="0"/>
        </w:numPr>
        <w:ind w:left="851"/>
        <w:rPr>
          <w:sz w:val="24"/>
          <w:szCs w:val="24"/>
        </w:rPr>
      </w:pPr>
      <w:bookmarkStart w:id="54" w:name="_Toc165324959"/>
      <w:r w:rsidRPr="001F2AD8">
        <w:rPr>
          <w:sz w:val="24"/>
          <w:szCs w:val="24"/>
        </w:rPr>
        <w:t>Extending obligation dat</w:t>
      </w:r>
      <w:r w:rsidR="0095728B" w:rsidRPr="001F2AD8">
        <w:rPr>
          <w:sz w:val="24"/>
          <w:szCs w:val="24"/>
        </w:rPr>
        <w:t>es</w:t>
      </w:r>
      <w:r w:rsidRPr="001F2AD8">
        <w:rPr>
          <w:sz w:val="24"/>
          <w:szCs w:val="24"/>
        </w:rPr>
        <w:t xml:space="preserve"> for small retailers who become large</w:t>
      </w:r>
      <w:r w:rsidR="0095728B" w:rsidRPr="001F2AD8">
        <w:rPr>
          <w:sz w:val="24"/>
          <w:szCs w:val="24"/>
        </w:rPr>
        <w:t>r</w:t>
      </w:r>
      <w:r w:rsidRPr="001F2AD8">
        <w:rPr>
          <w:sz w:val="24"/>
          <w:szCs w:val="24"/>
        </w:rPr>
        <w:t xml:space="preserve"> retailers</w:t>
      </w:r>
      <w:bookmarkEnd w:id="54"/>
    </w:p>
    <w:p w14:paraId="48652FB4" w14:textId="0E6FBF6E" w:rsidR="00DE3DF9" w:rsidRPr="00BB46DB" w:rsidRDefault="00DE3DF9" w:rsidP="00DE3DF9">
      <w:pPr>
        <w:pStyle w:val="MOTermsL4"/>
      </w:pPr>
      <w:r w:rsidRPr="00BB46DB">
        <w:t xml:space="preserve">The Treasury is proposing </w:t>
      </w:r>
      <w:r w:rsidR="00825D11" w:rsidRPr="00825D11">
        <w:t>a rule change to allow small retailers who become larger retailers</w:t>
      </w:r>
      <w:r w:rsidR="00825D11">
        <w:t xml:space="preserve"> </w:t>
      </w:r>
      <w:r w:rsidRPr="00BB46DB">
        <w:t>an additional six</w:t>
      </w:r>
      <w:r w:rsidR="00CE7DBB" w:rsidRPr="00BB46DB">
        <w:t xml:space="preserve"> </w:t>
      </w:r>
      <w:r w:rsidRPr="00BB46DB">
        <w:t>months to prepare for their complex data request sharing obligations. This will align data sharing obligations for these new larger retailers with the complex data request sharing obligations applicable to initial retailers and original larger retailers.</w:t>
      </w:r>
    </w:p>
    <w:p w14:paraId="6CE3ECF9" w14:textId="77777777" w:rsidR="00DE3DF9" w:rsidRDefault="00DE3DF9" w:rsidP="00DE3DF9">
      <w:pPr>
        <w:pStyle w:val="MOTermsL4"/>
        <w:numPr>
          <w:ilvl w:val="0"/>
          <w:numId w:val="0"/>
        </w:numPr>
        <w:ind w:left="851"/>
      </w:pPr>
    </w:p>
    <w:tbl>
      <w:tblPr>
        <w:tblStyle w:val="GridTable4-Accent1"/>
        <w:tblW w:w="14709" w:type="dxa"/>
        <w:tblLook w:val="04A0" w:firstRow="1" w:lastRow="0" w:firstColumn="1" w:lastColumn="0" w:noHBand="0" w:noVBand="1"/>
      </w:tblPr>
      <w:tblGrid>
        <w:gridCol w:w="3652"/>
        <w:gridCol w:w="4253"/>
        <w:gridCol w:w="1559"/>
        <w:gridCol w:w="5245"/>
      </w:tblGrid>
      <w:tr w:rsidR="0016192B" w14:paraId="62BF5D18" w14:textId="77777777" w:rsidTr="001619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14:paraId="7F06EB76" w14:textId="2BD632AD" w:rsidR="0016192B" w:rsidRDefault="00483AF3" w:rsidP="0016192B">
            <w:r w:rsidRPr="0079789C">
              <w:rPr>
                <w:sz w:val="20"/>
                <w:szCs w:val="20"/>
              </w:rPr>
              <w:t>Synopsis of stakeholders’ privacy comments and submissions</w:t>
            </w:r>
          </w:p>
        </w:tc>
        <w:tc>
          <w:tcPr>
            <w:tcW w:w="4253" w:type="dxa"/>
          </w:tcPr>
          <w:p w14:paraId="47841A5C" w14:textId="4E8B0D06" w:rsidR="0016192B" w:rsidRDefault="0016192B" w:rsidP="0016192B">
            <w:pPr>
              <w:cnfStyle w:val="100000000000" w:firstRow="1" w:lastRow="0" w:firstColumn="0" w:lastColumn="0" w:oddVBand="0" w:evenVBand="0" w:oddHBand="0" w:evenHBand="0" w:firstRowFirstColumn="0" w:firstRowLastColumn="0" w:lastRowFirstColumn="0" w:lastRowLastColumn="0"/>
            </w:pPr>
            <w:r>
              <w:rPr>
                <w:sz w:val="20"/>
                <w:szCs w:val="20"/>
              </w:rPr>
              <w:t xml:space="preserve">Proposed </w:t>
            </w:r>
            <w:r w:rsidR="0002218C">
              <w:rPr>
                <w:sz w:val="20"/>
                <w:szCs w:val="20"/>
              </w:rPr>
              <w:t>amendments</w:t>
            </w:r>
          </w:p>
        </w:tc>
        <w:tc>
          <w:tcPr>
            <w:tcW w:w="1559" w:type="dxa"/>
          </w:tcPr>
          <w:p w14:paraId="31F40514" w14:textId="77777777" w:rsidR="0016192B" w:rsidRDefault="0016192B" w:rsidP="0016192B">
            <w:pPr>
              <w:cnfStyle w:val="100000000000" w:firstRow="1" w:lastRow="0" w:firstColumn="0" w:lastColumn="0" w:oddVBand="0" w:evenVBand="0" w:oddHBand="0" w:evenHBand="0" w:firstRowFirstColumn="0" w:firstRowLastColumn="0" w:lastRowFirstColumn="0" w:lastRowLastColumn="0"/>
            </w:pPr>
            <w:r>
              <w:rPr>
                <w:sz w:val="20"/>
                <w:szCs w:val="20"/>
              </w:rPr>
              <w:t>Relevant CDR legislative framework</w:t>
            </w:r>
          </w:p>
        </w:tc>
        <w:tc>
          <w:tcPr>
            <w:tcW w:w="5245" w:type="dxa"/>
          </w:tcPr>
          <w:p w14:paraId="797398F1" w14:textId="77777777" w:rsidR="0016192B" w:rsidRDefault="0016192B" w:rsidP="0016192B">
            <w:pPr>
              <w:cnfStyle w:val="100000000000" w:firstRow="1" w:lastRow="0" w:firstColumn="0" w:lastColumn="0" w:oddVBand="0" w:evenVBand="0" w:oddHBand="0" w:evenHBand="0" w:firstRowFirstColumn="0" w:firstRowLastColumn="0" w:lastRowFirstColumn="0" w:lastRowLastColumn="0"/>
              <w:rPr>
                <w:sz w:val="20"/>
                <w:szCs w:val="20"/>
              </w:rPr>
            </w:pPr>
            <w:r w:rsidRPr="009B1A74">
              <w:rPr>
                <w:sz w:val="20"/>
                <w:szCs w:val="20"/>
              </w:rPr>
              <w:t>Privacy impact</w:t>
            </w:r>
            <w:r>
              <w:rPr>
                <w:sz w:val="20"/>
                <w:szCs w:val="20"/>
              </w:rPr>
              <w:t xml:space="preserve">s, risks </w:t>
            </w:r>
            <w:r w:rsidRPr="009B1A74">
              <w:rPr>
                <w:sz w:val="20"/>
                <w:szCs w:val="20"/>
              </w:rPr>
              <w:t>and recommendations</w:t>
            </w:r>
          </w:p>
        </w:tc>
      </w:tr>
      <w:tr w:rsidR="00EA52BE" w14:paraId="7C45A9D1" w14:textId="77777777" w:rsidTr="00161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263522F" w14:textId="77777777" w:rsidR="00EA52BE" w:rsidRPr="00EA52BE" w:rsidRDefault="00EA52BE" w:rsidP="00EA52BE">
            <w:pPr>
              <w:rPr>
                <w:b w:val="0"/>
                <w:bCs w:val="0"/>
                <w:sz w:val="20"/>
                <w:szCs w:val="20"/>
              </w:rPr>
            </w:pPr>
            <w:r w:rsidRPr="00EA52BE">
              <w:rPr>
                <w:rFonts w:eastAsiaTheme="minorHAnsi"/>
                <w:b w:val="0"/>
                <w:bCs w:val="0"/>
                <w:sz w:val="20"/>
                <w:szCs w:val="20"/>
              </w:rPr>
              <w:t xml:space="preserve">Not applicable. </w:t>
            </w:r>
            <w:r>
              <w:rPr>
                <w:rFonts w:eastAsiaTheme="minorHAnsi"/>
                <w:b w:val="0"/>
                <w:bCs w:val="0"/>
                <w:sz w:val="20"/>
                <w:szCs w:val="20"/>
              </w:rPr>
              <w:t>This p</w:t>
            </w:r>
            <w:r w:rsidRPr="00EA52BE">
              <w:rPr>
                <w:rFonts w:eastAsiaTheme="minorHAnsi"/>
                <w:b w:val="0"/>
                <w:bCs w:val="0"/>
                <w:sz w:val="20"/>
                <w:szCs w:val="20"/>
              </w:rPr>
              <w:t>roposal was not included in the Operational Enhancements Design Paper.</w:t>
            </w:r>
          </w:p>
        </w:tc>
        <w:tc>
          <w:tcPr>
            <w:tcW w:w="4253" w:type="dxa"/>
          </w:tcPr>
          <w:p w14:paraId="1754C791" w14:textId="77777777" w:rsidR="00EA52BE"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Treasury </w:t>
            </w:r>
            <w:r w:rsidRPr="00E15C2B">
              <w:rPr>
                <w:sz w:val="20"/>
                <w:szCs w:val="20"/>
              </w:rPr>
              <w:t xml:space="preserve">is proposing </w:t>
            </w:r>
            <w:r w:rsidR="00825D11">
              <w:rPr>
                <w:sz w:val="20"/>
                <w:szCs w:val="20"/>
              </w:rPr>
              <w:t xml:space="preserve">a rule change </w:t>
            </w:r>
            <w:r w:rsidRPr="00E15C2B">
              <w:rPr>
                <w:sz w:val="20"/>
                <w:szCs w:val="20"/>
              </w:rPr>
              <w:t>to give small retailers who become larger retailers</w:t>
            </w:r>
            <w:r>
              <w:rPr>
                <w:rStyle w:val="FootnoteReference"/>
                <w:sz w:val="20"/>
                <w:szCs w:val="20"/>
              </w:rPr>
              <w:footnoteReference w:id="32"/>
            </w:r>
            <w:r w:rsidRPr="00E15C2B">
              <w:rPr>
                <w:sz w:val="20"/>
                <w:szCs w:val="20"/>
              </w:rPr>
              <w:t xml:space="preserve"> an additional six-months to prepare for their complex data request sharing obligations.</w:t>
            </w:r>
            <w:r w:rsidR="008F1E9A">
              <w:rPr>
                <w:sz w:val="20"/>
                <w:szCs w:val="20"/>
              </w:rPr>
              <w:t xml:space="preserve"> </w:t>
            </w:r>
            <w:r>
              <w:rPr>
                <w:sz w:val="20"/>
                <w:szCs w:val="20"/>
              </w:rPr>
              <w:t xml:space="preserve">The proposal is intended to address an inconsistency in the deferred application of obligations to respond to complex data sharing requests across this cohort of stakeholders. </w:t>
            </w:r>
          </w:p>
          <w:p w14:paraId="38AA1B5B" w14:textId="4BA225B2" w:rsidR="00914E9C" w:rsidRDefault="00914E9C" w:rsidP="00EA52BE">
            <w:pPr>
              <w:cnfStyle w:val="000000100000" w:firstRow="0" w:lastRow="0" w:firstColumn="0" w:lastColumn="0" w:oddVBand="0" w:evenVBand="0" w:oddHBand="1" w:evenHBand="0" w:firstRowFirstColumn="0" w:firstRowLastColumn="0" w:lastRowFirstColumn="0" w:lastRowLastColumn="0"/>
              <w:rPr>
                <w:sz w:val="20"/>
                <w:szCs w:val="20"/>
              </w:rPr>
            </w:pPr>
          </w:p>
          <w:p w14:paraId="05CC0A37" w14:textId="70E84108" w:rsidR="00EA52BE" w:rsidRPr="00914E9C"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Currently, a small retailer that becomes a larger retailer has less time to comply with the complex data sharing obligations (i.e. 12 months) than a small retailer that becomes an accredited person (18 months). The proposal is intended to standardise the deferral</w:t>
            </w:r>
            <w:r w:rsidR="0095728B">
              <w:rPr>
                <w:sz w:val="20"/>
                <w:szCs w:val="20"/>
              </w:rPr>
              <w:t xml:space="preserve"> period</w:t>
            </w:r>
            <w:r>
              <w:rPr>
                <w:sz w:val="20"/>
                <w:szCs w:val="20"/>
              </w:rPr>
              <w:t xml:space="preserve"> to </w:t>
            </w:r>
            <w:r w:rsidR="0095728B">
              <w:rPr>
                <w:sz w:val="20"/>
                <w:szCs w:val="20"/>
              </w:rPr>
              <w:t xml:space="preserve">facilitate consistent support for </w:t>
            </w:r>
            <w:r>
              <w:rPr>
                <w:sz w:val="20"/>
                <w:szCs w:val="20"/>
              </w:rPr>
              <w:t xml:space="preserve">the retailer’s preparedness. </w:t>
            </w:r>
          </w:p>
        </w:tc>
        <w:tc>
          <w:tcPr>
            <w:tcW w:w="1559" w:type="dxa"/>
          </w:tcPr>
          <w:p w14:paraId="7FB097B9" w14:textId="77777777" w:rsidR="00EA52BE" w:rsidRDefault="00EA52BE" w:rsidP="00EA52BE">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Sch 4, r 8.3</w:t>
            </w:r>
          </w:p>
          <w:p w14:paraId="34B999CE" w14:textId="77777777" w:rsidR="00EA52BE" w:rsidRDefault="00EA52BE" w:rsidP="00EA52BE">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16707004" w14:textId="77777777" w:rsidR="00EA52BE" w:rsidRPr="00D227FA"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r w:rsidRPr="00D227FA">
              <w:rPr>
                <w:sz w:val="20"/>
                <w:szCs w:val="20"/>
              </w:rPr>
              <w:t>Sch 4, r 8.6</w:t>
            </w:r>
            <w:r w:rsidR="00D227FA" w:rsidRPr="00D227FA">
              <w:rPr>
                <w:sz w:val="20"/>
                <w:szCs w:val="20"/>
              </w:rPr>
              <w:t>(6)</w:t>
            </w:r>
          </w:p>
          <w:p w14:paraId="21A8B64C" w14:textId="77777777" w:rsidR="00D227FA" w:rsidRPr="009002AB" w:rsidRDefault="00D227FA" w:rsidP="00EA52BE">
            <w:pPr>
              <w:cnfStyle w:val="000000100000" w:firstRow="0" w:lastRow="0" w:firstColumn="0" w:lastColumn="0" w:oddVBand="0" w:evenVBand="0" w:oddHBand="1" w:evenHBand="0" w:firstRowFirstColumn="0" w:firstRowLastColumn="0" w:lastRowFirstColumn="0" w:lastRowLastColumn="0"/>
              <w:rPr>
                <w:sz w:val="20"/>
                <w:szCs w:val="20"/>
              </w:rPr>
            </w:pPr>
          </w:p>
          <w:p w14:paraId="4F4E4894" w14:textId="2DEC239C" w:rsidR="00D227FA" w:rsidRPr="00A82545" w:rsidRDefault="00D227FA" w:rsidP="00EA52BE">
            <w:pPr>
              <w:cnfStyle w:val="000000100000" w:firstRow="0" w:lastRow="0" w:firstColumn="0" w:lastColumn="0" w:oddVBand="0" w:evenVBand="0" w:oddHBand="1" w:evenHBand="0" w:firstRowFirstColumn="0" w:firstRowLastColumn="0" w:lastRowFirstColumn="0" w:lastRowLastColumn="0"/>
            </w:pPr>
            <w:r w:rsidRPr="009002AB">
              <w:rPr>
                <w:sz w:val="20"/>
                <w:szCs w:val="20"/>
              </w:rPr>
              <w:t>Sch 4, r 8.6(8)</w:t>
            </w:r>
          </w:p>
        </w:tc>
        <w:tc>
          <w:tcPr>
            <w:tcW w:w="5245" w:type="dxa"/>
          </w:tcPr>
          <w:p w14:paraId="09434051" w14:textId="0B338797" w:rsidR="00EA52BE" w:rsidRPr="00EA52BE"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r w:rsidRPr="00EA52BE">
              <w:rPr>
                <w:sz w:val="20"/>
                <w:szCs w:val="20"/>
              </w:rPr>
              <w:t>In addition to the comments above in relation to the proposal concerning deferred application of CDR obligations from small retailers, we note the following</w:t>
            </w:r>
            <w:r w:rsidR="00BB46DB">
              <w:rPr>
                <w:sz w:val="20"/>
                <w:szCs w:val="20"/>
              </w:rPr>
              <w:t>.</w:t>
            </w:r>
          </w:p>
          <w:p w14:paraId="74072223" w14:textId="77777777" w:rsidR="00EA52BE" w:rsidRPr="00EA52BE"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p>
          <w:p w14:paraId="50B59A31" w14:textId="52E55E5B" w:rsidR="00EA52BE" w:rsidRPr="00BB46DB" w:rsidRDefault="00EA52BE" w:rsidP="00BB46DB">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BB46DB">
              <w:rPr>
                <w:rFonts w:eastAsiaTheme="minorHAnsi"/>
                <w:sz w:val="20"/>
                <w:szCs w:val="20"/>
              </w:rPr>
              <w:t xml:space="preserve">As the CDR regime matures, it is conceivable that consumers see diminishing justification to defer the application of CDR obligations, particularly for </w:t>
            </w:r>
            <w:r w:rsidR="00825D11">
              <w:rPr>
                <w:rFonts w:eastAsiaTheme="minorHAnsi"/>
                <w:sz w:val="20"/>
                <w:szCs w:val="20"/>
              </w:rPr>
              <w:t xml:space="preserve">CDR participants </w:t>
            </w:r>
            <w:r w:rsidRPr="00BB46DB">
              <w:rPr>
                <w:rFonts w:eastAsiaTheme="minorHAnsi"/>
                <w:sz w:val="20"/>
                <w:szCs w:val="20"/>
              </w:rPr>
              <w:t xml:space="preserve">transitioning from a small to a large retailer and therefore acquainted with the CDR regime. </w:t>
            </w:r>
            <w:r w:rsidR="00CB366E">
              <w:rPr>
                <w:rFonts w:eastAsiaTheme="minorHAnsi"/>
                <w:sz w:val="20"/>
                <w:szCs w:val="20"/>
              </w:rPr>
              <w:t xml:space="preserve">However, Mills Oakley acknowledges that this phased implementation of certain CDR requirements is an existing feature of the CDR regime. </w:t>
            </w:r>
          </w:p>
          <w:p w14:paraId="61E91ED8" w14:textId="77777777" w:rsidR="00EA52BE" w:rsidRPr="00EA52BE" w:rsidRDefault="00EA52BE" w:rsidP="00EA52BE">
            <w:pPr>
              <w:cnfStyle w:val="000000100000" w:firstRow="0" w:lastRow="0" w:firstColumn="0" w:lastColumn="0" w:oddVBand="0" w:evenVBand="0" w:oddHBand="1" w:evenHBand="0" w:firstRowFirstColumn="0" w:firstRowLastColumn="0" w:lastRowFirstColumn="0" w:lastRowLastColumn="0"/>
              <w:rPr>
                <w:sz w:val="20"/>
                <w:szCs w:val="20"/>
              </w:rPr>
            </w:pPr>
          </w:p>
          <w:p w14:paraId="47512487" w14:textId="77777777" w:rsidR="00EA52BE" w:rsidRDefault="00EA52BE" w:rsidP="00EA52BE">
            <w:pPr>
              <w:cnfStyle w:val="000000100000" w:firstRow="0" w:lastRow="0" w:firstColumn="0" w:lastColumn="0" w:oddVBand="0" w:evenVBand="0" w:oddHBand="1" w:evenHBand="0" w:firstRowFirstColumn="0" w:firstRowLastColumn="0" w:lastRowFirstColumn="0" w:lastRowLastColumn="0"/>
            </w:pPr>
          </w:p>
          <w:p w14:paraId="0EF323A4" w14:textId="77777777" w:rsidR="00EA52BE" w:rsidRDefault="00EA52BE" w:rsidP="00EA52BE">
            <w:pPr>
              <w:cnfStyle w:val="000000100000" w:firstRow="0" w:lastRow="0" w:firstColumn="0" w:lastColumn="0" w:oddVBand="0" w:evenVBand="0" w:oddHBand="1" w:evenHBand="0" w:firstRowFirstColumn="0" w:firstRowLastColumn="0" w:lastRowFirstColumn="0" w:lastRowLastColumn="0"/>
            </w:pPr>
          </w:p>
          <w:p w14:paraId="20AB00D4" w14:textId="77777777" w:rsidR="00EA52BE" w:rsidRDefault="00EA52BE" w:rsidP="00EA52BE">
            <w:pPr>
              <w:cnfStyle w:val="000000100000" w:firstRow="0" w:lastRow="0" w:firstColumn="0" w:lastColumn="0" w:oddVBand="0" w:evenVBand="0" w:oddHBand="1" w:evenHBand="0" w:firstRowFirstColumn="0" w:firstRowLastColumn="0" w:lastRowFirstColumn="0" w:lastRowLastColumn="0"/>
            </w:pPr>
          </w:p>
          <w:p w14:paraId="5B4B8BF9" w14:textId="77777777" w:rsidR="00EA52BE" w:rsidRPr="00EA52BE" w:rsidRDefault="00EA52BE" w:rsidP="00EA52BE">
            <w:pPr>
              <w:cnfStyle w:val="000000100000" w:firstRow="0" w:lastRow="0" w:firstColumn="0" w:lastColumn="0" w:oddVBand="0" w:evenVBand="0" w:oddHBand="1" w:evenHBand="0" w:firstRowFirstColumn="0" w:firstRowLastColumn="0" w:lastRowFirstColumn="0" w:lastRowLastColumn="0"/>
            </w:pPr>
          </w:p>
        </w:tc>
      </w:tr>
    </w:tbl>
    <w:p w14:paraId="1790B961" w14:textId="77777777" w:rsidR="00BB022E" w:rsidRDefault="00BB022E" w:rsidP="0066076E">
      <w:pPr>
        <w:pStyle w:val="MOTermsL2"/>
        <w:numPr>
          <w:ilvl w:val="0"/>
          <w:numId w:val="0"/>
        </w:numPr>
        <w:rPr>
          <w:b w:val="0"/>
        </w:rPr>
        <w:sectPr w:rsidR="00BB022E" w:rsidSect="007F07C2">
          <w:headerReference w:type="default" r:id="rId16"/>
          <w:footerReference w:type="default" r:id="rId17"/>
          <w:pgSz w:w="16838" w:h="11906" w:orient="landscape" w:code="9"/>
          <w:pgMar w:top="1440" w:right="1440" w:bottom="1440" w:left="1440" w:header="709" w:footer="709" w:gutter="0"/>
          <w:cols w:space="708"/>
          <w:docGrid w:linePitch="360"/>
        </w:sectPr>
      </w:pPr>
    </w:p>
    <w:p w14:paraId="26247ADB" w14:textId="77777777" w:rsidR="00665953" w:rsidRDefault="00A07121" w:rsidP="00A07121">
      <w:pPr>
        <w:pStyle w:val="MOAnnexHeading"/>
      </w:pPr>
      <w:bookmarkStart w:id="55" w:name="_Toc165324960"/>
      <w:r>
        <w:t>Glossary</w:t>
      </w:r>
      <w:bookmarkEnd w:id="55"/>
      <w:r>
        <w:t xml:space="preserve"> </w:t>
      </w:r>
    </w:p>
    <w:p w14:paraId="6089FB5F" w14:textId="77777777" w:rsidR="00665953" w:rsidRDefault="00665953" w:rsidP="00665953">
      <w:pPr>
        <w:pStyle w:val="MOLBodyText"/>
      </w:pPr>
    </w:p>
    <w:tbl>
      <w:tblPr>
        <w:tblStyle w:val="GridTable4-Accent1"/>
        <w:tblW w:w="0" w:type="auto"/>
        <w:tblLook w:val="04A0" w:firstRow="1" w:lastRow="0" w:firstColumn="1" w:lastColumn="0" w:noHBand="0" w:noVBand="1"/>
      </w:tblPr>
      <w:tblGrid>
        <w:gridCol w:w="2487"/>
        <w:gridCol w:w="6529"/>
      </w:tblGrid>
      <w:tr w:rsidR="003414FD" w14:paraId="50DC691E" w14:textId="77777777" w:rsidTr="00E03763">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2518" w:type="dxa"/>
          </w:tcPr>
          <w:p w14:paraId="287D6738" w14:textId="77777777" w:rsidR="003414FD" w:rsidRDefault="007F1160" w:rsidP="00436233">
            <w:pPr>
              <w:spacing w:before="10" w:after="10"/>
            </w:pPr>
            <w:r>
              <w:t>Term / Abbreviation</w:t>
            </w:r>
          </w:p>
        </w:tc>
        <w:tc>
          <w:tcPr>
            <w:tcW w:w="6724" w:type="dxa"/>
          </w:tcPr>
          <w:p w14:paraId="6DEDA4E9" w14:textId="77777777" w:rsidR="003414FD" w:rsidRDefault="007F1160" w:rsidP="00436233">
            <w:pPr>
              <w:spacing w:before="10" w:after="10"/>
              <w:cnfStyle w:val="100000000000" w:firstRow="1" w:lastRow="0" w:firstColumn="0" w:lastColumn="0" w:oddVBand="0" w:evenVBand="0" w:oddHBand="0" w:evenHBand="0" w:firstRowFirstColumn="0" w:firstRowLastColumn="0" w:lastRowFirstColumn="0" w:lastRowLastColumn="0"/>
            </w:pPr>
            <w:r>
              <w:t xml:space="preserve">Meaning </w:t>
            </w:r>
            <w:r w:rsidR="001A4F55">
              <w:t xml:space="preserve">/ Description </w:t>
            </w:r>
          </w:p>
        </w:tc>
      </w:tr>
      <w:tr w:rsidR="00980D26" w14:paraId="1843CCEE"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32B98216" w14:textId="77777777" w:rsidR="00980D26" w:rsidRPr="00277C39" w:rsidRDefault="00980D26" w:rsidP="00436233">
            <w:pPr>
              <w:spacing w:before="10" w:after="10"/>
              <w:rPr>
                <w:rFonts w:cs="Arial"/>
              </w:rPr>
            </w:pPr>
            <w:r>
              <w:rPr>
                <w:rFonts w:cs="Arial"/>
              </w:rPr>
              <w:t>ADI</w:t>
            </w:r>
          </w:p>
        </w:tc>
        <w:tc>
          <w:tcPr>
            <w:tcW w:w="6724" w:type="dxa"/>
          </w:tcPr>
          <w:p w14:paraId="11C045D6" w14:textId="77777777" w:rsidR="00980D26" w:rsidRPr="00277C39" w:rsidRDefault="00980D26"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t>A</w:t>
            </w:r>
            <w:r w:rsidRPr="00681681">
              <w:t>uthorised deposit-taking institution</w:t>
            </w:r>
          </w:p>
        </w:tc>
      </w:tr>
      <w:tr w:rsidR="003414FD" w14:paraId="660D51A0"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7C19840C" w14:textId="77777777" w:rsidR="003414FD" w:rsidRPr="00277C39" w:rsidRDefault="003414FD" w:rsidP="00436233">
            <w:pPr>
              <w:spacing w:before="10" w:after="10"/>
              <w:rPr>
                <w:rFonts w:cs="Arial"/>
              </w:rPr>
            </w:pPr>
            <w:r w:rsidRPr="00277C39">
              <w:rPr>
                <w:rFonts w:cs="Arial"/>
              </w:rPr>
              <w:t>Accredited Data Recipient (ADR)</w:t>
            </w:r>
          </w:p>
        </w:tc>
        <w:tc>
          <w:tcPr>
            <w:tcW w:w="6724" w:type="dxa"/>
          </w:tcPr>
          <w:p w14:paraId="79EBCC66" w14:textId="77777777" w:rsidR="003414FD" w:rsidRPr="00277C39"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277C39">
              <w:rPr>
                <w:rFonts w:cs="Arial"/>
              </w:rPr>
              <w:t xml:space="preserve">A provider, who has been accredited by the ACCC to receive consumer data to provide a product or service under the CDR. See section 56AK of the CCA. </w:t>
            </w:r>
          </w:p>
        </w:tc>
      </w:tr>
      <w:tr w:rsidR="003414FD" w14:paraId="671E1AA7"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2801489C" w14:textId="77777777" w:rsidR="003414FD" w:rsidRPr="00277C39" w:rsidRDefault="003414FD" w:rsidP="00436233">
            <w:pPr>
              <w:spacing w:before="10" w:after="10"/>
              <w:rPr>
                <w:rFonts w:cs="Arial"/>
              </w:rPr>
            </w:pPr>
            <w:r w:rsidRPr="00277C39">
              <w:rPr>
                <w:rFonts w:cs="Arial"/>
              </w:rPr>
              <w:t>Accredited Person (AP)</w:t>
            </w:r>
          </w:p>
        </w:tc>
        <w:tc>
          <w:tcPr>
            <w:tcW w:w="6724" w:type="dxa"/>
          </w:tcPr>
          <w:p w14:paraId="544B4836" w14:textId="77777777" w:rsidR="003414FD" w:rsidRPr="00277C39"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 xml:space="preserve">A person granted accreditation by the Data Recipient Accreditor (i.e. the ACCC). See subsection 56CA(1) of the CCA. </w:t>
            </w:r>
          </w:p>
        </w:tc>
      </w:tr>
      <w:tr w:rsidR="003414FD" w14:paraId="09DB2622"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08F16D1C" w14:textId="77777777" w:rsidR="003414FD" w:rsidRPr="007F1160" w:rsidRDefault="003414FD" w:rsidP="00436233">
            <w:pPr>
              <w:spacing w:before="10" w:after="10"/>
              <w:rPr>
                <w:rFonts w:cs="Arial"/>
              </w:rPr>
            </w:pPr>
            <w:r w:rsidRPr="007F1160">
              <w:rPr>
                <w:rFonts w:cs="Arial"/>
              </w:rPr>
              <w:t>ACCC</w:t>
            </w:r>
          </w:p>
        </w:tc>
        <w:tc>
          <w:tcPr>
            <w:tcW w:w="6724" w:type="dxa"/>
          </w:tcPr>
          <w:p w14:paraId="30F388FD" w14:textId="77777777" w:rsidR="003414FD" w:rsidRPr="007F1160"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7F1160">
              <w:rPr>
                <w:rFonts w:cs="Arial"/>
              </w:rPr>
              <w:t>The Australian Competition and Consumer Commission, an independent Commonwealth statutory authority, who is a co-regulator of the CDR regime along with OAIC.</w:t>
            </w:r>
          </w:p>
        </w:tc>
      </w:tr>
      <w:tr w:rsidR="003414FD" w14:paraId="59879724"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3752A01F" w14:textId="77777777" w:rsidR="003414FD" w:rsidRPr="00277C39" w:rsidRDefault="003414FD" w:rsidP="00436233">
            <w:pPr>
              <w:spacing w:before="10" w:after="10"/>
              <w:rPr>
                <w:rFonts w:cs="Arial"/>
              </w:rPr>
            </w:pPr>
            <w:r w:rsidRPr="00277C39">
              <w:rPr>
                <w:rFonts w:cs="Arial"/>
              </w:rPr>
              <w:t>Australian Privacy Principles (APP)</w:t>
            </w:r>
          </w:p>
        </w:tc>
        <w:tc>
          <w:tcPr>
            <w:tcW w:w="6724" w:type="dxa"/>
          </w:tcPr>
          <w:p w14:paraId="77D5A0D2" w14:textId="77777777" w:rsidR="003414FD" w:rsidRPr="00277C39"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 xml:space="preserve">The Australian Privacy Principles, which are principles-based laws that apply to any organisation or agency the </w:t>
            </w:r>
            <w:r w:rsidRPr="00277C39">
              <w:rPr>
                <w:rFonts w:cs="Arial"/>
                <w:i/>
                <w:iCs/>
              </w:rPr>
              <w:t>Privacy Act 1988</w:t>
            </w:r>
            <w:r w:rsidRPr="00277C39">
              <w:rPr>
                <w:rFonts w:cs="Arial"/>
              </w:rPr>
              <w:t xml:space="preserve"> covers. See Schedule 1 of the Privacy Act 1988.  </w:t>
            </w:r>
          </w:p>
        </w:tc>
      </w:tr>
      <w:tr w:rsidR="003414FD" w14:paraId="4FB86C4D"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41BE2DD9" w14:textId="77777777" w:rsidR="003414FD" w:rsidRPr="009002AB" w:rsidRDefault="003414FD" w:rsidP="00436233">
            <w:pPr>
              <w:spacing w:before="10" w:after="10"/>
              <w:rPr>
                <w:rFonts w:cs="Arial"/>
                <w:b w:val="0"/>
                <w:bCs w:val="0"/>
              </w:rPr>
            </w:pPr>
            <w:r w:rsidRPr="009002AB">
              <w:rPr>
                <w:rFonts w:cs="Arial"/>
              </w:rPr>
              <w:t>CCA (or ‘the Act’)</w:t>
            </w:r>
          </w:p>
        </w:tc>
        <w:tc>
          <w:tcPr>
            <w:tcW w:w="6724" w:type="dxa"/>
          </w:tcPr>
          <w:p w14:paraId="37F1BBA5" w14:textId="77777777" w:rsidR="003414FD" w:rsidRPr="009002AB"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9002AB">
              <w:rPr>
                <w:rFonts w:cs="Arial"/>
              </w:rPr>
              <w:t xml:space="preserve">The </w:t>
            </w:r>
            <w:r w:rsidRPr="009002AB">
              <w:rPr>
                <w:rFonts w:cs="Arial"/>
                <w:i/>
                <w:iCs/>
              </w:rPr>
              <w:t>Competition and Consumer Act 2010</w:t>
            </w:r>
            <w:r w:rsidRPr="009002AB">
              <w:rPr>
                <w:rFonts w:cs="Arial"/>
              </w:rPr>
              <w:t xml:space="preserve"> (Cth).</w:t>
            </w:r>
          </w:p>
        </w:tc>
      </w:tr>
      <w:tr w:rsidR="003414FD" w14:paraId="585E0CC0"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711FAB20" w14:textId="77777777" w:rsidR="003414FD" w:rsidRPr="00C1329D" w:rsidRDefault="003414FD" w:rsidP="00436233">
            <w:pPr>
              <w:spacing w:before="10" w:after="10"/>
              <w:rPr>
                <w:rFonts w:cs="Arial"/>
                <w:b w:val="0"/>
                <w:bCs w:val="0"/>
              </w:rPr>
            </w:pPr>
            <w:r w:rsidRPr="00C1329D">
              <w:rPr>
                <w:rFonts w:cs="Arial"/>
              </w:rPr>
              <w:t>CDR consumer</w:t>
            </w:r>
          </w:p>
        </w:tc>
        <w:tc>
          <w:tcPr>
            <w:tcW w:w="6724" w:type="dxa"/>
          </w:tcPr>
          <w:p w14:paraId="66F4CCB4" w14:textId="77777777" w:rsidR="003414FD" w:rsidRPr="00C1329D"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C1329D">
              <w:rPr>
                <w:rFonts w:cs="Arial"/>
              </w:rPr>
              <w:t xml:space="preserve">A person who has the right to access the CDR data held by a data holder and direct that the CDR data be disclosed to an accredited person. See subsection 56AI(3) of the CCA. </w:t>
            </w:r>
          </w:p>
        </w:tc>
      </w:tr>
      <w:tr w:rsidR="003414FD" w14:paraId="77FD6FA4"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2B1C0927" w14:textId="77777777" w:rsidR="003414FD" w:rsidRPr="00C1329D" w:rsidRDefault="003414FD" w:rsidP="00436233">
            <w:pPr>
              <w:spacing w:before="10" w:after="10"/>
              <w:rPr>
                <w:rFonts w:cs="Arial"/>
                <w:b w:val="0"/>
                <w:bCs w:val="0"/>
              </w:rPr>
            </w:pPr>
            <w:r w:rsidRPr="00C1329D">
              <w:rPr>
                <w:rFonts w:cs="Arial"/>
              </w:rPr>
              <w:t xml:space="preserve">CDR data </w:t>
            </w:r>
          </w:p>
        </w:tc>
        <w:tc>
          <w:tcPr>
            <w:tcW w:w="6724" w:type="dxa"/>
          </w:tcPr>
          <w:p w14:paraId="6D97EA1E" w14:textId="77777777" w:rsidR="003414FD" w:rsidRPr="00C1329D"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C1329D">
              <w:rPr>
                <w:rFonts w:cs="Arial"/>
              </w:rPr>
              <w:t xml:space="preserve">Data that has been ‘wholly or partly’ derived from the data set out in the designated instrument, and data derived from any previous data. See subsection 56AI(1) of the CCA. </w:t>
            </w:r>
          </w:p>
        </w:tc>
      </w:tr>
      <w:tr w:rsidR="003414FD" w14:paraId="3785C584"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50B0D266" w14:textId="77777777" w:rsidR="003414FD" w:rsidRPr="00C1329D" w:rsidRDefault="003414FD" w:rsidP="00436233">
            <w:pPr>
              <w:spacing w:before="10" w:after="10"/>
              <w:rPr>
                <w:rFonts w:cs="Arial"/>
                <w:b w:val="0"/>
                <w:bCs w:val="0"/>
              </w:rPr>
            </w:pPr>
            <w:r w:rsidRPr="00C1329D">
              <w:rPr>
                <w:rFonts w:cs="Arial"/>
              </w:rPr>
              <w:t xml:space="preserve">CDR Participant </w:t>
            </w:r>
          </w:p>
        </w:tc>
        <w:tc>
          <w:tcPr>
            <w:tcW w:w="6724" w:type="dxa"/>
          </w:tcPr>
          <w:p w14:paraId="2A847B95" w14:textId="77777777" w:rsidR="003414FD" w:rsidRPr="00C1329D"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C1329D">
              <w:rPr>
                <w:rFonts w:cs="Arial"/>
              </w:rPr>
              <w:t xml:space="preserve">A data holder or an accredited data recipient of CDR data. See subsection 56AL(1) of the CCA. </w:t>
            </w:r>
          </w:p>
        </w:tc>
      </w:tr>
      <w:tr w:rsidR="003414FD" w14:paraId="38863CFB"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21F7303F" w14:textId="77777777" w:rsidR="003414FD" w:rsidRPr="009002AB" w:rsidRDefault="003414FD" w:rsidP="00436233">
            <w:pPr>
              <w:spacing w:before="10" w:after="10"/>
              <w:rPr>
                <w:rFonts w:cs="Arial"/>
                <w:b w:val="0"/>
                <w:bCs w:val="0"/>
              </w:rPr>
            </w:pPr>
            <w:r w:rsidRPr="009002AB">
              <w:rPr>
                <w:rFonts w:cs="Arial"/>
              </w:rPr>
              <w:t>CDR Principal</w:t>
            </w:r>
          </w:p>
        </w:tc>
        <w:tc>
          <w:tcPr>
            <w:tcW w:w="6724" w:type="dxa"/>
          </w:tcPr>
          <w:p w14:paraId="2302ABD1" w14:textId="77777777" w:rsidR="003414FD" w:rsidRPr="009002AB"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9002AB">
              <w:rPr>
                <w:rFonts w:cs="Arial"/>
              </w:rPr>
              <w:t>A person who has been granted unrestricted accreditation and has engaged a CDR Representative under an agreement that complies with the CDR Rules.</w:t>
            </w:r>
          </w:p>
        </w:tc>
      </w:tr>
      <w:tr w:rsidR="003414FD" w14:paraId="4BE82C1E"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10DE2AAD" w14:textId="77777777" w:rsidR="003414FD" w:rsidRPr="00277C39" w:rsidRDefault="003414FD" w:rsidP="00436233">
            <w:pPr>
              <w:spacing w:before="10" w:after="10"/>
              <w:rPr>
                <w:rFonts w:cs="Arial"/>
                <w:b w:val="0"/>
                <w:bCs w:val="0"/>
              </w:rPr>
            </w:pPr>
            <w:r w:rsidRPr="00277C39">
              <w:rPr>
                <w:rFonts w:cs="Arial"/>
              </w:rPr>
              <w:t>CDR Privacy Safeguards</w:t>
            </w:r>
          </w:p>
        </w:tc>
        <w:tc>
          <w:tcPr>
            <w:tcW w:w="6724" w:type="dxa"/>
          </w:tcPr>
          <w:p w14:paraId="3617D8E2" w14:textId="77777777" w:rsidR="003414FD" w:rsidRPr="00277C39"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 xml:space="preserve">Defence mechanisms used by the CDR designed to keep data secure and protect privacy of individuals, placing 13 strict obligations on businesses collecting and handling data. See Division 5 of Part IVD of the CCA. </w:t>
            </w:r>
          </w:p>
        </w:tc>
      </w:tr>
      <w:tr w:rsidR="003414FD" w14:paraId="5E9978F7"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24F168D2" w14:textId="77777777" w:rsidR="003414FD" w:rsidRPr="00277C39" w:rsidRDefault="003414FD" w:rsidP="00436233">
            <w:pPr>
              <w:spacing w:before="10" w:after="10"/>
              <w:rPr>
                <w:rFonts w:cs="Arial"/>
                <w:b w:val="0"/>
                <w:bCs w:val="0"/>
              </w:rPr>
            </w:pPr>
            <w:r w:rsidRPr="00277C39">
              <w:rPr>
                <w:rFonts w:cs="Arial"/>
              </w:rPr>
              <w:t>CDR Representative</w:t>
            </w:r>
          </w:p>
        </w:tc>
        <w:tc>
          <w:tcPr>
            <w:tcW w:w="6724" w:type="dxa"/>
          </w:tcPr>
          <w:p w14:paraId="5C4F05AC" w14:textId="77777777" w:rsidR="003414FD" w:rsidRPr="00277C39"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277C39">
              <w:rPr>
                <w:rFonts w:cs="Arial"/>
              </w:rPr>
              <w:t>A person who is not accredited that has been engaged by a CDR principal under an agreement that complies with the CDR Rules.</w:t>
            </w:r>
          </w:p>
        </w:tc>
      </w:tr>
      <w:tr w:rsidR="003414FD" w14:paraId="2B863EE8"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40C281A2" w14:textId="77777777" w:rsidR="003414FD" w:rsidRPr="00277C39" w:rsidRDefault="003414FD" w:rsidP="00436233">
            <w:pPr>
              <w:spacing w:before="10" w:after="10"/>
              <w:rPr>
                <w:rFonts w:cs="Arial"/>
                <w:b w:val="0"/>
                <w:bCs w:val="0"/>
              </w:rPr>
            </w:pPr>
            <w:r w:rsidRPr="00277C39">
              <w:rPr>
                <w:rFonts w:cs="Arial"/>
              </w:rPr>
              <w:t>CDR Rules</w:t>
            </w:r>
          </w:p>
        </w:tc>
        <w:tc>
          <w:tcPr>
            <w:tcW w:w="6724" w:type="dxa"/>
          </w:tcPr>
          <w:p w14:paraId="00F3FEE5" w14:textId="77777777" w:rsidR="003414FD" w:rsidRPr="00277C39"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The</w:t>
            </w:r>
            <w:r w:rsidRPr="00277C39">
              <w:rPr>
                <w:rFonts w:cs="Arial"/>
                <w:i/>
                <w:iCs/>
              </w:rPr>
              <w:t xml:space="preserve"> Competition and Consumer (Consumer Data Rights) Rules 2020 </w:t>
            </w:r>
            <w:r w:rsidRPr="00277C39">
              <w:rPr>
                <w:rFonts w:cs="Arial"/>
              </w:rPr>
              <w:t xml:space="preserve">(Cth) as in force on 10 February 2022. </w:t>
            </w:r>
          </w:p>
        </w:tc>
      </w:tr>
      <w:tr w:rsidR="003414FD" w14:paraId="24FF5538"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58280819" w14:textId="77777777" w:rsidR="003414FD" w:rsidRPr="009002AB" w:rsidRDefault="003414FD" w:rsidP="00436233">
            <w:pPr>
              <w:spacing w:before="10" w:after="10"/>
              <w:rPr>
                <w:rFonts w:cs="Arial"/>
                <w:b w:val="0"/>
                <w:bCs w:val="0"/>
              </w:rPr>
            </w:pPr>
            <w:r w:rsidRPr="009002AB">
              <w:rPr>
                <w:rFonts w:cs="Arial"/>
              </w:rPr>
              <w:t>Consent Design Paper</w:t>
            </w:r>
          </w:p>
        </w:tc>
        <w:tc>
          <w:tcPr>
            <w:tcW w:w="6724" w:type="dxa"/>
          </w:tcPr>
          <w:p w14:paraId="12CB86CE" w14:textId="77777777" w:rsidR="003414FD" w:rsidRPr="009002AB" w:rsidRDefault="003414FD" w:rsidP="00436233">
            <w:pPr>
              <w:spacing w:before="10" w:after="10"/>
              <w:cnfStyle w:val="000000000000" w:firstRow="0" w:lastRow="0" w:firstColumn="0" w:lastColumn="0" w:oddVBand="0" w:evenVBand="0" w:oddHBand="0" w:evenHBand="0" w:firstRowFirstColumn="0" w:firstRowLastColumn="0" w:lastRowFirstColumn="0" w:lastRowLastColumn="0"/>
              <w:rPr>
                <w:rFonts w:cs="Arial"/>
              </w:rPr>
            </w:pPr>
            <w:r w:rsidRPr="009002AB">
              <w:rPr>
                <w:rFonts w:cs="Arial"/>
              </w:rPr>
              <w:t xml:space="preserve">The </w:t>
            </w:r>
            <w:r w:rsidRPr="009002AB">
              <w:rPr>
                <w:rFonts w:cs="Arial"/>
                <w:i/>
                <w:iCs/>
              </w:rPr>
              <w:t>CDR Consent Review: CDR rules and data standards design paper</w:t>
            </w:r>
            <w:r w:rsidRPr="009002AB">
              <w:rPr>
                <w:rFonts w:cs="Arial"/>
              </w:rPr>
              <w:t xml:space="preserve"> drafted by Treasury.</w:t>
            </w:r>
          </w:p>
        </w:tc>
      </w:tr>
      <w:tr w:rsidR="003414FD" w14:paraId="72E2B7F5"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72750AA6" w14:textId="77777777" w:rsidR="003414FD" w:rsidRPr="00277C39" w:rsidRDefault="003414FD" w:rsidP="00436233">
            <w:pPr>
              <w:spacing w:before="10" w:after="10"/>
              <w:rPr>
                <w:rFonts w:cs="Arial"/>
                <w:b w:val="0"/>
                <w:bCs w:val="0"/>
              </w:rPr>
            </w:pPr>
            <w:r w:rsidRPr="00277C39">
              <w:rPr>
                <w:rFonts w:cs="Arial"/>
              </w:rPr>
              <w:t>Consumer Dashboard</w:t>
            </w:r>
          </w:p>
        </w:tc>
        <w:tc>
          <w:tcPr>
            <w:tcW w:w="6724" w:type="dxa"/>
          </w:tcPr>
          <w:p w14:paraId="0F26832F" w14:textId="77777777" w:rsidR="003414FD" w:rsidRPr="00277C39" w:rsidRDefault="003414FD" w:rsidP="00436233">
            <w:pPr>
              <w:spacing w:before="10" w:after="10" w:line="276" w:lineRule="auto"/>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 xml:space="preserve">In relation to an accredited person, an online service that can be used by CDR consumers to manage consumer data requests and associated consents they have given to the accredited person. </w:t>
            </w:r>
          </w:p>
          <w:p w14:paraId="538365BC" w14:textId="77777777" w:rsidR="003414FD" w:rsidRPr="00277C39" w:rsidRDefault="003414FD" w:rsidP="00436233">
            <w:p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277C39">
              <w:rPr>
                <w:rFonts w:cs="Arial"/>
              </w:rPr>
              <w:t xml:space="preserve">In relation to a data holder, an online service that can be used by each CDR consumer to manage authorisations to disclose CDR data in response to consumer data requests. </w:t>
            </w:r>
          </w:p>
        </w:tc>
      </w:tr>
      <w:tr w:rsidR="003414FD" w14:paraId="46D1FB50"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475B0A0B" w14:textId="77777777" w:rsidR="003414FD" w:rsidRPr="00436233" w:rsidRDefault="003414FD" w:rsidP="00436233">
            <w:pPr>
              <w:spacing w:before="10" w:after="10"/>
              <w:rPr>
                <w:rFonts w:cs="Arial"/>
              </w:rPr>
            </w:pPr>
            <w:r w:rsidRPr="00277C39">
              <w:rPr>
                <w:rFonts w:cs="Arial"/>
              </w:rPr>
              <w:t>Consumer Experience Standards (CX Standards)</w:t>
            </w:r>
          </w:p>
        </w:tc>
        <w:tc>
          <w:tcPr>
            <w:tcW w:w="6724" w:type="dxa"/>
          </w:tcPr>
          <w:p w14:paraId="0A9D1241" w14:textId="77777777" w:rsidR="003414FD" w:rsidRPr="00277C39" w:rsidRDefault="003414FD" w:rsidP="00436233">
            <w:p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277C39">
              <w:rPr>
                <w:rFonts w:cs="Arial"/>
              </w:rPr>
              <w:t xml:space="preserve">Data standards regarding the obtaining/withdrawal of authorisations and consents, the collection and use of CDR data, authentication of CDR consumers etc. </w:t>
            </w:r>
          </w:p>
        </w:tc>
      </w:tr>
      <w:tr w:rsidR="003414FD" w14:paraId="09BF8C3D"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180B1F16" w14:textId="77777777" w:rsidR="003414FD" w:rsidRPr="00436233" w:rsidRDefault="003414FD" w:rsidP="00436233">
            <w:pPr>
              <w:spacing w:before="10" w:after="10"/>
              <w:rPr>
                <w:rFonts w:cs="Arial"/>
              </w:rPr>
            </w:pPr>
            <w:r w:rsidRPr="00277C39">
              <w:rPr>
                <w:rFonts w:cs="Arial"/>
              </w:rPr>
              <w:t>Data Holder</w:t>
            </w:r>
          </w:p>
        </w:tc>
        <w:tc>
          <w:tcPr>
            <w:tcW w:w="6724" w:type="dxa"/>
          </w:tcPr>
          <w:p w14:paraId="7DB45220" w14:textId="77777777" w:rsidR="003414FD" w:rsidRPr="00436233" w:rsidRDefault="003414FD" w:rsidP="00436233">
            <w:pPr>
              <w:spacing w:before="10" w:after="10" w:line="276" w:lineRule="auto"/>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 xml:space="preserve">A business that holds consumer data and must transfer the data to an accredited data recipient at the consumer’s requests. See section 56AJ of the CCA. </w:t>
            </w:r>
          </w:p>
        </w:tc>
      </w:tr>
      <w:tr w:rsidR="003414FD" w14:paraId="69D318AD"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1473C852" w14:textId="77777777" w:rsidR="003414FD" w:rsidRPr="00436233" w:rsidRDefault="003414FD" w:rsidP="00436233">
            <w:pPr>
              <w:spacing w:before="10" w:after="10"/>
              <w:rPr>
                <w:rFonts w:cs="Arial"/>
              </w:rPr>
            </w:pPr>
            <w:r w:rsidRPr="007F1160">
              <w:rPr>
                <w:rFonts w:cs="Arial"/>
              </w:rPr>
              <w:t>Data Minimisation Principle</w:t>
            </w:r>
          </w:p>
        </w:tc>
        <w:tc>
          <w:tcPr>
            <w:tcW w:w="6724" w:type="dxa"/>
          </w:tcPr>
          <w:p w14:paraId="38D8A232" w14:textId="77777777" w:rsidR="003414FD" w:rsidRPr="007F1160" w:rsidRDefault="003414FD" w:rsidP="00436233">
            <w:p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7F1160">
              <w:rPr>
                <w:rFonts w:cs="Arial"/>
              </w:rPr>
              <w:t xml:space="preserve">Principles that limit the scope and amount of CDR data an accredited person may collect and use. </w:t>
            </w:r>
            <w:r w:rsidR="007F1160" w:rsidRPr="007F1160">
              <w:rPr>
                <w:rFonts w:cs="Arial"/>
              </w:rPr>
              <w:t>See CDR Rules (r 1.8).</w:t>
            </w:r>
          </w:p>
        </w:tc>
      </w:tr>
      <w:tr w:rsidR="003414FD" w14:paraId="4E6F1916"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62668DBF" w14:textId="77777777" w:rsidR="003414FD" w:rsidRPr="00436233" w:rsidRDefault="003414FD" w:rsidP="00436233">
            <w:pPr>
              <w:spacing w:before="10" w:after="10"/>
              <w:rPr>
                <w:rFonts w:cs="Arial"/>
              </w:rPr>
            </w:pPr>
            <w:r w:rsidRPr="009002AB">
              <w:rPr>
                <w:rFonts w:cs="Arial"/>
              </w:rPr>
              <w:t>Design Paper</w:t>
            </w:r>
            <w:r w:rsidR="007F1160" w:rsidRPr="009002AB">
              <w:rPr>
                <w:rFonts w:cs="Arial"/>
              </w:rPr>
              <w:t>s</w:t>
            </w:r>
          </w:p>
        </w:tc>
        <w:tc>
          <w:tcPr>
            <w:tcW w:w="6724" w:type="dxa"/>
          </w:tcPr>
          <w:p w14:paraId="68112BD6" w14:textId="55EBD01E" w:rsidR="00294460" w:rsidRPr="00436233" w:rsidRDefault="00294460" w:rsidP="00436233">
            <w:pPr>
              <w:pStyle w:val="MOTermsL5"/>
              <w:numPr>
                <w:ilvl w:val="0"/>
                <w:numId w:val="0"/>
              </w:numPr>
              <w:spacing w:before="10" w:after="10"/>
              <w:ind w:left="36"/>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The below documents together are referred to as the Design Papers:</w:t>
            </w:r>
          </w:p>
          <w:p w14:paraId="7FC671C3" w14:textId="7C3A6A69" w:rsidR="00294460" w:rsidRPr="00436233" w:rsidRDefault="00294460" w:rsidP="00436233">
            <w:pPr>
              <w:pStyle w:val="MOTermsL5"/>
              <w:numPr>
                <w:ilvl w:val="0"/>
                <w:numId w:val="53"/>
              </w:num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CDR Consent Review – CDR Rules and data standards design paper (CDR Consent Design Paper); and</w:t>
            </w:r>
          </w:p>
          <w:p w14:paraId="1358BD9E" w14:textId="27A99BEB" w:rsidR="003414FD" w:rsidRPr="00436233" w:rsidRDefault="00294460" w:rsidP="00436233">
            <w:pPr>
              <w:pStyle w:val="MOTermsL5"/>
              <w:numPr>
                <w:ilvl w:val="0"/>
                <w:numId w:val="53"/>
              </w:numPr>
              <w:spacing w:before="10" w:after="10"/>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Operational Enhancements – Consumer Data Right Rules design paper (Operational Enhancements Design Paper).</w:t>
            </w:r>
          </w:p>
        </w:tc>
      </w:tr>
      <w:tr w:rsidR="003414FD" w14:paraId="47855E7A"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437F467B" w14:textId="77777777" w:rsidR="003414FD" w:rsidRPr="00436233" w:rsidRDefault="003414FD" w:rsidP="00436233">
            <w:pPr>
              <w:spacing w:before="10" w:after="10"/>
              <w:rPr>
                <w:rFonts w:cs="Arial"/>
              </w:rPr>
            </w:pPr>
            <w:r w:rsidRPr="00277C39">
              <w:rPr>
                <w:rFonts w:cs="Arial"/>
              </w:rPr>
              <w:t>OAIC</w:t>
            </w:r>
          </w:p>
        </w:tc>
        <w:tc>
          <w:tcPr>
            <w:tcW w:w="6724" w:type="dxa"/>
          </w:tcPr>
          <w:p w14:paraId="04BFA764" w14:textId="77777777" w:rsidR="003414FD" w:rsidRPr="00277C39" w:rsidRDefault="003414FD" w:rsidP="00436233">
            <w:p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277C39">
              <w:rPr>
                <w:rFonts w:cs="Arial"/>
              </w:rPr>
              <w:t xml:space="preserve">The Office of the Australian Information Commissioner who is a co-regulator of the CDR regime along with the ACCC.  </w:t>
            </w:r>
          </w:p>
        </w:tc>
      </w:tr>
      <w:tr w:rsidR="003414FD" w14:paraId="659F0DEE"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01458BF6" w14:textId="77777777" w:rsidR="003414FD" w:rsidRPr="00436233" w:rsidRDefault="003414FD" w:rsidP="00436233">
            <w:pPr>
              <w:spacing w:before="10" w:after="10"/>
              <w:rPr>
                <w:rFonts w:cs="Arial"/>
              </w:rPr>
            </w:pPr>
            <w:r w:rsidRPr="00277C39">
              <w:rPr>
                <w:rFonts w:cs="Arial"/>
              </w:rPr>
              <w:t>Outsourced Service Provider (OSP)</w:t>
            </w:r>
          </w:p>
        </w:tc>
        <w:tc>
          <w:tcPr>
            <w:tcW w:w="6724" w:type="dxa"/>
          </w:tcPr>
          <w:p w14:paraId="64171C21" w14:textId="77777777" w:rsidR="003414FD" w:rsidRPr="00436233" w:rsidRDefault="003414FD" w:rsidP="00436233">
            <w:pPr>
              <w:spacing w:before="10" w:after="10" w:line="276" w:lineRule="auto"/>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A person or corporation to whom an accredited person may disclose CDR data under a CDR outsourcing arrangement.</w:t>
            </w:r>
          </w:p>
        </w:tc>
      </w:tr>
      <w:tr w:rsidR="003414FD" w14:paraId="5996E533"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21E65701" w14:textId="77777777" w:rsidR="003414FD" w:rsidRPr="00436233" w:rsidRDefault="003414FD" w:rsidP="00436233">
            <w:pPr>
              <w:spacing w:before="10" w:after="10"/>
              <w:rPr>
                <w:rFonts w:cs="Arial"/>
              </w:rPr>
            </w:pPr>
            <w:r w:rsidRPr="007F1160">
              <w:rPr>
                <w:rFonts w:cs="Arial"/>
              </w:rPr>
              <w:t>Personal Information</w:t>
            </w:r>
          </w:p>
        </w:tc>
        <w:tc>
          <w:tcPr>
            <w:tcW w:w="6724" w:type="dxa"/>
          </w:tcPr>
          <w:p w14:paraId="1CA4784A" w14:textId="77777777" w:rsidR="003414FD" w:rsidRPr="007F1160" w:rsidRDefault="003414FD" w:rsidP="00436233">
            <w:p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7F1160">
              <w:rPr>
                <w:rFonts w:cs="Arial"/>
              </w:rPr>
              <w:t>Information or an opinion about an identified individual, or an individual who is reasonably identifiable:</w:t>
            </w:r>
          </w:p>
          <w:p w14:paraId="6CA767D3" w14:textId="77777777" w:rsidR="007F1160" w:rsidRPr="007F1160" w:rsidRDefault="003414FD" w:rsidP="00436233">
            <w:pPr>
              <w:pStyle w:val="ListParagraph"/>
              <w:numPr>
                <w:ilvl w:val="0"/>
                <w:numId w:val="39"/>
              </w:num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7F1160">
              <w:rPr>
                <w:rFonts w:cs="Arial"/>
              </w:rPr>
              <w:t xml:space="preserve">Whether the information or opinion is true or not; and </w:t>
            </w:r>
          </w:p>
          <w:p w14:paraId="6D470BA7" w14:textId="77777777" w:rsidR="003414FD" w:rsidRPr="007F1160" w:rsidRDefault="003414FD" w:rsidP="00436233">
            <w:pPr>
              <w:pStyle w:val="ListParagraph"/>
              <w:numPr>
                <w:ilvl w:val="0"/>
                <w:numId w:val="39"/>
              </w:num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7F1160">
              <w:rPr>
                <w:rFonts w:cs="Arial"/>
              </w:rPr>
              <w:t xml:space="preserve">Whether the information or opinion is recorded in a material form or not. </w:t>
            </w:r>
          </w:p>
        </w:tc>
      </w:tr>
      <w:tr w:rsidR="003414FD" w14:paraId="31EF9621" w14:textId="77777777" w:rsidTr="00E0376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18" w:type="dxa"/>
          </w:tcPr>
          <w:p w14:paraId="3BF7961A" w14:textId="77777777" w:rsidR="003414FD" w:rsidRPr="00436233" w:rsidRDefault="003414FD" w:rsidP="00436233">
            <w:pPr>
              <w:spacing w:before="10" w:after="10"/>
              <w:rPr>
                <w:rFonts w:cs="Arial"/>
              </w:rPr>
            </w:pPr>
            <w:r w:rsidRPr="00277C39">
              <w:rPr>
                <w:rFonts w:cs="Arial"/>
              </w:rPr>
              <w:t>Secondary User</w:t>
            </w:r>
          </w:p>
        </w:tc>
        <w:tc>
          <w:tcPr>
            <w:tcW w:w="6724" w:type="dxa"/>
          </w:tcPr>
          <w:p w14:paraId="24462469" w14:textId="77777777" w:rsidR="003414FD" w:rsidRPr="00436233" w:rsidRDefault="003414FD" w:rsidP="00436233">
            <w:pPr>
              <w:spacing w:before="10" w:after="10" w:line="276" w:lineRule="auto"/>
              <w:cnfStyle w:val="000000100000" w:firstRow="0" w:lastRow="0" w:firstColumn="0" w:lastColumn="0" w:oddVBand="0" w:evenVBand="0" w:oddHBand="1" w:evenHBand="0" w:firstRowFirstColumn="0" w:firstRowLastColumn="0" w:lastRowFirstColumn="0" w:lastRowLastColumn="0"/>
              <w:rPr>
                <w:rFonts w:cs="Arial"/>
              </w:rPr>
            </w:pPr>
            <w:r w:rsidRPr="00436233">
              <w:rPr>
                <w:rFonts w:cs="Arial"/>
              </w:rPr>
              <w:t xml:space="preserve">A person who is nominated by an account holder to authorise data sharing from their account. </w:t>
            </w:r>
          </w:p>
        </w:tc>
      </w:tr>
      <w:tr w:rsidR="003414FD" w14:paraId="0D5D67CB" w14:textId="77777777" w:rsidTr="00E03763">
        <w:trPr>
          <w:trHeight w:val="284"/>
        </w:trPr>
        <w:tc>
          <w:tcPr>
            <w:cnfStyle w:val="001000000000" w:firstRow="0" w:lastRow="0" w:firstColumn="1" w:lastColumn="0" w:oddVBand="0" w:evenVBand="0" w:oddHBand="0" w:evenHBand="0" w:firstRowFirstColumn="0" w:firstRowLastColumn="0" w:lastRowFirstColumn="0" w:lastRowLastColumn="0"/>
            <w:tcW w:w="2518" w:type="dxa"/>
          </w:tcPr>
          <w:p w14:paraId="4F5F3C7D" w14:textId="77777777" w:rsidR="003414FD" w:rsidRPr="00436233" w:rsidRDefault="003414FD" w:rsidP="00436233">
            <w:pPr>
              <w:spacing w:before="10" w:after="10"/>
              <w:rPr>
                <w:rFonts w:cs="Arial"/>
              </w:rPr>
            </w:pPr>
            <w:r w:rsidRPr="00277C39">
              <w:rPr>
                <w:rFonts w:cs="Arial"/>
              </w:rPr>
              <w:t>Secondary User Instruction</w:t>
            </w:r>
          </w:p>
        </w:tc>
        <w:tc>
          <w:tcPr>
            <w:tcW w:w="6724" w:type="dxa"/>
          </w:tcPr>
          <w:p w14:paraId="13A072B6" w14:textId="77777777" w:rsidR="003414FD" w:rsidRPr="00277C39" w:rsidRDefault="003414FD" w:rsidP="00436233">
            <w:pPr>
              <w:spacing w:before="10" w:after="10" w:line="276" w:lineRule="auto"/>
              <w:cnfStyle w:val="000000000000" w:firstRow="0" w:lastRow="0" w:firstColumn="0" w:lastColumn="0" w:oddVBand="0" w:evenVBand="0" w:oddHBand="0" w:evenHBand="0" w:firstRowFirstColumn="0" w:firstRowLastColumn="0" w:lastRowFirstColumn="0" w:lastRowLastColumn="0"/>
              <w:rPr>
                <w:rFonts w:cs="Arial"/>
              </w:rPr>
            </w:pPr>
            <w:r w:rsidRPr="00277C39">
              <w:rPr>
                <w:rFonts w:cs="Arial"/>
              </w:rPr>
              <w:t>Instructions made by the account holder for the data holder to treat a person as a secondary user for the purposes of the CDR Rules.</w:t>
            </w:r>
          </w:p>
        </w:tc>
      </w:tr>
    </w:tbl>
    <w:p w14:paraId="536388A6" w14:textId="067AB206" w:rsidR="00665953" w:rsidRDefault="00665953">
      <w:pPr>
        <w:spacing w:after="200" w:line="276" w:lineRule="auto"/>
      </w:pPr>
    </w:p>
    <w:p w14:paraId="038EE364" w14:textId="77777777" w:rsidR="00972FCB" w:rsidRPr="00B17CA2" w:rsidRDefault="00972FCB" w:rsidP="00B17CA2">
      <w:pPr>
        <w:pStyle w:val="MOLBodyText"/>
      </w:pPr>
    </w:p>
    <w:sectPr w:rsidR="00972FCB" w:rsidRPr="00B17CA2" w:rsidSect="0056798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ACD4" w14:textId="77777777" w:rsidR="00F71926" w:rsidRDefault="00F71926" w:rsidP="009C54B4">
      <w:r>
        <w:separator/>
      </w:r>
    </w:p>
  </w:endnote>
  <w:endnote w:type="continuationSeparator" w:id="0">
    <w:p w14:paraId="39F0336C" w14:textId="77777777" w:rsidR="00F71926" w:rsidRDefault="00F71926" w:rsidP="009C54B4">
      <w:r>
        <w:continuationSeparator/>
      </w:r>
    </w:p>
  </w:endnote>
  <w:endnote w:type="continuationNotice" w:id="1">
    <w:p w14:paraId="245658E5" w14:textId="77777777" w:rsidR="00F71926" w:rsidRDefault="00F71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4C98795" w14:paraId="41A06D0B" w14:textId="77777777" w:rsidTr="34C98795">
      <w:trPr>
        <w:trHeight w:val="300"/>
      </w:trPr>
      <w:tc>
        <w:tcPr>
          <w:tcW w:w="3005" w:type="dxa"/>
        </w:tcPr>
        <w:p w14:paraId="1C6AA325" w14:textId="66863776" w:rsidR="34C98795" w:rsidRDefault="34C98795" w:rsidP="34C98795">
          <w:pPr>
            <w:pStyle w:val="Header"/>
            <w:ind w:left="-115"/>
          </w:pPr>
        </w:p>
      </w:tc>
      <w:tc>
        <w:tcPr>
          <w:tcW w:w="3005" w:type="dxa"/>
        </w:tcPr>
        <w:p w14:paraId="2AB0DD5E" w14:textId="7388FE74" w:rsidR="34C98795" w:rsidRDefault="34C98795" w:rsidP="34C98795">
          <w:pPr>
            <w:pStyle w:val="Header"/>
            <w:jc w:val="center"/>
          </w:pPr>
        </w:p>
      </w:tc>
      <w:tc>
        <w:tcPr>
          <w:tcW w:w="3005" w:type="dxa"/>
        </w:tcPr>
        <w:p w14:paraId="4D4CDE1E" w14:textId="004907FA" w:rsidR="34C98795" w:rsidRDefault="34C98795" w:rsidP="34C98795">
          <w:pPr>
            <w:pStyle w:val="Header"/>
            <w:ind w:right="-115"/>
            <w:jc w:val="right"/>
          </w:pPr>
        </w:p>
      </w:tc>
    </w:tr>
  </w:tbl>
  <w:p w14:paraId="58C5451A" w14:textId="7ED8FCE7" w:rsidR="001C53AB" w:rsidRDefault="001C5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57A4" w14:textId="57E6250F" w:rsidR="00937AE5" w:rsidRPr="00F54A6C" w:rsidRDefault="00937AE5">
    <w:pPr>
      <w:rPr>
        <w:sz w:val="16"/>
        <w:szCs w:val="16"/>
      </w:rPr>
    </w:pPr>
  </w:p>
  <w:tbl>
    <w:tblPr>
      <w:tblW w:w="4968" w:type="pct"/>
      <w:tblBorders>
        <w:top w:val="single" w:sz="4" w:space="0" w:color="333333"/>
      </w:tblBorders>
      <w:tblLook w:val="01E0" w:firstRow="1" w:lastRow="1" w:firstColumn="1" w:lastColumn="1" w:noHBand="0" w:noVBand="0"/>
    </w:tblPr>
    <w:tblGrid>
      <w:gridCol w:w="4513"/>
      <w:gridCol w:w="4455"/>
    </w:tblGrid>
    <w:tr w:rsidR="00663A67" w:rsidRPr="00F54A6C" w14:paraId="6923AB5E" w14:textId="77777777">
      <w:tc>
        <w:tcPr>
          <w:tcW w:w="2516" w:type="pct"/>
        </w:tcPr>
        <w:p w14:paraId="57210A24" w14:textId="77777777" w:rsidR="00937AE5" w:rsidRPr="00135211" w:rsidRDefault="007F5526">
          <w:pPr>
            <w:widowControl w:val="0"/>
            <w:autoSpaceDE w:val="0"/>
            <w:autoSpaceDN w:val="0"/>
            <w:adjustRightInd w:val="0"/>
            <w:spacing w:before="60" w:after="60"/>
            <w:rPr>
              <w:rFonts w:cs="Arial"/>
              <w:color w:val="333333"/>
              <w:sz w:val="16"/>
              <w:szCs w:val="16"/>
            </w:rPr>
          </w:pPr>
          <w:r w:rsidRPr="002A1F65">
            <w:rPr>
              <w:rFonts w:cs="Arial"/>
              <w:color w:val="333333"/>
              <w:w w:val="108"/>
              <w:sz w:val="16"/>
              <w:szCs w:val="16"/>
            </w:rPr>
            <w:t>Mills Oakley</w:t>
          </w:r>
          <w:r w:rsidRPr="00135211">
            <w:rPr>
              <w:rFonts w:cs="Arial"/>
              <w:color w:val="333333"/>
              <w:w w:val="107"/>
              <w:sz w:val="16"/>
              <w:szCs w:val="16"/>
            </w:rPr>
            <w:t xml:space="preserve"> ©</w:t>
          </w:r>
        </w:p>
      </w:tc>
      <w:tc>
        <w:tcPr>
          <w:tcW w:w="2484" w:type="pct"/>
        </w:tcPr>
        <w:p w14:paraId="298EDF92" w14:textId="77777777" w:rsidR="00937AE5" w:rsidRPr="00623D59" w:rsidRDefault="007F5526">
          <w:pPr>
            <w:widowControl w:val="0"/>
            <w:autoSpaceDE w:val="0"/>
            <w:autoSpaceDN w:val="0"/>
            <w:adjustRightInd w:val="0"/>
            <w:spacing w:before="60" w:after="60"/>
            <w:jc w:val="right"/>
            <w:rPr>
              <w:rFonts w:cs="Arial"/>
              <w:color w:val="333333"/>
              <w:sz w:val="16"/>
              <w:szCs w:val="16"/>
            </w:rPr>
          </w:pPr>
          <w:r w:rsidRPr="00623D59">
            <w:rPr>
              <w:rFonts w:cs="Arial"/>
              <w:color w:val="333333"/>
              <w:sz w:val="16"/>
              <w:szCs w:val="16"/>
            </w:rPr>
            <w:t xml:space="preserve">Page </w:t>
          </w:r>
          <w:r w:rsidRPr="00623D59">
            <w:rPr>
              <w:rStyle w:val="PageNumber"/>
              <w:color w:val="333333"/>
              <w:sz w:val="16"/>
            </w:rPr>
            <w:fldChar w:fldCharType="begin"/>
          </w:r>
          <w:r w:rsidRPr="00623D59">
            <w:rPr>
              <w:rStyle w:val="PageNumber"/>
              <w:color w:val="333333"/>
              <w:sz w:val="16"/>
            </w:rPr>
            <w:instrText xml:space="preserve"> PAGE </w:instrText>
          </w:r>
          <w:r w:rsidRPr="00623D59">
            <w:rPr>
              <w:rStyle w:val="PageNumber"/>
              <w:color w:val="333333"/>
              <w:sz w:val="16"/>
            </w:rPr>
            <w:fldChar w:fldCharType="separate"/>
          </w:r>
          <w:r>
            <w:rPr>
              <w:rStyle w:val="PageNumber"/>
              <w:color w:val="333333"/>
              <w:sz w:val="16"/>
            </w:rPr>
            <w:t>1</w:t>
          </w:r>
          <w:r w:rsidRPr="00623D59">
            <w:rPr>
              <w:rStyle w:val="PageNumber"/>
              <w:color w:val="333333"/>
              <w:sz w:val="16"/>
            </w:rPr>
            <w:fldChar w:fldCharType="end"/>
          </w:r>
        </w:p>
      </w:tc>
    </w:tr>
  </w:tbl>
  <w:p w14:paraId="1872325B" w14:textId="77777777" w:rsidR="00937AE5" w:rsidRDefault="00937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867" w14:textId="77777777" w:rsidR="009436BF" w:rsidRPr="00F54A6C" w:rsidRDefault="009436BF">
    <w:pPr>
      <w:rPr>
        <w:sz w:val="16"/>
        <w:szCs w:val="16"/>
      </w:rPr>
    </w:pPr>
  </w:p>
  <w:tbl>
    <w:tblPr>
      <w:tblW w:w="4968" w:type="pct"/>
      <w:tblBorders>
        <w:top w:val="single" w:sz="4" w:space="0" w:color="auto"/>
      </w:tblBorders>
      <w:tblLook w:val="01E0" w:firstRow="1" w:lastRow="1" w:firstColumn="1" w:lastColumn="1" w:noHBand="0" w:noVBand="0"/>
    </w:tblPr>
    <w:tblGrid>
      <w:gridCol w:w="6979"/>
      <w:gridCol w:w="6890"/>
    </w:tblGrid>
    <w:tr w:rsidR="009436BF" w:rsidRPr="00F54A6C" w14:paraId="40825FE3" w14:textId="77777777" w:rsidTr="00723AF5">
      <w:tc>
        <w:tcPr>
          <w:tcW w:w="2516" w:type="pct"/>
        </w:tcPr>
        <w:p w14:paraId="18E0F95A" w14:textId="77777777" w:rsidR="009436BF" w:rsidRPr="00135211" w:rsidRDefault="009436BF">
          <w:pPr>
            <w:widowControl w:val="0"/>
            <w:autoSpaceDE w:val="0"/>
            <w:autoSpaceDN w:val="0"/>
            <w:adjustRightInd w:val="0"/>
            <w:spacing w:before="60" w:after="60"/>
            <w:rPr>
              <w:rFonts w:cs="Arial"/>
              <w:color w:val="333333"/>
              <w:sz w:val="16"/>
              <w:szCs w:val="16"/>
            </w:rPr>
          </w:pPr>
          <w:r w:rsidRPr="002A1F65">
            <w:rPr>
              <w:rFonts w:cs="Arial"/>
              <w:color w:val="333333"/>
              <w:w w:val="108"/>
              <w:sz w:val="16"/>
              <w:szCs w:val="16"/>
            </w:rPr>
            <w:t>Mills Oakley</w:t>
          </w:r>
          <w:r w:rsidRPr="00135211">
            <w:rPr>
              <w:rFonts w:cs="Arial"/>
              <w:color w:val="333333"/>
              <w:w w:val="107"/>
              <w:sz w:val="16"/>
              <w:szCs w:val="16"/>
            </w:rPr>
            <w:t xml:space="preserve"> ©</w:t>
          </w:r>
        </w:p>
      </w:tc>
      <w:tc>
        <w:tcPr>
          <w:tcW w:w="2484" w:type="pct"/>
        </w:tcPr>
        <w:p w14:paraId="09CAB4AF" w14:textId="77777777" w:rsidR="009436BF" w:rsidRPr="00623D59" w:rsidRDefault="009436BF">
          <w:pPr>
            <w:widowControl w:val="0"/>
            <w:autoSpaceDE w:val="0"/>
            <w:autoSpaceDN w:val="0"/>
            <w:adjustRightInd w:val="0"/>
            <w:spacing w:before="60" w:after="60"/>
            <w:jc w:val="right"/>
            <w:rPr>
              <w:rFonts w:cs="Arial"/>
              <w:color w:val="333333"/>
              <w:sz w:val="16"/>
              <w:szCs w:val="16"/>
            </w:rPr>
          </w:pPr>
          <w:r w:rsidRPr="00623D59">
            <w:rPr>
              <w:rFonts w:cs="Arial"/>
              <w:color w:val="333333"/>
              <w:sz w:val="16"/>
              <w:szCs w:val="16"/>
            </w:rPr>
            <w:t xml:space="preserve">Page </w:t>
          </w:r>
          <w:r w:rsidRPr="00623D59">
            <w:rPr>
              <w:rStyle w:val="PageNumber"/>
              <w:color w:val="333333"/>
              <w:sz w:val="16"/>
            </w:rPr>
            <w:fldChar w:fldCharType="begin"/>
          </w:r>
          <w:r w:rsidRPr="00623D59">
            <w:rPr>
              <w:rStyle w:val="PageNumber"/>
              <w:color w:val="333333"/>
              <w:sz w:val="16"/>
            </w:rPr>
            <w:instrText xml:space="preserve"> PAGE </w:instrText>
          </w:r>
          <w:r w:rsidRPr="00623D59">
            <w:rPr>
              <w:rStyle w:val="PageNumber"/>
              <w:color w:val="333333"/>
              <w:sz w:val="16"/>
            </w:rPr>
            <w:fldChar w:fldCharType="separate"/>
          </w:r>
          <w:r>
            <w:rPr>
              <w:rStyle w:val="PageNumber"/>
              <w:color w:val="333333"/>
              <w:sz w:val="16"/>
            </w:rPr>
            <w:t>1</w:t>
          </w:r>
          <w:r w:rsidRPr="00623D59">
            <w:rPr>
              <w:rStyle w:val="PageNumber"/>
              <w:color w:val="333333"/>
              <w:sz w:val="16"/>
            </w:rPr>
            <w:fldChar w:fldCharType="end"/>
          </w:r>
        </w:p>
      </w:tc>
    </w:tr>
  </w:tbl>
  <w:p w14:paraId="64A557C9" w14:textId="77777777" w:rsidR="009436BF" w:rsidRDefault="009436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180C" w14:textId="77777777" w:rsidR="009436BF" w:rsidRPr="00F54A6C" w:rsidRDefault="009436BF">
    <w:pPr>
      <w:rPr>
        <w:sz w:val="16"/>
        <w:szCs w:val="16"/>
      </w:rPr>
    </w:pPr>
  </w:p>
  <w:tbl>
    <w:tblPr>
      <w:tblW w:w="4968" w:type="pct"/>
      <w:tblBorders>
        <w:top w:val="single" w:sz="4" w:space="0" w:color="333333"/>
      </w:tblBorders>
      <w:tblLook w:val="01E0" w:firstRow="1" w:lastRow="1" w:firstColumn="1" w:lastColumn="1" w:noHBand="0" w:noVBand="0"/>
    </w:tblPr>
    <w:tblGrid>
      <w:gridCol w:w="4513"/>
      <w:gridCol w:w="4455"/>
    </w:tblGrid>
    <w:tr w:rsidR="009436BF" w:rsidRPr="00F54A6C" w14:paraId="65D8D7B0" w14:textId="77777777">
      <w:tc>
        <w:tcPr>
          <w:tcW w:w="2516" w:type="pct"/>
        </w:tcPr>
        <w:p w14:paraId="35D66DA3" w14:textId="77777777" w:rsidR="009436BF" w:rsidRPr="00135211" w:rsidRDefault="009436BF">
          <w:pPr>
            <w:widowControl w:val="0"/>
            <w:autoSpaceDE w:val="0"/>
            <w:autoSpaceDN w:val="0"/>
            <w:adjustRightInd w:val="0"/>
            <w:spacing w:before="60" w:after="60"/>
            <w:rPr>
              <w:rFonts w:cs="Arial"/>
              <w:color w:val="333333"/>
              <w:sz w:val="16"/>
              <w:szCs w:val="16"/>
            </w:rPr>
          </w:pPr>
          <w:r w:rsidRPr="002A1F65">
            <w:rPr>
              <w:rFonts w:cs="Arial"/>
              <w:color w:val="333333"/>
              <w:w w:val="108"/>
              <w:sz w:val="16"/>
              <w:szCs w:val="16"/>
            </w:rPr>
            <w:t>Mills Oakley</w:t>
          </w:r>
          <w:r w:rsidRPr="00135211">
            <w:rPr>
              <w:rFonts w:cs="Arial"/>
              <w:color w:val="333333"/>
              <w:w w:val="107"/>
              <w:sz w:val="16"/>
              <w:szCs w:val="16"/>
            </w:rPr>
            <w:t xml:space="preserve"> ©</w:t>
          </w:r>
        </w:p>
      </w:tc>
      <w:tc>
        <w:tcPr>
          <w:tcW w:w="2484" w:type="pct"/>
        </w:tcPr>
        <w:p w14:paraId="7E38D88F" w14:textId="77777777" w:rsidR="009436BF" w:rsidRPr="00623D59" w:rsidRDefault="009436BF">
          <w:pPr>
            <w:widowControl w:val="0"/>
            <w:autoSpaceDE w:val="0"/>
            <w:autoSpaceDN w:val="0"/>
            <w:adjustRightInd w:val="0"/>
            <w:spacing w:before="60" w:after="60"/>
            <w:jc w:val="right"/>
            <w:rPr>
              <w:rFonts w:cs="Arial"/>
              <w:color w:val="333333"/>
              <w:sz w:val="16"/>
              <w:szCs w:val="16"/>
            </w:rPr>
          </w:pPr>
          <w:r w:rsidRPr="00623D59">
            <w:rPr>
              <w:rFonts w:cs="Arial"/>
              <w:color w:val="333333"/>
              <w:sz w:val="16"/>
              <w:szCs w:val="16"/>
            </w:rPr>
            <w:t xml:space="preserve">Page </w:t>
          </w:r>
          <w:r w:rsidRPr="00623D59">
            <w:rPr>
              <w:rStyle w:val="PageNumber"/>
              <w:color w:val="333333"/>
              <w:sz w:val="16"/>
            </w:rPr>
            <w:fldChar w:fldCharType="begin"/>
          </w:r>
          <w:r w:rsidRPr="00623D59">
            <w:rPr>
              <w:rStyle w:val="PageNumber"/>
              <w:color w:val="333333"/>
              <w:sz w:val="16"/>
            </w:rPr>
            <w:instrText xml:space="preserve"> PAGE </w:instrText>
          </w:r>
          <w:r w:rsidRPr="00623D59">
            <w:rPr>
              <w:rStyle w:val="PageNumber"/>
              <w:color w:val="333333"/>
              <w:sz w:val="16"/>
            </w:rPr>
            <w:fldChar w:fldCharType="separate"/>
          </w:r>
          <w:r>
            <w:rPr>
              <w:rStyle w:val="PageNumber"/>
              <w:color w:val="333333"/>
              <w:sz w:val="16"/>
            </w:rPr>
            <w:t>1</w:t>
          </w:r>
          <w:r w:rsidRPr="00623D59">
            <w:rPr>
              <w:rStyle w:val="PageNumber"/>
              <w:color w:val="333333"/>
              <w:sz w:val="16"/>
            </w:rPr>
            <w:fldChar w:fldCharType="end"/>
          </w:r>
        </w:p>
      </w:tc>
    </w:tr>
  </w:tbl>
  <w:p w14:paraId="4AD770F3" w14:textId="77777777" w:rsidR="009436BF" w:rsidRDefault="0094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BD05" w14:textId="77777777" w:rsidR="00F71926" w:rsidRDefault="00F71926" w:rsidP="009C54B4">
      <w:r>
        <w:separator/>
      </w:r>
    </w:p>
  </w:footnote>
  <w:footnote w:type="continuationSeparator" w:id="0">
    <w:p w14:paraId="10F8DAB4" w14:textId="77777777" w:rsidR="00F71926" w:rsidRDefault="00F71926" w:rsidP="009C54B4">
      <w:r>
        <w:continuationSeparator/>
      </w:r>
    </w:p>
  </w:footnote>
  <w:footnote w:type="continuationNotice" w:id="1">
    <w:p w14:paraId="0ED677ED" w14:textId="77777777" w:rsidR="00F71926" w:rsidRDefault="00F71926"/>
  </w:footnote>
  <w:footnote w:id="2">
    <w:p w14:paraId="2C70CD37" w14:textId="661B64EB" w:rsidR="001B75A5" w:rsidRDefault="001B75A5" w:rsidP="00592B33">
      <w:pPr>
        <w:pStyle w:val="FootnoteText"/>
        <w:ind w:left="850" w:hanging="850"/>
      </w:pPr>
      <w:r>
        <w:rPr>
          <w:rStyle w:val="FootnoteReference"/>
        </w:rPr>
        <w:footnoteRef/>
      </w:r>
      <w:r>
        <w:t xml:space="preserve"> </w:t>
      </w:r>
      <w:r w:rsidR="00592B33">
        <w:tab/>
      </w:r>
      <w:r w:rsidR="001909B7">
        <w:t xml:space="preserve">The Australian Government, The Treasury, </w:t>
      </w:r>
      <w:r w:rsidR="001909B7">
        <w:rPr>
          <w:i/>
          <w:iCs/>
        </w:rPr>
        <w:t>Operational Enhancements – CDR Rules Design Paper</w:t>
      </w:r>
      <w:r w:rsidR="001909B7">
        <w:t xml:space="preserve"> ([August] 2023) pg 3 para [1].</w:t>
      </w:r>
    </w:p>
  </w:footnote>
  <w:footnote w:id="3">
    <w:p w14:paraId="713D944B" w14:textId="64195AAD" w:rsidR="00D12D90" w:rsidRDefault="00D12D90">
      <w:pPr>
        <w:pStyle w:val="FootnoteText"/>
      </w:pPr>
      <w:r>
        <w:rPr>
          <w:rStyle w:val="FootnoteReference"/>
        </w:rPr>
        <w:footnoteRef/>
      </w:r>
      <w:r>
        <w:t xml:space="preserve"> </w:t>
      </w:r>
      <w:r>
        <w:tab/>
        <w:t xml:space="preserve">See ss 56BQ and 56BR of the Competition and </w:t>
      </w:r>
      <w:r w:rsidRPr="00D12D90">
        <w:t>C</w:t>
      </w:r>
      <w:r>
        <w:t xml:space="preserve">onsumer </w:t>
      </w:r>
      <w:r w:rsidRPr="00D12D90">
        <w:t>A</w:t>
      </w:r>
      <w:r>
        <w:t>ct</w:t>
      </w:r>
    </w:p>
  </w:footnote>
  <w:footnote w:id="4">
    <w:p w14:paraId="72886592" w14:textId="77777777" w:rsidR="007F340B" w:rsidRDefault="007F340B" w:rsidP="007F340B">
      <w:pPr>
        <w:pStyle w:val="FootnoteText"/>
        <w:ind w:left="851" w:hanging="851"/>
      </w:pPr>
      <w:r>
        <w:rPr>
          <w:rStyle w:val="FootnoteReference"/>
        </w:rPr>
        <w:footnoteRef/>
      </w:r>
      <w:r>
        <w:t xml:space="preserve"> </w:t>
      </w:r>
      <w:r>
        <w:tab/>
        <w:t>See &lt;</w:t>
      </w:r>
      <w:r w:rsidRPr="00A66BFE">
        <w:t xml:space="preserve"> </w:t>
      </w:r>
      <w:hyperlink r:id="rId1" w:history="1">
        <w:r w:rsidRPr="00A31C3C">
          <w:rPr>
            <w:rStyle w:val="Hyperlink"/>
          </w:rPr>
          <w:t>https://www.oaic.gov.au/privacy/privacy-guidance-for-organisations-and-government-agencies/privacy-impact-assessments/10-steps-to-undertaking-a-privacy-impact-assessment</w:t>
        </w:r>
      </w:hyperlink>
      <w:r>
        <w:t xml:space="preserve"> &gt;</w:t>
      </w:r>
    </w:p>
  </w:footnote>
  <w:footnote w:id="5">
    <w:p w14:paraId="75AD9802" w14:textId="77777777" w:rsidR="00127D2E" w:rsidRDefault="00127D2E" w:rsidP="00C619F0">
      <w:pPr>
        <w:pStyle w:val="FootnoteText"/>
        <w:ind w:left="850" w:hanging="850"/>
      </w:pPr>
      <w:r>
        <w:rPr>
          <w:rStyle w:val="FootnoteReference"/>
        </w:rPr>
        <w:footnoteRef/>
      </w:r>
      <w:r>
        <w:t xml:space="preserve"> </w:t>
      </w:r>
      <w:r w:rsidR="00C619F0">
        <w:tab/>
      </w:r>
      <w:hyperlink r:id="rId2" w:history="1">
        <w:r w:rsidR="00C619F0" w:rsidRPr="001F0CCA">
          <w:rPr>
            <w:rStyle w:val="Hyperlink"/>
          </w:rPr>
          <w:t>https://www.oaic.gov.au/consumer-data-right/consumer-data-right-guidance-for-business/consumer-data-right-privacy-safeguard-guidelines</w:t>
        </w:r>
      </w:hyperlink>
      <w:r>
        <w:t xml:space="preserve">. </w:t>
      </w:r>
    </w:p>
  </w:footnote>
  <w:footnote w:id="6">
    <w:p w14:paraId="1FAD7C3D" w14:textId="77777777" w:rsidR="00B551DE" w:rsidRDefault="00B551DE">
      <w:pPr>
        <w:pStyle w:val="FootnoteText"/>
      </w:pPr>
      <w:r>
        <w:rPr>
          <w:rStyle w:val="FootnoteReference"/>
        </w:rPr>
        <w:footnoteRef/>
      </w:r>
      <w:r>
        <w:t xml:space="preserve"> </w:t>
      </w:r>
      <w:r w:rsidR="00C619F0">
        <w:tab/>
      </w:r>
      <w:hyperlink r:id="rId3" w:history="1">
        <w:r w:rsidR="00C619F0" w:rsidRPr="001F0CCA">
          <w:rPr>
            <w:rStyle w:val="Hyperlink"/>
          </w:rPr>
          <w:t>www.ag.gov.au/sites/default/files/2023-02/privacy-act-review-report_0.pdf</w:t>
        </w:r>
      </w:hyperlink>
      <w:r>
        <w:t xml:space="preserve">. </w:t>
      </w:r>
    </w:p>
  </w:footnote>
  <w:footnote w:id="7">
    <w:p w14:paraId="3486C9B9" w14:textId="20DB6D70" w:rsidR="00D12D90" w:rsidRDefault="00D12D90" w:rsidP="00D12D90">
      <w:pPr>
        <w:pStyle w:val="FootnoteText"/>
        <w:ind w:left="851" w:hanging="851"/>
      </w:pPr>
      <w:r>
        <w:rPr>
          <w:rStyle w:val="FootnoteReference"/>
        </w:rPr>
        <w:footnoteRef/>
      </w:r>
      <w:r>
        <w:t xml:space="preserve"> </w:t>
      </w:r>
      <w:r>
        <w:tab/>
      </w:r>
      <w:r w:rsidRPr="00D12D90">
        <w:rPr>
          <w:rStyle w:val="Hyperlink"/>
        </w:rPr>
        <w:t>https://www.ag.gov.au/rights-and-protections/publications/government-response-privacy-act-review-report</w:t>
      </w:r>
    </w:p>
  </w:footnote>
  <w:footnote w:id="8">
    <w:p w14:paraId="5D83FF35" w14:textId="77777777" w:rsidR="00475613" w:rsidRPr="00883BD3" w:rsidRDefault="00475613" w:rsidP="00475613">
      <w:pPr>
        <w:pStyle w:val="FootnoteText"/>
      </w:pPr>
      <w:r>
        <w:rPr>
          <w:rStyle w:val="FootnoteReference"/>
        </w:rPr>
        <w:footnoteRef/>
      </w:r>
      <w:r>
        <w:t xml:space="preserve"> </w:t>
      </w:r>
      <w:r>
        <w:tab/>
      </w:r>
      <w:r>
        <w:rPr>
          <w:i/>
          <w:iCs/>
        </w:rPr>
        <w:t xml:space="preserve">Competition and Consumer (Consumer Data Right) Rules 2020 </w:t>
      </w:r>
      <w:r>
        <w:t>(Cth), r 4.10(1)(b)(ii).</w:t>
      </w:r>
    </w:p>
  </w:footnote>
  <w:footnote w:id="9">
    <w:p w14:paraId="2BE2864C" w14:textId="77777777" w:rsidR="0034534C" w:rsidRDefault="0034534C" w:rsidP="0034534C">
      <w:pPr>
        <w:pStyle w:val="FootnoteText"/>
      </w:pPr>
      <w:r>
        <w:rPr>
          <w:rStyle w:val="FootnoteReference"/>
        </w:rPr>
        <w:footnoteRef/>
      </w:r>
      <w:r>
        <w:t xml:space="preserve"> </w:t>
      </w:r>
      <w:r>
        <w:tab/>
      </w:r>
      <w:bookmarkStart w:id="17" w:name="_Hlk163586280"/>
      <w:r w:rsidRPr="0096156C">
        <w:t xml:space="preserve">The Australian Government, The Treasury, </w:t>
      </w:r>
      <w:hyperlink r:id="rId4" w:history="1">
        <w:r w:rsidRPr="00E758FE">
          <w:rPr>
            <w:rStyle w:val="Hyperlink"/>
            <w:i/>
            <w:iCs/>
          </w:rPr>
          <w:t>CDR Consent Review – CDR rules and data standards design pape</w:t>
        </w:r>
        <w:r w:rsidRPr="00E758FE">
          <w:rPr>
            <w:rStyle w:val="Hyperlink"/>
          </w:rPr>
          <w:t>r</w:t>
        </w:r>
      </w:hyperlink>
      <w:r>
        <w:t xml:space="preserve"> </w:t>
      </w:r>
      <w:r w:rsidRPr="0096156C">
        <w:t>(August 2023) p</w:t>
      </w:r>
      <w:r w:rsidR="00550CA1">
        <w:t>a</w:t>
      </w:r>
      <w:r w:rsidRPr="0096156C">
        <w:t>g</w:t>
      </w:r>
      <w:r w:rsidR="00550CA1">
        <w:t>e</w:t>
      </w:r>
      <w:r w:rsidRPr="0096156C">
        <w:t xml:space="preserve"> </w:t>
      </w:r>
      <w:r>
        <w:t>8</w:t>
      </w:r>
      <w:r w:rsidRPr="0096156C">
        <w:t xml:space="preserve"> section [1].</w:t>
      </w:r>
      <w:bookmarkEnd w:id="17"/>
    </w:p>
  </w:footnote>
  <w:footnote w:id="10">
    <w:p w14:paraId="2C46D69F" w14:textId="77777777" w:rsidR="00426733" w:rsidRDefault="00426733">
      <w:pPr>
        <w:pStyle w:val="FootnoteText"/>
      </w:pPr>
      <w:r>
        <w:rPr>
          <w:rStyle w:val="FootnoteReference"/>
        </w:rPr>
        <w:footnoteRef/>
      </w:r>
      <w:r>
        <w:t xml:space="preserve"> </w:t>
      </w:r>
      <w:r w:rsidR="00C619F0">
        <w:tab/>
      </w:r>
      <w:r>
        <w:t>Rule 1.8.</w:t>
      </w:r>
    </w:p>
  </w:footnote>
  <w:footnote w:id="11">
    <w:p w14:paraId="34A45067" w14:textId="77777777" w:rsidR="00426733" w:rsidRDefault="00426733">
      <w:pPr>
        <w:pStyle w:val="FootnoteText"/>
      </w:pPr>
      <w:r>
        <w:rPr>
          <w:rStyle w:val="FootnoteReference"/>
        </w:rPr>
        <w:footnoteRef/>
      </w:r>
      <w:r>
        <w:t xml:space="preserve"> </w:t>
      </w:r>
      <w:r w:rsidR="00C619F0">
        <w:tab/>
      </w:r>
      <w:r>
        <w:t>Rule 4.12.</w:t>
      </w:r>
    </w:p>
  </w:footnote>
  <w:footnote w:id="12">
    <w:p w14:paraId="1EAD5391" w14:textId="77777777" w:rsidR="00426733" w:rsidRDefault="00426733">
      <w:pPr>
        <w:pStyle w:val="FootnoteText"/>
      </w:pPr>
      <w:r>
        <w:rPr>
          <w:rStyle w:val="FootnoteReference"/>
        </w:rPr>
        <w:footnoteRef/>
      </w:r>
      <w:r>
        <w:t xml:space="preserve"> </w:t>
      </w:r>
      <w:r w:rsidR="00C619F0">
        <w:tab/>
      </w:r>
      <w:r>
        <w:t>See rule 1.8.</w:t>
      </w:r>
    </w:p>
  </w:footnote>
  <w:footnote w:id="13">
    <w:p w14:paraId="7A6B9479" w14:textId="2184F5D7" w:rsidR="00281720" w:rsidRDefault="00281720">
      <w:pPr>
        <w:pStyle w:val="FootnoteText"/>
      </w:pPr>
      <w:r>
        <w:rPr>
          <w:rStyle w:val="FootnoteReference"/>
        </w:rPr>
        <w:footnoteRef/>
      </w:r>
      <w:r>
        <w:t xml:space="preserve"> </w:t>
      </w:r>
      <w:r w:rsidR="00C619F0">
        <w:tab/>
      </w:r>
      <w:r>
        <w:t xml:space="preserve">See discussion at </w:t>
      </w:r>
      <w:r w:rsidR="00003F01">
        <w:t>3.3</w:t>
      </w:r>
      <w:r>
        <w:t>.</w:t>
      </w:r>
    </w:p>
  </w:footnote>
  <w:footnote w:id="14">
    <w:p w14:paraId="6C46AB68" w14:textId="77777777" w:rsidR="00332686" w:rsidRDefault="00332686" w:rsidP="00332686">
      <w:pPr>
        <w:pStyle w:val="FootnoteText"/>
      </w:pPr>
      <w:r>
        <w:rPr>
          <w:rStyle w:val="FootnoteReference"/>
        </w:rPr>
        <w:footnoteRef/>
      </w:r>
      <w:r>
        <w:t xml:space="preserve"> </w:t>
      </w:r>
      <w:r>
        <w:tab/>
      </w:r>
      <w:bookmarkStart w:id="23" w:name="_Hlk163588271"/>
      <w:r w:rsidRPr="004D7C08">
        <w:t xml:space="preserve">The Australian Government, The Treasury, </w:t>
      </w:r>
      <w:r w:rsidRPr="004D7C08">
        <w:rPr>
          <w:i/>
          <w:iCs/>
        </w:rPr>
        <w:t>CDR Consent Review – CDR rules and data standards design paper</w:t>
      </w:r>
      <w:r w:rsidRPr="004D7C08">
        <w:t xml:space="preserve"> (August 2023) p</w:t>
      </w:r>
      <w:r w:rsidR="00506720">
        <w:t>a</w:t>
      </w:r>
      <w:r w:rsidRPr="004D7C08">
        <w:t>g</w:t>
      </w:r>
      <w:r w:rsidR="00506720">
        <w:t>e</w:t>
      </w:r>
      <w:r w:rsidRPr="004D7C08">
        <w:t xml:space="preserve"> </w:t>
      </w:r>
      <w:r>
        <w:t>12</w:t>
      </w:r>
      <w:r w:rsidRPr="004D7C08">
        <w:t xml:space="preserve"> section [</w:t>
      </w:r>
      <w:r>
        <w:t>2</w:t>
      </w:r>
      <w:r w:rsidRPr="004D7C08">
        <w:t>].</w:t>
      </w:r>
      <w:bookmarkEnd w:id="23"/>
    </w:p>
  </w:footnote>
  <w:footnote w:id="15">
    <w:p w14:paraId="6E2A9C1B" w14:textId="77777777" w:rsidR="00332686" w:rsidRPr="009B0CDA" w:rsidRDefault="00332686">
      <w:pPr>
        <w:pStyle w:val="FootnoteText"/>
      </w:pPr>
      <w:r>
        <w:rPr>
          <w:rStyle w:val="FootnoteReference"/>
        </w:rPr>
        <w:footnoteRef/>
      </w:r>
      <w:r>
        <w:t xml:space="preserve"> </w:t>
      </w:r>
      <w:r>
        <w:tab/>
      </w:r>
      <w:r>
        <w:rPr>
          <w:i/>
          <w:iCs/>
        </w:rPr>
        <w:t xml:space="preserve">Competition and Consumer (Consumer Data Right) Rules 2020 </w:t>
      </w:r>
      <w:r>
        <w:t>(Cth), r 4.11(1) and r 4.11(2).</w:t>
      </w:r>
    </w:p>
  </w:footnote>
  <w:footnote w:id="16">
    <w:p w14:paraId="73B3A43A" w14:textId="1BDD1695" w:rsidR="00332686" w:rsidRDefault="00332686">
      <w:pPr>
        <w:pStyle w:val="FootnoteText"/>
      </w:pPr>
      <w:r>
        <w:rPr>
          <w:rStyle w:val="FootnoteReference"/>
        </w:rPr>
        <w:footnoteRef/>
      </w:r>
      <w:r>
        <w:t xml:space="preserve"> </w:t>
      </w:r>
      <w:r>
        <w:tab/>
        <w:t>See Privacy Act Review Report, p</w:t>
      </w:r>
      <w:r w:rsidR="00506720">
        <w:t>a</w:t>
      </w:r>
      <w:r>
        <w:t>g</w:t>
      </w:r>
      <w:r w:rsidR="00506720">
        <w:t>e</w:t>
      </w:r>
      <w:r>
        <w:t xml:space="preserve"> </w:t>
      </w:r>
      <w:r w:rsidR="00DA1D01">
        <w:t>103</w:t>
      </w:r>
      <w:r>
        <w:t xml:space="preserve">. </w:t>
      </w:r>
    </w:p>
  </w:footnote>
  <w:footnote w:id="17">
    <w:p w14:paraId="3BE46437" w14:textId="2AB62ED1" w:rsidR="00CA5E54" w:rsidRDefault="00CA5E54" w:rsidP="00CA5E54">
      <w:pPr>
        <w:pStyle w:val="FootnoteText"/>
      </w:pPr>
      <w:r>
        <w:rPr>
          <w:rStyle w:val="FootnoteReference"/>
        </w:rPr>
        <w:footnoteRef/>
      </w:r>
      <w:r>
        <w:t xml:space="preserve"> </w:t>
      </w:r>
      <w:r>
        <w:tab/>
        <w:t xml:space="preserve">See Privacy Act Review Report, page </w:t>
      </w:r>
      <w:r w:rsidR="00DA1D01">
        <w:t xml:space="preserve">172-173. </w:t>
      </w:r>
    </w:p>
  </w:footnote>
  <w:footnote w:id="18">
    <w:p w14:paraId="7D6CEB09" w14:textId="77777777" w:rsidR="000737B4" w:rsidRDefault="000737B4" w:rsidP="000737B4">
      <w:pPr>
        <w:pStyle w:val="FootnoteText"/>
      </w:pPr>
      <w:r>
        <w:rPr>
          <w:rStyle w:val="FootnoteReference"/>
        </w:rPr>
        <w:footnoteRef/>
      </w:r>
      <w:r>
        <w:t xml:space="preserve"> </w:t>
      </w:r>
      <w:r>
        <w:tab/>
      </w:r>
      <w:bookmarkStart w:id="29" w:name="_Hlk163590684"/>
      <w:r w:rsidRPr="0090163E">
        <w:t>The Australian Government, The Treasury, CDR Consent Review – CDR rules and data standards design paper (August 2023) p</w:t>
      </w:r>
      <w:r w:rsidR="00506720">
        <w:t>a</w:t>
      </w:r>
      <w:r w:rsidRPr="0090163E">
        <w:t>g</w:t>
      </w:r>
      <w:r w:rsidR="00506720">
        <w:t>e</w:t>
      </w:r>
      <w:r w:rsidRPr="0090163E">
        <w:t xml:space="preserve"> 1</w:t>
      </w:r>
      <w:r>
        <w:t>4</w:t>
      </w:r>
      <w:r w:rsidRPr="0090163E">
        <w:t xml:space="preserve"> section [</w:t>
      </w:r>
      <w:r>
        <w:t>3</w:t>
      </w:r>
      <w:r w:rsidRPr="0090163E">
        <w:t>].</w:t>
      </w:r>
      <w:bookmarkEnd w:id="29"/>
    </w:p>
  </w:footnote>
  <w:footnote w:id="19">
    <w:p w14:paraId="5681BFE4" w14:textId="77777777" w:rsidR="000737B4" w:rsidRPr="001B1BFF" w:rsidRDefault="000737B4">
      <w:pPr>
        <w:pStyle w:val="FootnoteText"/>
      </w:pPr>
      <w:r>
        <w:rPr>
          <w:rStyle w:val="FootnoteReference"/>
        </w:rPr>
        <w:footnoteRef/>
      </w:r>
      <w:r>
        <w:t xml:space="preserve"> </w:t>
      </w:r>
      <w:r>
        <w:tab/>
      </w:r>
      <w:r>
        <w:rPr>
          <w:i/>
          <w:iCs/>
        </w:rPr>
        <w:t xml:space="preserve">Competition and Consumer (Consumer Data Right) 2020 </w:t>
      </w:r>
      <w:r>
        <w:t>(Cth), r 4.11(3)(g)(ii).</w:t>
      </w:r>
    </w:p>
  </w:footnote>
  <w:footnote w:id="20">
    <w:p w14:paraId="4AAB5EFA" w14:textId="77777777" w:rsidR="000737B4" w:rsidRPr="001B1BFF" w:rsidRDefault="000737B4">
      <w:pPr>
        <w:pStyle w:val="FootnoteText"/>
      </w:pPr>
      <w:r>
        <w:rPr>
          <w:rStyle w:val="FootnoteReference"/>
        </w:rPr>
        <w:footnoteRef/>
      </w:r>
      <w:r>
        <w:t xml:space="preserve"> </w:t>
      </w:r>
      <w:r>
        <w:tab/>
      </w:r>
      <w:r>
        <w:rPr>
          <w:i/>
          <w:iCs/>
        </w:rPr>
        <w:t xml:space="preserve">Competition and Consumer (Consumer Data Right) 2020 </w:t>
      </w:r>
      <w:r>
        <w:t>(Cth), r 4.11(3)(g)(iii).</w:t>
      </w:r>
    </w:p>
  </w:footnote>
  <w:footnote w:id="21">
    <w:p w14:paraId="2B676BCC" w14:textId="77777777" w:rsidR="00440B70" w:rsidRDefault="00440B70" w:rsidP="00440B70">
      <w:pPr>
        <w:pStyle w:val="FootnoteText"/>
      </w:pPr>
      <w:r>
        <w:rPr>
          <w:rStyle w:val="FootnoteReference"/>
        </w:rPr>
        <w:footnoteRef/>
      </w:r>
      <w:r>
        <w:t xml:space="preserve"> </w:t>
      </w:r>
      <w:r>
        <w:tab/>
      </w:r>
      <w:r w:rsidRPr="00187272">
        <w:t>The Australian Government, The Treasury, CDR Consent Review – CDR rules and data standards design paper (August 2023) p</w:t>
      </w:r>
      <w:r w:rsidR="00506720">
        <w:t>a</w:t>
      </w:r>
      <w:r w:rsidRPr="00187272">
        <w:t>g</w:t>
      </w:r>
      <w:r w:rsidR="00506720">
        <w:t>e</w:t>
      </w:r>
      <w:r w:rsidRPr="00187272">
        <w:t xml:space="preserve"> 1</w:t>
      </w:r>
      <w:r>
        <w:t>6</w:t>
      </w:r>
      <w:r w:rsidRPr="00187272">
        <w:t xml:space="preserve"> section [</w:t>
      </w:r>
      <w:r>
        <w:t>4</w:t>
      </w:r>
      <w:r w:rsidRPr="00187272">
        <w:t>].</w:t>
      </w:r>
    </w:p>
  </w:footnote>
  <w:footnote w:id="22">
    <w:p w14:paraId="5D11B3AD" w14:textId="780F3778" w:rsidR="00921C98" w:rsidRDefault="00921C98" w:rsidP="0016112E">
      <w:pPr>
        <w:pStyle w:val="FootnoteText"/>
        <w:ind w:left="851" w:hanging="851"/>
      </w:pPr>
      <w:r>
        <w:rPr>
          <w:rStyle w:val="FootnoteReference"/>
        </w:rPr>
        <w:footnoteRef/>
      </w:r>
      <w:r>
        <w:t xml:space="preserve"> </w:t>
      </w:r>
      <w:r w:rsidR="004F4FD9">
        <w:tab/>
        <w:t xml:space="preserve">Teleconference with our instructing officers on 23 April 2024. We were instructed by the Treasury of the views expressed by a stakeholder in respect of this reform. </w:t>
      </w:r>
    </w:p>
  </w:footnote>
  <w:footnote w:id="23">
    <w:p w14:paraId="399F35D2" w14:textId="6A7C7E46" w:rsidR="006530EA" w:rsidRDefault="00710C5A" w:rsidP="00710C5A">
      <w:pPr>
        <w:pStyle w:val="FootnoteText"/>
        <w:ind w:left="851" w:hanging="851"/>
      </w:pPr>
      <w:r>
        <w:rPr>
          <w:rStyle w:val="FootnoteReference"/>
        </w:rPr>
        <w:footnoteRef/>
      </w:r>
      <w:r>
        <w:tab/>
      </w:r>
      <w:hyperlink r:id="rId5" w:history="1">
        <w:r w:rsidRPr="00E9506C">
          <w:rPr>
            <w:rStyle w:val="Hyperlink"/>
          </w:rPr>
          <w:t>CDR Privacy Safeguard Guidelines</w:t>
        </w:r>
      </w:hyperlink>
      <w:r>
        <w:t>, Chapter A, paragraphs [A.45] to [A.47]. The privacy protections that apply to data holders in the CDR context are; privacy safeguards [1], [10], [11] and [13] and APPs [1] – [9] and [11] – [12].</w:t>
      </w:r>
    </w:p>
  </w:footnote>
  <w:footnote w:id="24">
    <w:p w14:paraId="5EF82780" w14:textId="2B75C757" w:rsidR="007B46BA" w:rsidRDefault="00710C5A" w:rsidP="007B46BA">
      <w:pPr>
        <w:pStyle w:val="FootnoteText"/>
        <w:ind w:left="851" w:hanging="851"/>
      </w:pPr>
      <w:r>
        <w:rPr>
          <w:rStyle w:val="FootnoteReference"/>
        </w:rPr>
        <w:footnoteRef/>
      </w:r>
      <w:r>
        <w:tab/>
      </w:r>
      <w:hyperlink r:id="rId6" w:history="1">
        <w:r w:rsidRPr="00E9506C">
          <w:rPr>
            <w:rStyle w:val="Hyperlink"/>
          </w:rPr>
          <w:t>CDR Privacy Safeguard Guidelines</w:t>
        </w:r>
      </w:hyperlink>
      <w:r>
        <w:t>, Chapter A, paragraphs [A.45] to [A.47]. The privacy protections that apply to data holders in the CDR context are; privacy safeguards [1], [10], [11] and [13] and APPs [1] – [9] and [11] – [12].</w:t>
      </w:r>
    </w:p>
  </w:footnote>
  <w:footnote w:id="25">
    <w:p w14:paraId="1463186E" w14:textId="77777777" w:rsidR="004B7ED0" w:rsidRDefault="004B7ED0" w:rsidP="004B7ED0">
      <w:pPr>
        <w:pStyle w:val="FootnoteText"/>
      </w:pPr>
      <w:r>
        <w:rPr>
          <w:rStyle w:val="FootnoteReference"/>
        </w:rPr>
        <w:footnoteRef/>
      </w:r>
      <w:r>
        <w:t xml:space="preserve"> </w:t>
      </w:r>
      <w:r>
        <w:tab/>
      </w:r>
      <w:r w:rsidRPr="00C00D9B">
        <w:t xml:space="preserve">The Australian Government, The Treasury, </w:t>
      </w:r>
      <w:r w:rsidRPr="00C00D9B">
        <w:rPr>
          <w:i/>
          <w:iCs/>
        </w:rPr>
        <w:t>Operational Enhancements – CDR Rules Design Paper</w:t>
      </w:r>
      <w:r w:rsidRPr="00C00D9B">
        <w:t xml:space="preserve"> (August 2023) p</w:t>
      </w:r>
      <w:r w:rsidR="00506720">
        <w:t>a</w:t>
      </w:r>
      <w:r w:rsidRPr="00C00D9B">
        <w:t>g</w:t>
      </w:r>
      <w:r w:rsidR="00506720">
        <w:t>e</w:t>
      </w:r>
      <w:r w:rsidRPr="00C00D9B">
        <w:t xml:space="preserve"> 29 section [</w:t>
      </w:r>
      <w:r>
        <w:t>7</w:t>
      </w:r>
      <w:r w:rsidRPr="00C00D9B">
        <w:t>].</w:t>
      </w:r>
    </w:p>
  </w:footnote>
  <w:footnote w:id="26">
    <w:p w14:paraId="38ACFE4A" w14:textId="77777777" w:rsidR="00735339" w:rsidRDefault="00735339" w:rsidP="00735339">
      <w:pPr>
        <w:pStyle w:val="FootnoteText"/>
        <w:ind w:left="851" w:hanging="851"/>
      </w:pPr>
      <w:r>
        <w:rPr>
          <w:rStyle w:val="FootnoteReference"/>
        </w:rPr>
        <w:footnoteRef/>
      </w:r>
      <w:r>
        <w:t xml:space="preserve"> </w:t>
      </w:r>
      <w:r>
        <w:tab/>
      </w:r>
      <w:r>
        <w:rPr>
          <w:rStyle w:val="ui-provider"/>
        </w:rPr>
        <w:t>The facility to nominate an account administrator as a nominated representative would need to include a collection statement that meets the requirements of APP 5. This is a design and implementation issue for the data holder in due course.</w:t>
      </w:r>
    </w:p>
  </w:footnote>
  <w:footnote w:id="27">
    <w:p w14:paraId="2E83DC1B" w14:textId="77777777" w:rsidR="00597B63" w:rsidRPr="00A14125" w:rsidRDefault="00597B63" w:rsidP="00597B63">
      <w:pPr>
        <w:pStyle w:val="FootnoteText"/>
        <w:ind w:left="851" w:hanging="851"/>
      </w:pPr>
      <w:r>
        <w:rPr>
          <w:rStyle w:val="FootnoteReference"/>
        </w:rPr>
        <w:footnoteRef/>
      </w:r>
      <w:r>
        <w:t xml:space="preserve"> </w:t>
      </w:r>
      <w:r>
        <w:tab/>
      </w:r>
      <w:r w:rsidRPr="00540856">
        <w:rPr>
          <w:i/>
          <w:iCs/>
        </w:rPr>
        <w:t>Competition and Consumer (Consumer Data Right) Rules 2020</w:t>
      </w:r>
      <w:r w:rsidRPr="00540856">
        <w:t xml:space="preserve"> (Cth)</w:t>
      </w:r>
      <w:r>
        <w:t xml:space="preserve">, r 1.7. ADI is short for authorised deposit-taking institution, which has the meaning given by the </w:t>
      </w:r>
      <w:r>
        <w:rPr>
          <w:i/>
          <w:iCs/>
        </w:rPr>
        <w:t xml:space="preserve">Banking Act 1959 </w:t>
      </w:r>
      <w:r>
        <w:t>(Cth).</w:t>
      </w:r>
    </w:p>
  </w:footnote>
  <w:footnote w:id="28">
    <w:p w14:paraId="60C3574D" w14:textId="77777777" w:rsidR="00597B63" w:rsidRDefault="00597B63" w:rsidP="00597B63">
      <w:pPr>
        <w:pStyle w:val="FootnoteText"/>
        <w:ind w:left="851" w:hanging="851"/>
      </w:pPr>
      <w:r>
        <w:rPr>
          <w:rStyle w:val="FootnoteReference"/>
        </w:rPr>
        <w:footnoteRef/>
      </w:r>
      <w:r>
        <w:t xml:space="preserve"> </w:t>
      </w:r>
      <w:r>
        <w:tab/>
      </w:r>
      <w:r w:rsidRPr="00540856">
        <w:rPr>
          <w:i/>
          <w:iCs/>
        </w:rPr>
        <w:t>Competition and Consumer (Consumer Data Right) Rules 2020</w:t>
      </w:r>
      <w:r w:rsidRPr="00540856">
        <w:t xml:space="preserve"> (Cth)</w:t>
      </w:r>
      <w:r>
        <w:t xml:space="preserve">, Sch 4, r 1.4. For the purpose of provisions relevant to the energy sector, a data holder of the energy sector is a ‘retailer’ if: it retails electricity to connection points in the National Electricity Market; and it is either: the holder of a retailer authorisation issued under the National Energy Retail Law…in respect of the sale of electricity; or a retailer within the meaning of the </w:t>
      </w:r>
      <w:r w:rsidRPr="0073160E">
        <w:rPr>
          <w:i/>
          <w:iCs/>
        </w:rPr>
        <w:t>Electricity Industry Act 2000</w:t>
      </w:r>
      <w:r>
        <w:t xml:space="preserve"> (Vic).</w:t>
      </w:r>
    </w:p>
  </w:footnote>
  <w:footnote w:id="29">
    <w:p w14:paraId="7598CEA1" w14:textId="77777777" w:rsidR="00AC7C29" w:rsidRDefault="00AC7C29">
      <w:pPr>
        <w:pStyle w:val="FootnoteText"/>
      </w:pPr>
      <w:r>
        <w:rPr>
          <w:rStyle w:val="FootnoteReference"/>
        </w:rPr>
        <w:footnoteRef/>
      </w:r>
      <w:r>
        <w:t xml:space="preserve"> </w:t>
      </w:r>
      <w:r>
        <w:rPr>
          <w:rStyle w:val="cf01"/>
        </w:rPr>
        <w:t>(i.e. by obtaining authorisation from the AER or licence from the ESC (in Vic)).</w:t>
      </w:r>
    </w:p>
  </w:footnote>
  <w:footnote w:id="30">
    <w:p w14:paraId="4F5A2E28" w14:textId="77777777" w:rsidR="00B06EA8" w:rsidRDefault="00B06EA8">
      <w:pPr>
        <w:pStyle w:val="FootnoteText"/>
      </w:pPr>
      <w:r>
        <w:rPr>
          <w:rStyle w:val="FootnoteReference"/>
        </w:rPr>
        <w:footnoteRef/>
      </w:r>
      <w:r>
        <w:t xml:space="preserve"> </w:t>
      </w:r>
      <w:r>
        <w:tab/>
      </w:r>
      <w:r w:rsidRPr="00B41E07">
        <w:t>Office of the Australian Information Commissioner, Consumer Data Right Privacy Safeguard Guidelines, p</w:t>
      </w:r>
      <w:r w:rsidR="00506720">
        <w:t>a</w:t>
      </w:r>
      <w:r w:rsidRPr="00B41E07">
        <w:t>g</w:t>
      </w:r>
      <w:r w:rsidR="00506720">
        <w:t>e</w:t>
      </w:r>
      <w:r w:rsidRPr="00B41E07">
        <w:t xml:space="preserve"> 3, Chapter 11, paragraph [11.</w:t>
      </w:r>
      <w:r>
        <w:t>6</w:t>
      </w:r>
      <w:r w:rsidRPr="00B41E07">
        <w:t>].</w:t>
      </w:r>
    </w:p>
  </w:footnote>
  <w:footnote w:id="31">
    <w:p w14:paraId="51A9914B" w14:textId="77777777" w:rsidR="00A07F28" w:rsidRPr="00C12057" w:rsidRDefault="00A07F28" w:rsidP="00506720">
      <w:pPr>
        <w:pStyle w:val="FootnoteText"/>
        <w:ind w:left="851" w:hanging="851"/>
      </w:pPr>
      <w:r>
        <w:rPr>
          <w:rStyle w:val="FootnoteReference"/>
        </w:rPr>
        <w:footnoteRef/>
      </w:r>
      <w:r>
        <w:t xml:space="preserve"> </w:t>
      </w:r>
      <w:r>
        <w:tab/>
      </w:r>
      <w:r w:rsidRPr="000F1A51">
        <w:t xml:space="preserve">The Australian Government, The Treasury, </w:t>
      </w:r>
      <w:r w:rsidRPr="00AB7048">
        <w:rPr>
          <w:i/>
          <w:iCs/>
        </w:rPr>
        <w:t xml:space="preserve">Operational Enhancements – CDR Rules Design Paper </w:t>
      </w:r>
      <w:r w:rsidRPr="000F1A51">
        <w:t>(August 2023) p</w:t>
      </w:r>
      <w:r w:rsidR="00506720">
        <w:t>a</w:t>
      </w:r>
      <w:r w:rsidRPr="000F1A51">
        <w:t>g</w:t>
      </w:r>
      <w:r w:rsidR="00506720">
        <w:t>e</w:t>
      </w:r>
      <w:r w:rsidRPr="000F1A51">
        <w:t xml:space="preserve"> </w:t>
      </w:r>
      <w:r>
        <w:t>17</w:t>
      </w:r>
      <w:r w:rsidRPr="000F1A51">
        <w:t xml:space="preserve"> section [</w:t>
      </w:r>
      <w:r>
        <w:t>8</w:t>
      </w:r>
      <w:r w:rsidRPr="000F1A51">
        <w:t>].</w:t>
      </w:r>
      <w:r>
        <w:t xml:space="preserve"> The proposal would seek to replicate the approach taken to authorise CDR data to be shared in connection with trial products in the banking section – see </w:t>
      </w:r>
      <w:hyperlink r:id="rId7" w:history="1">
        <w:r w:rsidRPr="005F474F">
          <w:rPr>
            <w:rStyle w:val="Hyperlink"/>
            <w:i/>
            <w:iCs/>
          </w:rPr>
          <w:t>Competition and Consumer (Consumer Data Right) Amendment Rules (No. 1) 2023</w:t>
        </w:r>
      </w:hyperlink>
      <w:r>
        <w:t>, subclause 145.</w:t>
      </w:r>
    </w:p>
  </w:footnote>
  <w:footnote w:id="32">
    <w:p w14:paraId="7137D624" w14:textId="77777777" w:rsidR="00EA52BE" w:rsidRDefault="00EA52BE" w:rsidP="004063EA">
      <w:pPr>
        <w:pStyle w:val="FootnoteText"/>
        <w:ind w:left="851" w:hanging="851"/>
      </w:pPr>
      <w:r>
        <w:rPr>
          <w:rStyle w:val="FootnoteReference"/>
        </w:rPr>
        <w:footnoteRef/>
      </w:r>
      <w:r>
        <w:t xml:space="preserve"> </w:t>
      </w:r>
      <w:r>
        <w:tab/>
      </w:r>
      <w:r>
        <w:rPr>
          <w:i/>
          <w:iCs/>
        </w:rPr>
        <w:t xml:space="preserve">Competition and Consumer (Consumer Data Right) </w:t>
      </w:r>
      <w:r w:rsidRPr="004063EA">
        <w:rPr>
          <w:i/>
          <w:iCs/>
        </w:rPr>
        <w:t>Rules 2022</w:t>
      </w:r>
      <w:r>
        <w:t xml:space="preserve"> (Cth), r 8.3. A ‘large energy retailer’ is a retailer that had 10,000 or more small customer on the amendment day is a large retailer; and a retailer that had 10,000 or more small customers at all time during a financial year that begins on or after the amendment say is also a large retailer on and from the day 12 months after the end of that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4C98795" w14:paraId="788F6F65" w14:textId="77777777" w:rsidTr="34C98795">
      <w:trPr>
        <w:trHeight w:val="300"/>
      </w:trPr>
      <w:tc>
        <w:tcPr>
          <w:tcW w:w="3005" w:type="dxa"/>
        </w:tcPr>
        <w:p w14:paraId="6246A550" w14:textId="2D26D870" w:rsidR="34C98795" w:rsidRDefault="34C98795" w:rsidP="34C98795">
          <w:pPr>
            <w:pStyle w:val="Header"/>
            <w:ind w:left="-115"/>
          </w:pPr>
        </w:p>
      </w:tc>
      <w:tc>
        <w:tcPr>
          <w:tcW w:w="3005" w:type="dxa"/>
        </w:tcPr>
        <w:p w14:paraId="29CA1DC8" w14:textId="298999DE" w:rsidR="34C98795" w:rsidRDefault="34C98795" w:rsidP="34C98795">
          <w:pPr>
            <w:pStyle w:val="Header"/>
            <w:jc w:val="center"/>
          </w:pPr>
        </w:p>
      </w:tc>
      <w:tc>
        <w:tcPr>
          <w:tcW w:w="3005" w:type="dxa"/>
        </w:tcPr>
        <w:p w14:paraId="0C2C58CD" w14:textId="7483F176" w:rsidR="34C98795" w:rsidRDefault="34C98795" w:rsidP="34C98795">
          <w:pPr>
            <w:pStyle w:val="Header"/>
            <w:ind w:right="-115"/>
            <w:jc w:val="right"/>
          </w:pPr>
        </w:p>
      </w:tc>
    </w:tr>
  </w:tbl>
  <w:p w14:paraId="093AE883" w14:textId="41DFBEE9" w:rsidR="001C53AB" w:rsidRDefault="001C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1DAC" w14:textId="77777777" w:rsidR="006429CB" w:rsidRDefault="00642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Look w:val="04A0" w:firstRow="1" w:lastRow="0" w:firstColumn="1" w:lastColumn="0" w:noHBand="0" w:noVBand="1"/>
    </w:tblPr>
    <w:tblGrid>
      <w:gridCol w:w="4714"/>
      <w:gridCol w:w="4312"/>
    </w:tblGrid>
    <w:tr w:rsidR="00D63CA2" w:rsidRPr="0084275C" w14:paraId="7418B836" w14:textId="77777777">
      <w:tc>
        <w:tcPr>
          <w:tcW w:w="4944" w:type="dxa"/>
          <w:shd w:val="clear" w:color="auto" w:fill="auto"/>
          <w:vAlign w:val="bottom"/>
        </w:tcPr>
        <w:p w14:paraId="1D2CCFA5" w14:textId="0F167B32" w:rsidR="00937AE5" w:rsidRPr="0084275C" w:rsidRDefault="007F5526">
          <w:pPr>
            <w:pStyle w:val="Header"/>
            <w:spacing w:after="240"/>
            <w:rPr>
              <w:bCs/>
              <w:sz w:val="22"/>
            </w:rPr>
          </w:pPr>
          <w:r>
            <w:rPr>
              <w:bCs/>
              <w:noProof/>
            </w:rPr>
            <w:drawing>
              <wp:inline distT="0" distB="0" distL="0" distR="0" wp14:anchorId="2B8D5E6A" wp14:editId="696BD289">
                <wp:extent cx="20764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76250"/>
                        </a:xfrm>
                        <a:prstGeom prst="rect">
                          <a:avLst/>
                        </a:prstGeom>
                        <a:noFill/>
                        <a:ln>
                          <a:noFill/>
                        </a:ln>
                      </pic:spPr>
                    </pic:pic>
                  </a:graphicData>
                </a:graphic>
              </wp:inline>
            </w:drawing>
          </w:r>
        </w:p>
      </w:tc>
      <w:tc>
        <w:tcPr>
          <w:tcW w:w="4865" w:type="dxa"/>
          <w:shd w:val="clear" w:color="auto" w:fill="auto"/>
          <w:vAlign w:val="bottom"/>
        </w:tcPr>
        <w:p w14:paraId="5B26A1C4" w14:textId="77777777" w:rsidR="00937AE5" w:rsidRPr="00475613" w:rsidRDefault="00475613">
          <w:pPr>
            <w:pStyle w:val="Header"/>
            <w:spacing w:after="240"/>
            <w:jc w:val="right"/>
            <w:rPr>
              <w:bCs/>
              <w:sz w:val="16"/>
              <w:szCs w:val="16"/>
            </w:rPr>
          </w:pPr>
          <w:r w:rsidRPr="00475613">
            <w:rPr>
              <w:rFonts w:cs="Arial"/>
              <w:bCs/>
              <w:color w:val="333333"/>
              <w:spacing w:val="-5"/>
              <w:w w:val="108"/>
              <w:sz w:val="16"/>
              <w:szCs w:val="16"/>
            </w:rPr>
            <w:t xml:space="preserve">Consumer Data Right </w:t>
          </w:r>
          <w:r w:rsidR="007F5526" w:rsidRPr="00475613">
            <w:rPr>
              <w:rFonts w:cs="Arial"/>
              <w:bCs/>
              <w:color w:val="333333"/>
              <w:spacing w:val="-5"/>
              <w:w w:val="108"/>
              <w:sz w:val="16"/>
              <w:szCs w:val="16"/>
            </w:rPr>
            <w:t>PIA</w:t>
          </w:r>
          <w:r w:rsidRPr="00475613">
            <w:rPr>
              <w:rFonts w:cs="Arial"/>
              <w:bCs/>
              <w:color w:val="333333"/>
              <w:spacing w:val="-5"/>
              <w:w w:val="108"/>
              <w:sz w:val="16"/>
              <w:szCs w:val="16"/>
            </w:rPr>
            <w:t xml:space="preserve">: </w:t>
          </w:r>
          <w:r w:rsidRPr="00475613">
            <w:rPr>
              <w:rFonts w:cs="Arial"/>
              <w:bCs/>
              <w:color w:val="333333"/>
              <w:spacing w:val="-5"/>
              <w:w w:val="108"/>
              <w:sz w:val="16"/>
              <w:szCs w:val="16"/>
            </w:rPr>
            <w:br/>
          </w:r>
          <w:r w:rsidR="00D63CA2">
            <w:rPr>
              <w:rFonts w:cs="Arial"/>
              <w:bCs/>
              <w:color w:val="333333"/>
              <w:spacing w:val="-5"/>
              <w:w w:val="108"/>
              <w:sz w:val="16"/>
              <w:szCs w:val="16"/>
            </w:rPr>
            <w:t>Consent Review rule changes and o</w:t>
          </w:r>
          <w:r w:rsidRPr="00475613">
            <w:rPr>
              <w:rFonts w:cs="Arial"/>
              <w:bCs/>
              <w:color w:val="333333"/>
              <w:spacing w:val="-5"/>
              <w:w w:val="108"/>
              <w:sz w:val="16"/>
              <w:szCs w:val="16"/>
            </w:rPr>
            <w:t xml:space="preserve">perational </w:t>
          </w:r>
          <w:r w:rsidR="00D63CA2">
            <w:rPr>
              <w:rFonts w:cs="Arial"/>
              <w:bCs/>
              <w:color w:val="333333"/>
              <w:spacing w:val="-5"/>
              <w:w w:val="108"/>
              <w:sz w:val="16"/>
              <w:szCs w:val="16"/>
            </w:rPr>
            <w:t>e</w:t>
          </w:r>
          <w:r w:rsidRPr="00475613">
            <w:rPr>
              <w:rFonts w:cs="Arial"/>
              <w:bCs/>
              <w:color w:val="333333"/>
              <w:spacing w:val="-5"/>
              <w:w w:val="108"/>
              <w:sz w:val="16"/>
              <w:szCs w:val="16"/>
            </w:rPr>
            <w:t>nhancements</w:t>
          </w:r>
        </w:p>
      </w:tc>
    </w:tr>
  </w:tbl>
  <w:p w14:paraId="735FF1EA" w14:textId="77777777" w:rsidR="00937AE5" w:rsidRPr="006804C8" w:rsidRDefault="00937AE5">
    <w:pPr>
      <w:pStyle w:val="Header"/>
      <w:rPr>
        <w:b w:val="0"/>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333333"/>
      </w:tblBorders>
      <w:tblLook w:val="01E0" w:firstRow="1" w:lastRow="1" w:firstColumn="1" w:lastColumn="1" w:noHBand="0" w:noVBand="0"/>
    </w:tblPr>
    <w:tblGrid>
      <w:gridCol w:w="3840"/>
      <w:gridCol w:w="5186"/>
    </w:tblGrid>
    <w:tr w:rsidR="00663A67" w:rsidRPr="00C65358" w14:paraId="482A4C49" w14:textId="77777777">
      <w:tc>
        <w:tcPr>
          <w:tcW w:w="3820" w:type="dxa"/>
          <w:shd w:val="clear" w:color="auto" w:fill="auto"/>
        </w:tcPr>
        <w:p w14:paraId="2E0956EA" w14:textId="67A366B7" w:rsidR="00937AE5" w:rsidRPr="00C65358" w:rsidRDefault="007F5526">
          <w:pPr>
            <w:pStyle w:val="Header"/>
            <w:tabs>
              <w:tab w:val="clear" w:pos="8640"/>
              <w:tab w:val="right" w:pos="9594"/>
            </w:tabs>
            <w:ind w:left="-426"/>
            <w:rPr>
              <w:b w:val="0"/>
              <w:sz w:val="22"/>
            </w:rPr>
          </w:pPr>
          <w:r>
            <w:rPr>
              <w:b w:val="0"/>
              <w:noProof/>
            </w:rPr>
            <w:drawing>
              <wp:inline distT="0" distB="0" distL="0" distR="0" wp14:anchorId="7B02B2D2" wp14:editId="3193148E">
                <wp:extent cx="256222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714375"/>
                        </a:xfrm>
                        <a:prstGeom prst="rect">
                          <a:avLst/>
                        </a:prstGeom>
                        <a:noFill/>
                        <a:ln>
                          <a:noFill/>
                        </a:ln>
                      </pic:spPr>
                    </pic:pic>
                  </a:graphicData>
                </a:graphic>
              </wp:inline>
            </w:drawing>
          </w:r>
        </w:p>
      </w:tc>
      <w:tc>
        <w:tcPr>
          <w:tcW w:w="5927" w:type="dxa"/>
          <w:shd w:val="clear" w:color="auto" w:fill="auto"/>
          <w:vAlign w:val="bottom"/>
        </w:tcPr>
        <w:p w14:paraId="37580E53" w14:textId="77777777" w:rsidR="00937AE5" w:rsidRPr="00C65358" w:rsidRDefault="007F5526">
          <w:pPr>
            <w:widowControl w:val="0"/>
            <w:autoSpaceDE w:val="0"/>
            <w:autoSpaceDN w:val="0"/>
            <w:adjustRightInd w:val="0"/>
            <w:spacing w:after="240"/>
            <w:jc w:val="right"/>
            <w:rPr>
              <w:b/>
              <w:color w:val="333333"/>
            </w:rPr>
          </w:pPr>
          <w:r w:rsidRPr="002A1F65">
            <w:rPr>
              <w:rFonts w:cs="Arial"/>
              <w:b/>
              <w:color w:val="333333"/>
              <w:spacing w:val="-5"/>
              <w:w w:val="108"/>
            </w:rPr>
            <w:t>PIA</w:t>
          </w:r>
        </w:p>
      </w:tc>
    </w:tr>
  </w:tbl>
  <w:p w14:paraId="19BD66F6" w14:textId="77777777" w:rsidR="00937AE5" w:rsidRPr="006804C8" w:rsidRDefault="00937AE5">
    <w:pPr>
      <w:pStyle w:val="Header"/>
      <w:rPr>
        <w:b w:val="0"/>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insideH w:val="single" w:sz="4" w:space="0" w:color="auto"/>
      </w:tblBorders>
      <w:tblLook w:val="04A0" w:firstRow="1" w:lastRow="0" w:firstColumn="1" w:lastColumn="0" w:noHBand="0" w:noVBand="1"/>
    </w:tblPr>
    <w:tblGrid>
      <w:gridCol w:w="4549"/>
      <w:gridCol w:w="4477"/>
    </w:tblGrid>
    <w:tr w:rsidR="009B24FC" w:rsidRPr="0084275C" w14:paraId="13F63013" w14:textId="77777777" w:rsidTr="007F07C2">
      <w:tc>
        <w:tcPr>
          <w:tcW w:w="2520" w:type="pct"/>
          <w:tcBorders>
            <w:right w:val="nil"/>
          </w:tcBorders>
          <w:shd w:val="clear" w:color="auto" w:fill="auto"/>
          <w:vAlign w:val="bottom"/>
        </w:tcPr>
        <w:p w14:paraId="36792129" w14:textId="77777777" w:rsidR="009B24FC" w:rsidRPr="0084275C" w:rsidRDefault="009B24FC">
          <w:pPr>
            <w:pStyle w:val="Header"/>
            <w:spacing w:after="240"/>
            <w:rPr>
              <w:bCs/>
              <w:sz w:val="22"/>
            </w:rPr>
          </w:pPr>
          <w:r>
            <w:rPr>
              <w:bCs/>
              <w:noProof/>
            </w:rPr>
            <w:drawing>
              <wp:inline distT="0" distB="0" distL="0" distR="0" wp14:anchorId="7F868167" wp14:editId="661F4653">
                <wp:extent cx="2076450" cy="476250"/>
                <wp:effectExtent l="0" t="0" r="0" b="0"/>
                <wp:docPr id="1485808625" name="Picture 148580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76250"/>
                        </a:xfrm>
                        <a:prstGeom prst="rect">
                          <a:avLst/>
                        </a:prstGeom>
                        <a:noFill/>
                        <a:ln>
                          <a:noFill/>
                        </a:ln>
                      </pic:spPr>
                    </pic:pic>
                  </a:graphicData>
                </a:graphic>
              </wp:inline>
            </w:drawing>
          </w:r>
        </w:p>
      </w:tc>
      <w:tc>
        <w:tcPr>
          <w:tcW w:w="2480" w:type="pct"/>
          <w:tcBorders>
            <w:top w:val="nil"/>
            <w:left w:val="nil"/>
            <w:bottom w:val="single" w:sz="4" w:space="0" w:color="auto"/>
            <w:right w:val="nil"/>
          </w:tcBorders>
          <w:shd w:val="clear" w:color="auto" w:fill="auto"/>
          <w:vAlign w:val="bottom"/>
        </w:tcPr>
        <w:p w14:paraId="5FF9F9EF" w14:textId="77777777" w:rsidR="009B24FC" w:rsidRPr="00475613" w:rsidRDefault="009B24FC" w:rsidP="007F07C2">
          <w:pPr>
            <w:widowControl w:val="0"/>
            <w:autoSpaceDE w:val="0"/>
            <w:autoSpaceDN w:val="0"/>
            <w:adjustRightInd w:val="0"/>
            <w:spacing w:before="60" w:after="60"/>
            <w:jc w:val="right"/>
            <w:rPr>
              <w:bCs/>
              <w:sz w:val="16"/>
              <w:szCs w:val="16"/>
            </w:rPr>
          </w:pPr>
          <w:r w:rsidRPr="00475613">
            <w:rPr>
              <w:rFonts w:cs="Arial"/>
              <w:bCs/>
              <w:color w:val="333333"/>
              <w:spacing w:val="-5"/>
              <w:w w:val="108"/>
              <w:sz w:val="16"/>
              <w:szCs w:val="16"/>
            </w:rPr>
            <w:t xml:space="preserve">Consumer Data Right PIA: </w:t>
          </w:r>
          <w:r w:rsidRPr="00475613">
            <w:rPr>
              <w:rFonts w:cs="Arial"/>
              <w:bCs/>
              <w:color w:val="333333"/>
              <w:spacing w:val="-5"/>
              <w:w w:val="108"/>
              <w:sz w:val="16"/>
              <w:szCs w:val="16"/>
            </w:rPr>
            <w:br/>
          </w:r>
          <w:r>
            <w:rPr>
              <w:rFonts w:cs="Arial"/>
              <w:bCs/>
              <w:color w:val="333333"/>
              <w:spacing w:val="-5"/>
              <w:w w:val="108"/>
              <w:sz w:val="16"/>
              <w:szCs w:val="16"/>
            </w:rPr>
            <w:t>Consent Review rule changes and o</w:t>
          </w:r>
          <w:r w:rsidRPr="00475613">
            <w:rPr>
              <w:rFonts w:cs="Arial"/>
              <w:bCs/>
              <w:color w:val="333333"/>
              <w:spacing w:val="-5"/>
              <w:w w:val="108"/>
              <w:sz w:val="16"/>
              <w:szCs w:val="16"/>
            </w:rPr>
            <w:t xml:space="preserve">perational </w:t>
          </w:r>
          <w:r w:rsidRPr="00B65A4D">
            <w:rPr>
              <w:rFonts w:cs="Arial"/>
              <w:color w:val="333333"/>
              <w:sz w:val="16"/>
              <w:szCs w:val="16"/>
            </w:rPr>
            <w:t>enhancements</w:t>
          </w:r>
        </w:p>
      </w:tc>
    </w:tr>
  </w:tbl>
  <w:p w14:paraId="669F121B" w14:textId="77777777" w:rsidR="009B24FC" w:rsidRPr="006804C8" w:rsidRDefault="009B24FC">
    <w:pPr>
      <w:pStyle w:val="Header"/>
      <w:rPr>
        <w:b w:val="0"/>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insideH w:val="single" w:sz="4" w:space="0" w:color="auto"/>
      </w:tblBorders>
      <w:tblLook w:val="04A0" w:firstRow="1" w:lastRow="0" w:firstColumn="1" w:lastColumn="0" w:noHBand="0" w:noVBand="1"/>
    </w:tblPr>
    <w:tblGrid>
      <w:gridCol w:w="4549"/>
      <w:gridCol w:w="4477"/>
    </w:tblGrid>
    <w:tr w:rsidR="0050129E" w:rsidRPr="0084275C" w14:paraId="0915670E" w14:textId="77777777" w:rsidTr="008429AB">
      <w:tc>
        <w:tcPr>
          <w:tcW w:w="2520" w:type="pct"/>
          <w:tcBorders>
            <w:right w:val="nil"/>
          </w:tcBorders>
          <w:shd w:val="clear" w:color="auto" w:fill="auto"/>
          <w:vAlign w:val="bottom"/>
        </w:tcPr>
        <w:p w14:paraId="2BE907DD" w14:textId="77777777" w:rsidR="0050129E" w:rsidRPr="0084275C" w:rsidRDefault="0050129E">
          <w:pPr>
            <w:pStyle w:val="Header"/>
            <w:spacing w:after="240"/>
            <w:rPr>
              <w:bCs/>
              <w:sz w:val="22"/>
            </w:rPr>
          </w:pPr>
          <w:r>
            <w:rPr>
              <w:bCs/>
              <w:noProof/>
            </w:rPr>
            <w:drawing>
              <wp:inline distT="0" distB="0" distL="0" distR="0" wp14:anchorId="67225DD2" wp14:editId="2C763F52">
                <wp:extent cx="2076450" cy="476250"/>
                <wp:effectExtent l="0" t="0" r="0" b="0"/>
                <wp:docPr id="1264057626" name="Picture 126405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76250"/>
                        </a:xfrm>
                        <a:prstGeom prst="rect">
                          <a:avLst/>
                        </a:prstGeom>
                        <a:noFill/>
                        <a:ln>
                          <a:noFill/>
                        </a:ln>
                      </pic:spPr>
                    </pic:pic>
                  </a:graphicData>
                </a:graphic>
              </wp:inline>
            </w:drawing>
          </w:r>
        </w:p>
      </w:tc>
      <w:tc>
        <w:tcPr>
          <w:tcW w:w="2480" w:type="pct"/>
          <w:tcBorders>
            <w:top w:val="nil"/>
            <w:left w:val="nil"/>
            <w:bottom w:val="single" w:sz="4" w:space="0" w:color="auto"/>
            <w:right w:val="nil"/>
          </w:tcBorders>
          <w:shd w:val="clear" w:color="auto" w:fill="auto"/>
          <w:vAlign w:val="bottom"/>
        </w:tcPr>
        <w:p w14:paraId="25DF7843" w14:textId="77777777" w:rsidR="0050129E" w:rsidRPr="00475613" w:rsidRDefault="0050129E" w:rsidP="00E03763">
          <w:pPr>
            <w:widowControl w:val="0"/>
            <w:autoSpaceDE w:val="0"/>
            <w:autoSpaceDN w:val="0"/>
            <w:adjustRightInd w:val="0"/>
            <w:spacing w:before="60" w:after="60"/>
            <w:jc w:val="right"/>
            <w:rPr>
              <w:bCs/>
              <w:sz w:val="16"/>
              <w:szCs w:val="16"/>
            </w:rPr>
          </w:pPr>
          <w:r w:rsidRPr="00475613">
            <w:rPr>
              <w:rFonts w:cs="Arial"/>
              <w:bCs/>
              <w:color w:val="333333"/>
              <w:spacing w:val="-5"/>
              <w:w w:val="108"/>
              <w:sz w:val="16"/>
              <w:szCs w:val="16"/>
            </w:rPr>
            <w:t xml:space="preserve">Consumer Data Right PIA: </w:t>
          </w:r>
          <w:r w:rsidRPr="00475613">
            <w:rPr>
              <w:rFonts w:cs="Arial"/>
              <w:bCs/>
              <w:color w:val="333333"/>
              <w:spacing w:val="-5"/>
              <w:w w:val="108"/>
              <w:sz w:val="16"/>
              <w:szCs w:val="16"/>
            </w:rPr>
            <w:br/>
          </w:r>
          <w:r>
            <w:rPr>
              <w:rFonts w:cs="Arial"/>
              <w:bCs/>
              <w:color w:val="333333"/>
              <w:spacing w:val="-5"/>
              <w:w w:val="108"/>
              <w:sz w:val="16"/>
              <w:szCs w:val="16"/>
            </w:rPr>
            <w:t>Consent Review rule changes and o</w:t>
          </w:r>
          <w:r w:rsidRPr="00475613">
            <w:rPr>
              <w:rFonts w:cs="Arial"/>
              <w:bCs/>
              <w:color w:val="333333"/>
              <w:spacing w:val="-5"/>
              <w:w w:val="108"/>
              <w:sz w:val="16"/>
              <w:szCs w:val="16"/>
            </w:rPr>
            <w:t xml:space="preserve">perational </w:t>
          </w:r>
          <w:r w:rsidRPr="00E03763">
            <w:rPr>
              <w:rFonts w:cs="Arial"/>
              <w:color w:val="333333"/>
              <w:sz w:val="16"/>
              <w:szCs w:val="16"/>
            </w:rPr>
            <w:t>enhancements</w:t>
          </w:r>
        </w:p>
      </w:tc>
    </w:tr>
  </w:tbl>
  <w:p w14:paraId="151F26DB" w14:textId="77777777" w:rsidR="0050129E" w:rsidRPr="006804C8" w:rsidRDefault="0050129E">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658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AD5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AAF2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A66E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CA02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4A4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889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0C5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266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65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87ADD"/>
    <w:multiLevelType w:val="multilevel"/>
    <w:tmpl w:val="D868978A"/>
    <w:numStyleLink w:val="MOListBullet"/>
  </w:abstractNum>
  <w:abstractNum w:abstractNumId="11" w15:restartNumberingAfterBreak="0">
    <w:nsid w:val="01D31DB3"/>
    <w:multiLevelType w:val="hybridMultilevel"/>
    <w:tmpl w:val="4A5E73BE"/>
    <w:lvl w:ilvl="0" w:tplc="C0481D90">
      <w:start w:val="1"/>
      <w:numFmt w:val="bullet"/>
      <w:lvlText w:val=""/>
      <w:lvlJc w:val="left"/>
      <w:pPr>
        <w:ind w:left="720" w:hanging="360"/>
      </w:pPr>
      <w:rPr>
        <w:rFonts w:ascii="Symbol" w:hAnsi="Symbol"/>
      </w:rPr>
    </w:lvl>
    <w:lvl w:ilvl="1" w:tplc="9F76FB96">
      <w:start w:val="1"/>
      <w:numFmt w:val="bullet"/>
      <w:lvlText w:val=""/>
      <w:lvlJc w:val="left"/>
      <w:pPr>
        <w:ind w:left="720" w:hanging="360"/>
      </w:pPr>
      <w:rPr>
        <w:rFonts w:ascii="Symbol" w:hAnsi="Symbol"/>
      </w:rPr>
    </w:lvl>
    <w:lvl w:ilvl="2" w:tplc="40E61B62">
      <w:start w:val="1"/>
      <w:numFmt w:val="bullet"/>
      <w:lvlText w:val=""/>
      <w:lvlJc w:val="left"/>
      <w:pPr>
        <w:ind w:left="720" w:hanging="360"/>
      </w:pPr>
      <w:rPr>
        <w:rFonts w:ascii="Symbol" w:hAnsi="Symbol"/>
      </w:rPr>
    </w:lvl>
    <w:lvl w:ilvl="3" w:tplc="D64E1FAA">
      <w:start w:val="1"/>
      <w:numFmt w:val="bullet"/>
      <w:lvlText w:val=""/>
      <w:lvlJc w:val="left"/>
      <w:pPr>
        <w:ind w:left="720" w:hanging="360"/>
      </w:pPr>
      <w:rPr>
        <w:rFonts w:ascii="Symbol" w:hAnsi="Symbol"/>
      </w:rPr>
    </w:lvl>
    <w:lvl w:ilvl="4" w:tplc="3C805D48">
      <w:start w:val="1"/>
      <w:numFmt w:val="bullet"/>
      <w:lvlText w:val=""/>
      <w:lvlJc w:val="left"/>
      <w:pPr>
        <w:ind w:left="720" w:hanging="360"/>
      </w:pPr>
      <w:rPr>
        <w:rFonts w:ascii="Symbol" w:hAnsi="Symbol"/>
      </w:rPr>
    </w:lvl>
    <w:lvl w:ilvl="5" w:tplc="F9444A52">
      <w:start w:val="1"/>
      <w:numFmt w:val="bullet"/>
      <w:lvlText w:val=""/>
      <w:lvlJc w:val="left"/>
      <w:pPr>
        <w:ind w:left="720" w:hanging="360"/>
      </w:pPr>
      <w:rPr>
        <w:rFonts w:ascii="Symbol" w:hAnsi="Symbol"/>
      </w:rPr>
    </w:lvl>
    <w:lvl w:ilvl="6" w:tplc="A5D2DB44">
      <w:start w:val="1"/>
      <w:numFmt w:val="bullet"/>
      <w:lvlText w:val=""/>
      <w:lvlJc w:val="left"/>
      <w:pPr>
        <w:ind w:left="720" w:hanging="360"/>
      </w:pPr>
      <w:rPr>
        <w:rFonts w:ascii="Symbol" w:hAnsi="Symbol"/>
      </w:rPr>
    </w:lvl>
    <w:lvl w:ilvl="7" w:tplc="54ACACBE">
      <w:start w:val="1"/>
      <w:numFmt w:val="bullet"/>
      <w:lvlText w:val=""/>
      <w:lvlJc w:val="left"/>
      <w:pPr>
        <w:ind w:left="720" w:hanging="360"/>
      </w:pPr>
      <w:rPr>
        <w:rFonts w:ascii="Symbol" w:hAnsi="Symbol"/>
      </w:rPr>
    </w:lvl>
    <w:lvl w:ilvl="8" w:tplc="802CA452">
      <w:start w:val="1"/>
      <w:numFmt w:val="bullet"/>
      <w:lvlText w:val=""/>
      <w:lvlJc w:val="left"/>
      <w:pPr>
        <w:ind w:left="720" w:hanging="360"/>
      </w:pPr>
      <w:rPr>
        <w:rFonts w:ascii="Symbol" w:hAnsi="Symbol"/>
      </w:rPr>
    </w:lvl>
  </w:abstractNum>
  <w:abstractNum w:abstractNumId="12" w15:restartNumberingAfterBreak="0">
    <w:nsid w:val="07BA0B4F"/>
    <w:multiLevelType w:val="hybridMultilevel"/>
    <w:tmpl w:val="FA066244"/>
    <w:lvl w:ilvl="0" w:tplc="0C09000F">
      <w:start w:val="1"/>
      <w:numFmt w:val="decimal"/>
      <w:lvlText w:val="%1."/>
      <w:lvlJc w:val="left"/>
      <w:pPr>
        <w:ind w:left="756" w:hanging="360"/>
      </w:pPr>
    </w:lvl>
    <w:lvl w:ilvl="1" w:tplc="0C090019" w:tentative="1">
      <w:start w:val="1"/>
      <w:numFmt w:val="lowerLetter"/>
      <w:lvlText w:val="%2."/>
      <w:lvlJc w:val="left"/>
      <w:pPr>
        <w:ind w:left="1476" w:hanging="360"/>
      </w:pPr>
    </w:lvl>
    <w:lvl w:ilvl="2" w:tplc="0C09001B" w:tentative="1">
      <w:start w:val="1"/>
      <w:numFmt w:val="lowerRoman"/>
      <w:lvlText w:val="%3."/>
      <w:lvlJc w:val="right"/>
      <w:pPr>
        <w:ind w:left="2196" w:hanging="180"/>
      </w:pPr>
    </w:lvl>
    <w:lvl w:ilvl="3" w:tplc="0C09000F" w:tentative="1">
      <w:start w:val="1"/>
      <w:numFmt w:val="decimal"/>
      <w:lvlText w:val="%4."/>
      <w:lvlJc w:val="left"/>
      <w:pPr>
        <w:ind w:left="2916" w:hanging="360"/>
      </w:pPr>
    </w:lvl>
    <w:lvl w:ilvl="4" w:tplc="0C090019" w:tentative="1">
      <w:start w:val="1"/>
      <w:numFmt w:val="lowerLetter"/>
      <w:lvlText w:val="%5."/>
      <w:lvlJc w:val="left"/>
      <w:pPr>
        <w:ind w:left="3636" w:hanging="360"/>
      </w:pPr>
    </w:lvl>
    <w:lvl w:ilvl="5" w:tplc="0C09001B" w:tentative="1">
      <w:start w:val="1"/>
      <w:numFmt w:val="lowerRoman"/>
      <w:lvlText w:val="%6."/>
      <w:lvlJc w:val="right"/>
      <w:pPr>
        <w:ind w:left="4356" w:hanging="180"/>
      </w:pPr>
    </w:lvl>
    <w:lvl w:ilvl="6" w:tplc="0C09000F" w:tentative="1">
      <w:start w:val="1"/>
      <w:numFmt w:val="decimal"/>
      <w:lvlText w:val="%7."/>
      <w:lvlJc w:val="left"/>
      <w:pPr>
        <w:ind w:left="5076" w:hanging="360"/>
      </w:pPr>
    </w:lvl>
    <w:lvl w:ilvl="7" w:tplc="0C090019" w:tentative="1">
      <w:start w:val="1"/>
      <w:numFmt w:val="lowerLetter"/>
      <w:lvlText w:val="%8."/>
      <w:lvlJc w:val="left"/>
      <w:pPr>
        <w:ind w:left="5796" w:hanging="360"/>
      </w:pPr>
    </w:lvl>
    <w:lvl w:ilvl="8" w:tplc="0C09001B" w:tentative="1">
      <w:start w:val="1"/>
      <w:numFmt w:val="lowerRoman"/>
      <w:lvlText w:val="%9."/>
      <w:lvlJc w:val="right"/>
      <w:pPr>
        <w:ind w:left="6516" w:hanging="180"/>
      </w:pPr>
    </w:lvl>
  </w:abstractNum>
  <w:abstractNum w:abstractNumId="13" w15:restartNumberingAfterBreak="0">
    <w:nsid w:val="0ADF3E27"/>
    <w:multiLevelType w:val="hybridMultilevel"/>
    <w:tmpl w:val="205A756E"/>
    <w:lvl w:ilvl="0" w:tplc="65A28ED6">
      <w:start w:val="1"/>
      <w:numFmt w:val="bullet"/>
      <w:lvlText w:val=""/>
      <w:lvlJc w:val="left"/>
      <w:pPr>
        <w:ind w:left="720" w:hanging="360"/>
      </w:pPr>
      <w:rPr>
        <w:rFonts w:ascii="Symbol" w:hAnsi="Symbol"/>
      </w:rPr>
    </w:lvl>
    <w:lvl w:ilvl="1" w:tplc="42C63436">
      <w:start w:val="1"/>
      <w:numFmt w:val="bullet"/>
      <w:lvlText w:val=""/>
      <w:lvlJc w:val="left"/>
      <w:pPr>
        <w:ind w:left="720" w:hanging="360"/>
      </w:pPr>
      <w:rPr>
        <w:rFonts w:ascii="Symbol" w:hAnsi="Symbol"/>
      </w:rPr>
    </w:lvl>
    <w:lvl w:ilvl="2" w:tplc="57BE9C76">
      <w:start w:val="1"/>
      <w:numFmt w:val="bullet"/>
      <w:lvlText w:val=""/>
      <w:lvlJc w:val="left"/>
      <w:pPr>
        <w:ind w:left="720" w:hanging="360"/>
      </w:pPr>
      <w:rPr>
        <w:rFonts w:ascii="Symbol" w:hAnsi="Symbol"/>
      </w:rPr>
    </w:lvl>
    <w:lvl w:ilvl="3" w:tplc="E4B0F72E">
      <w:start w:val="1"/>
      <w:numFmt w:val="bullet"/>
      <w:lvlText w:val=""/>
      <w:lvlJc w:val="left"/>
      <w:pPr>
        <w:ind w:left="720" w:hanging="360"/>
      </w:pPr>
      <w:rPr>
        <w:rFonts w:ascii="Symbol" w:hAnsi="Symbol"/>
      </w:rPr>
    </w:lvl>
    <w:lvl w:ilvl="4" w:tplc="2FB81FCE">
      <w:start w:val="1"/>
      <w:numFmt w:val="bullet"/>
      <w:lvlText w:val=""/>
      <w:lvlJc w:val="left"/>
      <w:pPr>
        <w:ind w:left="720" w:hanging="360"/>
      </w:pPr>
      <w:rPr>
        <w:rFonts w:ascii="Symbol" w:hAnsi="Symbol"/>
      </w:rPr>
    </w:lvl>
    <w:lvl w:ilvl="5" w:tplc="71728238">
      <w:start w:val="1"/>
      <w:numFmt w:val="bullet"/>
      <w:lvlText w:val=""/>
      <w:lvlJc w:val="left"/>
      <w:pPr>
        <w:ind w:left="720" w:hanging="360"/>
      </w:pPr>
      <w:rPr>
        <w:rFonts w:ascii="Symbol" w:hAnsi="Symbol"/>
      </w:rPr>
    </w:lvl>
    <w:lvl w:ilvl="6" w:tplc="41C2356C">
      <w:start w:val="1"/>
      <w:numFmt w:val="bullet"/>
      <w:lvlText w:val=""/>
      <w:lvlJc w:val="left"/>
      <w:pPr>
        <w:ind w:left="720" w:hanging="360"/>
      </w:pPr>
      <w:rPr>
        <w:rFonts w:ascii="Symbol" w:hAnsi="Symbol"/>
      </w:rPr>
    </w:lvl>
    <w:lvl w:ilvl="7" w:tplc="D1B219D2">
      <w:start w:val="1"/>
      <w:numFmt w:val="bullet"/>
      <w:lvlText w:val=""/>
      <w:lvlJc w:val="left"/>
      <w:pPr>
        <w:ind w:left="720" w:hanging="360"/>
      </w:pPr>
      <w:rPr>
        <w:rFonts w:ascii="Symbol" w:hAnsi="Symbol"/>
      </w:rPr>
    </w:lvl>
    <w:lvl w:ilvl="8" w:tplc="DA3E0A04">
      <w:start w:val="1"/>
      <w:numFmt w:val="bullet"/>
      <w:lvlText w:val=""/>
      <w:lvlJc w:val="left"/>
      <w:pPr>
        <w:ind w:left="720" w:hanging="360"/>
      </w:pPr>
      <w:rPr>
        <w:rFonts w:ascii="Symbol" w:hAnsi="Symbol"/>
      </w:rPr>
    </w:lvl>
  </w:abstractNum>
  <w:abstractNum w:abstractNumId="14" w15:restartNumberingAfterBreak="0">
    <w:nsid w:val="0D5C4279"/>
    <w:multiLevelType w:val="multilevel"/>
    <w:tmpl w:val="A5D21A76"/>
    <w:lvl w:ilvl="0">
      <w:start w:val="1"/>
      <w:numFmt w:val="decimal"/>
      <w:pStyle w:val="MOTermsL1"/>
      <w:lvlText w:val="%1"/>
      <w:lvlJc w:val="left"/>
      <w:pPr>
        <w:tabs>
          <w:tab w:val="num" w:pos="851"/>
        </w:tabs>
        <w:ind w:left="851" w:hanging="851"/>
      </w:pPr>
      <w:rPr>
        <w:rFonts w:hint="default"/>
      </w:rPr>
    </w:lvl>
    <w:lvl w:ilvl="1">
      <w:start w:val="1"/>
      <w:numFmt w:val="decimal"/>
      <w:pStyle w:val="MOTermsL2"/>
      <w:lvlText w:val="%1.%2"/>
      <w:lvlJc w:val="left"/>
      <w:pPr>
        <w:tabs>
          <w:tab w:val="num" w:pos="851"/>
        </w:tabs>
        <w:ind w:left="851" w:hanging="851"/>
      </w:pPr>
      <w:rPr>
        <w:rFonts w:hint="default"/>
      </w:rPr>
    </w:lvl>
    <w:lvl w:ilvl="2">
      <w:start w:val="1"/>
      <w:numFmt w:val="none"/>
      <w:lvlRestart w:val="0"/>
      <w:suff w:val="nothing"/>
      <w:lvlText w:val=""/>
      <w:lvlJc w:val="left"/>
      <w:pPr>
        <w:ind w:left="851" w:firstLine="0"/>
      </w:pPr>
      <w:rPr>
        <w:rFonts w:hint="default"/>
      </w:rPr>
    </w:lvl>
    <w:lvl w:ilvl="3">
      <w:start w:val="1"/>
      <w:numFmt w:val="decimal"/>
      <w:lvlRestart w:val="1"/>
      <w:pStyle w:val="MOTermsL4"/>
      <w:lvlText w:val="%1.%4"/>
      <w:lvlJc w:val="left"/>
      <w:pPr>
        <w:tabs>
          <w:tab w:val="num" w:pos="851"/>
        </w:tabs>
        <w:ind w:left="851" w:hanging="851"/>
      </w:pPr>
      <w:rPr>
        <w:rFonts w:hint="default"/>
      </w:rPr>
    </w:lvl>
    <w:lvl w:ilvl="4">
      <w:start w:val="1"/>
      <w:numFmt w:val="lowerLetter"/>
      <w:pStyle w:val="MOTermsL5"/>
      <w:lvlText w:val="(%5)"/>
      <w:lvlJc w:val="left"/>
      <w:pPr>
        <w:tabs>
          <w:tab w:val="num" w:pos="1701"/>
        </w:tabs>
        <w:ind w:left="1701" w:hanging="850"/>
      </w:pPr>
      <w:rPr>
        <w:rFonts w:hint="default"/>
      </w:rPr>
    </w:lvl>
    <w:lvl w:ilvl="5">
      <w:start w:val="1"/>
      <w:numFmt w:val="lowerRoman"/>
      <w:pStyle w:val="MOTermsL6"/>
      <w:lvlText w:val="(%6)"/>
      <w:lvlJc w:val="left"/>
      <w:pPr>
        <w:tabs>
          <w:tab w:val="num" w:pos="2552"/>
        </w:tabs>
        <w:ind w:left="2552" w:hanging="851"/>
      </w:pPr>
      <w:rPr>
        <w:rFonts w:hint="default"/>
      </w:rPr>
    </w:lvl>
    <w:lvl w:ilvl="6">
      <w:start w:val="1"/>
      <w:numFmt w:val="upperLetter"/>
      <w:pStyle w:val="MOTermsL7"/>
      <w:lvlText w:val="(%7)"/>
      <w:lvlJc w:val="left"/>
      <w:pPr>
        <w:tabs>
          <w:tab w:val="num" w:pos="3402"/>
        </w:tabs>
        <w:ind w:left="3402" w:hanging="850"/>
      </w:pPr>
      <w:rPr>
        <w:rFonts w:hint="default"/>
      </w:rPr>
    </w:lvl>
    <w:lvl w:ilvl="7">
      <w:start w:val="1"/>
      <w:numFmt w:val="decimal"/>
      <w:pStyle w:val="MOTermsL8"/>
      <w:lvlText w:val="(%8)"/>
      <w:lvlJc w:val="left"/>
      <w:pPr>
        <w:tabs>
          <w:tab w:val="num" w:pos="4253"/>
        </w:tabs>
        <w:ind w:left="4253" w:hanging="851"/>
      </w:pPr>
      <w:rPr>
        <w:rFonts w:hint="default"/>
      </w:rPr>
    </w:lvl>
    <w:lvl w:ilvl="8">
      <w:start w:val="1"/>
      <w:numFmt w:val="upperRoman"/>
      <w:pStyle w:val="MOTermsL9"/>
      <w:lvlText w:val="(%9)"/>
      <w:lvlJc w:val="left"/>
      <w:pPr>
        <w:tabs>
          <w:tab w:val="num" w:pos="5103"/>
        </w:tabs>
        <w:ind w:left="5103" w:hanging="850"/>
      </w:pPr>
      <w:rPr>
        <w:rFonts w:hint="default"/>
      </w:rPr>
    </w:lvl>
  </w:abstractNum>
  <w:abstractNum w:abstractNumId="15" w15:restartNumberingAfterBreak="0">
    <w:nsid w:val="0EAE6BE5"/>
    <w:multiLevelType w:val="multilevel"/>
    <w:tmpl w:val="1DEC688C"/>
    <w:styleLink w:val="MOTableLevels"/>
    <w:lvl w:ilvl="0">
      <w:start w:val="1"/>
      <w:numFmt w:val="lowerLetter"/>
      <w:pStyle w:val="MOTableL1"/>
      <w:lvlText w:val="(%1)"/>
      <w:lvlJc w:val="left"/>
      <w:pPr>
        <w:tabs>
          <w:tab w:val="num" w:pos="567"/>
        </w:tabs>
        <w:ind w:left="567" w:hanging="567"/>
      </w:pPr>
      <w:rPr>
        <w:rFonts w:hint="default"/>
      </w:rPr>
    </w:lvl>
    <w:lvl w:ilvl="1">
      <w:start w:val="1"/>
      <w:numFmt w:val="lowerRoman"/>
      <w:pStyle w:val="MOTableL2"/>
      <w:lvlText w:val="(%2)"/>
      <w:lvlJc w:val="left"/>
      <w:pPr>
        <w:tabs>
          <w:tab w:val="num" w:pos="1134"/>
        </w:tabs>
        <w:ind w:left="1134" w:hanging="567"/>
      </w:pPr>
      <w:rPr>
        <w:rFonts w:hint="default"/>
      </w:rPr>
    </w:lvl>
    <w:lvl w:ilvl="2">
      <w:start w:val="1"/>
      <w:numFmt w:val="lowerRoman"/>
      <w:lvlText w:val="(%3)"/>
      <w:lvlJc w:val="left"/>
      <w:pPr>
        <w:tabs>
          <w:tab w:val="num" w:pos="1571"/>
        </w:tabs>
        <w:ind w:left="567" w:hanging="567"/>
      </w:pPr>
      <w:rPr>
        <w:rFonts w:hint="default"/>
      </w:rPr>
    </w:lvl>
    <w:lvl w:ilvl="3">
      <w:start w:val="1"/>
      <w:numFmt w:val="decimal"/>
      <w:lvlRestart w:val="1"/>
      <w:lvlText w:val="%1.%4"/>
      <w:lvlJc w:val="left"/>
      <w:pPr>
        <w:tabs>
          <w:tab w:val="num" w:pos="851"/>
        </w:tabs>
        <w:ind w:left="567" w:hanging="567"/>
      </w:pPr>
      <w:rPr>
        <w:rFonts w:hint="default"/>
      </w:rPr>
    </w:lvl>
    <w:lvl w:ilvl="4">
      <w:start w:val="1"/>
      <w:numFmt w:val="lowerLetter"/>
      <w:lvlText w:val="(%5)"/>
      <w:lvlJc w:val="left"/>
      <w:pPr>
        <w:tabs>
          <w:tab w:val="num" w:pos="1701"/>
        </w:tabs>
        <w:ind w:left="567" w:hanging="567"/>
      </w:pPr>
      <w:rPr>
        <w:rFonts w:hint="default"/>
      </w:rPr>
    </w:lvl>
    <w:lvl w:ilvl="5">
      <w:start w:val="1"/>
      <w:numFmt w:val="lowerRoman"/>
      <w:lvlText w:val="(%6)"/>
      <w:lvlJc w:val="left"/>
      <w:pPr>
        <w:tabs>
          <w:tab w:val="num" w:pos="2552"/>
        </w:tabs>
        <w:ind w:left="567" w:hanging="567"/>
      </w:pPr>
      <w:rPr>
        <w:rFonts w:hint="default"/>
      </w:rPr>
    </w:lvl>
    <w:lvl w:ilvl="6">
      <w:start w:val="1"/>
      <w:numFmt w:val="upperLetter"/>
      <w:lvlText w:val="(%7)"/>
      <w:lvlJc w:val="left"/>
      <w:pPr>
        <w:tabs>
          <w:tab w:val="num" w:pos="3402"/>
        </w:tabs>
        <w:ind w:left="567" w:hanging="567"/>
      </w:pPr>
      <w:rPr>
        <w:rFonts w:hint="default"/>
      </w:rPr>
    </w:lvl>
    <w:lvl w:ilvl="7">
      <w:start w:val="1"/>
      <w:numFmt w:val="decimal"/>
      <w:lvlText w:val="(%8)"/>
      <w:lvlJc w:val="left"/>
      <w:pPr>
        <w:tabs>
          <w:tab w:val="num" w:pos="4253"/>
        </w:tabs>
        <w:ind w:left="567" w:hanging="567"/>
      </w:pPr>
      <w:rPr>
        <w:rFonts w:hint="default"/>
      </w:rPr>
    </w:lvl>
    <w:lvl w:ilvl="8">
      <w:start w:val="1"/>
      <w:numFmt w:val="upperRoman"/>
      <w:lvlText w:val="(%9)"/>
      <w:lvlJc w:val="left"/>
      <w:pPr>
        <w:tabs>
          <w:tab w:val="num" w:pos="5103"/>
        </w:tabs>
        <w:ind w:left="567" w:hanging="567"/>
      </w:pPr>
      <w:rPr>
        <w:rFonts w:hint="default"/>
      </w:rPr>
    </w:lvl>
  </w:abstractNum>
  <w:abstractNum w:abstractNumId="16" w15:restartNumberingAfterBreak="0">
    <w:nsid w:val="11FB05B2"/>
    <w:multiLevelType w:val="hybridMultilevel"/>
    <w:tmpl w:val="649E92CE"/>
    <w:lvl w:ilvl="0" w:tplc="7BF4DA78">
      <w:start w:val="1"/>
      <w:numFmt w:val="bullet"/>
      <w:lvlText w:val=""/>
      <w:lvlJc w:val="left"/>
      <w:pPr>
        <w:ind w:left="720" w:hanging="360"/>
      </w:pPr>
      <w:rPr>
        <w:rFonts w:ascii="Symbol" w:hAnsi="Symbol"/>
      </w:rPr>
    </w:lvl>
    <w:lvl w:ilvl="1" w:tplc="EB9A1FCC">
      <w:start w:val="1"/>
      <w:numFmt w:val="bullet"/>
      <w:lvlText w:val=""/>
      <w:lvlJc w:val="left"/>
      <w:pPr>
        <w:ind w:left="720" w:hanging="360"/>
      </w:pPr>
      <w:rPr>
        <w:rFonts w:ascii="Symbol" w:hAnsi="Symbol"/>
      </w:rPr>
    </w:lvl>
    <w:lvl w:ilvl="2" w:tplc="2A0C811C">
      <w:start w:val="1"/>
      <w:numFmt w:val="bullet"/>
      <w:lvlText w:val=""/>
      <w:lvlJc w:val="left"/>
      <w:pPr>
        <w:ind w:left="720" w:hanging="360"/>
      </w:pPr>
      <w:rPr>
        <w:rFonts w:ascii="Symbol" w:hAnsi="Symbol"/>
      </w:rPr>
    </w:lvl>
    <w:lvl w:ilvl="3" w:tplc="A4C8F782">
      <w:start w:val="1"/>
      <w:numFmt w:val="bullet"/>
      <w:lvlText w:val=""/>
      <w:lvlJc w:val="left"/>
      <w:pPr>
        <w:ind w:left="720" w:hanging="360"/>
      </w:pPr>
      <w:rPr>
        <w:rFonts w:ascii="Symbol" w:hAnsi="Symbol"/>
      </w:rPr>
    </w:lvl>
    <w:lvl w:ilvl="4" w:tplc="D674B0C4">
      <w:start w:val="1"/>
      <w:numFmt w:val="bullet"/>
      <w:lvlText w:val=""/>
      <w:lvlJc w:val="left"/>
      <w:pPr>
        <w:ind w:left="720" w:hanging="360"/>
      </w:pPr>
      <w:rPr>
        <w:rFonts w:ascii="Symbol" w:hAnsi="Symbol"/>
      </w:rPr>
    </w:lvl>
    <w:lvl w:ilvl="5" w:tplc="0460183E">
      <w:start w:val="1"/>
      <w:numFmt w:val="bullet"/>
      <w:lvlText w:val=""/>
      <w:lvlJc w:val="left"/>
      <w:pPr>
        <w:ind w:left="720" w:hanging="360"/>
      </w:pPr>
      <w:rPr>
        <w:rFonts w:ascii="Symbol" w:hAnsi="Symbol"/>
      </w:rPr>
    </w:lvl>
    <w:lvl w:ilvl="6" w:tplc="88D6D9E4">
      <w:start w:val="1"/>
      <w:numFmt w:val="bullet"/>
      <w:lvlText w:val=""/>
      <w:lvlJc w:val="left"/>
      <w:pPr>
        <w:ind w:left="720" w:hanging="360"/>
      </w:pPr>
      <w:rPr>
        <w:rFonts w:ascii="Symbol" w:hAnsi="Symbol"/>
      </w:rPr>
    </w:lvl>
    <w:lvl w:ilvl="7" w:tplc="B9544D9E">
      <w:start w:val="1"/>
      <w:numFmt w:val="bullet"/>
      <w:lvlText w:val=""/>
      <w:lvlJc w:val="left"/>
      <w:pPr>
        <w:ind w:left="720" w:hanging="360"/>
      </w:pPr>
      <w:rPr>
        <w:rFonts w:ascii="Symbol" w:hAnsi="Symbol"/>
      </w:rPr>
    </w:lvl>
    <w:lvl w:ilvl="8" w:tplc="03E6D760">
      <w:start w:val="1"/>
      <w:numFmt w:val="bullet"/>
      <w:lvlText w:val=""/>
      <w:lvlJc w:val="left"/>
      <w:pPr>
        <w:ind w:left="720" w:hanging="360"/>
      </w:pPr>
      <w:rPr>
        <w:rFonts w:ascii="Symbol" w:hAnsi="Symbol"/>
      </w:rPr>
    </w:lvl>
  </w:abstractNum>
  <w:abstractNum w:abstractNumId="17" w15:restartNumberingAfterBreak="0">
    <w:nsid w:val="14B519C3"/>
    <w:multiLevelType w:val="multilevel"/>
    <w:tmpl w:val="D868978A"/>
    <w:styleLink w:val="MOListBullet"/>
    <w:lvl w:ilvl="0">
      <w:start w:val="1"/>
      <w:numFmt w:val="bullet"/>
      <w:pStyle w:val="MOListStylesBullet1"/>
      <w:lvlText w:val=""/>
      <w:lvlJc w:val="left"/>
      <w:pPr>
        <w:tabs>
          <w:tab w:val="num" w:pos="567"/>
        </w:tabs>
        <w:ind w:left="567" w:hanging="567"/>
      </w:pPr>
      <w:rPr>
        <w:rFonts w:ascii="Wingdings" w:hAnsi="Wingdings" w:hint="default"/>
      </w:rPr>
    </w:lvl>
    <w:lvl w:ilvl="1">
      <w:start w:val="1"/>
      <w:numFmt w:val="bullet"/>
      <w:pStyle w:val="MOListStylesBullet2"/>
      <w:lvlText w:val="o"/>
      <w:lvlJc w:val="left"/>
      <w:pPr>
        <w:tabs>
          <w:tab w:val="num" w:pos="1134"/>
        </w:tabs>
        <w:ind w:left="1134" w:hanging="567"/>
      </w:pPr>
      <w:rPr>
        <w:rFonts w:ascii="Courier New" w:hAnsi="Courier New" w:hint="default"/>
      </w:rPr>
    </w:lvl>
    <w:lvl w:ilvl="2">
      <w:start w:val="1"/>
      <w:numFmt w:val="bullet"/>
      <w:pStyle w:val="MOListStylesBullet3"/>
      <w:lvlText w:val=""/>
      <w:lvlJc w:val="left"/>
      <w:pPr>
        <w:tabs>
          <w:tab w:val="num" w:pos="1701"/>
        </w:tabs>
        <w:ind w:left="1701" w:hanging="567"/>
      </w:pPr>
      <w:rPr>
        <w:rFonts w:ascii="Wingdings" w:hAnsi="Wingdings" w:hint="default"/>
      </w:rPr>
    </w:lvl>
    <w:lvl w:ilvl="3">
      <w:start w:val="1"/>
      <w:numFmt w:val="none"/>
      <w:lvlRestart w:val="0"/>
      <w:lvlText w:val=""/>
      <w:lvlJc w:val="left"/>
      <w:pPr>
        <w:ind w:left="-32767" w:firstLine="0"/>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7"/>
      <w:lvlJc w:val="left"/>
      <w:pPr>
        <w:ind w:left="-32767" w:firstLine="0"/>
      </w:pPr>
      <w:rPr>
        <w:rFonts w:hint="default"/>
      </w:rPr>
    </w:lvl>
    <w:lvl w:ilvl="7">
      <w:start w:val="1"/>
      <w:numFmt w:val="none"/>
      <w:lvlRestart w:val="0"/>
      <w:lvlText w:val="%8"/>
      <w:lvlJc w:val="left"/>
      <w:pPr>
        <w:ind w:left="-32767" w:firstLine="0"/>
      </w:pPr>
      <w:rPr>
        <w:rFonts w:hint="default"/>
      </w:rPr>
    </w:lvl>
    <w:lvl w:ilvl="8">
      <w:start w:val="1"/>
      <w:numFmt w:val="none"/>
      <w:lvlRestart w:val="0"/>
      <w:lvlText w:val=""/>
      <w:lvlJc w:val="left"/>
      <w:pPr>
        <w:ind w:left="-32767" w:firstLine="0"/>
      </w:pPr>
      <w:rPr>
        <w:rFonts w:hint="default"/>
      </w:rPr>
    </w:lvl>
  </w:abstractNum>
  <w:abstractNum w:abstractNumId="18" w15:restartNumberingAfterBreak="0">
    <w:nsid w:val="1F1056E3"/>
    <w:multiLevelType w:val="hybridMultilevel"/>
    <w:tmpl w:val="0E346536"/>
    <w:lvl w:ilvl="0" w:tplc="444EE7B6">
      <w:start w:val="1"/>
      <w:numFmt w:val="bullet"/>
      <w:lvlText w:val=""/>
      <w:lvlJc w:val="left"/>
      <w:pPr>
        <w:ind w:left="720" w:hanging="360"/>
      </w:pPr>
      <w:rPr>
        <w:rFonts w:ascii="Symbol" w:hAnsi="Symbol"/>
      </w:rPr>
    </w:lvl>
    <w:lvl w:ilvl="1" w:tplc="C2106C2E">
      <w:start w:val="1"/>
      <w:numFmt w:val="bullet"/>
      <w:lvlText w:val=""/>
      <w:lvlJc w:val="left"/>
      <w:pPr>
        <w:ind w:left="720" w:hanging="360"/>
      </w:pPr>
      <w:rPr>
        <w:rFonts w:ascii="Symbol" w:hAnsi="Symbol"/>
      </w:rPr>
    </w:lvl>
    <w:lvl w:ilvl="2" w:tplc="BA76BE60">
      <w:start w:val="1"/>
      <w:numFmt w:val="bullet"/>
      <w:lvlText w:val=""/>
      <w:lvlJc w:val="left"/>
      <w:pPr>
        <w:ind w:left="720" w:hanging="360"/>
      </w:pPr>
      <w:rPr>
        <w:rFonts w:ascii="Symbol" w:hAnsi="Symbol"/>
      </w:rPr>
    </w:lvl>
    <w:lvl w:ilvl="3" w:tplc="16BEFF50">
      <w:start w:val="1"/>
      <w:numFmt w:val="bullet"/>
      <w:lvlText w:val=""/>
      <w:lvlJc w:val="left"/>
      <w:pPr>
        <w:ind w:left="720" w:hanging="360"/>
      </w:pPr>
      <w:rPr>
        <w:rFonts w:ascii="Symbol" w:hAnsi="Symbol"/>
      </w:rPr>
    </w:lvl>
    <w:lvl w:ilvl="4" w:tplc="5344CD50">
      <w:start w:val="1"/>
      <w:numFmt w:val="bullet"/>
      <w:lvlText w:val=""/>
      <w:lvlJc w:val="left"/>
      <w:pPr>
        <w:ind w:left="720" w:hanging="360"/>
      </w:pPr>
      <w:rPr>
        <w:rFonts w:ascii="Symbol" w:hAnsi="Symbol"/>
      </w:rPr>
    </w:lvl>
    <w:lvl w:ilvl="5" w:tplc="F4CA880E">
      <w:start w:val="1"/>
      <w:numFmt w:val="bullet"/>
      <w:lvlText w:val=""/>
      <w:lvlJc w:val="left"/>
      <w:pPr>
        <w:ind w:left="720" w:hanging="360"/>
      </w:pPr>
      <w:rPr>
        <w:rFonts w:ascii="Symbol" w:hAnsi="Symbol"/>
      </w:rPr>
    </w:lvl>
    <w:lvl w:ilvl="6" w:tplc="067036FE">
      <w:start w:val="1"/>
      <w:numFmt w:val="bullet"/>
      <w:lvlText w:val=""/>
      <w:lvlJc w:val="left"/>
      <w:pPr>
        <w:ind w:left="720" w:hanging="360"/>
      </w:pPr>
      <w:rPr>
        <w:rFonts w:ascii="Symbol" w:hAnsi="Symbol"/>
      </w:rPr>
    </w:lvl>
    <w:lvl w:ilvl="7" w:tplc="3B963C72">
      <w:start w:val="1"/>
      <w:numFmt w:val="bullet"/>
      <w:lvlText w:val=""/>
      <w:lvlJc w:val="left"/>
      <w:pPr>
        <w:ind w:left="720" w:hanging="360"/>
      </w:pPr>
      <w:rPr>
        <w:rFonts w:ascii="Symbol" w:hAnsi="Symbol"/>
      </w:rPr>
    </w:lvl>
    <w:lvl w:ilvl="8" w:tplc="526E9D92">
      <w:start w:val="1"/>
      <w:numFmt w:val="bullet"/>
      <w:lvlText w:val=""/>
      <w:lvlJc w:val="left"/>
      <w:pPr>
        <w:ind w:left="720" w:hanging="360"/>
      </w:pPr>
      <w:rPr>
        <w:rFonts w:ascii="Symbol" w:hAnsi="Symbol"/>
      </w:rPr>
    </w:lvl>
  </w:abstractNum>
  <w:abstractNum w:abstractNumId="19" w15:restartNumberingAfterBreak="0">
    <w:nsid w:val="20BE4255"/>
    <w:multiLevelType w:val="hybridMultilevel"/>
    <w:tmpl w:val="5E4A9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0C84E30"/>
    <w:multiLevelType w:val="multilevel"/>
    <w:tmpl w:val="FAEE0F6E"/>
    <w:numStyleLink w:val="MOAdditional"/>
  </w:abstractNum>
  <w:abstractNum w:abstractNumId="21" w15:restartNumberingAfterBreak="0">
    <w:nsid w:val="233F5FA1"/>
    <w:multiLevelType w:val="multilevel"/>
    <w:tmpl w:val="1DEC688C"/>
    <w:numStyleLink w:val="MOTableLevels"/>
  </w:abstractNum>
  <w:abstractNum w:abstractNumId="22" w15:restartNumberingAfterBreak="0">
    <w:nsid w:val="26011E72"/>
    <w:multiLevelType w:val="multilevel"/>
    <w:tmpl w:val="6562C13A"/>
    <w:lvl w:ilvl="0">
      <w:start w:val="1"/>
      <w:numFmt w:val="decimal"/>
      <w:pStyle w:val="MOSchHeading"/>
      <w:lvlText w:val="Schedule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3065"/>
        </w:tabs>
        <w:ind w:left="2552" w:hanging="567"/>
      </w:pPr>
      <w:rPr>
        <w:rFonts w:hint="default"/>
      </w:rPr>
    </w:lvl>
    <w:lvl w:ilvl="4">
      <w:start w:val="1"/>
      <w:numFmt w:val="upperLetter"/>
      <w:lvlText w:val="%5."/>
      <w:lvlJc w:val="left"/>
      <w:pPr>
        <w:tabs>
          <w:tab w:val="num" w:pos="3402"/>
        </w:tabs>
        <w:ind w:left="3402" w:hanging="567"/>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1701" w:firstLine="0"/>
      </w:pPr>
      <w:rPr>
        <w:rFonts w:hint="default"/>
      </w:rPr>
    </w:lvl>
    <w:lvl w:ilvl="7">
      <w:start w:val="1"/>
      <w:numFmt w:val="none"/>
      <w:suff w:val="nothing"/>
      <w:lvlText w:val=""/>
      <w:lvlJc w:val="left"/>
      <w:pPr>
        <w:ind w:left="2835" w:firstLine="0"/>
      </w:pPr>
      <w:rPr>
        <w:rFonts w:hint="default"/>
      </w:rPr>
    </w:lvl>
    <w:lvl w:ilvl="8">
      <w:start w:val="1"/>
      <w:numFmt w:val="lowerRoman"/>
      <w:lvlText w:val="(%9)"/>
      <w:lvlJc w:val="left"/>
      <w:pPr>
        <w:tabs>
          <w:tab w:val="num" w:pos="2126"/>
        </w:tabs>
        <w:ind w:left="2126" w:hanging="708"/>
      </w:pPr>
      <w:rPr>
        <w:rFonts w:hint="default"/>
      </w:rPr>
    </w:lvl>
  </w:abstractNum>
  <w:abstractNum w:abstractNumId="23" w15:restartNumberingAfterBreak="0">
    <w:nsid w:val="2DFE16DA"/>
    <w:multiLevelType w:val="hybridMultilevel"/>
    <w:tmpl w:val="DC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0142385"/>
    <w:multiLevelType w:val="hybridMultilevel"/>
    <w:tmpl w:val="9EB63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2076149"/>
    <w:multiLevelType w:val="hybridMultilevel"/>
    <w:tmpl w:val="D5DA9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663116"/>
    <w:multiLevelType w:val="hybridMultilevel"/>
    <w:tmpl w:val="A29607EE"/>
    <w:lvl w:ilvl="0" w:tplc="81D68BF0">
      <w:start w:val="1"/>
      <w:numFmt w:val="bullet"/>
      <w:lvlText w:val=""/>
      <w:lvlJc w:val="left"/>
      <w:pPr>
        <w:ind w:left="720" w:hanging="360"/>
      </w:pPr>
      <w:rPr>
        <w:rFonts w:ascii="Symbol" w:hAnsi="Symbol"/>
      </w:rPr>
    </w:lvl>
    <w:lvl w:ilvl="1" w:tplc="F78A2A26">
      <w:start w:val="1"/>
      <w:numFmt w:val="bullet"/>
      <w:lvlText w:val=""/>
      <w:lvlJc w:val="left"/>
      <w:pPr>
        <w:ind w:left="720" w:hanging="360"/>
      </w:pPr>
      <w:rPr>
        <w:rFonts w:ascii="Symbol" w:hAnsi="Symbol"/>
      </w:rPr>
    </w:lvl>
    <w:lvl w:ilvl="2" w:tplc="72DCDEE6">
      <w:start w:val="1"/>
      <w:numFmt w:val="bullet"/>
      <w:lvlText w:val=""/>
      <w:lvlJc w:val="left"/>
      <w:pPr>
        <w:ind w:left="720" w:hanging="360"/>
      </w:pPr>
      <w:rPr>
        <w:rFonts w:ascii="Symbol" w:hAnsi="Symbol"/>
      </w:rPr>
    </w:lvl>
    <w:lvl w:ilvl="3" w:tplc="D416DBF2">
      <w:start w:val="1"/>
      <w:numFmt w:val="bullet"/>
      <w:lvlText w:val=""/>
      <w:lvlJc w:val="left"/>
      <w:pPr>
        <w:ind w:left="720" w:hanging="360"/>
      </w:pPr>
      <w:rPr>
        <w:rFonts w:ascii="Symbol" w:hAnsi="Symbol"/>
      </w:rPr>
    </w:lvl>
    <w:lvl w:ilvl="4" w:tplc="92B47716">
      <w:start w:val="1"/>
      <w:numFmt w:val="bullet"/>
      <w:lvlText w:val=""/>
      <w:lvlJc w:val="left"/>
      <w:pPr>
        <w:ind w:left="720" w:hanging="360"/>
      </w:pPr>
      <w:rPr>
        <w:rFonts w:ascii="Symbol" w:hAnsi="Symbol"/>
      </w:rPr>
    </w:lvl>
    <w:lvl w:ilvl="5" w:tplc="1624DB58">
      <w:start w:val="1"/>
      <w:numFmt w:val="bullet"/>
      <w:lvlText w:val=""/>
      <w:lvlJc w:val="left"/>
      <w:pPr>
        <w:ind w:left="720" w:hanging="360"/>
      </w:pPr>
      <w:rPr>
        <w:rFonts w:ascii="Symbol" w:hAnsi="Symbol"/>
      </w:rPr>
    </w:lvl>
    <w:lvl w:ilvl="6" w:tplc="835CCCCE">
      <w:start w:val="1"/>
      <w:numFmt w:val="bullet"/>
      <w:lvlText w:val=""/>
      <w:lvlJc w:val="left"/>
      <w:pPr>
        <w:ind w:left="720" w:hanging="360"/>
      </w:pPr>
      <w:rPr>
        <w:rFonts w:ascii="Symbol" w:hAnsi="Symbol"/>
      </w:rPr>
    </w:lvl>
    <w:lvl w:ilvl="7" w:tplc="8E12BC30">
      <w:start w:val="1"/>
      <w:numFmt w:val="bullet"/>
      <w:lvlText w:val=""/>
      <w:lvlJc w:val="left"/>
      <w:pPr>
        <w:ind w:left="720" w:hanging="360"/>
      </w:pPr>
      <w:rPr>
        <w:rFonts w:ascii="Symbol" w:hAnsi="Symbol"/>
      </w:rPr>
    </w:lvl>
    <w:lvl w:ilvl="8" w:tplc="EE1403F6">
      <w:start w:val="1"/>
      <w:numFmt w:val="bullet"/>
      <w:lvlText w:val=""/>
      <w:lvlJc w:val="left"/>
      <w:pPr>
        <w:ind w:left="720" w:hanging="360"/>
      </w:pPr>
      <w:rPr>
        <w:rFonts w:ascii="Symbol" w:hAnsi="Symbol"/>
      </w:rPr>
    </w:lvl>
  </w:abstractNum>
  <w:abstractNum w:abstractNumId="27" w15:restartNumberingAfterBreak="0">
    <w:nsid w:val="37893E2A"/>
    <w:multiLevelType w:val="multilevel"/>
    <w:tmpl w:val="FAEE0F6E"/>
    <w:styleLink w:val="MOAdditional"/>
    <w:lvl w:ilvl="0">
      <w:start w:val="1"/>
      <w:numFmt w:val="decimal"/>
      <w:pStyle w:val="MOAdditionalL2"/>
      <w:lvlText w:val="%1."/>
      <w:lvlJc w:val="left"/>
      <w:pPr>
        <w:tabs>
          <w:tab w:val="num" w:pos="851"/>
        </w:tabs>
        <w:ind w:left="851" w:hanging="851"/>
      </w:pPr>
      <w:rPr>
        <w:rFonts w:hint="default"/>
      </w:rPr>
    </w:lvl>
    <w:lvl w:ilvl="1">
      <w:start w:val="1"/>
      <w:numFmt w:val="none"/>
      <w:lvlRestart w:val="0"/>
      <w:pStyle w:val="MOAdditionalL3"/>
      <w:suff w:val="nothing"/>
      <w:lvlText w:val=""/>
      <w:lvlJc w:val="left"/>
      <w:pPr>
        <w:ind w:left="851" w:firstLine="0"/>
      </w:pPr>
      <w:rPr>
        <w:rFonts w:hint="default"/>
      </w:rPr>
    </w:lvl>
    <w:lvl w:ilvl="2">
      <w:start w:val="1"/>
      <w:numFmt w:val="decimal"/>
      <w:lvlRestart w:val="1"/>
      <w:pStyle w:val="MOAdditionalL4"/>
      <w:lvlText w:val="%1.%3"/>
      <w:lvlJc w:val="left"/>
      <w:pPr>
        <w:tabs>
          <w:tab w:val="num" w:pos="851"/>
        </w:tabs>
        <w:ind w:left="851" w:hanging="851"/>
      </w:pPr>
      <w:rPr>
        <w:rFonts w:hint="default"/>
      </w:rPr>
    </w:lvl>
    <w:lvl w:ilvl="3">
      <w:start w:val="1"/>
      <w:numFmt w:val="decimal"/>
      <w:pStyle w:val="MOAdditionalL5"/>
      <w:lvlText w:val="%1.%3%2.%4"/>
      <w:lvlJc w:val="left"/>
      <w:pPr>
        <w:tabs>
          <w:tab w:val="num" w:pos="851"/>
        </w:tabs>
        <w:ind w:left="851" w:hanging="851"/>
      </w:pPr>
      <w:rPr>
        <w:rFonts w:hint="default"/>
      </w:rPr>
    </w:lvl>
    <w:lvl w:ilvl="4">
      <w:start w:val="1"/>
      <w:numFmt w:val="lowerLetter"/>
      <w:pStyle w:val="MOAdditionalL6"/>
      <w:lvlText w:val="(%5)"/>
      <w:lvlJc w:val="left"/>
      <w:pPr>
        <w:tabs>
          <w:tab w:val="num" w:pos="1701"/>
        </w:tabs>
        <w:ind w:left="1701" w:hanging="850"/>
      </w:pPr>
      <w:rPr>
        <w:rFonts w:hint="default"/>
      </w:rPr>
    </w:lvl>
    <w:lvl w:ilvl="5">
      <w:start w:val="1"/>
      <w:numFmt w:val="lowerRoman"/>
      <w:pStyle w:val="MOAdditionalL7"/>
      <w:lvlText w:val="(%6)"/>
      <w:lvlJc w:val="left"/>
      <w:pPr>
        <w:tabs>
          <w:tab w:val="num" w:pos="2552"/>
        </w:tabs>
        <w:ind w:left="2552" w:hanging="851"/>
      </w:pPr>
      <w:rPr>
        <w:rFonts w:hint="default"/>
      </w:rPr>
    </w:lvl>
    <w:lvl w:ilvl="6">
      <w:start w:val="1"/>
      <w:numFmt w:val="upperLetter"/>
      <w:pStyle w:val="MOAdditionalL8"/>
      <w:lvlText w:val="(%7)"/>
      <w:lvlJc w:val="left"/>
      <w:pPr>
        <w:tabs>
          <w:tab w:val="num" w:pos="2552"/>
        </w:tabs>
        <w:ind w:left="3402" w:hanging="850"/>
      </w:pPr>
      <w:rPr>
        <w:rFonts w:hint="default"/>
      </w:rPr>
    </w:lvl>
    <w:lvl w:ilvl="7">
      <w:start w:val="1"/>
      <w:numFmt w:val="decimal"/>
      <w:pStyle w:val="MOAdditionalL9"/>
      <w:lvlText w:val="(%8)"/>
      <w:lvlJc w:val="left"/>
      <w:pPr>
        <w:tabs>
          <w:tab w:val="num" w:pos="3402"/>
        </w:tabs>
        <w:ind w:left="4253" w:hanging="851"/>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38D17014"/>
    <w:multiLevelType w:val="multilevel"/>
    <w:tmpl w:val="4CBE784C"/>
    <w:styleLink w:val="moBullets"/>
    <w:lvl w:ilvl="0">
      <w:start w:val="1"/>
      <w:numFmt w:val="bullet"/>
      <w:pStyle w:val="MOLListBullett"/>
      <w:lvlText w:val=""/>
      <w:lvlJc w:val="left"/>
      <w:pPr>
        <w:tabs>
          <w:tab w:val="num" w:pos="851"/>
        </w:tabs>
        <w:ind w:left="851" w:hanging="851"/>
      </w:pPr>
      <w:rPr>
        <w:rFonts w:ascii="Wingdings" w:hAnsi="Wingdings" w:hint="default"/>
      </w:rPr>
    </w:lvl>
    <w:lvl w:ilvl="1">
      <w:start w:val="1"/>
      <w:numFmt w:val="bullet"/>
      <w:pStyle w:val="MOLListBullettL2"/>
      <w:lvlText w:val="o"/>
      <w:lvlJc w:val="left"/>
      <w:pPr>
        <w:tabs>
          <w:tab w:val="num" w:pos="1701"/>
        </w:tabs>
        <w:ind w:left="1701" w:hanging="850"/>
      </w:pPr>
      <w:rPr>
        <w:rFonts w:ascii="Courier New" w:hAnsi="Courier New" w:hint="default"/>
      </w:rPr>
    </w:lvl>
    <w:lvl w:ilvl="2">
      <w:start w:val="1"/>
      <w:numFmt w:val="bullet"/>
      <w:pStyle w:val="MOLListBullettL3"/>
      <w:lvlText w:val=""/>
      <w:lvlJc w:val="left"/>
      <w:pPr>
        <w:tabs>
          <w:tab w:val="num" w:pos="2552"/>
        </w:tabs>
        <w:ind w:left="2552" w:hanging="851"/>
      </w:pPr>
      <w:rPr>
        <w:rFonts w:ascii="Wingdings" w:hAnsi="Wingdings" w:hint="default"/>
      </w:rPr>
    </w:lvl>
    <w:lvl w:ilvl="3">
      <w:start w:val="1"/>
      <w:numFmt w:val="none"/>
      <w:lvlText w:val=""/>
      <w:lvlJc w:val="left"/>
      <w:pPr>
        <w:tabs>
          <w:tab w:val="num" w:pos="2880"/>
        </w:tabs>
        <w:ind w:left="2880" w:hanging="360"/>
      </w:pPr>
      <w:rPr>
        <w:rFonts w:hint="default"/>
      </w:rPr>
    </w:lvl>
    <w:lvl w:ilvl="4">
      <w:start w:val="1"/>
      <w:numFmt w:val="bullet"/>
      <w:lvlText w:val="o"/>
      <w:lvlJc w:val="left"/>
      <w:pPr>
        <w:tabs>
          <w:tab w:val="num" w:pos="3402"/>
        </w:tabs>
        <w:ind w:left="3402" w:hanging="850"/>
      </w:pPr>
      <w:rPr>
        <w:rFonts w:ascii="Courier New" w:hAnsi="Courier New" w:hint="default"/>
      </w:rPr>
    </w:lvl>
    <w:lvl w:ilvl="5">
      <w:start w:val="1"/>
      <w:numFmt w:val="bullet"/>
      <w:lvlText w:val=""/>
      <w:lvlJc w:val="left"/>
      <w:pPr>
        <w:tabs>
          <w:tab w:val="num" w:pos="4253"/>
        </w:tabs>
        <w:ind w:left="4253" w:hanging="851"/>
      </w:pPr>
      <w:rPr>
        <w:rFonts w:ascii="Wingdings" w:hAnsi="Wingdings" w:hint="default"/>
      </w:rPr>
    </w:lvl>
    <w:lvl w:ilvl="6">
      <w:start w:val="1"/>
      <w:numFmt w:val="bullet"/>
      <w:lvlText w:val="o"/>
      <w:lvlJc w:val="left"/>
      <w:pPr>
        <w:tabs>
          <w:tab w:val="num" w:pos="5103"/>
        </w:tabs>
        <w:ind w:left="5103" w:hanging="850"/>
      </w:pPr>
      <w:rPr>
        <w:rFonts w:ascii="Courier New" w:hAnsi="Courier New"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856BF2"/>
    <w:multiLevelType w:val="multilevel"/>
    <w:tmpl w:val="4CBE784C"/>
    <w:numStyleLink w:val="moBullets"/>
  </w:abstractNum>
  <w:abstractNum w:abstractNumId="30" w15:restartNumberingAfterBreak="0">
    <w:nsid w:val="478F71D4"/>
    <w:multiLevelType w:val="hybridMultilevel"/>
    <w:tmpl w:val="52AAA60E"/>
    <w:lvl w:ilvl="0" w:tplc="0C090001">
      <w:start w:val="1"/>
      <w:numFmt w:val="bullet"/>
      <w:lvlText w:val=""/>
      <w:lvlJc w:val="left"/>
      <w:pPr>
        <w:ind w:left="396" w:hanging="360"/>
      </w:pPr>
      <w:rPr>
        <w:rFonts w:ascii="Symbol" w:hAnsi="Symbol"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31" w15:restartNumberingAfterBreak="0">
    <w:nsid w:val="48D262C5"/>
    <w:multiLevelType w:val="hybridMultilevel"/>
    <w:tmpl w:val="D7B62348"/>
    <w:lvl w:ilvl="0" w:tplc="0720B6B2">
      <w:start w:val="1"/>
      <w:numFmt w:val="bullet"/>
      <w:lvlText w:val=""/>
      <w:lvlJc w:val="left"/>
      <w:pPr>
        <w:ind w:left="720" w:hanging="360"/>
      </w:pPr>
      <w:rPr>
        <w:rFonts w:ascii="Symbol" w:hAnsi="Symbol"/>
      </w:rPr>
    </w:lvl>
    <w:lvl w:ilvl="1" w:tplc="65EC64B4">
      <w:start w:val="1"/>
      <w:numFmt w:val="bullet"/>
      <w:lvlText w:val=""/>
      <w:lvlJc w:val="left"/>
      <w:pPr>
        <w:ind w:left="720" w:hanging="360"/>
      </w:pPr>
      <w:rPr>
        <w:rFonts w:ascii="Symbol" w:hAnsi="Symbol"/>
      </w:rPr>
    </w:lvl>
    <w:lvl w:ilvl="2" w:tplc="CD060842">
      <w:start w:val="1"/>
      <w:numFmt w:val="bullet"/>
      <w:lvlText w:val=""/>
      <w:lvlJc w:val="left"/>
      <w:pPr>
        <w:ind w:left="720" w:hanging="360"/>
      </w:pPr>
      <w:rPr>
        <w:rFonts w:ascii="Symbol" w:hAnsi="Symbol"/>
      </w:rPr>
    </w:lvl>
    <w:lvl w:ilvl="3" w:tplc="4B9ADE42">
      <w:start w:val="1"/>
      <w:numFmt w:val="bullet"/>
      <w:lvlText w:val=""/>
      <w:lvlJc w:val="left"/>
      <w:pPr>
        <w:ind w:left="720" w:hanging="360"/>
      </w:pPr>
      <w:rPr>
        <w:rFonts w:ascii="Symbol" w:hAnsi="Symbol"/>
      </w:rPr>
    </w:lvl>
    <w:lvl w:ilvl="4" w:tplc="14C65806">
      <w:start w:val="1"/>
      <w:numFmt w:val="bullet"/>
      <w:lvlText w:val=""/>
      <w:lvlJc w:val="left"/>
      <w:pPr>
        <w:ind w:left="720" w:hanging="360"/>
      </w:pPr>
      <w:rPr>
        <w:rFonts w:ascii="Symbol" w:hAnsi="Symbol"/>
      </w:rPr>
    </w:lvl>
    <w:lvl w:ilvl="5" w:tplc="389660FA">
      <w:start w:val="1"/>
      <w:numFmt w:val="bullet"/>
      <w:lvlText w:val=""/>
      <w:lvlJc w:val="left"/>
      <w:pPr>
        <w:ind w:left="720" w:hanging="360"/>
      </w:pPr>
      <w:rPr>
        <w:rFonts w:ascii="Symbol" w:hAnsi="Symbol"/>
      </w:rPr>
    </w:lvl>
    <w:lvl w:ilvl="6" w:tplc="B7107542">
      <w:start w:val="1"/>
      <w:numFmt w:val="bullet"/>
      <w:lvlText w:val=""/>
      <w:lvlJc w:val="left"/>
      <w:pPr>
        <w:ind w:left="720" w:hanging="360"/>
      </w:pPr>
      <w:rPr>
        <w:rFonts w:ascii="Symbol" w:hAnsi="Symbol"/>
      </w:rPr>
    </w:lvl>
    <w:lvl w:ilvl="7" w:tplc="DC08CA8C">
      <w:start w:val="1"/>
      <w:numFmt w:val="bullet"/>
      <w:lvlText w:val=""/>
      <w:lvlJc w:val="left"/>
      <w:pPr>
        <w:ind w:left="720" w:hanging="360"/>
      </w:pPr>
      <w:rPr>
        <w:rFonts w:ascii="Symbol" w:hAnsi="Symbol"/>
      </w:rPr>
    </w:lvl>
    <w:lvl w:ilvl="8" w:tplc="EC9CB26C">
      <w:start w:val="1"/>
      <w:numFmt w:val="bullet"/>
      <w:lvlText w:val=""/>
      <w:lvlJc w:val="left"/>
      <w:pPr>
        <w:ind w:left="720" w:hanging="360"/>
      </w:pPr>
      <w:rPr>
        <w:rFonts w:ascii="Symbol" w:hAnsi="Symbol"/>
      </w:rPr>
    </w:lvl>
  </w:abstractNum>
  <w:abstractNum w:abstractNumId="32" w15:restartNumberingAfterBreak="0">
    <w:nsid w:val="4CC14CF0"/>
    <w:multiLevelType w:val="hybridMultilevel"/>
    <w:tmpl w:val="D2606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226B9E"/>
    <w:multiLevelType w:val="hybridMultilevel"/>
    <w:tmpl w:val="8F74B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8A1346"/>
    <w:multiLevelType w:val="hybridMultilevel"/>
    <w:tmpl w:val="2AF67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2C1E46"/>
    <w:multiLevelType w:val="hybridMultilevel"/>
    <w:tmpl w:val="47365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0B1431"/>
    <w:multiLevelType w:val="hybridMultilevel"/>
    <w:tmpl w:val="9E92D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5544E1"/>
    <w:multiLevelType w:val="multilevel"/>
    <w:tmpl w:val="02B2E302"/>
    <w:lvl w:ilvl="0">
      <w:start w:val="1"/>
      <w:numFmt w:val="decimal"/>
      <w:pStyle w:val="MOParaL2"/>
      <w:lvlText w:val="%1."/>
      <w:lvlJc w:val="left"/>
      <w:pPr>
        <w:tabs>
          <w:tab w:val="num" w:pos="851"/>
        </w:tabs>
        <w:ind w:left="851" w:hanging="851"/>
      </w:pPr>
      <w:rPr>
        <w:rFonts w:hint="default"/>
      </w:rPr>
    </w:lvl>
    <w:lvl w:ilvl="1">
      <w:start w:val="2"/>
      <w:numFmt w:val="none"/>
      <w:suff w:val="nothing"/>
      <w:lvlText w:val=""/>
      <w:lvlJc w:val="left"/>
      <w:pPr>
        <w:ind w:left="851" w:firstLine="0"/>
      </w:pPr>
      <w:rPr>
        <w:rFonts w:hint="default"/>
      </w:rPr>
    </w:lvl>
    <w:lvl w:ilvl="2">
      <w:start w:val="1"/>
      <w:numFmt w:val="none"/>
      <w:lvlRestart w:val="1"/>
      <w:suff w:val="nothing"/>
      <w:lvlText w:val=""/>
      <w:lvlJc w:val="left"/>
      <w:pPr>
        <w:ind w:left="851" w:firstLine="0"/>
      </w:pPr>
      <w:rPr>
        <w:rFonts w:hint="default"/>
      </w:rPr>
    </w:lvl>
    <w:lvl w:ilvl="3">
      <w:start w:val="1"/>
      <w:numFmt w:val="decimal"/>
      <w:lvlRestart w:val="1"/>
      <w:pStyle w:val="MOParaL5"/>
      <w:lvlText w:val="%2%1.%4"/>
      <w:lvlJc w:val="left"/>
      <w:pPr>
        <w:tabs>
          <w:tab w:val="num" w:pos="851"/>
        </w:tabs>
        <w:ind w:left="851" w:hanging="851"/>
      </w:pPr>
      <w:rPr>
        <w:rFonts w:hint="default"/>
      </w:rPr>
    </w:lvl>
    <w:lvl w:ilvl="4">
      <w:start w:val="1"/>
      <w:numFmt w:val="lowerLetter"/>
      <w:pStyle w:val="MOParaL6"/>
      <w:lvlText w:val="(%5)"/>
      <w:lvlJc w:val="left"/>
      <w:pPr>
        <w:tabs>
          <w:tab w:val="num" w:pos="1701"/>
        </w:tabs>
        <w:ind w:left="1701" w:hanging="850"/>
      </w:pPr>
      <w:rPr>
        <w:rFonts w:hint="default"/>
      </w:rPr>
    </w:lvl>
    <w:lvl w:ilvl="5">
      <w:start w:val="1"/>
      <w:numFmt w:val="lowerRoman"/>
      <w:pStyle w:val="MOParaL7"/>
      <w:lvlText w:val="(%6)"/>
      <w:lvlJc w:val="left"/>
      <w:pPr>
        <w:tabs>
          <w:tab w:val="num" w:pos="2552"/>
        </w:tabs>
        <w:ind w:left="2552" w:hanging="851"/>
      </w:pPr>
      <w:rPr>
        <w:rFonts w:hint="default"/>
      </w:rPr>
    </w:lvl>
    <w:lvl w:ilvl="6">
      <w:start w:val="1"/>
      <w:numFmt w:val="upperLetter"/>
      <w:pStyle w:val="MOParaL8"/>
      <w:lvlText w:val="(%7)"/>
      <w:lvlJc w:val="left"/>
      <w:pPr>
        <w:tabs>
          <w:tab w:val="num" w:pos="3402"/>
        </w:tabs>
        <w:ind w:left="3402" w:hanging="850"/>
      </w:pPr>
      <w:rPr>
        <w:rFonts w:hint="default"/>
      </w:rPr>
    </w:lvl>
    <w:lvl w:ilvl="7">
      <w:start w:val="1"/>
      <w:numFmt w:val="decimal"/>
      <w:pStyle w:val="MOParaL9"/>
      <w:lvlText w:val="(%8)"/>
      <w:lvlJc w:val="left"/>
      <w:pPr>
        <w:tabs>
          <w:tab w:val="num" w:pos="4253"/>
        </w:tabs>
        <w:ind w:left="4253" w:hanging="851"/>
      </w:pPr>
      <w:rPr>
        <w:rFonts w:hint="default"/>
      </w:rPr>
    </w:lvl>
    <w:lvl w:ilvl="8">
      <w:start w:val="1"/>
      <w:numFmt w:val="upperRoman"/>
      <w:lvlText w:val="(%9)"/>
      <w:lvlJc w:val="left"/>
      <w:pPr>
        <w:tabs>
          <w:tab w:val="num" w:pos="5103"/>
        </w:tabs>
        <w:ind w:left="5103" w:hanging="850"/>
      </w:pPr>
      <w:rPr>
        <w:rFonts w:hint="default"/>
      </w:rPr>
    </w:lvl>
  </w:abstractNum>
  <w:abstractNum w:abstractNumId="38" w15:restartNumberingAfterBreak="0">
    <w:nsid w:val="6A22715C"/>
    <w:multiLevelType w:val="multilevel"/>
    <w:tmpl w:val="EA6E2DE6"/>
    <w:lvl w:ilvl="0">
      <w:start w:val="1"/>
      <w:numFmt w:val="upperLetter"/>
      <w:pStyle w:val="MORecitalsL1"/>
      <w:lvlText w:val="%1."/>
      <w:lvlJc w:val="left"/>
      <w:pPr>
        <w:tabs>
          <w:tab w:val="num" w:pos="851"/>
        </w:tabs>
        <w:ind w:left="851" w:hanging="851"/>
      </w:pPr>
    </w:lvl>
    <w:lvl w:ilvl="1">
      <w:start w:val="1"/>
      <w:numFmt w:val="lowerRoman"/>
      <w:pStyle w:val="MOBackL2"/>
      <w:lvlText w:val="(%2)"/>
      <w:lvlJc w:val="left"/>
      <w:pPr>
        <w:tabs>
          <w:tab w:val="num" w:pos="1701"/>
        </w:tabs>
        <w:ind w:left="1701" w:hanging="850"/>
      </w:pPr>
    </w:lvl>
    <w:lvl w:ilvl="2">
      <w:start w:val="1"/>
      <w:numFmt w:val="lowerLetter"/>
      <w:pStyle w:val="MOBackL3"/>
      <w:lvlText w:val="(%3)"/>
      <w:lvlJc w:val="left"/>
      <w:pPr>
        <w:tabs>
          <w:tab w:val="num" w:pos="2552"/>
        </w:tabs>
        <w:ind w:left="2552" w:hanging="851"/>
      </w:pPr>
    </w:lvl>
    <w:lvl w:ilvl="3">
      <w:start w:val="1"/>
      <w:numFmt w:val="decimal"/>
      <w:pStyle w:val="MOBackL4"/>
      <w:lvlText w:val="(%4)"/>
      <w:lvlJc w:val="left"/>
      <w:pPr>
        <w:tabs>
          <w:tab w:val="num" w:pos="3402"/>
        </w:tabs>
        <w:ind w:left="3402" w:hanging="850"/>
      </w:pPr>
    </w:lvl>
    <w:lvl w:ilvl="4">
      <w:start w:val="1"/>
      <w:numFmt w:val="lowerLetter"/>
      <w:lvlText w:val="(%5)"/>
      <w:lvlJc w:val="left"/>
      <w:pPr>
        <w:tabs>
          <w:tab w:val="num" w:pos="4253"/>
        </w:tabs>
        <w:ind w:left="4253" w:hanging="85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A9659F1"/>
    <w:multiLevelType w:val="multilevel"/>
    <w:tmpl w:val="9A96F962"/>
    <w:styleLink w:val="MONumbers"/>
    <w:lvl w:ilvl="0">
      <w:start w:val="1"/>
      <w:numFmt w:val="decimal"/>
      <w:pStyle w:val="MONumberL1"/>
      <w:lvlText w:val="%1"/>
      <w:lvlJc w:val="left"/>
      <w:pPr>
        <w:tabs>
          <w:tab w:val="num" w:pos="851"/>
        </w:tabs>
        <w:ind w:left="851" w:hanging="851"/>
      </w:pPr>
      <w:rPr>
        <w:rFonts w:hint="default"/>
      </w:rPr>
    </w:lvl>
    <w:lvl w:ilvl="1">
      <w:start w:val="1"/>
      <w:numFmt w:val="decimal"/>
      <w:pStyle w:val="MONumberL2"/>
      <w:isLgl/>
      <w:lvlText w:val="%1.%2"/>
      <w:lvlJc w:val="left"/>
      <w:pPr>
        <w:tabs>
          <w:tab w:val="num" w:pos="851"/>
        </w:tabs>
        <w:ind w:left="851" w:hanging="851"/>
      </w:pPr>
      <w:rPr>
        <w:rFonts w:hint="default"/>
      </w:rPr>
    </w:lvl>
    <w:lvl w:ilvl="2">
      <w:start w:val="1"/>
      <w:numFmt w:val="none"/>
      <w:lvlRestart w:val="0"/>
      <w:pStyle w:val="MONumberL3"/>
      <w:suff w:val="nothing"/>
      <w:lvlText w:val=""/>
      <w:lvlJc w:val="left"/>
      <w:pPr>
        <w:ind w:left="851" w:firstLine="0"/>
      </w:pPr>
      <w:rPr>
        <w:rFonts w:hint="default"/>
      </w:rPr>
    </w:lvl>
    <w:lvl w:ilvl="3">
      <w:start w:val="1"/>
      <w:numFmt w:val="decimal"/>
      <w:lvlRestart w:val="1"/>
      <w:pStyle w:val="MONumberL4"/>
      <w:lvlText w:val="%1.%4"/>
      <w:lvlJc w:val="left"/>
      <w:pPr>
        <w:tabs>
          <w:tab w:val="num" w:pos="851"/>
        </w:tabs>
        <w:ind w:left="851" w:hanging="851"/>
      </w:pPr>
      <w:rPr>
        <w:rFonts w:hint="default"/>
      </w:rPr>
    </w:lvl>
    <w:lvl w:ilvl="4">
      <w:start w:val="1"/>
      <w:numFmt w:val="decimal"/>
      <w:lvlRestart w:val="2"/>
      <w:pStyle w:val="MONumberL5"/>
      <w:lvlText w:val="%1.%2.%5"/>
      <w:lvlJc w:val="left"/>
      <w:pPr>
        <w:tabs>
          <w:tab w:val="num" w:pos="851"/>
        </w:tabs>
        <w:ind w:left="851" w:hanging="851"/>
      </w:pPr>
      <w:rPr>
        <w:rFonts w:hint="default"/>
      </w:rPr>
    </w:lvl>
    <w:lvl w:ilvl="5">
      <w:start w:val="1"/>
      <w:numFmt w:val="lowerLetter"/>
      <w:pStyle w:val="MONumberL6"/>
      <w:lvlText w:val="(%6)"/>
      <w:lvlJc w:val="left"/>
      <w:pPr>
        <w:tabs>
          <w:tab w:val="num" w:pos="1701"/>
        </w:tabs>
        <w:ind w:left="1701" w:hanging="850"/>
      </w:pPr>
      <w:rPr>
        <w:rFonts w:hint="default"/>
      </w:rPr>
    </w:lvl>
    <w:lvl w:ilvl="6">
      <w:start w:val="1"/>
      <w:numFmt w:val="lowerRoman"/>
      <w:pStyle w:val="MONumberL7"/>
      <w:lvlText w:val="(%7)"/>
      <w:lvlJc w:val="left"/>
      <w:pPr>
        <w:tabs>
          <w:tab w:val="num" w:pos="2552"/>
        </w:tabs>
        <w:ind w:left="2552" w:hanging="851"/>
      </w:pPr>
      <w:rPr>
        <w:rFonts w:hint="default"/>
      </w:rPr>
    </w:lvl>
    <w:lvl w:ilvl="7">
      <w:start w:val="1"/>
      <w:numFmt w:val="upperLetter"/>
      <w:pStyle w:val="MONumberL8"/>
      <w:lvlText w:val="(%8)"/>
      <w:lvlJc w:val="left"/>
      <w:pPr>
        <w:tabs>
          <w:tab w:val="num" w:pos="3402"/>
        </w:tabs>
        <w:ind w:left="3402" w:hanging="850"/>
      </w:pPr>
      <w:rPr>
        <w:rFonts w:hint="default"/>
      </w:rPr>
    </w:lvl>
    <w:lvl w:ilvl="8">
      <w:start w:val="1"/>
      <w:numFmt w:val="decimal"/>
      <w:pStyle w:val="MONumberL9"/>
      <w:lvlText w:val="(%9)"/>
      <w:lvlJc w:val="left"/>
      <w:pPr>
        <w:ind w:left="4253" w:hanging="851"/>
      </w:pPr>
      <w:rPr>
        <w:rFonts w:hint="default"/>
      </w:rPr>
    </w:lvl>
  </w:abstractNum>
  <w:abstractNum w:abstractNumId="40" w15:restartNumberingAfterBreak="0">
    <w:nsid w:val="6EAE4957"/>
    <w:multiLevelType w:val="multilevel"/>
    <w:tmpl w:val="9A96F962"/>
    <w:numStyleLink w:val="MONumbers"/>
  </w:abstractNum>
  <w:abstractNum w:abstractNumId="41" w15:restartNumberingAfterBreak="0">
    <w:nsid w:val="700704F5"/>
    <w:multiLevelType w:val="multilevel"/>
    <w:tmpl w:val="5B3ED218"/>
    <w:lvl w:ilvl="0">
      <w:start w:val="1"/>
      <w:numFmt w:val="upperLetter"/>
      <w:pStyle w:val="MOAnnexHeading"/>
      <w:lvlText w:val="Annexure %1"/>
      <w:lvlJc w:val="left"/>
      <w:pPr>
        <w:tabs>
          <w:tab w:val="num" w:pos="2268"/>
        </w:tabs>
        <w:ind w:left="2268" w:hanging="2268"/>
      </w:pPr>
      <w:rPr>
        <w:rFonts w:hint="default"/>
      </w:rPr>
    </w:lvl>
    <w:lvl w:ilvl="1">
      <w:start w:val="1"/>
      <w:numFmt w:val="none"/>
      <w:pStyle w:val="TOC8"/>
      <w:suff w:val="nothing"/>
      <w:lvlText w:val=""/>
      <w:lvlJc w:val="left"/>
      <w:pPr>
        <w:ind w:left="0" w:firstLine="0"/>
      </w:pPr>
      <w:rPr>
        <w:rFonts w:ascii="Symbol" w:hAnsi="Symbol" w:hint="default"/>
      </w:rPr>
    </w:lvl>
    <w:lvl w:ilvl="2">
      <w:start w:val="1"/>
      <w:numFmt w:val="lowerRoman"/>
      <w:lvlText w:val="%3)"/>
      <w:lvlJc w:val="left"/>
      <w:pPr>
        <w:tabs>
          <w:tab w:val="num" w:pos="0"/>
        </w:tabs>
        <w:ind w:left="2127" w:hanging="709"/>
      </w:pPr>
      <w:rPr>
        <w:rFonts w:hint="default"/>
      </w:rPr>
    </w:lvl>
    <w:lvl w:ilvl="3">
      <w:start w:val="1"/>
      <w:numFmt w:val="lowerLetter"/>
      <w:lvlText w:val="%4)"/>
      <w:lvlJc w:val="left"/>
      <w:pPr>
        <w:tabs>
          <w:tab w:val="num" w:pos="0"/>
        </w:tabs>
        <w:ind w:left="2836" w:hanging="709"/>
      </w:pPr>
      <w:rPr>
        <w:rFonts w:hint="default"/>
      </w:rPr>
    </w:lvl>
    <w:lvl w:ilvl="4">
      <w:start w:val="1"/>
      <w:numFmt w:val="decimal"/>
      <w:lvlText w:val="(%5)"/>
      <w:lvlJc w:val="left"/>
      <w:pPr>
        <w:tabs>
          <w:tab w:val="num" w:pos="0"/>
        </w:tabs>
        <w:ind w:left="3545" w:hanging="709"/>
      </w:pPr>
      <w:rPr>
        <w:rFonts w:hint="default"/>
      </w:rPr>
    </w:lvl>
    <w:lvl w:ilvl="5">
      <w:start w:val="1"/>
      <w:numFmt w:val="lowerLetter"/>
      <w:lvlText w:val="(%6)"/>
      <w:lvlJc w:val="left"/>
      <w:pPr>
        <w:tabs>
          <w:tab w:val="num" w:pos="0"/>
        </w:tabs>
        <w:ind w:left="4254" w:hanging="709"/>
      </w:pPr>
      <w:rPr>
        <w:rFonts w:hint="default"/>
      </w:rPr>
    </w:lvl>
    <w:lvl w:ilvl="6">
      <w:start w:val="1"/>
      <w:numFmt w:val="lowerRoman"/>
      <w:lvlText w:val="(%7)"/>
      <w:lvlJc w:val="left"/>
      <w:pPr>
        <w:tabs>
          <w:tab w:val="num" w:pos="0"/>
        </w:tabs>
        <w:ind w:left="4963" w:hanging="709"/>
      </w:pPr>
      <w:rPr>
        <w:rFonts w:hint="default"/>
      </w:rPr>
    </w:lvl>
    <w:lvl w:ilvl="7">
      <w:start w:val="1"/>
      <w:numFmt w:val="lowerLetter"/>
      <w:lvlText w:val="(%8)"/>
      <w:lvlJc w:val="left"/>
      <w:pPr>
        <w:tabs>
          <w:tab w:val="num" w:pos="0"/>
        </w:tabs>
        <w:ind w:left="5672" w:hanging="709"/>
      </w:pPr>
      <w:rPr>
        <w:rFonts w:hint="default"/>
      </w:rPr>
    </w:lvl>
    <w:lvl w:ilvl="8">
      <w:start w:val="1"/>
      <w:numFmt w:val="lowerRoman"/>
      <w:lvlText w:val="(%9)"/>
      <w:lvlJc w:val="left"/>
      <w:pPr>
        <w:tabs>
          <w:tab w:val="num" w:pos="0"/>
        </w:tabs>
        <w:ind w:left="6381" w:hanging="709"/>
      </w:pPr>
      <w:rPr>
        <w:rFonts w:hint="default"/>
      </w:rPr>
    </w:lvl>
  </w:abstractNum>
  <w:abstractNum w:abstractNumId="42" w15:restartNumberingAfterBreak="0">
    <w:nsid w:val="718850CB"/>
    <w:multiLevelType w:val="hybridMultilevel"/>
    <w:tmpl w:val="EB769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0B2905"/>
    <w:multiLevelType w:val="hybridMultilevel"/>
    <w:tmpl w:val="D6C60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6C3D8E"/>
    <w:multiLevelType w:val="hybridMultilevel"/>
    <w:tmpl w:val="4A180716"/>
    <w:lvl w:ilvl="0" w:tplc="6DCEE2F0">
      <w:start w:val="1"/>
      <w:numFmt w:val="lowerLetter"/>
      <w:pStyle w:val="MOLParaNuma"/>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1E54EA"/>
    <w:multiLevelType w:val="hybridMultilevel"/>
    <w:tmpl w:val="B77C8026"/>
    <w:lvl w:ilvl="0" w:tplc="A1A018A4">
      <w:start w:val="1"/>
      <w:numFmt w:val="bullet"/>
      <w:lvlText w:val=""/>
      <w:lvlJc w:val="left"/>
      <w:pPr>
        <w:ind w:left="720" w:hanging="360"/>
      </w:pPr>
      <w:rPr>
        <w:rFonts w:ascii="Symbol" w:hAnsi="Symbol"/>
      </w:rPr>
    </w:lvl>
    <w:lvl w:ilvl="1" w:tplc="AB56B266">
      <w:start w:val="1"/>
      <w:numFmt w:val="bullet"/>
      <w:lvlText w:val=""/>
      <w:lvlJc w:val="left"/>
      <w:pPr>
        <w:ind w:left="720" w:hanging="360"/>
      </w:pPr>
      <w:rPr>
        <w:rFonts w:ascii="Symbol" w:hAnsi="Symbol"/>
      </w:rPr>
    </w:lvl>
    <w:lvl w:ilvl="2" w:tplc="A4ACDC1A">
      <w:start w:val="1"/>
      <w:numFmt w:val="bullet"/>
      <w:lvlText w:val=""/>
      <w:lvlJc w:val="left"/>
      <w:pPr>
        <w:ind w:left="720" w:hanging="360"/>
      </w:pPr>
      <w:rPr>
        <w:rFonts w:ascii="Symbol" w:hAnsi="Symbol"/>
      </w:rPr>
    </w:lvl>
    <w:lvl w:ilvl="3" w:tplc="751ADA1C">
      <w:start w:val="1"/>
      <w:numFmt w:val="bullet"/>
      <w:lvlText w:val=""/>
      <w:lvlJc w:val="left"/>
      <w:pPr>
        <w:ind w:left="720" w:hanging="360"/>
      </w:pPr>
      <w:rPr>
        <w:rFonts w:ascii="Symbol" w:hAnsi="Symbol"/>
      </w:rPr>
    </w:lvl>
    <w:lvl w:ilvl="4" w:tplc="27E258D6">
      <w:start w:val="1"/>
      <w:numFmt w:val="bullet"/>
      <w:lvlText w:val=""/>
      <w:lvlJc w:val="left"/>
      <w:pPr>
        <w:ind w:left="720" w:hanging="360"/>
      </w:pPr>
      <w:rPr>
        <w:rFonts w:ascii="Symbol" w:hAnsi="Symbol"/>
      </w:rPr>
    </w:lvl>
    <w:lvl w:ilvl="5" w:tplc="8E18CD4C">
      <w:start w:val="1"/>
      <w:numFmt w:val="bullet"/>
      <w:lvlText w:val=""/>
      <w:lvlJc w:val="left"/>
      <w:pPr>
        <w:ind w:left="720" w:hanging="360"/>
      </w:pPr>
      <w:rPr>
        <w:rFonts w:ascii="Symbol" w:hAnsi="Symbol"/>
      </w:rPr>
    </w:lvl>
    <w:lvl w:ilvl="6" w:tplc="51800874">
      <w:start w:val="1"/>
      <w:numFmt w:val="bullet"/>
      <w:lvlText w:val=""/>
      <w:lvlJc w:val="left"/>
      <w:pPr>
        <w:ind w:left="720" w:hanging="360"/>
      </w:pPr>
      <w:rPr>
        <w:rFonts w:ascii="Symbol" w:hAnsi="Symbol"/>
      </w:rPr>
    </w:lvl>
    <w:lvl w:ilvl="7" w:tplc="A13263C6">
      <w:start w:val="1"/>
      <w:numFmt w:val="bullet"/>
      <w:lvlText w:val=""/>
      <w:lvlJc w:val="left"/>
      <w:pPr>
        <w:ind w:left="720" w:hanging="360"/>
      </w:pPr>
      <w:rPr>
        <w:rFonts w:ascii="Symbol" w:hAnsi="Symbol"/>
      </w:rPr>
    </w:lvl>
    <w:lvl w:ilvl="8" w:tplc="1A80EFF0">
      <w:start w:val="1"/>
      <w:numFmt w:val="bullet"/>
      <w:lvlText w:val=""/>
      <w:lvlJc w:val="left"/>
      <w:pPr>
        <w:ind w:left="720" w:hanging="360"/>
      </w:pPr>
      <w:rPr>
        <w:rFonts w:ascii="Symbol" w:hAnsi="Symbol"/>
      </w:rPr>
    </w:lvl>
  </w:abstractNum>
  <w:abstractNum w:abstractNumId="46" w15:restartNumberingAfterBreak="0">
    <w:nsid w:val="7C4547E1"/>
    <w:multiLevelType w:val="multilevel"/>
    <w:tmpl w:val="752A326E"/>
    <w:lvl w:ilvl="0">
      <w:start w:val="1"/>
      <w:numFmt w:val="decimal"/>
      <w:pStyle w:val="MOLListL1"/>
      <w:lvlText w:val="%1."/>
      <w:lvlJc w:val="left"/>
      <w:pPr>
        <w:tabs>
          <w:tab w:val="num" w:pos="567"/>
        </w:tabs>
        <w:ind w:left="567" w:hanging="567"/>
      </w:pPr>
      <w:rPr>
        <w:rFonts w:hint="default"/>
      </w:rPr>
    </w:lvl>
    <w:lvl w:ilvl="1">
      <w:start w:val="1"/>
      <w:numFmt w:val="lowerLetter"/>
      <w:pStyle w:val="MOLListL2"/>
      <w:lvlText w:val="(%2)"/>
      <w:lvlJc w:val="left"/>
      <w:pPr>
        <w:tabs>
          <w:tab w:val="num" w:pos="1134"/>
        </w:tabs>
        <w:ind w:left="1134" w:hanging="567"/>
      </w:pPr>
      <w:rPr>
        <w:rFonts w:hint="default"/>
      </w:rPr>
    </w:lvl>
    <w:lvl w:ilvl="2">
      <w:start w:val="1"/>
      <w:numFmt w:val="lowerRoman"/>
      <w:pStyle w:val="MOLListL3"/>
      <w:lvlText w:val="(%3)"/>
      <w:lvlJc w:val="left"/>
      <w:pPr>
        <w:tabs>
          <w:tab w:val="num" w:pos="2214"/>
        </w:tabs>
        <w:ind w:left="1701" w:hanging="567"/>
      </w:pPr>
      <w:rPr>
        <w:rFonts w:hint="default"/>
      </w:rPr>
    </w:lvl>
    <w:lvl w:ilvl="3">
      <w:start w:val="1"/>
      <w:numFmt w:val="upperLetter"/>
      <w:pStyle w:val="MOLListL4"/>
      <w:lvlText w:val="(%4)"/>
      <w:lvlJc w:val="left"/>
      <w:pPr>
        <w:tabs>
          <w:tab w:val="num" w:pos="2268"/>
        </w:tabs>
        <w:ind w:left="2268" w:hanging="567"/>
      </w:pPr>
      <w:rPr>
        <w:rFonts w:hint="default"/>
      </w:rPr>
    </w:lvl>
    <w:lvl w:ilvl="4">
      <w:start w:val="1"/>
      <w:numFmt w:val="decimal"/>
      <w:pStyle w:val="MOLListL5"/>
      <w:lvlText w:val="(%5)"/>
      <w:lvlJc w:val="left"/>
      <w:pPr>
        <w:tabs>
          <w:tab w:val="num" w:pos="2835"/>
        </w:tabs>
        <w:ind w:left="2835" w:hanging="567"/>
      </w:pPr>
      <w:rPr>
        <w:rFonts w:hint="default"/>
      </w:rPr>
    </w:lvl>
    <w:lvl w:ilvl="5">
      <w:start w:val="1"/>
      <w:numFmt w:val="upperRoman"/>
      <w:pStyle w:val="MOLListL6"/>
      <w:lvlText w:val="(%6)"/>
      <w:lvlJc w:val="left"/>
      <w:pPr>
        <w:tabs>
          <w:tab w:val="num" w:pos="3915"/>
        </w:tabs>
        <w:ind w:left="3402" w:hanging="567"/>
      </w:pPr>
      <w:rPr>
        <w:rFonts w:hint="default"/>
      </w:rPr>
    </w:lvl>
    <w:lvl w:ilvl="6">
      <w:start w:val="1"/>
      <w:numFmt w:val="lowerLetter"/>
      <w:pStyle w:val="MOLListL7"/>
      <w:lvlText w:val="%7."/>
      <w:lvlJc w:val="left"/>
      <w:pPr>
        <w:tabs>
          <w:tab w:val="num" w:pos="3969"/>
        </w:tabs>
        <w:ind w:left="3969" w:hanging="567"/>
      </w:pPr>
      <w:rPr>
        <w:rFonts w:hint="default"/>
      </w:rPr>
    </w:lvl>
    <w:lvl w:ilvl="7">
      <w:start w:val="1"/>
      <w:numFmt w:val="lowerRoman"/>
      <w:pStyle w:val="MOLListL8"/>
      <w:lvlText w:val="%8."/>
      <w:lvlJc w:val="left"/>
      <w:pPr>
        <w:tabs>
          <w:tab w:val="num" w:pos="4689"/>
        </w:tabs>
        <w:ind w:left="4536" w:hanging="567"/>
      </w:pPr>
      <w:rPr>
        <w:rFonts w:hint="default"/>
      </w:rPr>
    </w:lvl>
    <w:lvl w:ilvl="8">
      <w:start w:val="1"/>
      <w:numFmt w:val="decimal"/>
      <w:pStyle w:val="MOLListL9"/>
      <w:lvlText w:val="%9."/>
      <w:lvlJc w:val="left"/>
      <w:pPr>
        <w:tabs>
          <w:tab w:val="num" w:pos="5103"/>
        </w:tabs>
        <w:ind w:left="5103" w:hanging="567"/>
      </w:pPr>
      <w:rPr>
        <w:rFonts w:hint="default"/>
      </w:rPr>
    </w:lvl>
  </w:abstractNum>
  <w:abstractNum w:abstractNumId="47" w15:restartNumberingAfterBreak="0">
    <w:nsid w:val="7CCB53A8"/>
    <w:multiLevelType w:val="multilevel"/>
    <w:tmpl w:val="61DA69C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3767471">
    <w:abstractNumId w:val="46"/>
  </w:num>
  <w:num w:numId="2" w16cid:durableId="869302166">
    <w:abstractNumId w:val="44"/>
  </w:num>
  <w:num w:numId="3" w16cid:durableId="1381324253">
    <w:abstractNumId w:val="38"/>
  </w:num>
  <w:num w:numId="4" w16cid:durableId="1865167245">
    <w:abstractNumId w:val="22"/>
  </w:num>
  <w:num w:numId="5" w16cid:durableId="1706102699">
    <w:abstractNumId w:val="41"/>
  </w:num>
  <w:num w:numId="6" w16cid:durableId="265506305">
    <w:abstractNumId w:val="37"/>
  </w:num>
  <w:num w:numId="7" w16cid:durableId="496267915">
    <w:abstractNumId w:val="28"/>
  </w:num>
  <w:num w:numId="8" w16cid:durableId="1991983249">
    <w:abstractNumId w:val="29"/>
  </w:num>
  <w:num w:numId="9" w16cid:durableId="40910070">
    <w:abstractNumId w:val="15"/>
  </w:num>
  <w:num w:numId="10" w16cid:durableId="1432818791">
    <w:abstractNumId w:val="21"/>
  </w:num>
  <w:num w:numId="11" w16cid:durableId="1156190627">
    <w:abstractNumId w:val="9"/>
  </w:num>
  <w:num w:numId="12" w16cid:durableId="1181357864">
    <w:abstractNumId w:val="39"/>
  </w:num>
  <w:num w:numId="13" w16cid:durableId="1160341675">
    <w:abstractNumId w:val="7"/>
  </w:num>
  <w:num w:numId="14" w16cid:durableId="467480306">
    <w:abstractNumId w:val="6"/>
  </w:num>
  <w:num w:numId="15" w16cid:durableId="312105802">
    <w:abstractNumId w:val="5"/>
  </w:num>
  <w:num w:numId="16" w16cid:durableId="1083993406">
    <w:abstractNumId w:val="4"/>
  </w:num>
  <w:num w:numId="17" w16cid:durableId="1630090767">
    <w:abstractNumId w:val="8"/>
  </w:num>
  <w:num w:numId="18" w16cid:durableId="1670938596">
    <w:abstractNumId w:val="3"/>
  </w:num>
  <w:num w:numId="19" w16cid:durableId="1110125071">
    <w:abstractNumId w:val="2"/>
  </w:num>
  <w:num w:numId="20" w16cid:durableId="1855608983">
    <w:abstractNumId w:val="1"/>
  </w:num>
  <w:num w:numId="21" w16cid:durableId="1477334734">
    <w:abstractNumId w:val="0"/>
  </w:num>
  <w:num w:numId="22" w16cid:durableId="1953052196">
    <w:abstractNumId w:val="14"/>
  </w:num>
  <w:num w:numId="23" w16cid:durableId="1500853920">
    <w:abstractNumId w:val="27"/>
  </w:num>
  <w:num w:numId="24" w16cid:durableId="722757324">
    <w:abstractNumId w:val="40"/>
  </w:num>
  <w:num w:numId="25" w16cid:durableId="1536850770">
    <w:abstractNumId w:val="20"/>
  </w:num>
  <w:num w:numId="26" w16cid:durableId="1134523334">
    <w:abstractNumId w:val="17"/>
  </w:num>
  <w:num w:numId="27" w16cid:durableId="1849171160">
    <w:abstractNumId w:val="10"/>
  </w:num>
  <w:num w:numId="28" w16cid:durableId="1926645484">
    <w:abstractNumId w:val="47"/>
  </w:num>
  <w:num w:numId="29" w16cid:durableId="236138457">
    <w:abstractNumId w:val="33"/>
  </w:num>
  <w:num w:numId="30" w16cid:durableId="989555919">
    <w:abstractNumId w:val="19"/>
  </w:num>
  <w:num w:numId="31" w16cid:durableId="1382242872">
    <w:abstractNumId w:val="35"/>
  </w:num>
  <w:num w:numId="32" w16cid:durableId="1422603678">
    <w:abstractNumId w:val="23"/>
  </w:num>
  <w:num w:numId="33" w16cid:durableId="502166028">
    <w:abstractNumId w:val="43"/>
  </w:num>
  <w:num w:numId="34" w16cid:durableId="1077049434">
    <w:abstractNumId w:val="24"/>
  </w:num>
  <w:num w:numId="35" w16cid:durableId="1171869463">
    <w:abstractNumId w:val="34"/>
  </w:num>
  <w:num w:numId="36" w16cid:durableId="1690642904">
    <w:abstractNumId w:val="25"/>
  </w:num>
  <w:num w:numId="37" w16cid:durableId="937714838">
    <w:abstractNumId w:val="42"/>
  </w:num>
  <w:num w:numId="38" w16cid:durableId="1043754429">
    <w:abstractNumId w:val="32"/>
  </w:num>
  <w:num w:numId="39" w16cid:durableId="221213425">
    <w:abstractNumId w:val="36"/>
  </w:num>
  <w:num w:numId="40" w16cid:durableId="750081112">
    <w:abstractNumId w:val="26"/>
  </w:num>
  <w:num w:numId="41" w16cid:durableId="2113284739">
    <w:abstractNumId w:val="45"/>
  </w:num>
  <w:num w:numId="42" w16cid:durableId="407769322">
    <w:abstractNumId w:val="13"/>
  </w:num>
  <w:num w:numId="43" w16cid:durableId="324478531">
    <w:abstractNumId w:val="16"/>
  </w:num>
  <w:num w:numId="44" w16cid:durableId="1933588277">
    <w:abstractNumId w:val="14"/>
  </w:num>
  <w:num w:numId="45" w16cid:durableId="629677205">
    <w:abstractNumId w:val="14"/>
  </w:num>
  <w:num w:numId="46" w16cid:durableId="1039165621">
    <w:abstractNumId w:val="31"/>
  </w:num>
  <w:num w:numId="47" w16cid:durableId="915286617">
    <w:abstractNumId w:val="18"/>
  </w:num>
  <w:num w:numId="48" w16cid:durableId="722143682">
    <w:abstractNumId w:val="11"/>
  </w:num>
  <w:num w:numId="49" w16cid:durableId="2059239299">
    <w:abstractNumId w:val="14"/>
  </w:num>
  <w:num w:numId="50" w16cid:durableId="1868635726">
    <w:abstractNumId w:val="14"/>
  </w:num>
  <w:num w:numId="51" w16cid:durableId="598022773">
    <w:abstractNumId w:val="14"/>
  </w:num>
  <w:num w:numId="52" w16cid:durableId="559900865">
    <w:abstractNumId w:val="12"/>
  </w:num>
  <w:num w:numId="53" w16cid:durableId="1744251454">
    <w:abstractNumId w:val="30"/>
  </w:num>
  <w:num w:numId="54" w16cid:durableId="599489851">
    <w:abstractNumId w:val="14"/>
  </w:num>
  <w:num w:numId="55" w16cid:durableId="426537659">
    <w:abstractNumId w:val="14"/>
  </w:num>
  <w:num w:numId="56" w16cid:durableId="1678312013">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8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D6"/>
    <w:rsid w:val="0000044E"/>
    <w:rsid w:val="00001078"/>
    <w:rsid w:val="00001794"/>
    <w:rsid w:val="00001EF8"/>
    <w:rsid w:val="00001FE5"/>
    <w:rsid w:val="00002EAD"/>
    <w:rsid w:val="00002EDE"/>
    <w:rsid w:val="000032FD"/>
    <w:rsid w:val="00003499"/>
    <w:rsid w:val="000034A3"/>
    <w:rsid w:val="00003610"/>
    <w:rsid w:val="00003B9B"/>
    <w:rsid w:val="00003D4F"/>
    <w:rsid w:val="00003F01"/>
    <w:rsid w:val="00003FA6"/>
    <w:rsid w:val="00004172"/>
    <w:rsid w:val="00004893"/>
    <w:rsid w:val="00004CCF"/>
    <w:rsid w:val="000060C9"/>
    <w:rsid w:val="000060F3"/>
    <w:rsid w:val="000063CE"/>
    <w:rsid w:val="0000705C"/>
    <w:rsid w:val="0000707C"/>
    <w:rsid w:val="000079B8"/>
    <w:rsid w:val="000107D1"/>
    <w:rsid w:val="00010867"/>
    <w:rsid w:val="00010875"/>
    <w:rsid w:val="00010952"/>
    <w:rsid w:val="000119D6"/>
    <w:rsid w:val="00011A47"/>
    <w:rsid w:val="0001248B"/>
    <w:rsid w:val="000125AA"/>
    <w:rsid w:val="00012AF8"/>
    <w:rsid w:val="00012C0C"/>
    <w:rsid w:val="0001322D"/>
    <w:rsid w:val="00013A2A"/>
    <w:rsid w:val="000149BD"/>
    <w:rsid w:val="00015E12"/>
    <w:rsid w:val="00016079"/>
    <w:rsid w:val="00016700"/>
    <w:rsid w:val="00016D6E"/>
    <w:rsid w:val="000172A0"/>
    <w:rsid w:val="00017439"/>
    <w:rsid w:val="00017613"/>
    <w:rsid w:val="00017F4D"/>
    <w:rsid w:val="00020976"/>
    <w:rsid w:val="0002111A"/>
    <w:rsid w:val="00021AC3"/>
    <w:rsid w:val="00021C25"/>
    <w:rsid w:val="0002218C"/>
    <w:rsid w:val="000221E6"/>
    <w:rsid w:val="0002290B"/>
    <w:rsid w:val="00022C89"/>
    <w:rsid w:val="000230D4"/>
    <w:rsid w:val="00023566"/>
    <w:rsid w:val="00024AAE"/>
    <w:rsid w:val="00024F33"/>
    <w:rsid w:val="00026AD7"/>
    <w:rsid w:val="00027174"/>
    <w:rsid w:val="0003009C"/>
    <w:rsid w:val="000301F2"/>
    <w:rsid w:val="00030B8A"/>
    <w:rsid w:val="00030C8E"/>
    <w:rsid w:val="0003188A"/>
    <w:rsid w:val="0003219D"/>
    <w:rsid w:val="00032DDC"/>
    <w:rsid w:val="00035F91"/>
    <w:rsid w:val="000375B9"/>
    <w:rsid w:val="00037C0B"/>
    <w:rsid w:val="00040809"/>
    <w:rsid w:val="00040C84"/>
    <w:rsid w:val="000410D1"/>
    <w:rsid w:val="00041259"/>
    <w:rsid w:val="000413D6"/>
    <w:rsid w:val="00042EFD"/>
    <w:rsid w:val="000434F9"/>
    <w:rsid w:val="00043E4F"/>
    <w:rsid w:val="00044B03"/>
    <w:rsid w:val="00045323"/>
    <w:rsid w:val="000453FC"/>
    <w:rsid w:val="0004672E"/>
    <w:rsid w:val="00046E11"/>
    <w:rsid w:val="00047238"/>
    <w:rsid w:val="00047DF9"/>
    <w:rsid w:val="00051205"/>
    <w:rsid w:val="00051528"/>
    <w:rsid w:val="00052326"/>
    <w:rsid w:val="000527BC"/>
    <w:rsid w:val="0005318E"/>
    <w:rsid w:val="00053C50"/>
    <w:rsid w:val="00053E13"/>
    <w:rsid w:val="0005419C"/>
    <w:rsid w:val="00056152"/>
    <w:rsid w:val="0005648D"/>
    <w:rsid w:val="00056630"/>
    <w:rsid w:val="0005677F"/>
    <w:rsid w:val="00056CE8"/>
    <w:rsid w:val="00057631"/>
    <w:rsid w:val="000579A8"/>
    <w:rsid w:val="0006070D"/>
    <w:rsid w:val="0006207B"/>
    <w:rsid w:val="000625E6"/>
    <w:rsid w:val="000631CC"/>
    <w:rsid w:val="00063542"/>
    <w:rsid w:val="00064251"/>
    <w:rsid w:val="00064744"/>
    <w:rsid w:val="00064A1A"/>
    <w:rsid w:val="00064A3F"/>
    <w:rsid w:val="00064F1E"/>
    <w:rsid w:val="00065065"/>
    <w:rsid w:val="00065216"/>
    <w:rsid w:val="00065683"/>
    <w:rsid w:val="000663F9"/>
    <w:rsid w:val="0006642C"/>
    <w:rsid w:val="000669BD"/>
    <w:rsid w:val="00066C98"/>
    <w:rsid w:val="000706FC"/>
    <w:rsid w:val="00071228"/>
    <w:rsid w:val="00071636"/>
    <w:rsid w:val="00071CD3"/>
    <w:rsid w:val="00072E52"/>
    <w:rsid w:val="000737B4"/>
    <w:rsid w:val="00074BE8"/>
    <w:rsid w:val="0007520C"/>
    <w:rsid w:val="00075242"/>
    <w:rsid w:val="00075788"/>
    <w:rsid w:val="000758B0"/>
    <w:rsid w:val="00075BEC"/>
    <w:rsid w:val="0007635E"/>
    <w:rsid w:val="00076736"/>
    <w:rsid w:val="00076C83"/>
    <w:rsid w:val="00077A5A"/>
    <w:rsid w:val="00077A65"/>
    <w:rsid w:val="00080391"/>
    <w:rsid w:val="000816A0"/>
    <w:rsid w:val="00081ACE"/>
    <w:rsid w:val="00081F86"/>
    <w:rsid w:val="00082AA3"/>
    <w:rsid w:val="00082E24"/>
    <w:rsid w:val="000834E3"/>
    <w:rsid w:val="00084758"/>
    <w:rsid w:val="00084CE3"/>
    <w:rsid w:val="00084DB5"/>
    <w:rsid w:val="00084F5F"/>
    <w:rsid w:val="00085284"/>
    <w:rsid w:val="00085F30"/>
    <w:rsid w:val="0008639B"/>
    <w:rsid w:val="00086522"/>
    <w:rsid w:val="00086700"/>
    <w:rsid w:val="00086A80"/>
    <w:rsid w:val="00086B76"/>
    <w:rsid w:val="00086DAF"/>
    <w:rsid w:val="00086EC1"/>
    <w:rsid w:val="0008734F"/>
    <w:rsid w:val="000875CA"/>
    <w:rsid w:val="00090F76"/>
    <w:rsid w:val="00091165"/>
    <w:rsid w:val="00091474"/>
    <w:rsid w:val="00091E11"/>
    <w:rsid w:val="000923EA"/>
    <w:rsid w:val="0009243E"/>
    <w:rsid w:val="00092C75"/>
    <w:rsid w:val="0009368C"/>
    <w:rsid w:val="000939F6"/>
    <w:rsid w:val="00093AFC"/>
    <w:rsid w:val="00093FC1"/>
    <w:rsid w:val="00095A84"/>
    <w:rsid w:val="00095C62"/>
    <w:rsid w:val="000965F0"/>
    <w:rsid w:val="000967C6"/>
    <w:rsid w:val="000968F6"/>
    <w:rsid w:val="00097000"/>
    <w:rsid w:val="000970C7"/>
    <w:rsid w:val="000973C1"/>
    <w:rsid w:val="000A0259"/>
    <w:rsid w:val="000A0481"/>
    <w:rsid w:val="000A1129"/>
    <w:rsid w:val="000A1AC9"/>
    <w:rsid w:val="000A1F0C"/>
    <w:rsid w:val="000A4257"/>
    <w:rsid w:val="000A49BC"/>
    <w:rsid w:val="000A4A1B"/>
    <w:rsid w:val="000A4F17"/>
    <w:rsid w:val="000A5228"/>
    <w:rsid w:val="000A5A84"/>
    <w:rsid w:val="000A6FAE"/>
    <w:rsid w:val="000A7107"/>
    <w:rsid w:val="000A7502"/>
    <w:rsid w:val="000B0162"/>
    <w:rsid w:val="000B02DE"/>
    <w:rsid w:val="000B100F"/>
    <w:rsid w:val="000B1155"/>
    <w:rsid w:val="000B12A3"/>
    <w:rsid w:val="000B14D4"/>
    <w:rsid w:val="000B2730"/>
    <w:rsid w:val="000B2CCB"/>
    <w:rsid w:val="000B3232"/>
    <w:rsid w:val="000B38E3"/>
    <w:rsid w:val="000B43F6"/>
    <w:rsid w:val="000B458B"/>
    <w:rsid w:val="000B5770"/>
    <w:rsid w:val="000B5BB0"/>
    <w:rsid w:val="000B5DF4"/>
    <w:rsid w:val="000B5F3B"/>
    <w:rsid w:val="000B61B4"/>
    <w:rsid w:val="000B665E"/>
    <w:rsid w:val="000B73A7"/>
    <w:rsid w:val="000C0171"/>
    <w:rsid w:val="000C0DAA"/>
    <w:rsid w:val="000C175A"/>
    <w:rsid w:val="000C1766"/>
    <w:rsid w:val="000C1B3A"/>
    <w:rsid w:val="000C21AA"/>
    <w:rsid w:val="000C297A"/>
    <w:rsid w:val="000C2C14"/>
    <w:rsid w:val="000C2C90"/>
    <w:rsid w:val="000C3751"/>
    <w:rsid w:val="000C3FA2"/>
    <w:rsid w:val="000C5C37"/>
    <w:rsid w:val="000C6008"/>
    <w:rsid w:val="000C6806"/>
    <w:rsid w:val="000C6C00"/>
    <w:rsid w:val="000C6D5E"/>
    <w:rsid w:val="000C71D4"/>
    <w:rsid w:val="000C7DE2"/>
    <w:rsid w:val="000D00FA"/>
    <w:rsid w:val="000D04F8"/>
    <w:rsid w:val="000D0AD7"/>
    <w:rsid w:val="000D110D"/>
    <w:rsid w:val="000D119B"/>
    <w:rsid w:val="000D1E01"/>
    <w:rsid w:val="000D244D"/>
    <w:rsid w:val="000D2C9C"/>
    <w:rsid w:val="000D2E4B"/>
    <w:rsid w:val="000D2F58"/>
    <w:rsid w:val="000D30F4"/>
    <w:rsid w:val="000D3994"/>
    <w:rsid w:val="000D4106"/>
    <w:rsid w:val="000D457E"/>
    <w:rsid w:val="000D569D"/>
    <w:rsid w:val="000D66C9"/>
    <w:rsid w:val="000D7738"/>
    <w:rsid w:val="000E0BF3"/>
    <w:rsid w:val="000E0FB4"/>
    <w:rsid w:val="000E16FE"/>
    <w:rsid w:val="000E1EBC"/>
    <w:rsid w:val="000E223C"/>
    <w:rsid w:val="000E2504"/>
    <w:rsid w:val="000E250B"/>
    <w:rsid w:val="000E263C"/>
    <w:rsid w:val="000E2AED"/>
    <w:rsid w:val="000E3129"/>
    <w:rsid w:val="000E32F5"/>
    <w:rsid w:val="000E380D"/>
    <w:rsid w:val="000E4B3B"/>
    <w:rsid w:val="000E5E95"/>
    <w:rsid w:val="000E608C"/>
    <w:rsid w:val="000E61A7"/>
    <w:rsid w:val="000E6869"/>
    <w:rsid w:val="000E6EB6"/>
    <w:rsid w:val="000E737F"/>
    <w:rsid w:val="000E76D7"/>
    <w:rsid w:val="000E78E9"/>
    <w:rsid w:val="000E7A41"/>
    <w:rsid w:val="000F002F"/>
    <w:rsid w:val="000F0F99"/>
    <w:rsid w:val="000F111E"/>
    <w:rsid w:val="000F156C"/>
    <w:rsid w:val="000F19D1"/>
    <w:rsid w:val="000F1A51"/>
    <w:rsid w:val="000F1D08"/>
    <w:rsid w:val="000F1F34"/>
    <w:rsid w:val="000F2239"/>
    <w:rsid w:val="000F29F4"/>
    <w:rsid w:val="000F3529"/>
    <w:rsid w:val="000F4042"/>
    <w:rsid w:val="000F4987"/>
    <w:rsid w:val="000F5058"/>
    <w:rsid w:val="000F5A41"/>
    <w:rsid w:val="000F6BB8"/>
    <w:rsid w:val="000F6F33"/>
    <w:rsid w:val="000F6FC4"/>
    <w:rsid w:val="000F7C96"/>
    <w:rsid w:val="00100DDA"/>
    <w:rsid w:val="00100F04"/>
    <w:rsid w:val="00100F32"/>
    <w:rsid w:val="00101265"/>
    <w:rsid w:val="001012BB"/>
    <w:rsid w:val="00101374"/>
    <w:rsid w:val="00102929"/>
    <w:rsid w:val="00102D23"/>
    <w:rsid w:val="001035AF"/>
    <w:rsid w:val="001039E4"/>
    <w:rsid w:val="001045A4"/>
    <w:rsid w:val="00104B30"/>
    <w:rsid w:val="00105171"/>
    <w:rsid w:val="00106B8C"/>
    <w:rsid w:val="00106D09"/>
    <w:rsid w:val="001077C8"/>
    <w:rsid w:val="00107D0B"/>
    <w:rsid w:val="0011056B"/>
    <w:rsid w:val="001105E6"/>
    <w:rsid w:val="00110C67"/>
    <w:rsid w:val="00110E0A"/>
    <w:rsid w:val="0011117F"/>
    <w:rsid w:val="0011133C"/>
    <w:rsid w:val="00111638"/>
    <w:rsid w:val="00112EE4"/>
    <w:rsid w:val="00112F29"/>
    <w:rsid w:val="00112F9C"/>
    <w:rsid w:val="00113118"/>
    <w:rsid w:val="001134E1"/>
    <w:rsid w:val="001140AB"/>
    <w:rsid w:val="001141D4"/>
    <w:rsid w:val="00115414"/>
    <w:rsid w:val="00117E61"/>
    <w:rsid w:val="001204DA"/>
    <w:rsid w:val="00121538"/>
    <w:rsid w:val="001229B5"/>
    <w:rsid w:val="00122B7F"/>
    <w:rsid w:val="001235D3"/>
    <w:rsid w:val="001238AA"/>
    <w:rsid w:val="0012456B"/>
    <w:rsid w:val="00125112"/>
    <w:rsid w:val="00125A54"/>
    <w:rsid w:val="00125C26"/>
    <w:rsid w:val="001272C3"/>
    <w:rsid w:val="00127879"/>
    <w:rsid w:val="00127D2E"/>
    <w:rsid w:val="00130C3C"/>
    <w:rsid w:val="00131103"/>
    <w:rsid w:val="00131AAA"/>
    <w:rsid w:val="00132192"/>
    <w:rsid w:val="00132D3D"/>
    <w:rsid w:val="001330D1"/>
    <w:rsid w:val="001337FD"/>
    <w:rsid w:val="00133C70"/>
    <w:rsid w:val="00133DB0"/>
    <w:rsid w:val="001349AB"/>
    <w:rsid w:val="00134E69"/>
    <w:rsid w:val="0013519F"/>
    <w:rsid w:val="001365F1"/>
    <w:rsid w:val="00136814"/>
    <w:rsid w:val="00136E6E"/>
    <w:rsid w:val="00136F2D"/>
    <w:rsid w:val="001375CE"/>
    <w:rsid w:val="00137C66"/>
    <w:rsid w:val="00140E71"/>
    <w:rsid w:val="0014102C"/>
    <w:rsid w:val="001412F1"/>
    <w:rsid w:val="001413D4"/>
    <w:rsid w:val="00141F19"/>
    <w:rsid w:val="001426A7"/>
    <w:rsid w:val="00142C22"/>
    <w:rsid w:val="00143064"/>
    <w:rsid w:val="00143DD1"/>
    <w:rsid w:val="00143FD7"/>
    <w:rsid w:val="0014468D"/>
    <w:rsid w:val="00146C9F"/>
    <w:rsid w:val="001474F9"/>
    <w:rsid w:val="001475F2"/>
    <w:rsid w:val="001500CB"/>
    <w:rsid w:val="001513E5"/>
    <w:rsid w:val="001515C8"/>
    <w:rsid w:val="00151803"/>
    <w:rsid w:val="00151A14"/>
    <w:rsid w:val="00151CAA"/>
    <w:rsid w:val="001521ED"/>
    <w:rsid w:val="0015283F"/>
    <w:rsid w:val="00153452"/>
    <w:rsid w:val="00153E91"/>
    <w:rsid w:val="0015406D"/>
    <w:rsid w:val="00154396"/>
    <w:rsid w:val="0015455A"/>
    <w:rsid w:val="001549A1"/>
    <w:rsid w:val="00154CDE"/>
    <w:rsid w:val="00155116"/>
    <w:rsid w:val="00155620"/>
    <w:rsid w:val="00155D84"/>
    <w:rsid w:val="0015769F"/>
    <w:rsid w:val="00157916"/>
    <w:rsid w:val="00157DF7"/>
    <w:rsid w:val="0016112E"/>
    <w:rsid w:val="0016192B"/>
    <w:rsid w:val="00162E4D"/>
    <w:rsid w:val="00163395"/>
    <w:rsid w:val="0016355C"/>
    <w:rsid w:val="00163CCD"/>
    <w:rsid w:val="00163EC8"/>
    <w:rsid w:val="00164312"/>
    <w:rsid w:val="00164A7D"/>
    <w:rsid w:val="0016628C"/>
    <w:rsid w:val="0016652C"/>
    <w:rsid w:val="001668F4"/>
    <w:rsid w:val="00166A01"/>
    <w:rsid w:val="00166EDE"/>
    <w:rsid w:val="00167DA3"/>
    <w:rsid w:val="001703BF"/>
    <w:rsid w:val="00170C22"/>
    <w:rsid w:val="00171292"/>
    <w:rsid w:val="001712BD"/>
    <w:rsid w:val="00172071"/>
    <w:rsid w:val="0017238D"/>
    <w:rsid w:val="0017261F"/>
    <w:rsid w:val="00172689"/>
    <w:rsid w:val="00173909"/>
    <w:rsid w:val="001739DA"/>
    <w:rsid w:val="00173BC1"/>
    <w:rsid w:val="00173CE8"/>
    <w:rsid w:val="00174B25"/>
    <w:rsid w:val="00174CAB"/>
    <w:rsid w:val="001757D6"/>
    <w:rsid w:val="00176615"/>
    <w:rsid w:val="00177343"/>
    <w:rsid w:val="001806AE"/>
    <w:rsid w:val="00180902"/>
    <w:rsid w:val="00180CD0"/>
    <w:rsid w:val="0018125F"/>
    <w:rsid w:val="00181A4A"/>
    <w:rsid w:val="00181DC4"/>
    <w:rsid w:val="001825D4"/>
    <w:rsid w:val="00183E92"/>
    <w:rsid w:val="001850D4"/>
    <w:rsid w:val="00185185"/>
    <w:rsid w:val="00185BAD"/>
    <w:rsid w:val="00187888"/>
    <w:rsid w:val="0019006E"/>
    <w:rsid w:val="001904A3"/>
    <w:rsid w:val="00190729"/>
    <w:rsid w:val="001909B7"/>
    <w:rsid w:val="0019123D"/>
    <w:rsid w:val="00191418"/>
    <w:rsid w:val="00192383"/>
    <w:rsid w:val="00192557"/>
    <w:rsid w:val="00192F3A"/>
    <w:rsid w:val="00193059"/>
    <w:rsid w:val="001937B1"/>
    <w:rsid w:val="00193FDE"/>
    <w:rsid w:val="00194967"/>
    <w:rsid w:val="00195657"/>
    <w:rsid w:val="00195DE6"/>
    <w:rsid w:val="00196BEC"/>
    <w:rsid w:val="00196EA7"/>
    <w:rsid w:val="001970F8"/>
    <w:rsid w:val="00197BFA"/>
    <w:rsid w:val="001A23C9"/>
    <w:rsid w:val="001A29D5"/>
    <w:rsid w:val="001A2ED3"/>
    <w:rsid w:val="001A2FDE"/>
    <w:rsid w:val="001A3497"/>
    <w:rsid w:val="001A46BB"/>
    <w:rsid w:val="001A4C87"/>
    <w:rsid w:val="001A4F39"/>
    <w:rsid w:val="001A4F55"/>
    <w:rsid w:val="001A5148"/>
    <w:rsid w:val="001A6AA2"/>
    <w:rsid w:val="001A7604"/>
    <w:rsid w:val="001A7873"/>
    <w:rsid w:val="001A7939"/>
    <w:rsid w:val="001A7C96"/>
    <w:rsid w:val="001B0059"/>
    <w:rsid w:val="001B02F3"/>
    <w:rsid w:val="001B04D7"/>
    <w:rsid w:val="001B05B3"/>
    <w:rsid w:val="001B1194"/>
    <w:rsid w:val="001B15A3"/>
    <w:rsid w:val="001B1787"/>
    <w:rsid w:val="001B3F0F"/>
    <w:rsid w:val="001B3F30"/>
    <w:rsid w:val="001B43D2"/>
    <w:rsid w:val="001B45A4"/>
    <w:rsid w:val="001B46F7"/>
    <w:rsid w:val="001B5253"/>
    <w:rsid w:val="001B5362"/>
    <w:rsid w:val="001B596D"/>
    <w:rsid w:val="001B5C3A"/>
    <w:rsid w:val="001B675E"/>
    <w:rsid w:val="001B6B77"/>
    <w:rsid w:val="001B7039"/>
    <w:rsid w:val="001B7424"/>
    <w:rsid w:val="001B75A5"/>
    <w:rsid w:val="001B7964"/>
    <w:rsid w:val="001B799F"/>
    <w:rsid w:val="001B7ACA"/>
    <w:rsid w:val="001C02C1"/>
    <w:rsid w:val="001C03A7"/>
    <w:rsid w:val="001C0488"/>
    <w:rsid w:val="001C0EB3"/>
    <w:rsid w:val="001C1029"/>
    <w:rsid w:val="001C2073"/>
    <w:rsid w:val="001C3CD0"/>
    <w:rsid w:val="001C42B5"/>
    <w:rsid w:val="001C53AB"/>
    <w:rsid w:val="001C5FDC"/>
    <w:rsid w:val="001C64E4"/>
    <w:rsid w:val="001C64F0"/>
    <w:rsid w:val="001C78A3"/>
    <w:rsid w:val="001C7DC4"/>
    <w:rsid w:val="001D090D"/>
    <w:rsid w:val="001D0D53"/>
    <w:rsid w:val="001D0F97"/>
    <w:rsid w:val="001D15D2"/>
    <w:rsid w:val="001D1B88"/>
    <w:rsid w:val="001D2AB7"/>
    <w:rsid w:val="001D2DBC"/>
    <w:rsid w:val="001D3EAE"/>
    <w:rsid w:val="001D421E"/>
    <w:rsid w:val="001D4465"/>
    <w:rsid w:val="001D4C53"/>
    <w:rsid w:val="001D5C03"/>
    <w:rsid w:val="001D6A07"/>
    <w:rsid w:val="001D7485"/>
    <w:rsid w:val="001D74E4"/>
    <w:rsid w:val="001D7D8B"/>
    <w:rsid w:val="001E06D6"/>
    <w:rsid w:val="001E1453"/>
    <w:rsid w:val="001E3BC8"/>
    <w:rsid w:val="001E57B4"/>
    <w:rsid w:val="001E5ABC"/>
    <w:rsid w:val="001E5D48"/>
    <w:rsid w:val="001E6317"/>
    <w:rsid w:val="001E7BEA"/>
    <w:rsid w:val="001F0405"/>
    <w:rsid w:val="001F0434"/>
    <w:rsid w:val="001F07D2"/>
    <w:rsid w:val="001F0A2C"/>
    <w:rsid w:val="001F0E53"/>
    <w:rsid w:val="001F2AD8"/>
    <w:rsid w:val="001F2ED1"/>
    <w:rsid w:val="001F44DB"/>
    <w:rsid w:val="001F47A8"/>
    <w:rsid w:val="001F54B7"/>
    <w:rsid w:val="001F5FB4"/>
    <w:rsid w:val="001F6CB3"/>
    <w:rsid w:val="001F71DB"/>
    <w:rsid w:val="001F7D5E"/>
    <w:rsid w:val="00200346"/>
    <w:rsid w:val="00200B2A"/>
    <w:rsid w:val="002013A2"/>
    <w:rsid w:val="0020147F"/>
    <w:rsid w:val="00202300"/>
    <w:rsid w:val="002029B5"/>
    <w:rsid w:val="00202CEB"/>
    <w:rsid w:val="0020351A"/>
    <w:rsid w:val="00203716"/>
    <w:rsid w:val="00203960"/>
    <w:rsid w:val="00204240"/>
    <w:rsid w:val="00204363"/>
    <w:rsid w:val="00206621"/>
    <w:rsid w:val="00207E23"/>
    <w:rsid w:val="002100C1"/>
    <w:rsid w:val="00210132"/>
    <w:rsid w:val="00210251"/>
    <w:rsid w:val="0021069C"/>
    <w:rsid w:val="00210817"/>
    <w:rsid w:val="00210998"/>
    <w:rsid w:val="00210AE8"/>
    <w:rsid w:val="00210CB1"/>
    <w:rsid w:val="00210D55"/>
    <w:rsid w:val="00210F49"/>
    <w:rsid w:val="002114D4"/>
    <w:rsid w:val="00211686"/>
    <w:rsid w:val="00212323"/>
    <w:rsid w:val="0021240C"/>
    <w:rsid w:val="00213176"/>
    <w:rsid w:val="00213994"/>
    <w:rsid w:val="00213B08"/>
    <w:rsid w:val="00214741"/>
    <w:rsid w:val="00216C6B"/>
    <w:rsid w:val="00216F63"/>
    <w:rsid w:val="002176B1"/>
    <w:rsid w:val="0022018B"/>
    <w:rsid w:val="002202B9"/>
    <w:rsid w:val="00220589"/>
    <w:rsid w:val="00220610"/>
    <w:rsid w:val="002211FC"/>
    <w:rsid w:val="002218CC"/>
    <w:rsid w:val="00221EF5"/>
    <w:rsid w:val="00222EB6"/>
    <w:rsid w:val="0022319D"/>
    <w:rsid w:val="0022354C"/>
    <w:rsid w:val="00224361"/>
    <w:rsid w:val="00224936"/>
    <w:rsid w:val="00224FBA"/>
    <w:rsid w:val="002256C2"/>
    <w:rsid w:val="002263F0"/>
    <w:rsid w:val="00226663"/>
    <w:rsid w:val="00226996"/>
    <w:rsid w:val="00227445"/>
    <w:rsid w:val="00227B63"/>
    <w:rsid w:val="00227CA4"/>
    <w:rsid w:val="002302A0"/>
    <w:rsid w:val="00230E0B"/>
    <w:rsid w:val="0023110D"/>
    <w:rsid w:val="0023191E"/>
    <w:rsid w:val="00231DD1"/>
    <w:rsid w:val="002320D7"/>
    <w:rsid w:val="0023270C"/>
    <w:rsid w:val="002328B5"/>
    <w:rsid w:val="00232DCA"/>
    <w:rsid w:val="0023369D"/>
    <w:rsid w:val="00233C40"/>
    <w:rsid w:val="00233C43"/>
    <w:rsid w:val="00233D58"/>
    <w:rsid w:val="0023432E"/>
    <w:rsid w:val="00234E46"/>
    <w:rsid w:val="0023513A"/>
    <w:rsid w:val="00235168"/>
    <w:rsid w:val="00235E98"/>
    <w:rsid w:val="0023602B"/>
    <w:rsid w:val="00236A35"/>
    <w:rsid w:val="00236BE9"/>
    <w:rsid w:val="00237E7F"/>
    <w:rsid w:val="00240072"/>
    <w:rsid w:val="0024037C"/>
    <w:rsid w:val="00240B90"/>
    <w:rsid w:val="002413CA"/>
    <w:rsid w:val="00241417"/>
    <w:rsid w:val="002428F9"/>
    <w:rsid w:val="00242A25"/>
    <w:rsid w:val="00242F38"/>
    <w:rsid w:val="002431C4"/>
    <w:rsid w:val="0024349F"/>
    <w:rsid w:val="00243739"/>
    <w:rsid w:val="002439F2"/>
    <w:rsid w:val="00244569"/>
    <w:rsid w:val="00244B0C"/>
    <w:rsid w:val="00246177"/>
    <w:rsid w:val="00246769"/>
    <w:rsid w:val="0024740F"/>
    <w:rsid w:val="002505D8"/>
    <w:rsid w:val="00251032"/>
    <w:rsid w:val="00251679"/>
    <w:rsid w:val="00251A7E"/>
    <w:rsid w:val="0025200C"/>
    <w:rsid w:val="00252129"/>
    <w:rsid w:val="00252D2A"/>
    <w:rsid w:val="002530ED"/>
    <w:rsid w:val="002536D1"/>
    <w:rsid w:val="00253812"/>
    <w:rsid w:val="00254010"/>
    <w:rsid w:val="00254756"/>
    <w:rsid w:val="00255BD5"/>
    <w:rsid w:val="00256E6B"/>
    <w:rsid w:val="00256FEE"/>
    <w:rsid w:val="0025722F"/>
    <w:rsid w:val="00260DFB"/>
    <w:rsid w:val="00260EDD"/>
    <w:rsid w:val="002615B2"/>
    <w:rsid w:val="00261DD7"/>
    <w:rsid w:val="00262387"/>
    <w:rsid w:val="002634F4"/>
    <w:rsid w:val="0026379D"/>
    <w:rsid w:val="00264701"/>
    <w:rsid w:val="00264EF7"/>
    <w:rsid w:val="00264FD9"/>
    <w:rsid w:val="002653CB"/>
    <w:rsid w:val="0026545A"/>
    <w:rsid w:val="00265642"/>
    <w:rsid w:val="00265B52"/>
    <w:rsid w:val="00265F4C"/>
    <w:rsid w:val="00266616"/>
    <w:rsid w:val="0026715D"/>
    <w:rsid w:val="00267811"/>
    <w:rsid w:val="00267D67"/>
    <w:rsid w:val="00267FEF"/>
    <w:rsid w:val="00270EC6"/>
    <w:rsid w:val="002710DC"/>
    <w:rsid w:val="002710FE"/>
    <w:rsid w:val="0027113A"/>
    <w:rsid w:val="002719B2"/>
    <w:rsid w:val="00271F0F"/>
    <w:rsid w:val="002729B8"/>
    <w:rsid w:val="00272E56"/>
    <w:rsid w:val="00273094"/>
    <w:rsid w:val="00273ECA"/>
    <w:rsid w:val="002746DB"/>
    <w:rsid w:val="00274A61"/>
    <w:rsid w:val="002751B7"/>
    <w:rsid w:val="002751D7"/>
    <w:rsid w:val="00275576"/>
    <w:rsid w:val="0027637B"/>
    <w:rsid w:val="002775CD"/>
    <w:rsid w:val="00277683"/>
    <w:rsid w:val="00277D07"/>
    <w:rsid w:val="00280682"/>
    <w:rsid w:val="00280A3B"/>
    <w:rsid w:val="00280B34"/>
    <w:rsid w:val="00280C07"/>
    <w:rsid w:val="00280C90"/>
    <w:rsid w:val="00280CA5"/>
    <w:rsid w:val="00281297"/>
    <w:rsid w:val="0028149E"/>
    <w:rsid w:val="00281720"/>
    <w:rsid w:val="00282E3D"/>
    <w:rsid w:val="00282EC0"/>
    <w:rsid w:val="00283059"/>
    <w:rsid w:val="0028345C"/>
    <w:rsid w:val="00283503"/>
    <w:rsid w:val="00283DA8"/>
    <w:rsid w:val="0028491E"/>
    <w:rsid w:val="00284924"/>
    <w:rsid w:val="00284D69"/>
    <w:rsid w:val="00285240"/>
    <w:rsid w:val="0028645C"/>
    <w:rsid w:val="00286724"/>
    <w:rsid w:val="00287CD8"/>
    <w:rsid w:val="002908FD"/>
    <w:rsid w:val="00290C79"/>
    <w:rsid w:val="00291427"/>
    <w:rsid w:val="002914C4"/>
    <w:rsid w:val="0029153D"/>
    <w:rsid w:val="00291584"/>
    <w:rsid w:val="00291950"/>
    <w:rsid w:val="002919B3"/>
    <w:rsid w:val="00291CE2"/>
    <w:rsid w:val="00292DEE"/>
    <w:rsid w:val="0029364B"/>
    <w:rsid w:val="00293C05"/>
    <w:rsid w:val="00294460"/>
    <w:rsid w:val="0029495F"/>
    <w:rsid w:val="00295D70"/>
    <w:rsid w:val="0029607F"/>
    <w:rsid w:val="002965FB"/>
    <w:rsid w:val="002971EB"/>
    <w:rsid w:val="002977A2"/>
    <w:rsid w:val="002A073F"/>
    <w:rsid w:val="002A08D5"/>
    <w:rsid w:val="002A0BE4"/>
    <w:rsid w:val="002A1375"/>
    <w:rsid w:val="002A1976"/>
    <w:rsid w:val="002A1EC6"/>
    <w:rsid w:val="002A3604"/>
    <w:rsid w:val="002A3CCC"/>
    <w:rsid w:val="002A43DE"/>
    <w:rsid w:val="002A4EEA"/>
    <w:rsid w:val="002A53D8"/>
    <w:rsid w:val="002A5500"/>
    <w:rsid w:val="002A597B"/>
    <w:rsid w:val="002A622C"/>
    <w:rsid w:val="002A6255"/>
    <w:rsid w:val="002A6374"/>
    <w:rsid w:val="002A6561"/>
    <w:rsid w:val="002A768A"/>
    <w:rsid w:val="002B0816"/>
    <w:rsid w:val="002B10BE"/>
    <w:rsid w:val="002B1833"/>
    <w:rsid w:val="002B18D7"/>
    <w:rsid w:val="002B199F"/>
    <w:rsid w:val="002B24B0"/>
    <w:rsid w:val="002B28D1"/>
    <w:rsid w:val="002B2E2F"/>
    <w:rsid w:val="002B4A46"/>
    <w:rsid w:val="002B5E48"/>
    <w:rsid w:val="002B722E"/>
    <w:rsid w:val="002B73CE"/>
    <w:rsid w:val="002B764E"/>
    <w:rsid w:val="002B7E4B"/>
    <w:rsid w:val="002C0491"/>
    <w:rsid w:val="002C09AE"/>
    <w:rsid w:val="002C0AAE"/>
    <w:rsid w:val="002C0D44"/>
    <w:rsid w:val="002C18A5"/>
    <w:rsid w:val="002C1D85"/>
    <w:rsid w:val="002C27C7"/>
    <w:rsid w:val="002C4362"/>
    <w:rsid w:val="002C478C"/>
    <w:rsid w:val="002C5107"/>
    <w:rsid w:val="002C51E1"/>
    <w:rsid w:val="002C5915"/>
    <w:rsid w:val="002C5F2F"/>
    <w:rsid w:val="002C6349"/>
    <w:rsid w:val="002C63DA"/>
    <w:rsid w:val="002C68DB"/>
    <w:rsid w:val="002C6DF1"/>
    <w:rsid w:val="002C71FC"/>
    <w:rsid w:val="002D0293"/>
    <w:rsid w:val="002D0413"/>
    <w:rsid w:val="002D08AB"/>
    <w:rsid w:val="002D1637"/>
    <w:rsid w:val="002D1D5F"/>
    <w:rsid w:val="002D205B"/>
    <w:rsid w:val="002D2B72"/>
    <w:rsid w:val="002D2EB4"/>
    <w:rsid w:val="002D3004"/>
    <w:rsid w:val="002D3DE6"/>
    <w:rsid w:val="002D4023"/>
    <w:rsid w:val="002D4745"/>
    <w:rsid w:val="002D4A23"/>
    <w:rsid w:val="002D4FBD"/>
    <w:rsid w:val="002D5AED"/>
    <w:rsid w:val="002D6544"/>
    <w:rsid w:val="002D7887"/>
    <w:rsid w:val="002E00D6"/>
    <w:rsid w:val="002E13DE"/>
    <w:rsid w:val="002E1614"/>
    <w:rsid w:val="002E18F3"/>
    <w:rsid w:val="002E208A"/>
    <w:rsid w:val="002E2DA1"/>
    <w:rsid w:val="002E2E6D"/>
    <w:rsid w:val="002E33AA"/>
    <w:rsid w:val="002E3691"/>
    <w:rsid w:val="002E39B9"/>
    <w:rsid w:val="002E400A"/>
    <w:rsid w:val="002E417A"/>
    <w:rsid w:val="002E4519"/>
    <w:rsid w:val="002E5900"/>
    <w:rsid w:val="002E5F00"/>
    <w:rsid w:val="002E5FDD"/>
    <w:rsid w:val="002E61A5"/>
    <w:rsid w:val="002E6406"/>
    <w:rsid w:val="002E7752"/>
    <w:rsid w:val="002F0C33"/>
    <w:rsid w:val="002F10CE"/>
    <w:rsid w:val="002F12A6"/>
    <w:rsid w:val="002F1CA2"/>
    <w:rsid w:val="002F43DE"/>
    <w:rsid w:val="002F489A"/>
    <w:rsid w:val="002F5EDB"/>
    <w:rsid w:val="002F603C"/>
    <w:rsid w:val="002F627F"/>
    <w:rsid w:val="002F68ED"/>
    <w:rsid w:val="002F6D22"/>
    <w:rsid w:val="002F72CE"/>
    <w:rsid w:val="002F7670"/>
    <w:rsid w:val="002F7BA8"/>
    <w:rsid w:val="003001F6"/>
    <w:rsid w:val="0030025E"/>
    <w:rsid w:val="00300844"/>
    <w:rsid w:val="003010C4"/>
    <w:rsid w:val="003012B1"/>
    <w:rsid w:val="003025BE"/>
    <w:rsid w:val="00302F69"/>
    <w:rsid w:val="003030C9"/>
    <w:rsid w:val="003051F9"/>
    <w:rsid w:val="0030545A"/>
    <w:rsid w:val="00305797"/>
    <w:rsid w:val="00305A7D"/>
    <w:rsid w:val="00306FB5"/>
    <w:rsid w:val="0030714C"/>
    <w:rsid w:val="0031002B"/>
    <w:rsid w:val="003103B3"/>
    <w:rsid w:val="00310B26"/>
    <w:rsid w:val="00310FC9"/>
    <w:rsid w:val="00311427"/>
    <w:rsid w:val="00312669"/>
    <w:rsid w:val="00312901"/>
    <w:rsid w:val="00312951"/>
    <w:rsid w:val="003129C0"/>
    <w:rsid w:val="00312A95"/>
    <w:rsid w:val="0031336E"/>
    <w:rsid w:val="00313D74"/>
    <w:rsid w:val="003141B6"/>
    <w:rsid w:val="003146A4"/>
    <w:rsid w:val="00314FA3"/>
    <w:rsid w:val="00315B6A"/>
    <w:rsid w:val="00316305"/>
    <w:rsid w:val="00316CC6"/>
    <w:rsid w:val="0031704E"/>
    <w:rsid w:val="0031786D"/>
    <w:rsid w:val="00317D3B"/>
    <w:rsid w:val="00317D8B"/>
    <w:rsid w:val="003202C4"/>
    <w:rsid w:val="00321352"/>
    <w:rsid w:val="003221C3"/>
    <w:rsid w:val="003225A2"/>
    <w:rsid w:val="0032278E"/>
    <w:rsid w:val="00322A11"/>
    <w:rsid w:val="00322EFD"/>
    <w:rsid w:val="00323092"/>
    <w:rsid w:val="003237F7"/>
    <w:rsid w:val="00323BB1"/>
    <w:rsid w:val="00324388"/>
    <w:rsid w:val="00324481"/>
    <w:rsid w:val="0032454C"/>
    <w:rsid w:val="00324C05"/>
    <w:rsid w:val="00324DA6"/>
    <w:rsid w:val="00325D7E"/>
    <w:rsid w:val="00325E2B"/>
    <w:rsid w:val="003260FE"/>
    <w:rsid w:val="0032669F"/>
    <w:rsid w:val="00326D74"/>
    <w:rsid w:val="00326F4B"/>
    <w:rsid w:val="00326F7F"/>
    <w:rsid w:val="003271D4"/>
    <w:rsid w:val="00327833"/>
    <w:rsid w:val="00330900"/>
    <w:rsid w:val="00330AF3"/>
    <w:rsid w:val="00330FC0"/>
    <w:rsid w:val="003318FC"/>
    <w:rsid w:val="00331921"/>
    <w:rsid w:val="00331D54"/>
    <w:rsid w:val="00331FEE"/>
    <w:rsid w:val="00332686"/>
    <w:rsid w:val="00333ABE"/>
    <w:rsid w:val="003340C2"/>
    <w:rsid w:val="00334580"/>
    <w:rsid w:val="003345AB"/>
    <w:rsid w:val="0033541D"/>
    <w:rsid w:val="003357BB"/>
    <w:rsid w:val="00336C77"/>
    <w:rsid w:val="003407F5"/>
    <w:rsid w:val="003414FD"/>
    <w:rsid w:val="00341EC9"/>
    <w:rsid w:val="0034228E"/>
    <w:rsid w:val="0034262D"/>
    <w:rsid w:val="00343071"/>
    <w:rsid w:val="00343281"/>
    <w:rsid w:val="003435F9"/>
    <w:rsid w:val="0034374F"/>
    <w:rsid w:val="00344608"/>
    <w:rsid w:val="00344E31"/>
    <w:rsid w:val="0034534C"/>
    <w:rsid w:val="00345383"/>
    <w:rsid w:val="003457F5"/>
    <w:rsid w:val="00347037"/>
    <w:rsid w:val="003475C6"/>
    <w:rsid w:val="00347A36"/>
    <w:rsid w:val="00350BA7"/>
    <w:rsid w:val="003514F8"/>
    <w:rsid w:val="00352314"/>
    <w:rsid w:val="00352CB6"/>
    <w:rsid w:val="00353229"/>
    <w:rsid w:val="0035412B"/>
    <w:rsid w:val="003547FD"/>
    <w:rsid w:val="00355095"/>
    <w:rsid w:val="0035510C"/>
    <w:rsid w:val="00355E78"/>
    <w:rsid w:val="0035616C"/>
    <w:rsid w:val="00356679"/>
    <w:rsid w:val="00356DCB"/>
    <w:rsid w:val="00356F77"/>
    <w:rsid w:val="003573A5"/>
    <w:rsid w:val="003600EB"/>
    <w:rsid w:val="00360260"/>
    <w:rsid w:val="0036027E"/>
    <w:rsid w:val="003607A5"/>
    <w:rsid w:val="0036084F"/>
    <w:rsid w:val="00360C5A"/>
    <w:rsid w:val="003610DB"/>
    <w:rsid w:val="003618AA"/>
    <w:rsid w:val="00361BAE"/>
    <w:rsid w:val="00361CA8"/>
    <w:rsid w:val="00361F06"/>
    <w:rsid w:val="0036263D"/>
    <w:rsid w:val="00362B1D"/>
    <w:rsid w:val="00362D65"/>
    <w:rsid w:val="00362ECA"/>
    <w:rsid w:val="00364785"/>
    <w:rsid w:val="00364F5F"/>
    <w:rsid w:val="00365AE0"/>
    <w:rsid w:val="00365F6C"/>
    <w:rsid w:val="00366086"/>
    <w:rsid w:val="0036646B"/>
    <w:rsid w:val="003666E6"/>
    <w:rsid w:val="0036788D"/>
    <w:rsid w:val="00367906"/>
    <w:rsid w:val="00371549"/>
    <w:rsid w:val="003726CD"/>
    <w:rsid w:val="00372D9E"/>
    <w:rsid w:val="00372F89"/>
    <w:rsid w:val="003744F8"/>
    <w:rsid w:val="0037453F"/>
    <w:rsid w:val="00374A81"/>
    <w:rsid w:val="00374E28"/>
    <w:rsid w:val="00374E73"/>
    <w:rsid w:val="00374FC5"/>
    <w:rsid w:val="0037587F"/>
    <w:rsid w:val="003758BE"/>
    <w:rsid w:val="00375C78"/>
    <w:rsid w:val="0037623A"/>
    <w:rsid w:val="00376BFB"/>
    <w:rsid w:val="00376E23"/>
    <w:rsid w:val="00376F30"/>
    <w:rsid w:val="00377895"/>
    <w:rsid w:val="00377E39"/>
    <w:rsid w:val="003813C0"/>
    <w:rsid w:val="003827A7"/>
    <w:rsid w:val="00383534"/>
    <w:rsid w:val="0038408E"/>
    <w:rsid w:val="0038419C"/>
    <w:rsid w:val="0038473A"/>
    <w:rsid w:val="00384A09"/>
    <w:rsid w:val="00385085"/>
    <w:rsid w:val="0038527D"/>
    <w:rsid w:val="0038550E"/>
    <w:rsid w:val="00386684"/>
    <w:rsid w:val="00387D75"/>
    <w:rsid w:val="00387F74"/>
    <w:rsid w:val="00392001"/>
    <w:rsid w:val="00392009"/>
    <w:rsid w:val="0039207D"/>
    <w:rsid w:val="0039288A"/>
    <w:rsid w:val="00393E3F"/>
    <w:rsid w:val="003940D6"/>
    <w:rsid w:val="0039428C"/>
    <w:rsid w:val="00394DD4"/>
    <w:rsid w:val="0039585A"/>
    <w:rsid w:val="00395C0D"/>
    <w:rsid w:val="00395DCD"/>
    <w:rsid w:val="00395E29"/>
    <w:rsid w:val="00396C1D"/>
    <w:rsid w:val="00397383"/>
    <w:rsid w:val="00397436"/>
    <w:rsid w:val="00397AC3"/>
    <w:rsid w:val="00397F4A"/>
    <w:rsid w:val="003A03AE"/>
    <w:rsid w:val="003A048F"/>
    <w:rsid w:val="003A1159"/>
    <w:rsid w:val="003A19DA"/>
    <w:rsid w:val="003A27DC"/>
    <w:rsid w:val="003A29CC"/>
    <w:rsid w:val="003A3107"/>
    <w:rsid w:val="003A506A"/>
    <w:rsid w:val="003A5FD5"/>
    <w:rsid w:val="003A60E3"/>
    <w:rsid w:val="003A6169"/>
    <w:rsid w:val="003A63C4"/>
    <w:rsid w:val="003A65EC"/>
    <w:rsid w:val="003A6839"/>
    <w:rsid w:val="003A702E"/>
    <w:rsid w:val="003A7D2C"/>
    <w:rsid w:val="003A7DCE"/>
    <w:rsid w:val="003B0EE4"/>
    <w:rsid w:val="003B3031"/>
    <w:rsid w:val="003B33F4"/>
    <w:rsid w:val="003B3564"/>
    <w:rsid w:val="003B374E"/>
    <w:rsid w:val="003B4901"/>
    <w:rsid w:val="003B4974"/>
    <w:rsid w:val="003B4A95"/>
    <w:rsid w:val="003B4DA8"/>
    <w:rsid w:val="003B4E85"/>
    <w:rsid w:val="003B534F"/>
    <w:rsid w:val="003B560B"/>
    <w:rsid w:val="003B67B4"/>
    <w:rsid w:val="003B6EE9"/>
    <w:rsid w:val="003B6F98"/>
    <w:rsid w:val="003B7565"/>
    <w:rsid w:val="003B7798"/>
    <w:rsid w:val="003B7E6D"/>
    <w:rsid w:val="003B7F38"/>
    <w:rsid w:val="003C029E"/>
    <w:rsid w:val="003C0A97"/>
    <w:rsid w:val="003C1F6F"/>
    <w:rsid w:val="003C20CA"/>
    <w:rsid w:val="003C20EE"/>
    <w:rsid w:val="003C3510"/>
    <w:rsid w:val="003C3638"/>
    <w:rsid w:val="003C3E2A"/>
    <w:rsid w:val="003C77BE"/>
    <w:rsid w:val="003C7A39"/>
    <w:rsid w:val="003D09B7"/>
    <w:rsid w:val="003D1418"/>
    <w:rsid w:val="003D1697"/>
    <w:rsid w:val="003D19F8"/>
    <w:rsid w:val="003D1C60"/>
    <w:rsid w:val="003D1D4E"/>
    <w:rsid w:val="003D1FD7"/>
    <w:rsid w:val="003D2061"/>
    <w:rsid w:val="003D32B5"/>
    <w:rsid w:val="003D404A"/>
    <w:rsid w:val="003D47AD"/>
    <w:rsid w:val="003D5289"/>
    <w:rsid w:val="003D555E"/>
    <w:rsid w:val="003D6649"/>
    <w:rsid w:val="003D6A1A"/>
    <w:rsid w:val="003D6A4E"/>
    <w:rsid w:val="003D6DA7"/>
    <w:rsid w:val="003D7B35"/>
    <w:rsid w:val="003E0241"/>
    <w:rsid w:val="003E0BB1"/>
    <w:rsid w:val="003E1F90"/>
    <w:rsid w:val="003E231B"/>
    <w:rsid w:val="003E3625"/>
    <w:rsid w:val="003E3B06"/>
    <w:rsid w:val="003E432F"/>
    <w:rsid w:val="003E4449"/>
    <w:rsid w:val="003E54A6"/>
    <w:rsid w:val="003E5DD5"/>
    <w:rsid w:val="003E6159"/>
    <w:rsid w:val="003E6A12"/>
    <w:rsid w:val="003E742E"/>
    <w:rsid w:val="003E76B9"/>
    <w:rsid w:val="003E7BA5"/>
    <w:rsid w:val="003F0905"/>
    <w:rsid w:val="003F0DBA"/>
    <w:rsid w:val="003F1C27"/>
    <w:rsid w:val="003F325E"/>
    <w:rsid w:val="003F32C8"/>
    <w:rsid w:val="003F3466"/>
    <w:rsid w:val="003F3CEA"/>
    <w:rsid w:val="003F562B"/>
    <w:rsid w:val="003F58F3"/>
    <w:rsid w:val="003F6486"/>
    <w:rsid w:val="003F64CA"/>
    <w:rsid w:val="003F7DDF"/>
    <w:rsid w:val="0040005B"/>
    <w:rsid w:val="0040070D"/>
    <w:rsid w:val="0040076B"/>
    <w:rsid w:val="004007CC"/>
    <w:rsid w:val="00400DA4"/>
    <w:rsid w:val="00400F4A"/>
    <w:rsid w:val="0040131D"/>
    <w:rsid w:val="004014D3"/>
    <w:rsid w:val="0040357A"/>
    <w:rsid w:val="00403825"/>
    <w:rsid w:val="0040387D"/>
    <w:rsid w:val="00403C4C"/>
    <w:rsid w:val="00403E95"/>
    <w:rsid w:val="00404076"/>
    <w:rsid w:val="0040420E"/>
    <w:rsid w:val="00404257"/>
    <w:rsid w:val="004043DE"/>
    <w:rsid w:val="00404680"/>
    <w:rsid w:val="0040468A"/>
    <w:rsid w:val="0040529B"/>
    <w:rsid w:val="00405AF6"/>
    <w:rsid w:val="004061B4"/>
    <w:rsid w:val="004062AB"/>
    <w:rsid w:val="004063EA"/>
    <w:rsid w:val="0040658D"/>
    <w:rsid w:val="00406A37"/>
    <w:rsid w:val="00406CB1"/>
    <w:rsid w:val="00407B7B"/>
    <w:rsid w:val="00411025"/>
    <w:rsid w:val="0041147E"/>
    <w:rsid w:val="00411A2A"/>
    <w:rsid w:val="004132F6"/>
    <w:rsid w:val="00413475"/>
    <w:rsid w:val="00413D16"/>
    <w:rsid w:val="00414B44"/>
    <w:rsid w:val="00414BC7"/>
    <w:rsid w:val="00414D4A"/>
    <w:rsid w:val="00414D62"/>
    <w:rsid w:val="00414FD4"/>
    <w:rsid w:val="0041501C"/>
    <w:rsid w:val="00415DFC"/>
    <w:rsid w:val="00415F37"/>
    <w:rsid w:val="00416093"/>
    <w:rsid w:val="004169CD"/>
    <w:rsid w:val="00416A35"/>
    <w:rsid w:val="0041751C"/>
    <w:rsid w:val="00417D40"/>
    <w:rsid w:val="00420958"/>
    <w:rsid w:val="00420D1E"/>
    <w:rsid w:val="0042157E"/>
    <w:rsid w:val="0042161A"/>
    <w:rsid w:val="00421A4D"/>
    <w:rsid w:val="0042212E"/>
    <w:rsid w:val="00422FFF"/>
    <w:rsid w:val="0042303B"/>
    <w:rsid w:val="004243BD"/>
    <w:rsid w:val="00425090"/>
    <w:rsid w:val="00425AF5"/>
    <w:rsid w:val="00426733"/>
    <w:rsid w:val="00426734"/>
    <w:rsid w:val="00426D73"/>
    <w:rsid w:val="0042702F"/>
    <w:rsid w:val="00427109"/>
    <w:rsid w:val="0042745A"/>
    <w:rsid w:val="00427DE5"/>
    <w:rsid w:val="004306C4"/>
    <w:rsid w:val="00430895"/>
    <w:rsid w:val="004311B6"/>
    <w:rsid w:val="004312FF"/>
    <w:rsid w:val="00431652"/>
    <w:rsid w:val="004320A8"/>
    <w:rsid w:val="004323F1"/>
    <w:rsid w:val="00433103"/>
    <w:rsid w:val="00433441"/>
    <w:rsid w:val="00433BB2"/>
    <w:rsid w:val="00434298"/>
    <w:rsid w:val="0043546B"/>
    <w:rsid w:val="00435D8C"/>
    <w:rsid w:val="00436233"/>
    <w:rsid w:val="004367D3"/>
    <w:rsid w:val="00436F8D"/>
    <w:rsid w:val="004371DF"/>
    <w:rsid w:val="004377F7"/>
    <w:rsid w:val="00437C23"/>
    <w:rsid w:val="004403D3"/>
    <w:rsid w:val="00440657"/>
    <w:rsid w:val="00440B70"/>
    <w:rsid w:val="00440BDC"/>
    <w:rsid w:val="00441AEB"/>
    <w:rsid w:val="00441E21"/>
    <w:rsid w:val="0044330B"/>
    <w:rsid w:val="00443E71"/>
    <w:rsid w:val="00444943"/>
    <w:rsid w:val="004451C5"/>
    <w:rsid w:val="00445513"/>
    <w:rsid w:val="004461FD"/>
    <w:rsid w:val="004467A8"/>
    <w:rsid w:val="004467B2"/>
    <w:rsid w:val="00446A2B"/>
    <w:rsid w:val="00446C9C"/>
    <w:rsid w:val="004471D2"/>
    <w:rsid w:val="00447E3B"/>
    <w:rsid w:val="00447F31"/>
    <w:rsid w:val="00447F77"/>
    <w:rsid w:val="004503F9"/>
    <w:rsid w:val="0045142C"/>
    <w:rsid w:val="0045160B"/>
    <w:rsid w:val="004518B6"/>
    <w:rsid w:val="00451D03"/>
    <w:rsid w:val="00451E2C"/>
    <w:rsid w:val="004533DD"/>
    <w:rsid w:val="0045386A"/>
    <w:rsid w:val="00454EA2"/>
    <w:rsid w:val="004564FE"/>
    <w:rsid w:val="0045685A"/>
    <w:rsid w:val="0045791E"/>
    <w:rsid w:val="00457D37"/>
    <w:rsid w:val="004604E3"/>
    <w:rsid w:val="004606C7"/>
    <w:rsid w:val="0046075D"/>
    <w:rsid w:val="004617BE"/>
    <w:rsid w:val="00461F09"/>
    <w:rsid w:val="00461F7E"/>
    <w:rsid w:val="0046281B"/>
    <w:rsid w:val="004629D1"/>
    <w:rsid w:val="00463676"/>
    <w:rsid w:val="00463A0F"/>
    <w:rsid w:val="00463B45"/>
    <w:rsid w:val="00463CF6"/>
    <w:rsid w:val="00464313"/>
    <w:rsid w:val="004660D9"/>
    <w:rsid w:val="00466653"/>
    <w:rsid w:val="00466C3A"/>
    <w:rsid w:val="00467A4E"/>
    <w:rsid w:val="00470011"/>
    <w:rsid w:val="00470602"/>
    <w:rsid w:val="00470891"/>
    <w:rsid w:val="0047097C"/>
    <w:rsid w:val="00470D5E"/>
    <w:rsid w:val="00471DC9"/>
    <w:rsid w:val="00473A7C"/>
    <w:rsid w:val="00473D8E"/>
    <w:rsid w:val="004742B0"/>
    <w:rsid w:val="0047440B"/>
    <w:rsid w:val="00474ABC"/>
    <w:rsid w:val="00474F00"/>
    <w:rsid w:val="00475613"/>
    <w:rsid w:val="00475DB0"/>
    <w:rsid w:val="00475EB9"/>
    <w:rsid w:val="00476B20"/>
    <w:rsid w:val="00476E7D"/>
    <w:rsid w:val="00477107"/>
    <w:rsid w:val="00477308"/>
    <w:rsid w:val="0047763D"/>
    <w:rsid w:val="00477906"/>
    <w:rsid w:val="00477E89"/>
    <w:rsid w:val="00477F86"/>
    <w:rsid w:val="00481E00"/>
    <w:rsid w:val="0048342F"/>
    <w:rsid w:val="00483801"/>
    <w:rsid w:val="00483AF3"/>
    <w:rsid w:val="004840F8"/>
    <w:rsid w:val="00484C56"/>
    <w:rsid w:val="00484D3C"/>
    <w:rsid w:val="00484DC6"/>
    <w:rsid w:val="0048526D"/>
    <w:rsid w:val="00485289"/>
    <w:rsid w:val="0048557E"/>
    <w:rsid w:val="00485987"/>
    <w:rsid w:val="00486916"/>
    <w:rsid w:val="00486D4E"/>
    <w:rsid w:val="00487534"/>
    <w:rsid w:val="0048786F"/>
    <w:rsid w:val="00487BA8"/>
    <w:rsid w:val="00490108"/>
    <w:rsid w:val="00490D1D"/>
    <w:rsid w:val="00490DE5"/>
    <w:rsid w:val="00491A46"/>
    <w:rsid w:val="0049270B"/>
    <w:rsid w:val="0049295D"/>
    <w:rsid w:val="00493814"/>
    <w:rsid w:val="0049459B"/>
    <w:rsid w:val="00494721"/>
    <w:rsid w:val="00494A61"/>
    <w:rsid w:val="00494E32"/>
    <w:rsid w:val="004959E2"/>
    <w:rsid w:val="0049662A"/>
    <w:rsid w:val="00496721"/>
    <w:rsid w:val="00497428"/>
    <w:rsid w:val="00497AB7"/>
    <w:rsid w:val="00497CB4"/>
    <w:rsid w:val="004A0298"/>
    <w:rsid w:val="004A039F"/>
    <w:rsid w:val="004A0889"/>
    <w:rsid w:val="004A0D1A"/>
    <w:rsid w:val="004A11A6"/>
    <w:rsid w:val="004A197A"/>
    <w:rsid w:val="004A22B3"/>
    <w:rsid w:val="004A27A5"/>
    <w:rsid w:val="004A28A8"/>
    <w:rsid w:val="004A302B"/>
    <w:rsid w:val="004A4101"/>
    <w:rsid w:val="004A4357"/>
    <w:rsid w:val="004A43F5"/>
    <w:rsid w:val="004A46B5"/>
    <w:rsid w:val="004A48F9"/>
    <w:rsid w:val="004A4E68"/>
    <w:rsid w:val="004A52EA"/>
    <w:rsid w:val="004A5714"/>
    <w:rsid w:val="004A6103"/>
    <w:rsid w:val="004A627D"/>
    <w:rsid w:val="004A654D"/>
    <w:rsid w:val="004A679F"/>
    <w:rsid w:val="004A78AF"/>
    <w:rsid w:val="004B02FD"/>
    <w:rsid w:val="004B0577"/>
    <w:rsid w:val="004B0AEA"/>
    <w:rsid w:val="004B12A4"/>
    <w:rsid w:val="004B1372"/>
    <w:rsid w:val="004B229E"/>
    <w:rsid w:val="004B23F9"/>
    <w:rsid w:val="004B243D"/>
    <w:rsid w:val="004B276B"/>
    <w:rsid w:val="004B28AE"/>
    <w:rsid w:val="004B2B49"/>
    <w:rsid w:val="004B3586"/>
    <w:rsid w:val="004B3CB4"/>
    <w:rsid w:val="004B403A"/>
    <w:rsid w:val="004B41F5"/>
    <w:rsid w:val="004B43CB"/>
    <w:rsid w:val="004B4E5F"/>
    <w:rsid w:val="004B4E66"/>
    <w:rsid w:val="004B51D1"/>
    <w:rsid w:val="004B540F"/>
    <w:rsid w:val="004B57F0"/>
    <w:rsid w:val="004B587C"/>
    <w:rsid w:val="004B5ADB"/>
    <w:rsid w:val="004B62D3"/>
    <w:rsid w:val="004B67C6"/>
    <w:rsid w:val="004B6989"/>
    <w:rsid w:val="004B6E69"/>
    <w:rsid w:val="004B7B1F"/>
    <w:rsid w:val="004B7C12"/>
    <w:rsid w:val="004B7ED0"/>
    <w:rsid w:val="004C0143"/>
    <w:rsid w:val="004C0240"/>
    <w:rsid w:val="004C0DCF"/>
    <w:rsid w:val="004C11EF"/>
    <w:rsid w:val="004C1375"/>
    <w:rsid w:val="004C2A30"/>
    <w:rsid w:val="004C2C19"/>
    <w:rsid w:val="004C31B0"/>
    <w:rsid w:val="004C4303"/>
    <w:rsid w:val="004C4ABE"/>
    <w:rsid w:val="004C51BA"/>
    <w:rsid w:val="004C6284"/>
    <w:rsid w:val="004C6319"/>
    <w:rsid w:val="004C634A"/>
    <w:rsid w:val="004C6CB1"/>
    <w:rsid w:val="004C763C"/>
    <w:rsid w:val="004C7BF9"/>
    <w:rsid w:val="004D0E5B"/>
    <w:rsid w:val="004D1C8B"/>
    <w:rsid w:val="004D1FF3"/>
    <w:rsid w:val="004D313E"/>
    <w:rsid w:val="004D35B7"/>
    <w:rsid w:val="004D4593"/>
    <w:rsid w:val="004D46F0"/>
    <w:rsid w:val="004D58E9"/>
    <w:rsid w:val="004D62D3"/>
    <w:rsid w:val="004D6465"/>
    <w:rsid w:val="004D7138"/>
    <w:rsid w:val="004D779D"/>
    <w:rsid w:val="004D79DF"/>
    <w:rsid w:val="004E0561"/>
    <w:rsid w:val="004E05EA"/>
    <w:rsid w:val="004E14E9"/>
    <w:rsid w:val="004E206D"/>
    <w:rsid w:val="004E21E5"/>
    <w:rsid w:val="004E2D1F"/>
    <w:rsid w:val="004E2DE6"/>
    <w:rsid w:val="004E32E1"/>
    <w:rsid w:val="004E350E"/>
    <w:rsid w:val="004E3773"/>
    <w:rsid w:val="004E37BE"/>
    <w:rsid w:val="004E39B2"/>
    <w:rsid w:val="004E3B89"/>
    <w:rsid w:val="004E3D92"/>
    <w:rsid w:val="004E41A2"/>
    <w:rsid w:val="004E456E"/>
    <w:rsid w:val="004E5148"/>
    <w:rsid w:val="004E594C"/>
    <w:rsid w:val="004E5E6F"/>
    <w:rsid w:val="004E61D0"/>
    <w:rsid w:val="004E7198"/>
    <w:rsid w:val="004E7E73"/>
    <w:rsid w:val="004F2279"/>
    <w:rsid w:val="004F22A4"/>
    <w:rsid w:val="004F2320"/>
    <w:rsid w:val="004F249A"/>
    <w:rsid w:val="004F25FE"/>
    <w:rsid w:val="004F2859"/>
    <w:rsid w:val="004F3038"/>
    <w:rsid w:val="004F3DCD"/>
    <w:rsid w:val="004F45CB"/>
    <w:rsid w:val="004F4FD9"/>
    <w:rsid w:val="004F5A30"/>
    <w:rsid w:val="004F6231"/>
    <w:rsid w:val="004F7231"/>
    <w:rsid w:val="004F76CE"/>
    <w:rsid w:val="004F7848"/>
    <w:rsid w:val="004F7857"/>
    <w:rsid w:val="004F7946"/>
    <w:rsid w:val="004F7D18"/>
    <w:rsid w:val="004F7D34"/>
    <w:rsid w:val="005005FD"/>
    <w:rsid w:val="0050117C"/>
    <w:rsid w:val="0050129E"/>
    <w:rsid w:val="00501B3F"/>
    <w:rsid w:val="00501FB7"/>
    <w:rsid w:val="0050284A"/>
    <w:rsid w:val="0050293E"/>
    <w:rsid w:val="00503B2C"/>
    <w:rsid w:val="0050476E"/>
    <w:rsid w:val="00504E7E"/>
    <w:rsid w:val="00505054"/>
    <w:rsid w:val="00505243"/>
    <w:rsid w:val="0050566B"/>
    <w:rsid w:val="00505960"/>
    <w:rsid w:val="00505D8D"/>
    <w:rsid w:val="0050605D"/>
    <w:rsid w:val="00506720"/>
    <w:rsid w:val="00506ACB"/>
    <w:rsid w:val="0050709B"/>
    <w:rsid w:val="00507199"/>
    <w:rsid w:val="00507280"/>
    <w:rsid w:val="005077D3"/>
    <w:rsid w:val="005078D4"/>
    <w:rsid w:val="005079BF"/>
    <w:rsid w:val="00510004"/>
    <w:rsid w:val="00510316"/>
    <w:rsid w:val="005105C1"/>
    <w:rsid w:val="00510B32"/>
    <w:rsid w:val="00510FA4"/>
    <w:rsid w:val="0051117D"/>
    <w:rsid w:val="00512220"/>
    <w:rsid w:val="005127F7"/>
    <w:rsid w:val="005128D4"/>
    <w:rsid w:val="00512F40"/>
    <w:rsid w:val="00512F68"/>
    <w:rsid w:val="00513672"/>
    <w:rsid w:val="005141A8"/>
    <w:rsid w:val="00515565"/>
    <w:rsid w:val="00515958"/>
    <w:rsid w:val="00516743"/>
    <w:rsid w:val="0051685C"/>
    <w:rsid w:val="0051692D"/>
    <w:rsid w:val="0051696F"/>
    <w:rsid w:val="00517CAC"/>
    <w:rsid w:val="00520200"/>
    <w:rsid w:val="00520C63"/>
    <w:rsid w:val="00520E30"/>
    <w:rsid w:val="00520E94"/>
    <w:rsid w:val="005224CB"/>
    <w:rsid w:val="0052295F"/>
    <w:rsid w:val="00522F3E"/>
    <w:rsid w:val="00523205"/>
    <w:rsid w:val="005239A6"/>
    <w:rsid w:val="00524435"/>
    <w:rsid w:val="00524B35"/>
    <w:rsid w:val="00525200"/>
    <w:rsid w:val="00525ED7"/>
    <w:rsid w:val="0052673C"/>
    <w:rsid w:val="00526F78"/>
    <w:rsid w:val="00527894"/>
    <w:rsid w:val="00530953"/>
    <w:rsid w:val="00531B2E"/>
    <w:rsid w:val="00531DA1"/>
    <w:rsid w:val="00531DF7"/>
    <w:rsid w:val="00531EB5"/>
    <w:rsid w:val="00532049"/>
    <w:rsid w:val="00532418"/>
    <w:rsid w:val="00532CEF"/>
    <w:rsid w:val="00533225"/>
    <w:rsid w:val="0053353A"/>
    <w:rsid w:val="00533C98"/>
    <w:rsid w:val="005357AC"/>
    <w:rsid w:val="00535C10"/>
    <w:rsid w:val="005365D0"/>
    <w:rsid w:val="00536931"/>
    <w:rsid w:val="00536E6C"/>
    <w:rsid w:val="00540514"/>
    <w:rsid w:val="00540542"/>
    <w:rsid w:val="00540856"/>
    <w:rsid w:val="005408B7"/>
    <w:rsid w:val="0054137E"/>
    <w:rsid w:val="00542221"/>
    <w:rsid w:val="00543D54"/>
    <w:rsid w:val="0054423D"/>
    <w:rsid w:val="00544473"/>
    <w:rsid w:val="00544635"/>
    <w:rsid w:val="0054473E"/>
    <w:rsid w:val="005448B4"/>
    <w:rsid w:val="00544C35"/>
    <w:rsid w:val="00545062"/>
    <w:rsid w:val="00546931"/>
    <w:rsid w:val="00546B84"/>
    <w:rsid w:val="00546F27"/>
    <w:rsid w:val="00546FE3"/>
    <w:rsid w:val="00547285"/>
    <w:rsid w:val="005472A6"/>
    <w:rsid w:val="00550CA1"/>
    <w:rsid w:val="00551563"/>
    <w:rsid w:val="00551B5C"/>
    <w:rsid w:val="00551D44"/>
    <w:rsid w:val="0055215F"/>
    <w:rsid w:val="005525EE"/>
    <w:rsid w:val="0055343D"/>
    <w:rsid w:val="00553A41"/>
    <w:rsid w:val="00554511"/>
    <w:rsid w:val="00554C67"/>
    <w:rsid w:val="005550C6"/>
    <w:rsid w:val="005551AF"/>
    <w:rsid w:val="005552CA"/>
    <w:rsid w:val="00555B7E"/>
    <w:rsid w:val="0055617E"/>
    <w:rsid w:val="005568FD"/>
    <w:rsid w:val="00556D8C"/>
    <w:rsid w:val="00556DE1"/>
    <w:rsid w:val="00557ECE"/>
    <w:rsid w:val="0056031D"/>
    <w:rsid w:val="005603EC"/>
    <w:rsid w:val="00560CD2"/>
    <w:rsid w:val="00561603"/>
    <w:rsid w:val="00561E53"/>
    <w:rsid w:val="00561F4C"/>
    <w:rsid w:val="005623FB"/>
    <w:rsid w:val="00563982"/>
    <w:rsid w:val="00563BA0"/>
    <w:rsid w:val="005644DA"/>
    <w:rsid w:val="00564CE0"/>
    <w:rsid w:val="00564FDD"/>
    <w:rsid w:val="00565584"/>
    <w:rsid w:val="005667D9"/>
    <w:rsid w:val="0056691B"/>
    <w:rsid w:val="00566CA1"/>
    <w:rsid w:val="005673EC"/>
    <w:rsid w:val="005678A3"/>
    <w:rsid w:val="00567989"/>
    <w:rsid w:val="00567E15"/>
    <w:rsid w:val="00570959"/>
    <w:rsid w:val="00570B97"/>
    <w:rsid w:val="00571468"/>
    <w:rsid w:val="0057239B"/>
    <w:rsid w:val="005724F5"/>
    <w:rsid w:val="00572F7F"/>
    <w:rsid w:val="00574618"/>
    <w:rsid w:val="00574CD5"/>
    <w:rsid w:val="00574E18"/>
    <w:rsid w:val="00575E38"/>
    <w:rsid w:val="0057618A"/>
    <w:rsid w:val="005764DE"/>
    <w:rsid w:val="00576FF7"/>
    <w:rsid w:val="00577244"/>
    <w:rsid w:val="00577320"/>
    <w:rsid w:val="00577B8F"/>
    <w:rsid w:val="005801E3"/>
    <w:rsid w:val="005807AD"/>
    <w:rsid w:val="00580859"/>
    <w:rsid w:val="005808C7"/>
    <w:rsid w:val="005808FA"/>
    <w:rsid w:val="00580F6A"/>
    <w:rsid w:val="00581303"/>
    <w:rsid w:val="00581C0E"/>
    <w:rsid w:val="00582335"/>
    <w:rsid w:val="00583BA2"/>
    <w:rsid w:val="00583FDC"/>
    <w:rsid w:val="0058432F"/>
    <w:rsid w:val="005845B4"/>
    <w:rsid w:val="005854FF"/>
    <w:rsid w:val="00586215"/>
    <w:rsid w:val="005862C4"/>
    <w:rsid w:val="00586F24"/>
    <w:rsid w:val="005872E7"/>
    <w:rsid w:val="00590DAE"/>
    <w:rsid w:val="00591512"/>
    <w:rsid w:val="005917FF"/>
    <w:rsid w:val="0059194F"/>
    <w:rsid w:val="00591B46"/>
    <w:rsid w:val="00591D99"/>
    <w:rsid w:val="00592487"/>
    <w:rsid w:val="00592A7B"/>
    <w:rsid w:val="00592B33"/>
    <w:rsid w:val="00592CA6"/>
    <w:rsid w:val="0059336E"/>
    <w:rsid w:val="00593FEF"/>
    <w:rsid w:val="005940CD"/>
    <w:rsid w:val="0059418A"/>
    <w:rsid w:val="005946EF"/>
    <w:rsid w:val="005959B6"/>
    <w:rsid w:val="00595AA5"/>
    <w:rsid w:val="005961A2"/>
    <w:rsid w:val="005962F1"/>
    <w:rsid w:val="00596E8C"/>
    <w:rsid w:val="00596EF1"/>
    <w:rsid w:val="00597B63"/>
    <w:rsid w:val="005A18C8"/>
    <w:rsid w:val="005A1B76"/>
    <w:rsid w:val="005A1EAC"/>
    <w:rsid w:val="005A24E3"/>
    <w:rsid w:val="005A3652"/>
    <w:rsid w:val="005A4846"/>
    <w:rsid w:val="005A4BFB"/>
    <w:rsid w:val="005A5098"/>
    <w:rsid w:val="005A523D"/>
    <w:rsid w:val="005A55C4"/>
    <w:rsid w:val="005A5950"/>
    <w:rsid w:val="005A6994"/>
    <w:rsid w:val="005A6A52"/>
    <w:rsid w:val="005A788B"/>
    <w:rsid w:val="005B0EAA"/>
    <w:rsid w:val="005B1BDF"/>
    <w:rsid w:val="005B27C6"/>
    <w:rsid w:val="005B28FF"/>
    <w:rsid w:val="005B2906"/>
    <w:rsid w:val="005B2E4D"/>
    <w:rsid w:val="005B2E88"/>
    <w:rsid w:val="005B34B8"/>
    <w:rsid w:val="005B53E9"/>
    <w:rsid w:val="005B58F8"/>
    <w:rsid w:val="005B60B5"/>
    <w:rsid w:val="005B6127"/>
    <w:rsid w:val="005B62B8"/>
    <w:rsid w:val="005B6BFD"/>
    <w:rsid w:val="005B7C88"/>
    <w:rsid w:val="005B7E55"/>
    <w:rsid w:val="005C01C9"/>
    <w:rsid w:val="005C0936"/>
    <w:rsid w:val="005C1996"/>
    <w:rsid w:val="005C19E8"/>
    <w:rsid w:val="005C1B92"/>
    <w:rsid w:val="005C1FAB"/>
    <w:rsid w:val="005C205A"/>
    <w:rsid w:val="005C24C9"/>
    <w:rsid w:val="005C2598"/>
    <w:rsid w:val="005C3D64"/>
    <w:rsid w:val="005C4052"/>
    <w:rsid w:val="005C4D54"/>
    <w:rsid w:val="005C55DB"/>
    <w:rsid w:val="005C69C4"/>
    <w:rsid w:val="005C79C8"/>
    <w:rsid w:val="005C7BB9"/>
    <w:rsid w:val="005D010D"/>
    <w:rsid w:val="005D1107"/>
    <w:rsid w:val="005D1858"/>
    <w:rsid w:val="005D2656"/>
    <w:rsid w:val="005D29FE"/>
    <w:rsid w:val="005D3BFE"/>
    <w:rsid w:val="005D4D33"/>
    <w:rsid w:val="005D4D4D"/>
    <w:rsid w:val="005D5EF6"/>
    <w:rsid w:val="005D6BA0"/>
    <w:rsid w:val="005D734D"/>
    <w:rsid w:val="005E08D4"/>
    <w:rsid w:val="005E0B2D"/>
    <w:rsid w:val="005E0B69"/>
    <w:rsid w:val="005E1AB2"/>
    <w:rsid w:val="005E1CD6"/>
    <w:rsid w:val="005E2137"/>
    <w:rsid w:val="005E2B19"/>
    <w:rsid w:val="005E3175"/>
    <w:rsid w:val="005E37E5"/>
    <w:rsid w:val="005E3A0A"/>
    <w:rsid w:val="005E436D"/>
    <w:rsid w:val="005E5515"/>
    <w:rsid w:val="005E590A"/>
    <w:rsid w:val="005E6784"/>
    <w:rsid w:val="005E6ACF"/>
    <w:rsid w:val="005E71CF"/>
    <w:rsid w:val="005F0155"/>
    <w:rsid w:val="005F08A7"/>
    <w:rsid w:val="005F0F51"/>
    <w:rsid w:val="005F18F1"/>
    <w:rsid w:val="005F23EA"/>
    <w:rsid w:val="005F26BA"/>
    <w:rsid w:val="005F3120"/>
    <w:rsid w:val="005F313E"/>
    <w:rsid w:val="005F3502"/>
    <w:rsid w:val="005F3862"/>
    <w:rsid w:val="005F3966"/>
    <w:rsid w:val="005F4438"/>
    <w:rsid w:val="005F474F"/>
    <w:rsid w:val="005F4E83"/>
    <w:rsid w:val="005F53B7"/>
    <w:rsid w:val="005F5C4F"/>
    <w:rsid w:val="005F5DEA"/>
    <w:rsid w:val="005F6182"/>
    <w:rsid w:val="005F62B0"/>
    <w:rsid w:val="005F646F"/>
    <w:rsid w:val="005F670F"/>
    <w:rsid w:val="005F76A2"/>
    <w:rsid w:val="005F7E40"/>
    <w:rsid w:val="006001AB"/>
    <w:rsid w:val="0060175C"/>
    <w:rsid w:val="00601811"/>
    <w:rsid w:val="00601B36"/>
    <w:rsid w:val="00601EF2"/>
    <w:rsid w:val="00601F53"/>
    <w:rsid w:val="0060285B"/>
    <w:rsid w:val="006032E7"/>
    <w:rsid w:val="00603E97"/>
    <w:rsid w:val="00603EF4"/>
    <w:rsid w:val="00604268"/>
    <w:rsid w:val="00604891"/>
    <w:rsid w:val="00604F95"/>
    <w:rsid w:val="00605022"/>
    <w:rsid w:val="006055C3"/>
    <w:rsid w:val="00605F19"/>
    <w:rsid w:val="006065DF"/>
    <w:rsid w:val="00606DFD"/>
    <w:rsid w:val="00607691"/>
    <w:rsid w:val="00607A96"/>
    <w:rsid w:val="00607F31"/>
    <w:rsid w:val="00610872"/>
    <w:rsid w:val="00611C4E"/>
    <w:rsid w:val="00612717"/>
    <w:rsid w:val="0061272C"/>
    <w:rsid w:val="0061285C"/>
    <w:rsid w:val="006129F3"/>
    <w:rsid w:val="00612D48"/>
    <w:rsid w:val="00612F66"/>
    <w:rsid w:val="0061308C"/>
    <w:rsid w:val="00613756"/>
    <w:rsid w:val="0061418E"/>
    <w:rsid w:val="00614420"/>
    <w:rsid w:val="00614B9C"/>
    <w:rsid w:val="0061540C"/>
    <w:rsid w:val="0061624E"/>
    <w:rsid w:val="006167D4"/>
    <w:rsid w:val="00616E20"/>
    <w:rsid w:val="00617486"/>
    <w:rsid w:val="0062082A"/>
    <w:rsid w:val="00621A8C"/>
    <w:rsid w:val="006229B7"/>
    <w:rsid w:val="0062333F"/>
    <w:rsid w:val="00623570"/>
    <w:rsid w:val="00623896"/>
    <w:rsid w:val="00623A9D"/>
    <w:rsid w:val="00624F9D"/>
    <w:rsid w:val="00625165"/>
    <w:rsid w:val="0062598B"/>
    <w:rsid w:val="00625F25"/>
    <w:rsid w:val="00625F6C"/>
    <w:rsid w:val="006260FB"/>
    <w:rsid w:val="0062621E"/>
    <w:rsid w:val="00626BC4"/>
    <w:rsid w:val="00627204"/>
    <w:rsid w:val="00627654"/>
    <w:rsid w:val="00630949"/>
    <w:rsid w:val="00630A74"/>
    <w:rsid w:val="006311FA"/>
    <w:rsid w:val="0063165E"/>
    <w:rsid w:val="00631DD1"/>
    <w:rsid w:val="00631E51"/>
    <w:rsid w:val="00633941"/>
    <w:rsid w:val="00633BDE"/>
    <w:rsid w:val="00634CB8"/>
    <w:rsid w:val="006360BA"/>
    <w:rsid w:val="0063672D"/>
    <w:rsid w:val="0063689C"/>
    <w:rsid w:val="00636A4D"/>
    <w:rsid w:val="00636B1A"/>
    <w:rsid w:val="00637274"/>
    <w:rsid w:val="006372C4"/>
    <w:rsid w:val="00640402"/>
    <w:rsid w:val="006407BF"/>
    <w:rsid w:val="00640F3C"/>
    <w:rsid w:val="00640FA4"/>
    <w:rsid w:val="00641745"/>
    <w:rsid w:val="00641B48"/>
    <w:rsid w:val="006428C3"/>
    <w:rsid w:val="006429CB"/>
    <w:rsid w:val="00642ADD"/>
    <w:rsid w:val="00642C1D"/>
    <w:rsid w:val="006449EC"/>
    <w:rsid w:val="006451E4"/>
    <w:rsid w:val="00646659"/>
    <w:rsid w:val="00646B4A"/>
    <w:rsid w:val="00646CED"/>
    <w:rsid w:val="00646D94"/>
    <w:rsid w:val="00647923"/>
    <w:rsid w:val="00647BBC"/>
    <w:rsid w:val="00651139"/>
    <w:rsid w:val="00651296"/>
    <w:rsid w:val="006518E0"/>
    <w:rsid w:val="00651B37"/>
    <w:rsid w:val="00652187"/>
    <w:rsid w:val="00652F75"/>
    <w:rsid w:val="006530EA"/>
    <w:rsid w:val="00653146"/>
    <w:rsid w:val="006535A1"/>
    <w:rsid w:val="0065383A"/>
    <w:rsid w:val="006544CF"/>
    <w:rsid w:val="006547BC"/>
    <w:rsid w:val="00654E1C"/>
    <w:rsid w:val="0065596C"/>
    <w:rsid w:val="0065628C"/>
    <w:rsid w:val="00656888"/>
    <w:rsid w:val="00657B64"/>
    <w:rsid w:val="00657CB3"/>
    <w:rsid w:val="00660117"/>
    <w:rsid w:val="00660144"/>
    <w:rsid w:val="0066062C"/>
    <w:rsid w:val="0066076E"/>
    <w:rsid w:val="00660B4D"/>
    <w:rsid w:val="00661B11"/>
    <w:rsid w:val="00661C5E"/>
    <w:rsid w:val="00662190"/>
    <w:rsid w:val="006628A8"/>
    <w:rsid w:val="00662EF4"/>
    <w:rsid w:val="00663252"/>
    <w:rsid w:val="0066380F"/>
    <w:rsid w:val="00663A67"/>
    <w:rsid w:val="006648F2"/>
    <w:rsid w:val="00665953"/>
    <w:rsid w:val="006660AB"/>
    <w:rsid w:val="006660E6"/>
    <w:rsid w:val="00666CA1"/>
    <w:rsid w:val="0067122A"/>
    <w:rsid w:val="00671865"/>
    <w:rsid w:val="006718D5"/>
    <w:rsid w:val="006727AE"/>
    <w:rsid w:val="00672A41"/>
    <w:rsid w:val="006733E9"/>
    <w:rsid w:val="006736D4"/>
    <w:rsid w:val="006750F7"/>
    <w:rsid w:val="00675562"/>
    <w:rsid w:val="0067562E"/>
    <w:rsid w:val="0067585E"/>
    <w:rsid w:val="00675BA6"/>
    <w:rsid w:val="00675C64"/>
    <w:rsid w:val="00675DD6"/>
    <w:rsid w:val="006761AB"/>
    <w:rsid w:val="006761BF"/>
    <w:rsid w:val="00677BCE"/>
    <w:rsid w:val="006804A3"/>
    <w:rsid w:val="00680A48"/>
    <w:rsid w:val="00681040"/>
    <w:rsid w:val="00681681"/>
    <w:rsid w:val="00681975"/>
    <w:rsid w:val="006820D5"/>
    <w:rsid w:val="00682639"/>
    <w:rsid w:val="00682EBD"/>
    <w:rsid w:val="00682FE6"/>
    <w:rsid w:val="00683FF0"/>
    <w:rsid w:val="00684462"/>
    <w:rsid w:val="00684478"/>
    <w:rsid w:val="006848E7"/>
    <w:rsid w:val="006848FA"/>
    <w:rsid w:val="00684949"/>
    <w:rsid w:val="00685771"/>
    <w:rsid w:val="00685B57"/>
    <w:rsid w:val="00686422"/>
    <w:rsid w:val="00686BC5"/>
    <w:rsid w:val="00686DE8"/>
    <w:rsid w:val="006874D0"/>
    <w:rsid w:val="00687D06"/>
    <w:rsid w:val="00687ED8"/>
    <w:rsid w:val="00690164"/>
    <w:rsid w:val="00691F24"/>
    <w:rsid w:val="0069229C"/>
    <w:rsid w:val="006929DA"/>
    <w:rsid w:val="00693683"/>
    <w:rsid w:val="006941AF"/>
    <w:rsid w:val="006959F5"/>
    <w:rsid w:val="00696A6D"/>
    <w:rsid w:val="00696D65"/>
    <w:rsid w:val="00696FD8"/>
    <w:rsid w:val="00697047"/>
    <w:rsid w:val="00697F42"/>
    <w:rsid w:val="006A0AD2"/>
    <w:rsid w:val="006A1020"/>
    <w:rsid w:val="006A1353"/>
    <w:rsid w:val="006A1C70"/>
    <w:rsid w:val="006A2FCD"/>
    <w:rsid w:val="006A3431"/>
    <w:rsid w:val="006A3659"/>
    <w:rsid w:val="006A442B"/>
    <w:rsid w:val="006A4454"/>
    <w:rsid w:val="006A4AE6"/>
    <w:rsid w:val="006A548E"/>
    <w:rsid w:val="006A58B8"/>
    <w:rsid w:val="006A60DB"/>
    <w:rsid w:val="006A62CE"/>
    <w:rsid w:val="006A66A3"/>
    <w:rsid w:val="006A6B14"/>
    <w:rsid w:val="006A74EC"/>
    <w:rsid w:val="006A74F0"/>
    <w:rsid w:val="006B00F1"/>
    <w:rsid w:val="006B0132"/>
    <w:rsid w:val="006B13B3"/>
    <w:rsid w:val="006B179F"/>
    <w:rsid w:val="006B2B6C"/>
    <w:rsid w:val="006B3D7C"/>
    <w:rsid w:val="006B3D98"/>
    <w:rsid w:val="006B4189"/>
    <w:rsid w:val="006B4698"/>
    <w:rsid w:val="006B47D8"/>
    <w:rsid w:val="006B4DA4"/>
    <w:rsid w:val="006B5711"/>
    <w:rsid w:val="006B5E06"/>
    <w:rsid w:val="006B5FDB"/>
    <w:rsid w:val="006C0679"/>
    <w:rsid w:val="006C0957"/>
    <w:rsid w:val="006C0AF4"/>
    <w:rsid w:val="006C0E5C"/>
    <w:rsid w:val="006C1B61"/>
    <w:rsid w:val="006C1EB3"/>
    <w:rsid w:val="006C2395"/>
    <w:rsid w:val="006C2943"/>
    <w:rsid w:val="006C2C0D"/>
    <w:rsid w:val="006C2E5A"/>
    <w:rsid w:val="006C3CA7"/>
    <w:rsid w:val="006C4731"/>
    <w:rsid w:val="006C4D3D"/>
    <w:rsid w:val="006C51D6"/>
    <w:rsid w:val="006C5A23"/>
    <w:rsid w:val="006C6DF6"/>
    <w:rsid w:val="006C7329"/>
    <w:rsid w:val="006C7BC6"/>
    <w:rsid w:val="006C7D58"/>
    <w:rsid w:val="006D0A34"/>
    <w:rsid w:val="006D0E67"/>
    <w:rsid w:val="006D2297"/>
    <w:rsid w:val="006D270C"/>
    <w:rsid w:val="006D3486"/>
    <w:rsid w:val="006D4745"/>
    <w:rsid w:val="006D4991"/>
    <w:rsid w:val="006D49D1"/>
    <w:rsid w:val="006D4E34"/>
    <w:rsid w:val="006D512A"/>
    <w:rsid w:val="006D5B9B"/>
    <w:rsid w:val="006D61F7"/>
    <w:rsid w:val="006D6AA8"/>
    <w:rsid w:val="006D7493"/>
    <w:rsid w:val="006D76CA"/>
    <w:rsid w:val="006D7723"/>
    <w:rsid w:val="006D7CB4"/>
    <w:rsid w:val="006E04D6"/>
    <w:rsid w:val="006E0619"/>
    <w:rsid w:val="006E0851"/>
    <w:rsid w:val="006E0B24"/>
    <w:rsid w:val="006E15AB"/>
    <w:rsid w:val="006E2B53"/>
    <w:rsid w:val="006E2BC8"/>
    <w:rsid w:val="006E4A33"/>
    <w:rsid w:val="006E4E3B"/>
    <w:rsid w:val="006E5308"/>
    <w:rsid w:val="006E5562"/>
    <w:rsid w:val="006E59ED"/>
    <w:rsid w:val="006E73E0"/>
    <w:rsid w:val="006E77E9"/>
    <w:rsid w:val="006E7FC4"/>
    <w:rsid w:val="006E7FE9"/>
    <w:rsid w:val="006F0A74"/>
    <w:rsid w:val="006F12FD"/>
    <w:rsid w:val="006F1C2B"/>
    <w:rsid w:val="006F272B"/>
    <w:rsid w:val="006F28A6"/>
    <w:rsid w:val="006F39B1"/>
    <w:rsid w:val="006F3E8D"/>
    <w:rsid w:val="006F457D"/>
    <w:rsid w:val="006F4A30"/>
    <w:rsid w:val="006F4EB7"/>
    <w:rsid w:val="006F4EF0"/>
    <w:rsid w:val="006F5795"/>
    <w:rsid w:val="006F58F3"/>
    <w:rsid w:val="006F63C4"/>
    <w:rsid w:val="006F6D20"/>
    <w:rsid w:val="006F7A1A"/>
    <w:rsid w:val="006F7AAA"/>
    <w:rsid w:val="006F7ACB"/>
    <w:rsid w:val="00700591"/>
    <w:rsid w:val="00700883"/>
    <w:rsid w:val="00700CCC"/>
    <w:rsid w:val="00700D71"/>
    <w:rsid w:val="007010C5"/>
    <w:rsid w:val="007014B6"/>
    <w:rsid w:val="00701AD6"/>
    <w:rsid w:val="00701F57"/>
    <w:rsid w:val="007032AF"/>
    <w:rsid w:val="00703B1B"/>
    <w:rsid w:val="00703BDE"/>
    <w:rsid w:val="007047B3"/>
    <w:rsid w:val="0070488C"/>
    <w:rsid w:val="00705339"/>
    <w:rsid w:val="0070548A"/>
    <w:rsid w:val="00705DAC"/>
    <w:rsid w:val="00706735"/>
    <w:rsid w:val="00706DF9"/>
    <w:rsid w:val="00707529"/>
    <w:rsid w:val="007078EC"/>
    <w:rsid w:val="0071091C"/>
    <w:rsid w:val="00710C5A"/>
    <w:rsid w:val="007127F6"/>
    <w:rsid w:val="007129CC"/>
    <w:rsid w:val="00712B4B"/>
    <w:rsid w:val="00713A30"/>
    <w:rsid w:val="0071442D"/>
    <w:rsid w:val="007147FD"/>
    <w:rsid w:val="00715092"/>
    <w:rsid w:val="007152D1"/>
    <w:rsid w:val="007160B1"/>
    <w:rsid w:val="0071683B"/>
    <w:rsid w:val="00716BED"/>
    <w:rsid w:val="00716C4F"/>
    <w:rsid w:val="007176E4"/>
    <w:rsid w:val="00717963"/>
    <w:rsid w:val="00720014"/>
    <w:rsid w:val="00720CF9"/>
    <w:rsid w:val="00721291"/>
    <w:rsid w:val="00721881"/>
    <w:rsid w:val="00723AF5"/>
    <w:rsid w:val="00723C92"/>
    <w:rsid w:val="00724346"/>
    <w:rsid w:val="00724953"/>
    <w:rsid w:val="0072501A"/>
    <w:rsid w:val="00725AC0"/>
    <w:rsid w:val="00725B81"/>
    <w:rsid w:val="007264B4"/>
    <w:rsid w:val="007264EB"/>
    <w:rsid w:val="00726BD9"/>
    <w:rsid w:val="007273BD"/>
    <w:rsid w:val="007276AF"/>
    <w:rsid w:val="007308E4"/>
    <w:rsid w:val="00731150"/>
    <w:rsid w:val="007311E4"/>
    <w:rsid w:val="0073137E"/>
    <w:rsid w:val="0073160E"/>
    <w:rsid w:val="0073168A"/>
    <w:rsid w:val="00731AE8"/>
    <w:rsid w:val="0073248A"/>
    <w:rsid w:val="0073329F"/>
    <w:rsid w:val="00733735"/>
    <w:rsid w:val="007341FD"/>
    <w:rsid w:val="0073431D"/>
    <w:rsid w:val="0073493C"/>
    <w:rsid w:val="00734DB8"/>
    <w:rsid w:val="00735339"/>
    <w:rsid w:val="007359D8"/>
    <w:rsid w:val="00736ABF"/>
    <w:rsid w:val="00736C36"/>
    <w:rsid w:val="00736CDC"/>
    <w:rsid w:val="00736EB0"/>
    <w:rsid w:val="00737302"/>
    <w:rsid w:val="00737743"/>
    <w:rsid w:val="0074048D"/>
    <w:rsid w:val="00740D47"/>
    <w:rsid w:val="0074119E"/>
    <w:rsid w:val="0074203F"/>
    <w:rsid w:val="007432C4"/>
    <w:rsid w:val="0074348D"/>
    <w:rsid w:val="0074363F"/>
    <w:rsid w:val="00743A16"/>
    <w:rsid w:val="00743B6B"/>
    <w:rsid w:val="00743FD4"/>
    <w:rsid w:val="00744080"/>
    <w:rsid w:val="00745987"/>
    <w:rsid w:val="007459FC"/>
    <w:rsid w:val="00745B84"/>
    <w:rsid w:val="00745CC2"/>
    <w:rsid w:val="00745DF4"/>
    <w:rsid w:val="007467D5"/>
    <w:rsid w:val="007469E2"/>
    <w:rsid w:val="00746A1B"/>
    <w:rsid w:val="00746BCB"/>
    <w:rsid w:val="00746DF5"/>
    <w:rsid w:val="00747041"/>
    <w:rsid w:val="00747E59"/>
    <w:rsid w:val="0075094E"/>
    <w:rsid w:val="00751C6E"/>
    <w:rsid w:val="00752838"/>
    <w:rsid w:val="00752AAF"/>
    <w:rsid w:val="0075303D"/>
    <w:rsid w:val="00753F4C"/>
    <w:rsid w:val="007547C0"/>
    <w:rsid w:val="00754AD2"/>
    <w:rsid w:val="007551FE"/>
    <w:rsid w:val="007557F3"/>
    <w:rsid w:val="0075602B"/>
    <w:rsid w:val="007562A1"/>
    <w:rsid w:val="0075632B"/>
    <w:rsid w:val="00756386"/>
    <w:rsid w:val="00756438"/>
    <w:rsid w:val="00756B6E"/>
    <w:rsid w:val="00756D57"/>
    <w:rsid w:val="00757BA5"/>
    <w:rsid w:val="007602E8"/>
    <w:rsid w:val="00761EE8"/>
    <w:rsid w:val="00762148"/>
    <w:rsid w:val="0076266B"/>
    <w:rsid w:val="00762914"/>
    <w:rsid w:val="00762AF4"/>
    <w:rsid w:val="00762FF0"/>
    <w:rsid w:val="007642B4"/>
    <w:rsid w:val="00764B01"/>
    <w:rsid w:val="00764EC7"/>
    <w:rsid w:val="00765247"/>
    <w:rsid w:val="00765508"/>
    <w:rsid w:val="00765AF5"/>
    <w:rsid w:val="00766A9C"/>
    <w:rsid w:val="00766FDA"/>
    <w:rsid w:val="00767179"/>
    <w:rsid w:val="00767E55"/>
    <w:rsid w:val="00771923"/>
    <w:rsid w:val="00772807"/>
    <w:rsid w:val="00772C8E"/>
    <w:rsid w:val="00773A80"/>
    <w:rsid w:val="00775ADD"/>
    <w:rsid w:val="00775D01"/>
    <w:rsid w:val="00775F09"/>
    <w:rsid w:val="007761E0"/>
    <w:rsid w:val="00776672"/>
    <w:rsid w:val="007766C6"/>
    <w:rsid w:val="00776951"/>
    <w:rsid w:val="00776FE7"/>
    <w:rsid w:val="0077743C"/>
    <w:rsid w:val="007778CB"/>
    <w:rsid w:val="00777BA7"/>
    <w:rsid w:val="007801CD"/>
    <w:rsid w:val="007802D9"/>
    <w:rsid w:val="00780380"/>
    <w:rsid w:val="0078069F"/>
    <w:rsid w:val="00780700"/>
    <w:rsid w:val="007807C4"/>
    <w:rsid w:val="00780A8B"/>
    <w:rsid w:val="00780DDD"/>
    <w:rsid w:val="007817BF"/>
    <w:rsid w:val="00781BD2"/>
    <w:rsid w:val="00781DD6"/>
    <w:rsid w:val="00782675"/>
    <w:rsid w:val="007828ED"/>
    <w:rsid w:val="00782AAB"/>
    <w:rsid w:val="0078322F"/>
    <w:rsid w:val="007834BF"/>
    <w:rsid w:val="007839C2"/>
    <w:rsid w:val="007854B1"/>
    <w:rsid w:val="00785DB5"/>
    <w:rsid w:val="007869D0"/>
    <w:rsid w:val="00787D38"/>
    <w:rsid w:val="007901B1"/>
    <w:rsid w:val="00790798"/>
    <w:rsid w:val="007909AF"/>
    <w:rsid w:val="00791918"/>
    <w:rsid w:val="00791F12"/>
    <w:rsid w:val="00792840"/>
    <w:rsid w:val="007929F7"/>
    <w:rsid w:val="00794017"/>
    <w:rsid w:val="007949ED"/>
    <w:rsid w:val="00795091"/>
    <w:rsid w:val="007961AF"/>
    <w:rsid w:val="00796609"/>
    <w:rsid w:val="007966BE"/>
    <w:rsid w:val="0079789C"/>
    <w:rsid w:val="00797940"/>
    <w:rsid w:val="00797BF1"/>
    <w:rsid w:val="007A0522"/>
    <w:rsid w:val="007A05F2"/>
    <w:rsid w:val="007A07FC"/>
    <w:rsid w:val="007A1F59"/>
    <w:rsid w:val="007A1FB9"/>
    <w:rsid w:val="007A240A"/>
    <w:rsid w:val="007A2D29"/>
    <w:rsid w:val="007A32EB"/>
    <w:rsid w:val="007A4D85"/>
    <w:rsid w:val="007A54AB"/>
    <w:rsid w:val="007A58F1"/>
    <w:rsid w:val="007A59B2"/>
    <w:rsid w:val="007A59C0"/>
    <w:rsid w:val="007A63DF"/>
    <w:rsid w:val="007A67B7"/>
    <w:rsid w:val="007A6F02"/>
    <w:rsid w:val="007A73B2"/>
    <w:rsid w:val="007A7833"/>
    <w:rsid w:val="007B0C1A"/>
    <w:rsid w:val="007B0EA2"/>
    <w:rsid w:val="007B175A"/>
    <w:rsid w:val="007B2438"/>
    <w:rsid w:val="007B27F0"/>
    <w:rsid w:val="007B41BC"/>
    <w:rsid w:val="007B46BA"/>
    <w:rsid w:val="007B4A4D"/>
    <w:rsid w:val="007B5A8C"/>
    <w:rsid w:val="007B6697"/>
    <w:rsid w:val="007B69E8"/>
    <w:rsid w:val="007B6F1E"/>
    <w:rsid w:val="007B79A9"/>
    <w:rsid w:val="007B7D72"/>
    <w:rsid w:val="007C17F3"/>
    <w:rsid w:val="007C2236"/>
    <w:rsid w:val="007C3698"/>
    <w:rsid w:val="007C3A06"/>
    <w:rsid w:val="007C4F86"/>
    <w:rsid w:val="007C57E1"/>
    <w:rsid w:val="007C5B71"/>
    <w:rsid w:val="007C743F"/>
    <w:rsid w:val="007C7B4D"/>
    <w:rsid w:val="007C7CA3"/>
    <w:rsid w:val="007D02E4"/>
    <w:rsid w:val="007D05A3"/>
    <w:rsid w:val="007D0D2D"/>
    <w:rsid w:val="007D0FD1"/>
    <w:rsid w:val="007D12D6"/>
    <w:rsid w:val="007D1412"/>
    <w:rsid w:val="007D2198"/>
    <w:rsid w:val="007D24E3"/>
    <w:rsid w:val="007D30A4"/>
    <w:rsid w:val="007D3107"/>
    <w:rsid w:val="007D3788"/>
    <w:rsid w:val="007D3ABF"/>
    <w:rsid w:val="007D41DD"/>
    <w:rsid w:val="007D4B74"/>
    <w:rsid w:val="007D50FE"/>
    <w:rsid w:val="007D5A7E"/>
    <w:rsid w:val="007D5CDA"/>
    <w:rsid w:val="007D5F4A"/>
    <w:rsid w:val="007D63FC"/>
    <w:rsid w:val="007D65E5"/>
    <w:rsid w:val="007D6806"/>
    <w:rsid w:val="007D6DB9"/>
    <w:rsid w:val="007D7167"/>
    <w:rsid w:val="007D71F9"/>
    <w:rsid w:val="007D7EF2"/>
    <w:rsid w:val="007E013B"/>
    <w:rsid w:val="007E06B0"/>
    <w:rsid w:val="007E0B5C"/>
    <w:rsid w:val="007E169D"/>
    <w:rsid w:val="007E1B5C"/>
    <w:rsid w:val="007E3079"/>
    <w:rsid w:val="007E34B4"/>
    <w:rsid w:val="007E3800"/>
    <w:rsid w:val="007E3953"/>
    <w:rsid w:val="007E3F46"/>
    <w:rsid w:val="007E5334"/>
    <w:rsid w:val="007E5F11"/>
    <w:rsid w:val="007E5F12"/>
    <w:rsid w:val="007E5F67"/>
    <w:rsid w:val="007E6C44"/>
    <w:rsid w:val="007E7906"/>
    <w:rsid w:val="007F07C2"/>
    <w:rsid w:val="007F0DFE"/>
    <w:rsid w:val="007F1160"/>
    <w:rsid w:val="007F1C92"/>
    <w:rsid w:val="007F1CE7"/>
    <w:rsid w:val="007F1EF1"/>
    <w:rsid w:val="007F1FFF"/>
    <w:rsid w:val="007F21ED"/>
    <w:rsid w:val="007F2F7B"/>
    <w:rsid w:val="007F3001"/>
    <w:rsid w:val="007F340B"/>
    <w:rsid w:val="007F3465"/>
    <w:rsid w:val="007F365F"/>
    <w:rsid w:val="007F3F7C"/>
    <w:rsid w:val="007F423C"/>
    <w:rsid w:val="007F4CAD"/>
    <w:rsid w:val="007F52BD"/>
    <w:rsid w:val="007F5526"/>
    <w:rsid w:val="007F5806"/>
    <w:rsid w:val="007F591F"/>
    <w:rsid w:val="007F632B"/>
    <w:rsid w:val="007F6F47"/>
    <w:rsid w:val="00800028"/>
    <w:rsid w:val="008002DB"/>
    <w:rsid w:val="0080131D"/>
    <w:rsid w:val="008013B4"/>
    <w:rsid w:val="008014DE"/>
    <w:rsid w:val="00802010"/>
    <w:rsid w:val="008020CE"/>
    <w:rsid w:val="00802123"/>
    <w:rsid w:val="00802411"/>
    <w:rsid w:val="00802922"/>
    <w:rsid w:val="00803B0D"/>
    <w:rsid w:val="008040A3"/>
    <w:rsid w:val="00804C98"/>
    <w:rsid w:val="00805461"/>
    <w:rsid w:val="00806806"/>
    <w:rsid w:val="00806B6C"/>
    <w:rsid w:val="00807EAD"/>
    <w:rsid w:val="00810419"/>
    <w:rsid w:val="0081063B"/>
    <w:rsid w:val="00811EF4"/>
    <w:rsid w:val="008129A8"/>
    <w:rsid w:val="00812EC4"/>
    <w:rsid w:val="008131C0"/>
    <w:rsid w:val="008134A9"/>
    <w:rsid w:val="008141E5"/>
    <w:rsid w:val="0081423B"/>
    <w:rsid w:val="00814B1A"/>
    <w:rsid w:val="00814DF7"/>
    <w:rsid w:val="008156CB"/>
    <w:rsid w:val="00816040"/>
    <w:rsid w:val="00816217"/>
    <w:rsid w:val="00816646"/>
    <w:rsid w:val="00816901"/>
    <w:rsid w:val="00817215"/>
    <w:rsid w:val="00817BE5"/>
    <w:rsid w:val="00817F28"/>
    <w:rsid w:val="0082065A"/>
    <w:rsid w:val="00820E6E"/>
    <w:rsid w:val="008212F9"/>
    <w:rsid w:val="00822976"/>
    <w:rsid w:val="00822AB1"/>
    <w:rsid w:val="00822C58"/>
    <w:rsid w:val="008231B8"/>
    <w:rsid w:val="008231DE"/>
    <w:rsid w:val="0082362E"/>
    <w:rsid w:val="00824B3B"/>
    <w:rsid w:val="00824EB5"/>
    <w:rsid w:val="00824F8E"/>
    <w:rsid w:val="00824FC1"/>
    <w:rsid w:val="00825D11"/>
    <w:rsid w:val="00825DC3"/>
    <w:rsid w:val="0082652A"/>
    <w:rsid w:val="00826992"/>
    <w:rsid w:val="00826F6F"/>
    <w:rsid w:val="00827340"/>
    <w:rsid w:val="0082735C"/>
    <w:rsid w:val="008277A2"/>
    <w:rsid w:val="00830416"/>
    <w:rsid w:val="00831AA2"/>
    <w:rsid w:val="00832919"/>
    <w:rsid w:val="00832F13"/>
    <w:rsid w:val="008333A9"/>
    <w:rsid w:val="00833F03"/>
    <w:rsid w:val="008340EC"/>
    <w:rsid w:val="008350CF"/>
    <w:rsid w:val="0083528B"/>
    <w:rsid w:val="00836A01"/>
    <w:rsid w:val="0084276A"/>
    <w:rsid w:val="008429AB"/>
    <w:rsid w:val="00842CEC"/>
    <w:rsid w:val="00842E1D"/>
    <w:rsid w:val="00843C22"/>
    <w:rsid w:val="00844F07"/>
    <w:rsid w:val="0084542C"/>
    <w:rsid w:val="008455CE"/>
    <w:rsid w:val="00845CA2"/>
    <w:rsid w:val="00845EEA"/>
    <w:rsid w:val="00846B3E"/>
    <w:rsid w:val="00846BCD"/>
    <w:rsid w:val="00846D99"/>
    <w:rsid w:val="008474C6"/>
    <w:rsid w:val="00847964"/>
    <w:rsid w:val="008479B1"/>
    <w:rsid w:val="0085026E"/>
    <w:rsid w:val="008506EA"/>
    <w:rsid w:val="00850B6A"/>
    <w:rsid w:val="00850C79"/>
    <w:rsid w:val="00850C85"/>
    <w:rsid w:val="008518EC"/>
    <w:rsid w:val="00851B26"/>
    <w:rsid w:val="00851EA5"/>
    <w:rsid w:val="00852348"/>
    <w:rsid w:val="0085248F"/>
    <w:rsid w:val="00852511"/>
    <w:rsid w:val="00852B2A"/>
    <w:rsid w:val="00852BBE"/>
    <w:rsid w:val="008535B8"/>
    <w:rsid w:val="00854104"/>
    <w:rsid w:val="00854465"/>
    <w:rsid w:val="0085569B"/>
    <w:rsid w:val="008558AA"/>
    <w:rsid w:val="0085616D"/>
    <w:rsid w:val="008561F2"/>
    <w:rsid w:val="0085632C"/>
    <w:rsid w:val="0085647C"/>
    <w:rsid w:val="00856659"/>
    <w:rsid w:val="00856879"/>
    <w:rsid w:val="00856E8F"/>
    <w:rsid w:val="0086026E"/>
    <w:rsid w:val="00860898"/>
    <w:rsid w:val="00860A9B"/>
    <w:rsid w:val="00861215"/>
    <w:rsid w:val="00861E8B"/>
    <w:rsid w:val="00862489"/>
    <w:rsid w:val="00862A32"/>
    <w:rsid w:val="008631EA"/>
    <w:rsid w:val="00863383"/>
    <w:rsid w:val="008640F2"/>
    <w:rsid w:val="0086411E"/>
    <w:rsid w:val="0086451C"/>
    <w:rsid w:val="00865083"/>
    <w:rsid w:val="00865D93"/>
    <w:rsid w:val="00865FE9"/>
    <w:rsid w:val="00866D0C"/>
    <w:rsid w:val="008671C4"/>
    <w:rsid w:val="00872B73"/>
    <w:rsid w:val="00873341"/>
    <w:rsid w:val="00873A29"/>
    <w:rsid w:val="00873B3E"/>
    <w:rsid w:val="00873D29"/>
    <w:rsid w:val="00873D81"/>
    <w:rsid w:val="008742F0"/>
    <w:rsid w:val="00874807"/>
    <w:rsid w:val="008749BD"/>
    <w:rsid w:val="008760AA"/>
    <w:rsid w:val="008761FD"/>
    <w:rsid w:val="00877EDD"/>
    <w:rsid w:val="008806B6"/>
    <w:rsid w:val="008806C5"/>
    <w:rsid w:val="00881CB3"/>
    <w:rsid w:val="00882779"/>
    <w:rsid w:val="00882E65"/>
    <w:rsid w:val="008834C9"/>
    <w:rsid w:val="00883594"/>
    <w:rsid w:val="00883FE0"/>
    <w:rsid w:val="00884083"/>
    <w:rsid w:val="00884A46"/>
    <w:rsid w:val="00884D32"/>
    <w:rsid w:val="00885B95"/>
    <w:rsid w:val="00885FF0"/>
    <w:rsid w:val="00886385"/>
    <w:rsid w:val="00886A2F"/>
    <w:rsid w:val="00886F05"/>
    <w:rsid w:val="00887583"/>
    <w:rsid w:val="00890428"/>
    <w:rsid w:val="0089050A"/>
    <w:rsid w:val="008907F7"/>
    <w:rsid w:val="0089145B"/>
    <w:rsid w:val="0089378C"/>
    <w:rsid w:val="008947E1"/>
    <w:rsid w:val="0089580C"/>
    <w:rsid w:val="00897405"/>
    <w:rsid w:val="00897FEF"/>
    <w:rsid w:val="008A055B"/>
    <w:rsid w:val="008A06E4"/>
    <w:rsid w:val="008A08DD"/>
    <w:rsid w:val="008A0A0A"/>
    <w:rsid w:val="008A0AC4"/>
    <w:rsid w:val="008A0B70"/>
    <w:rsid w:val="008A11E2"/>
    <w:rsid w:val="008A1358"/>
    <w:rsid w:val="008A2323"/>
    <w:rsid w:val="008A2642"/>
    <w:rsid w:val="008A2BBF"/>
    <w:rsid w:val="008A2FF5"/>
    <w:rsid w:val="008A4ADE"/>
    <w:rsid w:val="008A4BE2"/>
    <w:rsid w:val="008A7968"/>
    <w:rsid w:val="008A7AD4"/>
    <w:rsid w:val="008B0030"/>
    <w:rsid w:val="008B1E34"/>
    <w:rsid w:val="008B1EC1"/>
    <w:rsid w:val="008B2A87"/>
    <w:rsid w:val="008B3679"/>
    <w:rsid w:val="008B43B8"/>
    <w:rsid w:val="008B4412"/>
    <w:rsid w:val="008B5042"/>
    <w:rsid w:val="008B51AA"/>
    <w:rsid w:val="008B7FA2"/>
    <w:rsid w:val="008C00A3"/>
    <w:rsid w:val="008C031B"/>
    <w:rsid w:val="008C082D"/>
    <w:rsid w:val="008C190F"/>
    <w:rsid w:val="008C1BAB"/>
    <w:rsid w:val="008C1E53"/>
    <w:rsid w:val="008C24A5"/>
    <w:rsid w:val="008C2BDC"/>
    <w:rsid w:val="008C37E5"/>
    <w:rsid w:val="008C3B26"/>
    <w:rsid w:val="008C40ED"/>
    <w:rsid w:val="008C4767"/>
    <w:rsid w:val="008C4F5C"/>
    <w:rsid w:val="008C5229"/>
    <w:rsid w:val="008C58A3"/>
    <w:rsid w:val="008C6A48"/>
    <w:rsid w:val="008C744F"/>
    <w:rsid w:val="008C7B4E"/>
    <w:rsid w:val="008C7C43"/>
    <w:rsid w:val="008D01C0"/>
    <w:rsid w:val="008D03DC"/>
    <w:rsid w:val="008D0A4F"/>
    <w:rsid w:val="008D0D3B"/>
    <w:rsid w:val="008D0D4A"/>
    <w:rsid w:val="008D19FF"/>
    <w:rsid w:val="008D1C4C"/>
    <w:rsid w:val="008D2950"/>
    <w:rsid w:val="008D3253"/>
    <w:rsid w:val="008D366C"/>
    <w:rsid w:val="008D446F"/>
    <w:rsid w:val="008D48B9"/>
    <w:rsid w:val="008D48E7"/>
    <w:rsid w:val="008D5F72"/>
    <w:rsid w:val="008D649E"/>
    <w:rsid w:val="008D6E80"/>
    <w:rsid w:val="008D6FCD"/>
    <w:rsid w:val="008E1AF8"/>
    <w:rsid w:val="008E2021"/>
    <w:rsid w:val="008E3940"/>
    <w:rsid w:val="008E43EB"/>
    <w:rsid w:val="008E49C0"/>
    <w:rsid w:val="008E4C1B"/>
    <w:rsid w:val="008E55BB"/>
    <w:rsid w:val="008E5A35"/>
    <w:rsid w:val="008E5A92"/>
    <w:rsid w:val="008E5CE9"/>
    <w:rsid w:val="008E60F7"/>
    <w:rsid w:val="008F01F6"/>
    <w:rsid w:val="008F051B"/>
    <w:rsid w:val="008F05E1"/>
    <w:rsid w:val="008F12DC"/>
    <w:rsid w:val="008F1B19"/>
    <w:rsid w:val="008F1B33"/>
    <w:rsid w:val="008F1CED"/>
    <w:rsid w:val="008F1E9A"/>
    <w:rsid w:val="008F22C0"/>
    <w:rsid w:val="008F2E2F"/>
    <w:rsid w:val="008F3478"/>
    <w:rsid w:val="008F3807"/>
    <w:rsid w:val="008F42F8"/>
    <w:rsid w:val="008F46A1"/>
    <w:rsid w:val="008F5618"/>
    <w:rsid w:val="008F58EC"/>
    <w:rsid w:val="008F604D"/>
    <w:rsid w:val="008F61C1"/>
    <w:rsid w:val="008F6CCC"/>
    <w:rsid w:val="008F6D19"/>
    <w:rsid w:val="008F74C6"/>
    <w:rsid w:val="00900057"/>
    <w:rsid w:val="009002AB"/>
    <w:rsid w:val="0090043B"/>
    <w:rsid w:val="00900EC1"/>
    <w:rsid w:val="00901089"/>
    <w:rsid w:val="0090138B"/>
    <w:rsid w:val="00902564"/>
    <w:rsid w:val="0090470F"/>
    <w:rsid w:val="009049CE"/>
    <w:rsid w:val="00906A83"/>
    <w:rsid w:val="00907294"/>
    <w:rsid w:val="00907B60"/>
    <w:rsid w:val="00911263"/>
    <w:rsid w:val="00911E52"/>
    <w:rsid w:val="00911E59"/>
    <w:rsid w:val="0091360E"/>
    <w:rsid w:val="00913A73"/>
    <w:rsid w:val="00914BB9"/>
    <w:rsid w:val="00914E9C"/>
    <w:rsid w:val="0091515B"/>
    <w:rsid w:val="009169A0"/>
    <w:rsid w:val="00916AC9"/>
    <w:rsid w:val="00917C6D"/>
    <w:rsid w:val="00917F2F"/>
    <w:rsid w:val="00920220"/>
    <w:rsid w:val="00920389"/>
    <w:rsid w:val="00921C98"/>
    <w:rsid w:val="00922409"/>
    <w:rsid w:val="00923801"/>
    <w:rsid w:val="009241A0"/>
    <w:rsid w:val="009244AB"/>
    <w:rsid w:val="0092461B"/>
    <w:rsid w:val="00924BD2"/>
    <w:rsid w:val="00924BEC"/>
    <w:rsid w:val="00924BF1"/>
    <w:rsid w:val="009255BA"/>
    <w:rsid w:val="00925B05"/>
    <w:rsid w:val="00925C45"/>
    <w:rsid w:val="009261AB"/>
    <w:rsid w:val="00926532"/>
    <w:rsid w:val="009265D3"/>
    <w:rsid w:val="009273EB"/>
    <w:rsid w:val="00927997"/>
    <w:rsid w:val="00927CD0"/>
    <w:rsid w:val="00930C70"/>
    <w:rsid w:val="00931B6C"/>
    <w:rsid w:val="00931C4D"/>
    <w:rsid w:val="00932900"/>
    <w:rsid w:val="00932D85"/>
    <w:rsid w:val="00932F7F"/>
    <w:rsid w:val="00933843"/>
    <w:rsid w:val="00934105"/>
    <w:rsid w:val="00934356"/>
    <w:rsid w:val="009343F3"/>
    <w:rsid w:val="00934C23"/>
    <w:rsid w:val="00935332"/>
    <w:rsid w:val="0093544C"/>
    <w:rsid w:val="00936E77"/>
    <w:rsid w:val="00936F28"/>
    <w:rsid w:val="00937AE5"/>
    <w:rsid w:val="00940259"/>
    <w:rsid w:val="00940DD3"/>
    <w:rsid w:val="00940E54"/>
    <w:rsid w:val="00940E96"/>
    <w:rsid w:val="009414B0"/>
    <w:rsid w:val="0094193D"/>
    <w:rsid w:val="0094209F"/>
    <w:rsid w:val="00943461"/>
    <w:rsid w:val="009436BF"/>
    <w:rsid w:val="009439EC"/>
    <w:rsid w:val="00943A98"/>
    <w:rsid w:val="00943D2F"/>
    <w:rsid w:val="0094408B"/>
    <w:rsid w:val="009441E5"/>
    <w:rsid w:val="009444D1"/>
    <w:rsid w:val="00944E04"/>
    <w:rsid w:val="0094653F"/>
    <w:rsid w:val="00946FF3"/>
    <w:rsid w:val="0094737A"/>
    <w:rsid w:val="00947CBC"/>
    <w:rsid w:val="0095002F"/>
    <w:rsid w:val="009505A6"/>
    <w:rsid w:val="009520D4"/>
    <w:rsid w:val="009523BD"/>
    <w:rsid w:val="00953306"/>
    <w:rsid w:val="00953CD9"/>
    <w:rsid w:val="00953E9C"/>
    <w:rsid w:val="00954E1E"/>
    <w:rsid w:val="00954EFA"/>
    <w:rsid w:val="00955241"/>
    <w:rsid w:val="00955B9C"/>
    <w:rsid w:val="00955CAE"/>
    <w:rsid w:val="00955E04"/>
    <w:rsid w:val="00956A81"/>
    <w:rsid w:val="00956CFB"/>
    <w:rsid w:val="00956D04"/>
    <w:rsid w:val="0095728B"/>
    <w:rsid w:val="0095757B"/>
    <w:rsid w:val="0095780C"/>
    <w:rsid w:val="009604BF"/>
    <w:rsid w:val="0096059D"/>
    <w:rsid w:val="00960B07"/>
    <w:rsid w:val="00961D62"/>
    <w:rsid w:val="00962EFB"/>
    <w:rsid w:val="0096302F"/>
    <w:rsid w:val="009632DB"/>
    <w:rsid w:val="00963F5C"/>
    <w:rsid w:val="0096468C"/>
    <w:rsid w:val="009647C8"/>
    <w:rsid w:val="00964821"/>
    <w:rsid w:val="00966005"/>
    <w:rsid w:val="00967035"/>
    <w:rsid w:val="0096749B"/>
    <w:rsid w:val="00967552"/>
    <w:rsid w:val="009710D9"/>
    <w:rsid w:val="009713D5"/>
    <w:rsid w:val="009715D4"/>
    <w:rsid w:val="00971672"/>
    <w:rsid w:val="009716DB"/>
    <w:rsid w:val="0097171D"/>
    <w:rsid w:val="009718A6"/>
    <w:rsid w:val="0097202E"/>
    <w:rsid w:val="00972FCB"/>
    <w:rsid w:val="009731C7"/>
    <w:rsid w:val="00973E39"/>
    <w:rsid w:val="009741FA"/>
    <w:rsid w:val="00976138"/>
    <w:rsid w:val="00976C41"/>
    <w:rsid w:val="00977094"/>
    <w:rsid w:val="009770E5"/>
    <w:rsid w:val="009774C4"/>
    <w:rsid w:val="0097787A"/>
    <w:rsid w:val="00980A27"/>
    <w:rsid w:val="00980D26"/>
    <w:rsid w:val="00980F1C"/>
    <w:rsid w:val="009810ED"/>
    <w:rsid w:val="00981818"/>
    <w:rsid w:val="00981F77"/>
    <w:rsid w:val="0098254F"/>
    <w:rsid w:val="00982B0D"/>
    <w:rsid w:val="00982C6F"/>
    <w:rsid w:val="0098307C"/>
    <w:rsid w:val="00983427"/>
    <w:rsid w:val="0098360E"/>
    <w:rsid w:val="00983F02"/>
    <w:rsid w:val="0098460E"/>
    <w:rsid w:val="00984F9A"/>
    <w:rsid w:val="00985017"/>
    <w:rsid w:val="009850A4"/>
    <w:rsid w:val="0098570B"/>
    <w:rsid w:val="00985A98"/>
    <w:rsid w:val="009862E4"/>
    <w:rsid w:val="00986561"/>
    <w:rsid w:val="00987150"/>
    <w:rsid w:val="00987169"/>
    <w:rsid w:val="00987728"/>
    <w:rsid w:val="00987ACF"/>
    <w:rsid w:val="009901FF"/>
    <w:rsid w:val="0099125A"/>
    <w:rsid w:val="00991CD3"/>
    <w:rsid w:val="00992823"/>
    <w:rsid w:val="00993FDA"/>
    <w:rsid w:val="0099424A"/>
    <w:rsid w:val="0099547B"/>
    <w:rsid w:val="00995551"/>
    <w:rsid w:val="00995FEB"/>
    <w:rsid w:val="00996648"/>
    <w:rsid w:val="0099695A"/>
    <w:rsid w:val="00996DCD"/>
    <w:rsid w:val="009A04CB"/>
    <w:rsid w:val="009A07E6"/>
    <w:rsid w:val="009A0E7E"/>
    <w:rsid w:val="009A1A50"/>
    <w:rsid w:val="009A1CE2"/>
    <w:rsid w:val="009A2177"/>
    <w:rsid w:val="009A233E"/>
    <w:rsid w:val="009A2616"/>
    <w:rsid w:val="009A293C"/>
    <w:rsid w:val="009A2B9D"/>
    <w:rsid w:val="009A394C"/>
    <w:rsid w:val="009A3DA1"/>
    <w:rsid w:val="009A45C7"/>
    <w:rsid w:val="009A4821"/>
    <w:rsid w:val="009A4B54"/>
    <w:rsid w:val="009A50D2"/>
    <w:rsid w:val="009A5F60"/>
    <w:rsid w:val="009A710A"/>
    <w:rsid w:val="009A7659"/>
    <w:rsid w:val="009A7FAB"/>
    <w:rsid w:val="009B0137"/>
    <w:rsid w:val="009B0D91"/>
    <w:rsid w:val="009B1891"/>
    <w:rsid w:val="009B18A7"/>
    <w:rsid w:val="009B1A74"/>
    <w:rsid w:val="009B1DC9"/>
    <w:rsid w:val="009B24FC"/>
    <w:rsid w:val="009B2D43"/>
    <w:rsid w:val="009B3D44"/>
    <w:rsid w:val="009B4956"/>
    <w:rsid w:val="009B508D"/>
    <w:rsid w:val="009B5AE8"/>
    <w:rsid w:val="009B5C29"/>
    <w:rsid w:val="009B6C27"/>
    <w:rsid w:val="009C0B34"/>
    <w:rsid w:val="009C1542"/>
    <w:rsid w:val="009C1D47"/>
    <w:rsid w:val="009C2431"/>
    <w:rsid w:val="009C4771"/>
    <w:rsid w:val="009C4B79"/>
    <w:rsid w:val="009C54B4"/>
    <w:rsid w:val="009C62CD"/>
    <w:rsid w:val="009C635F"/>
    <w:rsid w:val="009C6F87"/>
    <w:rsid w:val="009C74D0"/>
    <w:rsid w:val="009C7696"/>
    <w:rsid w:val="009C7868"/>
    <w:rsid w:val="009C79E2"/>
    <w:rsid w:val="009D034F"/>
    <w:rsid w:val="009D0D5F"/>
    <w:rsid w:val="009D1674"/>
    <w:rsid w:val="009D1954"/>
    <w:rsid w:val="009D273C"/>
    <w:rsid w:val="009D278B"/>
    <w:rsid w:val="009D30F7"/>
    <w:rsid w:val="009D333F"/>
    <w:rsid w:val="009D350D"/>
    <w:rsid w:val="009D56C6"/>
    <w:rsid w:val="009D5873"/>
    <w:rsid w:val="009D5A9F"/>
    <w:rsid w:val="009D5BD8"/>
    <w:rsid w:val="009D5E58"/>
    <w:rsid w:val="009D6797"/>
    <w:rsid w:val="009D7008"/>
    <w:rsid w:val="009D799D"/>
    <w:rsid w:val="009D7C48"/>
    <w:rsid w:val="009E0342"/>
    <w:rsid w:val="009E0478"/>
    <w:rsid w:val="009E0A83"/>
    <w:rsid w:val="009E2803"/>
    <w:rsid w:val="009E2F83"/>
    <w:rsid w:val="009E3659"/>
    <w:rsid w:val="009E3768"/>
    <w:rsid w:val="009E3B84"/>
    <w:rsid w:val="009E4090"/>
    <w:rsid w:val="009E509D"/>
    <w:rsid w:val="009E5DBE"/>
    <w:rsid w:val="009F117A"/>
    <w:rsid w:val="009F20A0"/>
    <w:rsid w:val="009F222B"/>
    <w:rsid w:val="009F2A72"/>
    <w:rsid w:val="009F2E41"/>
    <w:rsid w:val="009F32D3"/>
    <w:rsid w:val="009F43CB"/>
    <w:rsid w:val="009F55B7"/>
    <w:rsid w:val="009F5757"/>
    <w:rsid w:val="009F5CC8"/>
    <w:rsid w:val="009F64F5"/>
    <w:rsid w:val="009F71DF"/>
    <w:rsid w:val="009F7C9C"/>
    <w:rsid w:val="00A00A75"/>
    <w:rsid w:val="00A00B61"/>
    <w:rsid w:val="00A01075"/>
    <w:rsid w:val="00A015EC"/>
    <w:rsid w:val="00A01937"/>
    <w:rsid w:val="00A023BA"/>
    <w:rsid w:val="00A02733"/>
    <w:rsid w:val="00A0341D"/>
    <w:rsid w:val="00A0345E"/>
    <w:rsid w:val="00A03808"/>
    <w:rsid w:val="00A03822"/>
    <w:rsid w:val="00A03E9B"/>
    <w:rsid w:val="00A044C2"/>
    <w:rsid w:val="00A04979"/>
    <w:rsid w:val="00A04F74"/>
    <w:rsid w:val="00A05281"/>
    <w:rsid w:val="00A05951"/>
    <w:rsid w:val="00A06322"/>
    <w:rsid w:val="00A067D3"/>
    <w:rsid w:val="00A06A5D"/>
    <w:rsid w:val="00A07121"/>
    <w:rsid w:val="00A074CA"/>
    <w:rsid w:val="00A07F28"/>
    <w:rsid w:val="00A10B2D"/>
    <w:rsid w:val="00A11654"/>
    <w:rsid w:val="00A116D1"/>
    <w:rsid w:val="00A11975"/>
    <w:rsid w:val="00A12374"/>
    <w:rsid w:val="00A126AA"/>
    <w:rsid w:val="00A128DA"/>
    <w:rsid w:val="00A12C8A"/>
    <w:rsid w:val="00A13250"/>
    <w:rsid w:val="00A137F1"/>
    <w:rsid w:val="00A13D29"/>
    <w:rsid w:val="00A1405F"/>
    <w:rsid w:val="00A14125"/>
    <w:rsid w:val="00A142A8"/>
    <w:rsid w:val="00A14715"/>
    <w:rsid w:val="00A14988"/>
    <w:rsid w:val="00A15A96"/>
    <w:rsid w:val="00A16447"/>
    <w:rsid w:val="00A17245"/>
    <w:rsid w:val="00A17888"/>
    <w:rsid w:val="00A178DF"/>
    <w:rsid w:val="00A17C13"/>
    <w:rsid w:val="00A17FDD"/>
    <w:rsid w:val="00A20610"/>
    <w:rsid w:val="00A20D84"/>
    <w:rsid w:val="00A23018"/>
    <w:rsid w:val="00A230F6"/>
    <w:rsid w:val="00A23215"/>
    <w:rsid w:val="00A235A9"/>
    <w:rsid w:val="00A23E9B"/>
    <w:rsid w:val="00A240C3"/>
    <w:rsid w:val="00A24C6E"/>
    <w:rsid w:val="00A2589F"/>
    <w:rsid w:val="00A26F83"/>
    <w:rsid w:val="00A303E7"/>
    <w:rsid w:val="00A30CAF"/>
    <w:rsid w:val="00A31FF6"/>
    <w:rsid w:val="00A32FEE"/>
    <w:rsid w:val="00A3488D"/>
    <w:rsid w:val="00A34B32"/>
    <w:rsid w:val="00A35350"/>
    <w:rsid w:val="00A36341"/>
    <w:rsid w:val="00A364DD"/>
    <w:rsid w:val="00A36E57"/>
    <w:rsid w:val="00A3717E"/>
    <w:rsid w:val="00A37372"/>
    <w:rsid w:val="00A375F6"/>
    <w:rsid w:val="00A37E12"/>
    <w:rsid w:val="00A4088B"/>
    <w:rsid w:val="00A40DF5"/>
    <w:rsid w:val="00A414C5"/>
    <w:rsid w:val="00A41519"/>
    <w:rsid w:val="00A41618"/>
    <w:rsid w:val="00A42322"/>
    <w:rsid w:val="00A43A4F"/>
    <w:rsid w:val="00A43ACF"/>
    <w:rsid w:val="00A44162"/>
    <w:rsid w:val="00A44471"/>
    <w:rsid w:val="00A4580A"/>
    <w:rsid w:val="00A4612E"/>
    <w:rsid w:val="00A46638"/>
    <w:rsid w:val="00A4686D"/>
    <w:rsid w:val="00A46F49"/>
    <w:rsid w:val="00A4732A"/>
    <w:rsid w:val="00A47929"/>
    <w:rsid w:val="00A47C37"/>
    <w:rsid w:val="00A47EB1"/>
    <w:rsid w:val="00A5083C"/>
    <w:rsid w:val="00A51134"/>
    <w:rsid w:val="00A512A1"/>
    <w:rsid w:val="00A521AD"/>
    <w:rsid w:val="00A52B9E"/>
    <w:rsid w:val="00A52DD0"/>
    <w:rsid w:val="00A530EB"/>
    <w:rsid w:val="00A5329B"/>
    <w:rsid w:val="00A535F9"/>
    <w:rsid w:val="00A53E38"/>
    <w:rsid w:val="00A541DF"/>
    <w:rsid w:val="00A54DFB"/>
    <w:rsid w:val="00A5594F"/>
    <w:rsid w:val="00A559F2"/>
    <w:rsid w:val="00A55A0D"/>
    <w:rsid w:val="00A5668C"/>
    <w:rsid w:val="00A57832"/>
    <w:rsid w:val="00A602AF"/>
    <w:rsid w:val="00A6066E"/>
    <w:rsid w:val="00A609CB"/>
    <w:rsid w:val="00A60B0D"/>
    <w:rsid w:val="00A60C6B"/>
    <w:rsid w:val="00A60E1D"/>
    <w:rsid w:val="00A621FB"/>
    <w:rsid w:val="00A62CB0"/>
    <w:rsid w:val="00A6494B"/>
    <w:rsid w:val="00A64AEB"/>
    <w:rsid w:val="00A651E6"/>
    <w:rsid w:val="00A65739"/>
    <w:rsid w:val="00A65939"/>
    <w:rsid w:val="00A6597B"/>
    <w:rsid w:val="00A66013"/>
    <w:rsid w:val="00A67484"/>
    <w:rsid w:val="00A7173D"/>
    <w:rsid w:val="00A71B03"/>
    <w:rsid w:val="00A71BFB"/>
    <w:rsid w:val="00A71FEF"/>
    <w:rsid w:val="00A73266"/>
    <w:rsid w:val="00A73389"/>
    <w:rsid w:val="00A742C7"/>
    <w:rsid w:val="00A74C03"/>
    <w:rsid w:val="00A7509C"/>
    <w:rsid w:val="00A75AFB"/>
    <w:rsid w:val="00A769FA"/>
    <w:rsid w:val="00A77DFF"/>
    <w:rsid w:val="00A80922"/>
    <w:rsid w:val="00A8103C"/>
    <w:rsid w:val="00A81632"/>
    <w:rsid w:val="00A82504"/>
    <w:rsid w:val="00A8251F"/>
    <w:rsid w:val="00A832C5"/>
    <w:rsid w:val="00A845FA"/>
    <w:rsid w:val="00A84AE7"/>
    <w:rsid w:val="00A84C4A"/>
    <w:rsid w:val="00A84ED8"/>
    <w:rsid w:val="00A851AE"/>
    <w:rsid w:val="00A86F37"/>
    <w:rsid w:val="00A9072F"/>
    <w:rsid w:val="00A907F5"/>
    <w:rsid w:val="00A90AD4"/>
    <w:rsid w:val="00A90B2F"/>
    <w:rsid w:val="00A91085"/>
    <w:rsid w:val="00A911B3"/>
    <w:rsid w:val="00A9319C"/>
    <w:rsid w:val="00A931AE"/>
    <w:rsid w:val="00A93CAE"/>
    <w:rsid w:val="00A93DF3"/>
    <w:rsid w:val="00A94FCB"/>
    <w:rsid w:val="00A950EA"/>
    <w:rsid w:val="00A95E78"/>
    <w:rsid w:val="00A96454"/>
    <w:rsid w:val="00A96865"/>
    <w:rsid w:val="00A96A84"/>
    <w:rsid w:val="00A96B74"/>
    <w:rsid w:val="00A96DF3"/>
    <w:rsid w:val="00A972E1"/>
    <w:rsid w:val="00A97BC6"/>
    <w:rsid w:val="00AA058C"/>
    <w:rsid w:val="00AA12E1"/>
    <w:rsid w:val="00AA1316"/>
    <w:rsid w:val="00AA1504"/>
    <w:rsid w:val="00AA16E4"/>
    <w:rsid w:val="00AA2DE3"/>
    <w:rsid w:val="00AA3101"/>
    <w:rsid w:val="00AA352F"/>
    <w:rsid w:val="00AA3988"/>
    <w:rsid w:val="00AA3D75"/>
    <w:rsid w:val="00AA45E4"/>
    <w:rsid w:val="00AA4A0A"/>
    <w:rsid w:val="00AA5C77"/>
    <w:rsid w:val="00AA687B"/>
    <w:rsid w:val="00AA6CCF"/>
    <w:rsid w:val="00AA6EDA"/>
    <w:rsid w:val="00AB0DFC"/>
    <w:rsid w:val="00AB1280"/>
    <w:rsid w:val="00AB26ED"/>
    <w:rsid w:val="00AB3190"/>
    <w:rsid w:val="00AB31C7"/>
    <w:rsid w:val="00AB38AC"/>
    <w:rsid w:val="00AB3DEE"/>
    <w:rsid w:val="00AB6058"/>
    <w:rsid w:val="00AB62B2"/>
    <w:rsid w:val="00AB6EAF"/>
    <w:rsid w:val="00AB7048"/>
    <w:rsid w:val="00AB742C"/>
    <w:rsid w:val="00AC1969"/>
    <w:rsid w:val="00AC1F39"/>
    <w:rsid w:val="00AC205A"/>
    <w:rsid w:val="00AC4011"/>
    <w:rsid w:val="00AC4159"/>
    <w:rsid w:val="00AC426F"/>
    <w:rsid w:val="00AC42BD"/>
    <w:rsid w:val="00AC46E0"/>
    <w:rsid w:val="00AC4D12"/>
    <w:rsid w:val="00AC5585"/>
    <w:rsid w:val="00AC5D89"/>
    <w:rsid w:val="00AC6D61"/>
    <w:rsid w:val="00AC6D85"/>
    <w:rsid w:val="00AC7647"/>
    <w:rsid w:val="00AC7C29"/>
    <w:rsid w:val="00AC7D2C"/>
    <w:rsid w:val="00AC7D6D"/>
    <w:rsid w:val="00AD07DD"/>
    <w:rsid w:val="00AD15B6"/>
    <w:rsid w:val="00AD1A99"/>
    <w:rsid w:val="00AD1C58"/>
    <w:rsid w:val="00AD1F5E"/>
    <w:rsid w:val="00AD251A"/>
    <w:rsid w:val="00AD313B"/>
    <w:rsid w:val="00AD38DD"/>
    <w:rsid w:val="00AD3C9E"/>
    <w:rsid w:val="00AD408F"/>
    <w:rsid w:val="00AD459A"/>
    <w:rsid w:val="00AD490A"/>
    <w:rsid w:val="00AD509F"/>
    <w:rsid w:val="00AD5B4F"/>
    <w:rsid w:val="00AD6026"/>
    <w:rsid w:val="00AD6334"/>
    <w:rsid w:val="00AD6345"/>
    <w:rsid w:val="00AD68FF"/>
    <w:rsid w:val="00AD7208"/>
    <w:rsid w:val="00AD7960"/>
    <w:rsid w:val="00AE029A"/>
    <w:rsid w:val="00AE0E9D"/>
    <w:rsid w:val="00AE14D8"/>
    <w:rsid w:val="00AE1B9F"/>
    <w:rsid w:val="00AE20FC"/>
    <w:rsid w:val="00AE2A53"/>
    <w:rsid w:val="00AE2C14"/>
    <w:rsid w:val="00AE2E38"/>
    <w:rsid w:val="00AE2E72"/>
    <w:rsid w:val="00AE464C"/>
    <w:rsid w:val="00AE4698"/>
    <w:rsid w:val="00AE55C2"/>
    <w:rsid w:val="00AE5DED"/>
    <w:rsid w:val="00AE7254"/>
    <w:rsid w:val="00AE74FD"/>
    <w:rsid w:val="00AE76DB"/>
    <w:rsid w:val="00AF00FD"/>
    <w:rsid w:val="00AF0261"/>
    <w:rsid w:val="00AF0790"/>
    <w:rsid w:val="00AF090F"/>
    <w:rsid w:val="00AF103A"/>
    <w:rsid w:val="00AF1721"/>
    <w:rsid w:val="00AF1A33"/>
    <w:rsid w:val="00AF1A46"/>
    <w:rsid w:val="00AF1FCC"/>
    <w:rsid w:val="00AF221A"/>
    <w:rsid w:val="00AF26FA"/>
    <w:rsid w:val="00AF28E8"/>
    <w:rsid w:val="00AF2944"/>
    <w:rsid w:val="00AF2FCC"/>
    <w:rsid w:val="00AF3D97"/>
    <w:rsid w:val="00AF463A"/>
    <w:rsid w:val="00AF57A6"/>
    <w:rsid w:val="00AF62B7"/>
    <w:rsid w:val="00AF7722"/>
    <w:rsid w:val="00AF798A"/>
    <w:rsid w:val="00AF7B82"/>
    <w:rsid w:val="00B012C6"/>
    <w:rsid w:val="00B01DDC"/>
    <w:rsid w:val="00B0215F"/>
    <w:rsid w:val="00B0234C"/>
    <w:rsid w:val="00B0243D"/>
    <w:rsid w:val="00B028E2"/>
    <w:rsid w:val="00B02CD7"/>
    <w:rsid w:val="00B02E9D"/>
    <w:rsid w:val="00B02EA5"/>
    <w:rsid w:val="00B0398A"/>
    <w:rsid w:val="00B04151"/>
    <w:rsid w:val="00B05F78"/>
    <w:rsid w:val="00B0620D"/>
    <w:rsid w:val="00B06B19"/>
    <w:rsid w:val="00B06EA8"/>
    <w:rsid w:val="00B06EB2"/>
    <w:rsid w:val="00B07F76"/>
    <w:rsid w:val="00B1070C"/>
    <w:rsid w:val="00B10DE7"/>
    <w:rsid w:val="00B10F21"/>
    <w:rsid w:val="00B10F24"/>
    <w:rsid w:val="00B11B59"/>
    <w:rsid w:val="00B11BF1"/>
    <w:rsid w:val="00B11C93"/>
    <w:rsid w:val="00B11D2D"/>
    <w:rsid w:val="00B11D8C"/>
    <w:rsid w:val="00B125AD"/>
    <w:rsid w:val="00B12736"/>
    <w:rsid w:val="00B12E2A"/>
    <w:rsid w:val="00B1432A"/>
    <w:rsid w:val="00B145D4"/>
    <w:rsid w:val="00B14931"/>
    <w:rsid w:val="00B14A6D"/>
    <w:rsid w:val="00B15520"/>
    <w:rsid w:val="00B169EB"/>
    <w:rsid w:val="00B17CA2"/>
    <w:rsid w:val="00B203C0"/>
    <w:rsid w:val="00B2070D"/>
    <w:rsid w:val="00B20766"/>
    <w:rsid w:val="00B20D6A"/>
    <w:rsid w:val="00B2141A"/>
    <w:rsid w:val="00B21830"/>
    <w:rsid w:val="00B21ADF"/>
    <w:rsid w:val="00B220B5"/>
    <w:rsid w:val="00B23345"/>
    <w:rsid w:val="00B23807"/>
    <w:rsid w:val="00B23A93"/>
    <w:rsid w:val="00B24DBA"/>
    <w:rsid w:val="00B24E1B"/>
    <w:rsid w:val="00B24F26"/>
    <w:rsid w:val="00B25435"/>
    <w:rsid w:val="00B25AF3"/>
    <w:rsid w:val="00B275E1"/>
    <w:rsid w:val="00B27C65"/>
    <w:rsid w:val="00B30A63"/>
    <w:rsid w:val="00B30FD8"/>
    <w:rsid w:val="00B312C9"/>
    <w:rsid w:val="00B31EB3"/>
    <w:rsid w:val="00B3244F"/>
    <w:rsid w:val="00B335E4"/>
    <w:rsid w:val="00B342AC"/>
    <w:rsid w:val="00B343C7"/>
    <w:rsid w:val="00B344C6"/>
    <w:rsid w:val="00B352BC"/>
    <w:rsid w:val="00B3549C"/>
    <w:rsid w:val="00B35C5E"/>
    <w:rsid w:val="00B36B84"/>
    <w:rsid w:val="00B3729D"/>
    <w:rsid w:val="00B37402"/>
    <w:rsid w:val="00B377FE"/>
    <w:rsid w:val="00B40C4A"/>
    <w:rsid w:val="00B40C4F"/>
    <w:rsid w:val="00B41C4B"/>
    <w:rsid w:val="00B41E07"/>
    <w:rsid w:val="00B428D6"/>
    <w:rsid w:val="00B42EA4"/>
    <w:rsid w:val="00B42EEC"/>
    <w:rsid w:val="00B43952"/>
    <w:rsid w:val="00B43E11"/>
    <w:rsid w:val="00B440C8"/>
    <w:rsid w:val="00B441E2"/>
    <w:rsid w:val="00B44267"/>
    <w:rsid w:val="00B443AD"/>
    <w:rsid w:val="00B448C5"/>
    <w:rsid w:val="00B44DC7"/>
    <w:rsid w:val="00B44F83"/>
    <w:rsid w:val="00B457BA"/>
    <w:rsid w:val="00B45B22"/>
    <w:rsid w:val="00B46636"/>
    <w:rsid w:val="00B46694"/>
    <w:rsid w:val="00B46B19"/>
    <w:rsid w:val="00B479DE"/>
    <w:rsid w:val="00B500F1"/>
    <w:rsid w:val="00B50939"/>
    <w:rsid w:val="00B5205D"/>
    <w:rsid w:val="00B52201"/>
    <w:rsid w:val="00B52B20"/>
    <w:rsid w:val="00B535FC"/>
    <w:rsid w:val="00B5386B"/>
    <w:rsid w:val="00B54C0A"/>
    <w:rsid w:val="00B551DE"/>
    <w:rsid w:val="00B553E1"/>
    <w:rsid w:val="00B5581F"/>
    <w:rsid w:val="00B5644D"/>
    <w:rsid w:val="00B56486"/>
    <w:rsid w:val="00B5671C"/>
    <w:rsid w:val="00B569C0"/>
    <w:rsid w:val="00B56A12"/>
    <w:rsid w:val="00B56B67"/>
    <w:rsid w:val="00B5719F"/>
    <w:rsid w:val="00B57861"/>
    <w:rsid w:val="00B609D4"/>
    <w:rsid w:val="00B60CBB"/>
    <w:rsid w:val="00B60F2A"/>
    <w:rsid w:val="00B61344"/>
    <w:rsid w:val="00B61591"/>
    <w:rsid w:val="00B61FF0"/>
    <w:rsid w:val="00B625D0"/>
    <w:rsid w:val="00B62EE0"/>
    <w:rsid w:val="00B630A0"/>
    <w:rsid w:val="00B63608"/>
    <w:rsid w:val="00B6391D"/>
    <w:rsid w:val="00B63953"/>
    <w:rsid w:val="00B63E1F"/>
    <w:rsid w:val="00B64192"/>
    <w:rsid w:val="00B645E6"/>
    <w:rsid w:val="00B64950"/>
    <w:rsid w:val="00B64B01"/>
    <w:rsid w:val="00B65143"/>
    <w:rsid w:val="00B65470"/>
    <w:rsid w:val="00B65A4D"/>
    <w:rsid w:val="00B65B76"/>
    <w:rsid w:val="00B664EC"/>
    <w:rsid w:val="00B667E8"/>
    <w:rsid w:val="00B66C5A"/>
    <w:rsid w:val="00B67011"/>
    <w:rsid w:val="00B67703"/>
    <w:rsid w:val="00B70688"/>
    <w:rsid w:val="00B70ACE"/>
    <w:rsid w:val="00B70C8B"/>
    <w:rsid w:val="00B70EE8"/>
    <w:rsid w:val="00B7113C"/>
    <w:rsid w:val="00B71943"/>
    <w:rsid w:val="00B725E6"/>
    <w:rsid w:val="00B72947"/>
    <w:rsid w:val="00B731B7"/>
    <w:rsid w:val="00B734F0"/>
    <w:rsid w:val="00B736AE"/>
    <w:rsid w:val="00B7468F"/>
    <w:rsid w:val="00B74E31"/>
    <w:rsid w:val="00B7553A"/>
    <w:rsid w:val="00B75BB9"/>
    <w:rsid w:val="00B75C73"/>
    <w:rsid w:val="00B75D6B"/>
    <w:rsid w:val="00B76A05"/>
    <w:rsid w:val="00B76A0E"/>
    <w:rsid w:val="00B771E1"/>
    <w:rsid w:val="00B7780F"/>
    <w:rsid w:val="00B778F0"/>
    <w:rsid w:val="00B80542"/>
    <w:rsid w:val="00B80A47"/>
    <w:rsid w:val="00B80ACE"/>
    <w:rsid w:val="00B80B88"/>
    <w:rsid w:val="00B8109A"/>
    <w:rsid w:val="00B815B7"/>
    <w:rsid w:val="00B815D4"/>
    <w:rsid w:val="00B82952"/>
    <w:rsid w:val="00B83262"/>
    <w:rsid w:val="00B835B4"/>
    <w:rsid w:val="00B83D69"/>
    <w:rsid w:val="00B84557"/>
    <w:rsid w:val="00B84A94"/>
    <w:rsid w:val="00B84B95"/>
    <w:rsid w:val="00B84C0A"/>
    <w:rsid w:val="00B84D7C"/>
    <w:rsid w:val="00B85366"/>
    <w:rsid w:val="00B8596E"/>
    <w:rsid w:val="00B86306"/>
    <w:rsid w:val="00B86973"/>
    <w:rsid w:val="00B8702A"/>
    <w:rsid w:val="00B87BB8"/>
    <w:rsid w:val="00B91FCF"/>
    <w:rsid w:val="00B92315"/>
    <w:rsid w:val="00B92985"/>
    <w:rsid w:val="00B92AD3"/>
    <w:rsid w:val="00B92E75"/>
    <w:rsid w:val="00B93EE1"/>
    <w:rsid w:val="00B945A5"/>
    <w:rsid w:val="00B94D3F"/>
    <w:rsid w:val="00B95C2B"/>
    <w:rsid w:val="00B95FEC"/>
    <w:rsid w:val="00B9619E"/>
    <w:rsid w:val="00B96408"/>
    <w:rsid w:val="00B9657B"/>
    <w:rsid w:val="00BA02C9"/>
    <w:rsid w:val="00BA0824"/>
    <w:rsid w:val="00BA11A3"/>
    <w:rsid w:val="00BA1A8B"/>
    <w:rsid w:val="00BA1CCE"/>
    <w:rsid w:val="00BA1F2D"/>
    <w:rsid w:val="00BA25F4"/>
    <w:rsid w:val="00BA2660"/>
    <w:rsid w:val="00BA3EE0"/>
    <w:rsid w:val="00BA442F"/>
    <w:rsid w:val="00BA4C13"/>
    <w:rsid w:val="00BA4C99"/>
    <w:rsid w:val="00BA5522"/>
    <w:rsid w:val="00BA5951"/>
    <w:rsid w:val="00BA5C3B"/>
    <w:rsid w:val="00BA6075"/>
    <w:rsid w:val="00BA6580"/>
    <w:rsid w:val="00BA69FA"/>
    <w:rsid w:val="00BA6BC0"/>
    <w:rsid w:val="00BA6FCC"/>
    <w:rsid w:val="00BA7407"/>
    <w:rsid w:val="00BB0049"/>
    <w:rsid w:val="00BB022E"/>
    <w:rsid w:val="00BB0390"/>
    <w:rsid w:val="00BB07A2"/>
    <w:rsid w:val="00BB0FAC"/>
    <w:rsid w:val="00BB13C5"/>
    <w:rsid w:val="00BB1A46"/>
    <w:rsid w:val="00BB1E37"/>
    <w:rsid w:val="00BB2B7F"/>
    <w:rsid w:val="00BB30D7"/>
    <w:rsid w:val="00BB3C1A"/>
    <w:rsid w:val="00BB3DC0"/>
    <w:rsid w:val="00BB3F6A"/>
    <w:rsid w:val="00BB44ED"/>
    <w:rsid w:val="00BB46DB"/>
    <w:rsid w:val="00BB4814"/>
    <w:rsid w:val="00BB48E3"/>
    <w:rsid w:val="00BB5933"/>
    <w:rsid w:val="00BB6B7B"/>
    <w:rsid w:val="00BB6C9B"/>
    <w:rsid w:val="00BB6D48"/>
    <w:rsid w:val="00BB7002"/>
    <w:rsid w:val="00BB729F"/>
    <w:rsid w:val="00BB73B3"/>
    <w:rsid w:val="00BB7674"/>
    <w:rsid w:val="00BB7B96"/>
    <w:rsid w:val="00BB7BDB"/>
    <w:rsid w:val="00BB7F40"/>
    <w:rsid w:val="00BC01B9"/>
    <w:rsid w:val="00BC1782"/>
    <w:rsid w:val="00BC23A7"/>
    <w:rsid w:val="00BC2CA6"/>
    <w:rsid w:val="00BC37E9"/>
    <w:rsid w:val="00BC4D71"/>
    <w:rsid w:val="00BC56E8"/>
    <w:rsid w:val="00BC5731"/>
    <w:rsid w:val="00BC6761"/>
    <w:rsid w:val="00BC696B"/>
    <w:rsid w:val="00BC6F2A"/>
    <w:rsid w:val="00BC787C"/>
    <w:rsid w:val="00BC7F33"/>
    <w:rsid w:val="00BD097C"/>
    <w:rsid w:val="00BD17CD"/>
    <w:rsid w:val="00BD2459"/>
    <w:rsid w:val="00BD41B5"/>
    <w:rsid w:val="00BD4F23"/>
    <w:rsid w:val="00BD50B9"/>
    <w:rsid w:val="00BD5258"/>
    <w:rsid w:val="00BD596C"/>
    <w:rsid w:val="00BD5C94"/>
    <w:rsid w:val="00BD6506"/>
    <w:rsid w:val="00BD6833"/>
    <w:rsid w:val="00BD6FDB"/>
    <w:rsid w:val="00BD73A9"/>
    <w:rsid w:val="00BD7B02"/>
    <w:rsid w:val="00BD7E26"/>
    <w:rsid w:val="00BE0045"/>
    <w:rsid w:val="00BE0145"/>
    <w:rsid w:val="00BE0C2B"/>
    <w:rsid w:val="00BE1542"/>
    <w:rsid w:val="00BE1E6B"/>
    <w:rsid w:val="00BE1F54"/>
    <w:rsid w:val="00BE269C"/>
    <w:rsid w:val="00BE29C7"/>
    <w:rsid w:val="00BE2D18"/>
    <w:rsid w:val="00BE3B90"/>
    <w:rsid w:val="00BE3CCC"/>
    <w:rsid w:val="00BE3D8A"/>
    <w:rsid w:val="00BE4B1F"/>
    <w:rsid w:val="00BE4D9E"/>
    <w:rsid w:val="00BE52BF"/>
    <w:rsid w:val="00BE5735"/>
    <w:rsid w:val="00BE5788"/>
    <w:rsid w:val="00BE69D0"/>
    <w:rsid w:val="00BE74CB"/>
    <w:rsid w:val="00BF09D3"/>
    <w:rsid w:val="00BF0AEF"/>
    <w:rsid w:val="00BF0B34"/>
    <w:rsid w:val="00BF0D87"/>
    <w:rsid w:val="00BF19E1"/>
    <w:rsid w:val="00BF1A94"/>
    <w:rsid w:val="00BF1CAD"/>
    <w:rsid w:val="00BF2484"/>
    <w:rsid w:val="00BF2B82"/>
    <w:rsid w:val="00BF2F20"/>
    <w:rsid w:val="00BF3E81"/>
    <w:rsid w:val="00BF4606"/>
    <w:rsid w:val="00BF4F9E"/>
    <w:rsid w:val="00BF5E3C"/>
    <w:rsid w:val="00BF6962"/>
    <w:rsid w:val="00BF6D91"/>
    <w:rsid w:val="00BF726C"/>
    <w:rsid w:val="00BF7514"/>
    <w:rsid w:val="00BF7A83"/>
    <w:rsid w:val="00C002B6"/>
    <w:rsid w:val="00C009D9"/>
    <w:rsid w:val="00C00D9B"/>
    <w:rsid w:val="00C00DE3"/>
    <w:rsid w:val="00C01164"/>
    <w:rsid w:val="00C011F7"/>
    <w:rsid w:val="00C0188D"/>
    <w:rsid w:val="00C023F4"/>
    <w:rsid w:val="00C0297C"/>
    <w:rsid w:val="00C02E07"/>
    <w:rsid w:val="00C033B5"/>
    <w:rsid w:val="00C03420"/>
    <w:rsid w:val="00C03FA2"/>
    <w:rsid w:val="00C04042"/>
    <w:rsid w:val="00C047A0"/>
    <w:rsid w:val="00C05EF3"/>
    <w:rsid w:val="00C06202"/>
    <w:rsid w:val="00C0622F"/>
    <w:rsid w:val="00C06906"/>
    <w:rsid w:val="00C10125"/>
    <w:rsid w:val="00C10321"/>
    <w:rsid w:val="00C10548"/>
    <w:rsid w:val="00C11AAC"/>
    <w:rsid w:val="00C123CB"/>
    <w:rsid w:val="00C124F4"/>
    <w:rsid w:val="00C126C3"/>
    <w:rsid w:val="00C1329D"/>
    <w:rsid w:val="00C13E0D"/>
    <w:rsid w:val="00C140FC"/>
    <w:rsid w:val="00C1453E"/>
    <w:rsid w:val="00C14639"/>
    <w:rsid w:val="00C1519F"/>
    <w:rsid w:val="00C15408"/>
    <w:rsid w:val="00C15CE1"/>
    <w:rsid w:val="00C16060"/>
    <w:rsid w:val="00C16D24"/>
    <w:rsid w:val="00C177EB"/>
    <w:rsid w:val="00C2011A"/>
    <w:rsid w:val="00C20982"/>
    <w:rsid w:val="00C20A03"/>
    <w:rsid w:val="00C20D5B"/>
    <w:rsid w:val="00C21A48"/>
    <w:rsid w:val="00C22679"/>
    <w:rsid w:val="00C2321E"/>
    <w:rsid w:val="00C236D8"/>
    <w:rsid w:val="00C23720"/>
    <w:rsid w:val="00C24866"/>
    <w:rsid w:val="00C24ED1"/>
    <w:rsid w:val="00C2580E"/>
    <w:rsid w:val="00C2592B"/>
    <w:rsid w:val="00C25946"/>
    <w:rsid w:val="00C261FE"/>
    <w:rsid w:val="00C264B7"/>
    <w:rsid w:val="00C265F7"/>
    <w:rsid w:val="00C2665E"/>
    <w:rsid w:val="00C277D7"/>
    <w:rsid w:val="00C27C2E"/>
    <w:rsid w:val="00C313D8"/>
    <w:rsid w:val="00C31854"/>
    <w:rsid w:val="00C32001"/>
    <w:rsid w:val="00C336E1"/>
    <w:rsid w:val="00C33870"/>
    <w:rsid w:val="00C348CD"/>
    <w:rsid w:val="00C34A09"/>
    <w:rsid w:val="00C35C42"/>
    <w:rsid w:val="00C36323"/>
    <w:rsid w:val="00C366B6"/>
    <w:rsid w:val="00C36F37"/>
    <w:rsid w:val="00C374B1"/>
    <w:rsid w:val="00C3781F"/>
    <w:rsid w:val="00C4002D"/>
    <w:rsid w:val="00C40854"/>
    <w:rsid w:val="00C41E47"/>
    <w:rsid w:val="00C42E8A"/>
    <w:rsid w:val="00C44254"/>
    <w:rsid w:val="00C448E3"/>
    <w:rsid w:val="00C4518F"/>
    <w:rsid w:val="00C451AD"/>
    <w:rsid w:val="00C452D5"/>
    <w:rsid w:val="00C45912"/>
    <w:rsid w:val="00C46342"/>
    <w:rsid w:val="00C464B6"/>
    <w:rsid w:val="00C46CFC"/>
    <w:rsid w:val="00C47165"/>
    <w:rsid w:val="00C472E8"/>
    <w:rsid w:val="00C474A2"/>
    <w:rsid w:val="00C4791E"/>
    <w:rsid w:val="00C505C9"/>
    <w:rsid w:val="00C509EC"/>
    <w:rsid w:val="00C51824"/>
    <w:rsid w:val="00C519A6"/>
    <w:rsid w:val="00C52E46"/>
    <w:rsid w:val="00C535FC"/>
    <w:rsid w:val="00C53CAA"/>
    <w:rsid w:val="00C540EC"/>
    <w:rsid w:val="00C54853"/>
    <w:rsid w:val="00C54FBB"/>
    <w:rsid w:val="00C552BF"/>
    <w:rsid w:val="00C559AF"/>
    <w:rsid w:val="00C56E96"/>
    <w:rsid w:val="00C570C3"/>
    <w:rsid w:val="00C57FFE"/>
    <w:rsid w:val="00C6047B"/>
    <w:rsid w:val="00C60DEF"/>
    <w:rsid w:val="00C60E2E"/>
    <w:rsid w:val="00C619F0"/>
    <w:rsid w:val="00C61CC4"/>
    <w:rsid w:val="00C62087"/>
    <w:rsid w:val="00C620DA"/>
    <w:rsid w:val="00C62150"/>
    <w:rsid w:val="00C63089"/>
    <w:rsid w:val="00C6317A"/>
    <w:rsid w:val="00C64034"/>
    <w:rsid w:val="00C64512"/>
    <w:rsid w:val="00C64AD6"/>
    <w:rsid w:val="00C65006"/>
    <w:rsid w:val="00C656F6"/>
    <w:rsid w:val="00C66954"/>
    <w:rsid w:val="00C66F26"/>
    <w:rsid w:val="00C7018B"/>
    <w:rsid w:val="00C70834"/>
    <w:rsid w:val="00C71257"/>
    <w:rsid w:val="00C713EA"/>
    <w:rsid w:val="00C715A3"/>
    <w:rsid w:val="00C71875"/>
    <w:rsid w:val="00C739AA"/>
    <w:rsid w:val="00C743DE"/>
    <w:rsid w:val="00C746F0"/>
    <w:rsid w:val="00C75CDD"/>
    <w:rsid w:val="00C76547"/>
    <w:rsid w:val="00C76584"/>
    <w:rsid w:val="00C7659E"/>
    <w:rsid w:val="00C76E4F"/>
    <w:rsid w:val="00C770BF"/>
    <w:rsid w:val="00C77BC5"/>
    <w:rsid w:val="00C80578"/>
    <w:rsid w:val="00C81A70"/>
    <w:rsid w:val="00C81C33"/>
    <w:rsid w:val="00C81C44"/>
    <w:rsid w:val="00C8300B"/>
    <w:rsid w:val="00C8307E"/>
    <w:rsid w:val="00C8325F"/>
    <w:rsid w:val="00C83A3E"/>
    <w:rsid w:val="00C83E70"/>
    <w:rsid w:val="00C84295"/>
    <w:rsid w:val="00C8437E"/>
    <w:rsid w:val="00C845CA"/>
    <w:rsid w:val="00C852E3"/>
    <w:rsid w:val="00C8757D"/>
    <w:rsid w:val="00C87B56"/>
    <w:rsid w:val="00C90062"/>
    <w:rsid w:val="00C90384"/>
    <w:rsid w:val="00C926A6"/>
    <w:rsid w:val="00C92ACA"/>
    <w:rsid w:val="00C93202"/>
    <w:rsid w:val="00C933DE"/>
    <w:rsid w:val="00C93F3A"/>
    <w:rsid w:val="00C942B2"/>
    <w:rsid w:val="00C944EB"/>
    <w:rsid w:val="00C9581A"/>
    <w:rsid w:val="00C9589C"/>
    <w:rsid w:val="00C96445"/>
    <w:rsid w:val="00C97173"/>
    <w:rsid w:val="00C9797E"/>
    <w:rsid w:val="00CA0DB5"/>
    <w:rsid w:val="00CA10B3"/>
    <w:rsid w:val="00CA1952"/>
    <w:rsid w:val="00CA26BC"/>
    <w:rsid w:val="00CA26EC"/>
    <w:rsid w:val="00CA2794"/>
    <w:rsid w:val="00CA27D8"/>
    <w:rsid w:val="00CA2BA7"/>
    <w:rsid w:val="00CA2CA9"/>
    <w:rsid w:val="00CA3147"/>
    <w:rsid w:val="00CA32E2"/>
    <w:rsid w:val="00CA3645"/>
    <w:rsid w:val="00CA3F3B"/>
    <w:rsid w:val="00CA431D"/>
    <w:rsid w:val="00CA4C24"/>
    <w:rsid w:val="00CA56BF"/>
    <w:rsid w:val="00CA5C35"/>
    <w:rsid w:val="00CA5E54"/>
    <w:rsid w:val="00CA6752"/>
    <w:rsid w:val="00CA6D0A"/>
    <w:rsid w:val="00CA6EA4"/>
    <w:rsid w:val="00CA7144"/>
    <w:rsid w:val="00CA7926"/>
    <w:rsid w:val="00CA7C24"/>
    <w:rsid w:val="00CA7E2A"/>
    <w:rsid w:val="00CB0201"/>
    <w:rsid w:val="00CB1102"/>
    <w:rsid w:val="00CB1A4E"/>
    <w:rsid w:val="00CB1C02"/>
    <w:rsid w:val="00CB1C27"/>
    <w:rsid w:val="00CB226B"/>
    <w:rsid w:val="00CB2F6D"/>
    <w:rsid w:val="00CB366E"/>
    <w:rsid w:val="00CB3965"/>
    <w:rsid w:val="00CB4175"/>
    <w:rsid w:val="00CB5127"/>
    <w:rsid w:val="00CB5134"/>
    <w:rsid w:val="00CB62A0"/>
    <w:rsid w:val="00CB6A94"/>
    <w:rsid w:val="00CB6F88"/>
    <w:rsid w:val="00CB7B56"/>
    <w:rsid w:val="00CC0017"/>
    <w:rsid w:val="00CC0626"/>
    <w:rsid w:val="00CC1125"/>
    <w:rsid w:val="00CC134D"/>
    <w:rsid w:val="00CC1B01"/>
    <w:rsid w:val="00CC1BEE"/>
    <w:rsid w:val="00CC36AA"/>
    <w:rsid w:val="00CC3B8A"/>
    <w:rsid w:val="00CC45B5"/>
    <w:rsid w:val="00CC48D4"/>
    <w:rsid w:val="00CC54AA"/>
    <w:rsid w:val="00CC590D"/>
    <w:rsid w:val="00CC5EFE"/>
    <w:rsid w:val="00CC792C"/>
    <w:rsid w:val="00CC7DE8"/>
    <w:rsid w:val="00CC7F62"/>
    <w:rsid w:val="00CD0051"/>
    <w:rsid w:val="00CD015E"/>
    <w:rsid w:val="00CD0A40"/>
    <w:rsid w:val="00CD0B4E"/>
    <w:rsid w:val="00CD0BE0"/>
    <w:rsid w:val="00CD1152"/>
    <w:rsid w:val="00CD13C5"/>
    <w:rsid w:val="00CD145A"/>
    <w:rsid w:val="00CD1FFC"/>
    <w:rsid w:val="00CD22D2"/>
    <w:rsid w:val="00CD23FE"/>
    <w:rsid w:val="00CD29D8"/>
    <w:rsid w:val="00CD351A"/>
    <w:rsid w:val="00CD367D"/>
    <w:rsid w:val="00CD4428"/>
    <w:rsid w:val="00CD636C"/>
    <w:rsid w:val="00CD6FA7"/>
    <w:rsid w:val="00CD7852"/>
    <w:rsid w:val="00CD7895"/>
    <w:rsid w:val="00CD7BC5"/>
    <w:rsid w:val="00CD7FEE"/>
    <w:rsid w:val="00CE0070"/>
    <w:rsid w:val="00CE0931"/>
    <w:rsid w:val="00CE0E35"/>
    <w:rsid w:val="00CE10A1"/>
    <w:rsid w:val="00CE1834"/>
    <w:rsid w:val="00CE1B12"/>
    <w:rsid w:val="00CE1E25"/>
    <w:rsid w:val="00CE2321"/>
    <w:rsid w:val="00CE38CE"/>
    <w:rsid w:val="00CE6092"/>
    <w:rsid w:val="00CE6CFD"/>
    <w:rsid w:val="00CE71DD"/>
    <w:rsid w:val="00CE7DBB"/>
    <w:rsid w:val="00CF18F2"/>
    <w:rsid w:val="00CF3F6E"/>
    <w:rsid w:val="00CF4CC1"/>
    <w:rsid w:val="00CF4E0D"/>
    <w:rsid w:val="00CF4F95"/>
    <w:rsid w:val="00CF7810"/>
    <w:rsid w:val="00CF7AEB"/>
    <w:rsid w:val="00D001C0"/>
    <w:rsid w:val="00D00BAE"/>
    <w:rsid w:val="00D01232"/>
    <w:rsid w:val="00D01BB0"/>
    <w:rsid w:val="00D01D6C"/>
    <w:rsid w:val="00D01EA0"/>
    <w:rsid w:val="00D02823"/>
    <w:rsid w:val="00D02DCC"/>
    <w:rsid w:val="00D033F4"/>
    <w:rsid w:val="00D0415D"/>
    <w:rsid w:val="00D045CE"/>
    <w:rsid w:val="00D046A0"/>
    <w:rsid w:val="00D04ADE"/>
    <w:rsid w:val="00D0539F"/>
    <w:rsid w:val="00D05529"/>
    <w:rsid w:val="00D066E0"/>
    <w:rsid w:val="00D0676E"/>
    <w:rsid w:val="00D06AB0"/>
    <w:rsid w:val="00D06D43"/>
    <w:rsid w:val="00D07D8C"/>
    <w:rsid w:val="00D07DD3"/>
    <w:rsid w:val="00D102E9"/>
    <w:rsid w:val="00D10760"/>
    <w:rsid w:val="00D10AB4"/>
    <w:rsid w:val="00D112F5"/>
    <w:rsid w:val="00D11484"/>
    <w:rsid w:val="00D11597"/>
    <w:rsid w:val="00D12084"/>
    <w:rsid w:val="00D120AF"/>
    <w:rsid w:val="00D12564"/>
    <w:rsid w:val="00D12696"/>
    <w:rsid w:val="00D12D90"/>
    <w:rsid w:val="00D14230"/>
    <w:rsid w:val="00D14FFE"/>
    <w:rsid w:val="00D15522"/>
    <w:rsid w:val="00D1625D"/>
    <w:rsid w:val="00D16285"/>
    <w:rsid w:val="00D1686E"/>
    <w:rsid w:val="00D16F19"/>
    <w:rsid w:val="00D172E3"/>
    <w:rsid w:val="00D17C41"/>
    <w:rsid w:val="00D17DC3"/>
    <w:rsid w:val="00D20058"/>
    <w:rsid w:val="00D2029E"/>
    <w:rsid w:val="00D20A95"/>
    <w:rsid w:val="00D21A18"/>
    <w:rsid w:val="00D21B28"/>
    <w:rsid w:val="00D21B4F"/>
    <w:rsid w:val="00D227FA"/>
    <w:rsid w:val="00D23223"/>
    <w:rsid w:val="00D23AE8"/>
    <w:rsid w:val="00D259EA"/>
    <w:rsid w:val="00D262D3"/>
    <w:rsid w:val="00D274FA"/>
    <w:rsid w:val="00D27685"/>
    <w:rsid w:val="00D27AB0"/>
    <w:rsid w:val="00D27B97"/>
    <w:rsid w:val="00D27CA6"/>
    <w:rsid w:val="00D27D7F"/>
    <w:rsid w:val="00D27DCD"/>
    <w:rsid w:val="00D309E1"/>
    <w:rsid w:val="00D30C24"/>
    <w:rsid w:val="00D3136F"/>
    <w:rsid w:val="00D31E5B"/>
    <w:rsid w:val="00D32691"/>
    <w:rsid w:val="00D327D6"/>
    <w:rsid w:val="00D32FAC"/>
    <w:rsid w:val="00D345E8"/>
    <w:rsid w:val="00D34C46"/>
    <w:rsid w:val="00D34C73"/>
    <w:rsid w:val="00D34ED9"/>
    <w:rsid w:val="00D34F67"/>
    <w:rsid w:val="00D34F8A"/>
    <w:rsid w:val="00D35357"/>
    <w:rsid w:val="00D354E4"/>
    <w:rsid w:val="00D4037B"/>
    <w:rsid w:val="00D4171E"/>
    <w:rsid w:val="00D41A59"/>
    <w:rsid w:val="00D42521"/>
    <w:rsid w:val="00D42F08"/>
    <w:rsid w:val="00D42F72"/>
    <w:rsid w:val="00D43389"/>
    <w:rsid w:val="00D434B6"/>
    <w:rsid w:val="00D435C2"/>
    <w:rsid w:val="00D43E36"/>
    <w:rsid w:val="00D4443A"/>
    <w:rsid w:val="00D44A15"/>
    <w:rsid w:val="00D44C1C"/>
    <w:rsid w:val="00D45E4E"/>
    <w:rsid w:val="00D46588"/>
    <w:rsid w:val="00D47014"/>
    <w:rsid w:val="00D470CA"/>
    <w:rsid w:val="00D47673"/>
    <w:rsid w:val="00D47D55"/>
    <w:rsid w:val="00D500CD"/>
    <w:rsid w:val="00D50DE5"/>
    <w:rsid w:val="00D50FA6"/>
    <w:rsid w:val="00D5169C"/>
    <w:rsid w:val="00D51A7D"/>
    <w:rsid w:val="00D52089"/>
    <w:rsid w:val="00D53B3E"/>
    <w:rsid w:val="00D53E3D"/>
    <w:rsid w:val="00D5435D"/>
    <w:rsid w:val="00D548EE"/>
    <w:rsid w:val="00D54A5F"/>
    <w:rsid w:val="00D556C5"/>
    <w:rsid w:val="00D55852"/>
    <w:rsid w:val="00D56705"/>
    <w:rsid w:val="00D5693A"/>
    <w:rsid w:val="00D56CFF"/>
    <w:rsid w:val="00D57064"/>
    <w:rsid w:val="00D57110"/>
    <w:rsid w:val="00D57764"/>
    <w:rsid w:val="00D6007A"/>
    <w:rsid w:val="00D6024C"/>
    <w:rsid w:val="00D6057D"/>
    <w:rsid w:val="00D60ED9"/>
    <w:rsid w:val="00D61989"/>
    <w:rsid w:val="00D62390"/>
    <w:rsid w:val="00D62964"/>
    <w:rsid w:val="00D63339"/>
    <w:rsid w:val="00D63827"/>
    <w:rsid w:val="00D6386C"/>
    <w:rsid w:val="00D63CA2"/>
    <w:rsid w:val="00D63E4A"/>
    <w:rsid w:val="00D643C9"/>
    <w:rsid w:val="00D64593"/>
    <w:rsid w:val="00D6501A"/>
    <w:rsid w:val="00D65BA9"/>
    <w:rsid w:val="00D66205"/>
    <w:rsid w:val="00D67020"/>
    <w:rsid w:val="00D70074"/>
    <w:rsid w:val="00D7079A"/>
    <w:rsid w:val="00D71702"/>
    <w:rsid w:val="00D717ED"/>
    <w:rsid w:val="00D71960"/>
    <w:rsid w:val="00D72B15"/>
    <w:rsid w:val="00D72D2D"/>
    <w:rsid w:val="00D72F24"/>
    <w:rsid w:val="00D73B54"/>
    <w:rsid w:val="00D746D5"/>
    <w:rsid w:val="00D748CE"/>
    <w:rsid w:val="00D7532C"/>
    <w:rsid w:val="00D75BDE"/>
    <w:rsid w:val="00D80800"/>
    <w:rsid w:val="00D808CC"/>
    <w:rsid w:val="00D81304"/>
    <w:rsid w:val="00D81812"/>
    <w:rsid w:val="00D819F1"/>
    <w:rsid w:val="00D81CD0"/>
    <w:rsid w:val="00D82125"/>
    <w:rsid w:val="00D82442"/>
    <w:rsid w:val="00D83564"/>
    <w:rsid w:val="00D84ABE"/>
    <w:rsid w:val="00D84EAD"/>
    <w:rsid w:val="00D85642"/>
    <w:rsid w:val="00D85759"/>
    <w:rsid w:val="00D85918"/>
    <w:rsid w:val="00D85AC0"/>
    <w:rsid w:val="00D86A56"/>
    <w:rsid w:val="00D86DFF"/>
    <w:rsid w:val="00D8729A"/>
    <w:rsid w:val="00D879B7"/>
    <w:rsid w:val="00D87C5A"/>
    <w:rsid w:val="00D87D8D"/>
    <w:rsid w:val="00D904A6"/>
    <w:rsid w:val="00D91700"/>
    <w:rsid w:val="00D9233D"/>
    <w:rsid w:val="00D93153"/>
    <w:rsid w:val="00D934EF"/>
    <w:rsid w:val="00D938FD"/>
    <w:rsid w:val="00D9433B"/>
    <w:rsid w:val="00D9567D"/>
    <w:rsid w:val="00D95987"/>
    <w:rsid w:val="00D96951"/>
    <w:rsid w:val="00D97AD2"/>
    <w:rsid w:val="00DA0334"/>
    <w:rsid w:val="00DA044C"/>
    <w:rsid w:val="00DA0560"/>
    <w:rsid w:val="00DA0C6D"/>
    <w:rsid w:val="00DA17CC"/>
    <w:rsid w:val="00DA1D01"/>
    <w:rsid w:val="00DA1E0E"/>
    <w:rsid w:val="00DA3C08"/>
    <w:rsid w:val="00DA3C98"/>
    <w:rsid w:val="00DA4006"/>
    <w:rsid w:val="00DA6871"/>
    <w:rsid w:val="00DA6EE6"/>
    <w:rsid w:val="00DB0989"/>
    <w:rsid w:val="00DB1943"/>
    <w:rsid w:val="00DB19A5"/>
    <w:rsid w:val="00DB1CE7"/>
    <w:rsid w:val="00DB220E"/>
    <w:rsid w:val="00DB3BC0"/>
    <w:rsid w:val="00DB511A"/>
    <w:rsid w:val="00DB546D"/>
    <w:rsid w:val="00DB569B"/>
    <w:rsid w:val="00DB68E5"/>
    <w:rsid w:val="00DB7357"/>
    <w:rsid w:val="00DB7A46"/>
    <w:rsid w:val="00DC0355"/>
    <w:rsid w:val="00DC088F"/>
    <w:rsid w:val="00DC0EC0"/>
    <w:rsid w:val="00DC0FBE"/>
    <w:rsid w:val="00DC1289"/>
    <w:rsid w:val="00DC19C2"/>
    <w:rsid w:val="00DC2409"/>
    <w:rsid w:val="00DC26A1"/>
    <w:rsid w:val="00DC46E3"/>
    <w:rsid w:val="00DC477F"/>
    <w:rsid w:val="00DC4899"/>
    <w:rsid w:val="00DC6599"/>
    <w:rsid w:val="00DC6849"/>
    <w:rsid w:val="00DD0DF1"/>
    <w:rsid w:val="00DD19A4"/>
    <w:rsid w:val="00DD2908"/>
    <w:rsid w:val="00DD48AF"/>
    <w:rsid w:val="00DD493D"/>
    <w:rsid w:val="00DD4AF8"/>
    <w:rsid w:val="00DD4D77"/>
    <w:rsid w:val="00DD4DF6"/>
    <w:rsid w:val="00DD6483"/>
    <w:rsid w:val="00DD770F"/>
    <w:rsid w:val="00DE069E"/>
    <w:rsid w:val="00DE0CD1"/>
    <w:rsid w:val="00DE19A6"/>
    <w:rsid w:val="00DE2400"/>
    <w:rsid w:val="00DE342C"/>
    <w:rsid w:val="00DE3479"/>
    <w:rsid w:val="00DE368A"/>
    <w:rsid w:val="00DE3DF9"/>
    <w:rsid w:val="00DE5683"/>
    <w:rsid w:val="00DE5DFD"/>
    <w:rsid w:val="00DE5E1C"/>
    <w:rsid w:val="00DE5FB3"/>
    <w:rsid w:val="00DE62C3"/>
    <w:rsid w:val="00DE6D50"/>
    <w:rsid w:val="00DE7404"/>
    <w:rsid w:val="00DE7520"/>
    <w:rsid w:val="00DE7913"/>
    <w:rsid w:val="00DE7CC1"/>
    <w:rsid w:val="00DF112F"/>
    <w:rsid w:val="00DF11E9"/>
    <w:rsid w:val="00DF14A4"/>
    <w:rsid w:val="00DF1754"/>
    <w:rsid w:val="00DF1B11"/>
    <w:rsid w:val="00DF1C0E"/>
    <w:rsid w:val="00DF2111"/>
    <w:rsid w:val="00DF2259"/>
    <w:rsid w:val="00DF2EA4"/>
    <w:rsid w:val="00DF38FE"/>
    <w:rsid w:val="00DF3901"/>
    <w:rsid w:val="00DF44A5"/>
    <w:rsid w:val="00DF4545"/>
    <w:rsid w:val="00DF49C5"/>
    <w:rsid w:val="00DF5E68"/>
    <w:rsid w:val="00DF6D33"/>
    <w:rsid w:val="00DF778F"/>
    <w:rsid w:val="00E00301"/>
    <w:rsid w:val="00E01BE8"/>
    <w:rsid w:val="00E02463"/>
    <w:rsid w:val="00E024E9"/>
    <w:rsid w:val="00E0264D"/>
    <w:rsid w:val="00E02947"/>
    <w:rsid w:val="00E02AEB"/>
    <w:rsid w:val="00E02BF6"/>
    <w:rsid w:val="00E030CF"/>
    <w:rsid w:val="00E0315F"/>
    <w:rsid w:val="00E03763"/>
    <w:rsid w:val="00E046B7"/>
    <w:rsid w:val="00E04947"/>
    <w:rsid w:val="00E04B08"/>
    <w:rsid w:val="00E054FC"/>
    <w:rsid w:val="00E055DB"/>
    <w:rsid w:val="00E059B6"/>
    <w:rsid w:val="00E05C8B"/>
    <w:rsid w:val="00E06022"/>
    <w:rsid w:val="00E06C09"/>
    <w:rsid w:val="00E10A6A"/>
    <w:rsid w:val="00E11C69"/>
    <w:rsid w:val="00E11E72"/>
    <w:rsid w:val="00E124FF"/>
    <w:rsid w:val="00E12EB1"/>
    <w:rsid w:val="00E13975"/>
    <w:rsid w:val="00E13CB1"/>
    <w:rsid w:val="00E14533"/>
    <w:rsid w:val="00E14575"/>
    <w:rsid w:val="00E14EEC"/>
    <w:rsid w:val="00E156C6"/>
    <w:rsid w:val="00E15C2B"/>
    <w:rsid w:val="00E15EB9"/>
    <w:rsid w:val="00E16FD7"/>
    <w:rsid w:val="00E170C8"/>
    <w:rsid w:val="00E17B5A"/>
    <w:rsid w:val="00E17F1C"/>
    <w:rsid w:val="00E20330"/>
    <w:rsid w:val="00E20635"/>
    <w:rsid w:val="00E2241E"/>
    <w:rsid w:val="00E228AF"/>
    <w:rsid w:val="00E22F0F"/>
    <w:rsid w:val="00E23FBC"/>
    <w:rsid w:val="00E24121"/>
    <w:rsid w:val="00E242FA"/>
    <w:rsid w:val="00E24384"/>
    <w:rsid w:val="00E24DCA"/>
    <w:rsid w:val="00E25BD6"/>
    <w:rsid w:val="00E27984"/>
    <w:rsid w:val="00E30185"/>
    <w:rsid w:val="00E30B6A"/>
    <w:rsid w:val="00E31C4E"/>
    <w:rsid w:val="00E32075"/>
    <w:rsid w:val="00E32B13"/>
    <w:rsid w:val="00E33582"/>
    <w:rsid w:val="00E33717"/>
    <w:rsid w:val="00E33D89"/>
    <w:rsid w:val="00E33FE6"/>
    <w:rsid w:val="00E3440F"/>
    <w:rsid w:val="00E3492B"/>
    <w:rsid w:val="00E34BAB"/>
    <w:rsid w:val="00E35C17"/>
    <w:rsid w:val="00E368F7"/>
    <w:rsid w:val="00E36A35"/>
    <w:rsid w:val="00E37C19"/>
    <w:rsid w:val="00E40C2D"/>
    <w:rsid w:val="00E41092"/>
    <w:rsid w:val="00E415AF"/>
    <w:rsid w:val="00E41D5D"/>
    <w:rsid w:val="00E423A7"/>
    <w:rsid w:val="00E42C0B"/>
    <w:rsid w:val="00E43156"/>
    <w:rsid w:val="00E44961"/>
    <w:rsid w:val="00E44C62"/>
    <w:rsid w:val="00E44CE3"/>
    <w:rsid w:val="00E456F3"/>
    <w:rsid w:val="00E459F2"/>
    <w:rsid w:val="00E46661"/>
    <w:rsid w:val="00E46734"/>
    <w:rsid w:val="00E47E43"/>
    <w:rsid w:val="00E50D1A"/>
    <w:rsid w:val="00E510DB"/>
    <w:rsid w:val="00E519A4"/>
    <w:rsid w:val="00E519A8"/>
    <w:rsid w:val="00E53157"/>
    <w:rsid w:val="00E53565"/>
    <w:rsid w:val="00E537AC"/>
    <w:rsid w:val="00E54146"/>
    <w:rsid w:val="00E54665"/>
    <w:rsid w:val="00E54C22"/>
    <w:rsid w:val="00E5516D"/>
    <w:rsid w:val="00E5531D"/>
    <w:rsid w:val="00E55CB3"/>
    <w:rsid w:val="00E55E06"/>
    <w:rsid w:val="00E56030"/>
    <w:rsid w:val="00E560AA"/>
    <w:rsid w:val="00E56CCE"/>
    <w:rsid w:val="00E56F7C"/>
    <w:rsid w:val="00E57604"/>
    <w:rsid w:val="00E57F70"/>
    <w:rsid w:val="00E602C0"/>
    <w:rsid w:val="00E609F7"/>
    <w:rsid w:val="00E61DF2"/>
    <w:rsid w:val="00E61E5C"/>
    <w:rsid w:val="00E6247D"/>
    <w:rsid w:val="00E62A62"/>
    <w:rsid w:val="00E62F4C"/>
    <w:rsid w:val="00E63A8F"/>
    <w:rsid w:val="00E6690E"/>
    <w:rsid w:val="00E66A2F"/>
    <w:rsid w:val="00E66A8F"/>
    <w:rsid w:val="00E67C27"/>
    <w:rsid w:val="00E67E9D"/>
    <w:rsid w:val="00E708AF"/>
    <w:rsid w:val="00E71407"/>
    <w:rsid w:val="00E7176A"/>
    <w:rsid w:val="00E71953"/>
    <w:rsid w:val="00E71B5D"/>
    <w:rsid w:val="00E749BC"/>
    <w:rsid w:val="00E74D66"/>
    <w:rsid w:val="00E7505A"/>
    <w:rsid w:val="00E76465"/>
    <w:rsid w:val="00E76BE3"/>
    <w:rsid w:val="00E80659"/>
    <w:rsid w:val="00E80A26"/>
    <w:rsid w:val="00E814F2"/>
    <w:rsid w:val="00E816DA"/>
    <w:rsid w:val="00E82D2A"/>
    <w:rsid w:val="00E83386"/>
    <w:rsid w:val="00E838C6"/>
    <w:rsid w:val="00E83C47"/>
    <w:rsid w:val="00E84C5E"/>
    <w:rsid w:val="00E84EBB"/>
    <w:rsid w:val="00E8519F"/>
    <w:rsid w:val="00E85277"/>
    <w:rsid w:val="00E85496"/>
    <w:rsid w:val="00E8589A"/>
    <w:rsid w:val="00E8634F"/>
    <w:rsid w:val="00E86614"/>
    <w:rsid w:val="00E868D4"/>
    <w:rsid w:val="00E86F7E"/>
    <w:rsid w:val="00E8714A"/>
    <w:rsid w:val="00E87164"/>
    <w:rsid w:val="00E8747E"/>
    <w:rsid w:val="00E87694"/>
    <w:rsid w:val="00E902A0"/>
    <w:rsid w:val="00E906A4"/>
    <w:rsid w:val="00E9129A"/>
    <w:rsid w:val="00E9215D"/>
    <w:rsid w:val="00E92776"/>
    <w:rsid w:val="00E927BE"/>
    <w:rsid w:val="00E93A0F"/>
    <w:rsid w:val="00E94294"/>
    <w:rsid w:val="00E944FC"/>
    <w:rsid w:val="00E94A30"/>
    <w:rsid w:val="00E94F59"/>
    <w:rsid w:val="00E9506C"/>
    <w:rsid w:val="00E95890"/>
    <w:rsid w:val="00E95D1C"/>
    <w:rsid w:val="00E9636C"/>
    <w:rsid w:val="00EA0C41"/>
    <w:rsid w:val="00EA0C88"/>
    <w:rsid w:val="00EA1374"/>
    <w:rsid w:val="00EA139A"/>
    <w:rsid w:val="00EA2160"/>
    <w:rsid w:val="00EA2DC7"/>
    <w:rsid w:val="00EA3352"/>
    <w:rsid w:val="00EA351E"/>
    <w:rsid w:val="00EA4A99"/>
    <w:rsid w:val="00EA52BE"/>
    <w:rsid w:val="00EA52E6"/>
    <w:rsid w:val="00EA6098"/>
    <w:rsid w:val="00EA7BAD"/>
    <w:rsid w:val="00EB0719"/>
    <w:rsid w:val="00EB07B8"/>
    <w:rsid w:val="00EB13F4"/>
    <w:rsid w:val="00EB1D0A"/>
    <w:rsid w:val="00EB1EA1"/>
    <w:rsid w:val="00EB1FCC"/>
    <w:rsid w:val="00EB28A2"/>
    <w:rsid w:val="00EB2A39"/>
    <w:rsid w:val="00EB2F48"/>
    <w:rsid w:val="00EB3313"/>
    <w:rsid w:val="00EB436C"/>
    <w:rsid w:val="00EB4692"/>
    <w:rsid w:val="00EB5B1E"/>
    <w:rsid w:val="00EB5DBC"/>
    <w:rsid w:val="00EB7404"/>
    <w:rsid w:val="00EB7750"/>
    <w:rsid w:val="00EB7886"/>
    <w:rsid w:val="00EB7CDC"/>
    <w:rsid w:val="00EC012A"/>
    <w:rsid w:val="00EC1670"/>
    <w:rsid w:val="00EC1ACF"/>
    <w:rsid w:val="00EC25D8"/>
    <w:rsid w:val="00EC37CF"/>
    <w:rsid w:val="00EC4480"/>
    <w:rsid w:val="00EC45D4"/>
    <w:rsid w:val="00EC4AC5"/>
    <w:rsid w:val="00EC4EF2"/>
    <w:rsid w:val="00EC529D"/>
    <w:rsid w:val="00EC65C6"/>
    <w:rsid w:val="00EC65DF"/>
    <w:rsid w:val="00EC6709"/>
    <w:rsid w:val="00EC7332"/>
    <w:rsid w:val="00EC7611"/>
    <w:rsid w:val="00EC7B81"/>
    <w:rsid w:val="00ED10D9"/>
    <w:rsid w:val="00ED15B6"/>
    <w:rsid w:val="00ED184A"/>
    <w:rsid w:val="00ED18CA"/>
    <w:rsid w:val="00ED2206"/>
    <w:rsid w:val="00ED2548"/>
    <w:rsid w:val="00ED3781"/>
    <w:rsid w:val="00ED3866"/>
    <w:rsid w:val="00ED4527"/>
    <w:rsid w:val="00ED495D"/>
    <w:rsid w:val="00ED4EEA"/>
    <w:rsid w:val="00ED51B0"/>
    <w:rsid w:val="00ED598F"/>
    <w:rsid w:val="00ED6F4D"/>
    <w:rsid w:val="00ED777E"/>
    <w:rsid w:val="00EE151A"/>
    <w:rsid w:val="00EE2B48"/>
    <w:rsid w:val="00EE2D49"/>
    <w:rsid w:val="00EE3426"/>
    <w:rsid w:val="00EE4A73"/>
    <w:rsid w:val="00EE57B7"/>
    <w:rsid w:val="00EE59AD"/>
    <w:rsid w:val="00EE6C7D"/>
    <w:rsid w:val="00EE719B"/>
    <w:rsid w:val="00EE79A6"/>
    <w:rsid w:val="00EE7E4D"/>
    <w:rsid w:val="00EF071E"/>
    <w:rsid w:val="00EF2F97"/>
    <w:rsid w:val="00EF36CE"/>
    <w:rsid w:val="00EF49D4"/>
    <w:rsid w:val="00EF4AA0"/>
    <w:rsid w:val="00EF5412"/>
    <w:rsid w:val="00EF56FB"/>
    <w:rsid w:val="00EF574C"/>
    <w:rsid w:val="00EF5C60"/>
    <w:rsid w:val="00EF5C84"/>
    <w:rsid w:val="00EF7407"/>
    <w:rsid w:val="00EF7D46"/>
    <w:rsid w:val="00F0052B"/>
    <w:rsid w:val="00F022CF"/>
    <w:rsid w:val="00F024F5"/>
    <w:rsid w:val="00F02C0D"/>
    <w:rsid w:val="00F03024"/>
    <w:rsid w:val="00F039CC"/>
    <w:rsid w:val="00F04402"/>
    <w:rsid w:val="00F04780"/>
    <w:rsid w:val="00F04CF4"/>
    <w:rsid w:val="00F05392"/>
    <w:rsid w:val="00F05BC8"/>
    <w:rsid w:val="00F064F7"/>
    <w:rsid w:val="00F06706"/>
    <w:rsid w:val="00F06827"/>
    <w:rsid w:val="00F07286"/>
    <w:rsid w:val="00F07383"/>
    <w:rsid w:val="00F073E5"/>
    <w:rsid w:val="00F10344"/>
    <w:rsid w:val="00F10805"/>
    <w:rsid w:val="00F10CA1"/>
    <w:rsid w:val="00F11869"/>
    <w:rsid w:val="00F12B92"/>
    <w:rsid w:val="00F143BC"/>
    <w:rsid w:val="00F14C69"/>
    <w:rsid w:val="00F14F7D"/>
    <w:rsid w:val="00F1504E"/>
    <w:rsid w:val="00F169BF"/>
    <w:rsid w:val="00F17429"/>
    <w:rsid w:val="00F17FD9"/>
    <w:rsid w:val="00F20AEB"/>
    <w:rsid w:val="00F211DA"/>
    <w:rsid w:val="00F214AC"/>
    <w:rsid w:val="00F21B3A"/>
    <w:rsid w:val="00F21F6E"/>
    <w:rsid w:val="00F229F1"/>
    <w:rsid w:val="00F23309"/>
    <w:rsid w:val="00F239F1"/>
    <w:rsid w:val="00F23F39"/>
    <w:rsid w:val="00F241DD"/>
    <w:rsid w:val="00F247D4"/>
    <w:rsid w:val="00F2525B"/>
    <w:rsid w:val="00F2645B"/>
    <w:rsid w:val="00F2715A"/>
    <w:rsid w:val="00F30EAB"/>
    <w:rsid w:val="00F3130A"/>
    <w:rsid w:val="00F315FB"/>
    <w:rsid w:val="00F318F2"/>
    <w:rsid w:val="00F321B2"/>
    <w:rsid w:val="00F32611"/>
    <w:rsid w:val="00F32DCE"/>
    <w:rsid w:val="00F32EFB"/>
    <w:rsid w:val="00F336B2"/>
    <w:rsid w:val="00F345FD"/>
    <w:rsid w:val="00F35506"/>
    <w:rsid w:val="00F35FC0"/>
    <w:rsid w:val="00F36802"/>
    <w:rsid w:val="00F36BB8"/>
    <w:rsid w:val="00F36E5C"/>
    <w:rsid w:val="00F37EF3"/>
    <w:rsid w:val="00F400A5"/>
    <w:rsid w:val="00F40480"/>
    <w:rsid w:val="00F404CE"/>
    <w:rsid w:val="00F40980"/>
    <w:rsid w:val="00F41F30"/>
    <w:rsid w:val="00F4251F"/>
    <w:rsid w:val="00F44074"/>
    <w:rsid w:val="00F4432E"/>
    <w:rsid w:val="00F4443B"/>
    <w:rsid w:val="00F44613"/>
    <w:rsid w:val="00F4534E"/>
    <w:rsid w:val="00F45546"/>
    <w:rsid w:val="00F4559A"/>
    <w:rsid w:val="00F45F72"/>
    <w:rsid w:val="00F46021"/>
    <w:rsid w:val="00F46078"/>
    <w:rsid w:val="00F4663B"/>
    <w:rsid w:val="00F4680C"/>
    <w:rsid w:val="00F46BAB"/>
    <w:rsid w:val="00F46FAF"/>
    <w:rsid w:val="00F479E0"/>
    <w:rsid w:val="00F50502"/>
    <w:rsid w:val="00F5079B"/>
    <w:rsid w:val="00F5097D"/>
    <w:rsid w:val="00F50FB3"/>
    <w:rsid w:val="00F51037"/>
    <w:rsid w:val="00F51748"/>
    <w:rsid w:val="00F51EAF"/>
    <w:rsid w:val="00F52E32"/>
    <w:rsid w:val="00F531DD"/>
    <w:rsid w:val="00F5370F"/>
    <w:rsid w:val="00F543D4"/>
    <w:rsid w:val="00F54604"/>
    <w:rsid w:val="00F56245"/>
    <w:rsid w:val="00F56E05"/>
    <w:rsid w:val="00F572F7"/>
    <w:rsid w:val="00F57478"/>
    <w:rsid w:val="00F57CDC"/>
    <w:rsid w:val="00F60117"/>
    <w:rsid w:val="00F611DF"/>
    <w:rsid w:val="00F61E11"/>
    <w:rsid w:val="00F62353"/>
    <w:rsid w:val="00F624A7"/>
    <w:rsid w:val="00F62B54"/>
    <w:rsid w:val="00F62CFB"/>
    <w:rsid w:val="00F63D41"/>
    <w:rsid w:val="00F63D5F"/>
    <w:rsid w:val="00F646CD"/>
    <w:rsid w:val="00F64CB8"/>
    <w:rsid w:val="00F6537D"/>
    <w:rsid w:val="00F659F0"/>
    <w:rsid w:val="00F66107"/>
    <w:rsid w:val="00F6650F"/>
    <w:rsid w:val="00F670D6"/>
    <w:rsid w:val="00F70067"/>
    <w:rsid w:val="00F7063C"/>
    <w:rsid w:val="00F71926"/>
    <w:rsid w:val="00F7224E"/>
    <w:rsid w:val="00F72D10"/>
    <w:rsid w:val="00F7319A"/>
    <w:rsid w:val="00F73D9C"/>
    <w:rsid w:val="00F741E7"/>
    <w:rsid w:val="00F74F4E"/>
    <w:rsid w:val="00F75300"/>
    <w:rsid w:val="00F75308"/>
    <w:rsid w:val="00F75A8B"/>
    <w:rsid w:val="00F75CA5"/>
    <w:rsid w:val="00F75FB6"/>
    <w:rsid w:val="00F76117"/>
    <w:rsid w:val="00F77139"/>
    <w:rsid w:val="00F7714B"/>
    <w:rsid w:val="00F772D1"/>
    <w:rsid w:val="00F7738D"/>
    <w:rsid w:val="00F77CDA"/>
    <w:rsid w:val="00F80526"/>
    <w:rsid w:val="00F8079A"/>
    <w:rsid w:val="00F818FB"/>
    <w:rsid w:val="00F82023"/>
    <w:rsid w:val="00F8267B"/>
    <w:rsid w:val="00F8312E"/>
    <w:rsid w:val="00F832C0"/>
    <w:rsid w:val="00F83D73"/>
    <w:rsid w:val="00F84976"/>
    <w:rsid w:val="00F86041"/>
    <w:rsid w:val="00F8649C"/>
    <w:rsid w:val="00F8682B"/>
    <w:rsid w:val="00F868CC"/>
    <w:rsid w:val="00F86CB1"/>
    <w:rsid w:val="00F87659"/>
    <w:rsid w:val="00F876D0"/>
    <w:rsid w:val="00F87818"/>
    <w:rsid w:val="00F90389"/>
    <w:rsid w:val="00F90F4A"/>
    <w:rsid w:val="00F91374"/>
    <w:rsid w:val="00F913E5"/>
    <w:rsid w:val="00F91442"/>
    <w:rsid w:val="00F91BF9"/>
    <w:rsid w:val="00F91CEE"/>
    <w:rsid w:val="00F92292"/>
    <w:rsid w:val="00F925EB"/>
    <w:rsid w:val="00F928BE"/>
    <w:rsid w:val="00F92CA7"/>
    <w:rsid w:val="00F92D7B"/>
    <w:rsid w:val="00F92FD3"/>
    <w:rsid w:val="00F936CC"/>
    <w:rsid w:val="00F93C4A"/>
    <w:rsid w:val="00F94012"/>
    <w:rsid w:val="00F943A6"/>
    <w:rsid w:val="00F94675"/>
    <w:rsid w:val="00F94680"/>
    <w:rsid w:val="00F94B9E"/>
    <w:rsid w:val="00F94BE2"/>
    <w:rsid w:val="00F965BB"/>
    <w:rsid w:val="00F96FC8"/>
    <w:rsid w:val="00F975C2"/>
    <w:rsid w:val="00F97715"/>
    <w:rsid w:val="00F97A6C"/>
    <w:rsid w:val="00F97E35"/>
    <w:rsid w:val="00FA049A"/>
    <w:rsid w:val="00FA1187"/>
    <w:rsid w:val="00FA1CDE"/>
    <w:rsid w:val="00FA209D"/>
    <w:rsid w:val="00FA241C"/>
    <w:rsid w:val="00FA2D1F"/>
    <w:rsid w:val="00FA463C"/>
    <w:rsid w:val="00FA46DA"/>
    <w:rsid w:val="00FA487A"/>
    <w:rsid w:val="00FA4F02"/>
    <w:rsid w:val="00FA573B"/>
    <w:rsid w:val="00FA6B5C"/>
    <w:rsid w:val="00FA7126"/>
    <w:rsid w:val="00FA74C8"/>
    <w:rsid w:val="00FA7540"/>
    <w:rsid w:val="00FB04C9"/>
    <w:rsid w:val="00FB0FBB"/>
    <w:rsid w:val="00FB2115"/>
    <w:rsid w:val="00FB2AB4"/>
    <w:rsid w:val="00FB2E54"/>
    <w:rsid w:val="00FB3E5C"/>
    <w:rsid w:val="00FB4D90"/>
    <w:rsid w:val="00FB5415"/>
    <w:rsid w:val="00FB574B"/>
    <w:rsid w:val="00FB627B"/>
    <w:rsid w:val="00FB6DA5"/>
    <w:rsid w:val="00FB7798"/>
    <w:rsid w:val="00FC1438"/>
    <w:rsid w:val="00FC1868"/>
    <w:rsid w:val="00FC203F"/>
    <w:rsid w:val="00FC2AAB"/>
    <w:rsid w:val="00FC35CA"/>
    <w:rsid w:val="00FC372A"/>
    <w:rsid w:val="00FC3DB1"/>
    <w:rsid w:val="00FC3EAD"/>
    <w:rsid w:val="00FC4C19"/>
    <w:rsid w:val="00FC5849"/>
    <w:rsid w:val="00FC615D"/>
    <w:rsid w:val="00FC6814"/>
    <w:rsid w:val="00FC6F3E"/>
    <w:rsid w:val="00FC6F6F"/>
    <w:rsid w:val="00FC6FA4"/>
    <w:rsid w:val="00FC77EE"/>
    <w:rsid w:val="00FC78F9"/>
    <w:rsid w:val="00FD0622"/>
    <w:rsid w:val="00FD17DD"/>
    <w:rsid w:val="00FD19B6"/>
    <w:rsid w:val="00FD204F"/>
    <w:rsid w:val="00FD28E2"/>
    <w:rsid w:val="00FD2FFB"/>
    <w:rsid w:val="00FD33A7"/>
    <w:rsid w:val="00FD3A87"/>
    <w:rsid w:val="00FD3E2F"/>
    <w:rsid w:val="00FD4090"/>
    <w:rsid w:val="00FD44EB"/>
    <w:rsid w:val="00FD4FA9"/>
    <w:rsid w:val="00FD518C"/>
    <w:rsid w:val="00FD5532"/>
    <w:rsid w:val="00FD5D3C"/>
    <w:rsid w:val="00FD6337"/>
    <w:rsid w:val="00FD78AE"/>
    <w:rsid w:val="00FE15C8"/>
    <w:rsid w:val="00FE1CB2"/>
    <w:rsid w:val="00FE2306"/>
    <w:rsid w:val="00FE2AFD"/>
    <w:rsid w:val="00FE2C60"/>
    <w:rsid w:val="00FE3E17"/>
    <w:rsid w:val="00FE3FC7"/>
    <w:rsid w:val="00FE45ED"/>
    <w:rsid w:val="00FE4839"/>
    <w:rsid w:val="00FE5272"/>
    <w:rsid w:val="00FE53D1"/>
    <w:rsid w:val="00FE5DB7"/>
    <w:rsid w:val="00FE6C5B"/>
    <w:rsid w:val="00FE72D7"/>
    <w:rsid w:val="00FE765E"/>
    <w:rsid w:val="00FE7799"/>
    <w:rsid w:val="00FE7B13"/>
    <w:rsid w:val="00FE7E83"/>
    <w:rsid w:val="00FF0898"/>
    <w:rsid w:val="00FF1186"/>
    <w:rsid w:val="00FF1397"/>
    <w:rsid w:val="00FF159D"/>
    <w:rsid w:val="00FF1996"/>
    <w:rsid w:val="00FF1AF3"/>
    <w:rsid w:val="00FF3211"/>
    <w:rsid w:val="00FF37CF"/>
    <w:rsid w:val="00FF43EE"/>
    <w:rsid w:val="00FF5425"/>
    <w:rsid w:val="00FF5D6D"/>
    <w:rsid w:val="00FF6147"/>
    <w:rsid w:val="00FF6370"/>
    <w:rsid w:val="00FF6441"/>
    <w:rsid w:val="00FF6844"/>
    <w:rsid w:val="00FF7457"/>
    <w:rsid w:val="00FF7B94"/>
    <w:rsid w:val="01DC2A0D"/>
    <w:rsid w:val="076BEEF1"/>
    <w:rsid w:val="0A0F4803"/>
    <w:rsid w:val="0F8D136E"/>
    <w:rsid w:val="116F4981"/>
    <w:rsid w:val="119F088F"/>
    <w:rsid w:val="18758F7F"/>
    <w:rsid w:val="1A2879BB"/>
    <w:rsid w:val="1E88E088"/>
    <w:rsid w:val="211FA14C"/>
    <w:rsid w:val="236AC802"/>
    <w:rsid w:val="27FFEBF2"/>
    <w:rsid w:val="2A49368E"/>
    <w:rsid w:val="2B282699"/>
    <w:rsid w:val="2CFFC00B"/>
    <w:rsid w:val="2E09F454"/>
    <w:rsid w:val="30742B24"/>
    <w:rsid w:val="31F6BE12"/>
    <w:rsid w:val="329126B9"/>
    <w:rsid w:val="34C98795"/>
    <w:rsid w:val="34F2DEE2"/>
    <w:rsid w:val="3ACCFAA5"/>
    <w:rsid w:val="3EA6D750"/>
    <w:rsid w:val="40460CED"/>
    <w:rsid w:val="40C82220"/>
    <w:rsid w:val="4A8550DA"/>
    <w:rsid w:val="4D0B63D9"/>
    <w:rsid w:val="4E87B02B"/>
    <w:rsid w:val="53907581"/>
    <w:rsid w:val="5916A73A"/>
    <w:rsid w:val="5E8C8AFE"/>
    <w:rsid w:val="60D147F8"/>
    <w:rsid w:val="624B0E51"/>
    <w:rsid w:val="66626BC4"/>
    <w:rsid w:val="7389D75A"/>
    <w:rsid w:val="762460EE"/>
    <w:rsid w:val="7717E92E"/>
    <w:rsid w:val="7EB291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8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0" w:unhideWhenUsed="1"/>
    <w:lsdException w:name="toc 4" w:semiHidden="1" w:uiPriority="30" w:unhideWhenUsed="1"/>
    <w:lsdException w:name="toc 5" w:semiHidden="1" w:uiPriority="30" w:unhideWhenUsed="1"/>
    <w:lsdException w:name="toc 6" w:semiHidden="1" w:uiPriority="30" w:unhideWhenUsed="1"/>
    <w:lsdException w:name="toc 7" w:semiHidden="1" w:uiPriority="74" w:unhideWhenUsed="1"/>
    <w:lsdException w:name="toc 8" w:semiHidden="1" w:uiPriority="74" w:unhideWhenUsed="1"/>
    <w:lsdException w:name="toc 9" w:semiHidden="1" w:uiPriority="74" w:unhideWhenUsed="1"/>
    <w:lsdException w:name="Normal Indent" w:semiHidden="1"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3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3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D6"/>
    <w:pPr>
      <w:spacing w:after="0" w:line="240" w:lineRule="auto"/>
    </w:pPr>
    <w:rPr>
      <w:rFonts w:ascii="Arial" w:hAnsi="Arial" w:cs="Times New Roman"/>
      <w:lang w:eastAsia="en-AU"/>
    </w:rPr>
  </w:style>
  <w:style w:type="paragraph" w:styleId="Heading1">
    <w:name w:val="heading 1"/>
    <w:basedOn w:val="MOLHeading1"/>
    <w:next w:val="Normal"/>
    <w:link w:val="Heading1Char"/>
    <w:uiPriority w:val="39"/>
    <w:rsid w:val="005959B6"/>
    <w:pPr>
      <w:outlineLvl w:val="0"/>
    </w:pPr>
  </w:style>
  <w:style w:type="paragraph" w:styleId="Heading2">
    <w:name w:val="heading 2"/>
    <w:basedOn w:val="MOLHeading2"/>
    <w:next w:val="Normal"/>
    <w:link w:val="Heading2Char"/>
    <w:uiPriority w:val="39"/>
    <w:semiHidden/>
    <w:unhideWhenUsed/>
    <w:rsid w:val="005959B6"/>
    <w:pPr>
      <w:outlineLvl w:val="1"/>
    </w:pPr>
  </w:style>
  <w:style w:type="paragraph" w:styleId="Heading3">
    <w:name w:val="heading 3"/>
    <w:basedOn w:val="MOLHeading3"/>
    <w:next w:val="Normal"/>
    <w:link w:val="Heading3Char"/>
    <w:uiPriority w:val="39"/>
    <w:semiHidden/>
    <w:rsid w:val="005959B6"/>
    <w:pPr>
      <w:outlineLvl w:val="2"/>
    </w:pPr>
  </w:style>
  <w:style w:type="paragraph" w:styleId="Heading4">
    <w:name w:val="heading 4"/>
    <w:basedOn w:val="Normal"/>
    <w:next w:val="Normal"/>
    <w:link w:val="Heading4Char"/>
    <w:uiPriority w:val="99"/>
    <w:semiHidden/>
    <w:unhideWhenUsed/>
    <w:qFormat/>
    <w:rsid w:val="005959B6"/>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5959B6"/>
    <w:pPr>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5959B6"/>
    <w:pPr>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5959B6"/>
    <w:pPr>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5959B6"/>
    <w:pPr>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semiHidden/>
    <w:unhideWhenUsed/>
    <w:qFormat/>
    <w:rsid w:val="005959B6"/>
    <w:pPr>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5959B6"/>
    <w:rPr>
      <w:rFonts w:ascii="Arial" w:eastAsia="Times New Roman" w:hAnsi="Arial" w:cs="Times New Roman"/>
      <w:b/>
      <w:sz w:val="24"/>
      <w:lang w:eastAsia="en-AU"/>
    </w:rPr>
  </w:style>
  <w:style w:type="character" w:customStyle="1" w:styleId="Heading2Char">
    <w:name w:val="Heading 2 Char"/>
    <w:basedOn w:val="DefaultParagraphFont"/>
    <w:link w:val="Heading2"/>
    <w:uiPriority w:val="39"/>
    <w:semiHidden/>
    <w:rsid w:val="005959B6"/>
    <w:rPr>
      <w:rFonts w:ascii="Arial" w:eastAsia="Times New Roman" w:hAnsi="Arial" w:cs="Times New Roman"/>
      <w:b/>
      <w:i/>
      <w:lang w:eastAsia="en-AU"/>
    </w:rPr>
  </w:style>
  <w:style w:type="character" w:customStyle="1" w:styleId="Heading3Char">
    <w:name w:val="Heading 3 Char"/>
    <w:basedOn w:val="DefaultParagraphFont"/>
    <w:link w:val="Heading3"/>
    <w:uiPriority w:val="39"/>
    <w:semiHidden/>
    <w:rsid w:val="005959B6"/>
    <w:rPr>
      <w:rFonts w:ascii="Arial" w:eastAsia="Times New Roman" w:hAnsi="Arial" w:cs="Times New Roman"/>
      <w:i/>
      <w:lang w:eastAsia="en-AU"/>
    </w:rPr>
  </w:style>
  <w:style w:type="character" w:customStyle="1" w:styleId="Heading4Char">
    <w:name w:val="Heading 4 Char"/>
    <w:basedOn w:val="DefaultParagraphFont"/>
    <w:link w:val="Heading4"/>
    <w:uiPriority w:val="99"/>
    <w:semiHidden/>
    <w:rsid w:val="005959B6"/>
    <w:rPr>
      <w:rFonts w:asciiTheme="majorHAnsi" w:eastAsiaTheme="majorEastAsia" w:hAnsiTheme="majorHAnsi" w:cstheme="majorBidi"/>
      <w:b/>
      <w:bCs/>
      <w:i/>
      <w:iCs/>
      <w:color w:val="4F81BD" w:themeColor="accent1"/>
      <w:lang w:eastAsia="en-AU"/>
    </w:rPr>
  </w:style>
  <w:style w:type="character" w:customStyle="1" w:styleId="Heading5Char">
    <w:name w:val="Heading 5 Char"/>
    <w:basedOn w:val="DefaultParagraphFont"/>
    <w:link w:val="Heading5"/>
    <w:uiPriority w:val="99"/>
    <w:semiHidden/>
    <w:rsid w:val="005959B6"/>
    <w:rPr>
      <w:rFonts w:asciiTheme="majorHAnsi" w:eastAsiaTheme="majorEastAsia" w:hAnsiTheme="majorHAnsi" w:cstheme="majorBidi"/>
      <w:color w:val="243F60" w:themeColor="accent1" w:themeShade="7F"/>
      <w:lang w:eastAsia="en-AU"/>
    </w:rPr>
  </w:style>
  <w:style w:type="character" w:customStyle="1" w:styleId="Heading6Char">
    <w:name w:val="Heading 6 Char"/>
    <w:basedOn w:val="DefaultParagraphFont"/>
    <w:link w:val="Heading6"/>
    <w:uiPriority w:val="99"/>
    <w:semiHidden/>
    <w:rsid w:val="005959B6"/>
    <w:rPr>
      <w:rFonts w:asciiTheme="majorHAnsi" w:eastAsiaTheme="majorEastAsia" w:hAnsiTheme="majorHAnsi" w:cstheme="majorBidi"/>
      <w:i/>
      <w:iCs/>
      <w:color w:val="243F60" w:themeColor="accent1" w:themeShade="7F"/>
      <w:lang w:eastAsia="en-AU"/>
    </w:rPr>
  </w:style>
  <w:style w:type="character" w:customStyle="1" w:styleId="Heading7Char">
    <w:name w:val="Heading 7 Char"/>
    <w:basedOn w:val="DefaultParagraphFont"/>
    <w:link w:val="Heading7"/>
    <w:uiPriority w:val="99"/>
    <w:semiHidden/>
    <w:rsid w:val="005959B6"/>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9"/>
    <w:semiHidden/>
    <w:rsid w:val="005959B6"/>
    <w:rPr>
      <w:rFonts w:asciiTheme="majorHAnsi" w:eastAsiaTheme="majorEastAsia" w:hAnsiTheme="majorHAnsi" w:cstheme="majorBidi"/>
      <w:color w:val="404040" w:themeColor="text1" w:themeTint="BF"/>
      <w:sz w:val="20"/>
      <w:lang w:eastAsia="en-AU"/>
    </w:rPr>
  </w:style>
  <w:style w:type="character" w:customStyle="1" w:styleId="Heading9Char">
    <w:name w:val="Heading 9 Char"/>
    <w:basedOn w:val="DefaultParagraphFont"/>
    <w:link w:val="Heading9"/>
    <w:uiPriority w:val="99"/>
    <w:semiHidden/>
    <w:rsid w:val="005959B6"/>
    <w:rPr>
      <w:rFonts w:asciiTheme="majorHAnsi" w:eastAsiaTheme="majorEastAsia" w:hAnsiTheme="majorHAnsi" w:cstheme="majorBidi"/>
      <w:i/>
      <w:iCs/>
      <w:color w:val="404040" w:themeColor="text1" w:themeTint="BF"/>
      <w:sz w:val="20"/>
      <w:lang w:eastAsia="en-AU"/>
    </w:rPr>
  </w:style>
  <w:style w:type="paragraph" w:styleId="BalloonText">
    <w:name w:val="Balloon Text"/>
    <w:basedOn w:val="Normal"/>
    <w:link w:val="BalloonTextChar"/>
    <w:uiPriority w:val="99"/>
    <w:semiHidden/>
    <w:rsid w:val="005959B6"/>
    <w:rPr>
      <w:rFonts w:ascii="Tahoma" w:hAnsi="Tahoma" w:cs="Tahoma"/>
      <w:sz w:val="16"/>
      <w:szCs w:val="16"/>
    </w:rPr>
  </w:style>
  <w:style w:type="character" w:customStyle="1" w:styleId="BalloonTextChar">
    <w:name w:val="Balloon Text Char"/>
    <w:basedOn w:val="DefaultParagraphFont"/>
    <w:link w:val="BalloonText"/>
    <w:uiPriority w:val="99"/>
    <w:semiHidden/>
    <w:rsid w:val="005959B6"/>
    <w:rPr>
      <w:rFonts w:ascii="Tahoma" w:eastAsia="Times New Roman" w:hAnsi="Tahoma" w:cs="Tahoma"/>
      <w:sz w:val="16"/>
      <w:szCs w:val="16"/>
      <w:lang w:eastAsia="en-AU"/>
    </w:rPr>
  </w:style>
  <w:style w:type="paragraph" w:styleId="BodyText2">
    <w:name w:val="Body Text 2"/>
    <w:basedOn w:val="Normal"/>
    <w:link w:val="BodyText2Char"/>
    <w:uiPriority w:val="99"/>
    <w:semiHidden/>
    <w:rsid w:val="005959B6"/>
    <w:pPr>
      <w:ind w:right="2835"/>
      <w:jc w:val="center"/>
    </w:pPr>
    <w:rPr>
      <w:b/>
      <w:sz w:val="20"/>
    </w:rPr>
  </w:style>
  <w:style w:type="character" w:customStyle="1" w:styleId="BodyText2Char">
    <w:name w:val="Body Text 2 Char"/>
    <w:basedOn w:val="DefaultParagraphFont"/>
    <w:link w:val="BodyText2"/>
    <w:uiPriority w:val="99"/>
    <w:semiHidden/>
    <w:rsid w:val="005959B6"/>
    <w:rPr>
      <w:rFonts w:ascii="Arial" w:eastAsia="Times New Roman" w:hAnsi="Arial" w:cs="Times New Roman"/>
      <w:b/>
      <w:sz w:val="20"/>
      <w:lang w:eastAsia="en-AU"/>
    </w:rPr>
  </w:style>
  <w:style w:type="character" w:styleId="Emphasis">
    <w:name w:val="Emphasis"/>
    <w:basedOn w:val="DefaultParagraphFont"/>
    <w:uiPriority w:val="99"/>
    <w:semiHidden/>
    <w:qFormat/>
    <w:rsid w:val="005959B6"/>
    <w:rPr>
      <w:i/>
      <w:iCs/>
    </w:rPr>
  </w:style>
  <w:style w:type="paragraph" w:styleId="Footer">
    <w:name w:val="footer"/>
    <w:basedOn w:val="Normal"/>
    <w:link w:val="FooterChar"/>
    <w:uiPriority w:val="99"/>
    <w:rsid w:val="005959B6"/>
    <w:pPr>
      <w:tabs>
        <w:tab w:val="center" w:pos="4320"/>
        <w:tab w:val="right" w:pos="8640"/>
      </w:tabs>
    </w:pPr>
    <w:rPr>
      <w:sz w:val="16"/>
    </w:rPr>
  </w:style>
  <w:style w:type="character" w:customStyle="1" w:styleId="FooterChar">
    <w:name w:val="Footer Char"/>
    <w:basedOn w:val="DefaultParagraphFont"/>
    <w:link w:val="Footer"/>
    <w:uiPriority w:val="99"/>
    <w:rsid w:val="005959B6"/>
    <w:rPr>
      <w:rFonts w:ascii="Arial" w:eastAsia="Times New Roman" w:hAnsi="Arial" w:cs="Times New Roman"/>
      <w:sz w:val="16"/>
      <w:lang w:eastAsia="en-AU"/>
    </w:rPr>
  </w:style>
  <w:style w:type="paragraph" w:styleId="Header">
    <w:name w:val="header"/>
    <w:basedOn w:val="Normal"/>
    <w:link w:val="HeaderChar"/>
    <w:uiPriority w:val="99"/>
    <w:rsid w:val="005959B6"/>
    <w:pPr>
      <w:tabs>
        <w:tab w:val="center" w:pos="4320"/>
        <w:tab w:val="right" w:pos="8640"/>
      </w:tabs>
    </w:pPr>
    <w:rPr>
      <w:b/>
      <w:sz w:val="24"/>
    </w:rPr>
  </w:style>
  <w:style w:type="character" w:customStyle="1" w:styleId="HeaderChar">
    <w:name w:val="Header Char"/>
    <w:basedOn w:val="DefaultParagraphFont"/>
    <w:link w:val="Header"/>
    <w:uiPriority w:val="99"/>
    <w:rsid w:val="005959B6"/>
    <w:rPr>
      <w:rFonts w:ascii="Arial" w:eastAsia="Times New Roman" w:hAnsi="Arial" w:cs="Times New Roman"/>
      <w:b/>
      <w:sz w:val="24"/>
      <w:lang w:eastAsia="en-AU"/>
    </w:rPr>
  </w:style>
  <w:style w:type="paragraph" w:customStyle="1" w:styleId="MOLBodyText">
    <w:name w:val="MOL Body Text"/>
    <w:basedOn w:val="Normal"/>
    <w:uiPriority w:val="1"/>
    <w:qFormat/>
    <w:rsid w:val="005959B6"/>
    <w:pPr>
      <w:spacing w:before="120"/>
    </w:pPr>
  </w:style>
  <w:style w:type="paragraph" w:customStyle="1" w:styleId="MOLCcList">
    <w:name w:val="MOL CcList"/>
    <w:basedOn w:val="Normal"/>
    <w:uiPriority w:val="29"/>
    <w:rsid w:val="005959B6"/>
    <w:pPr>
      <w:keepLines/>
      <w:ind w:left="357" w:hanging="357"/>
    </w:pPr>
  </w:style>
  <w:style w:type="paragraph" w:customStyle="1" w:styleId="MOLClosing">
    <w:name w:val="MOL Closing"/>
    <w:basedOn w:val="Normal"/>
    <w:uiPriority w:val="29"/>
    <w:rsid w:val="005959B6"/>
    <w:pPr>
      <w:spacing w:after="720"/>
    </w:pPr>
  </w:style>
  <w:style w:type="paragraph" w:customStyle="1" w:styleId="MOLDate">
    <w:name w:val="MOL Date"/>
    <w:basedOn w:val="Normal"/>
    <w:uiPriority w:val="29"/>
    <w:rsid w:val="005959B6"/>
    <w:pPr>
      <w:spacing w:after="220" w:line="220" w:lineRule="atLeast"/>
      <w:jc w:val="both"/>
    </w:pPr>
    <w:rPr>
      <w:sz w:val="20"/>
    </w:rPr>
  </w:style>
  <w:style w:type="paragraph" w:customStyle="1" w:styleId="MOLEnclosure">
    <w:name w:val="MOL Enclosure"/>
    <w:basedOn w:val="Normal"/>
    <w:uiPriority w:val="29"/>
    <w:rsid w:val="005959B6"/>
    <w:pPr>
      <w:keepLines/>
      <w:spacing w:after="220" w:line="220" w:lineRule="atLeast"/>
    </w:pPr>
  </w:style>
  <w:style w:type="paragraph" w:customStyle="1" w:styleId="MOLHeading1">
    <w:name w:val="MOL Heading 1"/>
    <w:basedOn w:val="Normal"/>
    <w:next w:val="MOLBodyText"/>
    <w:link w:val="MOLHeading1Char"/>
    <w:uiPriority w:val="3"/>
    <w:qFormat/>
    <w:rsid w:val="005959B6"/>
    <w:pPr>
      <w:keepNext/>
      <w:spacing w:before="120"/>
    </w:pPr>
    <w:rPr>
      <w:b/>
      <w:sz w:val="24"/>
    </w:rPr>
  </w:style>
  <w:style w:type="paragraph" w:customStyle="1" w:styleId="MOLHeading2">
    <w:name w:val="MOL Heading 2"/>
    <w:basedOn w:val="Normal"/>
    <w:next w:val="MOLBodyText"/>
    <w:uiPriority w:val="3"/>
    <w:qFormat/>
    <w:rsid w:val="005959B6"/>
    <w:pPr>
      <w:keepNext/>
      <w:spacing w:before="120"/>
    </w:pPr>
    <w:rPr>
      <w:b/>
      <w:i/>
    </w:rPr>
  </w:style>
  <w:style w:type="paragraph" w:customStyle="1" w:styleId="MOLHeading3">
    <w:name w:val="MOL Heading 3"/>
    <w:basedOn w:val="Normal"/>
    <w:next w:val="MOLBodyText"/>
    <w:uiPriority w:val="3"/>
    <w:qFormat/>
    <w:rsid w:val="005959B6"/>
    <w:pPr>
      <w:keepNext/>
      <w:spacing w:before="120"/>
    </w:pPr>
    <w:rPr>
      <w:i/>
    </w:rPr>
  </w:style>
  <w:style w:type="paragraph" w:customStyle="1" w:styleId="MOLInsideAddress">
    <w:name w:val="MOL Inside Address"/>
    <w:basedOn w:val="Normal"/>
    <w:uiPriority w:val="29"/>
    <w:rsid w:val="005959B6"/>
    <w:rPr>
      <w:sz w:val="20"/>
    </w:rPr>
  </w:style>
  <w:style w:type="paragraph" w:customStyle="1" w:styleId="MOLListL1">
    <w:name w:val="MOL List (L1)"/>
    <w:basedOn w:val="MOLBodyText"/>
    <w:uiPriority w:val="8"/>
    <w:qFormat/>
    <w:rsid w:val="005959B6"/>
    <w:pPr>
      <w:numPr>
        <w:numId w:val="1"/>
      </w:numPr>
    </w:pPr>
  </w:style>
  <w:style w:type="paragraph" w:customStyle="1" w:styleId="MOLListL2">
    <w:name w:val="MOL List (L2)"/>
    <w:basedOn w:val="MOLBodyText"/>
    <w:uiPriority w:val="8"/>
    <w:qFormat/>
    <w:rsid w:val="005959B6"/>
    <w:pPr>
      <w:numPr>
        <w:ilvl w:val="1"/>
        <w:numId w:val="1"/>
      </w:numPr>
    </w:pPr>
  </w:style>
  <w:style w:type="paragraph" w:customStyle="1" w:styleId="MOLListL3">
    <w:name w:val="MOL List (L3)"/>
    <w:basedOn w:val="MOLBodyText"/>
    <w:uiPriority w:val="8"/>
    <w:qFormat/>
    <w:rsid w:val="005959B6"/>
    <w:pPr>
      <w:numPr>
        <w:ilvl w:val="2"/>
        <w:numId w:val="1"/>
      </w:numPr>
      <w:tabs>
        <w:tab w:val="left" w:pos="1701"/>
      </w:tabs>
    </w:pPr>
  </w:style>
  <w:style w:type="paragraph" w:customStyle="1" w:styleId="MOLListL4">
    <w:name w:val="MOL List (L4)"/>
    <w:basedOn w:val="MOLBodyText"/>
    <w:uiPriority w:val="8"/>
    <w:qFormat/>
    <w:rsid w:val="005959B6"/>
    <w:pPr>
      <w:numPr>
        <w:ilvl w:val="3"/>
        <w:numId w:val="1"/>
      </w:numPr>
    </w:pPr>
  </w:style>
  <w:style w:type="paragraph" w:customStyle="1" w:styleId="MOLListL5">
    <w:name w:val="MOL List (L5)"/>
    <w:basedOn w:val="MOLBodyText"/>
    <w:uiPriority w:val="8"/>
    <w:qFormat/>
    <w:rsid w:val="005959B6"/>
    <w:pPr>
      <w:numPr>
        <w:ilvl w:val="4"/>
        <w:numId w:val="1"/>
      </w:numPr>
    </w:pPr>
  </w:style>
  <w:style w:type="paragraph" w:customStyle="1" w:styleId="MOLListL6">
    <w:name w:val="MOL List (L6)"/>
    <w:basedOn w:val="MOLBodyText"/>
    <w:uiPriority w:val="8"/>
    <w:qFormat/>
    <w:rsid w:val="005959B6"/>
    <w:pPr>
      <w:numPr>
        <w:ilvl w:val="5"/>
        <w:numId w:val="1"/>
      </w:numPr>
      <w:tabs>
        <w:tab w:val="left" w:pos="3402"/>
      </w:tabs>
    </w:pPr>
  </w:style>
  <w:style w:type="paragraph" w:customStyle="1" w:styleId="MOLListL7">
    <w:name w:val="MOL List (L7)"/>
    <w:basedOn w:val="MOLBodyText"/>
    <w:uiPriority w:val="8"/>
    <w:qFormat/>
    <w:rsid w:val="005959B6"/>
    <w:pPr>
      <w:numPr>
        <w:ilvl w:val="6"/>
        <w:numId w:val="1"/>
      </w:numPr>
    </w:pPr>
  </w:style>
  <w:style w:type="paragraph" w:customStyle="1" w:styleId="MOLListL8">
    <w:name w:val="MOL List (L8)"/>
    <w:basedOn w:val="MOLBodyText"/>
    <w:uiPriority w:val="8"/>
    <w:qFormat/>
    <w:rsid w:val="005959B6"/>
    <w:pPr>
      <w:numPr>
        <w:ilvl w:val="7"/>
        <w:numId w:val="1"/>
      </w:numPr>
      <w:tabs>
        <w:tab w:val="left" w:pos="4536"/>
      </w:tabs>
    </w:pPr>
  </w:style>
  <w:style w:type="paragraph" w:customStyle="1" w:styleId="MOLListL9">
    <w:name w:val="MOL List (L9)"/>
    <w:basedOn w:val="MOLBodyText"/>
    <w:uiPriority w:val="8"/>
    <w:qFormat/>
    <w:rsid w:val="005959B6"/>
    <w:pPr>
      <w:numPr>
        <w:ilvl w:val="8"/>
        <w:numId w:val="1"/>
      </w:numPr>
    </w:pPr>
  </w:style>
  <w:style w:type="paragraph" w:customStyle="1" w:styleId="MOLListBullett">
    <w:name w:val="MOL List Bullett"/>
    <w:basedOn w:val="Normal"/>
    <w:autoRedefine/>
    <w:uiPriority w:val="4"/>
    <w:qFormat/>
    <w:rsid w:val="005959B6"/>
    <w:pPr>
      <w:numPr>
        <w:numId w:val="8"/>
      </w:numPr>
      <w:spacing w:before="120"/>
    </w:pPr>
  </w:style>
  <w:style w:type="paragraph" w:customStyle="1" w:styleId="MOLListNumber">
    <w:name w:val="MOL List Number"/>
    <w:basedOn w:val="Normal"/>
    <w:uiPriority w:val="29"/>
    <w:rsid w:val="005959B6"/>
    <w:pPr>
      <w:spacing w:after="120"/>
    </w:pPr>
  </w:style>
  <w:style w:type="paragraph" w:customStyle="1" w:styleId="MOLLogos">
    <w:name w:val="MOL Logos"/>
    <w:basedOn w:val="Normal"/>
    <w:next w:val="Normal"/>
    <w:uiPriority w:val="29"/>
    <w:rsid w:val="005959B6"/>
  </w:style>
  <w:style w:type="paragraph" w:customStyle="1" w:styleId="MOLPageNumber">
    <w:name w:val="MOL Page Number"/>
    <w:basedOn w:val="Normal"/>
    <w:uiPriority w:val="29"/>
    <w:rsid w:val="005959B6"/>
    <w:pPr>
      <w:spacing w:line="220" w:lineRule="atLeast"/>
      <w:jc w:val="right"/>
    </w:pPr>
    <w:rPr>
      <w:sz w:val="18"/>
    </w:rPr>
  </w:style>
  <w:style w:type="paragraph" w:customStyle="1" w:styleId="MOLParaNuma">
    <w:name w:val="MOL Para Num (a)"/>
    <w:basedOn w:val="Normal"/>
    <w:uiPriority w:val="29"/>
    <w:rsid w:val="005959B6"/>
    <w:pPr>
      <w:numPr>
        <w:numId w:val="2"/>
      </w:numPr>
      <w:spacing w:before="220" w:after="220" w:line="220" w:lineRule="atLeast"/>
      <w:jc w:val="both"/>
    </w:pPr>
  </w:style>
  <w:style w:type="paragraph" w:customStyle="1" w:styleId="MOLRef1">
    <w:name w:val="MOL Ref 1"/>
    <w:basedOn w:val="Normal"/>
    <w:uiPriority w:val="29"/>
    <w:rsid w:val="005959B6"/>
    <w:pPr>
      <w:tabs>
        <w:tab w:val="left" w:pos="1701"/>
      </w:tabs>
      <w:ind w:left="1701" w:hanging="1701"/>
    </w:pPr>
    <w:rPr>
      <w:sz w:val="16"/>
    </w:rPr>
  </w:style>
  <w:style w:type="paragraph" w:customStyle="1" w:styleId="MOLRef2">
    <w:name w:val="MOL Ref 2"/>
    <w:basedOn w:val="Normal"/>
    <w:uiPriority w:val="29"/>
    <w:rsid w:val="005959B6"/>
    <w:pPr>
      <w:tabs>
        <w:tab w:val="left" w:pos="1701"/>
      </w:tabs>
      <w:ind w:left="1701" w:hanging="1701"/>
    </w:pPr>
    <w:rPr>
      <w:b/>
      <w:sz w:val="16"/>
    </w:rPr>
  </w:style>
  <w:style w:type="paragraph" w:customStyle="1" w:styleId="MOLSalutation">
    <w:name w:val="MOL Salutation"/>
    <w:basedOn w:val="Normal"/>
    <w:uiPriority w:val="29"/>
    <w:rsid w:val="005959B6"/>
    <w:pPr>
      <w:spacing w:after="220"/>
    </w:pPr>
    <w:rPr>
      <w:sz w:val="20"/>
    </w:rPr>
  </w:style>
  <w:style w:type="paragraph" w:customStyle="1" w:styleId="MOLSavingcode">
    <w:name w:val="MOL Savingcode"/>
    <w:basedOn w:val="Normal"/>
    <w:uiPriority w:val="29"/>
    <w:rsid w:val="005959B6"/>
    <w:pPr>
      <w:spacing w:line="220" w:lineRule="exact"/>
    </w:pPr>
    <w:rPr>
      <w:sz w:val="12"/>
    </w:rPr>
  </w:style>
  <w:style w:type="paragraph" w:customStyle="1" w:styleId="MOLSignature">
    <w:name w:val="MOL Signature"/>
    <w:basedOn w:val="Normal"/>
    <w:uiPriority w:val="29"/>
    <w:rsid w:val="005959B6"/>
    <w:rPr>
      <w:b/>
    </w:rPr>
  </w:style>
  <w:style w:type="paragraph" w:customStyle="1" w:styleId="MOLSubjectLine">
    <w:name w:val="MOL Subject Line"/>
    <w:basedOn w:val="Normal"/>
    <w:uiPriority w:val="29"/>
    <w:rsid w:val="005959B6"/>
    <w:pPr>
      <w:spacing w:after="220" w:line="220" w:lineRule="atLeast"/>
    </w:pPr>
    <w:rPr>
      <w:b/>
    </w:rPr>
  </w:style>
  <w:style w:type="paragraph" w:customStyle="1" w:styleId="MOLHeadDes">
    <w:name w:val="MOLHeadDes"/>
    <w:basedOn w:val="Normal"/>
    <w:uiPriority w:val="29"/>
    <w:rsid w:val="005959B6"/>
    <w:pPr>
      <w:jc w:val="right"/>
    </w:pPr>
    <w:rPr>
      <w:b/>
      <w:sz w:val="18"/>
    </w:rPr>
  </w:style>
  <w:style w:type="character" w:styleId="PageNumber">
    <w:name w:val="page number"/>
    <w:basedOn w:val="DefaultParagraphFont"/>
    <w:uiPriority w:val="99"/>
    <w:rsid w:val="005959B6"/>
    <w:rPr>
      <w:rFonts w:ascii="Arial" w:hAnsi="Arial"/>
    </w:rPr>
  </w:style>
  <w:style w:type="paragraph" w:styleId="Signature">
    <w:name w:val="Signature"/>
    <w:basedOn w:val="Normal"/>
    <w:link w:val="SignatureChar"/>
    <w:uiPriority w:val="99"/>
    <w:semiHidden/>
    <w:rsid w:val="005959B6"/>
    <w:pPr>
      <w:ind w:left="4252"/>
    </w:pPr>
    <w:rPr>
      <w:rFonts w:cs="Arial"/>
    </w:rPr>
  </w:style>
  <w:style w:type="character" w:customStyle="1" w:styleId="SignatureChar">
    <w:name w:val="Signature Char"/>
    <w:basedOn w:val="DefaultParagraphFont"/>
    <w:link w:val="Signature"/>
    <w:uiPriority w:val="99"/>
    <w:semiHidden/>
    <w:rsid w:val="005959B6"/>
    <w:rPr>
      <w:rFonts w:ascii="Arial" w:eastAsia="Times New Roman" w:hAnsi="Arial" w:cs="Arial"/>
      <w:lang w:eastAsia="en-AU"/>
    </w:rPr>
  </w:style>
  <w:style w:type="paragraph" w:styleId="BodyText">
    <w:name w:val="Body Text"/>
    <w:basedOn w:val="Normal"/>
    <w:link w:val="BodyTextChar"/>
    <w:uiPriority w:val="99"/>
    <w:semiHidden/>
    <w:rsid w:val="005959B6"/>
    <w:pPr>
      <w:spacing w:before="120"/>
      <w:ind w:right="1440"/>
    </w:pPr>
  </w:style>
  <w:style w:type="character" w:customStyle="1" w:styleId="BodyTextChar">
    <w:name w:val="Body Text Char"/>
    <w:basedOn w:val="DefaultParagraphFont"/>
    <w:link w:val="BodyText"/>
    <w:uiPriority w:val="99"/>
    <w:semiHidden/>
    <w:rsid w:val="005959B6"/>
    <w:rPr>
      <w:rFonts w:ascii="Arial" w:eastAsia="Times New Roman" w:hAnsi="Arial" w:cs="Times New Roman"/>
      <w:lang w:eastAsia="en-AU"/>
    </w:rPr>
  </w:style>
  <w:style w:type="paragraph" w:customStyle="1" w:styleId="MOAnnexHeading">
    <w:name w:val="MO Annex Heading"/>
    <w:basedOn w:val="Normal"/>
    <w:next w:val="MOLBodyText"/>
    <w:uiPriority w:val="11"/>
    <w:qFormat/>
    <w:rsid w:val="005959B6"/>
    <w:pPr>
      <w:keepNext/>
      <w:numPr>
        <w:numId w:val="5"/>
      </w:numPr>
      <w:spacing w:before="240"/>
      <w:outlineLvl w:val="0"/>
    </w:pPr>
    <w:rPr>
      <w:b/>
      <w:sz w:val="32"/>
    </w:rPr>
  </w:style>
  <w:style w:type="paragraph" w:customStyle="1" w:styleId="MOAnnexText">
    <w:name w:val="MO Annex Text"/>
    <w:basedOn w:val="Normal"/>
    <w:uiPriority w:val="11"/>
    <w:qFormat/>
    <w:rsid w:val="005959B6"/>
    <w:pPr>
      <w:spacing w:before="120"/>
    </w:pPr>
  </w:style>
  <w:style w:type="paragraph" w:customStyle="1" w:styleId="MOBackL2">
    <w:name w:val="MO Back (L2)"/>
    <w:basedOn w:val="Normal"/>
    <w:uiPriority w:val="21"/>
    <w:qFormat/>
    <w:rsid w:val="005959B6"/>
    <w:pPr>
      <w:numPr>
        <w:ilvl w:val="1"/>
        <w:numId w:val="3"/>
      </w:numPr>
      <w:spacing w:before="120"/>
    </w:pPr>
  </w:style>
  <w:style w:type="paragraph" w:customStyle="1" w:styleId="MOBackL3">
    <w:name w:val="MO Back (L3)"/>
    <w:basedOn w:val="Normal"/>
    <w:uiPriority w:val="21"/>
    <w:qFormat/>
    <w:rsid w:val="005959B6"/>
    <w:pPr>
      <w:numPr>
        <w:ilvl w:val="2"/>
        <w:numId w:val="3"/>
      </w:numPr>
      <w:spacing w:before="120"/>
    </w:pPr>
  </w:style>
  <w:style w:type="paragraph" w:customStyle="1" w:styleId="MOBackL4">
    <w:name w:val="MO Back (L4)"/>
    <w:basedOn w:val="Normal"/>
    <w:uiPriority w:val="21"/>
    <w:qFormat/>
    <w:rsid w:val="005959B6"/>
    <w:pPr>
      <w:numPr>
        <w:ilvl w:val="3"/>
        <w:numId w:val="3"/>
      </w:numPr>
      <w:spacing w:before="120"/>
    </w:pPr>
  </w:style>
  <w:style w:type="paragraph" w:customStyle="1" w:styleId="MOCommentBox">
    <w:name w:val="MO Comment Box"/>
    <w:basedOn w:val="Normal"/>
    <w:uiPriority w:val="14"/>
    <w:qFormat/>
    <w:rsid w:val="005959B6"/>
    <w:pPr>
      <w:pBdr>
        <w:top w:val="single" w:sz="4" w:space="4" w:color="auto"/>
        <w:left w:val="single" w:sz="4" w:space="4" w:color="auto"/>
        <w:bottom w:val="single" w:sz="4" w:space="4" w:color="auto"/>
        <w:right w:val="single" w:sz="4" w:space="4" w:color="auto"/>
      </w:pBdr>
      <w:shd w:val="clear" w:color="auto" w:fill="D9D9D9"/>
    </w:pPr>
    <w:rPr>
      <w:b/>
      <w:bCs/>
      <w:shd w:val="clear" w:color="auto" w:fill="D9D9D9"/>
    </w:rPr>
  </w:style>
  <w:style w:type="paragraph" w:customStyle="1" w:styleId="MOIndexHeading">
    <w:name w:val="MO Index Heading"/>
    <w:basedOn w:val="Normal"/>
    <w:next w:val="MOLBodyText"/>
    <w:uiPriority w:val="15"/>
    <w:qFormat/>
    <w:rsid w:val="005959B6"/>
    <w:pPr>
      <w:keepNext/>
      <w:spacing w:before="240"/>
      <w:outlineLvl w:val="0"/>
    </w:pPr>
    <w:rPr>
      <w:b/>
      <w:sz w:val="32"/>
    </w:rPr>
  </w:style>
  <w:style w:type="paragraph" w:customStyle="1" w:styleId="MOParaL1">
    <w:name w:val="MO Para (L1)"/>
    <w:basedOn w:val="Normal"/>
    <w:next w:val="MOLBodyText"/>
    <w:uiPriority w:val="6"/>
    <w:qFormat/>
    <w:rsid w:val="005959B6"/>
    <w:pPr>
      <w:keepNext/>
      <w:spacing w:before="120"/>
      <w:outlineLvl w:val="0"/>
    </w:pPr>
    <w:rPr>
      <w:b/>
    </w:rPr>
  </w:style>
  <w:style w:type="paragraph" w:customStyle="1" w:styleId="MOParaL2">
    <w:name w:val="MO Para (L2)"/>
    <w:basedOn w:val="Normal"/>
    <w:next w:val="MOParaL4"/>
    <w:uiPriority w:val="6"/>
    <w:qFormat/>
    <w:rsid w:val="005959B6"/>
    <w:pPr>
      <w:numPr>
        <w:numId w:val="6"/>
      </w:numPr>
      <w:spacing w:before="120"/>
      <w:outlineLvl w:val="0"/>
    </w:pPr>
  </w:style>
  <w:style w:type="paragraph" w:customStyle="1" w:styleId="MOParaL3">
    <w:name w:val="MO Para (L3)"/>
    <w:basedOn w:val="Normal"/>
    <w:next w:val="MOParaL4"/>
    <w:uiPriority w:val="6"/>
    <w:qFormat/>
    <w:rsid w:val="005959B6"/>
    <w:pPr>
      <w:spacing w:before="120"/>
      <w:ind w:left="851"/>
    </w:pPr>
    <w:rPr>
      <w:i/>
    </w:rPr>
  </w:style>
  <w:style w:type="paragraph" w:customStyle="1" w:styleId="MOParaL4">
    <w:name w:val="MO Para (L4)"/>
    <w:basedOn w:val="Normal"/>
    <w:uiPriority w:val="6"/>
    <w:qFormat/>
    <w:rsid w:val="005959B6"/>
    <w:pPr>
      <w:spacing w:before="120"/>
      <w:ind w:left="851"/>
    </w:pPr>
  </w:style>
  <w:style w:type="paragraph" w:customStyle="1" w:styleId="MOParaL5">
    <w:name w:val="MO Para (L5)"/>
    <w:basedOn w:val="Normal"/>
    <w:uiPriority w:val="6"/>
    <w:qFormat/>
    <w:rsid w:val="005959B6"/>
    <w:pPr>
      <w:numPr>
        <w:ilvl w:val="3"/>
        <w:numId w:val="6"/>
      </w:numPr>
      <w:spacing w:before="120"/>
      <w:outlineLvl w:val="1"/>
    </w:pPr>
  </w:style>
  <w:style w:type="paragraph" w:customStyle="1" w:styleId="MOParaL6">
    <w:name w:val="MO Para (L6)"/>
    <w:basedOn w:val="Normal"/>
    <w:uiPriority w:val="6"/>
    <w:qFormat/>
    <w:rsid w:val="005959B6"/>
    <w:pPr>
      <w:numPr>
        <w:ilvl w:val="4"/>
        <w:numId w:val="6"/>
      </w:numPr>
      <w:spacing w:before="120"/>
    </w:pPr>
  </w:style>
  <w:style w:type="paragraph" w:customStyle="1" w:styleId="MOParaL7">
    <w:name w:val="MO Para (L7)"/>
    <w:basedOn w:val="Normal"/>
    <w:uiPriority w:val="6"/>
    <w:qFormat/>
    <w:rsid w:val="005959B6"/>
    <w:pPr>
      <w:numPr>
        <w:ilvl w:val="5"/>
        <w:numId w:val="6"/>
      </w:numPr>
      <w:spacing w:before="120"/>
    </w:pPr>
  </w:style>
  <w:style w:type="paragraph" w:customStyle="1" w:styleId="MOParaL8">
    <w:name w:val="MO Para (L8)"/>
    <w:basedOn w:val="Normal"/>
    <w:uiPriority w:val="6"/>
    <w:qFormat/>
    <w:rsid w:val="005959B6"/>
    <w:pPr>
      <w:numPr>
        <w:ilvl w:val="6"/>
        <w:numId w:val="6"/>
      </w:numPr>
      <w:spacing w:before="120"/>
    </w:pPr>
  </w:style>
  <w:style w:type="paragraph" w:customStyle="1" w:styleId="MOParaL9">
    <w:name w:val="MO Para (L9)"/>
    <w:basedOn w:val="Normal"/>
    <w:uiPriority w:val="6"/>
    <w:qFormat/>
    <w:rsid w:val="005959B6"/>
    <w:pPr>
      <w:numPr>
        <w:ilvl w:val="7"/>
        <w:numId w:val="6"/>
      </w:numPr>
      <w:spacing w:before="120"/>
    </w:pPr>
  </w:style>
  <w:style w:type="paragraph" w:customStyle="1" w:styleId="MORecitalsL1">
    <w:name w:val="MO Recitals (L1)"/>
    <w:basedOn w:val="Normal"/>
    <w:uiPriority w:val="19"/>
    <w:qFormat/>
    <w:rsid w:val="005959B6"/>
    <w:pPr>
      <w:numPr>
        <w:numId w:val="3"/>
      </w:numPr>
      <w:spacing w:before="120"/>
    </w:pPr>
  </w:style>
  <w:style w:type="paragraph" w:customStyle="1" w:styleId="MOSchHeading">
    <w:name w:val="MO Sch Heading"/>
    <w:basedOn w:val="Normal"/>
    <w:next w:val="MOLBodyText"/>
    <w:uiPriority w:val="11"/>
    <w:qFormat/>
    <w:rsid w:val="005959B6"/>
    <w:pPr>
      <w:keepNext/>
      <w:numPr>
        <w:numId w:val="4"/>
      </w:numPr>
      <w:spacing w:before="240"/>
      <w:outlineLvl w:val="0"/>
    </w:pPr>
    <w:rPr>
      <w:b/>
      <w:sz w:val="32"/>
    </w:rPr>
  </w:style>
  <w:style w:type="paragraph" w:customStyle="1" w:styleId="MOSchText">
    <w:name w:val="MO Sch Text"/>
    <w:basedOn w:val="Normal"/>
    <w:uiPriority w:val="12"/>
    <w:qFormat/>
    <w:rsid w:val="005959B6"/>
    <w:pPr>
      <w:spacing w:before="120"/>
    </w:pPr>
  </w:style>
  <w:style w:type="paragraph" w:customStyle="1" w:styleId="MOTable">
    <w:name w:val="MO Table"/>
    <w:basedOn w:val="Normal"/>
    <w:uiPriority w:val="24"/>
    <w:unhideWhenUsed/>
    <w:rsid w:val="005959B6"/>
    <w:pPr>
      <w:spacing w:before="120"/>
    </w:pPr>
  </w:style>
  <w:style w:type="paragraph" w:customStyle="1" w:styleId="MOTableL1">
    <w:name w:val="MO Table (L1)"/>
    <w:basedOn w:val="MOTable"/>
    <w:uiPriority w:val="24"/>
    <w:qFormat/>
    <w:rsid w:val="005959B6"/>
    <w:pPr>
      <w:numPr>
        <w:numId w:val="10"/>
      </w:numPr>
    </w:pPr>
  </w:style>
  <w:style w:type="paragraph" w:customStyle="1" w:styleId="MOTableL2">
    <w:name w:val="MO Table (L2)"/>
    <w:basedOn w:val="MOTable"/>
    <w:uiPriority w:val="24"/>
    <w:qFormat/>
    <w:rsid w:val="005959B6"/>
    <w:pPr>
      <w:numPr>
        <w:ilvl w:val="1"/>
        <w:numId w:val="10"/>
      </w:numPr>
    </w:pPr>
  </w:style>
  <w:style w:type="paragraph" w:customStyle="1" w:styleId="MOTermsL1">
    <w:name w:val="MO Terms (L1)"/>
    <w:basedOn w:val="Normal"/>
    <w:next w:val="MOTermsL3"/>
    <w:link w:val="MOTermsL1Char"/>
    <w:uiPriority w:val="5"/>
    <w:qFormat/>
    <w:rsid w:val="005959B6"/>
    <w:pPr>
      <w:keepNext/>
      <w:numPr>
        <w:numId w:val="22"/>
      </w:numPr>
      <w:pBdr>
        <w:bottom w:val="single" w:sz="4" w:space="0" w:color="auto"/>
      </w:pBdr>
      <w:spacing w:before="240"/>
      <w:outlineLvl w:val="0"/>
    </w:pPr>
    <w:rPr>
      <w:b/>
      <w:sz w:val="28"/>
    </w:rPr>
  </w:style>
  <w:style w:type="paragraph" w:customStyle="1" w:styleId="MOTermsL2">
    <w:name w:val="MO Terms (L2)"/>
    <w:basedOn w:val="Normal"/>
    <w:next w:val="MOTermsL3"/>
    <w:link w:val="MOTermsL2Char"/>
    <w:uiPriority w:val="5"/>
    <w:qFormat/>
    <w:rsid w:val="005959B6"/>
    <w:pPr>
      <w:keepNext/>
      <w:numPr>
        <w:ilvl w:val="1"/>
        <w:numId w:val="22"/>
      </w:numPr>
      <w:spacing w:before="120"/>
      <w:outlineLvl w:val="1"/>
    </w:pPr>
    <w:rPr>
      <w:b/>
    </w:rPr>
  </w:style>
  <w:style w:type="paragraph" w:customStyle="1" w:styleId="MOTermsL3">
    <w:name w:val="MO Terms (L3)"/>
    <w:basedOn w:val="Normal"/>
    <w:link w:val="MOTermsL3Char"/>
    <w:uiPriority w:val="5"/>
    <w:qFormat/>
    <w:rsid w:val="005959B6"/>
    <w:pPr>
      <w:spacing w:before="120"/>
      <w:ind w:left="851"/>
    </w:pPr>
  </w:style>
  <w:style w:type="paragraph" w:customStyle="1" w:styleId="MOTermsL4">
    <w:name w:val="MO Terms (L4)"/>
    <w:basedOn w:val="Normal"/>
    <w:uiPriority w:val="5"/>
    <w:qFormat/>
    <w:rsid w:val="005959B6"/>
    <w:pPr>
      <w:numPr>
        <w:ilvl w:val="3"/>
        <w:numId w:val="22"/>
      </w:numPr>
      <w:spacing w:before="120"/>
      <w:outlineLvl w:val="3"/>
    </w:pPr>
  </w:style>
  <w:style w:type="paragraph" w:customStyle="1" w:styleId="MOTermsL5">
    <w:name w:val="MO Terms (L5)"/>
    <w:basedOn w:val="Normal"/>
    <w:uiPriority w:val="5"/>
    <w:qFormat/>
    <w:rsid w:val="005959B6"/>
    <w:pPr>
      <w:numPr>
        <w:ilvl w:val="4"/>
        <w:numId w:val="22"/>
      </w:numPr>
      <w:spacing w:before="120"/>
    </w:pPr>
  </w:style>
  <w:style w:type="paragraph" w:customStyle="1" w:styleId="MOTermsL6">
    <w:name w:val="MO Terms (L6)"/>
    <w:basedOn w:val="Normal"/>
    <w:uiPriority w:val="5"/>
    <w:qFormat/>
    <w:rsid w:val="005959B6"/>
    <w:pPr>
      <w:numPr>
        <w:ilvl w:val="5"/>
        <w:numId w:val="22"/>
      </w:numPr>
      <w:spacing w:before="120"/>
    </w:pPr>
  </w:style>
  <w:style w:type="paragraph" w:customStyle="1" w:styleId="MOTermsL7">
    <w:name w:val="MO Terms (L7)"/>
    <w:basedOn w:val="Normal"/>
    <w:uiPriority w:val="5"/>
    <w:qFormat/>
    <w:rsid w:val="005959B6"/>
    <w:pPr>
      <w:numPr>
        <w:ilvl w:val="6"/>
        <w:numId w:val="22"/>
      </w:numPr>
      <w:spacing w:before="120"/>
    </w:pPr>
  </w:style>
  <w:style w:type="paragraph" w:customStyle="1" w:styleId="MOTermsL8">
    <w:name w:val="MO Terms (L8)"/>
    <w:basedOn w:val="Normal"/>
    <w:uiPriority w:val="5"/>
    <w:qFormat/>
    <w:rsid w:val="005959B6"/>
    <w:pPr>
      <w:numPr>
        <w:ilvl w:val="7"/>
        <w:numId w:val="22"/>
      </w:numPr>
      <w:spacing w:before="120"/>
    </w:pPr>
  </w:style>
  <w:style w:type="paragraph" w:customStyle="1" w:styleId="MOTermsL9">
    <w:name w:val="MO Terms (L9)"/>
    <w:basedOn w:val="Normal"/>
    <w:uiPriority w:val="5"/>
    <w:qFormat/>
    <w:rsid w:val="005959B6"/>
    <w:pPr>
      <w:numPr>
        <w:ilvl w:val="8"/>
        <w:numId w:val="22"/>
      </w:numPr>
      <w:spacing w:before="120"/>
    </w:pPr>
  </w:style>
  <w:style w:type="paragraph" w:styleId="TOC1">
    <w:name w:val="toc 1"/>
    <w:basedOn w:val="Normal"/>
    <w:next w:val="Normal"/>
    <w:uiPriority w:val="39"/>
    <w:rsid w:val="005959B6"/>
    <w:pPr>
      <w:tabs>
        <w:tab w:val="left" w:pos="851"/>
        <w:tab w:val="right" w:leader="dot" w:pos="9639"/>
      </w:tabs>
      <w:spacing w:before="120"/>
      <w:ind w:left="851" w:right="851" w:hanging="851"/>
    </w:pPr>
    <w:rPr>
      <w:b/>
    </w:rPr>
  </w:style>
  <w:style w:type="paragraph" w:styleId="TOC2">
    <w:name w:val="toc 2"/>
    <w:basedOn w:val="Normal"/>
    <w:next w:val="Normal"/>
    <w:uiPriority w:val="39"/>
    <w:rsid w:val="005959B6"/>
    <w:pPr>
      <w:tabs>
        <w:tab w:val="left" w:pos="1701"/>
        <w:tab w:val="right" w:leader="dot" w:pos="9639"/>
      </w:tabs>
      <w:ind w:left="1702" w:right="851" w:hanging="851"/>
    </w:pPr>
  </w:style>
  <w:style w:type="paragraph" w:styleId="TOC3">
    <w:name w:val="toc 3"/>
    <w:basedOn w:val="Normal"/>
    <w:next w:val="Normal"/>
    <w:autoRedefine/>
    <w:uiPriority w:val="30"/>
    <w:rsid w:val="005959B6"/>
    <w:pPr>
      <w:tabs>
        <w:tab w:val="right" w:leader="dot" w:pos="9638"/>
      </w:tabs>
      <w:spacing w:before="120"/>
    </w:pPr>
    <w:rPr>
      <w:b/>
    </w:rPr>
  </w:style>
  <w:style w:type="paragraph" w:styleId="TOC7">
    <w:name w:val="toc 7"/>
    <w:basedOn w:val="TOC1"/>
    <w:next w:val="Normal"/>
    <w:uiPriority w:val="74"/>
    <w:semiHidden/>
    <w:rsid w:val="005959B6"/>
    <w:pPr>
      <w:tabs>
        <w:tab w:val="clear" w:pos="851"/>
        <w:tab w:val="left" w:pos="1701"/>
      </w:tabs>
    </w:pPr>
    <w:rPr>
      <w:b w:val="0"/>
    </w:rPr>
  </w:style>
  <w:style w:type="paragraph" w:styleId="TOC8">
    <w:name w:val="toc 8"/>
    <w:basedOn w:val="TOC1"/>
    <w:next w:val="Normal"/>
    <w:uiPriority w:val="74"/>
    <w:semiHidden/>
    <w:rsid w:val="005959B6"/>
    <w:pPr>
      <w:numPr>
        <w:ilvl w:val="1"/>
        <w:numId w:val="5"/>
      </w:numPr>
      <w:tabs>
        <w:tab w:val="clear" w:pos="851"/>
        <w:tab w:val="left" w:pos="1701"/>
      </w:tabs>
    </w:pPr>
    <w:rPr>
      <w:b w:val="0"/>
    </w:rPr>
  </w:style>
  <w:style w:type="paragraph" w:styleId="TOC9">
    <w:name w:val="toc 9"/>
    <w:basedOn w:val="TOC1"/>
    <w:next w:val="Normal"/>
    <w:uiPriority w:val="74"/>
    <w:semiHidden/>
    <w:rsid w:val="005959B6"/>
    <w:pPr>
      <w:tabs>
        <w:tab w:val="clear" w:pos="851"/>
      </w:tabs>
      <w:ind w:left="0" w:firstLine="0"/>
    </w:pPr>
    <w:rPr>
      <w:b w:val="0"/>
    </w:rPr>
  </w:style>
  <w:style w:type="paragraph" w:customStyle="1" w:styleId="MOSectionHeading">
    <w:name w:val="MO Section Heading"/>
    <w:basedOn w:val="MOIndexHeading"/>
    <w:next w:val="MOLBodyText"/>
    <w:uiPriority w:val="18"/>
    <w:qFormat/>
    <w:rsid w:val="005959B6"/>
  </w:style>
  <w:style w:type="numbering" w:customStyle="1" w:styleId="moBullets">
    <w:name w:val="moBullets"/>
    <w:uiPriority w:val="99"/>
    <w:rsid w:val="005959B6"/>
    <w:pPr>
      <w:numPr>
        <w:numId w:val="7"/>
      </w:numPr>
    </w:pPr>
  </w:style>
  <w:style w:type="paragraph" w:customStyle="1" w:styleId="MOLListBullettL2">
    <w:name w:val="MOL List Bullett (L2)"/>
    <w:basedOn w:val="MOLListBullett"/>
    <w:uiPriority w:val="4"/>
    <w:qFormat/>
    <w:rsid w:val="005959B6"/>
    <w:pPr>
      <w:numPr>
        <w:ilvl w:val="1"/>
      </w:numPr>
    </w:pPr>
  </w:style>
  <w:style w:type="paragraph" w:customStyle="1" w:styleId="MOLListBullettL3">
    <w:name w:val="MOL List Bullett (L3)"/>
    <w:basedOn w:val="MOLListBullett"/>
    <w:uiPriority w:val="4"/>
    <w:qFormat/>
    <w:rsid w:val="005959B6"/>
    <w:pPr>
      <w:numPr>
        <w:ilvl w:val="2"/>
      </w:numPr>
    </w:pPr>
  </w:style>
  <w:style w:type="paragraph" w:styleId="TOC4">
    <w:name w:val="toc 4"/>
    <w:basedOn w:val="Normal"/>
    <w:next w:val="Normal"/>
    <w:uiPriority w:val="30"/>
    <w:rsid w:val="005959B6"/>
    <w:pPr>
      <w:tabs>
        <w:tab w:val="right" w:leader="dot" w:pos="9639"/>
      </w:tabs>
      <w:spacing w:before="120"/>
    </w:pPr>
    <w:rPr>
      <w:b/>
    </w:rPr>
  </w:style>
  <w:style w:type="paragraph" w:styleId="TOC5">
    <w:name w:val="toc 5"/>
    <w:basedOn w:val="Normal"/>
    <w:next w:val="Normal"/>
    <w:autoRedefine/>
    <w:uiPriority w:val="30"/>
    <w:rsid w:val="005959B6"/>
    <w:pPr>
      <w:spacing w:after="100"/>
      <w:ind w:left="880"/>
    </w:pPr>
  </w:style>
  <w:style w:type="paragraph" w:styleId="TOC6">
    <w:name w:val="toc 6"/>
    <w:basedOn w:val="Normal"/>
    <w:next w:val="Normal"/>
    <w:autoRedefine/>
    <w:uiPriority w:val="30"/>
    <w:rsid w:val="005959B6"/>
    <w:pPr>
      <w:spacing w:after="100"/>
      <w:ind w:left="1100"/>
    </w:pPr>
  </w:style>
  <w:style w:type="numbering" w:customStyle="1" w:styleId="MOTableLevels">
    <w:name w:val="MO Table Levels"/>
    <w:uiPriority w:val="99"/>
    <w:rsid w:val="005959B6"/>
    <w:pPr>
      <w:numPr>
        <w:numId w:val="9"/>
      </w:numPr>
    </w:pPr>
  </w:style>
  <w:style w:type="paragraph" w:styleId="ListParagraph">
    <w:name w:val="List Paragraph"/>
    <w:basedOn w:val="Normal"/>
    <w:uiPriority w:val="34"/>
    <w:qFormat/>
    <w:rsid w:val="005959B6"/>
    <w:pPr>
      <w:ind w:left="720"/>
      <w:contextualSpacing/>
    </w:pPr>
  </w:style>
  <w:style w:type="paragraph" w:customStyle="1" w:styleId="MONumberL5">
    <w:name w:val="MO Number (L5)"/>
    <w:basedOn w:val="MONumberL4"/>
    <w:uiPriority w:val="7"/>
    <w:qFormat/>
    <w:rsid w:val="005959B6"/>
    <w:pPr>
      <w:numPr>
        <w:ilvl w:val="4"/>
      </w:numPr>
    </w:pPr>
  </w:style>
  <w:style w:type="paragraph" w:customStyle="1" w:styleId="MONumberL1">
    <w:name w:val="MO Number (L1)"/>
    <w:next w:val="MOBodyTextIndented"/>
    <w:uiPriority w:val="7"/>
    <w:qFormat/>
    <w:rsid w:val="005959B6"/>
    <w:pPr>
      <w:keepNext/>
      <w:numPr>
        <w:numId w:val="24"/>
      </w:numPr>
      <w:pBdr>
        <w:bottom w:val="single" w:sz="4" w:space="1" w:color="auto"/>
      </w:pBdr>
      <w:spacing w:before="240" w:after="0" w:line="240" w:lineRule="auto"/>
      <w:outlineLvl w:val="0"/>
    </w:pPr>
    <w:rPr>
      <w:rFonts w:ascii="Arial" w:hAnsi="Arial" w:cs="Times New Roman"/>
      <w:b/>
      <w:sz w:val="28"/>
    </w:rPr>
  </w:style>
  <w:style w:type="paragraph" w:customStyle="1" w:styleId="MONumberL2">
    <w:name w:val="MO Number (L2)"/>
    <w:basedOn w:val="MONumberL1"/>
    <w:next w:val="MONumberL3"/>
    <w:uiPriority w:val="7"/>
    <w:qFormat/>
    <w:rsid w:val="005959B6"/>
    <w:pPr>
      <w:numPr>
        <w:ilvl w:val="1"/>
      </w:numPr>
      <w:pBdr>
        <w:bottom w:val="none" w:sz="0" w:space="0" w:color="auto"/>
      </w:pBdr>
      <w:spacing w:before="120"/>
      <w:outlineLvl w:val="1"/>
    </w:pPr>
    <w:rPr>
      <w:sz w:val="22"/>
    </w:rPr>
  </w:style>
  <w:style w:type="paragraph" w:customStyle="1" w:styleId="MONumberL3">
    <w:name w:val="MO Number (L3)"/>
    <w:basedOn w:val="Normal"/>
    <w:uiPriority w:val="7"/>
    <w:qFormat/>
    <w:rsid w:val="005959B6"/>
    <w:pPr>
      <w:numPr>
        <w:ilvl w:val="2"/>
        <w:numId w:val="24"/>
      </w:numPr>
      <w:spacing w:before="120"/>
    </w:pPr>
  </w:style>
  <w:style w:type="paragraph" w:customStyle="1" w:styleId="MONumberL4">
    <w:name w:val="MO Number (L4)"/>
    <w:uiPriority w:val="7"/>
    <w:qFormat/>
    <w:rsid w:val="005959B6"/>
    <w:pPr>
      <w:numPr>
        <w:ilvl w:val="3"/>
        <w:numId w:val="24"/>
      </w:numPr>
      <w:spacing w:before="120" w:after="0" w:line="240" w:lineRule="auto"/>
      <w:outlineLvl w:val="2"/>
    </w:pPr>
    <w:rPr>
      <w:rFonts w:ascii="Arial" w:hAnsi="Arial" w:cs="Times New Roman"/>
    </w:rPr>
  </w:style>
  <w:style w:type="paragraph" w:customStyle="1" w:styleId="MONumberL6">
    <w:name w:val="MO Number (L6)"/>
    <w:basedOn w:val="MONumberL5"/>
    <w:uiPriority w:val="7"/>
    <w:qFormat/>
    <w:rsid w:val="005959B6"/>
    <w:pPr>
      <w:numPr>
        <w:ilvl w:val="5"/>
      </w:numPr>
      <w:outlineLvl w:val="9"/>
    </w:pPr>
  </w:style>
  <w:style w:type="paragraph" w:customStyle="1" w:styleId="MONumberL7">
    <w:name w:val="MO Number (L7)"/>
    <w:uiPriority w:val="7"/>
    <w:qFormat/>
    <w:rsid w:val="005959B6"/>
    <w:pPr>
      <w:numPr>
        <w:ilvl w:val="6"/>
        <w:numId w:val="24"/>
      </w:numPr>
      <w:spacing w:before="120" w:after="0" w:line="240" w:lineRule="auto"/>
    </w:pPr>
    <w:rPr>
      <w:rFonts w:ascii="Arial" w:hAnsi="Arial" w:cs="Times New Roman"/>
    </w:rPr>
  </w:style>
  <w:style w:type="paragraph" w:customStyle="1" w:styleId="MONumberL8">
    <w:name w:val="MO Number (L8)"/>
    <w:uiPriority w:val="7"/>
    <w:qFormat/>
    <w:rsid w:val="005959B6"/>
    <w:pPr>
      <w:numPr>
        <w:ilvl w:val="7"/>
        <w:numId w:val="24"/>
      </w:numPr>
      <w:spacing w:before="120" w:after="0" w:line="240" w:lineRule="auto"/>
    </w:pPr>
    <w:rPr>
      <w:rFonts w:ascii="Arial" w:hAnsi="Arial" w:cs="Times New Roman"/>
    </w:rPr>
  </w:style>
  <w:style w:type="paragraph" w:customStyle="1" w:styleId="MONumberL9">
    <w:name w:val="MO Number (L9)"/>
    <w:uiPriority w:val="7"/>
    <w:qFormat/>
    <w:rsid w:val="005959B6"/>
    <w:pPr>
      <w:numPr>
        <w:ilvl w:val="8"/>
        <w:numId w:val="24"/>
      </w:numPr>
      <w:spacing w:before="120" w:after="0" w:line="240" w:lineRule="auto"/>
    </w:pPr>
    <w:rPr>
      <w:rFonts w:ascii="Arial" w:hAnsi="Arial" w:cs="Times New Roman"/>
    </w:rPr>
  </w:style>
  <w:style w:type="numbering" w:customStyle="1" w:styleId="MONumbers">
    <w:name w:val="MO Numbers"/>
    <w:uiPriority w:val="99"/>
    <w:rsid w:val="005959B6"/>
    <w:pPr>
      <w:numPr>
        <w:numId w:val="12"/>
      </w:numPr>
    </w:pPr>
  </w:style>
  <w:style w:type="paragraph" w:styleId="Bibliography">
    <w:name w:val="Bibliography"/>
    <w:basedOn w:val="Normal"/>
    <w:next w:val="Normal"/>
    <w:uiPriority w:val="37"/>
    <w:semiHidden/>
    <w:unhideWhenUsed/>
    <w:rsid w:val="005959B6"/>
  </w:style>
  <w:style w:type="paragraph" w:styleId="BlockText">
    <w:name w:val="Block Text"/>
    <w:basedOn w:val="Normal"/>
    <w:uiPriority w:val="99"/>
    <w:semiHidden/>
    <w:rsid w:val="005959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rsid w:val="005959B6"/>
    <w:pPr>
      <w:spacing w:after="120"/>
    </w:pPr>
    <w:rPr>
      <w:sz w:val="16"/>
      <w:szCs w:val="16"/>
    </w:rPr>
  </w:style>
  <w:style w:type="character" w:customStyle="1" w:styleId="BodyText3Char">
    <w:name w:val="Body Text 3 Char"/>
    <w:basedOn w:val="DefaultParagraphFont"/>
    <w:link w:val="BodyText3"/>
    <w:uiPriority w:val="99"/>
    <w:semiHidden/>
    <w:rsid w:val="005959B6"/>
    <w:rPr>
      <w:rFonts w:ascii="Arial" w:eastAsia="Times New Roman" w:hAnsi="Arial" w:cs="Times New Roman"/>
      <w:sz w:val="16"/>
      <w:szCs w:val="16"/>
      <w:lang w:eastAsia="en-AU"/>
    </w:rPr>
  </w:style>
  <w:style w:type="paragraph" w:styleId="BodyTextFirstIndent">
    <w:name w:val="Body Text First Indent"/>
    <w:basedOn w:val="BodyText"/>
    <w:link w:val="BodyTextFirstIndentChar"/>
    <w:uiPriority w:val="99"/>
    <w:semiHidden/>
    <w:rsid w:val="005959B6"/>
    <w:pPr>
      <w:spacing w:before="0"/>
      <w:ind w:right="0" w:firstLine="360"/>
    </w:pPr>
    <w:rPr>
      <w:szCs w:val="20"/>
    </w:rPr>
  </w:style>
  <w:style w:type="character" w:customStyle="1" w:styleId="BodyTextFirstIndentChar">
    <w:name w:val="Body Text First Indent Char"/>
    <w:basedOn w:val="BodyTextChar"/>
    <w:link w:val="BodyTextFirstIndent"/>
    <w:uiPriority w:val="99"/>
    <w:semiHidden/>
    <w:rsid w:val="005959B6"/>
    <w:rPr>
      <w:rFonts w:ascii="Arial" w:eastAsia="Times New Roman" w:hAnsi="Arial" w:cs="Times New Roman"/>
      <w:szCs w:val="20"/>
      <w:lang w:eastAsia="en-AU"/>
    </w:rPr>
  </w:style>
  <w:style w:type="paragraph" w:styleId="BodyTextIndent">
    <w:name w:val="Body Text Indent"/>
    <w:basedOn w:val="Normal"/>
    <w:link w:val="BodyTextIndentChar"/>
    <w:uiPriority w:val="99"/>
    <w:semiHidden/>
    <w:rsid w:val="005959B6"/>
    <w:pPr>
      <w:spacing w:after="120"/>
      <w:ind w:left="283"/>
    </w:pPr>
  </w:style>
  <w:style w:type="character" w:customStyle="1" w:styleId="BodyTextIndentChar">
    <w:name w:val="Body Text Indent Char"/>
    <w:basedOn w:val="DefaultParagraphFont"/>
    <w:link w:val="BodyTextIndent"/>
    <w:uiPriority w:val="99"/>
    <w:semiHidden/>
    <w:rsid w:val="005959B6"/>
    <w:rPr>
      <w:rFonts w:ascii="Arial" w:eastAsia="Times New Roman" w:hAnsi="Arial" w:cs="Times New Roman"/>
      <w:lang w:eastAsia="en-AU"/>
    </w:rPr>
  </w:style>
  <w:style w:type="paragraph" w:styleId="BodyTextFirstIndent2">
    <w:name w:val="Body Text First Indent 2"/>
    <w:basedOn w:val="BodyTextIndent"/>
    <w:link w:val="BodyTextFirstIndent2Char"/>
    <w:uiPriority w:val="99"/>
    <w:semiHidden/>
    <w:rsid w:val="005959B6"/>
    <w:pPr>
      <w:spacing w:after="0"/>
      <w:ind w:left="360" w:firstLine="360"/>
    </w:pPr>
  </w:style>
  <w:style w:type="character" w:customStyle="1" w:styleId="BodyTextFirstIndent2Char">
    <w:name w:val="Body Text First Indent 2 Char"/>
    <w:basedOn w:val="BodyTextIndentChar"/>
    <w:link w:val="BodyTextFirstIndent2"/>
    <w:uiPriority w:val="99"/>
    <w:semiHidden/>
    <w:rsid w:val="005959B6"/>
    <w:rPr>
      <w:rFonts w:ascii="Arial" w:eastAsia="Times New Roman" w:hAnsi="Arial" w:cs="Times New Roman"/>
      <w:lang w:eastAsia="en-AU"/>
    </w:rPr>
  </w:style>
  <w:style w:type="paragraph" w:styleId="BodyTextIndent2">
    <w:name w:val="Body Text Indent 2"/>
    <w:basedOn w:val="Normal"/>
    <w:link w:val="BodyTextIndent2Char"/>
    <w:uiPriority w:val="99"/>
    <w:semiHidden/>
    <w:rsid w:val="005959B6"/>
    <w:pPr>
      <w:spacing w:after="120" w:line="480" w:lineRule="auto"/>
      <w:ind w:left="283"/>
    </w:pPr>
  </w:style>
  <w:style w:type="character" w:customStyle="1" w:styleId="BodyTextIndent2Char">
    <w:name w:val="Body Text Indent 2 Char"/>
    <w:basedOn w:val="DefaultParagraphFont"/>
    <w:link w:val="BodyTextIndent2"/>
    <w:uiPriority w:val="99"/>
    <w:semiHidden/>
    <w:rsid w:val="005959B6"/>
    <w:rPr>
      <w:rFonts w:ascii="Arial" w:eastAsia="Times New Roman" w:hAnsi="Arial" w:cs="Times New Roman"/>
      <w:lang w:eastAsia="en-AU"/>
    </w:rPr>
  </w:style>
  <w:style w:type="paragraph" w:styleId="BodyTextIndent3">
    <w:name w:val="Body Text Indent 3"/>
    <w:basedOn w:val="Normal"/>
    <w:link w:val="BodyTextIndent3Char"/>
    <w:uiPriority w:val="99"/>
    <w:semiHidden/>
    <w:rsid w:val="005959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59B6"/>
    <w:rPr>
      <w:rFonts w:ascii="Arial" w:eastAsia="Times New Roman" w:hAnsi="Arial" w:cs="Times New Roman"/>
      <w:sz w:val="16"/>
      <w:szCs w:val="16"/>
      <w:lang w:eastAsia="en-AU"/>
    </w:rPr>
  </w:style>
  <w:style w:type="paragraph" w:styleId="Caption">
    <w:name w:val="caption"/>
    <w:basedOn w:val="Normal"/>
    <w:next w:val="Normal"/>
    <w:uiPriority w:val="99"/>
    <w:semiHidden/>
    <w:qFormat/>
    <w:rsid w:val="005959B6"/>
    <w:pPr>
      <w:spacing w:after="200"/>
    </w:pPr>
    <w:rPr>
      <w:b/>
      <w:bCs/>
      <w:color w:val="4F81BD" w:themeColor="accent1"/>
      <w:sz w:val="18"/>
      <w:szCs w:val="18"/>
    </w:rPr>
  </w:style>
  <w:style w:type="paragraph" w:styleId="Closing">
    <w:name w:val="Closing"/>
    <w:basedOn w:val="Normal"/>
    <w:link w:val="ClosingChar"/>
    <w:uiPriority w:val="99"/>
    <w:semiHidden/>
    <w:rsid w:val="005959B6"/>
    <w:pPr>
      <w:ind w:left="4252"/>
    </w:pPr>
  </w:style>
  <w:style w:type="character" w:customStyle="1" w:styleId="ClosingChar">
    <w:name w:val="Closing Char"/>
    <w:basedOn w:val="DefaultParagraphFont"/>
    <w:link w:val="Closing"/>
    <w:uiPriority w:val="99"/>
    <w:semiHidden/>
    <w:rsid w:val="005959B6"/>
    <w:rPr>
      <w:rFonts w:ascii="Arial" w:eastAsia="Times New Roman" w:hAnsi="Arial" w:cs="Times New Roman"/>
      <w:lang w:eastAsia="en-AU"/>
    </w:rPr>
  </w:style>
  <w:style w:type="table" w:styleId="ColorfulGrid">
    <w:name w:val="Colorful Grid"/>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959B6"/>
    <w:pPr>
      <w:spacing w:after="0" w:line="240" w:lineRule="auto"/>
    </w:pPr>
    <w:rPr>
      <w:rFonts w:ascii="Arial" w:hAnsi="Arial" w:cs="Times New Roman"/>
      <w:color w:val="000000" w:themeColor="text1"/>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959B6"/>
    <w:pPr>
      <w:spacing w:after="0" w:line="240" w:lineRule="auto"/>
    </w:pPr>
    <w:rPr>
      <w:rFonts w:ascii="Arial" w:hAnsi="Arial" w:cs="Times New Roman"/>
      <w:color w:val="000000" w:themeColor="text1"/>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959B6"/>
    <w:pPr>
      <w:spacing w:after="0" w:line="240" w:lineRule="auto"/>
    </w:pPr>
    <w:rPr>
      <w:rFonts w:ascii="Arial" w:hAnsi="Arial" w:cs="Times New Roman"/>
      <w:color w:val="000000" w:themeColor="text1"/>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79"/>
    <w:semiHidden/>
    <w:rsid w:val="005959B6"/>
    <w:rPr>
      <w:sz w:val="20"/>
    </w:rPr>
  </w:style>
  <w:style w:type="character" w:customStyle="1" w:styleId="CommentTextChar">
    <w:name w:val="Comment Text Char"/>
    <w:basedOn w:val="DefaultParagraphFont"/>
    <w:link w:val="CommentText"/>
    <w:uiPriority w:val="79"/>
    <w:semiHidden/>
    <w:rsid w:val="005959B6"/>
    <w:rPr>
      <w:rFonts w:ascii="Arial" w:eastAsia="Times New Roman" w:hAnsi="Arial" w:cs="Times New Roman"/>
      <w:sz w:val="20"/>
      <w:lang w:eastAsia="en-AU"/>
    </w:rPr>
  </w:style>
  <w:style w:type="paragraph" w:styleId="CommentSubject">
    <w:name w:val="annotation subject"/>
    <w:basedOn w:val="CommentText"/>
    <w:next w:val="CommentText"/>
    <w:link w:val="CommentSubjectChar"/>
    <w:uiPriority w:val="79"/>
    <w:semiHidden/>
    <w:rsid w:val="005959B6"/>
    <w:rPr>
      <w:b/>
      <w:bCs/>
    </w:rPr>
  </w:style>
  <w:style w:type="character" w:customStyle="1" w:styleId="CommentSubjectChar">
    <w:name w:val="Comment Subject Char"/>
    <w:basedOn w:val="CommentTextChar"/>
    <w:link w:val="CommentSubject"/>
    <w:uiPriority w:val="79"/>
    <w:semiHidden/>
    <w:rsid w:val="005959B6"/>
    <w:rPr>
      <w:rFonts w:ascii="Arial" w:eastAsia="Times New Roman" w:hAnsi="Arial" w:cs="Times New Roman"/>
      <w:b/>
      <w:bCs/>
      <w:sz w:val="20"/>
      <w:lang w:eastAsia="en-AU"/>
    </w:rPr>
  </w:style>
  <w:style w:type="table" w:styleId="DarkList">
    <w:name w:val="Dark List"/>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959B6"/>
    <w:pPr>
      <w:spacing w:after="0" w:line="240" w:lineRule="auto"/>
    </w:pPr>
    <w:rPr>
      <w:rFonts w:ascii="Arial" w:hAnsi="Arial" w:cs="Times New Roman"/>
      <w:color w:val="FFFFFF" w:themeColor="background1"/>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5959B6"/>
  </w:style>
  <w:style w:type="character" w:customStyle="1" w:styleId="DateChar">
    <w:name w:val="Date Char"/>
    <w:basedOn w:val="DefaultParagraphFont"/>
    <w:link w:val="Date"/>
    <w:uiPriority w:val="99"/>
    <w:semiHidden/>
    <w:rsid w:val="005959B6"/>
    <w:rPr>
      <w:rFonts w:ascii="Arial" w:eastAsia="Times New Roman" w:hAnsi="Arial" w:cs="Times New Roman"/>
      <w:lang w:eastAsia="en-AU"/>
    </w:rPr>
  </w:style>
  <w:style w:type="paragraph" w:styleId="DocumentMap">
    <w:name w:val="Document Map"/>
    <w:basedOn w:val="Normal"/>
    <w:link w:val="DocumentMapChar"/>
    <w:uiPriority w:val="99"/>
    <w:semiHidden/>
    <w:rsid w:val="005959B6"/>
    <w:rPr>
      <w:rFonts w:ascii="Tahoma" w:hAnsi="Tahoma" w:cs="Tahoma"/>
      <w:sz w:val="16"/>
      <w:szCs w:val="16"/>
    </w:rPr>
  </w:style>
  <w:style w:type="character" w:customStyle="1" w:styleId="DocumentMapChar">
    <w:name w:val="Document Map Char"/>
    <w:basedOn w:val="DefaultParagraphFont"/>
    <w:link w:val="DocumentMap"/>
    <w:uiPriority w:val="99"/>
    <w:semiHidden/>
    <w:rsid w:val="005959B6"/>
    <w:rPr>
      <w:rFonts w:ascii="Tahoma" w:eastAsia="Times New Roman" w:hAnsi="Tahoma" w:cs="Tahoma"/>
      <w:sz w:val="16"/>
      <w:szCs w:val="16"/>
      <w:lang w:eastAsia="en-AU"/>
    </w:rPr>
  </w:style>
  <w:style w:type="paragraph" w:styleId="E-mailSignature">
    <w:name w:val="E-mail Signature"/>
    <w:basedOn w:val="Normal"/>
    <w:link w:val="E-mailSignatureChar"/>
    <w:uiPriority w:val="99"/>
    <w:semiHidden/>
    <w:rsid w:val="005959B6"/>
  </w:style>
  <w:style w:type="character" w:customStyle="1" w:styleId="E-mailSignatureChar">
    <w:name w:val="E-mail Signature Char"/>
    <w:basedOn w:val="DefaultParagraphFont"/>
    <w:link w:val="E-mailSignature"/>
    <w:uiPriority w:val="99"/>
    <w:semiHidden/>
    <w:rsid w:val="005959B6"/>
    <w:rPr>
      <w:rFonts w:ascii="Arial" w:eastAsia="Times New Roman" w:hAnsi="Arial" w:cs="Times New Roman"/>
      <w:lang w:eastAsia="en-AU"/>
    </w:rPr>
  </w:style>
  <w:style w:type="paragraph" w:styleId="EndnoteText">
    <w:name w:val="endnote text"/>
    <w:basedOn w:val="Normal"/>
    <w:link w:val="EndnoteTextChar"/>
    <w:uiPriority w:val="99"/>
    <w:semiHidden/>
    <w:rsid w:val="005959B6"/>
    <w:rPr>
      <w:sz w:val="20"/>
    </w:rPr>
  </w:style>
  <w:style w:type="character" w:customStyle="1" w:styleId="EndnoteTextChar">
    <w:name w:val="Endnote Text Char"/>
    <w:basedOn w:val="DefaultParagraphFont"/>
    <w:link w:val="EndnoteText"/>
    <w:uiPriority w:val="99"/>
    <w:semiHidden/>
    <w:rsid w:val="005959B6"/>
    <w:rPr>
      <w:rFonts w:ascii="Arial" w:eastAsia="Times New Roman" w:hAnsi="Arial" w:cs="Times New Roman"/>
      <w:sz w:val="20"/>
      <w:lang w:eastAsia="en-AU"/>
    </w:rPr>
  </w:style>
  <w:style w:type="paragraph" w:styleId="EnvelopeAddress">
    <w:name w:val="envelope address"/>
    <w:basedOn w:val="Normal"/>
    <w:uiPriority w:val="99"/>
    <w:semiHidden/>
    <w:rsid w:val="005959B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959B6"/>
    <w:rPr>
      <w:rFonts w:asciiTheme="majorHAnsi" w:eastAsiaTheme="majorEastAsia" w:hAnsiTheme="majorHAnsi" w:cstheme="majorBidi"/>
      <w:sz w:val="20"/>
    </w:rPr>
  </w:style>
  <w:style w:type="paragraph" w:styleId="FootnoteText">
    <w:name w:val="footnote text"/>
    <w:basedOn w:val="Normal"/>
    <w:link w:val="FootnoteTextChar"/>
    <w:uiPriority w:val="99"/>
    <w:semiHidden/>
    <w:rsid w:val="005959B6"/>
    <w:rPr>
      <w:sz w:val="20"/>
    </w:rPr>
  </w:style>
  <w:style w:type="character" w:customStyle="1" w:styleId="FootnoteTextChar">
    <w:name w:val="Footnote Text Char"/>
    <w:basedOn w:val="DefaultParagraphFont"/>
    <w:link w:val="FootnoteText"/>
    <w:uiPriority w:val="99"/>
    <w:semiHidden/>
    <w:rsid w:val="005959B6"/>
    <w:rPr>
      <w:rFonts w:ascii="Arial" w:eastAsia="Times New Roman" w:hAnsi="Arial" w:cs="Times New Roman"/>
      <w:sz w:val="20"/>
      <w:lang w:eastAsia="en-AU"/>
    </w:rPr>
  </w:style>
  <w:style w:type="paragraph" w:styleId="HTMLAddress">
    <w:name w:val="HTML Address"/>
    <w:basedOn w:val="Normal"/>
    <w:link w:val="HTMLAddressChar"/>
    <w:uiPriority w:val="99"/>
    <w:semiHidden/>
    <w:unhideWhenUsed/>
    <w:rsid w:val="005959B6"/>
    <w:rPr>
      <w:i/>
      <w:iCs/>
    </w:rPr>
  </w:style>
  <w:style w:type="character" w:customStyle="1" w:styleId="HTMLAddressChar">
    <w:name w:val="HTML Address Char"/>
    <w:basedOn w:val="DefaultParagraphFont"/>
    <w:link w:val="HTMLAddress"/>
    <w:uiPriority w:val="99"/>
    <w:semiHidden/>
    <w:rsid w:val="005959B6"/>
    <w:rPr>
      <w:rFonts w:ascii="Arial" w:eastAsia="Times New Roman" w:hAnsi="Arial" w:cs="Times New Roman"/>
      <w:i/>
      <w:iCs/>
      <w:lang w:eastAsia="en-AU"/>
    </w:rPr>
  </w:style>
  <w:style w:type="paragraph" w:styleId="HTMLPreformatted">
    <w:name w:val="HTML Preformatted"/>
    <w:basedOn w:val="Normal"/>
    <w:link w:val="HTMLPreformattedChar"/>
    <w:uiPriority w:val="99"/>
    <w:semiHidden/>
    <w:unhideWhenUsed/>
    <w:rsid w:val="005959B6"/>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959B6"/>
    <w:rPr>
      <w:rFonts w:ascii="Consolas" w:eastAsia="Times New Roman" w:hAnsi="Consolas" w:cs="Consolas"/>
      <w:sz w:val="20"/>
      <w:lang w:eastAsia="en-AU"/>
    </w:rPr>
  </w:style>
  <w:style w:type="paragraph" w:styleId="Index1">
    <w:name w:val="index 1"/>
    <w:basedOn w:val="Normal"/>
    <w:next w:val="Normal"/>
    <w:autoRedefine/>
    <w:uiPriority w:val="99"/>
    <w:semiHidden/>
    <w:unhideWhenUsed/>
    <w:rsid w:val="005959B6"/>
    <w:pPr>
      <w:ind w:left="220" w:hanging="220"/>
    </w:pPr>
  </w:style>
  <w:style w:type="paragraph" w:styleId="Index2">
    <w:name w:val="index 2"/>
    <w:basedOn w:val="Normal"/>
    <w:next w:val="Normal"/>
    <w:autoRedefine/>
    <w:uiPriority w:val="99"/>
    <w:semiHidden/>
    <w:unhideWhenUsed/>
    <w:rsid w:val="005959B6"/>
    <w:pPr>
      <w:ind w:left="440" w:hanging="220"/>
    </w:pPr>
  </w:style>
  <w:style w:type="paragraph" w:styleId="Index3">
    <w:name w:val="index 3"/>
    <w:basedOn w:val="Normal"/>
    <w:next w:val="Normal"/>
    <w:autoRedefine/>
    <w:uiPriority w:val="99"/>
    <w:semiHidden/>
    <w:unhideWhenUsed/>
    <w:rsid w:val="005959B6"/>
    <w:pPr>
      <w:ind w:left="660" w:hanging="220"/>
    </w:pPr>
  </w:style>
  <w:style w:type="paragraph" w:styleId="Index4">
    <w:name w:val="index 4"/>
    <w:basedOn w:val="Normal"/>
    <w:next w:val="Normal"/>
    <w:autoRedefine/>
    <w:uiPriority w:val="99"/>
    <w:semiHidden/>
    <w:unhideWhenUsed/>
    <w:rsid w:val="005959B6"/>
    <w:pPr>
      <w:ind w:left="880" w:hanging="220"/>
    </w:pPr>
  </w:style>
  <w:style w:type="paragraph" w:styleId="Index5">
    <w:name w:val="index 5"/>
    <w:basedOn w:val="Normal"/>
    <w:next w:val="Normal"/>
    <w:autoRedefine/>
    <w:uiPriority w:val="99"/>
    <w:semiHidden/>
    <w:unhideWhenUsed/>
    <w:rsid w:val="005959B6"/>
    <w:pPr>
      <w:ind w:left="1100" w:hanging="220"/>
    </w:pPr>
  </w:style>
  <w:style w:type="paragraph" w:styleId="Index6">
    <w:name w:val="index 6"/>
    <w:basedOn w:val="Normal"/>
    <w:next w:val="Normal"/>
    <w:autoRedefine/>
    <w:uiPriority w:val="99"/>
    <w:semiHidden/>
    <w:unhideWhenUsed/>
    <w:rsid w:val="005959B6"/>
    <w:pPr>
      <w:ind w:left="1320" w:hanging="220"/>
    </w:pPr>
  </w:style>
  <w:style w:type="paragraph" w:styleId="Index7">
    <w:name w:val="index 7"/>
    <w:basedOn w:val="Normal"/>
    <w:next w:val="Normal"/>
    <w:autoRedefine/>
    <w:uiPriority w:val="99"/>
    <w:semiHidden/>
    <w:unhideWhenUsed/>
    <w:rsid w:val="005959B6"/>
    <w:pPr>
      <w:ind w:left="1540" w:hanging="220"/>
    </w:pPr>
  </w:style>
  <w:style w:type="paragraph" w:styleId="Index8">
    <w:name w:val="index 8"/>
    <w:basedOn w:val="Normal"/>
    <w:next w:val="Normal"/>
    <w:autoRedefine/>
    <w:uiPriority w:val="99"/>
    <w:semiHidden/>
    <w:unhideWhenUsed/>
    <w:rsid w:val="005959B6"/>
    <w:pPr>
      <w:ind w:left="1760" w:hanging="220"/>
    </w:pPr>
  </w:style>
  <w:style w:type="paragraph" w:styleId="Index9">
    <w:name w:val="index 9"/>
    <w:basedOn w:val="Normal"/>
    <w:next w:val="Normal"/>
    <w:autoRedefine/>
    <w:uiPriority w:val="99"/>
    <w:semiHidden/>
    <w:unhideWhenUsed/>
    <w:rsid w:val="005959B6"/>
    <w:pPr>
      <w:ind w:left="1980" w:hanging="220"/>
    </w:pPr>
  </w:style>
  <w:style w:type="paragraph" w:styleId="IndexHeading">
    <w:name w:val="index heading"/>
    <w:basedOn w:val="Normal"/>
    <w:next w:val="Index1"/>
    <w:uiPriority w:val="99"/>
    <w:semiHidden/>
    <w:unhideWhenUsed/>
    <w:rsid w:val="005959B6"/>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qFormat/>
    <w:rsid w:val="005959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959B6"/>
    <w:rPr>
      <w:rFonts w:ascii="Arial" w:eastAsia="Times New Roman" w:hAnsi="Arial" w:cs="Times New Roman"/>
      <w:b/>
      <w:bCs/>
      <w:i/>
      <w:iCs/>
      <w:color w:val="4F81BD" w:themeColor="accent1"/>
      <w:lang w:eastAsia="en-AU"/>
    </w:rPr>
  </w:style>
  <w:style w:type="table" w:styleId="LightGrid">
    <w:name w:val="Light Grid"/>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959B6"/>
    <w:pPr>
      <w:spacing w:after="0" w:line="240" w:lineRule="auto"/>
    </w:pPr>
    <w:rPr>
      <w:rFonts w:ascii="Arial" w:hAnsi="Arial"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959B6"/>
    <w:pPr>
      <w:spacing w:after="0" w:line="240" w:lineRule="auto"/>
    </w:pPr>
    <w:rPr>
      <w:rFonts w:ascii="Arial" w:hAnsi="Arial"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959B6"/>
    <w:pPr>
      <w:spacing w:after="0" w:line="240" w:lineRule="auto"/>
    </w:pPr>
    <w:rPr>
      <w:rFonts w:ascii="Arial" w:hAnsi="Arial"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9B6"/>
    <w:pPr>
      <w:spacing w:after="0" w:line="240" w:lineRule="auto"/>
    </w:pPr>
    <w:rPr>
      <w:rFonts w:ascii="Arial" w:hAnsi="Arial" w:cs="Times New Roman"/>
      <w:color w:val="365F91" w:themeColor="accent1" w:themeShade="BF"/>
      <w:lang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959B6"/>
    <w:pPr>
      <w:spacing w:after="0" w:line="240" w:lineRule="auto"/>
    </w:pPr>
    <w:rPr>
      <w:rFonts w:ascii="Arial" w:hAnsi="Arial" w:cs="Times New Roman"/>
      <w:color w:val="943634" w:themeColor="accent2" w:themeShade="BF"/>
      <w:lang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959B6"/>
    <w:pPr>
      <w:spacing w:after="0" w:line="240" w:lineRule="auto"/>
    </w:pPr>
    <w:rPr>
      <w:rFonts w:ascii="Arial" w:hAnsi="Arial" w:cs="Times New Roman"/>
      <w:color w:val="76923C" w:themeColor="accent3" w:themeShade="BF"/>
      <w:lang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959B6"/>
    <w:pPr>
      <w:spacing w:after="0" w:line="240" w:lineRule="auto"/>
    </w:pPr>
    <w:rPr>
      <w:rFonts w:ascii="Arial" w:hAnsi="Arial" w:cs="Times New Roman"/>
      <w:color w:val="5F497A" w:themeColor="accent4" w:themeShade="BF"/>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959B6"/>
    <w:pPr>
      <w:spacing w:after="0" w:line="240" w:lineRule="auto"/>
    </w:pPr>
    <w:rPr>
      <w:rFonts w:ascii="Arial" w:hAnsi="Arial" w:cs="Times New Roman"/>
      <w:color w:val="31849B" w:themeColor="accent5" w:themeShade="BF"/>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959B6"/>
    <w:pPr>
      <w:spacing w:after="0" w:line="240" w:lineRule="auto"/>
    </w:pPr>
    <w:rPr>
      <w:rFonts w:ascii="Arial" w:hAnsi="Arial" w:cs="Times New Roman"/>
      <w:color w:val="E36C0A" w:themeColor="accent6" w:themeShade="BF"/>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959B6"/>
    <w:pPr>
      <w:ind w:left="283" w:hanging="283"/>
      <w:contextualSpacing/>
    </w:pPr>
  </w:style>
  <w:style w:type="paragraph" w:styleId="List2">
    <w:name w:val="List 2"/>
    <w:basedOn w:val="Normal"/>
    <w:uiPriority w:val="99"/>
    <w:semiHidden/>
    <w:unhideWhenUsed/>
    <w:rsid w:val="005959B6"/>
    <w:pPr>
      <w:ind w:left="566" w:hanging="283"/>
      <w:contextualSpacing/>
    </w:pPr>
  </w:style>
  <w:style w:type="paragraph" w:styleId="List3">
    <w:name w:val="List 3"/>
    <w:basedOn w:val="Normal"/>
    <w:uiPriority w:val="99"/>
    <w:semiHidden/>
    <w:unhideWhenUsed/>
    <w:rsid w:val="005959B6"/>
    <w:pPr>
      <w:ind w:left="849" w:hanging="283"/>
      <w:contextualSpacing/>
    </w:pPr>
  </w:style>
  <w:style w:type="paragraph" w:styleId="List4">
    <w:name w:val="List 4"/>
    <w:basedOn w:val="Normal"/>
    <w:uiPriority w:val="99"/>
    <w:semiHidden/>
    <w:unhideWhenUsed/>
    <w:rsid w:val="005959B6"/>
    <w:pPr>
      <w:ind w:left="1132" w:hanging="283"/>
      <w:contextualSpacing/>
    </w:pPr>
  </w:style>
  <w:style w:type="paragraph" w:styleId="List5">
    <w:name w:val="List 5"/>
    <w:basedOn w:val="Normal"/>
    <w:uiPriority w:val="99"/>
    <w:semiHidden/>
    <w:unhideWhenUsed/>
    <w:rsid w:val="005959B6"/>
    <w:pPr>
      <w:ind w:left="1415" w:hanging="283"/>
      <w:contextualSpacing/>
    </w:pPr>
  </w:style>
  <w:style w:type="paragraph" w:styleId="ListBullet">
    <w:name w:val="List Bullet"/>
    <w:basedOn w:val="Normal"/>
    <w:uiPriority w:val="99"/>
    <w:semiHidden/>
    <w:unhideWhenUsed/>
    <w:rsid w:val="005959B6"/>
    <w:pPr>
      <w:numPr>
        <w:numId w:val="11"/>
      </w:numPr>
      <w:contextualSpacing/>
    </w:pPr>
  </w:style>
  <w:style w:type="paragraph" w:styleId="ListBullet2">
    <w:name w:val="List Bullet 2"/>
    <w:basedOn w:val="Normal"/>
    <w:uiPriority w:val="99"/>
    <w:semiHidden/>
    <w:unhideWhenUsed/>
    <w:rsid w:val="005959B6"/>
    <w:pPr>
      <w:numPr>
        <w:numId w:val="13"/>
      </w:numPr>
      <w:contextualSpacing/>
    </w:pPr>
  </w:style>
  <w:style w:type="paragraph" w:styleId="ListBullet3">
    <w:name w:val="List Bullet 3"/>
    <w:basedOn w:val="Normal"/>
    <w:uiPriority w:val="99"/>
    <w:semiHidden/>
    <w:unhideWhenUsed/>
    <w:rsid w:val="005959B6"/>
    <w:pPr>
      <w:numPr>
        <w:numId w:val="14"/>
      </w:numPr>
      <w:contextualSpacing/>
    </w:pPr>
  </w:style>
  <w:style w:type="paragraph" w:styleId="ListBullet4">
    <w:name w:val="List Bullet 4"/>
    <w:basedOn w:val="Normal"/>
    <w:uiPriority w:val="99"/>
    <w:semiHidden/>
    <w:unhideWhenUsed/>
    <w:rsid w:val="005959B6"/>
    <w:pPr>
      <w:numPr>
        <w:numId w:val="15"/>
      </w:numPr>
      <w:contextualSpacing/>
    </w:pPr>
  </w:style>
  <w:style w:type="paragraph" w:styleId="ListBullet5">
    <w:name w:val="List Bullet 5"/>
    <w:basedOn w:val="Normal"/>
    <w:uiPriority w:val="99"/>
    <w:semiHidden/>
    <w:unhideWhenUsed/>
    <w:rsid w:val="005959B6"/>
    <w:pPr>
      <w:numPr>
        <w:numId w:val="16"/>
      </w:numPr>
      <w:contextualSpacing/>
    </w:pPr>
  </w:style>
  <w:style w:type="paragraph" w:styleId="ListContinue">
    <w:name w:val="List Continue"/>
    <w:basedOn w:val="Normal"/>
    <w:uiPriority w:val="99"/>
    <w:semiHidden/>
    <w:unhideWhenUsed/>
    <w:rsid w:val="005959B6"/>
    <w:pPr>
      <w:spacing w:after="120"/>
      <w:ind w:left="283"/>
      <w:contextualSpacing/>
    </w:pPr>
  </w:style>
  <w:style w:type="paragraph" w:styleId="ListContinue2">
    <w:name w:val="List Continue 2"/>
    <w:basedOn w:val="Normal"/>
    <w:uiPriority w:val="99"/>
    <w:semiHidden/>
    <w:unhideWhenUsed/>
    <w:rsid w:val="005959B6"/>
    <w:pPr>
      <w:spacing w:after="120"/>
      <w:ind w:left="566"/>
      <w:contextualSpacing/>
    </w:pPr>
  </w:style>
  <w:style w:type="paragraph" w:styleId="ListContinue3">
    <w:name w:val="List Continue 3"/>
    <w:basedOn w:val="Normal"/>
    <w:uiPriority w:val="99"/>
    <w:semiHidden/>
    <w:unhideWhenUsed/>
    <w:rsid w:val="005959B6"/>
    <w:pPr>
      <w:spacing w:after="120"/>
      <w:ind w:left="849"/>
      <w:contextualSpacing/>
    </w:pPr>
  </w:style>
  <w:style w:type="paragraph" w:styleId="ListContinue4">
    <w:name w:val="List Continue 4"/>
    <w:basedOn w:val="Normal"/>
    <w:uiPriority w:val="99"/>
    <w:semiHidden/>
    <w:unhideWhenUsed/>
    <w:rsid w:val="005959B6"/>
    <w:pPr>
      <w:spacing w:after="120"/>
      <w:ind w:left="1132"/>
      <w:contextualSpacing/>
    </w:pPr>
  </w:style>
  <w:style w:type="paragraph" w:styleId="ListContinue5">
    <w:name w:val="List Continue 5"/>
    <w:basedOn w:val="Normal"/>
    <w:uiPriority w:val="99"/>
    <w:semiHidden/>
    <w:unhideWhenUsed/>
    <w:rsid w:val="005959B6"/>
    <w:pPr>
      <w:spacing w:after="120"/>
      <w:ind w:left="1415"/>
      <w:contextualSpacing/>
    </w:pPr>
  </w:style>
  <w:style w:type="paragraph" w:styleId="ListNumber">
    <w:name w:val="List Number"/>
    <w:basedOn w:val="Normal"/>
    <w:uiPriority w:val="99"/>
    <w:semiHidden/>
    <w:unhideWhenUsed/>
    <w:rsid w:val="005959B6"/>
    <w:pPr>
      <w:numPr>
        <w:numId w:val="17"/>
      </w:numPr>
      <w:contextualSpacing/>
    </w:pPr>
  </w:style>
  <w:style w:type="paragraph" w:styleId="ListNumber2">
    <w:name w:val="List Number 2"/>
    <w:basedOn w:val="Normal"/>
    <w:uiPriority w:val="99"/>
    <w:semiHidden/>
    <w:unhideWhenUsed/>
    <w:rsid w:val="005959B6"/>
    <w:pPr>
      <w:numPr>
        <w:numId w:val="18"/>
      </w:numPr>
      <w:contextualSpacing/>
    </w:pPr>
  </w:style>
  <w:style w:type="paragraph" w:styleId="ListNumber3">
    <w:name w:val="List Number 3"/>
    <w:basedOn w:val="Normal"/>
    <w:uiPriority w:val="99"/>
    <w:semiHidden/>
    <w:unhideWhenUsed/>
    <w:rsid w:val="005959B6"/>
    <w:pPr>
      <w:numPr>
        <w:numId w:val="19"/>
      </w:numPr>
      <w:contextualSpacing/>
    </w:pPr>
  </w:style>
  <w:style w:type="paragraph" w:styleId="ListNumber4">
    <w:name w:val="List Number 4"/>
    <w:basedOn w:val="Normal"/>
    <w:uiPriority w:val="99"/>
    <w:semiHidden/>
    <w:unhideWhenUsed/>
    <w:rsid w:val="005959B6"/>
    <w:pPr>
      <w:numPr>
        <w:numId w:val="20"/>
      </w:numPr>
      <w:contextualSpacing/>
    </w:pPr>
  </w:style>
  <w:style w:type="paragraph" w:styleId="ListNumber5">
    <w:name w:val="List Number 5"/>
    <w:basedOn w:val="Normal"/>
    <w:uiPriority w:val="99"/>
    <w:semiHidden/>
    <w:unhideWhenUsed/>
    <w:rsid w:val="005959B6"/>
    <w:pPr>
      <w:numPr>
        <w:numId w:val="21"/>
      </w:numPr>
      <w:contextualSpacing/>
    </w:pPr>
  </w:style>
  <w:style w:type="paragraph" w:styleId="MacroText">
    <w:name w:val="macro"/>
    <w:link w:val="MacroTextChar"/>
    <w:uiPriority w:val="39"/>
    <w:semiHidden/>
    <w:rsid w:val="005959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rPr>
  </w:style>
  <w:style w:type="character" w:customStyle="1" w:styleId="MacroTextChar">
    <w:name w:val="Macro Text Char"/>
    <w:basedOn w:val="DefaultParagraphFont"/>
    <w:link w:val="MacroText"/>
    <w:uiPriority w:val="39"/>
    <w:semiHidden/>
    <w:rsid w:val="005959B6"/>
    <w:rPr>
      <w:rFonts w:ascii="Consolas" w:eastAsia="Times New Roman" w:hAnsi="Consolas" w:cs="Consolas"/>
    </w:rPr>
  </w:style>
  <w:style w:type="table" w:styleId="MediumGrid1">
    <w:name w:val="Medium Grid 1"/>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959B6"/>
    <w:pPr>
      <w:spacing w:after="0" w:line="240" w:lineRule="auto"/>
    </w:pPr>
    <w:rPr>
      <w:rFonts w:ascii="Arial" w:hAnsi="Arial"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959B6"/>
    <w:pPr>
      <w:spacing w:after="0" w:line="240" w:lineRule="auto"/>
    </w:pPr>
    <w:rPr>
      <w:rFonts w:ascii="Arial" w:hAnsi="Arial"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959B6"/>
    <w:pPr>
      <w:spacing w:after="0" w:line="240" w:lineRule="auto"/>
    </w:pPr>
    <w:rPr>
      <w:rFonts w:ascii="Arial" w:hAnsi="Arial" w:cs="Times New Roman"/>
      <w:color w:val="000000" w:themeColor="text1"/>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959B6"/>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959B6"/>
    <w:pPr>
      <w:spacing w:after="0" w:line="240" w:lineRule="auto"/>
    </w:pPr>
    <w:rPr>
      <w:rFonts w:ascii="Arial" w:hAnsi="Arial"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959B6"/>
    <w:pPr>
      <w:spacing w:after="0" w:line="240" w:lineRule="auto"/>
    </w:pPr>
    <w:rPr>
      <w:rFonts w:ascii="Arial" w:hAnsi="Arial"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39"/>
    <w:semiHidden/>
    <w:rsid w:val="005959B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39"/>
    <w:semiHidden/>
    <w:rsid w:val="005959B6"/>
    <w:rPr>
      <w:rFonts w:asciiTheme="majorHAnsi" w:eastAsiaTheme="majorEastAsia" w:hAnsiTheme="majorHAnsi" w:cstheme="majorBidi"/>
      <w:sz w:val="24"/>
      <w:szCs w:val="24"/>
      <w:shd w:val="pct20" w:color="auto" w:fill="auto"/>
      <w:lang w:eastAsia="en-AU"/>
    </w:rPr>
  </w:style>
  <w:style w:type="paragraph" w:styleId="NoSpacing">
    <w:name w:val="No Spacing"/>
    <w:uiPriority w:val="99"/>
    <w:semiHidden/>
    <w:rsid w:val="005959B6"/>
    <w:pPr>
      <w:spacing w:after="0" w:line="240" w:lineRule="auto"/>
    </w:pPr>
    <w:rPr>
      <w:rFonts w:ascii="Arial" w:hAnsi="Arial" w:cs="Times New Roman"/>
    </w:rPr>
  </w:style>
  <w:style w:type="paragraph" w:styleId="NormalWeb">
    <w:name w:val="Normal (Web)"/>
    <w:basedOn w:val="Normal"/>
    <w:uiPriority w:val="99"/>
    <w:semiHidden/>
    <w:rsid w:val="005959B6"/>
    <w:rPr>
      <w:rFonts w:ascii="Times New Roman" w:hAnsi="Times New Roman"/>
      <w:sz w:val="24"/>
      <w:szCs w:val="24"/>
    </w:rPr>
  </w:style>
  <w:style w:type="paragraph" w:styleId="NormalIndent">
    <w:name w:val="Normal Indent"/>
    <w:basedOn w:val="Normal"/>
    <w:uiPriority w:val="99"/>
    <w:semiHidden/>
    <w:rsid w:val="005959B6"/>
    <w:pPr>
      <w:ind w:left="720"/>
    </w:pPr>
  </w:style>
  <w:style w:type="paragraph" w:styleId="NoteHeading">
    <w:name w:val="Note Heading"/>
    <w:basedOn w:val="Normal"/>
    <w:next w:val="Normal"/>
    <w:link w:val="NoteHeadingChar"/>
    <w:uiPriority w:val="99"/>
    <w:semiHidden/>
    <w:rsid w:val="005959B6"/>
  </w:style>
  <w:style w:type="character" w:customStyle="1" w:styleId="NoteHeadingChar">
    <w:name w:val="Note Heading Char"/>
    <w:basedOn w:val="DefaultParagraphFont"/>
    <w:link w:val="NoteHeading"/>
    <w:uiPriority w:val="99"/>
    <w:semiHidden/>
    <w:rsid w:val="005959B6"/>
    <w:rPr>
      <w:rFonts w:ascii="Arial" w:eastAsia="Times New Roman" w:hAnsi="Arial" w:cs="Times New Roman"/>
      <w:lang w:eastAsia="en-AU"/>
    </w:rPr>
  </w:style>
  <w:style w:type="paragraph" w:styleId="PlainText">
    <w:name w:val="Plain Text"/>
    <w:basedOn w:val="Normal"/>
    <w:link w:val="PlainTextChar"/>
    <w:uiPriority w:val="99"/>
    <w:semiHidden/>
    <w:rsid w:val="005959B6"/>
    <w:rPr>
      <w:rFonts w:ascii="Consolas" w:hAnsi="Consolas" w:cs="Consolas"/>
      <w:sz w:val="21"/>
      <w:szCs w:val="21"/>
    </w:rPr>
  </w:style>
  <w:style w:type="character" w:customStyle="1" w:styleId="PlainTextChar">
    <w:name w:val="Plain Text Char"/>
    <w:basedOn w:val="DefaultParagraphFont"/>
    <w:link w:val="PlainText"/>
    <w:uiPriority w:val="99"/>
    <w:semiHidden/>
    <w:rsid w:val="005959B6"/>
    <w:rPr>
      <w:rFonts w:ascii="Consolas" w:eastAsia="Times New Roman" w:hAnsi="Consolas" w:cs="Consolas"/>
      <w:sz w:val="21"/>
      <w:szCs w:val="21"/>
      <w:lang w:eastAsia="en-AU"/>
    </w:rPr>
  </w:style>
  <w:style w:type="paragraph" w:styleId="Quote">
    <w:name w:val="Quote"/>
    <w:basedOn w:val="Normal"/>
    <w:next w:val="Normal"/>
    <w:link w:val="QuoteChar"/>
    <w:uiPriority w:val="31"/>
    <w:semiHidden/>
    <w:rsid w:val="005959B6"/>
    <w:rPr>
      <w:i/>
      <w:iCs/>
      <w:color w:val="000000" w:themeColor="text1"/>
    </w:rPr>
  </w:style>
  <w:style w:type="character" w:customStyle="1" w:styleId="QuoteChar">
    <w:name w:val="Quote Char"/>
    <w:basedOn w:val="DefaultParagraphFont"/>
    <w:link w:val="Quote"/>
    <w:uiPriority w:val="31"/>
    <w:rsid w:val="005959B6"/>
    <w:rPr>
      <w:rFonts w:ascii="Arial" w:eastAsia="Times New Roman" w:hAnsi="Arial" w:cs="Times New Roman"/>
      <w:i/>
      <w:iCs/>
      <w:color w:val="000000" w:themeColor="text1"/>
      <w:lang w:eastAsia="en-AU"/>
    </w:rPr>
  </w:style>
  <w:style w:type="paragraph" w:styleId="Salutation">
    <w:name w:val="Salutation"/>
    <w:basedOn w:val="Normal"/>
    <w:next w:val="Normal"/>
    <w:link w:val="SalutationChar"/>
    <w:uiPriority w:val="99"/>
    <w:semiHidden/>
    <w:rsid w:val="005959B6"/>
  </w:style>
  <w:style w:type="character" w:customStyle="1" w:styleId="SalutationChar">
    <w:name w:val="Salutation Char"/>
    <w:basedOn w:val="DefaultParagraphFont"/>
    <w:link w:val="Salutation"/>
    <w:uiPriority w:val="99"/>
    <w:semiHidden/>
    <w:rsid w:val="005959B6"/>
    <w:rPr>
      <w:rFonts w:ascii="Arial" w:eastAsia="Times New Roman" w:hAnsi="Arial" w:cs="Times New Roman"/>
      <w:lang w:eastAsia="en-AU"/>
    </w:rPr>
  </w:style>
  <w:style w:type="paragraph" w:styleId="Subtitle">
    <w:name w:val="Subtitle"/>
    <w:basedOn w:val="Normal"/>
    <w:next w:val="Normal"/>
    <w:link w:val="SubtitleChar"/>
    <w:uiPriority w:val="99"/>
    <w:semiHidden/>
    <w:rsid w:val="005959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5959B6"/>
    <w:rPr>
      <w:rFonts w:asciiTheme="majorHAnsi" w:eastAsiaTheme="majorEastAsia" w:hAnsiTheme="majorHAnsi" w:cstheme="majorBidi"/>
      <w:i/>
      <w:iCs/>
      <w:color w:val="4F81BD" w:themeColor="accent1"/>
      <w:spacing w:val="15"/>
      <w:sz w:val="24"/>
      <w:szCs w:val="24"/>
      <w:lang w:eastAsia="en-AU"/>
    </w:rPr>
  </w:style>
  <w:style w:type="table" w:styleId="Table3Deffects1">
    <w:name w:val="Table 3D effects 1"/>
    <w:basedOn w:val="TableNormal"/>
    <w:rsid w:val="005959B6"/>
    <w:pPr>
      <w:spacing w:after="0" w:line="240" w:lineRule="auto"/>
    </w:pPr>
    <w:rPr>
      <w:rFonts w:ascii="Arial" w:hAnsi="Arial"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59B6"/>
    <w:pPr>
      <w:spacing w:after="0" w:line="240" w:lineRule="auto"/>
    </w:pPr>
    <w:rPr>
      <w:rFonts w:ascii="Arial" w:hAnsi="Arial"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59B6"/>
    <w:pPr>
      <w:spacing w:after="0" w:line="240" w:lineRule="auto"/>
    </w:pPr>
    <w:rPr>
      <w:rFonts w:ascii="Arial" w:hAnsi="Arial"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59B6"/>
    <w:pPr>
      <w:spacing w:after="0" w:line="240" w:lineRule="auto"/>
    </w:pPr>
    <w:rPr>
      <w:rFonts w:ascii="Arial" w:hAnsi="Arial"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59B6"/>
    <w:pPr>
      <w:spacing w:after="0" w:line="240" w:lineRule="auto"/>
    </w:pPr>
    <w:rPr>
      <w:rFonts w:ascii="Arial" w:hAnsi="Arial"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59B6"/>
    <w:pPr>
      <w:spacing w:after="0" w:line="240" w:lineRule="auto"/>
    </w:pPr>
    <w:rPr>
      <w:rFonts w:ascii="Arial" w:hAnsi="Arial"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59B6"/>
    <w:pPr>
      <w:spacing w:after="0" w:line="240" w:lineRule="auto"/>
    </w:pPr>
    <w:rPr>
      <w:rFonts w:ascii="Arial" w:hAnsi="Arial"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59B6"/>
    <w:pPr>
      <w:spacing w:after="0" w:line="240" w:lineRule="auto"/>
    </w:pPr>
    <w:rPr>
      <w:rFonts w:ascii="Arial" w:hAnsi="Arial"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59B6"/>
    <w:pPr>
      <w:spacing w:after="0" w:line="240" w:lineRule="auto"/>
    </w:pPr>
    <w:rPr>
      <w:rFonts w:ascii="Arial" w:hAnsi="Arial"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59B6"/>
    <w:pPr>
      <w:spacing w:after="0" w:line="240" w:lineRule="auto"/>
    </w:pPr>
    <w:rPr>
      <w:rFonts w:ascii="Arial" w:hAnsi="Arial"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59B6"/>
    <w:pPr>
      <w:spacing w:after="0" w:line="240" w:lineRule="auto"/>
    </w:pPr>
    <w:rPr>
      <w:rFonts w:ascii="Arial" w:hAnsi="Arial"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59B6"/>
    <w:pPr>
      <w:spacing w:after="0" w:line="240" w:lineRule="auto"/>
    </w:pPr>
    <w:rPr>
      <w:rFonts w:ascii="Arial" w:hAnsi="Arial"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59B6"/>
    <w:pPr>
      <w:spacing w:after="0" w:line="240" w:lineRule="auto"/>
    </w:pPr>
    <w:rPr>
      <w:rFonts w:ascii="Arial" w:hAnsi="Arial"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59B6"/>
    <w:pPr>
      <w:spacing w:after="0" w:line="240" w:lineRule="auto"/>
    </w:pPr>
    <w:rPr>
      <w:rFonts w:ascii="Arial" w:hAnsi="Arial"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59B6"/>
    <w:pPr>
      <w:spacing w:after="0" w:line="240" w:lineRule="auto"/>
    </w:pPr>
    <w:rPr>
      <w:rFonts w:ascii="Arial" w:hAnsi="Arial"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59B6"/>
    <w:pPr>
      <w:spacing w:after="0" w:line="240" w:lineRule="auto"/>
    </w:pPr>
    <w:rPr>
      <w:rFonts w:ascii="Arial" w:hAnsi="Arial"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59B6"/>
    <w:pPr>
      <w:spacing w:after="0" w:line="240" w:lineRule="auto"/>
    </w:pPr>
    <w:rPr>
      <w:rFonts w:ascii="Arial" w:hAnsi="Arial"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959B6"/>
    <w:pPr>
      <w:spacing w:after="0" w:line="240" w:lineRule="auto"/>
    </w:pPr>
    <w:rPr>
      <w:rFonts w:ascii="Arial"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59B6"/>
    <w:pPr>
      <w:spacing w:after="0" w:line="240" w:lineRule="auto"/>
    </w:pPr>
    <w:rPr>
      <w:rFonts w:ascii="Arial"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59B6"/>
    <w:pPr>
      <w:spacing w:after="0" w:line="240" w:lineRule="auto"/>
    </w:pPr>
    <w:rPr>
      <w:rFonts w:ascii="Arial" w:hAnsi="Arial"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59B6"/>
    <w:pPr>
      <w:spacing w:after="0" w:line="240" w:lineRule="auto"/>
    </w:pPr>
    <w:rPr>
      <w:rFonts w:ascii="Arial" w:hAnsi="Arial"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59B6"/>
    <w:pPr>
      <w:spacing w:after="0" w:line="240" w:lineRule="auto"/>
    </w:pPr>
    <w:rPr>
      <w:rFonts w:ascii="Arial" w:hAnsi="Arial"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59B6"/>
    <w:pPr>
      <w:spacing w:after="0" w:line="240" w:lineRule="auto"/>
    </w:pPr>
    <w:rPr>
      <w:rFonts w:ascii="Arial" w:hAnsi="Arial"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59B6"/>
    <w:pPr>
      <w:spacing w:after="0" w:line="240" w:lineRule="auto"/>
    </w:pPr>
    <w:rPr>
      <w:rFonts w:ascii="Arial" w:hAnsi="Arial"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59B6"/>
    <w:pPr>
      <w:spacing w:after="0" w:line="240" w:lineRule="auto"/>
    </w:pPr>
    <w:rPr>
      <w:rFonts w:ascii="Arial" w:hAnsi="Arial"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59B6"/>
    <w:pPr>
      <w:spacing w:after="0" w:line="240" w:lineRule="auto"/>
    </w:pPr>
    <w:rPr>
      <w:rFonts w:ascii="Arial" w:hAnsi="Arial"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59B6"/>
    <w:pPr>
      <w:spacing w:after="0" w:line="240" w:lineRule="auto"/>
    </w:pPr>
    <w:rPr>
      <w:rFonts w:ascii="Arial" w:hAnsi="Arial"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59B6"/>
    <w:pPr>
      <w:spacing w:after="0" w:line="240" w:lineRule="auto"/>
    </w:pPr>
    <w:rPr>
      <w:rFonts w:ascii="Arial" w:hAnsi="Arial"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59B6"/>
    <w:pPr>
      <w:spacing w:after="0" w:line="240" w:lineRule="auto"/>
    </w:pPr>
    <w:rPr>
      <w:rFonts w:ascii="Arial" w:hAnsi="Arial"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59B6"/>
    <w:pPr>
      <w:spacing w:after="0" w:line="240" w:lineRule="auto"/>
    </w:pPr>
    <w:rPr>
      <w:rFonts w:ascii="Arial" w:hAnsi="Arial"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59B6"/>
    <w:pPr>
      <w:spacing w:after="0" w:line="240" w:lineRule="auto"/>
    </w:pPr>
    <w:rPr>
      <w:rFonts w:ascii="Arial"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59B6"/>
    <w:pPr>
      <w:spacing w:after="0" w:line="240" w:lineRule="auto"/>
    </w:pPr>
    <w:rPr>
      <w:rFonts w:ascii="Arial" w:hAnsi="Arial"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59B6"/>
    <w:pPr>
      <w:spacing w:after="0" w:line="240" w:lineRule="auto"/>
    </w:pPr>
    <w:rPr>
      <w:rFonts w:ascii="Arial" w:hAnsi="Arial"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59B6"/>
    <w:pPr>
      <w:spacing w:after="0" w:line="240" w:lineRule="auto"/>
    </w:pPr>
    <w:rPr>
      <w:rFonts w:ascii="Arial" w:hAnsi="Arial"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959B6"/>
    <w:pPr>
      <w:ind w:left="220" w:hanging="220"/>
    </w:pPr>
  </w:style>
  <w:style w:type="paragraph" w:styleId="TableofFigures">
    <w:name w:val="table of figures"/>
    <w:basedOn w:val="Normal"/>
    <w:next w:val="Normal"/>
    <w:semiHidden/>
    <w:rsid w:val="005959B6"/>
  </w:style>
  <w:style w:type="table" w:styleId="TableProfessional">
    <w:name w:val="Table Professional"/>
    <w:basedOn w:val="TableNormal"/>
    <w:rsid w:val="005959B6"/>
    <w:pPr>
      <w:spacing w:after="0" w:line="240" w:lineRule="auto"/>
    </w:pPr>
    <w:rPr>
      <w:rFonts w:ascii="Arial" w:hAnsi="Arial"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59B6"/>
    <w:pPr>
      <w:spacing w:after="0" w:line="240" w:lineRule="auto"/>
    </w:pPr>
    <w:rPr>
      <w:rFonts w:ascii="Arial" w:hAnsi="Arial"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59B6"/>
    <w:pPr>
      <w:spacing w:after="0" w:line="240" w:lineRule="auto"/>
    </w:pPr>
    <w:rPr>
      <w:rFonts w:ascii="Arial" w:hAnsi="Arial"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59B6"/>
    <w:pPr>
      <w:spacing w:after="0" w:line="240" w:lineRule="auto"/>
    </w:pPr>
    <w:rPr>
      <w:rFonts w:ascii="Arial" w:hAnsi="Arial"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59B6"/>
    <w:pPr>
      <w:spacing w:after="0" w:line="240" w:lineRule="auto"/>
    </w:pPr>
    <w:rPr>
      <w:rFonts w:ascii="Arial" w:hAnsi="Arial"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59B6"/>
    <w:pPr>
      <w:spacing w:after="0" w:line="240" w:lineRule="auto"/>
    </w:pPr>
    <w:rPr>
      <w:rFonts w:ascii="Arial" w:hAnsi="Arial"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59B6"/>
    <w:pPr>
      <w:spacing w:after="0" w:line="240" w:lineRule="auto"/>
    </w:pPr>
    <w:rPr>
      <w:rFonts w:ascii="Arial"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59B6"/>
    <w:pPr>
      <w:spacing w:after="0" w:line="240" w:lineRule="auto"/>
    </w:pPr>
    <w:rPr>
      <w:rFonts w:ascii="Arial" w:hAnsi="Arial"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59B6"/>
    <w:pPr>
      <w:spacing w:after="0" w:line="240" w:lineRule="auto"/>
    </w:pPr>
    <w:rPr>
      <w:rFonts w:ascii="Arial" w:hAnsi="Arial"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59B6"/>
    <w:pPr>
      <w:spacing w:after="0" w:line="240" w:lineRule="auto"/>
    </w:pPr>
    <w:rPr>
      <w:rFonts w:ascii="Arial" w:hAnsi="Arial"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5959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5959B6"/>
    <w:rPr>
      <w:rFonts w:asciiTheme="majorHAnsi" w:eastAsiaTheme="majorEastAsia" w:hAnsiTheme="majorHAnsi" w:cstheme="majorBidi"/>
      <w:color w:val="17365D" w:themeColor="text2" w:themeShade="BF"/>
      <w:spacing w:val="5"/>
      <w:kern w:val="28"/>
      <w:sz w:val="52"/>
      <w:szCs w:val="52"/>
      <w:lang w:eastAsia="en-AU"/>
    </w:rPr>
  </w:style>
  <w:style w:type="paragraph" w:styleId="TOAHeading">
    <w:name w:val="toa heading"/>
    <w:basedOn w:val="Normal"/>
    <w:next w:val="Normal"/>
    <w:uiPriority w:val="99"/>
    <w:semiHidden/>
    <w:rsid w:val="005959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959B6"/>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MOBodyTextIndented">
    <w:name w:val="MO Body Text Indented"/>
    <w:basedOn w:val="MOLBodyText"/>
    <w:uiPriority w:val="2"/>
    <w:qFormat/>
    <w:rsid w:val="005959B6"/>
    <w:pPr>
      <w:ind w:left="851"/>
    </w:pPr>
    <w:rPr>
      <w:bCs/>
    </w:rPr>
  </w:style>
  <w:style w:type="paragraph" w:customStyle="1" w:styleId="MOLHeading4">
    <w:name w:val="MOL Heading 4"/>
    <w:basedOn w:val="MOLHeading2"/>
    <w:next w:val="MOBodyTextIndented"/>
    <w:uiPriority w:val="3"/>
    <w:qFormat/>
    <w:rsid w:val="005959B6"/>
    <w:pPr>
      <w:ind w:left="851"/>
    </w:pPr>
  </w:style>
  <w:style w:type="paragraph" w:customStyle="1" w:styleId="MOBodyTextTwiceIndented">
    <w:name w:val="MO Body Text Twice Indented"/>
    <w:basedOn w:val="MOBodyTextIndented"/>
    <w:uiPriority w:val="2"/>
    <w:qFormat/>
    <w:rsid w:val="005959B6"/>
    <w:pPr>
      <w:ind w:left="1701"/>
    </w:pPr>
  </w:style>
  <w:style w:type="numbering" w:customStyle="1" w:styleId="MOAdditional">
    <w:name w:val="MO Additional"/>
    <w:uiPriority w:val="99"/>
    <w:rsid w:val="005959B6"/>
    <w:pPr>
      <w:numPr>
        <w:numId w:val="23"/>
      </w:numPr>
    </w:pPr>
  </w:style>
  <w:style w:type="paragraph" w:customStyle="1" w:styleId="MOAdditionalL1">
    <w:name w:val="MO Additional (L1)"/>
    <w:basedOn w:val="Normal"/>
    <w:next w:val="MOLBodyText"/>
    <w:uiPriority w:val="8"/>
    <w:qFormat/>
    <w:rsid w:val="005959B6"/>
    <w:pPr>
      <w:keepNext/>
      <w:spacing w:before="120"/>
      <w:outlineLvl w:val="0"/>
    </w:pPr>
    <w:rPr>
      <w:rFonts w:eastAsiaTheme="minorHAnsi" w:cstheme="minorBidi"/>
      <w:b/>
    </w:rPr>
  </w:style>
  <w:style w:type="paragraph" w:customStyle="1" w:styleId="MOAdditionalL2">
    <w:name w:val="MO Additional (L2)"/>
    <w:basedOn w:val="Normal"/>
    <w:next w:val="MOAdditionalL3"/>
    <w:uiPriority w:val="8"/>
    <w:qFormat/>
    <w:rsid w:val="005959B6"/>
    <w:pPr>
      <w:numPr>
        <w:numId w:val="25"/>
      </w:numPr>
      <w:spacing w:before="120"/>
      <w:outlineLvl w:val="1"/>
    </w:pPr>
    <w:rPr>
      <w:rFonts w:eastAsiaTheme="minorHAnsi" w:cstheme="minorBidi"/>
    </w:rPr>
  </w:style>
  <w:style w:type="paragraph" w:customStyle="1" w:styleId="MOAdditionalL3">
    <w:name w:val="MO Additional (L3)"/>
    <w:basedOn w:val="Normal"/>
    <w:uiPriority w:val="8"/>
    <w:qFormat/>
    <w:rsid w:val="005959B6"/>
    <w:pPr>
      <w:numPr>
        <w:ilvl w:val="1"/>
        <w:numId w:val="25"/>
      </w:numPr>
      <w:spacing w:before="120"/>
    </w:pPr>
    <w:rPr>
      <w:rFonts w:eastAsiaTheme="minorHAnsi" w:cstheme="minorBidi"/>
    </w:rPr>
  </w:style>
  <w:style w:type="paragraph" w:customStyle="1" w:styleId="MOAdditionalL4">
    <w:name w:val="MO Additional (L4)"/>
    <w:basedOn w:val="MOAdditionalL3"/>
    <w:uiPriority w:val="8"/>
    <w:qFormat/>
    <w:rsid w:val="005959B6"/>
    <w:pPr>
      <w:numPr>
        <w:ilvl w:val="2"/>
      </w:numPr>
      <w:outlineLvl w:val="2"/>
    </w:pPr>
  </w:style>
  <w:style w:type="paragraph" w:customStyle="1" w:styleId="MOAdditionalL5">
    <w:name w:val="MO Additional (L5)"/>
    <w:basedOn w:val="MOAdditionalL4"/>
    <w:uiPriority w:val="8"/>
    <w:qFormat/>
    <w:rsid w:val="005959B6"/>
    <w:pPr>
      <w:numPr>
        <w:ilvl w:val="3"/>
      </w:numPr>
    </w:pPr>
  </w:style>
  <w:style w:type="paragraph" w:customStyle="1" w:styleId="MOAdditionalL6">
    <w:name w:val="MO Additional (L6)"/>
    <w:basedOn w:val="MOAdditionalL5"/>
    <w:uiPriority w:val="8"/>
    <w:qFormat/>
    <w:rsid w:val="005959B6"/>
    <w:pPr>
      <w:numPr>
        <w:ilvl w:val="4"/>
      </w:numPr>
      <w:ind w:left="1702" w:hanging="851"/>
      <w:outlineLvl w:val="9"/>
    </w:pPr>
  </w:style>
  <w:style w:type="paragraph" w:customStyle="1" w:styleId="MOAdditionalL7">
    <w:name w:val="MO Additional (L7)"/>
    <w:basedOn w:val="MOAdditionalL6"/>
    <w:uiPriority w:val="8"/>
    <w:qFormat/>
    <w:rsid w:val="005959B6"/>
    <w:pPr>
      <w:numPr>
        <w:ilvl w:val="5"/>
      </w:numPr>
    </w:pPr>
  </w:style>
  <w:style w:type="paragraph" w:customStyle="1" w:styleId="MOAdditionalL8">
    <w:name w:val="MO Additional (L8)"/>
    <w:basedOn w:val="MOAdditionalL7"/>
    <w:uiPriority w:val="8"/>
    <w:qFormat/>
    <w:rsid w:val="005959B6"/>
    <w:pPr>
      <w:numPr>
        <w:ilvl w:val="6"/>
      </w:numPr>
    </w:pPr>
  </w:style>
  <w:style w:type="paragraph" w:customStyle="1" w:styleId="MOAdditionalL9">
    <w:name w:val="MO Additional (L9)"/>
    <w:basedOn w:val="MOAdditionalL8"/>
    <w:uiPriority w:val="8"/>
    <w:qFormat/>
    <w:rsid w:val="005959B6"/>
    <w:pPr>
      <w:numPr>
        <w:ilvl w:val="7"/>
      </w:numPr>
    </w:pPr>
  </w:style>
  <w:style w:type="numbering" w:customStyle="1" w:styleId="MOListBullet">
    <w:name w:val="MOListBullet"/>
    <w:uiPriority w:val="99"/>
    <w:rsid w:val="005959B6"/>
    <w:pPr>
      <w:numPr>
        <w:numId w:val="26"/>
      </w:numPr>
    </w:pPr>
  </w:style>
  <w:style w:type="paragraph" w:customStyle="1" w:styleId="MOListStylesBullet1">
    <w:name w:val="MO List Styles Bullet 1"/>
    <w:basedOn w:val="Normal"/>
    <w:uiPriority w:val="26"/>
    <w:qFormat/>
    <w:rsid w:val="005959B6"/>
    <w:pPr>
      <w:numPr>
        <w:numId w:val="27"/>
      </w:numPr>
      <w:spacing w:before="120"/>
    </w:pPr>
  </w:style>
  <w:style w:type="paragraph" w:customStyle="1" w:styleId="MOListStylesBullet2">
    <w:name w:val="MO List Styles Bullet 2"/>
    <w:basedOn w:val="MOListStylesBullet1"/>
    <w:uiPriority w:val="26"/>
    <w:qFormat/>
    <w:rsid w:val="005959B6"/>
    <w:pPr>
      <w:numPr>
        <w:ilvl w:val="1"/>
      </w:numPr>
    </w:pPr>
  </w:style>
  <w:style w:type="paragraph" w:customStyle="1" w:styleId="MOListStylesBullet3">
    <w:name w:val="MO List Styles Bullet 3"/>
    <w:basedOn w:val="MOListStylesBullet2"/>
    <w:uiPriority w:val="26"/>
    <w:qFormat/>
    <w:rsid w:val="005959B6"/>
    <w:pPr>
      <w:numPr>
        <w:ilvl w:val="2"/>
      </w:numPr>
    </w:pPr>
  </w:style>
  <w:style w:type="paragraph" w:customStyle="1" w:styleId="MOListStylesHeading">
    <w:name w:val="MO List Styles Heading"/>
    <w:basedOn w:val="MOLHeading1"/>
    <w:next w:val="MOLBodyText"/>
    <w:uiPriority w:val="25"/>
    <w:qFormat/>
    <w:rsid w:val="005959B6"/>
    <w:rPr>
      <w:sz w:val="22"/>
    </w:rPr>
  </w:style>
  <w:style w:type="character" w:styleId="BookTitle">
    <w:name w:val="Book Title"/>
    <w:basedOn w:val="DefaultParagraphFont"/>
    <w:uiPriority w:val="33"/>
    <w:semiHidden/>
    <w:qFormat/>
    <w:rsid w:val="005959B6"/>
    <w:rPr>
      <w:b/>
      <w:bCs/>
      <w:smallCaps/>
      <w:spacing w:val="5"/>
    </w:rPr>
  </w:style>
  <w:style w:type="character" w:styleId="IntenseEmphasis">
    <w:name w:val="Intense Emphasis"/>
    <w:basedOn w:val="DefaultParagraphFont"/>
    <w:uiPriority w:val="21"/>
    <w:semiHidden/>
    <w:qFormat/>
    <w:rsid w:val="005959B6"/>
    <w:rPr>
      <w:b/>
      <w:bCs/>
      <w:i/>
      <w:iCs/>
      <w:color w:val="4F81BD" w:themeColor="accent1"/>
    </w:rPr>
  </w:style>
  <w:style w:type="character" w:styleId="IntenseReference">
    <w:name w:val="Intense Reference"/>
    <w:basedOn w:val="DefaultParagraphFont"/>
    <w:uiPriority w:val="32"/>
    <w:semiHidden/>
    <w:qFormat/>
    <w:rsid w:val="005959B6"/>
    <w:rPr>
      <w:b/>
      <w:bCs/>
      <w:smallCaps/>
      <w:color w:val="C0504D" w:themeColor="accent2"/>
      <w:spacing w:val="5"/>
      <w:u w:val="single"/>
    </w:rPr>
  </w:style>
  <w:style w:type="character" w:styleId="Strong">
    <w:name w:val="Strong"/>
    <w:basedOn w:val="DefaultParagraphFont"/>
    <w:uiPriority w:val="22"/>
    <w:qFormat/>
    <w:rsid w:val="005959B6"/>
    <w:rPr>
      <w:b/>
      <w:bCs/>
    </w:rPr>
  </w:style>
  <w:style w:type="character" w:styleId="SubtleEmphasis">
    <w:name w:val="Subtle Emphasis"/>
    <w:basedOn w:val="DefaultParagraphFont"/>
    <w:uiPriority w:val="19"/>
    <w:semiHidden/>
    <w:qFormat/>
    <w:rsid w:val="005959B6"/>
    <w:rPr>
      <w:i/>
      <w:iCs/>
      <w:color w:val="808080" w:themeColor="text1" w:themeTint="7F"/>
    </w:rPr>
  </w:style>
  <w:style w:type="character" w:styleId="SubtleReference">
    <w:name w:val="Subtle Reference"/>
    <w:basedOn w:val="DefaultParagraphFont"/>
    <w:uiPriority w:val="31"/>
    <w:semiHidden/>
    <w:qFormat/>
    <w:rsid w:val="005959B6"/>
    <w:rPr>
      <w:smallCaps/>
      <w:color w:val="C0504D" w:themeColor="accent2"/>
      <w:u w:val="single"/>
    </w:rPr>
  </w:style>
  <w:style w:type="character" w:styleId="Hyperlink">
    <w:name w:val="Hyperlink"/>
    <w:uiPriority w:val="99"/>
    <w:unhideWhenUsed/>
    <w:rsid w:val="00C64AD6"/>
    <w:rPr>
      <w:color w:val="0000FF"/>
      <w:u w:val="single"/>
    </w:rPr>
  </w:style>
  <w:style w:type="paragraph" w:customStyle="1" w:styleId="PIAHeading">
    <w:name w:val="PIA Heading"/>
    <w:basedOn w:val="MOTermsL1"/>
    <w:link w:val="PIAHeadingChar"/>
    <w:qFormat/>
    <w:rsid w:val="0005419C"/>
  </w:style>
  <w:style w:type="paragraph" w:customStyle="1" w:styleId="PIASubheading">
    <w:name w:val="PIA Sub heading"/>
    <w:basedOn w:val="MOTermsL2"/>
    <w:qFormat/>
    <w:rsid w:val="0005419C"/>
  </w:style>
  <w:style w:type="character" w:customStyle="1" w:styleId="MOTermsL1Char">
    <w:name w:val="MO Terms (L1) Char"/>
    <w:basedOn w:val="DefaultParagraphFont"/>
    <w:link w:val="MOTermsL1"/>
    <w:uiPriority w:val="5"/>
    <w:rsid w:val="0005419C"/>
    <w:rPr>
      <w:rFonts w:ascii="Arial" w:hAnsi="Arial" w:cs="Times New Roman"/>
      <w:b/>
      <w:sz w:val="28"/>
      <w:lang w:eastAsia="en-AU"/>
    </w:rPr>
  </w:style>
  <w:style w:type="character" w:customStyle="1" w:styleId="PIAHeadingChar">
    <w:name w:val="PIA Heading Char"/>
    <w:basedOn w:val="MOTermsL1Char"/>
    <w:link w:val="PIAHeading"/>
    <w:rsid w:val="0005419C"/>
    <w:rPr>
      <w:rFonts w:ascii="Arial" w:hAnsi="Arial" w:cs="Times New Roman"/>
      <w:b/>
      <w:sz w:val="28"/>
      <w:lang w:eastAsia="en-AU"/>
    </w:rPr>
  </w:style>
  <w:style w:type="paragraph" w:customStyle="1" w:styleId="PIASubheading0">
    <w:name w:val="PIA Subheading"/>
    <w:basedOn w:val="MOTermsL2"/>
    <w:link w:val="PIASubheadingChar"/>
    <w:qFormat/>
    <w:rsid w:val="00581C0E"/>
  </w:style>
  <w:style w:type="paragraph" w:customStyle="1" w:styleId="info">
    <w:name w:val="info"/>
    <w:basedOn w:val="MOTermsL3"/>
    <w:link w:val="infoChar"/>
    <w:qFormat/>
    <w:rsid w:val="00581C0E"/>
    <w:pPr>
      <w:ind w:left="0"/>
    </w:pPr>
  </w:style>
  <w:style w:type="character" w:customStyle="1" w:styleId="MOTermsL2Char">
    <w:name w:val="MO Terms (L2) Char"/>
    <w:basedOn w:val="DefaultParagraphFont"/>
    <w:link w:val="MOTermsL2"/>
    <w:uiPriority w:val="5"/>
    <w:rsid w:val="00581C0E"/>
    <w:rPr>
      <w:rFonts w:ascii="Arial" w:hAnsi="Arial" w:cs="Times New Roman"/>
      <w:b/>
      <w:lang w:eastAsia="en-AU"/>
    </w:rPr>
  </w:style>
  <w:style w:type="character" w:customStyle="1" w:styleId="PIASubheadingChar">
    <w:name w:val="PIA Subheading Char"/>
    <w:basedOn w:val="MOTermsL2Char"/>
    <w:link w:val="PIASubheading0"/>
    <w:rsid w:val="00581C0E"/>
    <w:rPr>
      <w:rFonts w:ascii="Arial" w:hAnsi="Arial" w:cs="Times New Roman"/>
      <w:b/>
      <w:lang w:eastAsia="en-AU"/>
    </w:rPr>
  </w:style>
  <w:style w:type="paragraph" w:customStyle="1" w:styleId="Paragraph">
    <w:name w:val="Paragraph"/>
    <w:basedOn w:val="PIASubheading0"/>
    <w:link w:val="ParagraphChar"/>
    <w:qFormat/>
    <w:rsid w:val="00581C0E"/>
    <w:pPr>
      <w:numPr>
        <w:ilvl w:val="0"/>
        <w:numId w:val="0"/>
      </w:numPr>
      <w:ind w:left="851"/>
    </w:pPr>
    <w:rPr>
      <w:b w:val="0"/>
      <w:bCs/>
    </w:rPr>
  </w:style>
  <w:style w:type="character" w:customStyle="1" w:styleId="MOTermsL3Char">
    <w:name w:val="MO Terms (L3) Char"/>
    <w:basedOn w:val="DefaultParagraphFont"/>
    <w:link w:val="MOTermsL3"/>
    <w:uiPriority w:val="5"/>
    <w:rsid w:val="00581C0E"/>
    <w:rPr>
      <w:rFonts w:ascii="Arial" w:hAnsi="Arial" w:cs="Times New Roman"/>
      <w:lang w:eastAsia="en-AU"/>
    </w:rPr>
  </w:style>
  <w:style w:type="character" w:customStyle="1" w:styleId="infoChar">
    <w:name w:val="info Char"/>
    <w:basedOn w:val="MOTermsL3Char"/>
    <w:link w:val="info"/>
    <w:rsid w:val="00581C0E"/>
    <w:rPr>
      <w:rFonts w:ascii="Arial" w:hAnsi="Arial" w:cs="Times New Roman"/>
      <w:lang w:eastAsia="en-AU"/>
    </w:rPr>
  </w:style>
  <w:style w:type="paragraph" w:customStyle="1" w:styleId="Recommendation">
    <w:name w:val="Recommendation"/>
    <w:basedOn w:val="MOTermsL3"/>
    <w:qFormat/>
    <w:rsid w:val="00A93DF3"/>
    <w:pPr>
      <w:pBdr>
        <w:top w:val="single" w:sz="4" w:space="1" w:color="auto"/>
        <w:left w:val="single" w:sz="4" w:space="4" w:color="auto"/>
        <w:bottom w:val="single" w:sz="4" w:space="1" w:color="auto"/>
        <w:right w:val="single" w:sz="4" w:space="4" w:color="auto"/>
      </w:pBdr>
    </w:pPr>
    <w:rPr>
      <w:b/>
      <w:bCs/>
    </w:rPr>
  </w:style>
  <w:style w:type="character" w:customStyle="1" w:styleId="ParagraphChar">
    <w:name w:val="Paragraph Char"/>
    <w:basedOn w:val="PIASubheadingChar"/>
    <w:link w:val="Paragraph"/>
    <w:rsid w:val="00581C0E"/>
    <w:rPr>
      <w:rFonts w:ascii="Arial" w:hAnsi="Arial" w:cs="Times New Roman"/>
      <w:b w:val="0"/>
      <w:bCs/>
      <w:lang w:eastAsia="en-AU"/>
    </w:rPr>
  </w:style>
  <w:style w:type="paragraph" w:customStyle="1" w:styleId="paragraph0">
    <w:name w:val="paragraph"/>
    <w:basedOn w:val="Normal"/>
    <w:rsid w:val="00F61E1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61E11"/>
  </w:style>
  <w:style w:type="character" w:customStyle="1" w:styleId="eop">
    <w:name w:val="eop"/>
    <w:basedOn w:val="DefaultParagraphFont"/>
    <w:rsid w:val="00F61E11"/>
  </w:style>
  <w:style w:type="paragraph" w:customStyle="1" w:styleId="Bullet">
    <w:name w:val="Bullet"/>
    <w:aliases w:val="Body,Bullet + line,b,b + line,b1,level 1,bulleted,BodyNum,Bullet Char1,Bullet Char1 Char Char Char Char,b1 Char Char Char,Bullet Char1 Char Char Char Char Char,Bullet Char1 Char Char Char"/>
    <w:basedOn w:val="Normal"/>
    <w:link w:val="BulletChar"/>
    <w:qFormat/>
    <w:rsid w:val="00FA1187"/>
    <w:pPr>
      <w:framePr w:hSpace="180" w:wrap="around" w:vAnchor="text" w:hAnchor="text" w:x="-601" w:y="1"/>
      <w:numPr>
        <w:numId w:val="28"/>
      </w:numPr>
      <w:suppressOverlap/>
    </w:pPr>
    <w:rPr>
      <w:rFonts w:asciiTheme="minorHAnsi" w:eastAsiaTheme="minorHAnsi" w:hAnsiTheme="minorHAnsi" w:cstheme="minorBidi"/>
      <w:kern w:val="2"/>
      <w:lang w:eastAsia="en-US"/>
      <w14:ligatures w14:val="standardContextual"/>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ParagraphFont"/>
    <w:link w:val="Bullet"/>
    <w:qFormat/>
    <w:rsid w:val="00FA1187"/>
    <w:rPr>
      <w:rFonts w:eastAsiaTheme="minorHAnsi"/>
      <w:kern w:val="2"/>
      <w14:ligatures w14:val="standardContextual"/>
    </w:rPr>
  </w:style>
  <w:style w:type="paragraph" w:customStyle="1" w:styleId="Dash">
    <w:name w:val="Dash"/>
    <w:basedOn w:val="Normal"/>
    <w:qFormat/>
    <w:rsid w:val="00FA1187"/>
    <w:pPr>
      <w:framePr w:hSpace="180" w:wrap="around" w:vAnchor="text" w:hAnchor="text" w:x="-601" w:y="1"/>
      <w:numPr>
        <w:ilvl w:val="1"/>
        <w:numId w:val="28"/>
      </w:numPr>
      <w:suppressOverlap/>
    </w:pPr>
    <w:rPr>
      <w:rFonts w:asciiTheme="minorHAnsi" w:eastAsiaTheme="minorHAnsi" w:hAnsiTheme="minorHAnsi" w:cstheme="minorBidi"/>
      <w:kern w:val="2"/>
      <w:lang w:eastAsia="en-US"/>
      <w14:ligatures w14:val="standardContextual"/>
    </w:rPr>
  </w:style>
  <w:style w:type="paragraph" w:customStyle="1" w:styleId="DoubleDot">
    <w:name w:val="Double Dot"/>
    <w:basedOn w:val="Normal"/>
    <w:qFormat/>
    <w:rsid w:val="00FA1187"/>
    <w:pPr>
      <w:framePr w:hSpace="180" w:wrap="around" w:vAnchor="text" w:hAnchor="text" w:x="-601" w:y="1"/>
      <w:numPr>
        <w:ilvl w:val="2"/>
        <w:numId w:val="28"/>
      </w:numPr>
      <w:suppressOverlap/>
    </w:pPr>
    <w:rPr>
      <w:rFonts w:asciiTheme="minorHAnsi" w:eastAsiaTheme="minorHAnsi" w:hAnsiTheme="minorHAnsi" w:cstheme="minorBidi"/>
      <w:kern w:val="2"/>
      <w:lang w:eastAsia="en-US"/>
      <w14:ligatures w14:val="standardContextual"/>
    </w:rPr>
  </w:style>
  <w:style w:type="table" w:styleId="GridTable4-Accent1">
    <w:name w:val="Grid Table 4 Accent 1"/>
    <w:basedOn w:val="TableNormal"/>
    <w:uiPriority w:val="49"/>
    <w:rsid w:val="007778C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7778C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ubheading">
    <w:name w:val="sub heading"/>
    <w:basedOn w:val="MOLHeading1"/>
    <w:link w:val="subheadingChar"/>
    <w:qFormat/>
    <w:rsid w:val="00817F28"/>
    <w:pPr>
      <w:ind w:left="851"/>
    </w:pPr>
  </w:style>
  <w:style w:type="character" w:customStyle="1" w:styleId="MOLHeading1Char">
    <w:name w:val="MOL Heading 1 Char"/>
    <w:basedOn w:val="DefaultParagraphFont"/>
    <w:link w:val="MOLHeading1"/>
    <w:uiPriority w:val="3"/>
    <w:rsid w:val="00817F28"/>
    <w:rPr>
      <w:rFonts w:ascii="Arial" w:hAnsi="Arial" w:cs="Times New Roman"/>
      <w:b/>
      <w:sz w:val="24"/>
      <w:lang w:eastAsia="en-AU"/>
    </w:rPr>
  </w:style>
  <w:style w:type="character" w:customStyle="1" w:styleId="subheadingChar">
    <w:name w:val="sub heading Char"/>
    <w:basedOn w:val="MOLHeading1Char"/>
    <w:link w:val="subheading"/>
    <w:rsid w:val="00817F28"/>
    <w:rPr>
      <w:rFonts w:ascii="Arial" w:hAnsi="Arial" w:cs="Times New Roman"/>
      <w:b/>
      <w:sz w:val="24"/>
      <w:lang w:eastAsia="en-AU"/>
    </w:rPr>
  </w:style>
  <w:style w:type="character" w:styleId="FootnoteReference">
    <w:name w:val="footnote reference"/>
    <w:basedOn w:val="DefaultParagraphFont"/>
    <w:uiPriority w:val="99"/>
    <w:semiHidden/>
    <w:unhideWhenUsed/>
    <w:rsid w:val="00A609CB"/>
    <w:rPr>
      <w:vertAlign w:val="superscript"/>
    </w:rPr>
  </w:style>
  <w:style w:type="character" w:styleId="UnresolvedMention">
    <w:name w:val="Unresolved Mention"/>
    <w:basedOn w:val="DefaultParagraphFont"/>
    <w:uiPriority w:val="99"/>
    <w:semiHidden/>
    <w:unhideWhenUsed/>
    <w:rsid w:val="00F92CA7"/>
    <w:rPr>
      <w:color w:val="605E5C"/>
      <w:shd w:val="clear" w:color="auto" w:fill="E1DFDD"/>
    </w:rPr>
  </w:style>
  <w:style w:type="character" w:styleId="CommentReference">
    <w:name w:val="annotation reference"/>
    <w:basedOn w:val="DefaultParagraphFont"/>
    <w:uiPriority w:val="99"/>
    <w:semiHidden/>
    <w:unhideWhenUsed/>
    <w:rsid w:val="007E013B"/>
    <w:rPr>
      <w:sz w:val="16"/>
      <w:szCs w:val="16"/>
    </w:rPr>
  </w:style>
  <w:style w:type="character" w:styleId="Mention">
    <w:name w:val="Mention"/>
    <w:basedOn w:val="DefaultParagraphFont"/>
    <w:uiPriority w:val="99"/>
    <w:unhideWhenUsed/>
    <w:rsid w:val="00DC6599"/>
    <w:rPr>
      <w:color w:val="2B579A"/>
      <w:shd w:val="clear" w:color="auto" w:fill="E1DFDD"/>
    </w:rPr>
  </w:style>
  <w:style w:type="paragraph" w:customStyle="1" w:styleId="subsection">
    <w:name w:val="subsection"/>
    <w:basedOn w:val="Normal"/>
    <w:rsid w:val="007264E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B443AD"/>
    <w:pPr>
      <w:spacing w:after="0" w:line="240" w:lineRule="auto"/>
    </w:pPr>
    <w:rPr>
      <w:rFonts w:ascii="Arial" w:hAnsi="Arial" w:cs="Times New Roman"/>
      <w:lang w:eastAsia="en-AU"/>
    </w:rPr>
  </w:style>
  <w:style w:type="character" w:customStyle="1" w:styleId="ui-provider">
    <w:name w:val="ui-provider"/>
    <w:basedOn w:val="DefaultParagraphFont"/>
    <w:rsid w:val="00735339"/>
  </w:style>
  <w:style w:type="character" w:styleId="FollowedHyperlink">
    <w:name w:val="FollowedHyperlink"/>
    <w:basedOn w:val="DefaultParagraphFont"/>
    <w:uiPriority w:val="99"/>
    <w:semiHidden/>
    <w:unhideWhenUsed/>
    <w:rsid w:val="008D01C0"/>
    <w:rPr>
      <w:color w:val="800080" w:themeColor="followedHyperlink"/>
      <w:u w:val="single"/>
    </w:rPr>
  </w:style>
  <w:style w:type="character" w:customStyle="1" w:styleId="cf01">
    <w:name w:val="cf01"/>
    <w:basedOn w:val="DefaultParagraphFont"/>
    <w:rsid w:val="00AE029A"/>
    <w:rPr>
      <w:rFonts w:ascii="Segoe UI" w:hAnsi="Segoe UI" w:cs="Segoe UI" w:hint="default"/>
      <w:sz w:val="18"/>
      <w:szCs w:val="18"/>
    </w:rPr>
  </w:style>
  <w:style w:type="paragraph" w:customStyle="1" w:styleId="pf0">
    <w:name w:val="pf0"/>
    <w:basedOn w:val="Normal"/>
    <w:rsid w:val="00C90384"/>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C903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0924">
      <w:bodyDiv w:val="1"/>
      <w:marLeft w:val="0"/>
      <w:marRight w:val="0"/>
      <w:marTop w:val="0"/>
      <w:marBottom w:val="0"/>
      <w:divBdr>
        <w:top w:val="none" w:sz="0" w:space="0" w:color="auto"/>
        <w:left w:val="none" w:sz="0" w:space="0" w:color="auto"/>
        <w:bottom w:val="none" w:sz="0" w:space="0" w:color="auto"/>
        <w:right w:val="none" w:sz="0" w:space="0" w:color="auto"/>
      </w:divBdr>
    </w:div>
    <w:div w:id="734359800">
      <w:bodyDiv w:val="1"/>
      <w:marLeft w:val="0"/>
      <w:marRight w:val="0"/>
      <w:marTop w:val="0"/>
      <w:marBottom w:val="0"/>
      <w:divBdr>
        <w:top w:val="none" w:sz="0" w:space="0" w:color="auto"/>
        <w:left w:val="none" w:sz="0" w:space="0" w:color="auto"/>
        <w:bottom w:val="none" w:sz="0" w:space="0" w:color="auto"/>
        <w:right w:val="none" w:sz="0" w:space="0" w:color="auto"/>
      </w:divBdr>
    </w:div>
    <w:div w:id="967322654">
      <w:bodyDiv w:val="1"/>
      <w:marLeft w:val="0"/>
      <w:marRight w:val="0"/>
      <w:marTop w:val="0"/>
      <w:marBottom w:val="0"/>
      <w:divBdr>
        <w:top w:val="none" w:sz="0" w:space="0" w:color="auto"/>
        <w:left w:val="none" w:sz="0" w:space="0" w:color="auto"/>
        <w:bottom w:val="none" w:sz="0" w:space="0" w:color="auto"/>
        <w:right w:val="none" w:sz="0" w:space="0" w:color="auto"/>
      </w:divBdr>
    </w:div>
    <w:div w:id="1062678665">
      <w:bodyDiv w:val="1"/>
      <w:marLeft w:val="0"/>
      <w:marRight w:val="0"/>
      <w:marTop w:val="0"/>
      <w:marBottom w:val="0"/>
      <w:divBdr>
        <w:top w:val="none" w:sz="0" w:space="0" w:color="auto"/>
        <w:left w:val="none" w:sz="0" w:space="0" w:color="auto"/>
        <w:bottom w:val="none" w:sz="0" w:space="0" w:color="auto"/>
        <w:right w:val="none" w:sz="0" w:space="0" w:color="auto"/>
      </w:divBdr>
    </w:div>
    <w:div w:id="1218319951">
      <w:bodyDiv w:val="1"/>
      <w:marLeft w:val="0"/>
      <w:marRight w:val="0"/>
      <w:marTop w:val="0"/>
      <w:marBottom w:val="0"/>
      <w:divBdr>
        <w:top w:val="none" w:sz="0" w:space="0" w:color="auto"/>
        <w:left w:val="none" w:sz="0" w:space="0" w:color="auto"/>
        <w:bottom w:val="none" w:sz="0" w:space="0" w:color="auto"/>
        <w:right w:val="none" w:sz="0" w:space="0" w:color="auto"/>
      </w:divBdr>
    </w:div>
    <w:div w:id="1293097053">
      <w:bodyDiv w:val="1"/>
      <w:marLeft w:val="0"/>
      <w:marRight w:val="0"/>
      <w:marTop w:val="0"/>
      <w:marBottom w:val="0"/>
      <w:divBdr>
        <w:top w:val="none" w:sz="0" w:space="0" w:color="auto"/>
        <w:left w:val="none" w:sz="0" w:space="0" w:color="auto"/>
        <w:bottom w:val="none" w:sz="0" w:space="0" w:color="auto"/>
        <w:right w:val="none" w:sz="0" w:space="0" w:color="auto"/>
      </w:divBdr>
    </w:div>
    <w:div w:id="1321621879">
      <w:bodyDiv w:val="1"/>
      <w:marLeft w:val="0"/>
      <w:marRight w:val="0"/>
      <w:marTop w:val="0"/>
      <w:marBottom w:val="0"/>
      <w:divBdr>
        <w:top w:val="none" w:sz="0" w:space="0" w:color="auto"/>
        <w:left w:val="none" w:sz="0" w:space="0" w:color="auto"/>
        <w:bottom w:val="none" w:sz="0" w:space="0" w:color="auto"/>
        <w:right w:val="none" w:sz="0" w:space="0" w:color="auto"/>
      </w:divBdr>
    </w:div>
    <w:div w:id="18911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g.gov.au/sites/default/files/2023-02/privacy-act-review-report_0.pdf" TargetMode="External"/><Relationship Id="rId7" Type="http://schemas.openxmlformats.org/officeDocument/2006/relationships/hyperlink" Target="https://www.legislation.gov.au/F2023L01027/latest/text" TargetMode="External"/><Relationship Id="rId2" Type="http://schemas.openxmlformats.org/officeDocument/2006/relationships/hyperlink" Target="https://www.oaic.gov.au/consumer-data-right/consumer-data-right-guidance-for-business/consumer-data-right-privacy-safeguard-guidelines" TargetMode="External"/><Relationship Id="rId1" Type="http://schemas.openxmlformats.org/officeDocument/2006/relationships/hyperlink" Target="https://www.oaic.gov.au/privacy/privacy-guidance-for-organisations-and-government-agencies/privacy-impact-assessments/10-steps-to-undertaking-a-privacy-impact-assessment" TargetMode="External"/><Relationship Id="rId6" Type="http://schemas.openxmlformats.org/officeDocument/2006/relationships/hyperlink" Target="https://www.oaic.gov.au/consumer-data-right/consumer-data-right-guidance-for-business/consumer-data-right-privacy-safeguard-guidelines" TargetMode="External"/><Relationship Id="rId5" Type="http://schemas.openxmlformats.org/officeDocument/2006/relationships/hyperlink" Target="https://www.oaic.gov.au/consumer-data-right/consumer-data-right-guidance-for-business/consumer-data-right-privacy-safeguard-guidelines" TargetMode="External"/><Relationship Id="rId4" Type="http://schemas.openxmlformats.org/officeDocument/2006/relationships/hyperlink" Target="https://treasury.gov.au/sites/default/files/2023-08/c2023-434434-consent-design-pape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12144</Words>
  <Characters>69226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Privacy impact assessment: Consumer Data Right Proposed amendments to the CDR rules: Consent Review rule changes and operational enhancements </vt:lpstr>
    </vt:vector>
  </TitlesOfParts>
  <Company/>
  <LinksUpToDate>false</LinksUpToDate>
  <CharactersWithSpaces>81208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Consumer Data Right Proposed amendments to the CDR rules: Consent Review rule changes and operational enhancements </dc:title>
  <dc:subject/>
  <dc:creator/>
  <cp:keywords/>
  <dc:description/>
  <cp:lastModifiedBy/>
  <cp:revision>1</cp:revision>
  <dcterms:created xsi:type="dcterms:W3CDTF">2024-07-25T03:41:00Z</dcterms:created>
  <dcterms:modified xsi:type="dcterms:W3CDTF">2024-07-25T05:04:00Z</dcterms:modified>
</cp:coreProperties>
</file>